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40F65" w14:textId="77777777" w:rsidR="00700D1D" w:rsidRPr="00C84EB1" w:rsidRDefault="00700D1D" w:rsidP="00700D1D">
      <w:pPr>
        <w:rPr>
          <w:rFonts w:ascii="Arial" w:eastAsia="Calibri" w:hAnsi="Arial" w:cs="Arial"/>
          <w:sz w:val="20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</w:tblGrid>
      <w:tr w:rsidR="008929C0" w14:paraId="6AE0A720" w14:textId="77777777" w:rsidTr="00D01A0E"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259F49D8" w14:textId="77777777" w:rsidR="008929C0" w:rsidRDefault="008929C0" w:rsidP="00CB5F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br w:type="page"/>
            </w:r>
            <w:r>
              <w:rPr>
                <w:color w:val="000000"/>
              </w:rPr>
              <w:br w:type="page"/>
            </w:r>
            <w:r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599440" cy="676910"/>
                  <wp:effectExtent l="19050" t="0" r="0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9C0" w:rsidRPr="00FE1C18" w14:paraId="6C5CA9DD" w14:textId="77777777" w:rsidTr="00D01A0E"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477877A7" w14:textId="77777777" w:rsidR="008929C0" w:rsidRDefault="008929C0" w:rsidP="00CB5FE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E1C1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14:paraId="73931369" w14:textId="77777777" w:rsidR="008929C0" w:rsidRPr="00FE1C18" w:rsidRDefault="008929C0" w:rsidP="00D0305E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FE1C1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 en Suiza</w:t>
            </w:r>
          </w:p>
        </w:tc>
      </w:tr>
    </w:tbl>
    <w:p w14:paraId="39ED73E7" w14:textId="77777777" w:rsidR="003F362B" w:rsidRDefault="003F362B" w:rsidP="008929C0">
      <w:p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5843F0E" w14:textId="77777777" w:rsidR="003F362B" w:rsidRDefault="003F362B" w:rsidP="008929C0">
      <w:p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D73E9A2" w14:textId="77777777" w:rsidR="008929C0" w:rsidRDefault="008929C0" w:rsidP="008929C0">
      <w:p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A932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Nota </w:t>
      </w:r>
      <w:r w:rsidR="001207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No. 477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/20</w:t>
      </w:r>
      <w:r w:rsidR="005877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</w:t>
      </w:r>
    </w:p>
    <w:p w14:paraId="02D6B4C3" w14:textId="77777777" w:rsidR="00700D1D" w:rsidRPr="008929C0" w:rsidRDefault="00700D1D" w:rsidP="00700D1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E14634" w14:textId="77777777" w:rsidR="00700D1D" w:rsidRPr="00C84EB1" w:rsidRDefault="008929C0" w:rsidP="008929C0">
      <w:pPr>
        <w:spacing w:before="240" w:after="240" w:line="360" w:lineRule="auto"/>
        <w:ind w:firstLine="85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ED27AE">
        <w:rPr>
          <w:rFonts w:ascii="Arial" w:eastAsia="Times New Roman" w:hAnsi="Arial" w:cs="Arial"/>
          <w:sz w:val="24"/>
          <w:szCs w:val="24"/>
          <w:lang w:val="es-ES_tradnl" w:eastAsia="es-ES"/>
        </w:rPr>
        <w:t>La Misión Permanente de la República de Cuba ante la Oficina de las Naciones Unidas en Ginebra y los Organismos Internacionales en Suiza saluda atentamente a la Oficina de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ED27AE">
        <w:rPr>
          <w:rFonts w:ascii="Arial" w:eastAsia="Times New Roman" w:hAnsi="Arial" w:cs="Arial"/>
          <w:sz w:val="24"/>
          <w:szCs w:val="24"/>
          <w:lang w:val="es-ES_tradnl" w:eastAsia="es-ES"/>
        </w:rPr>
        <w:t>l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a</w:t>
      </w:r>
      <w:r w:rsidRPr="00ED27A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Alt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a</w:t>
      </w:r>
      <w:r w:rsidRPr="00ED27A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Comisionad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a</w:t>
      </w:r>
      <w:r w:rsidRPr="00ED27A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 las Naciones Unidas para los Derechos Humanos y tiene el honor de referirse a</w:t>
      </w:r>
      <w:r w:rsidR="00700D1D" w:rsidRPr="00C84EB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la nota del </w:t>
      </w:r>
      <w:r w:rsidR="00587757">
        <w:rPr>
          <w:rFonts w:ascii="Arial" w:eastAsia="Times New Roman" w:hAnsi="Arial" w:cs="Arial"/>
          <w:sz w:val="24"/>
          <w:szCs w:val="24"/>
          <w:lang w:val="es-ES_tradnl" w:eastAsia="es-ES"/>
        </w:rPr>
        <w:t>1</w:t>
      </w:r>
      <w:r w:rsidR="008F0ECC">
        <w:rPr>
          <w:rFonts w:ascii="Arial" w:eastAsia="Times New Roman" w:hAnsi="Arial" w:cs="Arial"/>
          <w:sz w:val="24"/>
          <w:szCs w:val="24"/>
          <w:lang w:eastAsia="es-ES"/>
        </w:rPr>
        <w:t>º</w:t>
      </w:r>
      <w:r w:rsidR="00700D1D" w:rsidRPr="00C84EB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 </w:t>
      </w:r>
      <w:r w:rsidR="00587757">
        <w:rPr>
          <w:rFonts w:ascii="Arial" w:eastAsia="Times New Roman" w:hAnsi="Arial" w:cs="Arial"/>
          <w:sz w:val="24"/>
          <w:szCs w:val="24"/>
          <w:lang w:val="es-ES_tradnl" w:eastAsia="es-ES"/>
        </w:rPr>
        <w:t>octubre</w:t>
      </w:r>
      <w:r w:rsidR="00700D1D" w:rsidRPr="00C84EB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 20</w:t>
      </w:r>
      <w:r w:rsidR="00587757">
        <w:rPr>
          <w:rFonts w:ascii="Arial" w:eastAsia="Times New Roman" w:hAnsi="Arial" w:cs="Arial"/>
          <w:sz w:val="24"/>
          <w:szCs w:val="24"/>
          <w:lang w:val="es-ES_tradnl" w:eastAsia="es-ES"/>
        </w:rPr>
        <w:t>20</w:t>
      </w:r>
      <w:r w:rsidR="00700D1D" w:rsidRPr="00C84EB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en la que se solicita información relacionada con </w:t>
      </w:r>
      <w:r w:rsidR="00587757" w:rsidRPr="00587757">
        <w:rPr>
          <w:rFonts w:ascii="Arial" w:eastAsia="Times New Roman" w:hAnsi="Arial" w:cs="Arial"/>
          <w:sz w:val="24"/>
          <w:szCs w:val="24"/>
          <w:lang w:val="es-ES_tradnl" w:eastAsia="es-ES"/>
        </w:rPr>
        <w:t>los riesgos y desafíos inmediatos para la realización de los derechos de los niños</w:t>
      </w:r>
      <w:r w:rsidR="00587757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en la recuperación de la COVID</w:t>
      </w:r>
      <w:r w:rsidR="002678B8">
        <w:rPr>
          <w:rFonts w:ascii="Arial" w:eastAsia="Times New Roman" w:hAnsi="Arial" w:cs="Arial"/>
          <w:sz w:val="24"/>
          <w:szCs w:val="24"/>
          <w:lang w:val="es-ES_tradnl" w:eastAsia="es-ES"/>
        </w:rPr>
        <w:t>-</w:t>
      </w:r>
      <w:r w:rsidR="00587757">
        <w:rPr>
          <w:rFonts w:ascii="Arial" w:eastAsia="Times New Roman" w:hAnsi="Arial" w:cs="Arial"/>
          <w:sz w:val="24"/>
          <w:szCs w:val="24"/>
          <w:lang w:val="es-ES_tradnl" w:eastAsia="es-ES"/>
        </w:rPr>
        <w:t>19 y de cara al cumplimiento de</w:t>
      </w:r>
      <w:r w:rsidR="00587757" w:rsidRPr="00587757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los Objetivos de Desarrollo Sostenible</w:t>
      </w:r>
      <w:r w:rsidR="00700D1D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</w:p>
    <w:p w14:paraId="3A4EF68F" w14:textId="77777777" w:rsidR="00A1576E" w:rsidRPr="008F0ECC" w:rsidRDefault="008929C0" w:rsidP="00A1576E">
      <w:pPr>
        <w:spacing w:before="240" w:after="240" w:line="360" w:lineRule="auto"/>
        <w:ind w:firstLine="85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Al respecto</w:t>
      </w:r>
      <w:r w:rsidRPr="00ED27A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la Misión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Permanente </w:t>
      </w:r>
      <w:r w:rsidRPr="00ED27AE">
        <w:rPr>
          <w:rFonts w:ascii="Arial" w:eastAsia="Times New Roman" w:hAnsi="Arial" w:cs="Arial"/>
          <w:sz w:val="24"/>
          <w:szCs w:val="24"/>
          <w:lang w:val="es-ES_tradnl" w:eastAsia="es-ES"/>
        </w:rPr>
        <w:t>de Cuba tiene a bien trasladar los comentarios siguientes</w:t>
      </w:r>
      <w:r w:rsidR="008F0EC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255A93C" w14:textId="77777777" w:rsidR="0085152D" w:rsidRPr="00A1576E" w:rsidRDefault="00D3189F" w:rsidP="00D01A0E">
      <w:pPr>
        <w:spacing w:before="240" w:after="240" w:line="360" w:lineRule="auto"/>
        <w:ind w:firstLine="85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A1576E">
        <w:rPr>
          <w:rFonts w:ascii="Arial" w:eastAsia="Times New Roman" w:hAnsi="Arial" w:cs="Arial"/>
          <w:sz w:val="24"/>
          <w:szCs w:val="24"/>
          <w:lang w:val="es-ES_tradnl" w:eastAsia="es-ES"/>
        </w:rPr>
        <w:t>En medio de un complejo contexto internacional, el Estado y Gobierno cubanos se centran en salvar vidas</w:t>
      </w:r>
      <w:r w:rsidR="003476CB" w:rsidRPr="00A1576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</w:t>
      </w:r>
      <w:r w:rsidRPr="00A1576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controlar la transmisión </w:t>
      </w:r>
      <w:r w:rsidR="003476CB" w:rsidRPr="00A1576E">
        <w:rPr>
          <w:rFonts w:ascii="Arial" w:eastAsia="Times New Roman" w:hAnsi="Arial" w:cs="Arial"/>
          <w:sz w:val="24"/>
          <w:szCs w:val="24"/>
          <w:lang w:val="es-ES_tradnl" w:eastAsia="es-ES"/>
        </w:rPr>
        <w:t>y recuperarse de los efectos de la pandemia</w:t>
      </w:r>
      <w:r w:rsidR="00C940CD" w:rsidRPr="00A1576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 la COVID</w:t>
      </w:r>
      <w:r w:rsidR="002678B8">
        <w:rPr>
          <w:rFonts w:ascii="Arial" w:eastAsia="Times New Roman" w:hAnsi="Arial" w:cs="Arial"/>
          <w:sz w:val="24"/>
          <w:szCs w:val="24"/>
          <w:lang w:val="es-ES_tradnl" w:eastAsia="es-ES"/>
        </w:rPr>
        <w:t>-</w:t>
      </w:r>
      <w:r w:rsidR="00C940CD" w:rsidRPr="00A1576E">
        <w:rPr>
          <w:rFonts w:ascii="Arial" w:eastAsia="Times New Roman" w:hAnsi="Arial" w:cs="Arial"/>
          <w:sz w:val="24"/>
          <w:szCs w:val="24"/>
          <w:lang w:val="es-ES_tradnl" w:eastAsia="es-ES"/>
        </w:rPr>
        <w:t>19</w:t>
      </w:r>
      <w:r w:rsidR="00EA2F97" w:rsidRPr="00A1576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. </w:t>
      </w:r>
    </w:p>
    <w:p w14:paraId="2B4A141A" w14:textId="77777777" w:rsidR="00C940CD" w:rsidRPr="00A1576E" w:rsidRDefault="00C940CD" w:rsidP="00D01A0E">
      <w:pPr>
        <w:spacing w:before="240" w:after="240" w:line="360" w:lineRule="auto"/>
        <w:ind w:firstLine="85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A1576E">
        <w:rPr>
          <w:rFonts w:ascii="Arial" w:eastAsia="Times New Roman" w:hAnsi="Arial" w:cs="Arial"/>
          <w:sz w:val="24"/>
          <w:szCs w:val="24"/>
          <w:lang w:val="es-ES_tradnl" w:eastAsia="es-ES"/>
        </w:rPr>
        <w:t>Hasta el mes de noviembre de 2020, se ha recuperado el 91</w:t>
      </w:r>
      <w:r w:rsidR="00D01A0E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  <w:r w:rsidRPr="00A1576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3 % de las personas contagiadas en el país. </w:t>
      </w:r>
    </w:p>
    <w:p w14:paraId="53F1F0DA" w14:textId="77777777" w:rsidR="003F362B" w:rsidRDefault="003F362B" w:rsidP="00D01A0E">
      <w:pPr>
        <w:spacing w:before="240" w:after="240" w:line="360" w:lineRule="auto"/>
        <w:ind w:firstLine="85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03B1D003" w14:textId="77777777" w:rsidR="003F362B" w:rsidRDefault="003F362B" w:rsidP="00D01A0E">
      <w:pPr>
        <w:spacing w:before="240" w:after="240" w:line="360" w:lineRule="auto"/>
        <w:ind w:firstLine="85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5785BD62" w14:textId="77777777" w:rsidR="003F362B" w:rsidRDefault="003F362B" w:rsidP="00D01A0E">
      <w:pPr>
        <w:spacing w:before="240" w:after="240" w:line="360" w:lineRule="auto"/>
        <w:ind w:firstLine="85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40BF3E94" w14:textId="77777777" w:rsidR="003F362B" w:rsidRDefault="003F362B" w:rsidP="003F362B">
      <w:pPr>
        <w:spacing w:after="0" w:line="240" w:lineRule="auto"/>
        <w:ind w:left="-709"/>
        <w:jc w:val="both"/>
        <w:rPr>
          <w:rFonts w:ascii="Arial" w:eastAsia="Times New Roman" w:hAnsi="Arial" w:cs="Arial"/>
          <w:b/>
          <w:i/>
          <w:lang w:val="es-ES_tradnl" w:eastAsia="es-ES"/>
        </w:rPr>
      </w:pPr>
      <w:r w:rsidRPr="00882CBE">
        <w:rPr>
          <w:rFonts w:ascii="Arial" w:eastAsia="Times New Roman" w:hAnsi="Arial" w:cs="Arial"/>
          <w:b/>
          <w:i/>
          <w:lang w:val="es-ES_tradnl" w:eastAsia="es-ES"/>
        </w:rPr>
        <w:t xml:space="preserve">Oficina de la Alta Comisionada </w:t>
      </w:r>
    </w:p>
    <w:p w14:paraId="03D095C7" w14:textId="77777777" w:rsidR="003F362B" w:rsidRPr="00882CBE" w:rsidRDefault="003F362B" w:rsidP="003F362B">
      <w:pPr>
        <w:spacing w:after="0" w:line="240" w:lineRule="auto"/>
        <w:ind w:left="-709"/>
        <w:jc w:val="both"/>
        <w:rPr>
          <w:rFonts w:ascii="Arial" w:eastAsia="Times New Roman" w:hAnsi="Arial" w:cs="Arial"/>
          <w:b/>
          <w:i/>
          <w:lang w:val="es-ES_tradnl" w:eastAsia="es-ES"/>
        </w:rPr>
      </w:pPr>
      <w:r w:rsidRPr="00882CBE">
        <w:rPr>
          <w:rFonts w:ascii="Arial" w:eastAsia="Times New Roman" w:hAnsi="Arial" w:cs="Arial"/>
          <w:b/>
          <w:i/>
          <w:lang w:val="es-ES_tradnl" w:eastAsia="es-ES"/>
        </w:rPr>
        <w:t>de las Naciones Unidas</w:t>
      </w:r>
    </w:p>
    <w:p w14:paraId="740E96E2" w14:textId="77777777" w:rsidR="003F362B" w:rsidRPr="00882CBE" w:rsidRDefault="003F362B" w:rsidP="003F362B">
      <w:pPr>
        <w:spacing w:after="0" w:line="240" w:lineRule="auto"/>
        <w:ind w:left="-709"/>
        <w:jc w:val="both"/>
        <w:rPr>
          <w:rFonts w:ascii="Arial" w:eastAsia="Times New Roman" w:hAnsi="Arial" w:cs="Arial"/>
          <w:b/>
          <w:i/>
          <w:lang w:val="es-ES_tradnl" w:eastAsia="es-ES"/>
        </w:rPr>
      </w:pPr>
      <w:r w:rsidRPr="00882CBE">
        <w:rPr>
          <w:rFonts w:ascii="Arial" w:eastAsia="Times New Roman" w:hAnsi="Arial" w:cs="Arial"/>
          <w:b/>
          <w:i/>
          <w:lang w:val="es-ES_tradnl" w:eastAsia="es-ES"/>
        </w:rPr>
        <w:t>para los Derechos Humanos</w:t>
      </w:r>
    </w:p>
    <w:p w14:paraId="6EBF40A7" w14:textId="77777777" w:rsidR="003F362B" w:rsidRPr="00882CBE" w:rsidRDefault="003F362B" w:rsidP="003F362B">
      <w:pPr>
        <w:spacing w:after="0" w:line="240" w:lineRule="auto"/>
        <w:ind w:left="-709"/>
        <w:jc w:val="both"/>
        <w:rPr>
          <w:rFonts w:ascii="Arial" w:eastAsia="Times New Roman" w:hAnsi="Arial" w:cs="Arial"/>
          <w:b/>
          <w:i/>
          <w:lang w:val="es-ES_tradnl" w:eastAsia="es-ES"/>
        </w:rPr>
      </w:pPr>
      <w:r w:rsidRPr="00882CBE">
        <w:rPr>
          <w:rFonts w:ascii="Arial" w:eastAsia="Times New Roman" w:hAnsi="Arial" w:cs="Arial"/>
          <w:b/>
          <w:i/>
          <w:lang w:val="es-ES_tradnl" w:eastAsia="es-ES"/>
        </w:rPr>
        <w:t>Ginebra</w:t>
      </w:r>
    </w:p>
    <w:p w14:paraId="3A203DE1" w14:textId="77777777" w:rsidR="003F362B" w:rsidRDefault="003F362B" w:rsidP="00D01A0E">
      <w:pPr>
        <w:spacing w:before="240" w:after="240" w:line="360" w:lineRule="auto"/>
        <w:ind w:firstLine="85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01F2BA48" w14:textId="77777777" w:rsidR="00C940CD" w:rsidRPr="00D01A0E" w:rsidRDefault="002F014C" w:rsidP="00D01A0E">
      <w:pPr>
        <w:spacing w:before="240" w:after="240" w:line="360" w:lineRule="auto"/>
        <w:ind w:firstLine="85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La efectividad en el enfrentamiento de la pandemia en el país está asociada a diferentes factores</w:t>
      </w:r>
      <w:r w:rsid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como: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la ejecución de</w:t>
      </w:r>
      <w:r w:rsidR="00B347EB" w:rsidRPr="00A1576E">
        <w:rPr>
          <w:rFonts w:ascii="Arial" w:eastAsia="Times New Roman" w:hAnsi="Arial" w:cs="Arial"/>
          <w:sz w:val="24"/>
          <w:szCs w:val="24"/>
          <w:lang w:val="es-ES_tradnl" w:eastAsia="es-ES"/>
        </w:rPr>
        <w:t>l</w:t>
      </w:r>
      <w:r w:rsidR="00C940CD" w:rsidRPr="00A1576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Plan Nacional de Enfrentamiento</w:t>
      </w:r>
      <w:r w:rsidR="00D01A0E">
        <w:rPr>
          <w:rFonts w:ascii="Arial" w:eastAsia="Times New Roman" w:hAnsi="Arial" w:cs="Arial"/>
          <w:sz w:val="24"/>
          <w:szCs w:val="24"/>
          <w:lang w:val="es-ES_tradnl" w:eastAsia="es-ES"/>
        </w:rPr>
        <w:t>;</w:t>
      </w:r>
      <w:r w:rsidR="00B347EB" w:rsidRPr="00A1576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el accionar del G</w:t>
      </w:r>
      <w:r w:rsidR="00C940CD" w:rsidRPr="00A1576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rupo </w:t>
      </w:r>
      <w:r w:rsidR="00B347EB" w:rsidRPr="00A1576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Temporal </w:t>
      </w:r>
      <w:r w:rsidR="00C940CD" w:rsidRPr="00A1576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de </w:t>
      </w:r>
      <w:r w:rsidR="00B347EB" w:rsidRPr="00A1576E">
        <w:rPr>
          <w:rFonts w:ascii="Arial" w:eastAsia="Times New Roman" w:hAnsi="Arial" w:cs="Arial"/>
          <w:sz w:val="24"/>
          <w:szCs w:val="24"/>
          <w:lang w:val="es-ES_tradnl" w:eastAsia="es-ES"/>
        </w:rPr>
        <w:t>Trabajo</w:t>
      </w:r>
      <w:r w:rsidR="00C940CD" w:rsidRPr="00A1576E">
        <w:rPr>
          <w:rFonts w:ascii="Arial" w:eastAsia="Times New Roman" w:hAnsi="Arial" w:cs="Arial"/>
          <w:sz w:val="24"/>
          <w:szCs w:val="24"/>
          <w:lang w:val="es-ES_tradnl" w:eastAsia="es-ES"/>
        </w:rPr>
        <w:t>, encabezado por el Presidente de</w:t>
      </w:r>
      <w:r w:rsidR="00C940CD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la República, Miguel Díaz-Canel Bermúdez</w:t>
      </w:r>
      <w:r w:rsidR="00D01A0E">
        <w:rPr>
          <w:rFonts w:ascii="Arial" w:eastAsia="Times New Roman" w:hAnsi="Arial" w:cs="Arial"/>
          <w:sz w:val="24"/>
          <w:szCs w:val="24"/>
          <w:lang w:val="es-ES_tradnl" w:eastAsia="es-ES"/>
        </w:rPr>
        <w:t>;</w:t>
      </w:r>
      <w:r w:rsidR="00C940CD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las capacidades </w:t>
      </w:r>
      <w:r w:rsidR="000E44D5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del Sistema de Salud Pública en Cuba </w:t>
      </w:r>
      <w:r w:rsidR="00C940CD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en términos de infraestructura, organización y capital humano, con las características de ser</w:t>
      </w:r>
      <w:r w:rsidR="000E44D5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C940CD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gratuito</w:t>
      </w:r>
      <w:r w:rsidR="000E44D5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y</w:t>
      </w:r>
      <w:r w:rsidR="00C940CD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accesible al 100 % de la población</w:t>
      </w:r>
      <w:r w:rsidR="00D01A0E">
        <w:rPr>
          <w:rFonts w:ascii="Arial" w:eastAsia="Times New Roman" w:hAnsi="Arial" w:cs="Arial"/>
          <w:sz w:val="24"/>
          <w:szCs w:val="24"/>
          <w:lang w:val="es-ES_tradnl" w:eastAsia="es-ES"/>
        </w:rPr>
        <w:t>;</w:t>
      </w:r>
      <w:r w:rsidR="00C940CD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B347EB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la efectividad de</w:t>
      </w:r>
      <w:r w:rsidR="00C940CD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la </w:t>
      </w:r>
      <w:r w:rsidR="000E44D5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atención primaria de la salud</w:t>
      </w:r>
      <w:r w:rsidR="00D01A0E">
        <w:rPr>
          <w:rFonts w:ascii="Arial" w:eastAsia="Times New Roman" w:hAnsi="Arial" w:cs="Arial"/>
          <w:sz w:val="24"/>
          <w:szCs w:val="24"/>
          <w:lang w:val="es-ES_tradnl" w:eastAsia="es-ES"/>
        </w:rPr>
        <w:t>;</w:t>
      </w:r>
      <w:r w:rsidR="00C940CD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y la utilización de productos, equipos, e insumos novedosos de la industria médico-farmacéutica y biotecnológica cubana.</w:t>
      </w:r>
    </w:p>
    <w:p w14:paraId="57E111F4" w14:textId="77777777" w:rsidR="00C940CD" w:rsidRPr="00D01A0E" w:rsidRDefault="00D01A0E" w:rsidP="00D01A0E">
      <w:pPr>
        <w:spacing w:before="240" w:after="240" w:line="360" w:lineRule="auto"/>
        <w:ind w:firstLine="85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L</w:t>
      </w:r>
      <w:r w:rsidR="000F4264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 atención a la infancia y la adolescencia </w:t>
      </w:r>
      <w:r w:rsidR="0018384A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ha constituido</w:t>
      </w:r>
      <w:r w:rsidR="000F4264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una </w:t>
      </w:r>
      <w:r w:rsidR="0030478D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prioridad constante para el sistema de </w:t>
      </w:r>
      <w:r w:rsidR="000F4264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s</w:t>
      </w:r>
      <w:r w:rsidR="0030478D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alud </w:t>
      </w:r>
      <w:r w:rsidR="000F4264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en el país</w:t>
      </w:r>
      <w:r w:rsidR="0030478D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. </w:t>
      </w:r>
      <w:r w:rsidR="0070277E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Hasta noviembre de 2020, se han contagiado 847 pacientes en edad pediátrica</w:t>
      </w:r>
      <w:r w:rsidR="0059227F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, lo cual se encuentra entre un 10 y 12 por ciento del total de casos confirmados en el país</w:t>
      </w:r>
      <w:r w:rsidR="0070277E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. </w:t>
      </w:r>
      <w:r w:rsidR="00C940CD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No se reportan niños, niñas</w:t>
      </w:r>
      <w:r w:rsidR="00DA160A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o </w:t>
      </w:r>
      <w:r w:rsidR="00C940CD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adolescentes fallecidos</w:t>
      </w:r>
      <w:r w:rsidR="00DA160A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, así como tampoco se han producido</w:t>
      </w:r>
      <w:r w:rsidR="0070277E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muertes maternas</w:t>
      </w:r>
      <w:r w:rsidR="00DA160A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por esta causa</w:t>
      </w:r>
      <w:r w:rsidR="0070277E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. </w:t>
      </w:r>
    </w:p>
    <w:p w14:paraId="707AA784" w14:textId="77777777" w:rsidR="007504D8" w:rsidRPr="00D01A0E" w:rsidRDefault="007504D8" w:rsidP="00D01A0E">
      <w:pPr>
        <w:spacing w:before="240" w:after="240" w:line="360" w:lineRule="auto"/>
        <w:ind w:firstLine="85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Desde que comenzó la pandemia de COVID-19, el cierre mundial de las escuelas ha planteado desafíos sin precedentes para la educac</w:t>
      </w:r>
      <w:r w:rsidR="000F4264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ión y el bienestar de los niños. </w:t>
      </w:r>
    </w:p>
    <w:p w14:paraId="2C7956AF" w14:textId="77777777" w:rsidR="0070277E" w:rsidRPr="00D01A0E" w:rsidRDefault="0070277E" w:rsidP="00D01A0E">
      <w:pPr>
        <w:spacing w:before="240" w:after="240" w:line="360" w:lineRule="auto"/>
        <w:ind w:firstLine="85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En Cuba, la educación de las niñas, niños y adolescentes se mantuvo como una prioridad, a la vez que exigió de numerosos esfuerzos, acciones y políticas en el país para garantizar el efectivo cumplimiento de</w:t>
      </w:r>
      <w:r w:rsidR="002F014C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l</w:t>
      </w:r>
      <w:r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derecho a la educación, en todos los niveles. </w:t>
      </w:r>
    </w:p>
    <w:p w14:paraId="45FF486C" w14:textId="77777777" w:rsidR="00FF001E" w:rsidRPr="00D01A0E" w:rsidRDefault="00FF001E" w:rsidP="00D01A0E">
      <w:pPr>
        <w:spacing w:before="240" w:after="240" w:line="360" w:lineRule="auto"/>
        <w:ind w:firstLine="85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En tal sentido, el Ministerio de Educación (MINED) adoptó una serie de medidas con el fin de salvaguardar la salud de las primeras edades y difundir entre ellas la necesidad del autocuidado. Entre estas, pueden mencionarse:</w:t>
      </w:r>
    </w:p>
    <w:p w14:paraId="6D8A30B2" w14:textId="77777777" w:rsidR="00FF001E" w:rsidRDefault="00FF001E" w:rsidP="00D01A0E">
      <w:pPr>
        <w:pStyle w:val="ListParagraph"/>
        <w:numPr>
          <w:ilvl w:val="0"/>
          <w:numId w:val="7"/>
        </w:numPr>
        <w:spacing w:before="240" w:after="240" w:line="36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</w:pPr>
      <w:r w:rsidRPr="00FF001E"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  <w:t>Explicar en los centros escolares del país la importancia del lavado frecuente de manos y de no tocarse la cara, los ojos, la boca y nariz.</w:t>
      </w:r>
    </w:p>
    <w:p w14:paraId="697B1838" w14:textId="77777777" w:rsidR="00FF001E" w:rsidRDefault="00FF001E" w:rsidP="00D01A0E">
      <w:pPr>
        <w:pStyle w:val="ListParagraph"/>
        <w:numPr>
          <w:ilvl w:val="0"/>
          <w:numId w:val="7"/>
        </w:numPr>
        <w:spacing w:before="240" w:after="240" w:line="36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  <w:t>Explicar a través de los medios de comunicación masiva la necesidad de evitar las aglomeraciones y los lugares públicos con mensajes adaptados a las niñas, niños y adolescentes.</w:t>
      </w:r>
    </w:p>
    <w:p w14:paraId="325D0A6A" w14:textId="77777777" w:rsidR="003F362B" w:rsidRDefault="003F362B" w:rsidP="003F362B">
      <w:pPr>
        <w:pStyle w:val="ListParagraph"/>
        <w:spacing w:before="240" w:after="240" w:line="360" w:lineRule="auto"/>
        <w:ind w:left="714"/>
        <w:contextualSpacing w:val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</w:pPr>
    </w:p>
    <w:p w14:paraId="366557D4" w14:textId="77777777" w:rsidR="00FF001E" w:rsidRPr="00DB2C98" w:rsidRDefault="00FF001E" w:rsidP="00D01A0E">
      <w:pPr>
        <w:pStyle w:val="ListParagraph"/>
        <w:numPr>
          <w:ilvl w:val="0"/>
          <w:numId w:val="7"/>
        </w:numPr>
        <w:spacing w:before="240" w:after="240" w:line="36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  <w:t>Brindar abundante información, por todas las vías, sobre todas las medidas de bioseguridad de una manera clara y comprensible para la protección de los infantes y sus familiares</w:t>
      </w:r>
    </w:p>
    <w:p w14:paraId="68E73941" w14:textId="77777777" w:rsidR="00DA160A" w:rsidRPr="00D01A0E" w:rsidRDefault="00DA160A" w:rsidP="00D01A0E">
      <w:pPr>
        <w:spacing w:before="240" w:after="240" w:line="360" w:lineRule="auto"/>
        <w:ind w:firstLine="85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Ante la suspensión del curso escolar, se habilitaron dos canales televisivos nacionales para la programación educativa en los diferentes niveles de enseñanza</w:t>
      </w:r>
      <w:r w:rsidR="008F0ECC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8038D3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se puso en marcha la aplicación móvil MiClaseTV para la descarga de las teleclases de forma gratuita</w:t>
      </w:r>
      <w:r w:rsidR="008038D3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el Portal CubaEduca y la implementación del servicio nacional de tutoría en red las 24 horas. </w:t>
      </w:r>
    </w:p>
    <w:p w14:paraId="098C5945" w14:textId="77777777" w:rsidR="00DB2C98" w:rsidRPr="00D01A0E" w:rsidRDefault="00DB2C98" w:rsidP="00D01A0E">
      <w:pPr>
        <w:spacing w:before="240" w:after="240" w:line="360" w:lineRule="auto"/>
        <w:ind w:firstLine="85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La programación incluyó emisiones desde el nivel pre</w:t>
      </w:r>
      <w:r w:rsidR="008F0ECC">
        <w:rPr>
          <w:rFonts w:ascii="Arial" w:eastAsia="Times New Roman" w:hAnsi="Arial" w:cs="Arial"/>
          <w:sz w:val="24"/>
          <w:szCs w:val="24"/>
          <w:lang w:eastAsia="es-ES"/>
        </w:rPr>
        <w:t>-e</w:t>
      </w:r>
      <w:r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scolar hasta la formación pedagógica, incluyendo la enseñanza deportiva y artística.</w:t>
      </w:r>
    </w:p>
    <w:p w14:paraId="684959B2" w14:textId="77777777" w:rsidR="00DB2C98" w:rsidRPr="00D01A0E" w:rsidRDefault="00DB2C98" w:rsidP="00D01A0E">
      <w:pPr>
        <w:spacing w:before="240" w:after="240" w:line="360" w:lineRule="auto"/>
        <w:ind w:firstLine="85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En el caso de los menores </w:t>
      </w:r>
      <w:r w:rsidR="0098504F">
        <w:rPr>
          <w:rFonts w:ascii="Arial" w:eastAsia="Times New Roman" w:hAnsi="Arial" w:cs="Arial"/>
          <w:sz w:val="24"/>
          <w:szCs w:val="24"/>
          <w:lang w:eastAsia="es-ES"/>
        </w:rPr>
        <w:t xml:space="preserve">de edad </w:t>
      </w:r>
      <w:r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que residen en hogares para niños sin amparo filial, también fueron creadas las condiciones para que recibieran las teleclases con la presencia de un personal </w:t>
      </w:r>
      <w:r w:rsidR="00566D64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docente </w:t>
      </w:r>
      <w:r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especializado</w:t>
      </w:r>
      <w:r w:rsidR="00566D64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que convive con los infantes.</w:t>
      </w:r>
    </w:p>
    <w:p w14:paraId="6102F341" w14:textId="77777777" w:rsidR="002F014C" w:rsidRPr="00D01A0E" w:rsidRDefault="002F014C" w:rsidP="00D01A0E">
      <w:pPr>
        <w:spacing w:before="240" w:after="240" w:line="360" w:lineRule="auto"/>
        <w:ind w:firstLine="85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En este sentido, se mantuvo un estrecho contacto de las familias con los maestros, así como la permanente realización de actividades grupales por diferentes vías</w:t>
      </w:r>
      <w:r w:rsidR="00FF001E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,</w:t>
      </w:r>
      <w:r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como telefónica o por las redes sociales</w:t>
      </w:r>
      <w:r w:rsidR="00FF001E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,</w:t>
      </w:r>
      <w:r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FF001E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en apoyo</w:t>
      </w:r>
      <w:r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del proceso educativo.</w:t>
      </w:r>
    </w:p>
    <w:p w14:paraId="493AEC8A" w14:textId="77777777" w:rsidR="0072065C" w:rsidRPr="00D01A0E" w:rsidRDefault="0072065C" w:rsidP="00D01A0E">
      <w:pPr>
        <w:spacing w:before="240" w:after="240" w:line="360" w:lineRule="auto"/>
        <w:ind w:firstLine="85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En paralelo, se adoptaron diversas medidas para garantizar el cuidado de los niños en los hogares y el seguimiento al curso escolar. Entre ellas</w:t>
      </w:r>
      <w:r w:rsidR="0067409F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,</w:t>
      </w:r>
      <w:r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tuvo particular relevancia la decisión </w:t>
      </w:r>
      <w:r w:rsidR="00632ED2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adoptada por el Ministerio de Trabajo y Seguridad Social (MTSS) </w:t>
      </w:r>
      <w:r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de mantener la garantía salarial a los familiares que, siendo trabajadores, quedaran al cuidado de los niños en casa.</w:t>
      </w:r>
      <w:r w:rsidR="00632ED2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El primer mes recibieron el 100 por ciento del salario y los meses posteriores el 60 por ciento. Asimismo, se potenció la modalidad del trabajo a distancia, a lo cual se acogieron madres trabajadoras al cuidado de sus hijos pequeños, con la total garantía salarial.</w:t>
      </w:r>
    </w:p>
    <w:p w14:paraId="7491417F" w14:textId="77777777" w:rsidR="003F362B" w:rsidRDefault="00632ED2" w:rsidP="00D01A0E">
      <w:pPr>
        <w:spacing w:before="240" w:after="240" w:line="360" w:lineRule="auto"/>
        <w:ind w:firstLine="85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Por otra parte</w:t>
      </w:r>
      <w:r w:rsidR="0067409F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</w:t>
      </w:r>
      <w:r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y teniendo como premisa que </w:t>
      </w:r>
      <w:r w:rsidR="0067409F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las niñas, niños y adolescentes </w:t>
      </w:r>
      <w:r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son sujetos activos de la vida económica, política y social del país, también los </w:t>
      </w:r>
      <w:r w:rsidR="0067409F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fueron </w:t>
      </w:r>
      <w:r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en </w:t>
      </w:r>
      <w:r w:rsidR="0067409F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el enfrentamiento a la pandemia</w:t>
      </w:r>
      <w:r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en Cuba</w:t>
      </w:r>
      <w:r w:rsidR="0067409F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. </w:t>
      </w:r>
    </w:p>
    <w:p w14:paraId="038A9D67" w14:textId="77777777" w:rsidR="003F362B" w:rsidRDefault="003F362B" w:rsidP="00D01A0E">
      <w:pPr>
        <w:spacing w:before="240" w:after="240" w:line="360" w:lineRule="auto"/>
        <w:ind w:firstLine="85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77C51A0F" w14:textId="77777777" w:rsidR="000F4264" w:rsidRPr="00D01A0E" w:rsidRDefault="0067409F" w:rsidP="00D01A0E">
      <w:pPr>
        <w:spacing w:before="240" w:after="240" w:line="360" w:lineRule="auto"/>
        <w:ind w:firstLine="85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M</w:t>
      </w:r>
      <w:r w:rsidR="000F4264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ás de 16 600 jóvenes de la enseñanza media</w:t>
      </w:r>
      <w:r w:rsidR="00295397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, entre 14 y 17 años,</w:t>
      </w:r>
      <w:r w:rsidR="000F4264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se sumaron a pesquisas en la población, </w:t>
      </w:r>
      <w:r w:rsidR="00295397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apoyaron en</w:t>
      </w:r>
      <w:r w:rsidR="000F4264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centros de aislamientos, ayudaron a personas vulnerables, se integraron a campañas antivectoriales, sanearon playas, </w:t>
      </w:r>
      <w:r w:rsidR="00D51D79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tomaron parte en el programa por el uso racional de los portadores energéticos, en la estrategia del autoabastecimiento local o municipal, </w:t>
      </w:r>
      <w:r w:rsidR="00295397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entre otras actividades. </w:t>
      </w:r>
    </w:p>
    <w:p w14:paraId="5F85A0A4" w14:textId="77777777" w:rsidR="005B2D0E" w:rsidRPr="00D01A0E" w:rsidRDefault="005B2D0E" w:rsidP="00D01A0E">
      <w:pPr>
        <w:spacing w:before="240" w:after="240" w:line="360" w:lineRule="auto"/>
        <w:ind w:firstLine="85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Asimismo, y a pesar de la situación epidemiológica del país, </w:t>
      </w:r>
      <w:r w:rsidR="00ED33BA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se exploraron vías alternativas y se logró que </w:t>
      </w:r>
      <w:r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los estudiantes mantuvier</w:t>
      </w:r>
      <w:r w:rsidR="00D01A0E">
        <w:rPr>
          <w:rFonts w:ascii="Arial" w:eastAsia="Times New Roman" w:hAnsi="Arial" w:cs="Arial"/>
          <w:sz w:val="24"/>
          <w:szCs w:val="24"/>
          <w:lang w:val="es-ES_tradnl" w:eastAsia="es-ES"/>
        </w:rPr>
        <w:t>a</w:t>
      </w:r>
      <w:r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n una activa participación en las actividades organizadas por las asociaciones de estudiantes a las cuales pertenecen.</w:t>
      </w:r>
    </w:p>
    <w:p w14:paraId="2470A2B3" w14:textId="77777777" w:rsidR="007659CD" w:rsidRPr="00D01A0E" w:rsidRDefault="00ED33BA" w:rsidP="00D01A0E">
      <w:pPr>
        <w:spacing w:before="240" w:after="240" w:line="360" w:lineRule="auto"/>
        <w:ind w:firstLine="85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Una vez transcurrido el período más complejo de la pandemia en el país, se decidió l</w:t>
      </w:r>
      <w:r w:rsidR="007659CD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a reapertura y funcionamiento de los centros educativos</w:t>
      </w:r>
      <w:r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lo cual se ha realizado </w:t>
      </w:r>
      <w:r w:rsidR="007659CD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de forma segura</w:t>
      </w:r>
      <w:r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,</w:t>
      </w:r>
      <w:r w:rsidR="007659CD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con la garantía de acceso a la higiene de las manos, agua potable limpia y un saneamiento adecuado.</w:t>
      </w:r>
    </w:p>
    <w:p w14:paraId="101E6ED1" w14:textId="77777777" w:rsidR="00D54D05" w:rsidRPr="00D01A0E" w:rsidRDefault="00D54D05" w:rsidP="00D01A0E">
      <w:pPr>
        <w:spacing w:before="240" w:after="240" w:line="360" w:lineRule="auto"/>
        <w:ind w:firstLine="85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A tal fin, se ha dictado rigurosas medidas que incluyen: el cumplimiento estricto de las medidas higiénico</w:t>
      </w:r>
      <w:r w:rsidR="00D01A0E">
        <w:rPr>
          <w:rFonts w:ascii="Arial" w:eastAsia="Times New Roman" w:hAnsi="Arial" w:cs="Arial"/>
          <w:sz w:val="24"/>
          <w:szCs w:val="24"/>
          <w:lang w:val="es-ES_tradnl" w:eastAsia="es-ES"/>
        </w:rPr>
        <w:t>-</w:t>
      </w:r>
      <w:r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sanitarias</w:t>
      </w:r>
      <w:r w:rsidR="00D01A0E">
        <w:rPr>
          <w:rFonts w:ascii="Arial" w:eastAsia="Times New Roman" w:hAnsi="Arial" w:cs="Arial"/>
          <w:sz w:val="24"/>
          <w:szCs w:val="24"/>
          <w:lang w:val="es-ES_tradnl" w:eastAsia="es-ES"/>
        </w:rPr>
        <w:t>;</w:t>
      </w:r>
      <w:r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el uso obligatorio de los nasobucos</w:t>
      </w:r>
      <w:r w:rsid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(mascarillas faciales);</w:t>
      </w:r>
      <w:r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110B1A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atención a cada síntoma </w:t>
      </w:r>
      <w:r w:rsidR="005B2D0E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respiratorio y actuar con prontitud según los protocolos establecidos en el país</w:t>
      </w:r>
      <w:r w:rsidR="00D01A0E">
        <w:rPr>
          <w:rFonts w:ascii="Arial" w:eastAsia="Times New Roman" w:hAnsi="Arial" w:cs="Arial"/>
          <w:sz w:val="24"/>
          <w:szCs w:val="24"/>
          <w:lang w:val="es-ES_tradnl" w:eastAsia="es-ES"/>
        </w:rPr>
        <w:t>;</w:t>
      </w:r>
      <w:r w:rsidR="005B2D0E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la creación de subgrupos de estudiantes para garantizar el distanciamiento físico</w:t>
      </w:r>
      <w:r w:rsidR="00D01A0E">
        <w:rPr>
          <w:rFonts w:ascii="Arial" w:eastAsia="Times New Roman" w:hAnsi="Arial" w:cs="Arial"/>
          <w:sz w:val="24"/>
          <w:szCs w:val="24"/>
          <w:lang w:val="es-ES_tradnl" w:eastAsia="es-ES"/>
        </w:rPr>
        <w:t>;</w:t>
      </w:r>
      <w:r w:rsidR="005B2D0E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horarios escalonados</w:t>
      </w:r>
      <w:r w:rsidR="00D01A0E">
        <w:rPr>
          <w:rFonts w:ascii="Arial" w:eastAsia="Times New Roman" w:hAnsi="Arial" w:cs="Arial"/>
          <w:sz w:val="24"/>
          <w:szCs w:val="24"/>
          <w:lang w:val="es-ES_tradnl" w:eastAsia="es-ES"/>
        </w:rPr>
        <w:t>;</w:t>
      </w:r>
      <w:r w:rsidR="005B2D0E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entre otras.</w:t>
      </w:r>
    </w:p>
    <w:p w14:paraId="7A8E0DD5" w14:textId="77777777" w:rsidR="00F81702" w:rsidRPr="00D01A0E" w:rsidRDefault="00F81702" w:rsidP="00D01A0E">
      <w:pPr>
        <w:spacing w:before="240" w:after="240" w:line="360" w:lineRule="auto"/>
        <w:ind w:firstLine="85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La asistencia a los centros educativos del país se ha mantenido por encima del 90% de los estudiantes</w:t>
      </w:r>
      <w:r w:rsidR="00DE5697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desde el reinicio del curso escolar en las diferentes provincias del país.</w:t>
      </w:r>
    </w:p>
    <w:p w14:paraId="36B59047" w14:textId="77777777" w:rsidR="003F362B" w:rsidRDefault="00D01A0E" w:rsidP="00D01A0E">
      <w:pPr>
        <w:spacing w:before="240" w:after="240" w:line="360" w:lineRule="auto"/>
        <w:ind w:firstLine="85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E</w:t>
      </w:r>
      <w:r w:rsidR="00ED33BA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n relación con el derecho al acceso universal a los servicios de salud de las niñas, niños y adolescentes, a pesar de los efectos de la COVID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-</w:t>
      </w:r>
      <w:r w:rsidR="00ED33BA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19, el país mantuvo inalterable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el</w:t>
      </w:r>
      <w:r w:rsidR="00ED33BA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esquema de vacunación infantil, </w:t>
      </w:r>
      <w:r w:rsidR="00B70652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contra 1</w:t>
      </w:r>
      <w:r w:rsidR="00974AE8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4</w:t>
      </w:r>
      <w:r w:rsidR="00B70652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enfermedades mediante la aplicación de 11 vacunas, 8 de ellas de producción nacional. </w:t>
      </w:r>
    </w:p>
    <w:p w14:paraId="6E6CBCD8" w14:textId="77777777" w:rsidR="003F362B" w:rsidRDefault="003F362B" w:rsidP="00D01A0E">
      <w:pPr>
        <w:spacing w:before="240" w:after="240" w:line="360" w:lineRule="auto"/>
        <w:ind w:firstLine="85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5C95AE7E" w14:textId="77777777" w:rsidR="003F362B" w:rsidRDefault="003F362B" w:rsidP="00D01A0E">
      <w:pPr>
        <w:spacing w:before="240" w:after="240" w:line="360" w:lineRule="auto"/>
        <w:ind w:firstLine="85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7553F3B5" w14:textId="77777777" w:rsidR="003F362B" w:rsidRDefault="003F362B" w:rsidP="00D01A0E">
      <w:pPr>
        <w:spacing w:before="240" w:after="240" w:line="360" w:lineRule="auto"/>
        <w:ind w:firstLine="85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30B96216" w14:textId="77777777" w:rsidR="00B70652" w:rsidRPr="00D01A0E" w:rsidRDefault="00ED33BA" w:rsidP="00D01A0E">
      <w:pPr>
        <w:spacing w:before="240" w:after="240" w:line="360" w:lineRule="auto"/>
        <w:ind w:firstLine="85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En Cuba, e</w:t>
      </w:r>
      <w:r w:rsidR="00B70652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stán eliminadas 14 enfermedades transmisibles y otras 9 no constituyen problemas de sal</w:t>
      </w:r>
      <w:r w:rsidR="003F362B">
        <w:rPr>
          <w:rFonts w:ascii="Arial" w:eastAsia="Times New Roman" w:hAnsi="Arial" w:cs="Arial"/>
          <w:sz w:val="24"/>
          <w:szCs w:val="24"/>
          <w:lang w:val="es-ES_tradnl" w:eastAsia="es-ES"/>
        </w:rPr>
        <w:t>ud, con tasas inferiores a 0.1</w:t>
      </w:r>
      <w:r w:rsidR="00B70652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por 100 000 habitantes.</w:t>
      </w:r>
    </w:p>
    <w:p w14:paraId="52F4BF3B" w14:textId="77777777" w:rsidR="00974AE8" w:rsidRPr="00D01A0E" w:rsidRDefault="00974AE8" w:rsidP="00D01A0E">
      <w:pPr>
        <w:spacing w:before="240" w:after="240" w:line="360" w:lineRule="auto"/>
        <w:ind w:firstLine="85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En la semana del </w:t>
      </w:r>
      <w:r w:rsidR="00ED33BA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23</w:t>
      </w:r>
      <w:r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al </w:t>
      </w:r>
      <w:r w:rsidR="00C6567F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27</w:t>
      </w:r>
      <w:r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 noviembre de 2020 se realizó en </w:t>
      </w:r>
      <w:r w:rsidR="008E0AB4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Cuba</w:t>
      </w:r>
      <w:r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, la 59 Campaña de Vacunación Antipoliomielítica para niños entre 0 y 3 años. Ello</w:t>
      </w:r>
      <w:r w:rsidR="006E199F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, además de constituir una acción del sistema de salud cubano,</w:t>
      </w:r>
      <w:r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refuerza el </w:t>
      </w:r>
      <w:r w:rsidR="006E199F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concepto</w:t>
      </w:r>
      <w:r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 la OMS </w:t>
      </w:r>
      <w:r w:rsidR="006E199F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de que mientras más inmunizada esté la persona, en mejores condiciones está para enfrentar la pandemia provocada por el virus S</w:t>
      </w:r>
      <w:r w:rsidR="002678B8">
        <w:rPr>
          <w:rFonts w:ascii="Arial" w:eastAsia="Times New Roman" w:hAnsi="Arial" w:cs="Arial"/>
          <w:sz w:val="24"/>
          <w:szCs w:val="24"/>
          <w:lang w:val="es-ES_tradnl" w:eastAsia="es-ES"/>
        </w:rPr>
        <w:t>ARS-</w:t>
      </w:r>
      <w:r w:rsidR="006E199F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Co</w:t>
      </w:r>
      <w:r w:rsidR="002678B8">
        <w:rPr>
          <w:rFonts w:ascii="Arial" w:eastAsia="Times New Roman" w:hAnsi="Arial" w:cs="Arial"/>
          <w:sz w:val="24"/>
          <w:szCs w:val="24"/>
          <w:lang w:val="es-ES_tradnl" w:eastAsia="es-ES"/>
        </w:rPr>
        <w:t>V-</w:t>
      </w:r>
      <w:r w:rsidR="006E199F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2.</w:t>
      </w:r>
    </w:p>
    <w:p w14:paraId="12592117" w14:textId="77777777" w:rsidR="007F084E" w:rsidRPr="00D01A0E" w:rsidRDefault="007F084E" w:rsidP="00D01A0E">
      <w:pPr>
        <w:spacing w:before="240" w:after="240" w:line="360" w:lineRule="auto"/>
        <w:ind w:firstLine="85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Un reciente informe regional de la UNESCO publicado bajo el lema “Inclusión y educación: todos y todas sin excepción” destaca las acciones de Cuba en la respuesta educativa a la COVID</w:t>
      </w:r>
      <w:r w:rsidR="002678B8">
        <w:rPr>
          <w:rFonts w:ascii="Arial" w:eastAsia="Times New Roman" w:hAnsi="Arial" w:cs="Arial"/>
          <w:sz w:val="24"/>
          <w:szCs w:val="24"/>
          <w:lang w:val="es-ES_tradnl" w:eastAsia="es-ES"/>
        </w:rPr>
        <w:t>-</w:t>
      </w:r>
      <w:r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19 y resalta la publicación cubana “Vamos a jugar: nuevo material cubano para enfrentar la COVID-19 mediante la recreación y el aprendizaje”, un folleto con orientaciones sobre la forma de prestar apoyo psicoemocional a niños pequeños durante el confinamiento a través de los juegos y contribuir al aprendizaje de la primera infancia durante el aislamiento debido a la pandemia.</w:t>
      </w:r>
    </w:p>
    <w:p w14:paraId="00571CFE" w14:textId="77777777" w:rsidR="00D131E0" w:rsidRPr="00D01A0E" w:rsidRDefault="002678B8" w:rsidP="00D01A0E">
      <w:pPr>
        <w:spacing w:before="240" w:after="240" w:line="360" w:lineRule="auto"/>
        <w:ind w:firstLine="85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También, a</w:t>
      </w:r>
      <w:r w:rsidR="008E0AB4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partir de las consecuencias de índole psicológicas asociadas a la pandemia, el país asumió múltiples iniciativas encaminadas a apoyar a las familias en diferentes aristas, entre ellas a la atención a los menores en casa. A tales fines, se crearon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p</w:t>
      </w:r>
      <w:r w:rsidR="008E0AB4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sico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-</w:t>
      </w:r>
      <w:r w:rsidR="008E0AB4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grupos en las redes sociales para la orientación psicológica a distancia como parte de un proyecto interinstitucional</w:t>
      </w:r>
      <w:r w:rsidR="00A1576E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que </w:t>
      </w:r>
      <w:r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>incluyó,</w:t>
      </w:r>
      <w:r w:rsidR="00A1576E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además,</w:t>
      </w:r>
      <w:r w:rsidR="00A1576E" w:rsidRPr="00D01A0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la atención a las niñas, niños y adolescentes. </w:t>
      </w:r>
    </w:p>
    <w:p w14:paraId="28FFE124" w14:textId="77777777" w:rsidR="008929C0" w:rsidRPr="00ED27AE" w:rsidRDefault="008929C0" w:rsidP="008929C0">
      <w:pPr>
        <w:spacing w:before="240" w:after="240" w:line="360" w:lineRule="auto"/>
        <w:ind w:firstLine="85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ED27A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La Misión Permanente de la República de Cuba ante la Oficina de las Naciones Unidas en Ginebra y los Organismos Internacionales </w:t>
      </w:r>
      <w:r w:rsidR="00061A41">
        <w:rPr>
          <w:rFonts w:ascii="Arial" w:eastAsia="Times New Roman" w:hAnsi="Arial" w:cs="Arial"/>
          <w:sz w:val="24"/>
          <w:szCs w:val="24"/>
          <w:lang w:val="es-ES_tradnl" w:eastAsia="es-ES"/>
        </w:rPr>
        <w:t>en S</w:t>
      </w:r>
      <w:r w:rsidRPr="00ED27AE">
        <w:rPr>
          <w:rFonts w:ascii="Arial" w:eastAsia="Times New Roman" w:hAnsi="Arial" w:cs="Arial"/>
          <w:sz w:val="24"/>
          <w:szCs w:val="24"/>
          <w:lang w:val="es-ES_tradnl" w:eastAsia="es-ES"/>
        </w:rPr>
        <w:t>uiza aprovecha la ocasión para reiterar a la Oficina de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ED27AE">
        <w:rPr>
          <w:rFonts w:ascii="Arial" w:eastAsia="Times New Roman" w:hAnsi="Arial" w:cs="Arial"/>
          <w:sz w:val="24"/>
          <w:szCs w:val="24"/>
          <w:lang w:val="es-ES_tradnl" w:eastAsia="es-ES"/>
        </w:rPr>
        <w:t>l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a</w:t>
      </w:r>
      <w:r w:rsidRPr="00ED27A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Alt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a</w:t>
      </w:r>
      <w:r w:rsidRPr="00ED27A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Comisionad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a</w:t>
      </w:r>
      <w:r w:rsidRPr="00ED27A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 las Naciones Unidas para los Derechos Humanos el testimonio de su consideración.</w:t>
      </w:r>
    </w:p>
    <w:p w14:paraId="7B6CE3A3" w14:textId="77777777" w:rsidR="00700D1D" w:rsidRPr="00C84EB1" w:rsidRDefault="00700D1D" w:rsidP="00700D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65F055" w14:textId="77777777" w:rsidR="001B0E24" w:rsidRDefault="00700D1D" w:rsidP="008929C0">
      <w:pPr>
        <w:spacing w:after="0" w:line="240" w:lineRule="auto"/>
        <w:jc w:val="right"/>
      </w:pPr>
      <w:r w:rsidRPr="00C84EB1">
        <w:rPr>
          <w:rFonts w:ascii="Arial" w:eastAsia="Times New Roman" w:hAnsi="Arial" w:cs="Arial"/>
          <w:sz w:val="24"/>
          <w:szCs w:val="24"/>
          <w:lang w:eastAsia="es-ES"/>
        </w:rPr>
        <w:t xml:space="preserve">Ginebra, </w:t>
      </w:r>
      <w:r w:rsidR="0098504F">
        <w:rPr>
          <w:rFonts w:ascii="Arial" w:eastAsia="Times New Roman" w:hAnsi="Arial" w:cs="Arial"/>
          <w:sz w:val="24"/>
          <w:szCs w:val="24"/>
          <w:lang w:eastAsia="es-ES"/>
        </w:rPr>
        <w:t>22</w:t>
      </w:r>
      <w:r w:rsidR="00A1576E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2678B8">
        <w:rPr>
          <w:rFonts w:ascii="Arial" w:eastAsia="Times New Roman" w:hAnsi="Arial" w:cs="Arial"/>
          <w:sz w:val="24"/>
          <w:szCs w:val="24"/>
          <w:lang w:eastAsia="es-ES"/>
        </w:rPr>
        <w:t>diciembre</w:t>
      </w:r>
      <w:r w:rsidRPr="00C84EB1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587757">
        <w:rPr>
          <w:rFonts w:ascii="Arial" w:eastAsia="Times New Roman" w:hAnsi="Arial" w:cs="Arial"/>
          <w:sz w:val="24"/>
          <w:szCs w:val="24"/>
          <w:lang w:eastAsia="es-ES"/>
        </w:rPr>
        <w:t>2020</w:t>
      </w:r>
    </w:p>
    <w:sectPr w:rsidR="001B0E24" w:rsidSect="003F362B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370A6" w14:textId="77777777" w:rsidR="00967FF4" w:rsidRDefault="00967FF4" w:rsidP="00B72545">
      <w:pPr>
        <w:spacing w:after="0" w:line="240" w:lineRule="auto"/>
      </w:pPr>
      <w:r>
        <w:separator/>
      </w:r>
    </w:p>
  </w:endnote>
  <w:endnote w:type="continuationSeparator" w:id="0">
    <w:p w14:paraId="0B7599CD" w14:textId="77777777" w:rsidR="00967FF4" w:rsidRDefault="00967FF4" w:rsidP="00B7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A48EB" w14:textId="77777777" w:rsidR="00967FF4" w:rsidRDefault="00967FF4" w:rsidP="00B72545">
      <w:pPr>
        <w:spacing w:after="0" w:line="240" w:lineRule="auto"/>
      </w:pPr>
      <w:r>
        <w:separator/>
      </w:r>
    </w:p>
  </w:footnote>
  <w:footnote w:type="continuationSeparator" w:id="0">
    <w:p w14:paraId="7F1C2E91" w14:textId="77777777" w:rsidR="00967FF4" w:rsidRDefault="00967FF4" w:rsidP="00B72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hybridMultilevel"/>
    <w:tmpl w:val="AFB2CD80"/>
    <w:lvl w:ilvl="0" w:tplc="3174BE84">
      <w:start w:val="1"/>
      <w:numFmt w:val="decimal"/>
      <w:lvlText w:val="%1."/>
      <w:lvlJc w:val="left"/>
      <w:pPr>
        <w:ind w:left="3338" w:hanging="360"/>
      </w:pPr>
      <w:rPr>
        <w:rFonts w:ascii="Arial" w:hAnsi="Arial" w:cs="Arial" w:hint="default"/>
        <w:b w:val="0"/>
        <w:strike w:val="0"/>
        <w:color w:val="auto"/>
        <w:sz w:val="24"/>
        <w:szCs w:val="24"/>
      </w:rPr>
    </w:lvl>
    <w:lvl w:ilvl="1" w:tplc="59B614DA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5FC2FA14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92E4D27E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CA14E22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39EA18F0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F30233CE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E91C8064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F6D02BB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1B443885"/>
    <w:multiLevelType w:val="hybridMultilevel"/>
    <w:tmpl w:val="21BA21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97076"/>
    <w:multiLevelType w:val="hybridMultilevel"/>
    <w:tmpl w:val="7A50B4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20BB8"/>
    <w:multiLevelType w:val="multilevel"/>
    <w:tmpl w:val="7736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EE02EC"/>
    <w:multiLevelType w:val="hybridMultilevel"/>
    <w:tmpl w:val="0964B176"/>
    <w:lvl w:ilvl="0" w:tplc="A49C7E72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B5DC3"/>
    <w:multiLevelType w:val="hybridMultilevel"/>
    <w:tmpl w:val="8466BEB6"/>
    <w:lvl w:ilvl="0" w:tplc="471ED41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C3039"/>
    <w:multiLevelType w:val="multilevel"/>
    <w:tmpl w:val="8C48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1D"/>
    <w:rsid w:val="0006060D"/>
    <w:rsid w:val="00061A41"/>
    <w:rsid w:val="000B6031"/>
    <w:rsid w:val="000E44D5"/>
    <w:rsid w:val="000F27C1"/>
    <w:rsid w:val="000F4264"/>
    <w:rsid w:val="00110B1A"/>
    <w:rsid w:val="001207B2"/>
    <w:rsid w:val="0015618B"/>
    <w:rsid w:val="0018384A"/>
    <w:rsid w:val="001B0E24"/>
    <w:rsid w:val="001E40B0"/>
    <w:rsid w:val="001F6366"/>
    <w:rsid w:val="00252DF1"/>
    <w:rsid w:val="002678B8"/>
    <w:rsid w:val="0028345A"/>
    <w:rsid w:val="00295397"/>
    <w:rsid w:val="002D1654"/>
    <w:rsid w:val="002F014C"/>
    <w:rsid w:val="0030478D"/>
    <w:rsid w:val="00342011"/>
    <w:rsid w:val="003476CB"/>
    <w:rsid w:val="003A7499"/>
    <w:rsid w:val="003B558D"/>
    <w:rsid w:val="003F362B"/>
    <w:rsid w:val="004303D2"/>
    <w:rsid w:val="0051530F"/>
    <w:rsid w:val="005314A4"/>
    <w:rsid w:val="00566D64"/>
    <w:rsid w:val="00587757"/>
    <w:rsid w:val="0059227F"/>
    <w:rsid w:val="005B2D0E"/>
    <w:rsid w:val="00632ED2"/>
    <w:rsid w:val="0067409F"/>
    <w:rsid w:val="006A1F9D"/>
    <w:rsid w:val="006C252B"/>
    <w:rsid w:val="006E199F"/>
    <w:rsid w:val="00700D1D"/>
    <w:rsid w:val="0070277E"/>
    <w:rsid w:val="007040CF"/>
    <w:rsid w:val="00711151"/>
    <w:rsid w:val="0072065C"/>
    <w:rsid w:val="007504D8"/>
    <w:rsid w:val="007659CD"/>
    <w:rsid w:val="00797A4B"/>
    <w:rsid w:val="007D77B6"/>
    <w:rsid w:val="007F084E"/>
    <w:rsid w:val="00801E3B"/>
    <w:rsid w:val="008038D3"/>
    <w:rsid w:val="0085152D"/>
    <w:rsid w:val="008929C0"/>
    <w:rsid w:val="008E0AB4"/>
    <w:rsid w:val="008F0ECC"/>
    <w:rsid w:val="00967FF4"/>
    <w:rsid w:val="00974AE8"/>
    <w:rsid w:val="0098481C"/>
    <w:rsid w:val="0098504F"/>
    <w:rsid w:val="009965EE"/>
    <w:rsid w:val="009C4D15"/>
    <w:rsid w:val="00A1576E"/>
    <w:rsid w:val="00A20781"/>
    <w:rsid w:val="00A20C26"/>
    <w:rsid w:val="00AB59AA"/>
    <w:rsid w:val="00B03746"/>
    <w:rsid w:val="00B1151E"/>
    <w:rsid w:val="00B3076D"/>
    <w:rsid w:val="00B347EB"/>
    <w:rsid w:val="00B70652"/>
    <w:rsid w:val="00B72545"/>
    <w:rsid w:val="00B742A6"/>
    <w:rsid w:val="00B8353B"/>
    <w:rsid w:val="00BB1089"/>
    <w:rsid w:val="00BF4835"/>
    <w:rsid w:val="00C6567F"/>
    <w:rsid w:val="00C90CD2"/>
    <w:rsid w:val="00C940CD"/>
    <w:rsid w:val="00D01A0E"/>
    <w:rsid w:val="00D0305E"/>
    <w:rsid w:val="00D131E0"/>
    <w:rsid w:val="00D16297"/>
    <w:rsid w:val="00D3189F"/>
    <w:rsid w:val="00D3214D"/>
    <w:rsid w:val="00D35D44"/>
    <w:rsid w:val="00D51D79"/>
    <w:rsid w:val="00D54D05"/>
    <w:rsid w:val="00D938FE"/>
    <w:rsid w:val="00DA160A"/>
    <w:rsid w:val="00DA2E8F"/>
    <w:rsid w:val="00DB2C98"/>
    <w:rsid w:val="00DE5697"/>
    <w:rsid w:val="00E337E0"/>
    <w:rsid w:val="00E97F6C"/>
    <w:rsid w:val="00EA2F97"/>
    <w:rsid w:val="00ED33BA"/>
    <w:rsid w:val="00EF0978"/>
    <w:rsid w:val="00F61CDA"/>
    <w:rsid w:val="00F731E4"/>
    <w:rsid w:val="00F81702"/>
    <w:rsid w:val="00FF0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0C0F0"/>
  <w15:docId w15:val="{3F5203DE-B8E4-430A-98F2-ECFDD502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D1D"/>
  </w:style>
  <w:style w:type="paragraph" w:styleId="Heading3">
    <w:name w:val="heading 3"/>
    <w:basedOn w:val="Normal"/>
    <w:link w:val="Heading3Char"/>
    <w:uiPriority w:val="9"/>
    <w:qFormat/>
    <w:rsid w:val="000F42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7254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2545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B7254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9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29C0"/>
    <w:pPr>
      <w:ind w:left="720"/>
      <w:contextualSpacing/>
    </w:pPr>
  </w:style>
  <w:style w:type="character" w:customStyle="1" w:styleId="fontstyle01">
    <w:name w:val="fontstyle01"/>
    <w:basedOn w:val="DefaultParagraphFont"/>
    <w:rsid w:val="00B8353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3B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">
    <w:name w:val="body"/>
    <w:basedOn w:val="Normal"/>
    <w:rsid w:val="0085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Strong">
    <w:name w:val="Strong"/>
    <w:basedOn w:val="DefaultParagraphFont"/>
    <w:uiPriority w:val="22"/>
    <w:qFormat/>
    <w:rsid w:val="000F426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F426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post-date">
    <w:name w:val="post-date"/>
    <w:basedOn w:val="DefaultParagraphFont"/>
    <w:rsid w:val="000F4264"/>
  </w:style>
  <w:style w:type="character" w:styleId="Emphasis">
    <w:name w:val="Emphasis"/>
    <w:basedOn w:val="DefaultParagraphFont"/>
    <w:uiPriority w:val="20"/>
    <w:qFormat/>
    <w:rsid w:val="00801E3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01E3B"/>
    <w:rPr>
      <w:color w:val="0000FF"/>
      <w:u w:val="single"/>
    </w:rPr>
  </w:style>
  <w:style w:type="paragraph" w:customStyle="1" w:styleId="text-align-justify">
    <w:name w:val="text-align-justify"/>
    <w:basedOn w:val="Normal"/>
    <w:rsid w:val="0080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1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1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E1BD28-7893-4C04-9A07-9EF92D334A7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44A3F2-AE2A-4258-918B-94B67758CD38}"/>
</file>

<file path=customXml/itemProps3.xml><?xml version="1.0" encoding="utf-8"?>
<ds:datastoreItem xmlns:ds="http://schemas.openxmlformats.org/officeDocument/2006/customXml" ds:itemID="{A9A7C695-78AF-4EA2-A546-F420D233D3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1326</Words>
  <Characters>7561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 Emelina Vaile Camino</dc:creator>
  <cp:lastModifiedBy>OHCHR\gina.bergh</cp:lastModifiedBy>
  <cp:revision>2</cp:revision>
  <dcterms:created xsi:type="dcterms:W3CDTF">2021-01-04T08:28:00Z</dcterms:created>
  <dcterms:modified xsi:type="dcterms:W3CDTF">2021-01-04T08:28:00Z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