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AC" w:rsidRPr="00C067DB" w:rsidRDefault="007640AC" w:rsidP="00C067DB">
      <w:pPr>
        <w:spacing w:after="160" w:line="259" w:lineRule="auto"/>
        <w:rPr>
          <w:rFonts w:ascii="Verdana" w:eastAsia="Times New Roman" w:hAnsi="Verdana" w:cs="Times New Roman"/>
          <w:color w:val="000000"/>
          <w:sz w:val="19"/>
          <w:szCs w:val="19"/>
        </w:rPr>
      </w:pPr>
      <w:r>
        <w:rPr>
          <w:rFonts w:ascii="Verdana" w:eastAsia="Times New Roman" w:hAnsi="Verdana" w:cs="Times New Roman"/>
          <w:b/>
          <w:bCs/>
          <w:color w:val="303030"/>
          <w:sz w:val="24"/>
          <w:szCs w:val="24"/>
        </w:rPr>
        <w:t>Input from the Swedish Women’s Lobby to the</w:t>
      </w:r>
      <w:r w:rsidRPr="009D370C">
        <w:rPr>
          <w:rFonts w:ascii="Verdana" w:eastAsia="Times New Roman" w:hAnsi="Verdana" w:cs="Times New Roman"/>
          <w:b/>
          <w:bCs/>
          <w:color w:val="303030"/>
          <w:sz w:val="24"/>
          <w:szCs w:val="24"/>
        </w:rPr>
        <w:t xml:space="preserve"> Report of the Special Rapporteur on the sale and sexual exploitation of children, including child prostitution, child pornography and other child sexual abuse material</w:t>
      </w:r>
    </w:p>
    <w:p w:rsidR="00CA5DB0" w:rsidRDefault="00795F80" w:rsidP="00232851">
      <w:pPr>
        <w:spacing w:before="195" w:after="195" w:line="288" w:lineRule="atLeast"/>
        <w:rPr>
          <w:rFonts w:ascii="Verdana" w:eastAsia="Times New Roman" w:hAnsi="Verdana" w:cs="Times New Roman"/>
          <w:color w:val="000000"/>
        </w:rPr>
      </w:pPr>
      <w:r w:rsidRPr="009539E5">
        <w:rPr>
          <w:rFonts w:ascii="Verdana" w:eastAsia="Times New Roman" w:hAnsi="Verdana" w:cs="Times New Roman"/>
          <w:color w:val="000000"/>
        </w:rPr>
        <w:t>The Swedish Women’s Lobby has the position that surrogacy is a trade with women’s bodies and children, as well as a threat to women’s</w:t>
      </w:r>
      <w:r w:rsidR="00C9505E" w:rsidRPr="009539E5">
        <w:rPr>
          <w:rFonts w:ascii="Verdana" w:eastAsia="Times New Roman" w:hAnsi="Verdana" w:cs="Times New Roman"/>
          <w:color w:val="000000"/>
        </w:rPr>
        <w:t xml:space="preserve"> and</w:t>
      </w:r>
      <w:r w:rsidRPr="009539E5">
        <w:rPr>
          <w:rFonts w:ascii="Verdana" w:eastAsia="Times New Roman" w:hAnsi="Verdana" w:cs="Times New Roman"/>
          <w:color w:val="000000"/>
        </w:rPr>
        <w:t xml:space="preserve"> basic human rights and bodily integrity</w:t>
      </w:r>
      <w:r w:rsidR="00CA5DB0" w:rsidRPr="009539E5">
        <w:rPr>
          <w:rFonts w:ascii="Verdana" w:eastAsia="Times New Roman" w:hAnsi="Verdana" w:cs="Times New Roman"/>
          <w:color w:val="000000"/>
        </w:rPr>
        <w:t xml:space="preserve">. We </w:t>
      </w:r>
      <w:r w:rsidRPr="009539E5">
        <w:rPr>
          <w:rFonts w:ascii="Verdana" w:eastAsia="Times New Roman" w:hAnsi="Verdana" w:cs="Times New Roman"/>
          <w:color w:val="000000"/>
        </w:rPr>
        <w:t>work for a ban on all forms of surrogacy motherhood arrangements on a national, European and international leve</w:t>
      </w:r>
      <w:r w:rsidR="00CA5DB0" w:rsidRPr="009539E5">
        <w:rPr>
          <w:rFonts w:ascii="Verdana" w:eastAsia="Times New Roman" w:hAnsi="Verdana" w:cs="Times New Roman"/>
          <w:color w:val="000000"/>
        </w:rPr>
        <w:t xml:space="preserve">l. </w:t>
      </w:r>
    </w:p>
    <w:p w:rsidR="008D4FC3" w:rsidRPr="008D4FC3" w:rsidRDefault="008D4FC3" w:rsidP="00232851">
      <w:pPr>
        <w:spacing w:before="195" w:after="195" w:line="288" w:lineRule="atLeast"/>
        <w:rPr>
          <w:rFonts w:ascii="Verdana" w:hAnsi="Verdana"/>
        </w:rPr>
      </w:pPr>
      <w:r>
        <w:rPr>
          <w:rFonts w:ascii="Verdana" w:hAnsi="Verdana"/>
        </w:rPr>
        <w:t xml:space="preserve">Due to the lack of statistics and the fact that there’s no expressed law that either prohibits nor permits surrogacy in Sweden, </w:t>
      </w:r>
      <w:r w:rsidR="007640AC">
        <w:rPr>
          <w:rFonts w:ascii="Verdana" w:hAnsi="Verdana"/>
        </w:rPr>
        <w:t xml:space="preserve">following input will be very brief. </w:t>
      </w:r>
    </w:p>
    <w:p w:rsidR="00CA5DB0" w:rsidRDefault="00CA5DB0" w:rsidP="00232851">
      <w:pPr>
        <w:spacing w:before="195" w:after="195" w:line="288" w:lineRule="atLeast"/>
        <w:rPr>
          <w:rFonts w:ascii="Verdana" w:eastAsia="Times New Roman" w:hAnsi="Verdana" w:cs="Times New Roman"/>
          <w:b/>
          <w:color w:val="000000"/>
        </w:rPr>
      </w:pPr>
      <w:r w:rsidRPr="009539E5">
        <w:rPr>
          <w:rFonts w:ascii="Verdana" w:eastAsia="Times New Roman" w:hAnsi="Verdana" w:cs="Times New Roman"/>
          <w:b/>
          <w:color w:val="000000"/>
        </w:rPr>
        <w:t>Sweden and surrogacy</w:t>
      </w:r>
    </w:p>
    <w:p w:rsidR="00AC7885" w:rsidRDefault="00AC7885" w:rsidP="00AC7885">
      <w:pPr>
        <w:rPr>
          <w:rStyle w:val="Fotnotsreferens"/>
          <w:rFonts w:ascii="Verdana" w:eastAsia="Times New Roman" w:hAnsi="Verdana" w:cs="Times New Roman"/>
          <w:color w:val="000000"/>
        </w:rPr>
      </w:pPr>
      <w:r w:rsidRPr="00AC7885">
        <w:rPr>
          <w:rFonts w:ascii="Verdana" w:eastAsia="Times New Roman" w:hAnsi="Verdana" w:cs="Times New Roman"/>
          <w:color w:val="000000"/>
        </w:rPr>
        <w:t xml:space="preserve">According to the </w:t>
      </w:r>
      <w:r>
        <w:rPr>
          <w:rFonts w:ascii="Verdana" w:eastAsia="Times New Roman" w:hAnsi="Verdana" w:cs="Times New Roman"/>
          <w:color w:val="000000"/>
        </w:rPr>
        <w:t>Nordic</w:t>
      </w:r>
      <w:r w:rsidRPr="00AC7885">
        <w:rPr>
          <w:rFonts w:ascii="Verdana" w:eastAsia="Times New Roman" w:hAnsi="Verdana" w:cs="Times New Roman"/>
          <w:color w:val="000000"/>
        </w:rPr>
        <w:t xml:space="preserve"> surrogacy </w:t>
      </w:r>
      <w:r>
        <w:rPr>
          <w:rFonts w:ascii="Verdana" w:eastAsia="Times New Roman" w:hAnsi="Verdana" w:cs="Times New Roman"/>
          <w:color w:val="000000"/>
        </w:rPr>
        <w:t>company Tammuz Nordic, almost 200 Swedish children were born through surrogacy arrangements abroad</w:t>
      </w:r>
      <w:r w:rsidR="00D4095F">
        <w:rPr>
          <w:rFonts w:ascii="Verdana" w:eastAsia="Times New Roman" w:hAnsi="Verdana" w:cs="Times New Roman"/>
          <w:color w:val="000000"/>
        </w:rPr>
        <w:t xml:space="preserve"> in 2018</w:t>
      </w:r>
      <w:bookmarkStart w:id="0" w:name="_GoBack"/>
      <w:bookmarkEnd w:id="0"/>
      <w:r>
        <w:rPr>
          <w:rFonts w:ascii="Verdana" w:eastAsia="Times New Roman" w:hAnsi="Verdana" w:cs="Times New Roman"/>
          <w:color w:val="000000"/>
        </w:rPr>
        <w:t>. That exceeds the number of adoptions that year, and the number is expected to increase.</w:t>
      </w:r>
    </w:p>
    <w:p w:rsidR="009539E5" w:rsidRPr="009539E5" w:rsidRDefault="009539E5" w:rsidP="00232851">
      <w:pPr>
        <w:spacing w:before="195" w:after="195" w:line="288" w:lineRule="atLeast"/>
        <w:rPr>
          <w:rFonts w:ascii="Verdana" w:eastAsia="Times New Roman" w:hAnsi="Verdana" w:cs="Times New Roman"/>
          <w:color w:val="000000"/>
        </w:rPr>
      </w:pPr>
      <w:r w:rsidRPr="009539E5">
        <w:rPr>
          <w:rFonts w:ascii="Verdana" w:eastAsia="Times New Roman" w:hAnsi="Verdana" w:cs="Times New Roman"/>
          <w:color w:val="000000"/>
        </w:rPr>
        <w:t xml:space="preserve">I June 2018 the Swedish parliament adopted a bill on making the UN </w:t>
      </w:r>
      <w:proofErr w:type="spellStart"/>
      <w:r w:rsidRPr="009539E5">
        <w:rPr>
          <w:rFonts w:ascii="Verdana" w:eastAsia="Times New Roman" w:hAnsi="Verdana" w:cs="Times New Roman"/>
          <w:color w:val="000000"/>
        </w:rPr>
        <w:t>Convetion</w:t>
      </w:r>
      <w:proofErr w:type="spellEnd"/>
      <w:r w:rsidRPr="009539E5">
        <w:rPr>
          <w:rFonts w:ascii="Verdana" w:eastAsia="Times New Roman" w:hAnsi="Verdana" w:cs="Times New Roman"/>
          <w:color w:val="000000"/>
        </w:rPr>
        <w:t xml:space="preserve"> on the Rights of the Child Swedish Law. </w:t>
      </w:r>
    </w:p>
    <w:p w:rsidR="00232851" w:rsidRDefault="009539E5" w:rsidP="008D4FC3">
      <w:pPr>
        <w:spacing w:before="195" w:after="195" w:line="288" w:lineRule="atLeast"/>
        <w:ind w:left="1304"/>
      </w:pPr>
      <w:r>
        <w:t xml:space="preserve">The new act clarifies that courts and legal practitioners must consider the rights contained in the Convention on the Rights of the Child. The rights of the child must be considered in deliberations and assessments made in decision-making processes in cases and matters that concern children. </w:t>
      </w:r>
      <w:r>
        <w:rPr>
          <w:rStyle w:val="Fotnotsreferens"/>
        </w:rPr>
        <w:footnoteReference w:id="1"/>
      </w:r>
    </w:p>
    <w:p w:rsidR="008D4FC3" w:rsidRPr="008D4FC3" w:rsidRDefault="008D4FC3" w:rsidP="008D4FC3">
      <w:pPr>
        <w:spacing w:before="195" w:after="195" w:line="288" w:lineRule="atLeast"/>
        <w:rPr>
          <w:rFonts w:ascii="Verdana" w:hAnsi="Verdana"/>
        </w:rPr>
      </w:pPr>
      <w:r>
        <w:rPr>
          <w:rFonts w:ascii="Verdana" w:hAnsi="Verdana"/>
        </w:rPr>
        <w:t xml:space="preserve">It’s expected to enter into force in 2020. </w:t>
      </w:r>
    </w:p>
    <w:p w:rsidR="008D4FC3" w:rsidRPr="009539E5" w:rsidRDefault="008D4FC3" w:rsidP="008D4FC3">
      <w:pPr>
        <w:spacing w:before="195" w:after="195" w:line="288" w:lineRule="atLeast"/>
        <w:rPr>
          <w:rFonts w:ascii="Verdana" w:eastAsia="Times New Roman" w:hAnsi="Verdana" w:cs="Times New Roman"/>
          <w:color w:val="000000"/>
        </w:rPr>
      </w:pPr>
      <w:r w:rsidRPr="009539E5">
        <w:rPr>
          <w:rFonts w:ascii="Verdana" w:eastAsia="Times New Roman" w:hAnsi="Verdana" w:cs="Times New Roman"/>
          <w:color w:val="000000"/>
        </w:rPr>
        <w:t>There’s currently no expressed prohibition on surrogacy in Sweden, nor an expressed legislation allowing surrogacy arrangements. According to the investigation issued by the Swedish government from 2016 – all forms of surrogacy should be illegal</w:t>
      </w:r>
      <w:r>
        <w:rPr>
          <w:rFonts w:ascii="Verdana" w:eastAsia="Times New Roman" w:hAnsi="Verdana" w:cs="Times New Roman"/>
          <w:color w:val="000000"/>
        </w:rPr>
        <w:t>.</w:t>
      </w:r>
      <w:r>
        <w:rPr>
          <w:rStyle w:val="Fotnotsreferens"/>
          <w:rFonts w:ascii="Verdana" w:eastAsia="Times New Roman" w:hAnsi="Verdana" w:cs="Times New Roman"/>
          <w:color w:val="000000"/>
        </w:rPr>
        <w:footnoteReference w:id="2"/>
      </w:r>
      <w:r w:rsidRPr="009539E5">
        <w:rPr>
          <w:rFonts w:ascii="Verdana" w:eastAsia="Times New Roman" w:hAnsi="Verdana" w:cs="Times New Roman"/>
          <w:color w:val="000000"/>
        </w:rPr>
        <w:t xml:space="preserve"> In 2018 the Swedish government decided that surrogacy should not be allowed in the health care system. Otherwise than that, there’s currently no laws or controlling mechanisms for Swedish citizens using surrogacy mothers abroad. </w:t>
      </w:r>
    </w:p>
    <w:p w:rsidR="008D4FC3" w:rsidRPr="008D4FC3" w:rsidRDefault="008D4FC3" w:rsidP="008D4FC3">
      <w:pPr>
        <w:spacing w:before="195" w:after="195" w:line="288" w:lineRule="atLeast"/>
        <w:rPr>
          <w:rFonts w:ascii="Verdana" w:hAnsi="Verdana"/>
        </w:rPr>
      </w:pPr>
    </w:p>
    <w:sectPr w:rsidR="008D4FC3" w:rsidRPr="008D4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B72" w:rsidRDefault="00483B72" w:rsidP="009539E5">
      <w:r>
        <w:separator/>
      </w:r>
    </w:p>
  </w:endnote>
  <w:endnote w:type="continuationSeparator" w:id="0">
    <w:p w:rsidR="00483B72" w:rsidRDefault="00483B72" w:rsidP="0095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B72" w:rsidRDefault="00483B72" w:rsidP="009539E5">
      <w:r>
        <w:separator/>
      </w:r>
    </w:p>
  </w:footnote>
  <w:footnote w:type="continuationSeparator" w:id="0">
    <w:p w:rsidR="00483B72" w:rsidRDefault="00483B72" w:rsidP="009539E5">
      <w:r>
        <w:continuationSeparator/>
      </w:r>
    </w:p>
  </w:footnote>
  <w:footnote w:id="1">
    <w:p w:rsidR="00D4095F" w:rsidRPr="004E1FEB" w:rsidRDefault="00D4095F">
      <w:pPr>
        <w:pStyle w:val="Fotnotstext"/>
      </w:pPr>
      <w:r>
        <w:rPr>
          <w:rStyle w:val="Fotnotsreferens"/>
        </w:rPr>
        <w:footnoteRef/>
      </w:r>
      <w:r w:rsidRPr="004E1FEB">
        <w:t xml:space="preserve"> Go</w:t>
      </w:r>
      <w:r>
        <w:t xml:space="preserve">vernment.se; New legislative proposal on the convention on the rights of the child; 2018; </w:t>
      </w:r>
      <w:hyperlink r:id="rId1" w:history="1">
        <w:r w:rsidRPr="00B62B8B">
          <w:rPr>
            <w:rStyle w:val="Hyperlnk"/>
          </w:rPr>
          <w:t>https://www.government.se/articles/2018/03/new-legislative-proposal-on-the-convention-on-the-rights-of-the-child/</w:t>
        </w:r>
      </w:hyperlink>
      <w:r w:rsidRPr="004E1FEB">
        <w:t xml:space="preserve"> (30/05/19)</w:t>
      </w:r>
    </w:p>
  </w:footnote>
  <w:footnote w:id="2">
    <w:p w:rsidR="00D4095F" w:rsidRPr="004E1FEB" w:rsidRDefault="00D4095F" w:rsidP="008D4FC3">
      <w:pPr>
        <w:pStyle w:val="Fotnotstext"/>
        <w:rPr>
          <w:lang w:val="sv-SE"/>
        </w:rPr>
      </w:pPr>
      <w:r>
        <w:rPr>
          <w:rStyle w:val="Fotnotsreferens"/>
        </w:rPr>
        <w:footnoteRef/>
      </w:r>
      <w:r w:rsidRPr="004E1FEB">
        <w:rPr>
          <w:lang w:val="sv-SE"/>
        </w:rPr>
        <w:t xml:space="preserve"> Rege</w:t>
      </w:r>
      <w:r>
        <w:rPr>
          <w:lang w:val="sv-SE"/>
        </w:rPr>
        <w:t>ringen.se; Statens offentliga utredningar; 2016</w:t>
      </w:r>
      <w:r w:rsidRPr="004E1FEB">
        <w:rPr>
          <w:lang w:val="sv-SE"/>
        </w:rPr>
        <w:t xml:space="preserve"> </w:t>
      </w:r>
      <w:hyperlink r:id="rId2" w:history="1">
        <w:r w:rsidRPr="004E1FEB">
          <w:rPr>
            <w:rStyle w:val="Hyperlnk"/>
            <w:lang w:val="sv-SE"/>
          </w:rPr>
          <w:t>https://www.regeringen.se/rattsliga-dokument/statens-offentliga-utredningar/2016/02/sou-201611/</w:t>
        </w:r>
      </w:hyperlink>
      <w:r w:rsidRPr="004E1FEB">
        <w:rPr>
          <w:lang w:val="sv-SE"/>
        </w:rPr>
        <w:t xml:space="preserve"> </w:t>
      </w:r>
      <w:r>
        <w:rPr>
          <w:lang w:val="sv-SE"/>
        </w:rPr>
        <w:t xml:space="preserve">(30/05/19)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9CC"/>
    <w:multiLevelType w:val="multilevel"/>
    <w:tmpl w:val="3EA4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B51C4"/>
    <w:multiLevelType w:val="hybridMultilevel"/>
    <w:tmpl w:val="4B22C78E"/>
    <w:lvl w:ilvl="0" w:tplc="7096B0C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121C3F"/>
    <w:multiLevelType w:val="multilevel"/>
    <w:tmpl w:val="A9AA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882921"/>
    <w:multiLevelType w:val="multilevel"/>
    <w:tmpl w:val="43F2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B16EA"/>
    <w:multiLevelType w:val="hybridMultilevel"/>
    <w:tmpl w:val="FB7C8A4E"/>
    <w:lvl w:ilvl="0" w:tplc="4F583DB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BC133B"/>
    <w:multiLevelType w:val="multilevel"/>
    <w:tmpl w:val="FF9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27829"/>
    <w:multiLevelType w:val="hybridMultilevel"/>
    <w:tmpl w:val="910ACAE6"/>
    <w:lvl w:ilvl="0" w:tplc="0AC46CA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51"/>
    <w:rsid w:val="00232851"/>
    <w:rsid w:val="002950E5"/>
    <w:rsid w:val="00483B72"/>
    <w:rsid w:val="004A6273"/>
    <w:rsid w:val="004D47AD"/>
    <w:rsid w:val="004E1FEB"/>
    <w:rsid w:val="00531D1F"/>
    <w:rsid w:val="006B319B"/>
    <w:rsid w:val="007640AC"/>
    <w:rsid w:val="00795F80"/>
    <w:rsid w:val="00892948"/>
    <w:rsid w:val="008B164D"/>
    <w:rsid w:val="008D4FC3"/>
    <w:rsid w:val="009539E5"/>
    <w:rsid w:val="009716A9"/>
    <w:rsid w:val="00AC7885"/>
    <w:rsid w:val="00C067DB"/>
    <w:rsid w:val="00C9505E"/>
    <w:rsid w:val="00CA5DB0"/>
    <w:rsid w:val="00D4095F"/>
    <w:rsid w:val="00D50758"/>
    <w:rsid w:val="00F0584B"/>
    <w:rsid w:val="00F811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15B1"/>
  <w15:chartTrackingRefBased/>
  <w15:docId w15:val="{D1450F4E-2F3A-4B46-8C72-B19A7FF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851"/>
    <w:pPr>
      <w:spacing w:after="0" w:line="240" w:lineRule="auto"/>
    </w:pPr>
    <w:rPr>
      <w:rFonts w:ascii="Calibri" w:hAnsi="Calibri" w:cs="Calibri"/>
      <w:lang w:val="en-GB" w:eastAsia="en-GB"/>
    </w:rPr>
  </w:style>
  <w:style w:type="paragraph" w:styleId="Rubrik1">
    <w:name w:val="heading 1"/>
    <w:basedOn w:val="Normal"/>
    <w:next w:val="Normal"/>
    <w:link w:val="Rubrik1Char"/>
    <w:uiPriority w:val="9"/>
    <w:qFormat/>
    <w:rsid w:val="002950E5"/>
    <w:pPr>
      <w:keepNext/>
      <w:keepLines/>
      <w:spacing w:before="240"/>
      <w:outlineLvl w:val="0"/>
    </w:pPr>
    <w:rPr>
      <w:rFonts w:asciiTheme="majorHAnsi" w:eastAsiaTheme="majorEastAsia" w:hAnsiTheme="majorHAnsi" w:cstheme="majorBidi"/>
      <w:color w:val="7030A0"/>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50E5"/>
    <w:rPr>
      <w:rFonts w:asciiTheme="majorHAnsi" w:eastAsiaTheme="majorEastAsia" w:hAnsiTheme="majorHAnsi" w:cstheme="majorBidi"/>
      <w:color w:val="7030A0"/>
      <w:sz w:val="32"/>
      <w:szCs w:val="32"/>
    </w:rPr>
  </w:style>
  <w:style w:type="paragraph" w:styleId="Liststycke">
    <w:name w:val="List Paragraph"/>
    <w:basedOn w:val="Normal"/>
    <w:uiPriority w:val="34"/>
    <w:qFormat/>
    <w:rsid w:val="00232851"/>
    <w:pPr>
      <w:ind w:left="720"/>
      <w:contextualSpacing/>
    </w:pPr>
  </w:style>
  <w:style w:type="paragraph" w:styleId="Fotnotstext">
    <w:name w:val="footnote text"/>
    <w:basedOn w:val="Normal"/>
    <w:link w:val="FotnotstextChar"/>
    <w:uiPriority w:val="99"/>
    <w:semiHidden/>
    <w:unhideWhenUsed/>
    <w:rsid w:val="009539E5"/>
    <w:rPr>
      <w:sz w:val="20"/>
      <w:szCs w:val="20"/>
    </w:rPr>
  </w:style>
  <w:style w:type="character" w:customStyle="1" w:styleId="FotnotstextChar">
    <w:name w:val="Fotnotstext Char"/>
    <w:basedOn w:val="Standardstycketeckensnitt"/>
    <w:link w:val="Fotnotstext"/>
    <w:uiPriority w:val="99"/>
    <w:semiHidden/>
    <w:rsid w:val="009539E5"/>
    <w:rPr>
      <w:rFonts w:ascii="Calibri" w:hAnsi="Calibri" w:cs="Calibri"/>
      <w:sz w:val="20"/>
      <w:szCs w:val="20"/>
      <w:lang w:val="en-GB" w:eastAsia="en-GB"/>
    </w:rPr>
  </w:style>
  <w:style w:type="character" w:styleId="Fotnotsreferens">
    <w:name w:val="footnote reference"/>
    <w:basedOn w:val="Standardstycketeckensnitt"/>
    <w:uiPriority w:val="99"/>
    <w:semiHidden/>
    <w:unhideWhenUsed/>
    <w:rsid w:val="009539E5"/>
    <w:rPr>
      <w:vertAlign w:val="superscript"/>
    </w:rPr>
  </w:style>
  <w:style w:type="character" w:styleId="Hyperlnk">
    <w:name w:val="Hyperlink"/>
    <w:basedOn w:val="Standardstycketeckensnitt"/>
    <w:uiPriority w:val="99"/>
    <w:unhideWhenUsed/>
    <w:rsid w:val="009539E5"/>
    <w:rPr>
      <w:color w:val="0563C1" w:themeColor="hyperlink"/>
      <w:u w:val="single"/>
    </w:rPr>
  </w:style>
  <w:style w:type="character" w:styleId="Olstomnmnande">
    <w:name w:val="Unresolved Mention"/>
    <w:basedOn w:val="Standardstycketeckensnitt"/>
    <w:uiPriority w:val="99"/>
    <w:semiHidden/>
    <w:unhideWhenUsed/>
    <w:rsid w:val="009539E5"/>
    <w:rPr>
      <w:color w:val="605E5C"/>
      <w:shd w:val="clear" w:color="auto" w:fill="E1DFDD"/>
    </w:rPr>
  </w:style>
  <w:style w:type="paragraph" w:styleId="Slutnotstext">
    <w:name w:val="endnote text"/>
    <w:basedOn w:val="Normal"/>
    <w:link w:val="SlutnotstextChar"/>
    <w:uiPriority w:val="99"/>
    <w:semiHidden/>
    <w:unhideWhenUsed/>
    <w:rsid w:val="00AC7885"/>
    <w:rPr>
      <w:sz w:val="20"/>
      <w:szCs w:val="20"/>
    </w:rPr>
  </w:style>
  <w:style w:type="character" w:customStyle="1" w:styleId="SlutnotstextChar">
    <w:name w:val="Slutnotstext Char"/>
    <w:basedOn w:val="Standardstycketeckensnitt"/>
    <w:link w:val="Slutnotstext"/>
    <w:uiPriority w:val="99"/>
    <w:semiHidden/>
    <w:rsid w:val="00AC7885"/>
    <w:rPr>
      <w:rFonts w:ascii="Calibri" w:hAnsi="Calibri" w:cs="Calibri"/>
      <w:sz w:val="20"/>
      <w:szCs w:val="20"/>
      <w:lang w:val="en-GB" w:eastAsia="en-GB"/>
    </w:rPr>
  </w:style>
  <w:style w:type="character" w:styleId="Slutnotsreferens">
    <w:name w:val="endnote reference"/>
    <w:basedOn w:val="Standardstycketeckensnitt"/>
    <w:uiPriority w:val="99"/>
    <w:semiHidden/>
    <w:unhideWhenUsed/>
    <w:rsid w:val="00AC7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eringen.se/rattsliga-dokument/statens-offentliga-utredningar/2016/02/sou-201611/" TargetMode="External"/><Relationship Id="rId1" Type="http://schemas.openxmlformats.org/officeDocument/2006/relationships/hyperlink" Target="https://www.government.se/articles/2018/03/new-legislative-proposal-on-the-convention-on-the-rights-of-the-chil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A27E4-7718-4085-88DD-F2EA297A5AE4}">
  <ds:schemaRefs>
    <ds:schemaRef ds:uri="http://schemas.openxmlformats.org/officeDocument/2006/bibliography"/>
  </ds:schemaRefs>
</ds:datastoreItem>
</file>

<file path=customXml/itemProps2.xml><?xml version="1.0" encoding="utf-8"?>
<ds:datastoreItem xmlns:ds="http://schemas.openxmlformats.org/officeDocument/2006/customXml" ds:itemID="{EC7DFCCA-601F-4256-9914-9FF6BD43169C}"/>
</file>

<file path=customXml/itemProps3.xml><?xml version="1.0" encoding="utf-8"?>
<ds:datastoreItem xmlns:ds="http://schemas.openxmlformats.org/officeDocument/2006/customXml" ds:itemID="{6D8A276B-9593-437F-A86A-041FFC2D7FEE}"/>
</file>

<file path=customXml/itemProps4.xml><?xml version="1.0" encoding="utf-8"?>
<ds:datastoreItem xmlns:ds="http://schemas.openxmlformats.org/officeDocument/2006/customXml" ds:itemID="{4E6F0436-01DB-4CEF-B9E6-444CCB85E966}"/>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1566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Sveriges Kvinnolobby</dc:creator>
  <cp:keywords/>
  <dc:description/>
  <cp:lastModifiedBy>Sveriges Kvinnolobby</cp:lastModifiedBy>
  <cp:revision>3</cp:revision>
  <dcterms:created xsi:type="dcterms:W3CDTF">2019-06-01T12:21:00Z</dcterms:created>
  <dcterms:modified xsi:type="dcterms:W3CDTF">2019-06-01T12:23:00Z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