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BA" w:rsidRPr="00F851BA" w:rsidRDefault="00F851BA" w:rsidP="00F851BA">
      <w:pPr>
        <w:spacing w:before="100" w:beforeAutospacing="1" w:after="100" w:afterAutospacing="1" w:line="240" w:lineRule="auto"/>
        <w:rPr>
          <w:rFonts w:ascii="Times New Roman" w:eastAsia="Times New Roman" w:hAnsi="Times New Roman" w:cs="Times New Roman"/>
          <w:b/>
          <w:sz w:val="24"/>
          <w:szCs w:val="24"/>
          <w:u w:val="single"/>
          <w:lang w:val="en-US" w:eastAsia="de-DE"/>
        </w:rPr>
      </w:pPr>
      <w:bookmarkStart w:id="0" w:name="p0547"/>
      <w:bookmarkEnd w:id="0"/>
      <w:r>
        <w:rPr>
          <w:rFonts w:ascii="Times New Roman" w:hAnsi="Times New Roman" w:cs="Times New Roman"/>
          <w:b/>
          <w:sz w:val="24"/>
          <w:szCs w:val="24"/>
          <w:u w:val="single"/>
          <w:lang w:val="en-US"/>
        </w:rPr>
        <w:t xml:space="preserve">Attachment - </w:t>
      </w:r>
      <w:r w:rsidRPr="00F851BA">
        <w:rPr>
          <w:rFonts w:ascii="Times New Roman" w:hAnsi="Times New Roman" w:cs="Times New Roman"/>
          <w:b/>
          <w:sz w:val="24"/>
          <w:szCs w:val="24"/>
          <w:u w:val="single"/>
          <w:lang w:val="en-US"/>
        </w:rPr>
        <w:t xml:space="preserve">Excerpts from </w:t>
      </w:r>
      <w:r w:rsidR="0013319C">
        <w:rPr>
          <w:rFonts w:ascii="Times New Roman" w:hAnsi="Times New Roman" w:cs="Times New Roman"/>
          <w:b/>
          <w:sz w:val="24"/>
          <w:szCs w:val="24"/>
          <w:u w:val="single"/>
          <w:lang w:val="en-US"/>
        </w:rPr>
        <w:t xml:space="preserve">the </w:t>
      </w:r>
      <w:r w:rsidRPr="00F851BA">
        <w:rPr>
          <w:rFonts w:ascii="Times New Roman" w:hAnsi="Times New Roman" w:cs="Times New Roman"/>
          <w:b/>
          <w:sz w:val="24"/>
          <w:szCs w:val="24"/>
          <w:u w:val="single"/>
          <w:lang w:val="en-US"/>
        </w:rPr>
        <w:t>Law on procedure in family cases</w:t>
      </w:r>
      <w:r w:rsidR="00926402">
        <w:rPr>
          <w:rFonts w:ascii="Times New Roman" w:hAnsi="Times New Roman" w:cs="Times New Roman"/>
          <w:b/>
          <w:sz w:val="24"/>
          <w:szCs w:val="24"/>
          <w:u w:val="single"/>
          <w:lang w:val="en-US"/>
        </w:rPr>
        <w:t xml:space="preserve"> (translation)</w:t>
      </w:r>
      <w:bookmarkStart w:id="1" w:name="_GoBack"/>
      <w:bookmarkEnd w:id="1"/>
    </w:p>
    <w:p w:rsidR="00F851BA" w:rsidRDefault="00F851BA" w:rsidP="00D4588C">
      <w:pPr>
        <w:spacing w:before="100" w:beforeAutospacing="1" w:after="100" w:afterAutospacing="1" w:line="240" w:lineRule="auto"/>
        <w:jc w:val="center"/>
        <w:rPr>
          <w:rFonts w:ascii="Times New Roman" w:eastAsia="Times New Roman" w:hAnsi="Times New Roman" w:cs="Times New Roman"/>
          <w:b/>
          <w:sz w:val="24"/>
          <w:szCs w:val="24"/>
          <w:lang w:val="en-US" w:eastAsia="de-DE"/>
        </w:rPr>
      </w:pPr>
    </w:p>
    <w:p w:rsidR="00D4588C" w:rsidRPr="00D4588C" w:rsidRDefault="00D4588C" w:rsidP="00D4588C">
      <w:pPr>
        <w:spacing w:before="100" w:beforeAutospacing="1" w:after="100" w:afterAutospacing="1" w:line="240" w:lineRule="auto"/>
        <w:jc w:val="center"/>
        <w:rPr>
          <w:rFonts w:ascii="Times New Roman" w:eastAsia="Times New Roman" w:hAnsi="Times New Roman" w:cs="Times New Roman"/>
          <w:b/>
          <w:sz w:val="24"/>
          <w:szCs w:val="24"/>
          <w:lang w:val="en-US" w:eastAsia="de-DE"/>
        </w:rPr>
      </w:pPr>
      <w:r w:rsidRPr="00D4588C">
        <w:rPr>
          <w:rFonts w:ascii="Times New Roman" w:eastAsia="Times New Roman" w:hAnsi="Times New Roman" w:cs="Times New Roman"/>
          <w:b/>
          <w:sz w:val="24"/>
          <w:szCs w:val="24"/>
          <w:lang w:val="en-US" w:eastAsia="de-DE"/>
        </w:rPr>
        <w:t>Chapter 3</w:t>
      </w:r>
      <w:r w:rsidRPr="00D4588C">
        <w:rPr>
          <w:rFonts w:ascii="Times New Roman" w:eastAsia="Times New Roman" w:hAnsi="Times New Roman" w:cs="Times New Roman"/>
          <w:b/>
          <w:sz w:val="24"/>
          <w:szCs w:val="24"/>
          <w:lang w:val="en-US" w:eastAsia="de-DE"/>
        </w:rPr>
        <w:br/>
        <w:t>Recognition and Enforceability of Foreign Judgments in Marital Matters</w:t>
      </w:r>
    </w:p>
    <w:p w:rsidR="00D4588C" w:rsidRPr="00D4588C" w:rsidRDefault="00D4588C" w:rsidP="00D4588C">
      <w:pPr>
        <w:spacing w:before="100" w:beforeAutospacing="1" w:after="100" w:afterAutospacing="1" w:line="240" w:lineRule="auto"/>
        <w:jc w:val="center"/>
        <w:rPr>
          <w:rFonts w:ascii="Times New Roman" w:eastAsia="Times New Roman" w:hAnsi="Times New Roman" w:cs="Times New Roman"/>
          <w:b/>
          <w:sz w:val="24"/>
          <w:szCs w:val="24"/>
          <w:lang w:val="en-US" w:eastAsia="de-DE"/>
        </w:rPr>
      </w:pPr>
      <w:bookmarkStart w:id="2" w:name="p0548"/>
      <w:bookmarkEnd w:id="2"/>
      <w:r w:rsidRPr="00D4588C">
        <w:rPr>
          <w:rFonts w:ascii="Times New Roman" w:eastAsia="Times New Roman" w:hAnsi="Times New Roman" w:cs="Times New Roman"/>
          <w:b/>
          <w:sz w:val="24"/>
          <w:szCs w:val="24"/>
          <w:lang w:val="en-US" w:eastAsia="de-DE"/>
        </w:rPr>
        <w:t>Section 107</w:t>
      </w:r>
      <w:r w:rsidRPr="00D4588C">
        <w:rPr>
          <w:rFonts w:ascii="Times New Roman" w:eastAsia="Times New Roman" w:hAnsi="Times New Roman" w:cs="Times New Roman"/>
          <w:b/>
          <w:sz w:val="24"/>
          <w:szCs w:val="24"/>
          <w:lang w:val="en-US" w:eastAsia="de-DE"/>
        </w:rPr>
        <w:br/>
        <w:t>Recognition of Foreign Judgments in Marital Matters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 w:name="p0549"/>
      <w:bookmarkEnd w:id="3"/>
      <w:r w:rsidRPr="00D4588C">
        <w:rPr>
          <w:rFonts w:ascii="Times New Roman" w:eastAsia="Times New Roman" w:hAnsi="Times New Roman" w:cs="Times New Roman"/>
          <w:bCs w:val="0"/>
          <w:sz w:val="24"/>
          <w:szCs w:val="24"/>
          <w:lang w:val="en-US" w:eastAsia="de-DE"/>
        </w:rPr>
        <w:t>(1) Judgments annulling, terminating, or dissolving a marriage, or declaring a legal separ</w:t>
      </w:r>
      <w:r w:rsidRPr="00D4588C">
        <w:rPr>
          <w:rFonts w:ascii="Times New Roman" w:eastAsia="Times New Roman" w:hAnsi="Times New Roman" w:cs="Times New Roman"/>
          <w:bCs w:val="0"/>
          <w:sz w:val="24"/>
          <w:szCs w:val="24"/>
          <w:lang w:val="en-US" w:eastAsia="de-DE"/>
        </w:rPr>
        <w:t>a</w:t>
      </w:r>
      <w:r w:rsidRPr="00D4588C">
        <w:rPr>
          <w:rFonts w:ascii="Times New Roman" w:eastAsia="Times New Roman" w:hAnsi="Times New Roman" w:cs="Times New Roman"/>
          <w:bCs w:val="0"/>
          <w:sz w:val="24"/>
          <w:szCs w:val="24"/>
          <w:lang w:val="en-US" w:eastAsia="de-DE"/>
        </w:rPr>
        <w:t xml:space="preserve">tion, or establishing the existence or non-existence of a marriage between the participants in a foreign country shall only be recognized when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 has established that the prerequisites for recognition are fulfilled. If a court or a public authority of the state of which both spouses were citizens at the time of the judgment reached a dec</w:t>
      </w:r>
      <w:r w:rsidRPr="00D4588C">
        <w:rPr>
          <w:rFonts w:ascii="Times New Roman" w:eastAsia="Times New Roman" w:hAnsi="Times New Roman" w:cs="Times New Roman"/>
          <w:bCs w:val="0"/>
          <w:sz w:val="24"/>
          <w:szCs w:val="24"/>
          <w:lang w:val="en-US" w:eastAsia="de-DE"/>
        </w:rPr>
        <w:t>i</w:t>
      </w:r>
      <w:r w:rsidRPr="00D4588C">
        <w:rPr>
          <w:rFonts w:ascii="Times New Roman" w:eastAsia="Times New Roman" w:hAnsi="Times New Roman" w:cs="Times New Roman"/>
          <w:bCs w:val="0"/>
          <w:sz w:val="24"/>
          <w:szCs w:val="24"/>
          <w:lang w:val="en-US" w:eastAsia="de-DE"/>
        </w:rPr>
        <w:t xml:space="preserve">sion, recognition shall not be dependent upon such an establishment by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w:t>
      </w:r>
      <w:r w:rsidRPr="00D4588C">
        <w:rPr>
          <w:rFonts w:ascii="Times New Roman" w:eastAsia="Times New Roman" w:hAnsi="Times New Roman" w:cs="Times New Roman"/>
          <w:bCs w:val="0"/>
          <w:sz w:val="24"/>
          <w:szCs w:val="24"/>
          <w:lang w:val="en-US" w:eastAsia="de-DE"/>
        </w:rPr>
        <w:t>d</w:t>
      </w:r>
      <w:r w:rsidRPr="00D4588C">
        <w:rPr>
          <w:rFonts w:ascii="Times New Roman" w:eastAsia="Times New Roman" w:hAnsi="Times New Roman" w:cs="Times New Roman"/>
          <w:bCs w:val="0"/>
          <w:sz w:val="24"/>
          <w:szCs w:val="24"/>
          <w:lang w:val="en-US" w:eastAsia="de-DE"/>
        </w:rPr>
        <w:t>ministration department.</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4" w:name="p0550"/>
      <w:bookmarkEnd w:id="4"/>
      <w:r w:rsidRPr="00D4588C">
        <w:rPr>
          <w:rFonts w:ascii="Times New Roman" w:eastAsia="Times New Roman" w:hAnsi="Times New Roman" w:cs="Times New Roman"/>
          <w:bCs w:val="0"/>
          <w:sz w:val="24"/>
          <w:szCs w:val="24"/>
          <w:lang w:val="en-US" w:eastAsia="de-DE"/>
        </w:rPr>
        <w:t xml:space="preserve">(2) The justice administration department in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in which one spouse has his place of usual residence shall have jurisdiction. If neither spouse has a place of usual residence in Germany, the justice administration department of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shall have jurisdiction in which a new marriage or life partnership is to be entered into;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w:t>
      </w:r>
      <w:r w:rsidRPr="00D4588C">
        <w:rPr>
          <w:rFonts w:ascii="Times New Roman" w:eastAsia="Times New Roman" w:hAnsi="Times New Roman" w:cs="Times New Roman"/>
          <w:bCs w:val="0"/>
          <w:sz w:val="24"/>
          <w:szCs w:val="24"/>
          <w:lang w:val="en-US" w:eastAsia="de-DE"/>
        </w:rPr>
        <w:t>t</w:t>
      </w:r>
      <w:r w:rsidRPr="00D4588C">
        <w:rPr>
          <w:rFonts w:ascii="Times New Roman" w:eastAsia="Times New Roman" w:hAnsi="Times New Roman" w:cs="Times New Roman"/>
          <w:bCs w:val="0"/>
          <w:sz w:val="24"/>
          <w:szCs w:val="24"/>
          <w:lang w:val="en-US" w:eastAsia="de-DE"/>
        </w:rPr>
        <w:t xml:space="preserve">ment may request proof that the marriage or life partnership entered into has been registered. When no other basis for jurisdiction exists the Berlin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 shall have jurisdiction.</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5" w:name="p0551"/>
      <w:bookmarkEnd w:id="5"/>
      <w:r w:rsidRPr="00D4588C">
        <w:rPr>
          <w:rFonts w:ascii="Times New Roman" w:eastAsia="Times New Roman" w:hAnsi="Times New Roman" w:cs="Times New Roman"/>
          <w:bCs w:val="0"/>
          <w:sz w:val="24"/>
          <w:szCs w:val="24"/>
          <w:lang w:val="en-US" w:eastAsia="de-DE"/>
        </w:rPr>
        <w:t xml:space="preserve">(3)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governments may transfer the authority of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w:t>
      </w:r>
      <w:r w:rsidRPr="00D4588C">
        <w:rPr>
          <w:rFonts w:ascii="Times New Roman" w:eastAsia="Times New Roman" w:hAnsi="Times New Roman" w:cs="Times New Roman"/>
          <w:bCs w:val="0"/>
          <w:sz w:val="24"/>
          <w:szCs w:val="24"/>
          <w:lang w:val="en-US" w:eastAsia="de-DE"/>
        </w:rPr>
        <w:t>e</w:t>
      </w:r>
      <w:r w:rsidRPr="00D4588C">
        <w:rPr>
          <w:rFonts w:ascii="Times New Roman" w:eastAsia="Times New Roman" w:hAnsi="Times New Roman" w:cs="Times New Roman"/>
          <w:bCs w:val="0"/>
          <w:sz w:val="24"/>
          <w:szCs w:val="24"/>
          <w:lang w:val="en-US" w:eastAsia="de-DE"/>
        </w:rPr>
        <w:t xml:space="preserve">partment in accordance with these provisions to one or more of the presidents of the Higher Regional Courts by way of statutory instrument.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governments may transfer the power in the first sentence by way of statutory instrument to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6" w:name="p0552"/>
      <w:bookmarkEnd w:id="6"/>
      <w:r w:rsidRPr="00D4588C">
        <w:rPr>
          <w:rFonts w:ascii="Times New Roman" w:eastAsia="Times New Roman" w:hAnsi="Times New Roman" w:cs="Times New Roman"/>
          <w:bCs w:val="0"/>
          <w:sz w:val="24"/>
          <w:szCs w:val="24"/>
          <w:lang w:val="en-US" w:eastAsia="de-DE"/>
        </w:rPr>
        <w:t>(4) A decision shall be made upon application therefor. The application can only be filed by a person who credibly demonstrates a legal interest in the recognition.</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7" w:name="p0553"/>
      <w:bookmarkEnd w:id="7"/>
      <w:r w:rsidRPr="00D4588C">
        <w:rPr>
          <w:rFonts w:ascii="Times New Roman" w:eastAsia="Times New Roman" w:hAnsi="Times New Roman" w:cs="Times New Roman"/>
          <w:bCs w:val="0"/>
          <w:sz w:val="24"/>
          <w:szCs w:val="24"/>
          <w:lang w:val="en-US" w:eastAsia="de-DE"/>
        </w:rPr>
        <w:t xml:space="preserve">(5) If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 rejects the application, the applicant may apply for a decision from the Higher Regional Court.</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8" w:name="p0554"/>
      <w:bookmarkEnd w:id="8"/>
      <w:r w:rsidRPr="00D4588C">
        <w:rPr>
          <w:rFonts w:ascii="Times New Roman" w:eastAsia="Times New Roman" w:hAnsi="Times New Roman" w:cs="Times New Roman"/>
          <w:bCs w:val="0"/>
          <w:sz w:val="24"/>
          <w:szCs w:val="24"/>
          <w:lang w:val="en-US" w:eastAsia="de-DE"/>
        </w:rPr>
        <w:t xml:space="preserve">(6) If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 establishes that the prerequisites for recogn</w:t>
      </w:r>
      <w:r w:rsidRPr="00D4588C">
        <w:rPr>
          <w:rFonts w:ascii="Times New Roman" w:eastAsia="Times New Roman" w:hAnsi="Times New Roman" w:cs="Times New Roman"/>
          <w:bCs w:val="0"/>
          <w:sz w:val="24"/>
          <w:szCs w:val="24"/>
          <w:lang w:val="en-US" w:eastAsia="de-DE"/>
        </w:rPr>
        <w:t>i</w:t>
      </w:r>
      <w:r w:rsidRPr="00D4588C">
        <w:rPr>
          <w:rFonts w:ascii="Times New Roman" w:eastAsia="Times New Roman" w:hAnsi="Times New Roman" w:cs="Times New Roman"/>
          <w:bCs w:val="0"/>
          <w:sz w:val="24"/>
          <w:szCs w:val="24"/>
          <w:lang w:val="en-US" w:eastAsia="de-DE"/>
        </w:rPr>
        <w:t xml:space="preserve">tion are fulfilled, a spouse who had not submitted the application may apply for a decision from the Higher Regional Court. The decision of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 shall become effective upon notification to the applicant. However,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w:t>
      </w:r>
      <w:r w:rsidRPr="00D4588C">
        <w:rPr>
          <w:rFonts w:ascii="Times New Roman" w:eastAsia="Times New Roman" w:hAnsi="Times New Roman" w:cs="Times New Roman"/>
          <w:bCs w:val="0"/>
          <w:sz w:val="24"/>
          <w:szCs w:val="24"/>
          <w:lang w:val="en-US" w:eastAsia="de-DE"/>
        </w:rPr>
        <w:t>n</w:t>
      </w:r>
      <w:r w:rsidRPr="00D4588C">
        <w:rPr>
          <w:rFonts w:ascii="Times New Roman" w:eastAsia="Times New Roman" w:hAnsi="Times New Roman" w:cs="Times New Roman"/>
          <w:bCs w:val="0"/>
          <w:sz w:val="24"/>
          <w:szCs w:val="24"/>
          <w:lang w:val="en-US" w:eastAsia="de-DE"/>
        </w:rPr>
        <w:t>istration department may determine in its decision that such decision shall first become effe</w:t>
      </w:r>
      <w:r w:rsidRPr="00D4588C">
        <w:rPr>
          <w:rFonts w:ascii="Times New Roman" w:eastAsia="Times New Roman" w:hAnsi="Times New Roman" w:cs="Times New Roman"/>
          <w:bCs w:val="0"/>
          <w:sz w:val="24"/>
          <w:szCs w:val="24"/>
          <w:lang w:val="en-US" w:eastAsia="de-DE"/>
        </w:rPr>
        <w:t>c</w:t>
      </w:r>
      <w:r w:rsidRPr="00D4588C">
        <w:rPr>
          <w:rFonts w:ascii="Times New Roman" w:eastAsia="Times New Roman" w:hAnsi="Times New Roman" w:cs="Times New Roman"/>
          <w:bCs w:val="0"/>
          <w:sz w:val="24"/>
          <w:szCs w:val="24"/>
          <w:lang w:val="en-US" w:eastAsia="de-DE"/>
        </w:rPr>
        <w:t>tive after a certain period of time has passed.</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9" w:name="p0555"/>
      <w:bookmarkEnd w:id="9"/>
      <w:r w:rsidRPr="00D4588C">
        <w:rPr>
          <w:rFonts w:ascii="Times New Roman" w:eastAsia="Times New Roman" w:hAnsi="Times New Roman" w:cs="Times New Roman"/>
          <w:bCs w:val="0"/>
          <w:sz w:val="24"/>
          <w:szCs w:val="24"/>
          <w:lang w:val="en-US" w:eastAsia="de-DE"/>
        </w:rPr>
        <w:t xml:space="preserve">(7) Jurisdiction shall lie with a civil panel of the Higher Regional Court in the district of which the </w:t>
      </w:r>
      <w:r w:rsidRPr="00D4588C">
        <w:rPr>
          <w:rFonts w:ascii="Times New Roman" w:eastAsia="Times New Roman" w:hAnsi="Times New Roman" w:cs="Times New Roman"/>
          <w:bCs w:val="0"/>
          <w:i/>
          <w:iCs/>
          <w:sz w:val="24"/>
          <w:szCs w:val="24"/>
          <w:lang w:val="en-US" w:eastAsia="de-DE"/>
        </w:rPr>
        <w:t>Land</w:t>
      </w:r>
      <w:r w:rsidRPr="00D4588C">
        <w:rPr>
          <w:rFonts w:ascii="Times New Roman" w:eastAsia="Times New Roman" w:hAnsi="Times New Roman" w:cs="Times New Roman"/>
          <w:bCs w:val="0"/>
          <w:sz w:val="24"/>
          <w:szCs w:val="24"/>
          <w:lang w:val="en-US" w:eastAsia="de-DE"/>
        </w:rPr>
        <w:t xml:space="preserve"> justice administration department has its seat. An application for a judicial decision shall not have suspensive effect. Parts 4 and 5 and sections 14 (1) and (2) and 48 (2) shall apply </w:t>
      </w:r>
      <w:r w:rsidRPr="00D4588C">
        <w:rPr>
          <w:rFonts w:ascii="Times New Roman" w:eastAsia="Times New Roman" w:hAnsi="Times New Roman" w:cs="Times New Roman"/>
          <w:bCs w:val="0"/>
          <w:i/>
          <w:iCs/>
          <w:sz w:val="24"/>
          <w:szCs w:val="24"/>
          <w:lang w:val="en-US" w:eastAsia="de-DE"/>
        </w:rPr>
        <w:t>mutatis mutandis</w:t>
      </w:r>
      <w:r w:rsidRPr="00D4588C">
        <w:rPr>
          <w:rFonts w:ascii="Times New Roman" w:eastAsia="Times New Roman" w:hAnsi="Times New Roman" w:cs="Times New Roman"/>
          <w:bCs w:val="0"/>
          <w:sz w:val="24"/>
          <w:szCs w:val="24"/>
          <w:lang w:val="en-US" w:eastAsia="de-DE"/>
        </w:rPr>
        <w:t xml:space="preserve">. </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0" w:name="p0556"/>
      <w:bookmarkEnd w:id="10"/>
      <w:r w:rsidRPr="00D4588C">
        <w:rPr>
          <w:rFonts w:ascii="Times New Roman" w:eastAsia="Times New Roman" w:hAnsi="Times New Roman" w:cs="Times New Roman"/>
          <w:bCs w:val="0"/>
          <w:sz w:val="24"/>
          <w:szCs w:val="24"/>
          <w:lang w:val="en-US" w:eastAsia="de-DE"/>
        </w:rPr>
        <w:lastRenderedPageBreak/>
        <w:t xml:space="preserve">(8) The above provisions shall be applicable </w:t>
      </w:r>
      <w:r w:rsidRPr="00D4588C">
        <w:rPr>
          <w:rFonts w:ascii="Times New Roman" w:eastAsia="Times New Roman" w:hAnsi="Times New Roman" w:cs="Times New Roman"/>
          <w:bCs w:val="0"/>
          <w:i/>
          <w:iCs/>
          <w:sz w:val="24"/>
          <w:szCs w:val="24"/>
          <w:lang w:val="en-US" w:eastAsia="de-DE"/>
        </w:rPr>
        <w:t>mutatis mutandis</w:t>
      </w:r>
      <w:r w:rsidRPr="00D4588C">
        <w:rPr>
          <w:rFonts w:ascii="Times New Roman" w:eastAsia="Times New Roman" w:hAnsi="Times New Roman" w:cs="Times New Roman"/>
          <w:bCs w:val="0"/>
          <w:sz w:val="24"/>
          <w:szCs w:val="24"/>
          <w:lang w:val="en-US" w:eastAsia="de-DE"/>
        </w:rPr>
        <w:t xml:space="preserve"> to an application that seeks to establish that the prerequisites for recognition are not fulfilled.</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1" w:name="p0557"/>
      <w:bookmarkEnd w:id="11"/>
      <w:r w:rsidRPr="00D4588C">
        <w:rPr>
          <w:rFonts w:ascii="Times New Roman" w:eastAsia="Times New Roman" w:hAnsi="Times New Roman" w:cs="Times New Roman"/>
          <w:bCs w:val="0"/>
          <w:sz w:val="24"/>
          <w:szCs w:val="24"/>
          <w:lang w:val="en-US" w:eastAsia="de-DE"/>
        </w:rPr>
        <w:t>(9) The establishment that the prerequisites are or are not fulfilled shall be binding upon courts and administrative authorities.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2" w:name="p0558"/>
      <w:bookmarkEnd w:id="12"/>
      <w:r w:rsidRPr="00D4588C">
        <w:rPr>
          <w:rFonts w:ascii="Times New Roman" w:eastAsia="Times New Roman" w:hAnsi="Times New Roman" w:cs="Times New Roman"/>
          <w:bCs w:val="0"/>
          <w:sz w:val="24"/>
          <w:szCs w:val="24"/>
          <w:lang w:val="en-US" w:eastAsia="de-DE"/>
        </w:rPr>
        <w:t>(10) If on 1 November 1941 a German family register (marriage register) contained a notation based upon a foreign decision concerning an annulment, termination, dissolution, separation, or the existence or non-existence of a marriage, the notation shall be equivalent to recognition pursuant to these provisions.</w:t>
      </w:r>
    </w:p>
    <w:p w:rsidR="00D4588C" w:rsidRPr="00D4588C" w:rsidRDefault="00D4588C" w:rsidP="00D4588C">
      <w:pPr>
        <w:spacing w:before="100" w:beforeAutospacing="1" w:after="100" w:afterAutospacing="1" w:line="240" w:lineRule="auto"/>
        <w:jc w:val="center"/>
        <w:rPr>
          <w:rFonts w:ascii="Times New Roman" w:eastAsia="Times New Roman" w:hAnsi="Times New Roman" w:cs="Times New Roman"/>
          <w:b/>
          <w:sz w:val="24"/>
          <w:szCs w:val="24"/>
          <w:lang w:val="en-US" w:eastAsia="de-DE"/>
        </w:rPr>
      </w:pPr>
      <w:bookmarkStart w:id="13" w:name="p0559"/>
      <w:bookmarkEnd w:id="13"/>
      <w:r w:rsidRPr="00D4588C">
        <w:rPr>
          <w:rFonts w:ascii="Times New Roman" w:eastAsia="Times New Roman" w:hAnsi="Times New Roman" w:cs="Times New Roman"/>
          <w:b/>
          <w:sz w:val="24"/>
          <w:szCs w:val="24"/>
          <w:lang w:val="en-US" w:eastAsia="de-DE"/>
        </w:rPr>
        <w:t>Section 108</w:t>
      </w:r>
      <w:r w:rsidRPr="00D4588C">
        <w:rPr>
          <w:rFonts w:ascii="Times New Roman" w:eastAsia="Times New Roman" w:hAnsi="Times New Roman" w:cs="Times New Roman"/>
          <w:b/>
          <w:sz w:val="24"/>
          <w:szCs w:val="24"/>
          <w:lang w:val="en-US" w:eastAsia="de-DE"/>
        </w:rPr>
        <w:br/>
        <w:t>Recognition of Other Foreign Judgments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4" w:name="p0560"/>
      <w:bookmarkEnd w:id="14"/>
      <w:r w:rsidRPr="00D4588C">
        <w:rPr>
          <w:rFonts w:ascii="Times New Roman" w:eastAsia="Times New Roman" w:hAnsi="Times New Roman" w:cs="Times New Roman"/>
          <w:bCs w:val="0"/>
          <w:sz w:val="24"/>
          <w:szCs w:val="24"/>
          <w:lang w:val="en-US" w:eastAsia="de-DE"/>
        </w:rPr>
        <w:t>(1) With the exclusion of judgments in marital matters, foreign judgments shall be recognized without the requirement of a particular proceeding.</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5" w:name="p0561"/>
      <w:bookmarkEnd w:id="15"/>
      <w:r w:rsidRPr="00D4588C">
        <w:rPr>
          <w:rFonts w:ascii="Times New Roman" w:eastAsia="Times New Roman" w:hAnsi="Times New Roman" w:cs="Times New Roman"/>
          <w:bCs w:val="0"/>
          <w:sz w:val="24"/>
          <w:szCs w:val="24"/>
          <w:lang w:val="en-US" w:eastAsia="de-DE"/>
        </w:rPr>
        <w:t xml:space="preserve">(2) Participants who have a legal interest therein may apply for a decision on the recognition or non-recognition of a foreign judgment that does not involve property law. Section 107 (9) shall apply </w:t>
      </w:r>
      <w:r w:rsidRPr="00D4588C">
        <w:rPr>
          <w:rFonts w:ascii="Times New Roman" w:eastAsia="Times New Roman" w:hAnsi="Times New Roman" w:cs="Times New Roman"/>
          <w:bCs w:val="0"/>
          <w:i/>
          <w:iCs/>
          <w:sz w:val="24"/>
          <w:szCs w:val="24"/>
          <w:lang w:val="en-US" w:eastAsia="de-DE"/>
        </w:rPr>
        <w:t>mutatis mutandis</w:t>
      </w:r>
      <w:r w:rsidRPr="00D4588C">
        <w:rPr>
          <w:rFonts w:ascii="Times New Roman" w:eastAsia="Times New Roman" w:hAnsi="Times New Roman" w:cs="Times New Roman"/>
          <w:bCs w:val="0"/>
          <w:sz w:val="24"/>
          <w:szCs w:val="24"/>
          <w:lang w:val="en-US" w:eastAsia="de-DE"/>
        </w:rPr>
        <w:t>. As to the recognition or non-recognition of the adoption of a child, however, sections 2, 4, and 5 of the Act on the Effect of Adoptions according to Fo</w:t>
      </w:r>
      <w:r w:rsidRPr="00D4588C">
        <w:rPr>
          <w:rFonts w:ascii="Times New Roman" w:eastAsia="Times New Roman" w:hAnsi="Times New Roman" w:cs="Times New Roman"/>
          <w:bCs w:val="0"/>
          <w:sz w:val="24"/>
          <w:szCs w:val="24"/>
          <w:lang w:val="en-US" w:eastAsia="de-DE"/>
        </w:rPr>
        <w:t>r</w:t>
      </w:r>
      <w:r w:rsidRPr="00D4588C">
        <w:rPr>
          <w:rFonts w:ascii="Times New Roman" w:eastAsia="Times New Roman" w:hAnsi="Times New Roman" w:cs="Times New Roman"/>
          <w:bCs w:val="0"/>
          <w:sz w:val="24"/>
          <w:szCs w:val="24"/>
          <w:lang w:val="en-US" w:eastAsia="de-DE"/>
        </w:rPr>
        <w:t>eign Law (</w:t>
      </w:r>
      <w:r w:rsidRPr="00D4588C">
        <w:rPr>
          <w:rFonts w:ascii="Times New Roman" w:eastAsia="Times New Roman" w:hAnsi="Times New Roman" w:cs="Times New Roman"/>
          <w:bCs w:val="0"/>
          <w:i/>
          <w:iCs/>
          <w:sz w:val="24"/>
          <w:szCs w:val="24"/>
          <w:lang w:val="en-US" w:eastAsia="de-DE"/>
        </w:rPr>
        <w:t>Adoptionswirkungsgesetz</w:t>
      </w:r>
      <w:r w:rsidRPr="00D4588C">
        <w:rPr>
          <w:rFonts w:ascii="Times New Roman" w:eastAsia="Times New Roman" w:hAnsi="Times New Roman" w:cs="Times New Roman"/>
          <w:bCs w:val="0"/>
          <w:sz w:val="24"/>
          <w:szCs w:val="24"/>
          <w:lang w:val="en-US" w:eastAsia="de-DE"/>
        </w:rPr>
        <w:t>; AdWirkG) shall be applicable when the adopted person at the time of the adoption had not yet reached the age of 18.</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6" w:name="p0562"/>
      <w:bookmarkEnd w:id="16"/>
      <w:r w:rsidRPr="00D4588C">
        <w:rPr>
          <w:rFonts w:ascii="Times New Roman" w:eastAsia="Times New Roman" w:hAnsi="Times New Roman" w:cs="Times New Roman"/>
          <w:bCs w:val="0"/>
          <w:sz w:val="24"/>
          <w:szCs w:val="24"/>
          <w:lang w:val="en-US" w:eastAsia="de-DE"/>
        </w:rPr>
        <w:t>(3) Local jurisdiction for a decision on an application in accordance with subsection (2) se</w:t>
      </w:r>
      <w:r w:rsidRPr="00D4588C">
        <w:rPr>
          <w:rFonts w:ascii="Times New Roman" w:eastAsia="Times New Roman" w:hAnsi="Times New Roman" w:cs="Times New Roman"/>
          <w:bCs w:val="0"/>
          <w:sz w:val="24"/>
          <w:szCs w:val="24"/>
          <w:lang w:val="en-US" w:eastAsia="de-DE"/>
        </w:rPr>
        <w:t>n</w:t>
      </w:r>
      <w:r w:rsidRPr="00D4588C">
        <w:rPr>
          <w:rFonts w:ascii="Times New Roman" w:eastAsia="Times New Roman" w:hAnsi="Times New Roman" w:cs="Times New Roman"/>
          <w:bCs w:val="0"/>
          <w:sz w:val="24"/>
          <w:szCs w:val="24"/>
          <w:lang w:val="en-US" w:eastAsia="de-DE"/>
        </w:rPr>
        <w:t>tence 1 shall lie with the court in the district of which at the time of the filing of the applic</w:t>
      </w:r>
      <w:r w:rsidRPr="00D4588C">
        <w:rPr>
          <w:rFonts w:ascii="Times New Roman" w:eastAsia="Times New Roman" w:hAnsi="Times New Roman" w:cs="Times New Roman"/>
          <w:bCs w:val="0"/>
          <w:sz w:val="24"/>
          <w:szCs w:val="24"/>
          <w:lang w:val="en-US" w:eastAsia="de-DE"/>
        </w:rPr>
        <w:t>a</w:t>
      </w:r>
      <w:r w:rsidRPr="00D4588C">
        <w:rPr>
          <w:rFonts w:ascii="Times New Roman" w:eastAsia="Times New Roman" w:hAnsi="Times New Roman" w:cs="Times New Roman"/>
          <w:bCs w:val="0"/>
          <w:sz w:val="24"/>
          <w:szCs w:val="24"/>
          <w:lang w:val="en-US" w:eastAsia="de-DE"/>
        </w:rPr>
        <w:t>tion:</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7" w:name="p0563"/>
      <w:bookmarkEnd w:id="17"/>
      <w:r w:rsidRPr="00D4588C">
        <w:rPr>
          <w:rFonts w:ascii="Times New Roman" w:eastAsia="Times New Roman" w:hAnsi="Times New Roman" w:cs="Times New Roman"/>
          <w:bCs w:val="0"/>
          <w:sz w:val="24"/>
          <w:szCs w:val="24"/>
          <w:lang w:val="en-US" w:eastAsia="de-DE"/>
        </w:rPr>
        <w:t>1.  the person opposing the application or the person that the decision on the application r</w:t>
      </w:r>
      <w:r w:rsidRPr="00D4588C">
        <w:rPr>
          <w:rFonts w:ascii="Times New Roman" w:eastAsia="Times New Roman" w:hAnsi="Times New Roman" w:cs="Times New Roman"/>
          <w:bCs w:val="0"/>
          <w:sz w:val="24"/>
          <w:szCs w:val="24"/>
          <w:lang w:val="en-US" w:eastAsia="de-DE"/>
        </w:rPr>
        <w:t>e</w:t>
      </w:r>
      <w:r w:rsidRPr="00D4588C">
        <w:rPr>
          <w:rFonts w:ascii="Times New Roman" w:eastAsia="Times New Roman" w:hAnsi="Times New Roman" w:cs="Times New Roman"/>
          <w:bCs w:val="0"/>
          <w:sz w:val="24"/>
          <w:szCs w:val="24"/>
          <w:lang w:val="en-US" w:eastAsia="de-DE"/>
        </w:rPr>
        <w:t>lates to has his usual place of abode or</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8" w:name="p0564"/>
      <w:bookmarkEnd w:id="18"/>
      <w:r w:rsidRPr="00D4588C">
        <w:rPr>
          <w:rFonts w:ascii="Times New Roman" w:eastAsia="Times New Roman" w:hAnsi="Times New Roman" w:cs="Times New Roman"/>
          <w:bCs w:val="0"/>
          <w:sz w:val="24"/>
          <w:szCs w:val="24"/>
          <w:lang w:val="en-US" w:eastAsia="de-DE"/>
        </w:rPr>
        <w:t>2.  if there is no local jurisdiction pursuant to no. 1, interest in the establishment became known or the need for care arose.</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19" w:name="p0565"/>
      <w:bookmarkEnd w:id="19"/>
      <w:r w:rsidRPr="00D4588C">
        <w:rPr>
          <w:rFonts w:ascii="Times New Roman" w:eastAsia="Times New Roman" w:hAnsi="Times New Roman" w:cs="Times New Roman"/>
          <w:bCs w:val="0"/>
          <w:sz w:val="24"/>
          <w:szCs w:val="24"/>
          <w:lang w:val="en-US" w:eastAsia="de-DE"/>
        </w:rPr>
        <w:t>This jurisdiction shall be exclusive.</w:t>
      </w:r>
    </w:p>
    <w:p w:rsidR="00D4588C" w:rsidRPr="00D4588C" w:rsidRDefault="00D4588C" w:rsidP="00D4588C">
      <w:pPr>
        <w:spacing w:before="100" w:beforeAutospacing="1" w:after="100" w:afterAutospacing="1" w:line="240" w:lineRule="auto"/>
        <w:jc w:val="center"/>
        <w:rPr>
          <w:rFonts w:ascii="Times New Roman" w:eastAsia="Times New Roman" w:hAnsi="Times New Roman" w:cs="Times New Roman"/>
          <w:b/>
          <w:sz w:val="24"/>
          <w:szCs w:val="24"/>
          <w:lang w:val="en-US" w:eastAsia="de-DE"/>
        </w:rPr>
      </w:pPr>
      <w:bookmarkStart w:id="20" w:name="p0566"/>
      <w:bookmarkEnd w:id="20"/>
      <w:r w:rsidRPr="00D4588C">
        <w:rPr>
          <w:rFonts w:ascii="Times New Roman" w:eastAsia="Times New Roman" w:hAnsi="Times New Roman" w:cs="Times New Roman"/>
          <w:b/>
          <w:sz w:val="24"/>
          <w:szCs w:val="24"/>
          <w:lang w:val="en-US" w:eastAsia="de-DE"/>
        </w:rPr>
        <w:t>Section 109</w:t>
      </w:r>
      <w:r w:rsidRPr="00D4588C">
        <w:rPr>
          <w:rFonts w:ascii="Times New Roman" w:eastAsia="Times New Roman" w:hAnsi="Times New Roman" w:cs="Times New Roman"/>
          <w:b/>
          <w:sz w:val="24"/>
          <w:szCs w:val="24"/>
          <w:lang w:val="en-US" w:eastAsia="de-DE"/>
        </w:rPr>
        <w:br/>
        <w:t>Impediments to Recognition</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1" w:name="p0567"/>
      <w:bookmarkEnd w:id="21"/>
      <w:r w:rsidRPr="00D4588C">
        <w:rPr>
          <w:rFonts w:ascii="Times New Roman" w:eastAsia="Times New Roman" w:hAnsi="Times New Roman" w:cs="Times New Roman"/>
          <w:bCs w:val="0"/>
          <w:sz w:val="24"/>
          <w:szCs w:val="24"/>
          <w:lang w:val="en-US" w:eastAsia="de-DE"/>
        </w:rPr>
        <w:t>(1) Recognition of a foreign judgment shall be excluded:</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2" w:name="p0568"/>
      <w:bookmarkEnd w:id="22"/>
      <w:r w:rsidRPr="00D4588C">
        <w:rPr>
          <w:rFonts w:ascii="Times New Roman" w:eastAsia="Times New Roman" w:hAnsi="Times New Roman" w:cs="Times New Roman"/>
          <w:bCs w:val="0"/>
          <w:sz w:val="24"/>
          <w:szCs w:val="24"/>
          <w:lang w:val="en-US" w:eastAsia="de-DE"/>
        </w:rPr>
        <w:t>1.  when the courts of the other state do not have jurisdiction under German law;</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3" w:name="p0569"/>
      <w:bookmarkEnd w:id="23"/>
      <w:r w:rsidRPr="00D4588C">
        <w:rPr>
          <w:rFonts w:ascii="Times New Roman" w:eastAsia="Times New Roman" w:hAnsi="Times New Roman" w:cs="Times New Roman"/>
          <w:bCs w:val="0"/>
          <w:sz w:val="24"/>
          <w:szCs w:val="24"/>
          <w:lang w:val="en-US" w:eastAsia="de-DE"/>
        </w:rPr>
        <w:t>2.  when a participant, who did not comment on the main action and claims that the document initiating the proceeding was improper or that notification was untimely so that he could not properly exercise his rights;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4" w:name="p0570"/>
      <w:bookmarkEnd w:id="24"/>
      <w:r w:rsidRPr="00D4588C">
        <w:rPr>
          <w:rFonts w:ascii="Times New Roman" w:eastAsia="Times New Roman" w:hAnsi="Times New Roman" w:cs="Times New Roman"/>
          <w:bCs w:val="0"/>
          <w:sz w:val="24"/>
          <w:szCs w:val="24"/>
          <w:lang w:val="en-US" w:eastAsia="de-DE"/>
        </w:rPr>
        <w:t>3.  when the judgment is incompatible with a judgment issued or recognized earlier in Ge</w:t>
      </w:r>
      <w:r w:rsidRPr="00D4588C">
        <w:rPr>
          <w:rFonts w:ascii="Times New Roman" w:eastAsia="Times New Roman" w:hAnsi="Times New Roman" w:cs="Times New Roman"/>
          <w:bCs w:val="0"/>
          <w:sz w:val="24"/>
          <w:szCs w:val="24"/>
          <w:lang w:val="en-US" w:eastAsia="de-DE"/>
        </w:rPr>
        <w:t>r</w:t>
      </w:r>
      <w:r w:rsidRPr="00D4588C">
        <w:rPr>
          <w:rFonts w:ascii="Times New Roman" w:eastAsia="Times New Roman" w:hAnsi="Times New Roman" w:cs="Times New Roman"/>
          <w:bCs w:val="0"/>
          <w:sz w:val="24"/>
          <w:szCs w:val="24"/>
          <w:lang w:val="en-US" w:eastAsia="de-DE"/>
        </w:rPr>
        <w:t>many, or when the proceedings at the basis of such judgment are incompatible with procee</w:t>
      </w:r>
      <w:r w:rsidRPr="00D4588C">
        <w:rPr>
          <w:rFonts w:ascii="Times New Roman" w:eastAsia="Times New Roman" w:hAnsi="Times New Roman" w:cs="Times New Roman"/>
          <w:bCs w:val="0"/>
          <w:sz w:val="24"/>
          <w:szCs w:val="24"/>
          <w:lang w:val="en-US" w:eastAsia="de-DE"/>
        </w:rPr>
        <w:t>d</w:t>
      </w:r>
      <w:r w:rsidRPr="00D4588C">
        <w:rPr>
          <w:rFonts w:ascii="Times New Roman" w:eastAsia="Times New Roman" w:hAnsi="Times New Roman" w:cs="Times New Roman"/>
          <w:bCs w:val="0"/>
          <w:sz w:val="24"/>
          <w:szCs w:val="24"/>
          <w:lang w:val="en-US" w:eastAsia="de-DE"/>
        </w:rPr>
        <w:t>ings that were previously pending here;</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5" w:name="p0571"/>
      <w:bookmarkEnd w:id="25"/>
      <w:r w:rsidRPr="00D4588C">
        <w:rPr>
          <w:rFonts w:ascii="Times New Roman" w:eastAsia="Times New Roman" w:hAnsi="Times New Roman" w:cs="Times New Roman"/>
          <w:bCs w:val="0"/>
          <w:sz w:val="24"/>
          <w:szCs w:val="24"/>
          <w:lang w:val="en-US" w:eastAsia="de-DE"/>
        </w:rPr>
        <w:lastRenderedPageBreak/>
        <w:t>4.  when recognition of the judgment would lead to a result that is obviously incompatible with significant principles of German law, in particular when recognition is incompatible with fundamental rights.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6" w:name="p0572"/>
      <w:bookmarkEnd w:id="26"/>
      <w:r w:rsidRPr="00D4588C">
        <w:rPr>
          <w:rFonts w:ascii="Times New Roman" w:eastAsia="Times New Roman" w:hAnsi="Times New Roman" w:cs="Times New Roman"/>
          <w:bCs w:val="0"/>
          <w:sz w:val="24"/>
          <w:szCs w:val="24"/>
          <w:lang w:val="en-US" w:eastAsia="de-DE"/>
        </w:rPr>
        <w:t>(2) Section 98 (1) no. 4 shall not proscribe recognition of a foreign judgment in a marital ma</w:t>
      </w:r>
      <w:r w:rsidRPr="00D4588C">
        <w:rPr>
          <w:rFonts w:ascii="Times New Roman" w:eastAsia="Times New Roman" w:hAnsi="Times New Roman" w:cs="Times New Roman"/>
          <w:bCs w:val="0"/>
          <w:sz w:val="24"/>
          <w:szCs w:val="24"/>
          <w:lang w:val="en-US" w:eastAsia="de-DE"/>
        </w:rPr>
        <w:t>t</w:t>
      </w:r>
      <w:r w:rsidRPr="00D4588C">
        <w:rPr>
          <w:rFonts w:ascii="Times New Roman" w:eastAsia="Times New Roman" w:hAnsi="Times New Roman" w:cs="Times New Roman"/>
          <w:bCs w:val="0"/>
          <w:sz w:val="24"/>
          <w:szCs w:val="24"/>
          <w:lang w:val="en-US" w:eastAsia="de-DE"/>
        </w:rPr>
        <w:t>ter when a spouse has his place of usual residence in the state in which its courts decided. If a foreign judgment in a marital matter is recognized by the states of which the spouses are n</w:t>
      </w:r>
      <w:r w:rsidRPr="00D4588C">
        <w:rPr>
          <w:rFonts w:ascii="Times New Roman" w:eastAsia="Times New Roman" w:hAnsi="Times New Roman" w:cs="Times New Roman"/>
          <w:bCs w:val="0"/>
          <w:sz w:val="24"/>
          <w:szCs w:val="24"/>
          <w:lang w:val="en-US" w:eastAsia="de-DE"/>
        </w:rPr>
        <w:t>a</w:t>
      </w:r>
      <w:r w:rsidRPr="00D4588C">
        <w:rPr>
          <w:rFonts w:ascii="Times New Roman" w:eastAsia="Times New Roman" w:hAnsi="Times New Roman" w:cs="Times New Roman"/>
          <w:bCs w:val="0"/>
          <w:sz w:val="24"/>
          <w:szCs w:val="24"/>
          <w:lang w:val="en-US" w:eastAsia="de-DE"/>
        </w:rPr>
        <w:t>tionals, section 98 shall proscribe recognition of the judgment.</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7" w:name="p0573"/>
      <w:bookmarkEnd w:id="27"/>
      <w:r w:rsidRPr="00D4588C">
        <w:rPr>
          <w:rFonts w:ascii="Times New Roman" w:eastAsia="Times New Roman" w:hAnsi="Times New Roman" w:cs="Times New Roman"/>
          <w:bCs w:val="0"/>
          <w:sz w:val="24"/>
          <w:szCs w:val="24"/>
          <w:lang w:val="en-US" w:eastAsia="de-DE"/>
        </w:rPr>
        <w:t>(3) Section 103 shall not proscribe recognition of a foreign decision in a life partnership ma</w:t>
      </w:r>
      <w:r w:rsidRPr="00D4588C">
        <w:rPr>
          <w:rFonts w:ascii="Times New Roman" w:eastAsia="Times New Roman" w:hAnsi="Times New Roman" w:cs="Times New Roman"/>
          <w:bCs w:val="0"/>
          <w:sz w:val="24"/>
          <w:szCs w:val="24"/>
          <w:lang w:val="en-US" w:eastAsia="de-DE"/>
        </w:rPr>
        <w:t>t</w:t>
      </w:r>
      <w:r w:rsidRPr="00D4588C">
        <w:rPr>
          <w:rFonts w:ascii="Times New Roman" w:eastAsia="Times New Roman" w:hAnsi="Times New Roman" w:cs="Times New Roman"/>
          <w:bCs w:val="0"/>
          <w:sz w:val="24"/>
          <w:szCs w:val="24"/>
          <w:lang w:val="en-US" w:eastAsia="de-DE"/>
        </w:rPr>
        <w:t>ter when the country that maintains the register recognizes the judgment.</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8" w:name="p0574"/>
      <w:bookmarkEnd w:id="28"/>
      <w:r w:rsidRPr="00D4588C">
        <w:rPr>
          <w:rFonts w:ascii="Times New Roman" w:eastAsia="Times New Roman" w:hAnsi="Times New Roman" w:cs="Times New Roman"/>
          <w:bCs w:val="0"/>
          <w:sz w:val="24"/>
          <w:szCs w:val="24"/>
          <w:lang w:val="en-US" w:eastAsia="de-DE"/>
        </w:rPr>
        <w:t>(4) Recognition of a foreign judgment relating to:</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29" w:name="p0575"/>
      <w:bookmarkEnd w:id="29"/>
      <w:r w:rsidRPr="00D4588C">
        <w:rPr>
          <w:rFonts w:ascii="Times New Roman" w:eastAsia="Times New Roman" w:hAnsi="Times New Roman" w:cs="Times New Roman"/>
          <w:bCs w:val="0"/>
          <w:sz w:val="24"/>
          <w:szCs w:val="24"/>
          <w:lang w:val="en-US" w:eastAsia="de-DE"/>
        </w:rPr>
        <w:t>1.  matters concerning family disputes;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0" w:name="p0576"/>
      <w:bookmarkEnd w:id="30"/>
      <w:r w:rsidRPr="00D4588C">
        <w:rPr>
          <w:rFonts w:ascii="Times New Roman" w:eastAsia="Times New Roman" w:hAnsi="Times New Roman" w:cs="Times New Roman"/>
          <w:bCs w:val="0"/>
          <w:sz w:val="24"/>
          <w:szCs w:val="24"/>
          <w:lang w:val="en-US" w:eastAsia="de-DE"/>
        </w:rPr>
        <w:t>2.  an obligation of care and support in the community of the life partners;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1" w:name="p0577"/>
      <w:bookmarkEnd w:id="31"/>
      <w:r w:rsidRPr="00D4588C">
        <w:rPr>
          <w:rFonts w:ascii="Times New Roman" w:eastAsia="Times New Roman" w:hAnsi="Times New Roman" w:cs="Times New Roman"/>
          <w:bCs w:val="0"/>
          <w:sz w:val="24"/>
          <w:szCs w:val="24"/>
          <w:lang w:val="en-US" w:eastAsia="de-DE"/>
        </w:rPr>
        <w:t>3.  governance of the legal relationship as to the joint residence and household objects of the life partners,</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2" w:name="p0578"/>
      <w:bookmarkEnd w:id="32"/>
      <w:r w:rsidRPr="00D4588C">
        <w:rPr>
          <w:rFonts w:ascii="Times New Roman" w:eastAsia="Times New Roman" w:hAnsi="Times New Roman" w:cs="Times New Roman"/>
          <w:bCs w:val="0"/>
          <w:sz w:val="24"/>
          <w:szCs w:val="24"/>
          <w:lang w:val="en-US" w:eastAsia="de-DE"/>
        </w:rPr>
        <w:t>4.  decisions pursuant to section 6 sentence 2 of the Act on Registered Life Partnerships in conjunction with sections 1382 and 1383 of the Civil Code, or</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3" w:name="p0579"/>
      <w:bookmarkEnd w:id="33"/>
      <w:r w:rsidRPr="00D4588C">
        <w:rPr>
          <w:rFonts w:ascii="Times New Roman" w:eastAsia="Times New Roman" w:hAnsi="Times New Roman" w:cs="Times New Roman"/>
          <w:bCs w:val="0"/>
          <w:sz w:val="24"/>
          <w:szCs w:val="24"/>
          <w:lang w:val="en-US" w:eastAsia="de-DE"/>
        </w:rPr>
        <w:t>5.  decisions pursuant to section 7 sentence 2 of the Act on Registered Life Partnerships in conjunction with sections 1426, 1430, and 1452 of the Civil Code</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4" w:name="p0580"/>
      <w:bookmarkEnd w:id="34"/>
      <w:r w:rsidRPr="00D4588C">
        <w:rPr>
          <w:rFonts w:ascii="Times New Roman" w:eastAsia="Times New Roman" w:hAnsi="Times New Roman" w:cs="Times New Roman"/>
          <w:bCs w:val="0"/>
          <w:sz w:val="24"/>
          <w:szCs w:val="24"/>
          <w:lang w:val="en-US" w:eastAsia="de-DE"/>
        </w:rPr>
        <w:t>shall also be excluded when reciprocity is not guaranteed.</w:t>
      </w:r>
    </w:p>
    <w:p w:rsidR="00D4588C" w:rsidRPr="00D4588C" w:rsidRDefault="00D4588C" w:rsidP="00D4588C">
      <w:pPr>
        <w:spacing w:before="100" w:beforeAutospacing="1" w:after="100" w:afterAutospacing="1" w:line="240" w:lineRule="auto"/>
        <w:rPr>
          <w:rFonts w:ascii="Times New Roman" w:eastAsia="Times New Roman" w:hAnsi="Times New Roman" w:cs="Times New Roman"/>
          <w:bCs w:val="0"/>
          <w:sz w:val="24"/>
          <w:szCs w:val="24"/>
          <w:lang w:val="en-US" w:eastAsia="de-DE"/>
        </w:rPr>
      </w:pPr>
      <w:bookmarkStart w:id="35" w:name="p0581"/>
      <w:bookmarkEnd w:id="35"/>
      <w:r w:rsidRPr="00D4588C">
        <w:rPr>
          <w:rFonts w:ascii="Times New Roman" w:eastAsia="Times New Roman" w:hAnsi="Times New Roman" w:cs="Times New Roman"/>
          <w:bCs w:val="0"/>
          <w:sz w:val="24"/>
          <w:szCs w:val="24"/>
          <w:lang w:val="en-US" w:eastAsia="de-DE"/>
        </w:rPr>
        <w:t>(5) An examination of the legitimacy of the foreign judgment shall not take place.</w:t>
      </w:r>
    </w:p>
    <w:p w:rsidR="00AB7CAC" w:rsidRPr="00E04197" w:rsidRDefault="00AB7CAC" w:rsidP="00534D19">
      <w:pPr>
        <w:rPr>
          <w:lang w:val="en-US"/>
        </w:rPr>
      </w:pPr>
    </w:p>
    <w:sectPr w:rsidR="00AB7CAC" w:rsidRPr="00E04197" w:rsidSect="00123525">
      <w:foot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D9" w:rsidRDefault="003700D9" w:rsidP="0040383B">
      <w:pPr>
        <w:spacing w:line="240" w:lineRule="auto"/>
      </w:pPr>
      <w:r>
        <w:separator/>
      </w:r>
    </w:p>
  </w:endnote>
  <w:endnote w:type="continuationSeparator" w:id="0">
    <w:p w:rsidR="003700D9" w:rsidRDefault="003700D9"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65415"/>
      <w:docPartObj>
        <w:docPartGallery w:val="Page Numbers (Bottom of Page)"/>
        <w:docPartUnique/>
      </w:docPartObj>
    </w:sdtPr>
    <w:sdtEndPr/>
    <w:sdtContent>
      <w:p w:rsidR="004F5541" w:rsidRDefault="004F5541">
        <w:pPr>
          <w:pStyle w:val="Fuzeile"/>
          <w:jc w:val="right"/>
        </w:pPr>
        <w:r>
          <w:fldChar w:fldCharType="begin"/>
        </w:r>
        <w:r>
          <w:instrText>PAGE   \* MERGEFORMAT</w:instrText>
        </w:r>
        <w:r>
          <w:fldChar w:fldCharType="separate"/>
        </w:r>
        <w:r w:rsidR="00926402">
          <w:rPr>
            <w:noProof/>
          </w:rPr>
          <w:t>2</w:t>
        </w:r>
        <w:r>
          <w:fldChar w:fldCharType="end"/>
        </w:r>
      </w:p>
    </w:sdtContent>
  </w:sdt>
  <w:p w:rsidR="004F5541" w:rsidRDefault="004F55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D9" w:rsidRDefault="003700D9" w:rsidP="0040383B">
      <w:pPr>
        <w:spacing w:line="240" w:lineRule="auto"/>
      </w:pPr>
      <w:r>
        <w:separator/>
      </w:r>
    </w:p>
  </w:footnote>
  <w:footnote w:type="continuationSeparator" w:id="0">
    <w:p w:rsidR="003700D9" w:rsidRDefault="003700D9" w:rsidP="004038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4">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6">
    <w:nsid w:val="4D451F88"/>
    <w:multiLevelType w:val="multilevel"/>
    <w:tmpl w:val="53C03C46"/>
    <w:numStyleLink w:val="ListeBMJnumerisch"/>
  </w:abstractNum>
  <w:abstractNum w:abstractNumId="7">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7"/>
  </w:num>
  <w:num w:numId="7">
    <w:abstractNumId w:val="2"/>
  </w:num>
  <w:num w:numId="8">
    <w:abstractNumId w:val="9"/>
  </w:num>
  <w:num w:numId="9">
    <w:abstractNumId w:val="1"/>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588C"/>
    <w:rsid w:val="00002A86"/>
    <w:rsid w:val="000055F3"/>
    <w:rsid w:val="000426FE"/>
    <w:rsid w:val="00042E1C"/>
    <w:rsid w:val="00074EBA"/>
    <w:rsid w:val="00085AF5"/>
    <w:rsid w:val="0009078F"/>
    <w:rsid w:val="000A6E17"/>
    <w:rsid w:val="000E0FEC"/>
    <w:rsid w:val="000E4083"/>
    <w:rsid w:val="000F6198"/>
    <w:rsid w:val="000F66D7"/>
    <w:rsid w:val="00105176"/>
    <w:rsid w:val="00113CDD"/>
    <w:rsid w:val="00123525"/>
    <w:rsid w:val="0013319C"/>
    <w:rsid w:val="001542CC"/>
    <w:rsid w:val="00156955"/>
    <w:rsid w:val="00180343"/>
    <w:rsid w:val="00183877"/>
    <w:rsid w:val="00184B7F"/>
    <w:rsid w:val="00197FB0"/>
    <w:rsid w:val="001B1914"/>
    <w:rsid w:val="001D3092"/>
    <w:rsid w:val="001E16EC"/>
    <w:rsid w:val="001E21BA"/>
    <w:rsid w:val="001E2B5E"/>
    <w:rsid w:val="001F428D"/>
    <w:rsid w:val="00215D6F"/>
    <w:rsid w:val="0022007E"/>
    <w:rsid w:val="00222167"/>
    <w:rsid w:val="00243D81"/>
    <w:rsid w:val="002504D5"/>
    <w:rsid w:val="00290132"/>
    <w:rsid w:val="002E0388"/>
    <w:rsid w:val="002F5190"/>
    <w:rsid w:val="00300FA8"/>
    <w:rsid w:val="0032266D"/>
    <w:rsid w:val="00324C1E"/>
    <w:rsid w:val="00356F60"/>
    <w:rsid w:val="003700D9"/>
    <w:rsid w:val="0037646A"/>
    <w:rsid w:val="00382F92"/>
    <w:rsid w:val="00383B22"/>
    <w:rsid w:val="00387BAE"/>
    <w:rsid w:val="0039683D"/>
    <w:rsid w:val="003B0EA6"/>
    <w:rsid w:val="003C1F8F"/>
    <w:rsid w:val="003E783A"/>
    <w:rsid w:val="00402967"/>
    <w:rsid w:val="0040383B"/>
    <w:rsid w:val="00404C16"/>
    <w:rsid w:val="004130B6"/>
    <w:rsid w:val="004222D7"/>
    <w:rsid w:val="00427427"/>
    <w:rsid w:val="00452AF0"/>
    <w:rsid w:val="004565D6"/>
    <w:rsid w:val="00475141"/>
    <w:rsid w:val="004768D9"/>
    <w:rsid w:val="0047760D"/>
    <w:rsid w:val="00480133"/>
    <w:rsid w:val="00481F13"/>
    <w:rsid w:val="00484192"/>
    <w:rsid w:val="0049447C"/>
    <w:rsid w:val="004D145A"/>
    <w:rsid w:val="004E0E8D"/>
    <w:rsid w:val="004F5541"/>
    <w:rsid w:val="00512123"/>
    <w:rsid w:val="00517BB7"/>
    <w:rsid w:val="005207CE"/>
    <w:rsid w:val="00523CF8"/>
    <w:rsid w:val="005346D5"/>
    <w:rsid w:val="00534D19"/>
    <w:rsid w:val="005443EC"/>
    <w:rsid w:val="00546A5E"/>
    <w:rsid w:val="00547613"/>
    <w:rsid w:val="0059030A"/>
    <w:rsid w:val="00595DC6"/>
    <w:rsid w:val="005B02E3"/>
    <w:rsid w:val="005F19B5"/>
    <w:rsid w:val="00607DD3"/>
    <w:rsid w:val="006152C4"/>
    <w:rsid w:val="00641773"/>
    <w:rsid w:val="006626D3"/>
    <w:rsid w:val="0066483E"/>
    <w:rsid w:val="0066691A"/>
    <w:rsid w:val="00681061"/>
    <w:rsid w:val="006A17B2"/>
    <w:rsid w:val="006A2DF8"/>
    <w:rsid w:val="006C200A"/>
    <w:rsid w:val="006C4498"/>
    <w:rsid w:val="006C5D36"/>
    <w:rsid w:val="006D52AB"/>
    <w:rsid w:val="006E6089"/>
    <w:rsid w:val="006F4213"/>
    <w:rsid w:val="006F66A1"/>
    <w:rsid w:val="00716826"/>
    <w:rsid w:val="00724C69"/>
    <w:rsid w:val="00727E81"/>
    <w:rsid w:val="0073606C"/>
    <w:rsid w:val="00740E12"/>
    <w:rsid w:val="00741987"/>
    <w:rsid w:val="00763534"/>
    <w:rsid w:val="007646AE"/>
    <w:rsid w:val="0076509E"/>
    <w:rsid w:val="00776210"/>
    <w:rsid w:val="00786349"/>
    <w:rsid w:val="00797FFC"/>
    <w:rsid w:val="007B35B4"/>
    <w:rsid w:val="007B7E12"/>
    <w:rsid w:val="007C13E4"/>
    <w:rsid w:val="007D2A8B"/>
    <w:rsid w:val="007E5B62"/>
    <w:rsid w:val="008037AC"/>
    <w:rsid w:val="0083270F"/>
    <w:rsid w:val="0083520F"/>
    <w:rsid w:val="00853C92"/>
    <w:rsid w:val="008778BE"/>
    <w:rsid w:val="008A0038"/>
    <w:rsid w:val="008A4F2C"/>
    <w:rsid w:val="008B35D3"/>
    <w:rsid w:val="008C17DF"/>
    <w:rsid w:val="00901C4C"/>
    <w:rsid w:val="00921664"/>
    <w:rsid w:val="00926402"/>
    <w:rsid w:val="0093456C"/>
    <w:rsid w:val="009345F1"/>
    <w:rsid w:val="0093743B"/>
    <w:rsid w:val="0097163B"/>
    <w:rsid w:val="00971AE5"/>
    <w:rsid w:val="00974B47"/>
    <w:rsid w:val="00983324"/>
    <w:rsid w:val="009907F5"/>
    <w:rsid w:val="009C5474"/>
    <w:rsid w:val="009D3A9D"/>
    <w:rsid w:val="00A16F51"/>
    <w:rsid w:val="00A23808"/>
    <w:rsid w:val="00A26AC6"/>
    <w:rsid w:val="00A31BEC"/>
    <w:rsid w:val="00A350AF"/>
    <w:rsid w:val="00A37412"/>
    <w:rsid w:val="00A51E81"/>
    <w:rsid w:val="00A71F5A"/>
    <w:rsid w:val="00A83A1E"/>
    <w:rsid w:val="00A86D72"/>
    <w:rsid w:val="00AB083E"/>
    <w:rsid w:val="00AB7CAC"/>
    <w:rsid w:val="00AC0482"/>
    <w:rsid w:val="00AD07AD"/>
    <w:rsid w:val="00AD36C9"/>
    <w:rsid w:val="00AD3B10"/>
    <w:rsid w:val="00AD6CC4"/>
    <w:rsid w:val="00AE611B"/>
    <w:rsid w:val="00AF5019"/>
    <w:rsid w:val="00AF6D1C"/>
    <w:rsid w:val="00B155FD"/>
    <w:rsid w:val="00B168DC"/>
    <w:rsid w:val="00B40E62"/>
    <w:rsid w:val="00B478F5"/>
    <w:rsid w:val="00B5194F"/>
    <w:rsid w:val="00B57C27"/>
    <w:rsid w:val="00B679BE"/>
    <w:rsid w:val="00B9269E"/>
    <w:rsid w:val="00BA113C"/>
    <w:rsid w:val="00BB1331"/>
    <w:rsid w:val="00BB60BC"/>
    <w:rsid w:val="00BC64B1"/>
    <w:rsid w:val="00BD3FDD"/>
    <w:rsid w:val="00C075F3"/>
    <w:rsid w:val="00C35844"/>
    <w:rsid w:val="00C46F45"/>
    <w:rsid w:val="00C5101D"/>
    <w:rsid w:val="00C60D39"/>
    <w:rsid w:val="00C65EF0"/>
    <w:rsid w:val="00C75610"/>
    <w:rsid w:val="00C82692"/>
    <w:rsid w:val="00C86E93"/>
    <w:rsid w:val="00C91A6F"/>
    <w:rsid w:val="00C9402D"/>
    <w:rsid w:val="00CA2DB2"/>
    <w:rsid w:val="00CC5D2F"/>
    <w:rsid w:val="00CD5C0A"/>
    <w:rsid w:val="00CE4C83"/>
    <w:rsid w:val="00CE4E7E"/>
    <w:rsid w:val="00CE4EC1"/>
    <w:rsid w:val="00CF2F75"/>
    <w:rsid w:val="00D024A5"/>
    <w:rsid w:val="00D257C1"/>
    <w:rsid w:val="00D4588C"/>
    <w:rsid w:val="00D538B0"/>
    <w:rsid w:val="00D6409C"/>
    <w:rsid w:val="00D6644D"/>
    <w:rsid w:val="00D70060"/>
    <w:rsid w:val="00D87011"/>
    <w:rsid w:val="00DC6211"/>
    <w:rsid w:val="00DD5E21"/>
    <w:rsid w:val="00DF7554"/>
    <w:rsid w:val="00E02977"/>
    <w:rsid w:val="00E04197"/>
    <w:rsid w:val="00E05339"/>
    <w:rsid w:val="00E10F2A"/>
    <w:rsid w:val="00E158BA"/>
    <w:rsid w:val="00E305B7"/>
    <w:rsid w:val="00E56118"/>
    <w:rsid w:val="00E577F7"/>
    <w:rsid w:val="00E57F67"/>
    <w:rsid w:val="00E6482A"/>
    <w:rsid w:val="00E86426"/>
    <w:rsid w:val="00EA2F6A"/>
    <w:rsid w:val="00EA4095"/>
    <w:rsid w:val="00EA55FE"/>
    <w:rsid w:val="00EA5B81"/>
    <w:rsid w:val="00EE4E87"/>
    <w:rsid w:val="00EF2A7D"/>
    <w:rsid w:val="00F0620F"/>
    <w:rsid w:val="00F06786"/>
    <w:rsid w:val="00F140AA"/>
    <w:rsid w:val="00F14CE1"/>
    <w:rsid w:val="00F15870"/>
    <w:rsid w:val="00F36753"/>
    <w:rsid w:val="00F428C6"/>
    <w:rsid w:val="00F42D34"/>
    <w:rsid w:val="00F43C56"/>
    <w:rsid w:val="00F53075"/>
    <w:rsid w:val="00F670CE"/>
    <w:rsid w:val="00F851BA"/>
    <w:rsid w:val="00F85D98"/>
    <w:rsid w:val="00F867AF"/>
    <w:rsid w:val="00F87EC4"/>
    <w:rsid w:val="00F929D3"/>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
    <w:qFormat/>
    <w:rsid w:val="004F5541"/>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val="0"/>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val="0"/>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val="0"/>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val="0"/>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val="0"/>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val="0"/>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val="0"/>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val="0"/>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val="0"/>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val="0"/>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val="0"/>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val="0"/>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uiPriority w:val="22"/>
    <w:qFormat/>
    <w:rsid w:val="00AE611B"/>
    <w:rPr>
      <w:b/>
      <w:bCs w:val="0"/>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val="0"/>
      <w:i/>
      <w:iCs/>
      <w:color w:val="4F81BD" w:themeColor="accent1"/>
    </w:rPr>
  </w:style>
  <w:style w:type="character" w:customStyle="1" w:styleId="IntensivesZitatZchn">
    <w:name w:val="Intensives Zitat Zchn"/>
    <w:basedOn w:val="Absatz-Standardschriftart"/>
    <w:link w:val="IntensivesZitat"/>
    <w:uiPriority w:val="30"/>
    <w:rsid w:val="00AE611B"/>
    <w:rPr>
      <w:b/>
      <w:bCs w:val="0"/>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val="0"/>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val="0"/>
      <w:smallCaps/>
      <w:color w:val="C0504D" w:themeColor="accent2"/>
      <w:spacing w:val="5"/>
      <w:u w:val="single"/>
    </w:rPr>
  </w:style>
  <w:style w:type="character" w:styleId="Buchtitel">
    <w:name w:val="Book Title"/>
    <w:basedOn w:val="Absatz-Standardschriftart"/>
    <w:uiPriority w:val="33"/>
    <w:qFormat/>
    <w:rsid w:val="00AE611B"/>
    <w:rPr>
      <w:b/>
      <w:bCs w:val="0"/>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paragraph" w:styleId="StandardWeb">
    <w:name w:val="Normal (Web)"/>
    <w:basedOn w:val="Standard"/>
    <w:uiPriority w:val="99"/>
    <w:semiHidden/>
    <w:unhideWhenUsed/>
    <w:rsid w:val="00D4588C"/>
    <w:pPr>
      <w:spacing w:before="100" w:beforeAutospacing="1" w:after="100" w:afterAutospacing="1" w:line="240" w:lineRule="auto"/>
    </w:pPr>
    <w:rPr>
      <w:rFonts w:ascii="Times New Roman" w:eastAsia="Times New Roman" w:hAnsi="Times New Roman" w:cs="Times New Roman"/>
      <w:bCs w:val="0"/>
      <w:sz w:val="24"/>
      <w:szCs w:val="24"/>
      <w:lang w:eastAsia="de-DE"/>
    </w:rPr>
  </w:style>
  <w:style w:type="paragraph" w:customStyle="1" w:styleId="liste1">
    <w:name w:val="liste1"/>
    <w:basedOn w:val="Standard"/>
    <w:rsid w:val="00D4588C"/>
    <w:pPr>
      <w:spacing w:before="100" w:beforeAutospacing="1" w:after="100" w:afterAutospacing="1" w:line="240" w:lineRule="auto"/>
    </w:pPr>
    <w:rPr>
      <w:rFonts w:ascii="Times New Roman" w:eastAsia="Times New Roman" w:hAnsi="Times New Roman" w:cs="Times New Roman"/>
      <w:bCs w:val="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
    <w:qFormat/>
    <w:rsid w:val="004F5541"/>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val="0"/>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val="0"/>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val="0"/>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val="0"/>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val="0"/>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val="0"/>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val="0"/>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val="0"/>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val="0"/>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val="0"/>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val="0"/>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val="0"/>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uiPriority w:val="22"/>
    <w:qFormat/>
    <w:rsid w:val="00AE611B"/>
    <w:rPr>
      <w:b/>
      <w:bCs w:val="0"/>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val="0"/>
      <w:i/>
      <w:iCs/>
      <w:color w:val="4F81BD" w:themeColor="accent1"/>
    </w:rPr>
  </w:style>
  <w:style w:type="character" w:customStyle="1" w:styleId="IntensivesZitatZchn">
    <w:name w:val="Intensives Zitat Zchn"/>
    <w:basedOn w:val="Absatz-Standardschriftart"/>
    <w:link w:val="IntensivesZitat"/>
    <w:uiPriority w:val="30"/>
    <w:rsid w:val="00AE611B"/>
    <w:rPr>
      <w:b/>
      <w:bCs w:val="0"/>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val="0"/>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val="0"/>
      <w:smallCaps/>
      <w:color w:val="C0504D" w:themeColor="accent2"/>
      <w:spacing w:val="5"/>
      <w:u w:val="single"/>
    </w:rPr>
  </w:style>
  <w:style w:type="character" w:styleId="Buchtitel">
    <w:name w:val="Book Title"/>
    <w:basedOn w:val="Absatz-Standardschriftart"/>
    <w:uiPriority w:val="33"/>
    <w:qFormat/>
    <w:rsid w:val="00AE611B"/>
    <w:rPr>
      <w:b/>
      <w:bCs w:val="0"/>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paragraph" w:styleId="StandardWeb">
    <w:name w:val="Normal (Web)"/>
    <w:basedOn w:val="Standard"/>
    <w:uiPriority w:val="99"/>
    <w:semiHidden/>
    <w:unhideWhenUsed/>
    <w:rsid w:val="00D4588C"/>
    <w:pPr>
      <w:spacing w:before="100" w:beforeAutospacing="1" w:after="100" w:afterAutospacing="1" w:line="240" w:lineRule="auto"/>
    </w:pPr>
    <w:rPr>
      <w:rFonts w:ascii="Times New Roman" w:eastAsia="Times New Roman" w:hAnsi="Times New Roman" w:cs="Times New Roman"/>
      <w:bCs w:val="0"/>
      <w:sz w:val="24"/>
      <w:szCs w:val="24"/>
      <w:lang w:eastAsia="de-DE"/>
    </w:rPr>
  </w:style>
  <w:style w:type="paragraph" w:customStyle="1" w:styleId="liste1">
    <w:name w:val="liste1"/>
    <w:basedOn w:val="Standard"/>
    <w:rsid w:val="00D4588C"/>
    <w:pPr>
      <w:spacing w:before="100" w:beforeAutospacing="1" w:after="100" w:afterAutospacing="1" w:line="240" w:lineRule="auto"/>
    </w:pPr>
    <w:rPr>
      <w:rFonts w:ascii="Times New Roman" w:eastAsia="Times New Roman" w:hAnsi="Times New Roman" w:cs="Times New Roman"/>
      <w:bCs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052269600">
      <w:bodyDiv w:val="1"/>
      <w:marLeft w:val="0"/>
      <w:marRight w:val="0"/>
      <w:marTop w:val="0"/>
      <w:marBottom w:val="0"/>
      <w:divBdr>
        <w:top w:val="none" w:sz="0" w:space="0" w:color="auto"/>
        <w:left w:val="none" w:sz="0" w:space="0" w:color="auto"/>
        <w:bottom w:val="none" w:sz="0" w:space="0" w:color="auto"/>
        <w:right w:val="none" w:sz="0" w:space="0" w:color="auto"/>
      </w:divBdr>
      <w:divsChild>
        <w:div w:id="1458913883">
          <w:marLeft w:val="0"/>
          <w:marRight w:val="0"/>
          <w:marTop w:val="0"/>
          <w:marBottom w:val="0"/>
          <w:divBdr>
            <w:top w:val="none" w:sz="0" w:space="0" w:color="auto"/>
            <w:left w:val="none" w:sz="0" w:space="0" w:color="auto"/>
            <w:bottom w:val="none" w:sz="0" w:space="0" w:color="auto"/>
            <w:right w:val="none" w:sz="0" w:space="0" w:color="auto"/>
          </w:divBdr>
          <w:divsChild>
            <w:div w:id="1982079624">
              <w:marLeft w:val="0"/>
              <w:marRight w:val="0"/>
              <w:marTop w:val="0"/>
              <w:marBottom w:val="0"/>
              <w:divBdr>
                <w:top w:val="none" w:sz="0" w:space="0" w:color="auto"/>
                <w:left w:val="none" w:sz="0" w:space="0" w:color="auto"/>
                <w:bottom w:val="none" w:sz="0" w:space="0" w:color="auto"/>
                <w:right w:val="none" w:sz="0" w:space="0" w:color="auto"/>
              </w:divBdr>
              <w:divsChild>
                <w:div w:id="1905220184">
                  <w:marLeft w:val="0"/>
                  <w:marRight w:val="0"/>
                  <w:marTop w:val="0"/>
                  <w:marBottom w:val="0"/>
                  <w:divBdr>
                    <w:top w:val="none" w:sz="0" w:space="0" w:color="auto"/>
                    <w:left w:val="none" w:sz="0" w:space="0" w:color="auto"/>
                    <w:bottom w:val="none" w:sz="0" w:space="0" w:color="auto"/>
                    <w:right w:val="none" w:sz="0" w:space="0" w:color="auto"/>
                  </w:divBdr>
                  <w:divsChild>
                    <w:div w:id="1645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A8E1BD-D0C8-4DA6-A07D-4B0886923C80}">
  <ds:schemaRefs>
    <ds:schemaRef ds:uri="http://schemas.openxmlformats.org/officeDocument/2006/bibliography"/>
  </ds:schemaRefs>
</ds:datastoreItem>
</file>

<file path=customXml/itemProps2.xml><?xml version="1.0" encoding="utf-8"?>
<ds:datastoreItem xmlns:ds="http://schemas.openxmlformats.org/officeDocument/2006/customXml" ds:itemID="{78D118CC-AEE0-4F98-A631-C6229A13400A}"/>
</file>

<file path=customXml/itemProps3.xml><?xml version="1.0" encoding="utf-8"?>
<ds:datastoreItem xmlns:ds="http://schemas.openxmlformats.org/officeDocument/2006/customXml" ds:itemID="{F60CFE9E-CD14-479A-A538-CCF85949B30B}"/>
</file>

<file path=customXml/itemProps4.xml><?xml version="1.0" encoding="utf-8"?>
<ds:datastoreItem xmlns:ds="http://schemas.openxmlformats.org/officeDocument/2006/customXml" ds:itemID="{0B31D005-92CB-4932-8660-C7C2D74A8CE2}"/>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Bundesministerium der Justiz</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 Hans-Jörg</dc:creator>
  <cp:lastModifiedBy>Racova, Jana (AA privat)</cp:lastModifiedBy>
  <cp:revision>5</cp:revision>
  <cp:lastPrinted>2012-08-16T12:26:00Z</cp:lastPrinted>
  <dcterms:created xsi:type="dcterms:W3CDTF">2019-05-29T09:25:00Z</dcterms:created>
  <dcterms:modified xsi:type="dcterms:W3CDTF">2019-05-29T12:36:00Z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