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AF0" w:rsidRDefault="002C5AF0" w:rsidP="002C5AF0">
      <w:pPr>
        <w:spacing w:line="240" w:lineRule="auto"/>
        <w:rPr>
          <w:rFonts w:cs="Arial"/>
          <w:b/>
          <w:sz w:val="22"/>
        </w:rPr>
      </w:pPr>
    </w:p>
    <w:p w:rsidR="00675305" w:rsidRPr="00675305" w:rsidRDefault="00AE316F" w:rsidP="00B955A1">
      <w:pPr>
        <w:spacing w:after="120"/>
        <w:jc w:val="center"/>
        <w:rPr>
          <w:rFonts w:cs="Arial"/>
          <w:b/>
          <w:smallCaps/>
          <w:sz w:val="22"/>
          <w:lang w:val="es-BO"/>
        </w:rPr>
      </w:pPr>
      <w:bookmarkStart w:id="0" w:name="_Hlk42542428"/>
      <w:r w:rsidRPr="00096880">
        <w:rPr>
          <w:rFonts w:cs="Arial"/>
          <w:b/>
          <w:smallCaps/>
          <w:sz w:val="22"/>
        </w:rPr>
        <w:t xml:space="preserve">Respuestas de la Comisión Nacional de los Derechos Humanos de México (CNDH) al Cuestionario </w:t>
      </w:r>
      <w:r w:rsidR="00675305">
        <w:rPr>
          <w:rFonts w:cs="Arial"/>
          <w:b/>
          <w:smallCaps/>
          <w:sz w:val="22"/>
          <w:lang w:val="es-ES"/>
        </w:rPr>
        <w:t>de la Sra.</w:t>
      </w:r>
      <w:r w:rsidR="00675305" w:rsidRPr="00675305">
        <w:rPr>
          <w:rFonts w:eastAsia="Times New Roman" w:cs="Arial"/>
          <w:szCs w:val="24"/>
          <w:lang w:val="es-BO" w:eastAsia="es-ES"/>
        </w:rPr>
        <w:t xml:space="preserve"> </w:t>
      </w:r>
      <w:r w:rsidR="00675305" w:rsidRPr="00675305">
        <w:rPr>
          <w:rFonts w:cs="Arial"/>
          <w:b/>
          <w:smallCaps/>
          <w:sz w:val="22"/>
          <w:lang w:val="es-BO"/>
        </w:rPr>
        <w:t>Mama Fatima Singhateh, Relatora Especial sobre la venta y la explotación sexual de niños, incluida la prostitución infantil, la utilización de niños en la pornografía y demás material que muestre abusos sexuales de menores.</w:t>
      </w:r>
    </w:p>
    <w:p w:rsidR="00675305" w:rsidRDefault="00675305" w:rsidP="00675305">
      <w:pPr>
        <w:spacing w:after="120"/>
        <w:jc w:val="center"/>
        <w:rPr>
          <w:rFonts w:cs="Arial"/>
          <w:b/>
          <w:smallCaps/>
          <w:sz w:val="22"/>
          <w:lang w:val="es-BO"/>
        </w:rPr>
      </w:pPr>
      <w:r>
        <w:rPr>
          <w:rFonts w:cs="Arial"/>
          <w:b/>
          <w:smallCaps/>
          <w:sz w:val="22"/>
          <w:lang w:val="es-ES"/>
        </w:rPr>
        <w:t xml:space="preserve"> </w:t>
      </w:r>
      <w:r w:rsidR="00AE316F" w:rsidRPr="00096880">
        <w:rPr>
          <w:rFonts w:cs="Arial"/>
          <w:smallCaps/>
          <w:sz w:val="22"/>
          <w:lang w:val="es-BO" w:eastAsia="es-ES"/>
        </w:rPr>
        <w:t xml:space="preserve"> </w:t>
      </w:r>
    </w:p>
    <w:p w:rsidR="00B955A1" w:rsidRPr="004E2828" w:rsidRDefault="00B955A1" w:rsidP="00B955A1">
      <w:pPr>
        <w:numPr>
          <w:ilvl w:val="0"/>
          <w:numId w:val="6"/>
        </w:numPr>
        <w:spacing w:after="120" w:line="240" w:lineRule="auto"/>
        <w:jc w:val="both"/>
        <w:rPr>
          <w:rFonts w:cs="Arial"/>
          <w:b/>
          <w:bCs/>
          <w:sz w:val="22"/>
          <w:lang w:val="es-ES"/>
        </w:rPr>
      </w:pPr>
      <w:r w:rsidRPr="0012322C">
        <w:rPr>
          <w:rFonts w:cs="Arial"/>
          <w:b/>
          <w:bCs/>
          <w:sz w:val="22"/>
          <w:lang w:val="es-ES"/>
        </w:rPr>
        <w:t>¿Cuál es el impacto de la crisis de COVID-19 en la naturaleza y el alcance de las</w:t>
      </w:r>
      <w:r w:rsidRPr="004E2828">
        <w:rPr>
          <w:rFonts w:cs="Arial"/>
          <w:b/>
          <w:bCs/>
          <w:sz w:val="22"/>
          <w:lang w:val="es-ES"/>
        </w:rPr>
        <w:t xml:space="preserve"> diversas manifestaciones de la venta y la explotación sexual de niños y niñas, incluidos la explotación y el abuso sexuales de los niños y niñas, también online; el matrimonio infantil; la trata de niños y niñas; el alquiler y la venta de niños y niñas; las adopciones ilegales y el trabajo infantil? </w:t>
      </w:r>
    </w:p>
    <w:p w:rsidR="00C7443A" w:rsidRPr="003C76E4" w:rsidRDefault="00C7443A" w:rsidP="00C7443A">
      <w:pPr>
        <w:spacing w:after="60"/>
        <w:jc w:val="both"/>
        <w:rPr>
          <w:rFonts w:cs="Arial"/>
          <w:sz w:val="22"/>
        </w:rPr>
      </w:pPr>
      <w:r w:rsidRPr="003C76E4">
        <w:rPr>
          <w:rFonts w:cs="Arial"/>
          <w:sz w:val="22"/>
        </w:rPr>
        <w:t xml:space="preserve">En ocasión del día de </w:t>
      </w:r>
      <w:r>
        <w:rPr>
          <w:rFonts w:cs="Arial"/>
          <w:sz w:val="22"/>
        </w:rPr>
        <w:t>la Niñez en México (30 de abril)</w:t>
      </w:r>
      <w:r w:rsidRPr="003C76E4">
        <w:rPr>
          <w:rFonts w:cs="Arial"/>
          <w:sz w:val="22"/>
        </w:rPr>
        <w:t xml:space="preserve"> </w:t>
      </w:r>
      <w:r w:rsidR="00E55441">
        <w:rPr>
          <w:rFonts w:cs="Arial"/>
          <w:sz w:val="22"/>
        </w:rPr>
        <w:t>la</w:t>
      </w:r>
      <w:r w:rsidRPr="003C76E4">
        <w:rPr>
          <w:rFonts w:cs="Arial"/>
          <w:sz w:val="22"/>
        </w:rPr>
        <w:t xml:space="preserve"> </w:t>
      </w:r>
      <w:r w:rsidR="00E55441">
        <w:rPr>
          <w:rFonts w:cs="Arial"/>
          <w:sz w:val="22"/>
        </w:rPr>
        <w:t>Comisión Nacional de los Derechos Humanos de México</w:t>
      </w:r>
      <w:r w:rsidRPr="003C76E4">
        <w:rPr>
          <w:rFonts w:cs="Arial"/>
          <w:sz w:val="22"/>
        </w:rPr>
        <w:t xml:space="preserve"> manifestó su preocupación por los impactos negativos en el ejercicio de los derechos de niñas, niños y adolescentes, y en su bienestar físico y emocional, como consecuencia de las medidas de la emergencia sanitaria derivadas de la pandemia de COVID-19; por lo que solicitó al Gobierno mexicano tomar en cuenta las medidas y mejores prácticas internacionales a fin de atenuar sus efectos y especialmente sean protegidos de los diversos tipos de violencia.</w:t>
      </w:r>
    </w:p>
    <w:p w:rsidR="00C7443A" w:rsidRPr="003C76E4" w:rsidRDefault="00C7443A" w:rsidP="00C7443A">
      <w:pPr>
        <w:spacing w:after="60"/>
        <w:jc w:val="both"/>
        <w:rPr>
          <w:rFonts w:cs="Arial"/>
          <w:sz w:val="22"/>
        </w:rPr>
      </w:pPr>
      <w:r w:rsidRPr="003C76E4">
        <w:rPr>
          <w:rFonts w:cs="Arial"/>
          <w:sz w:val="22"/>
        </w:rPr>
        <w:t xml:space="preserve">En el contexto de la Pandemia esta CNDH ha identificado los siguientes ámbitos de riesgo para niñas, niños y adolescencias vinculados con la explotación y trata de personas menores de 18 años, y otras prácticas ilícitas. </w:t>
      </w:r>
    </w:p>
    <w:p w:rsidR="00C7443A" w:rsidRPr="00C7443A" w:rsidRDefault="00C7443A" w:rsidP="00C7443A">
      <w:pPr>
        <w:pStyle w:val="ListParagraph"/>
        <w:numPr>
          <w:ilvl w:val="0"/>
          <w:numId w:val="9"/>
        </w:numPr>
        <w:spacing w:after="60" w:line="240" w:lineRule="auto"/>
        <w:jc w:val="both"/>
        <w:rPr>
          <w:rFonts w:cs="Arial"/>
          <w:b/>
          <w:sz w:val="22"/>
        </w:rPr>
      </w:pPr>
      <w:r w:rsidRPr="00FA4FD9">
        <w:rPr>
          <w:rFonts w:cs="Arial"/>
          <w:b/>
          <w:sz w:val="22"/>
        </w:rPr>
        <w:t xml:space="preserve">Tecnologías de la información y comunicación. </w:t>
      </w:r>
    </w:p>
    <w:p w:rsidR="00C7443A" w:rsidRPr="003C76E4" w:rsidRDefault="00C7443A" w:rsidP="00C7443A">
      <w:pPr>
        <w:spacing w:after="60"/>
        <w:jc w:val="both"/>
        <w:rPr>
          <w:rFonts w:cs="Arial"/>
          <w:sz w:val="22"/>
        </w:rPr>
      </w:pPr>
      <w:r w:rsidRPr="003C76E4">
        <w:rPr>
          <w:rFonts w:cs="Arial"/>
          <w:sz w:val="22"/>
        </w:rPr>
        <w:t xml:space="preserve">Las restricciones a la movilidad que las autoridades de salud han implementado como parte </w:t>
      </w:r>
      <w:proofErr w:type="gramStart"/>
      <w:r w:rsidRPr="003C76E4">
        <w:rPr>
          <w:rFonts w:cs="Arial"/>
          <w:sz w:val="22"/>
        </w:rPr>
        <w:t>de</w:t>
      </w:r>
      <w:proofErr w:type="gramEnd"/>
      <w:r w:rsidRPr="003C76E4">
        <w:rPr>
          <w:rFonts w:cs="Arial"/>
          <w:sz w:val="22"/>
        </w:rPr>
        <w:t xml:space="preserve"> la prevención del COVID</w:t>
      </w:r>
      <w:r>
        <w:rPr>
          <w:rFonts w:cs="Arial"/>
          <w:sz w:val="22"/>
        </w:rPr>
        <w:t>-</w:t>
      </w:r>
      <w:r w:rsidRPr="003C76E4">
        <w:rPr>
          <w:rFonts w:cs="Arial"/>
          <w:sz w:val="22"/>
        </w:rPr>
        <w:t>19, han generado que niñas, niños y adolescentes destinen más tiempo al uso de las tecnologías de la información a través de dispositivos como los teléfonos inteligentes, videojuegos</w:t>
      </w:r>
      <w:r>
        <w:rPr>
          <w:rFonts w:cs="Arial"/>
          <w:sz w:val="22"/>
        </w:rPr>
        <w:t xml:space="preserve"> y </w:t>
      </w:r>
      <w:r w:rsidRPr="003C76E4">
        <w:rPr>
          <w:rFonts w:cs="Arial"/>
          <w:sz w:val="22"/>
        </w:rPr>
        <w:t>tabletas o computadoras</w:t>
      </w:r>
      <w:r>
        <w:rPr>
          <w:rFonts w:cs="Arial"/>
          <w:sz w:val="22"/>
        </w:rPr>
        <w:t>. D</w:t>
      </w:r>
      <w:r w:rsidRPr="003C76E4">
        <w:rPr>
          <w:rFonts w:cs="Arial"/>
          <w:sz w:val="22"/>
        </w:rPr>
        <w:t xml:space="preserve">ichos dispositivos funcionan como la única manera de que niñas, niños y adolescentes realicen actividades educativas, culturales, de recreación y esparcimiento, y sea el único medio para que socialicen con sus pares y familiares. </w:t>
      </w:r>
    </w:p>
    <w:p w:rsidR="00C7443A" w:rsidRPr="003C76E4" w:rsidRDefault="00C7443A" w:rsidP="00C7443A">
      <w:pPr>
        <w:spacing w:after="60"/>
        <w:jc w:val="both"/>
        <w:rPr>
          <w:rFonts w:cs="Arial"/>
          <w:sz w:val="22"/>
        </w:rPr>
      </w:pPr>
      <w:r w:rsidRPr="003C76E4">
        <w:rPr>
          <w:rFonts w:cs="Arial"/>
          <w:sz w:val="22"/>
        </w:rPr>
        <w:t>Datos previos a la emergencia sanitaria, emitidos por el Instituto Nacional de Estadística y Geografía (INEGI), señalan que para 2019, en México existían 80.5 millones de usuarios de internet, y el grupo de edad que concentra un mayor número de usuarios es de 18 a 24 años con una participación del 91.2%, El segundo grupo de edad donde el uso de Internet está más generalizado es el de 12 a 17 años, con 87.8%. Sin embargo, ante el fenómeno sanitario que actualmente se enfrenta y sus</w:t>
      </w:r>
      <w:r w:rsidR="00E55441">
        <w:rPr>
          <w:rFonts w:cs="Arial"/>
          <w:sz w:val="22"/>
        </w:rPr>
        <w:t xml:space="preserve"> </w:t>
      </w:r>
      <w:r w:rsidRPr="003C76E4">
        <w:rPr>
          <w:rFonts w:cs="Arial"/>
          <w:sz w:val="22"/>
        </w:rPr>
        <w:t>implicaciones, es posible que dichos porcentajes hayan aumentado</w:t>
      </w:r>
      <w:r>
        <w:rPr>
          <w:rFonts w:cs="Arial"/>
          <w:sz w:val="22"/>
        </w:rPr>
        <w:t xml:space="preserve">, </w:t>
      </w:r>
      <w:r w:rsidRPr="003C76E4">
        <w:rPr>
          <w:rFonts w:cs="Arial"/>
          <w:sz w:val="22"/>
        </w:rPr>
        <w:t xml:space="preserve">incluyendo a personas usuarias de menor edad. </w:t>
      </w:r>
    </w:p>
    <w:p w:rsidR="00C7443A" w:rsidRPr="003C76E4" w:rsidRDefault="00C7443A" w:rsidP="00C7443A">
      <w:pPr>
        <w:spacing w:after="60"/>
        <w:jc w:val="both"/>
        <w:rPr>
          <w:rFonts w:cs="Arial"/>
          <w:sz w:val="22"/>
        </w:rPr>
      </w:pPr>
      <w:r w:rsidRPr="003C76E4">
        <w:rPr>
          <w:rFonts w:cs="Arial"/>
          <w:sz w:val="22"/>
        </w:rPr>
        <w:t xml:space="preserve">El incremento en el uso del internet y sus plataformas, aunado a la ausencia en la supervisión u orientación de madres, padres y/o cuidadores sobre el uso responsable de las tecnologías de la información, ha generado que niñas, niños y adolescentes queden expuestos a ser acechados por delincuentes o agresores sexuales que aprovechan el anonimato, y ser víctimas de abusos que comprometan su integridad física y emocional. </w:t>
      </w:r>
    </w:p>
    <w:p w:rsidR="00E55441" w:rsidRDefault="00C7443A" w:rsidP="00C7443A">
      <w:pPr>
        <w:spacing w:after="60"/>
        <w:jc w:val="both"/>
        <w:rPr>
          <w:rFonts w:cs="Arial"/>
          <w:sz w:val="22"/>
        </w:rPr>
      </w:pPr>
      <w:r w:rsidRPr="003C76E4">
        <w:rPr>
          <w:rFonts w:cs="Arial"/>
          <w:sz w:val="22"/>
        </w:rPr>
        <w:t xml:space="preserve">Conductas cometidas en el ciberespacio como amenazas, difamación, hostigamiento el robo de identidad, fraude o intentos de extorsión, existe también el riesgo de ingresar a páginas o sitios de internet e infectar los dispositivos electrónicos con códigos maliciosos, o el robo de identidad, tener en cuenta, información o noticias falsas, otros de los riesgos latentes para niñas, niños y adolescentes son los retos virales, el ciberacoso, que consiste en amenazas, </w:t>
      </w:r>
    </w:p>
    <w:p w:rsidR="00E55441" w:rsidRDefault="00E55441" w:rsidP="00C7443A">
      <w:pPr>
        <w:spacing w:after="60"/>
        <w:jc w:val="both"/>
        <w:rPr>
          <w:rFonts w:cs="Arial"/>
          <w:sz w:val="22"/>
        </w:rPr>
      </w:pPr>
    </w:p>
    <w:p w:rsidR="00E55441" w:rsidRDefault="00E55441" w:rsidP="00C7443A">
      <w:pPr>
        <w:spacing w:after="60"/>
        <w:jc w:val="both"/>
        <w:rPr>
          <w:rFonts w:cs="Arial"/>
          <w:sz w:val="22"/>
        </w:rPr>
      </w:pPr>
    </w:p>
    <w:p w:rsidR="00C7443A" w:rsidRDefault="00C7443A" w:rsidP="00C7443A">
      <w:pPr>
        <w:spacing w:after="60"/>
        <w:jc w:val="both"/>
        <w:rPr>
          <w:rFonts w:cs="Arial"/>
          <w:sz w:val="22"/>
        </w:rPr>
      </w:pPr>
      <w:r w:rsidRPr="003C76E4">
        <w:rPr>
          <w:rFonts w:cs="Arial"/>
          <w:sz w:val="22"/>
        </w:rPr>
        <w:t xml:space="preserve">comentarios hirientes, difusión de agresiones o imágenes que dañan la salud mental de la víctima, así como el envío de imágenes o vídeos de contenidos de índole sexual entre adolescentes, popularmente conocido como </w:t>
      </w:r>
      <w:r w:rsidRPr="003C76E4">
        <w:rPr>
          <w:rFonts w:cs="Arial"/>
          <w:i/>
          <w:sz w:val="22"/>
        </w:rPr>
        <w:t>sexting</w:t>
      </w:r>
      <w:r w:rsidRPr="003C76E4">
        <w:rPr>
          <w:rFonts w:cs="Arial"/>
          <w:sz w:val="22"/>
        </w:rPr>
        <w:t xml:space="preserve">, o la obtención ilícita de este material gráfico; dichas actividades se pueden asociar con delitos como la pornografía infantil, o bien niñas, niños y adolescentes pueden ser víctimas trata de personas, a través del enganche mediante la promesa de trabajos falsos o de relaciones amorosas. </w:t>
      </w:r>
    </w:p>
    <w:p w:rsidR="00B13471" w:rsidRDefault="00C7443A" w:rsidP="00C7443A">
      <w:pPr>
        <w:spacing w:after="60"/>
        <w:jc w:val="both"/>
        <w:rPr>
          <w:rFonts w:cs="Arial"/>
          <w:sz w:val="22"/>
        </w:rPr>
      </w:pPr>
      <w:r w:rsidRPr="00AA17CE">
        <w:rPr>
          <w:rFonts w:cs="Arial"/>
          <w:sz w:val="22"/>
        </w:rPr>
        <w:t>Aunque se calculó una disminución del 12% en la actividad maliciosa en internet durante el periodo de diciembre de 2019 a febrero del 2020, esta cifra incrementó un 14% durante los meses de marzo y abril, periodo correspondiente a la emergencia sanitaria, explicó el titular de la Dirección General Científica de la Guardia Nacional, Radamés Hernández Alemán.En cuanto a la pornografía infantil, la Guardia Nacional calcula un incremento del 73% durante el lapso de marzo y abril; además reportaron que el 80% de dicha actividad se transmite por medio de Facebook.</w:t>
      </w:r>
      <w:r>
        <w:rPr>
          <w:rStyle w:val="FootnoteReference"/>
          <w:rFonts w:cs="Arial"/>
          <w:sz w:val="22"/>
        </w:rPr>
        <w:footnoteReference w:id="1"/>
      </w:r>
    </w:p>
    <w:p w:rsidR="00B13471" w:rsidRPr="00B13471" w:rsidRDefault="00B13471" w:rsidP="00B13471">
      <w:pPr>
        <w:spacing w:after="60"/>
        <w:jc w:val="both"/>
        <w:rPr>
          <w:rFonts w:cs="Arial"/>
          <w:color w:val="4472C4" w:themeColor="accent5"/>
          <w:sz w:val="22"/>
        </w:rPr>
      </w:pPr>
      <w:r w:rsidRPr="00B13471">
        <w:rPr>
          <w:rFonts w:cs="Arial"/>
          <w:color w:val="4472C4" w:themeColor="accent5"/>
          <w:sz w:val="22"/>
        </w:rPr>
        <w:t>The restrictions on mobility that the health authorities have implemented as part of the prevention of COVID-19, have resulted in girls, boys, and adolescents spending more time using information technologies through devices such as smartphones, video games and tablets or computers. These devices work as the only way for children and adolescents to carry out educational, cultural, recreational and leisure activities, and it is the only way for them to socialize with their peers and relatives.</w:t>
      </w:r>
    </w:p>
    <w:p w:rsidR="00B13471" w:rsidRPr="00B13471" w:rsidRDefault="00B13471" w:rsidP="00B13471">
      <w:pPr>
        <w:spacing w:after="60"/>
        <w:jc w:val="both"/>
        <w:rPr>
          <w:rFonts w:cs="Arial"/>
          <w:color w:val="4472C4" w:themeColor="accent5"/>
          <w:sz w:val="22"/>
        </w:rPr>
      </w:pPr>
      <w:r w:rsidRPr="00B13471">
        <w:rPr>
          <w:rFonts w:cs="Arial"/>
          <w:color w:val="4472C4" w:themeColor="accent5"/>
          <w:sz w:val="22"/>
        </w:rPr>
        <w:t>Data prior to the health emergency, issued by the National Institute of Statistics and Geography (INEGI), indicate that by 2019, there were 80.5 million Internet users in Mexico, and the age group that concentrates the largest number of users is 18 to 24 years with a participation of 91.2%, The second age group where Internet use is more widespread is that of 12 to 17 years, with 87.8%. However, given the health phenomenon that it is currently facing and its implications, it is possible that these percentages have increased, including younger users.</w:t>
      </w:r>
    </w:p>
    <w:p w:rsidR="00B13471" w:rsidRPr="00B13471" w:rsidRDefault="00B13471" w:rsidP="00B13471">
      <w:pPr>
        <w:spacing w:after="60"/>
        <w:jc w:val="both"/>
        <w:rPr>
          <w:rFonts w:cs="Arial"/>
          <w:color w:val="4472C4" w:themeColor="accent5"/>
          <w:sz w:val="22"/>
        </w:rPr>
      </w:pPr>
      <w:r w:rsidRPr="00B13471">
        <w:rPr>
          <w:rFonts w:cs="Arial"/>
          <w:color w:val="4472C4" w:themeColor="accent5"/>
          <w:sz w:val="22"/>
        </w:rPr>
        <w:t>The increase in the use of the internet and its platforms, together with the absence in the supervision or guidance of mothers, fathers and / or caregivers on the responsible use of information technologies, has led to girls, boys and adolescents being exposed to being stalked by criminals or sexual assailants who take advantage of anonymity, and being victims of abuse that compromises their physical and emotional integrity.</w:t>
      </w:r>
    </w:p>
    <w:p w:rsidR="00B13471" w:rsidRPr="00B13471" w:rsidRDefault="00B13471" w:rsidP="00B13471">
      <w:pPr>
        <w:spacing w:after="60"/>
        <w:jc w:val="both"/>
        <w:rPr>
          <w:rFonts w:cs="Arial"/>
          <w:color w:val="4472C4" w:themeColor="accent5"/>
          <w:sz w:val="22"/>
        </w:rPr>
      </w:pPr>
      <w:r w:rsidRPr="00B13471">
        <w:rPr>
          <w:rFonts w:cs="Arial"/>
          <w:color w:val="4472C4" w:themeColor="accent5"/>
          <w:sz w:val="22"/>
        </w:rPr>
        <w:t>Behaviors committed in cyberspace such as threats, defamation, harassment, identity theft, fraud or extortion attempts, there is also the risk of entering web pages or sites and infecting electronic devices with malicious codes, or identity theft, having account, false information or news, other of the latent risks for girls, boys and adolescents are viral challenges, cyberbully</w:t>
      </w:r>
      <w:r w:rsidRPr="00B13471">
        <w:rPr>
          <w:rFonts w:cs="Arial"/>
          <w:color w:val="4472C4" w:themeColor="accent5"/>
          <w:sz w:val="22"/>
        </w:rPr>
        <w:t xml:space="preserve">ing, which consists of threats, </w:t>
      </w:r>
      <w:r w:rsidRPr="00B13471">
        <w:rPr>
          <w:rFonts w:cs="Arial"/>
          <w:color w:val="4472C4" w:themeColor="accent5"/>
          <w:sz w:val="22"/>
        </w:rPr>
        <w:t>hurtful comments, dissemination of attacks or images that harm the mental health of the victim, as well as the sending of images or videos of content of a sexual nature among adolescents, popularly known as sexting, or the unlawful obtaining of this graphic material; Such activities may be associated with crimes such as child pornography, or girls, boys and adolescents may be victims of human trafficking, through hooking up by promising false jobs or love relationships.</w:t>
      </w:r>
    </w:p>
    <w:p w:rsidR="00B13471" w:rsidRPr="00B13471" w:rsidRDefault="00B13471" w:rsidP="00B13471">
      <w:pPr>
        <w:spacing w:after="60"/>
        <w:jc w:val="both"/>
        <w:rPr>
          <w:rFonts w:cs="Arial"/>
          <w:color w:val="4472C4" w:themeColor="accent5"/>
          <w:sz w:val="22"/>
        </w:rPr>
      </w:pPr>
      <w:r w:rsidRPr="00B13471">
        <w:rPr>
          <w:rFonts w:cs="Arial"/>
          <w:color w:val="4472C4" w:themeColor="accent5"/>
          <w:sz w:val="22"/>
        </w:rPr>
        <w:t xml:space="preserve">Although a 12% decrease in malicious activity on the internet was calculated during the period from December 2019 to February 2020, this figure increased by 14% during the months of March and April, the period corresponding to the health emergency, explained the minister. </w:t>
      </w:r>
      <w:proofErr w:type="gramStart"/>
      <w:r w:rsidRPr="00B13471">
        <w:rPr>
          <w:rFonts w:cs="Arial"/>
          <w:color w:val="4472C4" w:themeColor="accent5"/>
          <w:sz w:val="22"/>
        </w:rPr>
        <w:t>from</w:t>
      </w:r>
      <w:proofErr w:type="gramEnd"/>
      <w:r w:rsidRPr="00B13471">
        <w:rPr>
          <w:rFonts w:cs="Arial"/>
          <w:color w:val="4472C4" w:themeColor="accent5"/>
          <w:sz w:val="22"/>
        </w:rPr>
        <w:t xml:space="preserve"> the Scientific General Directorate of the National Guard, Radamés Hernández Alemán. Regarding child pornography, the National Guard calculates an increase of 73% during the period of March and April; They also reported that 80% of said activity is transmitted through Facebook.</w:t>
      </w:r>
    </w:p>
    <w:p w:rsidR="00C7443A" w:rsidRPr="00B13471" w:rsidRDefault="00C7443A" w:rsidP="00C7443A">
      <w:pPr>
        <w:spacing w:after="60"/>
        <w:jc w:val="both"/>
        <w:rPr>
          <w:rFonts w:cs="Arial"/>
          <w:color w:val="4472C4" w:themeColor="accent5"/>
          <w:sz w:val="22"/>
        </w:rPr>
      </w:pPr>
    </w:p>
    <w:p w:rsidR="00C7443A" w:rsidRPr="00FA4FD9" w:rsidRDefault="00C7443A" w:rsidP="00C7443A">
      <w:pPr>
        <w:pStyle w:val="ListParagraph"/>
        <w:numPr>
          <w:ilvl w:val="0"/>
          <w:numId w:val="9"/>
        </w:numPr>
        <w:spacing w:after="60" w:line="240" w:lineRule="auto"/>
        <w:jc w:val="both"/>
        <w:rPr>
          <w:rFonts w:cs="Arial"/>
          <w:b/>
          <w:sz w:val="22"/>
        </w:rPr>
      </w:pPr>
      <w:r w:rsidRPr="00FA4FD9">
        <w:rPr>
          <w:rFonts w:cs="Arial"/>
          <w:b/>
          <w:sz w:val="22"/>
        </w:rPr>
        <w:t>Contextos de pobreza y situaciones adversas.</w:t>
      </w:r>
    </w:p>
    <w:p w:rsidR="00C7443A" w:rsidRPr="003C76E4" w:rsidRDefault="00C7443A" w:rsidP="00C7443A">
      <w:pPr>
        <w:spacing w:after="60"/>
        <w:jc w:val="both"/>
        <w:rPr>
          <w:rFonts w:cs="Arial"/>
          <w:sz w:val="22"/>
        </w:rPr>
      </w:pPr>
      <w:r w:rsidRPr="003C76E4">
        <w:rPr>
          <w:rFonts w:cs="Arial"/>
          <w:sz w:val="22"/>
        </w:rPr>
        <w:t>Las prácticas asociadas con la explotación infantil se ligan a la pobreza, la discriminación y la falta de políticas sociales y de acceso a una educación adecuada y de calidad.</w:t>
      </w:r>
      <w:r w:rsidRPr="003C76E4">
        <w:rPr>
          <w:rStyle w:val="FootnoteReference"/>
          <w:rFonts w:cs="Arial"/>
          <w:sz w:val="22"/>
        </w:rPr>
        <w:footnoteReference w:id="2"/>
      </w:r>
    </w:p>
    <w:p w:rsidR="00C7443A" w:rsidRPr="003C76E4" w:rsidRDefault="00C7443A" w:rsidP="00C7443A">
      <w:pPr>
        <w:spacing w:after="60"/>
        <w:jc w:val="both"/>
        <w:rPr>
          <w:rFonts w:cs="Arial"/>
          <w:b/>
          <w:sz w:val="22"/>
        </w:rPr>
      </w:pPr>
      <w:r w:rsidRPr="003C76E4">
        <w:rPr>
          <w:rFonts w:cs="Arial"/>
          <w:b/>
          <w:sz w:val="22"/>
        </w:rPr>
        <w:t>Pobreza</w:t>
      </w:r>
    </w:p>
    <w:p w:rsidR="00C7443A" w:rsidRPr="003C76E4" w:rsidRDefault="00C7443A" w:rsidP="00C7443A">
      <w:pPr>
        <w:spacing w:after="60"/>
        <w:jc w:val="both"/>
        <w:rPr>
          <w:rFonts w:cs="Arial"/>
          <w:sz w:val="22"/>
        </w:rPr>
      </w:pPr>
      <w:r w:rsidRPr="003C76E4">
        <w:rPr>
          <w:rFonts w:cs="Arial"/>
          <w:sz w:val="22"/>
        </w:rPr>
        <w:t>La actual crisis sanitaria ha provocado impactos negativos en la economía nacional, generando con ello la precarización del ingreso en las familias, sobre todo de aquellas en contextos de mayor vulnerabilidad y cuyo sustento provenía de actividades económicas informales.</w:t>
      </w:r>
      <w:r>
        <w:rPr>
          <w:rFonts w:cs="Arial"/>
          <w:sz w:val="22"/>
        </w:rPr>
        <w:t xml:space="preserve"> </w:t>
      </w:r>
      <w:r w:rsidRPr="003C76E4">
        <w:rPr>
          <w:rFonts w:cs="Arial"/>
          <w:sz w:val="22"/>
        </w:rPr>
        <w:t xml:space="preserve">De este modo, al interior de los hogares es probable que niñas, niños y adolescentes sean llevados a laborar con sus padres o bien son obligados a trabajar en actividades que aporten al ingreso, muchas de ellas peligrosas o en las que pueden estar expuestos a contagiarse por el virus. </w:t>
      </w:r>
    </w:p>
    <w:p w:rsidR="00C7443A" w:rsidRPr="003C76E4" w:rsidRDefault="00C7443A" w:rsidP="00C7443A">
      <w:pPr>
        <w:spacing w:after="60"/>
        <w:jc w:val="both"/>
        <w:rPr>
          <w:rFonts w:cs="Arial"/>
          <w:sz w:val="22"/>
        </w:rPr>
      </w:pPr>
      <w:r w:rsidRPr="003C76E4">
        <w:rPr>
          <w:rFonts w:cs="Arial"/>
          <w:sz w:val="22"/>
        </w:rPr>
        <w:t>De acuerdo con la Comisión Económica para América Latina y el Caribe (CEPAL) “se estima una contracción de -1,8% del producto interno bruto regional, lo que podría llevar a que el desempleo en la región suba en diez puntos porcentuales. Esto llevaría a que, de un total de 620 millones de habitantes, el número de pobres en la región suba de 185 a 220 millones de personas; en tanto que las personas en pobreza extrema podrían aumentar de 67,4 a 90 millones.”</w:t>
      </w:r>
      <w:r w:rsidRPr="003C76E4">
        <w:rPr>
          <w:rStyle w:val="FootnoteReference"/>
          <w:rFonts w:cs="Arial"/>
          <w:sz w:val="22"/>
        </w:rPr>
        <w:footnoteReference w:id="3"/>
      </w:r>
    </w:p>
    <w:p w:rsidR="00C7443A" w:rsidRDefault="00C7443A" w:rsidP="00C7443A">
      <w:pPr>
        <w:spacing w:after="60"/>
        <w:jc w:val="both"/>
        <w:rPr>
          <w:rFonts w:cs="Arial"/>
          <w:sz w:val="22"/>
        </w:rPr>
      </w:pPr>
      <w:r w:rsidRPr="003C76E4">
        <w:rPr>
          <w:rFonts w:cs="Arial"/>
          <w:sz w:val="22"/>
        </w:rPr>
        <w:t xml:space="preserve">Dicha agudización del desempleo y en consecuencia de la pobreza provocará que niñas, niños y adolescentes sean susceptibles de ser víctimas </w:t>
      </w:r>
      <w:r>
        <w:rPr>
          <w:rFonts w:cs="Arial"/>
          <w:sz w:val="22"/>
        </w:rPr>
        <w:t xml:space="preserve">de alguna forma de explotación laborales. </w:t>
      </w:r>
    </w:p>
    <w:p w:rsidR="00E22357" w:rsidRDefault="00E22357" w:rsidP="00C7443A">
      <w:pPr>
        <w:spacing w:after="60"/>
        <w:jc w:val="both"/>
        <w:rPr>
          <w:rFonts w:cs="Arial"/>
          <w:sz w:val="22"/>
        </w:rPr>
      </w:pPr>
    </w:p>
    <w:p w:rsidR="00E22357" w:rsidRPr="00E22357" w:rsidRDefault="00E22357" w:rsidP="00E22357">
      <w:pPr>
        <w:spacing w:after="60"/>
        <w:jc w:val="both"/>
        <w:rPr>
          <w:rFonts w:cs="Arial"/>
          <w:b/>
          <w:color w:val="4472C4" w:themeColor="accent5"/>
          <w:sz w:val="22"/>
        </w:rPr>
      </w:pPr>
      <w:r w:rsidRPr="00E22357">
        <w:rPr>
          <w:rFonts w:cs="Arial"/>
          <w:b/>
          <w:color w:val="4472C4" w:themeColor="accent5"/>
          <w:sz w:val="22"/>
        </w:rPr>
        <w:t>Poverty</w:t>
      </w:r>
    </w:p>
    <w:p w:rsidR="00E22357" w:rsidRPr="00E22357" w:rsidRDefault="00E22357" w:rsidP="00E22357">
      <w:pPr>
        <w:spacing w:after="60"/>
        <w:jc w:val="both"/>
        <w:rPr>
          <w:rFonts w:cs="Arial"/>
          <w:color w:val="4472C4" w:themeColor="accent5"/>
          <w:sz w:val="22"/>
        </w:rPr>
      </w:pPr>
      <w:r w:rsidRPr="00E22357">
        <w:rPr>
          <w:rFonts w:cs="Arial"/>
          <w:color w:val="4472C4" w:themeColor="accent5"/>
          <w:sz w:val="22"/>
        </w:rPr>
        <w:t xml:space="preserve">The current health crisis has caused negative impacts on the national economy, thereby generating precarious income for families, especially those in contexts of greater vulnerability and whose livelihood came from informal economic activities. In this way, it is likely that children and adolescents are taken to work with their parents inside homes or are forced to work in activities that contribute to income, many of them dangerous or in which they may be exposed to becoming infected. </w:t>
      </w:r>
      <w:proofErr w:type="gramStart"/>
      <w:r w:rsidRPr="00E22357">
        <w:rPr>
          <w:rFonts w:cs="Arial"/>
          <w:color w:val="4472C4" w:themeColor="accent5"/>
          <w:sz w:val="22"/>
        </w:rPr>
        <w:t>by</w:t>
      </w:r>
      <w:proofErr w:type="gramEnd"/>
      <w:r w:rsidRPr="00E22357">
        <w:rPr>
          <w:rFonts w:cs="Arial"/>
          <w:color w:val="4472C4" w:themeColor="accent5"/>
          <w:sz w:val="22"/>
        </w:rPr>
        <w:t xml:space="preserve"> the virus.</w:t>
      </w:r>
    </w:p>
    <w:p w:rsidR="00E22357" w:rsidRPr="00E22357" w:rsidRDefault="00E22357" w:rsidP="00E22357">
      <w:pPr>
        <w:spacing w:after="60"/>
        <w:jc w:val="both"/>
        <w:rPr>
          <w:rFonts w:cs="Arial"/>
          <w:color w:val="4472C4" w:themeColor="accent5"/>
          <w:sz w:val="22"/>
        </w:rPr>
      </w:pPr>
      <w:r w:rsidRPr="00E22357">
        <w:rPr>
          <w:rFonts w:cs="Arial"/>
          <w:color w:val="4472C4" w:themeColor="accent5"/>
          <w:sz w:val="22"/>
        </w:rPr>
        <w:t>According to the Economic Commission for Latin America and the Caribbean (ECLAC) “a contraction of -1.8% of the regional gross domestic product is estimated, which could lead to unemployment in the region increasing by ten percentage points. This would lead the number of poor people in the region to rise from 185 to 220 million out of a total of 620 million inhabitants; while people in extreme poverty could increase from 67.4 to 90 million. "</w:t>
      </w:r>
    </w:p>
    <w:p w:rsidR="00E22357" w:rsidRDefault="00E22357" w:rsidP="00E22357">
      <w:pPr>
        <w:spacing w:after="60"/>
        <w:jc w:val="both"/>
        <w:rPr>
          <w:rFonts w:cs="Arial"/>
          <w:color w:val="4472C4" w:themeColor="accent5"/>
          <w:sz w:val="22"/>
        </w:rPr>
      </w:pPr>
      <w:r w:rsidRPr="00E22357">
        <w:rPr>
          <w:rFonts w:cs="Arial"/>
          <w:color w:val="4472C4" w:themeColor="accent5"/>
          <w:sz w:val="22"/>
        </w:rPr>
        <w:t>Said exacerbation of unemployment and consequently of poverty will cause children and adolescents to be victims of some form of labor exploitation.</w:t>
      </w:r>
    </w:p>
    <w:p w:rsidR="00E22357" w:rsidRPr="00E22357" w:rsidRDefault="00E22357" w:rsidP="00E22357">
      <w:pPr>
        <w:spacing w:after="60"/>
        <w:jc w:val="both"/>
        <w:rPr>
          <w:rFonts w:cs="Arial"/>
          <w:color w:val="4472C4" w:themeColor="accent5"/>
          <w:sz w:val="22"/>
        </w:rPr>
      </w:pPr>
    </w:p>
    <w:p w:rsidR="00C7443A" w:rsidRPr="00C7443A" w:rsidRDefault="00C7443A" w:rsidP="00C7443A">
      <w:pPr>
        <w:pStyle w:val="ListParagraph"/>
        <w:numPr>
          <w:ilvl w:val="0"/>
          <w:numId w:val="9"/>
        </w:numPr>
        <w:spacing w:after="60" w:line="240" w:lineRule="auto"/>
        <w:jc w:val="both"/>
        <w:rPr>
          <w:rFonts w:cs="Arial"/>
          <w:b/>
          <w:sz w:val="22"/>
        </w:rPr>
      </w:pPr>
      <w:r w:rsidRPr="00FA4FD9">
        <w:rPr>
          <w:rFonts w:cs="Arial"/>
          <w:b/>
          <w:sz w:val="22"/>
        </w:rPr>
        <w:t>Acceso a la educación</w:t>
      </w:r>
    </w:p>
    <w:p w:rsidR="00E55441" w:rsidRDefault="00C7443A" w:rsidP="00C7443A">
      <w:pPr>
        <w:spacing w:after="60"/>
        <w:jc w:val="both"/>
        <w:rPr>
          <w:rFonts w:cs="Arial"/>
          <w:sz w:val="22"/>
        </w:rPr>
      </w:pPr>
      <w:r w:rsidRPr="003C76E4">
        <w:rPr>
          <w:rFonts w:cs="Arial"/>
          <w:sz w:val="22"/>
        </w:rPr>
        <w:t>Las medidas de confinamiento obligaron la suspensión de actividades escolares en todos sus niveles, y con ello, niñas, niños y adolescentes han sido privados de asistir a la escuela y de convivir con sus compañeros de clase. En México, durante el ciclo escolar 2018-2019 la matrícula de la educación básica registró la asistencia de 25493702 niñas, niños y adolescentes</w:t>
      </w:r>
      <w:r w:rsidRPr="003C76E4">
        <w:rPr>
          <w:rStyle w:val="FootnoteReference"/>
          <w:rFonts w:cs="Arial"/>
          <w:sz w:val="22"/>
        </w:rPr>
        <w:footnoteReference w:id="4"/>
      </w:r>
      <w:r w:rsidRPr="003C76E4">
        <w:rPr>
          <w:rFonts w:cs="Arial"/>
          <w:sz w:val="22"/>
        </w:rPr>
        <w:t xml:space="preserve">. Las medidas implementadas para garantizar a todas ellas y ellos su derecho </w:t>
      </w:r>
    </w:p>
    <w:p w:rsidR="00E55441" w:rsidRDefault="00E55441" w:rsidP="00C7443A">
      <w:pPr>
        <w:spacing w:after="60"/>
        <w:jc w:val="both"/>
        <w:rPr>
          <w:rFonts w:cs="Arial"/>
          <w:sz w:val="22"/>
        </w:rPr>
      </w:pPr>
    </w:p>
    <w:p w:rsidR="00E55441" w:rsidRDefault="00E55441" w:rsidP="00C7443A">
      <w:pPr>
        <w:spacing w:after="60"/>
        <w:jc w:val="both"/>
        <w:rPr>
          <w:rFonts w:cs="Arial"/>
          <w:sz w:val="22"/>
        </w:rPr>
      </w:pPr>
    </w:p>
    <w:p w:rsidR="00C7443A" w:rsidRPr="003C76E4" w:rsidRDefault="00C7443A" w:rsidP="00C7443A">
      <w:pPr>
        <w:spacing w:after="60"/>
        <w:jc w:val="both"/>
        <w:rPr>
          <w:rFonts w:cs="Arial"/>
          <w:sz w:val="22"/>
        </w:rPr>
      </w:pPr>
      <w:proofErr w:type="gramStart"/>
      <w:r w:rsidRPr="003C76E4">
        <w:rPr>
          <w:rFonts w:cs="Arial"/>
          <w:sz w:val="22"/>
        </w:rPr>
        <w:lastRenderedPageBreak/>
        <w:t>a</w:t>
      </w:r>
      <w:proofErr w:type="gramEnd"/>
      <w:r w:rsidRPr="003C76E4">
        <w:rPr>
          <w:rFonts w:cs="Arial"/>
          <w:sz w:val="22"/>
        </w:rPr>
        <w:t xml:space="preserve"> la educación han sido a través de herramientas tecnológicas, como clases virtuales, o bien a través de transmisiones en canales abiertos de televisión. </w:t>
      </w:r>
    </w:p>
    <w:p w:rsidR="00C7443A" w:rsidRPr="003C76E4" w:rsidRDefault="00C7443A" w:rsidP="00C7443A">
      <w:pPr>
        <w:spacing w:after="60"/>
        <w:jc w:val="both"/>
        <w:rPr>
          <w:rFonts w:cs="Arial"/>
          <w:sz w:val="22"/>
        </w:rPr>
      </w:pPr>
      <w:r>
        <w:rPr>
          <w:rFonts w:cs="Arial"/>
          <w:sz w:val="22"/>
        </w:rPr>
        <w:t>Sin embargo, u</w:t>
      </w:r>
      <w:r w:rsidRPr="003C76E4">
        <w:rPr>
          <w:rFonts w:cs="Arial"/>
          <w:sz w:val="22"/>
        </w:rPr>
        <w:t xml:space="preserve">n número significativo de niñas, niños y adolescentes no tienen acceso a internet en casa, carecen de los dispositivos digitales necesarios para realizar sus actividades, o la falta de apoyo en casa, generando con ello una brecha que le impide continuar con sus aprendizajes, limitando sus posibilidades de concluir sus estudios de educación básica, incorporándose prematuramente al mercado laboral informal.  </w:t>
      </w:r>
    </w:p>
    <w:p w:rsidR="00C7443A" w:rsidRPr="00C7443A" w:rsidRDefault="00C7443A" w:rsidP="00C7443A">
      <w:pPr>
        <w:pStyle w:val="ListParagraph"/>
        <w:numPr>
          <w:ilvl w:val="0"/>
          <w:numId w:val="9"/>
        </w:numPr>
        <w:spacing w:after="60" w:line="240" w:lineRule="auto"/>
        <w:jc w:val="both"/>
        <w:rPr>
          <w:rFonts w:cs="Arial"/>
          <w:b/>
          <w:sz w:val="22"/>
        </w:rPr>
      </w:pPr>
      <w:r w:rsidRPr="00FA4FD9">
        <w:rPr>
          <w:rFonts w:cs="Arial"/>
          <w:b/>
          <w:sz w:val="22"/>
        </w:rPr>
        <w:t xml:space="preserve">Violencia sexual en el hogar. </w:t>
      </w:r>
    </w:p>
    <w:p w:rsidR="00C7443A" w:rsidRPr="003C76E4" w:rsidRDefault="00C7443A" w:rsidP="00C7443A">
      <w:pPr>
        <w:spacing w:after="60"/>
        <w:jc w:val="both"/>
        <w:rPr>
          <w:rFonts w:cs="Arial"/>
          <w:sz w:val="22"/>
        </w:rPr>
      </w:pPr>
      <w:r w:rsidRPr="003C76E4">
        <w:rPr>
          <w:rFonts w:cs="Arial"/>
          <w:sz w:val="22"/>
        </w:rPr>
        <w:t>La cancelación de los servicios educativos y de cuidado como medida preventiva del COVID</w:t>
      </w:r>
      <w:r>
        <w:rPr>
          <w:rFonts w:cs="Arial"/>
          <w:sz w:val="22"/>
        </w:rPr>
        <w:t>-</w:t>
      </w:r>
      <w:r w:rsidRPr="003C76E4">
        <w:rPr>
          <w:rFonts w:cs="Arial"/>
          <w:sz w:val="22"/>
        </w:rPr>
        <w:t xml:space="preserve">19, expone a niñas, niños y adolescentes a familiares, vecinos o amistades a que sean víctimas de violencia psicológica, física y sexual. Es recurrente que las agresiones de índole sexual las ejerzan las personas de confianza o del entorno inmediato de niñas, niños y adolescentes o que se encuentra viviendo en misma casa. Este aspecto complejiza su atención pues las víctimas tienen miedo y confusión sobre lo que ocurre. </w:t>
      </w:r>
    </w:p>
    <w:p w:rsidR="00C7443A" w:rsidRPr="003C76E4" w:rsidRDefault="00C7443A" w:rsidP="00C7443A">
      <w:pPr>
        <w:spacing w:after="60"/>
        <w:jc w:val="both"/>
        <w:rPr>
          <w:rFonts w:cs="Arial"/>
          <w:sz w:val="22"/>
        </w:rPr>
      </w:pPr>
      <w:r w:rsidRPr="003C76E4">
        <w:rPr>
          <w:rFonts w:cs="Arial"/>
          <w:sz w:val="22"/>
        </w:rPr>
        <w:t>Datos de la Encuesta Nacional sobre la Dinámica de las Relaciones en los Hogares (ENDIREH) 2016, revelan que el 41.3% de 15 años y más fueron víctimas de violencia sexual. El 20.1% indicó que el agresor fue un tío, el 16% mencionó que un vecino o conocido, y el 15.7% un primo.</w:t>
      </w:r>
      <w:r w:rsidRPr="003C76E4">
        <w:rPr>
          <w:rStyle w:val="FootnoteReference"/>
          <w:rFonts w:cs="Arial"/>
          <w:sz w:val="22"/>
        </w:rPr>
        <w:footnoteReference w:id="5"/>
      </w:r>
    </w:p>
    <w:p w:rsidR="00C7443A" w:rsidRDefault="00C7443A" w:rsidP="00C7443A">
      <w:pPr>
        <w:spacing w:after="60"/>
        <w:jc w:val="both"/>
        <w:rPr>
          <w:rFonts w:cs="Arial"/>
          <w:sz w:val="22"/>
        </w:rPr>
      </w:pPr>
      <w:r w:rsidRPr="003C76E4">
        <w:rPr>
          <w:rFonts w:cs="Arial"/>
          <w:sz w:val="22"/>
        </w:rPr>
        <w:t xml:space="preserve">Consecuentemente, el confinamiento en el hogar al que exhortan las autoridades sanitarias, puede implicar riesgos para las personas menores de 18 años, al estar conviviendo incluso con su agresor (a) en el mismo domicilio, y por tanto se encuentra limitado para pedir ayudaa sus maestros (as), amigas, amigos o compañeros, dada la cancelación de actividades escolares. </w:t>
      </w:r>
    </w:p>
    <w:p w:rsidR="00E22357" w:rsidRPr="00E22357" w:rsidRDefault="00E22357" w:rsidP="00E22357">
      <w:pPr>
        <w:spacing w:after="60"/>
        <w:jc w:val="both"/>
        <w:rPr>
          <w:rFonts w:cs="Arial"/>
          <w:b/>
          <w:color w:val="4472C4" w:themeColor="accent5"/>
          <w:sz w:val="22"/>
        </w:rPr>
      </w:pPr>
      <w:r w:rsidRPr="00E22357">
        <w:rPr>
          <w:rFonts w:cs="Arial"/>
          <w:b/>
          <w:color w:val="4472C4" w:themeColor="accent5"/>
          <w:sz w:val="22"/>
        </w:rPr>
        <w:t>Access to education</w:t>
      </w:r>
    </w:p>
    <w:p w:rsidR="00E22357" w:rsidRPr="00E22357" w:rsidRDefault="00E22357" w:rsidP="00E22357">
      <w:pPr>
        <w:spacing w:after="60"/>
        <w:jc w:val="both"/>
        <w:rPr>
          <w:rFonts w:cs="Arial"/>
          <w:color w:val="4472C4" w:themeColor="accent5"/>
          <w:sz w:val="22"/>
        </w:rPr>
      </w:pPr>
      <w:r w:rsidRPr="00E22357">
        <w:rPr>
          <w:rFonts w:cs="Arial"/>
          <w:color w:val="4472C4" w:themeColor="accent5"/>
          <w:sz w:val="22"/>
        </w:rPr>
        <w:t>The measures of confinement forced the suspension of school activities at all levels, and with this, girls, boys and adolescents have been deprived of attending school and living with their classmates. In Mexico, during the 2018-2019 school year the enrollment of basic education registered the attendance of 25493702 girls, boys and adolescents. The measures implemented to gu</w:t>
      </w:r>
      <w:r>
        <w:rPr>
          <w:rFonts w:cs="Arial"/>
          <w:color w:val="4472C4" w:themeColor="accent5"/>
          <w:sz w:val="22"/>
        </w:rPr>
        <w:t xml:space="preserve">arantee all of them their right </w:t>
      </w:r>
      <w:r w:rsidRPr="00E22357">
        <w:rPr>
          <w:rFonts w:cs="Arial"/>
          <w:color w:val="4472C4" w:themeColor="accent5"/>
          <w:sz w:val="22"/>
        </w:rPr>
        <w:t>to education have been through technological tools, such as virtual classes, or through broadcasts on open television channels.</w:t>
      </w:r>
    </w:p>
    <w:p w:rsidR="00E22357" w:rsidRPr="00E22357" w:rsidRDefault="00E22357" w:rsidP="00E22357">
      <w:pPr>
        <w:spacing w:after="60"/>
        <w:jc w:val="both"/>
        <w:rPr>
          <w:rFonts w:cs="Arial"/>
          <w:color w:val="4472C4" w:themeColor="accent5"/>
          <w:sz w:val="22"/>
        </w:rPr>
      </w:pPr>
      <w:r w:rsidRPr="00E22357">
        <w:rPr>
          <w:rFonts w:cs="Arial"/>
          <w:color w:val="4472C4" w:themeColor="accent5"/>
          <w:sz w:val="22"/>
        </w:rPr>
        <w:t>However, a significant number of children and adolescents do not have internet access at home, lack the digital devices necessary to carry out their activities, or lack of support at home, thereby creating a gap that prevents them from continuing with their learning, limiting their chances of completing their basic education studies, joining the informal labor market prematurely.</w:t>
      </w:r>
    </w:p>
    <w:p w:rsidR="00E22357" w:rsidRDefault="00E22357" w:rsidP="00E22357">
      <w:pPr>
        <w:spacing w:after="60"/>
        <w:jc w:val="both"/>
        <w:rPr>
          <w:rFonts w:cs="Arial"/>
          <w:color w:val="4472C4" w:themeColor="accent5"/>
          <w:sz w:val="22"/>
        </w:rPr>
      </w:pPr>
    </w:p>
    <w:p w:rsidR="00E22357" w:rsidRPr="00E22357" w:rsidRDefault="00E22357" w:rsidP="00E22357">
      <w:pPr>
        <w:spacing w:after="60"/>
        <w:jc w:val="both"/>
        <w:rPr>
          <w:rFonts w:cs="Arial"/>
          <w:b/>
          <w:color w:val="4472C4" w:themeColor="accent5"/>
          <w:sz w:val="22"/>
        </w:rPr>
      </w:pPr>
      <w:r w:rsidRPr="00E22357">
        <w:rPr>
          <w:rFonts w:cs="Arial"/>
          <w:b/>
          <w:color w:val="4472C4" w:themeColor="accent5"/>
          <w:sz w:val="22"/>
        </w:rPr>
        <w:t>Sexual violence in the home</w:t>
      </w:r>
    </w:p>
    <w:p w:rsidR="00E22357" w:rsidRPr="00E22357" w:rsidRDefault="00E22357" w:rsidP="00E22357">
      <w:pPr>
        <w:spacing w:after="60"/>
        <w:jc w:val="both"/>
        <w:rPr>
          <w:rFonts w:cs="Arial"/>
          <w:color w:val="4472C4" w:themeColor="accent5"/>
          <w:sz w:val="22"/>
        </w:rPr>
      </w:pPr>
      <w:r w:rsidRPr="00E22357">
        <w:rPr>
          <w:rFonts w:cs="Arial"/>
          <w:color w:val="4472C4" w:themeColor="accent5"/>
          <w:sz w:val="22"/>
        </w:rPr>
        <w:t xml:space="preserve">The cancellation of educational and care services as a preventive measure of COVID-19, exposes girls, boys and adolescents to relatives, neighbors or friends to be victims of </w:t>
      </w:r>
      <w:proofErr w:type="gramStart"/>
      <w:r w:rsidRPr="00E22357">
        <w:rPr>
          <w:rFonts w:cs="Arial"/>
          <w:color w:val="4472C4" w:themeColor="accent5"/>
          <w:sz w:val="22"/>
        </w:rPr>
        <w:t>psychological</w:t>
      </w:r>
      <w:proofErr w:type="gramEnd"/>
      <w:r w:rsidRPr="00E22357">
        <w:rPr>
          <w:rFonts w:cs="Arial"/>
          <w:color w:val="4472C4" w:themeColor="accent5"/>
          <w:sz w:val="22"/>
        </w:rPr>
        <w:t>, physical and sexual violence. It is recurrent that sexual assaults are carried out by people you trust or from the immediate environment of girls, boys and adolescents or who are living in the same house. This aspect makes their care more complex since the victims are afraid and confused about what happens.</w:t>
      </w:r>
    </w:p>
    <w:p w:rsidR="00E22357" w:rsidRPr="00E22357" w:rsidRDefault="00E22357" w:rsidP="00E22357">
      <w:pPr>
        <w:spacing w:after="60"/>
        <w:jc w:val="both"/>
        <w:rPr>
          <w:rFonts w:cs="Arial"/>
          <w:color w:val="4472C4" w:themeColor="accent5"/>
          <w:sz w:val="22"/>
        </w:rPr>
      </w:pPr>
      <w:r w:rsidRPr="00E22357">
        <w:rPr>
          <w:rFonts w:cs="Arial"/>
          <w:color w:val="4472C4" w:themeColor="accent5"/>
          <w:sz w:val="22"/>
        </w:rPr>
        <w:t>Data from the National Survey on the Dynamics of Household Relationships (ENDIREH) 2016, reveal that 41.3% of 15 years and older were victims of sexual violence. 20.1% indicated that the aggressor was an uncle, 16% mentioned that they were a neighbor or acquaintance, and 15.7% a cousin.</w:t>
      </w:r>
    </w:p>
    <w:p w:rsidR="00E22357" w:rsidRPr="00E22357" w:rsidRDefault="00E22357" w:rsidP="00E22357">
      <w:pPr>
        <w:spacing w:after="60"/>
        <w:jc w:val="both"/>
        <w:rPr>
          <w:rFonts w:cs="Arial"/>
          <w:color w:val="4472C4" w:themeColor="accent5"/>
          <w:sz w:val="22"/>
        </w:rPr>
      </w:pPr>
      <w:r w:rsidRPr="00E22357">
        <w:rPr>
          <w:rFonts w:cs="Arial"/>
          <w:color w:val="4472C4" w:themeColor="accent5"/>
          <w:sz w:val="22"/>
        </w:rPr>
        <w:t>Consequently, home confinement, to which the health authorities exhort, can imply risks for people under 18 years of age, as they are even living with their aggressor in the same home, and therefore are limited to ask for help from their teachers, friends, colleagues, given the cancellation of school activities.</w:t>
      </w:r>
    </w:p>
    <w:p w:rsidR="00E22357" w:rsidRPr="003C76E4" w:rsidRDefault="00E22357" w:rsidP="00C7443A">
      <w:pPr>
        <w:spacing w:after="60"/>
        <w:jc w:val="both"/>
        <w:rPr>
          <w:rFonts w:cs="Arial"/>
          <w:sz w:val="22"/>
        </w:rPr>
      </w:pPr>
    </w:p>
    <w:p w:rsidR="00C7443A" w:rsidRPr="00C7443A" w:rsidRDefault="00C7443A" w:rsidP="00C7443A">
      <w:pPr>
        <w:pStyle w:val="ListParagraph"/>
        <w:numPr>
          <w:ilvl w:val="0"/>
          <w:numId w:val="9"/>
        </w:numPr>
        <w:spacing w:after="60" w:line="240" w:lineRule="auto"/>
        <w:jc w:val="both"/>
        <w:rPr>
          <w:rFonts w:cs="Arial"/>
          <w:b/>
          <w:sz w:val="22"/>
        </w:rPr>
      </w:pPr>
      <w:r w:rsidRPr="00A32854">
        <w:rPr>
          <w:rFonts w:cs="Arial"/>
          <w:b/>
          <w:sz w:val="22"/>
        </w:rPr>
        <w:t>Discriminación</w:t>
      </w:r>
    </w:p>
    <w:p w:rsidR="00C7443A" w:rsidRPr="003C76E4" w:rsidRDefault="00C7443A" w:rsidP="00C7443A">
      <w:pPr>
        <w:spacing w:after="60"/>
        <w:jc w:val="both"/>
        <w:rPr>
          <w:rFonts w:cs="Arial"/>
          <w:sz w:val="22"/>
        </w:rPr>
      </w:pPr>
      <w:r w:rsidRPr="003C76E4">
        <w:rPr>
          <w:rFonts w:cs="Arial"/>
          <w:sz w:val="22"/>
        </w:rPr>
        <w:t xml:space="preserve">El matrimonio y las relaciones de hecho que involucran a personas menores de 18 es una práctica que afecta especialmente a las niñas y adolescentes, significa una forma de discriminación por género y atenta contra su dignidad, su derecho a la salud, a la educación, a una vida libre de violencia, entre otros. </w:t>
      </w:r>
    </w:p>
    <w:p w:rsidR="00E55441" w:rsidRPr="003C76E4" w:rsidRDefault="00C7443A" w:rsidP="00C7443A">
      <w:pPr>
        <w:spacing w:after="60"/>
        <w:jc w:val="both"/>
        <w:rPr>
          <w:rFonts w:cs="Arial"/>
          <w:sz w:val="22"/>
        </w:rPr>
      </w:pPr>
      <w:r w:rsidRPr="003C76E4">
        <w:rPr>
          <w:rFonts w:cs="Arial"/>
          <w:sz w:val="22"/>
        </w:rPr>
        <w:t xml:space="preserve">Actualmente, en México está prohibida dicho tipo de unión, sin embargo, persisten las relaciones informales, en las que como resultado directo o indirecto de presiones económicas, sociales, culturales o de las profundas desigualdades existentes en nuestro país, las adolescentes se involucran en uniones, donde recurrentemente su pareja es mayor que ellas. </w:t>
      </w:r>
    </w:p>
    <w:p w:rsidR="008D71C1" w:rsidRDefault="00C7443A" w:rsidP="00E55441">
      <w:pPr>
        <w:spacing w:after="60"/>
        <w:jc w:val="both"/>
        <w:rPr>
          <w:rFonts w:cs="Arial"/>
          <w:sz w:val="22"/>
        </w:rPr>
      </w:pPr>
      <w:r w:rsidRPr="003C76E4">
        <w:rPr>
          <w:rFonts w:cs="Arial"/>
          <w:sz w:val="22"/>
        </w:rPr>
        <w:t xml:space="preserve">Se ha documentado que, en ciertas regiones de México, especialmente en el Estado de Guerrero las niñas y adolescentes son vendidas, a cambio de cierta cantidad de dinero o de bienes materiales a para ser entregadas en matrimonio. El impacto en la economía y la agudización de la pobreza provocada por la pandemia del Coronavirus, pueden ser factores para que las familias recurran a este tipo de prácticas, como una forma de obtener ingresos. </w:t>
      </w:r>
    </w:p>
    <w:p w:rsidR="00E22357" w:rsidRPr="00E22357" w:rsidRDefault="00E22357" w:rsidP="00E55441">
      <w:pPr>
        <w:spacing w:after="60"/>
        <w:jc w:val="both"/>
        <w:rPr>
          <w:rFonts w:cs="Arial"/>
          <w:b/>
          <w:sz w:val="22"/>
        </w:rPr>
      </w:pPr>
    </w:p>
    <w:p w:rsidR="00E22357" w:rsidRPr="00E22357" w:rsidRDefault="00E22357" w:rsidP="00E22357">
      <w:pPr>
        <w:spacing w:after="60"/>
        <w:jc w:val="both"/>
        <w:rPr>
          <w:rFonts w:cs="Arial"/>
          <w:b/>
          <w:color w:val="4472C4" w:themeColor="accent5"/>
          <w:sz w:val="22"/>
        </w:rPr>
      </w:pPr>
      <w:r w:rsidRPr="00E22357">
        <w:rPr>
          <w:rFonts w:cs="Arial"/>
          <w:b/>
          <w:color w:val="4472C4" w:themeColor="accent5"/>
          <w:sz w:val="22"/>
        </w:rPr>
        <w:t>Discrimination</w:t>
      </w:r>
    </w:p>
    <w:p w:rsidR="00E22357" w:rsidRPr="00E22357" w:rsidRDefault="00E22357" w:rsidP="00E22357">
      <w:pPr>
        <w:spacing w:after="60"/>
        <w:jc w:val="both"/>
        <w:rPr>
          <w:rFonts w:cs="Arial"/>
          <w:color w:val="4472C4" w:themeColor="accent5"/>
          <w:sz w:val="22"/>
        </w:rPr>
      </w:pPr>
      <w:r w:rsidRPr="00E22357">
        <w:rPr>
          <w:rFonts w:cs="Arial"/>
          <w:color w:val="4472C4" w:themeColor="accent5"/>
          <w:sz w:val="22"/>
        </w:rPr>
        <w:t>Marriage and domestic relations involving people under the age of 18 is a practice that especially affects girls and adolescents, means a form of gender discrimination and violates their dignity, their right to health, to education, to a life free of violence, among others.</w:t>
      </w:r>
    </w:p>
    <w:p w:rsidR="00E22357" w:rsidRPr="00E22357" w:rsidRDefault="00E22357" w:rsidP="00E22357">
      <w:pPr>
        <w:spacing w:after="60"/>
        <w:jc w:val="both"/>
        <w:rPr>
          <w:rFonts w:cs="Arial"/>
          <w:color w:val="4472C4" w:themeColor="accent5"/>
          <w:sz w:val="22"/>
        </w:rPr>
      </w:pPr>
      <w:r w:rsidRPr="00E22357">
        <w:rPr>
          <w:rFonts w:cs="Arial"/>
          <w:color w:val="4472C4" w:themeColor="accent5"/>
          <w:sz w:val="22"/>
        </w:rPr>
        <w:t xml:space="preserve">Currently, this type of union is prohibited in Mexico, however, informal relations persist, in which as a direct or indirect result of economic, social, cultural pressures or the deep inequalities existing in our country, adolescents engage in </w:t>
      </w:r>
      <w:proofErr w:type="gramStart"/>
      <w:r w:rsidRPr="00E22357">
        <w:rPr>
          <w:rFonts w:cs="Arial"/>
          <w:color w:val="4472C4" w:themeColor="accent5"/>
          <w:sz w:val="22"/>
        </w:rPr>
        <w:t>unions ,</w:t>
      </w:r>
      <w:proofErr w:type="gramEnd"/>
      <w:r w:rsidRPr="00E22357">
        <w:rPr>
          <w:rFonts w:cs="Arial"/>
          <w:color w:val="4472C4" w:themeColor="accent5"/>
          <w:sz w:val="22"/>
        </w:rPr>
        <w:t xml:space="preserve"> where recurrently their partner is older than them.</w:t>
      </w:r>
    </w:p>
    <w:p w:rsidR="00E22357" w:rsidRPr="00E22357" w:rsidRDefault="00E22357" w:rsidP="00E22357">
      <w:pPr>
        <w:spacing w:after="60"/>
        <w:jc w:val="both"/>
        <w:rPr>
          <w:rFonts w:cs="Arial"/>
          <w:color w:val="4472C4" w:themeColor="accent5"/>
          <w:sz w:val="22"/>
        </w:rPr>
      </w:pPr>
      <w:r w:rsidRPr="00E22357">
        <w:rPr>
          <w:rFonts w:cs="Arial"/>
          <w:color w:val="4472C4" w:themeColor="accent5"/>
          <w:sz w:val="22"/>
        </w:rPr>
        <w:t>It has been documented that, in certain regions of Mexico, especially in the State of Guerrero, girls and adolescents are sold, in exchange for a certain amount of money or material goods to be delivered in marriage. The impact on the economy and the exacerbation of poverty caused by the Coronavirus pandemic, may be factors for families to resort to this type of practice, as a way to earn an income.</w:t>
      </w:r>
    </w:p>
    <w:p w:rsidR="00E22357" w:rsidRPr="00E55441" w:rsidRDefault="00E22357" w:rsidP="00E22357">
      <w:pPr>
        <w:spacing w:after="60"/>
        <w:jc w:val="both"/>
        <w:rPr>
          <w:rFonts w:cs="Arial"/>
          <w:sz w:val="22"/>
        </w:rPr>
      </w:pPr>
    </w:p>
    <w:p w:rsidR="00B955A1" w:rsidRPr="00E55441" w:rsidRDefault="00B955A1" w:rsidP="00E55441">
      <w:pPr>
        <w:numPr>
          <w:ilvl w:val="0"/>
          <w:numId w:val="6"/>
        </w:numPr>
        <w:spacing w:after="120" w:line="240" w:lineRule="auto"/>
        <w:jc w:val="both"/>
        <w:rPr>
          <w:rFonts w:cs="Arial"/>
          <w:b/>
          <w:bCs/>
          <w:sz w:val="22"/>
          <w:lang w:val="es-ES"/>
        </w:rPr>
      </w:pPr>
      <w:r w:rsidRPr="00E55441">
        <w:rPr>
          <w:rFonts w:cs="Arial"/>
          <w:b/>
          <w:bCs/>
          <w:sz w:val="22"/>
          <w:lang w:val="es-ES"/>
        </w:rPr>
        <w:t>¿Qué medidas de protección esenciales, incluidas la identificación, la notificación, la remisión y la investigación, se han establecido para detectar y prevenir los casos de abuso y explotación sexual infantil y qué eficacia han tenido desde el brote?</w:t>
      </w:r>
    </w:p>
    <w:p w:rsidR="0051420C" w:rsidRPr="0051420C" w:rsidRDefault="0051420C" w:rsidP="0051420C">
      <w:pPr>
        <w:spacing w:after="60"/>
        <w:jc w:val="both"/>
        <w:rPr>
          <w:rFonts w:cs="Arial"/>
          <w:sz w:val="22"/>
        </w:rPr>
      </w:pPr>
      <w:r>
        <w:rPr>
          <w:rFonts w:cs="Arial"/>
          <w:sz w:val="22"/>
          <w:lang w:val="es-ES"/>
        </w:rPr>
        <w:t>L</w:t>
      </w:r>
      <w:r w:rsidRPr="0051420C">
        <w:rPr>
          <w:rFonts w:cs="Arial"/>
          <w:sz w:val="22"/>
        </w:rPr>
        <w:t>as restricciones a la movilidad de las personas limitan que los servicios de las autoridades de protección y de procuración de justicia no trabajen a su capacidad programada, por lo que su capacidad de respuesta</w:t>
      </w:r>
      <w:r>
        <w:rPr>
          <w:rFonts w:cs="Arial"/>
          <w:sz w:val="22"/>
        </w:rPr>
        <w:t xml:space="preserve"> </w:t>
      </w:r>
      <w:r w:rsidRPr="0051420C">
        <w:rPr>
          <w:rFonts w:cs="Arial"/>
          <w:sz w:val="22"/>
        </w:rPr>
        <w:t>puede verse afectada. En razón de ello, diversas autoridades, han desarrollado varias</w:t>
      </w:r>
      <w:r>
        <w:rPr>
          <w:rFonts w:cs="Arial"/>
          <w:sz w:val="22"/>
        </w:rPr>
        <w:t xml:space="preserve"> </w:t>
      </w:r>
      <w:r w:rsidRPr="0051420C">
        <w:rPr>
          <w:rFonts w:cs="Arial"/>
          <w:sz w:val="22"/>
        </w:rPr>
        <w:t xml:space="preserve">campañas sobre la prevención de la violencia en el hogar, cuyos mensajes se difunden en medios electrónicos, televisión y radio. Asimismo, a partir de la pandemia se han generado un sin número de actividades virtuales difundiendo los derechos humanos de las personas. </w:t>
      </w:r>
    </w:p>
    <w:p w:rsidR="0051420C" w:rsidRPr="0051420C" w:rsidRDefault="0051420C" w:rsidP="0051420C">
      <w:pPr>
        <w:spacing w:after="60"/>
        <w:jc w:val="both"/>
        <w:rPr>
          <w:rFonts w:cs="Arial"/>
          <w:sz w:val="22"/>
        </w:rPr>
      </w:pPr>
      <w:r w:rsidRPr="0051420C">
        <w:rPr>
          <w:rFonts w:cs="Arial"/>
          <w:sz w:val="22"/>
        </w:rPr>
        <w:t>En esta contingencia, en México, se han registrado 115,614 llamadas de emergencia al 9-1-1 por incidentes como abuso sexual, acoso sexual, violación, violencia de pareja y violencia familiar. El número de reportes recibidos en marzo es 28% superior al de enero pasado y 22% mayor al de febrero. Sólo por casos de violencia de pareja, en marzo se recibieron 22,628 llamadas, lo cual representa un incremento de 23% comparado con el mes de febrero y 33% más que lo reportado en enero.</w:t>
      </w:r>
      <w:r>
        <w:rPr>
          <w:rStyle w:val="FootnoteReference"/>
          <w:rFonts w:cs="Arial"/>
          <w:sz w:val="22"/>
        </w:rPr>
        <w:footnoteReference w:id="6"/>
      </w:r>
      <w:r w:rsidRPr="0051420C">
        <w:rPr>
          <w:rFonts w:cs="Arial"/>
          <w:sz w:val="22"/>
          <w:vertAlign w:val="superscript"/>
        </w:rPr>
        <w:t>,</w:t>
      </w:r>
      <w:r>
        <w:rPr>
          <w:rStyle w:val="FootnoteReference"/>
          <w:rFonts w:cs="Arial"/>
          <w:sz w:val="22"/>
        </w:rPr>
        <w:footnoteReference w:id="7"/>
      </w:r>
      <w:r w:rsidRPr="0051420C">
        <w:rPr>
          <w:rFonts w:cs="Arial"/>
          <w:sz w:val="22"/>
          <w:vertAlign w:val="superscript"/>
        </w:rPr>
        <w:t>.</w:t>
      </w:r>
    </w:p>
    <w:p w:rsidR="0051420C" w:rsidRPr="0051420C" w:rsidRDefault="0051420C" w:rsidP="0051420C">
      <w:pPr>
        <w:spacing w:after="60"/>
        <w:jc w:val="both"/>
        <w:rPr>
          <w:rFonts w:cs="Arial"/>
          <w:sz w:val="22"/>
        </w:rPr>
      </w:pPr>
      <w:r w:rsidRPr="0051420C">
        <w:rPr>
          <w:rFonts w:cs="Arial"/>
          <w:sz w:val="22"/>
        </w:rPr>
        <w:t xml:space="preserve">La respuesta de la sociedad civil ha sido muy importante, ya que varias instituciones académicas y organizaciones implementaron líneas de contención psicológica y orientación legal en caso de violencia familiar o contra niñas, niños y adolescentes. </w:t>
      </w:r>
    </w:p>
    <w:p w:rsidR="0051420C" w:rsidRDefault="0051420C" w:rsidP="0051420C">
      <w:pPr>
        <w:spacing w:after="60"/>
        <w:jc w:val="both"/>
        <w:rPr>
          <w:rFonts w:cs="Arial"/>
          <w:sz w:val="22"/>
        </w:rPr>
      </w:pPr>
      <w:r w:rsidRPr="0051420C">
        <w:rPr>
          <w:rFonts w:cs="Arial"/>
          <w:sz w:val="22"/>
        </w:rPr>
        <w:t xml:space="preserve">Cabe precisar que la Ley General de Niñas, Niños y Adolescentes y otras disposiciones legales, establecen la obligatoriedad de denunciar cualquier acto de vulnere los derechos de la población menor de 18 años, asimismo, donde se contemplan los mecanismos para la elaboración delplan de restitución de derechos, y las medidas de reparación del daño. </w:t>
      </w:r>
    </w:p>
    <w:p w:rsidR="00E22357" w:rsidRDefault="00E22357" w:rsidP="0051420C">
      <w:pPr>
        <w:spacing w:after="60"/>
        <w:jc w:val="both"/>
        <w:rPr>
          <w:rFonts w:cs="Arial"/>
          <w:sz w:val="22"/>
        </w:rPr>
      </w:pPr>
    </w:p>
    <w:p w:rsidR="00E22357" w:rsidRPr="00E22357" w:rsidRDefault="00E22357" w:rsidP="00E22357">
      <w:pPr>
        <w:spacing w:after="60"/>
        <w:jc w:val="both"/>
        <w:rPr>
          <w:rFonts w:cs="Arial"/>
          <w:color w:val="4472C4" w:themeColor="accent5"/>
          <w:sz w:val="22"/>
        </w:rPr>
      </w:pPr>
      <w:r w:rsidRPr="00E22357">
        <w:rPr>
          <w:rFonts w:cs="Arial"/>
          <w:color w:val="4472C4" w:themeColor="accent5"/>
          <w:sz w:val="22"/>
        </w:rPr>
        <w:t xml:space="preserve">Restrictions on the mobility of people limit that the services of the protection and justice </w:t>
      </w:r>
      <w:proofErr w:type="gramStart"/>
      <w:r w:rsidRPr="00E22357">
        <w:rPr>
          <w:rFonts w:cs="Arial"/>
          <w:color w:val="4472C4" w:themeColor="accent5"/>
          <w:sz w:val="22"/>
        </w:rPr>
        <w:t>authorities</w:t>
      </w:r>
      <w:proofErr w:type="gramEnd"/>
      <w:r w:rsidRPr="00E22357">
        <w:rPr>
          <w:rFonts w:cs="Arial"/>
          <w:color w:val="4472C4" w:themeColor="accent5"/>
          <w:sz w:val="22"/>
        </w:rPr>
        <w:t xml:space="preserve"> do not work at their programmed capacity, and therefore their response capacity may be affected. Because of this, various authorities,</w:t>
      </w:r>
    </w:p>
    <w:p w:rsidR="00E22357" w:rsidRPr="00E22357" w:rsidRDefault="00E22357" w:rsidP="00E22357">
      <w:pPr>
        <w:spacing w:after="60"/>
        <w:jc w:val="both"/>
        <w:rPr>
          <w:rFonts w:cs="Arial"/>
          <w:color w:val="4472C4" w:themeColor="accent5"/>
          <w:sz w:val="22"/>
        </w:rPr>
      </w:pPr>
    </w:p>
    <w:p w:rsidR="00E22357" w:rsidRPr="00E22357" w:rsidRDefault="00E22357" w:rsidP="00E22357">
      <w:pPr>
        <w:spacing w:after="60"/>
        <w:jc w:val="both"/>
        <w:rPr>
          <w:rFonts w:cs="Arial"/>
          <w:color w:val="4472C4" w:themeColor="accent5"/>
          <w:sz w:val="22"/>
        </w:rPr>
      </w:pPr>
      <w:r w:rsidRPr="00E22357">
        <w:rPr>
          <w:rFonts w:cs="Arial"/>
          <w:color w:val="4472C4" w:themeColor="accent5"/>
          <w:sz w:val="22"/>
        </w:rPr>
        <w:t>They have developed several campaigns on the prevention of domestic violence, whose messages are disseminated in electronic media, television and radio. Likewise, since the pandemic, a number of virtual activities have been generated spreading the human rights of people.</w:t>
      </w:r>
    </w:p>
    <w:p w:rsidR="00E22357" w:rsidRPr="00E22357" w:rsidRDefault="00E22357" w:rsidP="00E22357">
      <w:pPr>
        <w:spacing w:after="60"/>
        <w:jc w:val="both"/>
        <w:rPr>
          <w:rFonts w:cs="Arial"/>
          <w:color w:val="4472C4" w:themeColor="accent5"/>
          <w:sz w:val="22"/>
        </w:rPr>
      </w:pPr>
      <w:r w:rsidRPr="00E22357">
        <w:rPr>
          <w:rFonts w:cs="Arial"/>
          <w:color w:val="4472C4" w:themeColor="accent5"/>
          <w:sz w:val="22"/>
        </w:rPr>
        <w:t>In this contingency, in Mexico, 115,614 emergency calls to 9-1-1 have been registered for incidents such as sexual abuse, sexual harassment, rape, intimate partner violence and family violence. The number of reports received in March is 28% higher than last January and 22% higher than in February. Just for cases of intimate partner violence, in March 22,628 calls were received, which represents an increase of 23% compared to the month of February and 33% more than that reported in January. ,.</w:t>
      </w:r>
    </w:p>
    <w:p w:rsidR="00E22357" w:rsidRPr="00E22357" w:rsidRDefault="00E22357" w:rsidP="00E22357">
      <w:pPr>
        <w:spacing w:after="60"/>
        <w:jc w:val="both"/>
        <w:rPr>
          <w:rFonts w:cs="Arial"/>
          <w:color w:val="4472C4" w:themeColor="accent5"/>
          <w:sz w:val="22"/>
        </w:rPr>
      </w:pPr>
      <w:r w:rsidRPr="00E22357">
        <w:rPr>
          <w:rFonts w:cs="Arial"/>
          <w:color w:val="4472C4" w:themeColor="accent5"/>
          <w:sz w:val="22"/>
        </w:rPr>
        <w:t>The response of civil society has been very important, since several academic institutions and organizations have implemented lines of psychological containment and legal guidance in the event of family violence or against children and adolescents.</w:t>
      </w:r>
    </w:p>
    <w:p w:rsidR="00E22357" w:rsidRPr="00E22357" w:rsidRDefault="00E22357" w:rsidP="00E22357">
      <w:pPr>
        <w:spacing w:after="60"/>
        <w:jc w:val="both"/>
        <w:rPr>
          <w:rFonts w:cs="Arial"/>
          <w:color w:val="4472C4" w:themeColor="accent5"/>
          <w:sz w:val="22"/>
        </w:rPr>
      </w:pPr>
      <w:r w:rsidRPr="00E22357">
        <w:rPr>
          <w:rFonts w:cs="Arial"/>
          <w:color w:val="4472C4" w:themeColor="accent5"/>
          <w:sz w:val="22"/>
        </w:rPr>
        <w:t>It should be noted that the General Law on Girls, Boys and Adolescents and other legal provisions establish the obligation to report any act that violates the rights of the population under 18 years of age, also, where the mechanisms for the preparation of the plan for the restitution of rights, and damage repair measures.</w:t>
      </w:r>
    </w:p>
    <w:p w:rsidR="00E22357" w:rsidRPr="0051420C" w:rsidRDefault="00E22357" w:rsidP="0051420C">
      <w:pPr>
        <w:spacing w:after="60"/>
        <w:jc w:val="both"/>
        <w:rPr>
          <w:rFonts w:cs="Arial"/>
          <w:sz w:val="18"/>
          <w:szCs w:val="18"/>
        </w:rPr>
      </w:pPr>
    </w:p>
    <w:p w:rsidR="00B955A1" w:rsidRPr="004E2828" w:rsidRDefault="00B955A1" w:rsidP="00B955A1">
      <w:pPr>
        <w:numPr>
          <w:ilvl w:val="0"/>
          <w:numId w:val="6"/>
        </w:numPr>
        <w:spacing w:after="120" w:line="240" w:lineRule="auto"/>
        <w:jc w:val="both"/>
        <w:rPr>
          <w:rFonts w:cs="Arial"/>
          <w:b/>
          <w:bCs/>
          <w:sz w:val="22"/>
          <w:lang w:val="es-ES"/>
        </w:rPr>
      </w:pPr>
      <w:r w:rsidRPr="004E2828">
        <w:rPr>
          <w:rFonts w:cs="Arial"/>
          <w:b/>
          <w:bCs/>
          <w:sz w:val="22"/>
          <w:lang w:val="es-ES"/>
        </w:rPr>
        <w:t>¿Ha habido alguna iniciativa para reunir datos desglosados sobre formas y manifestaciones específicas de la venta y la explotación sexual infantil durante la pandemia y para evaluar los efectos a corto y largo plazo del COVID-19?</w:t>
      </w:r>
    </w:p>
    <w:p w:rsidR="0051420C" w:rsidRPr="0051420C" w:rsidRDefault="0051420C" w:rsidP="0051420C">
      <w:pPr>
        <w:spacing w:after="60"/>
        <w:jc w:val="both"/>
        <w:rPr>
          <w:rFonts w:cs="Arial"/>
          <w:sz w:val="22"/>
        </w:rPr>
      </w:pPr>
      <w:r w:rsidRPr="0051420C">
        <w:rPr>
          <w:rFonts w:cs="Arial"/>
          <w:sz w:val="22"/>
        </w:rPr>
        <w:t>En la Comisión Nacional de los Derechos Humano, no se cuenta con iniciativas que contemplen ese tipo de información. No se tiene conocimiento de que alguna autoridad estatal se encuentre realizando la medición de esos delitos de forma específica durante la pandemia.</w:t>
      </w:r>
    </w:p>
    <w:p w:rsidR="00B955A1" w:rsidRDefault="00B955A1" w:rsidP="00B955A1">
      <w:pPr>
        <w:spacing w:after="120"/>
        <w:jc w:val="both"/>
        <w:rPr>
          <w:rFonts w:cs="Arial"/>
          <w:color w:val="000000" w:themeColor="text1"/>
          <w:sz w:val="22"/>
          <w:lang w:val="es-ES"/>
        </w:rPr>
      </w:pPr>
      <w:r w:rsidRPr="004E2828">
        <w:rPr>
          <w:rFonts w:cs="Arial"/>
          <w:color w:val="000000" w:themeColor="text1"/>
          <w:sz w:val="22"/>
          <w:lang w:val="es-ES"/>
        </w:rPr>
        <w:t xml:space="preserve">Por lo que continúa vigente la recomendación realizada a esta Dependencia en el </w:t>
      </w:r>
      <w:hyperlink r:id="rId8" w:history="1">
        <w:r w:rsidRPr="004E2828">
          <w:rPr>
            <w:rStyle w:val="Hyperlink"/>
            <w:rFonts w:cs="Arial"/>
            <w:sz w:val="22"/>
            <w:lang w:val="es-ES"/>
          </w:rPr>
          <w:t>Diagnóstico sobre la Situación de la Trata de Personas en México 2019</w:t>
        </w:r>
      </w:hyperlink>
      <w:r w:rsidRPr="004E2828">
        <w:rPr>
          <w:rStyle w:val="Hyperlink"/>
          <w:rFonts w:cs="Arial"/>
          <w:sz w:val="22"/>
          <w:lang w:val="es-ES"/>
        </w:rPr>
        <w:t xml:space="preserve"> (Diagnóstico 2019),</w:t>
      </w:r>
      <w:r w:rsidRPr="004E2828">
        <w:rPr>
          <w:rFonts w:cs="Arial"/>
          <w:color w:val="000000" w:themeColor="text1"/>
          <w:sz w:val="22"/>
          <w:lang w:val="es-ES"/>
        </w:rPr>
        <w:t xml:space="preserve"> elaborado por esta Comisión Nacional, respecto a concretar la operación del SINTRA</w:t>
      </w:r>
      <w:r w:rsidR="0051420C">
        <w:rPr>
          <w:rFonts w:cs="Arial"/>
          <w:color w:val="000000" w:themeColor="text1"/>
          <w:sz w:val="22"/>
          <w:lang w:val="es-ES"/>
        </w:rPr>
        <w:t xml:space="preserve"> (</w:t>
      </w:r>
      <w:r w:rsidR="0051420C" w:rsidRPr="004E2828">
        <w:rPr>
          <w:rFonts w:cs="Arial"/>
          <w:color w:val="000000" w:themeColor="text1"/>
          <w:sz w:val="22"/>
          <w:lang w:val="es-ES"/>
        </w:rPr>
        <w:t>Sistema Nacional de Informac</w:t>
      </w:r>
      <w:r w:rsidR="0051420C">
        <w:rPr>
          <w:rFonts w:cs="Arial"/>
          <w:color w:val="000000" w:themeColor="text1"/>
          <w:sz w:val="22"/>
          <w:lang w:val="es-ES"/>
        </w:rPr>
        <w:t>ión contra la Trata de Personas)</w:t>
      </w:r>
      <w:r w:rsidR="0051420C" w:rsidRPr="004E2828">
        <w:rPr>
          <w:rFonts w:cs="Arial"/>
          <w:color w:val="000000" w:themeColor="text1"/>
          <w:sz w:val="22"/>
          <w:lang w:val="es-ES"/>
        </w:rPr>
        <w:t xml:space="preserve">, </w:t>
      </w:r>
      <w:r w:rsidRPr="004E2828">
        <w:rPr>
          <w:rFonts w:cs="Arial"/>
          <w:color w:val="000000" w:themeColor="text1"/>
          <w:sz w:val="22"/>
          <w:lang w:val="es-ES"/>
        </w:rPr>
        <w:t xml:space="preserve"> y garantizar el registro completo de datos necesarios para la identificación y el tratamiento de las víctimas y casos.</w:t>
      </w:r>
      <w:r w:rsidRPr="004E2828">
        <w:rPr>
          <w:rStyle w:val="FootnoteReference"/>
          <w:rFonts w:cs="Arial"/>
          <w:color w:val="000000" w:themeColor="text1"/>
          <w:sz w:val="22"/>
          <w:lang w:val="es-ES"/>
        </w:rPr>
        <w:footnoteReference w:id="8"/>
      </w:r>
    </w:p>
    <w:p w:rsidR="00E22357" w:rsidRPr="00E22357" w:rsidRDefault="00E22357" w:rsidP="00E22357">
      <w:pPr>
        <w:spacing w:after="120"/>
        <w:jc w:val="both"/>
        <w:rPr>
          <w:rFonts w:cs="Arial"/>
          <w:color w:val="4472C4" w:themeColor="accent5"/>
          <w:sz w:val="22"/>
          <w:lang w:val="es-ES"/>
        </w:rPr>
      </w:pPr>
      <w:r w:rsidRPr="00E22357">
        <w:rPr>
          <w:rFonts w:cs="Arial"/>
          <w:color w:val="4472C4" w:themeColor="accent5"/>
          <w:sz w:val="22"/>
          <w:lang w:val="es-ES"/>
        </w:rPr>
        <w:t>In the National Commission for Human Rights, there are no initiatives that include this type of information. It is not known that any state authority is specifically measuring these crimes during the pandemic.</w:t>
      </w:r>
    </w:p>
    <w:p w:rsidR="00E22357" w:rsidRPr="00E22357" w:rsidRDefault="00E22357" w:rsidP="00E22357">
      <w:pPr>
        <w:spacing w:after="120"/>
        <w:jc w:val="both"/>
        <w:rPr>
          <w:rFonts w:cs="Arial"/>
          <w:color w:val="4472C4" w:themeColor="accent5"/>
          <w:sz w:val="22"/>
          <w:lang w:val="es-ES"/>
        </w:rPr>
      </w:pPr>
      <w:r w:rsidRPr="00E22357">
        <w:rPr>
          <w:rFonts w:cs="Arial"/>
          <w:color w:val="4472C4" w:themeColor="accent5"/>
          <w:sz w:val="22"/>
          <w:lang w:val="es-ES"/>
        </w:rPr>
        <w:t>Therefore, the recommendation made to this Unit in the Diagnosis on the Situation of Trafficking in Persons in Mexico 2019 (Diagnosis 2019), prepared by this National Commission, regarding the operation of SINTRA (National Information System against Trafficking in Persons), and guarantee the complete registration of data necessary for the identification and treatment of victims and cases.</w:t>
      </w:r>
    </w:p>
    <w:p w:rsidR="00E22357" w:rsidRPr="004E2828" w:rsidRDefault="00E22357" w:rsidP="00B955A1">
      <w:pPr>
        <w:spacing w:after="120"/>
        <w:jc w:val="both"/>
        <w:rPr>
          <w:rFonts w:cs="Arial"/>
          <w:color w:val="000000" w:themeColor="text1"/>
          <w:sz w:val="22"/>
          <w:lang w:val="es-ES"/>
        </w:rPr>
      </w:pPr>
    </w:p>
    <w:p w:rsidR="00B955A1" w:rsidRPr="004E2828" w:rsidRDefault="00B955A1" w:rsidP="00B955A1">
      <w:pPr>
        <w:numPr>
          <w:ilvl w:val="0"/>
          <w:numId w:val="6"/>
        </w:numPr>
        <w:spacing w:after="120" w:line="240" w:lineRule="auto"/>
        <w:jc w:val="both"/>
        <w:rPr>
          <w:rFonts w:cs="Arial"/>
          <w:b/>
          <w:bCs/>
          <w:sz w:val="22"/>
          <w:lang w:val="es-ES"/>
        </w:rPr>
      </w:pPr>
      <w:r w:rsidRPr="004E2828">
        <w:rPr>
          <w:rFonts w:cs="Arial"/>
          <w:b/>
          <w:bCs/>
          <w:sz w:val="22"/>
          <w:lang w:val="es-ES"/>
        </w:rPr>
        <w:t xml:space="preserve">Sírvase compartir información sobre los desafíos que se enfrentan en la prestación de servicios de atención de la salud, educación y asistencia letrada sin interrupción, así como los servicios de recuperación y reintegración de las víctimas en el contexto del brote. </w:t>
      </w:r>
    </w:p>
    <w:p w:rsidR="00B955A1" w:rsidRPr="004E2828" w:rsidRDefault="00B955A1" w:rsidP="00B955A1">
      <w:pPr>
        <w:spacing w:after="120"/>
        <w:jc w:val="both"/>
        <w:rPr>
          <w:rFonts w:cs="Arial"/>
          <w:color w:val="000000" w:themeColor="text1"/>
          <w:sz w:val="22"/>
          <w:lang w:val="es-ES"/>
        </w:rPr>
      </w:pPr>
      <w:r w:rsidRPr="004E2828">
        <w:rPr>
          <w:rFonts w:cs="Arial"/>
          <w:color w:val="000000" w:themeColor="text1"/>
          <w:sz w:val="22"/>
          <w:lang w:val="es-ES"/>
        </w:rPr>
        <w:t>El pasado 31 de marzo de 2020, la Secretaría de Salud emitió el “</w:t>
      </w:r>
      <w:hyperlink r:id="rId9" w:history="1">
        <w:r w:rsidRPr="004E2828">
          <w:rPr>
            <w:rStyle w:val="Hyperlink"/>
            <w:rFonts w:cs="Arial"/>
            <w:color w:val="2E74B5" w:themeColor="accent1" w:themeShade="BF"/>
            <w:sz w:val="22"/>
            <w:lang w:val="es-ES"/>
          </w:rPr>
          <w:t>Acuerdopor el que se establecen acciones extraordinarias para atender la emergencia sanitaria generada por el virus SARS-CoV2</w:t>
        </w:r>
      </w:hyperlink>
      <w:r w:rsidRPr="004E2828">
        <w:rPr>
          <w:rFonts w:cs="Arial"/>
          <w:color w:val="000000" w:themeColor="text1"/>
          <w:sz w:val="22"/>
          <w:lang w:val="es-ES"/>
        </w:rPr>
        <w:t>” en el que ordenó la suspensión inmediata de las actividades no esenciales. Empero, el acuerdo señala la continuidad de las actividades consideradas como esenciales, dentro de ellas, los refugios y centros de atención a mujeres víctimas de violencia, sus hijas e hijos.</w:t>
      </w:r>
      <w:r w:rsidRPr="004E2828">
        <w:rPr>
          <w:rStyle w:val="FootnoteReference"/>
          <w:rFonts w:cs="Arial"/>
          <w:color w:val="000000" w:themeColor="text1"/>
          <w:sz w:val="22"/>
          <w:lang w:val="es-ES"/>
        </w:rPr>
        <w:footnoteReference w:id="9"/>
      </w:r>
    </w:p>
    <w:p w:rsidR="009B2B70" w:rsidRDefault="00B955A1" w:rsidP="00B955A1">
      <w:pPr>
        <w:spacing w:after="120"/>
        <w:jc w:val="both"/>
        <w:rPr>
          <w:rFonts w:cs="Arial"/>
          <w:sz w:val="22"/>
          <w:lang w:val="es-ES"/>
        </w:rPr>
      </w:pPr>
      <w:r w:rsidRPr="004E2828">
        <w:rPr>
          <w:rFonts w:cs="Arial"/>
          <w:color w:val="000000" w:themeColor="text1"/>
          <w:sz w:val="22"/>
          <w:lang w:val="es-ES"/>
        </w:rPr>
        <w:t>Sobre los refugios, el 7 de abril del presente año la Secretaría del Bienestar, por conducto del Instituto Nacional de Desarrollo Social, publicó los “</w:t>
      </w:r>
      <w:r w:rsidRPr="009B2B70">
        <w:rPr>
          <w:rFonts w:cs="Arial"/>
          <w:sz w:val="22"/>
          <w:lang w:val="es-ES"/>
        </w:rPr>
        <w:t xml:space="preserve">Lineamientos de Operación del </w:t>
      </w:r>
    </w:p>
    <w:p w:rsidR="009B2B70" w:rsidRDefault="009B2B70" w:rsidP="00B955A1">
      <w:pPr>
        <w:spacing w:after="120"/>
        <w:jc w:val="both"/>
        <w:rPr>
          <w:rFonts w:cs="Arial"/>
          <w:sz w:val="22"/>
          <w:lang w:val="es-ES"/>
        </w:rPr>
      </w:pPr>
    </w:p>
    <w:p w:rsidR="00B955A1" w:rsidRPr="004E2828" w:rsidRDefault="00B955A1" w:rsidP="00B955A1">
      <w:pPr>
        <w:spacing w:after="120"/>
        <w:jc w:val="both"/>
        <w:rPr>
          <w:rFonts w:cs="Arial"/>
          <w:color w:val="000000" w:themeColor="text1"/>
          <w:sz w:val="22"/>
          <w:lang w:val="es-ES"/>
        </w:rPr>
      </w:pPr>
      <w:r w:rsidRPr="009B2B70">
        <w:rPr>
          <w:rFonts w:cs="Arial"/>
          <w:sz w:val="22"/>
          <w:lang w:val="es-ES"/>
        </w:rPr>
        <w:t>Programa de Apoyo para Refugios Especializados para Mujeres Víctimas de Violencia de Género, sus Hijas e Hijos, para el ejercicio fiscal 2020</w:t>
      </w:r>
      <w:r w:rsidRPr="004E2828">
        <w:rPr>
          <w:rFonts w:cs="Arial"/>
          <w:color w:val="000000" w:themeColor="text1"/>
          <w:sz w:val="22"/>
          <w:lang w:val="es-ES"/>
        </w:rPr>
        <w:t xml:space="preserve">”. El citado programa “es una respuesta específica del Gobierno Federal para el fortalecimiento de los refugios como espacios temporales, multidisciplinarios y seguros para mujeres, sus hijas e hijos en situación de violencia por razones de género”. </w:t>
      </w:r>
    </w:p>
    <w:p w:rsidR="0051420C" w:rsidRDefault="0051420C" w:rsidP="0051420C">
      <w:pPr>
        <w:spacing w:after="60"/>
        <w:jc w:val="both"/>
        <w:rPr>
          <w:rFonts w:cs="Arial"/>
          <w:sz w:val="22"/>
        </w:rPr>
      </w:pPr>
      <w:r>
        <w:rPr>
          <w:rFonts w:cs="Arial"/>
          <w:sz w:val="22"/>
        </w:rPr>
        <w:t>Sin embargo, desde la Comisión Nacional de los De</w:t>
      </w:r>
      <w:r w:rsidR="00E55441">
        <w:rPr>
          <w:rFonts w:cs="Arial"/>
          <w:sz w:val="22"/>
        </w:rPr>
        <w:t>rechos Humanos detectamos</w:t>
      </w:r>
      <w:r>
        <w:rPr>
          <w:rFonts w:cs="Arial"/>
          <w:sz w:val="22"/>
        </w:rPr>
        <w:t xml:space="preserve"> situaciones que se actualizaron durante la pandemia:</w:t>
      </w:r>
    </w:p>
    <w:p w:rsidR="0051420C" w:rsidRPr="0051420C" w:rsidRDefault="0051420C" w:rsidP="0051420C">
      <w:pPr>
        <w:pStyle w:val="ListParagraph"/>
        <w:numPr>
          <w:ilvl w:val="0"/>
          <w:numId w:val="8"/>
        </w:numPr>
        <w:spacing w:after="60" w:line="240" w:lineRule="auto"/>
        <w:jc w:val="both"/>
        <w:rPr>
          <w:rFonts w:cs="Arial"/>
          <w:sz w:val="22"/>
        </w:rPr>
      </w:pPr>
      <w:r w:rsidRPr="00FF418A">
        <w:rPr>
          <w:rFonts w:cs="Arial"/>
          <w:b/>
          <w:sz w:val="22"/>
        </w:rPr>
        <w:t xml:space="preserve">La limitación de los servicios. </w:t>
      </w:r>
      <w:r>
        <w:rPr>
          <w:rFonts w:cs="Arial"/>
          <w:sz w:val="22"/>
        </w:rPr>
        <w:t>Muchas autoridades federales, locales y municipales suspendieron casi totalmente sus operaciones, y solo mantuvieron un mínimo personal de guardia para la atención de reportes de violencia o maltrato. Ello dificultó contactarlas para enviarles los reportes de casos o solicitudes de apoyo. En otros casos, establecieron un criterio (no claro, ni homogéneo) de que sólo se atenderían asuntos de naturaleza urgente, sin que se especificara que se entendía por tales y qué personal y en cuánto tiempo se atenderían. De igual manera, se suspendieron cirugías, tratamientos médicos, audiencias jurisdiccionales y otro tipo de trámites que estaban en curso durante la pandemia, generando impactos de diversa gravedad en las niñas, niños y adolescentes.</w:t>
      </w:r>
    </w:p>
    <w:p w:rsidR="0051420C" w:rsidRDefault="0051420C" w:rsidP="0051420C">
      <w:pPr>
        <w:pStyle w:val="ListParagraph"/>
        <w:numPr>
          <w:ilvl w:val="0"/>
          <w:numId w:val="8"/>
        </w:numPr>
        <w:spacing w:after="60" w:line="240" w:lineRule="auto"/>
        <w:jc w:val="both"/>
        <w:rPr>
          <w:rFonts w:cs="Arial"/>
          <w:sz w:val="22"/>
        </w:rPr>
      </w:pPr>
      <w:r w:rsidRPr="00574E98">
        <w:rPr>
          <w:rFonts w:cs="Arial"/>
          <w:b/>
          <w:sz w:val="22"/>
        </w:rPr>
        <w:t>La falta de personal capacitado.</w:t>
      </w:r>
      <w:r>
        <w:rPr>
          <w:rFonts w:cs="Arial"/>
          <w:sz w:val="22"/>
        </w:rPr>
        <w:t xml:space="preserve"> El personal de guardia que se quedó a trabajar en las autoridades o servicios, no necesariamente contaba con la capacitación necesaria para la atención de casos de niñas, niños y adolescentes, en un caso constatamos incluso, que se estaba dando tratamiento de adulto a un adolescente por parte de autoridades penitenciarias.</w:t>
      </w:r>
    </w:p>
    <w:p w:rsidR="00E22357" w:rsidRPr="00E22357" w:rsidRDefault="00E22357" w:rsidP="00E22357">
      <w:pPr>
        <w:spacing w:after="60" w:line="240" w:lineRule="auto"/>
        <w:jc w:val="both"/>
        <w:rPr>
          <w:rFonts w:cs="Arial"/>
          <w:color w:val="4472C4" w:themeColor="accent5"/>
          <w:sz w:val="22"/>
        </w:rPr>
      </w:pPr>
      <w:r w:rsidRPr="00E22357">
        <w:rPr>
          <w:rFonts w:cs="Arial"/>
          <w:color w:val="4472C4" w:themeColor="accent5"/>
          <w:sz w:val="22"/>
        </w:rPr>
        <w:t>On March 31, 2020, the Ministry of Health issued the "Agreement establishing extraordinary actions to deal with the health emergency caused by the SARS-CoV2 virus" in which it ordered the immediate suspension of non-essential activities. However, the agreement indicates the continuity of activities considered essential, among them, shelters and care centers for women victims of violence, their daughters and sons.</w:t>
      </w:r>
    </w:p>
    <w:p w:rsidR="00E22357" w:rsidRPr="00E22357" w:rsidRDefault="00E22357" w:rsidP="00E22357">
      <w:pPr>
        <w:spacing w:after="60" w:line="240" w:lineRule="auto"/>
        <w:jc w:val="both"/>
        <w:rPr>
          <w:rFonts w:cs="Arial"/>
          <w:color w:val="4472C4" w:themeColor="accent5"/>
          <w:sz w:val="22"/>
        </w:rPr>
      </w:pPr>
      <w:r w:rsidRPr="00E22357">
        <w:rPr>
          <w:rFonts w:cs="Arial"/>
          <w:color w:val="4472C4" w:themeColor="accent5"/>
          <w:sz w:val="22"/>
        </w:rPr>
        <w:t>Regarding the shelters, on April 7 of this year the Ministry of Welfare, through the National Institute of Social Development, published the</w:t>
      </w:r>
      <w:r w:rsidRPr="00E22357">
        <w:rPr>
          <w:rFonts w:cs="Arial"/>
          <w:color w:val="4472C4" w:themeColor="accent5"/>
          <w:sz w:val="22"/>
        </w:rPr>
        <w:t xml:space="preserve"> “Operational Guidelines of the </w:t>
      </w:r>
      <w:r w:rsidRPr="00E22357">
        <w:rPr>
          <w:rFonts w:cs="Arial"/>
          <w:color w:val="4472C4" w:themeColor="accent5"/>
          <w:sz w:val="22"/>
        </w:rPr>
        <w:t xml:space="preserve">Support Program for Specialized Shelters for Women Victims of Gender Violence, their Daughters and Sons, for fiscal year </w:t>
      </w:r>
      <w:proofErr w:type="gramStart"/>
      <w:r w:rsidRPr="00E22357">
        <w:rPr>
          <w:rFonts w:cs="Arial"/>
          <w:color w:val="4472C4" w:themeColor="accent5"/>
          <w:sz w:val="22"/>
        </w:rPr>
        <w:t>2020 ”</w:t>
      </w:r>
      <w:proofErr w:type="gramEnd"/>
      <w:r w:rsidRPr="00E22357">
        <w:rPr>
          <w:rFonts w:cs="Arial"/>
          <w:color w:val="4472C4" w:themeColor="accent5"/>
          <w:sz w:val="22"/>
        </w:rPr>
        <w:t>. The aforementioned program "is a specific response from the Federal Government to strengthen shelters as temporary, multidisciplinary and safe spaces for women, their daughters and sons in situations of gender-based violence."</w:t>
      </w:r>
    </w:p>
    <w:p w:rsidR="00E22357" w:rsidRPr="00E22357" w:rsidRDefault="00E22357" w:rsidP="00E22357">
      <w:pPr>
        <w:spacing w:after="60" w:line="240" w:lineRule="auto"/>
        <w:jc w:val="both"/>
        <w:rPr>
          <w:rFonts w:cs="Arial"/>
          <w:color w:val="4472C4" w:themeColor="accent5"/>
          <w:sz w:val="22"/>
        </w:rPr>
      </w:pPr>
      <w:r w:rsidRPr="00E22357">
        <w:rPr>
          <w:rFonts w:cs="Arial"/>
          <w:color w:val="4472C4" w:themeColor="accent5"/>
          <w:sz w:val="22"/>
        </w:rPr>
        <w:t>However, from the National Human Rights Commission we detected situations that were updated during the pandemic:</w:t>
      </w:r>
    </w:p>
    <w:p w:rsidR="00E22357" w:rsidRPr="00E22357" w:rsidRDefault="00E22357" w:rsidP="00E22357">
      <w:pPr>
        <w:spacing w:after="60" w:line="240" w:lineRule="auto"/>
        <w:jc w:val="both"/>
        <w:rPr>
          <w:rFonts w:cs="Arial"/>
          <w:color w:val="4472C4" w:themeColor="accent5"/>
          <w:sz w:val="22"/>
        </w:rPr>
      </w:pPr>
      <w:r w:rsidRPr="00E22357">
        <w:rPr>
          <w:rFonts w:cs="Arial"/>
          <w:color w:val="4472C4" w:themeColor="accent5"/>
          <w:sz w:val="22"/>
        </w:rPr>
        <w:t>• The limitation of services. Many federal, local and municipal authorities almost completely suspended their operations, and only kept a minimum number of personnel on duty to deal with reports of violence or abuse. This made it difficult to contact them to send them case reports or requests for support. In other cases, they established a criterion (not clear, nor homogeneous) that only matters of an urgent nature would be dealt with, without specifying what was understood by such and what personnel and how long they would be dealt with. Likewise, surgeries, medical treatments, jurisdictional hearings and other types of procedures that were ongoing during the pandemic were suspended, generating impacts of varying severity on girls, boys and adolescents.</w:t>
      </w:r>
    </w:p>
    <w:p w:rsidR="00E22357" w:rsidRPr="00E22357" w:rsidRDefault="00E22357" w:rsidP="00E22357">
      <w:pPr>
        <w:spacing w:after="60" w:line="240" w:lineRule="auto"/>
        <w:jc w:val="both"/>
        <w:rPr>
          <w:rFonts w:cs="Arial"/>
          <w:color w:val="4472C4" w:themeColor="accent5"/>
          <w:sz w:val="22"/>
        </w:rPr>
      </w:pPr>
      <w:r w:rsidRPr="00E22357">
        <w:rPr>
          <w:rFonts w:cs="Arial"/>
          <w:color w:val="4472C4" w:themeColor="accent5"/>
          <w:sz w:val="22"/>
        </w:rPr>
        <w:t>• Lack of trained personnel. The staff on duty who stayed to work in the authorities or services, did not necessarily have the necessary training to attend to cases of girls, boys and adolescents, in one case we even found that an adolescent was being treated as an adult by the prison authorities</w:t>
      </w:r>
    </w:p>
    <w:p w:rsidR="00E22357" w:rsidRPr="00E22357" w:rsidRDefault="00E22357" w:rsidP="00E22357">
      <w:pPr>
        <w:spacing w:after="60" w:line="240" w:lineRule="auto"/>
        <w:jc w:val="both"/>
        <w:rPr>
          <w:rFonts w:cs="Arial"/>
          <w:sz w:val="22"/>
        </w:rPr>
      </w:pPr>
    </w:p>
    <w:p w:rsidR="00B955A1" w:rsidRPr="004E2828" w:rsidRDefault="00B955A1" w:rsidP="00B955A1">
      <w:pPr>
        <w:numPr>
          <w:ilvl w:val="0"/>
          <w:numId w:val="6"/>
        </w:numPr>
        <w:spacing w:after="120" w:line="240" w:lineRule="auto"/>
        <w:jc w:val="both"/>
        <w:rPr>
          <w:rFonts w:cs="Arial"/>
          <w:b/>
          <w:bCs/>
          <w:sz w:val="22"/>
          <w:lang w:val="es-ES"/>
        </w:rPr>
      </w:pPr>
      <w:r w:rsidRPr="004E2828">
        <w:rPr>
          <w:rFonts w:cs="Arial"/>
          <w:b/>
          <w:bCs/>
          <w:sz w:val="22"/>
          <w:lang w:val="es-ES"/>
        </w:rPr>
        <w:t>¿Ha habido ejemplos de soluciones innovadoras para garantizar el funcionamiento eficaz de los sistemas de protección del niño y de justicia que sean resistentes, adaptables y capaces de soportar la próxima crisis?</w:t>
      </w:r>
    </w:p>
    <w:p w:rsidR="00B955A1" w:rsidRPr="004E2828" w:rsidRDefault="00B955A1" w:rsidP="00B955A1">
      <w:pPr>
        <w:spacing w:after="120"/>
        <w:jc w:val="both"/>
        <w:rPr>
          <w:rFonts w:cs="Arial"/>
          <w:sz w:val="22"/>
          <w:lang w:val="es-ES"/>
        </w:rPr>
      </w:pPr>
      <w:r w:rsidRPr="004E2828">
        <w:rPr>
          <w:rFonts w:cs="Arial"/>
          <w:sz w:val="22"/>
          <w:lang w:val="es-ES"/>
        </w:rPr>
        <w:t>A través de su Secretaría Ejecutiva, el Sistema Nacional de Protección de Niñas, Niños y Adolescentes (SIPINNA),</w:t>
      </w:r>
      <w:r w:rsidRPr="004E2828">
        <w:rPr>
          <w:rStyle w:val="FootnoteReference"/>
          <w:rFonts w:cs="Arial"/>
          <w:sz w:val="22"/>
          <w:lang w:val="es-ES"/>
        </w:rPr>
        <w:footnoteReference w:id="10"/>
      </w:r>
      <w:r w:rsidRPr="004E2828">
        <w:rPr>
          <w:rFonts w:cs="Arial"/>
          <w:sz w:val="22"/>
          <w:lang w:val="es-ES"/>
        </w:rPr>
        <w:t xml:space="preserve"> señala que “impulsa acciones en favor de” esta población, así como a sus padres, madres, cuidadores, tutores y docentes.</w:t>
      </w:r>
      <w:r w:rsidRPr="004E2828">
        <w:rPr>
          <w:rStyle w:val="FootnoteReference"/>
          <w:rFonts w:cs="Arial"/>
          <w:sz w:val="22"/>
          <w:lang w:val="es-ES"/>
        </w:rPr>
        <w:footnoteReference w:id="11"/>
      </w:r>
      <w:r w:rsidRPr="004E2828">
        <w:rPr>
          <w:rFonts w:cs="Arial"/>
          <w:sz w:val="22"/>
          <w:lang w:val="es-ES"/>
        </w:rPr>
        <w:t xml:space="preserve"> Por ejemplo, señalan haber realizado diversos conversatorios virtuales en los que han intervenido diversas autoridades y personas expertas en distintos temas como la salud mental, saludo sexual, derechos humanos y tecnología de la información y la comunicación, entre otros.</w:t>
      </w:r>
      <w:r w:rsidRPr="004E2828">
        <w:rPr>
          <w:rStyle w:val="FootnoteReference"/>
          <w:rFonts w:cs="Arial"/>
          <w:sz w:val="22"/>
          <w:lang w:val="es-ES"/>
        </w:rPr>
        <w:footnoteReference w:id="12"/>
      </w:r>
    </w:p>
    <w:p w:rsidR="009B2B70" w:rsidRDefault="00B955A1" w:rsidP="00B955A1">
      <w:pPr>
        <w:spacing w:after="120"/>
        <w:jc w:val="both"/>
        <w:rPr>
          <w:rFonts w:cs="Arial"/>
          <w:sz w:val="22"/>
          <w:lang w:val="es-ES"/>
        </w:rPr>
      </w:pPr>
      <w:r w:rsidRPr="004E2828">
        <w:rPr>
          <w:rFonts w:cs="Arial"/>
          <w:sz w:val="22"/>
          <w:lang w:val="es-ES"/>
        </w:rPr>
        <w:t>Asimismo, el secretario ejecutivo del SIPINNA, aseguró a finales de mayo que "los niños pueden ser las víctimas invisibles y silenciosas de la pandemia" de COVID-19 al ser la población que más padece la pobreza y la violencia.</w:t>
      </w:r>
      <w:r w:rsidRPr="004E2828">
        <w:rPr>
          <w:rStyle w:val="FootnoteReference"/>
          <w:rFonts w:cs="Arial"/>
          <w:sz w:val="22"/>
          <w:lang w:val="es-ES"/>
        </w:rPr>
        <w:footnoteReference w:id="13"/>
      </w:r>
      <w:r w:rsidRPr="004E2828">
        <w:rPr>
          <w:rFonts w:cs="Arial"/>
          <w:sz w:val="22"/>
          <w:lang w:val="es-ES"/>
        </w:rPr>
        <w:t xml:space="preserve"> En respuesta, se tiene conocimiento de que se han llevado a cabo sesiones extraordinarias con los titulares de los SIPINNA </w:t>
      </w:r>
      <w:r w:rsidR="0051420C">
        <w:rPr>
          <w:rFonts w:cs="Arial"/>
          <w:sz w:val="22"/>
          <w:lang w:val="es-ES"/>
        </w:rPr>
        <w:t xml:space="preserve"> </w:t>
      </w:r>
      <w:r w:rsidRPr="004E2828">
        <w:rPr>
          <w:rFonts w:cs="Arial"/>
          <w:sz w:val="22"/>
          <w:lang w:val="es-ES"/>
        </w:rPr>
        <w:t>estatales y municipales para dialogar acciones de atención y protección de la niñez y adolescencia durante y después de la contingencia como: deserción escolar, violencias, trabajo infantil y embarazo.</w:t>
      </w:r>
      <w:r w:rsidRPr="004E2828">
        <w:rPr>
          <w:rStyle w:val="FootnoteReference"/>
          <w:rFonts w:cs="Arial"/>
          <w:sz w:val="22"/>
          <w:lang w:val="es-ES"/>
        </w:rPr>
        <w:footnoteReference w:id="14"/>
      </w:r>
    </w:p>
    <w:p w:rsidR="00B955A1" w:rsidRPr="004E2828" w:rsidRDefault="00B955A1" w:rsidP="00B955A1">
      <w:pPr>
        <w:spacing w:after="120"/>
        <w:jc w:val="both"/>
        <w:rPr>
          <w:rFonts w:cs="Arial"/>
          <w:sz w:val="22"/>
          <w:lang w:val="es-ES"/>
        </w:rPr>
      </w:pPr>
      <w:r w:rsidRPr="004E2828">
        <w:rPr>
          <w:rFonts w:cs="Arial"/>
          <w:sz w:val="22"/>
          <w:lang w:val="es-ES"/>
        </w:rPr>
        <w:t>Por otro lado, se tiene conocimiento de que el Gobierno Federal, a través de las redes sociales de las distintas Secretarías e instituciones ha puesto a disposición del público, información sobre los distintos riesgos a los que están expuestos los niños, niñas y adolescentes durante el confinamiento.</w:t>
      </w:r>
      <w:r w:rsidRPr="004E2828">
        <w:rPr>
          <w:rStyle w:val="FootnoteReference"/>
          <w:rFonts w:cs="Arial"/>
          <w:sz w:val="22"/>
          <w:lang w:val="es-ES"/>
        </w:rPr>
        <w:footnoteReference w:id="15"/>
      </w:r>
      <w:r w:rsidRPr="004E2828">
        <w:rPr>
          <w:rFonts w:cs="Arial"/>
          <w:sz w:val="22"/>
          <w:lang w:val="es-ES"/>
        </w:rPr>
        <w:t xml:space="preserve"> Esta información está acompañada del número telefónico para pedir ayuda, así como de las instrucciones para identificar servicios de atención específicos y solicitar el acceso a servicios de salud sexual y reproductiva.</w:t>
      </w:r>
      <w:r w:rsidRPr="004E2828">
        <w:rPr>
          <w:rStyle w:val="FootnoteReference"/>
          <w:rFonts w:cs="Arial"/>
          <w:sz w:val="22"/>
          <w:lang w:val="es-ES"/>
        </w:rPr>
        <w:footnoteReference w:id="16"/>
      </w:r>
    </w:p>
    <w:p w:rsidR="00B955A1" w:rsidRDefault="00B955A1" w:rsidP="00B955A1">
      <w:pPr>
        <w:spacing w:after="120"/>
        <w:jc w:val="both"/>
        <w:rPr>
          <w:rFonts w:cs="Arial"/>
          <w:sz w:val="22"/>
          <w:lang w:val="es-ES"/>
        </w:rPr>
      </w:pPr>
      <w:r w:rsidRPr="004E2828">
        <w:rPr>
          <w:rFonts w:cs="Arial"/>
          <w:sz w:val="22"/>
          <w:lang w:val="es-ES"/>
        </w:rPr>
        <w:t>Además de las herramientas aquí mencionadas, se tiene conocimiento de recomendaciones que el Gobierno Federal ha emitido para la mitigación de COVID-19 en centros de atención infantil,</w:t>
      </w:r>
      <w:r w:rsidRPr="004E2828">
        <w:rPr>
          <w:rStyle w:val="FootnoteReference"/>
          <w:rFonts w:cs="Arial"/>
          <w:sz w:val="22"/>
          <w:lang w:val="es-ES"/>
        </w:rPr>
        <w:footnoteReference w:id="17"/>
      </w:r>
      <w:r w:rsidRPr="004E2828">
        <w:rPr>
          <w:rFonts w:cs="Arial"/>
          <w:sz w:val="22"/>
          <w:lang w:val="es-ES"/>
        </w:rPr>
        <w:t xml:space="preserve"> así como en refugios y centros de atención de atención externa para mujeres que viven violencia extrema, sus hijos e hijas.</w:t>
      </w:r>
      <w:r w:rsidRPr="004E2828">
        <w:rPr>
          <w:rStyle w:val="FootnoteReference"/>
          <w:rFonts w:cs="Arial"/>
          <w:sz w:val="22"/>
          <w:lang w:val="es-ES"/>
        </w:rPr>
        <w:footnoteReference w:id="18"/>
      </w:r>
    </w:p>
    <w:p w:rsidR="00E22357" w:rsidRDefault="00E22357" w:rsidP="00B955A1">
      <w:pPr>
        <w:spacing w:after="120"/>
        <w:jc w:val="both"/>
        <w:rPr>
          <w:rFonts w:cs="Arial"/>
          <w:sz w:val="22"/>
          <w:lang w:val="es-ES"/>
        </w:rPr>
      </w:pPr>
    </w:p>
    <w:p w:rsidR="00E22357" w:rsidRPr="00E22357" w:rsidRDefault="00E22357" w:rsidP="00E22357">
      <w:pPr>
        <w:spacing w:after="120"/>
        <w:jc w:val="both"/>
        <w:rPr>
          <w:rFonts w:cs="Arial"/>
          <w:color w:val="4472C4" w:themeColor="accent5"/>
          <w:sz w:val="22"/>
          <w:lang w:val="es-ES"/>
        </w:rPr>
      </w:pPr>
      <w:r w:rsidRPr="00E22357">
        <w:rPr>
          <w:rFonts w:cs="Arial"/>
          <w:color w:val="4472C4" w:themeColor="accent5"/>
          <w:sz w:val="22"/>
          <w:lang w:val="es-ES"/>
        </w:rPr>
        <w:t>Through its Executive Secretariat, the National System for the Protection of Girls, Boys and Adolescents (SIPINNA), indicates that it “promotes actions in favor of” this population, as well as their parents, mothers, caregivers, tutors and teachers. For example, they point out that they have carried out various virtual conversations in which various authorities and experts in different subjects such as mental health, sexual greeting, human rights, and information and communication technology, among others, have intervened.</w:t>
      </w:r>
    </w:p>
    <w:p w:rsidR="00E22357" w:rsidRDefault="00E22357" w:rsidP="00E22357">
      <w:pPr>
        <w:spacing w:after="120"/>
        <w:jc w:val="both"/>
        <w:rPr>
          <w:rFonts w:cs="Arial"/>
          <w:color w:val="4472C4" w:themeColor="accent5"/>
          <w:sz w:val="22"/>
          <w:lang w:val="es-ES"/>
        </w:rPr>
      </w:pPr>
      <w:r w:rsidRPr="00E22357">
        <w:rPr>
          <w:rFonts w:cs="Arial"/>
          <w:color w:val="4472C4" w:themeColor="accent5"/>
          <w:sz w:val="22"/>
          <w:lang w:val="es-ES"/>
        </w:rPr>
        <w:t>Likewise, the executive secretary of SIPINNA, assured in late May that "children can be the invisible and silent victims of the pandemic" of COVID-19 as they are the population that suffers the most from poverty and violence. In response, it is known that extraordinary sessions have been held with the heads of the state and municipal SIPINNA to discuss actions for the care and protection of children and adolescents during and after the contingency such as: school dropout, violence, work infant and pregnancy.</w:t>
      </w:r>
    </w:p>
    <w:p w:rsidR="00E22357" w:rsidRPr="00E22357" w:rsidRDefault="00E22357" w:rsidP="00E22357">
      <w:pPr>
        <w:spacing w:after="120"/>
        <w:jc w:val="both"/>
        <w:rPr>
          <w:rFonts w:cs="Arial"/>
          <w:color w:val="4472C4" w:themeColor="accent5"/>
          <w:sz w:val="22"/>
          <w:lang w:val="es-ES"/>
        </w:rPr>
      </w:pPr>
      <w:r w:rsidRPr="00E22357">
        <w:rPr>
          <w:rFonts w:cs="Arial"/>
          <w:color w:val="4472C4" w:themeColor="accent5"/>
          <w:sz w:val="22"/>
          <w:lang w:val="es-ES"/>
        </w:rPr>
        <w:t>On the other hand, it is known that the Federal Government, through the social networks of the different Secretariats and institutions, has made available to the public information on the different risks to which children and adolescents are exposed during the lockdown. This information is accompanied by a phone number to ask for help, as well as instructions to identify specific care services and request access to sexual and reproductive health services.</w:t>
      </w:r>
    </w:p>
    <w:p w:rsidR="00E22357" w:rsidRPr="00E22357" w:rsidRDefault="00E22357" w:rsidP="00E22357">
      <w:pPr>
        <w:spacing w:after="120"/>
        <w:jc w:val="both"/>
        <w:rPr>
          <w:rFonts w:cs="Arial"/>
          <w:color w:val="4472C4" w:themeColor="accent5"/>
          <w:sz w:val="22"/>
          <w:lang w:val="es-ES"/>
        </w:rPr>
      </w:pPr>
      <w:r w:rsidRPr="00E22357">
        <w:rPr>
          <w:rFonts w:cs="Arial"/>
          <w:color w:val="4472C4" w:themeColor="accent5"/>
          <w:sz w:val="22"/>
          <w:lang w:val="es-ES"/>
        </w:rPr>
        <w:t>In addition to the tools mentioned here, we are aware of recommendations that the Federal Government has issued for the mitigation of COVID-19 in child care centers, as well as in shelters and external care centers for women who experience extreme violence, their sons and daughters.</w:t>
      </w:r>
    </w:p>
    <w:p w:rsidR="00B955A1" w:rsidRDefault="00B955A1" w:rsidP="00B955A1">
      <w:pPr>
        <w:numPr>
          <w:ilvl w:val="0"/>
          <w:numId w:val="6"/>
        </w:numPr>
        <w:spacing w:after="120" w:line="240" w:lineRule="auto"/>
        <w:jc w:val="both"/>
        <w:rPr>
          <w:rFonts w:cs="Arial"/>
          <w:b/>
          <w:bCs/>
          <w:sz w:val="22"/>
          <w:lang w:val="es-ES"/>
        </w:rPr>
      </w:pPr>
      <w:r w:rsidRPr="00207788" w:rsidDel="001018D6">
        <w:rPr>
          <w:rFonts w:cs="Arial"/>
          <w:b/>
          <w:bCs/>
          <w:sz w:val="22"/>
          <w:lang w:val="es-ES"/>
        </w:rPr>
        <w:t xml:space="preserve">¿En qué medida </w:t>
      </w:r>
      <w:r w:rsidRPr="00207788">
        <w:rPr>
          <w:rFonts w:cs="Arial"/>
          <w:b/>
          <w:bCs/>
          <w:sz w:val="22"/>
          <w:lang w:val="es-ES"/>
        </w:rPr>
        <w:t xml:space="preserve">eran pertinentes y </w:t>
      </w:r>
      <w:r w:rsidRPr="00207788" w:rsidDel="001018D6">
        <w:rPr>
          <w:rFonts w:cs="Arial"/>
          <w:b/>
          <w:bCs/>
          <w:sz w:val="22"/>
          <w:lang w:val="es-ES"/>
        </w:rPr>
        <w:t xml:space="preserve">funcionales los marcos jurídicos existentes </w:t>
      </w:r>
      <w:r w:rsidRPr="00207788">
        <w:rPr>
          <w:rFonts w:cs="Arial"/>
          <w:b/>
          <w:bCs/>
          <w:sz w:val="22"/>
          <w:lang w:val="es-ES"/>
        </w:rPr>
        <w:t>sobre</w:t>
      </w:r>
      <w:r w:rsidRPr="00207788" w:rsidDel="001018D6">
        <w:rPr>
          <w:rFonts w:cs="Arial"/>
          <w:b/>
          <w:bCs/>
          <w:sz w:val="22"/>
          <w:lang w:val="es-ES"/>
        </w:rPr>
        <w:t xml:space="preserve"> prohibición, el enjuiciamiento, la protección, la atención, la asistencia y la prevención en relación con todas las formas de violencia física, mental y sexual contra los niños</w:t>
      </w:r>
      <w:r w:rsidRPr="00207788">
        <w:rPr>
          <w:rFonts w:cs="Arial"/>
          <w:b/>
          <w:bCs/>
          <w:sz w:val="22"/>
          <w:lang w:val="es-ES"/>
        </w:rPr>
        <w:t xml:space="preserve"> y niñas</w:t>
      </w:r>
      <w:r w:rsidRPr="00207788" w:rsidDel="001018D6">
        <w:rPr>
          <w:rFonts w:cs="Arial"/>
          <w:b/>
          <w:bCs/>
          <w:sz w:val="22"/>
          <w:lang w:val="es-ES"/>
        </w:rPr>
        <w:t>, la explotación y el abandono y las prácticas nocivas en relación con ellos?</w:t>
      </w:r>
    </w:p>
    <w:p w:rsidR="00393392" w:rsidRPr="00393392" w:rsidRDefault="00393392" w:rsidP="00393392">
      <w:pPr>
        <w:spacing w:after="60"/>
        <w:jc w:val="both"/>
        <w:rPr>
          <w:rFonts w:cs="Arial"/>
          <w:sz w:val="22"/>
        </w:rPr>
      </w:pPr>
      <w:r w:rsidRPr="00393392">
        <w:rPr>
          <w:rFonts w:cs="Arial"/>
          <w:sz w:val="22"/>
        </w:rPr>
        <w:t xml:space="preserve">México cuenta con un marco legal fortalecido de protección a niñas, niños y adolescentes víctimas de violencia en sus diversas manifestaciones. En 2014, se publicó la Ley General de los Derechos de Niñas, Niños y Adolescentes la cual les reconoce como sujetos de derechos humanos, y ordena entre otras cosas, la articulación de todas las instancias de gobierno, así como del sector social y privado a fin de garantizar el acceso y libre ejercicio de esos derechos, y establece mecanismos de protección y restitución de derechos a través de las Procuradurías de Protección de Niñas, Niños y Adolescentes. </w:t>
      </w:r>
    </w:p>
    <w:p w:rsidR="00393392" w:rsidRPr="00393392" w:rsidRDefault="00393392" w:rsidP="00393392">
      <w:pPr>
        <w:spacing w:after="60"/>
        <w:jc w:val="both"/>
        <w:rPr>
          <w:rFonts w:cs="Arial"/>
          <w:sz w:val="22"/>
        </w:rPr>
      </w:pPr>
      <w:r w:rsidRPr="00393392">
        <w:rPr>
          <w:rFonts w:cs="Arial"/>
          <w:sz w:val="22"/>
        </w:rPr>
        <w:t>No obstante, desde la CNDH se ha exhortado al Congreso de la Unión y a los Poderes Legislativos de las entidades federativas a generar la homologación de los tipos penales de violencia sexual en todo el país, así como eliminar la prescripción de los delitos cuando éstos se cometan contra niñas, niños y adolescentes, ya que aún persisten diferencias importantes tanto en las conductas que se consideran delitos, como en la penalidad de los mismos,</w:t>
      </w:r>
      <w:r>
        <w:rPr>
          <w:rStyle w:val="FootnoteReference"/>
          <w:rFonts w:cs="Arial"/>
          <w:sz w:val="22"/>
        </w:rPr>
        <w:footnoteReference w:id="19"/>
      </w:r>
      <w:r w:rsidRPr="00393392">
        <w:rPr>
          <w:rFonts w:cs="Arial"/>
          <w:sz w:val="22"/>
        </w:rPr>
        <w:t xml:space="preserve"> generando una protección desigual únicamente por el territorio donde se encuentran las personas menores de edad.</w:t>
      </w:r>
    </w:p>
    <w:p w:rsidR="00393392" w:rsidRDefault="00393392" w:rsidP="00E55441">
      <w:pPr>
        <w:spacing w:after="60"/>
        <w:jc w:val="both"/>
        <w:rPr>
          <w:rFonts w:cs="Arial"/>
          <w:sz w:val="22"/>
        </w:rPr>
      </w:pPr>
      <w:r w:rsidRPr="00393392">
        <w:rPr>
          <w:rFonts w:cs="Arial"/>
          <w:sz w:val="22"/>
        </w:rPr>
        <w:t xml:space="preserve">De igual manera, observamos que en México no se cuenta con mecanismos adecuados que permitan a quienes fueron víctimas de violencia sexual en su niñez o adolescencia, y que no pudieron denunciar por temor, coacción o simplemente porque se mantuvieron en silencio </w:t>
      </w:r>
      <w:r w:rsidR="00E55441">
        <w:rPr>
          <w:rFonts w:cs="Arial"/>
          <w:sz w:val="22"/>
        </w:rPr>
        <w:t xml:space="preserve"> </w:t>
      </w:r>
      <w:r w:rsidRPr="00393392">
        <w:rPr>
          <w:rFonts w:cs="Arial"/>
          <w:sz w:val="22"/>
        </w:rPr>
        <w:t>por el fuerte trauma que les generó, acceder a la justicia en su edad adulta, que es el momento en que muchas logran sentirse en condiciones de exigir la responsabilidad de sus agresores y su reivindicación como víctimas. Un ejemplo de ello es el caso de víctimas de abuso sexual por un grupo religioso en la década de 1990, caso que se encuentra bajo el seguimiento de la CNDH.</w:t>
      </w:r>
      <w:r>
        <w:rPr>
          <w:rStyle w:val="FootnoteReference"/>
          <w:rFonts w:cs="Arial"/>
          <w:sz w:val="22"/>
        </w:rPr>
        <w:footnoteReference w:id="20"/>
      </w:r>
    </w:p>
    <w:p w:rsidR="00AF3B5C" w:rsidRPr="00AF3B5C" w:rsidRDefault="00AF3B5C" w:rsidP="00AF3B5C">
      <w:pPr>
        <w:spacing w:after="60"/>
        <w:jc w:val="both"/>
        <w:rPr>
          <w:rFonts w:cs="Arial"/>
          <w:color w:val="4472C4" w:themeColor="accent5"/>
          <w:sz w:val="22"/>
        </w:rPr>
      </w:pPr>
      <w:r w:rsidRPr="00AF3B5C">
        <w:rPr>
          <w:rFonts w:cs="Arial"/>
          <w:color w:val="4472C4" w:themeColor="accent5"/>
          <w:sz w:val="22"/>
        </w:rPr>
        <w:t>Mexico has a strengthened legal framework for the protection of children and adolescents victims of violence in its various manifestations. In 2014, the General Law on the Rights of Girls, Boys and Adolescents was published, which recognizes them as subjects of human rights, and orders among other things, the articulation of all levels of government, as well as the social and private sector, to in order to guarantee access and free exercise of these rights, and establish mechanisms for the protection and restitution of rights through the Office of the Attorney for the Protection of Children and Adolescents.</w:t>
      </w:r>
    </w:p>
    <w:p w:rsidR="00AF3B5C" w:rsidRPr="00AF3B5C" w:rsidRDefault="00AF3B5C" w:rsidP="00AF3B5C">
      <w:pPr>
        <w:spacing w:after="60"/>
        <w:jc w:val="both"/>
        <w:rPr>
          <w:rFonts w:cs="Arial"/>
          <w:color w:val="4472C4" w:themeColor="accent5"/>
          <w:sz w:val="22"/>
        </w:rPr>
      </w:pPr>
      <w:r w:rsidRPr="00AF3B5C">
        <w:rPr>
          <w:rFonts w:cs="Arial"/>
          <w:color w:val="4472C4" w:themeColor="accent5"/>
          <w:sz w:val="22"/>
        </w:rPr>
        <w:t>However, the CNDH has urged the Congress of the Union and the Legislative Powers of the federal entities to generate the homologation of criminal types of sexual violence throughout the country, as well as to eliminate the prescription of crimes when they are committed against girls, boys and adolescents, since important differences persist both in the behaviors that are considered crimes, and in the penalties thereof, generating unequal protection only for the territory where minors are found.</w:t>
      </w:r>
    </w:p>
    <w:p w:rsidR="00AF3B5C" w:rsidRPr="00AF3B5C" w:rsidRDefault="00AF3B5C" w:rsidP="00AF3B5C">
      <w:pPr>
        <w:spacing w:after="60"/>
        <w:jc w:val="both"/>
        <w:rPr>
          <w:rFonts w:cs="Arial"/>
          <w:color w:val="4472C4" w:themeColor="accent5"/>
          <w:sz w:val="22"/>
        </w:rPr>
      </w:pPr>
      <w:r w:rsidRPr="00AF3B5C">
        <w:rPr>
          <w:rFonts w:cs="Arial"/>
          <w:color w:val="4472C4" w:themeColor="accent5"/>
          <w:sz w:val="22"/>
        </w:rPr>
        <w:t>Likewise, we observe that in Mexico there are no adequate mechanisms that allow those who were victims of sexual violence in their childhood or adolescence, and that they could not report due to fear, coercion or simply because they remained silent due to the strong trauma that It generated for them, access to justice in their adulthood, which is the time when many manage to feel in a position to demand the responsibility of their aggressors and their claim as victims. An example of this is the case of victims of sexual abuse by a religious group in the 1990s, a case that is under the monitoring of the CNDH.</w:t>
      </w:r>
    </w:p>
    <w:p w:rsidR="00AF3B5C" w:rsidRPr="00E55441" w:rsidRDefault="00AF3B5C" w:rsidP="00E55441">
      <w:pPr>
        <w:spacing w:after="60"/>
        <w:jc w:val="both"/>
        <w:rPr>
          <w:rFonts w:cs="Arial"/>
          <w:sz w:val="22"/>
        </w:rPr>
      </w:pPr>
    </w:p>
    <w:p w:rsidR="00E55441" w:rsidRPr="00AF3B5C" w:rsidRDefault="00B955A1" w:rsidP="009B2B70">
      <w:pPr>
        <w:pStyle w:val="ListParagraph"/>
        <w:numPr>
          <w:ilvl w:val="0"/>
          <w:numId w:val="6"/>
        </w:numPr>
        <w:spacing w:after="120" w:line="240" w:lineRule="auto"/>
        <w:jc w:val="both"/>
        <w:rPr>
          <w:rFonts w:cs="Arial"/>
          <w:b/>
          <w:bCs/>
          <w:sz w:val="22"/>
          <w:lang w:val="es-ES"/>
        </w:rPr>
      </w:pPr>
      <w:r w:rsidRPr="00B955A1">
        <w:rPr>
          <w:rFonts w:cs="Arial"/>
          <w:b/>
          <w:bCs/>
          <w:sz w:val="22"/>
          <w:lang w:val="es-ES"/>
        </w:rPr>
        <w:t xml:space="preserve">¿Se ha producido un aumento en la asignación de recursos, planes de acción o mecanismos de coordinación, servicios de prevención y respuesta para la </w:t>
      </w:r>
      <w:r w:rsidRPr="00AF3B5C">
        <w:rPr>
          <w:rFonts w:cs="Arial"/>
          <w:b/>
          <w:bCs/>
          <w:sz w:val="22"/>
          <w:lang w:val="es-ES"/>
        </w:rPr>
        <w:t>protección de los niños y niñas contra todas las formas de violencia, abuso y explotación?</w:t>
      </w:r>
    </w:p>
    <w:p w:rsidR="00B955A1" w:rsidRPr="004E2828" w:rsidRDefault="00B955A1" w:rsidP="00B955A1">
      <w:pPr>
        <w:spacing w:after="120"/>
        <w:jc w:val="both"/>
        <w:rPr>
          <w:rFonts w:cs="Arial"/>
          <w:sz w:val="22"/>
          <w:lang w:val="es-ES"/>
        </w:rPr>
      </w:pPr>
      <w:r w:rsidRPr="004E2828">
        <w:rPr>
          <w:rFonts w:cs="Arial"/>
          <w:sz w:val="22"/>
          <w:lang w:val="es-ES"/>
        </w:rPr>
        <w:t xml:space="preserve">La </w:t>
      </w:r>
      <w:hyperlink r:id="rId10" w:history="1">
        <w:r w:rsidRPr="004E2828">
          <w:rPr>
            <w:rStyle w:val="Hyperlink"/>
            <w:rFonts w:cs="Arial"/>
            <w:sz w:val="22"/>
            <w:lang w:val="es-ES"/>
          </w:rPr>
          <w:t>Ley General para Prevenir, Sancionar y Erradicar los Delitos en materia de Trata de Personas y para la Protección y Asistencia a las Víctimas de estos Delitos</w:t>
        </w:r>
      </w:hyperlink>
      <w:r w:rsidRPr="004E2828">
        <w:rPr>
          <w:rFonts w:cs="Arial"/>
          <w:sz w:val="22"/>
          <w:lang w:val="es-ES"/>
        </w:rPr>
        <w:t xml:space="preserve"> señala en el artículo 81 que los ejecutivos federal y de las entidades federativas establecerán un fondo para la protección y asistencia a las víctimas.</w:t>
      </w:r>
    </w:p>
    <w:p w:rsidR="00B955A1" w:rsidRPr="004E2828" w:rsidRDefault="00B955A1" w:rsidP="00B955A1">
      <w:pPr>
        <w:spacing w:after="120" w:line="259" w:lineRule="auto"/>
        <w:jc w:val="both"/>
        <w:rPr>
          <w:rFonts w:cs="Arial"/>
          <w:sz w:val="22"/>
          <w:lang w:val="es-ES"/>
        </w:rPr>
      </w:pPr>
      <w:r w:rsidRPr="004E2828">
        <w:rPr>
          <w:rFonts w:cs="Arial"/>
          <w:sz w:val="22"/>
          <w:lang w:val="es-ES"/>
        </w:rPr>
        <w:t>También respecto a los recursos destinados para la atención de las víctimas de trata de personas, incluidas las niñas y los niños víctimas de explotación, la Comisión Ejecutiva de Atención a Víctimas (CEAV) reportó que, con el “</w:t>
      </w:r>
      <w:hyperlink r:id="rId11" w:history="1">
        <w:r w:rsidRPr="004E2828">
          <w:rPr>
            <w:rStyle w:val="Hyperlink"/>
            <w:rFonts w:cs="Arial"/>
            <w:sz w:val="22"/>
            <w:lang w:val="es-ES"/>
          </w:rPr>
          <w:t>Decreto por el que se establecen las medidas de austeridad que deberán observar las dependencias y entidades de la Administración Pública Federal bajo los criterios que en el mismo se indican</w:t>
        </w:r>
      </w:hyperlink>
      <w:r w:rsidRPr="004E2828">
        <w:rPr>
          <w:rFonts w:cs="Arial"/>
          <w:sz w:val="22"/>
          <w:lang w:val="es-ES"/>
        </w:rPr>
        <w:t>”, emitido por la Presidencia de la República el pasado 23 de abril de 2020, se frenarán sus actividades esenciales y se paralizará su funcionamiento. De acuerdo al Diagnóstico 2019, la CEAV atendió a 790 víctimas de los delitos en materia de trata de personas.</w:t>
      </w:r>
      <w:r w:rsidRPr="004E2828">
        <w:rPr>
          <w:rStyle w:val="FootnoteReference"/>
          <w:rFonts w:cs="Arial"/>
          <w:sz w:val="22"/>
          <w:lang w:val="es-ES"/>
        </w:rPr>
        <w:footnoteReference w:id="21"/>
      </w:r>
    </w:p>
    <w:p w:rsidR="00B955A1" w:rsidRPr="00AF3B5C" w:rsidRDefault="00B955A1" w:rsidP="00B955A1">
      <w:pPr>
        <w:spacing w:after="120" w:line="259" w:lineRule="auto"/>
        <w:jc w:val="both"/>
        <w:rPr>
          <w:rFonts w:cs="Arial"/>
          <w:color w:val="4472C4" w:themeColor="accent5"/>
          <w:sz w:val="22"/>
          <w:lang w:val="es-ES"/>
        </w:rPr>
      </w:pPr>
      <w:r w:rsidRPr="004E2828">
        <w:rPr>
          <w:rFonts w:cs="Arial"/>
          <w:sz w:val="22"/>
          <w:lang w:val="es-ES"/>
        </w:rPr>
        <w:t xml:space="preserve">Sobre esta situación, el pasado 4 de junio, la CNDH emitió, mediante el </w:t>
      </w:r>
      <w:hyperlink r:id="rId12" w:history="1">
        <w:r w:rsidRPr="004E2828">
          <w:rPr>
            <w:rStyle w:val="Hyperlink"/>
            <w:rFonts w:cs="Arial"/>
            <w:sz w:val="22"/>
            <w:lang w:val="es-ES"/>
          </w:rPr>
          <w:t>Comunicado de Prensa DGC/168/2020</w:t>
        </w:r>
      </w:hyperlink>
      <w:r w:rsidRPr="004E2828">
        <w:rPr>
          <w:rFonts w:cs="Arial"/>
          <w:sz w:val="22"/>
          <w:lang w:val="es-ES"/>
        </w:rPr>
        <w:t xml:space="preserve">, un atento exhorto a las “a las autoridades hacendarias y de la propia CEAV para que se revisen sus medidas de austeridad anunciadas, que aun cuando son indispensables, se hagan con el criterio de tomar en cuenta principalmente a las víctimas, independientemente de las medidas que para su funcionamiento administrativo sea preciso limita”. </w:t>
      </w:r>
      <w:bookmarkStart w:id="1" w:name="_GoBack"/>
    </w:p>
    <w:bookmarkEnd w:id="0"/>
    <w:p w:rsidR="00927FDF" w:rsidRPr="00AF3B5C" w:rsidRDefault="00927FDF" w:rsidP="00927FDF">
      <w:pPr>
        <w:spacing w:after="60" w:line="259" w:lineRule="auto"/>
        <w:contextualSpacing/>
        <w:jc w:val="both"/>
        <w:rPr>
          <w:rFonts w:cs="Arial"/>
          <w:color w:val="4472C4" w:themeColor="accent5"/>
          <w:sz w:val="22"/>
        </w:rPr>
      </w:pPr>
    </w:p>
    <w:p w:rsidR="00AF3B5C" w:rsidRPr="00AF3B5C" w:rsidRDefault="00AF3B5C" w:rsidP="00AF3B5C">
      <w:pPr>
        <w:spacing w:after="120"/>
        <w:jc w:val="both"/>
        <w:rPr>
          <w:rFonts w:cs="Arial"/>
          <w:color w:val="4472C4" w:themeColor="accent5"/>
          <w:sz w:val="22"/>
        </w:rPr>
      </w:pPr>
      <w:r w:rsidRPr="00AF3B5C">
        <w:rPr>
          <w:rFonts w:cs="Arial"/>
          <w:color w:val="4472C4" w:themeColor="accent5"/>
          <w:sz w:val="22"/>
        </w:rPr>
        <w:t>The General Law to Prevent, Punish and Eradicate Crimes in the matter of Trafficking in Persons and for the Protection and Assistance to the Victims of these Crimes indicates in article 81 that federal and federal executives shall establish a fund for the protection and assistance to victims.</w:t>
      </w:r>
    </w:p>
    <w:p w:rsidR="00AF3B5C" w:rsidRPr="00AF3B5C" w:rsidRDefault="00AF3B5C" w:rsidP="00AF3B5C">
      <w:pPr>
        <w:spacing w:after="120"/>
        <w:jc w:val="both"/>
        <w:rPr>
          <w:rFonts w:cs="Arial"/>
          <w:color w:val="4472C4" w:themeColor="accent5"/>
          <w:sz w:val="22"/>
        </w:rPr>
      </w:pPr>
      <w:r w:rsidRPr="00AF3B5C">
        <w:rPr>
          <w:rFonts w:cs="Arial"/>
          <w:color w:val="4472C4" w:themeColor="accent5"/>
          <w:sz w:val="22"/>
        </w:rPr>
        <w:t>Also regarding the resources destined for the attention of victims of trafficking in persons, including girls and boys victims of exploitation, the Executive Commission for Attention to Victims (CEAV) reported that, with the “Decree establishing the austerity measures to be observed by the dependencies and entities of the Federal Public Administration under the criteria indicated therein ”, issued by the Presidency of the Republic on April 23, 2020, their essential activities will be halted and their functioning. According to the 2019 Diagnosis, the CEAV treated 790 victims of crimes related to human trafficking.</w:t>
      </w:r>
    </w:p>
    <w:p w:rsidR="00927FDF" w:rsidRPr="00AF3B5C" w:rsidRDefault="00AF3B5C" w:rsidP="00AF3B5C">
      <w:pPr>
        <w:spacing w:after="120"/>
        <w:jc w:val="both"/>
        <w:rPr>
          <w:rFonts w:cs="Arial"/>
          <w:color w:val="4472C4" w:themeColor="accent5"/>
          <w:sz w:val="22"/>
        </w:rPr>
      </w:pPr>
      <w:r w:rsidRPr="00AF3B5C">
        <w:rPr>
          <w:rFonts w:cs="Arial"/>
          <w:color w:val="4472C4" w:themeColor="accent5"/>
          <w:sz w:val="22"/>
        </w:rPr>
        <w:t xml:space="preserve">On this situation, on June 4, the CNDH issued, through Press Release DGC / 168/2020, an attentive call to the "tax authorities and the CEAV itself to review its announced austerity measures, that even when they are indispensable, they should be made with the criterion of taking into account mainly the victims, regardless of the measures that are necessary for their administrative functioning, which are </w:t>
      </w:r>
      <w:proofErr w:type="gramStart"/>
      <w:r w:rsidRPr="00AF3B5C">
        <w:rPr>
          <w:rFonts w:cs="Arial"/>
          <w:color w:val="4472C4" w:themeColor="accent5"/>
          <w:sz w:val="22"/>
        </w:rPr>
        <w:t>limited ”</w:t>
      </w:r>
      <w:proofErr w:type="gramEnd"/>
      <w:r w:rsidRPr="00AF3B5C">
        <w:rPr>
          <w:rFonts w:cs="Arial"/>
          <w:color w:val="4472C4" w:themeColor="accent5"/>
          <w:sz w:val="22"/>
        </w:rPr>
        <w:t>.</w:t>
      </w:r>
    </w:p>
    <w:bookmarkEnd w:id="1"/>
    <w:p w:rsidR="00B955A1" w:rsidRPr="00096880" w:rsidRDefault="00B955A1" w:rsidP="00096880">
      <w:pPr>
        <w:spacing w:after="120"/>
        <w:jc w:val="both"/>
        <w:rPr>
          <w:rFonts w:cs="Arial"/>
          <w:color w:val="000000" w:themeColor="text1"/>
          <w:sz w:val="22"/>
          <w:lang w:val="es-ES"/>
        </w:rPr>
      </w:pPr>
    </w:p>
    <w:sectPr w:rsidR="00B955A1" w:rsidRPr="00096880" w:rsidSect="006E0A55">
      <w:headerReference w:type="default" r:id="rId13"/>
      <w:footerReference w:type="default" r:id="rId14"/>
      <w:pgSz w:w="12240" w:h="15840"/>
      <w:pgMar w:top="1417" w:right="1418" w:bottom="851" w:left="1701" w:header="709"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F72" w:rsidRDefault="00FB3F72" w:rsidP="00406A68">
      <w:pPr>
        <w:spacing w:after="0" w:line="240" w:lineRule="auto"/>
      </w:pPr>
      <w:r>
        <w:separator/>
      </w:r>
    </w:p>
  </w:endnote>
  <w:endnote w:type="continuationSeparator" w:id="0">
    <w:p w:rsidR="00FB3F72" w:rsidRDefault="00FB3F72" w:rsidP="00406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422228024"/>
      <w:docPartObj>
        <w:docPartGallery w:val="Page Numbers (Bottom of Page)"/>
        <w:docPartUnique/>
      </w:docPartObj>
    </w:sdtPr>
    <w:sdtEndPr/>
    <w:sdtContent>
      <w:sdt>
        <w:sdtPr>
          <w:rPr>
            <w:sz w:val="18"/>
            <w:szCs w:val="18"/>
          </w:rPr>
          <w:id w:val="-1391111039"/>
          <w:docPartObj>
            <w:docPartGallery w:val="Page Numbers (Top of Page)"/>
            <w:docPartUnique/>
          </w:docPartObj>
        </w:sdtPr>
        <w:sdtEndPr/>
        <w:sdtContent>
          <w:p w:rsidR="00BB5353" w:rsidRDefault="00BB5353">
            <w:pPr>
              <w:pStyle w:val="Footer"/>
              <w:jc w:val="right"/>
              <w:rPr>
                <w:sz w:val="18"/>
                <w:szCs w:val="18"/>
              </w:rPr>
            </w:pPr>
          </w:p>
          <w:p w:rsidR="00BB5353" w:rsidRPr="00CD755B" w:rsidRDefault="00BB5353">
            <w:pPr>
              <w:pStyle w:val="Footer"/>
              <w:jc w:val="right"/>
              <w:rPr>
                <w:sz w:val="18"/>
                <w:szCs w:val="18"/>
              </w:rPr>
            </w:pPr>
            <w:r w:rsidRPr="00CD755B">
              <w:rPr>
                <w:sz w:val="18"/>
                <w:szCs w:val="18"/>
                <w:lang w:val="es-ES"/>
              </w:rPr>
              <w:t xml:space="preserve">Página </w:t>
            </w:r>
            <w:r w:rsidR="00F479C9" w:rsidRPr="00CD755B">
              <w:rPr>
                <w:b/>
                <w:bCs/>
                <w:sz w:val="18"/>
                <w:szCs w:val="18"/>
              </w:rPr>
              <w:fldChar w:fldCharType="begin"/>
            </w:r>
            <w:r w:rsidRPr="00CD755B">
              <w:rPr>
                <w:b/>
                <w:bCs/>
                <w:sz w:val="18"/>
                <w:szCs w:val="18"/>
              </w:rPr>
              <w:instrText>PAGE</w:instrText>
            </w:r>
            <w:r w:rsidR="00F479C9" w:rsidRPr="00CD755B">
              <w:rPr>
                <w:b/>
                <w:bCs/>
                <w:sz w:val="18"/>
                <w:szCs w:val="18"/>
              </w:rPr>
              <w:fldChar w:fldCharType="separate"/>
            </w:r>
            <w:r w:rsidR="00AF3B5C">
              <w:rPr>
                <w:b/>
                <w:bCs/>
                <w:noProof/>
                <w:sz w:val="18"/>
                <w:szCs w:val="18"/>
              </w:rPr>
              <w:t>12</w:t>
            </w:r>
            <w:r w:rsidR="00F479C9" w:rsidRPr="00CD755B">
              <w:rPr>
                <w:b/>
                <w:bCs/>
                <w:sz w:val="18"/>
                <w:szCs w:val="18"/>
              </w:rPr>
              <w:fldChar w:fldCharType="end"/>
            </w:r>
            <w:r w:rsidRPr="00CD755B">
              <w:rPr>
                <w:sz w:val="18"/>
                <w:szCs w:val="18"/>
                <w:lang w:val="es-ES"/>
              </w:rPr>
              <w:t xml:space="preserve"> de </w:t>
            </w:r>
            <w:r w:rsidR="00F479C9" w:rsidRPr="00CD755B">
              <w:rPr>
                <w:b/>
                <w:bCs/>
                <w:sz w:val="18"/>
                <w:szCs w:val="18"/>
              </w:rPr>
              <w:fldChar w:fldCharType="begin"/>
            </w:r>
            <w:r w:rsidRPr="00CD755B">
              <w:rPr>
                <w:b/>
                <w:bCs/>
                <w:sz w:val="18"/>
                <w:szCs w:val="18"/>
              </w:rPr>
              <w:instrText>NUMPAGES</w:instrText>
            </w:r>
            <w:r w:rsidR="00F479C9" w:rsidRPr="00CD755B">
              <w:rPr>
                <w:b/>
                <w:bCs/>
                <w:sz w:val="18"/>
                <w:szCs w:val="18"/>
              </w:rPr>
              <w:fldChar w:fldCharType="separate"/>
            </w:r>
            <w:r w:rsidR="00AF3B5C">
              <w:rPr>
                <w:b/>
                <w:bCs/>
                <w:noProof/>
                <w:sz w:val="18"/>
                <w:szCs w:val="18"/>
              </w:rPr>
              <w:t>12</w:t>
            </w:r>
            <w:r w:rsidR="00F479C9" w:rsidRPr="00CD755B">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F72" w:rsidRDefault="00FB3F72" w:rsidP="00406A68">
      <w:pPr>
        <w:spacing w:after="0" w:line="240" w:lineRule="auto"/>
      </w:pPr>
      <w:r>
        <w:separator/>
      </w:r>
    </w:p>
  </w:footnote>
  <w:footnote w:type="continuationSeparator" w:id="0">
    <w:p w:rsidR="00FB3F72" w:rsidRDefault="00FB3F72" w:rsidP="00406A68">
      <w:pPr>
        <w:spacing w:after="0" w:line="240" w:lineRule="auto"/>
      </w:pPr>
      <w:r>
        <w:continuationSeparator/>
      </w:r>
    </w:p>
  </w:footnote>
  <w:footnote w:id="1">
    <w:p w:rsidR="00C7443A" w:rsidRPr="00BE66B4" w:rsidRDefault="00C7443A" w:rsidP="00C7443A">
      <w:pPr>
        <w:pStyle w:val="FootnoteText"/>
        <w:rPr>
          <w:rFonts w:ascii="Arial" w:hAnsi="Arial" w:cs="Arial"/>
          <w:sz w:val="18"/>
          <w:szCs w:val="18"/>
        </w:rPr>
      </w:pPr>
      <w:r w:rsidRPr="00BE66B4">
        <w:rPr>
          <w:rStyle w:val="FootnoteReference"/>
          <w:rFonts w:ascii="Arial" w:hAnsi="Arial" w:cs="Arial"/>
          <w:sz w:val="18"/>
          <w:szCs w:val="18"/>
        </w:rPr>
        <w:footnoteRef/>
      </w:r>
      <w:hyperlink r:id="rId1" w:history="1">
        <w:r w:rsidRPr="00BE66B4">
          <w:rPr>
            <w:rStyle w:val="Hyperlink"/>
            <w:rFonts w:ascii="Arial" w:hAnsi="Arial" w:cs="Arial"/>
            <w:sz w:val="18"/>
            <w:szCs w:val="18"/>
          </w:rPr>
          <w:t>https://cutt.ly/7yMSTay</w:t>
        </w:r>
      </w:hyperlink>
      <w:r w:rsidRPr="00BE66B4">
        <w:rPr>
          <w:rFonts w:ascii="Arial" w:hAnsi="Arial" w:cs="Arial"/>
          <w:sz w:val="18"/>
          <w:szCs w:val="18"/>
        </w:rPr>
        <w:t xml:space="preserve">; </w:t>
      </w:r>
      <w:hyperlink r:id="rId2" w:history="1">
        <w:r w:rsidRPr="00BE66B4">
          <w:rPr>
            <w:rStyle w:val="Hyperlink"/>
            <w:rFonts w:ascii="Arial" w:hAnsi="Arial" w:cs="Arial"/>
            <w:sz w:val="18"/>
            <w:szCs w:val="18"/>
          </w:rPr>
          <w:t>https://cutt.ly/ayMSYhB</w:t>
        </w:r>
      </w:hyperlink>
      <w:r w:rsidRPr="00BE66B4">
        <w:rPr>
          <w:rFonts w:ascii="Arial" w:hAnsi="Arial" w:cs="Arial"/>
          <w:sz w:val="18"/>
          <w:szCs w:val="18"/>
        </w:rPr>
        <w:t xml:space="preserve">; </w:t>
      </w:r>
      <w:hyperlink r:id="rId3" w:history="1">
        <w:r w:rsidRPr="00BE66B4">
          <w:rPr>
            <w:rStyle w:val="Hyperlink"/>
            <w:rFonts w:ascii="Arial" w:hAnsi="Arial" w:cs="Arial"/>
            <w:sz w:val="18"/>
            <w:szCs w:val="18"/>
          </w:rPr>
          <w:t>https://cutt.ly/ZyMSUxd</w:t>
        </w:r>
      </w:hyperlink>
    </w:p>
  </w:footnote>
  <w:footnote w:id="2">
    <w:p w:rsidR="00C7443A" w:rsidRPr="00914CB0" w:rsidRDefault="00C7443A" w:rsidP="00C7443A">
      <w:pPr>
        <w:pStyle w:val="FootnoteText"/>
        <w:jc w:val="both"/>
        <w:rPr>
          <w:rFonts w:ascii="Arial" w:hAnsi="Arial" w:cs="Arial"/>
          <w:sz w:val="18"/>
          <w:szCs w:val="18"/>
          <w:lang w:val="en-US"/>
        </w:rPr>
      </w:pPr>
      <w:r w:rsidRPr="00BE66B4">
        <w:rPr>
          <w:rStyle w:val="FootnoteReference"/>
          <w:rFonts w:ascii="Arial" w:hAnsi="Arial" w:cs="Arial"/>
          <w:sz w:val="18"/>
          <w:szCs w:val="18"/>
        </w:rPr>
        <w:footnoteRef/>
      </w:r>
      <w:r w:rsidRPr="00914CB0">
        <w:rPr>
          <w:rFonts w:ascii="Arial" w:hAnsi="Arial" w:cs="Arial"/>
          <w:sz w:val="18"/>
          <w:szCs w:val="18"/>
          <w:lang w:val="en-US"/>
        </w:rPr>
        <w:t xml:space="preserve">SavetheChildren, </w:t>
      </w:r>
      <w:hyperlink r:id="rId4" w:history="1">
        <w:r w:rsidRPr="00914CB0">
          <w:rPr>
            <w:rStyle w:val="Hyperlink"/>
            <w:rFonts w:ascii="Arial" w:hAnsi="Arial" w:cs="Arial"/>
            <w:sz w:val="18"/>
            <w:szCs w:val="18"/>
            <w:lang w:val="en-US"/>
          </w:rPr>
          <w:t>https://www.savethechildren.es/trabajo-ong/pobreza-infantil/pobreza-y-explotacion-infantil</w:t>
        </w:r>
      </w:hyperlink>
    </w:p>
  </w:footnote>
  <w:footnote w:id="3">
    <w:p w:rsidR="00C7443A" w:rsidRPr="00BE66B4" w:rsidRDefault="00C7443A" w:rsidP="00C7443A">
      <w:pPr>
        <w:pStyle w:val="FootnoteText"/>
        <w:jc w:val="both"/>
        <w:rPr>
          <w:rFonts w:ascii="Arial" w:hAnsi="Arial" w:cs="Arial"/>
          <w:sz w:val="18"/>
          <w:szCs w:val="18"/>
          <w:lang w:val="es-ES"/>
        </w:rPr>
      </w:pPr>
      <w:r w:rsidRPr="00BE66B4">
        <w:rPr>
          <w:rStyle w:val="FootnoteReference"/>
          <w:rFonts w:ascii="Arial" w:hAnsi="Arial" w:cs="Arial"/>
          <w:sz w:val="18"/>
          <w:szCs w:val="18"/>
        </w:rPr>
        <w:footnoteRef/>
      </w:r>
      <w:r w:rsidRPr="00BE66B4">
        <w:rPr>
          <w:rFonts w:ascii="Arial" w:hAnsi="Arial" w:cs="Arial"/>
          <w:sz w:val="18"/>
          <w:szCs w:val="18"/>
          <w:lang w:val="es-ES"/>
        </w:rPr>
        <w:t xml:space="preserve">CEPAL, </w:t>
      </w:r>
      <w:hyperlink r:id="rId5" w:history="1">
        <w:r w:rsidRPr="00F47AC3">
          <w:rPr>
            <w:rStyle w:val="Hyperlink"/>
            <w:rFonts w:ascii="Arial" w:hAnsi="Arial" w:cs="Arial"/>
            <w:sz w:val="18"/>
            <w:szCs w:val="18"/>
          </w:rPr>
          <w:t>https://cutt.ly/lyMSII6</w:t>
        </w:r>
      </w:hyperlink>
    </w:p>
  </w:footnote>
  <w:footnote w:id="4">
    <w:p w:rsidR="00C7443A" w:rsidRPr="00BE66B4" w:rsidRDefault="00C7443A" w:rsidP="00C7443A">
      <w:pPr>
        <w:pStyle w:val="FootnoteText"/>
        <w:jc w:val="both"/>
        <w:rPr>
          <w:rFonts w:ascii="Arial" w:hAnsi="Arial" w:cs="Arial"/>
          <w:sz w:val="18"/>
          <w:szCs w:val="18"/>
          <w:lang w:val="es-ES"/>
        </w:rPr>
      </w:pPr>
      <w:r w:rsidRPr="00BE66B4">
        <w:rPr>
          <w:rStyle w:val="FootnoteReference"/>
          <w:rFonts w:ascii="Arial" w:hAnsi="Arial" w:cs="Arial"/>
          <w:sz w:val="18"/>
          <w:szCs w:val="18"/>
        </w:rPr>
        <w:footnoteRef/>
      </w:r>
      <w:r w:rsidRPr="00BE66B4">
        <w:rPr>
          <w:rFonts w:ascii="Arial" w:hAnsi="Arial" w:cs="Arial"/>
          <w:sz w:val="18"/>
          <w:szCs w:val="18"/>
        </w:rPr>
        <w:t xml:space="preserve"> Secretaría de Educación Pública, </w:t>
      </w:r>
      <w:r w:rsidRPr="00BE66B4">
        <w:rPr>
          <w:rFonts w:ascii="Arial" w:hAnsi="Arial" w:cs="Arial"/>
          <w:sz w:val="18"/>
          <w:szCs w:val="18"/>
          <w:lang w:val="es-ES"/>
        </w:rPr>
        <w:t xml:space="preserve">Principales Cifras del Sistema Educativo Nacional 2018-2019, </w:t>
      </w:r>
      <w:hyperlink r:id="rId6" w:history="1">
        <w:r w:rsidRPr="00F47AC3">
          <w:rPr>
            <w:rStyle w:val="Hyperlink"/>
            <w:rFonts w:ascii="Arial" w:hAnsi="Arial" w:cs="Arial"/>
            <w:sz w:val="18"/>
            <w:szCs w:val="18"/>
          </w:rPr>
          <w:t>https://cutt.ly/3yMSOp4</w:t>
        </w:r>
      </w:hyperlink>
    </w:p>
  </w:footnote>
  <w:footnote w:id="5">
    <w:p w:rsidR="00C7443A" w:rsidRPr="00BE66B4" w:rsidRDefault="00C7443A" w:rsidP="00C7443A">
      <w:pPr>
        <w:pStyle w:val="FootnoteText"/>
        <w:jc w:val="both"/>
        <w:rPr>
          <w:rFonts w:ascii="Arial" w:hAnsi="Arial" w:cs="Arial"/>
          <w:sz w:val="18"/>
          <w:szCs w:val="18"/>
          <w:lang w:val="es-ES"/>
        </w:rPr>
      </w:pPr>
      <w:r w:rsidRPr="00BE66B4">
        <w:rPr>
          <w:rStyle w:val="FootnoteReference"/>
          <w:rFonts w:ascii="Arial" w:hAnsi="Arial" w:cs="Arial"/>
          <w:sz w:val="18"/>
          <w:szCs w:val="18"/>
        </w:rPr>
        <w:footnoteRef/>
      </w:r>
      <w:r w:rsidRPr="00BE66B4">
        <w:rPr>
          <w:rFonts w:ascii="Arial" w:hAnsi="Arial" w:cs="Arial"/>
          <w:sz w:val="18"/>
          <w:szCs w:val="18"/>
          <w:lang w:val="es-ES"/>
        </w:rPr>
        <w:t xml:space="preserve">INEGI, </w:t>
      </w:r>
      <w:hyperlink r:id="rId7" w:history="1">
        <w:r w:rsidRPr="00BE66B4">
          <w:rPr>
            <w:rStyle w:val="Hyperlink"/>
            <w:rFonts w:ascii="Arial" w:hAnsi="Arial" w:cs="Arial"/>
            <w:sz w:val="18"/>
            <w:szCs w:val="18"/>
          </w:rPr>
          <w:t>https://cutt.ly/iyMShwp</w:t>
        </w:r>
      </w:hyperlink>
    </w:p>
  </w:footnote>
  <w:footnote w:id="6">
    <w:p w:rsidR="0051420C" w:rsidRPr="00BE66B4" w:rsidRDefault="0051420C" w:rsidP="0051420C">
      <w:pPr>
        <w:pStyle w:val="FootnoteText"/>
        <w:jc w:val="both"/>
        <w:rPr>
          <w:rFonts w:ascii="Arial" w:hAnsi="Arial" w:cs="Arial"/>
          <w:sz w:val="18"/>
          <w:szCs w:val="18"/>
        </w:rPr>
      </w:pPr>
      <w:r w:rsidRPr="00BE66B4">
        <w:rPr>
          <w:rStyle w:val="FootnoteReference"/>
          <w:rFonts w:ascii="Arial" w:hAnsi="Arial" w:cs="Arial"/>
          <w:sz w:val="18"/>
          <w:szCs w:val="18"/>
        </w:rPr>
        <w:footnoteRef/>
      </w:r>
      <w:r w:rsidRPr="00BE66B4">
        <w:rPr>
          <w:rFonts w:ascii="Arial" w:hAnsi="Arial" w:cs="Arial"/>
          <w:sz w:val="18"/>
          <w:szCs w:val="18"/>
        </w:rPr>
        <w:t xml:space="preserve"> UNICEF México, Protección de la Niñez ante la violencia. Respuestas durante y después de COVID-19, mayo 2020, </w:t>
      </w:r>
      <w:hyperlink r:id="rId8" w:history="1">
        <w:r w:rsidRPr="00BE66B4">
          <w:rPr>
            <w:rStyle w:val="Hyperlink"/>
            <w:rFonts w:ascii="Arial" w:hAnsi="Arial" w:cs="Arial"/>
            <w:sz w:val="18"/>
            <w:szCs w:val="18"/>
          </w:rPr>
          <w:t>https://cutt.ly/pyMSh2p</w:t>
        </w:r>
      </w:hyperlink>
    </w:p>
  </w:footnote>
  <w:footnote w:id="7">
    <w:p w:rsidR="0051420C" w:rsidRPr="00BE66B4" w:rsidRDefault="0051420C" w:rsidP="0051420C">
      <w:pPr>
        <w:pStyle w:val="FootnoteText"/>
        <w:rPr>
          <w:rFonts w:ascii="Arial" w:hAnsi="Arial" w:cs="Arial"/>
          <w:sz w:val="18"/>
          <w:szCs w:val="18"/>
        </w:rPr>
      </w:pPr>
      <w:r w:rsidRPr="00BE66B4">
        <w:rPr>
          <w:rStyle w:val="FootnoteReference"/>
          <w:rFonts w:ascii="Arial" w:hAnsi="Arial" w:cs="Arial"/>
          <w:sz w:val="18"/>
          <w:szCs w:val="18"/>
        </w:rPr>
        <w:footnoteRef/>
      </w:r>
      <w:hyperlink r:id="rId9" w:history="1">
        <w:r w:rsidRPr="00BE66B4">
          <w:rPr>
            <w:rStyle w:val="Hyperlink"/>
            <w:rFonts w:ascii="Arial" w:hAnsi="Arial" w:cs="Arial"/>
            <w:sz w:val="18"/>
            <w:szCs w:val="18"/>
          </w:rPr>
          <w:t>https://cutt.ly/OyMSktn</w:t>
        </w:r>
      </w:hyperlink>
    </w:p>
  </w:footnote>
  <w:footnote w:id="8">
    <w:p w:rsidR="00B955A1" w:rsidRPr="00184AF7" w:rsidRDefault="00B955A1" w:rsidP="00B955A1">
      <w:pPr>
        <w:pStyle w:val="FootnoteText"/>
        <w:jc w:val="both"/>
        <w:rPr>
          <w:rFonts w:ascii="Arial" w:hAnsi="Arial" w:cs="Arial"/>
          <w:sz w:val="16"/>
          <w:szCs w:val="16"/>
        </w:rPr>
      </w:pPr>
      <w:r w:rsidRPr="00184AF7">
        <w:rPr>
          <w:rStyle w:val="FootnoteReference"/>
          <w:rFonts w:ascii="Arial" w:hAnsi="Arial" w:cs="Arial"/>
          <w:sz w:val="16"/>
          <w:szCs w:val="16"/>
        </w:rPr>
        <w:footnoteRef/>
      </w:r>
      <w:r w:rsidRPr="00184AF7">
        <w:rPr>
          <w:rFonts w:ascii="Arial" w:hAnsi="Arial" w:cs="Arial"/>
          <w:sz w:val="16"/>
          <w:szCs w:val="16"/>
        </w:rPr>
        <w:t xml:space="preserve"> Ibid., 307. </w:t>
      </w:r>
    </w:p>
  </w:footnote>
  <w:footnote w:id="9">
    <w:p w:rsidR="00B955A1" w:rsidRPr="00184AF7" w:rsidRDefault="00B955A1" w:rsidP="00B955A1">
      <w:pPr>
        <w:pStyle w:val="FootnoteText"/>
        <w:jc w:val="both"/>
        <w:rPr>
          <w:rFonts w:ascii="Arial" w:hAnsi="Arial" w:cs="Arial"/>
          <w:sz w:val="16"/>
          <w:szCs w:val="16"/>
        </w:rPr>
      </w:pPr>
      <w:r w:rsidRPr="00184AF7">
        <w:rPr>
          <w:rStyle w:val="FootnoteReference"/>
          <w:rFonts w:ascii="Arial" w:hAnsi="Arial" w:cs="Arial"/>
          <w:sz w:val="16"/>
          <w:szCs w:val="16"/>
        </w:rPr>
        <w:footnoteRef/>
      </w:r>
      <w:r w:rsidRPr="00184AF7">
        <w:rPr>
          <w:rFonts w:ascii="Arial" w:hAnsi="Arial" w:cs="Arial"/>
          <w:sz w:val="16"/>
          <w:szCs w:val="16"/>
        </w:rPr>
        <w:t xml:space="preserve"> El citado acuerdo ordenó la suspensión de actividades hasta el 30 de abril. El 21 de abril se publicó el </w:t>
      </w:r>
      <w:hyperlink r:id="rId10" w:history="1">
        <w:r w:rsidRPr="00184AF7">
          <w:rPr>
            <w:rStyle w:val="Hyperlink"/>
            <w:rFonts w:ascii="Arial" w:hAnsi="Arial" w:cs="Arial"/>
            <w:sz w:val="16"/>
            <w:szCs w:val="16"/>
          </w:rPr>
          <w:t>Acuerdo modificatorio</w:t>
        </w:r>
      </w:hyperlink>
      <w:r w:rsidRPr="00184AF7">
        <w:rPr>
          <w:rFonts w:ascii="Arial" w:hAnsi="Arial" w:cs="Arial"/>
          <w:sz w:val="16"/>
          <w:szCs w:val="16"/>
        </w:rPr>
        <w:t>, en el que se amplió el periodo al 30 de mayo de 2020.</w:t>
      </w:r>
    </w:p>
  </w:footnote>
  <w:footnote w:id="10">
    <w:p w:rsidR="00B955A1" w:rsidRPr="00184AF7" w:rsidRDefault="00B955A1" w:rsidP="00B955A1">
      <w:pPr>
        <w:pStyle w:val="FootnoteText"/>
        <w:jc w:val="both"/>
        <w:rPr>
          <w:rFonts w:ascii="Arial" w:hAnsi="Arial" w:cs="Arial"/>
          <w:sz w:val="16"/>
          <w:szCs w:val="16"/>
        </w:rPr>
      </w:pPr>
      <w:r w:rsidRPr="00184AF7">
        <w:rPr>
          <w:rStyle w:val="FootnoteReference"/>
          <w:rFonts w:ascii="Arial" w:hAnsi="Arial" w:cs="Arial"/>
          <w:sz w:val="16"/>
          <w:szCs w:val="16"/>
        </w:rPr>
        <w:footnoteRef/>
      </w:r>
      <w:r w:rsidRPr="00184AF7">
        <w:rPr>
          <w:rFonts w:ascii="Arial" w:hAnsi="Arial" w:cs="Arial"/>
          <w:sz w:val="16"/>
          <w:szCs w:val="16"/>
        </w:rPr>
        <w:t xml:space="preserve"> Sistema diseñado para la alineación, transversalización, diseño e implementación de la política pública con perspectiva de derechos humanos de la infancia y adolescencia. Ver en: </w:t>
      </w:r>
      <w:hyperlink r:id="rId11" w:anchor=":~:text=Es%20un%20Sistema%20de%20Protecci%C3%B3n,%2C%20mecanismos%2C%20instancias%2C%20leyes%2C" w:history="1">
        <w:r w:rsidRPr="00184AF7">
          <w:rPr>
            <w:rStyle w:val="Hyperlink"/>
            <w:rFonts w:ascii="Arial" w:hAnsi="Arial" w:cs="Arial"/>
            <w:sz w:val="16"/>
            <w:szCs w:val="16"/>
          </w:rPr>
          <w:t>http://sipinna.cdmx.gob.mx/sipinna/_pages/que_es.php#:~:text=Es%20un%20Sistema%20de%20Protecci%C3%B3n,%2C%20mecanismos%2C%20instancias%2C%20leyes%2C</w:t>
        </w:r>
      </w:hyperlink>
    </w:p>
  </w:footnote>
  <w:footnote w:id="11">
    <w:p w:rsidR="00B955A1" w:rsidRPr="00184AF7" w:rsidRDefault="00B955A1" w:rsidP="00B955A1">
      <w:pPr>
        <w:pStyle w:val="FootnoteText"/>
        <w:jc w:val="both"/>
        <w:rPr>
          <w:rFonts w:ascii="Arial" w:hAnsi="Arial" w:cs="Arial"/>
          <w:sz w:val="16"/>
          <w:szCs w:val="16"/>
        </w:rPr>
      </w:pPr>
      <w:r w:rsidRPr="00184AF7">
        <w:rPr>
          <w:rStyle w:val="FootnoteReference"/>
          <w:rFonts w:ascii="Arial" w:hAnsi="Arial" w:cs="Arial"/>
          <w:sz w:val="16"/>
          <w:szCs w:val="16"/>
        </w:rPr>
        <w:footnoteRef/>
      </w:r>
      <w:r w:rsidRPr="00184AF7">
        <w:rPr>
          <w:rFonts w:ascii="Arial" w:hAnsi="Arial" w:cs="Arial"/>
          <w:sz w:val="16"/>
          <w:szCs w:val="16"/>
        </w:rPr>
        <w:t xml:space="preserve"> SIPINNA. “Acciones de la Secretaría Ejecutiva del SIPINNA en la emergencia sanitaria COVID – 19,” consultado el 8 de junio, 2020, </w:t>
      </w:r>
      <w:hyperlink r:id="rId12" w:history="1">
        <w:r w:rsidRPr="00184AF7">
          <w:rPr>
            <w:rStyle w:val="Hyperlink"/>
            <w:rFonts w:ascii="Arial" w:hAnsi="Arial" w:cs="Arial"/>
            <w:sz w:val="16"/>
            <w:szCs w:val="16"/>
          </w:rPr>
          <w:t>https://www.gob.mx/sipinna/acciones-y-programas/acciones-de-la-secretaria-ejecutiva-del-sipinna-en-la-emergencia-sanitaria-covid-19</w:t>
        </w:r>
      </w:hyperlink>
      <w:r w:rsidRPr="00184AF7">
        <w:rPr>
          <w:rFonts w:ascii="Arial" w:hAnsi="Arial" w:cs="Arial"/>
          <w:sz w:val="16"/>
          <w:szCs w:val="16"/>
        </w:rPr>
        <w:t>.</w:t>
      </w:r>
    </w:p>
  </w:footnote>
  <w:footnote w:id="12">
    <w:p w:rsidR="00B955A1" w:rsidRPr="00184AF7" w:rsidRDefault="00B955A1" w:rsidP="00B955A1">
      <w:pPr>
        <w:pStyle w:val="FootnoteText"/>
        <w:jc w:val="both"/>
        <w:rPr>
          <w:rFonts w:ascii="Arial" w:hAnsi="Arial" w:cs="Arial"/>
          <w:sz w:val="16"/>
          <w:szCs w:val="16"/>
        </w:rPr>
      </w:pPr>
      <w:r w:rsidRPr="00184AF7">
        <w:rPr>
          <w:rStyle w:val="FootnoteReference"/>
          <w:rFonts w:ascii="Arial" w:hAnsi="Arial" w:cs="Arial"/>
          <w:sz w:val="16"/>
          <w:szCs w:val="16"/>
        </w:rPr>
        <w:footnoteRef/>
      </w:r>
      <w:r w:rsidRPr="00184AF7">
        <w:rPr>
          <w:rFonts w:ascii="Arial" w:hAnsi="Arial" w:cs="Arial"/>
          <w:sz w:val="16"/>
          <w:szCs w:val="16"/>
        </w:rPr>
        <w:t xml:space="preserve"> Ibid.</w:t>
      </w:r>
    </w:p>
  </w:footnote>
  <w:footnote w:id="13">
    <w:p w:rsidR="00B955A1" w:rsidRPr="00184AF7" w:rsidRDefault="00B955A1" w:rsidP="00B955A1">
      <w:pPr>
        <w:spacing w:after="60"/>
        <w:jc w:val="both"/>
        <w:rPr>
          <w:rFonts w:cs="Arial"/>
          <w:sz w:val="16"/>
          <w:szCs w:val="16"/>
          <w:lang w:val="es-ES"/>
        </w:rPr>
      </w:pPr>
      <w:r w:rsidRPr="00184AF7">
        <w:rPr>
          <w:rStyle w:val="FootnoteReference"/>
          <w:rFonts w:cs="Arial"/>
          <w:sz w:val="16"/>
          <w:szCs w:val="16"/>
        </w:rPr>
        <w:footnoteRef/>
      </w:r>
      <w:r w:rsidRPr="00184AF7">
        <w:rPr>
          <w:rFonts w:cs="Arial"/>
          <w:sz w:val="16"/>
          <w:szCs w:val="16"/>
          <w:lang w:val="es-ES"/>
        </w:rPr>
        <w:t xml:space="preserve"> “Niños, niñas y adolescentes, las víctimas invisibles de la pandemia: Sipinna,” </w:t>
      </w:r>
      <w:r w:rsidRPr="00184AF7">
        <w:rPr>
          <w:rFonts w:cs="Arial"/>
          <w:i/>
          <w:iCs/>
          <w:sz w:val="16"/>
          <w:szCs w:val="16"/>
          <w:lang w:val="es-ES"/>
        </w:rPr>
        <w:t xml:space="preserve">Milenio, </w:t>
      </w:r>
      <w:r w:rsidRPr="00184AF7">
        <w:rPr>
          <w:rFonts w:cs="Arial"/>
          <w:sz w:val="16"/>
          <w:szCs w:val="16"/>
          <w:lang w:val="es-ES"/>
        </w:rPr>
        <w:t xml:space="preserve">21 de mayo, 2020, </w:t>
      </w:r>
      <w:hyperlink r:id="rId13" w:history="1">
        <w:r w:rsidRPr="00184AF7">
          <w:rPr>
            <w:rStyle w:val="Hyperlink"/>
            <w:rFonts w:cs="Arial"/>
            <w:sz w:val="16"/>
            <w:szCs w:val="16"/>
            <w:lang w:val="es-ES"/>
          </w:rPr>
          <w:t>https://www.milenio.com/politica/sipinna-menores-edad-victimas-invisibles-pandemia</w:t>
        </w:r>
      </w:hyperlink>
      <w:r w:rsidRPr="00184AF7">
        <w:rPr>
          <w:rFonts w:cs="Arial"/>
          <w:sz w:val="16"/>
          <w:szCs w:val="16"/>
          <w:lang w:val="es-ES"/>
        </w:rPr>
        <w:t>.</w:t>
      </w:r>
    </w:p>
  </w:footnote>
  <w:footnote w:id="14">
    <w:p w:rsidR="00B955A1" w:rsidRPr="00184AF7" w:rsidRDefault="00B955A1" w:rsidP="00B955A1">
      <w:pPr>
        <w:pStyle w:val="FootnoteText"/>
        <w:jc w:val="both"/>
        <w:rPr>
          <w:rFonts w:ascii="Arial" w:hAnsi="Arial" w:cs="Arial"/>
          <w:sz w:val="16"/>
          <w:szCs w:val="16"/>
        </w:rPr>
      </w:pPr>
      <w:r w:rsidRPr="00184AF7">
        <w:rPr>
          <w:rStyle w:val="FootnoteReference"/>
          <w:rFonts w:ascii="Arial" w:hAnsi="Arial" w:cs="Arial"/>
          <w:sz w:val="16"/>
          <w:szCs w:val="16"/>
        </w:rPr>
        <w:footnoteRef/>
      </w:r>
      <w:r w:rsidRPr="00184AF7">
        <w:rPr>
          <w:rFonts w:ascii="Arial" w:hAnsi="Arial" w:cs="Arial"/>
          <w:sz w:val="16"/>
          <w:szCs w:val="16"/>
        </w:rPr>
        <w:t xml:space="preserve"> SIPINNA, publicación de Twitter, 8 de junio, 2020, 1:30 p.m., </w:t>
      </w:r>
      <w:hyperlink r:id="rId14" w:history="1">
        <w:r w:rsidRPr="00184AF7">
          <w:rPr>
            <w:rStyle w:val="Hyperlink"/>
            <w:rFonts w:ascii="Arial" w:hAnsi="Arial" w:cs="Arial"/>
            <w:sz w:val="16"/>
            <w:szCs w:val="16"/>
          </w:rPr>
          <w:t>https://twitter.com/SIPINNA_MX/status/1270060716771422209</w:t>
        </w:r>
      </w:hyperlink>
      <w:r w:rsidRPr="00184AF7">
        <w:rPr>
          <w:rFonts w:ascii="Arial" w:hAnsi="Arial" w:cs="Arial"/>
          <w:sz w:val="16"/>
          <w:szCs w:val="16"/>
        </w:rPr>
        <w:t>.</w:t>
      </w:r>
    </w:p>
  </w:footnote>
  <w:footnote w:id="15">
    <w:p w:rsidR="00B955A1" w:rsidRPr="00184AF7" w:rsidRDefault="00B955A1" w:rsidP="00B955A1">
      <w:pPr>
        <w:pStyle w:val="FootnoteText"/>
        <w:tabs>
          <w:tab w:val="left" w:pos="5491"/>
        </w:tabs>
        <w:jc w:val="both"/>
        <w:rPr>
          <w:rFonts w:ascii="Arial" w:hAnsi="Arial" w:cs="Arial"/>
          <w:sz w:val="16"/>
          <w:szCs w:val="16"/>
        </w:rPr>
      </w:pPr>
      <w:r w:rsidRPr="00184AF7">
        <w:rPr>
          <w:rStyle w:val="FootnoteReference"/>
          <w:rFonts w:ascii="Arial" w:hAnsi="Arial" w:cs="Arial"/>
          <w:sz w:val="16"/>
          <w:szCs w:val="16"/>
        </w:rPr>
        <w:footnoteRef/>
      </w:r>
      <w:r w:rsidRPr="00184AF7">
        <w:rPr>
          <w:rFonts w:ascii="Arial" w:hAnsi="Arial" w:cs="Arial"/>
          <w:sz w:val="16"/>
          <w:szCs w:val="16"/>
        </w:rPr>
        <w:t xml:space="preserve"> CONAPO, publicación de Twitter, 8 de junio, 2020, 4:10 p.m., </w:t>
      </w:r>
      <w:hyperlink r:id="rId15" w:history="1">
        <w:r w:rsidRPr="00184AF7">
          <w:rPr>
            <w:rStyle w:val="Hyperlink"/>
            <w:rFonts w:ascii="Arial" w:hAnsi="Arial" w:cs="Arial"/>
            <w:sz w:val="16"/>
            <w:szCs w:val="16"/>
          </w:rPr>
          <w:t>https://twitter.com/CONAPO_mx/status/1270100825050939394</w:t>
        </w:r>
      </w:hyperlink>
      <w:r w:rsidRPr="00184AF7">
        <w:rPr>
          <w:rFonts w:ascii="Arial" w:hAnsi="Arial" w:cs="Arial"/>
          <w:sz w:val="16"/>
          <w:szCs w:val="16"/>
        </w:rPr>
        <w:tab/>
      </w:r>
    </w:p>
  </w:footnote>
  <w:footnote w:id="16">
    <w:p w:rsidR="00B955A1" w:rsidRPr="00184AF7" w:rsidRDefault="00B955A1" w:rsidP="00B955A1">
      <w:pPr>
        <w:pStyle w:val="FootnoteText"/>
        <w:jc w:val="both"/>
        <w:rPr>
          <w:rFonts w:ascii="Arial" w:hAnsi="Arial" w:cs="Arial"/>
          <w:sz w:val="16"/>
          <w:szCs w:val="16"/>
        </w:rPr>
      </w:pPr>
      <w:r w:rsidRPr="00184AF7">
        <w:rPr>
          <w:rStyle w:val="FootnoteReference"/>
          <w:rFonts w:ascii="Arial" w:hAnsi="Arial" w:cs="Arial"/>
          <w:sz w:val="16"/>
          <w:szCs w:val="16"/>
        </w:rPr>
        <w:footnoteRef/>
      </w:r>
      <w:r w:rsidRPr="00184AF7">
        <w:rPr>
          <w:rFonts w:ascii="Arial" w:hAnsi="Arial" w:cs="Arial"/>
          <w:sz w:val="16"/>
          <w:szCs w:val="16"/>
        </w:rPr>
        <w:t xml:space="preserve"> CONAPO, publicación de Twitter, 7 de junio, 2020, 2:10 p.m., </w:t>
      </w:r>
      <w:hyperlink r:id="rId16" w:history="1">
        <w:r w:rsidRPr="00184AF7">
          <w:rPr>
            <w:rStyle w:val="Hyperlink"/>
            <w:rFonts w:ascii="Arial" w:hAnsi="Arial" w:cs="Arial"/>
            <w:sz w:val="16"/>
            <w:szCs w:val="16"/>
          </w:rPr>
          <w:t>https://twitter.com/CONAPO_mx/status/1269708202838380544</w:t>
        </w:r>
      </w:hyperlink>
      <w:r w:rsidRPr="00184AF7">
        <w:rPr>
          <w:rFonts w:ascii="Arial" w:hAnsi="Arial" w:cs="Arial"/>
          <w:sz w:val="16"/>
          <w:szCs w:val="16"/>
        </w:rPr>
        <w:t>.</w:t>
      </w:r>
    </w:p>
  </w:footnote>
  <w:footnote w:id="17">
    <w:p w:rsidR="00B955A1" w:rsidRPr="00184AF7" w:rsidRDefault="00B955A1" w:rsidP="00B955A1">
      <w:pPr>
        <w:pStyle w:val="FootnoteText"/>
        <w:jc w:val="both"/>
        <w:rPr>
          <w:rFonts w:ascii="Arial" w:hAnsi="Arial" w:cs="Arial"/>
          <w:sz w:val="16"/>
          <w:szCs w:val="16"/>
        </w:rPr>
      </w:pPr>
      <w:r w:rsidRPr="00184AF7">
        <w:rPr>
          <w:rStyle w:val="FootnoteReference"/>
          <w:rFonts w:ascii="Arial" w:hAnsi="Arial" w:cs="Arial"/>
          <w:sz w:val="16"/>
          <w:szCs w:val="16"/>
        </w:rPr>
        <w:footnoteRef/>
      </w:r>
      <w:r w:rsidRPr="00184AF7">
        <w:rPr>
          <w:rFonts w:ascii="Arial" w:hAnsi="Arial" w:cs="Arial"/>
          <w:sz w:val="16"/>
          <w:szCs w:val="16"/>
        </w:rPr>
        <w:t xml:space="preserve"> Sistema Nacional del DIF. Recomendaciones para los centros de atención infantil ante la enfermedad COVID-19 (México: SALUD, SNDIF, COPSADII, 2020).</w:t>
      </w:r>
    </w:p>
  </w:footnote>
  <w:footnote w:id="18">
    <w:p w:rsidR="00B955A1" w:rsidRPr="00184AF7" w:rsidRDefault="00B955A1" w:rsidP="00B955A1">
      <w:pPr>
        <w:pStyle w:val="FootnoteText"/>
        <w:jc w:val="both"/>
        <w:rPr>
          <w:rFonts w:ascii="Arial" w:hAnsi="Arial" w:cs="Arial"/>
          <w:sz w:val="16"/>
          <w:szCs w:val="16"/>
        </w:rPr>
      </w:pPr>
      <w:r w:rsidRPr="00184AF7">
        <w:rPr>
          <w:rStyle w:val="FootnoteReference"/>
          <w:rFonts w:ascii="Arial" w:hAnsi="Arial" w:cs="Arial"/>
          <w:sz w:val="16"/>
          <w:szCs w:val="16"/>
        </w:rPr>
        <w:footnoteRef/>
      </w:r>
      <w:r w:rsidRPr="00184AF7">
        <w:rPr>
          <w:rFonts w:ascii="Arial" w:hAnsi="Arial" w:cs="Arial"/>
          <w:sz w:val="16"/>
          <w:szCs w:val="16"/>
        </w:rPr>
        <w:t xml:space="preserve"> Sistema Nacional del DIF. Recomendaciones para la mitigación de COVID-19 en refugios y centros de atención externa para mujeres que viven violencia extrema, sus hijos e hijas (México: SALUD, 2020). </w:t>
      </w:r>
    </w:p>
  </w:footnote>
  <w:footnote w:id="19">
    <w:p w:rsidR="00393392" w:rsidRPr="00BE66B4" w:rsidRDefault="00393392" w:rsidP="00393392">
      <w:pPr>
        <w:pStyle w:val="FootnoteText"/>
        <w:rPr>
          <w:rFonts w:ascii="Arial" w:hAnsi="Arial" w:cs="Arial"/>
          <w:sz w:val="18"/>
          <w:szCs w:val="18"/>
        </w:rPr>
      </w:pPr>
      <w:r w:rsidRPr="00BE66B4">
        <w:rPr>
          <w:rStyle w:val="FootnoteReference"/>
          <w:rFonts w:ascii="Arial" w:hAnsi="Arial" w:cs="Arial"/>
          <w:sz w:val="18"/>
          <w:szCs w:val="18"/>
        </w:rPr>
        <w:footnoteRef/>
      </w:r>
      <w:hyperlink r:id="rId17" w:history="1">
        <w:r w:rsidRPr="00BE66B4">
          <w:rPr>
            <w:rStyle w:val="Hyperlink"/>
            <w:rFonts w:ascii="Arial" w:hAnsi="Arial" w:cs="Arial"/>
            <w:sz w:val="18"/>
            <w:szCs w:val="18"/>
          </w:rPr>
          <w:t>https://www.cndh.org.mx/sites/default/files/documentos/2019-08/Com_2019_313.pdf</w:t>
        </w:r>
      </w:hyperlink>
      <w:r w:rsidRPr="00BE66B4">
        <w:rPr>
          <w:rFonts w:ascii="Arial" w:hAnsi="Arial" w:cs="Arial"/>
          <w:sz w:val="18"/>
          <w:szCs w:val="18"/>
        </w:rPr>
        <w:t xml:space="preserve">; </w:t>
      </w:r>
      <w:hyperlink r:id="rId18" w:history="1">
        <w:r w:rsidRPr="00BE66B4">
          <w:rPr>
            <w:rStyle w:val="Hyperlink"/>
            <w:rFonts w:ascii="Arial" w:hAnsi="Arial" w:cs="Arial"/>
            <w:sz w:val="18"/>
            <w:szCs w:val="18"/>
          </w:rPr>
          <w:t>https://www.cndh.org.mx/sites/default/files/documentos/2020-02/COM_2020_033.pdf</w:t>
        </w:r>
      </w:hyperlink>
    </w:p>
  </w:footnote>
  <w:footnote w:id="20">
    <w:p w:rsidR="00393392" w:rsidRPr="00BE66B4" w:rsidRDefault="00393392" w:rsidP="00393392">
      <w:pPr>
        <w:pStyle w:val="FootnoteText"/>
        <w:rPr>
          <w:rFonts w:ascii="Arial" w:hAnsi="Arial" w:cs="Arial"/>
          <w:sz w:val="18"/>
          <w:szCs w:val="18"/>
        </w:rPr>
      </w:pPr>
      <w:r w:rsidRPr="00BE66B4">
        <w:rPr>
          <w:rStyle w:val="FootnoteReference"/>
          <w:rFonts w:ascii="Arial" w:hAnsi="Arial" w:cs="Arial"/>
          <w:sz w:val="18"/>
          <w:szCs w:val="18"/>
        </w:rPr>
        <w:footnoteRef/>
      </w:r>
      <w:hyperlink r:id="rId19" w:history="1">
        <w:r w:rsidRPr="00BE66B4">
          <w:rPr>
            <w:rStyle w:val="Hyperlink"/>
            <w:rFonts w:ascii="Arial" w:hAnsi="Arial" w:cs="Arial"/>
            <w:sz w:val="18"/>
            <w:szCs w:val="18"/>
          </w:rPr>
          <w:t>https://www.cndh.org.mx/sites/default/files/documentos/2020-01/COM-2019-017.pdf</w:t>
        </w:r>
      </w:hyperlink>
    </w:p>
  </w:footnote>
  <w:footnote w:id="21">
    <w:p w:rsidR="00B955A1" w:rsidRPr="00184AF7" w:rsidRDefault="00B955A1" w:rsidP="00B955A1">
      <w:pPr>
        <w:pStyle w:val="FootnoteText"/>
        <w:rPr>
          <w:rFonts w:ascii="Arial" w:hAnsi="Arial" w:cs="Arial"/>
          <w:sz w:val="16"/>
          <w:szCs w:val="16"/>
        </w:rPr>
      </w:pPr>
      <w:r w:rsidRPr="00184AF7">
        <w:rPr>
          <w:rStyle w:val="FootnoteReference"/>
          <w:rFonts w:ascii="Arial" w:hAnsi="Arial" w:cs="Arial"/>
          <w:sz w:val="16"/>
          <w:szCs w:val="16"/>
        </w:rPr>
        <w:footnoteRef/>
      </w:r>
      <w:r w:rsidRPr="00184AF7">
        <w:rPr>
          <w:rFonts w:ascii="Arial" w:hAnsi="Arial" w:cs="Arial"/>
          <w:sz w:val="16"/>
          <w:szCs w:val="16"/>
        </w:rPr>
        <w:t xml:space="preserve"> CNDH, </w:t>
      </w:r>
      <w:r w:rsidRPr="00184AF7">
        <w:rPr>
          <w:rFonts w:ascii="Arial" w:hAnsi="Arial" w:cs="Arial"/>
          <w:i/>
          <w:iCs/>
          <w:sz w:val="16"/>
          <w:szCs w:val="16"/>
        </w:rPr>
        <w:t>Diagnóstico</w:t>
      </w:r>
      <w:r w:rsidRPr="00184AF7">
        <w:rPr>
          <w:rFonts w:ascii="Arial" w:hAnsi="Arial" w:cs="Arial"/>
          <w:sz w:val="16"/>
          <w:szCs w:val="16"/>
        </w:rPr>
        <w:t>,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353" w:rsidRDefault="00BB5353" w:rsidP="008A71E0">
    <w:pPr>
      <w:pStyle w:val="Header"/>
      <w:tabs>
        <w:tab w:val="clear" w:pos="8838"/>
      </w:tabs>
      <w:jc w:val="center"/>
      <w:rPr>
        <w:b/>
        <w:color w:val="215868"/>
      </w:rPr>
    </w:pPr>
    <w:r w:rsidRPr="00113951">
      <w:rPr>
        <w:noProof/>
        <w:lang w:val="en-GB" w:eastAsia="en-GB"/>
      </w:rPr>
      <w:drawing>
        <wp:anchor distT="0" distB="0" distL="114300" distR="114300" simplePos="0" relativeHeight="251656192" behindDoc="0" locked="0" layoutInCell="1" allowOverlap="1">
          <wp:simplePos x="0" y="0"/>
          <wp:positionH relativeFrom="margin">
            <wp:align>right</wp:align>
          </wp:positionH>
          <wp:positionV relativeFrom="paragraph">
            <wp:posOffset>-253365</wp:posOffset>
          </wp:positionV>
          <wp:extent cx="4052570" cy="196850"/>
          <wp:effectExtent l="0" t="0" r="508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196850"/>
                  </a:xfrm>
                  <a:prstGeom prst="rect">
                    <a:avLst/>
                  </a:prstGeom>
                  <a:noFill/>
                  <a:ln>
                    <a:noFill/>
                  </a:ln>
                  <a:effectLst/>
                </pic:spPr>
              </pic:pic>
            </a:graphicData>
          </a:graphic>
        </wp:anchor>
      </w:drawing>
    </w:r>
  </w:p>
  <w:p w:rsidR="00BB5353" w:rsidRDefault="00BB5353" w:rsidP="00495628">
    <w:pPr>
      <w:pStyle w:val="Header"/>
      <w:tabs>
        <w:tab w:val="clear" w:pos="8838"/>
      </w:tabs>
      <w:jc w:val="center"/>
    </w:pPr>
    <w:r w:rsidRPr="00113951">
      <w:rPr>
        <w:noProof/>
        <w:lang w:val="en-GB" w:eastAsia="en-GB"/>
      </w:rPr>
      <w:drawing>
        <wp:anchor distT="0" distB="0" distL="114300" distR="114300" simplePos="0" relativeHeight="251678720" behindDoc="1" locked="0" layoutInCell="1" allowOverlap="1">
          <wp:simplePos x="0" y="0"/>
          <wp:positionH relativeFrom="margin">
            <wp:posOffset>0</wp:posOffset>
          </wp:positionH>
          <wp:positionV relativeFrom="paragraph">
            <wp:posOffset>-377825</wp:posOffset>
          </wp:positionV>
          <wp:extent cx="698500" cy="828040"/>
          <wp:effectExtent l="0" t="0" r="6350" b="0"/>
          <wp:wrapThrough wrapText="bothSides">
            <wp:wrapPolygon edited="0">
              <wp:start x="0" y="0"/>
              <wp:lineTo x="0" y="20871"/>
              <wp:lineTo x="21207" y="20871"/>
              <wp:lineTo x="21207" y="0"/>
              <wp:lineTo x="0" y="0"/>
            </wp:wrapPolygon>
          </wp:wrapThrough>
          <wp:docPr id="12" name="Imagen 12" descr="logo_vertic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ertical_color"/>
                  <pic:cNvPicPr>
                    <a:picLocks noChangeAspect="1" noChangeArrowheads="1"/>
                  </pic:cNvPicPr>
                </pic:nvPicPr>
                <pic:blipFill>
                  <a:blip r:embed="rId2">
                    <a:lum bright="14000" contrast="14000"/>
                    <a:extLst>
                      <a:ext uri="{28A0092B-C50C-407E-A947-70E740481C1C}">
                        <a14:useLocalDpi xmlns:a14="http://schemas.microsoft.com/office/drawing/2010/main" val="0"/>
                      </a:ext>
                    </a:extLst>
                  </a:blip>
                  <a:srcRect/>
                  <a:stretch>
                    <a:fillRect/>
                  </a:stretch>
                </pic:blipFill>
                <pic:spPr bwMode="auto">
                  <a:xfrm>
                    <a:off x="0" y="0"/>
                    <a:ext cx="698500" cy="8280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5DA7"/>
    <w:multiLevelType w:val="hybridMultilevel"/>
    <w:tmpl w:val="A27E6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066B29"/>
    <w:multiLevelType w:val="hybridMultilevel"/>
    <w:tmpl w:val="B36CDE8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442FCD"/>
    <w:multiLevelType w:val="hybridMultilevel"/>
    <w:tmpl w:val="2434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776ACC"/>
    <w:multiLevelType w:val="hybridMultilevel"/>
    <w:tmpl w:val="A6EA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F351ACD"/>
    <w:multiLevelType w:val="hybridMultilevel"/>
    <w:tmpl w:val="CB8E8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06820BF"/>
    <w:multiLevelType w:val="hybridMultilevel"/>
    <w:tmpl w:val="A2785D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E4D219E"/>
    <w:multiLevelType w:val="hybridMultilevel"/>
    <w:tmpl w:val="B6CC4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8"/>
  </w:num>
  <w:num w:numId="5">
    <w:abstractNumId w:val="7"/>
  </w:num>
  <w:num w:numId="6">
    <w:abstractNumId w:val="4"/>
  </w:num>
  <w:num w:numId="7">
    <w:abstractNumId w:val="6"/>
  </w:num>
  <w:num w:numId="8">
    <w:abstractNumId w:val="2"/>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68"/>
    <w:rsid w:val="0000565C"/>
    <w:rsid w:val="000126BF"/>
    <w:rsid w:val="0002451D"/>
    <w:rsid w:val="000328A8"/>
    <w:rsid w:val="000363E6"/>
    <w:rsid w:val="000474FA"/>
    <w:rsid w:val="000676D8"/>
    <w:rsid w:val="00071E90"/>
    <w:rsid w:val="000919F2"/>
    <w:rsid w:val="00096880"/>
    <w:rsid w:val="000A0168"/>
    <w:rsid w:val="000A36A1"/>
    <w:rsid w:val="000B6E21"/>
    <w:rsid w:val="000C65AA"/>
    <w:rsid w:val="000C65C4"/>
    <w:rsid w:val="000D6C83"/>
    <w:rsid w:val="000F6783"/>
    <w:rsid w:val="001063E5"/>
    <w:rsid w:val="00112107"/>
    <w:rsid w:val="00112906"/>
    <w:rsid w:val="00113951"/>
    <w:rsid w:val="00120BF1"/>
    <w:rsid w:val="001277CB"/>
    <w:rsid w:val="00152786"/>
    <w:rsid w:val="001548E1"/>
    <w:rsid w:val="0015556F"/>
    <w:rsid w:val="001621C4"/>
    <w:rsid w:val="00162336"/>
    <w:rsid w:val="00163C02"/>
    <w:rsid w:val="001670B0"/>
    <w:rsid w:val="001B037B"/>
    <w:rsid w:val="001B46CE"/>
    <w:rsid w:val="001B489F"/>
    <w:rsid w:val="001C01C8"/>
    <w:rsid w:val="001C2F63"/>
    <w:rsid w:val="001C5380"/>
    <w:rsid w:val="001D19A1"/>
    <w:rsid w:val="001E1D8C"/>
    <w:rsid w:val="001F2D07"/>
    <w:rsid w:val="001F344A"/>
    <w:rsid w:val="00211536"/>
    <w:rsid w:val="00215EA9"/>
    <w:rsid w:val="00232F9F"/>
    <w:rsid w:val="00234015"/>
    <w:rsid w:val="0024385E"/>
    <w:rsid w:val="0024463C"/>
    <w:rsid w:val="0025265B"/>
    <w:rsid w:val="00252C77"/>
    <w:rsid w:val="00253EEA"/>
    <w:rsid w:val="002571D1"/>
    <w:rsid w:val="00267000"/>
    <w:rsid w:val="0027374C"/>
    <w:rsid w:val="00284DD6"/>
    <w:rsid w:val="002850A8"/>
    <w:rsid w:val="00285A78"/>
    <w:rsid w:val="0028699D"/>
    <w:rsid w:val="002A1311"/>
    <w:rsid w:val="002C5AF0"/>
    <w:rsid w:val="002D0178"/>
    <w:rsid w:val="002D0BE7"/>
    <w:rsid w:val="002E5B86"/>
    <w:rsid w:val="002E7627"/>
    <w:rsid w:val="002F2838"/>
    <w:rsid w:val="00300B02"/>
    <w:rsid w:val="0031206E"/>
    <w:rsid w:val="00312F9E"/>
    <w:rsid w:val="00314C1C"/>
    <w:rsid w:val="00315612"/>
    <w:rsid w:val="00331A68"/>
    <w:rsid w:val="00337BF0"/>
    <w:rsid w:val="003464CE"/>
    <w:rsid w:val="00353403"/>
    <w:rsid w:val="00353427"/>
    <w:rsid w:val="00367D61"/>
    <w:rsid w:val="00377CB6"/>
    <w:rsid w:val="003860E8"/>
    <w:rsid w:val="00393392"/>
    <w:rsid w:val="003A3BCC"/>
    <w:rsid w:val="003A421D"/>
    <w:rsid w:val="003A4267"/>
    <w:rsid w:val="003A738B"/>
    <w:rsid w:val="003B50EC"/>
    <w:rsid w:val="003B76E6"/>
    <w:rsid w:val="003C28B5"/>
    <w:rsid w:val="003D3FFD"/>
    <w:rsid w:val="003D60B8"/>
    <w:rsid w:val="003D647D"/>
    <w:rsid w:val="003D7565"/>
    <w:rsid w:val="003E0DCA"/>
    <w:rsid w:val="003E25B0"/>
    <w:rsid w:val="003E4883"/>
    <w:rsid w:val="003E6D16"/>
    <w:rsid w:val="003F3936"/>
    <w:rsid w:val="003F41DC"/>
    <w:rsid w:val="00406A68"/>
    <w:rsid w:val="004070FE"/>
    <w:rsid w:val="004120FF"/>
    <w:rsid w:val="00425EC4"/>
    <w:rsid w:val="004269D5"/>
    <w:rsid w:val="00431ABC"/>
    <w:rsid w:val="0044338D"/>
    <w:rsid w:val="00447018"/>
    <w:rsid w:val="00450158"/>
    <w:rsid w:val="00451425"/>
    <w:rsid w:val="00453002"/>
    <w:rsid w:val="0045629B"/>
    <w:rsid w:val="00464DCA"/>
    <w:rsid w:val="004717E0"/>
    <w:rsid w:val="00471AAC"/>
    <w:rsid w:val="00471C45"/>
    <w:rsid w:val="00472379"/>
    <w:rsid w:val="00475FA9"/>
    <w:rsid w:val="00476DE8"/>
    <w:rsid w:val="004813D0"/>
    <w:rsid w:val="00482F62"/>
    <w:rsid w:val="00486532"/>
    <w:rsid w:val="00493FED"/>
    <w:rsid w:val="004940B9"/>
    <w:rsid w:val="00495534"/>
    <w:rsid w:val="00495628"/>
    <w:rsid w:val="004A01D6"/>
    <w:rsid w:val="004B2A7C"/>
    <w:rsid w:val="004C4938"/>
    <w:rsid w:val="004C5AC4"/>
    <w:rsid w:val="004D0232"/>
    <w:rsid w:val="004D1AFA"/>
    <w:rsid w:val="004F2160"/>
    <w:rsid w:val="0051420C"/>
    <w:rsid w:val="00516379"/>
    <w:rsid w:val="00517211"/>
    <w:rsid w:val="00522AFD"/>
    <w:rsid w:val="00525FA7"/>
    <w:rsid w:val="00530770"/>
    <w:rsid w:val="00534827"/>
    <w:rsid w:val="00535087"/>
    <w:rsid w:val="00541075"/>
    <w:rsid w:val="00550F27"/>
    <w:rsid w:val="00552416"/>
    <w:rsid w:val="005564BA"/>
    <w:rsid w:val="005567A7"/>
    <w:rsid w:val="00571D3C"/>
    <w:rsid w:val="005726DB"/>
    <w:rsid w:val="00590819"/>
    <w:rsid w:val="00593E4D"/>
    <w:rsid w:val="005A1077"/>
    <w:rsid w:val="005A235B"/>
    <w:rsid w:val="005A4EB2"/>
    <w:rsid w:val="005B7899"/>
    <w:rsid w:val="005C684B"/>
    <w:rsid w:val="005D0376"/>
    <w:rsid w:val="005D2791"/>
    <w:rsid w:val="005E3BB4"/>
    <w:rsid w:val="005F78AD"/>
    <w:rsid w:val="00603F31"/>
    <w:rsid w:val="00606392"/>
    <w:rsid w:val="00611A3C"/>
    <w:rsid w:val="0061475A"/>
    <w:rsid w:val="0061585C"/>
    <w:rsid w:val="00620AF3"/>
    <w:rsid w:val="006252C6"/>
    <w:rsid w:val="006318DE"/>
    <w:rsid w:val="006353E8"/>
    <w:rsid w:val="006422F7"/>
    <w:rsid w:val="00654F3E"/>
    <w:rsid w:val="00661453"/>
    <w:rsid w:val="00666E70"/>
    <w:rsid w:val="00675305"/>
    <w:rsid w:val="00677F32"/>
    <w:rsid w:val="00683875"/>
    <w:rsid w:val="006A67B3"/>
    <w:rsid w:val="006A74CD"/>
    <w:rsid w:val="006B03D9"/>
    <w:rsid w:val="006B1321"/>
    <w:rsid w:val="006B3D8F"/>
    <w:rsid w:val="006B6C16"/>
    <w:rsid w:val="006C2509"/>
    <w:rsid w:val="006E0A55"/>
    <w:rsid w:val="0070144D"/>
    <w:rsid w:val="00707F78"/>
    <w:rsid w:val="00712292"/>
    <w:rsid w:val="00723273"/>
    <w:rsid w:val="00733316"/>
    <w:rsid w:val="007368A0"/>
    <w:rsid w:val="00737057"/>
    <w:rsid w:val="0073757F"/>
    <w:rsid w:val="0074382B"/>
    <w:rsid w:val="0074626B"/>
    <w:rsid w:val="007536A5"/>
    <w:rsid w:val="00753ED3"/>
    <w:rsid w:val="0075525D"/>
    <w:rsid w:val="007640E7"/>
    <w:rsid w:val="00773FD2"/>
    <w:rsid w:val="007836C6"/>
    <w:rsid w:val="0078486C"/>
    <w:rsid w:val="00790D8F"/>
    <w:rsid w:val="00797F72"/>
    <w:rsid w:val="007A2A05"/>
    <w:rsid w:val="007B632A"/>
    <w:rsid w:val="007C4AC6"/>
    <w:rsid w:val="007E507E"/>
    <w:rsid w:val="007E6A2E"/>
    <w:rsid w:val="007F6DF8"/>
    <w:rsid w:val="008031AD"/>
    <w:rsid w:val="00811C30"/>
    <w:rsid w:val="008200BF"/>
    <w:rsid w:val="00830783"/>
    <w:rsid w:val="00832189"/>
    <w:rsid w:val="0083219A"/>
    <w:rsid w:val="008475DD"/>
    <w:rsid w:val="00865B94"/>
    <w:rsid w:val="008746EE"/>
    <w:rsid w:val="00875944"/>
    <w:rsid w:val="00876B4B"/>
    <w:rsid w:val="008907FB"/>
    <w:rsid w:val="0089778E"/>
    <w:rsid w:val="008A40BE"/>
    <w:rsid w:val="008A5BE0"/>
    <w:rsid w:val="008A71E0"/>
    <w:rsid w:val="008A7FAC"/>
    <w:rsid w:val="008B137E"/>
    <w:rsid w:val="008B31CD"/>
    <w:rsid w:val="008C3C0E"/>
    <w:rsid w:val="008C4B75"/>
    <w:rsid w:val="008D5FE0"/>
    <w:rsid w:val="008D71C1"/>
    <w:rsid w:val="008F6630"/>
    <w:rsid w:val="008F7A38"/>
    <w:rsid w:val="009028A6"/>
    <w:rsid w:val="0090396D"/>
    <w:rsid w:val="00907D58"/>
    <w:rsid w:val="00907ED6"/>
    <w:rsid w:val="009205C6"/>
    <w:rsid w:val="0092185B"/>
    <w:rsid w:val="00927B10"/>
    <w:rsid w:val="00927C89"/>
    <w:rsid w:val="00927FDF"/>
    <w:rsid w:val="00930932"/>
    <w:rsid w:val="00930A9E"/>
    <w:rsid w:val="0094116E"/>
    <w:rsid w:val="009453FB"/>
    <w:rsid w:val="00950810"/>
    <w:rsid w:val="00956F98"/>
    <w:rsid w:val="00962E6B"/>
    <w:rsid w:val="009678F4"/>
    <w:rsid w:val="009707FF"/>
    <w:rsid w:val="00980CAE"/>
    <w:rsid w:val="00981C8D"/>
    <w:rsid w:val="00982E04"/>
    <w:rsid w:val="00983BBF"/>
    <w:rsid w:val="00987D5B"/>
    <w:rsid w:val="009914B7"/>
    <w:rsid w:val="00991D8C"/>
    <w:rsid w:val="0099678B"/>
    <w:rsid w:val="009A22E7"/>
    <w:rsid w:val="009A5A22"/>
    <w:rsid w:val="009A72A7"/>
    <w:rsid w:val="009B2B70"/>
    <w:rsid w:val="009B3706"/>
    <w:rsid w:val="009C678A"/>
    <w:rsid w:val="009D5EB2"/>
    <w:rsid w:val="009D769C"/>
    <w:rsid w:val="009E0675"/>
    <w:rsid w:val="009E234A"/>
    <w:rsid w:val="009E4FA4"/>
    <w:rsid w:val="009F1D1C"/>
    <w:rsid w:val="00A0427F"/>
    <w:rsid w:val="00A06E7B"/>
    <w:rsid w:val="00A1192E"/>
    <w:rsid w:val="00A12556"/>
    <w:rsid w:val="00A22969"/>
    <w:rsid w:val="00A23DF1"/>
    <w:rsid w:val="00A25C7F"/>
    <w:rsid w:val="00A46467"/>
    <w:rsid w:val="00A5600E"/>
    <w:rsid w:val="00A56EB6"/>
    <w:rsid w:val="00A600D0"/>
    <w:rsid w:val="00A75E74"/>
    <w:rsid w:val="00A76F23"/>
    <w:rsid w:val="00A85D65"/>
    <w:rsid w:val="00A90AC2"/>
    <w:rsid w:val="00A958D8"/>
    <w:rsid w:val="00AA38C7"/>
    <w:rsid w:val="00AC308B"/>
    <w:rsid w:val="00AC58D7"/>
    <w:rsid w:val="00AD0AD5"/>
    <w:rsid w:val="00AE1F96"/>
    <w:rsid w:val="00AE316F"/>
    <w:rsid w:val="00AE3E9B"/>
    <w:rsid w:val="00AF3AD1"/>
    <w:rsid w:val="00AF3B5C"/>
    <w:rsid w:val="00B04F52"/>
    <w:rsid w:val="00B11E55"/>
    <w:rsid w:val="00B13471"/>
    <w:rsid w:val="00B135ED"/>
    <w:rsid w:val="00B14353"/>
    <w:rsid w:val="00B14E10"/>
    <w:rsid w:val="00B15C2F"/>
    <w:rsid w:val="00B23FBA"/>
    <w:rsid w:val="00B25877"/>
    <w:rsid w:val="00B32087"/>
    <w:rsid w:val="00B324F9"/>
    <w:rsid w:val="00B33E2F"/>
    <w:rsid w:val="00B35286"/>
    <w:rsid w:val="00B3702E"/>
    <w:rsid w:val="00B43C06"/>
    <w:rsid w:val="00B4536D"/>
    <w:rsid w:val="00B604E9"/>
    <w:rsid w:val="00B61F88"/>
    <w:rsid w:val="00B63083"/>
    <w:rsid w:val="00B77C15"/>
    <w:rsid w:val="00B87416"/>
    <w:rsid w:val="00B87CEE"/>
    <w:rsid w:val="00B93F84"/>
    <w:rsid w:val="00B955A1"/>
    <w:rsid w:val="00BA0DB3"/>
    <w:rsid w:val="00BB03BE"/>
    <w:rsid w:val="00BB5353"/>
    <w:rsid w:val="00BB6ABD"/>
    <w:rsid w:val="00BC2117"/>
    <w:rsid w:val="00BC2A9E"/>
    <w:rsid w:val="00BC786E"/>
    <w:rsid w:val="00BE19EB"/>
    <w:rsid w:val="00BE7282"/>
    <w:rsid w:val="00BF5322"/>
    <w:rsid w:val="00BF55CE"/>
    <w:rsid w:val="00C03C74"/>
    <w:rsid w:val="00C12DE1"/>
    <w:rsid w:val="00C15321"/>
    <w:rsid w:val="00C21238"/>
    <w:rsid w:val="00C212F0"/>
    <w:rsid w:val="00C215D9"/>
    <w:rsid w:val="00C25A40"/>
    <w:rsid w:val="00C30264"/>
    <w:rsid w:val="00C32B0A"/>
    <w:rsid w:val="00C34C9B"/>
    <w:rsid w:val="00C36651"/>
    <w:rsid w:val="00C52EC4"/>
    <w:rsid w:val="00C55674"/>
    <w:rsid w:val="00C56D65"/>
    <w:rsid w:val="00C574C4"/>
    <w:rsid w:val="00C72CE4"/>
    <w:rsid w:val="00C73168"/>
    <w:rsid w:val="00C7443A"/>
    <w:rsid w:val="00C8299F"/>
    <w:rsid w:val="00C82EB4"/>
    <w:rsid w:val="00C85B59"/>
    <w:rsid w:val="00C86E57"/>
    <w:rsid w:val="00C92F38"/>
    <w:rsid w:val="00C958AB"/>
    <w:rsid w:val="00C96420"/>
    <w:rsid w:val="00CA06A6"/>
    <w:rsid w:val="00CA28C0"/>
    <w:rsid w:val="00CB243D"/>
    <w:rsid w:val="00CB52B8"/>
    <w:rsid w:val="00CC3751"/>
    <w:rsid w:val="00CD48B3"/>
    <w:rsid w:val="00CD755B"/>
    <w:rsid w:val="00CF634A"/>
    <w:rsid w:val="00D02A1E"/>
    <w:rsid w:val="00D20782"/>
    <w:rsid w:val="00D255D1"/>
    <w:rsid w:val="00D3560F"/>
    <w:rsid w:val="00D411F9"/>
    <w:rsid w:val="00D43DB6"/>
    <w:rsid w:val="00D477C4"/>
    <w:rsid w:val="00D54306"/>
    <w:rsid w:val="00D604E9"/>
    <w:rsid w:val="00D63500"/>
    <w:rsid w:val="00D70B89"/>
    <w:rsid w:val="00D737F1"/>
    <w:rsid w:val="00D766F6"/>
    <w:rsid w:val="00DB18FA"/>
    <w:rsid w:val="00DB713D"/>
    <w:rsid w:val="00DB7D54"/>
    <w:rsid w:val="00DD0494"/>
    <w:rsid w:val="00DD212B"/>
    <w:rsid w:val="00DE2A19"/>
    <w:rsid w:val="00DE5C9D"/>
    <w:rsid w:val="00DE5EA5"/>
    <w:rsid w:val="00DE73D2"/>
    <w:rsid w:val="00E1045A"/>
    <w:rsid w:val="00E122A5"/>
    <w:rsid w:val="00E15EAF"/>
    <w:rsid w:val="00E22357"/>
    <w:rsid w:val="00E24B0C"/>
    <w:rsid w:val="00E25BDB"/>
    <w:rsid w:val="00E30A4C"/>
    <w:rsid w:val="00E474D8"/>
    <w:rsid w:val="00E51741"/>
    <w:rsid w:val="00E542A5"/>
    <w:rsid w:val="00E55441"/>
    <w:rsid w:val="00E65C43"/>
    <w:rsid w:val="00E6763E"/>
    <w:rsid w:val="00E7028A"/>
    <w:rsid w:val="00E85142"/>
    <w:rsid w:val="00E97635"/>
    <w:rsid w:val="00EA1131"/>
    <w:rsid w:val="00EA1BF8"/>
    <w:rsid w:val="00EA3665"/>
    <w:rsid w:val="00EB0906"/>
    <w:rsid w:val="00EB27DB"/>
    <w:rsid w:val="00EB4ED4"/>
    <w:rsid w:val="00EB5693"/>
    <w:rsid w:val="00EB7722"/>
    <w:rsid w:val="00EF09BE"/>
    <w:rsid w:val="00F00EEF"/>
    <w:rsid w:val="00F0649E"/>
    <w:rsid w:val="00F06827"/>
    <w:rsid w:val="00F122B8"/>
    <w:rsid w:val="00F13EAB"/>
    <w:rsid w:val="00F2601F"/>
    <w:rsid w:val="00F337A9"/>
    <w:rsid w:val="00F37EE3"/>
    <w:rsid w:val="00F41E41"/>
    <w:rsid w:val="00F44730"/>
    <w:rsid w:val="00F44F13"/>
    <w:rsid w:val="00F479C9"/>
    <w:rsid w:val="00F52886"/>
    <w:rsid w:val="00F538E1"/>
    <w:rsid w:val="00F55074"/>
    <w:rsid w:val="00F611E6"/>
    <w:rsid w:val="00F6291A"/>
    <w:rsid w:val="00F80DA0"/>
    <w:rsid w:val="00F84866"/>
    <w:rsid w:val="00F8762E"/>
    <w:rsid w:val="00F8793E"/>
    <w:rsid w:val="00F87C04"/>
    <w:rsid w:val="00F90D78"/>
    <w:rsid w:val="00F91A68"/>
    <w:rsid w:val="00FA2A36"/>
    <w:rsid w:val="00FA775A"/>
    <w:rsid w:val="00FA7804"/>
    <w:rsid w:val="00FB04B8"/>
    <w:rsid w:val="00FB3886"/>
    <w:rsid w:val="00FB3F72"/>
    <w:rsid w:val="00FC0DAF"/>
    <w:rsid w:val="00FC7108"/>
    <w:rsid w:val="00FD3C8C"/>
    <w:rsid w:val="00FD48C6"/>
    <w:rsid w:val="00FD5A6A"/>
    <w:rsid w:val="00FD79A6"/>
    <w:rsid w:val="00FD7C33"/>
    <w:rsid w:val="00FE0886"/>
    <w:rsid w:val="00FF38D9"/>
    <w:rsid w:val="00FF6F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914E9D0-F1DB-4914-9407-8B25147E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087"/>
    <w:pPr>
      <w:spacing w:line="256" w:lineRule="auto"/>
    </w:pPr>
  </w:style>
  <w:style w:type="paragraph" w:styleId="Heading1">
    <w:name w:val="heading 1"/>
    <w:basedOn w:val="Normal"/>
    <w:next w:val="Normal"/>
    <w:link w:val="Heading1Char"/>
    <w:uiPriority w:val="9"/>
    <w:qFormat/>
    <w:rsid w:val="00F876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50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3EE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A68"/>
    <w:pPr>
      <w:tabs>
        <w:tab w:val="center" w:pos="4419"/>
        <w:tab w:val="right" w:pos="8838"/>
      </w:tabs>
      <w:spacing w:after="0" w:line="240" w:lineRule="auto"/>
    </w:pPr>
  </w:style>
  <w:style w:type="character" w:customStyle="1" w:styleId="HeaderChar">
    <w:name w:val="Header Char"/>
    <w:basedOn w:val="DefaultParagraphFont"/>
    <w:link w:val="Header"/>
    <w:uiPriority w:val="99"/>
    <w:rsid w:val="00406A68"/>
  </w:style>
  <w:style w:type="paragraph" w:styleId="Footer">
    <w:name w:val="footer"/>
    <w:basedOn w:val="Normal"/>
    <w:link w:val="FooterChar"/>
    <w:unhideWhenUsed/>
    <w:rsid w:val="00406A68"/>
    <w:pPr>
      <w:tabs>
        <w:tab w:val="center" w:pos="4419"/>
        <w:tab w:val="right" w:pos="8838"/>
      </w:tabs>
      <w:spacing w:after="0" w:line="240" w:lineRule="auto"/>
    </w:pPr>
  </w:style>
  <w:style w:type="character" w:customStyle="1" w:styleId="FooterChar">
    <w:name w:val="Footer Char"/>
    <w:basedOn w:val="DefaultParagraphFont"/>
    <w:link w:val="Footer"/>
    <w:uiPriority w:val="99"/>
    <w:rsid w:val="00406A68"/>
  </w:style>
  <w:style w:type="paragraph" w:styleId="ListParagraph">
    <w:name w:val="List Paragraph"/>
    <w:aliases w:val="Cita texto,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406A68"/>
    <w:pPr>
      <w:ind w:left="720"/>
      <w:contextualSpacing/>
    </w:pPr>
  </w:style>
  <w:style w:type="paragraph" w:styleId="BalloonText">
    <w:name w:val="Balloon Text"/>
    <w:basedOn w:val="Normal"/>
    <w:link w:val="BalloonTextChar"/>
    <w:uiPriority w:val="99"/>
    <w:semiHidden/>
    <w:unhideWhenUsed/>
    <w:rsid w:val="0011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951"/>
    <w:rPr>
      <w:rFonts w:ascii="Segoe UI" w:hAnsi="Segoe UI" w:cs="Segoe UI"/>
      <w:sz w:val="18"/>
      <w:szCs w:val="18"/>
    </w:rPr>
  </w:style>
  <w:style w:type="character" w:styleId="Hyperlink">
    <w:name w:val="Hyperlink"/>
    <w:basedOn w:val="DefaultParagraphFont"/>
    <w:uiPriority w:val="99"/>
    <w:unhideWhenUsed/>
    <w:rsid w:val="00EA3665"/>
    <w:rPr>
      <w:color w:val="0563C1" w:themeColor="hyperlink"/>
      <w:u w:val="single"/>
    </w:rPr>
  </w:style>
  <w:style w:type="character" w:customStyle="1" w:styleId="Heading1Char">
    <w:name w:val="Heading 1 Char"/>
    <w:basedOn w:val="DefaultParagraphFont"/>
    <w:link w:val="Heading1"/>
    <w:uiPriority w:val="9"/>
    <w:rsid w:val="00F8762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91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B87CEE"/>
    <w:rPr>
      <w:vertAlign w:val="superscript"/>
    </w:rPr>
  </w:style>
  <w:style w:type="character" w:customStyle="1" w:styleId="Ninguno">
    <w:name w:val="Ninguno"/>
    <w:rsid w:val="0024385E"/>
    <w:rPr>
      <w:lang w:val="es-ES_tradnl"/>
    </w:rPr>
  </w:style>
  <w:style w:type="paragraph" w:customStyle="1" w:styleId="Cuerpo">
    <w:name w:val="Cuerpo"/>
    <w:rsid w:val="00907ED6"/>
    <w:pPr>
      <w:pBdr>
        <w:top w:val="nil"/>
        <w:left w:val="nil"/>
        <w:bottom w:val="nil"/>
        <w:right w:val="nil"/>
        <w:between w:val="nil"/>
        <w:bar w:val="nil"/>
      </w:pBdr>
    </w:pPr>
    <w:rPr>
      <w:rFonts w:eastAsia="Arial Unicode MS" w:cs="Arial Unicode MS"/>
      <w:color w:val="000000"/>
      <w:u w:color="000000"/>
      <w:bdr w:val="nil"/>
      <w:lang w:val="es-ES_tradnl" w:eastAsia="es-MX"/>
    </w:rPr>
  </w:style>
  <w:style w:type="character" w:customStyle="1" w:styleId="Heading3Char">
    <w:name w:val="Heading 3 Char"/>
    <w:basedOn w:val="DefaultParagraphFont"/>
    <w:link w:val="Heading3"/>
    <w:uiPriority w:val="9"/>
    <w:semiHidden/>
    <w:rsid w:val="00253EEA"/>
    <w:rPr>
      <w:rFonts w:asciiTheme="majorHAnsi" w:eastAsiaTheme="majorEastAsia" w:hAnsiTheme="majorHAnsi" w:cstheme="majorBidi"/>
      <w:color w:val="1F4D78" w:themeColor="accent1" w:themeShade="7F"/>
      <w:szCs w:val="24"/>
    </w:rPr>
  </w:style>
  <w:style w:type="character" w:customStyle="1" w:styleId="ListParagraphChar">
    <w:name w:val="List Paragraph Char"/>
    <w:aliases w:val="Cita texto Char,Evidence on Demand bullet points Char,CEIL PEAKS bullet points Char,Scriptoria bullet points Char,Dot pt Char,F5 List Paragraph Char,List Paragraph1 Char,No Spacing1 Char,List Paragraph Char Char Char Char"/>
    <w:link w:val="ListParagraph"/>
    <w:uiPriority w:val="34"/>
    <w:qFormat/>
    <w:rsid w:val="00253EEA"/>
  </w:style>
  <w:style w:type="paragraph" w:customStyle="1" w:styleId="Default">
    <w:name w:val="Default"/>
    <w:rsid w:val="00253EEA"/>
    <w:pPr>
      <w:pBdr>
        <w:top w:val="nil"/>
        <w:left w:val="nil"/>
        <w:bottom w:val="nil"/>
        <w:right w:val="nil"/>
        <w:between w:val="nil"/>
        <w:bar w:val="nil"/>
      </w:pBdr>
      <w:spacing w:after="0" w:line="240" w:lineRule="auto"/>
    </w:pPr>
    <w:rPr>
      <w:rFonts w:eastAsia="Arial Unicode MS" w:cs="Arial Unicode MS"/>
      <w:color w:val="000000"/>
      <w:szCs w:val="24"/>
      <w:u w:color="000000"/>
      <w:bdr w:val="nil"/>
      <w:lang w:val="es-ES_tradnl" w:eastAsia="es-MX"/>
    </w:rPr>
  </w:style>
  <w:style w:type="paragraph" w:styleId="FootnoteText">
    <w:name w:val="footnote text"/>
    <w:basedOn w:val="Normal"/>
    <w:link w:val="FootnoteTextChar"/>
    <w:uiPriority w:val="99"/>
    <w:unhideWhenUsed/>
    <w:rsid w:val="00253EEA"/>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253EEA"/>
    <w:rPr>
      <w:rFonts w:asciiTheme="minorHAnsi" w:hAnsiTheme="minorHAnsi"/>
      <w:sz w:val="20"/>
      <w:szCs w:val="20"/>
    </w:rPr>
  </w:style>
  <w:style w:type="paragraph" w:styleId="EndnoteText">
    <w:name w:val="endnote text"/>
    <w:basedOn w:val="Normal"/>
    <w:link w:val="EndnoteTextChar"/>
    <w:uiPriority w:val="99"/>
    <w:semiHidden/>
    <w:unhideWhenUsed/>
    <w:rsid w:val="00253EEA"/>
    <w:pPr>
      <w:spacing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253EEA"/>
    <w:rPr>
      <w:rFonts w:asciiTheme="minorHAnsi" w:hAnsiTheme="minorHAnsi"/>
      <w:sz w:val="20"/>
      <w:szCs w:val="20"/>
    </w:rPr>
  </w:style>
  <w:style w:type="character" w:styleId="EndnoteReference">
    <w:name w:val="endnote reference"/>
    <w:basedOn w:val="DefaultParagraphFont"/>
    <w:uiPriority w:val="99"/>
    <w:semiHidden/>
    <w:unhideWhenUsed/>
    <w:rsid w:val="00253EEA"/>
    <w:rPr>
      <w:vertAlign w:val="superscript"/>
    </w:rPr>
  </w:style>
  <w:style w:type="character" w:styleId="Emphasis">
    <w:name w:val="Emphasis"/>
    <w:basedOn w:val="DefaultParagraphFont"/>
    <w:uiPriority w:val="20"/>
    <w:qFormat/>
    <w:rsid w:val="00253EEA"/>
    <w:rPr>
      <w:i/>
      <w:iCs/>
    </w:rPr>
  </w:style>
  <w:style w:type="paragraph" w:styleId="NormalWeb">
    <w:name w:val="Normal (Web)"/>
    <w:basedOn w:val="Normal"/>
    <w:uiPriority w:val="99"/>
    <w:unhideWhenUsed/>
    <w:rsid w:val="0061585C"/>
    <w:pPr>
      <w:spacing w:before="100" w:beforeAutospacing="1" w:after="100" w:afterAutospacing="1" w:line="240" w:lineRule="auto"/>
    </w:pPr>
    <w:rPr>
      <w:rFonts w:ascii="Times New Roman" w:eastAsia="Times New Roman" w:hAnsi="Times New Roman" w:cs="Times New Roman"/>
      <w:szCs w:val="24"/>
      <w:lang w:eastAsia="es-MX"/>
    </w:rPr>
  </w:style>
  <w:style w:type="character" w:styleId="CommentReference">
    <w:name w:val="annotation reference"/>
    <w:basedOn w:val="DefaultParagraphFont"/>
    <w:uiPriority w:val="99"/>
    <w:semiHidden/>
    <w:unhideWhenUsed/>
    <w:rsid w:val="00C12DE1"/>
    <w:rPr>
      <w:sz w:val="16"/>
      <w:szCs w:val="16"/>
    </w:rPr>
  </w:style>
  <w:style w:type="paragraph" w:styleId="CommentText">
    <w:name w:val="annotation text"/>
    <w:basedOn w:val="Normal"/>
    <w:link w:val="CommentTextChar"/>
    <w:uiPriority w:val="99"/>
    <w:semiHidden/>
    <w:unhideWhenUsed/>
    <w:rsid w:val="00C12DE1"/>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12DE1"/>
    <w:rPr>
      <w:rFonts w:asciiTheme="minorHAnsi" w:hAnsiTheme="minorHAnsi"/>
      <w:sz w:val="20"/>
      <w:szCs w:val="20"/>
    </w:rPr>
  </w:style>
  <w:style w:type="character" w:customStyle="1" w:styleId="Heading2Char">
    <w:name w:val="Heading 2 Char"/>
    <w:basedOn w:val="DefaultParagraphFont"/>
    <w:link w:val="Heading2"/>
    <w:uiPriority w:val="9"/>
    <w:rsid w:val="003B50EC"/>
    <w:rPr>
      <w:rFonts w:asciiTheme="majorHAnsi" w:eastAsiaTheme="majorEastAsia" w:hAnsiTheme="majorHAnsi" w:cstheme="majorBidi"/>
      <w:color w:val="2E74B5" w:themeColor="accent1" w:themeShade="BF"/>
      <w:sz w:val="26"/>
      <w:szCs w:val="26"/>
    </w:rPr>
  </w:style>
  <w:style w:type="character" w:customStyle="1" w:styleId="Mencinsinresolver1">
    <w:name w:val="Mención sin resolver1"/>
    <w:basedOn w:val="DefaultParagraphFont"/>
    <w:uiPriority w:val="99"/>
    <w:semiHidden/>
    <w:unhideWhenUsed/>
    <w:rsid w:val="00F5288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337A9"/>
    <w:pPr>
      <w:spacing w:after="160"/>
    </w:pPr>
    <w:rPr>
      <w:rFonts w:ascii="Arial" w:hAnsi="Arial"/>
      <w:b/>
      <w:bCs/>
    </w:rPr>
  </w:style>
  <w:style w:type="character" w:customStyle="1" w:styleId="CommentSubjectChar">
    <w:name w:val="Comment Subject Char"/>
    <w:basedOn w:val="CommentTextChar"/>
    <w:link w:val="CommentSubject"/>
    <w:uiPriority w:val="99"/>
    <w:semiHidden/>
    <w:rsid w:val="00F337A9"/>
    <w:rPr>
      <w:rFonts w:asciiTheme="minorHAnsi" w:hAnsiTheme="minorHAnsi"/>
      <w:b/>
      <w:bCs/>
      <w:sz w:val="20"/>
      <w:szCs w:val="20"/>
    </w:rPr>
  </w:style>
  <w:style w:type="character" w:customStyle="1" w:styleId="apple-converted-space">
    <w:name w:val="apple-converted-space"/>
    <w:basedOn w:val="DefaultParagraphFont"/>
    <w:rsid w:val="00331A68"/>
  </w:style>
  <w:style w:type="character" w:styleId="FollowedHyperlink">
    <w:name w:val="FollowedHyperlink"/>
    <w:basedOn w:val="DefaultParagraphFont"/>
    <w:uiPriority w:val="99"/>
    <w:semiHidden/>
    <w:unhideWhenUsed/>
    <w:rsid w:val="00472379"/>
    <w:rPr>
      <w:color w:val="954F72" w:themeColor="followedHyperlink"/>
      <w:u w:val="single"/>
    </w:rPr>
  </w:style>
  <w:style w:type="character" w:customStyle="1" w:styleId="views-label">
    <w:name w:val="views-label"/>
    <w:basedOn w:val="DefaultParagraphFont"/>
    <w:rsid w:val="000D6C83"/>
  </w:style>
  <w:style w:type="character" w:customStyle="1" w:styleId="Mencinsinresolver2">
    <w:name w:val="Mención sin resolver2"/>
    <w:basedOn w:val="DefaultParagraphFont"/>
    <w:uiPriority w:val="99"/>
    <w:semiHidden/>
    <w:unhideWhenUsed/>
    <w:rsid w:val="007536A5"/>
    <w:rPr>
      <w:color w:val="605E5C"/>
      <w:shd w:val="clear" w:color="auto" w:fill="E1DFDD"/>
    </w:rPr>
  </w:style>
  <w:style w:type="character" w:customStyle="1" w:styleId="Mencinsinresolver3">
    <w:name w:val="Mención sin resolver3"/>
    <w:basedOn w:val="DefaultParagraphFont"/>
    <w:uiPriority w:val="99"/>
    <w:semiHidden/>
    <w:unhideWhenUsed/>
    <w:rsid w:val="0073757F"/>
    <w:rPr>
      <w:color w:val="605E5C"/>
      <w:shd w:val="clear" w:color="auto" w:fill="E1DFDD"/>
    </w:rPr>
  </w:style>
  <w:style w:type="character" w:styleId="Strong">
    <w:name w:val="Strong"/>
    <w:basedOn w:val="DefaultParagraphFont"/>
    <w:uiPriority w:val="22"/>
    <w:qFormat/>
    <w:rsid w:val="00B453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5997">
      <w:bodyDiv w:val="1"/>
      <w:marLeft w:val="0"/>
      <w:marRight w:val="0"/>
      <w:marTop w:val="0"/>
      <w:marBottom w:val="0"/>
      <w:divBdr>
        <w:top w:val="none" w:sz="0" w:space="0" w:color="auto"/>
        <w:left w:val="none" w:sz="0" w:space="0" w:color="auto"/>
        <w:bottom w:val="none" w:sz="0" w:space="0" w:color="auto"/>
        <w:right w:val="none" w:sz="0" w:space="0" w:color="auto"/>
      </w:divBdr>
    </w:div>
    <w:div w:id="45379226">
      <w:bodyDiv w:val="1"/>
      <w:marLeft w:val="0"/>
      <w:marRight w:val="0"/>
      <w:marTop w:val="0"/>
      <w:marBottom w:val="0"/>
      <w:divBdr>
        <w:top w:val="none" w:sz="0" w:space="0" w:color="auto"/>
        <w:left w:val="none" w:sz="0" w:space="0" w:color="auto"/>
        <w:bottom w:val="none" w:sz="0" w:space="0" w:color="auto"/>
        <w:right w:val="none" w:sz="0" w:space="0" w:color="auto"/>
      </w:divBdr>
      <w:divsChild>
        <w:div w:id="774714995">
          <w:marLeft w:val="0"/>
          <w:marRight w:val="0"/>
          <w:marTop w:val="0"/>
          <w:marBottom w:val="0"/>
          <w:divBdr>
            <w:top w:val="none" w:sz="0" w:space="0" w:color="auto"/>
            <w:left w:val="none" w:sz="0" w:space="0" w:color="auto"/>
            <w:bottom w:val="none" w:sz="0" w:space="0" w:color="auto"/>
            <w:right w:val="none" w:sz="0" w:space="0" w:color="auto"/>
          </w:divBdr>
        </w:div>
      </w:divsChild>
    </w:div>
    <w:div w:id="109590609">
      <w:bodyDiv w:val="1"/>
      <w:marLeft w:val="0"/>
      <w:marRight w:val="0"/>
      <w:marTop w:val="0"/>
      <w:marBottom w:val="0"/>
      <w:divBdr>
        <w:top w:val="none" w:sz="0" w:space="0" w:color="auto"/>
        <w:left w:val="none" w:sz="0" w:space="0" w:color="auto"/>
        <w:bottom w:val="none" w:sz="0" w:space="0" w:color="auto"/>
        <w:right w:val="none" w:sz="0" w:space="0" w:color="auto"/>
      </w:divBdr>
    </w:div>
    <w:div w:id="149099278">
      <w:bodyDiv w:val="1"/>
      <w:marLeft w:val="0"/>
      <w:marRight w:val="0"/>
      <w:marTop w:val="0"/>
      <w:marBottom w:val="0"/>
      <w:divBdr>
        <w:top w:val="none" w:sz="0" w:space="0" w:color="auto"/>
        <w:left w:val="none" w:sz="0" w:space="0" w:color="auto"/>
        <w:bottom w:val="none" w:sz="0" w:space="0" w:color="auto"/>
        <w:right w:val="none" w:sz="0" w:space="0" w:color="auto"/>
      </w:divBdr>
    </w:div>
    <w:div w:id="373163616">
      <w:bodyDiv w:val="1"/>
      <w:marLeft w:val="0"/>
      <w:marRight w:val="0"/>
      <w:marTop w:val="0"/>
      <w:marBottom w:val="0"/>
      <w:divBdr>
        <w:top w:val="none" w:sz="0" w:space="0" w:color="auto"/>
        <w:left w:val="none" w:sz="0" w:space="0" w:color="auto"/>
        <w:bottom w:val="none" w:sz="0" w:space="0" w:color="auto"/>
        <w:right w:val="none" w:sz="0" w:space="0" w:color="auto"/>
      </w:divBdr>
    </w:div>
    <w:div w:id="540213441">
      <w:bodyDiv w:val="1"/>
      <w:marLeft w:val="0"/>
      <w:marRight w:val="0"/>
      <w:marTop w:val="0"/>
      <w:marBottom w:val="0"/>
      <w:divBdr>
        <w:top w:val="none" w:sz="0" w:space="0" w:color="auto"/>
        <w:left w:val="none" w:sz="0" w:space="0" w:color="auto"/>
        <w:bottom w:val="none" w:sz="0" w:space="0" w:color="auto"/>
        <w:right w:val="none" w:sz="0" w:space="0" w:color="auto"/>
      </w:divBdr>
    </w:div>
    <w:div w:id="540746564">
      <w:bodyDiv w:val="1"/>
      <w:marLeft w:val="0"/>
      <w:marRight w:val="0"/>
      <w:marTop w:val="0"/>
      <w:marBottom w:val="0"/>
      <w:divBdr>
        <w:top w:val="none" w:sz="0" w:space="0" w:color="auto"/>
        <w:left w:val="none" w:sz="0" w:space="0" w:color="auto"/>
        <w:bottom w:val="none" w:sz="0" w:space="0" w:color="auto"/>
        <w:right w:val="none" w:sz="0" w:space="0" w:color="auto"/>
      </w:divBdr>
      <w:divsChild>
        <w:div w:id="473446158">
          <w:marLeft w:val="0"/>
          <w:marRight w:val="0"/>
          <w:marTop w:val="0"/>
          <w:marBottom w:val="0"/>
          <w:divBdr>
            <w:top w:val="none" w:sz="0" w:space="0" w:color="auto"/>
            <w:left w:val="none" w:sz="0" w:space="0" w:color="auto"/>
            <w:bottom w:val="none" w:sz="0" w:space="0" w:color="auto"/>
            <w:right w:val="none" w:sz="0" w:space="0" w:color="auto"/>
          </w:divBdr>
        </w:div>
      </w:divsChild>
    </w:div>
    <w:div w:id="620501169">
      <w:bodyDiv w:val="1"/>
      <w:marLeft w:val="0"/>
      <w:marRight w:val="0"/>
      <w:marTop w:val="0"/>
      <w:marBottom w:val="0"/>
      <w:divBdr>
        <w:top w:val="none" w:sz="0" w:space="0" w:color="auto"/>
        <w:left w:val="none" w:sz="0" w:space="0" w:color="auto"/>
        <w:bottom w:val="none" w:sz="0" w:space="0" w:color="auto"/>
        <w:right w:val="none" w:sz="0" w:space="0" w:color="auto"/>
      </w:divBdr>
      <w:divsChild>
        <w:div w:id="983851393">
          <w:marLeft w:val="0"/>
          <w:marRight w:val="0"/>
          <w:marTop w:val="0"/>
          <w:marBottom w:val="0"/>
          <w:divBdr>
            <w:top w:val="none" w:sz="0" w:space="0" w:color="auto"/>
            <w:left w:val="none" w:sz="0" w:space="0" w:color="auto"/>
            <w:bottom w:val="none" w:sz="0" w:space="0" w:color="auto"/>
            <w:right w:val="none" w:sz="0" w:space="0" w:color="auto"/>
          </w:divBdr>
        </w:div>
      </w:divsChild>
    </w:div>
    <w:div w:id="623540238">
      <w:bodyDiv w:val="1"/>
      <w:marLeft w:val="0"/>
      <w:marRight w:val="0"/>
      <w:marTop w:val="0"/>
      <w:marBottom w:val="0"/>
      <w:divBdr>
        <w:top w:val="none" w:sz="0" w:space="0" w:color="auto"/>
        <w:left w:val="none" w:sz="0" w:space="0" w:color="auto"/>
        <w:bottom w:val="none" w:sz="0" w:space="0" w:color="auto"/>
        <w:right w:val="none" w:sz="0" w:space="0" w:color="auto"/>
      </w:divBdr>
    </w:div>
    <w:div w:id="717819801">
      <w:bodyDiv w:val="1"/>
      <w:marLeft w:val="0"/>
      <w:marRight w:val="0"/>
      <w:marTop w:val="0"/>
      <w:marBottom w:val="0"/>
      <w:divBdr>
        <w:top w:val="none" w:sz="0" w:space="0" w:color="auto"/>
        <w:left w:val="none" w:sz="0" w:space="0" w:color="auto"/>
        <w:bottom w:val="none" w:sz="0" w:space="0" w:color="auto"/>
        <w:right w:val="none" w:sz="0" w:space="0" w:color="auto"/>
      </w:divBdr>
    </w:div>
    <w:div w:id="803235697">
      <w:bodyDiv w:val="1"/>
      <w:marLeft w:val="0"/>
      <w:marRight w:val="0"/>
      <w:marTop w:val="0"/>
      <w:marBottom w:val="0"/>
      <w:divBdr>
        <w:top w:val="none" w:sz="0" w:space="0" w:color="auto"/>
        <w:left w:val="none" w:sz="0" w:space="0" w:color="auto"/>
        <w:bottom w:val="none" w:sz="0" w:space="0" w:color="auto"/>
        <w:right w:val="none" w:sz="0" w:space="0" w:color="auto"/>
      </w:divBdr>
    </w:div>
    <w:div w:id="932081788">
      <w:bodyDiv w:val="1"/>
      <w:marLeft w:val="0"/>
      <w:marRight w:val="0"/>
      <w:marTop w:val="0"/>
      <w:marBottom w:val="0"/>
      <w:divBdr>
        <w:top w:val="none" w:sz="0" w:space="0" w:color="auto"/>
        <w:left w:val="none" w:sz="0" w:space="0" w:color="auto"/>
        <w:bottom w:val="none" w:sz="0" w:space="0" w:color="auto"/>
        <w:right w:val="none" w:sz="0" w:space="0" w:color="auto"/>
      </w:divBdr>
    </w:div>
    <w:div w:id="973564741">
      <w:bodyDiv w:val="1"/>
      <w:marLeft w:val="0"/>
      <w:marRight w:val="0"/>
      <w:marTop w:val="0"/>
      <w:marBottom w:val="0"/>
      <w:divBdr>
        <w:top w:val="none" w:sz="0" w:space="0" w:color="auto"/>
        <w:left w:val="none" w:sz="0" w:space="0" w:color="auto"/>
        <w:bottom w:val="none" w:sz="0" w:space="0" w:color="auto"/>
        <w:right w:val="none" w:sz="0" w:space="0" w:color="auto"/>
      </w:divBdr>
    </w:div>
    <w:div w:id="1334410594">
      <w:bodyDiv w:val="1"/>
      <w:marLeft w:val="0"/>
      <w:marRight w:val="0"/>
      <w:marTop w:val="0"/>
      <w:marBottom w:val="0"/>
      <w:divBdr>
        <w:top w:val="none" w:sz="0" w:space="0" w:color="auto"/>
        <w:left w:val="none" w:sz="0" w:space="0" w:color="auto"/>
        <w:bottom w:val="none" w:sz="0" w:space="0" w:color="auto"/>
        <w:right w:val="none" w:sz="0" w:space="0" w:color="auto"/>
      </w:divBdr>
      <w:divsChild>
        <w:div w:id="1246525290">
          <w:marLeft w:val="0"/>
          <w:marRight w:val="0"/>
          <w:marTop w:val="0"/>
          <w:marBottom w:val="0"/>
          <w:divBdr>
            <w:top w:val="none" w:sz="0" w:space="0" w:color="auto"/>
            <w:left w:val="none" w:sz="0" w:space="0" w:color="auto"/>
            <w:bottom w:val="none" w:sz="0" w:space="0" w:color="auto"/>
            <w:right w:val="none" w:sz="0" w:space="0" w:color="auto"/>
          </w:divBdr>
        </w:div>
      </w:divsChild>
    </w:div>
    <w:div w:id="1420785099">
      <w:bodyDiv w:val="1"/>
      <w:marLeft w:val="0"/>
      <w:marRight w:val="0"/>
      <w:marTop w:val="0"/>
      <w:marBottom w:val="0"/>
      <w:divBdr>
        <w:top w:val="none" w:sz="0" w:space="0" w:color="auto"/>
        <w:left w:val="none" w:sz="0" w:space="0" w:color="auto"/>
        <w:bottom w:val="none" w:sz="0" w:space="0" w:color="auto"/>
        <w:right w:val="none" w:sz="0" w:space="0" w:color="auto"/>
      </w:divBdr>
      <w:divsChild>
        <w:div w:id="1224482534">
          <w:marLeft w:val="0"/>
          <w:marRight w:val="0"/>
          <w:marTop w:val="0"/>
          <w:marBottom w:val="300"/>
          <w:divBdr>
            <w:top w:val="none" w:sz="0" w:space="0" w:color="auto"/>
            <w:left w:val="none" w:sz="0" w:space="0" w:color="auto"/>
            <w:bottom w:val="none" w:sz="0" w:space="0" w:color="auto"/>
            <w:right w:val="none" w:sz="0" w:space="0" w:color="auto"/>
          </w:divBdr>
          <w:divsChild>
            <w:div w:id="128592907">
              <w:marLeft w:val="0"/>
              <w:marRight w:val="0"/>
              <w:marTop w:val="0"/>
              <w:marBottom w:val="0"/>
              <w:divBdr>
                <w:top w:val="none" w:sz="0" w:space="0" w:color="auto"/>
                <w:left w:val="none" w:sz="0" w:space="0" w:color="auto"/>
                <w:bottom w:val="none" w:sz="0" w:space="0" w:color="auto"/>
                <w:right w:val="none" w:sz="0" w:space="0" w:color="auto"/>
              </w:divBdr>
            </w:div>
          </w:divsChild>
        </w:div>
        <w:div w:id="1622999863">
          <w:marLeft w:val="0"/>
          <w:marRight w:val="0"/>
          <w:marTop w:val="0"/>
          <w:marBottom w:val="300"/>
          <w:divBdr>
            <w:top w:val="none" w:sz="0" w:space="0" w:color="auto"/>
            <w:left w:val="none" w:sz="0" w:space="0" w:color="auto"/>
            <w:bottom w:val="none" w:sz="0" w:space="0" w:color="auto"/>
            <w:right w:val="none" w:sz="0" w:space="0" w:color="auto"/>
          </w:divBdr>
        </w:div>
      </w:divsChild>
    </w:div>
    <w:div w:id="1537695264">
      <w:bodyDiv w:val="1"/>
      <w:marLeft w:val="0"/>
      <w:marRight w:val="0"/>
      <w:marTop w:val="0"/>
      <w:marBottom w:val="0"/>
      <w:divBdr>
        <w:top w:val="none" w:sz="0" w:space="0" w:color="auto"/>
        <w:left w:val="none" w:sz="0" w:space="0" w:color="auto"/>
        <w:bottom w:val="none" w:sz="0" w:space="0" w:color="auto"/>
        <w:right w:val="none" w:sz="0" w:space="0" w:color="auto"/>
      </w:divBdr>
    </w:div>
    <w:div w:id="1615675729">
      <w:bodyDiv w:val="1"/>
      <w:marLeft w:val="0"/>
      <w:marRight w:val="0"/>
      <w:marTop w:val="0"/>
      <w:marBottom w:val="0"/>
      <w:divBdr>
        <w:top w:val="none" w:sz="0" w:space="0" w:color="auto"/>
        <w:left w:val="none" w:sz="0" w:space="0" w:color="auto"/>
        <w:bottom w:val="none" w:sz="0" w:space="0" w:color="auto"/>
        <w:right w:val="none" w:sz="0" w:space="0" w:color="auto"/>
      </w:divBdr>
    </w:div>
    <w:div w:id="1629894113">
      <w:bodyDiv w:val="1"/>
      <w:marLeft w:val="0"/>
      <w:marRight w:val="0"/>
      <w:marTop w:val="0"/>
      <w:marBottom w:val="0"/>
      <w:divBdr>
        <w:top w:val="none" w:sz="0" w:space="0" w:color="auto"/>
        <w:left w:val="none" w:sz="0" w:space="0" w:color="auto"/>
        <w:bottom w:val="none" w:sz="0" w:space="0" w:color="auto"/>
        <w:right w:val="none" w:sz="0" w:space="0" w:color="auto"/>
      </w:divBdr>
    </w:div>
    <w:div w:id="1662585903">
      <w:bodyDiv w:val="1"/>
      <w:marLeft w:val="0"/>
      <w:marRight w:val="0"/>
      <w:marTop w:val="0"/>
      <w:marBottom w:val="0"/>
      <w:divBdr>
        <w:top w:val="none" w:sz="0" w:space="0" w:color="auto"/>
        <w:left w:val="none" w:sz="0" w:space="0" w:color="auto"/>
        <w:bottom w:val="none" w:sz="0" w:space="0" w:color="auto"/>
        <w:right w:val="none" w:sz="0" w:space="0" w:color="auto"/>
      </w:divBdr>
    </w:div>
    <w:div w:id="1683584592">
      <w:bodyDiv w:val="1"/>
      <w:marLeft w:val="0"/>
      <w:marRight w:val="0"/>
      <w:marTop w:val="0"/>
      <w:marBottom w:val="0"/>
      <w:divBdr>
        <w:top w:val="none" w:sz="0" w:space="0" w:color="auto"/>
        <w:left w:val="none" w:sz="0" w:space="0" w:color="auto"/>
        <w:bottom w:val="none" w:sz="0" w:space="0" w:color="auto"/>
        <w:right w:val="none" w:sz="0" w:space="0" w:color="auto"/>
      </w:divBdr>
    </w:div>
    <w:div w:id="1790927775">
      <w:bodyDiv w:val="1"/>
      <w:marLeft w:val="0"/>
      <w:marRight w:val="0"/>
      <w:marTop w:val="0"/>
      <w:marBottom w:val="0"/>
      <w:divBdr>
        <w:top w:val="none" w:sz="0" w:space="0" w:color="auto"/>
        <w:left w:val="none" w:sz="0" w:space="0" w:color="auto"/>
        <w:bottom w:val="none" w:sz="0" w:space="0" w:color="auto"/>
        <w:right w:val="none" w:sz="0" w:space="0" w:color="auto"/>
      </w:divBdr>
    </w:div>
    <w:div w:id="2096395159">
      <w:bodyDiv w:val="1"/>
      <w:marLeft w:val="0"/>
      <w:marRight w:val="0"/>
      <w:marTop w:val="0"/>
      <w:marBottom w:val="0"/>
      <w:divBdr>
        <w:top w:val="none" w:sz="0" w:space="0" w:color="auto"/>
        <w:left w:val="none" w:sz="0" w:space="0" w:color="auto"/>
        <w:bottom w:val="none" w:sz="0" w:space="0" w:color="auto"/>
        <w:right w:val="none" w:sz="0" w:space="0" w:color="auto"/>
      </w:divBdr>
    </w:div>
    <w:div w:id="214388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dh.org.mx/sites/default/files/documentos/2019-08/DIAGNOSTICO_SITUACION_TDP_2019.pdf"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ndh.org.mx/documento/atento-exhorto-la-comision-ejecutiva-de-atencion-victimas-ante-informacion-contenida-en"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f.gob.mx/nota_detalle.php?codigo=5592205&amp;fecha=23/04/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iputados.gob.mx/LeyesBiblio/pdf/LGPSEDMTP_190118.pdf"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dof.gob.mx/nota_detalle.php?codigo=5590914&amp;fecha=31/03/2020"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cutt.ly/pyMSh2p" TargetMode="External"/><Relationship Id="rId13" Type="http://schemas.openxmlformats.org/officeDocument/2006/relationships/hyperlink" Target="https://www.milenio.com/politica/sipinna-menores-edad-victimas-invisibles-pandemia" TargetMode="External"/><Relationship Id="rId18" Type="http://schemas.openxmlformats.org/officeDocument/2006/relationships/hyperlink" Target="https://www.cndh.org.mx/sites/default/files/documentos/2020-02/COM_2020_033.pdf" TargetMode="External"/><Relationship Id="rId3" Type="http://schemas.openxmlformats.org/officeDocument/2006/relationships/hyperlink" Target="https://cutt.ly/ZyMSUxd" TargetMode="External"/><Relationship Id="rId7" Type="http://schemas.openxmlformats.org/officeDocument/2006/relationships/hyperlink" Target="https://cutt.ly/iyMShwp" TargetMode="External"/><Relationship Id="rId12" Type="http://schemas.openxmlformats.org/officeDocument/2006/relationships/hyperlink" Target="https://www.gob.mx/sipinna/acciones-y-programas/acciones-de-la-secretaria-ejecutiva-del-sipinna-en-la-emergencia-sanitaria-covid-19" TargetMode="External"/><Relationship Id="rId17" Type="http://schemas.openxmlformats.org/officeDocument/2006/relationships/hyperlink" Target="https://www.cndh.org.mx/sites/default/files/documentos/2019-08/Com_2019_313.pdf" TargetMode="External"/><Relationship Id="rId2" Type="http://schemas.openxmlformats.org/officeDocument/2006/relationships/hyperlink" Target="https://cutt.ly/ayMSYhB" TargetMode="External"/><Relationship Id="rId16" Type="http://schemas.openxmlformats.org/officeDocument/2006/relationships/hyperlink" Target="https://twitter.com/CONAPO_mx/status/1269708202838380544" TargetMode="External"/><Relationship Id="rId1" Type="http://schemas.openxmlformats.org/officeDocument/2006/relationships/hyperlink" Target="https://cutt.ly/7yMSTay" TargetMode="External"/><Relationship Id="rId6" Type="http://schemas.openxmlformats.org/officeDocument/2006/relationships/hyperlink" Target="https://cutt.ly/3yMSOp4" TargetMode="External"/><Relationship Id="rId11" Type="http://schemas.openxmlformats.org/officeDocument/2006/relationships/hyperlink" Target="http://sipinna.cdmx.gob.mx/sipinna/_pages/que_es.php" TargetMode="External"/><Relationship Id="rId5" Type="http://schemas.openxmlformats.org/officeDocument/2006/relationships/hyperlink" Target="https://cutt.ly/lyMSII6" TargetMode="External"/><Relationship Id="rId15" Type="http://schemas.openxmlformats.org/officeDocument/2006/relationships/hyperlink" Target="https://twitter.com/CONAPO_mx/status/1270100825050939394" TargetMode="External"/><Relationship Id="rId10" Type="http://schemas.openxmlformats.org/officeDocument/2006/relationships/hyperlink" Target="https://www.dof.gob.mx/nota_detalle.php?codigo=5592067&amp;fecha=21/04/2020" TargetMode="External"/><Relationship Id="rId19" Type="http://schemas.openxmlformats.org/officeDocument/2006/relationships/hyperlink" Target="https://www.cndh.org.mx/sites/default/files/documentos/2020-01/COM-2019-017.pdf" TargetMode="External"/><Relationship Id="rId4" Type="http://schemas.openxmlformats.org/officeDocument/2006/relationships/hyperlink" Target="https://www.savethechildren.es/trabajo-ong/pobreza-infantil/pobreza-y-explotacion-infantil" TargetMode="External"/><Relationship Id="rId9" Type="http://schemas.openxmlformats.org/officeDocument/2006/relationships/hyperlink" Target="https://cutt.ly/OyMSktn" TargetMode="External"/><Relationship Id="rId14" Type="http://schemas.openxmlformats.org/officeDocument/2006/relationships/hyperlink" Target="https://twitter.com/SIPINNA_MX/status/127006071677142220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393985-9E69-487E-AED6-B608FB04AEBE}">
  <ds:schemaRefs>
    <ds:schemaRef ds:uri="http://schemas.openxmlformats.org/officeDocument/2006/bibliography"/>
  </ds:schemaRefs>
</ds:datastoreItem>
</file>

<file path=customXml/itemProps2.xml><?xml version="1.0" encoding="utf-8"?>
<ds:datastoreItem xmlns:ds="http://schemas.openxmlformats.org/officeDocument/2006/customXml" ds:itemID="{1A4EEE92-6990-44A7-8EAC-A603BF8063EB}"/>
</file>

<file path=customXml/itemProps3.xml><?xml version="1.0" encoding="utf-8"?>
<ds:datastoreItem xmlns:ds="http://schemas.openxmlformats.org/officeDocument/2006/customXml" ds:itemID="{B2FF8664-CA5C-44CE-B0B5-4974C0846BFC}"/>
</file>

<file path=customXml/itemProps4.xml><?xml version="1.0" encoding="utf-8"?>
<ds:datastoreItem xmlns:ds="http://schemas.openxmlformats.org/officeDocument/2006/customXml" ds:itemID="{23EC16D0-7BA6-44B6-9C84-619D057CD032}"/>
</file>

<file path=docProps/app.xml><?xml version="1.0" encoding="utf-8"?>
<Properties xmlns="http://schemas.openxmlformats.org/officeDocument/2006/extended-properties" xmlns:vt="http://schemas.openxmlformats.org/officeDocument/2006/docPropsVTypes">
  <Template>Normal.dotm</Template>
  <TotalTime>23</TotalTime>
  <Pages>12</Pages>
  <Words>5618</Words>
  <Characters>32025</Characters>
  <Application>Microsoft Office Word</Application>
  <DocSecurity>0</DocSecurity>
  <Lines>266</Lines>
  <Paragraphs>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Comisión Nacional de los Derechos Humanos México</Company>
  <LinksUpToDate>false</LinksUpToDate>
  <CharactersWithSpaces>37568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Otilia Gutierrez Alvarado</dc:creator>
  <cp:lastModifiedBy>WASYLEW Elena</cp:lastModifiedBy>
  <cp:revision>4</cp:revision>
  <cp:lastPrinted>2019-03-14T16:24:00Z</cp:lastPrinted>
  <dcterms:created xsi:type="dcterms:W3CDTF">2020-06-23T13:54:00Z</dcterms:created>
  <dcterms:modified xsi:type="dcterms:W3CDTF">2020-07-26T14:07:00Z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