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C1DDB" w:rsidR="00EE5D5A" w:rsidRDefault="00EE5D5A" w14:paraId="5E2C100E">
      <w:pPr>
        <w:spacing w:before="240" w:after="240"/>
        <w:rPr>
          <w:rFonts w:asciiTheme="majorHAnsi" w:hAnsiTheme="majorHAnsi"/>
          <w:b/>
          <w:color w:val="222222"/>
          <w:sz w:val="24"/>
          <w:szCs w:val="24"/>
          <w:highlight w:val="white"/>
        </w:rPr>
      </w:pPr>
    </w:p>
    <w:p w:rsidRPr="00CC1DDB" w:rsidR="00EE5D5A" w:rsidP="00EE5D5A" w:rsidRDefault="00EE5D5A" w14:paraId="2DA78B73">
      <w:pPr>
        <w:spacing w:before="240" w:after="240"/>
        <w:jc w:val="center"/>
        <w:rPr>
          <w:rFonts w:asciiTheme="majorHAnsi" w:hAnsiTheme="majorHAnsi"/>
          <w:b/>
          <w:color w:val="222222"/>
          <w:sz w:val="24"/>
          <w:szCs w:val="24"/>
          <w:highlight w:val="white"/>
        </w:rPr>
      </w:pPr>
      <w:r w:rsidRPr="00CC1DDB">
        <w:rPr>
          <w:rFonts w:asciiTheme="majorHAnsi" w:hAnsiTheme="majorHAnsi"/>
          <w:b/>
          <w:sz w:val="24"/>
          <w:szCs w:val="24"/>
        </w:rPr>
        <w:t>Cuestionario de la Relatora Especial de la ONU sobre la situación de los defensores de los derechos humanos</w:t>
      </w:r>
      <w:r w:rsidRPr="00CC1DDB" w:rsidR="00EE6314">
        <w:rPr>
          <w:rFonts w:asciiTheme="majorHAnsi" w:hAnsiTheme="majorHAnsi"/>
          <w:b/>
          <w:sz w:val="24"/>
          <w:szCs w:val="24"/>
        </w:rPr>
        <w:t>.</w:t>
      </w:r>
    </w:p>
    <w:p w:rsidRPr="00CC1DDB" w:rsidR="003C0D7E" w:rsidRDefault="005E1A82" w14:paraId="44F0FA3D" w14:noSpellErr="1" w14:textId="7D672EFD">
      <w:pPr>
        <w:spacing w:before="240" w:after="240"/>
        <w:rPr>
          <w:rFonts w:asciiTheme="majorHAnsi" w:hAnsiTheme="majorHAnsi"/>
          <w:color w:val="222222"/>
          <w:sz w:val="24"/>
          <w:szCs w:val="24"/>
          <w:highlight w:val="white"/>
        </w:rPr>
      </w:pPr>
      <w:r w:rsidRPr="00CC1DDB">
        <w:rPr>
          <w:rFonts w:asciiTheme="majorHAnsi" w:hAnsiTheme="majorHAnsi"/>
          <w:b/>
          <w:color w:val="222222"/>
          <w:sz w:val="24"/>
          <w:szCs w:val="24"/>
          <w:highlight w:val="white"/>
        </w:rPr>
        <w:t>Datos de contacto</w:t>
      </w:r>
      <w:r w:rsidRPr="7D672EFD" w:rsidR="00EE5D5A">
        <w:rPr>
          <w:rFonts w:ascii="Calibri" w:hAnsi="Calibri" w:eastAsia="Calibri" w:cs="Calibri" w:asciiTheme="majorAscii" w:hAnsiTheme="majorAscii" w:eastAsiaTheme="majorAscii" w:cstheme="majorAscii"/>
          <w:b w:val="1"/>
          <w:bCs w:val="1"/>
          <w:color w:val="222222"/>
          <w:sz w:val="24"/>
          <w:szCs w:val="24"/>
          <w:highlight w:val="white"/>
        </w:rPr>
        <w:t>:</w:t>
      </w:r>
      <w:r w:rsidRPr="7D672EFD" w:rsidR="7D672EFD">
        <w:rPr>
          <w:rFonts w:ascii="Calibri" w:hAnsi="Calibri" w:eastAsia="Calibri" w:cs="Calibri" w:asciiTheme="majorAscii" w:hAnsiTheme="majorAscii" w:eastAsiaTheme="majorAscii" w:cstheme="majorAscii"/>
          <w:b w:val="1"/>
          <w:bCs w:val="1"/>
          <w:color w:val="222222"/>
          <w:sz w:val="24"/>
          <w:szCs w:val="24"/>
          <w:highlight w:val="white"/>
        </w:rPr>
        <w:t xml:space="preserve"> </w:t>
      </w:r>
      <w:r w:rsidRPr="7D672EFD" w:rsidR="7D672EFD">
        <w:rPr>
          <w:rFonts w:ascii="Calibri" w:hAnsi="Calibri" w:eastAsia="Calibri" w:cs="Calibri" w:asciiTheme="majorAscii" w:hAnsiTheme="majorAscii" w:eastAsiaTheme="majorAscii" w:cstheme="majorAscii"/>
          <w:b w:val="0"/>
          <w:bCs w:val="0"/>
          <w:color w:val="FF0000"/>
          <w:sz w:val="24"/>
          <w:szCs w:val="24"/>
          <w:highlight w:val="white"/>
        </w:rPr>
        <w:t>(editado para su publicación</w:t>
      </w:r>
      <w:r w:rsidRPr="7D672EFD" w:rsidR="7D672EFD">
        <w:rPr>
          <w:rFonts w:ascii="Calibri" w:hAnsi="Calibri" w:eastAsia="Calibri" w:cs="Calibri" w:asciiTheme="majorAscii" w:hAnsiTheme="majorAscii" w:eastAsiaTheme="majorAscii" w:cstheme="majorAscii"/>
          <w:b w:val="0"/>
          <w:bCs w:val="0"/>
          <w:color w:val="FF0000"/>
          <w:sz w:val="24"/>
          <w:szCs w:val="24"/>
          <w:highlight w:val="white"/>
        </w:rPr>
        <w:t>)</w:t>
      </w:r>
    </w:p>
    <w:tbl>
      <w:tblPr>
        <w:tblStyle w:val="a"/>
        <w:tblW w:w="902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514"/>
        <w:gridCol w:w="4515"/>
      </w:tblGrid>
      <w:tr w:rsidRPr="00CC1DDB" w:rsidR="003C0D7E" w:rsidTr="7D672EFD" w14:paraId="04682AB6">
        <w:tc>
          <w:tcPr>
            <w:tcW w:w="4514" w:type="dxa"/>
            <w:shd w:val="clear" w:color="auto" w:fill="auto"/>
            <w:tcMar>
              <w:top w:w="100" w:type="dxa"/>
              <w:left w:w="100" w:type="dxa"/>
              <w:bottom w:w="100" w:type="dxa"/>
              <w:right w:w="100" w:type="dxa"/>
            </w:tcMar>
          </w:tcPr>
          <w:p w:rsidRPr="00CC1DDB" w:rsidR="003C0D7E" w:rsidRDefault="005E1A82" w14:paraId="5FE3420F">
            <w:pPr>
              <w:widowControl w:val="0"/>
              <w:pBdr>
                <w:top w:val="nil"/>
                <w:left w:val="nil"/>
                <w:bottom w:val="nil"/>
                <w:right w:val="nil"/>
                <w:between w:val="nil"/>
              </w:pBdr>
              <w:spacing w:line="240" w:lineRule="auto"/>
              <w:rPr>
                <w:rFonts w:asciiTheme="majorHAnsi" w:hAnsiTheme="majorHAnsi"/>
                <w:color w:val="222222"/>
                <w:sz w:val="24"/>
                <w:szCs w:val="24"/>
                <w:highlight w:val="white"/>
              </w:rPr>
            </w:pPr>
            <w:r w:rsidRPr="00CC1DDB">
              <w:rPr>
                <w:rFonts w:asciiTheme="majorHAnsi" w:hAnsiTheme="majorHAnsi"/>
                <w:color w:val="222222"/>
                <w:sz w:val="24"/>
                <w:szCs w:val="24"/>
                <w:highlight w:val="white"/>
              </w:rPr>
              <w:t>Tipo de actor:</w:t>
            </w:r>
          </w:p>
        </w:tc>
        <w:tc>
          <w:tcPr>
            <w:tcW w:w="4515" w:type="dxa"/>
            <w:shd w:val="clear" w:color="auto" w:fill="auto"/>
            <w:tcMar>
              <w:top w:w="100" w:type="dxa"/>
              <w:left w:w="100" w:type="dxa"/>
              <w:bottom w:w="100" w:type="dxa"/>
              <w:right w:w="100" w:type="dxa"/>
            </w:tcMar>
          </w:tcPr>
          <w:p w:rsidRPr="00CC1DDB" w:rsidR="003C0D7E" w:rsidRDefault="005E1A82" w14:paraId="1E88147A">
            <w:pPr>
              <w:widowControl w:val="0"/>
              <w:pBdr>
                <w:top w:val="nil"/>
                <w:left w:val="nil"/>
                <w:bottom w:val="nil"/>
                <w:right w:val="nil"/>
                <w:between w:val="nil"/>
              </w:pBdr>
              <w:spacing w:line="240" w:lineRule="auto"/>
              <w:rPr>
                <w:rFonts w:asciiTheme="majorHAnsi" w:hAnsiTheme="majorHAnsi"/>
                <w:color w:val="222222"/>
                <w:sz w:val="24"/>
                <w:szCs w:val="24"/>
                <w:highlight w:val="white"/>
              </w:rPr>
            </w:pPr>
            <w:r w:rsidRPr="00CC1DDB">
              <w:rPr>
                <w:rFonts w:asciiTheme="majorHAnsi" w:hAnsiTheme="majorHAnsi"/>
                <w:color w:val="222222"/>
                <w:sz w:val="24"/>
                <w:szCs w:val="24"/>
                <w:highlight w:val="white"/>
              </w:rPr>
              <w:t>Institución Nacional de Derechos Humanos (INDH)</w:t>
            </w:r>
          </w:p>
        </w:tc>
      </w:tr>
      <w:tr w:rsidRPr="00CC1DDB" w:rsidR="003C0D7E" w:rsidTr="7D672EFD" w14:paraId="7FE3FB9C">
        <w:tc>
          <w:tcPr>
            <w:tcW w:w="4514" w:type="dxa"/>
            <w:shd w:val="clear" w:color="auto" w:fill="auto"/>
            <w:tcMar>
              <w:top w:w="100" w:type="dxa"/>
              <w:left w:w="100" w:type="dxa"/>
              <w:bottom w:w="100" w:type="dxa"/>
              <w:right w:w="100" w:type="dxa"/>
            </w:tcMar>
          </w:tcPr>
          <w:p w:rsidRPr="00CC1DDB" w:rsidR="003C0D7E" w:rsidRDefault="005E1A82" w14:paraId="65D85A76">
            <w:pPr>
              <w:widowControl w:val="0"/>
              <w:pBdr>
                <w:top w:val="nil"/>
                <w:left w:val="nil"/>
                <w:bottom w:val="nil"/>
                <w:right w:val="nil"/>
                <w:between w:val="nil"/>
              </w:pBdr>
              <w:spacing w:line="240" w:lineRule="auto"/>
              <w:rPr>
                <w:rFonts w:asciiTheme="majorHAnsi" w:hAnsiTheme="majorHAnsi"/>
                <w:color w:val="222222"/>
                <w:sz w:val="24"/>
                <w:szCs w:val="24"/>
                <w:highlight w:val="white"/>
              </w:rPr>
            </w:pPr>
            <w:r w:rsidRPr="00CC1DDB">
              <w:rPr>
                <w:rFonts w:asciiTheme="majorHAnsi" w:hAnsiTheme="majorHAnsi"/>
                <w:color w:val="222222"/>
                <w:sz w:val="24"/>
                <w:szCs w:val="24"/>
                <w:highlight w:val="white"/>
              </w:rPr>
              <w:t>Nombre de la Institución:</w:t>
            </w:r>
          </w:p>
        </w:tc>
        <w:tc>
          <w:tcPr>
            <w:tcW w:w="4515" w:type="dxa"/>
            <w:shd w:val="clear" w:color="auto" w:fill="auto"/>
            <w:tcMar>
              <w:top w:w="100" w:type="dxa"/>
              <w:left w:w="100" w:type="dxa"/>
              <w:bottom w:w="100" w:type="dxa"/>
              <w:right w:w="100" w:type="dxa"/>
            </w:tcMar>
          </w:tcPr>
          <w:p w:rsidRPr="00CC1DDB" w:rsidR="003C0D7E" w:rsidRDefault="005E1A82" w14:paraId="347173ED">
            <w:pPr>
              <w:widowControl w:val="0"/>
              <w:pBdr>
                <w:top w:val="nil"/>
                <w:left w:val="nil"/>
                <w:bottom w:val="nil"/>
                <w:right w:val="nil"/>
                <w:between w:val="nil"/>
              </w:pBdr>
              <w:spacing w:line="240" w:lineRule="auto"/>
              <w:rPr>
                <w:rFonts w:asciiTheme="majorHAnsi" w:hAnsiTheme="majorHAnsi"/>
                <w:color w:val="222222"/>
                <w:sz w:val="24"/>
                <w:szCs w:val="24"/>
                <w:highlight w:val="white"/>
              </w:rPr>
            </w:pPr>
            <w:bookmarkStart w:name="_GoBack" w:id="0"/>
            <w:r w:rsidRPr="00CC1DDB">
              <w:rPr>
                <w:rFonts w:asciiTheme="majorHAnsi" w:hAnsiTheme="majorHAnsi"/>
                <w:color w:val="222222"/>
                <w:sz w:val="24"/>
                <w:szCs w:val="24"/>
                <w:highlight w:val="white"/>
              </w:rPr>
              <w:t>Comisión de Derechos Humanos de la Ciudad de México (CDHCM)</w:t>
            </w:r>
            <w:bookmarkEnd w:id="0"/>
          </w:p>
        </w:tc>
      </w:tr>
      <w:tr w:rsidRPr="00CC1DDB" w:rsidR="003C0D7E" w:rsidTr="7D672EFD" w14:paraId="42881138">
        <w:tc>
          <w:tcPr>
            <w:tcW w:w="4514" w:type="dxa"/>
            <w:shd w:val="clear" w:color="auto" w:fill="auto"/>
            <w:tcMar>
              <w:top w:w="100" w:type="dxa"/>
              <w:left w:w="100" w:type="dxa"/>
              <w:bottom w:w="100" w:type="dxa"/>
              <w:right w:w="100" w:type="dxa"/>
            </w:tcMar>
          </w:tcPr>
          <w:p w:rsidRPr="00CC1DDB" w:rsidR="003C0D7E" w:rsidRDefault="005E1A82" w14:paraId="1CFFD2B3">
            <w:pPr>
              <w:widowControl w:val="0"/>
              <w:pBdr>
                <w:top w:val="nil"/>
                <w:left w:val="nil"/>
                <w:bottom w:val="nil"/>
                <w:right w:val="nil"/>
                <w:between w:val="nil"/>
              </w:pBdr>
              <w:spacing w:line="240" w:lineRule="auto"/>
              <w:rPr>
                <w:rFonts w:asciiTheme="majorHAnsi" w:hAnsiTheme="majorHAnsi"/>
                <w:sz w:val="24"/>
                <w:szCs w:val="24"/>
                <w:highlight w:val="white"/>
              </w:rPr>
            </w:pPr>
            <w:r w:rsidRPr="00CC1DDB">
              <w:rPr>
                <w:rFonts w:asciiTheme="majorHAnsi" w:hAnsiTheme="majorHAnsi"/>
                <w:sz w:val="24"/>
                <w:szCs w:val="24"/>
                <w:highlight w:val="white"/>
              </w:rPr>
              <w:t>Correo electrónico:</w:t>
            </w:r>
          </w:p>
        </w:tc>
        <w:tc>
          <w:tcPr>
            <w:tcW w:w="4515" w:type="dxa"/>
            <w:shd w:val="clear" w:color="auto" w:fill="auto"/>
            <w:tcMar>
              <w:top w:w="100" w:type="dxa"/>
              <w:left w:w="100" w:type="dxa"/>
              <w:bottom w:w="100" w:type="dxa"/>
              <w:right w:w="100" w:type="dxa"/>
            </w:tcMar>
          </w:tcPr>
          <w:p w:rsidRPr="00CC1DDB" w:rsidR="003C0D7E" w:rsidRDefault="005E1A82" w14:paraId="07CAF0DE">
            <w:pPr>
              <w:widowControl w:val="0"/>
              <w:pBdr>
                <w:top w:val="nil"/>
                <w:left w:val="nil"/>
                <w:bottom w:val="nil"/>
                <w:right w:val="nil"/>
                <w:between w:val="nil"/>
              </w:pBdr>
              <w:spacing w:line="240" w:lineRule="auto"/>
              <w:rPr>
                <w:rFonts w:asciiTheme="majorHAnsi" w:hAnsiTheme="majorHAnsi"/>
                <w:sz w:val="24"/>
                <w:szCs w:val="24"/>
                <w:highlight w:val="white"/>
              </w:rPr>
            </w:pPr>
          </w:p>
        </w:tc>
      </w:tr>
      <w:tr w:rsidRPr="00CC1DDB" w:rsidR="003C0D7E" w:rsidTr="7D672EFD" w14:paraId="5151458E">
        <w:tc>
          <w:tcPr>
            <w:tcW w:w="4514" w:type="dxa"/>
            <w:shd w:val="clear" w:color="auto" w:fill="auto"/>
            <w:tcMar>
              <w:top w:w="100" w:type="dxa"/>
              <w:left w:w="100" w:type="dxa"/>
              <w:bottom w:w="100" w:type="dxa"/>
              <w:right w:w="100" w:type="dxa"/>
            </w:tcMar>
          </w:tcPr>
          <w:p w:rsidRPr="00CC1DDB" w:rsidR="003C0D7E" w:rsidRDefault="005E1A82" w14:paraId="1C0FE9D1">
            <w:pPr>
              <w:widowControl w:val="0"/>
              <w:pBdr>
                <w:top w:val="nil"/>
                <w:left w:val="nil"/>
                <w:bottom w:val="nil"/>
                <w:right w:val="nil"/>
                <w:between w:val="nil"/>
              </w:pBdr>
              <w:spacing w:line="240" w:lineRule="auto"/>
              <w:rPr>
                <w:rFonts w:asciiTheme="majorHAnsi" w:hAnsiTheme="majorHAnsi"/>
                <w:sz w:val="24"/>
                <w:szCs w:val="24"/>
                <w:highlight w:val="white"/>
              </w:rPr>
            </w:pPr>
            <w:r w:rsidRPr="00CC1DDB">
              <w:rPr>
                <w:rFonts w:asciiTheme="majorHAnsi" w:hAnsiTheme="majorHAnsi"/>
                <w:sz w:val="24"/>
                <w:szCs w:val="24"/>
                <w:highlight w:val="white"/>
              </w:rPr>
              <w:t>Teléfono:</w:t>
            </w:r>
          </w:p>
        </w:tc>
        <w:tc>
          <w:tcPr>
            <w:tcW w:w="4515" w:type="dxa"/>
            <w:shd w:val="clear" w:color="auto" w:fill="auto"/>
            <w:tcMar>
              <w:top w:w="100" w:type="dxa"/>
              <w:left w:w="100" w:type="dxa"/>
              <w:bottom w:w="100" w:type="dxa"/>
              <w:right w:w="100" w:type="dxa"/>
            </w:tcMar>
          </w:tcPr>
          <w:p w:rsidRPr="00CC1DDB" w:rsidR="003C0D7E" w:rsidRDefault="005E1A82" w14:paraId="7E4091FB">
            <w:pPr>
              <w:widowControl w:val="0"/>
              <w:pBdr>
                <w:top w:val="nil"/>
                <w:left w:val="nil"/>
                <w:bottom w:val="nil"/>
                <w:right w:val="nil"/>
                <w:between w:val="nil"/>
              </w:pBdr>
              <w:spacing w:line="240" w:lineRule="auto"/>
              <w:rPr>
                <w:rFonts w:asciiTheme="majorHAnsi" w:hAnsiTheme="majorHAnsi"/>
                <w:sz w:val="24"/>
                <w:szCs w:val="24"/>
                <w:highlight w:val="white"/>
              </w:rPr>
            </w:pPr>
          </w:p>
        </w:tc>
      </w:tr>
      <w:tr w:rsidRPr="00CC1DDB" w:rsidR="003C0D7E" w:rsidTr="7D672EFD" w14:paraId="11D0CFF0">
        <w:tc>
          <w:tcPr>
            <w:tcW w:w="4514" w:type="dxa"/>
            <w:shd w:val="clear" w:color="auto" w:fill="auto"/>
            <w:tcMar>
              <w:top w:w="100" w:type="dxa"/>
              <w:left w:w="100" w:type="dxa"/>
              <w:bottom w:w="100" w:type="dxa"/>
              <w:right w:w="100" w:type="dxa"/>
            </w:tcMar>
          </w:tcPr>
          <w:p w:rsidRPr="00CC1DDB" w:rsidR="003C0D7E" w:rsidRDefault="005E1A82" w14:paraId="4C631DC5">
            <w:pPr>
              <w:widowControl w:val="0"/>
              <w:pBdr>
                <w:top w:val="nil"/>
                <w:left w:val="nil"/>
                <w:bottom w:val="nil"/>
                <w:right w:val="nil"/>
                <w:between w:val="nil"/>
              </w:pBdr>
              <w:spacing w:line="240" w:lineRule="auto"/>
              <w:rPr>
                <w:rFonts w:asciiTheme="majorHAnsi" w:hAnsiTheme="majorHAnsi"/>
                <w:sz w:val="24"/>
                <w:szCs w:val="24"/>
                <w:highlight w:val="white"/>
              </w:rPr>
            </w:pPr>
            <w:r w:rsidRPr="00CC1DDB">
              <w:rPr>
                <w:rFonts w:asciiTheme="majorHAnsi" w:hAnsiTheme="majorHAnsi"/>
                <w:sz w:val="24"/>
                <w:szCs w:val="24"/>
                <w:highlight w:val="white"/>
              </w:rPr>
              <w:t>Dirección:</w:t>
            </w:r>
          </w:p>
        </w:tc>
        <w:tc>
          <w:tcPr>
            <w:tcW w:w="4515" w:type="dxa"/>
            <w:shd w:val="clear" w:color="auto" w:fill="auto"/>
            <w:tcMar>
              <w:top w:w="100" w:type="dxa"/>
              <w:left w:w="100" w:type="dxa"/>
              <w:bottom w:w="100" w:type="dxa"/>
              <w:right w:w="100" w:type="dxa"/>
            </w:tcMar>
          </w:tcPr>
          <w:p w:rsidRPr="00CC1DDB" w:rsidR="003C0D7E" w:rsidRDefault="005E1A82" w14:paraId="7F9188AD">
            <w:pPr>
              <w:widowControl w:val="0"/>
              <w:pBdr>
                <w:top w:val="nil"/>
                <w:left w:val="nil"/>
                <w:bottom w:val="nil"/>
                <w:right w:val="nil"/>
                <w:between w:val="nil"/>
              </w:pBdr>
              <w:spacing w:line="240" w:lineRule="auto"/>
              <w:rPr>
                <w:rFonts w:asciiTheme="majorHAnsi" w:hAnsiTheme="majorHAnsi"/>
                <w:sz w:val="24"/>
                <w:szCs w:val="24"/>
                <w:highlight w:val="white"/>
              </w:rPr>
            </w:pPr>
          </w:p>
        </w:tc>
      </w:tr>
      <w:tr w:rsidRPr="00CC1DDB" w:rsidR="003C0D7E" w:rsidTr="7D672EFD" w14:paraId="02EC13E1">
        <w:tc>
          <w:tcPr>
            <w:tcW w:w="4514" w:type="dxa"/>
            <w:shd w:val="clear" w:color="auto" w:fill="auto"/>
            <w:tcMar>
              <w:top w:w="100" w:type="dxa"/>
              <w:left w:w="100" w:type="dxa"/>
              <w:bottom w:w="100" w:type="dxa"/>
              <w:right w:w="100" w:type="dxa"/>
            </w:tcMar>
          </w:tcPr>
          <w:p w:rsidRPr="00CC1DDB" w:rsidR="003C0D7E" w:rsidRDefault="005E1A82" w14:paraId="593A3458">
            <w:pPr>
              <w:widowControl w:val="0"/>
              <w:pBdr>
                <w:top w:val="nil"/>
                <w:left w:val="nil"/>
                <w:bottom w:val="nil"/>
                <w:right w:val="nil"/>
                <w:between w:val="nil"/>
              </w:pBdr>
              <w:spacing w:line="240" w:lineRule="auto"/>
              <w:rPr>
                <w:rFonts w:asciiTheme="majorHAnsi" w:hAnsiTheme="majorHAnsi"/>
                <w:color w:val="222222"/>
                <w:sz w:val="24"/>
                <w:szCs w:val="24"/>
                <w:highlight w:val="white"/>
              </w:rPr>
            </w:pPr>
            <w:r w:rsidRPr="00CC1DDB">
              <w:rPr>
                <w:rFonts w:asciiTheme="majorHAnsi" w:hAnsiTheme="majorHAnsi"/>
                <w:color w:val="222222"/>
                <w:sz w:val="24"/>
                <w:szCs w:val="24"/>
                <w:highlight w:val="white"/>
              </w:rPr>
              <w:t xml:space="preserve">¿Podemos atribuir públicamente estas respuestas a su institución u organización? </w:t>
            </w:r>
          </w:p>
        </w:tc>
        <w:tc>
          <w:tcPr>
            <w:tcW w:w="4515" w:type="dxa"/>
            <w:shd w:val="clear" w:color="auto" w:fill="auto"/>
            <w:tcMar>
              <w:top w:w="100" w:type="dxa"/>
              <w:left w:w="100" w:type="dxa"/>
              <w:bottom w:w="100" w:type="dxa"/>
              <w:right w:w="100" w:type="dxa"/>
            </w:tcMar>
          </w:tcPr>
          <w:p w:rsidRPr="00CC1DDB" w:rsidR="003C0D7E" w:rsidRDefault="005E1A82" w14:paraId="1F077AED">
            <w:pPr>
              <w:widowControl w:val="0"/>
              <w:pBdr>
                <w:top w:val="nil"/>
                <w:left w:val="nil"/>
                <w:bottom w:val="nil"/>
                <w:right w:val="nil"/>
                <w:between w:val="nil"/>
              </w:pBdr>
              <w:spacing w:line="240" w:lineRule="auto"/>
              <w:rPr>
                <w:rFonts w:asciiTheme="majorHAnsi" w:hAnsiTheme="majorHAnsi"/>
                <w:color w:val="222222"/>
                <w:sz w:val="24"/>
                <w:szCs w:val="24"/>
                <w:highlight w:val="white"/>
              </w:rPr>
            </w:pPr>
            <w:r w:rsidRPr="00CC1DDB">
              <w:rPr>
                <w:rFonts w:asciiTheme="majorHAnsi" w:hAnsiTheme="majorHAnsi"/>
                <w:color w:val="222222"/>
                <w:sz w:val="24"/>
                <w:szCs w:val="24"/>
                <w:highlight w:val="white"/>
              </w:rPr>
              <w:t>Sí</w:t>
            </w:r>
          </w:p>
        </w:tc>
      </w:tr>
    </w:tbl>
    <w:p w:rsidRPr="00CC1DDB" w:rsidR="00EE6314" w:rsidP="00CC1DDB" w:rsidRDefault="006B4944" w14:paraId="6456E5D4">
      <w:pPr>
        <w:spacing w:before="240" w:after="240"/>
        <w:jc w:val="both"/>
        <w:rPr>
          <w:rFonts w:asciiTheme="majorHAnsi" w:hAnsiTheme="majorHAnsi"/>
          <w:color w:val="222222"/>
          <w:sz w:val="24"/>
          <w:szCs w:val="24"/>
          <w:highlight w:val="white"/>
        </w:rPr>
      </w:pPr>
      <w:r w:rsidRPr="00CC1DDB">
        <w:rPr>
          <w:rFonts w:asciiTheme="majorHAnsi" w:hAnsiTheme="majorHAnsi"/>
          <w:color w:val="222222"/>
          <w:sz w:val="24"/>
          <w:szCs w:val="24"/>
        </w:rPr>
        <w:t xml:space="preserve">Con motivo de la </w:t>
      </w:r>
      <w:r w:rsidRPr="00CC1DDB" w:rsidR="00CC1DDB">
        <w:rPr>
          <w:rFonts w:asciiTheme="majorHAnsi" w:hAnsiTheme="majorHAnsi"/>
          <w:color w:val="222222"/>
          <w:sz w:val="24"/>
          <w:szCs w:val="24"/>
        </w:rPr>
        <w:t xml:space="preserve">invitación </w:t>
      </w:r>
      <w:r w:rsidRPr="00CC1DDB">
        <w:rPr>
          <w:rFonts w:asciiTheme="majorHAnsi" w:hAnsiTheme="majorHAnsi"/>
          <w:color w:val="222222"/>
          <w:sz w:val="24"/>
          <w:szCs w:val="24"/>
        </w:rPr>
        <w:t>lanzada por</w:t>
      </w:r>
      <w:r w:rsidRPr="00CC1DDB" w:rsidR="00CC1DDB">
        <w:rPr>
          <w:rFonts w:asciiTheme="majorHAnsi" w:hAnsiTheme="majorHAnsi"/>
          <w:color w:val="222222"/>
          <w:sz w:val="24"/>
          <w:szCs w:val="24"/>
          <w:shd w:val="clear" w:color="auto" w:fill="FFFFFF"/>
        </w:rPr>
        <w:t xml:space="preserve">, la Relatora Especial sobre la situación de los defensores de derechos humanos de la ONU, Sra. Mary Lawlor, para responder el cuestionario que a continuación se refiere, sobre asesinatos de personas defensoras de derechos humanos; </w:t>
      </w:r>
      <w:r w:rsidRPr="00CC1DDB">
        <w:rPr>
          <w:rFonts w:asciiTheme="majorHAnsi" w:hAnsiTheme="majorHAnsi"/>
          <w:color w:val="222222"/>
          <w:sz w:val="24"/>
          <w:szCs w:val="24"/>
        </w:rPr>
        <w:t>esta CDHCM elaboró el documento que se adjunta a partir de la experiencia y labor que este Organismo Público Autónomo realiza en la Ciudad de México</w:t>
      </w:r>
      <w:r w:rsidRPr="00CC1DDB" w:rsidR="00CC1DDB">
        <w:rPr>
          <w:rFonts w:asciiTheme="majorHAnsi" w:hAnsiTheme="majorHAnsi"/>
          <w:color w:val="222222"/>
          <w:sz w:val="24"/>
          <w:szCs w:val="24"/>
        </w:rPr>
        <w:t xml:space="preserve"> para su conocimiento. </w:t>
      </w:r>
    </w:p>
    <w:p w:rsidRPr="00CC1DDB" w:rsidR="003C0D7E" w:rsidP="008B2D07" w:rsidRDefault="005E1A82" w14:paraId="77C7BB56">
      <w:pPr>
        <w:spacing w:before="240" w:after="240"/>
        <w:jc w:val="both"/>
        <w:rPr>
          <w:rFonts w:asciiTheme="majorHAnsi" w:hAnsiTheme="majorHAnsi"/>
          <w:b/>
          <w:color w:val="222222"/>
          <w:sz w:val="24"/>
          <w:szCs w:val="24"/>
        </w:rPr>
      </w:pPr>
      <w:r w:rsidRPr="00CC1DDB">
        <w:rPr>
          <w:rFonts w:asciiTheme="majorHAnsi" w:hAnsiTheme="majorHAnsi"/>
          <w:b/>
          <w:color w:val="222222"/>
          <w:sz w:val="24"/>
          <w:szCs w:val="24"/>
        </w:rPr>
        <w:lastRenderedPageBreak/>
        <w:t>1) ¿Acepta su Institución el derecho legítimo a defender los derechos humanos y si un defensor o defensora es asesinado en el desempeño de su labor, lo condena públicamente?</w:t>
      </w:r>
    </w:p>
    <w:p w:rsidRPr="00CC1DDB" w:rsidR="00242DA0" w:rsidP="00242DA0" w:rsidRDefault="005E1A82" w14:paraId="20DF928A">
      <w:pPr>
        <w:jc w:val="both"/>
        <w:rPr>
          <w:rFonts w:asciiTheme="majorHAnsi" w:hAnsiTheme="majorHAnsi"/>
          <w:sz w:val="24"/>
          <w:szCs w:val="24"/>
        </w:rPr>
      </w:pPr>
      <w:r w:rsidRPr="00CC1DDB">
        <w:rPr>
          <w:rFonts w:asciiTheme="majorHAnsi" w:hAnsiTheme="majorHAnsi"/>
          <w:color w:val="222222"/>
          <w:sz w:val="24"/>
          <w:szCs w:val="24"/>
          <w:highlight w:val="white"/>
        </w:rPr>
        <w:t xml:space="preserve">Sí, desde el año 2009 la Comisión de Derechos Humanos de la Ciudad de México (CDHCM) contempla dentro </w:t>
      </w:r>
      <w:r w:rsidRPr="00CC1DDB" w:rsidR="005659EE">
        <w:rPr>
          <w:rFonts w:asciiTheme="majorHAnsi" w:hAnsiTheme="majorHAnsi"/>
          <w:color w:val="222222"/>
          <w:sz w:val="24"/>
          <w:szCs w:val="24"/>
          <w:highlight w:val="white"/>
        </w:rPr>
        <w:t>del catálogo derecho</w:t>
      </w:r>
      <w:r w:rsidRPr="00CC1DDB">
        <w:rPr>
          <w:rFonts w:asciiTheme="majorHAnsi" w:hAnsiTheme="majorHAnsi"/>
          <w:color w:val="222222"/>
          <w:sz w:val="24"/>
          <w:szCs w:val="24"/>
          <w:highlight w:val="white"/>
        </w:rPr>
        <w:t xml:space="preserve"> humanos, el derecho </w:t>
      </w:r>
      <w:r w:rsidR="005659EE">
        <w:rPr>
          <w:rFonts w:asciiTheme="majorHAnsi" w:hAnsiTheme="majorHAnsi"/>
          <w:color w:val="222222"/>
          <w:sz w:val="24"/>
          <w:szCs w:val="24"/>
          <w:highlight w:val="white"/>
        </w:rPr>
        <w:t>a defender los derechos humanos. Además dicho derecho</w:t>
      </w:r>
      <w:r w:rsidRPr="00CC1DDB" w:rsidR="00242DA0">
        <w:rPr>
          <w:rFonts w:asciiTheme="majorHAnsi" w:hAnsiTheme="majorHAnsi"/>
          <w:color w:val="222222"/>
          <w:sz w:val="24"/>
          <w:szCs w:val="24"/>
          <w:highlight w:val="white"/>
        </w:rPr>
        <w:t xml:space="preserve"> se encuentra reconocido en la Constitución Política de la Ciudad de México </w:t>
      </w:r>
      <w:r w:rsidRPr="00CC1DDB" w:rsidR="00242DA0">
        <w:rPr>
          <w:rFonts w:asciiTheme="majorHAnsi" w:hAnsiTheme="majorHAnsi"/>
          <w:sz w:val="24"/>
          <w:szCs w:val="24"/>
        </w:rPr>
        <w:t xml:space="preserve">el </w:t>
      </w:r>
      <w:r w:rsidR="0011200F">
        <w:rPr>
          <w:rFonts w:asciiTheme="majorHAnsi" w:hAnsiTheme="majorHAnsi"/>
          <w:sz w:val="24"/>
          <w:szCs w:val="24"/>
        </w:rPr>
        <w:t>en el artículo 6° apartado G.</w:t>
      </w:r>
    </w:p>
    <w:p w:rsidRPr="00CC1DDB" w:rsidR="00EE5D5A" w:rsidP="008B2D07" w:rsidRDefault="00242DA0" w14:paraId="4D026FA6">
      <w:pPr>
        <w:spacing w:before="240" w:after="240"/>
        <w:jc w:val="both"/>
        <w:rPr>
          <w:rFonts w:asciiTheme="majorHAnsi" w:hAnsiTheme="majorHAnsi"/>
          <w:color w:val="222222"/>
          <w:sz w:val="24"/>
          <w:szCs w:val="24"/>
          <w:highlight w:val="white"/>
        </w:rPr>
      </w:pPr>
      <w:r w:rsidRPr="00CC1DDB">
        <w:rPr>
          <w:rFonts w:asciiTheme="majorHAnsi" w:hAnsiTheme="majorHAnsi"/>
          <w:color w:val="222222"/>
          <w:sz w:val="24"/>
          <w:szCs w:val="24"/>
          <w:highlight w:val="white"/>
        </w:rPr>
        <w:t>A partir de la competencia de este Organismo, se pueden investigar violaciones al derecho a defender los derechos  humanos por las siguientes acciones u omisiones de la autoridad:</w:t>
      </w:r>
      <w:r w:rsidRPr="00CC1DDB" w:rsidR="005E1A82">
        <w:rPr>
          <w:rFonts w:asciiTheme="majorHAnsi" w:hAnsiTheme="majorHAnsi"/>
          <w:color w:val="222222"/>
          <w:sz w:val="24"/>
          <w:szCs w:val="24"/>
          <w:highlight w:val="white"/>
        </w:rPr>
        <w:t xml:space="preserve"> </w:t>
      </w:r>
    </w:p>
    <w:p w:rsidRPr="00CC1DDB" w:rsidR="003C0D7E" w:rsidP="008B2D07" w:rsidRDefault="005E1A82" w14:paraId="7B15A50E">
      <w:pPr>
        <w:pStyle w:val="ListParagraph"/>
        <w:numPr>
          <w:ilvl w:val="0"/>
          <w:numId w:val="1"/>
        </w:numPr>
        <w:spacing w:before="240"/>
        <w:jc w:val="both"/>
        <w:rPr>
          <w:rFonts w:asciiTheme="majorHAnsi" w:hAnsiTheme="majorHAnsi"/>
          <w:color w:val="222222"/>
          <w:sz w:val="24"/>
          <w:szCs w:val="24"/>
          <w:highlight w:val="white"/>
        </w:rPr>
      </w:pPr>
      <w:r w:rsidRPr="00CC1DDB">
        <w:rPr>
          <w:rFonts w:asciiTheme="majorHAnsi" w:hAnsiTheme="majorHAnsi"/>
          <w:color w:val="222222"/>
          <w:sz w:val="24"/>
          <w:szCs w:val="24"/>
          <w:highlight w:val="white"/>
        </w:rPr>
        <w:t>Obstaculización a la realización de las labores de defensa de los derechos humanos, e investigación y documentación de violaciones a éstos;</w:t>
      </w:r>
    </w:p>
    <w:p w:rsidR="00CC1DDB" w:rsidP="00CC1DDB" w:rsidRDefault="00CC1DDB" w14:paraId="4FE8921F">
      <w:pPr>
        <w:ind w:left="720"/>
        <w:jc w:val="both"/>
        <w:rPr>
          <w:rFonts w:asciiTheme="majorHAnsi" w:hAnsiTheme="majorHAnsi"/>
          <w:color w:val="222222"/>
          <w:sz w:val="24"/>
          <w:szCs w:val="24"/>
          <w:highlight w:val="white"/>
        </w:rPr>
      </w:pPr>
    </w:p>
    <w:p w:rsidR="00CC1DDB" w:rsidP="00CC1DDB" w:rsidRDefault="00CC1DDB" w14:paraId="5604BD1A">
      <w:pPr>
        <w:ind w:left="720"/>
        <w:jc w:val="both"/>
        <w:rPr>
          <w:rFonts w:asciiTheme="majorHAnsi" w:hAnsiTheme="majorHAnsi"/>
          <w:color w:val="222222"/>
          <w:sz w:val="24"/>
          <w:szCs w:val="24"/>
          <w:highlight w:val="white"/>
        </w:rPr>
      </w:pPr>
    </w:p>
    <w:p w:rsidRPr="00CC1DDB" w:rsidR="003C0D7E" w:rsidP="008B2D07" w:rsidRDefault="005E1A82" w14:paraId="4B2FAD47">
      <w:pPr>
        <w:numPr>
          <w:ilvl w:val="0"/>
          <w:numId w:val="1"/>
        </w:numPr>
        <w:jc w:val="both"/>
        <w:rPr>
          <w:rFonts w:asciiTheme="majorHAnsi" w:hAnsiTheme="majorHAnsi"/>
          <w:color w:val="222222"/>
          <w:sz w:val="24"/>
          <w:szCs w:val="24"/>
          <w:highlight w:val="white"/>
        </w:rPr>
      </w:pPr>
      <w:r w:rsidRPr="00CC1DDB">
        <w:rPr>
          <w:rFonts w:asciiTheme="majorHAnsi" w:hAnsiTheme="majorHAnsi"/>
          <w:color w:val="222222"/>
          <w:sz w:val="24"/>
          <w:szCs w:val="24"/>
          <w:highlight w:val="white"/>
        </w:rPr>
        <w:t>Amenazas, situaciones de riesgo, represión u otras formas de amedrentamiento;</w:t>
      </w:r>
    </w:p>
    <w:p w:rsidRPr="00CC1DDB" w:rsidR="003C0D7E" w:rsidP="008B2D07" w:rsidRDefault="005E1A82" w14:paraId="7168EBA1">
      <w:pPr>
        <w:numPr>
          <w:ilvl w:val="0"/>
          <w:numId w:val="1"/>
        </w:numPr>
        <w:jc w:val="both"/>
        <w:rPr>
          <w:rFonts w:asciiTheme="majorHAnsi" w:hAnsiTheme="majorHAnsi"/>
          <w:color w:val="222222"/>
          <w:sz w:val="24"/>
          <w:szCs w:val="24"/>
          <w:highlight w:val="white"/>
        </w:rPr>
      </w:pPr>
      <w:r w:rsidRPr="00CC1DDB">
        <w:rPr>
          <w:rFonts w:asciiTheme="majorHAnsi" w:hAnsiTheme="majorHAnsi"/>
          <w:color w:val="222222"/>
          <w:sz w:val="24"/>
          <w:szCs w:val="24"/>
          <w:highlight w:val="white"/>
        </w:rPr>
        <w:t>La negativa, restricción, impedimento o injerencia arbitraria para impedir la labor de defensa de los derechos humanos;</w:t>
      </w:r>
    </w:p>
    <w:p w:rsidRPr="00CC1DDB" w:rsidR="003C0D7E" w:rsidP="008B2D07" w:rsidRDefault="005E1A82" w14:paraId="11FD62B6">
      <w:pPr>
        <w:numPr>
          <w:ilvl w:val="0"/>
          <w:numId w:val="1"/>
        </w:numPr>
        <w:jc w:val="both"/>
        <w:rPr>
          <w:rFonts w:asciiTheme="majorHAnsi" w:hAnsiTheme="majorHAnsi"/>
          <w:color w:val="222222"/>
          <w:sz w:val="24"/>
          <w:szCs w:val="24"/>
          <w:highlight w:val="white"/>
        </w:rPr>
      </w:pPr>
      <w:r w:rsidRPr="00CC1DDB">
        <w:rPr>
          <w:rFonts w:asciiTheme="majorHAnsi" w:hAnsiTheme="majorHAnsi"/>
          <w:color w:val="222222"/>
          <w:sz w:val="24"/>
          <w:szCs w:val="24"/>
          <w:highlight w:val="white"/>
        </w:rPr>
        <w:t>Negativa, restricción u obstaculización para llevar a cabo acciones encaminadas a la educación en materia de derechos humanos, y;</w:t>
      </w:r>
    </w:p>
    <w:p w:rsidRPr="00CC1DDB" w:rsidR="003C0D7E" w:rsidP="008B2D07" w:rsidRDefault="005E1A82" w14:paraId="2BB38E86">
      <w:pPr>
        <w:numPr>
          <w:ilvl w:val="0"/>
          <w:numId w:val="1"/>
        </w:numPr>
        <w:spacing w:after="240"/>
        <w:jc w:val="both"/>
        <w:rPr>
          <w:rFonts w:asciiTheme="majorHAnsi" w:hAnsiTheme="majorHAnsi"/>
          <w:color w:val="222222"/>
          <w:sz w:val="24"/>
          <w:szCs w:val="24"/>
          <w:highlight w:val="white"/>
        </w:rPr>
      </w:pPr>
      <w:r w:rsidRPr="00CC1DDB">
        <w:rPr>
          <w:rFonts w:asciiTheme="majorHAnsi" w:hAnsiTheme="majorHAnsi"/>
          <w:color w:val="222222"/>
          <w:sz w:val="24"/>
          <w:szCs w:val="24"/>
          <w:highlight w:val="white"/>
        </w:rPr>
        <w:t xml:space="preserve">La omisión de proteger frente amenazas, situaciones de riesgo u otras formas de amedrentamiento con motivo de la labor de defensa de los derechos humanos.  </w:t>
      </w:r>
    </w:p>
    <w:p w:rsidRPr="00CC1DDB" w:rsidR="003C0D7E" w:rsidP="008B2D07" w:rsidRDefault="005E1A82" w14:paraId="02312560">
      <w:pPr>
        <w:spacing w:before="240" w:after="240"/>
        <w:jc w:val="both"/>
        <w:rPr>
          <w:rFonts w:asciiTheme="majorHAnsi" w:hAnsiTheme="majorHAnsi"/>
          <w:color w:val="222222"/>
          <w:sz w:val="24"/>
          <w:szCs w:val="24"/>
        </w:rPr>
      </w:pPr>
      <w:r w:rsidRPr="00CC1DDB">
        <w:rPr>
          <w:rFonts w:asciiTheme="majorHAnsi" w:hAnsiTheme="majorHAnsi"/>
          <w:color w:val="222222"/>
          <w:sz w:val="24"/>
          <w:szCs w:val="24"/>
        </w:rPr>
        <w:lastRenderedPageBreak/>
        <w:t xml:space="preserve">En ese sentido ha condenado públicamente el asesinato de personas defensoras y/o periodistas en el país, tal como se desprende de los </w:t>
      </w:r>
      <w:r w:rsidRPr="00CC1DDB" w:rsidR="00EE5D5A">
        <w:rPr>
          <w:rFonts w:asciiTheme="majorHAnsi" w:hAnsiTheme="majorHAnsi"/>
          <w:color w:val="222222"/>
          <w:sz w:val="24"/>
          <w:szCs w:val="24"/>
        </w:rPr>
        <w:t>boletines</w:t>
      </w:r>
      <w:r w:rsidRPr="00CC1DDB">
        <w:rPr>
          <w:rFonts w:asciiTheme="majorHAnsi" w:hAnsiTheme="majorHAnsi"/>
          <w:color w:val="222222"/>
          <w:sz w:val="24"/>
          <w:szCs w:val="24"/>
          <w:vertAlign w:val="superscript"/>
        </w:rPr>
        <w:footnoteReference w:id="1"/>
      </w:r>
      <w:r w:rsidRPr="00CC1DDB">
        <w:rPr>
          <w:rFonts w:asciiTheme="majorHAnsi" w:hAnsiTheme="majorHAnsi"/>
          <w:color w:val="222222"/>
          <w:sz w:val="24"/>
          <w:szCs w:val="24"/>
        </w:rPr>
        <w:t xml:space="preserve"> emitidos por esta</w:t>
      </w:r>
      <w:r w:rsidRPr="00CC1DDB" w:rsidR="007652D9">
        <w:rPr>
          <w:rFonts w:asciiTheme="majorHAnsi" w:hAnsiTheme="majorHAnsi"/>
          <w:color w:val="222222"/>
          <w:sz w:val="24"/>
          <w:szCs w:val="24"/>
        </w:rPr>
        <w:t xml:space="preserve"> Institución</w:t>
      </w:r>
      <w:r w:rsidRPr="00CC1DDB">
        <w:rPr>
          <w:rFonts w:asciiTheme="majorHAnsi" w:hAnsiTheme="majorHAnsi"/>
          <w:color w:val="222222"/>
          <w:sz w:val="24"/>
          <w:szCs w:val="24"/>
        </w:rPr>
        <w:t xml:space="preserve">, así como con la emisión de la recomendación </w:t>
      </w:r>
      <w:r w:rsidRPr="00CC1DDB">
        <w:rPr>
          <w:rFonts w:asciiTheme="majorHAnsi" w:hAnsiTheme="majorHAnsi"/>
          <w:color w:val="333333"/>
          <w:sz w:val="24"/>
          <w:szCs w:val="24"/>
        </w:rPr>
        <w:t>04/2017</w:t>
      </w:r>
      <w:r w:rsidRPr="00CC1DDB">
        <w:rPr>
          <w:rFonts w:asciiTheme="majorHAnsi" w:hAnsiTheme="majorHAnsi"/>
          <w:color w:val="333333"/>
          <w:sz w:val="24"/>
          <w:szCs w:val="24"/>
          <w:vertAlign w:val="superscript"/>
        </w:rPr>
        <w:footnoteReference w:id="2"/>
      </w:r>
      <w:r w:rsidRPr="00CC1DDB" w:rsidR="00992A31">
        <w:rPr>
          <w:rFonts w:asciiTheme="majorHAnsi" w:hAnsiTheme="majorHAnsi"/>
          <w:color w:val="333333"/>
          <w:sz w:val="24"/>
          <w:szCs w:val="24"/>
        </w:rPr>
        <w:t>,</w:t>
      </w:r>
      <w:r w:rsidRPr="00CC1DDB" w:rsidR="00992A31">
        <w:rPr>
          <w:rFonts w:asciiTheme="majorHAnsi" w:hAnsiTheme="majorHAnsi"/>
          <w:color w:val="222222"/>
          <w:sz w:val="24"/>
          <w:szCs w:val="24"/>
        </w:rPr>
        <w:t xml:space="preserve"> dirigida</w:t>
      </w:r>
      <w:r w:rsidRPr="00CC1DDB">
        <w:rPr>
          <w:rFonts w:asciiTheme="majorHAnsi" w:hAnsiTheme="majorHAnsi"/>
          <w:color w:val="222222"/>
          <w:sz w:val="24"/>
          <w:szCs w:val="24"/>
        </w:rPr>
        <w:t xml:space="preserve"> a la ahora Fiscalía General de Justicia de la Ciudad de México, y el Tribunal Superior de Justicia de la Ciudad de México</w:t>
      </w:r>
      <w:r w:rsidRPr="00CC1DDB" w:rsidR="007652D9">
        <w:rPr>
          <w:rFonts w:asciiTheme="majorHAnsi" w:hAnsiTheme="majorHAnsi"/>
          <w:color w:val="222222"/>
          <w:sz w:val="24"/>
          <w:szCs w:val="24"/>
        </w:rPr>
        <w:t>, como autoridades responsables</w:t>
      </w:r>
      <w:r w:rsidRPr="00CC1DDB">
        <w:rPr>
          <w:rFonts w:asciiTheme="majorHAnsi" w:hAnsiTheme="majorHAnsi"/>
          <w:color w:val="222222"/>
          <w:sz w:val="24"/>
          <w:szCs w:val="24"/>
        </w:rPr>
        <w:t>.</w:t>
      </w:r>
    </w:p>
    <w:p w:rsidRPr="00CC1DDB" w:rsidR="003C0D7E" w:rsidP="008B2D07" w:rsidRDefault="005E1A82" w14:paraId="20569629">
      <w:pPr>
        <w:spacing w:before="240" w:after="240"/>
        <w:jc w:val="both"/>
        <w:rPr>
          <w:rFonts w:asciiTheme="majorHAnsi" w:hAnsiTheme="majorHAnsi"/>
          <w:b/>
          <w:color w:val="222222"/>
          <w:sz w:val="24"/>
          <w:szCs w:val="24"/>
        </w:rPr>
      </w:pPr>
      <w:r w:rsidRPr="00CC1DDB">
        <w:rPr>
          <w:rFonts w:asciiTheme="majorHAnsi" w:hAnsiTheme="majorHAnsi"/>
          <w:b/>
          <w:color w:val="222222"/>
          <w:sz w:val="24"/>
          <w:szCs w:val="24"/>
        </w:rPr>
        <w:t>2) ¿Ha habido algún caso de personas defensoras de los derechos humanos asesinadas en su país desde el 1 de enero de 2019 hasta el 30 de junio de 2020?</w:t>
      </w:r>
    </w:p>
    <w:p w:rsidRPr="00CC1DDB" w:rsidR="003C0D7E" w:rsidP="008B2D07" w:rsidRDefault="005E1A82" w14:paraId="19D90E5C">
      <w:pPr>
        <w:spacing w:before="240" w:after="240"/>
        <w:jc w:val="both"/>
        <w:rPr>
          <w:rFonts w:asciiTheme="majorHAnsi" w:hAnsiTheme="majorHAnsi"/>
          <w:sz w:val="24"/>
          <w:szCs w:val="24"/>
        </w:rPr>
      </w:pPr>
      <w:r w:rsidRPr="00CC1DDB">
        <w:rPr>
          <w:rFonts w:asciiTheme="majorHAnsi" w:hAnsiTheme="majorHAnsi"/>
          <w:sz w:val="24"/>
          <w:szCs w:val="24"/>
        </w:rPr>
        <w:t xml:space="preserve">De acuerdo con el </w:t>
      </w:r>
      <w:r w:rsidRPr="00CC1DDB">
        <w:rPr>
          <w:rFonts w:asciiTheme="majorHAnsi" w:hAnsiTheme="majorHAnsi"/>
          <w:i/>
          <w:sz w:val="24"/>
          <w:szCs w:val="24"/>
        </w:rPr>
        <w:t>Informe de la Situación de personas defensoras de derechos humanos y periodistas 2019, solo en</w:t>
      </w:r>
      <w:r w:rsidRPr="00CC1DDB">
        <w:rPr>
          <w:rFonts w:asciiTheme="majorHAnsi" w:hAnsiTheme="majorHAnsi"/>
          <w:sz w:val="24"/>
          <w:szCs w:val="24"/>
        </w:rPr>
        <w:t xml:space="preserve"> el año 2019, hubo 32 asesinatos a personas defensoras de derechos humanos, siendo el estado de Guerrero la entidad federativa con mayor índice de muertes, superando el 30% de los asesinatos a personas defensoras de todo el País.</w:t>
      </w:r>
    </w:p>
    <w:p w:rsidRPr="00CC1DDB" w:rsidR="003C0D7E" w:rsidP="008B2D07" w:rsidRDefault="005E1A82" w14:paraId="180FAB6D">
      <w:pPr>
        <w:jc w:val="both"/>
        <w:rPr>
          <w:rFonts w:asciiTheme="majorHAnsi" w:hAnsiTheme="majorHAnsi"/>
          <w:sz w:val="24"/>
          <w:szCs w:val="24"/>
        </w:rPr>
      </w:pPr>
      <w:r w:rsidRPr="00CC1DDB">
        <w:rPr>
          <w:rFonts w:asciiTheme="majorHAnsi" w:hAnsiTheme="majorHAnsi"/>
          <w:sz w:val="24"/>
          <w:szCs w:val="24"/>
        </w:rPr>
        <w:t>Asimismo, en ese mismo informe, se reporta en 2019, 17 asesinatos a personas defensoras o periodistas, donde de igual forma, el Estado de Guerrero encabeza la lista, alcanzado casi el 20% del total de estas muertes en México.</w:t>
      </w:r>
    </w:p>
    <w:p w:rsidRPr="00CC1DDB" w:rsidR="003C0D7E" w:rsidP="008B2D07" w:rsidRDefault="003C0D7E" w14:paraId="294866C7">
      <w:pPr>
        <w:jc w:val="both"/>
        <w:rPr>
          <w:rFonts w:asciiTheme="majorHAnsi" w:hAnsiTheme="majorHAnsi"/>
          <w:sz w:val="24"/>
          <w:szCs w:val="24"/>
        </w:rPr>
      </w:pPr>
    </w:p>
    <w:p w:rsidRPr="00CC1DDB" w:rsidR="003C0D7E" w:rsidP="008B2D07" w:rsidRDefault="005E1A82" w14:paraId="64E33B2F">
      <w:pPr>
        <w:jc w:val="both"/>
        <w:rPr>
          <w:rFonts w:asciiTheme="majorHAnsi" w:hAnsiTheme="majorHAnsi"/>
          <w:b/>
          <w:color w:val="222222"/>
          <w:sz w:val="24"/>
          <w:szCs w:val="24"/>
        </w:rPr>
      </w:pPr>
      <w:r w:rsidRPr="00CC1DDB">
        <w:rPr>
          <w:rFonts w:asciiTheme="majorHAnsi" w:hAnsiTheme="majorHAnsi"/>
          <w:sz w:val="24"/>
          <w:szCs w:val="24"/>
        </w:rPr>
        <w:lastRenderedPageBreak/>
        <w:t>Por su parte, la Organización de la Sociedad Civil, “Centro Mexicano</w:t>
      </w:r>
      <w:r w:rsidR="0011200F">
        <w:rPr>
          <w:rFonts w:asciiTheme="majorHAnsi" w:hAnsiTheme="majorHAnsi"/>
          <w:sz w:val="24"/>
          <w:szCs w:val="24"/>
        </w:rPr>
        <w:t xml:space="preserve"> de Derecho Ambiental” documentó</w:t>
      </w:r>
      <w:r w:rsidRPr="00CC1DDB">
        <w:rPr>
          <w:rFonts w:asciiTheme="majorHAnsi" w:hAnsiTheme="majorHAnsi"/>
          <w:sz w:val="24"/>
          <w:szCs w:val="24"/>
        </w:rPr>
        <w:t xml:space="preserve"> </w:t>
      </w:r>
      <w:r w:rsidRPr="00CC1DDB" w:rsidR="00EE5D5A">
        <w:rPr>
          <w:rFonts w:asciiTheme="majorHAnsi" w:hAnsiTheme="majorHAnsi"/>
          <w:sz w:val="24"/>
          <w:szCs w:val="24"/>
        </w:rPr>
        <w:t>que,</w:t>
      </w:r>
      <w:r w:rsidRPr="00CC1DDB">
        <w:rPr>
          <w:rFonts w:asciiTheme="majorHAnsi" w:hAnsiTheme="majorHAnsi"/>
          <w:sz w:val="24"/>
          <w:szCs w:val="24"/>
        </w:rPr>
        <w:t xml:space="preserve"> en el año 2010, 15 personas defensoras ambientales habían sido asesinadas y una había sido víctima de intento de homicidio</w:t>
      </w:r>
      <w:r w:rsidRPr="00CC1DDB">
        <w:rPr>
          <w:rFonts w:asciiTheme="majorHAnsi" w:hAnsiTheme="majorHAnsi"/>
          <w:sz w:val="24"/>
          <w:szCs w:val="24"/>
          <w:vertAlign w:val="superscript"/>
        </w:rPr>
        <w:footnoteReference w:id="3"/>
      </w:r>
      <w:r w:rsidRPr="00CC1DDB">
        <w:rPr>
          <w:rFonts w:asciiTheme="majorHAnsi" w:hAnsiTheme="majorHAnsi"/>
          <w:sz w:val="24"/>
          <w:szCs w:val="24"/>
        </w:rPr>
        <w:t>.</w:t>
      </w:r>
    </w:p>
    <w:p w:rsidRPr="00CC1DDB" w:rsidR="003C0D7E" w:rsidP="008B2D07" w:rsidRDefault="003C0D7E" w14:paraId="613415E0">
      <w:pPr>
        <w:jc w:val="both"/>
        <w:rPr>
          <w:rFonts w:asciiTheme="majorHAnsi" w:hAnsiTheme="majorHAnsi"/>
          <w:sz w:val="24"/>
          <w:szCs w:val="24"/>
        </w:rPr>
      </w:pPr>
    </w:p>
    <w:p w:rsidR="00CC1DDB" w:rsidP="008B2D07" w:rsidRDefault="005E1A82" w14:paraId="2D65CE92">
      <w:pPr>
        <w:jc w:val="both"/>
        <w:rPr>
          <w:rFonts w:asciiTheme="majorHAnsi" w:hAnsiTheme="majorHAnsi"/>
          <w:sz w:val="24"/>
          <w:szCs w:val="24"/>
        </w:rPr>
      </w:pPr>
      <w:r w:rsidRPr="00CC1DDB">
        <w:rPr>
          <w:rFonts w:asciiTheme="majorHAnsi" w:hAnsiTheme="majorHAnsi"/>
          <w:sz w:val="24"/>
          <w:szCs w:val="24"/>
        </w:rPr>
        <w:t>México ocupó en 201</w:t>
      </w:r>
      <w:r w:rsidRPr="00CC1DDB" w:rsidR="00992A31">
        <w:rPr>
          <w:rFonts w:asciiTheme="majorHAnsi" w:hAnsiTheme="majorHAnsi"/>
          <w:sz w:val="24"/>
          <w:szCs w:val="24"/>
        </w:rPr>
        <w:t xml:space="preserve">9, el cuarto lugar </w:t>
      </w:r>
      <w:r w:rsidRPr="00CC1DDB">
        <w:rPr>
          <w:rFonts w:asciiTheme="majorHAnsi" w:hAnsiTheme="majorHAnsi"/>
          <w:sz w:val="24"/>
          <w:szCs w:val="24"/>
        </w:rPr>
        <w:t xml:space="preserve">en asesinatos de personas defensoras de los derechos humanos a nivel mundial. Por otro </w:t>
      </w:r>
      <w:r w:rsidRPr="00CC1DDB" w:rsidR="00EE5D5A">
        <w:rPr>
          <w:rFonts w:asciiTheme="majorHAnsi" w:hAnsiTheme="majorHAnsi"/>
          <w:sz w:val="24"/>
          <w:szCs w:val="24"/>
        </w:rPr>
        <w:t>lado,</w:t>
      </w:r>
      <w:r w:rsidRPr="00CC1DDB">
        <w:rPr>
          <w:rFonts w:asciiTheme="majorHAnsi" w:hAnsiTheme="majorHAnsi"/>
          <w:sz w:val="24"/>
          <w:szCs w:val="24"/>
        </w:rPr>
        <w:t xml:space="preserve"> los activistas ambientales, se enfrentan ante riesgos </w:t>
      </w:r>
    </w:p>
    <w:p w:rsidR="00CC1DDB" w:rsidP="008B2D07" w:rsidRDefault="00CC1DDB" w14:paraId="33001BFD">
      <w:pPr>
        <w:jc w:val="both"/>
        <w:rPr>
          <w:rFonts w:asciiTheme="majorHAnsi" w:hAnsiTheme="majorHAnsi"/>
          <w:sz w:val="24"/>
          <w:szCs w:val="24"/>
        </w:rPr>
      </w:pPr>
    </w:p>
    <w:p w:rsidR="00CC1DDB" w:rsidP="008B2D07" w:rsidRDefault="00CC1DDB" w14:paraId="253528FF">
      <w:pPr>
        <w:jc w:val="both"/>
        <w:rPr>
          <w:rFonts w:asciiTheme="majorHAnsi" w:hAnsiTheme="majorHAnsi"/>
          <w:sz w:val="24"/>
          <w:szCs w:val="24"/>
        </w:rPr>
      </w:pPr>
    </w:p>
    <w:p w:rsidR="00CC1DDB" w:rsidP="008B2D07" w:rsidRDefault="00CC1DDB" w14:paraId="41440EB2">
      <w:pPr>
        <w:jc w:val="both"/>
        <w:rPr>
          <w:rFonts w:asciiTheme="majorHAnsi" w:hAnsiTheme="majorHAnsi"/>
          <w:sz w:val="24"/>
          <w:szCs w:val="24"/>
        </w:rPr>
      </w:pPr>
    </w:p>
    <w:p w:rsidRPr="00CC1DDB" w:rsidR="003C0D7E" w:rsidP="008B2D07" w:rsidRDefault="005E1A82" w14:paraId="444F22A8">
      <w:pPr>
        <w:jc w:val="both"/>
        <w:rPr>
          <w:rFonts w:asciiTheme="majorHAnsi" w:hAnsiTheme="majorHAnsi"/>
          <w:sz w:val="24"/>
          <w:szCs w:val="24"/>
        </w:rPr>
      </w:pPr>
      <w:r w:rsidRPr="00CC1DDB">
        <w:rPr>
          <w:rFonts w:asciiTheme="majorHAnsi" w:hAnsiTheme="majorHAnsi"/>
          <w:sz w:val="24"/>
          <w:szCs w:val="24"/>
        </w:rPr>
        <w:t>elevados; constituyendo así, más de la mitad de las personas defensoras asesinadas en México el año pasado</w:t>
      </w:r>
      <w:r w:rsidRPr="00CC1DDB">
        <w:rPr>
          <w:rFonts w:asciiTheme="majorHAnsi" w:hAnsiTheme="majorHAnsi"/>
          <w:sz w:val="24"/>
          <w:szCs w:val="24"/>
          <w:vertAlign w:val="superscript"/>
        </w:rPr>
        <w:footnoteReference w:id="4"/>
      </w:r>
      <w:r w:rsidRPr="00CC1DDB">
        <w:rPr>
          <w:rFonts w:asciiTheme="majorHAnsi" w:hAnsiTheme="majorHAnsi"/>
          <w:sz w:val="24"/>
          <w:szCs w:val="24"/>
        </w:rPr>
        <w:t>.</w:t>
      </w:r>
    </w:p>
    <w:p w:rsidRPr="00CC1DDB" w:rsidR="00992A31" w:rsidP="008B2D07" w:rsidRDefault="00992A31" w14:paraId="3190939F">
      <w:pPr>
        <w:jc w:val="both"/>
        <w:rPr>
          <w:rFonts w:asciiTheme="majorHAnsi" w:hAnsiTheme="majorHAnsi"/>
          <w:sz w:val="24"/>
          <w:szCs w:val="24"/>
        </w:rPr>
      </w:pPr>
    </w:p>
    <w:p w:rsidRPr="00CC1DDB" w:rsidR="003C0D7E" w:rsidP="008B2D07" w:rsidRDefault="005E1A82" w14:paraId="66629711">
      <w:pPr>
        <w:jc w:val="both"/>
        <w:rPr>
          <w:rFonts w:asciiTheme="majorHAnsi" w:hAnsiTheme="majorHAnsi"/>
          <w:sz w:val="24"/>
          <w:szCs w:val="24"/>
          <w:highlight w:val="white"/>
        </w:rPr>
      </w:pPr>
      <w:r w:rsidRPr="00CC1DDB">
        <w:rPr>
          <w:rFonts w:asciiTheme="majorHAnsi" w:hAnsiTheme="majorHAnsi"/>
          <w:sz w:val="24"/>
          <w:szCs w:val="24"/>
        </w:rPr>
        <w:t>El 17 de junio de 2020 d</w:t>
      </w:r>
      <w:r w:rsidRPr="00CC1DDB">
        <w:rPr>
          <w:rFonts w:asciiTheme="majorHAnsi" w:hAnsiTheme="majorHAnsi"/>
          <w:sz w:val="24"/>
          <w:szCs w:val="24"/>
          <w:highlight w:val="white"/>
        </w:rPr>
        <w:t>iversas organizaciones de la Sociedad Civil denunciaron ante la Comisión Interamericana de Derechos Humanos (CIDH) que en México al menos</w:t>
      </w:r>
      <w:r w:rsidRPr="00CC1DDB" w:rsidR="00EE5D5A">
        <w:rPr>
          <w:rFonts w:asciiTheme="majorHAnsi" w:hAnsiTheme="majorHAnsi"/>
          <w:sz w:val="24"/>
          <w:szCs w:val="24"/>
          <w:highlight w:val="white"/>
        </w:rPr>
        <w:t xml:space="preserve"> </w:t>
      </w:r>
      <w:r w:rsidRPr="00CC1DDB">
        <w:rPr>
          <w:rFonts w:asciiTheme="majorHAnsi" w:hAnsiTheme="majorHAnsi"/>
          <w:sz w:val="24"/>
          <w:szCs w:val="24"/>
          <w:highlight w:val="white"/>
        </w:rPr>
        <w:t xml:space="preserve">10 personas defensoras han sido asesinadas (cuatro de ellas mujeres y dos periodistas) desde </w:t>
      </w:r>
      <w:r w:rsidRPr="00CC1DDB">
        <w:rPr>
          <w:rFonts w:asciiTheme="majorHAnsi" w:hAnsiTheme="majorHAnsi"/>
          <w:sz w:val="24"/>
          <w:szCs w:val="24"/>
          <w:highlight w:val="white"/>
        </w:rPr>
        <w:lastRenderedPageBreak/>
        <w:t>el inicio de la contingencia por la pandemia de covid-19</w:t>
      </w:r>
      <w:r w:rsidRPr="00CC1DDB">
        <w:rPr>
          <w:rFonts w:asciiTheme="majorHAnsi" w:hAnsiTheme="majorHAnsi"/>
          <w:sz w:val="24"/>
          <w:szCs w:val="24"/>
          <w:highlight w:val="white"/>
          <w:vertAlign w:val="superscript"/>
        </w:rPr>
        <w:footnoteReference w:id="5"/>
      </w:r>
      <w:r w:rsidRPr="00CC1DDB">
        <w:rPr>
          <w:rFonts w:asciiTheme="majorHAnsi" w:hAnsiTheme="majorHAnsi"/>
          <w:sz w:val="24"/>
          <w:szCs w:val="24"/>
          <w:highlight w:val="white"/>
        </w:rPr>
        <w:t xml:space="preserve">, </w:t>
      </w:r>
      <w:r w:rsidRPr="00CC1DDB" w:rsidR="00867E0D">
        <w:rPr>
          <w:rFonts w:asciiTheme="majorHAnsi" w:hAnsiTheme="majorHAnsi"/>
          <w:sz w:val="24"/>
          <w:szCs w:val="24"/>
          <w:highlight w:val="white"/>
        </w:rPr>
        <w:t xml:space="preserve"> </w:t>
      </w:r>
      <w:r w:rsidRPr="00CC1DDB">
        <w:rPr>
          <w:rFonts w:asciiTheme="majorHAnsi" w:hAnsiTheme="majorHAnsi"/>
          <w:sz w:val="24"/>
          <w:szCs w:val="24"/>
          <w:highlight w:val="white"/>
        </w:rPr>
        <w:t>considerando que la declaración de emergencia sanitaria dio inicio el 30 de marzo de 2020, por autoridades federales.</w:t>
      </w:r>
    </w:p>
    <w:p w:rsidRPr="00CC1DDB" w:rsidR="003C0D7E" w:rsidP="008B2D07" w:rsidRDefault="005E1A82" w14:paraId="722FD5C9">
      <w:pPr>
        <w:shd w:val="clear" w:color="auto" w:fill="FFFFFF"/>
        <w:spacing w:before="280" w:after="280"/>
        <w:jc w:val="both"/>
        <w:rPr>
          <w:rFonts w:asciiTheme="majorHAnsi" w:hAnsiTheme="majorHAnsi"/>
          <w:sz w:val="24"/>
          <w:szCs w:val="24"/>
          <w:highlight w:val="white"/>
        </w:rPr>
      </w:pPr>
      <w:r w:rsidRPr="00CC1DDB">
        <w:rPr>
          <w:rFonts w:asciiTheme="majorHAnsi" w:hAnsiTheme="majorHAnsi"/>
          <w:sz w:val="24"/>
          <w:szCs w:val="24"/>
          <w:highlight w:val="white"/>
        </w:rPr>
        <w:t>De acuerdo con la Página del Gobierno Federal, respecto al Mecanismo de Protección para Personas Defensoras de Derechos Humanos y Periodistas</w:t>
      </w:r>
      <w:r w:rsidRPr="00CC1DDB">
        <w:rPr>
          <w:rFonts w:asciiTheme="majorHAnsi" w:hAnsiTheme="majorHAnsi"/>
          <w:sz w:val="24"/>
          <w:szCs w:val="24"/>
          <w:highlight w:val="white"/>
          <w:vertAlign w:val="superscript"/>
        </w:rPr>
        <w:footnoteReference w:id="6"/>
      </w:r>
      <w:r w:rsidRPr="00CC1DDB">
        <w:rPr>
          <w:rFonts w:asciiTheme="majorHAnsi" w:hAnsiTheme="majorHAnsi"/>
          <w:sz w:val="24"/>
          <w:szCs w:val="24"/>
          <w:highlight w:val="white"/>
        </w:rPr>
        <w:t>, este año se ha condenado la muerte de 8 personas defensoras de derechos humanos, mediante comunicados</w:t>
      </w:r>
      <w:r w:rsidRPr="00CC1DDB" w:rsidR="007652D9">
        <w:rPr>
          <w:rFonts w:asciiTheme="majorHAnsi" w:hAnsiTheme="majorHAnsi"/>
          <w:sz w:val="24"/>
          <w:szCs w:val="24"/>
          <w:highlight w:val="white"/>
        </w:rPr>
        <w:t xml:space="preserve"> que han</w:t>
      </w:r>
      <w:r w:rsidRPr="00CC1DDB">
        <w:rPr>
          <w:rFonts w:asciiTheme="majorHAnsi" w:hAnsiTheme="majorHAnsi"/>
          <w:sz w:val="24"/>
          <w:szCs w:val="24"/>
          <w:highlight w:val="white"/>
        </w:rPr>
        <w:t xml:space="preserve"> </w:t>
      </w:r>
      <w:r w:rsidRPr="00CC1DDB" w:rsidR="007652D9">
        <w:rPr>
          <w:rFonts w:asciiTheme="majorHAnsi" w:hAnsiTheme="majorHAnsi"/>
          <w:sz w:val="24"/>
          <w:szCs w:val="24"/>
          <w:highlight w:val="white"/>
        </w:rPr>
        <w:t>emitido en esta misma página</w:t>
      </w:r>
      <w:r w:rsidRPr="00CC1DDB">
        <w:rPr>
          <w:rFonts w:asciiTheme="majorHAnsi" w:hAnsiTheme="majorHAnsi"/>
          <w:sz w:val="24"/>
          <w:szCs w:val="24"/>
          <w:highlight w:val="white"/>
          <w:vertAlign w:val="superscript"/>
        </w:rPr>
        <w:footnoteReference w:id="7"/>
      </w:r>
      <w:r w:rsidRPr="00CC1DDB">
        <w:rPr>
          <w:rFonts w:asciiTheme="majorHAnsi" w:hAnsiTheme="majorHAnsi"/>
          <w:sz w:val="24"/>
          <w:szCs w:val="24"/>
          <w:highlight w:val="white"/>
        </w:rPr>
        <w:t>.</w:t>
      </w:r>
    </w:p>
    <w:p w:rsidRPr="00CC1DDB" w:rsidR="003C0D7E" w:rsidP="008B2D07" w:rsidRDefault="005E1A82" w14:paraId="25173695">
      <w:pPr>
        <w:shd w:val="clear" w:color="auto" w:fill="FFFFFF"/>
        <w:spacing w:before="280" w:after="280"/>
        <w:jc w:val="both"/>
        <w:rPr>
          <w:rFonts w:asciiTheme="majorHAnsi" w:hAnsiTheme="majorHAnsi"/>
          <w:color w:val="272727"/>
          <w:sz w:val="24"/>
          <w:szCs w:val="24"/>
          <w:highlight w:val="white"/>
        </w:rPr>
      </w:pPr>
      <w:r w:rsidRPr="00CC1DDB">
        <w:rPr>
          <w:rFonts w:asciiTheme="majorHAnsi" w:hAnsiTheme="majorHAnsi"/>
          <w:sz w:val="24"/>
          <w:szCs w:val="24"/>
          <w:highlight w:val="white"/>
        </w:rPr>
        <w:t xml:space="preserve">Resulta menester señalar, que de acuerdo al Informe Estadístico de </w:t>
      </w:r>
      <w:r w:rsidRPr="00CC1DDB" w:rsidR="00EE5D5A">
        <w:rPr>
          <w:rFonts w:asciiTheme="majorHAnsi" w:hAnsiTheme="majorHAnsi"/>
          <w:sz w:val="24"/>
          <w:szCs w:val="24"/>
          <w:highlight w:val="white"/>
        </w:rPr>
        <w:t>junio</w:t>
      </w:r>
      <w:r w:rsidRPr="00CC1DDB">
        <w:rPr>
          <w:rFonts w:asciiTheme="majorHAnsi" w:hAnsiTheme="majorHAnsi"/>
          <w:sz w:val="24"/>
          <w:szCs w:val="24"/>
          <w:highlight w:val="white"/>
        </w:rPr>
        <w:t xml:space="preserve"> 2020</w:t>
      </w:r>
      <w:r w:rsidRPr="00CC1DDB">
        <w:rPr>
          <w:rFonts w:asciiTheme="majorHAnsi" w:hAnsiTheme="majorHAnsi"/>
          <w:sz w:val="24"/>
          <w:szCs w:val="24"/>
          <w:highlight w:val="white"/>
          <w:vertAlign w:val="superscript"/>
        </w:rPr>
        <w:footnoteReference w:id="8"/>
      </w:r>
      <w:r w:rsidRPr="00CC1DDB">
        <w:rPr>
          <w:rFonts w:asciiTheme="majorHAnsi" w:hAnsiTheme="majorHAnsi"/>
          <w:sz w:val="24"/>
          <w:szCs w:val="24"/>
          <w:highlight w:val="white"/>
        </w:rPr>
        <w:t xml:space="preserve"> sobre este Mecanismo antes mencionado, señala que tan solo lo que va de este año, </w:t>
      </w:r>
      <w:r w:rsidRPr="00CC1DDB" w:rsidR="00EE5D5A">
        <w:rPr>
          <w:rFonts w:asciiTheme="majorHAnsi" w:hAnsiTheme="majorHAnsi"/>
          <w:sz w:val="24"/>
          <w:szCs w:val="24"/>
          <w:highlight w:val="white"/>
        </w:rPr>
        <w:t>ha</w:t>
      </w:r>
      <w:r w:rsidRPr="00CC1DDB">
        <w:rPr>
          <w:rFonts w:asciiTheme="majorHAnsi" w:hAnsiTheme="majorHAnsi"/>
          <w:sz w:val="24"/>
          <w:szCs w:val="24"/>
          <w:highlight w:val="white"/>
        </w:rPr>
        <w:t xml:space="preserve"> habido 30 agresiones a personas defensoras de derechos humanos y 17 agresiones a personas periodistas, dando un total de 57. Estas agresiones abarcan: secuestro/privación de la vida, agresiones físicas y amenazas. </w:t>
      </w:r>
      <w:r w:rsidRPr="00CC1DDB">
        <w:rPr>
          <w:rFonts w:asciiTheme="majorHAnsi" w:hAnsiTheme="majorHAnsi"/>
          <w:color w:val="222222"/>
          <w:sz w:val="24"/>
          <w:szCs w:val="24"/>
        </w:rPr>
        <w:t xml:space="preserve">En el mismo </w:t>
      </w:r>
      <w:r w:rsidRPr="00CC1DDB" w:rsidR="00EE5D5A">
        <w:rPr>
          <w:rFonts w:asciiTheme="majorHAnsi" w:hAnsiTheme="majorHAnsi"/>
          <w:color w:val="222222"/>
          <w:sz w:val="24"/>
          <w:szCs w:val="24"/>
        </w:rPr>
        <w:t>sentido, y</w:t>
      </w:r>
      <w:r w:rsidRPr="00CC1DDB">
        <w:rPr>
          <w:rFonts w:asciiTheme="majorHAnsi" w:hAnsiTheme="majorHAnsi"/>
          <w:color w:val="222222"/>
          <w:sz w:val="24"/>
          <w:szCs w:val="24"/>
        </w:rPr>
        <w:t xml:space="preserve"> de </w:t>
      </w:r>
      <w:r w:rsidRPr="00CC1DDB">
        <w:rPr>
          <w:rFonts w:asciiTheme="majorHAnsi" w:hAnsiTheme="majorHAnsi"/>
          <w:color w:val="272727"/>
          <w:sz w:val="24"/>
          <w:szCs w:val="24"/>
          <w:highlight w:val="white"/>
        </w:rPr>
        <w:t xml:space="preserve">acuerdo con cifras de la Red Nacional de Mujeres Defensoras de Derechos Humanos en México, entre enero y junio se registraron 574 agresiones hacia 266 mujeres defensoras y 42 colectivos. La mayoría de las agresiones ocurrieron en Oaxaca (15.7%), Ciudad de México (6.8%) y Jalisco </w:t>
      </w:r>
      <w:r w:rsidRPr="00CC1DDB">
        <w:rPr>
          <w:rFonts w:asciiTheme="majorHAnsi" w:hAnsiTheme="majorHAnsi"/>
          <w:color w:val="272727"/>
          <w:sz w:val="24"/>
          <w:szCs w:val="24"/>
          <w:highlight w:val="white"/>
        </w:rPr>
        <w:lastRenderedPageBreak/>
        <w:t>(4.4%). Durante el confinamiento, las defensoras han sido víctimas principalmente de campañas de desprestigio, intimidación y hostigamiento, amenazas y restricción a la libertad de expresión</w:t>
      </w:r>
      <w:r w:rsidRPr="00CC1DDB">
        <w:rPr>
          <w:rFonts w:asciiTheme="majorHAnsi" w:hAnsiTheme="majorHAnsi"/>
          <w:color w:val="272727"/>
          <w:sz w:val="24"/>
          <w:szCs w:val="24"/>
          <w:highlight w:val="white"/>
          <w:vertAlign w:val="superscript"/>
        </w:rPr>
        <w:footnoteReference w:id="9"/>
      </w:r>
      <w:r w:rsidRPr="00CC1DDB">
        <w:rPr>
          <w:rFonts w:asciiTheme="majorHAnsi" w:hAnsiTheme="majorHAnsi"/>
          <w:color w:val="272727"/>
          <w:sz w:val="24"/>
          <w:szCs w:val="24"/>
          <w:highlight w:val="white"/>
        </w:rPr>
        <w:t>.</w:t>
      </w:r>
    </w:p>
    <w:p w:rsidR="00CC1DDB" w:rsidP="008B2D07" w:rsidRDefault="00CC1DDB" w14:paraId="6744FDB5">
      <w:pPr>
        <w:spacing w:before="240" w:after="240"/>
        <w:jc w:val="both"/>
        <w:rPr>
          <w:rFonts w:asciiTheme="majorHAnsi" w:hAnsiTheme="majorHAnsi"/>
          <w:b/>
          <w:color w:val="222222"/>
          <w:sz w:val="24"/>
          <w:szCs w:val="24"/>
        </w:rPr>
      </w:pPr>
    </w:p>
    <w:p w:rsidR="00CC1DDB" w:rsidP="008B2D07" w:rsidRDefault="00CC1DDB" w14:paraId="4AADC198">
      <w:pPr>
        <w:spacing w:before="240" w:after="240"/>
        <w:jc w:val="both"/>
        <w:rPr>
          <w:rFonts w:asciiTheme="majorHAnsi" w:hAnsiTheme="majorHAnsi"/>
          <w:b/>
          <w:color w:val="222222"/>
          <w:sz w:val="24"/>
          <w:szCs w:val="24"/>
        </w:rPr>
      </w:pPr>
    </w:p>
    <w:p w:rsidR="00CC1DDB" w:rsidP="008B2D07" w:rsidRDefault="00CC1DDB" w14:paraId="528CBCEF">
      <w:pPr>
        <w:spacing w:before="240" w:after="240"/>
        <w:jc w:val="both"/>
        <w:rPr>
          <w:rFonts w:asciiTheme="majorHAnsi" w:hAnsiTheme="majorHAnsi"/>
          <w:b/>
          <w:color w:val="222222"/>
          <w:sz w:val="24"/>
          <w:szCs w:val="24"/>
        </w:rPr>
      </w:pPr>
    </w:p>
    <w:p w:rsidRPr="00CC1DDB" w:rsidR="003C0D7E" w:rsidP="008B2D07" w:rsidRDefault="005E1A82" w14:paraId="70371CE4">
      <w:pPr>
        <w:spacing w:before="240" w:after="240"/>
        <w:jc w:val="both"/>
        <w:rPr>
          <w:rFonts w:asciiTheme="majorHAnsi" w:hAnsiTheme="majorHAnsi"/>
          <w:b/>
          <w:color w:val="222222"/>
          <w:sz w:val="24"/>
          <w:szCs w:val="24"/>
        </w:rPr>
      </w:pPr>
      <w:r w:rsidRPr="00CC1DDB">
        <w:rPr>
          <w:rFonts w:asciiTheme="majorHAnsi" w:hAnsiTheme="majorHAnsi"/>
          <w:b/>
          <w:color w:val="222222"/>
          <w:sz w:val="24"/>
          <w:szCs w:val="24"/>
        </w:rPr>
        <w:t>3) ¿Cuántas condenas de los autores de asesinatos de personas defensoras de los derechos humanos hubo en su país desde el 1º de enero de 2019 hasta el 30 de junio de 2020?</w:t>
      </w:r>
    </w:p>
    <w:p w:rsidRPr="00CC1DDB" w:rsidR="00B75C93" w:rsidP="008B2D07" w:rsidRDefault="005E1A82" w14:paraId="7A508EEC">
      <w:pPr>
        <w:spacing w:before="240" w:after="240"/>
        <w:jc w:val="both"/>
        <w:rPr>
          <w:rFonts w:asciiTheme="majorHAnsi" w:hAnsiTheme="majorHAnsi"/>
          <w:color w:val="222222"/>
          <w:sz w:val="24"/>
          <w:szCs w:val="24"/>
        </w:rPr>
      </w:pPr>
      <w:r w:rsidRPr="00CC1DDB">
        <w:rPr>
          <w:rFonts w:asciiTheme="majorHAnsi" w:hAnsiTheme="majorHAnsi"/>
          <w:color w:val="222222"/>
          <w:sz w:val="24"/>
          <w:szCs w:val="24"/>
        </w:rPr>
        <w:t>De conformidad con la información pública presentada por la Fiscalía Especial para la Atención de Delitos cometidos contra la Libertad de Expresión de la FGR, del 1 de</w:t>
      </w:r>
      <w:r w:rsidRPr="00CC1DDB" w:rsidR="00EE6314">
        <w:rPr>
          <w:rFonts w:asciiTheme="majorHAnsi" w:hAnsiTheme="majorHAnsi"/>
          <w:color w:val="222222"/>
          <w:sz w:val="24"/>
          <w:szCs w:val="24"/>
        </w:rPr>
        <w:t xml:space="preserve"> </w:t>
      </w:r>
      <w:r w:rsidRPr="00CC1DDB">
        <w:rPr>
          <w:rFonts w:asciiTheme="majorHAnsi" w:hAnsiTheme="majorHAnsi"/>
          <w:color w:val="222222"/>
          <w:sz w:val="24"/>
          <w:szCs w:val="24"/>
        </w:rPr>
        <w:t>enero de 2019 al 30 de junio de 2020, únicamente fueron sentenciadas dos personas por la comisión del delito de homicidio, en los estados de Sinaloa y Chihuahua</w:t>
      </w:r>
      <w:r w:rsidRPr="00CC1DDB" w:rsidR="00242DA0">
        <w:rPr>
          <w:rFonts w:asciiTheme="majorHAnsi" w:hAnsiTheme="majorHAnsi"/>
          <w:color w:val="222222"/>
          <w:sz w:val="24"/>
          <w:szCs w:val="24"/>
        </w:rPr>
        <w:t xml:space="preserve"> </w:t>
      </w:r>
      <w:r w:rsidRPr="00CC1DDB">
        <w:rPr>
          <w:rFonts w:asciiTheme="majorHAnsi" w:hAnsiTheme="majorHAnsi"/>
          <w:color w:val="222222"/>
          <w:sz w:val="24"/>
          <w:szCs w:val="24"/>
          <w:vertAlign w:val="superscript"/>
        </w:rPr>
        <w:footnoteReference w:id="10"/>
      </w:r>
      <w:r w:rsidRPr="00CC1DDB" w:rsidR="00242DA0">
        <w:rPr>
          <w:rFonts w:asciiTheme="majorHAnsi" w:hAnsiTheme="majorHAnsi"/>
          <w:color w:val="222222"/>
          <w:sz w:val="24"/>
          <w:szCs w:val="24"/>
        </w:rPr>
        <w:t xml:space="preserve"> por delitos cometidos en contra de la libertad de expresión, no obstante no existe información pública respecto al número sentencias condenatorias que pudieran haberse dado por delitos cometidos en contra de personas defensoras.</w:t>
      </w:r>
      <w:r w:rsidRPr="00CC1DDB">
        <w:rPr>
          <w:rFonts w:asciiTheme="majorHAnsi" w:hAnsiTheme="majorHAnsi"/>
          <w:color w:val="222222"/>
          <w:sz w:val="24"/>
          <w:szCs w:val="24"/>
          <w:shd w:val="clear" w:color="auto" w:fill="CFE2F3"/>
        </w:rPr>
        <w:t xml:space="preserve"> </w:t>
      </w:r>
    </w:p>
    <w:p w:rsidRPr="00CC1DDB" w:rsidR="00EE5D5A" w:rsidP="008B2D07" w:rsidRDefault="005E1A82" w14:paraId="78C753C8">
      <w:pPr>
        <w:spacing w:before="240" w:after="240"/>
        <w:jc w:val="both"/>
        <w:rPr>
          <w:rFonts w:asciiTheme="majorHAnsi" w:hAnsiTheme="majorHAnsi"/>
          <w:b/>
          <w:color w:val="222222"/>
          <w:sz w:val="24"/>
          <w:szCs w:val="24"/>
        </w:rPr>
      </w:pPr>
      <w:r w:rsidRPr="00CC1DDB">
        <w:rPr>
          <w:rFonts w:asciiTheme="majorHAnsi" w:hAnsiTheme="majorHAnsi"/>
          <w:b/>
          <w:color w:val="222222"/>
          <w:sz w:val="24"/>
          <w:szCs w:val="24"/>
        </w:rPr>
        <w:lastRenderedPageBreak/>
        <w:t>4) ¿Cuenta su Institución/Organización con un procedimiento para responder a las amenazas de muerte contra los defensores y defensoras de los derechos humanos?</w:t>
      </w:r>
    </w:p>
    <w:p w:rsidRPr="00CC1DDB" w:rsidR="00242DA0" w:rsidP="00242DA0" w:rsidRDefault="005E1A82" w14:paraId="0151C127">
      <w:pPr>
        <w:spacing w:before="240" w:after="240"/>
        <w:jc w:val="both"/>
        <w:rPr>
          <w:rFonts w:asciiTheme="majorHAnsi" w:hAnsiTheme="majorHAnsi"/>
          <w:color w:val="222222"/>
          <w:sz w:val="24"/>
          <w:szCs w:val="24"/>
        </w:rPr>
      </w:pPr>
      <w:r w:rsidRPr="00CC1DDB">
        <w:rPr>
          <w:rFonts w:asciiTheme="majorHAnsi" w:hAnsiTheme="majorHAnsi"/>
          <w:color w:val="222222"/>
          <w:sz w:val="24"/>
          <w:szCs w:val="24"/>
        </w:rPr>
        <w:t xml:space="preserve">Esta Comisión de Derechos Humanos de la Ciudad de México (CDHCM), tiene la atribución de proteger los derechos humanos de las personas, incluyendo </w:t>
      </w:r>
      <w:r w:rsidRPr="00CC1DDB" w:rsidR="00EE5D5A">
        <w:rPr>
          <w:rFonts w:asciiTheme="majorHAnsi" w:hAnsiTheme="majorHAnsi"/>
          <w:color w:val="222222"/>
          <w:sz w:val="24"/>
          <w:szCs w:val="24"/>
        </w:rPr>
        <w:t>el derecho</w:t>
      </w:r>
      <w:r w:rsidRPr="00CC1DDB">
        <w:rPr>
          <w:rFonts w:asciiTheme="majorHAnsi" w:hAnsiTheme="majorHAnsi"/>
          <w:color w:val="222222"/>
          <w:sz w:val="24"/>
          <w:szCs w:val="24"/>
        </w:rPr>
        <w:t xml:space="preserve"> a su integridad física, psíquica y moral. </w:t>
      </w:r>
      <w:r w:rsidRPr="00CC1DDB" w:rsidR="00242DA0">
        <w:rPr>
          <w:rFonts w:asciiTheme="majorHAnsi" w:hAnsiTheme="majorHAnsi"/>
          <w:color w:val="222222"/>
          <w:sz w:val="24"/>
          <w:szCs w:val="24"/>
        </w:rPr>
        <w:t>En ese sentido, su competencia se limita a investigar posibles violaciones a los derechos humanos cometidas por autoridades de la Ciudad de México; sin embargo, si se ubica que una persona pudiera estar en riesgo, con la anuencia de ésta, se solicita a la autoridad, en este caso la Fiscalía General de Justicia de la Ciudad de México o al Mecanismo Local o Federal de protección a personas defensoras de derechos humanos y periodistas, realice una valoración de riesgo, y con base en ella emita las medidas de protección que conforme a derecho procedan.</w:t>
      </w:r>
    </w:p>
    <w:p w:rsidR="003C0D7E" w:rsidP="008B2D07" w:rsidRDefault="00242DA0" w14:paraId="79D52A39">
      <w:pPr>
        <w:spacing w:before="240" w:after="240"/>
        <w:jc w:val="both"/>
        <w:rPr>
          <w:rFonts w:asciiTheme="majorHAnsi" w:hAnsiTheme="majorHAnsi"/>
          <w:color w:val="222222"/>
          <w:sz w:val="24"/>
          <w:szCs w:val="24"/>
        </w:rPr>
      </w:pPr>
      <w:r w:rsidRPr="00CC1DDB">
        <w:rPr>
          <w:rFonts w:asciiTheme="majorHAnsi" w:hAnsiTheme="majorHAnsi"/>
          <w:color w:val="222222"/>
          <w:sz w:val="24"/>
          <w:szCs w:val="24"/>
        </w:rPr>
        <w:t>Cabe señalar que</w:t>
      </w:r>
      <w:r w:rsidRPr="00CC1DDB" w:rsidR="005E1A82">
        <w:rPr>
          <w:rFonts w:asciiTheme="majorHAnsi" w:hAnsiTheme="majorHAnsi"/>
          <w:color w:val="222222"/>
          <w:sz w:val="24"/>
          <w:szCs w:val="24"/>
        </w:rPr>
        <w:t xml:space="preserve">, esta CDHCM, mantiene comunicación constante y directa con las víctimas, y a la par de esta, mediante un Convenio de colaboración con el Mecanismo de Protección Integral de Personas Defensoras de Derechos Humanos y Periodistas de la Ciudad de México, y previo consentimiento de las víctimas, realiza las gestiones necesarias para su atención, entre ellas, canalizaciones, solicitudes de colaboración y gestiones, para que sean atendidas por esta y otras instituciones públicas y den solución rápida y efectiva a sus planteamientos. </w:t>
      </w:r>
    </w:p>
    <w:p w:rsidRPr="00CC1DDB" w:rsidR="00CC1DDB" w:rsidP="008B2D07" w:rsidRDefault="00CC1DDB" w14:paraId="35DFD01C">
      <w:pPr>
        <w:spacing w:before="240" w:after="240"/>
        <w:jc w:val="both"/>
        <w:rPr>
          <w:rFonts w:asciiTheme="majorHAnsi" w:hAnsiTheme="majorHAnsi"/>
          <w:color w:val="222222"/>
          <w:sz w:val="24"/>
          <w:szCs w:val="24"/>
        </w:rPr>
      </w:pPr>
    </w:p>
    <w:p w:rsidR="00CC1DDB" w:rsidP="008B2D07" w:rsidRDefault="00CC1DDB" w14:paraId="241167B3">
      <w:pPr>
        <w:spacing w:before="240" w:after="240"/>
        <w:jc w:val="both"/>
        <w:rPr>
          <w:rFonts w:asciiTheme="majorHAnsi" w:hAnsiTheme="majorHAnsi"/>
          <w:b/>
          <w:color w:val="222222"/>
          <w:sz w:val="24"/>
          <w:szCs w:val="24"/>
        </w:rPr>
      </w:pPr>
    </w:p>
    <w:p w:rsidR="00CC1DDB" w:rsidP="008B2D07" w:rsidRDefault="00CC1DDB" w14:paraId="3765BB0F">
      <w:pPr>
        <w:spacing w:before="240" w:after="240"/>
        <w:jc w:val="both"/>
        <w:rPr>
          <w:rFonts w:asciiTheme="majorHAnsi" w:hAnsiTheme="majorHAnsi"/>
          <w:b/>
          <w:color w:val="222222"/>
          <w:sz w:val="24"/>
          <w:szCs w:val="24"/>
        </w:rPr>
      </w:pPr>
    </w:p>
    <w:p w:rsidR="00CC1DDB" w:rsidP="008B2D07" w:rsidRDefault="00CC1DDB" w14:paraId="64CD9D00">
      <w:pPr>
        <w:spacing w:before="240" w:after="240"/>
        <w:jc w:val="both"/>
        <w:rPr>
          <w:rFonts w:asciiTheme="majorHAnsi" w:hAnsiTheme="majorHAnsi"/>
          <w:b/>
          <w:color w:val="222222"/>
          <w:sz w:val="24"/>
          <w:szCs w:val="24"/>
        </w:rPr>
      </w:pPr>
    </w:p>
    <w:p w:rsidRPr="00CC1DDB" w:rsidR="003C0D7E" w:rsidP="008B2D07" w:rsidRDefault="005E1A82" w14:paraId="4E9F825A">
      <w:pPr>
        <w:spacing w:before="240" w:after="240"/>
        <w:jc w:val="both"/>
        <w:rPr>
          <w:rFonts w:asciiTheme="majorHAnsi" w:hAnsiTheme="majorHAnsi"/>
          <w:b/>
          <w:color w:val="222222"/>
          <w:sz w:val="24"/>
          <w:szCs w:val="24"/>
        </w:rPr>
      </w:pPr>
      <w:r w:rsidRPr="00CC1DDB">
        <w:rPr>
          <w:rFonts w:asciiTheme="majorHAnsi" w:hAnsiTheme="majorHAnsi"/>
          <w:b/>
          <w:color w:val="222222"/>
          <w:sz w:val="24"/>
          <w:szCs w:val="24"/>
        </w:rPr>
        <w:t>5) ¿Cuenta su Institución/Organización con garantías jurídicas y otras medidas de protección, o está dispuesto a adoptarlas, para que los defensores y defensoras de los derechos humanos puedan realizar su labor sin ser perseguidos?</w:t>
      </w:r>
    </w:p>
    <w:p w:rsidRPr="00CC1DDB" w:rsidR="003C0D7E" w:rsidP="00242DA0" w:rsidRDefault="005E1A82" w14:paraId="29DF3E82">
      <w:pPr>
        <w:jc w:val="both"/>
        <w:rPr>
          <w:rFonts w:asciiTheme="majorHAnsi" w:hAnsiTheme="majorHAnsi"/>
          <w:sz w:val="24"/>
          <w:szCs w:val="24"/>
        </w:rPr>
      </w:pPr>
      <w:r w:rsidRPr="00CC1DDB">
        <w:rPr>
          <w:rFonts w:asciiTheme="majorHAnsi" w:hAnsiTheme="majorHAnsi"/>
          <w:sz w:val="24"/>
          <w:szCs w:val="24"/>
        </w:rPr>
        <w:t xml:space="preserve">Esta CDHCM, tiene como mandato la observancia de los principios de universalidad, interdependencia, indivisibilidad, complementariedad, integralidad, progresividad y no regresividad; asimismo esta Comisión está obligada a promover, proteger, defender y garantizar en nuestras respectivas competencias, </w:t>
      </w:r>
    </w:p>
    <w:p w:rsidRPr="00CC1DDB" w:rsidR="00242DA0" w:rsidP="008B2D07" w:rsidRDefault="00242DA0" w14:paraId="1AA8AD2F">
      <w:pPr>
        <w:jc w:val="both"/>
        <w:rPr>
          <w:rFonts w:asciiTheme="majorHAnsi" w:hAnsiTheme="majorHAnsi"/>
          <w:sz w:val="24"/>
          <w:szCs w:val="24"/>
        </w:rPr>
      </w:pPr>
    </w:p>
    <w:p w:rsidRPr="00CC1DDB" w:rsidR="003C0D7E" w:rsidP="008B2D07" w:rsidRDefault="005E1A82" w14:paraId="4308884B">
      <w:pPr>
        <w:jc w:val="both"/>
        <w:rPr>
          <w:rFonts w:asciiTheme="majorHAnsi" w:hAnsiTheme="majorHAnsi"/>
          <w:sz w:val="24"/>
          <w:szCs w:val="24"/>
        </w:rPr>
      </w:pPr>
      <w:r w:rsidRPr="00CC1DDB">
        <w:rPr>
          <w:rFonts w:asciiTheme="majorHAnsi" w:hAnsiTheme="majorHAnsi"/>
          <w:sz w:val="24"/>
          <w:szCs w:val="24"/>
        </w:rPr>
        <w:t>La CDHCM, cuenta, dentro de la Dirección Ejecutiva de Promoción y Agendas en Derechos Humanos, con un área especializada en la agenda por el derecho a defender los derechos humanos y a la libre expresión.</w:t>
      </w:r>
    </w:p>
    <w:p w:rsidRPr="00CC1DDB" w:rsidR="003C0D7E" w:rsidP="008B2D07" w:rsidRDefault="003C0D7E" w14:paraId="308AAE82">
      <w:pPr>
        <w:jc w:val="both"/>
        <w:rPr>
          <w:rFonts w:asciiTheme="majorHAnsi" w:hAnsiTheme="majorHAnsi"/>
          <w:sz w:val="24"/>
          <w:szCs w:val="24"/>
        </w:rPr>
      </w:pPr>
    </w:p>
    <w:p w:rsidRPr="00CC1DDB" w:rsidR="003C0D7E" w:rsidP="008B2D07" w:rsidRDefault="005E1A82" w14:paraId="714C442C">
      <w:pPr>
        <w:jc w:val="both"/>
        <w:rPr>
          <w:rFonts w:asciiTheme="majorHAnsi" w:hAnsiTheme="majorHAnsi"/>
          <w:sz w:val="24"/>
          <w:szCs w:val="24"/>
        </w:rPr>
      </w:pPr>
      <w:r w:rsidRPr="00CC1DDB">
        <w:rPr>
          <w:rFonts w:asciiTheme="majorHAnsi" w:hAnsiTheme="majorHAnsi"/>
          <w:sz w:val="24"/>
          <w:szCs w:val="24"/>
        </w:rPr>
        <w:t>Por último, esta Comisión cuenta con una Cuarta Visitaduría General, que se especializa en la investigación de violaciones a derechos humanos en contra de personas defensoras de derechos humanos.</w:t>
      </w:r>
    </w:p>
    <w:p w:rsidRPr="00CC1DDB" w:rsidR="008B2D07" w:rsidP="00CC1DDB" w:rsidRDefault="006B4944" w14:paraId="0599CB7E">
      <w:pPr>
        <w:spacing w:before="240" w:after="240"/>
        <w:jc w:val="both"/>
        <w:rPr>
          <w:rFonts w:asciiTheme="majorHAnsi" w:hAnsiTheme="majorHAnsi"/>
          <w:color w:val="222222"/>
          <w:sz w:val="24"/>
          <w:szCs w:val="24"/>
        </w:rPr>
      </w:pPr>
      <w:r w:rsidRPr="00CC1DDB">
        <w:rPr>
          <w:rFonts w:eastAsia="Times New Roman" w:asciiTheme="majorHAnsi" w:hAnsiTheme="majorHAnsi"/>
          <w:color w:val="000000" w:themeColor="text1"/>
          <w:sz w:val="24"/>
          <w:szCs w:val="24"/>
          <w:lang w:val="es-MX"/>
        </w:rPr>
        <w:t xml:space="preserve">Si bien, este Organismo protector de Derechos Humanos </w:t>
      </w:r>
      <w:r w:rsidRPr="006B4944">
        <w:rPr>
          <w:rFonts w:eastAsia="Times New Roman" w:asciiTheme="majorHAnsi" w:hAnsiTheme="majorHAnsi"/>
          <w:color w:val="000000" w:themeColor="text1"/>
          <w:sz w:val="24"/>
          <w:szCs w:val="24"/>
          <w:lang w:val="es-MX"/>
        </w:rPr>
        <w:t>cuenta con la atribución legal de emitir medidas cautelares, cuando las presuntas violaciones a los derechos humanos puedan afectar derechos humanos de forma irreparable; exista gravedad y urgencia, y resulte difícil o imposible la reparación del daño causado o la restitución de la persona peticionaria o presunta víc</w:t>
      </w:r>
      <w:r w:rsidRPr="00CC1DDB">
        <w:rPr>
          <w:rFonts w:eastAsia="Times New Roman" w:asciiTheme="majorHAnsi" w:hAnsiTheme="majorHAnsi"/>
          <w:color w:val="000000" w:themeColor="text1"/>
          <w:sz w:val="24"/>
          <w:szCs w:val="24"/>
          <w:lang w:val="es-MX"/>
        </w:rPr>
        <w:t xml:space="preserve">tima en el goce de sus derechos; </w:t>
      </w:r>
      <w:r w:rsidRPr="006B4944">
        <w:rPr>
          <w:rFonts w:eastAsia="Times New Roman" w:asciiTheme="majorHAnsi" w:hAnsiTheme="majorHAnsi"/>
          <w:color w:val="000000" w:themeColor="text1"/>
          <w:sz w:val="24"/>
          <w:szCs w:val="24"/>
          <w:lang w:val="es-MX"/>
        </w:rPr>
        <w:t xml:space="preserve">no cuenta con medidas de </w:t>
      </w:r>
      <w:r w:rsidRPr="006B4944">
        <w:rPr>
          <w:rFonts w:eastAsia="Times New Roman" w:asciiTheme="majorHAnsi" w:hAnsiTheme="majorHAnsi"/>
          <w:color w:val="000000" w:themeColor="text1"/>
          <w:sz w:val="24"/>
          <w:szCs w:val="24"/>
          <w:lang w:val="es-MX"/>
        </w:rPr>
        <w:lastRenderedPageBreak/>
        <w:t>protección, aunque puede solicitar a las autoridades las implementen con base a la valoración del riesgo.</w:t>
      </w:r>
      <w:r w:rsidRPr="00CC1DDB">
        <w:rPr>
          <w:rFonts w:eastAsia="Times New Roman" w:asciiTheme="majorHAnsi" w:hAnsiTheme="majorHAnsi"/>
          <w:color w:val="000000" w:themeColor="text1"/>
          <w:sz w:val="24"/>
          <w:szCs w:val="24"/>
          <w:lang w:val="es-MX"/>
        </w:rPr>
        <w:t xml:space="preserve"> L</w:t>
      </w:r>
      <w:r w:rsidRPr="00CC1DDB">
        <w:rPr>
          <w:rFonts w:asciiTheme="majorHAnsi" w:hAnsiTheme="majorHAnsi"/>
          <w:color w:val="000000" w:themeColor="text1"/>
          <w:sz w:val="24"/>
          <w:szCs w:val="24"/>
        </w:rPr>
        <w:t xml:space="preserve">as cuales pueden inhibir las amenazas o agresiones, tanto en los casos en los que los perpetradores de estas </w:t>
      </w:r>
      <w:r w:rsidRPr="00CC1DDB">
        <w:rPr>
          <w:rFonts w:asciiTheme="majorHAnsi" w:hAnsiTheme="majorHAnsi"/>
          <w:color w:val="222222"/>
          <w:sz w:val="24"/>
          <w:szCs w:val="24"/>
        </w:rPr>
        <w:t xml:space="preserve">son autoridades de la Ciudad de México, o se requiera que las instituciones establezcan las medidas necesarias para proteger a las personas defensoras de derechos humanos. </w:t>
      </w:r>
    </w:p>
    <w:p w:rsidRPr="00CC1DDB" w:rsidR="008B2D07" w:rsidP="008B2D07" w:rsidRDefault="008B2D07" w14:paraId="30FAAF65">
      <w:pPr>
        <w:jc w:val="both"/>
        <w:rPr>
          <w:rFonts w:asciiTheme="majorHAnsi" w:hAnsiTheme="majorHAnsi"/>
          <w:sz w:val="24"/>
          <w:szCs w:val="24"/>
        </w:rPr>
      </w:pPr>
      <w:r w:rsidRPr="00CC1DDB">
        <w:rPr>
          <w:rFonts w:asciiTheme="majorHAnsi" w:hAnsiTheme="majorHAnsi"/>
          <w:sz w:val="24"/>
          <w:szCs w:val="24"/>
        </w:rPr>
        <w:t xml:space="preserve">A continuación, se mostrará una tabla con los servicios proporcionados por esta CDHCM </w:t>
      </w:r>
      <w:r w:rsidRPr="00CC1DDB" w:rsidR="006B4944">
        <w:rPr>
          <w:rFonts w:asciiTheme="majorHAnsi" w:hAnsiTheme="majorHAnsi"/>
          <w:sz w:val="24"/>
          <w:szCs w:val="24"/>
        </w:rPr>
        <w:t>a personas defensoras al mes de junio de 2020</w:t>
      </w:r>
      <w:r w:rsidRPr="00CC1DDB">
        <w:rPr>
          <w:rFonts w:asciiTheme="majorHAnsi" w:hAnsiTheme="majorHAnsi"/>
          <w:sz w:val="24"/>
          <w:szCs w:val="24"/>
        </w:rPr>
        <w:t xml:space="preserve">: </w:t>
      </w:r>
    </w:p>
    <w:p w:rsidRPr="00CC1DDB" w:rsidR="003C0D7E" w:rsidP="008B2D07" w:rsidRDefault="003C0D7E" w14:paraId="0236DB75">
      <w:pPr>
        <w:jc w:val="both"/>
        <w:rPr>
          <w:rFonts w:asciiTheme="majorHAnsi" w:hAnsiTheme="majorHAnsi"/>
          <w:sz w:val="24"/>
          <w:szCs w:val="24"/>
        </w:rPr>
      </w:pPr>
    </w:p>
    <w:tbl>
      <w:tblPr>
        <w:tblStyle w:val="a0"/>
        <w:tblW w:w="9411" w:type="dxa"/>
        <w:tblInd w:w="-60" w:type="dxa"/>
        <w:tblLayout w:type="fixed"/>
        <w:tblLook w:val="0400" w:firstRow="0" w:lastRow="0" w:firstColumn="0" w:lastColumn="0" w:noHBand="0" w:noVBand="1"/>
      </w:tblPr>
      <w:tblGrid>
        <w:gridCol w:w="2085"/>
        <w:gridCol w:w="3215"/>
        <w:gridCol w:w="709"/>
        <w:gridCol w:w="850"/>
        <w:gridCol w:w="851"/>
        <w:gridCol w:w="709"/>
        <w:gridCol w:w="992"/>
      </w:tblGrid>
      <w:tr w:rsidRPr="00CC1DDB" w:rsidR="003C0D7E" w:rsidTr="008B2D07" w14:paraId="6630E68E">
        <w:trPr>
          <w:trHeight w:val="255"/>
        </w:trPr>
        <w:tc>
          <w:tcPr>
            <w:tcW w:w="5300" w:type="dxa"/>
            <w:gridSpan w:val="2"/>
            <w:vMerge w:val="restart"/>
            <w:tcBorders>
              <w:top w:val="single" w:color="000000" w:sz="4" w:space="0"/>
              <w:left w:val="single" w:color="000000" w:sz="4" w:space="0"/>
              <w:bottom w:val="single" w:color="000000" w:sz="4" w:space="0"/>
              <w:right w:val="single" w:color="000000" w:sz="4" w:space="0"/>
            </w:tcBorders>
            <w:shd w:val="clear" w:color="auto" w:fill="B8CCE4"/>
            <w:vAlign w:val="center"/>
          </w:tcPr>
          <w:p w:rsidRPr="00CC1DDB" w:rsidR="003C0D7E" w:rsidP="008B2D07" w:rsidRDefault="005E1A82" w14:paraId="68886928">
            <w:pPr>
              <w:jc w:val="center"/>
              <w:rPr>
                <w:rFonts w:asciiTheme="majorHAnsi" w:hAnsiTheme="majorHAnsi"/>
                <w:sz w:val="24"/>
                <w:szCs w:val="24"/>
              </w:rPr>
            </w:pPr>
            <w:r w:rsidRPr="00CC1DDB">
              <w:rPr>
                <w:rFonts w:asciiTheme="majorHAnsi" w:hAnsiTheme="majorHAnsi"/>
                <w:sz w:val="24"/>
                <w:szCs w:val="24"/>
              </w:rPr>
              <w:t>Tipo de servicio</w:t>
            </w:r>
          </w:p>
        </w:tc>
        <w:tc>
          <w:tcPr>
            <w:tcW w:w="3119" w:type="dxa"/>
            <w:gridSpan w:val="4"/>
            <w:tcBorders>
              <w:top w:val="single" w:color="000000" w:sz="4" w:space="0"/>
              <w:left w:val="nil"/>
              <w:bottom w:val="single" w:color="000000" w:sz="4" w:space="0"/>
              <w:right w:val="single" w:color="000000" w:sz="4" w:space="0"/>
            </w:tcBorders>
            <w:shd w:val="clear" w:color="auto" w:fill="B8CCE4"/>
            <w:vAlign w:val="center"/>
          </w:tcPr>
          <w:p w:rsidRPr="00CC1DDB" w:rsidR="003C0D7E" w:rsidP="008B2D07" w:rsidRDefault="005E1A82" w14:paraId="677FE295">
            <w:pPr>
              <w:jc w:val="center"/>
              <w:rPr>
                <w:rFonts w:asciiTheme="majorHAnsi" w:hAnsiTheme="majorHAnsi"/>
                <w:sz w:val="24"/>
                <w:szCs w:val="24"/>
              </w:rPr>
            </w:pPr>
            <w:r w:rsidRPr="00CC1DDB">
              <w:rPr>
                <w:rFonts w:asciiTheme="majorHAnsi" w:hAnsiTheme="majorHAnsi"/>
                <w:sz w:val="24"/>
                <w:szCs w:val="24"/>
              </w:rPr>
              <w:t>Año de registro</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B8CCE4"/>
            <w:vAlign w:val="center"/>
          </w:tcPr>
          <w:p w:rsidRPr="00CC1DDB" w:rsidR="003C0D7E" w:rsidP="008B2D07" w:rsidRDefault="00EE5D5A" w14:paraId="1E5D72CD">
            <w:pPr>
              <w:jc w:val="center"/>
              <w:rPr>
                <w:rFonts w:asciiTheme="majorHAnsi" w:hAnsiTheme="majorHAnsi"/>
                <w:sz w:val="24"/>
                <w:szCs w:val="24"/>
              </w:rPr>
            </w:pPr>
            <w:r w:rsidRPr="00CC1DDB">
              <w:rPr>
                <w:rFonts w:asciiTheme="majorHAnsi" w:hAnsiTheme="majorHAnsi"/>
                <w:sz w:val="24"/>
                <w:szCs w:val="24"/>
              </w:rPr>
              <w:t>Total,</w:t>
            </w:r>
            <w:r w:rsidRPr="00CC1DDB" w:rsidR="005E1A82">
              <w:rPr>
                <w:rFonts w:asciiTheme="majorHAnsi" w:hAnsiTheme="majorHAnsi"/>
                <w:sz w:val="24"/>
                <w:szCs w:val="24"/>
              </w:rPr>
              <w:t xml:space="preserve"> general</w:t>
            </w:r>
          </w:p>
        </w:tc>
      </w:tr>
      <w:tr w:rsidRPr="00CC1DDB" w:rsidR="003C0D7E" w:rsidTr="008B2D07" w14:paraId="5586454E">
        <w:trPr>
          <w:trHeight w:val="345"/>
        </w:trPr>
        <w:tc>
          <w:tcPr>
            <w:tcW w:w="5300" w:type="dxa"/>
            <w:gridSpan w:val="2"/>
            <w:vMerge/>
            <w:tcBorders>
              <w:top w:val="single" w:color="000000" w:sz="4" w:space="0"/>
              <w:left w:val="single" w:color="000000" w:sz="4" w:space="0"/>
              <w:bottom w:val="single" w:color="000000" w:sz="4" w:space="0"/>
              <w:right w:val="single" w:color="000000" w:sz="4" w:space="0"/>
            </w:tcBorders>
            <w:shd w:val="clear" w:color="auto" w:fill="B8CCE4"/>
            <w:vAlign w:val="center"/>
          </w:tcPr>
          <w:p w:rsidRPr="00CC1DDB" w:rsidR="003C0D7E" w:rsidP="008B2D07" w:rsidRDefault="003C0D7E" w14:paraId="263A185B">
            <w:pPr>
              <w:widowControl w:val="0"/>
              <w:jc w:val="both"/>
              <w:rPr>
                <w:rFonts w:asciiTheme="majorHAnsi" w:hAnsiTheme="majorHAnsi"/>
                <w:sz w:val="24"/>
                <w:szCs w:val="24"/>
              </w:rPr>
            </w:pPr>
          </w:p>
        </w:tc>
        <w:tc>
          <w:tcPr>
            <w:tcW w:w="709" w:type="dxa"/>
            <w:tcBorders>
              <w:top w:val="nil"/>
              <w:left w:val="nil"/>
              <w:bottom w:val="single" w:color="000000" w:sz="4" w:space="0"/>
              <w:right w:val="single" w:color="000000" w:sz="4" w:space="0"/>
            </w:tcBorders>
            <w:shd w:val="clear" w:color="auto" w:fill="B8CCE4"/>
            <w:vAlign w:val="center"/>
          </w:tcPr>
          <w:p w:rsidRPr="00CC1DDB" w:rsidR="003C0D7E" w:rsidP="008B2D07" w:rsidRDefault="005E1A82" w14:paraId="79D251ED">
            <w:pPr>
              <w:jc w:val="both"/>
              <w:rPr>
                <w:rFonts w:asciiTheme="majorHAnsi" w:hAnsiTheme="majorHAnsi"/>
                <w:sz w:val="24"/>
                <w:szCs w:val="24"/>
              </w:rPr>
            </w:pPr>
            <w:r w:rsidRPr="00CC1DDB">
              <w:rPr>
                <w:rFonts w:asciiTheme="majorHAnsi" w:hAnsiTheme="majorHAnsi"/>
                <w:sz w:val="24"/>
                <w:szCs w:val="24"/>
              </w:rPr>
              <w:t>2017</w:t>
            </w:r>
          </w:p>
        </w:tc>
        <w:tc>
          <w:tcPr>
            <w:tcW w:w="850" w:type="dxa"/>
            <w:tcBorders>
              <w:top w:val="nil"/>
              <w:left w:val="nil"/>
              <w:bottom w:val="single" w:color="000000" w:sz="4" w:space="0"/>
              <w:right w:val="single" w:color="000000" w:sz="4" w:space="0"/>
            </w:tcBorders>
            <w:shd w:val="clear" w:color="auto" w:fill="B8CCE4"/>
            <w:vAlign w:val="center"/>
          </w:tcPr>
          <w:p w:rsidRPr="00CC1DDB" w:rsidR="003C0D7E" w:rsidP="008B2D07" w:rsidRDefault="005E1A82" w14:paraId="2312D722">
            <w:pPr>
              <w:jc w:val="both"/>
              <w:rPr>
                <w:rFonts w:asciiTheme="majorHAnsi" w:hAnsiTheme="majorHAnsi"/>
                <w:sz w:val="24"/>
                <w:szCs w:val="24"/>
              </w:rPr>
            </w:pPr>
            <w:r w:rsidRPr="00CC1DDB">
              <w:rPr>
                <w:rFonts w:asciiTheme="majorHAnsi" w:hAnsiTheme="majorHAnsi"/>
                <w:sz w:val="24"/>
                <w:szCs w:val="24"/>
              </w:rPr>
              <w:t>2018</w:t>
            </w:r>
          </w:p>
        </w:tc>
        <w:tc>
          <w:tcPr>
            <w:tcW w:w="851" w:type="dxa"/>
            <w:tcBorders>
              <w:top w:val="nil"/>
              <w:left w:val="nil"/>
              <w:bottom w:val="single" w:color="000000" w:sz="4" w:space="0"/>
              <w:right w:val="single" w:color="000000" w:sz="4" w:space="0"/>
            </w:tcBorders>
            <w:shd w:val="clear" w:color="auto" w:fill="B8CCE4"/>
            <w:vAlign w:val="center"/>
          </w:tcPr>
          <w:p w:rsidRPr="00CC1DDB" w:rsidR="003C0D7E" w:rsidP="008B2D07" w:rsidRDefault="005E1A82" w14:paraId="337898AE">
            <w:pPr>
              <w:jc w:val="both"/>
              <w:rPr>
                <w:rFonts w:asciiTheme="majorHAnsi" w:hAnsiTheme="majorHAnsi"/>
                <w:sz w:val="24"/>
                <w:szCs w:val="24"/>
              </w:rPr>
            </w:pPr>
            <w:r w:rsidRPr="00CC1DDB">
              <w:rPr>
                <w:rFonts w:asciiTheme="majorHAnsi" w:hAnsiTheme="majorHAnsi"/>
                <w:sz w:val="24"/>
                <w:szCs w:val="24"/>
              </w:rPr>
              <w:t>2019</w:t>
            </w:r>
          </w:p>
        </w:tc>
        <w:tc>
          <w:tcPr>
            <w:tcW w:w="709" w:type="dxa"/>
            <w:tcBorders>
              <w:top w:val="nil"/>
              <w:left w:val="nil"/>
              <w:bottom w:val="single" w:color="000000" w:sz="4" w:space="0"/>
              <w:right w:val="single" w:color="000000" w:sz="4" w:space="0"/>
            </w:tcBorders>
            <w:shd w:val="clear" w:color="auto" w:fill="B8CCE4"/>
            <w:vAlign w:val="center"/>
          </w:tcPr>
          <w:p w:rsidRPr="00CC1DDB" w:rsidR="003C0D7E" w:rsidP="008B2D07" w:rsidRDefault="005E1A82" w14:paraId="6F4EFEEA">
            <w:pPr>
              <w:jc w:val="both"/>
              <w:rPr>
                <w:rFonts w:asciiTheme="majorHAnsi" w:hAnsiTheme="majorHAnsi"/>
                <w:sz w:val="24"/>
                <w:szCs w:val="24"/>
              </w:rPr>
            </w:pPr>
            <w:r w:rsidRPr="00CC1DDB">
              <w:rPr>
                <w:rFonts w:asciiTheme="majorHAnsi" w:hAnsiTheme="majorHAnsi"/>
                <w:sz w:val="24"/>
                <w:szCs w:val="24"/>
              </w:rPr>
              <w:t>2020</w:t>
            </w:r>
          </w:p>
        </w:tc>
        <w:tc>
          <w:tcPr>
            <w:tcW w:w="992" w:type="dxa"/>
            <w:vMerge/>
            <w:tcBorders>
              <w:top w:val="single" w:color="000000" w:sz="4" w:space="0"/>
              <w:left w:val="single" w:color="000000" w:sz="4" w:space="0"/>
              <w:bottom w:val="single" w:color="000000" w:sz="4" w:space="0"/>
              <w:right w:val="single" w:color="000000" w:sz="4" w:space="0"/>
            </w:tcBorders>
            <w:shd w:val="clear" w:color="auto" w:fill="B8CCE4"/>
            <w:vAlign w:val="center"/>
          </w:tcPr>
          <w:p w:rsidRPr="00CC1DDB" w:rsidR="003C0D7E" w:rsidP="008B2D07" w:rsidRDefault="003C0D7E" w14:paraId="669FD894">
            <w:pPr>
              <w:widowControl w:val="0"/>
              <w:jc w:val="both"/>
              <w:rPr>
                <w:rFonts w:asciiTheme="majorHAnsi" w:hAnsiTheme="majorHAnsi"/>
                <w:sz w:val="24"/>
                <w:szCs w:val="24"/>
              </w:rPr>
            </w:pPr>
          </w:p>
        </w:tc>
      </w:tr>
      <w:tr w:rsidRPr="00CC1DDB" w:rsidR="003C0D7E" w:rsidTr="008B2D07" w14:paraId="08E5CF45">
        <w:trPr>
          <w:trHeight w:val="255"/>
        </w:trPr>
        <w:tc>
          <w:tcPr>
            <w:tcW w:w="2085" w:type="dxa"/>
            <w:vMerge w:val="restart"/>
            <w:tcBorders>
              <w:top w:val="nil"/>
              <w:left w:val="single" w:color="000000" w:sz="4" w:space="0"/>
              <w:bottom w:val="single" w:color="000000" w:sz="4" w:space="0"/>
              <w:right w:val="single" w:color="000000" w:sz="4" w:space="0"/>
            </w:tcBorders>
            <w:shd w:val="clear" w:color="auto" w:fill="auto"/>
            <w:vAlign w:val="center"/>
          </w:tcPr>
          <w:p w:rsidRPr="00CC1DDB" w:rsidR="003C0D7E" w:rsidP="008B2D07" w:rsidRDefault="005E1A82" w14:paraId="2AD15B8A">
            <w:pPr>
              <w:jc w:val="center"/>
              <w:rPr>
                <w:rFonts w:asciiTheme="majorHAnsi" w:hAnsiTheme="majorHAnsi"/>
                <w:sz w:val="24"/>
                <w:szCs w:val="24"/>
              </w:rPr>
            </w:pPr>
            <w:r w:rsidRPr="00CC1DDB">
              <w:rPr>
                <w:rFonts w:asciiTheme="majorHAnsi" w:hAnsiTheme="majorHAnsi"/>
                <w:sz w:val="24"/>
                <w:szCs w:val="24"/>
              </w:rPr>
              <w:t>Servicios de Defensa y Prevención</w:t>
            </w:r>
          </w:p>
        </w:tc>
        <w:tc>
          <w:tcPr>
            <w:tcW w:w="3215" w:type="dxa"/>
            <w:tcBorders>
              <w:top w:val="nil"/>
              <w:left w:val="nil"/>
              <w:bottom w:val="single" w:color="000000" w:sz="4" w:space="0"/>
              <w:right w:val="single" w:color="000000" w:sz="4" w:space="0"/>
            </w:tcBorders>
            <w:shd w:val="clear" w:color="auto" w:fill="auto"/>
            <w:vAlign w:val="center"/>
          </w:tcPr>
          <w:p w:rsidRPr="00CC1DDB" w:rsidR="003C0D7E" w:rsidP="008B2D07" w:rsidRDefault="005E1A82" w14:paraId="6EBFBF64">
            <w:pPr>
              <w:jc w:val="both"/>
              <w:rPr>
                <w:rFonts w:asciiTheme="majorHAnsi" w:hAnsiTheme="majorHAnsi"/>
                <w:sz w:val="24"/>
                <w:szCs w:val="24"/>
              </w:rPr>
            </w:pPr>
            <w:r w:rsidRPr="00CC1DDB">
              <w:rPr>
                <w:rFonts w:asciiTheme="majorHAnsi" w:hAnsiTheme="majorHAnsi"/>
                <w:sz w:val="24"/>
                <w:szCs w:val="24"/>
              </w:rPr>
              <w:t>Orientación Verbal</w:t>
            </w:r>
          </w:p>
        </w:tc>
        <w:tc>
          <w:tcPr>
            <w:tcW w:w="709"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0081EBAF">
            <w:pPr>
              <w:jc w:val="center"/>
              <w:rPr>
                <w:rFonts w:asciiTheme="majorHAnsi" w:hAnsiTheme="majorHAnsi"/>
                <w:sz w:val="24"/>
                <w:szCs w:val="24"/>
              </w:rPr>
            </w:pPr>
            <w:r w:rsidRPr="00CC1DDB">
              <w:rPr>
                <w:rFonts w:asciiTheme="majorHAnsi" w:hAnsiTheme="majorHAnsi"/>
                <w:sz w:val="24"/>
                <w:szCs w:val="24"/>
              </w:rPr>
              <w:t>2</w:t>
            </w:r>
          </w:p>
        </w:tc>
        <w:tc>
          <w:tcPr>
            <w:tcW w:w="850"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1EDC2EB2">
            <w:pPr>
              <w:jc w:val="center"/>
              <w:rPr>
                <w:rFonts w:asciiTheme="majorHAnsi" w:hAnsiTheme="majorHAnsi"/>
                <w:sz w:val="24"/>
                <w:szCs w:val="24"/>
              </w:rPr>
            </w:pPr>
            <w:r w:rsidRPr="00CC1DDB">
              <w:rPr>
                <w:rFonts w:asciiTheme="majorHAnsi" w:hAnsiTheme="majorHAnsi"/>
                <w:sz w:val="24"/>
                <w:szCs w:val="24"/>
              </w:rPr>
              <w:t>7</w:t>
            </w:r>
          </w:p>
        </w:tc>
        <w:tc>
          <w:tcPr>
            <w:tcW w:w="851"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21C645D1">
            <w:pPr>
              <w:jc w:val="center"/>
              <w:rPr>
                <w:rFonts w:asciiTheme="majorHAnsi" w:hAnsiTheme="majorHAnsi"/>
                <w:sz w:val="24"/>
                <w:szCs w:val="24"/>
              </w:rPr>
            </w:pPr>
            <w:r w:rsidRPr="00CC1DDB">
              <w:rPr>
                <w:rFonts w:asciiTheme="majorHAnsi" w:hAnsiTheme="majorHAnsi"/>
                <w:sz w:val="24"/>
                <w:szCs w:val="24"/>
              </w:rPr>
              <w:t>6</w:t>
            </w:r>
          </w:p>
        </w:tc>
        <w:tc>
          <w:tcPr>
            <w:tcW w:w="709"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3162FF99">
            <w:pPr>
              <w:jc w:val="center"/>
              <w:rPr>
                <w:rFonts w:asciiTheme="majorHAnsi" w:hAnsiTheme="majorHAnsi"/>
                <w:sz w:val="24"/>
                <w:szCs w:val="24"/>
              </w:rPr>
            </w:pPr>
            <w:r w:rsidRPr="00CC1DDB">
              <w:rPr>
                <w:rFonts w:asciiTheme="majorHAnsi" w:hAnsiTheme="majorHAnsi"/>
                <w:sz w:val="24"/>
                <w:szCs w:val="24"/>
              </w:rPr>
              <w:t>1</w:t>
            </w:r>
          </w:p>
        </w:tc>
        <w:tc>
          <w:tcPr>
            <w:tcW w:w="992"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0969D197">
            <w:pPr>
              <w:jc w:val="center"/>
              <w:rPr>
                <w:rFonts w:asciiTheme="majorHAnsi" w:hAnsiTheme="majorHAnsi"/>
                <w:sz w:val="24"/>
                <w:szCs w:val="24"/>
              </w:rPr>
            </w:pPr>
            <w:r w:rsidRPr="00CC1DDB">
              <w:rPr>
                <w:rFonts w:asciiTheme="majorHAnsi" w:hAnsiTheme="majorHAnsi"/>
                <w:sz w:val="24"/>
                <w:szCs w:val="24"/>
              </w:rPr>
              <w:t>16</w:t>
            </w:r>
          </w:p>
        </w:tc>
      </w:tr>
      <w:tr w:rsidRPr="00CC1DDB" w:rsidR="003C0D7E" w:rsidTr="008B2D07" w14:paraId="1F04D502">
        <w:trPr>
          <w:trHeight w:val="255"/>
        </w:trPr>
        <w:tc>
          <w:tcPr>
            <w:tcW w:w="2085" w:type="dxa"/>
            <w:vMerge/>
            <w:tcBorders>
              <w:top w:val="nil"/>
              <w:left w:val="single" w:color="000000" w:sz="4" w:space="0"/>
              <w:bottom w:val="single" w:color="000000" w:sz="4" w:space="0"/>
              <w:right w:val="single" w:color="000000" w:sz="4" w:space="0"/>
            </w:tcBorders>
            <w:shd w:val="clear" w:color="auto" w:fill="auto"/>
            <w:vAlign w:val="center"/>
          </w:tcPr>
          <w:p w:rsidRPr="00CC1DDB" w:rsidR="003C0D7E" w:rsidP="008B2D07" w:rsidRDefault="003C0D7E" w14:paraId="2003E422">
            <w:pPr>
              <w:widowControl w:val="0"/>
              <w:jc w:val="both"/>
              <w:rPr>
                <w:rFonts w:asciiTheme="majorHAnsi" w:hAnsiTheme="majorHAnsi"/>
                <w:sz w:val="24"/>
                <w:szCs w:val="24"/>
              </w:rPr>
            </w:pPr>
          </w:p>
        </w:tc>
        <w:tc>
          <w:tcPr>
            <w:tcW w:w="3215" w:type="dxa"/>
            <w:tcBorders>
              <w:top w:val="nil"/>
              <w:left w:val="nil"/>
              <w:bottom w:val="single" w:color="000000" w:sz="4" w:space="0"/>
              <w:right w:val="single" w:color="000000" w:sz="4" w:space="0"/>
            </w:tcBorders>
            <w:shd w:val="clear" w:color="auto" w:fill="auto"/>
            <w:vAlign w:val="center"/>
          </w:tcPr>
          <w:p w:rsidRPr="00CC1DDB" w:rsidR="003C0D7E" w:rsidP="008B2D07" w:rsidRDefault="005E1A82" w14:paraId="622FDB50">
            <w:pPr>
              <w:jc w:val="both"/>
              <w:rPr>
                <w:rFonts w:asciiTheme="majorHAnsi" w:hAnsiTheme="majorHAnsi"/>
                <w:sz w:val="24"/>
                <w:szCs w:val="24"/>
              </w:rPr>
            </w:pPr>
            <w:r w:rsidRPr="00CC1DDB">
              <w:rPr>
                <w:rFonts w:asciiTheme="majorHAnsi" w:hAnsiTheme="majorHAnsi"/>
                <w:sz w:val="24"/>
                <w:szCs w:val="24"/>
              </w:rPr>
              <w:t>Servicio de colaboración</w:t>
            </w:r>
          </w:p>
        </w:tc>
        <w:tc>
          <w:tcPr>
            <w:tcW w:w="709"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0536FF14">
            <w:pPr>
              <w:jc w:val="center"/>
              <w:rPr>
                <w:rFonts w:asciiTheme="majorHAnsi" w:hAnsiTheme="majorHAnsi"/>
                <w:sz w:val="24"/>
                <w:szCs w:val="24"/>
              </w:rPr>
            </w:pPr>
            <w:r w:rsidRPr="00CC1DDB">
              <w:rPr>
                <w:rFonts w:asciiTheme="majorHAnsi" w:hAnsiTheme="majorHAnsi"/>
                <w:sz w:val="24"/>
                <w:szCs w:val="24"/>
              </w:rPr>
              <w:t>0</w:t>
            </w:r>
          </w:p>
        </w:tc>
        <w:tc>
          <w:tcPr>
            <w:tcW w:w="850"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2D7D8020">
            <w:pPr>
              <w:jc w:val="center"/>
              <w:rPr>
                <w:rFonts w:asciiTheme="majorHAnsi" w:hAnsiTheme="majorHAnsi"/>
                <w:sz w:val="24"/>
                <w:szCs w:val="24"/>
              </w:rPr>
            </w:pPr>
            <w:r w:rsidRPr="00CC1DDB">
              <w:rPr>
                <w:rFonts w:asciiTheme="majorHAnsi" w:hAnsiTheme="majorHAnsi"/>
                <w:sz w:val="24"/>
                <w:szCs w:val="24"/>
              </w:rPr>
              <w:t>4</w:t>
            </w:r>
          </w:p>
        </w:tc>
        <w:tc>
          <w:tcPr>
            <w:tcW w:w="851"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7C6678DF">
            <w:pPr>
              <w:jc w:val="center"/>
              <w:rPr>
                <w:rFonts w:asciiTheme="majorHAnsi" w:hAnsiTheme="majorHAnsi"/>
                <w:sz w:val="24"/>
                <w:szCs w:val="24"/>
              </w:rPr>
            </w:pPr>
            <w:r w:rsidRPr="00CC1DDB">
              <w:rPr>
                <w:rFonts w:asciiTheme="majorHAnsi" w:hAnsiTheme="majorHAnsi"/>
                <w:sz w:val="24"/>
                <w:szCs w:val="24"/>
              </w:rPr>
              <w:t>4</w:t>
            </w:r>
          </w:p>
        </w:tc>
        <w:tc>
          <w:tcPr>
            <w:tcW w:w="709"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5EC64C37">
            <w:pPr>
              <w:jc w:val="center"/>
              <w:rPr>
                <w:rFonts w:asciiTheme="majorHAnsi" w:hAnsiTheme="majorHAnsi"/>
                <w:sz w:val="24"/>
                <w:szCs w:val="24"/>
              </w:rPr>
            </w:pPr>
            <w:r w:rsidRPr="00CC1DDB">
              <w:rPr>
                <w:rFonts w:asciiTheme="majorHAnsi" w:hAnsiTheme="majorHAnsi"/>
                <w:sz w:val="24"/>
                <w:szCs w:val="24"/>
              </w:rPr>
              <w:t>7</w:t>
            </w:r>
          </w:p>
        </w:tc>
        <w:tc>
          <w:tcPr>
            <w:tcW w:w="992"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0920DD7B">
            <w:pPr>
              <w:jc w:val="center"/>
              <w:rPr>
                <w:rFonts w:asciiTheme="majorHAnsi" w:hAnsiTheme="majorHAnsi"/>
                <w:sz w:val="24"/>
                <w:szCs w:val="24"/>
              </w:rPr>
            </w:pPr>
            <w:r w:rsidRPr="00CC1DDB">
              <w:rPr>
                <w:rFonts w:asciiTheme="majorHAnsi" w:hAnsiTheme="majorHAnsi"/>
                <w:sz w:val="24"/>
                <w:szCs w:val="24"/>
              </w:rPr>
              <w:t>15</w:t>
            </w:r>
          </w:p>
        </w:tc>
      </w:tr>
      <w:tr w:rsidRPr="00CC1DDB" w:rsidR="003C0D7E" w:rsidTr="008B2D07" w14:paraId="0A8C7BD0">
        <w:trPr>
          <w:trHeight w:val="255"/>
        </w:trPr>
        <w:tc>
          <w:tcPr>
            <w:tcW w:w="2085" w:type="dxa"/>
            <w:vMerge/>
            <w:tcBorders>
              <w:top w:val="nil"/>
              <w:left w:val="single" w:color="000000" w:sz="4" w:space="0"/>
              <w:bottom w:val="single" w:color="000000" w:sz="4" w:space="0"/>
              <w:right w:val="single" w:color="000000" w:sz="4" w:space="0"/>
            </w:tcBorders>
            <w:shd w:val="clear" w:color="auto" w:fill="auto"/>
            <w:vAlign w:val="center"/>
          </w:tcPr>
          <w:p w:rsidRPr="00CC1DDB" w:rsidR="003C0D7E" w:rsidP="008B2D07" w:rsidRDefault="003C0D7E" w14:paraId="7E3B8666">
            <w:pPr>
              <w:widowControl w:val="0"/>
              <w:jc w:val="both"/>
              <w:rPr>
                <w:rFonts w:asciiTheme="majorHAnsi" w:hAnsiTheme="majorHAnsi"/>
                <w:sz w:val="24"/>
                <w:szCs w:val="24"/>
              </w:rPr>
            </w:pPr>
          </w:p>
        </w:tc>
        <w:tc>
          <w:tcPr>
            <w:tcW w:w="3215" w:type="dxa"/>
            <w:tcBorders>
              <w:top w:val="nil"/>
              <w:left w:val="nil"/>
              <w:bottom w:val="single" w:color="000000" w:sz="4" w:space="0"/>
              <w:right w:val="single" w:color="000000" w:sz="4" w:space="0"/>
            </w:tcBorders>
            <w:shd w:val="clear" w:color="auto" w:fill="auto"/>
            <w:vAlign w:val="center"/>
          </w:tcPr>
          <w:p w:rsidRPr="00CC1DDB" w:rsidR="003C0D7E" w:rsidP="008B2D07" w:rsidRDefault="005E1A82" w14:paraId="13C47426">
            <w:pPr>
              <w:jc w:val="both"/>
              <w:rPr>
                <w:rFonts w:asciiTheme="majorHAnsi" w:hAnsiTheme="majorHAnsi"/>
                <w:sz w:val="24"/>
                <w:szCs w:val="24"/>
              </w:rPr>
            </w:pPr>
            <w:r w:rsidRPr="00CC1DDB">
              <w:rPr>
                <w:rFonts w:asciiTheme="majorHAnsi" w:hAnsiTheme="majorHAnsi"/>
                <w:sz w:val="24"/>
                <w:szCs w:val="24"/>
              </w:rPr>
              <w:t xml:space="preserve">Orientación verbal con </w:t>
            </w:r>
            <w:r w:rsidRPr="00CC1DDB" w:rsidR="00EE5D5A">
              <w:rPr>
                <w:rFonts w:asciiTheme="majorHAnsi" w:hAnsiTheme="majorHAnsi"/>
                <w:sz w:val="24"/>
                <w:szCs w:val="24"/>
              </w:rPr>
              <w:t>solución</w:t>
            </w:r>
            <w:r w:rsidRPr="00CC1DDB">
              <w:rPr>
                <w:rFonts w:asciiTheme="majorHAnsi" w:hAnsiTheme="majorHAnsi"/>
                <w:sz w:val="24"/>
                <w:szCs w:val="24"/>
              </w:rPr>
              <w:t xml:space="preserve"> inmediata</w:t>
            </w:r>
          </w:p>
        </w:tc>
        <w:tc>
          <w:tcPr>
            <w:tcW w:w="709"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40444F72">
            <w:pPr>
              <w:jc w:val="center"/>
              <w:rPr>
                <w:rFonts w:asciiTheme="majorHAnsi" w:hAnsiTheme="majorHAnsi"/>
                <w:sz w:val="24"/>
                <w:szCs w:val="24"/>
              </w:rPr>
            </w:pPr>
            <w:r w:rsidRPr="00CC1DDB">
              <w:rPr>
                <w:rFonts w:asciiTheme="majorHAnsi" w:hAnsiTheme="majorHAnsi"/>
                <w:sz w:val="24"/>
                <w:szCs w:val="24"/>
              </w:rPr>
              <w:t>1</w:t>
            </w:r>
          </w:p>
        </w:tc>
        <w:tc>
          <w:tcPr>
            <w:tcW w:w="850"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60C8CB93">
            <w:pPr>
              <w:jc w:val="center"/>
              <w:rPr>
                <w:rFonts w:asciiTheme="majorHAnsi" w:hAnsiTheme="majorHAnsi"/>
                <w:sz w:val="24"/>
                <w:szCs w:val="24"/>
              </w:rPr>
            </w:pPr>
            <w:r w:rsidRPr="00CC1DDB">
              <w:rPr>
                <w:rFonts w:asciiTheme="majorHAnsi" w:hAnsiTheme="majorHAnsi"/>
                <w:sz w:val="24"/>
                <w:szCs w:val="24"/>
              </w:rPr>
              <w:t>2</w:t>
            </w:r>
          </w:p>
        </w:tc>
        <w:tc>
          <w:tcPr>
            <w:tcW w:w="851"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41352664">
            <w:pPr>
              <w:jc w:val="center"/>
              <w:rPr>
                <w:rFonts w:asciiTheme="majorHAnsi" w:hAnsiTheme="majorHAnsi"/>
                <w:sz w:val="24"/>
                <w:szCs w:val="24"/>
              </w:rPr>
            </w:pPr>
            <w:r w:rsidRPr="00CC1DDB">
              <w:rPr>
                <w:rFonts w:asciiTheme="majorHAnsi" w:hAnsiTheme="majorHAnsi"/>
                <w:sz w:val="24"/>
                <w:szCs w:val="24"/>
              </w:rPr>
              <w:t>4</w:t>
            </w:r>
          </w:p>
        </w:tc>
        <w:tc>
          <w:tcPr>
            <w:tcW w:w="709"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22E05B20">
            <w:pPr>
              <w:jc w:val="center"/>
              <w:rPr>
                <w:rFonts w:asciiTheme="majorHAnsi" w:hAnsiTheme="majorHAnsi"/>
                <w:sz w:val="24"/>
                <w:szCs w:val="24"/>
              </w:rPr>
            </w:pPr>
            <w:r w:rsidRPr="00CC1DDB">
              <w:rPr>
                <w:rFonts w:asciiTheme="majorHAnsi" w:hAnsiTheme="majorHAnsi"/>
                <w:sz w:val="24"/>
                <w:szCs w:val="24"/>
              </w:rPr>
              <w:t>1</w:t>
            </w:r>
          </w:p>
        </w:tc>
        <w:tc>
          <w:tcPr>
            <w:tcW w:w="992"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01141727">
            <w:pPr>
              <w:jc w:val="center"/>
              <w:rPr>
                <w:rFonts w:asciiTheme="majorHAnsi" w:hAnsiTheme="majorHAnsi"/>
                <w:sz w:val="24"/>
                <w:szCs w:val="24"/>
              </w:rPr>
            </w:pPr>
            <w:r w:rsidRPr="00CC1DDB">
              <w:rPr>
                <w:rFonts w:asciiTheme="majorHAnsi" w:hAnsiTheme="majorHAnsi"/>
                <w:sz w:val="24"/>
                <w:szCs w:val="24"/>
              </w:rPr>
              <w:t>8</w:t>
            </w:r>
          </w:p>
        </w:tc>
      </w:tr>
      <w:tr w:rsidRPr="00CC1DDB" w:rsidR="003C0D7E" w:rsidTr="008B2D07" w14:paraId="6225586F">
        <w:trPr>
          <w:trHeight w:val="255"/>
        </w:trPr>
        <w:tc>
          <w:tcPr>
            <w:tcW w:w="2085" w:type="dxa"/>
            <w:vMerge/>
            <w:tcBorders>
              <w:top w:val="nil"/>
              <w:left w:val="single" w:color="000000" w:sz="4" w:space="0"/>
              <w:bottom w:val="single" w:color="000000" w:sz="4" w:space="0"/>
              <w:right w:val="single" w:color="000000" w:sz="4" w:space="0"/>
            </w:tcBorders>
            <w:shd w:val="clear" w:color="auto" w:fill="auto"/>
            <w:vAlign w:val="center"/>
          </w:tcPr>
          <w:p w:rsidRPr="00CC1DDB" w:rsidR="003C0D7E" w:rsidP="008B2D07" w:rsidRDefault="003C0D7E" w14:paraId="6B0CDA59">
            <w:pPr>
              <w:widowControl w:val="0"/>
              <w:jc w:val="both"/>
              <w:rPr>
                <w:rFonts w:asciiTheme="majorHAnsi" w:hAnsiTheme="majorHAnsi"/>
                <w:sz w:val="24"/>
                <w:szCs w:val="24"/>
              </w:rPr>
            </w:pPr>
          </w:p>
        </w:tc>
        <w:tc>
          <w:tcPr>
            <w:tcW w:w="3215" w:type="dxa"/>
            <w:tcBorders>
              <w:top w:val="nil"/>
              <w:left w:val="nil"/>
              <w:bottom w:val="single" w:color="000000" w:sz="4" w:space="0"/>
              <w:right w:val="single" w:color="000000" w:sz="4" w:space="0"/>
            </w:tcBorders>
            <w:shd w:val="clear" w:color="auto" w:fill="auto"/>
            <w:vAlign w:val="center"/>
          </w:tcPr>
          <w:p w:rsidRPr="00CC1DDB" w:rsidR="003C0D7E" w:rsidP="008B2D07" w:rsidRDefault="005E1A82" w14:paraId="51D9AA17">
            <w:pPr>
              <w:jc w:val="both"/>
              <w:rPr>
                <w:rFonts w:asciiTheme="majorHAnsi" w:hAnsiTheme="majorHAnsi"/>
                <w:sz w:val="24"/>
                <w:szCs w:val="24"/>
              </w:rPr>
            </w:pPr>
            <w:r w:rsidRPr="00CC1DDB">
              <w:rPr>
                <w:rFonts w:asciiTheme="majorHAnsi" w:hAnsiTheme="majorHAnsi"/>
                <w:sz w:val="24"/>
                <w:szCs w:val="24"/>
              </w:rPr>
              <w:t>Respuesta a peticiones por escrito</w:t>
            </w:r>
          </w:p>
        </w:tc>
        <w:tc>
          <w:tcPr>
            <w:tcW w:w="709"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24CA499E">
            <w:pPr>
              <w:jc w:val="center"/>
              <w:rPr>
                <w:rFonts w:asciiTheme="majorHAnsi" w:hAnsiTheme="majorHAnsi"/>
                <w:sz w:val="24"/>
                <w:szCs w:val="24"/>
              </w:rPr>
            </w:pPr>
            <w:r w:rsidRPr="00CC1DDB">
              <w:rPr>
                <w:rFonts w:asciiTheme="majorHAnsi" w:hAnsiTheme="majorHAnsi"/>
                <w:sz w:val="24"/>
                <w:szCs w:val="24"/>
              </w:rPr>
              <w:t>2</w:t>
            </w:r>
          </w:p>
        </w:tc>
        <w:tc>
          <w:tcPr>
            <w:tcW w:w="850"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528D3B6D">
            <w:pPr>
              <w:jc w:val="center"/>
              <w:rPr>
                <w:rFonts w:asciiTheme="majorHAnsi" w:hAnsiTheme="majorHAnsi"/>
                <w:sz w:val="24"/>
                <w:szCs w:val="24"/>
              </w:rPr>
            </w:pPr>
            <w:r w:rsidRPr="00CC1DDB">
              <w:rPr>
                <w:rFonts w:asciiTheme="majorHAnsi" w:hAnsiTheme="majorHAnsi"/>
                <w:sz w:val="24"/>
                <w:szCs w:val="24"/>
              </w:rPr>
              <w:t>0</w:t>
            </w:r>
          </w:p>
        </w:tc>
        <w:tc>
          <w:tcPr>
            <w:tcW w:w="851"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077F6F39">
            <w:pPr>
              <w:jc w:val="center"/>
              <w:rPr>
                <w:rFonts w:asciiTheme="majorHAnsi" w:hAnsiTheme="majorHAnsi"/>
                <w:sz w:val="24"/>
                <w:szCs w:val="24"/>
              </w:rPr>
            </w:pPr>
            <w:r w:rsidRPr="00CC1DDB">
              <w:rPr>
                <w:rFonts w:asciiTheme="majorHAnsi" w:hAnsiTheme="majorHAnsi"/>
                <w:sz w:val="24"/>
                <w:szCs w:val="24"/>
              </w:rPr>
              <w:t>1</w:t>
            </w:r>
          </w:p>
        </w:tc>
        <w:tc>
          <w:tcPr>
            <w:tcW w:w="709"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56C25317">
            <w:pPr>
              <w:jc w:val="center"/>
              <w:rPr>
                <w:rFonts w:asciiTheme="majorHAnsi" w:hAnsiTheme="majorHAnsi"/>
                <w:sz w:val="24"/>
                <w:szCs w:val="24"/>
              </w:rPr>
            </w:pPr>
            <w:r w:rsidRPr="00CC1DDB">
              <w:rPr>
                <w:rFonts w:asciiTheme="majorHAnsi" w:hAnsiTheme="majorHAnsi"/>
                <w:sz w:val="24"/>
                <w:szCs w:val="24"/>
              </w:rPr>
              <w:t>0</w:t>
            </w:r>
          </w:p>
        </w:tc>
        <w:tc>
          <w:tcPr>
            <w:tcW w:w="992"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0267376E">
            <w:pPr>
              <w:jc w:val="center"/>
              <w:rPr>
                <w:rFonts w:asciiTheme="majorHAnsi" w:hAnsiTheme="majorHAnsi"/>
                <w:sz w:val="24"/>
                <w:szCs w:val="24"/>
              </w:rPr>
            </w:pPr>
            <w:r w:rsidRPr="00CC1DDB">
              <w:rPr>
                <w:rFonts w:asciiTheme="majorHAnsi" w:hAnsiTheme="majorHAnsi"/>
                <w:sz w:val="24"/>
                <w:szCs w:val="24"/>
              </w:rPr>
              <w:t>3</w:t>
            </w:r>
          </w:p>
        </w:tc>
      </w:tr>
      <w:tr w:rsidRPr="00CC1DDB" w:rsidR="003C0D7E" w:rsidTr="008B2D07" w14:paraId="34C268C8">
        <w:trPr>
          <w:trHeight w:val="255"/>
        </w:trPr>
        <w:tc>
          <w:tcPr>
            <w:tcW w:w="2085" w:type="dxa"/>
            <w:vMerge/>
            <w:tcBorders>
              <w:top w:val="nil"/>
              <w:left w:val="single" w:color="000000" w:sz="4" w:space="0"/>
              <w:bottom w:val="single" w:color="000000" w:sz="4" w:space="0"/>
              <w:right w:val="single" w:color="000000" w:sz="4" w:space="0"/>
            </w:tcBorders>
            <w:shd w:val="clear" w:color="auto" w:fill="auto"/>
            <w:vAlign w:val="center"/>
          </w:tcPr>
          <w:p w:rsidRPr="00CC1DDB" w:rsidR="003C0D7E" w:rsidP="008B2D07" w:rsidRDefault="003C0D7E" w14:paraId="50C5E27A">
            <w:pPr>
              <w:widowControl w:val="0"/>
              <w:jc w:val="both"/>
              <w:rPr>
                <w:rFonts w:asciiTheme="majorHAnsi" w:hAnsiTheme="majorHAnsi"/>
                <w:sz w:val="24"/>
                <w:szCs w:val="24"/>
              </w:rPr>
            </w:pPr>
          </w:p>
        </w:tc>
        <w:tc>
          <w:tcPr>
            <w:tcW w:w="3215" w:type="dxa"/>
            <w:tcBorders>
              <w:top w:val="nil"/>
              <w:left w:val="nil"/>
              <w:bottom w:val="single" w:color="000000" w:sz="4" w:space="0"/>
              <w:right w:val="single" w:color="000000" w:sz="4" w:space="0"/>
            </w:tcBorders>
            <w:shd w:val="clear" w:color="auto" w:fill="auto"/>
            <w:vAlign w:val="center"/>
          </w:tcPr>
          <w:p w:rsidRPr="00CC1DDB" w:rsidR="003C0D7E" w:rsidP="008B2D07" w:rsidRDefault="005E1A82" w14:paraId="5BE7CDBB">
            <w:pPr>
              <w:jc w:val="both"/>
              <w:rPr>
                <w:rFonts w:asciiTheme="majorHAnsi" w:hAnsiTheme="majorHAnsi"/>
                <w:sz w:val="24"/>
                <w:szCs w:val="24"/>
              </w:rPr>
            </w:pPr>
            <w:r w:rsidRPr="00CC1DDB">
              <w:rPr>
                <w:rFonts w:asciiTheme="majorHAnsi" w:hAnsiTheme="majorHAnsi"/>
                <w:sz w:val="24"/>
                <w:szCs w:val="24"/>
              </w:rPr>
              <w:t>Canalización con oficio</w:t>
            </w:r>
          </w:p>
        </w:tc>
        <w:tc>
          <w:tcPr>
            <w:tcW w:w="709"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23CE26D0">
            <w:pPr>
              <w:jc w:val="center"/>
              <w:rPr>
                <w:rFonts w:asciiTheme="majorHAnsi" w:hAnsiTheme="majorHAnsi"/>
                <w:sz w:val="24"/>
                <w:szCs w:val="24"/>
              </w:rPr>
            </w:pPr>
            <w:r w:rsidRPr="00CC1DDB">
              <w:rPr>
                <w:rFonts w:asciiTheme="majorHAnsi" w:hAnsiTheme="majorHAnsi"/>
                <w:sz w:val="24"/>
                <w:szCs w:val="24"/>
              </w:rPr>
              <w:t>0</w:t>
            </w:r>
          </w:p>
        </w:tc>
        <w:tc>
          <w:tcPr>
            <w:tcW w:w="850"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3B1F7F1D">
            <w:pPr>
              <w:jc w:val="center"/>
              <w:rPr>
                <w:rFonts w:asciiTheme="majorHAnsi" w:hAnsiTheme="majorHAnsi"/>
                <w:sz w:val="24"/>
                <w:szCs w:val="24"/>
              </w:rPr>
            </w:pPr>
            <w:r w:rsidRPr="00CC1DDB">
              <w:rPr>
                <w:rFonts w:asciiTheme="majorHAnsi" w:hAnsiTheme="majorHAnsi"/>
                <w:sz w:val="24"/>
                <w:szCs w:val="24"/>
              </w:rPr>
              <w:t>2</w:t>
            </w:r>
          </w:p>
        </w:tc>
        <w:tc>
          <w:tcPr>
            <w:tcW w:w="851"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1A26C180">
            <w:pPr>
              <w:jc w:val="center"/>
              <w:rPr>
                <w:rFonts w:asciiTheme="majorHAnsi" w:hAnsiTheme="majorHAnsi"/>
                <w:sz w:val="24"/>
                <w:szCs w:val="24"/>
              </w:rPr>
            </w:pPr>
            <w:r w:rsidRPr="00CC1DDB">
              <w:rPr>
                <w:rFonts w:asciiTheme="majorHAnsi" w:hAnsiTheme="majorHAnsi"/>
                <w:sz w:val="24"/>
                <w:szCs w:val="24"/>
              </w:rPr>
              <w:t>0</w:t>
            </w:r>
          </w:p>
        </w:tc>
        <w:tc>
          <w:tcPr>
            <w:tcW w:w="709"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242C5999">
            <w:pPr>
              <w:jc w:val="center"/>
              <w:rPr>
                <w:rFonts w:asciiTheme="majorHAnsi" w:hAnsiTheme="majorHAnsi"/>
                <w:sz w:val="24"/>
                <w:szCs w:val="24"/>
              </w:rPr>
            </w:pPr>
            <w:r w:rsidRPr="00CC1DDB">
              <w:rPr>
                <w:rFonts w:asciiTheme="majorHAnsi" w:hAnsiTheme="majorHAnsi"/>
                <w:sz w:val="24"/>
                <w:szCs w:val="24"/>
              </w:rPr>
              <w:t>0</w:t>
            </w:r>
          </w:p>
        </w:tc>
        <w:tc>
          <w:tcPr>
            <w:tcW w:w="992"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0EC468B1">
            <w:pPr>
              <w:jc w:val="center"/>
              <w:rPr>
                <w:rFonts w:asciiTheme="majorHAnsi" w:hAnsiTheme="majorHAnsi"/>
                <w:sz w:val="24"/>
                <w:szCs w:val="24"/>
              </w:rPr>
            </w:pPr>
            <w:r w:rsidRPr="00CC1DDB">
              <w:rPr>
                <w:rFonts w:asciiTheme="majorHAnsi" w:hAnsiTheme="majorHAnsi"/>
                <w:sz w:val="24"/>
                <w:szCs w:val="24"/>
              </w:rPr>
              <w:t>2</w:t>
            </w:r>
          </w:p>
        </w:tc>
      </w:tr>
      <w:tr w:rsidRPr="00CC1DDB" w:rsidR="003C0D7E" w:rsidTr="008B2D07" w14:paraId="3FE94493">
        <w:trPr>
          <w:trHeight w:val="255"/>
        </w:trPr>
        <w:tc>
          <w:tcPr>
            <w:tcW w:w="2085" w:type="dxa"/>
            <w:vMerge/>
            <w:tcBorders>
              <w:top w:val="nil"/>
              <w:left w:val="single" w:color="000000" w:sz="4" w:space="0"/>
              <w:bottom w:val="single" w:color="000000" w:sz="4" w:space="0"/>
              <w:right w:val="single" w:color="000000" w:sz="4" w:space="0"/>
            </w:tcBorders>
            <w:shd w:val="clear" w:color="auto" w:fill="auto"/>
            <w:vAlign w:val="center"/>
          </w:tcPr>
          <w:p w:rsidRPr="00CC1DDB" w:rsidR="003C0D7E" w:rsidP="008B2D07" w:rsidRDefault="003C0D7E" w14:paraId="7C2FF9E6">
            <w:pPr>
              <w:widowControl w:val="0"/>
              <w:jc w:val="both"/>
              <w:rPr>
                <w:rFonts w:asciiTheme="majorHAnsi" w:hAnsiTheme="majorHAnsi"/>
                <w:sz w:val="24"/>
                <w:szCs w:val="24"/>
              </w:rPr>
            </w:pPr>
          </w:p>
        </w:tc>
        <w:tc>
          <w:tcPr>
            <w:tcW w:w="3215" w:type="dxa"/>
            <w:tcBorders>
              <w:top w:val="nil"/>
              <w:left w:val="nil"/>
              <w:bottom w:val="single" w:color="000000" w:sz="4" w:space="0"/>
              <w:right w:val="single" w:color="000000" w:sz="4" w:space="0"/>
            </w:tcBorders>
            <w:shd w:val="clear" w:color="auto" w:fill="auto"/>
            <w:vAlign w:val="center"/>
          </w:tcPr>
          <w:p w:rsidRPr="00CC1DDB" w:rsidR="003C0D7E" w:rsidP="008B2D07" w:rsidRDefault="005E1A82" w14:paraId="11F5DA63">
            <w:pPr>
              <w:jc w:val="both"/>
              <w:rPr>
                <w:rFonts w:asciiTheme="majorHAnsi" w:hAnsiTheme="majorHAnsi"/>
                <w:sz w:val="24"/>
                <w:szCs w:val="24"/>
              </w:rPr>
            </w:pPr>
            <w:r w:rsidRPr="00CC1DDB">
              <w:rPr>
                <w:rFonts w:asciiTheme="majorHAnsi" w:hAnsiTheme="majorHAnsi"/>
                <w:sz w:val="24"/>
                <w:szCs w:val="24"/>
              </w:rPr>
              <w:t>Remisión</w:t>
            </w:r>
          </w:p>
        </w:tc>
        <w:tc>
          <w:tcPr>
            <w:tcW w:w="709"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6232F752">
            <w:pPr>
              <w:jc w:val="center"/>
              <w:rPr>
                <w:rFonts w:asciiTheme="majorHAnsi" w:hAnsiTheme="majorHAnsi"/>
                <w:sz w:val="24"/>
                <w:szCs w:val="24"/>
              </w:rPr>
            </w:pPr>
            <w:r w:rsidRPr="00CC1DDB">
              <w:rPr>
                <w:rFonts w:asciiTheme="majorHAnsi" w:hAnsiTheme="majorHAnsi"/>
                <w:sz w:val="24"/>
                <w:szCs w:val="24"/>
              </w:rPr>
              <w:t>0</w:t>
            </w:r>
          </w:p>
        </w:tc>
        <w:tc>
          <w:tcPr>
            <w:tcW w:w="850"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04010B3E">
            <w:pPr>
              <w:jc w:val="center"/>
              <w:rPr>
                <w:rFonts w:asciiTheme="majorHAnsi" w:hAnsiTheme="majorHAnsi"/>
                <w:sz w:val="24"/>
                <w:szCs w:val="24"/>
              </w:rPr>
            </w:pPr>
            <w:r w:rsidRPr="00CC1DDB">
              <w:rPr>
                <w:rFonts w:asciiTheme="majorHAnsi" w:hAnsiTheme="majorHAnsi"/>
                <w:sz w:val="24"/>
                <w:szCs w:val="24"/>
              </w:rPr>
              <w:t>0</w:t>
            </w:r>
          </w:p>
        </w:tc>
        <w:tc>
          <w:tcPr>
            <w:tcW w:w="851"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63516A14">
            <w:pPr>
              <w:jc w:val="center"/>
              <w:rPr>
                <w:rFonts w:asciiTheme="majorHAnsi" w:hAnsiTheme="majorHAnsi"/>
                <w:sz w:val="24"/>
                <w:szCs w:val="24"/>
              </w:rPr>
            </w:pPr>
            <w:r w:rsidRPr="00CC1DDB">
              <w:rPr>
                <w:rFonts w:asciiTheme="majorHAnsi" w:hAnsiTheme="majorHAnsi"/>
                <w:sz w:val="24"/>
                <w:szCs w:val="24"/>
              </w:rPr>
              <w:t>1</w:t>
            </w:r>
          </w:p>
        </w:tc>
        <w:tc>
          <w:tcPr>
            <w:tcW w:w="709"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3A026275">
            <w:pPr>
              <w:jc w:val="center"/>
              <w:rPr>
                <w:rFonts w:asciiTheme="majorHAnsi" w:hAnsiTheme="majorHAnsi"/>
                <w:sz w:val="24"/>
                <w:szCs w:val="24"/>
              </w:rPr>
            </w:pPr>
            <w:r w:rsidRPr="00CC1DDB">
              <w:rPr>
                <w:rFonts w:asciiTheme="majorHAnsi" w:hAnsiTheme="majorHAnsi"/>
                <w:sz w:val="24"/>
                <w:szCs w:val="24"/>
              </w:rPr>
              <w:t>0</w:t>
            </w:r>
          </w:p>
        </w:tc>
        <w:tc>
          <w:tcPr>
            <w:tcW w:w="992"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21F6F9ED">
            <w:pPr>
              <w:jc w:val="center"/>
              <w:rPr>
                <w:rFonts w:asciiTheme="majorHAnsi" w:hAnsiTheme="majorHAnsi"/>
                <w:sz w:val="24"/>
                <w:szCs w:val="24"/>
              </w:rPr>
            </w:pPr>
            <w:r w:rsidRPr="00CC1DDB">
              <w:rPr>
                <w:rFonts w:asciiTheme="majorHAnsi" w:hAnsiTheme="majorHAnsi"/>
                <w:sz w:val="24"/>
                <w:szCs w:val="24"/>
              </w:rPr>
              <w:t>1</w:t>
            </w:r>
          </w:p>
        </w:tc>
      </w:tr>
      <w:tr w:rsidRPr="00CC1DDB" w:rsidR="003C0D7E" w:rsidTr="008B2D07" w14:paraId="76BFF916">
        <w:trPr>
          <w:trHeight w:val="255"/>
        </w:trPr>
        <w:tc>
          <w:tcPr>
            <w:tcW w:w="2085" w:type="dxa"/>
            <w:vMerge/>
            <w:tcBorders>
              <w:top w:val="nil"/>
              <w:left w:val="single" w:color="000000" w:sz="4" w:space="0"/>
              <w:bottom w:val="single" w:color="000000" w:sz="4" w:space="0"/>
              <w:right w:val="single" w:color="000000" w:sz="4" w:space="0"/>
            </w:tcBorders>
            <w:shd w:val="clear" w:color="auto" w:fill="auto"/>
            <w:vAlign w:val="center"/>
          </w:tcPr>
          <w:p w:rsidRPr="00CC1DDB" w:rsidR="003C0D7E" w:rsidP="008B2D07" w:rsidRDefault="003C0D7E" w14:paraId="1D193AE0">
            <w:pPr>
              <w:widowControl w:val="0"/>
              <w:jc w:val="both"/>
              <w:rPr>
                <w:rFonts w:asciiTheme="majorHAnsi" w:hAnsiTheme="majorHAnsi"/>
                <w:sz w:val="24"/>
                <w:szCs w:val="24"/>
              </w:rPr>
            </w:pPr>
          </w:p>
        </w:tc>
        <w:tc>
          <w:tcPr>
            <w:tcW w:w="3215" w:type="dxa"/>
            <w:tcBorders>
              <w:top w:val="nil"/>
              <w:left w:val="nil"/>
              <w:bottom w:val="single" w:color="000000" w:sz="4" w:space="0"/>
              <w:right w:val="single" w:color="000000" w:sz="4" w:space="0"/>
            </w:tcBorders>
            <w:shd w:val="clear" w:color="auto" w:fill="auto"/>
            <w:vAlign w:val="center"/>
          </w:tcPr>
          <w:p w:rsidRPr="00CC1DDB" w:rsidR="003C0D7E" w:rsidP="008B2D07" w:rsidRDefault="005E1A82" w14:paraId="6F45D61D">
            <w:pPr>
              <w:jc w:val="both"/>
              <w:rPr>
                <w:rFonts w:asciiTheme="majorHAnsi" w:hAnsiTheme="majorHAnsi"/>
                <w:sz w:val="24"/>
                <w:szCs w:val="24"/>
              </w:rPr>
            </w:pPr>
            <w:r w:rsidRPr="00CC1DDB">
              <w:rPr>
                <w:rFonts w:asciiTheme="majorHAnsi" w:hAnsiTheme="majorHAnsi"/>
                <w:sz w:val="24"/>
                <w:szCs w:val="24"/>
              </w:rPr>
              <w:t>Expediente de colaboración</w:t>
            </w:r>
          </w:p>
        </w:tc>
        <w:tc>
          <w:tcPr>
            <w:tcW w:w="709"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24D750BB">
            <w:pPr>
              <w:jc w:val="center"/>
              <w:rPr>
                <w:rFonts w:asciiTheme="majorHAnsi" w:hAnsiTheme="majorHAnsi"/>
                <w:sz w:val="24"/>
                <w:szCs w:val="24"/>
              </w:rPr>
            </w:pPr>
            <w:r w:rsidRPr="00CC1DDB">
              <w:rPr>
                <w:rFonts w:asciiTheme="majorHAnsi" w:hAnsiTheme="majorHAnsi"/>
                <w:sz w:val="24"/>
                <w:szCs w:val="24"/>
              </w:rPr>
              <w:t>1</w:t>
            </w:r>
          </w:p>
        </w:tc>
        <w:tc>
          <w:tcPr>
            <w:tcW w:w="850"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1FB42488">
            <w:pPr>
              <w:jc w:val="center"/>
              <w:rPr>
                <w:rFonts w:asciiTheme="majorHAnsi" w:hAnsiTheme="majorHAnsi"/>
                <w:sz w:val="24"/>
                <w:szCs w:val="24"/>
              </w:rPr>
            </w:pPr>
            <w:r w:rsidRPr="00CC1DDB">
              <w:rPr>
                <w:rFonts w:asciiTheme="majorHAnsi" w:hAnsiTheme="majorHAnsi"/>
                <w:sz w:val="24"/>
                <w:szCs w:val="24"/>
              </w:rPr>
              <w:t>0</w:t>
            </w:r>
          </w:p>
        </w:tc>
        <w:tc>
          <w:tcPr>
            <w:tcW w:w="851"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2F0AAF78">
            <w:pPr>
              <w:jc w:val="center"/>
              <w:rPr>
                <w:rFonts w:asciiTheme="majorHAnsi" w:hAnsiTheme="majorHAnsi"/>
                <w:sz w:val="24"/>
                <w:szCs w:val="24"/>
              </w:rPr>
            </w:pPr>
            <w:r w:rsidRPr="00CC1DDB">
              <w:rPr>
                <w:rFonts w:asciiTheme="majorHAnsi" w:hAnsiTheme="majorHAnsi"/>
                <w:sz w:val="24"/>
                <w:szCs w:val="24"/>
              </w:rPr>
              <w:t>0</w:t>
            </w:r>
          </w:p>
        </w:tc>
        <w:tc>
          <w:tcPr>
            <w:tcW w:w="709"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05D70D01">
            <w:pPr>
              <w:jc w:val="center"/>
              <w:rPr>
                <w:rFonts w:asciiTheme="majorHAnsi" w:hAnsiTheme="majorHAnsi"/>
                <w:sz w:val="24"/>
                <w:szCs w:val="24"/>
              </w:rPr>
            </w:pPr>
            <w:r w:rsidRPr="00CC1DDB">
              <w:rPr>
                <w:rFonts w:asciiTheme="majorHAnsi" w:hAnsiTheme="majorHAnsi"/>
                <w:sz w:val="24"/>
                <w:szCs w:val="24"/>
              </w:rPr>
              <w:t>0</w:t>
            </w:r>
          </w:p>
        </w:tc>
        <w:tc>
          <w:tcPr>
            <w:tcW w:w="992"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47B0A8E0">
            <w:pPr>
              <w:jc w:val="center"/>
              <w:rPr>
                <w:rFonts w:asciiTheme="majorHAnsi" w:hAnsiTheme="majorHAnsi"/>
                <w:sz w:val="24"/>
                <w:szCs w:val="24"/>
              </w:rPr>
            </w:pPr>
            <w:r w:rsidRPr="00CC1DDB">
              <w:rPr>
                <w:rFonts w:asciiTheme="majorHAnsi" w:hAnsiTheme="majorHAnsi"/>
                <w:sz w:val="24"/>
                <w:szCs w:val="24"/>
              </w:rPr>
              <w:t>1</w:t>
            </w:r>
          </w:p>
        </w:tc>
      </w:tr>
      <w:tr w:rsidRPr="00CC1DDB" w:rsidR="003C0D7E" w:rsidTr="008B2D07" w14:paraId="07F1006A">
        <w:trPr>
          <w:trHeight w:val="255"/>
        </w:trPr>
        <w:tc>
          <w:tcPr>
            <w:tcW w:w="2085" w:type="dxa"/>
            <w:vMerge/>
            <w:tcBorders>
              <w:top w:val="nil"/>
              <w:left w:val="single" w:color="000000" w:sz="4" w:space="0"/>
              <w:bottom w:val="single" w:color="000000" w:sz="4" w:space="0"/>
              <w:right w:val="single" w:color="000000" w:sz="4" w:space="0"/>
            </w:tcBorders>
            <w:shd w:val="clear" w:color="auto" w:fill="auto"/>
            <w:vAlign w:val="center"/>
          </w:tcPr>
          <w:p w:rsidRPr="00CC1DDB" w:rsidR="003C0D7E" w:rsidP="008B2D07" w:rsidRDefault="003C0D7E" w14:paraId="6DABA83D">
            <w:pPr>
              <w:widowControl w:val="0"/>
              <w:jc w:val="both"/>
              <w:rPr>
                <w:rFonts w:asciiTheme="majorHAnsi" w:hAnsiTheme="majorHAnsi"/>
                <w:sz w:val="24"/>
                <w:szCs w:val="24"/>
              </w:rPr>
            </w:pPr>
          </w:p>
        </w:tc>
        <w:tc>
          <w:tcPr>
            <w:tcW w:w="3215" w:type="dxa"/>
            <w:tcBorders>
              <w:top w:val="nil"/>
              <w:left w:val="nil"/>
              <w:bottom w:val="single" w:color="000000" w:sz="4" w:space="0"/>
              <w:right w:val="single" w:color="000000" w:sz="4" w:space="0"/>
            </w:tcBorders>
            <w:shd w:val="clear" w:color="auto" w:fill="auto"/>
            <w:vAlign w:val="center"/>
          </w:tcPr>
          <w:p w:rsidRPr="00CC1DDB" w:rsidR="003C0D7E" w:rsidP="008B2D07" w:rsidRDefault="005E1A82" w14:paraId="1E5C933F">
            <w:pPr>
              <w:jc w:val="both"/>
              <w:rPr>
                <w:rFonts w:asciiTheme="majorHAnsi" w:hAnsiTheme="majorHAnsi"/>
                <w:sz w:val="24"/>
                <w:szCs w:val="24"/>
              </w:rPr>
            </w:pPr>
            <w:r w:rsidRPr="00CC1DDB">
              <w:rPr>
                <w:rFonts w:asciiTheme="majorHAnsi" w:hAnsiTheme="majorHAnsi"/>
                <w:sz w:val="24"/>
                <w:szCs w:val="24"/>
              </w:rPr>
              <w:t>Respuesta a peticiones vía electrónica</w:t>
            </w:r>
          </w:p>
        </w:tc>
        <w:tc>
          <w:tcPr>
            <w:tcW w:w="709"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33CF5458">
            <w:pPr>
              <w:jc w:val="center"/>
              <w:rPr>
                <w:rFonts w:asciiTheme="majorHAnsi" w:hAnsiTheme="majorHAnsi"/>
                <w:sz w:val="24"/>
                <w:szCs w:val="24"/>
              </w:rPr>
            </w:pPr>
            <w:r w:rsidRPr="00CC1DDB">
              <w:rPr>
                <w:rFonts w:asciiTheme="majorHAnsi" w:hAnsiTheme="majorHAnsi"/>
                <w:sz w:val="24"/>
                <w:szCs w:val="24"/>
              </w:rPr>
              <w:t>0</w:t>
            </w:r>
          </w:p>
        </w:tc>
        <w:tc>
          <w:tcPr>
            <w:tcW w:w="850"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4FEC9BB9">
            <w:pPr>
              <w:jc w:val="center"/>
              <w:rPr>
                <w:rFonts w:asciiTheme="majorHAnsi" w:hAnsiTheme="majorHAnsi"/>
                <w:sz w:val="24"/>
                <w:szCs w:val="24"/>
              </w:rPr>
            </w:pPr>
            <w:r w:rsidRPr="00CC1DDB">
              <w:rPr>
                <w:rFonts w:asciiTheme="majorHAnsi" w:hAnsiTheme="majorHAnsi"/>
                <w:sz w:val="24"/>
                <w:szCs w:val="24"/>
              </w:rPr>
              <w:t>1</w:t>
            </w:r>
          </w:p>
        </w:tc>
        <w:tc>
          <w:tcPr>
            <w:tcW w:w="851"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0C98B5FB">
            <w:pPr>
              <w:jc w:val="center"/>
              <w:rPr>
                <w:rFonts w:asciiTheme="majorHAnsi" w:hAnsiTheme="majorHAnsi"/>
                <w:sz w:val="24"/>
                <w:szCs w:val="24"/>
              </w:rPr>
            </w:pPr>
            <w:r w:rsidRPr="00CC1DDB">
              <w:rPr>
                <w:rFonts w:asciiTheme="majorHAnsi" w:hAnsiTheme="majorHAnsi"/>
                <w:sz w:val="24"/>
                <w:szCs w:val="24"/>
              </w:rPr>
              <w:t>0</w:t>
            </w:r>
          </w:p>
        </w:tc>
        <w:tc>
          <w:tcPr>
            <w:tcW w:w="709"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36DC9629">
            <w:pPr>
              <w:jc w:val="center"/>
              <w:rPr>
                <w:rFonts w:asciiTheme="majorHAnsi" w:hAnsiTheme="majorHAnsi"/>
                <w:sz w:val="24"/>
                <w:szCs w:val="24"/>
              </w:rPr>
            </w:pPr>
            <w:r w:rsidRPr="00CC1DDB">
              <w:rPr>
                <w:rFonts w:asciiTheme="majorHAnsi" w:hAnsiTheme="majorHAnsi"/>
                <w:sz w:val="24"/>
                <w:szCs w:val="24"/>
              </w:rPr>
              <w:t>0</w:t>
            </w:r>
          </w:p>
        </w:tc>
        <w:tc>
          <w:tcPr>
            <w:tcW w:w="992" w:type="dxa"/>
            <w:tcBorders>
              <w:top w:val="nil"/>
              <w:left w:val="nil"/>
              <w:bottom w:val="single" w:color="000000" w:sz="4" w:space="0"/>
              <w:right w:val="single" w:color="000000" w:sz="4" w:space="0"/>
            </w:tcBorders>
            <w:shd w:val="clear" w:color="auto" w:fill="auto"/>
            <w:vAlign w:val="center"/>
          </w:tcPr>
          <w:p w:rsidRPr="00CC1DDB" w:rsidR="003C0D7E" w:rsidP="00B77B12" w:rsidRDefault="005E1A82" w14:paraId="178565C9">
            <w:pPr>
              <w:jc w:val="center"/>
              <w:rPr>
                <w:rFonts w:asciiTheme="majorHAnsi" w:hAnsiTheme="majorHAnsi"/>
                <w:sz w:val="24"/>
                <w:szCs w:val="24"/>
              </w:rPr>
            </w:pPr>
            <w:r w:rsidRPr="00CC1DDB">
              <w:rPr>
                <w:rFonts w:asciiTheme="majorHAnsi" w:hAnsiTheme="majorHAnsi"/>
                <w:sz w:val="24"/>
                <w:szCs w:val="24"/>
              </w:rPr>
              <w:t>1</w:t>
            </w:r>
          </w:p>
        </w:tc>
      </w:tr>
      <w:tr w:rsidRPr="00CC1DDB" w:rsidR="003C0D7E" w:rsidTr="008B2D07" w14:paraId="4941910A">
        <w:trPr>
          <w:trHeight w:val="607"/>
        </w:trPr>
        <w:tc>
          <w:tcPr>
            <w:tcW w:w="5300" w:type="dxa"/>
            <w:gridSpan w:val="2"/>
            <w:tcBorders>
              <w:top w:val="single" w:color="000000" w:sz="4" w:space="0"/>
              <w:left w:val="single" w:color="000000" w:sz="4" w:space="0"/>
              <w:bottom w:val="single" w:color="000000" w:sz="4" w:space="0"/>
              <w:right w:val="single" w:color="000000" w:sz="4" w:space="0"/>
            </w:tcBorders>
            <w:shd w:val="clear" w:color="auto" w:fill="DDEBF7"/>
            <w:vAlign w:val="center"/>
          </w:tcPr>
          <w:p w:rsidRPr="00CC1DDB" w:rsidR="003C0D7E" w:rsidP="008B2D07" w:rsidRDefault="00B77B12" w14:paraId="5FC8A3E2">
            <w:pPr>
              <w:jc w:val="center"/>
              <w:rPr>
                <w:rFonts w:asciiTheme="majorHAnsi" w:hAnsiTheme="majorHAnsi"/>
                <w:sz w:val="24"/>
                <w:szCs w:val="24"/>
              </w:rPr>
            </w:pPr>
            <w:r w:rsidRPr="00CC1DDB">
              <w:rPr>
                <w:rFonts w:asciiTheme="majorHAnsi" w:hAnsiTheme="majorHAnsi"/>
                <w:sz w:val="24"/>
                <w:szCs w:val="24"/>
              </w:rPr>
              <w:t>Total,</w:t>
            </w:r>
            <w:r w:rsidRPr="00CC1DDB" w:rsidR="005E1A82">
              <w:rPr>
                <w:rFonts w:asciiTheme="majorHAnsi" w:hAnsiTheme="majorHAnsi"/>
                <w:sz w:val="24"/>
                <w:szCs w:val="24"/>
              </w:rPr>
              <w:t xml:space="preserve"> Servicios de Defensa y Prevención</w:t>
            </w:r>
          </w:p>
        </w:tc>
        <w:tc>
          <w:tcPr>
            <w:tcW w:w="709" w:type="dxa"/>
            <w:tcBorders>
              <w:top w:val="nil"/>
              <w:left w:val="nil"/>
              <w:bottom w:val="single" w:color="000000" w:sz="4" w:space="0"/>
              <w:right w:val="single" w:color="000000" w:sz="4" w:space="0"/>
            </w:tcBorders>
            <w:shd w:val="clear" w:color="auto" w:fill="DDEBF7"/>
            <w:vAlign w:val="center"/>
          </w:tcPr>
          <w:p w:rsidRPr="00CC1DDB" w:rsidR="003C0D7E" w:rsidP="00B77B12" w:rsidRDefault="005E1A82" w14:paraId="5074964B">
            <w:pPr>
              <w:jc w:val="center"/>
              <w:rPr>
                <w:rFonts w:asciiTheme="majorHAnsi" w:hAnsiTheme="majorHAnsi"/>
                <w:sz w:val="24"/>
                <w:szCs w:val="24"/>
              </w:rPr>
            </w:pPr>
            <w:r w:rsidRPr="00CC1DDB">
              <w:rPr>
                <w:rFonts w:asciiTheme="majorHAnsi" w:hAnsiTheme="majorHAnsi"/>
                <w:sz w:val="24"/>
                <w:szCs w:val="24"/>
              </w:rPr>
              <w:t>6</w:t>
            </w:r>
          </w:p>
        </w:tc>
        <w:tc>
          <w:tcPr>
            <w:tcW w:w="850" w:type="dxa"/>
            <w:tcBorders>
              <w:top w:val="nil"/>
              <w:left w:val="nil"/>
              <w:bottom w:val="single" w:color="000000" w:sz="4" w:space="0"/>
              <w:right w:val="single" w:color="000000" w:sz="4" w:space="0"/>
            </w:tcBorders>
            <w:shd w:val="clear" w:color="auto" w:fill="DDEBF7"/>
            <w:vAlign w:val="center"/>
          </w:tcPr>
          <w:p w:rsidRPr="00CC1DDB" w:rsidR="003C0D7E" w:rsidP="00B77B12" w:rsidRDefault="005E1A82" w14:paraId="5CB79DA5">
            <w:pPr>
              <w:jc w:val="center"/>
              <w:rPr>
                <w:rFonts w:asciiTheme="majorHAnsi" w:hAnsiTheme="majorHAnsi"/>
                <w:sz w:val="24"/>
                <w:szCs w:val="24"/>
              </w:rPr>
            </w:pPr>
            <w:r w:rsidRPr="00CC1DDB">
              <w:rPr>
                <w:rFonts w:asciiTheme="majorHAnsi" w:hAnsiTheme="majorHAnsi"/>
                <w:sz w:val="24"/>
                <w:szCs w:val="24"/>
              </w:rPr>
              <w:t>16</w:t>
            </w:r>
          </w:p>
        </w:tc>
        <w:tc>
          <w:tcPr>
            <w:tcW w:w="851" w:type="dxa"/>
            <w:tcBorders>
              <w:top w:val="nil"/>
              <w:left w:val="nil"/>
              <w:bottom w:val="single" w:color="000000" w:sz="4" w:space="0"/>
              <w:right w:val="single" w:color="000000" w:sz="4" w:space="0"/>
            </w:tcBorders>
            <w:shd w:val="clear" w:color="auto" w:fill="DDEBF7"/>
            <w:vAlign w:val="center"/>
          </w:tcPr>
          <w:p w:rsidRPr="00CC1DDB" w:rsidR="003C0D7E" w:rsidP="00B77B12" w:rsidRDefault="005E1A82" w14:paraId="207EAB24">
            <w:pPr>
              <w:jc w:val="center"/>
              <w:rPr>
                <w:rFonts w:asciiTheme="majorHAnsi" w:hAnsiTheme="majorHAnsi"/>
                <w:sz w:val="24"/>
                <w:szCs w:val="24"/>
              </w:rPr>
            </w:pPr>
            <w:r w:rsidRPr="00CC1DDB">
              <w:rPr>
                <w:rFonts w:asciiTheme="majorHAnsi" w:hAnsiTheme="majorHAnsi"/>
                <w:sz w:val="24"/>
                <w:szCs w:val="24"/>
              </w:rPr>
              <w:t>16</w:t>
            </w:r>
          </w:p>
        </w:tc>
        <w:tc>
          <w:tcPr>
            <w:tcW w:w="709" w:type="dxa"/>
            <w:tcBorders>
              <w:top w:val="nil"/>
              <w:left w:val="nil"/>
              <w:bottom w:val="single" w:color="000000" w:sz="4" w:space="0"/>
              <w:right w:val="single" w:color="000000" w:sz="4" w:space="0"/>
            </w:tcBorders>
            <w:shd w:val="clear" w:color="auto" w:fill="DDEBF7"/>
            <w:vAlign w:val="center"/>
          </w:tcPr>
          <w:p w:rsidRPr="00CC1DDB" w:rsidR="003C0D7E" w:rsidP="00B77B12" w:rsidRDefault="005E1A82" w14:paraId="3AF82567">
            <w:pPr>
              <w:jc w:val="center"/>
              <w:rPr>
                <w:rFonts w:asciiTheme="majorHAnsi" w:hAnsiTheme="majorHAnsi"/>
                <w:sz w:val="24"/>
                <w:szCs w:val="24"/>
              </w:rPr>
            </w:pPr>
            <w:r w:rsidRPr="00CC1DDB">
              <w:rPr>
                <w:rFonts w:asciiTheme="majorHAnsi" w:hAnsiTheme="majorHAnsi"/>
                <w:sz w:val="24"/>
                <w:szCs w:val="24"/>
              </w:rPr>
              <w:t>9</w:t>
            </w:r>
          </w:p>
        </w:tc>
        <w:tc>
          <w:tcPr>
            <w:tcW w:w="992" w:type="dxa"/>
            <w:tcBorders>
              <w:top w:val="nil"/>
              <w:left w:val="nil"/>
              <w:bottom w:val="single" w:color="000000" w:sz="4" w:space="0"/>
              <w:right w:val="single" w:color="000000" w:sz="4" w:space="0"/>
            </w:tcBorders>
            <w:shd w:val="clear" w:color="auto" w:fill="DDEBF7"/>
            <w:vAlign w:val="center"/>
          </w:tcPr>
          <w:p w:rsidRPr="00CC1DDB" w:rsidR="003C0D7E" w:rsidP="00B77B12" w:rsidRDefault="005E1A82" w14:paraId="4E015E5D">
            <w:pPr>
              <w:jc w:val="center"/>
              <w:rPr>
                <w:rFonts w:asciiTheme="majorHAnsi" w:hAnsiTheme="majorHAnsi"/>
                <w:sz w:val="24"/>
                <w:szCs w:val="24"/>
              </w:rPr>
            </w:pPr>
            <w:r w:rsidRPr="00CC1DDB">
              <w:rPr>
                <w:rFonts w:asciiTheme="majorHAnsi" w:hAnsiTheme="majorHAnsi"/>
                <w:sz w:val="24"/>
                <w:szCs w:val="24"/>
              </w:rPr>
              <w:t>47</w:t>
            </w:r>
          </w:p>
        </w:tc>
      </w:tr>
      <w:tr w:rsidRPr="00CC1DDB" w:rsidR="008B2D07" w:rsidTr="008B2D07" w14:paraId="7065BA4F">
        <w:trPr>
          <w:trHeight w:val="431"/>
        </w:trPr>
        <w:tc>
          <w:tcPr>
            <w:tcW w:w="2085" w:type="dxa"/>
            <w:tcBorders>
              <w:top w:val="nil"/>
              <w:left w:val="single" w:color="000000" w:sz="4" w:space="0"/>
              <w:bottom w:val="single" w:color="000000" w:sz="4" w:space="0"/>
              <w:right w:val="single" w:color="000000" w:sz="4" w:space="0"/>
            </w:tcBorders>
            <w:shd w:val="clear" w:color="auto" w:fill="auto"/>
            <w:vAlign w:val="center"/>
          </w:tcPr>
          <w:p w:rsidRPr="00CC1DDB" w:rsidR="008B2D07" w:rsidP="008B2D07" w:rsidRDefault="008B2D07" w14:paraId="5A0F2CCD">
            <w:pPr>
              <w:jc w:val="center"/>
              <w:rPr>
                <w:rFonts w:asciiTheme="majorHAnsi" w:hAnsiTheme="majorHAnsi"/>
                <w:sz w:val="24"/>
                <w:szCs w:val="24"/>
              </w:rPr>
            </w:pPr>
            <w:r w:rsidRPr="00CC1DDB">
              <w:rPr>
                <w:rFonts w:asciiTheme="majorHAnsi" w:hAnsiTheme="majorHAnsi"/>
                <w:sz w:val="24"/>
                <w:szCs w:val="24"/>
              </w:rPr>
              <w:t>Servicios de Protección</w:t>
            </w:r>
          </w:p>
        </w:tc>
        <w:tc>
          <w:tcPr>
            <w:tcW w:w="3215" w:type="dxa"/>
            <w:tcBorders>
              <w:top w:val="nil"/>
              <w:left w:val="nil"/>
              <w:right w:val="single" w:color="000000" w:sz="4" w:space="0"/>
            </w:tcBorders>
            <w:shd w:val="clear" w:color="auto" w:fill="auto"/>
            <w:vAlign w:val="center"/>
          </w:tcPr>
          <w:p w:rsidRPr="00CC1DDB" w:rsidR="008B2D07" w:rsidP="008B2D07" w:rsidRDefault="008B2D07" w14:paraId="05000B75">
            <w:pPr>
              <w:jc w:val="center"/>
              <w:rPr>
                <w:rFonts w:asciiTheme="majorHAnsi" w:hAnsiTheme="majorHAnsi"/>
                <w:sz w:val="24"/>
                <w:szCs w:val="24"/>
              </w:rPr>
            </w:pPr>
            <w:r w:rsidRPr="00CC1DDB">
              <w:rPr>
                <w:rFonts w:asciiTheme="majorHAnsi" w:hAnsiTheme="majorHAnsi"/>
                <w:sz w:val="24"/>
                <w:szCs w:val="24"/>
              </w:rPr>
              <w:t>Medidas Precautorias</w:t>
            </w:r>
          </w:p>
        </w:tc>
        <w:tc>
          <w:tcPr>
            <w:tcW w:w="709" w:type="dxa"/>
            <w:tcBorders>
              <w:top w:val="nil"/>
              <w:left w:val="nil"/>
              <w:bottom w:val="single" w:color="000000" w:sz="4" w:space="0"/>
              <w:right w:val="single" w:color="000000" w:sz="4" w:space="0"/>
            </w:tcBorders>
            <w:shd w:val="clear" w:color="auto" w:fill="auto"/>
            <w:vAlign w:val="center"/>
          </w:tcPr>
          <w:p w:rsidRPr="00CC1DDB" w:rsidR="008B2D07" w:rsidP="00B77B12" w:rsidRDefault="008B2D07" w14:paraId="005B0ADF">
            <w:pPr>
              <w:jc w:val="center"/>
              <w:rPr>
                <w:rFonts w:asciiTheme="majorHAnsi" w:hAnsiTheme="majorHAnsi"/>
                <w:sz w:val="24"/>
                <w:szCs w:val="24"/>
              </w:rPr>
            </w:pPr>
            <w:r w:rsidRPr="00CC1DDB">
              <w:rPr>
                <w:rFonts w:asciiTheme="majorHAnsi" w:hAnsiTheme="majorHAnsi"/>
                <w:sz w:val="24"/>
                <w:szCs w:val="24"/>
              </w:rPr>
              <w:t>10</w:t>
            </w:r>
          </w:p>
        </w:tc>
        <w:tc>
          <w:tcPr>
            <w:tcW w:w="850" w:type="dxa"/>
            <w:tcBorders>
              <w:top w:val="nil"/>
              <w:left w:val="nil"/>
              <w:bottom w:val="single" w:color="000000" w:sz="4" w:space="0"/>
              <w:right w:val="single" w:color="000000" w:sz="4" w:space="0"/>
            </w:tcBorders>
            <w:shd w:val="clear" w:color="auto" w:fill="auto"/>
            <w:vAlign w:val="center"/>
          </w:tcPr>
          <w:p w:rsidRPr="00CC1DDB" w:rsidR="008B2D07" w:rsidP="00B77B12" w:rsidRDefault="008B2D07" w14:paraId="6498D1AC">
            <w:pPr>
              <w:jc w:val="center"/>
              <w:rPr>
                <w:rFonts w:asciiTheme="majorHAnsi" w:hAnsiTheme="majorHAnsi"/>
                <w:sz w:val="24"/>
                <w:szCs w:val="24"/>
              </w:rPr>
            </w:pPr>
            <w:r w:rsidRPr="00CC1DDB">
              <w:rPr>
                <w:rFonts w:asciiTheme="majorHAnsi" w:hAnsiTheme="majorHAnsi"/>
                <w:sz w:val="24"/>
                <w:szCs w:val="24"/>
              </w:rPr>
              <w:t>9</w:t>
            </w:r>
          </w:p>
        </w:tc>
        <w:tc>
          <w:tcPr>
            <w:tcW w:w="851" w:type="dxa"/>
            <w:tcBorders>
              <w:top w:val="nil"/>
              <w:left w:val="nil"/>
              <w:bottom w:val="single" w:color="000000" w:sz="4" w:space="0"/>
              <w:right w:val="single" w:color="000000" w:sz="4" w:space="0"/>
            </w:tcBorders>
            <w:shd w:val="clear" w:color="auto" w:fill="auto"/>
            <w:vAlign w:val="center"/>
          </w:tcPr>
          <w:p w:rsidRPr="00CC1DDB" w:rsidR="008B2D07" w:rsidP="00B77B12" w:rsidRDefault="008B2D07" w14:paraId="2F3F4C01">
            <w:pPr>
              <w:jc w:val="center"/>
              <w:rPr>
                <w:rFonts w:asciiTheme="majorHAnsi" w:hAnsiTheme="majorHAnsi"/>
                <w:sz w:val="24"/>
                <w:szCs w:val="24"/>
              </w:rPr>
            </w:pPr>
            <w:r w:rsidRPr="00CC1DDB">
              <w:rPr>
                <w:rFonts w:asciiTheme="majorHAnsi" w:hAnsiTheme="majorHAnsi"/>
                <w:sz w:val="24"/>
                <w:szCs w:val="24"/>
              </w:rPr>
              <w:t>8</w:t>
            </w:r>
          </w:p>
        </w:tc>
        <w:tc>
          <w:tcPr>
            <w:tcW w:w="709" w:type="dxa"/>
            <w:tcBorders>
              <w:top w:val="nil"/>
              <w:left w:val="nil"/>
              <w:bottom w:val="single" w:color="000000" w:sz="4" w:space="0"/>
              <w:right w:val="single" w:color="000000" w:sz="4" w:space="0"/>
            </w:tcBorders>
            <w:shd w:val="clear" w:color="auto" w:fill="auto"/>
            <w:vAlign w:val="center"/>
          </w:tcPr>
          <w:p w:rsidRPr="00CC1DDB" w:rsidR="008B2D07" w:rsidP="00B77B12" w:rsidRDefault="008B2D07" w14:paraId="40AD63CD">
            <w:pPr>
              <w:jc w:val="center"/>
              <w:rPr>
                <w:rFonts w:asciiTheme="majorHAnsi" w:hAnsiTheme="majorHAnsi"/>
                <w:sz w:val="24"/>
                <w:szCs w:val="24"/>
              </w:rPr>
            </w:pPr>
            <w:r w:rsidRPr="00CC1DDB">
              <w:rPr>
                <w:rFonts w:asciiTheme="majorHAnsi" w:hAnsiTheme="majorHAnsi"/>
                <w:sz w:val="24"/>
                <w:szCs w:val="24"/>
              </w:rPr>
              <w:t>4</w:t>
            </w:r>
          </w:p>
        </w:tc>
        <w:tc>
          <w:tcPr>
            <w:tcW w:w="992" w:type="dxa"/>
            <w:tcBorders>
              <w:top w:val="nil"/>
              <w:left w:val="nil"/>
              <w:bottom w:val="single" w:color="000000" w:sz="4" w:space="0"/>
              <w:right w:val="single" w:color="000000" w:sz="4" w:space="0"/>
            </w:tcBorders>
            <w:shd w:val="clear" w:color="auto" w:fill="auto"/>
            <w:vAlign w:val="center"/>
          </w:tcPr>
          <w:p w:rsidRPr="00CC1DDB" w:rsidR="008B2D07" w:rsidP="00B77B12" w:rsidRDefault="008B2D07" w14:paraId="7D130BE8">
            <w:pPr>
              <w:jc w:val="center"/>
              <w:rPr>
                <w:rFonts w:asciiTheme="majorHAnsi" w:hAnsiTheme="majorHAnsi"/>
                <w:sz w:val="24"/>
                <w:szCs w:val="24"/>
              </w:rPr>
            </w:pPr>
            <w:r w:rsidRPr="00CC1DDB">
              <w:rPr>
                <w:rFonts w:asciiTheme="majorHAnsi" w:hAnsiTheme="majorHAnsi"/>
                <w:sz w:val="24"/>
                <w:szCs w:val="24"/>
              </w:rPr>
              <w:t>31</w:t>
            </w:r>
          </w:p>
        </w:tc>
      </w:tr>
      <w:tr w:rsidRPr="00CC1DDB" w:rsidR="003C0D7E" w:rsidTr="008B2D07" w14:paraId="7ED3EE5A">
        <w:trPr>
          <w:trHeight w:val="450"/>
        </w:trPr>
        <w:tc>
          <w:tcPr>
            <w:tcW w:w="5300" w:type="dxa"/>
            <w:gridSpan w:val="2"/>
            <w:tcBorders>
              <w:top w:val="single" w:color="000000" w:sz="4" w:space="0"/>
              <w:left w:val="single" w:color="000000" w:sz="4" w:space="0"/>
              <w:bottom w:val="single" w:color="000000" w:sz="4" w:space="0"/>
              <w:right w:val="single" w:color="000000" w:sz="4" w:space="0"/>
            </w:tcBorders>
            <w:shd w:val="clear" w:color="auto" w:fill="DDEBF7"/>
            <w:vAlign w:val="center"/>
          </w:tcPr>
          <w:p w:rsidRPr="00CC1DDB" w:rsidR="003C0D7E" w:rsidP="008B2D07" w:rsidRDefault="00B77B12" w14:paraId="310A77E4">
            <w:pPr>
              <w:jc w:val="center"/>
              <w:rPr>
                <w:rFonts w:asciiTheme="majorHAnsi" w:hAnsiTheme="majorHAnsi"/>
                <w:sz w:val="24"/>
                <w:szCs w:val="24"/>
              </w:rPr>
            </w:pPr>
            <w:r w:rsidRPr="00CC1DDB">
              <w:rPr>
                <w:rFonts w:asciiTheme="majorHAnsi" w:hAnsiTheme="majorHAnsi"/>
                <w:sz w:val="24"/>
                <w:szCs w:val="24"/>
              </w:rPr>
              <w:t>Total,</w:t>
            </w:r>
            <w:r w:rsidRPr="00CC1DDB" w:rsidR="005E1A82">
              <w:rPr>
                <w:rFonts w:asciiTheme="majorHAnsi" w:hAnsiTheme="majorHAnsi"/>
                <w:sz w:val="24"/>
                <w:szCs w:val="24"/>
              </w:rPr>
              <w:t xml:space="preserve"> Servicios de Protección</w:t>
            </w:r>
          </w:p>
        </w:tc>
        <w:tc>
          <w:tcPr>
            <w:tcW w:w="709" w:type="dxa"/>
            <w:tcBorders>
              <w:top w:val="nil"/>
              <w:left w:val="nil"/>
              <w:bottom w:val="single" w:color="000000" w:sz="4" w:space="0"/>
              <w:right w:val="single" w:color="000000" w:sz="4" w:space="0"/>
            </w:tcBorders>
            <w:shd w:val="clear" w:color="auto" w:fill="DDEBF7"/>
            <w:vAlign w:val="center"/>
          </w:tcPr>
          <w:p w:rsidRPr="00CC1DDB" w:rsidR="003C0D7E" w:rsidP="00B77B12" w:rsidRDefault="008B2D07" w14:paraId="2FE2B02A">
            <w:pPr>
              <w:jc w:val="center"/>
              <w:rPr>
                <w:rFonts w:asciiTheme="majorHAnsi" w:hAnsiTheme="majorHAnsi"/>
                <w:sz w:val="24"/>
                <w:szCs w:val="24"/>
              </w:rPr>
            </w:pPr>
            <w:r w:rsidRPr="00CC1DDB">
              <w:rPr>
                <w:rFonts w:asciiTheme="majorHAnsi" w:hAnsiTheme="majorHAnsi"/>
                <w:sz w:val="24"/>
                <w:szCs w:val="24"/>
              </w:rPr>
              <w:t>10</w:t>
            </w:r>
          </w:p>
        </w:tc>
        <w:tc>
          <w:tcPr>
            <w:tcW w:w="850" w:type="dxa"/>
            <w:tcBorders>
              <w:top w:val="nil"/>
              <w:left w:val="nil"/>
              <w:bottom w:val="single" w:color="000000" w:sz="4" w:space="0"/>
              <w:right w:val="single" w:color="000000" w:sz="4" w:space="0"/>
            </w:tcBorders>
            <w:shd w:val="clear" w:color="auto" w:fill="DDEBF7"/>
            <w:vAlign w:val="center"/>
          </w:tcPr>
          <w:p w:rsidRPr="00CC1DDB" w:rsidR="003C0D7E" w:rsidP="00B77B12" w:rsidRDefault="008B2D07" w14:paraId="2E0A5087">
            <w:pPr>
              <w:jc w:val="center"/>
              <w:rPr>
                <w:rFonts w:asciiTheme="majorHAnsi" w:hAnsiTheme="majorHAnsi"/>
                <w:sz w:val="24"/>
                <w:szCs w:val="24"/>
              </w:rPr>
            </w:pPr>
            <w:r w:rsidRPr="00CC1DDB">
              <w:rPr>
                <w:rFonts w:asciiTheme="majorHAnsi" w:hAnsiTheme="majorHAnsi"/>
                <w:sz w:val="24"/>
                <w:szCs w:val="24"/>
              </w:rPr>
              <w:t>9</w:t>
            </w:r>
          </w:p>
        </w:tc>
        <w:tc>
          <w:tcPr>
            <w:tcW w:w="851" w:type="dxa"/>
            <w:tcBorders>
              <w:top w:val="nil"/>
              <w:left w:val="nil"/>
              <w:bottom w:val="single" w:color="000000" w:sz="4" w:space="0"/>
              <w:right w:val="single" w:color="000000" w:sz="4" w:space="0"/>
            </w:tcBorders>
            <w:shd w:val="clear" w:color="auto" w:fill="DDEBF7"/>
            <w:vAlign w:val="center"/>
          </w:tcPr>
          <w:p w:rsidRPr="00CC1DDB" w:rsidR="003C0D7E" w:rsidP="00B77B12" w:rsidRDefault="008B2D07" w14:paraId="3574008D">
            <w:pPr>
              <w:jc w:val="center"/>
              <w:rPr>
                <w:rFonts w:asciiTheme="majorHAnsi" w:hAnsiTheme="majorHAnsi"/>
                <w:sz w:val="24"/>
                <w:szCs w:val="24"/>
              </w:rPr>
            </w:pPr>
            <w:r w:rsidRPr="00CC1DDB">
              <w:rPr>
                <w:rFonts w:asciiTheme="majorHAnsi" w:hAnsiTheme="majorHAnsi"/>
                <w:sz w:val="24"/>
                <w:szCs w:val="24"/>
              </w:rPr>
              <w:t>8</w:t>
            </w:r>
          </w:p>
        </w:tc>
        <w:tc>
          <w:tcPr>
            <w:tcW w:w="709" w:type="dxa"/>
            <w:tcBorders>
              <w:top w:val="nil"/>
              <w:left w:val="nil"/>
              <w:bottom w:val="single" w:color="000000" w:sz="4" w:space="0"/>
              <w:right w:val="single" w:color="000000" w:sz="4" w:space="0"/>
            </w:tcBorders>
            <w:shd w:val="clear" w:color="auto" w:fill="DDEBF7"/>
            <w:vAlign w:val="center"/>
          </w:tcPr>
          <w:p w:rsidRPr="00CC1DDB" w:rsidR="003C0D7E" w:rsidP="00B77B12" w:rsidRDefault="008B2D07" w14:paraId="1839991B">
            <w:pPr>
              <w:jc w:val="center"/>
              <w:rPr>
                <w:rFonts w:asciiTheme="majorHAnsi" w:hAnsiTheme="majorHAnsi"/>
                <w:sz w:val="24"/>
                <w:szCs w:val="24"/>
              </w:rPr>
            </w:pPr>
            <w:r w:rsidRPr="00CC1DDB">
              <w:rPr>
                <w:rFonts w:asciiTheme="majorHAnsi" w:hAnsiTheme="majorHAnsi"/>
                <w:sz w:val="24"/>
                <w:szCs w:val="24"/>
              </w:rPr>
              <w:t>4</w:t>
            </w:r>
          </w:p>
        </w:tc>
        <w:tc>
          <w:tcPr>
            <w:tcW w:w="992" w:type="dxa"/>
            <w:tcBorders>
              <w:top w:val="nil"/>
              <w:left w:val="nil"/>
              <w:bottom w:val="single" w:color="000000" w:sz="4" w:space="0"/>
              <w:right w:val="single" w:color="000000" w:sz="4" w:space="0"/>
            </w:tcBorders>
            <w:shd w:val="clear" w:color="auto" w:fill="DDEBF7"/>
            <w:vAlign w:val="center"/>
          </w:tcPr>
          <w:p w:rsidRPr="00CC1DDB" w:rsidR="003C0D7E" w:rsidP="00B77B12" w:rsidRDefault="008B2D07" w14:paraId="31EB025C">
            <w:pPr>
              <w:jc w:val="center"/>
              <w:rPr>
                <w:rFonts w:asciiTheme="majorHAnsi" w:hAnsiTheme="majorHAnsi"/>
                <w:sz w:val="24"/>
                <w:szCs w:val="24"/>
              </w:rPr>
            </w:pPr>
            <w:r w:rsidRPr="00CC1DDB">
              <w:rPr>
                <w:rFonts w:asciiTheme="majorHAnsi" w:hAnsiTheme="majorHAnsi"/>
                <w:sz w:val="24"/>
                <w:szCs w:val="24"/>
              </w:rPr>
              <w:t>31</w:t>
            </w:r>
          </w:p>
        </w:tc>
      </w:tr>
      <w:tr w:rsidRPr="00CC1DDB" w:rsidR="003C0D7E" w:rsidTr="008B2D07" w14:paraId="62B312E5">
        <w:trPr>
          <w:trHeight w:val="596"/>
        </w:trPr>
        <w:tc>
          <w:tcPr>
            <w:tcW w:w="5300" w:type="dxa"/>
            <w:gridSpan w:val="2"/>
            <w:tcBorders>
              <w:top w:val="single" w:color="000000" w:sz="4" w:space="0"/>
              <w:left w:val="single" w:color="000000" w:sz="4" w:space="0"/>
              <w:bottom w:val="single" w:color="000000" w:sz="4" w:space="0"/>
              <w:right w:val="single" w:color="000000" w:sz="4" w:space="0"/>
            </w:tcBorders>
            <w:shd w:val="clear" w:color="auto" w:fill="B8CCE4"/>
            <w:vAlign w:val="center"/>
          </w:tcPr>
          <w:p w:rsidRPr="00CC1DDB" w:rsidR="003C0D7E" w:rsidP="008B2D07" w:rsidRDefault="00B77B12" w14:paraId="05B7B950">
            <w:pPr>
              <w:jc w:val="center"/>
              <w:rPr>
                <w:rFonts w:asciiTheme="majorHAnsi" w:hAnsiTheme="majorHAnsi"/>
                <w:sz w:val="24"/>
                <w:szCs w:val="24"/>
              </w:rPr>
            </w:pPr>
            <w:r w:rsidRPr="00CC1DDB">
              <w:rPr>
                <w:rFonts w:asciiTheme="majorHAnsi" w:hAnsiTheme="majorHAnsi"/>
                <w:sz w:val="24"/>
                <w:szCs w:val="24"/>
              </w:rPr>
              <w:t>Total,</w:t>
            </w:r>
            <w:r w:rsidRPr="00CC1DDB" w:rsidR="005E1A82">
              <w:rPr>
                <w:rFonts w:asciiTheme="majorHAnsi" w:hAnsiTheme="majorHAnsi"/>
                <w:sz w:val="24"/>
                <w:szCs w:val="24"/>
              </w:rPr>
              <w:t xml:space="preserve"> general</w:t>
            </w:r>
          </w:p>
        </w:tc>
        <w:tc>
          <w:tcPr>
            <w:tcW w:w="709" w:type="dxa"/>
            <w:tcBorders>
              <w:top w:val="nil"/>
              <w:left w:val="nil"/>
              <w:bottom w:val="single" w:color="000000" w:sz="4" w:space="0"/>
              <w:right w:val="single" w:color="000000" w:sz="4" w:space="0"/>
            </w:tcBorders>
            <w:shd w:val="clear" w:color="auto" w:fill="B8CCE4"/>
            <w:vAlign w:val="center"/>
          </w:tcPr>
          <w:p w:rsidRPr="00CC1DDB" w:rsidR="003C0D7E" w:rsidP="00B77B12" w:rsidRDefault="008B2D07" w14:paraId="4AEED579">
            <w:pPr>
              <w:jc w:val="center"/>
              <w:rPr>
                <w:rFonts w:asciiTheme="majorHAnsi" w:hAnsiTheme="majorHAnsi"/>
                <w:sz w:val="24"/>
                <w:szCs w:val="24"/>
              </w:rPr>
            </w:pPr>
            <w:r w:rsidRPr="00CC1DDB">
              <w:rPr>
                <w:rFonts w:asciiTheme="majorHAnsi" w:hAnsiTheme="majorHAnsi"/>
                <w:sz w:val="24"/>
                <w:szCs w:val="24"/>
              </w:rPr>
              <w:t>16</w:t>
            </w:r>
          </w:p>
        </w:tc>
        <w:tc>
          <w:tcPr>
            <w:tcW w:w="850" w:type="dxa"/>
            <w:tcBorders>
              <w:top w:val="nil"/>
              <w:left w:val="nil"/>
              <w:bottom w:val="single" w:color="000000" w:sz="4" w:space="0"/>
              <w:right w:val="single" w:color="000000" w:sz="4" w:space="0"/>
            </w:tcBorders>
            <w:shd w:val="clear" w:color="auto" w:fill="B8CCE4"/>
            <w:vAlign w:val="center"/>
          </w:tcPr>
          <w:p w:rsidRPr="00CC1DDB" w:rsidR="003C0D7E" w:rsidP="00B77B12" w:rsidRDefault="008B2D07" w14:paraId="143724DB">
            <w:pPr>
              <w:jc w:val="center"/>
              <w:rPr>
                <w:rFonts w:asciiTheme="majorHAnsi" w:hAnsiTheme="majorHAnsi"/>
                <w:sz w:val="24"/>
                <w:szCs w:val="24"/>
              </w:rPr>
            </w:pPr>
            <w:r w:rsidRPr="00CC1DDB">
              <w:rPr>
                <w:rFonts w:asciiTheme="majorHAnsi" w:hAnsiTheme="majorHAnsi"/>
                <w:sz w:val="24"/>
                <w:szCs w:val="24"/>
              </w:rPr>
              <w:t>25</w:t>
            </w:r>
          </w:p>
        </w:tc>
        <w:tc>
          <w:tcPr>
            <w:tcW w:w="851" w:type="dxa"/>
            <w:tcBorders>
              <w:top w:val="nil"/>
              <w:left w:val="nil"/>
              <w:bottom w:val="single" w:color="000000" w:sz="4" w:space="0"/>
              <w:right w:val="single" w:color="000000" w:sz="4" w:space="0"/>
            </w:tcBorders>
            <w:shd w:val="clear" w:color="auto" w:fill="B8CCE4"/>
            <w:vAlign w:val="center"/>
          </w:tcPr>
          <w:p w:rsidRPr="00CC1DDB" w:rsidR="003C0D7E" w:rsidP="00B77B12" w:rsidRDefault="008B2D07" w14:paraId="1BDD2666">
            <w:pPr>
              <w:jc w:val="center"/>
              <w:rPr>
                <w:rFonts w:asciiTheme="majorHAnsi" w:hAnsiTheme="majorHAnsi"/>
                <w:sz w:val="24"/>
                <w:szCs w:val="24"/>
              </w:rPr>
            </w:pPr>
            <w:r w:rsidRPr="00CC1DDB">
              <w:rPr>
                <w:rFonts w:asciiTheme="majorHAnsi" w:hAnsiTheme="majorHAnsi"/>
                <w:sz w:val="24"/>
                <w:szCs w:val="24"/>
              </w:rPr>
              <w:t>24</w:t>
            </w:r>
          </w:p>
        </w:tc>
        <w:tc>
          <w:tcPr>
            <w:tcW w:w="709" w:type="dxa"/>
            <w:tcBorders>
              <w:top w:val="nil"/>
              <w:left w:val="nil"/>
              <w:bottom w:val="single" w:color="000000" w:sz="4" w:space="0"/>
              <w:right w:val="single" w:color="000000" w:sz="4" w:space="0"/>
            </w:tcBorders>
            <w:shd w:val="clear" w:color="auto" w:fill="B8CCE4"/>
            <w:vAlign w:val="center"/>
          </w:tcPr>
          <w:p w:rsidRPr="00CC1DDB" w:rsidR="003C0D7E" w:rsidP="00B77B12" w:rsidRDefault="008B2D07" w14:paraId="4D73D6DF">
            <w:pPr>
              <w:jc w:val="center"/>
              <w:rPr>
                <w:rFonts w:asciiTheme="majorHAnsi" w:hAnsiTheme="majorHAnsi"/>
                <w:sz w:val="24"/>
                <w:szCs w:val="24"/>
              </w:rPr>
            </w:pPr>
            <w:r w:rsidRPr="00CC1DDB">
              <w:rPr>
                <w:rFonts w:asciiTheme="majorHAnsi" w:hAnsiTheme="majorHAnsi"/>
                <w:sz w:val="24"/>
                <w:szCs w:val="24"/>
              </w:rPr>
              <w:t>13</w:t>
            </w:r>
          </w:p>
        </w:tc>
        <w:tc>
          <w:tcPr>
            <w:tcW w:w="992" w:type="dxa"/>
            <w:tcBorders>
              <w:top w:val="nil"/>
              <w:left w:val="nil"/>
              <w:bottom w:val="single" w:color="000000" w:sz="4" w:space="0"/>
              <w:right w:val="single" w:color="000000" w:sz="4" w:space="0"/>
            </w:tcBorders>
            <w:shd w:val="clear" w:color="auto" w:fill="B8CCE4"/>
            <w:vAlign w:val="center"/>
          </w:tcPr>
          <w:p w:rsidRPr="00CC1DDB" w:rsidR="003C0D7E" w:rsidP="00B77B12" w:rsidRDefault="008B2D07" w14:paraId="7BCA2E40">
            <w:pPr>
              <w:jc w:val="center"/>
              <w:rPr>
                <w:rFonts w:asciiTheme="majorHAnsi" w:hAnsiTheme="majorHAnsi"/>
                <w:sz w:val="24"/>
                <w:szCs w:val="24"/>
              </w:rPr>
            </w:pPr>
            <w:r w:rsidRPr="00CC1DDB">
              <w:rPr>
                <w:rFonts w:asciiTheme="majorHAnsi" w:hAnsiTheme="majorHAnsi"/>
                <w:sz w:val="24"/>
                <w:szCs w:val="24"/>
              </w:rPr>
              <w:t>78</w:t>
            </w:r>
          </w:p>
        </w:tc>
      </w:tr>
    </w:tbl>
    <w:p w:rsidRPr="00CC1DDB" w:rsidR="00867E0D" w:rsidP="008B2D07" w:rsidRDefault="005E1A82" w14:paraId="705D0540">
      <w:pPr>
        <w:spacing w:before="240" w:after="240"/>
        <w:jc w:val="both"/>
        <w:rPr>
          <w:rFonts w:asciiTheme="majorHAnsi" w:hAnsiTheme="majorHAnsi"/>
          <w:b/>
          <w:color w:val="222222"/>
          <w:sz w:val="24"/>
          <w:szCs w:val="24"/>
        </w:rPr>
      </w:pPr>
      <w:r w:rsidRPr="00CC1DDB">
        <w:rPr>
          <w:rFonts w:asciiTheme="majorHAnsi" w:hAnsiTheme="majorHAnsi"/>
          <w:b/>
          <w:color w:val="222222"/>
          <w:sz w:val="24"/>
          <w:szCs w:val="24"/>
        </w:rPr>
        <w:lastRenderedPageBreak/>
        <w:t>6) ¿Podría usted compartir buenas prácticas (basadas en evidencias) que hayan demostrado ser eficaces para hacer frente a las amenazas de muerte? ¿Y para evitar que dichas amenazas se traduzcan en el asesinato o asesinatos de personas defensoras de los derechos humanos?</w:t>
      </w:r>
    </w:p>
    <w:p w:rsidRPr="006B4944" w:rsidR="006B4944" w:rsidP="006B4944" w:rsidRDefault="006B4944" w14:paraId="3ED7CCF7">
      <w:pPr>
        <w:shd w:val="clear" w:color="auto" w:fill="FFFFFF"/>
        <w:spacing w:line="240" w:lineRule="auto"/>
        <w:jc w:val="both"/>
        <w:rPr>
          <w:rFonts w:eastAsia="Times New Roman" w:cs="Times New Roman" w:asciiTheme="majorHAnsi" w:hAnsiTheme="majorHAnsi"/>
          <w:color w:val="000000" w:themeColor="text1"/>
          <w:sz w:val="24"/>
          <w:szCs w:val="24"/>
          <w:lang w:val="es-MX"/>
        </w:rPr>
      </w:pPr>
      <w:r w:rsidRPr="00CC1DDB">
        <w:rPr>
          <w:rFonts w:eastAsia="Times New Roman" w:asciiTheme="majorHAnsi" w:hAnsiTheme="majorHAnsi"/>
          <w:color w:val="000000" w:themeColor="text1"/>
          <w:sz w:val="24"/>
          <w:szCs w:val="24"/>
          <w:lang w:val="es-MX"/>
        </w:rPr>
        <w:t>Cabe señalar que, l</w:t>
      </w:r>
      <w:r w:rsidRPr="006B4944">
        <w:rPr>
          <w:rFonts w:eastAsia="Times New Roman" w:asciiTheme="majorHAnsi" w:hAnsiTheme="majorHAnsi"/>
          <w:color w:val="000000" w:themeColor="text1"/>
          <w:sz w:val="24"/>
          <w:szCs w:val="24"/>
          <w:lang w:val="es-MX"/>
        </w:rPr>
        <w:t xml:space="preserve">a comisión no realiza </w:t>
      </w:r>
      <w:r w:rsidRPr="00CC1DDB">
        <w:rPr>
          <w:rFonts w:eastAsia="Times New Roman" w:asciiTheme="majorHAnsi" w:hAnsiTheme="majorHAnsi"/>
          <w:color w:val="000000" w:themeColor="text1"/>
          <w:sz w:val="24"/>
          <w:szCs w:val="24"/>
          <w:lang w:val="es-MX"/>
        </w:rPr>
        <w:t xml:space="preserve">o implementa </w:t>
      </w:r>
      <w:r w:rsidRPr="006B4944">
        <w:rPr>
          <w:rFonts w:eastAsia="Times New Roman" w:asciiTheme="majorHAnsi" w:hAnsiTheme="majorHAnsi"/>
          <w:color w:val="000000" w:themeColor="text1"/>
          <w:sz w:val="24"/>
          <w:szCs w:val="24"/>
          <w:lang w:val="es-MX"/>
        </w:rPr>
        <w:t>de forma directa la protección frente amenazas de muerte</w:t>
      </w:r>
      <w:r w:rsidRPr="00CC1DDB">
        <w:rPr>
          <w:rFonts w:eastAsia="Times New Roman" w:asciiTheme="majorHAnsi" w:hAnsiTheme="majorHAnsi"/>
          <w:color w:val="000000" w:themeColor="text1"/>
          <w:sz w:val="24"/>
          <w:szCs w:val="24"/>
          <w:lang w:val="es-MX"/>
        </w:rPr>
        <w:t xml:space="preserve"> de personas defensoras de derechos humanos</w:t>
      </w:r>
      <w:r w:rsidRPr="006B4944">
        <w:rPr>
          <w:rFonts w:eastAsia="Times New Roman" w:asciiTheme="majorHAnsi" w:hAnsiTheme="majorHAnsi"/>
          <w:color w:val="000000" w:themeColor="text1"/>
          <w:sz w:val="24"/>
          <w:szCs w:val="24"/>
          <w:lang w:val="es-MX"/>
        </w:rPr>
        <w:t>, pero puede solicitar a las autoridades que cuenta con atribuciones para realizarlo que las implementen</w:t>
      </w:r>
      <w:r w:rsidRPr="00CC1DDB">
        <w:rPr>
          <w:rFonts w:eastAsia="Times New Roman" w:asciiTheme="majorHAnsi" w:hAnsiTheme="majorHAnsi"/>
          <w:color w:val="000000" w:themeColor="text1"/>
          <w:sz w:val="24"/>
          <w:szCs w:val="24"/>
          <w:lang w:val="es-MX"/>
        </w:rPr>
        <w:t>.</w:t>
      </w:r>
    </w:p>
    <w:p w:rsidRPr="00CC1DDB" w:rsidR="006B4944" w:rsidP="008B2D07" w:rsidRDefault="006B4944" w14:paraId="33508E98">
      <w:pPr>
        <w:jc w:val="both"/>
        <w:rPr>
          <w:rFonts w:asciiTheme="majorHAnsi" w:hAnsiTheme="majorHAnsi"/>
          <w:b/>
          <w:color w:val="222222"/>
          <w:sz w:val="24"/>
          <w:szCs w:val="24"/>
        </w:rPr>
      </w:pPr>
    </w:p>
    <w:p w:rsidRPr="00CC1DDB" w:rsidR="003C0D7E" w:rsidP="008B2D07" w:rsidRDefault="005E1A82" w14:paraId="455363BD">
      <w:pPr>
        <w:jc w:val="both"/>
        <w:rPr>
          <w:rFonts w:asciiTheme="majorHAnsi" w:hAnsiTheme="majorHAnsi"/>
          <w:sz w:val="24"/>
          <w:szCs w:val="24"/>
          <w:highlight w:val="white"/>
        </w:rPr>
      </w:pPr>
      <w:r w:rsidRPr="00CC1DDB">
        <w:rPr>
          <w:rFonts w:asciiTheme="majorHAnsi" w:hAnsiTheme="majorHAnsi"/>
          <w:sz w:val="24"/>
          <w:szCs w:val="24"/>
          <w:highlight w:val="white"/>
        </w:rPr>
        <w:t xml:space="preserve">De acuerdo con el Gobierno de México, y su Informe Estadístico de </w:t>
      </w:r>
      <w:r w:rsidRPr="00CC1DDB" w:rsidR="00EE5D5A">
        <w:rPr>
          <w:rFonts w:asciiTheme="majorHAnsi" w:hAnsiTheme="majorHAnsi"/>
          <w:sz w:val="24"/>
          <w:szCs w:val="24"/>
          <w:highlight w:val="white"/>
        </w:rPr>
        <w:t>junio</w:t>
      </w:r>
      <w:r w:rsidRPr="00CC1DDB">
        <w:rPr>
          <w:rFonts w:asciiTheme="majorHAnsi" w:hAnsiTheme="majorHAnsi"/>
          <w:sz w:val="24"/>
          <w:szCs w:val="24"/>
          <w:highlight w:val="white"/>
        </w:rPr>
        <w:t xml:space="preserve"> 2020</w:t>
      </w:r>
      <w:r w:rsidRPr="00CC1DDB">
        <w:rPr>
          <w:rFonts w:asciiTheme="majorHAnsi" w:hAnsiTheme="majorHAnsi"/>
          <w:sz w:val="24"/>
          <w:szCs w:val="24"/>
          <w:highlight w:val="white"/>
          <w:vertAlign w:val="superscript"/>
        </w:rPr>
        <w:footnoteReference w:id="11"/>
      </w:r>
      <w:r w:rsidRPr="00CC1DDB">
        <w:rPr>
          <w:rFonts w:asciiTheme="majorHAnsi" w:hAnsiTheme="majorHAnsi"/>
          <w:sz w:val="24"/>
          <w:szCs w:val="24"/>
          <w:highlight w:val="white"/>
        </w:rPr>
        <w:t xml:space="preserve"> sobre el Mecanismo de Protección para Personas Defensoras de Derechos Humanos y Periodistas, </w:t>
      </w:r>
      <w:r w:rsidRPr="00CC1DDB" w:rsidR="006B4944">
        <w:rPr>
          <w:rFonts w:asciiTheme="majorHAnsi" w:hAnsiTheme="majorHAnsi"/>
          <w:sz w:val="24"/>
          <w:szCs w:val="24"/>
          <w:highlight w:val="white"/>
        </w:rPr>
        <w:t xml:space="preserve">en México </w:t>
      </w:r>
      <w:r w:rsidRPr="00CC1DDB">
        <w:rPr>
          <w:rFonts w:asciiTheme="majorHAnsi" w:hAnsiTheme="majorHAnsi"/>
          <w:sz w:val="24"/>
          <w:szCs w:val="24"/>
          <w:highlight w:val="white"/>
        </w:rPr>
        <w:t xml:space="preserve">se han establecido medidas de protección tanto </w:t>
      </w:r>
      <w:r w:rsidRPr="00CC1DDB" w:rsidR="006B4944">
        <w:rPr>
          <w:rFonts w:asciiTheme="majorHAnsi" w:hAnsiTheme="majorHAnsi"/>
          <w:sz w:val="24"/>
          <w:szCs w:val="24"/>
          <w:highlight w:val="white"/>
        </w:rPr>
        <w:t>ordinaria como extraordinaria</w:t>
      </w:r>
      <w:r w:rsidRPr="00CC1DDB">
        <w:rPr>
          <w:rFonts w:asciiTheme="majorHAnsi" w:hAnsiTheme="majorHAnsi"/>
          <w:sz w:val="24"/>
          <w:szCs w:val="24"/>
          <w:highlight w:val="white"/>
        </w:rPr>
        <w:t xml:space="preserve"> para personas defensoras de derechos humanos y periodistas. </w:t>
      </w:r>
    </w:p>
    <w:p w:rsidRPr="00CC1DDB" w:rsidR="003C0D7E" w:rsidP="008B2D07" w:rsidRDefault="003C0D7E" w14:paraId="7A707499">
      <w:pPr>
        <w:jc w:val="both"/>
        <w:rPr>
          <w:rFonts w:asciiTheme="majorHAnsi" w:hAnsiTheme="majorHAnsi"/>
          <w:sz w:val="24"/>
          <w:szCs w:val="24"/>
          <w:highlight w:val="white"/>
        </w:rPr>
      </w:pPr>
    </w:p>
    <w:p w:rsidRPr="00CC1DDB" w:rsidR="003C0D7E" w:rsidP="008B2D07" w:rsidRDefault="005E1A82" w14:paraId="18F16648">
      <w:pPr>
        <w:jc w:val="both"/>
        <w:rPr>
          <w:rFonts w:asciiTheme="majorHAnsi" w:hAnsiTheme="majorHAnsi"/>
          <w:sz w:val="24"/>
          <w:szCs w:val="24"/>
          <w:highlight w:val="white"/>
        </w:rPr>
      </w:pPr>
      <w:r w:rsidRPr="00CC1DDB">
        <w:rPr>
          <w:rFonts w:asciiTheme="majorHAnsi" w:hAnsiTheme="majorHAnsi"/>
          <w:sz w:val="24"/>
          <w:szCs w:val="24"/>
          <w:highlight w:val="white"/>
        </w:rPr>
        <w:t xml:space="preserve">Las medidas ordinarias son: escolta y acompañamiento, inmuebles con infraestructura, bienes físicos, telecomunicaciones, botón de asistencia, patrullaje, gestiones, directorios, Manuales de autoprotección, presentación de denuncias, medidas preventivas, entre otras, como la </w:t>
      </w:r>
      <w:r w:rsidRPr="00CC1DDB">
        <w:rPr>
          <w:rFonts w:asciiTheme="majorHAnsi" w:hAnsiTheme="majorHAnsi"/>
          <w:sz w:val="24"/>
          <w:szCs w:val="24"/>
        </w:rPr>
        <w:t>comunicación a las autoridades sobre la incorporación de personas beneficiarias al Mecanismo.</w:t>
      </w:r>
    </w:p>
    <w:p w:rsidRPr="00CC1DDB" w:rsidR="003C0D7E" w:rsidP="008B2D07" w:rsidRDefault="003C0D7E" w14:paraId="2438675B">
      <w:pPr>
        <w:jc w:val="both"/>
        <w:rPr>
          <w:rFonts w:asciiTheme="majorHAnsi" w:hAnsiTheme="majorHAnsi"/>
          <w:sz w:val="24"/>
          <w:szCs w:val="24"/>
        </w:rPr>
      </w:pPr>
    </w:p>
    <w:p w:rsidRPr="00CC1DDB" w:rsidR="006B4944" w:rsidP="008B2D07" w:rsidRDefault="005E1A82" w14:paraId="12DCD3C9">
      <w:pPr>
        <w:jc w:val="both"/>
        <w:rPr>
          <w:rFonts w:asciiTheme="majorHAnsi" w:hAnsiTheme="majorHAnsi"/>
          <w:sz w:val="24"/>
          <w:szCs w:val="24"/>
        </w:rPr>
      </w:pPr>
      <w:bookmarkStart w:name="_gjdgxs" w:colFirst="0" w:colLast="0" w:id="1"/>
      <w:bookmarkEnd w:id="1"/>
      <w:r w:rsidRPr="00CC1DDB">
        <w:rPr>
          <w:rFonts w:asciiTheme="majorHAnsi" w:hAnsiTheme="majorHAnsi"/>
          <w:sz w:val="24"/>
          <w:szCs w:val="24"/>
        </w:rPr>
        <w:lastRenderedPageBreak/>
        <w:t xml:space="preserve">Las medidas extraordinarias incluyen las mismas actuaciones (exceptuando las medidas preventivas), solo que estas son otorgadas por la Unidad de Recepción de Casos y Reacción Rápida mediante evaluación de riesgo de acción inmediata. </w:t>
      </w:r>
    </w:p>
    <w:p w:rsidRPr="00CC1DDB" w:rsidR="003C0D7E" w:rsidP="008B2D07" w:rsidRDefault="003C0D7E" w14:paraId="5D4AC4CF">
      <w:pPr>
        <w:jc w:val="both"/>
        <w:rPr>
          <w:rFonts w:asciiTheme="majorHAnsi" w:hAnsiTheme="majorHAnsi"/>
          <w:sz w:val="24"/>
          <w:szCs w:val="24"/>
        </w:rPr>
      </w:pPr>
    </w:p>
    <w:p w:rsidR="00CC1DDB" w:rsidP="008B2D07" w:rsidRDefault="00CC1DDB" w14:paraId="01784EC9">
      <w:pPr>
        <w:jc w:val="both"/>
        <w:rPr>
          <w:rFonts w:asciiTheme="majorHAnsi" w:hAnsiTheme="majorHAnsi"/>
          <w:sz w:val="24"/>
          <w:szCs w:val="24"/>
        </w:rPr>
      </w:pPr>
    </w:p>
    <w:p w:rsidR="00CC1DDB" w:rsidP="008B2D07" w:rsidRDefault="00CC1DDB" w14:paraId="3BC7D3AF">
      <w:pPr>
        <w:jc w:val="both"/>
        <w:rPr>
          <w:rFonts w:asciiTheme="majorHAnsi" w:hAnsiTheme="majorHAnsi"/>
          <w:sz w:val="24"/>
          <w:szCs w:val="24"/>
        </w:rPr>
      </w:pPr>
    </w:p>
    <w:p w:rsidR="00CC1DDB" w:rsidP="008B2D07" w:rsidRDefault="00CC1DDB" w14:paraId="4F17DC82">
      <w:pPr>
        <w:jc w:val="both"/>
        <w:rPr>
          <w:rFonts w:asciiTheme="majorHAnsi" w:hAnsiTheme="majorHAnsi"/>
          <w:sz w:val="24"/>
          <w:szCs w:val="24"/>
        </w:rPr>
      </w:pPr>
    </w:p>
    <w:p w:rsidRPr="00CC1DDB" w:rsidR="003C0D7E" w:rsidP="008B2D07" w:rsidRDefault="006B4944" w14:paraId="7EE01BCD">
      <w:pPr>
        <w:jc w:val="both"/>
        <w:rPr>
          <w:rFonts w:asciiTheme="majorHAnsi" w:hAnsiTheme="majorHAnsi"/>
          <w:sz w:val="24"/>
          <w:szCs w:val="24"/>
        </w:rPr>
      </w:pPr>
      <w:r w:rsidRPr="00CC1DDB">
        <w:rPr>
          <w:rFonts w:asciiTheme="majorHAnsi" w:hAnsiTheme="majorHAnsi"/>
          <w:sz w:val="24"/>
          <w:szCs w:val="24"/>
        </w:rPr>
        <w:t>Sin embargo, resulta importante para este Organismo señalar que, a</w:t>
      </w:r>
      <w:r w:rsidRPr="00CC1DDB" w:rsidR="005E1A82">
        <w:rPr>
          <w:rFonts w:asciiTheme="majorHAnsi" w:hAnsiTheme="majorHAnsi"/>
          <w:sz w:val="24"/>
          <w:szCs w:val="24"/>
        </w:rPr>
        <w:t xml:space="preserve"> pesar de estos esfuerzos, que intentan en cierta medida, evitar las amenazas que derivan en asesinatos a personas defensoras de derechos humanos, esta CDHCM reconoce que estas personas, continúan enfrentando una resistencia violenta para ejercer su labor, así como mecanismos de protección lentos y sujetos a la negligencia. Cuando la opinión pública genera estereotipos y hace que estas personas defensoras, sean percibidas como opositoras</w:t>
      </w:r>
      <w:r w:rsidRPr="00CC1DDB" w:rsidR="005E1A82">
        <w:rPr>
          <w:rFonts w:asciiTheme="majorHAnsi" w:hAnsiTheme="majorHAnsi"/>
          <w:sz w:val="24"/>
          <w:szCs w:val="24"/>
          <w:vertAlign w:val="superscript"/>
        </w:rPr>
        <w:footnoteReference w:id="12"/>
      </w:r>
      <w:r w:rsidRPr="00CC1DDB" w:rsidR="005E1A82">
        <w:rPr>
          <w:rFonts w:asciiTheme="majorHAnsi" w:hAnsiTheme="majorHAnsi"/>
          <w:sz w:val="24"/>
          <w:szCs w:val="24"/>
        </w:rPr>
        <w:t>.</w:t>
      </w:r>
      <w:r w:rsidRPr="00CC1DDB" w:rsidR="00387D4F">
        <w:rPr>
          <w:rFonts w:asciiTheme="majorHAnsi" w:hAnsiTheme="majorHAnsi"/>
          <w:sz w:val="24"/>
          <w:szCs w:val="24"/>
        </w:rPr>
        <w:t xml:space="preserve"> </w:t>
      </w:r>
      <w:r w:rsidRPr="00CC1DDB" w:rsidR="001217E0">
        <w:rPr>
          <w:rFonts w:asciiTheme="majorHAnsi" w:hAnsiTheme="majorHAnsi"/>
          <w:sz w:val="24"/>
          <w:szCs w:val="24"/>
        </w:rPr>
        <w:t xml:space="preserve"> </w:t>
      </w:r>
    </w:p>
    <w:p w:rsidRPr="00CC1DDB" w:rsidR="003C0D7E" w:rsidP="008B2D07" w:rsidRDefault="003C0D7E" w14:paraId="4AC823ED">
      <w:pPr>
        <w:jc w:val="both"/>
        <w:rPr>
          <w:rFonts w:asciiTheme="majorHAnsi" w:hAnsiTheme="majorHAnsi"/>
          <w:sz w:val="24"/>
          <w:szCs w:val="24"/>
        </w:rPr>
      </w:pPr>
    </w:p>
    <w:p w:rsidRPr="00CC1DDB" w:rsidR="003C0D7E" w:rsidP="008B2D07" w:rsidRDefault="005E1A82" w14:paraId="1AB41913">
      <w:pPr>
        <w:pBdr>
          <w:bottom w:val="none" w:color="auto" w:sz="0" w:space="11"/>
        </w:pBdr>
        <w:shd w:val="clear" w:color="auto" w:fill="FFFFFF"/>
        <w:jc w:val="both"/>
        <w:rPr>
          <w:rFonts w:asciiTheme="majorHAnsi" w:hAnsiTheme="majorHAnsi"/>
          <w:sz w:val="24"/>
          <w:szCs w:val="24"/>
          <w:highlight w:val="white"/>
        </w:rPr>
      </w:pPr>
      <w:r w:rsidRPr="00CC1DDB">
        <w:rPr>
          <w:rFonts w:asciiTheme="majorHAnsi" w:hAnsiTheme="majorHAnsi"/>
          <w:sz w:val="24"/>
          <w:szCs w:val="24"/>
          <w:highlight w:val="white"/>
        </w:rPr>
        <w:t>La protesta, la libertad de expresión, la organización y manifestación son derechos esenciales para construir la democracia y ninguna persona debe ser perseguida por su ideología política y la manifestación de ideas. Asimismo, las posibilidades de que se lleve a cabo un juicio justo disminuyen si existe un clima de persecución política y de criminalización pública de las personas que están siendo juzgadas.</w:t>
      </w:r>
      <w:r w:rsidRPr="00CC1DDB">
        <w:rPr>
          <w:rFonts w:asciiTheme="majorHAnsi" w:hAnsiTheme="majorHAnsi"/>
          <w:sz w:val="24"/>
          <w:szCs w:val="24"/>
          <w:highlight w:val="white"/>
          <w:vertAlign w:val="superscript"/>
        </w:rPr>
        <w:footnoteReference w:id="13"/>
      </w:r>
    </w:p>
    <w:sectPr w:rsidRPr="00CC1DDB" w:rsidR="003C0D7E">
      <w:headerReference w:type="default" r:id="rId9"/>
      <w:footerReference w:type="default" r:id="rId10"/>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958" w:rsidRDefault="00A86958" w14:paraId="2EAFA499">
      <w:pPr>
        <w:spacing w:line="240" w:lineRule="auto"/>
      </w:pPr>
      <w:r>
        <w:separator/>
      </w:r>
    </w:p>
  </w:endnote>
  <w:endnote w:type="continuationSeparator" w:id="0">
    <w:p w:rsidR="00A86958" w:rsidRDefault="00A86958" w14:paraId="213E3B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743794"/>
      <w:docPartObj>
        <w:docPartGallery w:val="Page Numbers (Bottom of Page)"/>
        <w:docPartUnique/>
      </w:docPartObj>
    </w:sdtPr>
    <w:sdtEndPr/>
    <w:sdtContent>
      <w:p w14:paraId="008D877E" w:rsidR="00CC1DDB" w:rsidRDefault="00CC1DDB">
        <w:pPr>
          <w:pStyle w:val="Footer"/>
          <w:jc w:val="center"/>
        </w:pPr>
        <w:r>
          <w:fldChar w:fldCharType="begin"/>
        </w:r>
        <w:r>
          <w:instrText>PAGE   \* MERGEFORMAT</w:instrText>
        </w:r>
        <w:r>
          <w:fldChar w:fldCharType="separate"/>
        </w:r>
        <w:r w:rsidR="00690EB3" w:rsidRPr="00690EB3">
          <w:rPr>
            <w:noProof/>
            <w:lang w:val="es-ES"/>
          </w:rPr>
          <w:t>1</w:t>
        </w:r>
        <w:r>
          <w:fldChar w:fldCharType="end"/>
        </w:r>
      </w:p>
    </w:sdtContent>
  </w:sdt>
  <w:p w14:paraId="749B8C0E" w:rsidR="00CC1DDB" w:rsidRDefault="00CC1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958" w:rsidRDefault="00A86958" w14:paraId="18715CDF">
      <w:pPr>
        <w:spacing w:line="240" w:lineRule="auto"/>
      </w:pPr>
      <w:r>
        <w:separator/>
      </w:r>
    </w:p>
  </w:footnote>
  <w:footnote w:type="continuationSeparator" w:id="0">
    <w:p w:rsidR="00A86958" w:rsidRDefault="00A86958" w14:paraId="47439C9C">
      <w:pPr>
        <w:spacing w:line="240" w:lineRule="auto"/>
      </w:pPr>
      <w:r>
        <w:continuationSeparator/>
      </w:r>
    </w:p>
  </w:footnote>
  <w:footnote w:id="1">
    <w:p w:rsidR="003C0D7E" w:rsidRDefault="005E1A82" w14:paraId="70989C54">
      <w:pPr>
        <w:spacing w:line="240" w:lineRule="auto"/>
        <w:rPr>
          <w:rFonts w:ascii="Arial Narrow" w:hAnsi="Arial Narrow" w:eastAsia="Arial Narrow" w:cs="Arial Narrow"/>
          <w:sz w:val="20"/>
          <w:szCs w:val="20"/>
        </w:rPr>
      </w:pPr>
      <w:r>
        <w:rPr>
          <w:vertAlign w:val="superscript"/>
        </w:rPr>
        <w:footnoteRef/>
      </w:r>
      <w:r>
        <w:rPr>
          <w:rFonts w:ascii="Arial Narrow" w:hAnsi="Arial Narrow" w:eastAsia="Arial Narrow" w:cs="Arial Narrow"/>
          <w:sz w:val="20"/>
          <w:szCs w:val="20"/>
        </w:rPr>
        <w:t xml:space="preserve"> Véase: CDHCM</w:t>
      </w:r>
      <w:r w:rsidRPr="00867E0D">
        <w:rPr>
          <w:rFonts w:ascii="Arial Narrow" w:hAnsi="Arial Narrow" w:eastAsia="Arial Narrow" w:cs="Arial Narrow"/>
          <w:sz w:val="20"/>
          <w:szCs w:val="20"/>
        </w:rPr>
        <w:t xml:space="preserve">: </w:t>
      </w:r>
      <w:r w:rsidRPr="00867E0D">
        <w:rPr>
          <w:rFonts w:ascii="Arial Narrow" w:hAnsi="Arial Narrow" w:eastAsia="Arial Narrow" w:cs="Arial Narrow"/>
          <w:sz w:val="20"/>
          <w:szCs w:val="20"/>
          <w:highlight w:val="white"/>
        </w:rPr>
        <w:t xml:space="preserve">Boletín 135/2019; 75/2019; 7/2019; 101/2019;199/2019; 22/2020; 70/2020. Disponibles en: </w:t>
      </w:r>
      <w:hyperlink w:history="1" r:id="rId1">
        <w:r w:rsidRPr="005D35C7" w:rsidR="00867E0D">
          <w:rPr>
            <w:rStyle w:val="Hyperlink"/>
            <w:rFonts w:ascii="Arial Narrow" w:hAnsi="Arial Narrow" w:eastAsia="Arial Narrow" w:cs="Arial Narrow"/>
            <w:sz w:val="20"/>
            <w:szCs w:val="20"/>
            <w:highlight w:val="white"/>
          </w:rPr>
          <w:t>www.cdhcm.org.mx</w:t>
        </w:r>
      </w:hyperlink>
      <w:r w:rsidR="00867E0D">
        <w:rPr>
          <w:rFonts w:ascii="Arial Narrow" w:hAnsi="Arial Narrow" w:eastAsia="Arial Narrow" w:cs="Arial Narrow"/>
          <w:sz w:val="20"/>
          <w:szCs w:val="20"/>
          <w:highlight w:val="white"/>
        </w:rPr>
        <w:t xml:space="preserve"> </w:t>
      </w:r>
    </w:p>
  </w:footnote>
  <w:footnote w:id="2">
    <w:p w:rsidRPr="00B75C93" w:rsidR="003C0D7E" w:rsidRDefault="005E1A82" w14:paraId="1F88A4E4">
      <w:pPr>
        <w:spacing w:line="240" w:lineRule="auto"/>
        <w:rPr>
          <w:rFonts w:ascii="Arial Narrow" w:hAnsi="Arial Narrow" w:eastAsia="Arial Narrow" w:cs="Arial Narrow"/>
          <w:sz w:val="20"/>
          <w:szCs w:val="20"/>
        </w:rPr>
      </w:pPr>
      <w:r w:rsidRPr="00867E0D">
        <w:rPr>
          <w:rFonts w:ascii="Arial Narrow" w:hAnsi="Arial Narrow"/>
          <w:sz w:val="20"/>
          <w:szCs w:val="20"/>
          <w:vertAlign w:val="superscript"/>
        </w:rPr>
        <w:footnoteRef/>
      </w:r>
      <w:r w:rsidRPr="00867E0D">
        <w:rPr>
          <w:rFonts w:ascii="Arial Narrow" w:hAnsi="Arial Narrow"/>
          <w:sz w:val="20"/>
          <w:szCs w:val="20"/>
        </w:rPr>
        <w:t xml:space="preserve"> </w:t>
      </w:r>
      <w:r w:rsidRPr="00867E0D" w:rsidR="00867E0D">
        <w:rPr>
          <w:rFonts w:ascii="Arial Narrow" w:hAnsi="Arial Narrow"/>
          <w:sz w:val="20"/>
          <w:szCs w:val="20"/>
        </w:rPr>
        <w:t xml:space="preserve">Comisión de Derechos Humanos de la Ciudad de México, </w:t>
      </w:r>
      <w:r w:rsidRPr="00867E0D">
        <w:rPr>
          <w:rFonts w:ascii="Arial Narrow" w:hAnsi="Arial Narrow" w:eastAsia="Arial Narrow" w:cs="Arial Narrow"/>
          <w:sz w:val="20"/>
          <w:szCs w:val="20"/>
        </w:rPr>
        <w:t>Recomendación 04/201</w:t>
      </w:r>
      <w:r w:rsidRPr="00867E0D" w:rsidR="00867E0D">
        <w:rPr>
          <w:rFonts w:ascii="Arial Narrow" w:hAnsi="Arial Narrow" w:eastAsia="Arial Narrow" w:cs="Arial Narrow"/>
          <w:sz w:val="20"/>
          <w:szCs w:val="20"/>
        </w:rPr>
        <w:t xml:space="preserve">7, véase: </w:t>
      </w:r>
      <w:r w:rsidRPr="00867E0D">
        <w:rPr>
          <w:rFonts w:ascii="Arial Narrow" w:hAnsi="Arial Narrow" w:eastAsia="Arial Narrow" w:cs="Arial Narrow"/>
          <w:sz w:val="20"/>
          <w:szCs w:val="20"/>
        </w:rPr>
        <w:t xml:space="preserve"> </w:t>
      </w:r>
      <w:hyperlink r:id="rId2">
        <w:r w:rsidRPr="00B75C93">
          <w:rPr>
            <w:rFonts w:ascii="Arial Narrow" w:hAnsi="Arial Narrow" w:eastAsia="Arial Narrow" w:cs="Arial Narrow"/>
            <w:color w:val="1155CC"/>
            <w:sz w:val="20"/>
            <w:szCs w:val="20"/>
            <w:u w:val="single"/>
          </w:rPr>
          <w:t>https://cdhcm.org.mx/wp-content/uploads/2017/06/reco_0417.pdf</w:t>
        </w:r>
      </w:hyperlink>
      <w:r w:rsidRPr="00B75C93">
        <w:rPr>
          <w:rFonts w:ascii="Arial Narrow" w:hAnsi="Arial Narrow" w:eastAsia="Arial Narrow" w:cs="Arial Narrow"/>
          <w:sz w:val="20"/>
          <w:szCs w:val="20"/>
        </w:rPr>
        <w:t xml:space="preserve"> </w:t>
      </w:r>
    </w:p>
  </w:footnote>
  <w:footnote w:id="3">
    <w:p w:rsidR="003C0D7E" w:rsidRDefault="005E1A82" w14:paraId="02C4DC74">
      <w:pPr>
        <w:spacing w:line="240" w:lineRule="auto"/>
        <w:rPr>
          <w:rFonts w:ascii="Arial Narrow" w:hAnsi="Arial Narrow" w:eastAsia="Arial Narrow" w:cs="Arial Narrow"/>
          <w:sz w:val="20"/>
          <w:szCs w:val="20"/>
        </w:rPr>
      </w:pPr>
      <w:r w:rsidRPr="00B75C93">
        <w:rPr>
          <w:rFonts w:ascii="Arial Narrow" w:hAnsi="Arial Narrow"/>
          <w:sz w:val="20"/>
          <w:szCs w:val="20"/>
          <w:vertAlign w:val="superscript"/>
        </w:rPr>
        <w:footnoteRef/>
      </w:r>
      <w:r w:rsidRPr="00B75C93">
        <w:rPr>
          <w:rFonts w:ascii="Arial Narrow" w:hAnsi="Arial Narrow"/>
          <w:sz w:val="20"/>
          <w:szCs w:val="20"/>
        </w:rPr>
        <w:t xml:space="preserve"> </w:t>
      </w:r>
      <w:r w:rsidRPr="00B75C93" w:rsidR="00B75C93">
        <w:rPr>
          <w:rFonts w:ascii="Arial Narrow" w:hAnsi="Arial Narrow"/>
          <w:sz w:val="20"/>
          <w:szCs w:val="20"/>
        </w:rPr>
        <w:t xml:space="preserve">Centro Mexicano de Derecho Ambiental, </w:t>
      </w:r>
      <w:r w:rsidRPr="00B75C93" w:rsidR="00867E0D">
        <w:rPr>
          <w:rFonts w:ascii="Arial Narrow" w:hAnsi="Arial Narrow"/>
          <w:sz w:val="20"/>
          <w:szCs w:val="20"/>
        </w:rPr>
        <w:t xml:space="preserve">“Informe sobre la situación de las </w:t>
      </w:r>
      <w:r w:rsidRPr="00B75C93" w:rsidR="00B75C93">
        <w:rPr>
          <w:rFonts w:ascii="Arial Narrow" w:hAnsi="Arial Narrow"/>
          <w:sz w:val="20"/>
          <w:szCs w:val="20"/>
        </w:rPr>
        <w:t>personas</w:t>
      </w:r>
      <w:r w:rsidRPr="00B75C93" w:rsidR="00867E0D">
        <w:rPr>
          <w:rFonts w:ascii="Arial Narrow" w:hAnsi="Arial Narrow"/>
          <w:sz w:val="20"/>
          <w:szCs w:val="20"/>
        </w:rPr>
        <w:t xml:space="preserve"> defensoras de derechos humanos ambiental</w:t>
      </w:r>
      <w:r w:rsidRPr="00B75C93" w:rsidR="00B75C93">
        <w:rPr>
          <w:rFonts w:ascii="Arial Narrow" w:hAnsi="Arial Narrow"/>
          <w:sz w:val="20"/>
          <w:szCs w:val="20"/>
        </w:rPr>
        <w:t>e</w:t>
      </w:r>
      <w:r w:rsidRPr="00B75C93" w:rsidR="00867E0D">
        <w:rPr>
          <w:rFonts w:ascii="Arial Narrow" w:hAnsi="Arial Narrow"/>
          <w:sz w:val="20"/>
          <w:szCs w:val="20"/>
        </w:rPr>
        <w:t>s</w:t>
      </w:r>
      <w:r w:rsidRPr="00B75C93" w:rsidR="00B75C93">
        <w:rPr>
          <w:rFonts w:ascii="Arial Narrow" w:hAnsi="Arial Narrow"/>
          <w:sz w:val="20"/>
          <w:szCs w:val="20"/>
        </w:rPr>
        <w:t xml:space="preserve">, pág. 20-21, </w:t>
      </w:r>
      <w:r w:rsidRPr="00B75C93">
        <w:rPr>
          <w:rFonts w:ascii="Arial Narrow" w:hAnsi="Arial Narrow" w:eastAsia="Arial Narrow" w:cs="Arial Narrow"/>
          <w:sz w:val="20"/>
          <w:szCs w:val="20"/>
        </w:rPr>
        <w:t xml:space="preserve">Véase: </w:t>
      </w:r>
      <w:hyperlink w:history="1" r:id="rId3">
        <w:r w:rsidRPr="00B75C93" w:rsidR="00867E0D">
          <w:rPr>
            <w:rStyle w:val="Hyperlink"/>
            <w:rFonts w:ascii="Arial Narrow" w:hAnsi="Arial Narrow" w:eastAsia="Arial Narrow" w:cs="Arial Narrow"/>
            <w:sz w:val="20"/>
            <w:szCs w:val="20"/>
          </w:rPr>
          <w:t>https://www.cemda.org.mx/wp-content/uploads/2020/03/informe-personas-defensoras-2019.pdf</w:t>
        </w:r>
      </w:hyperlink>
      <w:r w:rsidR="00867E0D">
        <w:rPr>
          <w:rFonts w:ascii="Arial Narrow" w:hAnsi="Arial Narrow" w:eastAsia="Arial Narrow" w:cs="Arial Narrow"/>
          <w:sz w:val="20"/>
          <w:szCs w:val="20"/>
        </w:rPr>
        <w:t xml:space="preserve"> </w:t>
      </w:r>
    </w:p>
  </w:footnote>
  <w:footnote w:id="4">
    <w:p w:rsidRPr="00B75C93" w:rsidR="003C0D7E" w:rsidRDefault="005E1A82" w14:paraId="2009EB8F">
      <w:pPr>
        <w:spacing w:line="240" w:lineRule="auto"/>
        <w:rPr>
          <w:rFonts w:ascii="Arial Narrow" w:hAnsi="Arial Narrow" w:eastAsia="Arial Narrow" w:cs="Arial Narrow"/>
          <w:sz w:val="20"/>
          <w:szCs w:val="20"/>
        </w:rPr>
      </w:pPr>
      <w:r w:rsidRPr="00B75C93">
        <w:rPr>
          <w:rFonts w:ascii="Arial Narrow" w:hAnsi="Arial Narrow"/>
          <w:sz w:val="20"/>
          <w:szCs w:val="20"/>
          <w:vertAlign w:val="superscript"/>
        </w:rPr>
        <w:footnoteRef/>
      </w:r>
      <w:r w:rsidRPr="00B75C93">
        <w:rPr>
          <w:rFonts w:ascii="Arial Narrow" w:hAnsi="Arial Narrow" w:eastAsia="Arial Narrow" w:cs="Arial Narrow"/>
          <w:sz w:val="20"/>
          <w:szCs w:val="20"/>
        </w:rPr>
        <w:t xml:space="preserve"> </w:t>
      </w:r>
      <w:r w:rsidRPr="00B75C93" w:rsidR="00B75C93">
        <w:rPr>
          <w:rFonts w:ascii="Arial Narrow" w:hAnsi="Arial Narrow" w:eastAsia="Arial Narrow" w:cs="Arial Narrow"/>
          <w:sz w:val="20"/>
          <w:szCs w:val="20"/>
        </w:rPr>
        <w:t>Advocacy for human rights in the Americas, “México necesita estrategias integrales para combatir la violencia contra periodistas y personas defensoras de derechos humanos”, v</w:t>
      </w:r>
      <w:r w:rsidRPr="00B75C93">
        <w:rPr>
          <w:rFonts w:ascii="Arial Narrow" w:hAnsi="Arial Narrow" w:eastAsia="Arial Narrow" w:cs="Arial Narrow"/>
          <w:sz w:val="20"/>
          <w:szCs w:val="20"/>
        </w:rPr>
        <w:t>éase:</w:t>
      </w:r>
      <w:hyperlink r:id="rId4">
        <w:r w:rsidRPr="00B75C93">
          <w:rPr>
            <w:rFonts w:ascii="Arial Narrow" w:hAnsi="Arial Narrow" w:eastAsia="Arial Narrow" w:cs="Arial Narrow"/>
            <w:color w:val="0000FF"/>
            <w:sz w:val="20"/>
            <w:szCs w:val="20"/>
            <w:u w:val="single"/>
          </w:rPr>
          <w:t>https://www.wola.org/es/analisis/periodistas-personas-defensoras-mexico/</w:t>
        </w:r>
      </w:hyperlink>
    </w:p>
  </w:footnote>
  <w:footnote w:id="5">
    <w:p w:rsidR="003C0D7E" w:rsidP="00992A31" w:rsidRDefault="005E1A82" w14:paraId="5E8E6573">
      <w:pPr>
        <w:spacing w:line="240" w:lineRule="auto"/>
        <w:jc w:val="both"/>
        <w:rPr>
          <w:rFonts w:ascii="Arial Narrow" w:hAnsi="Arial Narrow" w:eastAsia="Arial Narrow" w:cs="Arial Narrow"/>
          <w:sz w:val="20"/>
          <w:szCs w:val="20"/>
        </w:rPr>
      </w:pPr>
      <w:r>
        <w:rPr>
          <w:vertAlign w:val="superscript"/>
        </w:rPr>
        <w:footnoteRef/>
      </w:r>
      <w:r w:rsidR="00B75C93">
        <w:rPr>
          <w:rFonts w:ascii="Arial Narrow" w:hAnsi="Arial Narrow" w:eastAsia="Arial Narrow" w:cs="Arial Narrow"/>
          <w:sz w:val="20"/>
          <w:szCs w:val="20"/>
        </w:rPr>
        <w:t>LJA, “Al menos 10 activistas han sido asesinados en México desde el inicio de la contingencia”, v</w:t>
      </w:r>
      <w:r>
        <w:rPr>
          <w:rFonts w:ascii="Arial Narrow" w:hAnsi="Arial Narrow" w:eastAsia="Arial Narrow" w:cs="Arial Narrow"/>
          <w:sz w:val="20"/>
          <w:szCs w:val="20"/>
        </w:rPr>
        <w:t xml:space="preserve">éase: </w:t>
      </w:r>
      <w:hyperlink r:id="rId5">
        <w:r>
          <w:rPr>
            <w:rFonts w:ascii="Arial Narrow" w:hAnsi="Arial Narrow" w:eastAsia="Arial Narrow" w:cs="Arial Narrow"/>
            <w:color w:val="0000FF"/>
            <w:sz w:val="20"/>
            <w:szCs w:val="20"/>
            <w:u w:val="single"/>
          </w:rPr>
          <w:t>https://www.lja.mx/2020/07/al-menos-10-activistas-han-sido-asesinados-en-mexico-desde-el-inicio-de-la-contingencia/</w:t>
        </w:r>
      </w:hyperlink>
    </w:p>
  </w:footnote>
  <w:footnote w:id="6">
    <w:p w:rsidR="003C0D7E" w:rsidP="00992A31" w:rsidRDefault="005E1A82" w14:paraId="0168959C">
      <w:pPr>
        <w:spacing w:line="240" w:lineRule="auto"/>
        <w:jc w:val="both"/>
        <w:rPr>
          <w:rFonts w:ascii="Arial Narrow" w:hAnsi="Arial Narrow" w:eastAsia="Arial Narrow" w:cs="Arial Narrow"/>
          <w:sz w:val="20"/>
          <w:szCs w:val="20"/>
        </w:rPr>
      </w:pPr>
      <w:r>
        <w:rPr>
          <w:vertAlign w:val="superscript"/>
        </w:rPr>
        <w:footnoteRef/>
      </w:r>
      <w:r>
        <w:rPr>
          <w:rFonts w:ascii="Arial Narrow" w:hAnsi="Arial Narrow" w:eastAsia="Arial Narrow" w:cs="Arial Narrow"/>
          <w:sz w:val="20"/>
          <w:szCs w:val="20"/>
        </w:rPr>
        <w:t xml:space="preserve">Gobierno de México, “Mecanismo de Protección para personas defensoras de Derechos Humanos y Periodistas” Véase: </w:t>
      </w:r>
      <w:hyperlink r:id="rId6">
        <w:r>
          <w:rPr>
            <w:rFonts w:ascii="Arial Narrow" w:hAnsi="Arial Narrow" w:eastAsia="Arial Narrow" w:cs="Arial Narrow"/>
            <w:color w:val="1155CC"/>
            <w:sz w:val="20"/>
            <w:szCs w:val="20"/>
            <w:u w:val="single"/>
          </w:rPr>
          <w:t>https://www.gob.mx/defensorasyperiodistas/es/articulos/el-mecanismo-para-la-proteccion-de-personas-defensoras-de-derechos-humanos-y-periodistas-252308?idiom=es</w:t>
        </w:r>
      </w:hyperlink>
      <w:r>
        <w:rPr>
          <w:rFonts w:ascii="Arial Narrow" w:hAnsi="Arial Narrow" w:eastAsia="Arial Narrow" w:cs="Arial Narrow"/>
          <w:sz w:val="20"/>
          <w:szCs w:val="20"/>
        </w:rPr>
        <w:t xml:space="preserve"> </w:t>
      </w:r>
    </w:p>
  </w:footnote>
  <w:footnote w:id="7">
    <w:p w:rsidR="003C0D7E" w:rsidP="00992A31" w:rsidRDefault="005E1A82" w14:paraId="7F4BCCAD">
      <w:pPr>
        <w:spacing w:line="240" w:lineRule="auto"/>
        <w:jc w:val="both"/>
        <w:rPr>
          <w:sz w:val="20"/>
          <w:szCs w:val="20"/>
        </w:rPr>
      </w:pPr>
      <w:r>
        <w:rPr>
          <w:vertAlign w:val="superscript"/>
        </w:rPr>
        <w:footnoteRef/>
      </w:r>
      <w:r>
        <w:rPr>
          <w:sz w:val="20"/>
          <w:szCs w:val="20"/>
        </w:rPr>
        <w:t xml:space="preserve"> </w:t>
      </w:r>
      <w:r>
        <w:rPr>
          <w:rFonts w:ascii="Arial Narrow" w:hAnsi="Arial Narrow" w:eastAsia="Arial Narrow" w:cs="Arial Narrow"/>
          <w:sz w:val="20"/>
          <w:szCs w:val="20"/>
        </w:rPr>
        <w:t xml:space="preserve">Gobierno de México, “Mecanismo de Protección para personas defensoras de Derechos Humanos y Periodistas” Blogs Véase: </w:t>
      </w:r>
      <w:hyperlink r:id="rId7">
        <w:r>
          <w:rPr>
            <w:rFonts w:ascii="Arial Narrow" w:hAnsi="Arial Narrow" w:eastAsia="Arial Narrow" w:cs="Arial Narrow"/>
            <w:color w:val="1155CC"/>
            <w:sz w:val="20"/>
            <w:szCs w:val="20"/>
            <w:u w:val="single"/>
          </w:rPr>
          <w:t>https://www.gob.mx/defensorasyperiodistas</w:t>
        </w:r>
      </w:hyperlink>
      <w:r>
        <w:rPr>
          <w:rFonts w:ascii="Arial Narrow" w:hAnsi="Arial Narrow" w:eastAsia="Arial Narrow" w:cs="Arial Narrow"/>
          <w:sz w:val="20"/>
          <w:szCs w:val="20"/>
        </w:rPr>
        <w:t xml:space="preserve"> </w:t>
      </w:r>
    </w:p>
  </w:footnote>
  <w:footnote w:id="8">
    <w:p w:rsidRPr="00B75C93" w:rsidR="003C0D7E" w:rsidP="00992A31" w:rsidRDefault="005E1A82" w14:paraId="17568EAE">
      <w:pPr>
        <w:spacing w:line="240" w:lineRule="auto"/>
        <w:jc w:val="both"/>
        <w:rPr>
          <w:rFonts w:ascii="Arial Narrow" w:hAnsi="Arial Narrow" w:eastAsia="Arial Narrow" w:cs="Arial Narrow"/>
          <w:sz w:val="20"/>
          <w:szCs w:val="20"/>
        </w:rPr>
      </w:pPr>
      <w:r w:rsidRPr="00B75C93">
        <w:rPr>
          <w:rFonts w:ascii="Arial Narrow" w:hAnsi="Arial Narrow"/>
          <w:sz w:val="20"/>
          <w:szCs w:val="20"/>
          <w:vertAlign w:val="superscript"/>
        </w:rPr>
        <w:footnoteRef/>
      </w:r>
      <w:r w:rsidRPr="00B75C93">
        <w:rPr>
          <w:rFonts w:ascii="Arial Narrow" w:hAnsi="Arial Narrow" w:eastAsia="Arial Narrow" w:cs="Arial Narrow"/>
          <w:sz w:val="20"/>
          <w:szCs w:val="20"/>
        </w:rPr>
        <w:t xml:space="preserve"> </w:t>
      </w:r>
      <w:r w:rsidRPr="00B75C93" w:rsidR="00B75C93">
        <w:rPr>
          <w:rFonts w:ascii="Arial Narrow" w:hAnsi="Arial Narrow" w:eastAsia="Arial Narrow" w:cs="Arial Narrow"/>
          <w:sz w:val="20"/>
          <w:szCs w:val="20"/>
        </w:rPr>
        <w:t>Gobierno de México, “Informe estadístico junio 2020”, v</w:t>
      </w:r>
      <w:r w:rsidRPr="00B75C93">
        <w:rPr>
          <w:rFonts w:ascii="Arial Narrow" w:hAnsi="Arial Narrow" w:eastAsia="Arial Narrow" w:cs="Arial Narrow"/>
          <w:sz w:val="20"/>
          <w:szCs w:val="20"/>
        </w:rPr>
        <w:t xml:space="preserve">éase: </w:t>
      </w:r>
      <w:hyperlink r:id="rId8">
        <w:r w:rsidRPr="00B75C93">
          <w:rPr>
            <w:rFonts w:ascii="Arial Narrow" w:hAnsi="Arial Narrow" w:eastAsia="Arial Narrow" w:cs="Arial Narrow"/>
            <w:color w:val="0000FF"/>
            <w:sz w:val="20"/>
            <w:szCs w:val="20"/>
            <w:u w:val="single"/>
          </w:rPr>
          <w:t>https://www.gob.mx/cms/uploads/attachment/file/577700/2020_06_Informe_estadistico.pdf</w:t>
        </w:r>
      </w:hyperlink>
    </w:p>
  </w:footnote>
  <w:footnote w:id="9">
    <w:p w:rsidRPr="008B2D07" w:rsidR="003C0D7E" w:rsidP="00992A31" w:rsidRDefault="005E1A82" w14:paraId="7D1590FC">
      <w:pPr>
        <w:spacing w:line="240" w:lineRule="auto"/>
        <w:jc w:val="both"/>
        <w:rPr>
          <w:rFonts w:ascii="Arial Narrow" w:hAnsi="Arial Narrow" w:eastAsia="Arial Narrow" w:cs="Arial Narrow"/>
          <w:sz w:val="20"/>
          <w:szCs w:val="20"/>
        </w:rPr>
      </w:pPr>
      <w:r w:rsidRPr="00B75C93">
        <w:rPr>
          <w:rFonts w:ascii="Arial Narrow" w:hAnsi="Arial Narrow"/>
          <w:sz w:val="20"/>
          <w:szCs w:val="20"/>
          <w:vertAlign w:val="superscript"/>
        </w:rPr>
        <w:footnoteRef/>
      </w:r>
      <w:r w:rsidRPr="00B75C93">
        <w:rPr>
          <w:rFonts w:ascii="Arial Narrow" w:hAnsi="Arial Narrow"/>
          <w:sz w:val="20"/>
          <w:szCs w:val="20"/>
        </w:rPr>
        <w:t xml:space="preserve"> </w:t>
      </w:r>
      <w:r w:rsidRPr="00B75C93" w:rsidR="00B75C93">
        <w:rPr>
          <w:rFonts w:ascii="Arial Narrow" w:hAnsi="Arial Narrow"/>
          <w:sz w:val="20"/>
          <w:szCs w:val="20"/>
        </w:rPr>
        <w:t>Comisión Mexicana de Defensa y Promoción de los Derechos Humanos, “Defender derechos humanos en tiempos de pandemia”, v</w:t>
      </w:r>
      <w:r w:rsidRPr="00B75C93">
        <w:rPr>
          <w:rFonts w:ascii="Arial Narrow" w:hAnsi="Arial Narrow" w:eastAsia="Arial Narrow" w:cs="Arial Narrow"/>
          <w:sz w:val="20"/>
          <w:szCs w:val="20"/>
        </w:rPr>
        <w:t xml:space="preserve">éase: </w:t>
      </w:r>
      <w:hyperlink w:history="1" r:id="rId9">
        <w:r w:rsidRPr="008B2D07" w:rsidR="00B75C93">
          <w:rPr>
            <w:rStyle w:val="Hyperlink"/>
            <w:rFonts w:ascii="Arial Narrow" w:hAnsi="Arial Narrow" w:eastAsia="Arial Narrow" w:cs="Arial Narrow"/>
            <w:sz w:val="20"/>
            <w:szCs w:val="20"/>
          </w:rPr>
          <w:t>https://www.animalpolitico.com/verdad-justicia-y-reparacion/defender-derechos-humanos-en-tiempos-de-pandemia/</w:t>
        </w:r>
      </w:hyperlink>
      <w:r w:rsidRPr="008B2D07" w:rsidR="00B75C93">
        <w:rPr>
          <w:rFonts w:ascii="Arial Narrow" w:hAnsi="Arial Narrow" w:eastAsia="Arial Narrow" w:cs="Arial Narrow"/>
          <w:sz w:val="20"/>
          <w:szCs w:val="20"/>
        </w:rPr>
        <w:t xml:space="preserve"> </w:t>
      </w:r>
    </w:p>
  </w:footnote>
  <w:footnote w:id="10">
    <w:p w:rsidR="003C0D7E" w:rsidRDefault="005E1A82" w14:paraId="4ABCDCFB">
      <w:pPr>
        <w:spacing w:line="240" w:lineRule="auto"/>
        <w:rPr>
          <w:sz w:val="16"/>
          <w:szCs w:val="16"/>
        </w:rPr>
      </w:pPr>
      <w:r w:rsidRPr="008B2D07">
        <w:rPr>
          <w:rFonts w:ascii="Arial Narrow" w:hAnsi="Arial Narrow"/>
          <w:sz w:val="20"/>
          <w:szCs w:val="20"/>
          <w:vertAlign w:val="superscript"/>
        </w:rPr>
        <w:footnoteRef/>
      </w:r>
      <w:r w:rsidRPr="008B2D07" w:rsidR="00B75C93">
        <w:rPr>
          <w:rFonts w:ascii="Arial Narrow" w:hAnsi="Arial Narrow"/>
          <w:sz w:val="20"/>
          <w:szCs w:val="20"/>
        </w:rPr>
        <w:t>FGR, Fiscalía Especializada en Materia de Derechos Humanos, Informe estadístico, Disponible</w:t>
      </w:r>
      <w:r w:rsidRPr="008B2D07">
        <w:rPr>
          <w:rFonts w:ascii="Arial Narrow" w:hAnsi="Arial Narrow"/>
          <w:sz w:val="20"/>
          <w:szCs w:val="20"/>
        </w:rPr>
        <w:t xml:space="preserve"> en: </w:t>
      </w:r>
      <w:hyperlink w:history="1" r:id="rId10">
        <w:r w:rsidRPr="008B2D07" w:rsidR="008B2D07">
          <w:rPr>
            <w:rStyle w:val="Hyperlink"/>
            <w:rFonts w:ascii="Arial Narrow" w:hAnsi="Arial Narrow"/>
            <w:sz w:val="20"/>
            <w:szCs w:val="20"/>
          </w:rPr>
          <w:t>https://www.gob.mx/cms/uploads/attachment/file/562037/ESTADISTICAS_Jun_2020.pdf</w:t>
        </w:r>
      </w:hyperlink>
      <w:r w:rsidR="008B2D07">
        <w:rPr>
          <w:sz w:val="16"/>
          <w:szCs w:val="16"/>
        </w:rPr>
        <w:t xml:space="preserve"> </w:t>
      </w:r>
    </w:p>
  </w:footnote>
  <w:footnote w:id="11">
    <w:p w:rsidR="003C0D7E" w:rsidP="008B2D07" w:rsidRDefault="005E1A82" w14:paraId="11C8C82C">
      <w:pPr>
        <w:spacing w:line="240" w:lineRule="auto"/>
        <w:rPr>
          <w:rFonts w:ascii="Arial Narrow" w:hAnsi="Arial Narrow" w:eastAsia="Arial Narrow" w:cs="Arial Narrow"/>
          <w:sz w:val="20"/>
          <w:szCs w:val="20"/>
        </w:rPr>
      </w:pPr>
      <w:r>
        <w:rPr>
          <w:vertAlign w:val="superscript"/>
        </w:rPr>
        <w:footnoteRef/>
      </w:r>
      <w:r>
        <w:rPr>
          <w:rFonts w:ascii="Arial Narrow" w:hAnsi="Arial Narrow" w:eastAsia="Arial Narrow" w:cs="Arial Narrow"/>
          <w:sz w:val="20"/>
          <w:szCs w:val="20"/>
        </w:rPr>
        <w:t xml:space="preserve"> </w:t>
      </w:r>
      <w:r w:rsidRPr="00B75C93" w:rsidR="008B2D07">
        <w:rPr>
          <w:rFonts w:ascii="Arial Narrow" w:hAnsi="Arial Narrow" w:eastAsia="Arial Narrow" w:cs="Arial Narrow"/>
          <w:sz w:val="20"/>
          <w:szCs w:val="20"/>
        </w:rPr>
        <w:t xml:space="preserve">Gobierno de México, “Informe estadístico junio 2020”, véase: </w:t>
      </w:r>
      <w:hyperlink r:id="rId11">
        <w:r w:rsidRPr="00B75C93" w:rsidR="008B2D07">
          <w:rPr>
            <w:rFonts w:ascii="Arial Narrow" w:hAnsi="Arial Narrow" w:eastAsia="Arial Narrow" w:cs="Arial Narrow"/>
            <w:color w:val="0000FF"/>
            <w:sz w:val="20"/>
            <w:szCs w:val="20"/>
            <w:u w:val="single"/>
          </w:rPr>
          <w:t>https://www.gob.mx/cms/uploads/attachment/file/577700/2020_06_Informe_estadistico.pdf</w:t>
        </w:r>
      </w:hyperlink>
      <w:r w:rsidR="008B2D07">
        <w:rPr>
          <w:rFonts w:ascii="Arial Narrow" w:hAnsi="Arial Narrow" w:eastAsia="Arial Narrow" w:cs="Arial Narrow"/>
          <w:sz w:val="20"/>
          <w:szCs w:val="20"/>
        </w:rPr>
        <w:t xml:space="preserve"> </w:t>
      </w:r>
    </w:p>
  </w:footnote>
  <w:footnote w:id="12">
    <w:p w:rsidR="003C0D7E" w:rsidP="00CC1DDB" w:rsidRDefault="005E1A82" w14:paraId="0C478649">
      <w:pPr>
        <w:spacing w:line="240" w:lineRule="auto"/>
        <w:jc w:val="both"/>
        <w:rPr>
          <w:sz w:val="20"/>
          <w:szCs w:val="20"/>
        </w:rPr>
      </w:pPr>
      <w:r>
        <w:rPr>
          <w:vertAlign w:val="superscript"/>
        </w:rPr>
        <w:footnoteRef/>
      </w:r>
      <w:r>
        <w:rPr>
          <w:sz w:val="20"/>
          <w:szCs w:val="20"/>
        </w:rPr>
        <w:t xml:space="preserve"> </w:t>
      </w:r>
      <w:r w:rsidRPr="008B2D07" w:rsidR="008B2D07">
        <w:rPr>
          <w:rFonts w:ascii="Arial Narrow" w:hAnsi="Arial Narrow"/>
          <w:sz w:val="20"/>
          <w:szCs w:val="20"/>
        </w:rPr>
        <w:t>Comisión de Derechos Humanos de la Ciudad de México</w:t>
      </w:r>
      <w:r w:rsidRPr="008B2D07">
        <w:rPr>
          <w:rFonts w:ascii="Arial Narrow" w:hAnsi="Arial Narrow" w:eastAsia="Arial Narrow" w:cs="Arial Narrow"/>
          <w:sz w:val="20"/>
          <w:szCs w:val="20"/>
        </w:rPr>
        <w:t xml:space="preserve">, Boletín 115/2020, véase: </w:t>
      </w:r>
      <w:hyperlink r:id="rId12">
        <w:r w:rsidRPr="008B2D07">
          <w:rPr>
            <w:rFonts w:ascii="Arial Narrow" w:hAnsi="Arial Narrow" w:eastAsia="Arial Narrow" w:cs="Arial Narrow"/>
            <w:color w:val="1155CC"/>
            <w:sz w:val="20"/>
            <w:szCs w:val="20"/>
            <w:u w:val="single"/>
          </w:rPr>
          <w:t>https://cdhcm.org.mx/2020/08/la-cdhcm-reconoce-y-agradece-la-labor-de-las-organizaciones-de-la-sociedad-civil-por-su-aporte-a-la-lucha-por-la-defensa-y-promocion-de-los-derechos-humanos-en-mexico/</w:t>
        </w:r>
      </w:hyperlink>
      <w:r>
        <w:rPr>
          <w:rFonts w:ascii="Arial Narrow" w:hAnsi="Arial Narrow" w:eastAsia="Arial Narrow" w:cs="Arial Narrow"/>
          <w:color w:val="333333"/>
          <w:sz w:val="20"/>
          <w:szCs w:val="20"/>
        </w:rPr>
        <w:t xml:space="preserve"> </w:t>
      </w:r>
    </w:p>
  </w:footnote>
  <w:footnote w:id="13">
    <w:p w:rsidR="003C0D7E" w:rsidP="00CC1DDB" w:rsidRDefault="005E1A82" w14:paraId="1F1AFF01">
      <w:pPr>
        <w:spacing w:line="240" w:lineRule="auto"/>
        <w:jc w:val="both"/>
        <w:rPr>
          <w:sz w:val="20"/>
          <w:szCs w:val="20"/>
        </w:rPr>
      </w:pPr>
      <w:r>
        <w:rPr>
          <w:vertAlign w:val="superscript"/>
        </w:rPr>
        <w:footnoteRef/>
      </w:r>
      <w:r>
        <w:rPr>
          <w:rFonts w:ascii="Arial Narrow" w:hAnsi="Arial Narrow" w:eastAsia="Arial Narrow" w:cs="Arial Narrow"/>
          <w:sz w:val="20"/>
          <w:szCs w:val="20"/>
        </w:rPr>
        <w:t xml:space="preserve"> Comisión de Derechos Humanos de la Ciudad de México, Boletín 110/2020, véase: </w:t>
      </w:r>
      <w:hyperlink r:id="rId13">
        <w:r>
          <w:rPr>
            <w:rFonts w:ascii="Arial Narrow" w:hAnsi="Arial Narrow" w:eastAsia="Arial Narrow" w:cs="Arial Narrow"/>
            <w:color w:val="1155CC"/>
            <w:sz w:val="20"/>
            <w:szCs w:val="20"/>
            <w:u w:val="single"/>
          </w:rPr>
          <w:t>https://cdhcm.org.mx/2020/08/la-cdhcm-expresa-su-solidaridad-a-las-organizaciones-sociales-y-de-defensa-de-los-derechos-humanos-que-acompanan-a-paola-verenice-pabon-caranqui-virgilio-hernandez-y-christian-fabian-gonzalez-narvaez</w:t>
        </w:r>
      </w:hyperlink>
      <w:hyperlink r:id="rId14">
        <w:r>
          <w:rPr>
            <w:color w:val="1155CC"/>
            <w:sz w:val="20"/>
            <w:szCs w:val="20"/>
            <w:u w:val="single"/>
          </w:rPr>
          <w:t>/</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2278C" w:rsidR="00EE5D5A" w:rsidRDefault="00EE5D5A" w:rsidP="00EE5D5A">
    <w:pPr>
      <w:pStyle w:val="Header"/>
      <w:tabs>
        <w:tab w:val="clear" w:pos="8838"/>
        <w:tab w:val="right" w:pos="9072"/>
      </w:tabs>
      <w:jc w:val="right"/>
      <w:rPr>
        <w:sz w:val="18"/>
      </w:rPr>
    </w:pPr>
    <w:r w:rsidRPr="007419AE">
      <w:rPr>
        <w:noProof/>
        <w:sz w:val="18"/>
        <w:lang w:val="en-GB" w:eastAsia="en-GB"/>
      </w:rPr>
      <w:drawing>
        <wp:anchor distT="0" distB="0" distL="114300" distR="114300" simplePos="0" relativeHeight="251659264" behindDoc="0" locked="0" layoutInCell="1" allowOverlap="1" wp14:anchorId="7AA0EDF5" wp14:editId="0AD5D322">
          <wp:simplePos x="0" y="0"/>
          <wp:positionH relativeFrom="margin">
            <wp:posOffset>-314325</wp:posOffset>
          </wp:positionH>
          <wp:positionV relativeFrom="paragraph">
            <wp:posOffset>11430</wp:posOffset>
          </wp:positionV>
          <wp:extent cx="895350" cy="895350"/>
          <wp:effectExtent l="0" t="0" r="0" b="0"/>
          <wp:wrapThrough wrapText="bothSides">
            <wp:wrapPolygon edited="0">
              <wp:start x="6434" y="0"/>
              <wp:lineTo x="3217" y="1838"/>
              <wp:lineTo x="0" y="5515"/>
              <wp:lineTo x="0" y="16085"/>
              <wp:lineTo x="5055" y="21140"/>
              <wp:lineTo x="6434" y="21140"/>
              <wp:lineTo x="14706" y="21140"/>
              <wp:lineTo x="16085" y="21140"/>
              <wp:lineTo x="21140" y="16085"/>
              <wp:lineTo x="21140" y="5515"/>
              <wp:lineTo x="17923" y="1838"/>
              <wp:lineTo x="14706" y="0"/>
              <wp:lineTo x="6434"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HDCM.png"/>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p>
  <w:p w14:paraId="46283E7D" w:rsidR="00EE5D5A" w:rsidRDefault="00EE5D5A" w:rsidP="00EE5D5A">
    <w:pPr>
      <w:pStyle w:val="Header"/>
      <w:tabs>
        <w:tab w:val="clear" w:pos="8838"/>
        <w:tab w:val="right" w:pos="9072"/>
      </w:tabs>
      <w:jc w:val="right"/>
      <w:rPr>
        <w:sz w:val="18"/>
      </w:rPr>
    </w:pPr>
  </w:p>
  <w:p w14:paraId="4D0A7C46" w:rsidR="00EE5D5A" w:rsidRDefault="00EE5D5A" w:rsidP="00EE5D5A">
    <w:pPr>
      <w:pStyle w:val="Header"/>
      <w:tabs>
        <w:tab w:val="clear" w:pos="8838"/>
        <w:tab w:val="right" w:pos="9072"/>
      </w:tabs>
      <w:jc w:val="right"/>
      <w:rPr>
        <w:sz w:val="18"/>
      </w:rPr>
    </w:pPr>
    <w:r w:rsidRPr="007419AE">
      <w:rPr>
        <w:sz w:val="18"/>
      </w:rPr>
      <w:t>Comisión de Derechos Humanos de la Ciudad de México</w:t>
    </w:r>
  </w:p>
  <w:p w14:paraId="1F456DEF" w:rsidR="00EE5D5A" w:rsidRPr="007419AE" w:rsidRDefault="00EE5D5A" w:rsidP="00EE5D5A">
    <w:pPr>
      <w:pStyle w:val="Header"/>
      <w:tabs>
        <w:tab w:val="clear" w:pos="8838"/>
        <w:tab w:val="right" w:pos="9072"/>
      </w:tabs>
      <w:jc w:val="right"/>
      <w:rPr>
        <w:sz w:val="18"/>
      </w:rPr>
    </w:pPr>
    <w:r>
      <w:rPr>
        <w:sz w:val="18"/>
      </w:rPr>
      <w:t>5 de octubre de 2020</w:t>
    </w:r>
  </w:p>
  <w:p w14:paraId="34CED767" w:rsidR="00EE5D5A" w:rsidRDefault="00EE5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D7E45"/>
    <w:multiLevelType w:val="multilevel"/>
    <w:tmpl w:val="F078D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7E"/>
    <w:rsid w:val="000F69EA"/>
    <w:rsid w:val="0011200F"/>
    <w:rsid w:val="001217E0"/>
    <w:rsid w:val="00242DA0"/>
    <w:rsid w:val="00387D4F"/>
    <w:rsid w:val="003C0D7E"/>
    <w:rsid w:val="005659EE"/>
    <w:rsid w:val="005E1A82"/>
    <w:rsid w:val="00690EB3"/>
    <w:rsid w:val="006B4944"/>
    <w:rsid w:val="007652D9"/>
    <w:rsid w:val="007C2885"/>
    <w:rsid w:val="00867E0D"/>
    <w:rsid w:val="008B2D07"/>
    <w:rsid w:val="00992A31"/>
    <w:rsid w:val="00A611D8"/>
    <w:rsid w:val="00A73196"/>
    <w:rsid w:val="00A86958"/>
    <w:rsid w:val="00B75C93"/>
    <w:rsid w:val="00B77B12"/>
    <w:rsid w:val="00CC1DDB"/>
    <w:rsid w:val="00EA181F"/>
    <w:rsid w:val="00EE5D5A"/>
    <w:rsid w:val="00EE6314"/>
    <w:rsid w:val="7D672E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EED304-B37D-49E6-AD18-EC84E68D6CFB}"/>
  <w14:docId w14:val="1742ED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1"/>
    <w:tblPr>
      <w:tblStyleRowBandSize w:val="1"/>
      <w:tblStyleColBandSize w:val="1"/>
      <w:tblCellMar>
        <w:top w:w="100" w:type="dxa"/>
        <w:left w:w="100" w:type="dxa"/>
        <w:bottom w:w="100" w:type="dxa"/>
        <w:right w:w="100" w:type="dxa"/>
      </w:tblCellMar>
    </w:tblPr>
  </w:style>
  <w:style w:type="table" w:styleId="a0" w:customStyle="1">
    <w:basedOn w:val="TableNormal1"/>
    <w:tblPr>
      <w:tblStyleRowBandSize w:val="1"/>
      <w:tblStyleColBandSize w:val="1"/>
      <w:tblCellMar>
        <w:left w:w="70" w:type="dxa"/>
        <w:right w:w="7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5D5A"/>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E5D5A"/>
    <w:rPr>
      <w:rFonts w:ascii="Segoe UI" w:hAnsi="Segoe UI" w:cs="Segoe UI"/>
      <w:sz w:val="18"/>
      <w:szCs w:val="18"/>
    </w:rPr>
  </w:style>
  <w:style w:type="paragraph" w:styleId="Header">
    <w:name w:val="header"/>
    <w:basedOn w:val="Normal"/>
    <w:link w:val="HeaderChar"/>
    <w:uiPriority w:val="99"/>
    <w:unhideWhenUsed/>
    <w:rsid w:val="00EE5D5A"/>
    <w:pPr>
      <w:tabs>
        <w:tab w:val="center" w:pos="4419"/>
        <w:tab w:val="right" w:pos="8838"/>
      </w:tabs>
      <w:spacing w:line="240" w:lineRule="auto"/>
    </w:pPr>
  </w:style>
  <w:style w:type="character" w:styleId="HeaderChar" w:customStyle="1">
    <w:name w:val="Header Char"/>
    <w:basedOn w:val="DefaultParagraphFont"/>
    <w:link w:val="Header"/>
    <w:uiPriority w:val="99"/>
    <w:rsid w:val="00EE5D5A"/>
  </w:style>
  <w:style w:type="paragraph" w:styleId="Footer">
    <w:name w:val="footer"/>
    <w:basedOn w:val="Normal"/>
    <w:link w:val="FooterChar"/>
    <w:uiPriority w:val="99"/>
    <w:unhideWhenUsed/>
    <w:rsid w:val="00EE5D5A"/>
    <w:pPr>
      <w:tabs>
        <w:tab w:val="center" w:pos="4419"/>
        <w:tab w:val="right" w:pos="8838"/>
      </w:tabs>
      <w:spacing w:line="240" w:lineRule="auto"/>
    </w:pPr>
  </w:style>
  <w:style w:type="character" w:styleId="FooterChar" w:customStyle="1">
    <w:name w:val="Footer Char"/>
    <w:basedOn w:val="DefaultParagraphFont"/>
    <w:link w:val="Footer"/>
    <w:uiPriority w:val="99"/>
    <w:rsid w:val="00EE5D5A"/>
  </w:style>
  <w:style w:type="paragraph" w:styleId="ListParagraph">
    <w:name w:val="List Paragraph"/>
    <w:basedOn w:val="Normal"/>
    <w:uiPriority w:val="34"/>
    <w:qFormat/>
    <w:rsid w:val="00EE5D5A"/>
    <w:pPr>
      <w:ind w:left="720"/>
      <w:contextualSpacing/>
    </w:pPr>
  </w:style>
  <w:style w:type="character" w:styleId="Hyperlink">
    <w:name w:val="Hyperlink"/>
    <w:basedOn w:val="DefaultParagraphFont"/>
    <w:uiPriority w:val="99"/>
    <w:unhideWhenUsed/>
    <w:rsid w:val="00867E0D"/>
    <w:rPr>
      <w:color w:val="0000FF" w:themeColor="hyperlink"/>
      <w:u w:val="single"/>
    </w:rPr>
  </w:style>
  <w:style w:type="character" w:styleId="UnresolvedMention" w:customStyle="1">
    <w:name w:val="Unresolved Mention"/>
    <w:basedOn w:val="DefaultParagraphFont"/>
    <w:uiPriority w:val="99"/>
    <w:semiHidden/>
    <w:unhideWhenUsed/>
    <w:rsid w:val="00867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49954">
      <w:bodyDiv w:val="1"/>
      <w:marLeft w:val="0"/>
      <w:marRight w:val="0"/>
      <w:marTop w:val="0"/>
      <w:marBottom w:val="0"/>
      <w:divBdr>
        <w:top w:val="none" w:sz="0" w:space="0" w:color="auto"/>
        <w:left w:val="none" w:sz="0" w:space="0" w:color="auto"/>
        <w:bottom w:val="none" w:sz="0" w:space="0" w:color="auto"/>
        <w:right w:val="none" w:sz="0" w:space="0" w:color="auto"/>
      </w:divBdr>
    </w:div>
    <w:div w:id="719937820">
      <w:bodyDiv w:val="1"/>
      <w:marLeft w:val="0"/>
      <w:marRight w:val="0"/>
      <w:marTop w:val="0"/>
      <w:marBottom w:val="0"/>
      <w:divBdr>
        <w:top w:val="none" w:sz="0" w:space="0" w:color="auto"/>
        <w:left w:val="none" w:sz="0" w:space="0" w:color="auto"/>
        <w:bottom w:val="none" w:sz="0" w:space="0" w:color="auto"/>
        <w:right w:val="none" w:sz="0" w:space="0" w:color="auto"/>
      </w:divBdr>
    </w:div>
    <w:div w:id="1653171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s://www.gob.mx/cms/uploads/attachment/file/577700/2020_06_Informe_estadistico.pdf" TargetMode="External"/><Relationship Id="rId13" Type="http://schemas.openxmlformats.org/officeDocument/2006/relationships/hyperlink" Target="https://cdhcm.org.mx/2020/08/la-cdhcm-expresa-su-solidaridad-a-las-organizaciones-sociales-y-de-defensa-de-los-derechos-humanos-que-acompanan-a-paola-verenice-pabon-caranqui-virgilio-hernandez-y-christian-fabian-gonzalez-narvaez/" TargetMode="External"/><Relationship Id="rId3" Type="http://schemas.openxmlformats.org/officeDocument/2006/relationships/hyperlink" Target="https://www.cemda.org.mx/wp-content/uploads/2020/03/informe-personas-defensoras-2019.pdf" TargetMode="External"/><Relationship Id="rId7" Type="http://schemas.openxmlformats.org/officeDocument/2006/relationships/hyperlink" Target="https://www.gob.mx/defensorasyperiodistas" TargetMode="External"/><Relationship Id="rId12" Type="http://schemas.openxmlformats.org/officeDocument/2006/relationships/hyperlink" Target="https://cdhcm.org.mx/2020/08/la-cdhcm-reconoce-y-agradece-la-labor-de-las-organizaciones-de-la-sociedad-civil-por-su-aporte-a-la-lucha-por-la-defensa-y-promocion-de-los-derechos-humanos-en-mexico/" TargetMode="External"/><Relationship Id="rId2" Type="http://schemas.openxmlformats.org/officeDocument/2006/relationships/hyperlink" Target="https://cdhcm.org.mx/wp-content/uploads/2017/06/reco_0417.pdf" TargetMode="External"/><Relationship Id="rId1" Type="http://schemas.openxmlformats.org/officeDocument/2006/relationships/hyperlink" Target="http://www.cdhcm.org.mx" TargetMode="External"/><Relationship Id="rId6" Type="http://schemas.openxmlformats.org/officeDocument/2006/relationships/hyperlink" Target="https://www.gob.mx/defensorasyperiodistas/es/articulos/el-mecanismo-para-la-proteccion-de-personas-defensoras-de-derechos-humanos-y-periodistas-252308?idiom=es" TargetMode="External"/><Relationship Id="rId11" Type="http://schemas.openxmlformats.org/officeDocument/2006/relationships/hyperlink" Target="https://www.gob.mx/cms/uploads/attachment/file/577700/2020_06_Informe_estadistico.pdf" TargetMode="External"/><Relationship Id="rId5" Type="http://schemas.openxmlformats.org/officeDocument/2006/relationships/hyperlink" Target="https://www.lja.mx/2020/07/al-menos-10-activistas-han-sido-asesinados-en-mexico-desde-el-inicio-de-la-contingencia/" TargetMode="External"/><Relationship Id="rId10" Type="http://schemas.openxmlformats.org/officeDocument/2006/relationships/hyperlink" Target="https://www.gob.mx/cms/uploads/attachment/file/562037/ESTADISTICAS_Jun_2020.pdf" TargetMode="External"/><Relationship Id="rId4" Type="http://schemas.openxmlformats.org/officeDocument/2006/relationships/hyperlink" Target="https://www.wola.org/es/analisis/periodistas-personas-defensoras-mexico/" TargetMode="External"/><Relationship Id="rId9" Type="http://schemas.openxmlformats.org/officeDocument/2006/relationships/hyperlink" Target="https://www.animalpolitico.com/verdad-justicia-y-reparacion/defender-derechos-humanos-en-tiempos-de-pandemia/" TargetMode="External"/><Relationship Id="rId14" Type="http://schemas.openxmlformats.org/officeDocument/2006/relationships/hyperlink" Target="https://cdhcm.org.mx/2020/08/la-cdhcm-expresa-su-solidaridad-a-las-organizaciones-sociales-y-de-defensa-de-los-derechos-humanos-que-acompanan-a-paola-verenice-pabon-caranqui-virgilio-hernandez-y-christian-fabian-gonzalez-narvae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80514E-6692-4A70-B5E0-0E1C32FF4B7A}">
  <ds:schemaRefs>
    <ds:schemaRef ds:uri="http://schemas.openxmlformats.org/officeDocument/2006/bibliography"/>
  </ds:schemaRefs>
</ds:datastoreItem>
</file>

<file path=customXml/itemProps2.xml><?xml version="1.0" encoding="utf-8"?>
<ds:datastoreItem xmlns:ds="http://schemas.openxmlformats.org/officeDocument/2006/customXml" ds:itemID="{44BBE9C9-C7A4-49AC-8ADF-42B785D7980F}"/>
</file>

<file path=customXml/itemProps3.xml><?xml version="1.0" encoding="utf-8"?>
<ds:datastoreItem xmlns:ds="http://schemas.openxmlformats.org/officeDocument/2006/customXml" ds:itemID="{96C08A3F-D3BA-4A79-BCEE-3CCA1C0C8F2D}"/>
</file>

<file path=customXml/itemProps4.xml><?xml version="1.0" encoding="utf-8"?>
<ds:datastoreItem xmlns:ds="http://schemas.openxmlformats.org/officeDocument/2006/customXml" ds:itemID="{F9DC1FA2-6FF9-4906-83BB-8849EB60DFD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CDHCM</dc:creator>
  <cp:lastModifiedBy>OHCHR SPB Intern11</cp:lastModifiedBy>
  <cp:revision>3</cp:revision>
  <cp:lastPrinted>2020-10-05T22:38:00Z</cp:lastPrinted>
  <dcterms:created xsi:type="dcterms:W3CDTF">2020-10-08T13:01:00Z</dcterms:created>
  <dcterms:modified xsi:type="dcterms:W3CDTF">2020-10-25T17:35:06Z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