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91596" w14:textId="77777777" w:rsidR="009E1588" w:rsidRDefault="00626D3D" w:rsidP="00346991">
      <w:pPr>
        <w:pStyle w:val="Heading1"/>
        <w:spacing w:line="240" w:lineRule="auto"/>
        <w:jc w:val="both"/>
        <w:rPr>
          <w:rFonts w:asciiTheme="minorHAnsi" w:hAnsiTheme="minorHAnsi"/>
          <w:sz w:val="24"/>
          <w:szCs w:val="24"/>
        </w:rPr>
      </w:pPr>
      <w:r w:rsidRPr="0021362A">
        <w:rPr>
          <w:rFonts w:asciiTheme="minorHAnsi" w:hAnsiTheme="minorHAnsi"/>
          <w:sz w:val="24"/>
          <w:szCs w:val="24"/>
        </w:rPr>
        <w:t>UNFPA</w:t>
      </w:r>
    </w:p>
    <w:p w14:paraId="2607404E" w14:textId="77777777" w:rsidR="009E1588" w:rsidRPr="009E1588" w:rsidRDefault="009E1588" w:rsidP="009E1588"/>
    <w:p w14:paraId="07B1B49F" w14:textId="77777777" w:rsidR="00212306" w:rsidRPr="0021362A" w:rsidRDefault="00212306" w:rsidP="00346991">
      <w:pPr>
        <w:spacing w:line="240" w:lineRule="auto"/>
        <w:jc w:val="both"/>
        <w:rPr>
          <w:sz w:val="24"/>
          <w:szCs w:val="24"/>
        </w:rPr>
      </w:pPr>
      <w:r w:rsidRPr="0021362A">
        <w:rPr>
          <w:sz w:val="24"/>
          <w:szCs w:val="24"/>
        </w:rPr>
        <w:t xml:space="preserve">The United Nations Population Fund (UNFPA) submits this report on the topic of the Right to Development </w:t>
      </w:r>
      <w:r w:rsidR="00262920" w:rsidRPr="0021362A">
        <w:rPr>
          <w:sz w:val="24"/>
          <w:szCs w:val="24"/>
        </w:rPr>
        <w:t>(</w:t>
      </w:r>
      <w:proofErr w:type="spellStart"/>
      <w:r w:rsidR="00262920" w:rsidRPr="0021362A">
        <w:rPr>
          <w:sz w:val="24"/>
          <w:szCs w:val="24"/>
        </w:rPr>
        <w:t>RtoD</w:t>
      </w:r>
      <w:proofErr w:type="spellEnd"/>
      <w:r w:rsidR="00262920" w:rsidRPr="0021362A">
        <w:rPr>
          <w:sz w:val="24"/>
          <w:szCs w:val="24"/>
        </w:rPr>
        <w:t xml:space="preserve">) </w:t>
      </w:r>
      <w:r w:rsidRPr="0021362A">
        <w:rPr>
          <w:sz w:val="24"/>
          <w:szCs w:val="24"/>
        </w:rPr>
        <w:t>pursuant to resolution 30/28 in which the Human Rights Council requested a document containing a set of standards on implementa</w:t>
      </w:r>
      <w:r w:rsidR="00262920" w:rsidRPr="0021362A">
        <w:rPr>
          <w:sz w:val="24"/>
          <w:szCs w:val="24"/>
        </w:rPr>
        <w:t xml:space="preserve">tion of the </w:t>
      </w:r>
      <w:proofErr w:type="spellStart"/>
      <w:r w:rsidR="00262920" w:rsidRPr="0021362A">
        <w:rPr>
          <w:sz w:val="24"/>
          <w:szCs w:val="24"/>
        </w:rPr>
        <w:t>RtoD</w:t>
      </w:r>
      <w:proofErr w:type="spellEnd"/>
      <w:r w:rsidRPr="0021362A">
        <w:rPr>
          <w:sz w:val="24"/>
          <w:szCs w:val="24"/>
        </w:rPr>
        <w:t xml:space="preserve">. </w:t>
      </w:r>
    </w:p>
    <w:p w14:paraId="476ADA4E" w14:textId="28285127" w:rsidR="00AE4841" w:rsidRPr="0021362A" w:rsidRDefault="00AE4841" w:rsidP="00346991">
      <w:pPr>
        <w:spacing w:line="240" w:lineRule="auto"/>
        <w:jc w:val="both"/>
        <w:rPr>
          <w:sz w:val="24"/>
          <w:szCs w:val="24"/>
        </w:rPr>
      </w:pPr>
      <w:r w:rsidRPr="0021362A">
        <w:rPr>
          <w:sz w:val="24"/>
          <w:szCs w:val="24"/>
        </w:rPr>
        <w:t>Based on the ICPD P</w:t>
      </w:r>
      <w:r w:rsidR="00F97B99">
        <w:rPr>
          <w:sz w:val="24"/>
          <w:szCs w:val="24"/>
        </w:rPr>
        <w:t xml:space="preserve">rogramme </w:t>
      </w:r>
      <w:r w:rsidRPr="0021362A">
        <w:rPr>
          <w:sz w:val="24"/>
          <w:szCs w:val="24"/>
        </w:rPr>
        <w:t>o</w:t>
      </w:r>
      <w:r w:rsidR="00F97B99">
        <w:rPr>
          <w:sz w:val="24"/>
          <w:szCs w:val="24"/>
        </w:rPr>
        <w:t xml:space="preserve">f </w:t>
      </w:r>
      <w:r w:rsidRPr="0021362A">
        <w:rPr>
          <w:sz w:val="24"/>
          <w:szCs w:val="24"/>
        </w:rPr>
        <w:t>A</w:t>
      </w:r>
      <w:r w:rsidR="00F97B99">
        <w:rPr>
          <w:sz w:val="24"/>
          <w:szCs w:val="24"/>
        </w:rPr>
        <w:t>ction (</w:t>
      </w:r>
      <w:proofErr w:type="spellStart"/>
      <w:r w:rsidR="00F97B99">
        <w:rPr>
          <w:sz w:val="24"/>
          <w:szCs w:val="24"/>
        </w:rPr>
        <w:t>PoA</w:t>
      </w:r>
      <w:proofErr w:type="spellEnd"/>
      <w:r w:rsidR="00F97B99">
        <w:rPr>
          <w:sz w:val="24"/>
          <w:szCs w:val="24"/>
        </w:rPr>
        <w:t>)</w:t>
      </w:r>
      <w:r w:rsidRPr="0021362A">
        <w:rPr>
          <w:sz w:val="24"/>
          <w:szCs w:val="24"/>
        </w:rPr>
        <w:t xml:space="preserve"> and the ICPD Framework </w:t>
      </w:r>
      <w:r w:rsidR="00756826" w:rsidRPr="0021362A">
        <w:rPr>
          <w:sz w:val="24"/>
          <w:szCs w:val="24"/>
        </w:rPr>
        <w:t>of Action</w:t>
      </w:r>
      <w:r w:rsidR="009A135E">
        <w:rPr>
          <w:sz w:val="24"/>
          <w:szCs w:val="24"/>
        </w:rPr>
        <w:t>s</w:t>
      </w:r>
      <w:r w:rsidRPr="0021362A">
        <w:rPr>
          <w:sz w:val="24"/>
          <w:szCs w:val="24"/>
        </w:rPr>
        <w:t xml:space="preserve"> as well as programmatic experience, UNFPA argues for the critical integration of the following key principles in the further work to set standards </w:t>
      </w:r>
      <w:r w:rsidR="00EA3E53" w:rsidRPr="0021362A">
        <w:rPr>
          <w:sz w:val="24"/>
          <w:szCs w:val="24"/>
        </w:rPr>
        <w:t>for</w:t>
      </w:r>
      <w:r w:rsidRPr="0021362A">
        <w:rPr>
          <w:sz w:val="24"/>
          <w:szCs w:val="24"/>
        </w:rPr>
        <w:t xml:space="preserve"> </w:t>
      </w:r>
      <w:proofErr w:type="spellStart"/>
      <w:r w:rsidRPr="0021362A">
        <w:rPr>
          <w:sz w:val="24"/>
          <w:szCs w:val="24"/>
        </w:rPr>
        <w:t>RtoD</w:t>
      </w:r>
      <w:proofErr w:type="spellEnd"/>
      <w:r w:rsidRPr="0021362A">
        <w:rPr>
          <w:sz w:val="24"/>
          <w:szCs w:val="24"/>
        </w:rPr>
        <w:t xml:space="preserve"> implementation:</w:t>
      </w:r>
    </w:p>
    <w:p w14:paraId="6945B20F" w14:textId="77777777" w:rsidR="00AE4841" w:rsidRPr="0021362A" w:rsidRDefault="00AE4841" w:rsidP="00346991">
      <w:pPr>
        <w:pStyle w:val="ListParagraph"/>
        <w:numPr>
          <w:ilvl w:val="0"/>
          <w:numId w:val="16"/>
        </w:numPr>
        <w:spacing w:line="240" w:lineRule="auto"/>
        <w:jc w:val="both"/>
        <w:rPr>
          <w:sz w:val="24"/>
          <w:szCs w:val="24"/>
        </w:rPr>
      </w:pPr>
      <w:r w:rsidRPr="0021362A">
        <w:rPr>
          <w:sz w:val="24"/>
          <w:szCs w:val="24"/>
        </w:rPr>
        <w:t>Human rights and accountability</w:t>
      </w:r>
    </w:p>
    <w:p w14:paraId="31CCCD7B" w14:textId="77777777" w:rsidR="00AE4841" w:rsidRPr="0021362A" w:rsidRDefault="00AE4841" w:rsidP="00346991">
      <w:pPr>
        <w:pStyle w:val="ListParagraph"/>
        <w:numPr>
          <w:ilvl w:val="0"/>
          <w:numId w:val="16"/>
        </w:numPr>
        <w:spacing w:line="240" w:lineRule="auto"/>
        <w:jc w:val="both"/>
        <w:rPr>
          <w:sz w:val="24"/>
          <w:szCs w:val="24"/>
        </w:rPr>
      </w:pPr>
      <w:r w:rsidRPr="0021362A">
        <w:rPr>
          <w:sz w:val="24"/>
          <w:szCs w:val="24"/>
        </w:rPr>
        <w:t>Equality</w:t>
      </w:r>
      <w:r w:rsidR="00AB4E3B" w:rsidRPr="0021362A">
        <w:rPr>
          <w:sz w:val="24"/>
          <w:szCs w:val="24"/>
        </w:rPr>
        <w:t xml:space="preserve"> and </w:t>
      </w:r>
      <w:r w:rsidR="00CC77C4" w:rsidRPr="0021362A">
        <w:rPr>
          <w:sz w:val="24"/>
          <w:szCs w:val="24"/>
        </w:rPr>
        <w:t>participation</w:t>
      </w:r>
    </w:p>
    <w:p w14:paraId="18F3ADF8" w14:textId="77777777" w:rsidR="00AE4841" w:rsidRDefault="00AE4841" w:rsidP="00346991">
      <w:pPr>
        <w:pStyle w:val="ListParagraph"/>
        <w:numPr>
          <w:ilvl w:val="0"/>
          <w:numId w:val="16"/>
        </w:numPr>
        <w:spacing w:line="240" w:lineRule="auto"/>
        <w:jc w:val="both"/>
        <w:rPr>
          <w:sz w:val="24"/>
          <w:szCs w:val="24"/>
        </w:rPr>
      </w:pPr>
      <w:r w:rsidRPr="0021362A">
        <w:rPr>
          <w:sz w:val="24"/>
          <w:szCs w:val="24"/>
        </w:rPr>
        <w:t>Youth and the Demographic Dividend</w:t>
      </w:r>
      <w:r w:rsidR="00472AA1" w:rsidRPr="0021362A">
        <w:rPr>
          <w:sz w:val="24"/>
          <w:szCs w:val="24"/>
        </w:rPr>
        <w:t xml:space="preserve"> </w:t>
      </w:r>
    </w:p>
    <w:p w14:paraId="14A2064B" w14:textId="77777777" w:rsidR="003B09EE" w:rsidRPr="0021362A" w:rsidRDefault="003B09EE" w:rsidP="00DF5F33">
      <w:pPr>
        <w:pStyle w:val="ListParagraph"/>
        <w:spacing w:line="240" w:lineRule="auto"/>
        <w:jc w:val="both"/>
        <w:rPr>
          <w:sz w:val="24"/>
          <w:szCs w:val="24"/>
        </w:rPr>
      </w:pPr>
    </w:p>
    <w:p w14:paraId="7647779E" w14:textId="0F0AED82" w:rsidR="00212306" w:rsidRPr="0021362A" w:rsidRDefault="003C1DD3" w:rsidP="00346991">
      <w:pPr>
        <w:pStyle w:val="Heading2"/>
        <w:numPr>
          <w:ilvl w:val="0"/>
          <w:numId w:val="17"/>
        </w:numPr>
        <w:spacing w:line="240" w:lineRule="auto"/>
        <w:jc w:val="both"/>
        <w:rPr>
          <w:rFonts w:asciiTheme="minorHAnsi" w:hAnsiTheme="minorHAnsi"/>
          <w:sz w:val="24"/>
          <w:szCs w:val="24"/>
        </w:rPr>
      </w:pPr>
      <w:proofErr w:type="spellStart"/>
      <w:r w:rsidRPr="0021362A">
        <w:rPr>
          <w:rFonts w:asciiTheme="minorHAnsi" w:hAnsiTheme="minorHAnsi"/>
          <w:sz w:val="24"/>
          <w:szCs w:val="24"/>
        </w:rPr>
        <w:t>RtoD</w:t>
      </w:r>
      <w:proofErr w:type="spellEnd"/>
      <w:r w:rsidRPr="0021362A">
        <w:rPr>
          <w:rFonts w:asciiTheme="minorHAnsi" w:hAnsiTheme="minorHAnsi"/>
          <w:sz w:val="24"/>
          <w:szCs w:val="24"/>
        </w:rPr>
        <w:t xml:space="preserve"> in ICPD </w:t>
      </w:r>
      <w:proofErr w:type="spellStart"/>
      <w:r w:rsidRPr="0021362A">
        <w:rPr>
          <w:rFonts w:asciiTheme="minorHAnsi" w:hAnsiTheme="minorHAnsi"/>
          <w:sz w:val="24"/>
          <w:szCs w:val="24"/>
        </w:rPr>
        <w:t>PoA</w:t>
      </w:r>
      <w:proofErr w:type="spellEnd"/>
      <w:r w:rsidRPr="0021362A">
        <w:rPr>
          <w:rFonts w:asciiTheme="minorHAnsi" w:hAnsiTheme="minorHAnsi"/>
          <w:sz w:val="24"/>
          <w:szCs w:val="24"/>
        </w:rPr>
        <w:t xml:space="preserve"> and </w:t>
      </w:r>
      <w:r w:rsidR="00756826" w:rsidRPr="0021362A">
        <w:rPr>
          <w:rFonts w:asciiTheme="minorHAnsi" w:hAnsiTheme="minorHAnsi"/>
          <w:sz w:val="24"/>
          <w:szCs w:val="24"/>
        </w:rPr>
        <w:t xml:space="preserve">the ICPD </w:t>
      </w:r>
      <w:r w:rsidR="009A135E">
        <w:rPr>
          <w:rFonts w:asciiTheme="minorHAnsi" w:hAnsiTheme="minorHAnsi"/>
          <w:sz w:val="24"/>
          <w:szCs w:val="24"/>
        </w:rPr>
        <w:t xml:space="preserve">Beyond 2014 Review </w:t>
      </w:r>
      <w:r w:rsidR="00A72249" w:rsidRPr="0021362A">
        <w:rPr>
          <w:rFonts w:asciiTheme="minorHAnsi" w:hAnsiTheme="minorHAnsi"/>
          <w:sz w:val="24"/>
          <w:szCs w:val="24"/>
        </w:rPr>
        <w:t xml:space="preserve"> </w:t>
      </w:r>
    </w:p>
    <w:p w14:paraId="2EC4EE4C" w14:textId="1C532DD8" w:rsidR="00262920" w:rsidRPr="0021362A" w:rsidRDefault="00262920" w:rsidP="00346991">
      <w:pPr>
        <w:spacing w:line="240" w:lineRule="auto"/>
        <w:jc w:val="both"/>
        <w:rPr>
          <w:sz w:val="24"/>
          <w:szCs w:val="24"/>
        </w:rPr>
      </w:pPr>
      <w:r w:rsidRPr="0021362A">
        <w:rPr>
          <w:sz w:val="24"/>
          <w:szCs w:val="24"/>
        </w:rPr>
        <w:t xml:space="preserve">This submission takes </w:t>
      </w:r>
      <w:r w:rsidR="00692A8D" w:rsidRPr="0021362A">
        <w:rPr>
          <w:sz w:val="24"/>
          <w:szCs w:val="24"/>
        </w:rPr>
        <w:t xml:space="preserve">its </w:t>
      </w:r>
      <w:r w:rsidRPr="0021362A">
        <w:rPr>
          <w:sz w:val="24"/>
          <w:szCs w:val="24"/>
        </w:rPr>
        <w:t xml:space="preserve">outset in the ICPD Programme </w:t>
      </w:r>
      <w:r w:rsidR="00614A90" w:rsidRPr="0021362A">
        <w:rPr>
          <w:sz w:val="24"/>
          <w:szCs w:val="24"/>
        </w:rPr>
        <w:t xml:space="preserve">of </w:t>
      </w:r>
      <w:r w:rsidRPr="0021362A">
        <w:rPr>
          <w:sz w:val="24"/>
          <w:szCs w:val="24"/>
        </w:rPr>
        <w:t>Action (1994)</w:t>
      </w:r>
      <w:r w:rsidR="00692A8D" w:rsidRPr="0021362A">
        <w:rPr>
          <w:rStyle w:val="FootnoteReference"/>
          <w:sz w:val="24"/>
          <w:szCs w:val="24"/>
        </w:rPr>
        <w:footnoteReference w:id="1"/>
      </w:r>
      <w:r w:rsidRPr="0021362A">
        <w:rPr>
          <w:sz w:val="24"/>
          <w:szCs w:val="24"/>
        </w:rPr>
        <w:t xml:space="preserve"> and the ICPD Framework </w:t>
      </w:r>
      <w:r w:rsidR="00614A90" w:rsidRPr="0021362A">
        <w:rPr>
          <w:sz w:val="24"/>
          <w:szCs w:val="24"/>
        </w:rPr>
        <w:t>of</w:t>
      </w:r>
      <w:r w:rsidRPr="0021362A">
        <w:rPr>
          <w:sz w:val="24"/>
          <w:szCs w:val="24"/>
        </w:rPr>
        <w:t xml:space="preserve"> Action</w:t>
      </w:r>
      <w:r w:rsidR="00614A90" w:rsidRPr="0021362A">
        <w:rPr>
          <w:sz w:val="24"/>
          <w:szCs w:val="24"/>
        </w:rPr>
        <w:t>s</w:t>
      </w:r>
      <w:r w:rsidRPr="0021362A">
        <w:rPr>
          <w:sz w:val="24"/>
          <w:szCs w:val="24"/>
        </w:rPr>
        <w:t xml:space="preserve"> (ICPD</w:t>
      </w:r>
      <w:r w:rsidR="0021362A" w:rsidRPr="0021362A">
        <w:rPr>
          <w:sz w:val="24"/>
          <w:szCs w:val="24"/>
        </w:rPr>
        <w:t xml:space="preserve"> </w:t>
      </w:r>
      <w:r w:rsidR="00614A90" w:rsidRPr="0021362A">
        <w:rPr>
          <w:sz w:val="24"/>
          <w:szCs w:val="24"/>
        </w:rPr>
        <w:t>Beyond 2014 review</w:t>
      </w:r>
      <w:r w:rsidRPr="0021362A">
        <w:rPr>
          <w:sz w:val="24"/>
          <w:szCs w:val="24"/>
        </w:rPr>
        <w:t>).</w:t>
      </w:r>
      <w:r w:rsidR="00692A8D" w:rsidRPr="0021362A">
        <w:rPr>
          <w:rStyle w:val="FootnoteReference"/>
          <w:sz w:val="24"/>
          <w:szCs w:val="24"/>
        </w:rPr>
        <w:footnoteReference w:id="2"/>
      </w:r>
      <w:r w:rsidRPr="0021362A">
        <w:rPr>
          <w:sz w:val="24"/>
          <w:szCs w:val="24"/>
        </w:rPr>
        <w:t xml:space="preserve"> Both documents </w:t>
      </w:r>
      <w:r w:rsidR="00614A90" w:rsidRPr="0021362A">
        <w:rPr>
          <w:sz w:val="24"/>
          <w:szCs w:val="24"/>
        </w:rPr>
        <w:t xml:space="preserve">provide </w:t>
      </w:r>
      <w:r w:rsidRPr="0021362A">
        <w:rPr>
          <w:sz w:val="24"/>
          <w:szCs w:val="24"/>
        </w:rPr>
        <w:t xml:space="preserve">the basis for UNFPA’s position on key elements of </w:t>
      </w:r>
      <w:proofErr w:type="spellStart"/>
      <w:r w:rsidRPr="0021362A">
        <w:rPr>
          <w:sz w:val="24"/>
          <w:szCs w:val="24"/>
        </w:rPr>
        <w:t>RtoD</w:t>
      </w:r>
      <w:proofErr w:type="spellEnd"/>
      <w:r w:rsidRPr="0021362A">
        <w:rPr>
          <w:sz w:val="24"/>
          <w:szCs w:val="24"/>
        </w:rPr>
        <w:t>.</w:t>
      </w:r>
    </w:p>
    <w:p w14:paraId="53F6A3DD" w14:textId="0555A95B" w:rsidR="00E7548F" w:rsidRPr="0021362A" w:rsidRDefault="003C1DD3" w:rsidP="00346991">
      <w:pPr>
        <w:spacing w:line="240" w:lineRule="auto"/>
        <w:jc w:val="both"/>
        <w:rPr>
          <w:sz w:val="24"/>
          <w:szCs w:val="24"/>
        </w:rPr>
      </w:pPr>
      <w:r w:rsidRPr="0021362A">
        <w:rPr>
          <w:sz w:val="24"/>
          <w:szCs w:val="24"/>
        </w:rPr>
        <w:t xml:space="preserve">The </w:t>
      </w:r>
      <w:r w:rsidRPr="0021362A">
        <w:rPr>
          <w:b/>
          <w:sz w:val="24"/>
          <w:szCs w:val="24"/>
        </w:rPr>
        <w:t xml:space="preserve">ICPD Programme of Action (ICPD </w:t>
      </w:r>
      <w:proofErr w:type="spellStart"/>
      <w:r w:rsidRPr="0021362A">
        <w:rPr>
          <w:b/>
          <w:sz w:val="24"/>
          <w:szCs w:val="24"/>
        </w:rPr>
        <w:t>PoA</w:t>
      </w:r>
      <w:proofErr w:type="spellEnd"/>
      <w:r w:rsidRPr="0021362A">
        <w:rPr>
          <w:b/>
          <w:sz w:val="24"/>
          <w:szCs w:val="24"/>
        </w:rPr>
        <w:t>)</w:t>
      </w:r>
      <w:r w:rsidRPr="0021362A">
        <w:rPr>
          <w:sz w:val="24"/>
          <w:szCs w:val="24"/>
        </w:rPr>
        <w:t>, adopted in 1994 by 179 Member States, lays out the mandate for UNFPA’s</w:t>
      </w:r>
      <w:r w:rsidR="0017463B" w:rsidRPr="0021362A">
        <w:rPr>
          <w:sz w:val="24"/>
          <w:szCs w:val="24"/>
        </w:rPr>
        <w:t xml:space="preserve"> work, which </w:t>
      </w:r>
      <w:r w:rsidRPr="0021362A">
        <w:rPr>
          <w:sz w:val="24"/>
          <w:szCs w:val="24"/>
        </w:rPr>
        <w:t>places the human rights of individuals</w:t>
      </w:r>
      <w:r w:rsidR="000057CC" w:rsidRPr="0021362A">
        <w:rPr>
          <w:sz w:val="24"/>
          <w:szCs w:val="24"/>
        </w:rPr>
        <w:t xml:space="preserve"> at the </w:t>
      </w:r>
      <w:proofErr w:type="spellStart"/>
      <w:r w:rsidR="000057CC" w:rsidRPr="0021362A">
        <w:rPr>
          <w:sz w:val="24"/>
          <w:szCs w:val="24"/>
        </w:rPr>
        <w:t>centre</w:t>
      </w:r>
      <w:proofErr w:type="spellEnd"/>
      <w:r w:rsidR="000057CC" w:rsidRPr="0021362A">
        <w:rPr>
          <w:sz w:val="24"/>
          <w:szCs w:val="24"/>
        </w:rPr>
        <w:t xml:space="preserve"> of </w:t>
      </w:r>
      <w:r w:rsidR="0017463B" w:rsidRPr="0021362A">
        <w:rPr>
          <w:sz w:val="24"/>
          <w:szCs w:val="24"/>
        </w:rPr>
        <w:t>development</w:t>
      </w:r>
      <w:r w:rsidRPr="0021362A">
        <w:rPr>
          <w:sz w:val="24"/>
          <w:szCs w:val="24"/>
        </w:rPr>
        <w:t xml:space="preserve"> rather than numerical popu</w:t>
      </w:r>
      <w:r w:rsidR="0017463B" w:rsidRPr="0021362A">
        <w:rPr>
          <w:sz w:val="24"/>
          <w:szCs w:val="24"/>
        </w:rPr>
        <w:t>lation targets</w:t>
      </w:r>
      <w:r w:rsidR="000057CC" w:rsidRPr="0021362A">
        <w:rPr>
          <w:sz w:val="24"/>
          <w:szCs w:val="24"/>
        </w:rPr>
        <w:t xml:space="preserve"> in order to achieve sustainable progress</w:t>
      </w:r>
      <w:r w:rsidR="0017463B" w:rsidRPr="0021362A">
        <w:rPr>
          <w:sz w:val="24"/>
          <w:szCs w:val="24"/>
        </w:rPr>
        <w:t>.</w:t>
      </w:r>
      <w:r w:rsidR="002E5748" w:rsidRPr="0021362A">
        <w:rPr>
          <w:sz w:val="24"/>
          <w:szCs w:val="24"/>
        </w:rPr>
        <w:t xml:space="preserve"> ICPD </w:t>
      </w:r>
      <w:proofErr w:type="spellStart"/>
      <w:r w:rsidR="002E5748" w:rsidRPr="0021362A">
        <w:rPr>
          <w:sz w:val="24"/>
          <w:szCs w:val="24"/>
        </w:rPr>
        <w:t>PoA</w:t>
      </w:r>
      <w:proofErr w:type="spellEnd"/>
      <w:r w:rsidR="002E5748" w:rsidRPr="0021362A">
        <w:rPr>
          <w:sz w:val="24"/>
          <w:szCs w:val="24"/>
        </w:rPr>
        <w:t xml:space="preserve"> reflected a consensus among 179 Member States that increasing social, economic and </w:t>
      </w:r>
      <w:proofErr w:type="gramStart"/>
      <w:r w:rsidR="002E5748" w:rsidRPr="0021362A">
        <w:rPr>
          <w:sz w:val="24"/>
          <w:szCs w:val="24"/>
        </w:rPr>
        <w:t>political</w:t>
      </w:r>
      <w:proofErr w:type="gramEnd"/>
      <w:r w:rsidR="002E5748" w:rsidRPr="0021362A">
        <w:rPr>
          <w:sz w:val="24"/>
          <w:szCs w:val="24"/>
        </w:rPr>
        <w:t xml:space="preserve"> equality, including a comprehensive definition of sexual and reproductive health and rights that reinforced women’s and girls’ human rights, is the basis for individual well-being, lower population growth, sustained economic growth and sustainable development. </w:t>
      </w:r>
      <w:r w:rsidR="00EA3E53" w:rsidRPr="0021362A">
        <w:rPr>
          <w:sz w:val="24"/>
          <w:szCs w:val="24"/>
        </w:rPr>
        <w:t xml:space="preserve">The </w:t>
      </w:r>
      <w:r w:rsidR="0017463B" w:rsidRPr="0021362A">
        <w:rPr>
          <w:sz w:val="24"/>
          <w:szCs w:val="24"/>
        </w:rPr>
        <w:t xml:space="preserve">ICPD </w:t>
      </w:r>
      <w:proofErr w:type="spellStart"/>
      <w:r w:rsidR="0017463B" w:rsidRPr="0021362A">
        <w:rPr>
          <w:sz w:val="24"/>
          <w:szCs w:val="24"/>
        </w:rPr>
        <w:t>PoA</w:t>
      </w:r>
      <w:proofErr w:type="spellEnd"/>
      <w:r w:rsidR="0017463B" w:rsidRPr="0021362A">
        <w:rPr>
          <w:sz w:val="24"/>
          <w:szCs w:val="24"/>
        </w:rPr>
        <w:t xml:space="preserve"> refers to </w:t>
      </w:r>
      <w:proofErr w:type="spellStart"/>
      <w:r w:rsidR="0017463B" w:rsidRPr="0021362A">
        <w:rPr>
          <w:sz w:val="24"/>
          <w:szCs w:val="24"/>
        </w:rPr>
        <w:t>RtoD</w:t>
      </w:r>
      <w:proofErr w:type="spellEnd"/>
      <w:r w:rsidR="0017463B" w:rsidRPr="0021362A">
        <w:rPr>
          <w:sz w:val="24"/>
          <w:szCs w:val="24"/>
        </w:rPr>
        <w:t xml:space="preserve"> in</w:t>
      </w:r>
      <w:r w:rsidR="00E7548F" w:rsidRPr="0021362A">
        <w:rPr>
          <w:sz w:val="24"/>
          <w:szCs w:val="24"/>
        </w:rPr>
        <w:t xml:space="preserve"> </w:t>
      </w:r>
      <w:r w:rsidR="00E7548F" w:rsidRPr="0021362A">
        <w:rPr>
          <w:sz w:val="24"/>
          <w:szCs w:val="24"/>
          <w:u w:val="single"/>
        </w:rPr>
        <w:t>principle 3</w:t>
      </w:r>
      <w:r w:rsidR="0017463B" w:rsidRPr="0021362A">
        <w:rPr>
          <w:sz w:val="24"/>
          <w:szCs w:val="24"/>
          <w:u w:val="single"/>
        </w:rPr>
        <w:t>:</w:t>
      </w:r>
      <w:r w:rsidR="0017463B" w:rsidRPr="0021362A">
        <w:rPr>
          <w:sz w:val="24"/>
          <w:szCs w:val="24"/>
        </w:rPr>
        <w:t xml:space="preserve"> “</w:t>
      </w:r>
      <w:r w:rsidR="00E7548F" w:rsidRPr="0021362A">
        <w:rPr>
          <w:i/>
          <w:sz w:val="24"/>
          <w:szCs w:val="24"/>
        </w:rPr>
        <w:t>The right to development must be fulfilled so as to equitably meet the population, development and environment needs of</w:t>
      </w:r>
      <w:r w:rsidR="000057CC" w:rsidRPr="0021362A">
        <w:rPr>
          <w:i/>
          <w:sz w:val="24"/>
          <w:szCs w:val="24"/>
        </w:rPr>
        <w:t xml:space="preserve"> present and future generations</w:t>
      </w:r>
      <w:r w:rsidR="0017463B" w:rsidRPr="0021362A">
        <w:rPr>
          <w:sz w:val="24"/>
          <w:szCs w:val="24"/>
        </w:rPr>
        <w:t>”</w:t>
      </w:r>
      <w:r w:rsidR="000057CC" w:rsidRPr="0021362A">
        <w:rPr>
          <w:sz w:val="24"/>
          <w:szCs w:val="24"/>
        </w:rPr>
        <w:t xml:space="preserve"> followed by </w:t>
      </w:r>
      <w:r w:rsidR="000057CC" w:rsidRPr="0021362A">
        <w:rPr>
          <w:sz w:val="24"/>
          <w:szCs w:val="24"/>
          <w:u w:val="single"/>
        </w:rPr>
        <w:t>paragraph 3.16</w:t>
      </w:r>
      <w:r w:rsidR="000057CC" w:rsidRPr="0021362A">
        <w:rPr>
          <w:sz w:val="24"/>
          <w:szCs w:val="24"/>
        </w:rPr>
        <w:t xml:space="preserve"> of the </w:t>
      </w:r>
      <w:proofErr w:type="spellStart"/>
      <w:r w:rsidR="000057CC" w:rsidRPr="0021362A">
        <w:rPr>
          <w:sz w:val="24"/>
          <w:szCs w:val="24"/>
        </w:rPr>
        <w:t>PoA</w:t>
      </w:r>
      <w:proofErr w:type="spellEnd"/>
      <w:r w:rsidR="000057CC" w:rsidRPr="0021362A">
        <w:rPr>
          <w:sz w:val="24"/>
          <w:szCs w:val="24"/>
        </w:rPr>
        <w:t>: “</w:t>
      </w:r>
      <w:r w:rsidR="000057CC" w:rsidRPr="0021362A">
        <w:rPr>
          <w:i/>
          <w:sz w:val="24"/>
          <w:szCs w:val="24"/>
        </w:rPr>
        <w:t>The objective is to raise the quality of life for all people through appropriate population and development policies and programmes aimed at achieving poverty eradication, sustained economic growth in the context of sustainable development and sustainable patterns of consumption and production, human resource development and the guarantee of all human rights, including the right to development as a universal and inalienable right and integral part of fundamental human rights.”</w:t>
      </w:r>
      <w:r w:rsidR="0066563E" w:rsidRPr="0021362A">
        <w:rPr>
          <w:sz w:val="24"/>
          <w:szCs w:val="24"/>
        </w:rPr>
        <w:t xml:space="preserve"> </w:t>
      </w:r>
    </w:p>
    <w:p w14:paraId="37F92F5A" w14:textId="1A06B3E3" w:rsidR="00C26427" w:rsidRPr="0021362A" w:rsidRDefault="00614A90" w:rsidP="00346991">
      <w:pPr>
        <w:spacing w:line="240" w:lineRule="auto"/>
        <w:jc w:val="both"/>
        <w:rPr>
          <w:sz w:val="24"/>
          <w:szCs w:val="24"/>
        </w:rPr>
      </w:pPr>
      <w:r w:rsidRPr="0021362A">
        <w:rPr>
          <w:sz w:val="24"/>
          <w:szCs w:val="24"/>
        </w:rPr>
        <w:t>T</w:t>
      </w:r>
      <w:r w:rsidR="002833B6" w:rsidRPr="0021362A">
        <w:rPr>
          <w:sz w:val="24"/>
          <w:szCs w:val="24"/>
        </w:rPr>
        <w:t xml:space="preserve">he </w:t>
      </w:r>
      <w:r w:rsidR="00DF44AC" w:rsidRPr="0021362A">
        <w:rPr>
          <w:sz w:val="24"/>
          <w:szCs w:val="24"/>
        </w:rPr>
        <w:t xml:space="preserve">General Assembly mandated </w:t>
      </w:r>
      <w:r w:rsidR="002833B6" w:rsidRPr="0021362A">
        <w:rPr>
          <w:sz w:val="24"/>
          <w:szCs w:val="24"/>
        </w:rPr>
        <w:t xml:space="preserve">ICPD </w:t>
      </w:r>
      <w:r w:rsidRPr="0021362A">
        <w:rPr>
          <w:sz w:val="24"/>
          <w:szCs w:val="24"/>
        </w:rPr>
        <w:t xml:space="preserve">Beyond </w:t>
      </w:r>
      <w:r w:rsidR="002833B6" w:rsidRPr="0021362A">
        <w:rPr>
          <w:sz w:val="24"/>
          <w:szCs w:val="24"/>
        </w:rPr>
        <w:t>2014</w:t>
      </w:r>
      <w:r w:rsidRPr="0021362A">
        <w:rPr>
          <w:sz w:val="24"/>
          <w:szCs w:val="24"/>
        </w:rPr>
        <w:t xml:space="preserve"> </w:t>
      </w:r>
      <w:r w:rsidR="00F97B99">
        <w:rPr>
          <w:sz w:val="24"/>
          <w:szCs w:val="24"/>
        </w:rPr>
        <w:t>R</w:t>
      </w:r>
      <w:r w:rsidRPr="0021362A">
        <w:rPr>
          <w:sz w:val="24"/>
          <w:szCs w:val="24"/>
        </w:rPr>
        <w:t>eview</w:t>
      </w:r>
      <w:r w:rsidR="00262920" w:rsidRPr="0021362A">
        <w:rPr>
          <w:sz w:val="24"/>
          <w:szCs w:val="24"/>
        </w:rPr>
        <w:t>,</w:t>
      </w:r>
      <w:r w:rsidR="002833B6" w:rsidRPr="0021362A">
        <w:rPr>
          <w:sz w:val="24"/>
          <w:szCs w:val="24"/>
        </w:rPr>
        <w:t xml:space="preserve"> further</w:t>
      </w:r>
      <w:r w:rsidR="00AD2670" w:rsidRPr="0021362A">
        <w:rPr>
          <w:sz w:val="24"/>
          <w:szCs w:val="24"/>
        </w:rPr>
        <w:t xml:space="preserve"> </w:t>
      </w:r>
      <w:r w:rsidR="00DF44AC" w:rsidRPr="0021362A">
        <w:rPr>
          <w:sz w:val="24"/>
          <w:szCs w:val="24"/>
        </w:rPr>
        <w:t xml:space="preserve">elaborated </w:t>
      </w:r>
      <w:r w:rsidRPr="0021362A">
        <w:rPr>
          <w:sz w:val="24"/>
          <w:szCs w:val="24"/>
        </w:rPr>
        <w:t>the link of Right to Development with the ICPD</w:t>
      </w:r>
      <w:r w:rsidR="002833B6" w:rsidRPr="0021362A">
        <w:rPr>
          <w:sz w:val="24"/>
          <w:szCs w:val="24"/>
        </w:rPr>
        <w:t xml:space="preserve">. The </w:t>
      </w:r>
      <w:r w:rsidR="002833B6" w:rsidRPr="0021362A">
        <w:rPr>
          <w:b/>
          <w:sz w:val="24"/>
          <w:szCs w:val="24"/>
        </w:rPr>
        <w:t>“</w:t>
      </w:r>
      <w:r w:rsidR="007D2747" w:rsidRPr="0021362A">
        <w:rPr>
          <w:b/>
          <w:sz w:val="24"/>
          <w:szCs w:val="24"/>
        </w:rPr>
        <w:t>Framework of Actions for the follow-up to the Programme of Action of the ICPD</w:t>
      </w:r>
      <w:r w:rsidR="002833B6" w:rsidRPr="0021362A">
        <w:rPr>
          <w:b/>
          <w:sz w:val="24"/>
          <w:szCs w:val="24"/>
        </w:rPr>
        <w:t>”</w:t>
      </w:r>
      <w:r w:rsidR="002833B6" w:rsidRPr="0021362A">
        <w:rPr>
          <w:sz w:val="24"/>
          <w:szCs w:val="24"/>
        </w:rPr>
        <w:t xml:space="preserve"> was subsequently </w:t>
      </w:r>
      <w:r w:rsidR="00CB017D">
        <w:rPr>
          <w:rFonts w:ascii="Arial" w:hAnsi="Arial" w:cs="Arial"/>
          <w:color w:val="222222"/>
          <w:sz w:val="19"/>
          <w:szCs w:val="19"/>
          <w:shd w:val="clear" w:color="auto" w:fill="FFFFFF"/>
        </w:rPr>
        <w:t>formally acknowledged</w:t>
      </w:r>
      <w:r w:rsidR="002833B6" w:rsidRPr="0021362A">
        <w:rPr>
          <w:sz w:val="24"/>
          <w:szCs w:val="24"/>
        </w:rPr>
        <w:t xml:space="preserve"> by the UN General Assembly at </w:t>
      </w:r>
      <w:r w:rsidR="00CB017D">
        <w:rPr>
          <w:sz w:val="24"/>
          <w:szCs w:val="24"/>
        </w:rPr>
        <w:t>the</w:t>
      </w:r>
      <w:r w:rsidR="002833B6" w:rsidRPr="0021362A">
        <w:rPr>
          <w:sz w:val="24"/>
          <w:szCs w:val="24"/>
        </w:rPr>
        <w:t xml:space="preserve"> special session in 2014. </w:t>
      </w:r>
      <w:r w:rsidR="00262920" w:rsidRPr="0021362A">
        <w:rPr>
          <w:sz w:val="24"/>
          <w:szCs w:val="24"/>
        </w:rPr>
        <w:t xml:space="preserve">The General Assembly called upon countries </w:t>
      </w:r>
      <w:r w:rsidR="003D25C8" w:rsidRPr="0021362A">
        <w:rPr>
          <w:sz w:val="24"/>
          <w:szCs w:val="24"/>
        </w:rPr>
        <w:t xml:space="preserve">to fulfill </w:t>
      </w:r>
      <w:r w:rsidR="003D25C8" w:rsidRPr="0021362A">
        <w:rPr>
          <w:sz w:val="24"/>
          <w:szCs w:val="24"/>
        </w:rPr>
        <w:lastRenderedPageBreak/>
        <w:t xml:space="preserve">the commitments </w:t>
      </w:r>
      <w:r w:rsidR="00262920" w:rsidRPr="0021362A">
        <w:rPr>
          <w:sz w:val="24"/>
          <w:szCs w:val="24"/>
        </w:rPr>
        <w:t xml:space="preserve">made in Cairo twenty years earlier and address widening inequalities and emerging challenges, as outlined in the ICPD </w:t>
      </w:r>
      <w:r w:rsidR="007523CF" w:rsidRPr="0021362A">
        <w:rPr>
          <w:sz w:val="24"/>
          <w:szCs w:val="24"/>
        </w:rPr>
        <w:t>Framework of Actions</w:t>
      </w:r>
      <w:r w:rsidR="0021362A" w:rsidRPr="0021362A">
        <w:rPr>
          <w:sz w:val="24"/>
          <w:szCs w:val="24"/>
        </w:rPr>
        <w:t>.</w:t>
      </w:r>
      <w:r w:rsidR="00FC59CF" w:rsidRPr="0021362A">
        <w:rPr>
          <w:rStyle w:val="FootnoteReference"/>
          <w:sz w:val="24"/>
          <w:szCs w:val="24"/>
        </w:rPr>
        <w:footnoteReference w:id="3"/>
      </w:r>
      <w:r w:rsidR="00262920" w:rsidRPr="0021362A">
        <w:rPr>
          <w:sz w:val="24"/>
          <w:szCs w:val="24"/>
        </w:rPr>
        <w:t xml:space="preserve"> The review substantiates the central premises of the ICPD and</w:t>
      </w:r>
      <w:r w:rsidR="00FB0DAC" w:rsidRPr="0021362A">
        <w:rPr>
          <w:sz w:val="24"/>
          <w:szCs w:val="24"/>
        </w:rPr>
        <w:t xml:space="preserve"> that of the Right to Development “The human person is the central subject of development and should be the active participant and beneficiary of the right to development.”</w:t>
      </w:r>
      <w:r w:rsidR="00262920" w:rsidRPr="0021362A">
        <w:rPr>
          <w:sz w:val="24"/>
          <w:szCs w:val="24"/>
        </w:rPr>
        <w:t xml:space="preserve"> </w:t>
      </w:r>
      <w:proofErr w:type="gramStart"/>
      <w:r w:rsidR="00FB0DAC" w:rsidRPr="0021362A">
        <w:rPr>
          <w:sz w:val="24"/>
          <w:szCs w:val="24"/>
        </w:rPr>
        <w:t>(</w:t>
      </w:r>
      <w:r w:rsidR="00E25417" w:rsidRPr="0021362A">
        <w:rPr>
          <w:sz w:val="24"/>
          <w:szCs w:val="24"/>
        </w:rPr>
        <w:t>Article</w:t>
      </w:r>
      <w:r w:rsidR="00FB0DAC" w:rsidRPr="0021362A">
        <w:rPr>
          <w:sz w:val="24"/>
          <w:szCs w:val="24"/>
        </w:rPr>
        <w:t xml:space="preserve"> 2 of Declaration on the Right to Development).</w:t>
      </w:r>
      <w:proofErr w:type="gramEnd"/>
      <w:r w:rsidR="00FB0DAC" w:rsidRPr="0021362A">
        <w:rPr>
          <w:sz w:val="24"/>
          <w:szCs w:val="24"/>
        </w:rPr>
        <w:t xml:space="preserve"> The Review </w:t>
      </w:r>
      <w:r w:rsidR="00262920" w:rsidRPr="0021362A">
        <w:rPr>
          <w:sz w:val="24"/>
          <w:szCs w:val="24"/>
        </w:rPr>
        <w:t xml:space="preserve">points to significant progress in some areas, for some people. However, it also finds that little has changed for the poorest and most marginalized. </w:t>
      </w:r>
      <w:r w:rsidR="00D25ED9" w:rsidRPr="0021362A">
        <w:rPr>
          <w:sz w:val="24"/>
          <w:szCs w:val="24"/>
        </w:rPr>
        <w:t xml:space="preserve">The Framework </w:t>
      </w:r>
      <w:r w:rsidR="00262920" w:rsidRPr="0021362A">
        <w:rPr>
          <w:sz w:val="24"/>
          <w:szCs w:val="24"/>
        </w:rPr>
        <w:t>also provides governments with evidence-based guidance on how to realize the unfinished ICPD agenda, including</w:t>
      </w:r>
      <w:r w:rsidR="003D25C8" w:rsidRPr="0021362A">
        <w:rPr>
          <w:sz w:val="24"/>
          <w:szCs w:val="24"/>
        </w:rPr>
        <w:t xml:space="preserve"> </w:t>
      </w:r>
      <w:r w:rsidR="00262920" w:rsidRPr="0021362A">
        <w:rPr>
          <w:sz w:val="24"/>
          <w:szCs w:val="24"/>
        </w:rPr>
        <w:t>ways to accelerate impleme</w:t>
      </w:r>
      <w:r w:rsidR="008E1FBC" w:rsidRPr="0021362A">
        <w:rPr>
          <w:sz w:val="24"/>
          <w:szCs w:val="24"/>
        </w:rPr>
        <w:t>ntation of the Programme of Act</w:t>
      </w:r>
      <w:r w:rsidR="00262920" w:rsidRPr="0021362A">
        <w:rPr>
          <w:sz w:val="24"/>
          <w:szCs w:val="24"/>
        </w:rPr>
        <w:t>ion in support of countries' development objectives.</w:t>
      </w:r>
      <w:r w:rsidR="00C26427" w:rsidRPr="0021362A">
        <w:rPr>
          <w:sz w:val="24"/>
          <w:szCs w:val="24"/>
        </w:rPr>
        <w:t xml:space="preserve"> </w:t>
      </w:r>
    </w:p>
    <w:p w14:paraId="6D9A4FE8" w14:textId="356C2A05" w:rsidR="00D25ED9" w:rsidRPr="0021362A" w:rsidRDefault="00D25ED9" w:rsidP="00346991">
      <w:pPr>
        <w:spacing w:line="240" w:lineRule="auto"/>
        <w:jc w:val="both"/>
        <w:rPr>
          <w:sz w:val="24"/>
          <w:szCs w:val="24"/>
        </w:rPr>
      </w:pPr>
      <w:r w:rsidRPr="0021362A">
        <w:rPr>
          <w:sz w:val="24"/>
          <w:szCs w:val="24"/>
        </w:rPr>
        <w:t xml:space="preserve">This guidance is highly relevant for the efforts to implement </w:t>
      </w:r>
      <w:proofErr w:type="spellStart"/>
      <w:r w:rsidRPr="0021362A">
        <w:rPr>
          <w:sz w:val="24"/>
          <w:szCs w:val="24"/>
        </w:rPr>
        <w:t>RtoD</w:t>
      </w:r>
      <w:proofErr w:type="spellEnd"/>
      <w:r w:rsidRPr="0021362A">
        <w:rPr>
          <w:sz w:val="24"/>
          <w:szCs w:val="24"/>
        </w:rPr>
        <w:t>, hence key recommendations</w:t>
      </w:r>
      <w:r w:rsidR="00EB1D86" w:rsidRPr="0021362A">
        <w:rPr>
          <w:sz w:val="24"/>
          <w:szCs w:val="24"/>
        </w:rPr>
        <w:t xml:space="preserve"> from the ICPD </w:t>
      </w:r>
      <w:r w:rsidR="00C26427" w:rsidRPr="0021362A">
        <w:rPr>
          <w:sz w:val="24"/>
          <w:szCs w:val="24"/>
        </w:rPr>
        <w:t xml:space="preserve">Framework </w:t>
      </w:r>
      <w:r w:rsidR="00756826" w:rsidRPr="0021362A">
        <w:rPr>
          <w:sz w:val="24"/>
          <w:szCs w:val="24"/>
        </w:rPr>
        <w:t>of Action</w:t>
      </w:r>
      <w:r w:rsidR="009A135E">
        <w:rPr>
          <w:sz w:val="24"/>
          <w:szCs w:val="24"/>
        </w:rPr>
        <w:t>s</w:t>
      </w:r>
      <w:r w:rsidR="00C26427" w:rsidRPr="0021362A">
        <w:rPr>
          <w:sz w:val="24"/>
          <w:szCs w:val="24"/>
        </w:rPr>
        <w:t xml:space="preserve"> </w:t>
      </w:r>
      <w:r w:rsidR="00EB1D86" w:rsidRPr="0021362A">
        <w:rPr>
          <w:sz w:val="24"/>
          <w:szCs w:val="24"/>
        </w:rPr>
        <w:t>are reiterated</w:t>
      </w:r>
      <w:r w:rsidRPr="0021362A">
        <w:rPr>
          <w:sz w:val="24"/>
          <w:szCs w:val="24"/>
        </w:rPr>
        <w:t xml:space="preserve"> in this</w:t>
      </w:r>
      <w:r w:rsidR="0048530E" w:rsidRPr="0021362A">
        <w:rPr>
          <w:sz w:val="24"/>
          <w:szCs w:val="24"/>
        </w:rPr>
        <w:t xml:space="preserve"> submission</w:t>
      </w:r>
      <w:r w:rsidR="00EB1D86" w:rsidRPr="0021362A">
        <w:rPr>
          <w:sz w:val="24"/>
          <w:szCs w:val="24"/>
        </w:rPr>
        <w:t xml:space="preserve">, with a view to </w:t>
      </w:r>
      <w:r w:rsidRPr="0021362A">
        <w:rPr>
          <w:sz w:val="24"/>
          <w:szCs w:val="24"/>
        </w:rPr>
        <w:t xml:space="preserve">the agreed goals and targets in </w:t>
      </w:r>
      <w:r w:rsidR="00D1207A" w:rsidRPr="0021362A">
        <w:rPr>
          <w:sz w:val="24"/>
          <w:szCs w:val="24"/>
        </w:rPr>
        <w:t xml:space="preserve">2030 </w:t>
      </w:r>
      <w:r w:rsidRPr="0021362A">
        <w:rPr>
          <w:sz w:val="24"/>
          <w:szCs w:val="24"/>
        </w:rPr>
        <w:t>Agenda</w:t>
      </w:r>
      <w:r w:rsidR="00D1207A" w:rsidRPr="0021362A">
        <w:rPr>
          <w:sz w:val="24"/>
          <w:szCs w:val="24"/>
        </w:rPr>
        <w:t xml:space="preserve"> for Sustainable Development</w:t>
      </w:r>
      <w:r w:rsidR="00EB1D86" w:rsidRPr="0021362A">
        <w:rPr>
          <w:sz w:val="24"/>
          <w:szCs w:val="24"/>
        </w:rPr>
        <w:t>.</w:t>
      </w:r>
    </w:p>
    <w:p w14:paraId="53F86AAC" w14:textId="77777777" w:rsidR="0075086B" w:rsidRPr="0021362A" w:rsidRDefault="0075086B" w:rsidP="00346991">
      <w:pPr>
        <w:pStyle w:val="Heading1"/>
        <w:numPr>
          <w:ilvl w:val="0"/>
          <w:numId w:val="17"/>
        </w:numPr>
        <w:spacing w:line="240" w:lineRule="auto"/>
        <w:jc w:val="both"/>
        <w:rPr>
          <w:rFonts w:asciiTheme="minorHAnsi" w:hAnsiTheme="minorHAnsi"/>
          <w:sz w:val="24"/>
          <w:szCs w:val="24"/>
        </w:rPr>
      </w:pPr>
      <w:r w:rsidRPr="0021362A">
        <w:rPr>
          <w:rFonts w:asciiTheme="minorHAnsi" w:hAnsiTheme="minorHAnsi"/>
          <w:sz w:val="24"/>
          <w:szCs w:val="24"/>
        </w:rPr>
        <w:t xml:space="preserve">Critical </w:t>
      </w:r>
      <w:r w:rsidR="00F31D76" w:rsidRPr="0021362A">
        <w:rPr>
          <w:rFonts w:asciiTheme="minorHAnsi" w:hAnsiTheme="minorHAnsi"/>
          <w:sz w:val="24"/>
          <w:szCs w:val="24"/>
        </w:rPr>
        <w:t>principles</w:t>
      </w:r>
      <w:r w:rsidR="003A20A5" w:rsidRPr="0021362A">
        <w:rPr>
          <w:rFonts w:asciiTheme="minorHAnsi" w:hAnsiTheme="minorHAnsi"/>
          <w:sz w:val="24"/>
          <w:szCs w:val="24"/>
        </w:rPr>
        <w:t xml:space="preserve"> to </w:t>
      </w:r>
      <w:r w:rsidR="000C6DD0" w:rsidRPr="0021362A">
        <w:rPr>
          <w:rFonts w:asciiTheme="minorHAnsi" w:hAnsiTheme="minorHAnsi"/>
          <w:sz w:val="24"/>
          <w:szCs w:val="24"/>
        </w:rPr>
        <w:t>advance</w:t>
      </w:r>
      <w:r w:rsidR="003A20A5" w:rsidRPr="0021362A">
        <w:rPr>
          <w:rFonts w:asciiTheme="minorHAnsi" w:hAnsiTheme="minorHAnsi"/>
          <w:sz w:val="24"/>
          <w:szCs w:val="24"/>
        </w:rPr>
        <w:t xml:space="preserve"> the Right to Development</w:t>
      </w:r>
    </w:p>
    <w:p w14:paraId="7C2117D5" w14:textId="1194E267" w:rsidR="007572E1" w:rsidRPr="0021362A" w:rsidRDefault="00A9322F" w:rsidP="00346991">
      <w:pPr>
        <w:spacing w:line="240" w:lineRule="auto"/>
        <w:jc w:val="both"/>
        <w:rPr>
          <w:sz w:val="24"/>
          <w:szCs w:val="24"/>
        </w:rPr>
      </w:pPr>
      <w:r w:rsidRPr="0021362A">
        <w:rPr>
          <w:sz w:val="24"/>
          <w:szCs w:val="24"/>
        </w:rPr>
        <w:t xml:space="preserve">The ICPD Framework </w:t>
      </w:r>
      <w:r w:rsidR="009A135E">
        <w:rPr>
          <w:sz w:val="24"/>
          <w:szCs w:val="24"/>
        </w:rPr>
        <w:t xml:space="preserve">of Actions </w:t>
      </w:r>
      <w:r w:rsidRPr="0021362A">
        <w:rPr>
          <w:sz w:val="24"/>
          <w:szCs w:val="24"/>
        </w:rPr>
        <w:t>concluded that t</w:t>
      </w:r>
      <w:r w:rsidR="00E25822" w:rsidRPr="0021362A">
        <w:rPr>
          <w:sz w:val="24"/>
          <w:szCs w:val="24"/>
        </w:rPr>
        <w:t>he path to sustain</w:t>
      </w:r>
      <w:r w:rsidRPr="0021362A">
        <w:rPr>
          <w:sz w:val="24"/>
          <w:szCs w:val="24"/>
        </w:rPr>
        <w:t>able development wil</w:t>
      </w:r>
      <w:r w:rsidR="00E25822" w:rsidRPr="0021362A">
        <w:rPr>
          <w:sz w:val="24"/>
          <w:szCs w:val="24"/>
        </w:rPr>
        <w:t>l demand better leadership and greater innova</w:t>
      </w:r>
      <w:r w:rsidRPr="0021362A">
        <w:rPr>
          <w:sz w:val="24"/>
          <w:szCs w:val="24"/>
        </w:rPr>
        <w:t>tion to address critical needs</w:t>
      </w:r>
      <w:r w:rsidR="008D2E80" w:rsidRPr="0021362A">
        <w:rPr>
          <w:sz w:val="24"/>
          <w:szCs w:val="24"/>
        </w:rPr>
        <w:t xml:space="preserve">. </w:t>
      </w:r>
      <w:r w:rsidR="00D6200B" w:rsidRPr="0021362A">
        <w:rPr>
          <w:sz w:val="24"/>
          <w:szCs w:val="24"/>
        </w:rPr>
        <w:t xml:space="preserve">In the following, </w:t>
      </w:r>
      <w:r w:rsidR="008D2E80" w:rsidRPr="0021362A">
        <w:rPr>
          <w:sz w:val="24"/>
          <w:szCs w:val="24"/>
        </w:rPr>
        <w:t>three</w:t>
      </w:r>
      <w:r w:rsidR="00D6200B" w:rsidRPr="0021362A">
        <w:rPr>
          <w:sz w:val="24"/>
          <w:szCs w:val="24"/>
        </w:rPr>
        <w:t xml:space="preserve"> critical aspects central to UNFPA’s work will be elucidated in order to argue for the criticality to </w:t>
      </w:r>
      <w:r w:rsidR="004B425A" w:rsidRPr="0021362A">
        <w:rPr>
          <w:sz w:val="24"/>
          <w:szCs w:val="24"/>
        </w:rPr>
        <w:t>advance</w:t>
      </w:r>
      <w:r w:rsidR="00D6200B" w:rsidRPr="0021362A">
        <w:rPr>
          <w:sz w:val="24"/>
          <w:szCs w:val="24"/>
        </w:rPr>
        <w:t xml:space="preserve"> the</w:t>
      </w:r>
      <w:r w:rsidR="004B425A" w:rsidRPr="0021362A">
        <w:rPr>
          <w:sz w:val="24"/>
          <w:szCs w:val="24"/>
        </w:rPr>
        <w:t xml:space="preserve"> implementation of the</w:t>
      </w:r>
      <w:r w:rsidR="00D6200B" w:rsidRPr="0021362A">
        <w:rPr>
          <w:sz w:val="24"/>
          <w:szCs w:val="24"/>
        </w:rPr>
        <w:t xml:space="preserve"> </w:t>
      </w:r>
      <w:proofErr w:type="spellStart"/>
      <w:r w:rsidR="00D6200B" w:rsidRPr="0021362A">
        <w:rPr>
          <w:sz w:val="24"/>
          <w:szCs w:val="24"/>
        </w:rPr>
        <w:t>RtoD</w:t>
      </w:r>
      <w:proofErr w:type="spellEnd"/>
      <w:r w:rsidR="004B425A" w:rsidRPr="0021362A">
        <w:rPr>
          <w:sz w:val="24"/>
          <w:szCs w:val="24"/>
        </w:rPr>
        <w:t xml:space="preserve">. </w:t>
      </w:r>
      <w:r w:rsidR="008E1FBC" w:rsidRPr="0021362A">
        <w:rPr>
          <w:sz w:val="24"/>
          <w:szCs w:val="24"/>
        </w:rPr>
        <w:t xml:space="preserve"> </w:t>
      </w:r>
    </w:p>
    <w:p w14:paraId="1C9C2DEF" w14:textId="77777777" w:rsidR="008E1FBC" w:rsidRPr="0021362A" w:rsidRDefault="00C948BE" w:rsidP="00346991">
      <w:pPr>
        <w:pStyle w:val="Heading2"/>
        <w:numPr>
          <w:ilvl w:val="0"/>
          <w:numId w:val="18"/>
        </w:numPr>
        <w:spacing w:line="240" w:lineRule="auto"/>
        <w:jc w:val="both"/>
        <w:rPr>
          <w:rFonts w:asciiTheme="minorHAnsi" w:hAnsiTheme="minorHAnsi"/>
          <w:sz w:val="24"/>
          <w:szCs w:val="24"/>
        </w:rPr>
      </w:pPr>
      <w:r w:rsidRPr="0021362A">
        <w:rPr>
          <w:rFonts w:asciiTheme="minorHAnsi" w:hAnsiTheme="minorHAnsi"/>
          <w:sz w:val="24"/>
          <w:szCs w:val="24"/>
        </w:rPr>
        <w:t xml:space="preserve"> </w:t>
      </w:r>
      <w:r w:rsidR="008E1FBC" w:rsidRPr="0021362A">
        <w:rPr>
          <w:rFonts w:asciiTheme="minorHAnsi" w:hAnsiTheme="minorHAnsi"/>
          <w:sz w:val="24"/>
          <w:szCs w:val="24"/>
        </w:rPr>
        <w:t>Human rights</w:t>
      </w:r>
      <w:r w:rsidR="00D70F29" w:rsidRPr="0021362A">
        <w:rPr>
          <w:rFonts w:asciiTheme="minorHAnsi" w:hAnsiTheme="minorHAnsi"/>
          <w:sz w:val="24"/>
          <w:szCs w:val="24"/>
        </w:rPr>
        <w:t xml:space="preserve"> and accountability </w:t>
      </w:r>
      <w:r w:rsidR="008E1FBC" w:rsidRPr="0021362A">
        <w:rPr>
          <w:rFonts w:asciiTheme="minorHAnsi" w:hAnsiTheme="minorHAnsi"/>
          <w:sz w:val="24"/>
          <w:szCs w:val="24"/>
        </w:rPr>
        <w:t xml:space="preserve"> </w:t>
      </w:r>
    </w:p>
    <w:p w14:paraId="2E9ADE80" w14:textId="764902C8" w:rsidR="005338B7" w:rsidRPr="0021362A" w:rsidRDefault="00CB715C" w:rsidP="00346991">
      <w:pPr>
        <w:spacing w:line="240" w:lineRule="auto"/>
        <w:jc w:val="both"/>
        <w:rPr>
          <w:sz w:val="24"/>
          <w:szCs w:val="24"/>
        </w:rPr>
      </w:pPr>
      <w:r w:rsidRPr="0021362A">
        <w:rPr>
          <w:sz w:val="24"/>
          <w:szCs w:val="24"/>
        </w:rPr>
        <w:t>T</w:t>
      </w:r>
      <w:r w:rsidR="008E1FBC" w:rsidRPr="0021362A">
        <w:rPr>
          <w:sz w:val="24"/>
          <w:szCs w:val="24"/>
        </w:rPr>
        <w:t xml:space="preserve">he ICPD </w:t>
      </w:r>
      <w:proofErr w:type="spellStart"/>
      <w:r w:rsidR="00D70F29" w:rsidRPr="0021362A">
        <w:rPr>
          <w:sz w:val="24"/>
          <w:szCs w:val="24"/>
        </w:rPr>
        <w:t>PoA</w:t>
      </w:r>
      <w:proofErr w:type="spellEnd"/>
      <w:r w:rsidR="00D70F29" w:rsidRPr="0021362A">
        <w:rPr>
          <w:sz w:val="24"/>
          <w:szCs w:val="24"/>
        </w:rPr>
        <w:t xml:space="preserve"> established human rights, including the </w:t>
      </w:r>
      <w:proofErr w:type="spellStart"/>
      <w:r w:rsidR="00D70F29" w:rsidRPr="0021362A">
        <w:rPr>
          <w:sz w:val="24"/>
          <w:szCs w:val="24"/>
        </w:rPr>
        <w:t>RtoD</w:t>
      </w:r>
      <w:proofErr w:type="spellEnd"/>
      <w:r w:rsidR="00F60652" w:rsidRPr="0021362A">
        <w:rPr>
          <w:sz w:val="24"/>
          <w:szCs w:val="24"/>
        </w:rPr>
        <w:t>,</w:t>
      </w:r>
      <w:r w:rsidR="00D70F29" w:rsidRPr="0021362A">
        <w:rPr>
          <w:sz w:val="24"/>
          <w:szCs w:val="24"/>
        </w:rPr>
        <w:t xml:space="preserve"> as cr</w:t>
      </w:r>
      <w:r w:rsidR="00F60652" w:rsidRPr="0021362A">
        <w:rPr>
          <w:sz w:val="24"/>
          <w:szCs w:val="24"/>
        </w:rPr>
        <w:t xml:space="preserve">itical to advance the ICPD </w:t>
      </w:r>
      <w:proofErr w:type="spellStart"/>
      <w:r w:rsidR="00F60652" w:rsidRPr="0021362A">
        <w:rPr>
          <w:sz w:val="24"/>
          <w:szCs w:val="24"/>
        </w:rPr>
        <w:t>PoA</w:t>
      </w:r>
      <w:proofErr w:type="spellEnd"/>
      <w:r w:rsidR="00F60652" w:rsidRPr="0021362A">
        <w:rPr>
          <w:sz w:val="24"/>
          <w:szCs w:val="24"/>
        </w:rPr>
        <w:t xml:space="preserve"> and sustainable development as such. </w:t>
      </w:r>
      <w:r w:rsidRPr="0021362A">
        <w:rPr>
          <w:sz w:val="24"/>
          <w:szCs w:val="24"/>
        </w:rPr>
        <w:t>Twenty years later, t</w:t>
      </w:r>
      <w:r w:rsidR="00F60652" w:rsidRPr="0021362A">
        <w:rPr>
          <w:sz w:val="24"/>
          <w:szCs w:val="24"/>
        </w:rPr>
        <w:t xml:space="preserve">he ICPD </w:t>
      </w:r>
      <w:r w:rsidRPr="0021362A">
        <w:rPr>
          <w:sz w:val="24"/>
          <w:szCs w:val="24"/>
        </w:rPr>
        <w:t xml:space="preserve">Framework </w:t>
      </w:r>
      <w:r w:rsidR="00756826" w:rsidRPr="0021362A">
        <w:rPr>
          <w:sz w:val="24"/>
          <w:szCs w:val="24"/>
        </w:rPr>
        <w:t>of Action</w:t>
      </w:r>
      <w:r w:rsidR="00AD2670" w:rsidRPr="0021362A">
        <w:rPr>
          <w:sz w:val="24"/>
          <w:szCs w:val="24"/>
        </w:rPr>
        <w:t>s</w:t>
      </w:r>
      <w:r w:rsidR="00F60652" w:rsidRPr="0021362A">
        <w:rPr>
          <w:sz w:val="24"/>
          <w:szCs w:val="24"/>
        </w:rPr>
        <w:t xml:space="preserve"> emphasized that r</w:t>
      </w:r>
      <w:r w:rsidR="008E1FBC" w:rsidRPr="0021362A">
        <w:rPr>
          <w:sz w:val="24"/>
          <w:szCs w:val="24"/>
        </w:rPr>
        <w:t xml:space="preserve">espect, protection, promotion and fulfilment of human rights are necessary preconditions for realizing all of the unfulfilled objectives of the Programme of Action, the elaboration and fulfilment of rights are a critical metric for determining whether, for whom, and to what extent </w:t>
      </w:r>
      <w:r w:rsidR="00FD3AC3" w:rsidRPr="0021362A">
        <w:rPr>
          <w:sz w:val="24"/>
          <w:szCs w:val="24"/>
        </w:rPr>
        <w:t>development has</w:t>
      </w:r>
      <w:r w:rsidR="008E1FBC" w:rsidRPr="0021362A">
        <w:rPr>
          <w:sz w:val="24"/>
          <w:szCs w:val="24"/>
        </w:rPr>
        <w:t xml:space="preserve"> been achieved. </w:t>
      </w:r>
      <w:r w:rsidR="00F60652" w:rsidRPr="0021362A">
        <w:rPr>
          <w:sz w:val="24"/>
          <w:szCs w:val="24"/>
        </w:rPr>
        <w:t>To this end, the ICPD review acknowledged</w:t>
      </w:r>
      <w:r w:rsidR="008E1FBC" w:rsidRPr="0021362A">
        <w:rPr>
          <w:sz w:val="24"/>
          <w:szCs w:val="24"/>
        </w:rPr>
        <w:t xml:space="preserve"> that </w:t>
      </w:r>
      <w:r w:rsidR="008E1FBC" w:rsidRPr="0021362A">
        <w:rPr>
          <w:b/>
          <w:i/>
          <w:sz w:val="24"/>
          <w:szCs w:val="24"/>
        </w:rPr>
        <w:t>Governments are accountable</w:t>
      </w:r>
      <w:r w:rsidR="008E1FBC" w:rsidRPr="0021362A">
        <w:rPr>
          <w:sz w:val="24"/>
          <w:szCs w:val="24"/>
        </w:rPr>
        <w:t xml:space="preserve">, as duty bearers and vital actors, for the realization of all development goals and the fulfilment of the aspirations of the </w:t>
      </w:r>
      <w:r w:rsidR="00FD3AC3" w:rsidRPr="0021362A">
        <w:rPr>
          <w:sz w:val="24"/>
          <w:szCs w:val="24"/>
        </w:rPr>
        <w:t xml:space="preserve">ICPD </w:t>
      </w:r>
      <w:proofErr w:type="spellStart"/>
      <w:r w:rsidR="00FD3AC3" w:rsidRPr="0021362A">
        <w:rPr>
          <w:sz w:val="24"/>
          <w:szCs w:val="24"/>
        </w:rPr>
        <w:t>PoA</w:t>
      </w:r>
      <w:proofErr w:type="spellEnd"/>
      <w:r w:rsidR="008E1FBC" w:rsidRPr="0021362A">
        <w:rPr>
          <w:sz w:val="24"/>
          <w:szCs w:val="24"/>
        </w:rPr>
        <w:t>.</w:t>
      </w:r>
      <w:r w:rsidR="00F60652" w:rsidRPr="0021362A">
        <w:rPr>
          <w:rStyle w:val="FootnoteReference"/>
          <w:sz w:val="24"/>
          <w:szCs w:val="24"/>
        </w:rPr>
        <w:footnoteReference w:id="4"/>
      </w:r>
    </w:p>
    <w:p w14:paraId="0656A294" w14:textId="77777777" w:rsidR="00CB715C" w:rsidRPr="0021362A" w:rsidRDefault="00CB715C" w:rsidP="00346991">
      <w:pPr>
        <w:spacing w:line="240" w:lineRule="auto"/>
        <w:jc w:val="both"/>
        <w:rPr>
          <w:sz w:val="24"/>
          <w:szCs w:val="24"/>
        </w:rPr>
      </w:pPr>
      <w:r w:rsidRPr="0021362A">
        <w:rPr>
          <w:sz w:val="24"/>
          <w:szCs w:val="24"/>
        </w:rPr>
        <w:t xml:space="preserve">ICPD </w:t>
      </w:r>
      <w:proofErr w:type="spellStart"/>
      <w:r w:rsidRPr="0021362A">
        <w:rPr>
          <w:sz w:val="24"/>
          <w:szCs w:val="24"/>
        </w:rPr>
        <w:t>PoA</w:t>
      </w:r>
      <w:proofErr w:type="spellEnd"/>
      <w:r w:rsidRPr="0021362A">
        <w:rPr>
          <w:sz w:val="24"/>
          <w:szCs w:val="24"/>
        </w:rPr>
        <w:t xml:space="preserve"> has advanced the understanding that both individual and collective development aspirations benefit from a central focus on individual dignity and human rights. By updating and advancing the implementation of such principles, Governments can achieve the goals set forth in ICPD, while accelerating progress towards a resilient society and a sustainable future for all. </w:t>
      </w:r>
    </w:p>
    <w:p w14:paraId="44A7C595" w14:textId="77777777" w:rsidR="001A7EA0" w:rsidRPr="0021362A" w:rsidRDefault="00FD3AC3" w:rsidP="00346991">
      <w:pPr>
        <w:spacing w:line="240" w:lineRule="auto"/>
        <w:jc w:val="both"/>
        <w:rPr>
          <w:sz w:val="24"/>
          <w:szCs w:val="24"/>
        </w:rPr>
      </w:pPr>
      <w:r w:rsidRPr="0021362A">
        <w:rPr>
          <w:sz w:val="24"/>
          <w:szCs w:val="24"/>
        </w:rPr>
        <w:t xml:space="preserve">UNFPA’s work is guided by ICPD’s prerogative to advance sexual and reproductive health and rights </w:t>
      </w:r>
      <w:r w:rsidR="003D724E" w:rsidRPr="0021362A">
        <w:rPr>
          <w:sz w:val="24"/>
          <w:szCs w:val="24"/>
        </w:rPr>
        <w:t xml:space="preserve">in a holistic manner </w:t>
      </w:r>
      <w:r w:rsidRPr="0021362A">
        <w:rPr>
          <w:sz w:val="24"/>
          <w:szCs w:val="24"/>
        </w:rPr>
        <w:t xml:space="preserve">by going beyond a narrow focus on either economic, social and cultural rights in the access to services </w:t>
      </w:r>
      <w:r w:rsidR="00CB715C" w:rsidRPr="0021362A">
        <w:rPr>
          <w:sz w:val="24"/>
          <w:szCs w:val="24"/>
        </w:rPr>
        <w:t>or civil and political rights</w:t>
      </w:r>
      <w:r w:rsidR="003D724E" w:rsidRPr="0021362A">
        <w:rPr>
          <w:sz w:val="24"/>
          <w:szCs w:val="24"/>
        </w:rPr>
        <w:t>, in particular to non-discrimination, right to privacy and confidentiality, and right to free</w:t>
      </w:r>
      <w:r w:rsidR="00CB715C" w:rsidRPr="0021362A">
        <w:rPr>
          <w:sz w:val="24"/>
          <w:szCs w:val="24"/>
        </w:rPr>
        <w:t>dom of</w:t>
      </w:r>
      <w:r w:rsidR="003D724E" w:rsidRPr="0021362A">
        <w:rPr>
          <w:sz w:val="24"/>
          <w:szCs w:val="24"/>
        </w:rPr>
        <w:t xml:space="preserve"> association. </w:t>
      </w:r>
      <w:r w:rsidR="00CB715C" w:rsidRPr="0021362A">
        <w:rPr>
          <w:sz w:val="24"/>
          <w:szCs w:val="24"/>
        </w:rPr>
        <w:t>Instead it must be reiterated that</w:t>
      </w:r>
      <w:r w:rsidR="003D724E" w:rsidRPr="0021362A">
        <w:rPr>
          <w:sz w:val="24"/>
          <w:szCs w:val="24"/>
        </w:rPr>
        <w:t xml:space="preserve"> </w:t>
      </w:r>
      <w:r w:rsidR="00CB715C" w:rsidRPr="0021362A">
        <w:rPr>
          <w:b/>
          <w:i/>
          <w:sz w:val="24"/>
          <w:szCs w:val="24"/>
        </w:rPr>
        <w:t>human rights are</w:t>
      </w:r>
      <w:r w:rsidR="003D724E" w:rsidRPr="0021362A">
        <w:rPr>
          <w:b/>
          <w:i/>
          <w:sz w:val="24"/>
          <w:szCs w:val="24"/>
        </w:rPr>
        <w:t xml:space="preserve"> indivisible</w:t>
      </w:r>
      <w:r w:rsidR="00CB715C" w:rsidRPr="0021362A">
        <w:rPr>
          <w:sz w:val="24"/>
          <w:szCs w:val="24"/>
        </w:rPr>
        <w:t xml:space="preserve"> and that the full spectrum of the human </w:t>
      </w:r>
      <w:r w:rsidR="00CB715C" w:rsidRPr="0021362A">
        <w:rPr>
          <w:sz w:val="24"/>
          <w:szCs w:val="24"/>
        </w:rPr>
        <w:lastRenderedPageBreak/>
        <w:t>rights framework is key to</w:t>
      </w:r>
      <w:r w:rsidR="003D724E" w:rsidRPr="0021362A">
        <w:rPr>
          <w:sz w:val="24"/>
          <w:szCs w:val="24"/>
        </w:rPr>
        <w:t xml:space="preserve"> the implementation of the </w:t>
      </w:r>
      <w:proofErr w:type="spellStart"/>
      <w:r w:rsidR="003D724E" w:rsidRPr="0021362A">
        <w:rPr>
          <w:sz w:val="24"/>
          <w:szCs w:val="24"/>
        </w:rPr>
        <w:t>RtoD</w:t>
      </w:r>
      <w:proofErr w:type="spellEnd"/>
      <w:r w:rsidR="003D724E" w:rsidRPr="0021362A">
        <w:rPr>
          <w:sz w:val="24"/>
          <w:szCs w:val="24"/>
        </w:rPr>
        <w:t xml:space="preserve"> and must be applied in order to measure implementation. </w:t>
      </w:r>
    </w:p>
    <w:p w14:paraId="7353B958" w14:textId="0B9EB099" w:rsidR="001315AF" w:rsidRPr="0021362A" w:rsidRDefault="006252AB" w:rsidP="00346991">
      <w:pPr>
        <w:spacing w:line="240" w:lineRule="auto"/>
        <w:jc w:val="both"/>
        <w:rPr>
          <w:sz w:val="24"/>
          <w:szCs w:val="24"/>
        </w:rPr>
      </w:pPr>
      <w:r w:rsidRPr="0021362A">
        <w:rPr>
          <w:sz w:val="24"/>
          <w:szCs w:val="24"/>
        </w:rPr>
        <w:t xml:space="preserve">Despite the numerous advances in human rights, significant gaps remain in the equitable </w:t>
      </w:r>
      <w:r w:rsidR="00AD2670" w:rsidRPr="0021362A">
        <w:rPr>
          <w:sz w:val="24"/>
          <w:szCs w:val="24"/>
        </w:rPr>
        <w:t>realization</w:t>
      </w:r>
      <w:r w:rsidRPr="0021362A">
        <w:rPr>
          <w:sz w:val="24"/>
          <w:szCs w:val="24"/>
        </w:rPr>
        <w:t xml:space="preserve"> </w:t>
      </w:r>
      <w:r w:rsidR="00AD2670" w:rsidRPr="0021362A">
        <w:rPr>
          <w:sz w:val="24"/>
          <w:szCs w:val="24"/>
        </w:rPr>
        <w:t>of these rights for</w:t>
      </w:r>
      <w:r w:rsidRPr="0021362A">
        <w:rPr>
          <w:sz w:val="24"/>
          <w:szCs w:val="24"/>
        </w:rPr>
        <w:t xml:space="preserve"> all persons, as well as in the </w:t>
      </w:r>
      <w:r w:rsidRPr="0021362A">
        <w:rPr>
          <w:b/>
          <w:i/>
          <w:sz w:val="24"/>
          <w:szCs w:val="24"/>
        </w:rPr>
        <w:t>development of systems of accountability</w:t>
      </w:r>
      <w:r w:rsidRPr="0021362A">
        <w:rPr>
          <w:i/>
          <w:sz w:val="24"/>
          <w:szCs w:val="24"/>
        </w:rPr>
        <w:t>.</w:t>
      </w:r>
      <w:r w:rsidRPr="0021362A">
        <w:rPr>
          <w:sz w:val="24"/>
          <w:szCs w:val="24"/>
        </w:rPr>
        <w:t xml:space="preserve"> The prospects and need for accountability systems on human rights were hig</w:t>
      </w:r>
      <w:r w:rsidR="005338B7" w:rsidRPr="0021362A">
        <w:rPr>
          <w:sz w:val="24"/>
          <w:szCs w:val="24"/>
        </w:rPr>
        <w:t>hlighted in the ICPD review. It is particularly important for the implementation of the Right to Development that sustainable development cannot be achieved at structural level without strengthening of human rights protection systems and the linkages between the global, regional and national level.</w:t>
      </w:r>
      <w:r w:rsidR="001A7EA0" w:rsidRPr="0021362A">
        <w:rPr>
          <w:sz w:val="24"/>
          <w:szCs w:val="24"/>
        </w:rPr>
        <w:t xml:space="preserve"> </w:t>
      </w:r>
      <w:r w:rsidR="001315AF" w:rsidRPr="0021362A">
        <w:rPr>
          <w:sz w:val="24"/>
          <w:szCs w:val="24"/>
        </w:rPr>
        <w:t xml:space="preserve">The ICPD review reiterated that systems of accountability and good governance provide a foundation for </w:t>
      </w:r>
      <w:r w:rsidR="001315AF" w:rsidRPr="0021362A">
        <w:rPr>
          <w:b/>
          <w:i/>
          <w:sz w:val="24"/>
          <w:szCs w:val="24"/>
        </w:rPr>
        <w:t>realizing rights-based development objectives</w:t>
      </w:r>
      <w:r w:rsidR="001315AF" w:rsidRPr="0021362A">
        <w:rPr>
          <w:sz w:val="24"/>
          <w:szCs w:val="24"/>
        </w:rPr>
        <w:t>; ensure that quality data and knowledge are accessible to the public and to all decision-makers; and create enabling environments that allow all citizens, their informed representatives and civil society actors to exercise a check on the actions of Governments and other key actors and public authorities. National and international law, administrative practices, and protection systems are needed to ensure equal access to programmes and quality services, prevent abuses, address systemic gaps and failures, and provide opportunities for redress and remedy. Governments should assure effective mechanisms of review and oversight of government administration, including national human rights protections systems, courts, administrative review bodies, standing parliamentary procedures and forums for community participation.</w:t>
      </w:r>
      <w:r w:rsidR="001315AF" w:rsidRPr="0021362A">
        <w:rPr>
          <w:rStyle w:val="FootnoteReference"/>
          <w:sz w:val="24"/>
          <w:szCs w:val="24"/>
        </w:rPr>
        <w:footnoteReference w:id="5"/>
      </w:r>
    </w:p>
    <w:p w14:paraId="6DFA6B76" w14:textId="77777777" w:rsidR="00AD2670" w:rsidRPr="0021362A" w:rsidRDefault="00CB715C" w:rsidP="00346991">
      <w:pPr>
        <w:spacing w:line="240" w:lineRule="auto"/>
        <w:jc w:val="both"/>
        <w:rPr>
          <w:sz w:val="24"/>
          <w:szCs w:val="24"/>
        </w:rPr>
      </w:pPr>
      <w:r w:rsidRPr="0021362A">
        <w:rPr>
          <w:sz w:val="24"/>
          <w:szCs w:val="24"/>
        </w:rPr>
        <w:t>UNFPA</w:t>
      </w:r>
      <w:r w:rsidR="003D724E" w:rsidRPr="0021362A">
        <w:rPr>
          <w:sz w:val="24"/>
          <w:szCs w:val="24"/>
        </w:rPr>
        <w:t xml:space="preserve"> </w:t>
      </w:r>
      <w:r w:rsidRPr="0021362A">
        <w:rPr>
          <w:sz w:val="24"/>
          <w:szCs w:val="24"/>
        </w:rPr>
        <w:t>works</w:t>
      </w:r>
      <w:r w:rsidR="003D724E" w:rsidRPr="0021362A">
        <w:rPr>
          <w:sz w:val="24"/>
          <w:szCs w:val="24"/>
        </w:rPr>
        <w:t xml:space="preserve"> to support </w:t>
      </w:r>
      <w:r w:rsidR="003D724E" w:rsidRPr="0021362A">
        <w:rPr>
          <w:b/>
          <w:sz w:val="24"/>
          <w:szCs w:val="24"/>
        </w:rPr>
        <w:t>implementation of human rights accountability at national level</w:t>
      </w:r>
      <w:r w:rsidR="003D724E" w:rsidRPr="0021362A">
        <w:rPr>
          <w:sz w:val="24"/>
          <w:szCs w:val="24"/>
        </w:rPr>
        <w:t xml:space="preserve"> through support to National Human Rights Institutions’ capacity to monitor and research. In addition, UNFPA is working at national level to support implementation of recommendations from global and regional human rights mechanisms, in particular the Universal Periodic Review (UPR) and the Convention on Elimination of Discrimination against Women (CEDAW). </w:t>
      </w:r>
      <w:r w:rsidR="003D724E" w:rsidRPr="0021362A">
        <w:rPr>
          <w:rStyle w:val="FootnoteReference"/>
          <w:sz w:val="24"/>
          <w:szCs w:val="24"/>
        </w:rPr>
        <w:footnoteReference w:id="6"/>
      </w:r>
      <w:r w:rsidR="00590B05" w:rsidRPr="0021362A">
        <w:rPr>
          <w:sz w:val="24"/>
          <w:szCs w:val="24"/>
        </w:rPr>
        <w:t xml:space="preserve"> The key rationale behind this strategic intervention is to enhance national ownership and build</w:t>
      </w:r>
      <w:r w:rsidRPr="0021362A">
        <w:rPr>
          <w:sz w:val="24"/>
          <w:szCs w:val="24"/>
        </w:rPr>
        <w:t xml:space="preserve"> </w:t>
      </w:r>
      <w:r w:rsidR="00590B05" w:rsidRPr="0021362A">
        <w:rPr>
          <w:sz w:val="24"/>
          <w:szCs w:val="24"/>
        </w:rPr>
        <w:t xml:space="preserve">capacities </w:t>
      </w:r>
      <w:r w:rsidR="00AD2670" w:rsidRPr="0021362A">
        <w:rPr>
          <w:sz w:val="24"/>
          <w:szCs w:val="24"/>
        </w:rPr>
        <w:t xml:space="preserve">for accountability to ensure the effective implementation of the array of national laws and policies that were adopted in line with the ICPD programme of action.  </w:t>
      </w:r>
    </w:p>
    <w:p w14:paraId="3AF98FDE" w14:textId="77777777" w:rsidR="00AD2670" w:rsidRPr="0021362A" w:rsidRDefault="00AD2670" w:rsidP="00346991">
      <w:pPr>
        <w:spacing w:line="240" w:lineRule="auto"/>
        <w:jc w:val="both"/>
        <w:rPr>
          <w:b/>
          <w:sz w:val="24"/>
          <w:szCs w:val="24"/>
          <w:u w:val="single"/>
        </w:rPr>
      </w:pPr>
    </w:p>
    <w:p w14:paraId="1311172F" w14:textId="77777777" w:rsidR="00AB4E3B" w:rsidRPr="0021362A" w:rsidRDefault="00AD2670" w:rsidP="00346991">
      <w:pPr>
        <w:spacing w:line="240" w:lineRule="auto"/>
        <w:jc w:val="both"/>
        <w:rPr>
          <w:b/>
          <w:sz w:val="24"/>
          <w:szCs w:val="24"/>
          <w:u w:val="single"/>
        </w:rPr>
      </w:pPr>
      <w:r w:rsidRPr="0021362A">
        <w:rPr>
          <w:b/>
          <w:sz w:val="24"/>
          <w:szCs w:val="24"/>
          <w:u w:val="single"/>
        </w:rPr>
        <w:t>A</w:t>
      </w:r>
      <w:r w:rsidR="00AB4E3B" w:rsidRPr="0021362A">
        <w:rPr>
          <w:b/>
          <w:sz w:val="24"/>
          <w:szCs w:val="24"/>
          <w:u w:val="single"/>
        </w:rPr>
        <w:t xml:space="preserve">s for the implementation of the Right to Development, the following </w:t>
      </w:r>
      <w:r w:rsidR="009669D9" w:rsidRPr="0021362A">
        <w:rPr>
          <w:b/>
          <w:sz w:val="24"/>
          <w:szCs w:val="24"/>
          <w:u w:val="single"/>
        </w:rPr>
        <w:t xml:space="preserve">standards </w:t>
      </w:r>
      <w:r w:rsidR="00AB4E3B" w:rsidRPr="0021362A">
        <w:rPr>
          <w:b/>
          <w:sz w:val="24"/>
          <w:szCs w:val="24"/>
          <w:u w:val="single"/>
        </w:rPr>
        <w:t>should be met:</w:t>
      </w:r>
    </w:p>
    <w:p w14:paraId="11B33042" w14:textId="5BCDB1EA" w:rsidR="00614D77" w:rsidRPr="0021362A" w:rsidRDefault="00CB715C" w:rsidP="00346991">
      <w:pPr>
        <w:pStyle w:val="ListParagraph"/>
        <w:numPr>
          <w:ilvl w:val="0"/>
          <w:numId w:val="5"/>
        </w:numPr>
        <w:spacing w:line="240" w:lineRule="auto"/>
        <w:jc w:val="both"/>
        <w:rPr>
          <w:b/>
          <w:sz w:val="24"/>
          <w:szCs w:val="24"/>
        </w:rPr>
      </w:pPr>
      <w:r w:rsidRPr="0021362A">
        <w:rPr>
          <w:b/>
          <w:sz w:val="24"/>
          <w:szCs w:val="24"/>
        </w:rPr>
        <w:t>Ensure</w:t>
      </w:r>
      <w:r w:rsidR="002F7A39" w:rsidRPr="0021362A">
        <w:rPr>
          <w:b/>
          <w:sz w:val="24"/>
          <w:szCs w:val="24"/>
        </w:rPr>
        <w:t xml:space="preserve"> i</w:t>
      </w:r>
      <w:r w:rsidR="00614D77" w:rsidRPr="0021362A">
        <w:rPr>
          <w:b/>
          <w:sz w:val="24"/>
          <w:szCs w:val="24"/>
        </w:rPr>
        <w:t>ndivisibility of rights</w:t>
      </w:r>
      <w:r w:rsidR="00BE0120" w:rsidRPr="0021362A">
        <w:rPr>
          <w:b/>
          <w:sz w:val="24"/>
          <w:szCs w:val="24"/>
        </w:rPr>
        <w:t xml:space="preserve">: </w:t>
      </w:r>
      <w:r w:rsidRPr="0021362A">
        <w:rPr>
          <w:b/>
          <w:sz w:val="24"/>
          <w:szCs w:val="24"/>
        </w:rPr>
        <w:t>create</w:t>
      </w:r>
      <w:r w:rsidR="002F7A39" w:rsidRPr="0021362A">
        <w:rPr>
          <w:b/>
          <w:sz w:val="24"/>
          <w:szCs w:val="24"/>
        </w:rPr>
        <w:t xml:space="preserve"> condit</w:t>
      </w:r>
      <w:r w:rsidRPr="0021362A">
        <w:rPr>
          <w:b/>
          <w:sz w:val="24"/>
          <w:szCs w:val="24"/>
        </w:rPr>
        <w:t xml:space="preserve">ions for the </w:t>
      </w:r>
      <w:r w:rsidR="00AD2670" w:rsidRPr="0021362A">
        <w:rPr>
          <w:b/>
          <w:sz w:val="24"/>
          <w:szCs w:val="24"/>
        </w:rPr>
        <w:t xml:space="preserve">equal </w:t>
      </w:r>
      <w:r w:rsidRPr="0021362A">
        <w:rPr>
          <w:b/>
          <w:sz w:val="24"/>
          <w:szCs w:val="24"/>
        </w:rPr>
        <w:t xml:space="preserve">enjoyment of </w:t>
      </w:r>
      <w:r w:rsidR="002F7A39" w:rsidRPr="0021362A">
        <w:rPr>
          <w:b/>
          <w:sz w:val="24"/>
          <w:szCs w:val="24"/>
        </w:rPr>
        <w:t>civil, political, economic, social and cultural rights</w:t>
      </w:r>
    </w:p>
    <w:p w14:paraId="224F00B6" w14:textId="77777777" w:rsidR="00AB4E3B" w:rsidRPr="0021362A" w:rsidRDefault="002F7A39" w:rsidP="00346991">
      <w:pPr>
        <w:pStyle w:val="ListParagraph"/>
        <w:numPr>
          <w:ilvl w:val="0"/>
          <w:numId w:val="5"/>
        </w:numPr>
        <w:spacing w:line="240" w:lineRule="auto"/>
        <w:jc w:val="both"/>
        <w:rPr>
          <w:b/>
          <w:sz w:val="24"/>
          <w:szCs w:val="24"/>
        </w:rPr>
      </w:pPr>
      <w:r w:rsidRPr="0021362A">
        <w:rPr>
          <w:b/>
          <w:sz w:val="24"/>
          <w:szCs w:val="24"/>
        </w:rPr>
        <w:t>Strengthen</w:t>
      </w:r>
      <w:r w:rsidR="00CB715C" w:rsidRPr="0021362A">
        <w:rPr>
          <w:b/>
          <w:sz w:val="24"/>
          <w:szCs w:val="24"/>
        </w:rPr>
        <w:t xml:space="preserve"> </w:t>
      </w:r>
      <w:r w:rsidR="00826F1B" w:rsidRPr="0021362A">
        <w:rPr>
          <w:b/>
          <w:sz w:val="24"/>
          <w:szCs w:val="24"/>
        </w:rPr>
        <w:t xml:space="preserve">systems of accountability, including through </w:t>
      </w:r>
      <w:r w:rsidR="00257CAB" w:rsidRPr="0021362A">
        <w:rPr>
          <w:b/>
          <w:sz w:val="24"/>
          <w:szCs w:val="24"/>
        </w:rPr>
        <w:t>participatory monitoring</w:t>
      </w:r>
    </w:p>
    <w:p w14:paraId="4BDB0A74" w14:textId="77777777" w:rsidR="00E24F47" w:rsidRPr="0021362A" w:rsidRDefault="00826F1B" w:rsidP="00346991">
      <w:pPr>
        <w:pStyle w:val="ListParagraph"/>
        <w:numPr>
          <w:ilvl w:val="0"/>
          <w:numId w:val="5"/>
        </w:numPr>
        <w:spacing w:line="240" w:lineRule="auto"/>
        <w:jc w:val="both"/>
        <w:rPr>
          <w:b/>
          <w:i/>
          <w:sz w:val="24"/>
          <w:szCs w:val="24"/>
        </w:rPr>
      </w:pPr>
      <w:r w:rsidRPr="0021362A">
        <w:rPr>
          <w:b/>
          <w:sz w:val="24"/>
          <w:szCs w:val="24"/>
        </w:rPr>
        <w:t>Strengthe</w:t>
      </w:r>
      <w:r w:rsidR="00CB715C" w:rsidRPr="0021362A">
        <w:rPr>
          <w:b/>
          <w:sz w:val="24"/>
          <w:szCs w:val="24"/>
        </w:rPr>
        <w:t>n</w:t>
      </w:r>
      <w:r w:rsidR="00AD2670" w:rsidRPr="0021362A">
        <w:rPr>
          <w:b/>
          <w:sz w:val="24"/>
          <w:szCs w:val="24"/>
        </w:rPr>
        <w:t xml:space="preserve"> the articulation</w:t>
      </w:r>
      <w:r w:rsidR="009669D9" w:rsidRPr="0021362A">
        <w:rPr>
          <w:b/>
          <w:sz w:val="24"/>
          <w:szCs w:val="24"/>
        </w:rPr>
        <w:t xml:space="preserve"> between the global, regional and national level for the implementation of in</w:t>
      </w:r>
      <w:r w:rsidR="00AD2670" w:rsidRPr="0021362A">
        <w:rPr>
          <w:b/>
          <w:sz w:val="24"/>
          <w:szCs w:val="24"/>
        </w:rPr>
        <w:t xml:space="preserve">ternational human rights recommendations </w:t>
      </w:r>
      <w:r w:rsidR="009669D9" w:rsidRPr="0021362A">
        <w:rPr>
          <w:b/>
          <w:sz w:val="24"/>
          <w:szCs w:val="24"/>
        </w:rPr>
        <w:t>on the ground</w:t>
      </w:r>
    </w:p>
    <w:p w14:paraId="2D2CD0CB" w14:textId="77777777" w:rsidR="00A77E5E" w:rsidRPr="0021362A" w:rsidRDefault="00A77E5E" w:rsidP="00346991">
      <w:pPr>
        <w:pStyle w:val="ListParagraph"/>
        <w:numPr>
          <w:ilvl w:val="0"/>
          <w:numId w:val="5"/>
        </w:numPr>
        <w:spacing w:line="240" w:lineRule="auto"/>
        <w:jc w:val="both"/>
        <w:rPr>
          <w:b/>
          <w:i/>
          <w:sz w:val="24"/>
          <w:szCs w:val="24"/>
        </w:rPr>
      </w:pPr>
      <w:r w:rsidRPr="0021362A">
        <w:rPr>
          <w:rFonts w:eastAsiaTheme="minorEastAsia" w:cs="Times New Roman"/>
          <w:b/>
          <w:sz w:val="24"/>
          <w:szCs w:val="24"/>
          <w:lang w:eastAsia="zh-CN"/>
        </w:rPr>
        <w:lastRenderedPageBreak/>
        <w:t>Adopt and implement legislation, policies and measures that prevent, punish and eradicate gender based violence within and outside of the family, as well as in conflict and post-conflict situations</w:t>
      </w:r>
    </w:p>
    <w:p w14:paraId="2B52CE9E" w14:textId="77777777" w:rsidR="00A77E5E" w:rsidRPr="0021362A" w:rsidRDefault="00A77E5E" w:rsidP="00346991">
      <w:pPr>
        <w:pStyle w:val="ListParagraph"/>
        <w:numPr>
          <w:ilvl w:val="0"/>
          <w:numId w:val="5"/>
        </w:numPr>
        <w:spacing w:line="240" w:lineRule="auto"/>
        <w:jc w:val="both"/>
        <w:rPr>
          <w:b/>
          <w:i/>
          <w:sz w:val="24"/>
          <w:szCs w:val="24"/>
        </w:rPr>
      </w:pPr>
      <w:r w:rsidRPr="0021362A">
        <w:rPr>
          <w:rFonts w:cs="Times New Roman"/>
          <w:b/>
          <w:sz w:val="24"/>
          <w:szCs w:val="24"/>
        </w:rPr>
        <w:t>Ensure</w:t>
      </w:r>
      <w:r w:rsidRPr="0021362A">
        <w:rPr>
          <w:b/>
          <w:sz w:val="24"/>
          <w:szCs w:val="24"/>
        </w:rPr>
        <w:t xml:space="preserve"> </w:t>
      </w:r>
      <w:r w:rsidRPr="0021362A">
        <w:rPr>
          <w:rFonts w:eastAsiaTheme="minorEastAsia" w:cs="Times New Roman"/>
          <w:b/>
          <w:bCs/>
          <w:sz w:val="24"/>
          <w:szCs w:val="24"/>
          <w:lang w:eastAsia="zh-CN"/>
        </w:rPr>
        <w:t>that all victims/survivors of gender based violence have immediate access to critical services</w:t>
      </w:r>
    </w:p>
    <w:p w14:paraId="22CD5932" w14:textId="7085B3B6" w:rsidR="00260F64" w:rsidRPr="0021362A" w:rsidRDefault="0021362A" w:rsidP="00346991">
      <w:pPr>
        <w:pStyle w:val="ListParagraph"/>
        <w:numPr>
          <w:ilvl w:val="0"/>
          <w:numId w:val="5"/>
        </w:numPr>
        <w:spacing w:line="240" w:lineRule="auto"/>
        <w:jc w:val="both"/>
        <w:rPr>
          <w:b/>
          <w:i/>
          <w:sz w:val="24"/>
          <w:szCs w:val="24"/>
        </w:rPr>
      </w:pPr>
      <w:r w:rsidRPr="0021362A">
        <w:rPr>
          <w:rFonts w:cs="Times New Roman"/>
          <w:b/>
          <w:sz w:val="24"/>
          <w:szCs w:val="24"/>
        </w:rPr>
        <w:t>G</w:t>
      </w:r>
      <w:r w:rsidR="00260F64" w:rsidRPr="0021362A">
        <w:rPr>
          <w:rFonts w:cs="Times New Roman"/>
          <w:b/>
          <w:sz w:val="24"/>
          <w:szCs w:val="24"/>
        </w:rPr>
        <w:t>uarantee equality before the law and non-discrimination for all people, by adopting laws and policies to protect the human rights of all individuals, without distinction of any kind, in the exercise of their social, cultural, economic, civil and political rights</w:t>
      </w:r>
    </w:p>
    <w:p w14:paraId="3AE385D1" w14:textId="77777777" w:rsidR="00BF00E9" w:rsidRPr="0021362A" w:rsidRDefault="00BF00E9" w:rsidP="00346991">
      <w:pPr>
        <w:pStyle w:val="ListParagraph"/>
        <w:numPr>
          <w:ilvl w:val="0"/>
          <w:numId w:val="5"/>
        </w:numPr>
        <w:spacing w:line="240" w:lineRule="auto"/>
        <w:jc w:val="both"/>
        <w:rPr>
          <w:b/>
          <w:i/>
          <w:sz w:val="24"/>
          <w:szCs w:val="24"/>
        </w:rPr>
      </w:pPr>
      <w:r w:rsidRPr="0021362A">
        <w:rPr>
          <w:rFonts w:cs="Times New Roman"/>
          <w:b/>
          <w:sz w:val="24"/>
          <w:szCs w:val="24"/>
        </w:rPr>
        <w:t>Eliminate preventable maternal mortality and morbidity as urgently as possible by strengthening health systems and thereby ensuring universal access to quality prenatal care, skilled attendance at birth, emergency obstetric care, and postnatal care for all women, including those living in rural and remote areas</w:t>
      </w:r>
      <w:r w:rsidR="00756B7E" w:rsidRPr="0021362A">
        <w:rPr>
          <w:rFonts w:cs="Times New Roman"/>
          <w:b/>
          <w:sz w:val="24"/>
          <w:szCs w:val="24"/>
        </w:rPr>
        <w:t>.</w:t>
      </w:r>
    </w:p>
    <w:p w14:paraId="459174AC" w14:textId="77777777" w:rsidR="00756B7E" w:rsidRPr="0021362A" w:rsidRDefault="00756B7E" w:rsidP="00346991">
      <w:pPr>
        <w:pStyle w:val="ListParagraph"/>
        <w:numPr>
          <w:ilvl w:val="0"/>
          <w:numId w:val="5"/>
        </w:numPr>
        <w:spacing w:line="240" w:lineRule="auto"/>
        <w:jc w:val="both"/>
        <w:rPr>
          <w:b/>
          <w:i/>
          <w:sz w:val="24"/>
          <w:szCs w:val="24"/>
        </w:rPr>
      </w:pPr>
      <w:r w:rsidRPr="0021362A">
        <w:rPr>
          <w:rFonts w:cs="Times New Roman"/>
          <w:b/>
          <w:sz w:val="24"/>
          <w:szCs w:val="24"/>
        </w:rPr>
        <w:t>Ensure access to remedies and redress to victims of human rights violations.</w:t>
      </w:r>
    </w:p>
    <w:p w14:paraId="7835CAD7" w14:textId="77777777" w:rsidR="00590B05" w:rsidRPr="0021362A" w:rsidRDefault="00590B05" w:rsidP="00346991">
      <w:pPr>
        <w:pStyle w:val="Heading2"/>
        <w:numPr>
          <w:ilvl w:val="0"/>
          <w:numId w:val="18"/>
        </w:numPr>
        <w:spacing w:line="240" w:lineRule="auto"/>
        <w:jc w:val="both"/>
        <w:rPr>
          <w:rFonts w:asciiTheme="minorHAnsi" w:hAnsiTheme="minorHAnsi"/>
          <w:sz w:val="24"/>
          <w:szCs w:val="24"/>
        </w:rPr>
      </w:pPr>
      <w:r w:rsidRPr="0021362A">
        <w:rPr>
          <w:rFonts w:asciiTheme="minorHAnsi" w:hAnsiTheme="minorHAnsi"/>
          <w:sz w:val="24"/>
          <w:szCs w:val="24"/>
        </w:rPr>
        <w:t xml:space="preserve"> Equality </w:t>
      </w:r>
      <w:r w:rsidR="00E24F47" w:rsidRPr="0021362A">
        <w:rPr>
          <w:rFonts w:asciiTheme="minorHAnsi" w:hAnsiTheme="minorHAnsi"/>
          <w:sz w:val="24"/>
          <w:szCs w:val="24"/>
        </w:rPr>
        <w:t>and participation</w:t>
      </w:r>
    </w:p>
    <w:p w14:paraId="42B38A93" w14:textId="7D2F513E" w:rsidR="001E3E95" w:rsidRPr="0021362A" w:rsidRDefault="00E24F47" w:rsidP="00346991">
      <w:pPr>
        <w:spacing w:line="240" w:lineRule="auto"/>
        <w:jc w:val="both"/>
        <w:rPr>
          <w:sz w:val="24"/>
          <w:szCs w:val="24"/>
        </w:rPr>
      </w:pPr>
      <w:r w:rsidRPr="0021362A">
        <w:rPr>
          <w:sz w:val="24"/>
          <w:szCs w:val="24"/>
        </w:rPr>
        <w:t xml:space="preserve">2030 </w:t>
      </w:r>
      <w:r w:rsidR="00917973">
        <w:rPr>
          <w:sz w:val="24"/>
          <w:szCs w:val="24"/>
        </w:rPr>
        <w:t xml:space="preserve">Agenda </w:t>
      </w:r>
      <w:r w:rsidRPr="0021362A">
        <w:rPr>
          <w:sz w:val="24"/>
          <w:szCs w:val="24"/>
        </w:rPr>
        <w:t xml:space="preserve">makes a strong call to ensure that </w:t>
      </w:r>
      <w:r w:rsidRPr="0021362A">
        <w:rPr>
          <w:b/>
          <w:i/>
          <w:sz w:val="24"/>
          <w:szCs w:val="24"/>
        </w:rPr>
        <w:t>inequalities are reduce</w:t>
      </w:r>
      <w:r w:rsidR="001315AF" w:rsidRPr="0021362A">
        <w:rPr>
          <w:b/>
          <w:i/>
          <w:sz w:val="24"/>
          <w:szCs w:val="24"/>
        </w:rPr>
        <w:t>d</w:t>
      </w:r>
      <w:r w:rsidRPr="0021362A">
        <w:rPr>
          <w:sz w:val="24"/>
          <w:szCs w:val="24"/>
        </w:rPr>
        <w:t xml:space="preserve"> by first serving the most vulnerable and marginalized. In promoting universal access to SRH</w:t>
      </w:r>
      <w:r w:rsidR="00CB715C" w:rsidRPr="0021362A">
        <w:rPr>
          <w:sz w:val="24"/>
          <w:szCs w:val="24"/>
        </w:rPr>
        <w:t>R</w:t>
      </w:r>
      <w:r w:rsidRPr="0021362A">
        <w:rPr>
          <w:sz w:val="24"/>
          <w:szCs w:val="24"/>
        </w:rPr>
        <w:t xml:space="preserve">, UNFPA has long endorsed such values, working to improve coverage and quality of health services for those “furthest behind”.  </w:t>
      </w:r>
    </w:p>
    <w:p w14:paraId="7CD7F59A" w14:textId="17BE4211" w:rsidR="001E3E95" w:rsidRPr="0021362A" w:rsidRDefault="00637CD5" w:rsidP="00346991">
      <w:pPr>
        <w:spacing w:line="240" w:lineRule="auto"/>
        <w:jc w:val="both"/>
        <w:rPr>
          <w:sz w:val="24"/>
          <w:szCs w:val="24"/>
        </w:rPr>
      </w:pPr>
      <w:r w:rsidRPr="0021362A">
        <w:rPr>
          <w:sz w:val="24"/>
          <w:szCs w:val="24"/>
        </w:rPr>
        <w:t xml:space="preserve">Economic and social inequalities are both the cause and the consequence of other social inequalities, including those experienced because of gender, race, disability, age or other dimensions of identity and circumstance. </w:t>
      </w:r>
      <w:r w:rsidR="00E24F47" w:rsidRPr="0021362A">
        <w:rPr>
          <w:sz w:val="24"/>
          <w:szCs w:val="24"/>
        </w:rPr>
        <w:t>The ICPD Framework</w:t>
      </w:r>
      <w:r w:rsidR="009A135E">
        <w:rPr>
          <w:sz w:val="24"/>
          <w:szCs w:val="24"/>
        </w:rPr>
        <w:t xml:space="preserve"> of Actions</w:t>
      </w:r>
      <w:r w:rsidR="00E24F47" w:rsidRPr="0021362A">
        <w:rPr>
          <w:sz w:val="24"/>
          <w:szCs w:val="24"/>
        </w:rPr>
        <w:t xml:space="preserve"> emphasized the need for comprehensive measures to ensure </w:t>
      </w:r>
      <w:r w:rsidR="00CB715C" w:rsidRPr="0021362A">
        <w:rPr>
          <w:b/>
          <w:i/>
          <w:sz w:val="24"/>
          <w:szCs w:val="24"/>
        </w:rPr>
        <w:t>equality,</w:t>
      </w:r>
      <w:r w:rsidR="00CB715C" w:rsidRPr="0021362A">
        <w:rPr>
          <w:sz w:val="24"/>
          <w:szCs w:val="24"/>
        </w:rPr>
        <w:t xml:space="preserve"> </w:t>
      </w:r>
      <w:r w:rsidR="00CB715C" w:rsidRPr="0021362A">
        <w:rPr>
          <w:b/>
          <w:i/>
          <w:sz w:val="24"/>
          <w:szCs w:val="24"/>
        </w:rPr>
        <w:t xml:space="preserve">non-discrimination </w:t>
      </w:r>
      <w:r w:rsidR="00E24F47" w:rsidRPr="0021362A">
        <w:rPr>
          <w:b/>
          <w:i/>
          <w:sz w:val="24"/>
          <w:szCs w:val="24"/>
        </w:rPr>
        <w:t>and the realization of human potential</w:t>
      </w:r>
      <w:r w:rsidR="00E24F47" w:rsidRPr="0021362A">
        <w:rPr>
          <w:sz w:val="24"/>
          <w:szCs w:val="24"/>
        </w:rPr>
        <w:t xml:space="preserve"> for all population groups. UNFPA is supporting Member States to address the multiple and overlapping forms of inequality, disempowerment and discrimination, through a commitment to equality and non-discrimination for all persons, without distinction of any kind, in the exercise of their social, cultural, economic, civil and political rights, including the right to gainful employment, residence and access to services, as well as the need to promulgate and enforce laws that take active steps to protect people from discrimination, stigma and violence.</w:t>
      </w:r>
      <w:r w:rsidR="00616CBE" w:rsidRPr="0021362A">
        <w:rPr>
          <w:rStyle w:val="FootnoteReference"/>
          <w:sz w:val="24"/>
          <w:szCs w:val="24"/>
        </w:rPr>
        <w:footnoteReference w:id="7"/>
      </w:r>
      <w:r w:rsidR="00E24F47" w:rsidRPr="0021362A">
        <w:rPr>
          <w:sz w:val="24"/>
          <w:szCs w:val="24"/>
        </w:rPr>
        <w:t xml:space="preserve"> </w:t>
      </w:r>
    </w:p>
    <w:p w14:paraId="03F60ABD" w14:textId="78F945F0" w:rsidR="00637CD5" w:rsidRPr="0021362A" w:rsidRDefault="00637CD5" w:rsidP="00346991">
      <w:pPr>
        <w:spacing w:line="240" w:lineRule="auto"/>
        <w:jc w:val="both"/>
        <w:rPr>
          <w:sz w:val="24"/>
          <w:szCs w:val="24"/>
        </w:rPr>
      </w:pPr>
      <w:r w:rsidRPr="0021362A">
        <w:rPr>
          <w:sz w:val="24"/>
          <w:szCs w:val="24"/>
        </w:rPr>
        <w:t>In using data for planning of development, the ICPD Framework</w:t>
      </w:r>
      <w:r w:rsidR="009A135E">
        <w:rPr>
          <w:sz w:val="24"/>
          <w:szCs w:val="24"/>
        </w:rPr>
        <w:t xml:space="preserve"> of Actions</w:t>
      </w:r>
      <w:r w:rsidR="00CB715C" w:rsidRPr="0021362A">
        <w:rPr>
          <w:sz w:val="24"/>
          <w:szCs w:val="24"/>
        </w:rPr>
        <w:t xml:space="preserve"> reiterated</w:t>
      </w:r>
      <w:r w:rsidRPr="0021362A">
        <w:rPr>
          <w:sz w:val="24"/>
          <w:szCs w:val="24"/>
        </w:rPr>
        <w:t xml:space="preserve"> </w:t>
      </w:r>
      <w:r w:rsidR="00A673FC" w:rsidRPr="0021362A">
        <w:rPr>
          <w:sz w:val="24"/>
          <w:szCs w:val="24"/>
        </w:rPr>
        <w:t xml:space="preserve">the need for </w:t>
      </w:r>
      <w:r w:rsidR="00A673FC" w:rsidRPr="0021362A">
        <w:rPr>
          <w:b/>
          <w:i/>
          <w:sz w:val="24"/>
          <w:szCs w:val="24"/>
        </w:rPr>
        <w:t>disaggregation of data</w:t>
      </w:r>
      <w:r w:rsidR="00A673FC" w:rsidRPr="0021362A">
        <w:rPr>
          <w:sz w:val="24"/>
          <w:szCs w:val="24"/>
        </w:rPr>
        <w:t xml:space="preserve"> and </w:t>
      </w:r>
      <w:r w:rsidRPr="0021362A">
        <w:rPr>
          <w:sz w:val="24"/>
          <w:szCs w:val="24"/>
        </w:rPr>
        <w:t>that States should ensure adequate measures that allow monitoring of inequality in access to public services, accountability structures and information, including sampling that will enable stratification and comparisons by race and ethnicity, age (including youth and older persons) and household wealth, and with greater attention to spatial circumstances, especially those that reflect insecurity of place, such as slums or informal settlements, among recent migrants and internally displaced persons.</w:t>
      </w:r>
      <w:r w:rsidRPr="0021362A">
        <w:rPr>
          <w:rStyle w:val="FootnoteReference"/>
          <w:sz w:val="24"/>
          <w:szCs w:val="24"/>
        </w:rPr>
        <w:footnoteReference w:id="8"/>
      </w:r>
    </w:p>
    <w:p w14:paraId="11069675" w14:textId="0DFCF822" w:rsidR="00683417" w:rsidRPr="0021362A" w:rsidRDefault="00683417" w:rsidP="00346991">
      <w:pPr>
        <w:spacing w:line="240" w:lineRule="auto"/>
        <w:jc w:val="both"/>
        <w:rPr>
          <w:sz w:val="24"/>
          <w:szCs w:val="24"/>
        </w:rPr>
      </w:pPr>
      <w:r w:rsidRPr="0021362A">
        <w:rPr>
          <w:sz w:val="24"/>
          <w:szCs w:val="24"/>
        </w:rPr>
        <w:t>Social and health consequences of inequality and exclusion not only hinder human rights-based development, but they also have the potential to</w:t>
      </w:r>
      <w:r w:rsidRPr="0021362A">
        <w:rPr>
          <w:b/>
          <w:i/>
          <w:sz w:val="24"/>
          <w:szCs w:val="24"/>
        </w:rPr>
        <w:t xml:space="preserve"> destabilize societies. </w:t>
      </w:r>
      <w:r w:rsidRPr="0021362A">
        <w:rPr>
          <w:sz w:val="24"/>
          <w:szCs w:val="24"/>
        </w:rPr>
        <w:t xml:space="preserve">The ICPD Framework </w:t>
      </w:r>
      <w:r w:rsidR="009A135E">
        <w:rPr>
          <w:sz w:val="24"/>
          <w:szCs w:val="24"/>
        </w:rPr>
        <w:t xml:space="preserve">of Actions </w:t>
      </w:r>
      <w:r w:rsidRPr="0021362A">
        <w:rPr>
          <w:sz w:val="24"/>
          <w:szCs w:val="24"/>
        </w:rPr>
        <w:t xml:space="preserve">also highlighted how in today’s globalized world, where information spreads throughout countries and the world in an instant, the increasing concentration of wealth and its </w:t>
      </w:r>
      <w:r w:rsidRPr="0021362A">
        <w:rPr>
          <w:sz w:val="24"/>
          <w:szCs w:val="24"/>
        </w:rPr>
        <w:lastRenderedPageBreak/>
        <w:t>links with unemployment, social injustice and powerlessness of millions have become a touchstone for political protests, conflict and instability.</w:t>
      </w:r>
      <w:r w:rsidRPr="0021362A">
        <w:rPr>
          <w:rStyle w:val="FootnoteReference"/>
          <w:sz w:val="24"/>
          <w:szCs w:val="24"/>
        </w:rPr>
        <w:footnoteReference w:id="9"/>
      </w:r>
    </w:p>
    <w:p w14:paraId="44C6B6E8" w14:textId="77777777" w:rsidR="00BE0120" w:rsidRPr="0021362A" w:rsidRDefault="00F72643" w:rsidP="00346991">
      <w:pPr>
        <w:spacing w:line="240" w:lineRule="auto"/>
        <w:jc w:val="both"/>
        <w:rPr>
          <w:sz w:val="24"/>
          <w:szCs w:val="24"/>
        </w:rPr>
      </w:pPr>
      <w:r w:rsidRPr="0021362A">
        <w:rPr>
          <w:sz w:val="24"/>
          <w:szCs w:val="24"/>
        </w:rPr>
        <w:t>In this regard</w:t>
      </w:r>
      <w:r w:rsidRPr="0021362A">
        <w:rPr>
          <w:i/>
          <w:sz w:val="24"/>
          <w:szCs w:val="24"/>
        </w:rPr>
        <w:t xml:space="preserve"> </w:t>
      </w:r>
      <w:r w:rsidRPr="0021362A">
        <w:rPr>
          <w:b/>
          <w:i/>
          <w:sz w:val="24"/>
          <w:szCs w:val="24"/>
        </w:rPr>
        <w:t>participation of rights-holders</w:t>
      </w:r>
      <w:r w:rsidRPr="0021362A">
        <w:rPr>
          <w:sz w:val="24"/>
          <w:szCs w:val="24"/>
        </w:rPr>
        <w:t xml:space="preserve"> is quintessential. Member States</w:t>
      </w:r>
      <w:r w:rsidR="00E24F47" w:rsidRPr="0021362A">
        <w:rPr>
          <w:sz w:val="24"/>
          <w:szCs w:val="24"/>
        </w:rPr>
        <w:t xml:space="preserve"> should adapt necessary legal frameworks and formulate policies, with the full participation of those who are discriminated against, including women, adolescents, older persons, persons with disabilities, indigenous persons, ethnic and racial minorities, migrants, persons living with HIV, persons of diverse sexual orientations and gender identities and sex workers, and with the </w:t>
      </w:r>
      <w:r w:rsidR="00E24F47" w:rsidRPr="0021362A">
        <w:rPr>
          <w:b/>
          <w:i/>
          <w:sz w:val="24"/>
          <w:szCs w:val="24"/>
        </w:rPr>
        <w:t>participation of civil society</w:t>
      </w:r>
      <w:r w:rsidR="00E24F47" w:rsidRPr="0021362A">
        <w:rPr>
          <w:sz w:val="24"/>
          <w:szCs w:val="24"/>
        </w:rPr>
        <w:t xml:space="preserve"> </w:t>
      </w:r>
      <w:r w:rsidR="00E24F47" w:rsidRPr="0021362A">
        <w:rPr>
          <w:b/>
          <w:i/>
          <w:sz w:val="24"/>
          <w:szCs w:val="24"/>
        </w:rPr>
        <w:t>throughout the process</w:t>
      </w:r>
      <w:r w:rsidR="00E24F47" w:rsidRPr="0021362A">
        <w:rPr>
          <w:sz w:val="24"/>
          <w:szCs w:val="24"/>
        </w:rPr>
        <w:t xml:space="preserve"> of design, implementation evaluation of those policies.</w:t>
      </w:r>
      <w:r w:rsidR="00616CBE" w:rsidRPr="0021362A">
        <w:rPr>
          <w:rStyle w:val="FootnoteReference"/>
          <w:sz w:val="24"/>
          <w:szCs w:val="24"/>
        </w:rPr>
        <w:footnoteReference w:id="10"/>
      </w:r>
      <w:r w:rsidR="001315AF" w:rsidRPr="0021362A">
        <w:rPr>
          <w:sz w:val="24"/>
          <w:szCs w:val="24"/>
        </w:rPr>
        <w:t xml:space="preserve"> While States continue to bear the primary obligation to ensure human rights, it is increasingly recognized that achieving good governance and development is the</w:t>
      </w:r>
      <w:r w:rsidR="001315AF" w:rsidRPr="0021362A">
        <w:rPr>
          <w:b/>
          <w:i/>
          <w:sz w:val="24"/>
          <w:szCs w:val="24"/>
        </w:rPr>
        <w:t xml:space="preserve"> responsibility of a variety of non-State actors. </w:t>
      </w:r>
      <w:r w:rsidR="001315AF" w:rsidRPr="0021362A">
        <w:rPr>
          <w:sz w:val="24"/>
          <w:szCs w:val="24"/>
        </w:rPr>
        <w:t xml:space="preserve">Thus, the promotion of </w:t>
      </w:r>
      <w:r w:rsidR="00856B19" w:rsidRPr="0021362A">
        <w:rPr>
          <w:sz w:val="24"/>
          <w:szCs w:val="24"/>
        </w:rPr>
        <w:t>favorable</w:t>
      </w:r>
      <w:r w:rsidR="001315AF" w:rsidRPr="0021362A">
        <w:rPr>
          <w:sz w:val="24"/>
          <w:szCs w:val="24"/>
        </w:rPr>
        <w:t xml:space="preserve"> conditions for free and inclusive participation of all stakeholders — Governments, parliamentarians, civil society and others, representing a diversity of opinions, interests and skills</w:t>
      </w:r>
      <w:r w:rsidR="00856B19" w:rsidRPr="0021362A">
        <w:rPr>
          <w:sz w:val="24"/>
          <w:szCs w:val="24"/>
        </w:rPr>
        <w:t xml:space="preserve"> </w:t>
      </w:r>
      <w:r w:rsidR="001315AF" w:rsidRPr="0021362A">
        <w:rPr>
          <w:sz w:val="24"/>
          <w:szCs w:val="24"/>
        </w:rPr>
        <w:t>— remains a priority</w:t>
      </w:r>
      <w:r w:rsidR="00856B19" w:rsidRPr="0021362A">
        <w:rPr>
          <w:sz w:val="24"/>
          <w:szCs w:val="24"/>
        </w:rPr>
        <w:t>. G</w:t>
      </w:r>
      <w:r w:rsidR="001315AF" w:rsidRPr="0021362A">
        <w:rPr>
          <w:sz w:val="24"/>
          <w:szCs w:val="24"/>
        </w:rPr>
        <w:t>reater efforts must be made to redress inconsistencies and foster the inclusive, transparent participation of all key population groups in the decisions that affect them, including adolescents and youth, persons with disabilities, older persons and indigenous peoples.</w:t>
      </w:r>
      <w:r w:rsidR="001315AF" w:rsidRPr="0021362A">
        <w:rPr>
          <w:rStyle w:val="FootnoteReference"/>
          <w:sz w:val="24"/>
          <w:szCs w:val="24"/>
        </w:rPr>
        <w:footnoteReference w:id="11"/>
      </w:r>
      <w:r w:rsidR="00BE0120" w:rsidRPr="0021362A">
        <w:rPr>
          <w:sz w:val="24"/>
          <w:szCs w:val="24"/>
        </w:rPr>
        <w:t xml:space="preserve"> In addition, the private sector plays a distinct role in addressing adverse impacts of business activities on human rights and development.</w:t>
      </w:r>
      <w:r w:rsidR="00BE0120" w:rsidRPr="0021362A">
        <w:rPr>
          <w:rStyle w:val="FootnoteReference"/>
          <w:sz w:val="24"/>
          <w:szCs w:val="24"/>
        </w:rPr>
        <w:footnoteReference w:id="12"/>
      </w:r>
    </w:p>
    <w:p w14:paraId="1663C929" w14:textId="77777777" w:rsidR="00826F1B" w:rsidRPr="0021362A" w:rsidRDefault="00826F1B" w:rsidP="00346991">
      <w:pPr>
        <w:spacing w:line="240" w:lineRule="auto"/>
        <w:jc w:val="both"/>
        <w:rPr>
          <w:b/>
          <w:sz w:val="24"/>
          <w:szCs w:val="24"/>
          <w:u w:val="single"/>
        </w:rPr>
      </w:pPr>
      <w:r w:rsidRPr="0021362A">
        <w:rPr>
          <w:b/>
          <w:sz w:val="24"/>
          <w:szCs w:val="24"/>
          <w:u w:val="single"/>
        </w:rPr>
        <w:t xml:space="preserve">As for the implementation of the Right to Development, the following </w:t>
      </w:r>
      <w:r w:rsidR="009669D9" w:rsidRPr="0021362A">
        <w:rPr>
          <w:b/>
          <w:sz w:val="24"/>
          <w:szCs w:val="24"/>
          <w:u w:val="single"/>
        </w:rPr>
        <w:t xml:space="preserve">standards </w:t>
      </w:r>
      <w:r w:rsidRPr="0021362A">
        <w:rPr>
          <w:b/>
          <w:sz w:val="24"/>
          <w:szCs w:val="24"/>
          <w:u w:val="single"/>
        </w:rPr>
        <w:t>should be met:</w:t>
      </w:r>
    </w:p>
    <w:p w14:paraId="0D28EC6F" w14:textId="77777777" w:rsidR="00836180" w:rsidRPr="0021362A" w:rsidRDefault="00836180" w:rsidP="00346991">
      <w:pPr>
        <w:pStyle w:val="ListParagraph"/>
        <w:numPr>
          <w:ilvl w:val="0"/>
          <w:numId w:val="5"/>
        </w:numPr>
        <w:spacing w:line="240" w:lineRule="auto"/>
        <w:jc w:val="both"/>
        <w:rPr>
          <w:b/>
          <w:sz w:val="24"/>
          <w:szCs w:val="24"/>
        </w:rPr>
      </w:pPr>
      <w:r w:rsidRPr="0021362A">
        <w:rPr>
          <w:b/>
          <w:sz w:val="24"/>
          <w:szCs w:val="24"/>
        </w:rPr>
        <w:t>R</w:t>
      </w:r>
      <w:r w:rsidR="002F7A39" w:rsidRPr="0021362A">
        <w:rPr>
          <w:b/>
          <w:sz w:val="24"/>
          <w:szCs w:val="24"/>
        </w:rPr>
        <w:t>educ</w:t>
      </w:r>
      <w:r w:rsidR="00B96445" w:rsidRPr="0021362A">
        <w:rPr>
          <w:b/>
          <w:sz w:val="24"/>
          <w:szCs w:val="24"/>
        </w:rPr>
        <w:t xml:space="preserve">e </w:t>
      </w:r>
      <w:r w:rsidRPr="0021362A">
        <w:rPr>
          <w:b/>
          <w:sz w:val="24"/>
          <w:szCs w:val="24"/>
        </w:rPr>
        <w:t xml:space="preserve">economic and social inequality, through comprehensive investment </w:t>
      </w:r>
      <w:r w:rsidR="009669D9" w:rsidRPr="0021362A">
        <w:rPr>
          <w:b/>
          <w:sz w:val="24"/>
          <w:szCs w:val="24"/>
        </w:rPr>
        <w:t xml:space="preserve">for the progressive realization of </w:t>
      </w:r>
      <w:r w:rsidRPr="0021362A">
        <w:rPr>
          <w:b/>
          <w:sz w:val="24"/>
          <w:szCs w:val="24"/>
        </w:rPr>
        <w:t xml:space="preserve">economic, social and cultural rights as well as </w:t>
      </w:r>
      <w:r w:rsidR="009669D9" w:rsidRPr="0021362A">
        <w:rPr>
          <w:b/>
          <w:sz w:val="24"/>
          <w:szCs w:val="24"/>
        </w:rPr>
        <w:t xml:space="preserve">to address violations to </w:t>
      </w:r>
      <w:r w:rsidRPr="0021362A">
        <w:rPr>
          <w:b/>
          <w:sz w:val="24"/>
          <w:szCs w:val="24"/>
        </w:rPr>
        <w:t>civil and political rights</w:t>
      </w:r>
      <w:r w:rsidR="009669D9" w:rsidRPr="0021362A">
        <w:rPr>
          <w:b/>
          <w:sz w:val="24"/>
          <w:szCs w:val="24"/>
        </w:rPr>
        <w:t>, including the obligation of non-</w:t>
      </w:r>
      <w:r w:rsidRPr="0021362A">
        <w:rPr>
          <w:b/>
          <w:sz w:val="24"/>
          <w:szCs w:val="24"/>
        </w:rPr>
        <w:t>discrimina</w:t>
      </w:r>
      <w:r w:rsidR="00637CD5" w:rsidRPr="0021362A">
        <w:rPr>
          <w:b/>
          <w:sz w:val="24"/>
          <w:szCs w:val="24"/>
        </w:rPr>
        <w:t>tion</w:t>
      </w:r>
      <w:r w:rsidR="009669D9" w:rsidRPr="0021362A">
        <w:rPr>
          <w:b/>
          <w:sz w:val="24"/>
          <w:szCs w:val="24"/>
        </w:rPr>
        <w:t xml:space="preserve"> and freedom from violence</w:t>
      </w:r>
      <w:r w:rsidR="00637CD5" w:rsidRPr="0021362A">
        <w:rPr>
          <w:b/>
          <w:sz w:val="24"/>
          <w:szCs w:val="24"/>
        </w:rPr>
        <w:t xml:space="preserve">. </w:t>
      </w:r>
    </w:p>
    <w:p w14:paraId="76031D30" w14:textId="77777777" w:rsidR="00637CD5" w:rsidRPr="0021362A" w:rsidRDefault="00637CD5" w:rsidP="00346991">
      <w:pPr>
        <w:pStyle w:val="ListParagraph"/>
        <w:numPr>
          <w:ilvl w:val="0"/>
          <w:numId w:val="5"/>
        </w:numPr>
        <w:spacing w:line="240" w:lineRule="auto"/>
        <w:jc w:val="both"/>
        <w:rPr>
          <w:b/>
          <w:sz w:val="24"/>
          <w:szCs w:val="24"/>
        </w:rPr>
      </w:pPr>
      <w:r w:rsidRPr="0021362A">
        <w:rPr>
          <w:b/>
          <w:sz w:val="24"/>
          <w:szCs w:val="24"/>
        </w:rPr>
        <w:t>Invest</w:t>
      </w:r>
      <w:r w:rsidR="00B96445" w:rsidRPr="0021362A">
        <w:rPr>
          <w:b/>
          <w:sz w:val="24"/>
          <w:szCs w:val="24"/>
        </w:rPr>
        <w:t xml:space="preserve"> </w:t>
      </w:r>
      <w:r w:rsidRPr="0021362A">
        <w:rPr>
          <w:b/>
          <w:sz w:val="24"/>
          <w:szCs w:val="24"/>
        </w:rPr>
        <w:t xml:space="preserve">in data disaggregation to strengthen transparency and </w:t>
      </w:r>
      <w:r w:rsidR="00A673FC" w:rsidRPr="0021362A">
        <w:rPr>
          <w:b/>
          <w:sz w:val="24"/>
          <w:szCs w:val="24"/>
        </w:rPr>
        <w:t xml:space="preserve">informed </w:t>
      </w:r>
      <w:r w:rsidRPr="0021362A">
        <w:rPr>
          <w:b/>
          <w:sz w:val="24"/>
          <w:szCs w:val="24"/>
        </w:rPr>
        <w:t>investment</w:t>
      </w:r>
      <w:r w:rsidR="00DE3AF9" w:rsidRPr="0021362A">
        <w:rPr>
          <w:b/>
          <w:sz w:val="24"/>
          <w:szCs w:val="24"/>
        </w:rPr>
        <w:t>s</w:t>
      </w:r>
      <w:r w:rsidRPr="0021362A">
        <w:rPr>
          <w:b/>
          <w:sz w:val="24"/>
          <w:szCs w:val="24"/>
        </w:rPr>
        <w:t xml:space="preserve"> in </w:t>
      </w:r>
      <w:r w:rsidR="00A673FC" w:rsidRPr="0021362A">
        <w:rPr>
          <w:b/>
          <w:sz w:val="24"/>
          <w:szCs w:val="24"/>
        </w:rPr>
        <w:t xml:space="preserve">development and </w:t>
      </w:r>
      <w:r w:rsidRPr="0021362A">
        <w:rPr>
          <w:b/>
          <w:sz w:val="24"/>
          <w:szCs w:val="24"/>
        </w:rPr>
        <w:t xml:space="preserve">population groups living in vulnerability and marginalization. </w:t>
      </w:r>
    </w:p>
    <w:p w14:paraId="7083A37C" w14:textId="77777777" w:rsidR="00826F1B" w:rsidRPr="0021362A" w:rsidRDefault="00637CD5" w:rsidP="00346991">
      <w:pPr>
        <w:pStyle w:val="ListParagraph"/>
        <w:numPr>
          <w:ilvl w:val="0"/>
          <w:numId w:val="5"/>
        </w:numPr>
        <w:spacing w:line="240" w:lineRule="auto"/>
        <w:jc w:val="both"/>
        <w:rPr>
          <w:b/>
          <w:sz w:val="24"/>
          <w:szCs w:val="24"/>
        </w:rPr>
      </w:pPr>
      <w:r w:rsidRPr="0021362A">
        <w:rPr>
          <w:b/>
          <w:sz w:val="24"/>
          <w:szCs w:val="24"/>
        </w:rPr>
        <w:t>Strengthen</w:t>
      </w:r>
      <w:r w:rsidR="003E2053" w:rsidRPr="0021362A">
        <w:rPr>
          <w:b/>
          <w:sz w:val="24"/>
          <w:szCs w:val="24"/>
        </w:rPr>
        <w:t xml:space="preserve"> systematic</w:t>
      </w:r>
      <w:r w:rsidR="00826F1B" w:rsidRPr="0021362A">
        <w:rPr>
          <w:b/>
          <w:sz w:val="24"/>
          <w:szCs w:val="24"/>
        </w:rPr>
        <w:t xml:space="preserve"> participatio</w:t>
      </w:r>
      <w:r w:rsidR="003E2053" w:rsidRPr="0021362A">
        <w:rPr>
          <w:b/>
          <w:sz w:val="24"/>
          <w:szCs w:val="24"/>
        </w:rPr>
        <w:t>n and demand creation</w:t>
      </w:r>
      <w:r w:rsidR="00826F1B" w:rsidRPr="0021362A">
        <w:rPr>
          <w:b/>
          <w:sz w:val="24"/>
          <w:szCs w:val="24"/>
        </w:rPr>
        <w:t>: Governments should guarantee and facilitate active participation of all people, including through non-governmental actors, in the development, implementation, monitoring and evaluation of policies and programmes</w:t>
      </w:r>
      <w:r w:rsidR="00CA5F60" w:rsidRPr="0021362A">
        <w:rPr>
          <w:b/>
          <w:sz w:val="24"/>
          <w:szCs w:val="24"/>
        </w:rPr>
        <w:t>.</w:t>
      </w:r>
    </w:p>
    <w:p w14:paraId="0523BF5E" w14:textId="3348D66A" w:rsidR="00A77E5E" w:rsidRPr="0021362A" w:rsidRDefault="00A77E5E" w:rsidP="00346991">
      <w:pPr>
        <w:pStyle w:val="ListParagraph"/>
        <w:numPr>
          <w:ilvl w:val="0"/>
          <w:numId w:val="5"/>
        </w:numPr>
        <w:spacing w:line="240" w:lineRule="auto"/>
        <w:jc w:val="both"/>
        <w:rPr>
          <w:b/>
          <w:sz w:val="24"/>
          <w:szCs w:val="24"/>
        </w:rPr>
      </w:pPr>
      <w:r w:rsidRPr="0021362A">
        <w:rPr>
          <w:rFonts w:cs="Times New Roman"/>
          <w:b/>
          <w:sz w:val="24"/>
          <w:szCs w:val="24"/>
        </w:rPr>
        <w:t xml:space="preserve">Invest in building young people’s capabilities and equip them with the skills to meet the </w:t>
      </w:r>
      <w:proofErr w:type="spellStart"/>
      <w:r w:rsidRPr="0021362A">
        <w:rPr>
          <w:rFonts w:cs="Times New Roman"/>
          <w:b/>
          <w:sz w:val="24"/>
          <w:szCs w:val="24"/>
        </w:rPr>
        <w:t>labour</w:t>
      </w:r>
      <w:proofErr w:type="spellEnd"/>
      <w:r w:rsidRPr="0021362A">
        <w:rPr>
          <w:rFonts w:cs="Times New Roman"/>
          <w:b/>
          <w:sz w:val="24"/>
          <w:szCs w:val="24"/>
        </w:rPr>
        <w:t xml:space="preserve"> demands of the current and emerging economies, and develop </w:t>
      </w:r>
      <w:proofErr w:type="spellStart"/>
      <w:r w:rsidRPr="0021362A">
        <w:rPr>
          <w:rFonts w:cs="Times New Roman"/>
          <w:b/>
          <w:sz w:val="24"/>
          <w:szCs w:val="24"/>
        </w:rPr>
        <w:t>labour</w:t>
      </w:r>
      <w:proofErr w:type="spellEnd"/>
      <w:r w:rsidRPr="0021362A">
        <w:rPr>
          <w:rFonts w:cs="Times New Roman"/>
          <w:b/>
          <w:sz w:val="24"/>
          <w:szCs w:val="24"/>
        </w:rPr>
        <w:t xml:space="preserve"> protection policies and programmes that ensure employment which is safe, secure, </w:t>
      </w:r>
      <w:r w:rsidR="00D97211" w:rsidRPr="0021362A">
        <w:rPr>
          <w:rFonts w:cs="Times New Roman"/>
          <w:b/>
          <w:sz w:val="24"/>
          <w:szCs w:val="24"/>
        </w:rPr>
        <w:t>and non</w:t>
      </w:r>
      <w:r w:rsidRPr="0021362A">
        <w:rPr>
          <w:rFonts w:cs="Times New Roman"/>
          <w:b/>
          <w:sz w:val="24"/>
          <w:szCs w:val="24"/>
        </w:rPr>
        <w:t>-discriminatory</w:t>
      </w:r>
      <w:r w:rsidR="00260F64" w:rsidRPr="0021362A">
        <w:rPr>
          <w:rFonts w:cs="Times New Roman"/>
          <w:b/>
          <w:sz w:val="24"/>
          <w:szCs w:val="24"/>
        </w:rPr>
        <w:t>.</w:t>
      </w:r>
    </w:p>
    <w:p w14:paraId="47711B3E" w14:textId="77777777" w:rsidR="00260F64" w:rsidRPr="0021362A" w:rsidRDefault="00260F64" w:rsidP="00346991">
      <w:pPr>
        <w:pStyle w:val="ListParagraph"/>
        <w:numPr>
          <w:ilvl w:val="0"/>
          <w:numId w:val="5"/>
        </w:numPr>
        <w:spacing w:line="240" w:lineRule="auto"/>
        <w:jc w:val="both"/>
        <w:rPr>
          <w:b/>
          <w:sz w:val="24"/>
          <w:szCs w:val="24"/>
        </w:rPr>
      </w:pPr>
      <w:r w:rsidRPr="0021362A">
        <w:rPr>
          <w:rFonts w:cs="Times New Roman"/>
          <w:b/>
          <w:sz w:val="24"/>
          <w:szCs w:val="24"/>
        </w:rPr>
        <w:t xml:space="preserve">Ensure that migrants are able to realize fundamental human rights of liberty, security of person, freedom of belief and protection against forced </w:t>
      </w:r>
      <w:proofErr w:type="spellStart"/>
      <w:r w:rsidRPr="0021362A">
        <w:rPr>
          <w:rFonts w:cs="Times New Roman"/>
          <w:b/>
          <w:sz w:val="24"/>
          <w:szCs w:val="24"/>
        </w:rPr>
        <w:t>labour</w:t>
      </w:r>
      <w:proofErr w:type="spellEnd"/>
      <w:r w:rsidRPr="0021362A">
        <w:rPr>
          <w:rFonts w:cs="Times New Roman"/>
          <w:b/>
          <w:sz w:val="24"/>
          <w:szCs w:val="24"/>
        </w:rPr>
        <w:t xml:space="preserve"> and trafficking, and </w:t>
      </w:r>
      <w:r w:rsidRPr="0021362A">
        <w:rPr>
          <w:rFonts w:cs="Times New Roman"/>
          <w:b/>
          <w:sz w:val="24"/>
          <w:szCs w:val="24"/>
        </w:rPr>
        <w:lastRenderedPageBreak/>
        <w:t>full rights in the workplace, including equal pay for equal work and decent working conditions, as well as equal access to basic services</w:t>
      </w:r>
      <w:r w:rsidR="009B097C" w:rsidRPr="0021362A">
        <w:rPr>
          <w:rFonts w:cs="Times New Roman"/>
          <w:b/>
          <w:sz w:val="24"/>
          <w:szCs w:val="24"/>
        </w:rPr>
        <w:t>.</w:t>
      </w:r>
    </w:p>
    <w:p w14:paraId="592EE5CD" w14:textId="77777777" w:rsidR="009B097C" w:rsidRPr="0021362A" w:rsidRDefault="009B097C" w:rsidP="00346991">
      <w:pPr>
        <w:pStyle w:val="ListParagraph"/>
        <w:numPr>
          <w:ilvl w:val="0"/>
          <w:numId w:val="5"/>
        </w:numPr>
        <w:spacing w:line="240" w:lineRule="auto"/>
        <w:jc w:val="both"/>
        <w:rPr>
          <w:b/>
          <w:sz w:val="24"/>
          <w:szCs w:val="24"/>
        </w:rPr>
      </w:pPr>
      <w:r w:rsidRPr="0021362A">
        <w:rPr>
          <w:rFonts w:cs="Times New Roman"/>
          <w:b/>
          <w:sz w:val="24"/>
          <w:szCs w:val="24"/>
        </w:rPr>
        <w:t>Comprehensive measures are needed to ensure non-discrimination, equality, and the realization of human potential for all population groups.</w:t>
      </w:r>
    </w:p>
    <w:p w14:paraId="7732BFDD" w14:textId="77777777" w:rsidR="009B097C" w:rsidRPr="0021362A" w:rsidRDefault="009B097C" w:rsidP="00346991">
      <w:pPr>
        <w:pStyle w:val="ListParagraph"/>
        <w:numPr>
          <w:ilvl w:val="0"/>
          <w:numId w:val="5"/>
        </w:numPr>
        <w:spacing w:line="240" w:lineRule="auto"/>
        <w:jc w:val="both"/>
        <w:rPr>
          <w:b/>
          <w:sz w:val="24"/>
          <w:szCs w:val="24"/>
        </w:rPr>
      </w:pPr>
      <w:r w:rsidRPr="0021362A">
        <w:rPr>
          <w:rFonts w:cs="Times New Roman"/>
          <w:b/>
          <w:sz w:val="24"/>
          <w:szCs w:val="24"/>
        </w:rPr>
        <w:t>Undertake the necessary long-term investments in training, recruiting and rewarding health care workers to increase their numbers and strengthen their capacity, with a focus on ensuring that human resources are available to provide universal access to quality SRH services</w:t>
      </w:r>
      <w:r w:rsidR="008B6ACA" w:rsidRPr="0021362A">
        <w:rPr>
          <w:rFonts w:cs="Times New Roman"/>
          <w:b/>
          <w:sz w:val="24"/>
          <w:szCs w:val="24"/>
        </w:rPr>
        <w:t>.</w:t>
      </w:r>
    </w:p>
    <w:p w14:paraId="70F76BAE" w14:textId="77777777" w:rsidR="00EA1D52" w:rsidRPr="0021362A" w:rsidRDefault="00EA1D52" w:rsidP="00346991">
      <w:pPr>
        <w:pStyle w:val="ListParagraph"/>
        <w:spacing w:line="240" w:lineRule="auto"/>
        <w:jc w:val="both"/>
        <w:rPr>
          <w:b/>
          <w:i/>
          <w:sz w:val="24"/>
          <w:szCs w:val="24"/>
        </w:rPr>
      </w:pPr>
    </w:p>
    <w:p w14:paraId="5EEAEFB7" w14:textId="77777777" w:rsidR="00324CDA" w:rsidRPr="0021362A" w:rsidRDefault="00324CDA" w:rsidP="00346991">
      <w:pPr>
        <w:pStyle w:val="Heading2"/>
        <w:numPr>
          <w:ilvl w:val="0"/>
          <w:numId w:val="18"/>
        </w:numPr>
        <w:spacing w:line="240" w:lineRule="auto"/>
        <w:jc w:val="both"/>
        <w:rPr>
          <w:rFonts w:asciiTheme="minorHAnsi" w:hAnsiTheme="minorHAnsi"/>
          <w:sz w:val="24"/>
          <w:szCs w:val="24"/>
        </w:rPr>
      </w:pPr>
      <w:r w:rsidRPr="0021362A">
        <w:rPr>
          <w:rFonts w:asciiTheme="minorHAnsi" w:hAnsiTheme="minorHAnsi"/>
          <w:sz w:val="24"/>
          <w:szCs w:val="24"/>
        </w:rPr>
        <w:t xml:space="preserve"> Youth and the Demographic Dividend </w:t>
      </w:r>
    </w:p>
    <w:p w14:paraId="75FB22E8" w14:textId="77777777" w:rsidR="002E6550" w:rsidRPr="0021362A" w:rsidRDefault="002E6550" w:rsidP="00346991">
      <w:pPr>
        <w:spacing w:line="240" w:lineRule="auto"/>
        <w:jc w:val="both"/>
        <w:rPr>
          <w:sz w:val="24"/>
          <w:szCs w:val="24"/>
        </w:rPr>
      </w:pPr>
      <w:r w:rsidRPr="0021362A">
        <w:rPr>
          <w:sz w:val="24"/>
          <w:szCs w:val="24"/>
        </w:rPr>
        <w:t xml:space="preserve">The demographic dividend and its recognition in the Agenda 2030 Declaration </w:t>
      </w:r>
      <w:proofErr w:type="gramStart"/>
      <w:r w:rsidRPr="0021362A">
        <w:rPr>
          <w:sz w:val="24"/>
          <w:szCs w:val="24"/>
        </w:rPr>
        <w:t>underlines</w:t>
      </w:r>
      <w:proofErr w:type="gramEnd"/>
      <w:r w:rsidRPr="0021362A">
        <w:rPr>
          <w:sz w:val="24"/>
          <w:szCs w:val="24"/>
        </w:rPr>
        <w:t xml:space="preserve"> the importance of youth to a</w:t>
      </w:r>
      <w:r w:rsidR="00B96445" w:rsidRPr="0021362A">
        <w:rPr>
          <w:sz w:val="24"/>
          <w:szCs w:val="24"/>
        </w:rPr>
        <w:t>dvance</w:t>
      </w:r>
      <w:r w:rsidRPr="0021362A">
        <w:rPr>
          <w:sz w:val="24"/>
          <w:szCs w:val="24"/>
        </w:rPr>
        <w:t xml:space="preserve"> the </w:t>
      </w:r>
      <w:proofErr w:type="spellStart"/>
      <w:r w:rsidRPr="0021362A">
        <w:rPr>
          <w:sz w:val="24"/>
          <w:szCs w:val="24"/>
        </w:rPr>
        <w:t>RtoD</w:t>
      </w:r>
      <w:proofErr w:type="spellEnd"/>
      <w:r w:rsidRPr="0021362A">
        <w:rPr>
          <w:sz w:val="24"/>
          <w:szCs w:val="24"/>
        </w:rPr>
        <w:t>. Roughly one quarter of the world’s population is between 10 and 24 years old. The aspirations and achievements of these young people will shape the future. Never before have there been so many young p</w:t>
      </w:r>
      <w:r w:rsidR="004245E2" w:rsidRPr="0021362A">
        <w:rPr>
          <w:sz w:val="24"/>
          <w:szCs w:val="24"/>
        </w:rPr>
        <w:t>eople, n</w:t>
      </w:r>
      <w:r w:rsidRPr="0021362A">
        <w:rPr>
          <w:sz w:val="24"/>
          <w:szCs w:val="24"/>
        </w:rPr>
        <w:t>ever again is there likely to be such potential for progress.</w:t>
      </w:r>
    </w:p>
    <w:p w14:paraId="3E771FE8" w14:textId="77777777" w:rsidR="003B0544" w:rsidRPr="0021362A" w:rsidRDefault="003B0544" w:rsidP="00346991">
      <w:pPr>
        <w:spacing w:line="240" w:lineRule="auto"/>
        <w:jc w:val="both"/>
        <w:rPr>
          <w:sz w:val="24"/>
          <w:szCs w:val="24"/>
        </w:rPr>
      </w:pPr>
      <w:r w:rsidRPr="0021362A">
        <w:rPr>
          <w:sz w:val="24"/>
          <w:szCs w:val="24"/>
        </w:rPr>
        <w:t>Sustainable development cannot be achieved without assuring that all women and men, girls and b</w:t>
      </w:r>
      <w:r w:rsidR="004245E2" w:rsidRPr="0021362A">
        <w:rPr>
          <w:sz w:val="24"/>
          <w:szCs w:val="24"/>
        </w:rPr>
        <w:t>oys are able to exercise their human rights, which entails</w:t>
      </w:r>
      <w:r w:rsidRPr="0021362A">
        <w:rPr>
          <w:sz w:val="24"/>
          <w:szCs w:val="24"/>
        </w:rPr>
        <w:t xml:space="preserve"> expanding their capabilities,  enjoying access to reproductive health and rights, finding decent work, and contributing to sustainable growth. Defining the necessary policies and investments to secure that future, demands that governments have the capacity to know their demographic realities including </w:t>
      </w:r>
      <w:r w:rsidR="004245E2" w:rsidRPr="0021362A">
        <w:rPr>
          <w:sz w:val="24"/>
          <w:szCs w:val="24"/>
        </w:rPr>
        <w:t xml:space="preserve">disaggregated data on </w:t>
      </w:r>
      <w:r w:rsidRPr="0021362A">
        <w:rPr>
          <w:sz w:val="24"/>
          <w:szCs w:val="24"/>
        </w:rPr>
        <w:t xml:space="preserve">size, sex, location, and age structure of their present and future populations, so that they can tailor investments to ensure inclusive growth, and leave no one behind including those who are most disadvantaged and marginalized. </w:t>
      </w:r>
    </w:p>
    <w:p w14:paraId="7B0FEA68" w14:textId="77777777" w:rsidR="003B0544" w:rsidRPr="0021362A" w:rsidRDefault="003B0544" w:rsidP="00346991">
      <w:pPr>
        <w:spacing w:line="240" w:lineRule="auto"/>
        <w:jc w:val="both"/>
        <w:rPr>
          <w:sz w:val="24"/>
          <w:szCs w:val="24"/>
        </w:rPr>
      </w:pPr>
      <w:r w:rsidRPr="0021362A">
        <w:rPr>
          <w:sz w:val="24"/>
          <w:szCs w:val="24"/>
        </w:rPr>
        <w:t xml:space="preserve">Countries with the greatest </w:t>
      </w:r>
      <w:r w:rsidRPr="0021362A">
        <w:rPr>
          <w:b/>
          <w:i/>
          <w:sz w:val="24"/>
          <w:szCs w:val="24"/>
        </w:rPr>
        <w:t>demographic advantages for development</w:t>
      </w:r>
      <w:r w:rsidRPr="0021362A">
        <w:rPr>
          <w:sz w:val="24"/>
          <w:szCs w:val="24"/>
        </w:rPr>
        <w:t xml:space="preserve"> are those entering a period in which the working age population will have a low proportion of young dependents, and the benefits of good health, quality education and decent employment. The smaller number of children per household generally leads to larger investments per child, more freedom for women to enter the formal workforce, and more household savings for a secure old age. When this happens, the national economic payoff can be substantial, leading to a demographic dividend. </w:t>
      </w:r>
    </w:p>
    <w:p w14:paraId="2CA0A3E6" w14:textId="77777777" w:rsidR="008979E5" w:rsidRPr="0021362A" w:rsidRDefault="002E6550" w:rsidP="00346991">
      <w:pPr>
        <w:spacing w:line="240" w:lineRule="auto"/>
        <w:jc w:val="both"/>
        <w:rPr>
          <w:sz w:val="24"/>
          <w:szCs w:val="24"/>
        </w:rPr>
      </w:pPr>
      <w:r w:rsidRPr="0021362A">
        <w:rPr>
          <w:sz w:val="24"/>
          <w:szCs w:val="24"/>
        </w:rPr>
        <w:t>UNFPA works with partners, including civil society, communities and governments, to encourage policies that can help realize this dividend</w:t>
      </w:r>
      <w:r w:rsidR="004245E2" w:rsidRPr="0021362A">
        <w:rPr>
          <w:sz w:val="24"/>
          <w:szCs w:val="24"/>
        </w:rPr>
        <w:t>, respecting human rights and gender equality</w:t>
      </w:r>
      <w:r w:rsidRPr="0021362A">
        <w:rPr>
          <w:sz w:val="24"/>
          <w:szCs w:val="24"/>
        </w:rPr>
        <w:t xml:space="preserve">. Such policies include improving access to quality education and jobs, as well as investing in the health, particularly the sexual and reproductive health and rights of young people. </w:t>
      </w:r>
      <w:r w:rsidR="008979E5" w:rsidRPr="0021362A">
        <w:rPr>
          <w:sz w:val="24"/>
          <w:szCs w:val="24"/>
        </w:rPr>
        <w:t xml:space="preserve">Both </w:t>
      </w:r>
      <w:r w:rsidR="008979E5" w:rsidRPr="0021362A">
        <w:rPr>
          <w:b/>
          <w:i/>
          <w:sz w:val="24"/>
          <w:szCs w:val="24"/>
        </w:rPr>
        <w:t>public action and private investment</w:t>
      </w:r>
      <w:r w:rsidR="004245E2" w:rsidRPr="0021362A">
        <w:rPr>
          <w:sz w:val="24"/>
          <w:szCs w:val="24"/>
        </w:rPr>
        <w:t xml:space="preserve"> are critical to</w:t>
      </w:r>
      <w:r w:rsidR="008979E5" w:rsidRPr="0021362A">
        <w:rPr>
          <w:sz w:val="24"/>
          <w:szCs w:val="24"/>
        </w:rPr>
        <w:t xml:space="preserve"> guarantee the rights, freedoms, health, education,</w:t>
      </w:r>
      <w:r w:rsidR="004245E2" w:rsidRPr="0021362A">
        <w:rPr>
          <w:sz w:val="24"/>
          <w:szCs w:val="24"/>
        </w:rPr>
        <w:t xml:space="preserve"> and safe employment of people</w:t>
      </w:r>
      <w:r w:rsidR="008979E5" w:rsidRPr="0021362A">
        <w:rPr>
          <w:sz w:val="24"/>
          <w:szCs w:val="24"/>
        </w:rPr>
        <w:t xml:space="preserve"> and to create a climate for investment </w:t>
      </w:r>
      <w:r w:rsidR="004245E2" w:rsidRPr="0021362A">
        <w:rPr>
          <w:sz w:val="24"/>
          <w:szCs w:val="24"/>
        </w:rPr>
        <w:t xml:space="preserve">and </w:t>
      </w:r>
      <w:r w:rsidR="008979E5" w:rsidRPr="0021362A">
        <w:rPr>
          <w:sz w:val="24"/>
          <w:szCs w:val="24"/>
        </w:rPr>
        <w:t>build the needed bus</w:t>
      </w:r>
      <w:r w:rsidR="004245E2" w:rsidRPr="0021362A">
        <w:rPr>
          <w:sz w:val="24"/>
          <w:szCs w:val="24"/>
        </w:rPr>
        <w:t xml:space="preserve">inesses for well-paid jobs. </w:t>
      </w:r>
      <w:r w:rsidR="008979E5" w:rsidRPr="0021362A">
        <w:rPr>
          <w:sz w:val="24"/>
          <w:szCs w:val="24"/>
        </w:rPr>
        <w:t>Governments need to make the necessary investments to ensure the conditions that are critical for realizing the demographic dividend, such as:</w:t>
      </w:r>
    </w:p>
    <w:p w14:paraId="29BC7BCF" w14:textId="77777777" w:rsidR="008979E5" w:rsidRPr="0021362A" w:rsidRDefault="008979E5" w:rsidP="00346991">
      <w:pPr>
        <w:pStyle w:val="ListParagraph"/>
        <w:numPr>
          <w:ilvl w:val="0"/>
          <w:numId w:val="13"/>
        </w:numPr>
        <w:spacing w:line="240" w:lineRule="auto"/>
        <w:jc w:val="both"/>
        <w:rPr>
          <w:sz w:val="24"/>
          <w:szCs w:val="24"/>
        </w:rPr>
      </w:pPr>
      <w:r w:rsidRPr="0021362A">
        <w:rPr>
          <w:sz w:val="24"/>
          <w:szCs w:val="24"/>
        </w:rPr>
        <w:lastRenderedPageBreak/>
        <w:t xml:space="preserve">Rapid improvements in </w:t>
      </w:r>
      <w:r w:rsidR="004245E2" w:rsidRPr="0021362A">
        <w:rPr>
          <w:sz w:val="24"/>
          <w:szCs w:val="24"/>
        </w:rPr>
        <w:t xml:space="preserve">human rights-based </w:t>
      </w:r>
      <w:r w:rsidRPr="0021362A">
        <w:rPr>
          <w:sz w:val="24"/>
          <w:szCs w:val="24"/>
        </w:rPr>
        <w:t>health,</w:t>
      </w:r>
      <w:r w:rsidR="009669D9" w:rsidRPr="0021362A">
        <w:rPr>
          <w:sz w:val="24"/>
          <w:szCs w:val="24"/>
        </w:rPr>
        <w:t xml:space="preserve"> including sexual and reproductive health (voluntary </w:t>
      </w:r>
      <w:r w:rsidRPr="0021362A">
        <w:rPr>
          <w:sz w:val="24"/>
          <w:szCs w:val="24"/>
        </w:rPr>
        <w:t>family planning</w:t>
      </w:r>
      <w:r w:rsidR="009669D9" w:rsidRPr="0021362A">
        <w:rPr>
          <w:sz w:val="24"/>
          <w:szCs w:val="24"/>
        </w:rPr>
        <w:t xml:space="preserve">, maternal health, HIV prevention and treatment, etc. ) gender equality and the </w:t>
      </w:r>
      <w:r w:rsidRPr="0021362A">
        <w:rPr>
          <w:sz w:val="24"/>
          <w:szCs w:val="24"/>
        </w:rPr>
        <w:t>women’s empowerment;</w:t>
      </w:r>
    </w:p>
    <w:p w14:paraId="3EE67217" w14:textId="77777777" w:rsidR="008979E5" w:rsidRPr="0021362A" w:rsidRDefault="008979E5" w:rsidP="00346991">
      <w:pPr>
        <w:pStyle w:val="ListParagraph"/>
        <w:numPr>
          <w:ilvl w:val="0"/>
          <w:numId w:val="13"/>
        </w:numPr>
        <w:spacing w:line="240" w:lineRule="auto"/>
        <w:jc w:val="both"/>
        <w:rPr>
          <w:sz w:val="24"/>
          <w:szCs w:val="24"/>
        </w:rPr>
      </w:pPr>
      <w:r w:rsidRPr="0021362A">
        <w:rPr>
          <w:sz w:val="24"/>
          <w:szCs w:val="24"/>
        </w:rPr>
        <w:t>Widespread human capital investment for a healthy, well-edu</w:t>
      </w:r>
      <w:r w:rsidR="004245E2" w:rsidRPr="0021362A">
        <w:rPr>
          <w:sz w:val="24"/>
          <w:szCs w:val="24"/>
        </w:rPr>
        <w:t>cated and skilled workforce;</w:t>
      </w:r>
    </w:p>
    <w:p w14:paraId="29B3B78B" w14:textId="77777777" w:rsidR="002E6550" w:rsidRPr="0021362A" w:rsidRDefault="008979E5" w:rsidP="00346991">
      <w:pPr>
        <w:pStyle w:val="ListParagraph"/>
        <w:numPr>
          <w:ilvl w:val="0"/>
          <w:numId w:val="13"/>
        </w:numPr>
        <w:spacing w:line="240" w:lineRule="auto"/>
        <w:jc w:val="both"/>
        <w:rPr>
          <w:sz w:val="24"/>
          <w:szCs w:val="24"/>
        </w:rPr>
      </w:pPr>
      <w:r w:rsidRPr="0021362A">
        <w:rPr>
          <w:sz w:val="24"/>
          <w:szCs w:val="24"/>
        </w:rPr>
        <w:t xml:space="preserve">A business-friendly environment and the </w:t>
      </w:r>
      <w:r w:rsidR="004245E2" w:rsidRPr="0021362A">
        <w:rPr>
          <w:sz w:val="24"/>
          <w:szCs w:val="24"/>
        </w:rPr>
        <w:t xml:space="preserve">sustainable </w:t>
      </w:r>
      <w:r w:rsidRPr="0021362A">
        <w:rPr>
          <w:sz w:val="24"/>
          <w:szCs w:val="24"/>
        </w:rPr>
        <w:t xml:space="preserve">growth of formal </w:t>
      </w:r>
      <w:r w:rsidR="004245E2" w:rsidRPr="0021362A">
        <w:rPr>
          <w:sz w:val="24"/>
          <w:szCs w:val="24"/>
        </w:rPr>
        <w:t xml:space="preserve">and decent </w:t>
      </w:r>
      <w:r w:rsidRPr="0021362A">
        <w:rPr>
          <w:sz w:val="24"/>
          <w:szCs w:val="24"/>
        </w:rPr>
        <w:t>employment for both men and women</w:t>
      </w:r>
    </w:p>
    <w:p w14:paraId="6E952B81" w14:textId="77777777" w:rsidR="002E6550" w:rsidRPr="0021362A" w:rsidRDefault="002E6550" w:rsidP="00346991">
      <w:pPr>
        <w:spacing w:line="240" w:lineRule="auto"/>
        <w:jc w:val="both"/>
        <w:rPr>
          <w:b/>
          <w:sz w:val="24"/>
          <w:szCs w:val="24"/>
          <w:u w:val="single"/>
        </w:rPr>
      </w:pPr>
      <w:r w:rsidRPr="0021362A">
        <w:rPr>
          <w:b/>
          <w:sz w:val="24"/>
          <w:szCs w:val="24"/>
          <w:u w:val="single"/>
        </w:rPr>
        <w:t>As for the implementation of the Right to Development, the following standards should be met:</w:t>
      </w:r>
    </w:p>
    <w:p w14:paraId="6BB2F629" w14:textId="77777777" w:rsidR="008B6ACA" w:rsidRPr="0021362A" w:rsidRDefault="008B6ACA" w:rsidP="00346991">
      <w:pPr>
        <w:pStyle w:val="ListParagraph"/>
        <w:numPr>
          <w:ilvl w:val="0"/>
          <w:numId w:val="5"/>
        </w:numPr>
        <w:spacing w:line="240" w:lineRule="auto"/>
        <w:jc w:val="both"/>
        <w:rPr>
          <w:b/>
          <w:sz w:val="24"/>
          <w:szCs w:val="24"/>
        </w:rPr>
      </w:pPr>
      <w:r w:rsidRPr="0021362A">
        <w:rPr>
          <w:b/>
          <w:sz w:val="24"/>
          <w:szCs w:val="24"/>
          <w:lang w:val="en-GB"/>
        </w:rPr>
        <w:t xml:space="preserve">To implement policies to invest in the needs of adolescents and youth, to empower them with capabilities and provide them with opportunities, including empowerment, quality education, health and decent work, to realize their full potential as a way of harnessing the demographic dividend. </w:t>
      </w:r>
    </w:p>
    <w:p w14:paraId="4B9A7E4D" w14:textId="77777777" w:rsidR="00950CA8" w:rsidRPr="0021362A" w:rsidRDefault="00817388" w:rsidP="00346991">
      <w:pPr>
        <w:pStyle w:val="ListParagraph"/>
        <w:numPr>
          <w:ilvl w:val="0"/>
          <w:numId w:val="5"/>
        </w:numPr>
        <w:spacing w:line="240" w:lineRule="auto"/>
        <w:jc w:val="both"/>
        <w:rPr>
          <w:b/>
          <w:sz w:val="24"/>
          <w:szCs w:val="24"/>
        </w:rPr>
      </w:pPr>
      <w:r w:rsidRPr="0021362A">
        <w:rPr>
          <w:rFonts w:cs="Times New Roman"/>
          <w:b/>
          <w:sz w:val="24"/>
          <w:szCs w:val="24"/>
        </w:rPr>
        <w:t xml:space="preserve">Young people </w:t>
      </w:r>
      <w:r w:rsidR="004245E2" w:rsidRPr="0021362A">
        <w:rPr>
          <w:rFonts w:cs="Times New Roman"/>
          <w:b/>
          <w:sz w:val="24"/>
          <w:szCs w:val="24"/>
        </w:rPr>
        <w:t>should</w:t>
      </w:r>
      <w:r w:rsidRPr="0021362A">
        <w:rPr>
          <w:rFonts w:cs="Times New Roman"/>
          <w:b/>
          <w:sz w:val="24"/>
          <w:szCs w:val="24"/>
        </w:rPr>
        <w:t xml:space="preserve"> be at the </w:t>
      </w:r>
      <w:r w:rsidR="00582BEC" w:rsidRPr="0021362A">
        <w:rPr>
          <w:rFonts w:cs="Times New Roman"/>
          <w:b/>
          <w:sz w:val="24"/>
          <w:szCs w:val="24"/>
        </w:rPr>
        <w:t>center</w:t>
      </w:r>
      <w:r w:rsidRPr="0021362A">
        <w:rPr>
          <w:rFonts w:cs="Times New Roman"/>
          <w:b/>
          <w:sz w:val="24"/>
          <w:szCs w:val="24"/>
        </w:rPr>
        <w:t xml:space="preserve"> of development: </w:t>
      </w:r>
      <w:r w:rsidR="00950CA8" w:rsidRPr="0021362A">
        <w:rPr>
          <w:rFonts w:cs="Times New Roman"/>
          <w:b/>
          <w:sz w:val="24"/>
          <w:szCs w:val="24"/>
        </w:rPr>
        <w:t>States should invest in building young people’s capabilities and equip them with the skills to meet the labor demands of the current and emerging economies, and develop labor protection policies and programmes. Efforts must also include a focus on productive investment in technologies, machineries, infrastructure, and the sustainable use of natural resources to create employment opportunities for young people.</w:t>
      </w:r>
      <w:r w:rsidR="00950CA8" w:rsidRPr="0021362A">
        <w:rPr>
          <w:rStyle w:val="FootnoteReference"/>
          <w:rFonts w:cs="Times New Roman"/>
          <w:b/>
          <w:sz w:val="24"/>
          <w:szCs w:val="24"/>
        </w:rPr>
        <w:footnoteReference w:id="13"/>
      </w:r>
    </w:p>
    <w:p w14:paraId="00EC301C" w14:textId="77777777" w:rsidR="00BF00E9" w:rsidRPr="0021362A" w:rsidRDefault="00BF00E9" w:rsidP="00346991">
      <w:pPr>
        <w:pStyle w:val="ListParagraph"/>
        <w:numPr>
          <w:ilvl w:val="0"/>
          <w:numId w:val="5"/>
        </w:numPr>
        <w:spacing w:line="240" w:lineRule="auto"/>
        <w:jc w:val="both"/>
        <w:rPr>
          <w:b/>
          <w:sz w:val="24"/>
          <w:szCs w:val="24"/>
        </w:rPr>
      </w:pPr>
      <w:r w:rsidRPr="0021362A">
        <w:rPr>
          <w:rFonts w:cs="Times New Roman"/>
          <w:b/>
          <w:sz w:val="24"/>
          <w:szCs w:val="24"/>
        </w:rPr>
        <w:t>Develop, in partnership with young people and health care providers, policies, laws, and programmes that recognize, promote, and protect young peoples’ sexual and reproductive health and rights and lifelong health.</w:t>
      </w:r>
    </w:p>
    <w:p w14:paraId="7FFE575E" w14:textId="1B4CC5AA" w:rsidR="008979E5" w:rsidRPr="00346991" w:rsidRDefault="002D230A" w:rsidP="00346991">
      <w:pPr>
        <w:pStyle w:val="ListParagraph"/>
        <w:numPr>
          <w:ilvl w:val="0"/>
          <w:numId w:val="5"/>
        </w:numPr>
        <w:spacing w:line="240" w:lineRule="auto"/>
      </w:pPr>
      <w:r w:rsidRPr="0021362A">
        <w:rPr>
          <w:rFonts w:cs="Times New Roman"/>
          <w:b/>
          <w:sz w:val="24"/>
          <w:szCs w:val="24"/>
        </w:rPr>
        <w:t>In youth development, State</w:t>
      </w:r>
      <w:r w:rsidR="00444E19" w:rsidRPr="0021362A">
        <w:rPr>
          <w:rFonts w:cs="Times New Roman"/>
          <w:b/>
          <w:sz w:val="24"/>
          <w:szCs w:val="24"/>
        </w:rPr>
        <w:t>s</w:t>
      </w:r>
      <w:r w:rsidRPr="0021362A">
        <w:rPr>
          <w:rFonts w:cs="Times New Roman"/>
          <w:b/>
          <w:sz w:val="24"/>
          <w:szCs w:val="24"/>
        </w:rPr>
        <w:t xml:space="preserve"> must take into account disparities with regards to gender and invest accordingly in empowerment of young women and girls to observe equal access to development</w:t>
      </w:r>
      <w:r w:rsidR="008979E5" w:rsidRPr="0021362A">
        <w:rPr>
          <w:rFonts w:cs="Times New Roman"/>
          <w:b/>
          <w:sz w:val="24"/>
          <w:szCs w:val="24"/>
        </w:rPr>
        <w:t xml:space="preserve">. </w:t>
      </w:r>
      <w:r w:rsidR="008979E5" w:rsidRPr="0021362A">
        <w:rPr>
          <w:b/>
          <w:sz w:val="24"/>
          <w:szCs w:val="24"/>
        </w:rPr>
        <w:t xml:space="preserve">States should implement their commitments to promote and protect the rights of girls by enacting and implementing targeted and coordinated policies and programmes that concretely address: </w:t>
      </w:r>
      <w:r w:rsidR="00950CA8" w:rsidRPr="0021362A">
        <w:rPr>
          <w:b/>
          <w:sz w:val="24"/>
          <w:szCs w:val="24"/>
        </w:rPr>
        <w:br/>
      </w:r>
      <w:r w:rsidR="008979E5" w:rsidRPr="00346991">
        <w:rPr>
          <w:b/>
        </w:rPr>
        <w:t>(a)</w:t>
      </w:r>
      <w:r w:rsidR="00917973" w:rsidRPr="00346991">
        <w:rPr>
          <w:b/>
        </w:rPr>
        <w:t xml:space="preserve"> </w:t>
      </w:r>
      <w:r w:rsidR="008979E5" w:rsidRPr="00346991">
        <w:rPr>
          <w:b/>
        </w:rPr>
        <w:t xml:space="preserve">ensuring gender parity in access to school; </w:t>
      </w:r>
      <w:r w:rsidR="00950CA8" w:rsidRPr="00346991">
        <w:rPr>
          <w:b/>
        </w:rPr>
        <w:br/>
      </w:r>
      <w:r w:rsidR="008979E5" w:rsidRPr="00346991">
        <w:rPr>
          <w:b/>
        </w:rPr>
        <w:t xml:space="preserve">(b) providing comprehensive sexuality education; </w:t>
      </w:r>
      <w:r w:rsidR="00950CA8" w:rsidRPr="00346991">
        <w:rPr>
          <w:b/>
        </w:rPr>
        <w:br/>
      </w:r>
      <w:r w:rsidR="008979E5" w:rsidRPr="00346991">
        <w:rPr>
          <w:b/>
        </w:rPr>
        <w:t xml:space="preserve">(c) reducing adolescent pregnancy; </w:t>
      </w:r>
      <w:r w:rsidR="00950CA8" w:rsidRPr="00346991">
        <w:rPr>
          <w:b/>
        </w:rPr>
        <w:br/>
      </w:r>
      <w:r w:rsidR="008979E5" w:rsidRPr="00346991">
        <w:rPr>
          <w:b/>
        </w:rPr>
        <w:t xml:space="preserve">(d) enabling the reintegration of pregnant girls and young mothers into education at all levels, with a view to empowering the girl child and young women to achieve their fullest potential; and </w:t>
      </w:r>
      <w:r w:rsidR="00950CA8" w:rsidRPr="00346991">
        <w:rPr>
          <w:b/>
        </w:rPr>
        <w:br/>
      </w:r>
      <w:r w:rsidR="008979E5" w:rsidRPr="00346991">
        <w:rPr>
          <w:b/>
        </w:rPr>
        <w:t>(e) eliminating of harmful traditional practices such as child, early and forced marriage and female genital mutilation/cutting.</w:t>
      </w:r>
      <w:r w:rsidR="008979E5" w:rsidRPr="00346991">
        <w:rPr>
          <w:b/>
        </w:rPr>
        <w:footnoteReference w:id="14"/>
      </w:r>
    </w:p>
    <w:p w14:paraId="5B6AB000" w14:textId="77777777" w:rsidR="00950CA8" w:rsidRPr="0021362A" w:rsidRDefault="00950CA8" w:rsidP="00346991">
      <w:pPr>
        <w:spacing w:line="240" w:lineRule="auto"/>
        <w:rPr>
          <w:sz w:val="24"/>
          <w:szCs w:val="24"/>
        </w:rPr>
      </w:pPr>
    </w:p>
    <w:p w14:paraId="1BE48EFD" w14:textId="77777777" w:rsidR="00256ECC" w:rsidRPr="0021362A" w:rsidRDefault="00256ECC" w:rsidP="00346991">
      <w:pPr>
        <w:spacing w:line="240" w:lineRule="auto"/>
        <w:jc w:val="both"/>
        <w:rPr>
          <w:sz w:val="24"/>
          <w:szCs w:val="24"/>
        </w:rPr>
      </w:pPr>
      <w:bookmarkStart w:id="0" w:name="_GoBack"/>
      <w:bookmarkEnd w:id="0"/>
    </w:p>
    <w:p w14:paraId="2A4E32A3" w14:textId="77777777" w:rsidR="00256ECC" w:rsidRPr="0021362A" w:rsidRDefault="00256ECC" w:rsidP="00346991">
      <w:pPr>
        <w:spacing w:line="240" w:lineRule="auto"/>
        <w:jc w:val="both"/>
        <w:rPr>
          <w:sz w:val="24"/>
          <w:szCs w:val="24"/>
        </w:rPr>
      </w:pPr>
    </w:p>
    <w:p w14:paraId="4047D9B3" w14:textId="258847B6" w:rsidR="006019F3" w:rsidRPr="0021362A" w:rsidRDefault="006019F3" w:rsidP="00346991">
      <w:pPr>
        <w:spacing w:line="240" w:lineRule="auto"/>
        <w:jc w:val="both"/>
        <w:rPr>
          <w:sz w:val="24"/>
          <w:szCs w:val="24"/>
        </w:rPr>
      </w:pPr>
    </w:p>
    <w:sectPr w:rsidR="006019F3" w:rsidRPr="002136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2365A" w14:textId="77777777" w:rsidR="00573F57" w:rsidRDefault="00573F57" w:rsidP="00563169">
      <w:pPr>
        <w:spacing w:after="0" w:line="240" w:lineRule="auto"/>
      </w:pPr>
      <w:r>
        <w:separator/>
      </w:r>
    </w:p>
  </w:endnote>
  <w:endnote w:type="continuationSeparator" w:id="0">
    <w:p w14:paraId="6B9CEEE6" w14:textId="77777777" w:rsidR="00573F57" w:rsidRDefault="00573F57" w:rsidP="0056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51629" w14:textId="77777777" w:rsidR="00563169" w:rsidRDefault="00563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503224"/>
      <w:docPartObj>
        <w:docPartGallery w:val="Page Numbers (Bottom of Page)"/>
        <w:docPartUnique/>
      </w:docPartObj>
    </w:sdtPr>
    <w:sdtEndPr>
      <w:rPr>
        <w:noProof/>
      </w:rPr>
    </w:sdtEndPr>
    <w:sdtContent>
      <w:p w14:paraId="7CC09DAE" w14:textId="77777777" w:rsidR="00563169" w:rsidRDefault="00563169">
        <w:pPr>
          <w:pStyle w:val="Footer"/>
          <w:jc w:val="right"/>
        </w:pPr>
        <w:r>
          <w:fldChar w:fldCharType="begin"/>
        </w:r>
        <w:r>
          <w:instrText xml:space="preserve"> PAGE   \* MERGEFORMAT </w:instrText>
        </w:r>
        <w:r>
          <w:fldChar w:fldCharType="separate"/>
        </w:r>
        <w:r w:rsidR="009E1588">
          <w:rPr>
            <w:noProof/>
          </w:rPr>
          <w:t>6</w:t>
        </w:r>
        <w:r>
          <w:rPr>
            <w:noProof/>
          </w:rPr>
          <w:fldChar w:fldCharType="end"/>
        </w:r>
      </w:p>
    </w:sdtContent>
  </w:sdt>
  <w:p w14:paraId="046E141A" w14:textId="77777777" w:rsidR="00563169" w:rsidRDefault="00563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C547" w14:textId="77777777" w:rsidR="00563169" w:rsidRDefault="00563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803B6" w14:textId="77777777" w:rsidR="00573F57" w:rsidRDefault="00573F57" w:rsidP="00563169">
      <w:pPr>
        <w:spacing w:after="0" w:line="240" w:lineRule="auto"/>
      </w:pPr>
      <w:r>
        <w:separator/>
      </w:r>
    </w:p>
  </w:footnote>
  <w:footnote w:type="continuationSeparator" w:id="0">
    <w:p w14:paraId="02A9FB1D" w14:textId="77777777" w:rsidR="00573F57" w:rsidRDefault="00573F57" w:rsidP="00563169">
      <w:pPr>
        <w:spacing w:after="0" w:line="240" w:lineRule="auto"/>
      </w:pPr>
      <w:r>
        <w:continuationSeparator/>
      </w:r>
    </w:p>
  </w:footnote>
  <w:footnote w:id="1">
    <w:p w14:paraId="54F13DA3" w14:textId="77777777" w:rsidR="00692A8D" w:rsidRDefault="00692A8D">
      <w:pPr>
        <w:pStyle w:val="FootnoteText"/>
      </w:pPr>
      <w:r>
        <w:rPr>
          <w:rStyle w:val="FootnoteReference"/>
        </w:rPr>
        <w:footnoteRef/>
      </w:r>
      <w:r>
        <w:t xml:space="preserve"> UNFPA (2014): </w:t>
      </w:r>
      <w:r w:rsidRPr="00692A8D">
        <w:t>International Conference on Populati</w:t>
      </w:r>
      <w:r>
        <w:t xml:space="preserve">on and Development Programme of Action (1994), Twentieth anniversary edition, </w:t>
      </w:r>
      <w:r w:rsidRPr="00692A8D">
        <w:t>http://www.unfpa.org/publications/international-conference-population-and-development-programme-action</w:t>
      </w:r>
    </w:p>
  </w:footnote>
  <w:footnote w:id="2">
    <w:p w14:paraId="45D66F9B" w14:textId="6B47D443" w:rsidR="00692A8D" w:rsidRDefault="00692A8D">
      <w:pPr>
        <w:pStyle w:val="FootnoteText"/>
      </w:pPr>
      <w:r>
        <w:rPr>
          <w:rStyle w:val="FootnoteReference"/>
        </w:rPr>
        <w:footnoteRef/>
      </w:r>
      <w:r>
        <w:t xml:space="preserve"> UN (</w:t>
      </w:r>
      <w:r w:rsidR="009A135E">
        <w:t>A/69/62)(</w:t>
      </w:r>
      <w:r>
        <w:t xml:space="preserve">2014): </w:t>
      </w:r>
      <w:r w:rsidRPr="0052602A">
        <w:t>“Framework of Actions for the follow-up to the Pr</w:t>
      </w:r>
      <w:r>
        <w:t xml:space="preserve">ogramme of Action of the ICPD”,  </w:t>
      </w:r>
      <w:r w:rsidRPr="0052602A">
        <w:t>http://icpdbeyond2014.org/about/view/29-global-review-report</w:t>
      </w:r>
    </w:p>
  </w:footnote>
  <w:footnote w:id="3">
    <w:p w14:paraId="4E845B88" w14:textId="77777777" w:rsidR="00FC59CF" w:rsidRDefault="00FC59CF">
      <w:pPr>
        <w:pStyle w:val="FootnoteText"/>
      </w:pPr>
      <w:r>
        <w:rPr>
          <w:rStyle w:val="FootnoteReference"/>
        </w:rPr>
        <w:footnoteRef/>
      </w:r>
      <w:r>
        <w:t xml:space="preserve"> </w:t>
      </w:r>
      <w:r w:rsidRPr="00FC59CF">
        <w:t>UNSG (2014): "Framework of actions for the follow-up to the Programme of Action of the International Conference on Population and Development beyond 2014, R</w:t>
      </w:r>
      <w:r>
        <w:t xml:space="preserve">eport of the Secretary-General", </w:t>
      </w:r>
      <w:hyperlink r:id="rId1" w:history="1">
        <w:r w:rsidRPr="008765B1">
          <w:rPr>
            <w:rStyle w:val="Hyperlink"/>
          </w:rPr>
          <w:t>http://daccess-dds-ny.un.org/doc/UNDOC/GEN/N14/223/69/PDF/N1422369.pdf?OpenElement</w:t>
        </w:r>
      </w:hyperlink>
    </w:p>
    <w:p w14:paraId="46B86286" w14:textId="77777777" w:rsidR="00FC59CF" w:rsidRDefault="00FC59CF">
      <w:pPr>
        <w:pStyle w:val="FootnoteText"/>
      </w:pPr>
    </w:p>
  </w:footnote>
  <w:footnote w:id="4">
    <w:p w14:paraId="2AA87AA9" w14:textId="66FD0A46" w:rsidR="00F60652" w:rsidRDefault="00F60652">
      <w:pPr>
        <w:pStyle w:val="FootnoteText"/>
      </w:pPr>
      <w:r>
        <w:rPr>
          <w:rStyle w:val="FootnoteReference"/>
        </w:rPr>
        <w:footnoteRef/>
      </w:r>
      <w:r>
        <w:t xml:space="preserve"> </w:t>
      </w:r>
      <w:proofErr w:type="gramStart"/>
      <w:r w:rsidR="005338B7">
        <w:t xml:space="preserve">ICPD Framework </w:t>
      </w:r>
      <w:r w:rsidR="00756826">
        <w:t>of Action</w:t>
      </w:r>
      <w:r>
        <w:t>s, para 20, 21.</w:t>
      </w:r>
      <w:proofErr w:type="gramEnd"/>
      <w:r>
        <w:t xml:space="preserve"> </w:t>
      </w:r>
    </w:p>
  </w:footnote>
  <w:footnote w:id="5">
    <w:p w14:paraId="1C765FEB" w14:textId="10984F0E" w:rsidR="001315AF" w:rsidRDefault="001315AF">
      <w:pPr>
        <w:pStyle w:val="FootnoteText"/>
      </w:pPr>
      <w:r>
        <w:rPr>
          <w:rStyle w:val="FootnoteReference"/>
        </w:rPr>
        <w:footnoteRef/>
      </w:r>
      <w:r>
        <w:t xml:space="preserve"> ICPD Framework </w:t>
      </w:r>
      <w:r w:rsidR="00756826">
        <w:t>of Action</w:t>
      </w:r>
      <w:r>
        <w:t>s, para 755</w:t>
      </w:r>
    </w:p>
  </w:footnote>
  <w:footnote w:id="6">
    <w:p w14:paraId="044A6888" w14:textId="3A6C9673" w:rsidR="003D724E" w:rsidRDefault="003D724E">
      <w:pPr>
        <w:pStyle w:val="FootnoteText"/>
      </w:pPr>
      <w:r>
        <w:rPr>
          <w:rStyle w:val="FootnoteReference"/>
        </w:rPr>
        <w:footnoteRef/>
      </w:r>
      <w:r>
        <w:t xml:space="preserve"> For more information, please see UNFPA’s report on SRHR in the UPR’s first </w:t>
      </w:r>
      <w:r w:rsidR="00D97211">
        <w:t>cycle</w:t>
      </w:r>
      <w:r>
        <w:t>. UNFPA (201</w:t>
      </w:r>
      <w:r w:rsidR="006910E7">
        <w:t>4): “</w:t>
      </w:r>
      <w:r w:rsidR="006910E7" w:rsidRPr="006910E7">
        <w:t>From Commitment to Action on Sexual and Reproductive H</w:t>
      </w:r>
      <w:r w:rsidR="006910E7">
        <w:t xml:space="preserve">ealth and Rights”, </w:t>
      </w:r>
      <w:hyperlink r:id="rId2" w:history="1">
        <w:r w:rsidR="006910E7" w:rsidRPr="008765B1">
          <w:rPr>
            <w:rStyle w:val="Hyperlink"/>
          </w:rPr>
          <w:t>http://www.unfpa.org/publications/commitment-action-sexual-and-reproductive-health-and-rights</w:t>
        </w:r>
      </w:hyperlink>
    </w:p>
    <w:p w14:paraId="3598D8B0" w14:textId="77777777" w:rsidR="006910E7" w:rsidRDefault="006910E7">
      <w:pPr>
        <w:pStyle w:val="FootnoteText"/>
      </w:pPr>
    </w:p>
  </w:footnote>
  <w:footnote w:id="7">
    <w:p w14:paraId="43BDA304" w14:textId="0DE71B26" w:rsidR="00616CBE" w:rsidRDefault="00616CBE">
      <w:pPr>
        <w:pStyle w:val="FootnoteText"/>
      </w:pPr>
      <w:r>
        <w:rPr>
          <w:rStyle w:val="FootnoteReference"/>
        </w:rPr>
        <w:footnoteRef/>
      </w:r>
      <w:r>
        <w:t xml:space="preserve"> ICPD Framework </w:t>
      </w:r>
      <w:r w:rsidR="00756826">
        <w:t>of Action</w:t>
      </w:r>
      <w:r>
        <w:t>s, para 285</w:t>
      </w:r>
    </w:p>
  </w:footnote>
  <w:footnote w:id="8">
    <w:p w14:paraId="5D23AA71" w14:textId="5CFEBF1B" w:rsidR="00637CD5" w:rsidRDefault="00637CD5">
      <w:pPr>
        <w:pStyle w:val="FootnoteText"/>
      </w:pPr>
      <w:r>
        <w:rPr>
          <w:rStyle w:val="FootnoteReference"/>
        </w:rPr>
        <w:footnoteRef/>
      </w:r>
      <w:r>
        <w:t xml:space="preserve"> ICPD Framework </w:t>
      </w:r>
      <w:r w:rsidR="00756826">
        <w:t>of Action</w:t>
      </w:r>
      <w:r>
        <w:t>s, para 683</w:t>
      </w:r>
    </w:p>
  </w:footnote>
  <w:footnote w:id="9">
    <w:p w14:paraId="3C4E90A9" w14:textId="0EF9A42E" w:rsidR="00683417" w:rsidRDefault="00683417">
      <w:pPr>
        <w:pStyle w:val="FootnoteText"/>
      </w:pPr>
      <w:r>
        <w:rPr>
          <w:rStyle w:val="FootnoteReference"/>
        </w:rPr>
        <w:footnoteRef/>
      </w:r>
      <w:r>
        <w:t xml:space="preserve"> ICPD Framework </w:t>
      </w:r>
      <w:r w:rsidR="00756826">
        <w:t>of Action</w:t>
      </w:r>
      <w:r>
        <w:t>s, para 76</w:t>
      </w:r>
    </w:p>
  </w:footnote>
  <w:footnote w:id="10">
    <w:p w14:paraId="2D10748B" w14:textId="4792AB31" w:rsidR="00616CBE" w:rsidRDefault="00616CBE">
      <w:pPr>
        <w:pStyle w:val="FootnoteText"/>
      </w:pPr>
      <w:r>
        <w:rPr>
          <w:rStyle w:val="FootnoteReference"/>
        </w:rPr>
        <w:footnoteRef/>
      </w:r>
      <w:r>
        <w:t xml:space="preserve"> ICPD Framework </w:t>
      </w:r>
      <w:r w:rsidR="00756826">
        <w:t>of Action</w:t>
      </w:r>
      <w:r>
        <w:t>s, para 286</w:t>
      </w:r>
    </w:p>
  </w:footnote>
  <w:footnote w:id="11">
    <w:p w14:paraId="6B53C778" w14:textId="02B7D7C5" w:rsidR="001315AF" w:rsidRDefault="001315AF">
      <w:pPr>
        <w:pStyle w:val="FootnoteText"/>
      </w:pPr>
      <w:r>
        <w:rPr>
          <w:rStyle w:val="FootnoteReference"/>
        </w:rPr>
        <w:footnoteRef/>
      </w:r>
      <w:r>
        <w:t xml:space="preserve"> ICPD Framework </w:t>
      </w:r>
      <w:r w:rsidR="00756826">
        <w:t>of Action</w:t>
      </w:r>
      <w:r>
        <w:t>s, para 756</w:t>
      </w:r>
    </w:p>
  </w:footnote>
  <w:footnote w:id="12">
    <w:p w14:paraId="081831AC" w14:textId="77777777" w:rsidR="00BE0120" w:rsidRDefault="00BE0120">
      <w:pPr>
        <w:pStyle w:val="FootnoteText"/>
      </w:pPr>
      <w:r>
        <w:rPr>
          <w:rStyle w:val="FootnoteReference"/>
        </w:rPr>
        <w:footnoteRef/>
      </w:r>
      <w:r>
        <w:t xml:space="preserve"> </w:t>
      </w:r>
      <w:r w:rsidRPr="00BE0120">
        <w:t xml:space="preserve">In resolution 17/4 (2011), the Human Rights Council endorsed the </w:t>
      </w:r>
      <w:r w:rsidR="00046F49">
        <w:t>“</w:t>
      </w:r>
      <w:r w:rsidRPr="00BE0120">
        <w:t>Guiding Principles for Business and Human Rights: Implementing the United Nations “Protect, Respect and Remedy” Framework</w:t>
      </w:r>
      <w:r w:rsidR="00046F49">
        <w:t>”</w:t>
      </w:r>
      <w:r w:rsidRPr="00BE0120">
        <w:t>.</w:t>
      </w:r>
    </w:p>
  </w:footnote>
  <w:footnote w:id="13">
    <w:p w14:paraId="23363654" w14:textId="00085D0A" w:rsidR="00950CA8" w:rsidRDefault="00950CA8">
      <w:pPr>
        <w:pStyle w:val="FootnoteText"/>
      </w:pPr>
      <w:r>
        <w:rPr>
          <w:rStyle w:val="FootnoteReference"/>
        </w:rPr>
        <w:footnoteRef/>
      </w:r>
      <w:r>
        <w:t xml:space="preserve"> </w:t>
      </w:r>
      <w:r>
        <w:rPr>
          <w:rStyle w:val="FootnoteReference"/>
        </w:rPr>
        <w:footnoteRef/>
      </w:r>
      <w:r>
        <w:t xml:space="preserve"> ICPD Framework </w:t>
      </w:r>
      <w:r w:rsidR="00756826">
        <w:t>of Action</w:t>
      </w:r>
      <w:r>
        <w:t>s, para 194</w:t>
      </w:r>
    </w:p>
  </w:footnote>
  <w:footnote w:id="14">
    <w:p w14:paraId="71CEF9BF" w14:textId="22C31BCD" w:rsidR="008979E5" w:rsidRDefault="008979E5">
      <w:pPr>
        <w:pStyle w:val="FootnoteText"/>
      </w:pPr>
      <w:r>
        <w:rPr>
          <w:rStyle w:val="FootnoteReference"/>
        </w:rPr>
        <w:footnoteRef/>
      </w:r>
      <w:r>
        <w:t xml:space="preserve"> ICPD Framework </w:t>
      </w:r>
      <w:r w:rsidR="00756826">
        <w:t>of Action</w:t>
      </w:r>
      <w:r>
        <w:t>s, para 165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53FE" w14:textId="77777777" w:rsidR="00563169" w:rsidRDefault="00563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254F8" w14:textId="77777777" w:rsidR="00563169" w:rsidRDefault="00563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1343D" w14:textId="77777777" w:rsidR="00563169" w:rsidRDefault="00563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FB1"/>
    <w:multiLevelType w:val="hybridMultilevel"/>
    <w:tmpl w:val="D73A7370"/>
    <w:lvl w:ilvl="0" w:tplc="08C4958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E08B2"/>
    <w:multiLevelType w:val="multilevel"/>
    <w:tmpl w:val="A104C242"/>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61231F"/>
    <w:multiLevelType w:val="hybridMultilevel"/>
    <w:tmpl w:val="18606F62"/>
    <w:lvl w:ilvl="0" w:tplc="770809E2">
      <w:start w:val="2"/>
      <w:numFmt w:val="bullet"/>
      <w:lvlText w:val="-"/>
      <w:lvlJc w:val="left"/>
      <w:pPr>
        <w:ind w:left="360" w:hanging="360"/>
      </w:pPr>
      <w:rPr>
        <w:rFonts w:ascii="Calibri" w:eastAsiaTheme="minorHAnsi" w:hAnsi="Calibri" w:cstheme="minorBidi" w:hint="default"/>
      </w:rPr>
    </w:lvl>
    <w:lvl w:ilvl="1" w:tplc="08C4958E">
      <w:start w:val="2"/>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6B1399"/>
    <w:multiLevelType w:val="hybridMultilevel"/>
    <w:tmpl w:val="BF52466A"/>
    <w:lvl w:ilvl="0" w:tplc="B9C8A37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01482"/>
    <w:multiLevelType w:val="multilevel"/>
    <w:tmpl w:val="F186619A"/>
    <w:lvl w:ilvl="0">
      <w:numFmt w:val="bullet"/>
      <w:lvlText w:val="•"/>
      <w:lvlJc w:val="left"/>
      <w:pPr>
        <w:tabs>
          <w:tab w:val="num" w:pos="1440"/>
        </w:tabs>
        <w:ind w:left="1440" w:hanging="360"/>
      </w:pPr>
      <w:rPr>
        <w:position w:val="0"/>
        <w:sz w:val="22"/>
        <w:szCs w:val="22"/>
        <w:rtl w:val="0"/>
      </w:rPr>
    </w:lvl>
    <w:lvl w:ilvl="1">
      <w:start w:val="1"/>
      <w:numFmt w:val="bullet"/>
      <w:lvlText w:val="o"/>
      <w:lvlJc w:val="left"/>
      <w:pPr>
        <w:tabs>
          <w:tab w:val="num" w:pos="2280"/>
        </w:tabs>
        <w:ind w:left="2280" w:hanging="480"/>
      </w:pPr>
      <w:rPr>
        <w:position w:val="0"/>
        <w:sz w:val="32"/>
        <w:szCs w:val="32"/>
        <w:rtl w:val="0"/>
      </w:rPr>
    </w:lvl>
    <w:lvl w:ilvl="2">
      <w:start w:val="1"/>
      <w:numFmt w:val="bullet"/>
      <w:lvlText w:val="▪"/>
      <w:lvlJc w:val="left"/>
      <w:pPr>
        <w:tabs>
          <w:tab w:val="num" w:pos="3000"/>
        </w:tabs>
        <w:ind w:left="3000" w:hanging="480"/>
      </w:pPr>
      <w:rPr>
        <w:position w:val="0"/>
        <w:sz w:val="32"/>
        <w:szCs w:val="32"/>
        <w:rtl w:val="0"/>
      </w:rPr>
    </w:lvl>
    <w:lvl w:ilvl="3">
      <w:start w:val="1"/>
      <w:numFmt w:val="bullet"/>
      <w:lvlText w:val="•"/>
      <w:lvlJc w:val="left"/>
      <w:pPr>
        <w:tabs>
          <w:tab w:val="num" w:pos="3720"/>
        </w:tabs>
        <w:ind w:left="3720" w:hanging="480"/>
      </w:pPr>
      <w:rPr>
        <w:position w:val="0"/>
        <w:sz w:val="32"/>
        <w:szCs w:val="32"/>
        <w:rtl w:val="0"/>
      </w:rPr>
    </w:lvl>
    <w:lvl w:ilvl="4">
      <w:start w:val="1"/>
      <w:numFmt w:val="bullet"/>
      <w:lvlText w:val="o"/>
      <w:lvlJc w:val="left"/>
      <w:pPr>
        <w:tabs>
          <w:tab w:val="num" w:pos="4440"/>
        </w:tabs>
        <w:ind w:left="4440" w:hanging="480"/>
      </w:pPr>
      <w:rPr>
        <w:position w:val="0"/>
        <w:sz w:val="32"/>
        <w:szCs w:val="32"/>
        <w:rtl w:val="0"/>
      </w:rPr>
    </w:lvl>
    <w:lvl w:ilvl="5">
      <w:start w:val="1"/>
      <w:numFmt w:val="bullet"/>
      <w:lvlText w:val="▪"/>
      <w:lvlJc w:val="left"/>
      <w:pPr>
        <w:tabs>
          <w:tab w:val="num" w:pos="5160"/>
        </w:tabs>
        <w:ind w:left="5160" w:hanging="480"/>
      </w:pPr>
      <w:rPr>
        <w:position w:val="0"/>
        <w:sz w:val="32"/>
        <w:szCs w:val="32"/>
        <w:rtl w:val="0"/>
      </w:rPr>
    </w:lvl>
    <w:lvl w:ilvl="6">
      <w:start w:val="1"/>
      <w:numFmt w:val="bullet"/>
      <w:lvlText w:val="•"/>
      <w:lvlJc w:val="left"/>
      <w:pPr>
        <w:tabs>
          <w:tab w:val="num" w:pos="5880"/>
        </w:tabs>
        <w:ind w:left="5880" w:hanging="480"/>
      </w:pPr>
      <w:rPr>
        <w:position w:val="0"/>
        <w:sz w:val="32"/>
        <w:szCs w:val="32"/>
        <w:rtl w:val="0"/>
      </w:rPr>
    </w:lvl>
    <w:lvl w:ilvl="7">
      <w:start w:val="1"/>
      <w:numFmt w:val="bullet"/>
      <w:lvlText w:val="o"/>
      <w:lvlJc w:val="left"/>
      <w:pPr>
        <w:tabs>
          <w:tab w:val="num" w:pos="6600"/>
        </w:tabs>
        <w:ind w:left="6600" w:hanging="480"/>
      </w:pPr>
      <w:rPr>
        <w:position w:val="0"/>
        <w:sz w:val="32"/>
        <w:szCs w:val="32"/>
        <w:rtl w:val="0"/>
      </w:rPr>
    </w:lvl>
    <w:lvl w:ilvl="8">
      <w:start w:val="1"/>
      <w:numFmt w:val="bullet"/>
      <w:lvlText w:val="▪"/>
      <w:lvlJc w:val="left"/>
      <w:pPr>
        <w:tabs>
          <w:tab w:val="num" w:pos="7320"/>
        </w:tabs>
        <w:ind w:left="7320" w:hanging="480"/>
      </w:pPr>
      <w:rPr>
        <w:position w:val="0"/>
        <w:sz w:val="32"/>
        <w:szCs w:val="32"/>
        <w:rtl w:val="0"/>
      </w:rPr>
    </w:lvl>
  </w:abstractNum>
  <w:abstractNum w:abstractNumId="5">
    <w:nsid w:val="40B36502"/>
    <w:multiLevelType w:val="hybridMultilevel"/>
    <w:tmpl w:val="A3826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73A03"/>
    <w:multiLevelType w:val="multilevel"/>
    <w:tmpl w:val="767C1316"/>
    <w:lvl w:ilvl="0">
      <w:numFmt w:val="bullet"/>
      <w:lvlText w:val="•"/>
      <w:lvlJc w:val="left"/>
      <w:pPr>
        <w:tabs>
          <w:tab w:val="num" w:pos="1440"/>
        </w:tabs>
        <w:ind w:left="1440" w:hanging="360"/>
      </w:pPr>
      <w:rPr>
        <w:position w:val="0"/>
        <w:sz w:val="22"/>
        <w:szCs w:val="22"/>
        <w:rtl w:val="0"/>
      </w:rPr>
    </w:lvl>
    <w:lvl w:ilvl="1">
      <w:start w:val="1"/>
      <w:numFmt w:val="bullet"/>
      <w:lvlText w:val="o"/>
      <w:lvlJc w:val="left"/>
      <w:pPr>
        <w:tabs>
          <w:tab w:val="num" w:pos="2280"/>
        </w:tabs>
        <w:ind w:left="2280" w:hanging="480"/>
      </w:pPr>
      <w:rPr>
        <w:position w:val="0"/>
        <w:sz w:val="32"/>
        <w:szCs w:val="32"/>
        <w:rtl w:val="0"/>
      </w:rPr>
    </w:lvl>
    <w:lvl w:ilvl="2">
      <w:start w:val="1"/>
      <w:numFmt w:val="bullet"/>
      <w:lvlText w:val="▪"/>
      <w:lvlJc w:val="left"/>
      <w:pPr>
        <w:tabs>
          <w:tab w:val="num" w:pos="3000"/>
        </w:tabs>
        <w:ind w:left="3000" w:hanging="480"/>
      </w:pPr>
      <w:rPr>
        <w:position w:val="0"/>
        <w:sz w:val="32"/>
        <w:szCs w:val="32"/>
        <w:rtl w:val="0"/>
      </w:rPr>
    </w:lvl>
    <w:lvl w:ilvl="3">
      <w:start w:val="1"/>
      <w:numFmt w:val="bullet"/>
      <w:lvlText w:val="•"/>
      <w:lvlJc w:val="left"/>
      <w:pPr>
        <w:tabs>
          <w:tab w:val="num" w:pos="3720"/>
        </w:tabs>
        <w:ind w:left="3720" w:hanging="480"/>
      </w:pPr>
      <w:rPr>
        <w:position w:val="0"/>
        <w:sz w:val="32"/>
        <w:szCs w:val="32"/>
        <w:rtl w:val="0"/>
      </w:rPr>
    </w:lvl>
    <w:lvl w:ilvl="4">
      <w:start w:val="1"/>
      <w:numFmt w:val="bullet"/>
      <w:lvlText w:val="o"/>
      <w:lvlJc w:val="left"/>
      <w:pPr>
        <w:tabs>
          <w:tab w:val="num" w:pos="4440"/>
        </w:tabs>
        <w:ind w:left="4440" w:hanging="480"/>
      </w:pPr>
      <w:rPr>
        <w:position w:val="0"/>
        <w:sz w:val="32"/>
        <w:szCs w:val="32"/>
        <w:rtl w:val="0"/>
      </w:rPr>
    </w:lvl>
    <w:lvl w:ilvl="5">
      <w:start w:val="1"/>
      <w:numFmt w:val="bullet"/>
      <w:lvlText w:val="▪"/>
      <w:lvlJc w:val="left"/>
      <w:pPr>
        <w:tabs>
          <w:tab w:val="num" w:pos="5160"/>
        </w:tabs>
        <w:ind w:left="5160" w:hanging="480"/>
      </w:pPr>
      <w:rPr>
        <w:position w:val="0"/>
        <w:sz w:val="32"/>
        <w:szCs w:val="32"/>
        <w:rtl w:val="0"/>
      </w:rPr>
    </w:lvl>
    <w:lvl w:ilvl="6">
      <w:start w:val="1"/>
      <w:numFmt w:val="bullet"/>
      <w:lvlText w:val="•"/>
      <w:lvlJc w:val="left"/>
      <w:pPr>
        <w:tabs>
          <w:tab w:val="num" w:pos="5880"/>
        </w:tabs>
        <w:ind w:left="5880" w:hanging="480"/>
      </w:pPr>
      <w:rPr>
        <w:position w:val="0"/>
        <w:sz w:val="32"/>
        <w:szCs w:val="32"/>
        <w:rtl w:val="0"/>
      </w:rPr>
    </w:lvl>
    <w:lvl w:ilvl="7">
      <w:start w:val="1"/>
      <w:numFmt w:val="bullet"/>
      <w:lvlText w:val="o"/>
      <w:lvlJc w:val="left"/>
      <w:pPr>
        <w:tabs>
          <w:tab w:val="num" w:pos="6600"/>
        </w:tabs>
        <w:ind w:left="6600" w:hanging="480"/>
      </w:pPr>
      <w:rPr>
        <w:position w:val="0"/>
        <w:sz w:val="32"/>
        <w:szCs w:val="32"/>
        <w:rtl w:val="0"/>
      </w:rPr>
    </w:lvl>
    <w:lvl w:ilvl="8">
      <w:start w:val="1"/>
      <w:numFmt w:val="bullet"/>
      <w:lvlText w:val="▪"/>
      <w:lvlJc w:val="left"/>
      <w:pPr>
        <w:tabs>
          <w:tab w:val="num" w:pos="7320"/>
        </w:tabs>
        <w:ind w:left="7320" w:hanging="480"/>
      </w:pPr>
      <w:rPr>
        <w:position w:val="0"/>
        <w:sz w:val="32"/>
        <w:szCs w:val="32"/>
        <w:rtl w:val="0"/>
      </w:rPr>
    </w:lvl>
  </w:abstractNum>
  <w:abstractNum w:abstractNumId="7">
    <w:nsid w:val="588F2ED7"/>
    <w:multiLevelType w:val="multilevel"/>
    <w:tmpl w:val="FF924A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95A13F8"/>
    <w:multiLevelType w:val="hybridMultilevel"/>
    <w:tmpl w:val="EB5A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61490"/>
    <w:multiLevelType w:val="multilevel"/>
    <w:tmpl w:val="FF924A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3E63E41"/>
    <w:multiLevelType w:val="hybridMultilevel"/>
    <w:tmpl w:val="ED44F834"/>
    <w:lvl w:ilvl="0" w:tplc="08C4958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D5A14"/>
    <w:multiLevelType w:val="multilevel"/>
    <w:tmpl w:val="06CAD206"/>
    <w:styleLink w:val="List1"/>
    <w:lvl w:ilvl="0">
      <w:numFmt w:val="bullet"/>
      <w:lvlText w:val="•"/>
      <w:lvlJc w:val="left"/>
      <w:pPr>
        <w:tabs>
          <w:tab w:val="num" w:pos="1440"/>
        </w:tabs>
        <w:ind w:left="1440" w:hanging="360"/>
      </w:pPr>
      <w:rPr>
        <w:position w:val="0"/>
        <w:sz w:val="22"/>
        <w:szCs w:val="22"/>
        <w:rtl w:val="0"/>
      </w:rPr>
    </w:lvl>
    <w:lvl w:ilvl="1">
      <w:start w:val="1"/>
      <w:numFmt w:val="bullet"/>
      <w:lvlText w:val="o"/>
      <w:lvlJc w:val="left"/>
      <w:pPr>
        <w:tabs>
          <w:tab w:val="num" w:pos="2280"/>
        </w:tabs>
        <w:ind w:left="2280" w:hanging="480"/>
      </w:pPr>
      <w:rPr>
        <w:position w:val="0"/>
        <w:sz w:val="32"/>
        <w:szCs w:val="32"/>
        <w:rtl w:val="0"/>
      </w:rPr>
    </w:lvl>
    <w:lvl w:ilvl="2">
      <w:start w:val="1"/>
      <w:numFmt w:val="bullet"/>
      <w:lvlText w:val="▪"/>
      <w:lvlJc w:val="left"/>
      <w:pPr>
        <w:tabs>
          <w:tab w:val="num" w:pos="3000"/>
        </w:tabs>
        <w:ind w:left="3000" w:hanging="480"/>
      </w:pPr>
      <w:rPr>
        <w:position w:val="0"/>
        <w:sz w:val="32"/>
        <w:szCs w:val="32"/>
        <w:rtl w:val="0"/>
      </w:rPr>
    </w:lvl>
    <w:lvl w:ilvl="3">
      <w:start w:val="1"/>
      <w:numFmt w:val="bullet"/>
      <w:lvlText w:val="•"/>
      <w:lvlJc w:val="left"/>
      <w:pPr>
        <w:tabs>
          <w:tab w:val="num" w:pos="3720"/>
        </w:tabs>
        <w:ind w:left="3720" w:hanging="480"/>
      </w:pPr>
      <w:rPr>
        <w:position w:val="0"/>
        <w:sz w:val="32"/>
        <w:szCs w:val="32"/>
        <w:rtl w:val="0"/>
      </w:rPr>
    </w:lvl>
    <w:lvl w:ilvl="4">
      <w:start w:val="1"/>
      <w:numFmt w:val="bullet"/>
      <w:lvlText w:val="o"/>
      <w:lvlJc w:val="left"/>
      <w:pPr>
        <w:tabs>
          <w:tab w:val="num" w:pos="4440"/>
        </w:tabs>
        <w:ind w:left="4440" w:hanging="480"/>
      </w:pPr>
      <w:rPr>
        <w:position w:val="0"/>
        <w:sz w:val="32"/>
        <w:szCs w:val="32"/>
        <w:rtl w:val="0"/>
      </w:rPr>
    </w:lvl>
    <w:lvl w:ilvl="5">
      <w:start w:val="1"/>
      <w:numFmt w:val="bullet"/>
      <w:lvlText w:val="▪"/>
      <w:lvlJc w:val="left"/>
      <w:pPr>
        <w:tabs>
          <w:tab w:val="num" w:pos="5160"/>
        </w:tabs>
        <w:ind w:left="5160" w:hanging="480"/>
      </w:pPr>
      <w:rPr>
        <w:position w:val="0"/>
        <w:sz w:val="32"/>
        <w:szCs w:val="32"/>
        <w:rtl w:val="0"/>
      </w:rPr>
    </w:lvl>
    <w:lvl w:ilvl="6">
      <w:start w:val="1"/>
      <w:numFmt w:val="bullet"/>
      <w:lvlText w:val="•"/>
      <w:lvlJc w:val="left"/>
      <w:pPr>
        <w:tabs>
          <w:tab w:val="num" w:pos="5880"/>
        </w:tabs>
        <w:ind w:left="5880" w:hanging="480"/>
      </w:pPr>
      <w:rPr>
        <w:position w:val="0"/>
        <w:sz w:val="32"/>
        <w:szCs w:val="32"/>
        <w:rtl w:val="0"/>
      </w:rPr>
    </w:lvl>
    <w:lvl w:ilvl="7">
      <w:start w:val="1"/>
      <w:numFmt w:val="bullet"/>
      <w:lvlText w:val="o"/>
      <w:lvlJc w:val="left"/>
      <w:pPr>
        <w:tabs>
          <w:tab w:val="num" w:pos="6600"/>
        </w:tabs>
        <w:ind w:left="6600" w:hanging="480"/>
      </w:pPr>
      <w:rPr>
        <w:position w:val="0"/>
        <w:sz w:val="32"/>
        <w:szCs w:val="32"/>
        <w:rtl w:val="0"/>
      </w:rPr>
    </w:lvl>
    <w:lvl w:ilvl="8">
      <w:start w:val="1"/>
      <w:numFmt w:val="bullet"/>
      <w:lvlText w:val="▪"/>
      <w:lvlJc w:val="left"/>
      <w:pPr>
        <w:tabs>
          <w:tab w:val="num" w:pos="7320"/>
        </w:tabs>
        <w:ind w:left="7320" w:hanging="480"/>
      </w:pPr>
      <w:rPr>
        <w:position w:val="0"/>
        <w:sz w:val="32"/>
        <w:szCs w:val="32"/>
        <w:rtl w:val="0"/>
      </w:rPr>
    </w:lvl>
  </w:abstractNum>
  <w:abstractNum w:abstractNumId="12">
    <w:nsid w:val="798A69DC"/>
    <w:multiLevelType w:val="hybridMultilevel"/>
    <w:tmpl w:val="BEA698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1062C5"/>
    <w:multiLevelType w:val="hybridMultilevel"/>
    <w:tmpl w:val="A4C6BB72"/>
    <w:lvl w:ilvl="0" w:tplc="770809E2">
      <w:start w:val="2"/>
      <w:numFmt w:val="bullet"/>
      <w:lvlText w:val="-"/>
      <w:lvlJc w:val="left"/>
      <w:pPr>
        <w:ind w:left="720" w:hanging="360"/>
      </w:pPr>
      <w:rPr>
        <w:rFonts w:ascii="Calibri" w:eastAsiaTheme="minorHAnsi" w:hAnsi="Calibri" w:cstheme="minorBidi" w:hint="default"/>
      </w:rPr>
    </w:lvl>
    <w:lvl w:ilvl="1" w:tplc="776248F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A75634"/>
    <w:multiLevelType w:val="hybridMultilevel"/>
    <w:tmpl w:val="6B340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2D5F84"/>
    <w:multiLevelType w:val="hybridMultilevel"/>
    <w:tmpl w:val="F44830B0"/>
    <w:lvl w:ilvl="0" w:tplc="4E44E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4291F"/>
    <w:multiLevelType w:val="multilevel"/>
    <w:tmpl w:val="EFBE1292"/>
    <w:styleLink w:val="List0"/>
    <w:lvl w:ilvl="0">
      <w:start w:val="1"/>
      <w:numFmt w:val="decimal"/>
      <w:lvlText w:val="%1."/>
      <w:lvlJc w:val="left"/>
      <w:pPr>
        <w:tabs>
          <w:tab w:val="num" w:pos="720"/>
        </w:tabs>
        <w:ind w:left="720" w:hanging="360"/>
      </w:pPr>
      <w:rPr>
        <w:position w:val="0"/>
        <w:sz w:val="32"/>
        <w:szCs w:val="32"/>
        <w:rtl w:val="0"/>
      </w:rPr>
    </w:lvl>
    <w:lvl w:ilvl="1">
      <w:start w:val="1"/>
      <w:numFmt w:val="lowerLetter"/>
      <w:lvlText w:val="%2."/>
      <w:lvlJc w:val="left"/>
      <w:pPr>
        <w:tabs>
          <w:tab w:val="num" w:pos="1560"/>
        </w:tabs>
        <w:ind w:left="1560" w:hanging="480"/>
      </w:pPr>
      <w:rPr>
        <w:position w:val="0"/>
        <w:sz w:val="32"/>
        <w:szCs w:val="32"/>
        <w:rtl w:val="0"/>
      </w:rPr>
    </w:lvl>
    <w:lvl w:ilvl="2">
      <w:start w:val="1"/>
      <w:numFmt w:val="lowerRoman"/>
      <w:lvlText w:val="%3."/>
      <w:lvlJc w:val="left"/>
      <w:pPr>
        <w:tabs>
          <w:tab w:val="num" w:pos="2259"/>
        </w:tabs>
        <w:ind w:left="2259" w:hanging="395"/>
      </w:pPr>
      <w:rPr>
        <w:position w:val="0"/>
        <w:sz w:val="32"/>
        <w:szCs w:val="32"/>
        <w:rtl w:val="0"/>
      </w:rPr>
    </w:lvl>
    <w:lvl w:ilvl="3">
      <w:start w:val="1"/>
      <w:numFmt w:val="decimal"/>
      <w:lvlText w:val="%4."/>
      <w:lvlJc w:val="left"/>
      <w:pPr>
        <w:tabs>
          <w:tab w:val="num" w:pos="3000"/>
        </w:tabs>
        <w:ind w:left="3000" w:hanging="480"/>
      </w:pPr>
      <w:rPr>
        <w:position w:val="0"/>
        <w:sz w:val="32"/>
        <w:szCs w:val="32"/>
        <w:rtl w:val="0"/>
      </w:rPr>
    </w:lvl>
    <w:lvl w:ilvl="4">
      <w:start w:val="1"/>
      <w:numFmt w:val="lowerLetter"/>
      <w:lvlText w:val="%5."/>
      <w:lvlJc w:val="left"/>
      <w:pPr>
        <w:tabs>
          <w:tab w:val="num" w:pos="3720"/>
        </w:tabs>
        <w:ind w:left="3720" w:hanging="480"/>
      </w:pPr>
      <w:rPr>
        <w:position w:val="0"/>
        <w:sz w:val="32"/>
        <w:szCs w:val="32"/>
        <w:rtl w:val="0"/>
      </w:rPr>
    </w:lvl>
    <w:lvl w:ilvl="5">
      <w:start w:val="1"/>
      <w:numFmt w:val="lowerRoman"/>
      <w:lvlText w:val="%6."/>
      <w:lvlJc w:val="left"/>
      <w:pPr>
        <w:tabs>
          <w:tab w:val="num" w:pos="4419"/>
        </w:tabs>
        <w:ind w:left="4419" w:hanging="395"/>
      </w:pPr>
      <w:rPr>
        <w:position w:val="0"/>
        <w:sz w:val="32"/>
        <w:szCs w:val="32"/>
        <w:rtl w:val="0"/>
      </w:rPr>
    </w:lvl>
    <w:lvl w:ilvl="6">
      <w:start w:val="1"/>
      <w:numFmt w:val="decimal"/>
      <w:lvlText w:val="%7."/>
      <w:lvlJc w:val="left"/>
      <w:pPr>
        <w:tabs>
          <w:tab w:val="num" w:pos="5160"/>
        </w:tabs>
        <w:ind w:left="5160" w:hanging="480"/>
      </w:pPr>
      <w:rPr>
        <w:position w:val="0"/>
        <w:sz w:val="32"/>
        <w:szCs w:val="32"/>
        <w:rtl w:val="0"/>
      </w:rPr>
    </w:lvl>
    <w:lvl w:ilvl="7">
      <w:start w:val="1"/>
      <w:numFmt w:val="lowerLetter"/>
      <w:lvlText w:val="%8."/>
      <w:lvlJc w:val="left"/>
      <w:pPr>
        <w:tabs>
          <w:tab w:val="num" w:pos="5880"/>
        </w:tabs>
        <w:ind w:left="5880" w:hanging="480"/>
      </w:pPr>
      <w:rPr>
        <w:position w:val="0"/>
        <w:sz w:val="32"/>
        <w:szCs w:val="32"/>
        <w:rtl w:val="0"/>
      </w:rPr>
    </w:lvl>
    <w:lvl w:ilvl="8">
      <w:start w:val="1"/>
      <w:numFmt w:val="lowerRoman"/>
      <w:lvlText w:val="%9."/>
      <w:lvlJc w:val="left"/>
      <w:pPr>
        <w:tabs>
          <w:tab w:val="num" w:pos="6579"/>
        </w:tabs>
        <w:ind w:left="6579" w:hanging="395"/>
      </w:pPr>
      <w:rPr>
        <w:position w:val="0"/>
        <w:sz w:val="32"/>
        <w:szCs w:val="32"/>
        <w:rtl w:val="0"/>
      </w:rPr>
    </w:lvl>
  </w:abstractNum>
  <w:num w:numId="1">
    <w:abstractNumId w:val="9"/>
  </w:num>
  <w:num w:numId="2">
    <w:abstractNumId w:val="3"/>
  </w:num>
  <w:num w:numId="3">
    <w:abstractNumId w:val="8"/>
  </w:num>
  <w:num w:numId="4">
    <w:abstractNumId w:val="12"/>
  </w:num>
  <w:num w:numId="5">
    <w:abstractNumId w:val="0"/>
  </w:num>
  <w:num w:numId="6">
    <w:abstractNumId w:val="13"/>
  </w:num>
  <w:num w:numId="7">
    <w:abstractNumId w:val="16"/>
    <w:lvlOverride w:ilvl="0">
      <w:lvl w:ilvl="0">
        <w:start w:val="1"/>
        <w:numFmt w:val="decimal"/>
        <w:lvlText w:val="%1."/>
        <w:lvlJc w:val="left"/>
        <w:pPr>
          <w:tabs>
            <w:tab w:val="num" w:pos="720"/>
          </w:tabs>
          <w:ind w:left="720" w:hanging="360"/>
        </w:pPr>
        <w:rPr>
          <w:position w:val="0"/>
          <w:sz w:val="24"/>
          <w:szCs w:val="24"/>
          <w:rtl w:val="0"/>
        </w:rPr>
      </w:lvl>
    </w:lvlOverride>
  </w:num>
  <w:num w:numId="8">
    <w:abstractNumId w:val="6"/>
  </w:num>
  <w:num w:numId="9">
    <w:abstractNumId w:val="4"/>
  </w:num>
  <w:num w:numId="10">
    <w:abstractNumId w:val="11"/>
  </w:num>
  <w:num w:numId="11">
    <w:abstractNumId w:val="16"/>
  </w:num>
  <w:num w:numId="12">
    <w:abstractNumId w:val="10"/>
  </w:num>
  <w:num w:numId="13">
    <w:abstractNumId w:val="2"/>
  </w:num>
  <w:num w:numId="14">
    <w:abstractNumId w:val="7"/>
  </w:num>
  <w:num w:numId="15">
    <w:abstractNumId w:val="5"/>
  </w:num>
  <w:num w:numId="16">
    <w:abstractNumId w:val="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3D"/>
    <w:rsid w:val="000057CC"/>
    <w:rsid w:val="00046F49"/>
    <w:rsid w:val="000807D0"/>
    <w:rsid w:val="000C6DD0"/>
    <w:rsid w:val="000D0A8A"/>
    <w:rsid w:val="000E39E8"/>
    <w:rsid w:val="001315AF"/>
    <w:rsid w:val="001540DD"/>
    <w:rsid w:val="0017463B"/>
    <w:rsid w:val="00177962"/>
    <w:rsid w:val="00194A62"/>
    <w:rsid w:val="001A7EA0"/>
    <w:rsid w:val="001B3ADA"/>
    <w:rsid w:val="001D34BD"/>
    <w:rsid w:val="001E3E95"/>
    <w:rsid w:val="002068C4"/>
    <w:rsid w:val="00212306"/>
    <w:rsid w:val="0021362A"/>
    <w:rsid w:val="00256ECC"/>
    <w:rsid w:val="00257CAB"/>
    <w:rsid w:val="00260F64"/>
    <w:rsid w:val="00262920"/>
    <w:rsid w:val="002833B6"/>
    <w:rsid w:val="002D230A"/>
    <w:rsid w:val="002D6A56"/>
    <w:rsid w:val="002E15F0"/>
    <w:rsid w:val="002E5748"/>
    <w:rsid w:val="002E6550"/>
    <w:rsid w:val="002F7A39"/>
    <w:rsid w:val="00306493"/>
    <w:rsid w:val="00324CDA"/>
    <w:rsid w:val="00337A12"/>
    <w:rsid w:val="00346991"/>
    <w:rsid w:val="00355DB7"/>
    <w:rsid w:val="00362448"/>
    <w:rsid w:val="00376F80"/>
    <w:rsid w:val="0039030D"/>
    <w:rsid w:val="003A20A5"/>
    <w:rsid w:val="003B0544"/>
    <w:rsid w:val="003B09EE"/>
    <w:rsid w:val="003B362B"/>
    <w:rsid w:val="003C1DD3"/>
    <w:rsid w:val="003D25C8"/>
    <w:rsid w:val="003D724E"/>
    <w:rsid w:val="003E085F"/>
    <w:rsid w:val="003E2053"/>
    <w:rsid w:val="003E4FBB"/>
    <w:rsid w:val="004245E2"/>
    <w:rsid w:val="00431702"/>
    <w:rsid w:val="00444E19"/>
    <w:rsid w:val="00472AA1"/>
    <w:rsid w:val="0048530E"/>
    <w:rsid w:val="00492CBF"/>
    <w:rsid w:val="004B425A"/>
    <w:rsid w:val="004C1195"/>
    <w:rsid w:val="0052602A"/>
    <w:rsid w:val="005338B7"/>
    <w:rsid w:val="00563169"/>
    <w:rsid w:val="00573F57"/>
    <w:rsid w:val="00582BEC"/>
    <w:rsid w:val="00586187"/>
    <w:rsid w:val="00590B05"/>
    <w:rsid w:val="005B5B95"/>
    <w:rsid w:val="005D48EF"/>
    <w:rsid w:val="006019F3"/>
    <w:rsid w:val="00614A90"/>
    <w:rsid w:val="00614D77"/>
    <w:rsid w:val="00616CBE"/>
    <w:rsid w:val="006252AB"/>
    <w:rsid w:val="00626D3D"/>
    <w:rsid w:val="00637CD5"/>
    <w:rsid w:val="0066563E"/>
    <w:rsid w:val="00683417"/>
    <w:rsid w:val="006910E7"/>
    <w:rsid w:val="006920BB"/>
    <w:rsid w:val="00692A8D"/>
    <w:rsid w:val="006A2A9A"/>
    <w:rsid w:val="006E7373"/>
    <w:rsid w:val="0075086B"/>
    <w:rsid w:val="007523CF"/>
    <w:rsid w:val="00756826"/>
    <w:rsid w:val="00756B7E"/>
    <w:rsid w:val="007572E1"/>
    <w:rsid w:val="007824B4"/>
    <w:rsid w:val="00785CA0"/>
    <w:rsid w:val="00786E9D"/>
    <w:rsid w:val="007C1B65"/>
    <w:rsid w:val="007D2747"/>
    <w:rsid w:val="007D6033"/>
    <w:rsid w:val="00817388"/>
    <w:rsid w:val="00822E70"/>
    <w:rsid w:val="00826F1B"/>
    <w:rsid w:val="008303A8"/>
    <w:rsid w:val="00836180"/>
    <w:rsid w:val="0085187F"/>
    <w:rsid w:val="008542DC"/>
    <w:rsid w:val="00856B19"/>
    <w:rsid w:val="00887020"/>
    <w:rsid w:val="00890335"/>
    <w:rsid w:val="008979E5"/>
    <w:rsid w:val="008A13A1"/>
    <w:rsid w:val="008B6ACA"/>
    <w:rsid w:val="008D2E80"/>
    <w:rsid w:val="008E1FBC"/>
    <w:rsid w:val="00917973"/>
    <w:rsid w:val="009315F5"/>
    <w:rsid w:val="00950CA8"/>
    <w:rsid w:val="009669D9"/>
    <w:rsid w:val="00992475"/>
    <w:rsid w:val="009A135E"/>
    <w:rsid w:val="009B097C"/>
    <w:rsid w:val="009D25CB"/>
    <w:rsid w:val="009E1588"/>
    <w:rsid w:val="00A15F7A"/>
    <w:rsid w:val="00A31193"/>
    <w:rsid w:val="00A673FC"/>
    <w:rsid w:val="00A72249"/>
    <w:rsid w:val="00A77E5E"/>
    <w:rsid w:val="00A9322F"/>
    <w:rsid w:val="00AB4E3B"/>
    <w:rsid w:val="00AD2670"/>
    <w:rsid w:val="00AE4841"/>
    <w:rsid w:val="00AF211F"/>
    <w:rsid w:val="00AF42D4"/>
    <w:rsid w:val="00B1314B"/>
    <w:rsid w:val="00B44FD2"/>
    <w:rsid w:val="00B60969"/>
    <w:rsid w:val="00B73643"/>
    <w:rsid w:val="00B96445"/>
    <w:rsid w:val="00B97B02"/>
    <w:rsid w:val="00BA3D3F"/>
    <w:rsid w:val="00BE0120"/>
    <w:rsid w:val="00BF00E9"/>
    <w:rsid w:val="00C26427"/>
    <w:rsid w:val="00C71AAD"/>
    <w:rsid w:val="00C948BE"/>
    <w:rsid w:val="00CA5F60"/>
    <w:rsid w:val="00CB017D"/>
    <w:rsid w:val="00CB715C"/>
    <w:rsid w:val="00CC39E8"/>
    <w:rsid w:val="00CC77C4"/>
    <w:rsid w:val="00D1207A"/>
    <w:rsid w:val="00D25ED9"/>
    <w:rsid w:val="00D46F17"/>
    <w:rsid w:val="00D6200B"/>
    <w:rsid w:val="00D70F29"/>
    <w:rsid w:val="00D72E0E"/>
    <w:rsid w:val="00D97211"/>
    <w:rsid w:val="00DE3AF9"/>
    <w:rsid w:val="00DF44AC"/>
    <w:rsid w:val="00DF5F33"/>
    <w:rsid w:val="00E00A29"/>
    <w:rsid w:val="00E24F47"/>
    <w:rsid w:val="00E25417"/>
    <w:rsid w:val="00E25822"/>
    <w:rsid w:val="00E7548F"/>
    <w:rsid w:val="00E91CD9"/>
    <w:rsid w:val="00EA1D52"/>
    <w:rsid w:val="00EA3E53"/>
    <w:rsid w:val="00EB1D86"/>
    <w:rsid w:val="00EF34F3"/>
    <w:rsid w:val="00F31D76"/>
    <w:rsid w:val="00F364F2"/>
    <w:rsid w:val="00F47FB6"/>
    <w:rsid w:val="00F60652"/>
    <w:rsid w:val="00F61168"/>
    <w:rsid w:val="00F72643"/>
    <w:rsid w:val="00F7509E"/>
    <w:rsid w:val="00F97B99"/>
    <w:rsid w:val="00FB0DAC"/>
    <w:rsid w:val="00FC59CF"/>
    <w:rsid w:val="00FD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17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3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170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E7548F"/>
    <w:pPr>
      <w:ind w:left="720"/>
      <w:contextualSpacing/>
    </w:pPr>
  </w:style>
  <w:style w:type="paragraph" w:styleId="NormalWeb">
    <w:name w:val="Normal (Web)"/>
    <w:basedOn w:val="Normal"/>
    <w:uiPriority w:val="99"/>
    <w:semiHidden/>
    <w:unhideWhenUsed/>
    <w:rsid w:val="00E91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1CD9"/>
  </w:style>
  <w:style w:type="character" w:styleId="Hyperlink">
    <w:name w:val="Hyperlink"/>
    <w:basedOn w:val="DefaultParagraphFont"/>
    <w:uiPriority w:val="99"/>
    <w:unhideWhenUsed/>
    <w:rsid w:val="00E91CD9"/>
    <w:rPr>
      <w:color w:val="0000FF"/>
      <w:u w:val="single"/>
    </w:rPr>
  </w:style>
  <w:style w:type="character" w:styleId="Emphasis">
    <w:name w:val="Emphasis"/>
    <w:basedOn w:val="DefaultParagraphFont"/>
    <w:uiPriority w:val="20"/>
    <w:qFormat/>
    <w:rsid w:val="00E91CD9"/>
    <w:rPr>
      <w:i/>
      <w:iCs/>
    </w:rPr>
  </w:style>
  <w:style w:type="paragraph" w:styleId="Header">
    <w:name w:val="header"/>
    <w:basedOn w:val="Normal"/>
    <w:link w:val="HeaderChar"/>
    <w:uiPriority w:val="99"/>
    <w:unhideWhenUsed/>
    <w:rsid w:val="0056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169"/>
  </w:style>
  <w:style w:type="paragraph" w:styleId="Footer">
    <w:name w:val="footer"/>
    <w:basedOn w:val="Normal"/>
    <w:link w:val="FooterChar"/>
    <w:uiPriority w:val="99"/>
    <w:unhideWhenUsed/>
    <w:rsid w:val="0056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169"/>
  </w:style>
  <w:style w:type="paragraph" w:styleId="FootnoteText">
    <w:name w:val="footnote text"/>
    <w:basedOn w:val="Normal"/>
    <w:link w:val="FootnoteTextChar"/>
    <w:uiPriority w:val="99"/>
    <w:semiHidden/>
    <w:unhideWhenUsed/>
    <w:rsid w:val="00FC5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9CF"/>
    <w:rPr>
      <w:sz w:val="20"/>
      <w:szCs w:val="20"/>
    </w:rPr>
  </w:style>
  <w:style w:type="character" w:styleId="FootnoteReference">
    <w:name w:val="footnote reference"/>
    <w:basedOn w:val="DefaultParagraphFont"/>
    <w:uiPriority w:val="99"/>
    <w:semiHidden/>
    <w:unhideWhenUsed/>
    <w:rsid w:val="00FC59CF"/>
    <w:rPr>
      <w:vertAlign w:val="superscript"/>
    </w:rPr>
  </w:style>
  <w:style w:type="numbering" w:customStyle="1" w:styleId="List0">
    <w:name w:val="List 0"/>
    <w:basedOn w:val="NoList"/>
    <w:rsid w:val="00444E19"/>
    <w:pPr>
      <w:numPr>
        <w:numId w:val="11"/>
      </w:numPr>
    </w:pPr>
  </w:style>
  <w:style w:type="numbering" w:customStyle="1" w:styleId="List1">
    <w:name w:val="List 1"/>
    <w:basedOn w:val="NoList"/>
    <w:rsid w:val="00444E19"/>
    <w:pPr>
      <w:numPr>
        <w:numId w:val="10"/>
      </w:numPr>
    </w:pPr>
  </w:style>
  <w:style w:type="paragraph" w:styleId="BalloonText">
    <w:name w:val="Balloon Text"/>
    <w:basedOn w:val="Normal"/>
    <w:link w:val="BalloonTextChar"/>
    <w:uiPriority w:val="99"/>
    <w:semiHidden/>
    <w:unhideWhenUsed/>
    <w:rsid w:val="008A1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A1"/>
    <w:rPr>
      <w:rFonts w:ascii="Segoe UI" w:hAnsi="Segoe UI" w:cs="Segoe UI"/>
      <w:sz w:val="18"/>
      <w:szCs w:val="18"/>
    </w:rPr>
  </w:style>
  <w:style w:type="character" w:styleId="CommentReference">
    <w:name w:val="annotation reference"/>
    <w:basedOn w:val="DefaultParagraphFont"/>
    <w:uiPriority w:val="99"/>
    <w:semiHidden/>
    <w:unhideWhenUsed/>
    <w:rsid w:val="008B6ACA"/>
    <w:rPr>
      <w:sz w:val="16"/>
      <w:szCs w:val="16"/>
    </w:rPr>
  </w:style>
  <w:style w:type="paragraph" w:styleId="CommentText">
    <w:name w:val="annotation text"/>
    <w:basedOn w:val="Normal"/>
    <w:link w:val="CommentTextChar"/>
    <w:uiPriority w:val="99"/>
    <w:semiHidden/>
    <w:unhideWhenUsed/>
    <w:rsid w:val="008B6ACA"/>
    <w:pPr>
      <w:spacing w:line="240" w:lineRule="auto"/>
    </w:pPr>
    <w:rPr>
      <w:sz w:val="20"/>
      <w:szCs w:val="20"/>
    </w:rPr>
  </w:style>
  <w:style w:type="character" w:customStyle="1" w:styleId="CommentTextChar">
    <w:name w:val="Comment Text Char"/>
    <w:basedOn w:val="DefaultParagraphFont"/>
    <w:link w:val="CommentText"/>
    <w:uiPriority w:val="99"/>
    <w:semiHidden/>
    <w:rsid w:val="008B6ACA"/>
    <w:rPr>
      <w:sz w:val="20"/>
      <w:szCs w:val="20"/>
    </w:rPr>
  </w:style>
  <w:style w:type="paragraph" w:styleId="CommentSubject">
    <w:name w:val="annotation subject"/>
    <w:basedOn w:val="CommentText"/>
    <w:next w:val="CommentText"/>
    <w:link w:val="CommentSubjectChar"/>
    <w:uiPriority w:val="99"/>
    <w:semiHidden/>
    <w:unhideWhenUsed/>
    <w:rsid w:val="008B6ACA"/>
    <w:rPr>
      <w:b/>
      <w:bCs/>
    </w:rPr>
  </w:style>
  <w:style w:type="character" w:customStyle="1" w:styleId="CommentSubjectChar">
    <w:name w:val="Comment Subject Char"/>
    <w:basedOn w:val="CommentTextChar"/>
    <w:link w:val="CommentSubject"/>
    <w:uiPriority w:val="99"/>
    <w:semiHidden/>
    <w:rsid w:val="008B6A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17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3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170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E7548F"/>
    <w:pPr>
      <w:ind w:left="720"/>
      <w:contextualSpacing/>
    </w:pPr>
  </w:style>
  <w:style w:type="paragraph" w:styleId="NormalWeb">
    <w:name w:val="Normal (Web)"/>
    <w:basedOn w:val="Normal"/>
    <w:uiPriority w:val="99"/>
    <w:semiHidden/>
    <w:unhideWhenUsed/>
    <w:rsid w:val="00E91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1CD9"/>
  </w:style>
  <w:style w:type="character" w:styleId="Hyperlink">
    <w:name w:val="Hyperlink"/>
    <w:basedOn w:val="DefaultParagraphFont"/>
    <w:uiPriority w:val="99"/>
    <w:unhideWhenUsed/>
    <w:rsid w:val="00E91CD9"/>
    <w:rPr>
      <w:color w:val="0000FF"/>
      <w:u w:val="single"/>
    </w:rPr>
  </w:style>
  <w:style w:type="character" w:styleId="Emphasis">
    <w:name w:val="Emphasis"/>
    <w:basedOn w:val="DefaultParagraphFont"/>
    <w:uiPriority w:val="20"/>
    <w:qFormat/>
    <w:rsid w:val="00E91CD9"/>
    <w:rPr>
      <w:i/>
      <w:iCs/>
    </w:rPr>
  </w:style>
  <w:style w:type="paragraph" w:styleId="Header">
    <w:name w:val="header"/>
    <w:basedOn w:val="Normal"/>
    <w:link w:val="HeaderChar"/>
    <w:uiPriority w:val="99"/>
    <w:unhideWhenUsed/>
    <w:rsid w:val="0056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169"/>
  </w:style>
  <w:style w:type="paragraph" w:styleId="Footer">
    <w:name w:val="footer"/>
    <w:basedOn w:val="Normal"/>
    <w:link w:val="FooterChar"/>
    <w:uiPriority w:val="99"/>
    <w:unhideWhenUsed/>
    <w:rsid w:val="0056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169"/>
  </w:style>
  <w:style w:type="paragraph" w:styleId="FootnoteText">
    <w:name w:val="footnote text"/>
    <w:basedOn w:val="Normal"/>
    <w:link w:val="FootnoteTextChar"/>
    <w:uiPriority w:val="99"/>
    <w:semiHidden/>
    <w:unhideWhenUsed/>
    <w:rsid w:val="00FC5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9CF"/>
    <w:rPr>
      <w:sz w:val="20"/>
      <w:szCs w:val="20"/>
    </w:rPr>
  </w:style>
  <w:style w:type="character" w:styleId="FootnoteReference">
    <w:name w:val="footnote reference"/>
    <w:basedOn w:val="DefaultParagraphFont"/>
    <w:uiPriority w:val="99"/>
    <w:semiHidden/>
    <w:unhideWhenUsed/>
    <w:rsid w:val="00FC59CF"/>
    <w:rPr>
      <w:vertAlign w:val="superscript"/>
    </w:rPr>
  </w:style>
  <w:style w:type="numbering" w:customStyle="1" w:styleId="List0">
    <w:name w:val="List 0"/>
    <w:basedOn w:val="NoList"/>
    <w:rsid w:val="00444E19"/>
    <w:pPr>
      <w:numPr>
        <w:numId w:val="11"/>
      </w:numPr>
    </w:pPr>
  </w:style>
  <w:style w:type="numbering" w:customStyle="1" w:styleId="List1">
    <w:name w:val="List 1"/>
    <w:basedOn w:val="NoList"/>
    <w:rsid w:val="00444E19"/>
    <w:pPr>
      <w:numPr>
        <w:numId w:val="10"/>
      </w:numPr>
    </w:pPr>
  </w:style>
  <w:style w:type="paragraph" w:styleId="BalloonText">
    <w:name w:val="Balloon Text"/>
    <w:basedOn w:val="Normal"/>
    <w:link w:val="BalloonTextChar"/>
    <w:uiPriority w:val="99"/>
    <w:semiHidden/>
    <w:unhideWhenUsed/>
    <w:rsid w:val="008A1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A1"/>
    <w:rPr>
      <w:rFonts w:ascii="Segoe UI" w:hAnsi="Segoe UI" w:cs="Segoe UI"/>
      <w:sz w:val="18"/>
      <w:szCs w:val="18"/>
    </w:rPr>
  </w:style>
  <w:style w:type="character" w:styleId="CommentReference">
    <w:name w:val="annotation reference"/>
    <w:basedOn w:val="DefaultParagraphFont"/>
    <w:uiPriority w:val="99"/>
    <w:semiHidden/>
    <w:unhideWhenUsed/>
    <w:rsid w:val="008B6ACA"/>
    <w:rPr>
      <w:sz w:val="16"/>
      <w:szCs w:val="16"/>
    </w:rPr>
  </w:style>
  <w:style w:type="paragraph" w:styleId="CommentText">
    <w:name w:val="annotation text"/>
    <w:basedOn w:val="Normal"/>
    <w:link w:val="CommentTextChar"/>
    <w:uiPriority w:val="99"/>
    <w:semiHidden/>
    <w:unhideWhenUsed/>
    <w:rsid w:val="008B6ACA"/>
    <w:pPr>
      <w:spacing w:line="240" w:lineRule="auto"/>
    </w:pPr>
    <w:rPr>
      <w:sz w:val="20"/>
      <w:szCs w:val="20"/>
    </w:rPr>
  </w:style>
  <w:style w:type="character" w:customStyle="1" w:styleId="CommentTextChar">
    <w:name w:val="Comment Text Char"/>
    <w:basedOn w:val="DefaultParagraphFont"/>
    <w:link w:val="CommentText"/>
    <w:uiPriority w:val="99"/>
    <w:semiHidden/>
    <w:rsid w:val="008B6ACA"/>
    <w:rPr>
      <w:sz w:val="20"/>
      <w:szCs w:val="20"/>
    </w:rPr>
  </w:style>
  <w:style w:type="paragraph" w:styleId="CommentSubject">
    <w:name w:val="annotation subject"/>
    <w:basedOn w:val="CommentText"/>
    <w:next w:val="CommentText"/>
    <w:link w:val="CommentSubjectChar"/>
    <w:uiPriority w:val="99"/>
    <w:semiHidden/>
    <w:unhideWhenUsed/>
    <w:rsid w:val="008B6ACA"/>
    <w:rPr>
      <w:b/>
      <w:bCs/>
    </w:rPr>
  </w:style>
  <w:style w:type="character" w:customStyle="1" w:styleId="CommentSubjectChar">
    <w:name w:val="Comment Subject Char"/>
    <w:basedOn w:val="CommentTextChar"/>
    <w:link w:val="CommentSubject"/>
    <w:uiPriority w:val="99"/>
    <w:semiHidden/>
    <w:rsid w:val="008B6A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56372">
      <w:bodyDiv w:val="1"/>
      <w:marLeft w:val="0"/>
      <w:marRight w:val="0"/>
      <w:marTop w:val="0"/>
      <w:marBottom w:val="0"/>
      <w:divBdr>
        <w:top w:val="none" w:sz="0" w:space="0" w:color="auto"/>
        <w:left w:val="none" w:sz="0" w:space="0" w:color="auto"/>
        <w:bottom w:val="none" w:sz="0" w:space="0" w:color="auto"/>
        <w:right w:val="none" w:sz="0" w:space="0" w:color="auto"/>
      </w:divBdr>
    </w:div>
    <w:div w:id="727999375">
      <w:bodyDiv w:val="1"/>
      <w:marLeft w:val="0"/>
      <w:marRight w:val="0"/>
      <w:marTop w:val="0"/>
      <w:marBottom w:val="0"/>
      <w:divBdr>
        <w:top w:val="none" w:sz="0" w:space="0" w:color="auto"/>
        <w:left w:val="none" w:sz="0" w:space="0" w:color="auto"/>
        <w:bottom w:val="none" w:sz="0" w:space="0" w:color="auto"/>
        <w:right w:val="none" w:sz="0" w:space="0" w:color="auto"/>
      </w:divBdr>
    </w:div>
    <w:div w:id="806165261">
      <w:bodyDiv w:val="1"/>
      <w:marLeft w:val="0"/>
      <w:marRight w:val="0"/>
      <w:marTop w:val="0"/>
      <w:marBottom w:val="0"/>
      <w:divBdr>
        <w:top w:val="none" w:sz="0" w:space="0" w:color="auto"/>
        <w:left w:val="none" w:sz="0" w:space="0" w:color="auto"/>
        <w:bottom w:val="none" w:sz="0" w:space="0" w:color="auto"/>
        <w:right w:val="none" w:sz="0" w:space="0" w:color="auto"/>
      </w:divBdr>
    </w:div>
    <w:div w:id="1624920099">
      <w:bodyDiv w:val="1"/>
      <w:marLeft w:val="0"/>
      <w:marRight w:val="0"/>
      <w:marTop w:val="0"/>
      <w:marBottom w:val="0"/>
      <w:divBdr>
        <w:top w:val="none" w:sz="0" w:space="0" w:color="auto"/>
        <w:left w:val="none" w:sz="0" w:space="0" w:color="auto"/>
        <w:bottom w:val="none" w:sz="0" w:space="0" w:color="auto"/>
        <w:right w:val="none" w:sz="0" w:space="0" w:color="auto"/>
      </w:divBdr>
    </w:div>
    <w:div w:id="200739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unfpa.org/publications/commitment-action-sexual-and-reproductive-health-and-rights" TargetMode="External"/><Relationship Id="rId1" Type="http://schemas.openxmlformats.org/officeDocument/2006/relationships/hyperlink" Target="http://daccess-dds-ny.un.org/doc/UNDOC/GEN/N14/223/69/PDF/N1422369.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89ABF-E7DA-451F-8DF7-C5E964C0F153}"/>
</file>

<file path=customXml/itemProps2.xml><?xml version="1.0" encoding="utf-8"?>
<ds:datastoreItem xmlns:ds="http://schemas.openxmlformats.org/officeDocument/2006/customXml" ds:itemID="{8C9C9697-8DA7-41B2-AB33-6A91A4BB6B17}"/>
</file>

<file path=customXml/itemProps3.xml><?xml version="1.0" encoding="utf-8"?>
<ds:datastoreItem xmlns:ds="http://schemas.openxmlformats.org/officeDocument/2006/customXml" ds:itemID="{FF0F62EF-0687-43D7-AB43-4878694229F7}"/>
</file>

<file path=customXml/itemProps4.xml><?xml version="1.0" encoding="utf-8"?>
<ds:datastoreItem xmlns:ds="http://schemas.openxmlformats.org/officeDocument/2006/customXml" ds:itemID="{AE2403B6-D76C-4833-A153-5D7E6CA320BC}"/>
</file>

<file path=docProps/app.xml><?xml version="1.0" encoding="utf-8"?>
<Properties xmlns="http://schemas.openxmlformats.org/officeDocument/2006/extended-properties" xmlns:vt="http://schemas.openxmlformats.org/officeDocument/2006/docPropsVTypes">
  <Template>Normal.dotm</Template>
  <TotalTime>1</TotalTime>
  <Pages>7</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Mikkelsen</dc:creator>
  <cp:lastModifiedBy>Richard Lapper</cp:lastModifiedBy>
  <cp:revision>3</cp:revision>
  <cp:lastPrinted>2015-11-27T22:09:00Z</cp:lastPrinted>
  <dcterms:created xsi:type="dcterms:W3CDTF">2016-04-13T13:13:00Z</dcterms:created>
  <dcterms:modified xsi:type="dcterms:W3CDTF">2016-04-13T13:14:00Z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3472800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