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59B8" w14:textId="77777777" w:rsidR="00582C20" w:rsidRPr="00582C20" w:rsidRDefault="00582C20" w:rsidP="00582C20">
      <w:pPr>
        <w:jc w:val="center"/>
        <w:rPr>
          <w:rFonts w:cstheme="minorHAnsi"/>
          <w:b/>
          <w:sz w:val="18"/>
          <w:szCs w:val="18"/>
          <w:lang w:val="es-ES_tradnl"/>
        </w:rPr>
      </w:pPr>
    </w:p>
    <w:p w14:paraId="2993A82D" w14:textId="77777777" w:rsidR="00582C20" w:rsidRPr="00582C20" w:rsidRDefault="00582C20" w:rsidP="00582C20">
      <w:pPr>
        <w:jc w:val="center"/>
        <w:rPr>
          <w:rFonts w:cstheme="minorHAnsi"/>
          <w:b/>
          <w:sz w:val="18"/>
          <w:szCs w:val="18"/>
          <w:lang w:val="es-ES_tradnl"/>
        </w:rPr>
      </w:pPr>
      <w:r w:rsidRPr="00582C20">
        <w:rPr>
          <w:rFonts w:cstheme="minorHAnsi"/>
          <w:b/>
          <w:sz w:val="18"/>
          <w:szCs w:val="18"/>
          <w:lang w:val="es-ES_tradnl"/>
        </w:rPr>
        <w:t xml:space="preserve">Artículo 10 - Lista de indicadores ilustrativos sobre el derecho a la vida de las personas con discapacidad. </w:t>
      </w:r>
    </w:p>
    <w:p w14:paraId="20A7A01D" w14:textId="77777777" w:rsidR="00582C20" w:rsidRPr="00582C20" w:rsidRDefault="00582C20" w:rsidP="00582C20">
      <w:pPr>
        <w:jc w:val="center"/>
        <w:rPr>
          <w:rFonts w:cstheme="minorHAnsi"/>
          <w:b/>
          <w:sz w:val="18"/>
          <w:szCs w:val="18"/>
          <w:lang w:val="es-ES_tradnl"/>
        </w:rPr>
      </w:pPr>
      <w:r w:rsidRPr="00582C20">
        <w:rPr>
          <w:rFonts w:cstheme="minorHAnsi"/>
          <w:b/>
          <w:sz w:val="18"/>
          <w:szCs w:val="18"/>
          <w:lang w:val="es-ES_tradnl"/>
        </w:rPr>
        <w:t>Derecho a la vida</w:t>
      </w:r>
    </w:p>
    <w:p w14:paraId="02E7AF54" w14:textId="77777777" w:rsidR="00582C20" w:rsidRPr="00582C20" w:rsidRDefault="00582C20" w:rsidP="00582C20">
      <w:pPr>
        <w:jc w:val="center"/>
        <w:rPr>
          <w:b/>
          <w:sz w:val="18"/>
          <w:szCs w:val="18"/>
          <w:lang w:val="es-ES_tradnl"/>
        </w:rPr>
      </w:pPr>
    </w:p>
    <w:p w14:paraId="403E58AC" w14:textId="6DFFE1D7" w:rsidR="00582C20" w:rsidRPr="00582C20" w:rsidRDefault="00582C20" w:rsidP="00582C20">
      <w:pPr>
        <w:jc w:val="both"/>
        <w:rPr>
          <w:b/>
          <w:sz w:val="18"/>
          <w:szCs w:val="18"/>
          <w:lang w:val="es-ES_tradnl"/>
        </w:rPr>
      </w:pPr>
      <w:r w:rsidRPr="00582C20">
        <w:rPr>
          <w:b/>
          <w:sz w:val="18"/>
          <w:szCs w:val="18"/>
          <w:lang w:val="es-ES_tradnl"/>
        </w:rPr>
        <w:t>Atributos/Indicadores</w:t>
      </w:r>
    </w:p>
    <w:p w14:paraId="32DC8C56" w14:textId="77777777" w:rsidR="00582C20" w:rsidRPr="00582C20" w:rsidRDefault="00582C20" w:rsidP="00582C20">
      <w:pPr>
        <w:pStyle w:val="ListParagraph"/>
        <w:numPr>
          <w:ilvl w:val="0"/>
          <w:numId w:val="24"/>
        </w:numPr>
        <w:jc w:val="both"/>
        <w:rPr>
          <w:rFonts w:ascii="Arial" w:eastAsia="Times New Roman" w:hAnsi="Arial" w:cs="Arial"/>
          <w:color w:val="222222"/>
          <w:sz w:val="18"/>
          <w:szCs w:val="18"/>
          <w:lang w:val="es-ES_tradnl" w:eastAsia="en-GB"/>
        </w:rPr>
      </w:pPr>
      <w:r w:rsidRPr="00582C20">
        <w:rPr>
          <w:rFonts w:ascii="Arial" w:eastAsia="Times New Roman" w:hAnsi="Arial" w:cs="Arial"/>
          <w:b/>
          <w:bCs/>
          <w:color w:val="222222"/>
          <w:sz w:val="18"/>
          <w:szCs w:val="18"/>
          <w:lang w:val="es-ES_tradnl" w:eastAsia="en-GB"/>
        </w:rPr>
        <w:t xml:space="preserve">No a la privación arbitraria de la vida </w:t>
      </w:r>
    </w:p>
    <w:p w14:paraId="7A683E88" w14:textId="1B8DF2D2" w:rsidR="00582C20" w:rsidRPr="00582C20" w:rsidRDefault="00582C20" w:rsidP="00582C20">
      <w:pPr>
        <w:pStyle w:val="ListParagraph"/>
        <w:numPr>
          <w:ilvl w:val="0"/>
          <w:numId w:val="24"/>
        </w:numPr>
        <w:jc w:val="both"/>
        <w:rPr>
          <w:rFonts w:ascii="Arial" w:eastAsia="Times New Roman" w:hAnsi="Arial" w:cs="Arial"/>
          <w:b/>
          <w:bCs/>
          <w:color w:val="000000"/>
          <w:sz w:val="18"/>
          <w:szCs w:val="18"/>
          <w:lang w:val="es-ES_tradnl" w:eastAsia="en-GB"/>
        </w:rPr>
      </w:pPr>
      <w:r w:rsidRPr="00582C20">
        <w:rPr>
          <w:rFonts w:ascii="Arial" w:eastAsia="Times New Roman" w:hAnsi="Arial" w:cs="Arial"/>
          <w:b/>
          <w:bCs/>
          <w:color w:val="000000"/>
          <w:sz w:val="18"/>
          <w:szCs w:val="18"/>
          <w:lang w:val="es-ES_tradnl" w:eastAsia="en-GB"/>
        </w:rPr>
        <w:t>Prevención de mue</w:t>
      </w:r>
      <w:r>
        <w:rPr>
          <w:rFonts w:ascii="Arial" w:eastAsia="Times New Roman" w:hAnsi="Arial" w:cs="Arial"/>
          <w:b/>
          <w:bCs/>
          <w:color w:val="000000"/>
          <w:sz w:val="18"/>
          <w:szCs w:val="18"/>
          <w:lang w:val="es-ES_tradnl" w:eastAsia="en-GB"/>
        </w:rPr>
        <w:t xml:space="preserve">rtes prematuras y antinaturales </w:t>
      </w:r>
      <w:r w:rsidRPr="00582C20">
        <w:rPr>
          <w:rFonts w:ascii="Arial" w:eastAsia="Times New Roman" w:hAnsi="Arial" w:cs="Arial"/>
          <w:b/>
          <w:bCs/>
          <w:color w:val="000000"/>
          <w:sz w:val="18"/>
          <w:szCs w:val="18"/>
          <w:lang w:val="es-ES_tradnl" w:eastAsia="en-GB"/>
        </w:rPr>
        <w:t>(vinculadas a la mala atención sanitaria, desnutrición, condiciones de vida, emergencias, suicidio, “suicidio asistido”)</w:t>
      </w:r>
    </w:p>
    <w:p w14:paraId="0C33ECC8" w14:textId="77777777" w:rsidR="00582C20" w:rsidRPr="00582C20" w:rsidRDefault="00582C20" w:rsidP="00582C20">
      <w:pPr>
        <w:pStyle w:val="ListParagraph"/>
        <w:numPr>
          <w:ilvl w:val="0"/>
          <w:numId w:val="24"/>
        </w:numPr>
        <w:jc w:val="both"/>
        <w:rPr>
          <w:b/>
          <w:sz w:val="18"/>
          <w:szCs w:val="18"/>
          <w:lang w:val="es-ES_tradnl"/>
        </w:rPr>
      </w:pPr>
      <w:r w:rsidRPr="00582C20">
        <w:rPr>
          <w:rFonts w:ascii="Arial" w:eastAsia="Times New Roman" w:hAnsi="Arial" w:cs="Arial"/>
          <w:b/>
          <w:bCs/>
          <w:color w:val="222222"/>
          <w:sz w:val="18"/>
          <w:szCs w:val="18"/>
          <w:lang w:val="es-ES_tradnl" w:eastAsia="en-GB"/>
        </w:rPr>
        <w:t>Pena de muerte</w:t>
      </w:r>
    </w:p>
    <w:p w14:paraId="060277A7" w14:textId="77777777" w:rsidR="00582C20" w:rsidRPr="00582C20" w:rsidRDefault="00582C20" w:rsidP="00582C20">
      <w:pPr>
        <w:pStyle w:val="ListParagraph"/>
        <w:jc w:val="both"/>
        <w:rPr>
          <w:b/>
          <w:sz w:val="18"/>
          <w:szCs w:val="18"/>
          <w:lang w:val="es-ES_tradnl"/>
        </w:rPr>
      </w:pPr>
    </w:p>
    <w:p w14:paraId="3F0F746C" w14:textId="77777777" w:rsidR="00582C20" w:rsidRPr="00582C20" w:rsidRDefault="00582C20" w:rsidP="00582C20">
      <w:pPr>
        <w:pStyle w:val="ListParagraph"/>
        <w:ind w:left="0"/>
        <w:jc w:val="both"/>
        <w:rPr>
          <w:rFonts w:cstheme="minorHAnsi"/>
          <w:b/>
          <w:sz w:val="18"/>
          <w:szCs w:val="18"/>
          <w:lang w:val="es-ES_tradnl"/>
        </w:rPr>
      </w:pPr>
      <w:r w:rsidRPr="00582C20">
        <w:rPr>
          <w:rFonts w:cstheme="minorHAnsi"/>
          <w:b/>
          <w:sz w:val="18"/>
          <w:szCs w:val="18"/>
          <w:lang w:val="es-ES_tradnl"/>
        </w:rPr>
        <w:t>Estructura</w:t>
      </w:r>
    </w:p>
    <w:p w14:paraId="4EF21CD0" w14:textId="77777777" w:rsidR="00582C20" w:rsidRPr="00582C20" w:rsidRDefault="00582C20" w:rsidP="00582C20">
      <w:pPr>
        <w:ind w:right="120"/>
        <w:jc w:val="both"/>
        <w:rPr>
          <w:rFonts w:cstheme="minorHAnsi"/>
          <w:sz w:val="18"/>
          <w:szCs w:val="18"/>
          <w:lang w:val="es-ES_tradnl"/>
        </w:rPr>
      </w:pPr>
      <w:r w:rsidRPr="00582C20">
        <w:rPr>
          <w:rFonts w:cstheme="minorHAnsi"/>
          <w:sz w:val="18"/>
          <w:szCs w:val="18"/>
          <w:lang w:val="es-ES_tradnl"/>
        </w:rPr>
        <w:t>10.1 Legislación promulgada para proteger el derecho a la vida de las personas con discapacidad, incluyendo sanciones penales para los autores de homicidios.</w:t>
      </w:r>
      <w:r w:rsidRPr="00582C20">
        <w:rPr>
          <w:rStyle w:val="EndnoteReference"/>
          <w:rFonts w:cstheme="minorHAnsi"/>
          <w:sz w:val="18"/>
          <w:szCs w:val="18"/>
        </w:rPr>
        <w:endnoteReference w:id="1"/>
      </w:r>
    </w:p>
    <w:p w14:paraId="39483FA3" w14:textId="77777777" w:rsidR="00582C20" w:rsidRPr="00582C20" w:rsidRDefault="00582C20" w:rsidP="00582C20">
      <w:pPr>
        <w:ind w:right="120"/>
        <w:jc w:val="both"/>
        <w:rPr>
          <w:rFonts w:cstheme="minorHAnsi"/>
          <w:sz w:val="18"/>
          <w:szCs w:val="18"/>
          <w:lang w:val="es-ES_tradnl"/>
        </w:rPr>
      </w:pPr>
      <w:r w:rsidRPr="00582C20">
        <w:rPr>
          <w:rFonts w:cstheme="minorHAnsi"/>
          <w:sz w:val="18"/>
          <w:szCs w:val="18"/>
          <w:lang w:val="es-ES_tradnl"/>
        </w:rPr>
        <w:t>10.2 Adopción de una política/plan para abordar y prevenir los homicidios y la violencia contra las personas con discapacidad.</w:t>
      </w:r>
      <w:r w:rsidRPr="00582C20">
        <w:rPr>
          <w:rStyle w:val="EndnoteReference"/>
          <w:rFonts w:cstheme="minorHAnsi"/>
          <w:sz w:val="18"/>
          <w:szCs w:val="18"/>
          <w:lang w:val="es-ES_tradnl"/>
        </w:rPr>
        <w:endnoteReference w:id="2"/>
      </w:r>
    </w:p>
    <w:p w14:paraId="23BE3585" w14:textId="77777777" w:rsidR="00582C20" w:rsidRPr="00582C20" w:rsidRDefault="00582C20" w:rsidP="00582C20">
      <w:pPr>
        <w:ind w:right="120"/>
        <w:jc w:val="both"/>
        <w:rPr>
          <w:rFonts w:cstheme="minorHAnsi"/>
          <w:sz w:val="18"/>
          <w:szCs w:val="18"/>
          <w:lang w:val="es-ES_tradnl"/>
        </w:rPr>
      </w:pPr>
      <w:r w:rsidRPr="00582C20">
        <w:rPr>
          <w:rFonts w:cstheme="minorHAnsi"/>
          <w:sz w:val="18"/>
          <w:szCs w:val="18"/>
          <w:lang w:val="es-ES_tradnl"/>
        </w:rPr>
        <w:t xml:space="preserve">10.3 Existencia de una política/plan nacional para prevenir y llevar a cabo investigaciones efectivas de muertes de personas con discapacidad </w:t>
      </w:r>
      <w:r w:rsidRPr="00582C20">
        <w:rPr>
          <w:rFonts w:cstheme="minorHAnsi"/>
          <w:bCs/>
          <w:sz w:val="18"/>
          <w:szCs w:val="18"/>
          <w:lang w:val="es-ES_tradnl"/>
        </w:rPr>
        <w:t>en todos los centros de detención</w:t>
      </w:r>
      <w:r w:rsidRPr="00582C20">
        <w:rPr>
          <w:rFonts w:cstheme="minorHAnsi"/>
          <w:sz w:val="18"/>
          <w:szCs w:val="18"/>
          <w:lang w:val="es-ES_tradnl"/>
        </w:rPr>
        <w:t xml:space="preserve"> (prisiones, instituciones psiquiátricas, instituciones residenciales, etc.) y sancionar a</w:t>
      </w:r>
      <w:r w:rsidRPr="00582C20">
        <w:rPr>
          <w:rFonts w:cstheme="minorHAnsi"/>
          <w:sz w:val="18"/>
          <w:szCs w:val="18"/>
          <w:lang w:val="es-ES_tradnl"/>
        </w:rPr>
        <w:t xml:space="preserve"> </w:t>
      </w:r>
      <w:r w:rsidRPr="00582C20">
        <w:rPr>
          <w:rFonts w:cstheme="minorHAnsi"/>
          <w:sz w:val="18"/>
          <w:szCs w:val="18"/>
          <w:lang w:val="es-ES_tradnl"/>
        </w:rPr>
        <w:t>los autores.</w:t>
      </w:r>
    </w:p>
    <w:p w14:paraId="59B73123"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10.4 Existencia de una política/plan nacional</w:t>
      </w:r>
      <w:r w:rsidRPr="00582C20">
        <w:rPr>
          <w:rFonts w:cstheme="minorHAnsi"/>
          <w:sz w:val="18"/>
          <w:szCs w:val="18"/>
          <w:vertAlign w:val="superscript"/>
          <w:lang w:val="es-ES_tradnl"/>
        </w:rPr>
        <w:endnoteReference w:id="3"/>
      </w:r>
      <w:r w:rsidRPr="00582C20">
        <w:rPr>
          <w:rFonts w:cstheme="minorHAnsi"/>
          <w:sz w:val="18"/>
          <w:szCs w:val="18"/>
          <w:lang w:val="es-ES_tradnl"/>
        </w:rPr>
        <w:t xml:space="preserve"> que garantice que las personas con discapacidad, en particular las mujeres, los niños y las personas mayores, tengan acceso a servicios sanitarios</w:t>
      </w:r>
      <w:r w:rsidRPr="00582C20">
        <w:rPr>
          <w:rFonts w:cstheme="minorHAnsi"/>
          <w:sz w:val="18"/>
          <w:szCs w:val="18"/>
          <w:vertAlign w:val="superscript"/>
          <w:lang w:val="es-ES_tradnl"/>
        </w:rPr>
        <w:endnoteReference w:id="4"/>
      </w:r>
      <w:r w:rsidRPr="00582C20">
        <w:rPr>
          <w:rFonts w:cstheme="minorHAnsi"/>
          <w:sz w:val="18"/>
          <w:szCs w:val="18"/>
          <w:lang w:val="es-ES_tradnl"/>
        </w:rPr>
        <w:t xml:space="preserve"> asequibles y de calidad, incluido el acceso a una cobertura de salud universal.</w:t>
      </w:r>
      <w:r w:rsidRPr="00582C20">
        <w:rPr>
          <w:rFonts w:cstheme="minorHAnsi"/>
          <w:sz w:val="18"/>
          <w:szCs w:val="18"/>
          <w:vertAlign w:val="superscript"/>
          <w:lang w:val="es-ES_tradnl"/>
        </w:rPr>
        <w:endnoteReference w:id="5"/>
      </w:r>
      <w:r w:rsidRPr="00582C20">
        <w:rPr>
          <w:rFonts w:cstheme="minorHAnsi"/>
          <w:sz w:val="18"/>
          <w:szCs w:val="18"/>
          <w:lang w:val="es-ES_tradnl"/>
        </w:rPr>
        <w:t xml:space="preserve"> (</w:t>
      </w:r>
      <w:r w:rsidRPr="00582C20">
        <w:rPr>
          <w:rFonts w:cstheme="minorHAnsi"/>
          <w:i/>
          <w:sz w:val="18"/>
          <w:szCs w:val="18"/>
          <w:lang w:val="es-ES_tradnl"/>
        </w:rPr>
        <w:t>Ibíd.</w:t>
      </w:r>
      <w:r w:rsidRPr="00582C20">
        <w:rPr>
          <w:rFonts w:cstheme="minorHAnsi"/>
          <w:sz w:val="18"/>
          <w:szCs w:val="18"/>
          <w:lang w:val="es-ES_tradnl"/>
        </w:rPr>
        <w:t xml:space="preserve"> 25.3)</w:t>
      </w:r>
    </w:p>
    <w:p w14:paraId="63E4ECE5" w14:textId="77777777" w:rsidR="00582C20" w:rsidRPr="00582C20" w:rsidRDefault="00582C20" w:rsidP="00582C20">
      <w:pPr>
        <w:jc w:val="both"/>
        <w:rPr>
          <w:rFonts w:cstheme="minorHAnsi"/>
          <w:b/>
          <w:bCs/>
          <w:sz w:val="18"/>
          <w:szCs w:val="18"/>
          <w:lang w:val="es-ES_tradnl"/>
        </w:rPr>
      </w:pPr>
      <w:r w:rsidRPr="00582C20">
        <w:rPr>
          <w:rFonts w:cstheme="minorHAnsi"/>
          <w:sz w:val="18"/>
          <w:szCs w:val="18"/>
          <w:lang w:val="es-ES_tradnl"/>
        </w:rPr>
        <w:t xml:space="preserve">10.5 Requisito legal para garantizar la provisión de la toma de decisiones con apoyo a petición de la persona interesada en las decisiones relacionadas con </w:t>
      </w:r>
      <w:r w:rsidRPr="00582C20">
        <w:rPr>
          <w:rFonts w:cstheme="minorHAnsi"/>
          <w:bCs/>
          <w:sz w:val="18"/>
          <w:szCs w:val="18"/>
          <w:lang w:val="es-ES_tradnl"/>
        </w:rPr>
        <w:t>tratamientos para mantener a pacientes con vida.</w:t>
      </w:r>
      <w:r w:rsidRPr="00582C20">
        <w:rPr>
          <w:rFonts w:cstheme="minorHAnsi"/>
          <w:sz w:val="18"/>
          <w:szCs w:val="18"/>
          <w:vertAlign w:val="superscript"/>
          <w:lang w:val="es-ES_tradnl"/>
        </w:rPr>
        <w:endnoteReference w:id="6"/>
      </w:r>
    </w:p>
    <w:p w14:paraId="6060FD95" w14:textId="77777777" w:rsidR="00582C20" w:rsidRPr="00582C20" w:rsidRDefault="00582C20" w:rsidP="00582C20">
      <w:pPr>
        <w:jc w:val="both"/>
        <w:rPr>
          <w:rFonts w:cstheme="minorHAnsi"/>
          <w:sz w:val="18"/>
          <w:szCs w:val="18"/>
          <w:lang w:val="es-ES_tradnl"/>
        </w:rPr>
      </w:pPr>
      <w:r w:rsidRPr="00582C20">
        <w:rPr>
          <w:rFonts w:cstheme="minorHAnsi"/>
          <w:bCs/>
          <w:sz w:val="18"/>
          <w:szCs w:val="18"/>
          <w:lang w:val="es-ES_tradnl"/>
        </w:rPr>
        <w:t>10.6 (</w:t>
      </w:r>
      <w:r w:rsidRPr="00582C20">
        <w:rPr>
          <w:rFonts w:cstheme="minorHAnsi"/>
          <w:bCs/>
          <w:i/>
          <w:sz w:val="18"/>
          <w:szCs w:val="18"/>
          <w:lang w:val="es-ES_tradnl"/>
        </w:rPr>
        <w:t>Ibíd.</w:t>
      </w:r>
      <w:r w:rsidRPr="00582C20">
        <w:rPr>
          <w:rFonts w:cstheme="minorHAnsi"/>
          <w:bCs/>
          <w:sz w:val="18"/>
          <w:szCs w:val="18"/>
          <w:lang w:val="es-ES_tradnl"/>
        </w:rPr>
        <w:t xml:space="preserve"> 11.6) Adopción de un plan nacional de preparación para casos de desastre</w:t>
      </w:r>
      <w:r w:rsidRPr="00582C20">
        <w:rPr>
          <w:rFonts w:cstheme="minorHAnsi"/>
          <w:bCs/>
          <w:sz w:val="18"/>
          <w:szCs w:val="18"/>
          <w:vertAlign w:val="superscript"/>
          <w:lang w:val="es-ES_tradnl"/>
        </w:rPr>
        <w:endnoteReference w:id="7"/>
      </w:r>
      <w:r w:rsidRPr="00582C20">
        <w:rPr>
          <w:rFonts w:cstheme="minorHAnsi"/>
          <w:bCs/>
          <w:sz w:val="18"/>
          <w:szCs w:val="18"/>
          <w:lang w:val="es-ES_tradnl"/>
        </w:rPr>
        <w:t xml:space="preserve">. </w:t>
      </w:r>
    </w:p>
    <w:p w14:paraId="03ED28A8"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10.7 Adopción de políticas inclusivas para prevenir, identificar y apoyar a las personas en riesgo de cometer suicidio, incluyendo apoyo y apoyo</w:t>
      </w:r>
      <w:r w:rsidRPr="00582C20">
        <w:rPr>
          <w:rFonts w:cstheme="minorHAnsi"/>
          <w:sz w:val="18"/>
          <w:szCs w:val="18"/>
          <w:lang w:val="es-ES_tradnl"/>
        </w:rPr>
        <w:t xml:space="preserve"> </w:t>
      </w:r>
      <w:r w:rsidRPr="00582C20">
        <w:rPr>
          <w:rFonts w:cstheme="minorHAnsi"/>
          <w:sz w:val="18"/>
          <w:szCs w:val="18"/>
          <w:lang w:val="es-ES_tradnl"/>
        </w:rPr>
        <w:t>de pares.</w:t>
      </w:r>
    </w:p>
    <w:p w14:paraId="3C3D5B3F" w14:textId="3D233778"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 xml:space="preserve">10.8 </w:t>
      </w:r>
      <w:r w:rsidRPr="00582C20">
        <w:rPr>
          <w:rFonts w:cstheme="minorHAnsi"/>
          <w:bCs/>
          <w:sz w:val="18"/>
          <w:szCs w:val="18"/>
          <w:lang w:val="es-ES_tradnl"/>
        </w:rPr>
        <w:t>Cuando proceda</w:t>
      </w:r>
      <w:r w:rsidRPr="00582C20">
        <w:rPr>
          <w:rFonts w:cstheme="minorHAnsi"/>
          <w:sz w:val="18"/>
          <w:szCs w:val="18"/>
          <w:lang w:val="es-ES_tradnl"/>
        </w:rPr>
        <w:t>, los procedimientos de terminación voluntaria de la vida ("muerte asistida") deben cumplir garantías legales e institucionales sólidas e inclusivas de las personas con discapacidad, y corroborar que los profesionales médicos cumplan con la decisión libre, informada, explícita y sin ambigüedades de la persona afectada, libre de presiones y abusos</w:t>
      </w:r>
      <w:r>
        <w:rPr>
          <w:rFonts w:cstheme="minorHAnsi"/>
          <w:sz w:val="18"/>
          <w:szCs w:val="18"/>
          <w:lang w:val="es-ES_tradnl"/>
        </w:rPr>
        <w:t>.</w:t>
      </w:r>
      <w:r w:rsidRPr="00582C20">
        <w:rPr>
          <w:rFonts w:cstheme="minorHAnsi"/>
          <w:sz w:val="18"/>
          <w:szCs w:val="18"/>
          <w:vertAlign w:val="superscript"/>
          <w:lang w:val="es-ES_tradnl"/>
        </w:rPr>
        <w:endnoteReference w:id="8"/>
      </w:r>
      <w:r w:rsidRPr="00582C20">
        <w:rPr>
          <w:rFonts w:cstheme="minorHAnsi"/>
          <w:sz w:val="18"/>
          <w:szCs w:val="18"/>
          <w:lang w:val="es-ES_tradnl"/>
        </w:rPr>
        <w:t xml:space="preserve"> </w:t>
      </w:r>
    </w:p>
    <w:p w14:paraId="3C825E4C"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10.9 Ratificación por parte del Estado del Segundo Protocolo Facultativo del Pacto Internacional de Derechos Civiles y Políticos, destinado a abolir la pena de muerte.</w:t>
      </w:r>
    </w:p>
    <w:p w14:paraId="7068623F"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10.10 Legislación promulgada para abolir la pena de muerte en el estado, que incluya a personas con discapacidad.</w:t>
      </w:r>
    </w:p>
    <w:p w14:paraId="47F30255"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10.11 Existencia de un sistema de certificación de defunción que exija un análisis de un forense para establecer la causa de la muerte.</w:t>
      </w:r>
    </w:p>
    <w:p w14:paraId="50AD5643" w14:textId="77777777" w:rsidR="00582C20" w:rsidRPr="00582C20" w:rsidRDefault="00582C20" w:rsidP="00582C20">
      <w:pPr>
        <w:jc w:val="both"/>
        <w:rPr>
          <w:rFonts w:cstheme="minorHAnsi"/>
          <w:sz w:val="18"/>
          <w:szCs w:val="18"/>
          <w:lang w:val="es-ES_tradnl"/>
        </w:rPr>
      </w:pPr>
    </w:p>
    <w:p w14:paraId="54236140" w14:textId="0B13C951" w:rsidR="00582C20" w:rsidRPr="00582C20" w:rsidRDefault="00582C20" w:rsidP="00582C20">
      <w:pPr>
        <w:jc w:val="both"/>
        <w:rPr>
          <w:rFonts w:cstheme="minorHAnsi"/>
          <w:b/>
          <w:sz w:val="18"/>
          <w:szCs w:val="18"/>
          <w:lang w:val="es-ES_tradnl"/>
        </w:rPr>
      </w:pPr>
      <w:bookmarkStart w:id="0" w:name="_Hlk11265460"/>
      <w:r w:rsidRPr="00582C20">
        <w:rPr>
          <w:rFonts w:cstheme="minorHAnsi"/>
          <w:b/>
          <w:sz w:val="18"/>
          <w:szCs w:val="18"/>
          <w:lang w:val="es-ES_tradnl"/>
        </w:rPr>
        <w:t>Proceso</w:t>
      </w:r>
    </w:p>
    <w:p w14:paraId="6C56BE32"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10.12 Campañas y actividades de toma de conciencia para promover e informar a las personas con discapacidad, a sus familias y al público en general, sobre el derecho a la vida de las personas con discapacidad y sobre las condiciones subyacentes para una vida digna, incluida la lucha contra estereotipos negativos, creencias y mitos sobre que las personas con discapacidad tienen una vida de menor calidad o valor y los estereotipos, creencias y mitos negativos que provocan la violencia y los asesinatos de personas con discapacidad</w:t>
      </w:r>
      <w:r w:rsidRPr="00582C20">
        <w:rPr>
          <w:rFonts w:cstheme="minorHAnsi"/>
          <w:sz w:val="18"/>
          <w:szCs w:val="18"/>
          <w:vertAlign w:val="superscript"/>
          <w:lang w:val="es-ES_tradnl"/>
        </w:rPr>
        <w:endnoteReference w:id="9"/>
      </w:r>
      <w:r w:rsidRPr="00582C20">
        <w:rPr>
          <w:rFonts w:cstheme="minorHAnsi"/>
          <w:sz w:val="18"/>
          <w:szCs w:val="18"/>
          <w:lang w:val="es-ES_tradnl"/>
        </w:rPr>
        <w:t>.</w:t>
      </w:r>
    </w:p>
    <w:p w14:paraId="56CB7E39"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 xml:space="preserve">10.13 Número y proporción de miembros de la judicatura, miembros de la profesión jurídica y funcionarios encargados de hacer cumplir la ley </w:t>
      </w:r>
      <w:r w:rsidRPr="00582C20">
        <w:rPr>
          <w:rFonts w:cstheme="minorHAnsi"/>
          <w:bCs/>
          <w:sz w:val="18"/>
          <w:szCs w:val="18"/>
          <w:lang w:val="es-ES_tradnl"/>
        </w:rPr>
        <w:t>con formación</w:t>
      </w:r>
      <w:r w:rsidRPr="00582C20">
        <w:rPr>
          <w:rFonts w:cstheme="minorHAnsi"/>
          <w:b/>
          <w:bCs/>
          <w:sz w:val="18"/>
          <w:szCs w:val="18"/>
          <w:lang w:val="es-ES_tradnl"/>
        </w:rPr>
        <w:t xml:space="preserve"> </w:t>
      </w:r>
      <w:r w:rsidRPr="00582C20">
        <w:rPr>
          <w:rFonts w:cstheme="minorHAnsi"/>
          <w:sz w:val="18"/>
          <w:szCs w:val="18"/>
          <w:lang w:val="es-ES_tradnl"/>
        </w:rPr>
        <w:t>en la CDPD, en particular en el enfoque de la discapacidad basado en los derechos humanos y el derecho a ajustes de procedimiento (</w:t>
      </w:r>
      <w:r w:rsidRPr="00582C20">
        <w:rPr>
          <w:rFonts w:cstheme="minorHAnsi"/>
          <w:i/>
          <w:sz w:val="18"/>
          <w:szCs w:val="18"/>
          <w:lang w:val="es-ES_tradnl"/>
        </w:rPr>
        <w:t>Ibíd.</w:t>
      </w:r>
      <w:r w:rsidRPr="00582C20">
        <w:rPr>
          <w:rFonts w:cstheme="minorHAnsi"/>
          <w:sz w:val="18"/>
          <w:szCs w:val="18"/>
          <w:lang w:val="es-ES_tradnl"/>
        </w:rPr>
        <w:t xml:space="preserve"> 13.11).</w:t>
      </w:r>
    </w:p>
    <w:p w14:paraId="57B62680"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10.14 Presupuesto asignado para mejorar las condiciones de detenci</w:t>
      </w:r>
      <w:r w:rsidRPr="00582C20">
        <w:rPr>
          <w:rFonts w:cstheme="minorHAnsi"/>
          <w:sz w:val="18"/>
          <w:szCs w:val="18"/>
          <w:lang w:val="es-ES"/>
        </w:rPr>
        <w:t>ón</w:t>
      </w:r>
      <w:r w:rsidRPr="00582C20">
        <w:rPr>
          <w:rFonts w:cstheme="minorHAnsi"/>
          <w:sz w:val="18"/>
          <w:szCs w:val="18"/>
          <w:lang w:val="es-ES_tradnl"/>
        </w:rPr>
        <w:t xml:space="preserve"> </w:t>
      </w:r>
      <w:r w:rsidRPr="00582C20">
        <w:rPr>
          <w:rFonts w:cstheme="minorHAnsi"/>
          <w:sz w:val="18"/>
          <w:szCs w:val="18"/>
          <w:lang w:val="es-ES_tradnl"/>
        </w:rPr>
        <w:t xml:space="preserve">de las personas con discapacidad, incluidas las medidas relacionadas con la accesibilidad (Ibíd. 14.24). </w:t>
      </w:r>
    </w:p>
    <w:p w14:paraId="01EFD585"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 xml:space="preserve">10.15 Procesos de consulta emprendidos para asegurar la participación activa de las personas con discapacidad, </w:t>
      </w:r>
      <w:r w:rsidRPr="00582C20">
        <w:rPr>
          <w:rFonts w:cstheme="minorHAnsi"/>
          <w:bCs/>
          <w:sz w:val="18"/>
          <w:szCs w:val="18"/>
          <w:lang w:val="es-ES_tradnl"/>
        </w:rPr>
        <w:t>incluso</w:t>
      </w:r>
      <w:r w:rsidRPr="00582C20">
        <w:rPr>
          <w:rFonts w:cstheme="minorHAnsi"/>
          <w:sz w:val="18"/>
          <w:szCs w:val="18"/>
          <w:lang w:val="es-ES_tradnl"/>
        </w:rPr>
        <w:t xml:space="preserve"> a través de sus organizaciones representativas, en el diseño, la implementación y el monitoreo de leyes, reglamentos, políticas y programas relacionados con el derecho a la vida de las personas con discapacidad, incluida la obligación de realizar investigaciones eficaces.</w:t>
      </w:r>
      <w:r w:rsidRPr="00582C20">
        <w:rPr>
          <w:rStyle w:val="EndnoteReference"/>
          <w:rFonts w:cstheme="minorHAnsi"/>
          <w:sz w:val="18"/>
          <w:szCs w:val="18"/>
          <w:lang w:val="es-ES_tradnl"/>
        </w:rPr>
        <w:endnoteReference w:id="10"/>
      </w:r>
      <w:r w:rsidRPr="00582C20">
        <w:rPr>
          <w:rFonts w:cstheme="minorHAnsi"/>
          <w:sz w:val="18"/>
          <w:szCs w:val="18"/>
          <w:lang w:val="es-ES_tradnl"/>
        </w:rPr>
        <w:t xml:space="preserve"> </w:t>
      </w:r>
    </w:p>
    <w:p w14:paraId="68DEFAB3"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10.16 Número de reclamaciones</w:t>
      </w:r>
      <w:r w:rsidRPr="00582C20">
        <w:rPr>
          <w:rFonts w:cstheme="minorHAnsi"/>
          <w:sz w:val="18"/>
          <w:szCs w:val="18"/>
          <w:lang w:val="es-ES_tradnl"/>
        </w:rPr>
        <w:t xml:space="preserve"> </w:t>
      </w:r>
      <w:r w:rsidRPr="00582C20">
        <w:rPr>
          <w:rFonts w:cstheme="minorHAnsi"/>
          <w:sz w:val="18"/>
          <w:szCs w:val="18"/>
          <w:lang w:val="es-ES_tradnl"/>
        </w:rPr>
        <w:t>recibidas sobre el derecho a la vida de las personas con discapacidad, investigadas y resueltas a favor del denunciante, desglosadas por tipo de mecanismo, y la proporción de éstas cumplidas por el gobierno o responsable.</w:t>
      </w:r>
    </w:p>
    <w:p w14:paraId="4D448563"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10.17 Número de personas a la espera de la ejecución de la pena de muerte, desglosadas por edad, sexo (incluyendo embarazo y maternidad) y discapacidad.</w:t>
      </w:r>
    </w:p>
    <w:p w14:paraId="58BE0812"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10.18 Proporción de acusados que se enfrentan a la pena de muerte que tienen acceso a un abogado o a asistencia jurídica, desglosada por edad, sexo y discapacidad.</w:t>
      </w:r>
    </w:p>
    <w:p w14:paraId="0D4883F7"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10.19 Proporción de personas condenadas a muerte que ejercen su derecho a que su sentencia sea revisada por un tribunal superior, desglosada por edad, sexo y discapacidad.</w:t>
      </w:r>
    </w:p>
    <w:p w14:paraId="31FB6403" w14:textId="77777777" w:rsidR="00582C20" w:rsidRPr="00582C20" w:rsidRDefault="00582C20" w:rsidP="00582C20">
      <w:pPr>
        <w:jc w:val="both"/>
        <w:rPr>
          <w:rFonts w:cstheme="minorHAnsi"/>
          <w:sz w:val="18"/>
          <w:szCs w:val="18"/>
          <w:lang w:val="es-ES_tradnl"/>
        </w:rPr>
      </w:pPr>
    </w:p>
    <w:p w14:paraId="1438934B" w14:textId="77777777" w:rsidR="00582C20" w:rsidRPr="00582C20" w:rsidRDefault="00582C20" w:rsidP="00582C20">
      <w:pPr>
        <w:jc w:val="both"/>
        <w:rPr>
          <w:rFonts w:cstheme="minorHAnsi"/>
          <w:b/>
          <w:sz w:val="18"/>
          <w:szCs w:val="18"/>
          <w:lang w:val="es-ES_tradnl"/>
        </w:rPr>
      </w:pPr>
      <w:bookmarkStart w:id="1" w:name="_Hlk11266047"/>
      <w:bookmarkEnd w:id="0"/>
      <w:r w:rsidRPr="00582C20">
        <w:rPr>
          <w:rFonts w:cstheme="minorHAnsi"/>
          <w:b/>
          <w:sz w:val="18"/>
          <w:szCs w:val="18"/>
          <w:lang w:val="es-ES_tradnl"/>
        </w:rPr>
        <w:t>Resultado</w:t>
      </w:r>
    </w:p>
    <w:p w14:paraId="597773AB" w14:textId="77777777" w:rsidR="00582C20" w:rsidRPr="00582C20" w:rsidRDefault="00582C20" w:rsidP="00582C20">
      <w:pPr>
        <w:pStyle w:val="CommentText"/>
        <w:spacing w:after="0"/>
        <w:jc w:val="both"/>
        <w:rPr>
          <w:rFonts w:cstheme="minorHAnsi"/>
          <w:sz w:val="18"/>
          <w:szCs w:val="18"/>
          <w:lang w:val="es-ES_tradnl"/>
        </w:rPr>
      </w:pPr>
      <w:r w:rsidRPr="00582C20">
        <w:rPr>
          <w:rFonts w:cstheme="minorHAnsi"/>
          <w:sz w:val="18"/>
          <w:szCs w:val="18"/>
          <w:lang w:val="es-ES_tradnl"/>
        </w:rPr>
        <w:t>10.20 Número de víctimas de homicidio intencional por cada 100.000 habitantes, por sexo y edad (indicador 16.1.1 de los ODS) y discapacidad.</w:t>
      </w:r>
    </w:p>
    <w:p w14:paraId="569D55A4" w14:textId="77777777" w:rsidR="00582C20" w:rsidRPr="00582C20" w:rsidRDefault="00582C20" w:rsidP="00582C20">
      <w:pPr>
        <w:pStyle w:val="CommentText"/>
        <w:spacing w:after="0"/>
        <w:jc w:val="both"/>
        <w:rPr>
          <w:rFonts w:cstheme="minorHAnsi"/>
          <w:sz w:val="18"/>
          <w:szCs w:val="18"/>
          <w:lang w:val="es-ES_tradnl"/>
        </w:rPr>
      </w:pPr>
      <w:r w:rsidRPr="00582C20">
        <w:rPr>
          <w:rFonts w:cstheme="minorHAnsi"/>
          <w:sz w:val="18"/>
          <w:szCs w:val="18"/>
          <w:lang w:val="es-ES_tradnl"/>
        </w:rPr>
        <w:t>10.21 Casos comunicados de privación arbitraria de la vida y amenazas de muerte, desglosados por edad, sexo y discapacidad de las víctimas.</w:t>
      </w:r>
    </w:p>
    <w:p w14:paraId="6CEB4B58" w14:textId="77777777" w:rsidR="00582C20" w:rsidRPr="00582C20" w:rsidRDefault="00582C20" w:rsidP="00582C20">
      <w:pPr>
        <w:pStyle w:val="CommentText"/>
        <w:spacing w:after="0"/>
        <w:jc w:val="both"/>
        <w:rPr>
          <w:rFonts w:cstheme="minorHAnsi"/>
          <w:sz w:val="18"/>
          <w:szCs w:val="18"/>
          <w:lang w:val="es-ES_tradnl"/>
        </w:rPr>
      </w:pPr>
      <w:r w:rsidRPr="00582C20">
        <w:rPr>
          <w:rFonts w:cstheme="minorHAnsi"/>
          <w:sz w:val="18"/>
          <w:szCs w:val="18"/>
          <w:lang w:val="es-ES_tradnl"/>
        </w:rPr>
        <w:t>10.22 Casos comprobados de asesinatos, secuestros, desapariciones forzadas, detenciones arbitrarias y torturas de periodistas, personal asociado de los medios de comunicación, sindicalistas y defensores de los derechos humanos en los últimos 12 meses (indicador 16.10.1 de los ODS), desglosados por edad, sexo y discapacidad.</w:t>
      </w:r>
    </w:p>
    <w:p w14:paraId="5C0E3656"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 xml:space="preserve">10.23 Número notificado de muertes de personas con discapacidad debido a negligencia médica (incluida la negligencia profesional), exceso de medicamentos o la negativa a prestar atención médica que resulte en muerte, </w:t>
      </w:r>
      <w:r w:rsidRPr="00582C20">
        <w:rPr>
          <w:rFonts w:cstheme="minorHAnsi"/>
          <w:bCs/>
          <w:sz w:val="18"/>
          <w:szCs w:val="18"/>
          <w:lang w:val="es-ES_tradnl"/>
        </w:rPr>
        <w:t>incluyendo</w:t>
      </w:r>
      <w:r w:rsidRPr="00582C20">
        <w:rPr>
          <w:rFonts w:cstheme="minorHAnsi"/>
          <w:sz w:val="18"/>
          <w:szCs w:val="18"/>
          <w:lang w:val="es-ES_tradnl"/>
        </w:rPr>
        <w:t xml:space="preserve"> todos los lugares de detención.</w:t>
      </w:r>
    </w:p>
    <w:p w14:paraId="19B655D9"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10.24 Número de muertes, desapariciones y afectados por desastres por cada 100.000 personas (indicador 1.5.1 de los ODS), desglosado por edad, sexo y discapacidad (</w:t>
      </w:r>
      <w:r w:rsidRPr="00582C20">
        <w:rPr>
          <w:rFonts w:cstheme="minorHAnsi"/>
          <w:i/>
          <w:sz w:val="18"/>
          <w:szCs w:val="18"/>
          <w:lang w:val="es-ES_tradnl"/>
        </w:rPr>
        <w:t>Ibíd</w:t>
      </w:r>
      <w:r w:rsidRPr="00582C20">
        <w:rPr>
          <w:rFonts w:cstheme="minorHAnsi"/>
          <w:sz w:val="18"/>
          <w:szCs w:val="18"/>
          <w:lang w:val="es-ES_tradnl"/>
        </w:rPr>
        <w:t>. 11.23).</w:t>
      </w:r>
    </w:p>
    <w:p w14:paraId="03082873"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10.25 Casos notificados de muertes ocurridas en conflictos, situaciones posteriores a conflictos o situaciones de emergencia por edad, sexo y discapacidad (basado en 11.27).</w:t>
      </w:r>
    </w:p>
    <w:p w14:paraId="6B04633F"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10.26 Número de muertes por suicidio notificadas, desglosadas por edad, sexo y discapacidad.</w:t>
      </w:r>
    </w:p>
    <w:p w14:paraId="22604CD2"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 xml:space="preserve">10.27 </w:t>
      </w:r>
      <w:r w:rsidRPr="00582C20">
        <w:rPr>
          <w:rFonts w:cstheme="minorHAnsi"/>
          <w:bCs/>
          <w:sz w:val="18"/>
          <w:szCs w:val="18"/>
          <w:lang w:val="es-ES_tradnl"/>
        </w:rPr>
        <w:t>Cuando proceda</w:t>
      </w:r>
      <w:r w:rsidRPr="00582C20">
        <w:rPr>
          <w:rFonts w:cstheme="minorHAnsi"/>
          <w:sz w:val="18"/>
          <w:szCs w:val="18"/>
          <w:lang w:val="es-ES_tradnl"/>
        </w:rPr>
        <w:t>, número de muertes debidas a procedimientos de terminación voluntaria de la vida (“muerte asistida”), desglosados por edad, sexo y discapacidad.</w:t>
      </w:r>
    </w:p>
    <w:p w14:paraId="636FD21A"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10.28 Proporción de penas de muerte rebajadas, desglosadas por edad, sexo y discapacidad de la persona condenada.</w:t>
      </w:r>
    </w:p>
    <w:p w14:paraId="53DC2A07" w14:textId="77777777" w:rsidR="00582C20" w:rsidRPr="00582C20" w:rsidRDefault="00582C20" w:rsidP="00582C20">
      <w:pPr>
        <w:jc w:val="both"/>
        <w:rPr>
          <w:rFonts w:cstheme="minorHAnsi"/>
          <w:sz w:val="18"/>
          <w:szCs w:val="18"/>
          <w:lang w:val="es-ES_tradnl"/>
        </w:rPr>
      </w:pPr>
      <w:r w:rsidRPr="00582C20">
        <w:rPr>
          <w:rFonts w:cstheme="minorHAnsi"/>
          <w:sz w:val="18"/>
          <w:szCs w:val="18"/>
          <w:lang w:val="es-ES_tradnl"/>
        </w:rPr>
        <w:t>10.29 Número de ejecuciones por pena de muerte, desglosadas por edad, sexo y discapacidad.</w:t>
      </w:r>
    </w:p>
    <w:p w14:paraId="78AF1730" w14:textId="6DDD289F" w:rsidR="00DE431B" w:rsidRPr="00582C20" w:rsidRDefault="00DE431B" w:rsidP="008F3CBA">
      <w:pPr>
        <w:spacing w:after="120"/>
        <w:jc w:val="both"/>
        <w:rPr>
          <w:rFonts w:cstheme="minorHAnsi"/>
          <w:sz w:val="18"/>
          <w:szCs w:val="18"/>
          <w:lang w:val="es-ES"/>
        </w:rPr>
      </w:pPr>
      <w:bookmarkStart w:id="2" w:name="_GoBack"/>
      <w:bookmarkEnd w:id="1"/>
      <w:bookmarkEnd w:id="2"/>
    </w:p>
    <w:p w14:paraId="0514151F" w14:textId="43E67DEB" w:rsidR="007A4591" w:rsidRPr="00582C20" w:rsidRDefault="0065051C" w:rsidP="00375672">
      <w:pPr>
        <w:spacing w:before="60"/>
        <w:jc w:val="center"/>
        <w:outlineLvl w:val="0"/>
        <w:rPr>
          <w:rFonts w:cstheme="minorHAnsi"/>
          <w:b/>
          <w:sz w:val="18"/>
          <w:szCs w:val="18"/>
        </w:rPr>
      </w:pPr>
      <w:r w:rsidRPr="00582C20">
        <w:rPr>
          <w:rFonts w:cstheme="minorHAnsi"/>
          <w:b/>
          <w:sz w:val="18"/>
          <w:szCs w:val="18"/>
        </w:rPr>
        <w:t>ANEX</w:t>
      </w:r>
      <w:r w:rsidR="00CB111D" w:rsidRPr="00582C20">
        <w:rPr>
          <w:rFonts w:cstheme="minorHAnsi"/>
          <w:b/>
          <w:sz w:val="18"/>
          <w:szCs w:val="18"/>
        </w:rPr>
        <w:t>O</w:t>
      </w:r>
    </w:p>
    <w:sectPr w:rsidR="007A4591" w:rsidRPr="00582C20"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D890" w14:textId="77777777" w:rsidR="0066408B" w:rsidRDefault="0066408B" w:rsidP="00CA591E"/>
  </w:endnote>
  <w:endnote w:type="continuationSeparator" w:id="0">
    <w:p w14:paraId="4F2C256C" w14:textId="77777777" w:rsidR="0066408B" w:rsidRDefault="0066408B" w:rsidP="00CA591E">
      <w:r>
        <w:continuationSeparator/>
      </w:r>
    </w:p>
  </w:endnote>
  <w:endnote w:id="1">
    <w:p w14:paraId="3D3443DF" w14:textId="77777777" w:rsidR="00582C20" w:rsidRPr="00FC02DE" w:rsidRDefault="00582C20" w:rsidP="00375672">
      <w:pPr>
        <w:pStyle w:val="EndnoteText"/>
        <w:rPr>
          <w:sz w:val="18"/>
          <w:szCs w:val="18"/>
          <w:lang w:val="es-ES"/>
        </w:rPr>
      </w:pPr>
      <w:r>
        <w:rPr>
          <w:rStyle w:val="EndnoteReference"/>
        </w:rPr>
        <w:endnoteRef/>
      </w:r>
      <w:r w:rsidRPr="00FC02DE">
        <w:rPr>
          <w:lang w:val="es-ES"/>
        </w:rPr>
        <w:t xml:space="preserve"> </w:t>
      </w:r>
      <w:r w:rsidRPr="00FC02DE">
        <w:rPr>
          <w:sz w:val="18"/>
          <w:szCs w:val="18"/>
          <w:lang w:val="es-ES"/>
        </w:rPr>
        <w:t>Se deben consider</w:t>
      </w:r>
      <w:r>
        <w:rPr>
          <w:sz w:val="18"/>
          <w:szCs w:val="18"/>
          <w:lang w:val="es-ES"/>
        </w:rPr>
        <w:t>a</w:t>
      </w:r>
      <w:r w:rsidRPr="00FC02DE">
        <w:rPr>
          <w:sz w:val="18"/>
          <w:szCs w:val="18"/>
          <w:lang w:val="es-ES"/>
        </w:rPr>
        <w:t>r explícitamente, en particular, crímenes de odio basados en la discapacidad que pongan en peligro o priven a las personas con discapacidad de sus vidas.</w:t>
      </w:r>
    </w:p>
  </w:endnote>
  <w:endnote w:id="2">
    <w:p w14:paraId="191CA6CB" w14:textId="77777777" w:rsidR="00582C20" w:rsidRPr="009B501E" w:rsidRDefault="00582C20">
      <w:pPr>
        <w:pStyle w:val="EndnoteText"/>
        <w:rPr>
          <w:sz w:val="18"/>
          <w:szCs w:val="18"/>
          <w:lang w:val="es-ES_tradnl"/>
        </w:rPr>
      </w:pPr>
      <w:r w:rsidRPr="007931F2">
        <w:rPr>
          <w:rStyle w:val="EndnoteReference"/>
          <w:sz w:val="18"/>
          <w:szCs w:val="18"/>
        </w:rPr>
        <w:endnoteRef/>
      </w:r>
      <w:r w:rsidRPr="00FC02DE">
        <w:rPr>
          <w:sz w:val="18"/>
          <w:szCs w:val="18"/>
          <w:lang w:val="es-ES"/>
        </w:rPr>
        <w:t xml:space="preserve"> </w:t>
      </w:r>
      <w:r w:rsidRPr="007931F2">
        <w:rPr>
          <w:sz w:val="18"/>
          <w:szCs w:val="18"/>
          <w:lang w:val="es-ES_tradnl"/>
        </w:rPr>
        <w:t>Dicha política/plan debe abordar los ataques relacionados con la brujería, la violencia contra las mujeres y las niñas con discapacidad cuyo resultado es la muerte</w:t>
      </w:r>
      <w:r w:rsidRPr="009B501E">
        <w:rPr>
          <w:sz w:val="18"/>
          <w:szCs w:val="18"/>
          <w:lang w:val="es-ES_tradnl"/>
        </w:rPr>
        <w:t xml:space="preserve">, la "compasión" y el "asesinato </w:t>
      </w:r>
      <w:r>
        <w:rPr>
          <w:sz w:val="18"/>
          <w:szCs w:val="18"/>
          <w:lang w:val="es-ES_tradnl"/>
        </w:rPr>
        <w:t xml:space="preserve">de </w:t>
      </w:r>
      <w:r w:rsidRPr="009B501E">
        <w:rPr>
          <w:sz w:val="18"/>
          <w:szCs w:val="18"/>
          <w:lang w:val="es-ES_tradnl"/>
        </w:rPr>
        <w:t>honor", especialmente cuando afecta a mujeres y niños con discapacidad, y el infanticidio.</w:t>
      </w:r>
    </w:p>
  </w:endnote>
  <w:endnote w:id="3">
    <w:p w14:paraId="7B3778FB" w14:textId="77777777" w:rsidR="00582C20" w:rsidRDefault="00582C20" w:rsidP="00CB111D">
      <w:pPr>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Las políticas/ planes de acción nacionales pueden ser generales o </w:t>
      </w:r>
      <w:r>
        <w:rPr>
          <w:rFonts w:cstheme="minorHAnsi"/>
          <w:sz w:val="18"/>
          <w:szCs w:val="18"/>
          <w:lang w:val="es-ES_tradnl"/>
        </w:rPr>
        <w:t xml:space="preserve">específicos de la discapacidad </w:t>
      </w:r>
      <w:r w:rsidRPr="00CB111D">
        <w:rPr>
          <w:rFonts w:cstheme="minorHAnsi"/>
          <w:sz w:val="18"/>
          <w:szCs w:val="18"/>
          <w:lang w:val="es-ES_tradnl"/>
        </w:rPr>
        <w:t xml:space="preserve">diseñados </w:t>
      </w:r>
      <w:r>
        <w:rPr>
          <w:rFonts w:cstheme="minorHAnsi"/>
          <w:sz w:val="18"/>
          <w:szCs w:val="18"/>
          <w:lang w:val="es-ES_tradnl"/>
        </w:rPr>
        <w:t>estrecha colaboración</w:t>
      </w:r>
      <w:r w:rsidRPr="00CB111D">
        <w:rPr>
          <w:rFonts w:cstheme="minorHAnsi"/>
          <w:sz w:val="18"/>
          <w:szCs w:val="18"/>
          <w:lang w:val="es-ES_tradnl"/>
        </w:rPr>
        <w:t xml:space="preserve"> con organizaciones</w:t>
      </w:r>
      <w:r>
        <w:rPr>
          <w:rFonts w:cstheme="minorHAnsi"/>
          <w:sz w:val="18"/>
          <w:szCs w:val="18"/>
          <w:lang w:val="es-ES_tradnl"/>
        </w:rPr>
        <w:t xml:space="preserve"> de personas con discapacidad, incluyendo</w:t>
      </w:r>
      <w:r w:rsidRPr="00CB111D">
        <w:rPr>
          <w:rFonts w:cstheme="minorHAnsi"/>
          <w:sz w:val="18"/>
          <w:szCs w:val="18"/>
          <w:lang w:val="es-ES_tradnl"/>
        </w:rPr>
        <w:t xml:space="preserve">: </w:t>
      </w:r>
    </w:p>
    <w:p w14:paraId="1A294114" w14:textId="77777777" w:rsidR="00582C20" w:rsidRPr="007931F2" w:rsidRDefault="00582C20" w:rsidP="007931F2">
      <w:pPr>
        <w:pStyle w:val="ListParagraph"/>
        <w:numPr>
          <w:ilvl w:val="0"/>
          <w:numId w:val="18"/>
        </w:numPr>
        <w:jc w:val="both"/>
        <w:rPr>
          <w:rFonts w:cstheme="minorHAnsi"/>
          <w:sz w:val="18"/>
          <w:szCs w:val="18"/>
          <w:lang w:val="es-ES_tradnl"/>
        </w:rPr>
      </w:pPr>
      <w:r w:rsidRPr="007931F2">
        <w:rPr>
          <w:sz w:val="18"/>
          <w:szCs w:val="18"/>
          <w:lang w:val="es-ES_tradnl"/>
        </w:rPr>
        <w:t>Líneas claras de responsabilidad, objetivos y calendario para la implementación;</w:t>
      </w:r>
    </w:p>
    <w:p w14:paraId="3BB2548A" w14:textId="77777777" w:rsidR="00582C20" w:rsidRPr="00CB111D" w:rsidRDefault="00582C20" w:rsidP="00CB111D">
      <w:pPr>
        <w:pStyle w:val="ListParagraph"/>
        <w:numPr>
          <w:ilvl w:val="0"/>
          <w:numId w:val="18"/>
        </w:numPr>
        <w:jc w:val="both"/>
        <w:rPr>
          <w:rFonts w:cstheme="minorHAnsi"/>
          <w:sz w:val="18"/>
          <w:szCs w:val="18"/>
          <w:lang w:val="es-ES_tradnl"/>
        </w:rPr>
      </w:pPr>
      <w:r w:rsidRPr="00CB111D">
        <w:rPr>
          <w:color w:val="000000"/>
          <w:sz w:val="18"/>
          <w:szCs w:val="18"/>
          <w:lang w:val="es-ES_tradnl"/>
        </w:rPr>
        <w:t>Mecanismos de cooperación interministerial</w:t>
      </w:r>
    </w:p>
    <w:p w14:paraId="4361F56B" w14:textId="77777777" w:rsidR="00582C20" w:rsidRPr="00CB111D" w:rsidRDefault="00582C20" w:rsidP="00CB111D">
      <w:pPr>
        <w:pStyle w:val="ListParagraph"/>
        <w:numPr>
          <w:ilvl w:val="0"/>
          <w:numId w:val="18"/>
        </w:numPr>
        <w:jc w:val="both"/>
        <w:rPr>
          <w:rFonts w:cstheme="minorHAnsi"/>
          <w:sz w:val="18"/>
          <w:szCs w:val="18"/>
          <w:lang w:val="es-ES_tradnl"/>
        </w:rPr>
      </w:pPr>
      <w:r w:rsidRPr="00CB111D">
        <w:rPr>
          <w:sz w:val="18"/>
          <w:szCs w:val="18"/>
          <w:lang w:val="es-ES_tradnl"/>
        </w:rPr>
        <w:t>Presupuesto asignado;</w:t>
      </w:r>
    </w:p>
    <w:p w14:paraId="2010E80F" w14:textId="77777777" w:rsidR="00582C20" w:rsidRPr="00CB111D" w:rsidRDefault="00582C20" w:rsidP="00CB111D">
      <w:pPr>
        <w:pStyle w:val="ListParagraph"/>
        <w:numPr>
          <w:ilvl w:val="0"/>
          <w:numId w:val="18"/>
        </w:numPr>
        <w:jc w:val="both"/>
        <w:rPr>
          <w:rFonts w:cstheme="minorHAnsi"/>
          <w:sz w:val="18"/>
          <w:szCs w:val="18"/>
          <w:lang w:val="es-ES_tradnl"/>
        </w:rPr>
      </w:pPr>
      <w:r w:rsidRPr="00CB111D">
        <w:rPr>
          <w:sz w:val="18"/>
          <w:szCs w:val="18"/>
          <w:lang w:val="es-ES_tradnl"/>
        </w:rPr>
        <w:t xml:space="preserve">Mecanismo de </w:t>
      </w:r>
      <w:r>
        <w:rPr>
          <w:sz w:val="18"/>
          <w:szCs w:val="18"/>
          <w:lang w:val="es-ES_tradnl"/>
        </w:rPr>
        <w:t>monitoreo e implementación</w:t>
      </w:r>
    </w:p>
    <w:p w14:paraId="43A3474A" w14:textId="77777777" w:rsidR="00582C20" w:rsidRPr="00CB111D" w:rsidRDefault="00582C20" w:rsidP="00CB111D">
      <w:pPr>
        <w:pStyle w:val="ListParagraph"/>
        <w:numPr>
          <w:ilvl w:val="0"/>
          <w:numId w:val="18"/>
        </w:numPr>
        <w:jc w:val="both"/>
        <w:rPr>
          <w:rFonts w:cstheme="minorHAnsi"/>
          <w:sz w:val="18"/>
          <w:szCs w:val="18"/>
          <w:lang w:val="es-ES_tradnl"/>
        </w:rPr>
      </w:pPr>
      <w:r w:rsidRPr="00CB111D">
        <w:rPr>
          <w:sz w:val="18"/>
          <w:szCs w:val="18"/>
          <w:lang w:val="es-ES_tradnl"/>
        </w:rPr>
        <w:t>Criterios que requieren accesibilidad física e informativa</w:t>
      </w:r>
      <w:r w:rsidRPr="00CB111D">
        <w:rPr>
          <w:rFonts w:cstheme="minorHAnsi"/>
          <w:sz w:val="18"/>
          <w:szCs w:val="18"/>
          <w:lang w:val="es-ES_tradnl"/>
        </w:rPr>
        <w:t>.</w:t>
      </w:r>
    </w:p>
  </w:endnote>
  <w:endnote w:id="4">
    <w:p w14:paraId="69F2B26E" w14:textId="77777777" w:rsidR="00582C20" w:rsidRPr="00CB111D" w:rsidRDefault="00582C20" w:rsidP="006703DC">
      <w:pPr>
        <w:pStyle w:val="EndnoteText"/>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w:t>
      </w:r>
      <w:r>
        <w:rPr>
          <w:rFonts w:cstheme="minorHAnsi"/>
          <w:sz w:val="18"/>
          <w:szCs w:val="18"/>
          <w:lang w:val="es-ES_tradnl"/>
        </w:rPr>
        <w:t>Esto incluye</w:t>
      </w:r>
      <w:r w:rsidRPr="00CB111D">
        <w:rPr>
          <w:rFonts w:cstheme="minorHAnsi"/>
          <w:sz w:val="18"/>
          <w:szCs w:val="18"/>
          <w:lang w:val="es-ES_tradnl"/>
        </w:rPr>
        <w:t>:</w:t>
      </w:r>
    </w:p>
    <w:p w14:paraId="1EB409EB"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Pr>
          <w:rFonts w:cstheme="minorHAnsi"/>
          <w:sz w:val="18"/>
          <w:szCs w:val="18"/>
          <w:lang w:val="es-ES_tradnl"/>
        </w:rPr>
        <w:t>i</w:t>
      </w:r>
      <w:r w:rsidRPr="00CB111D">
        <w:rPr>
          <w:rFonts w:cstheme="minorHAnsi"/>
          <w:sz w:val="18"/>
          <w:szCs w:val="18"/>
          <w:lang w:val="es-ES_tradnl"/>
        </w:rPr>
        <w:t xml:space="preserve">ncorporar programas y servicios de salud y prevención, en igualdad de condiciones </w:t>
      </w:r>
      <w:r>
        <w:rPr>
          <w:rFonts w:cstheme="minorHAnsi"/>
          <w:sz w:val="18"/>
          <w:szCs w:val="18"/>
          <w:lang w:val="es-ES_tradnl"/>
        </w:rPr>
        <w:t>con los demás</w:t>
      </w:r>
      <w:r w:rsidRPr="00CB111D">
        <w:rPr>
          <w:rFonts w:cstheme="minorHAnsi"/>
          <w:sz w:val="18"/>
          <w:szCs w:val="18"/>
          <w:lang w:val="es-ES_tradnl"/>
        </w:rPr>
        <w:t>;</w:t>
      </w:r>
    </w:p>
    <w:p w14:paraId="7BED3BAF"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servicios específicos dentro de los servicios generales de salud, que incluyen: identificación e intervención temprana según corresponda (incluida la evaluación de la discapacidad en la infancia temprana y la planificación para la prestación de servicios específicos, como fisioterapia, terapia ocupacional, terapia del habla, comunicación de lenguaje de señas, estim</w:t>
      </w:r>
      <w:r>
        <w:rPr>
          <w:rFonts w:cstheme="minorHAnsi"/>
          <w:sz w:val="18"/>
          <w:szCs w:val="18"/>
          <w:lang w:val="es-ES_tradnl"/>
        </w:rPr>
        <w:t>ulación infantil temprana, etc.</w:t>
      </w:r>
      <w:r w:rsidRPr="00CB111D">
        <w:rPr>
          <w:rFonts w:cstheme="minorHAnsi"/>
          <w:sz w:val="18"/>
          <w:szCs w:val="18"/>
          <w:lang w:val="es-ES_tradnl"/>
        </w:rPr>
        <w:t xml:space="preserve"> y provisión de ayudas y dispositivos de movilidad);</w:t>
      </w:r>
    </w:p>
    <w:p w14:paraId="57179512"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servicios que abordan la minimización y prevención de </w:t>
      </w:r>
      <w:r>
        <w:rPr>
          <w:rFonts w:cstheme="minorHAnsi"/>
          <w:sz w:val="18"/>
          <w:szCs w:val="18"/>
          <w:lang w:val="es-ES_tradnl"/>
        </w:rPr>
        <w:t>deficiencias</w:t>
      </w:r>
      <w:r w:rsidRPr="00CB111D">
        <w:rPr>
          <w:rFonts w:cstheme="minorHAnsi"/>
          <w:sz w:val="18"/>
          <w:szCs w:val="18"/>
          <w:lang w:val="es-ES_tradnl"/>
        </w:rPr>
        <w:t xml:space="preserve"> </w:t>
      </w:r>
      <w:r>
        <w:rPr>
          <w:rFonts w:cstheme="minorHAnsi"/>
          <w:sz w:val="18"/>
          <w:szCs w:val="18"/>
          <w:lang w:val="es-ES_tradnl"/>
        </w:rPr>
        <w:t>secundarias</w:t>
      </w:r>
      <w:r w:rsidRPr="00CB111D">
        <w:rPr>
          <w:rFonts w:cstheme="minorHAnsi"/>
          <w:sz w:val="18"/>
          <w:szCs w:val="18"/>
          <w:lang w:val="es-ES_tradnl"/>
        </w:rPr>
        <w:t>;</w:t>
      </w:r>
    </w:p>
    <w:p w14:paraId="3EBEADFA"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abarcar todas las áreas de la salud, incluida la salud sexual y reproductiva, el VIH/SIDA, la salud de los adolescentes y las personas mayores, etc.;</w:t>
      </w:r>
    </w:p>
    <w:p w14:paraId="342532E0"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prever explícitamente la no discriminación por motivos de discapacidad;</w:t>
      </w:r>
    </w:p>
    <w:p w14:paraId="121D9A2A"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reconocer el consentimiento libre e informado de las personas con discapacidad en igualdad de condiciones </w:t>
      </w:r>
      <w:r>
        <w:rPr>
          <w:rFonts w:cstheme="minorHAnsi"/>
          <w:sz w:val="18"/>
          <w:szCs w:val="18"/>
          <w:lang w:val="es-ES_tradnl"/>
        </w:rPr>
        <w:t>con</w:t>
      </w:r>
      <w:r w:rsidRPr="00CB111D">
        <w:rPr>
          <w:rFonts w:cstheme="minorHAnsi"/>
          <w:sz w:val="18"/>
          <w:szCs w:val="18"/>
          <w:lang w:val="es-ES_tradnl"/>
        </w:rPr>
        <w:t xml:space="preserve"> </w:t>
      </w:r>
      <w:r>
        <w:rPr>
          <w:rFonts w:cstheme="minorHAnsi"/>
          <w:sz w:val="18"/>
          <w:szCs w:val="18"/>
          <w:lang w:val="es-ES_tradnl"/>
        </w:rPr>
        <w:t>los demás</w:t>
      </w:r>
      <w:r w:rsidRPr="00CB111D">
        <w:rPr>
          <w:rFonts w:cstheme="minorHAnsi"/>
          <w:sz w:val="18"/>
          <w:szCs w:val="18"/>
          <w:lang w:val="es-ES_tradnl"/>
        </w:rPr>
        <w:t>;</w:t>
      </w:r>
    </w:p>
    <w:p w14:paraId="14AFE81F" w14:textId="77777777" w:rsidR="00582C20" w:rsidRPr="00CB111D" w:rsidRDefault="00582C20"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los servicios de salud mental deben </w:t>
      </w:r>
      <w:r>
        <w:rPr>
          <w:rFonts w:cstheme="minorHAnsi"/>
          <w:sz w:val="18"/>
          <w:szCs w:val="18"/>
          <w:lang w:val="es-ES_tradnl"/>
        </w:rPr>
        <w:t>prestarse</w:t>
      </w:r>
      <w:r w:rsidRPr="00CB111D">
        <w:rPr>
          <w:rFonts w:cstheme="minorHAnsi"/>
          <w:sz w:val="18"/>
          <w:szCs w:val="18"/>
          <w:lang w:val="es-ES_tradnl"/>
        </w:rPr>
        <w:t xml:space="preserve"> según un modelo psicosocial en lugar de médico, como un servicio general disponible para todas las personas, incluidas las personas con cualquier tipo de discapacidad, y como un servicio específico para personas con discapacidades psicosociales. Dichos servicios deben basarse en el consentimiento libre e informado de la persona interesada y deben incluir apoyo en caso de crisis, psicoterapia y asesoramiento (incluido el asesoramiento sobre traumas), una amplia gama de alternativas a los servicios convencionales, incluido el apoyo entre iguales (que puede variar seg</w:t>
      </w:r>
      <w:r>
        <w:rPr>
          <w:rFonts w:cstheme="minorHAnsi"/>
          <w:sz w:val="18"/>
          <w:szCs w:val="18"/>
          <w:lang w:val="es-ES_tradnl"/>
        </w:rPr>
        <w:t>ún la práctica cultural), etc.</w:t>
      </w:r>
    </w:p>
  </w:endnote>
  <w:endnote w:id="5">
    <w:p w14:paraId="3B689CD7" w14:textId="77777777" w:rsidR="00582C20" w:rsidRPr="00CB111D" w:rsidRDefault="00582C20" w:rsidP="00CB111D">
      <w:pPr>
        <w:pStyle w:val="EndnoteText"/>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La implementación de la cobertura médica universal, que abarque desde paquetes de servicios de salud esenciales hasta reformas de financiamiento de la salud, debería incluir la gama completa de servicios de atención médica que las personas con discapacidad pueden necesitar, incluida la habilitación y rehabilitación relacionadas con la salud, dispositivos de asistencia y tecnologías.</w:t>
      </w:r>
    </w:p>
  </w:endnote>
  <w:endnote w:id="6">
    <w:p w14:paraId="3755CB0F" w14:textId="77777777" w:rsidR="00582C20" w:rsidRPr="00CB111D" w:rsidRDefault="00582C20"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En la toma de decisiones relacionadas con el tratamiento de soporte vital, se debe prohibir la</w:t>
      </w:r>
      <w:r>
        <w:rPr>
          <w:sz w:val="18"/>
          <w:szCs w:val="18"/>
          <w:lang w:val="es-ES_tradnl"/>
        </w:rPr>
        <w:t xml:space="preserve"> sustitución en la</w:t>
      </w:r>
      <w:r w:rsidRPr="00CB111D">
        <w:rPr>
          <w:sz w:val="18"/>
          <w:szCs w:val="18"/>
          <w:lang w:val="es-ES_tradnl"/>
        </w:rPr>
        <w:t xml:space="preserve"> toma de decisiones en favor de </w:t>
      </w:r>
      <w:r>
        <w:rPr>
          <w:sz w:val="18"/>
          <w:szCs w:val="18"/>
          <w:lang w:val="es-ES_tradnl"/>
        </w:rPr>
        <w:t>la toma de decisiones con apoyo, y</w:t>
      </w:r>
      <w:r w:rsidRPr="00CB111D">
        <w:rPr>
          <w:sz w:val="18"/>
          <w:szCs w:val="18"/>
          <w:lang w:val="es-ES_tradnl"/>
        </w:rPr>
        <w:t xml:space="preserve"> </w:t>
      </w:r>
      <w:r>
        <w:rPr>
          <w:sz w:val="18"/>
          <w:szCs w:val="18"/>
          <w:lang w:val="es-ES_tradnl"/>
        </w:rPr>
        <w:t xml:space="preserve">se debe respetar </w:t>
      </w:r>
      <w:r w:rsidRPr="00CB111D">
        <w:rPr>
          <w:sz w:val="18"/>
          <w:szCs w:val="18"/>
          <w:lang w:val="es-ES_tradnl"/>
        </w:rPr>
        <w:t>el principio de la mejor interpretación de la voluntad y las preferencias de la persona</w:t>
      </w:r>
      <w:r>
        <w:rPr>
          <w:sz w:val="18"/>
          <w:szCs w:val="18"/>
          <w:lang w:val="es-ES_tradnl"/>
        </w:rPr>
        <w:t xml:space="preserve"> interesada para aquellos casos en los que</w:t>
      </w:r>
      <w:r>
        <w:rPr>
          <w:sz w:val="18"/>
          <w:szCs w:val="18"/>
          <w:lang w:val="es-ES"/>
        </w:rPr>
        <w:t>,</w:t>
      </w:r>
      <w:r>
        <w:rPr>
          <w:sz w:val="18"/>
          <w:szCs w:val="18"/>
          <w:lang w:val="es-ES_tradnl"/>
        </w:rPr>
        <w:t xml:space="preserve"> habiendo realizando un esfuerzo significativo, </w:t>
      </w:r>
      <w:r>
        <w:rPr>
          <w:sz w:val="18"/>
          <w:szCs w:val="18"/>
          <w:lang w:val="es-ES_tradnl"/>
        </w:rPr>
        <w:t>no ha sido posible</w:t>
      </w:r>
      <w:r>
        <w:rPr>
          <w:sz w:val="18"/>
          <w:szCs w:val="18"/>
          <w:lang w:val="es-ES_tradnl"/>
        </w:rPr>
        <w:t xml:space="preserve"> determinar dicha voluntad utilizando diversos métodos de comunicación </w:t>
      </w:r>
      <w:r w:rsidRPr="00CB111D">
        <w:rPr>
          <w:sz w:val="18"/>
          <w:szCs w:val="18"/>
          <w:lang w:val="es-ES_tradnl"/>
        </w:rPr>
        <w:t xml:space="preserve"> (</w:t>
      </w:r>
      <w:r>
        <w:rPr>
          <w:sz w:val="18"/>
          <w:szCs w:val="18"/>
          <w:lang w:val="es-ES_tradnl"/>
        </w:rPr>
        <w:t>Observación</w:t>
      </w:r>
      <w:r w:rsidRPr="00CB111D">
        <w:rPr>
          <w:sz w:val="18"/>
          <w:szCs w:val="18"/>
          <w:lang w:val="es-ES_tradnl"/>
        </w:rPr>
        <w:t xml:space="preserve"> General 1 del Comité de la CDPD (</w:t>
      </w:r>
      <w:r>
        <w:rPr>
          <w:sz w:val="18"/>
          <w:szCs w:val="18"/>
          <w:lang w:val="es-ES_tradnl"/>
        </w:rPr>
        <w:t>CDPD/C/GC/</w:t>
      </w:r>
      <w:r w:rsidRPr="00CB111D">
        <w:rPr>
          <w:sz w:val="18"/>
          <w:szCs w:val="18"/>
          <w:lang w:val="es-ES_tradnl"/>
        </w:rPr>
        <w:t>1)</w:t>
      </w:r>
      <w:r>
        <w:rPr>
          <w:sz w:val="18"/>
          <w:szCs w:val="18"/>
          <w:lang w:val="es-ES_tradnl"/>
        </w:rPr>
        <w:t>.</w:t>
      </w:r>
    </w:p>
  </w:endnote>
  <w:endnote w:id="7">
    <w:p w14:paraId="715BC7F4" w14:textId="77777777" w:rsidR="00582C20" w:rsidRPr="00CB111D" w:rsidRDefault="00582C20"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Dicho plan debe prever:</w:t>
      </w:r>
    </w:p>
    <w:p w14:paraId="6912BCBF"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Sistemas de alerta y protocolos de evacuación inclusivos y accesibles.</w:t>
      </w:r>
    </w:p>
    <w:p w14:paraId="0EDFD4D0"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Albergues inclusivo</w:t>
      </w:r>
      <w:r>
        <w:rPr>
          <w:sz w:val="18"/>
          <w:szCs w:val="18"/>
          <w:lang w:val="es-ES_tradnl"/>
        </w:rPr>
        <w:t>s</w:t>
      </w:r>
      <w:r w:rsidRPr="00CB111D">
        <w:rPr>
          <w:sz w:val="18"/>
          <w:szCs w:val="18"/>
          <w:lang w:val="es-ES_tradnl"/>
        </w:rPr>
        <w:t xml:space="preserve"> y accesibles, servicios de saneamiento, distribución de alimentos, acceso al agua, ropa, servicios de salud y rehabilitación, educación, generación de medios de vida, reunificación familiar;</w:t>
      </w:r>
    </w:p>
    <w:p w14:paraId="3BF3F8D8"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Medidas específicas para prevenir y proteger contra la violencia.</w:t>
      </w:r>
    </w:p>
    <w:p w14:paraId="199E42AC"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Soporte para asistencia en vivo y dispositivos y tecnologías de asistencia;</w:t>
      </w:r>
    </w:p>
    <w:p w14:paraId="67708FE8" w14:textId="77777777" w:rsidR="00582C20" w:rsidRPr="0072673E" w:rsidRDefault="00582C20" w:rsidP="00745EFD">
      <w:pPr>
        <w:pStyle w:val="EndnoteText"/>
        <w:numPr>
          <w:ilvl w:val="0"/>
          <w:numId w:val="19"/>
        </w:numPr>
        <w:jc w:val="both"/>
        <w:rPr>
          <w:sz w:val="18"/>
          <w:szCs w:val="18"/>
          <w:lang w:val="es-ES_tradnl"/>
        </w:rPr>
      </w:pPr>
      <w:r w:rsidRPr="00CB111D">
        <w:rPr>
          <w:sz w:val="18"/>
          <w:szCs w:val="18"/>
          <w:lang w:val="es-ES_tradnl"/>
        </w:rPr>
        <w:t>Medidas específicas relativas a mujeres, niños y personas mayores con discapacidad, entre otros grupos;</w:t>
      </w:r>
    </w:p>
  </w:endnote>
  <w:endnote w:id="8">
    <w:p w14:paraId="644DA5CC" w14:textId="77777777" w:rsidR="00582C20" w:rsidRPr="00CB111D" w:rsidRDefault="00582C20" w:rsidP="00CB111D">
      <w:pPr>
        <w:jc w:val="both"/>
        <w:rPr>
          <w:rFonts w:cstheme="minorHAnsi"/>
          <w:sz w:val="18"/>
          <w:szCs w:val="18"/>
          <w:lang w:val="es-ES_tradnl"/>
        </w:rPr>
      </w:pPr>
      <w:r>
        <w:rPr>
          <w:rFonts w:cstheme="minorHAnsi"/>
          <w:sz w:val="18"/>
          <w:szCs w:val="18"/>
          <w:lang w:val="es-ES_tradnl"/>
        </w:rPr>
        <w:t xml:space="preserve">y debe estar </w:t>
      </w:r>
      <w:r w:rsidRPr="00CB111D">
        <w:rPr>
          <w:rFonts w:cstheme="minorHAnsi"/>
          <w:sz w:val="18"/>
          <w:szCs w:val="18"/>
          <w:lang w:val="es-ES_tradnl"/>
        </w:rPr>
        <w:t xml:space="preserve">diseñado conjuntamente con organizaciones de </w:t>
      </w:r>
      <w:r>
        <w:rPr>
          <w:rFonts w:cstheme="minorHAnsi"/>
          <w:sz w:val="18"/>
          <w:szCs w:val="18"/>
          <w:lang w:val="es-ES_tradnl"/>
        </w:rPr>
        <w:t>personas con discapacidad y contener:</w:t>
      </w:r>
    </w:p>
    <w:p w14:paraId="11DE803E" w14:textId="77777777" w:rsidR="00582C20" w:rsidRPr="00CB111D" w:rsidRDefault="00582C20"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Líneas claras de responsabilidad, objetivos y calendario para la implementación;</w:t>
      </w:r>
    </w:p>
    <w:p w14:paraId="1FEA8B0A" w14:textId="77777777" w:rsidR="00582C20" w:rsidRPr="00CB111D" w:rsidRDefault="00582C20"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Mecanismos de cooperación interministerial</w:t>
      </w:r>
    </w:p>
    <w:p w14:paraId="03E4C12C" w14:textId="77777777" w:rsidR="00582C20" w:rsidRPr="00CB111D" w:rsidRDefault="00582C20"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Presupuesto asignado;</w:t>
      </w:r>
    </w:p>
    <w:p w14:paraId="79D373D9" w14:textId="77777777" w:rsidR="00582C20" w:rsidRPr="00CB111D" w:rsidRDefault="00582C20"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 xml:space="preserve">Mecanismo de </w:t>
      </w:r>
      <w:r>
        <w:rPr>
          <w:rFonts w:cstheme="minorHAnsi"/>
          <w:sz w:val="18"/>
          <w:szCs w:val="18"/>
          <w:lang w:val="es-ES_tradnl"/>
        </w:rPr>
        <w:t>monitoreo e implementación</w:t>
      </w:r>
    </w:p>
    <w:p w14:paraId="401034E2" w14:textId="77777777" w:rsidR="00582C20" w:rsidRPr="00CB111D" w:rsidRDefault="00582C20"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 xml:space="preserve">Criterios que requieren accesibilidad física e informativa </w:t>
      </w:r>
    </w:p>
    <w:p w14:paraId="48C98F0D" w14:textId="77777777" w:rsidR="00582C20" w:rsidRPr="00CB111D" w:rsidRDefault="00582C20"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Esto requiere:</w:t>
      </w:r>
    </w:p>
    <w:p w14:paraId="7781D477" w14:textId="77777777" w:rsidR="00582C20" w:rsidRPr="00CB111D" w:rsidRDefault="00582C20" w:rsidP="00CB111D">
      <w:pPr>
        <w:pStyle w:val="EndnoteText"/>
        <w:numPr>
          <w:ilvl w:val="0"/>
          <w:numId w:val="19"/>
        </w:numPr>
        <w:jc w:val="both"/>
        <w:rPr>
          <w:sz w:val="18"/>
          <w:szCs w:val="18"/>
          <w:lang w:val="es-ES_tradnl"/>
        </w:rPr>
      </w:pPr>
      <w:r>
        <w:rPr>
          <w:sz w:val="18"/>
          <w:szCs w:val="18"/>
          <w:lang w:val="es-ES_tradnl"/>
        </w:rPr>
        <w:t>A</w:t>
      </w:r>
      <w:r w:rsidRPr="00CB111D">
        <w:rPr>
          <w:sz w:val="18"/>
          <w:szCs w:val="18"/>
          <w:lang w:val="es-ES_tradnl"/>
        </w:rPr>
        <w:t xml:space="preserve">segurar el acceso a la toma de decisiones </w:t>
      </w:r>
      <w:r>
        <w:rPr>
          <w:sz w:val="18"/>
          <w:szCs w:val="18"/>
          <w:lang w:val="es-ES_tradnl"/>
        </w:rPr>
        <w:t>con apoyo</w:t>
      </w:r>
      <w:r w:rsidRPr="00CB111D">
        <w:rPr>
          <w:sz w:val="18"/>
          <w:szCs w:val="18"/>
          <w:lang w:val="es-ES_tradnl"/>
        </w:rPr>
        <w:t>.</w:t>
      </w:r>
    </w:p>
    <w:p w14:paraId="4AC0C4E7"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 xml:space="preserve">Respetar el estándar de la "mejor interpretación de la voluntad y las preferencias de la persona interesada" en línea con el Artículo 12 de la CDPD, que prohíbe cualquier forma de </w:t>
      </w:r>
      <w:r>
        <w:rPr>
          <w:sz w:val="18"/>
          <w:szCs w:val="18"/>
          <w:lang w:val="es-ES_tradnl"/>
        </w:rPr>
        <w:t xml:space="preserve">sustitución en la </w:t>
      </w:r>
      <w:r w:rsidRPr="00CB111D">
        <w:rPr>
          <w:sz w:val="18"/>
          <w:szCs w:val="18"/>
          <w:lang w:val="es-ES_tradnl"/>
        </w:rPr>
        <w:t>toma de decisiones.</w:t>
      </w:r>
    </w:p>
    <w:p w14:paraId="604EAC81" w14:textId="77777777" w:rsidR="00582C20" w:rsidRPr="00CB111D" w:rsidRDefault="00582C20" w:rsidP="00CB111D">
      <w:pPr>
        <w:pStyle w:val="EndnoteText"/>
        <w:numPr>
          <w:ilvl w:val="0"/>
          <w:numId w:val="19"/>
        </w:numPr>
        <w:jc w:val="both"/>
        <w:rPr>
          <w:sz w:val="18"/>
          <w:szCs w:val="18"/>
          <w:lang w:val="es-ES_tradnl"/>
        </w:rPr>
      </w:pPr>
      <w:r w:rsidRPr="00CB111D">
        <w:rPr>
          <w:sz w:val="18"/>
          <w:szCs w:val="18"/>
          <w:lang w:val="es-ES_tradnl"/>
        </w:rPr>
        <w:t>La provisión de información, apoyo y servicios disponibles dentro de la comunidad, tanto generales como específicos para personas con discapacidades, para disfrutar de una vida digna.</w:t>
      </w:r>
    </w:p>
    <w:p w14:paraId="453CC1DB" w14:textId="77777777" w:rsidR="00582C20" w:rsidRPr="0072673E" w:rsidRDefault="00582C20" w:rsidP="00CB111D">
      <w:pPr>
        <w:pStyle w:val="EndnoteText"/>
        <w:numPr>
          <w:ilvl w:val="0"/>
          <w:numId w:val="19"/>
        </w:numPr>
        <w:jc w:val="both"/>
        <w:rPr>
          <w:sz w:val="18"/>
          <w:szCs w:val="18"/>
          <w:lang w:val="es-ES_tradnl"/>
        </w:rPr>
      </w:pPr>
      <w:r w:rsidRPr="00CB111D">
        <w:rPr>
          <w:sz w:val="18"/>
          <w:szCs w:val="18"/>
          <w:lang w:val="es-ES_tradnl"/>
        </w:rPr>
        <w:t xml:space="preserve">Sistemas de recolección de datos en cada solicitud e intervención de asistencia médica para morir y monitoreo independiente </w:t>
      </w:r>
      <w:r>
        <w:rPr>
          <w:sz w:val="18"/>
          <w:szCs w:val="18"/>
          <w:lang w:val="es-ES_tradnl"/>
        </w:rPr>
        <w:t>de</w:t>
      </w:r>
      <w:r w:rsidRPr="00CB111D">
        <w:rPr>
          <w:sz w:val="18"/>
          <w:szCs w:val="18"/>
          <w:lang w:val="es-ES_tradnl"/>
        </w:rPr>
        <w:t xml:space="preserve"> su uso.</w:t>
      </w:r>
    </w:p>
  </w:endnote>
  <w:endnote w:id="9">
    <w:p w14:paraId="46E5C51A" w14:textId="77777777" w:rsidR="00582C20" w:rsidRPr="00CB111D" w:rsidRDefault="00582C20" w:rsidP="006703DC">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Como es el caso de personas albinas en contextos específicos.</w:t>
      </w:r>
      <w:r w:rsidRPr="00CB111D">
        <w:rPr>
          <w:rFonts w:cstheme="minorHAnsi"/>
          <w:sz w:val="18"/>
          <w:szCs w:val="18"/>
          <w:lang w:val="es-ES_tradnl"/>
        </w:rPr>
        <w:t xml:space="preserve"> </w:t>
      </w:r>
    </w:p>
  </w:endnote>
  <w:endnote w:id="10">
    <w:p w14:paraId="77C7486A" w14:textId="77777777" w:rsidR="00582C20" w:rsidRPr="00CB111D" w:rsidRDefault="00582C20"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w:t>
      </w:r>
      <w:r>
        <w:rPr>
          <w:sz w:val="18"/>
          <w:szCs w:val="18"/>
          <w:lang w:val="es-ES_tradnl"/>
        </w:rPr>
        <w:t xml:space="preserve">véase la Observación General nº 7 del Comité de la CDPD (CDPD/C/GC/7) donde se establece que </w:t>
      </w:r>
      <w:r w:rsidRPr="00CB111D">
        <w:rPr>
          <w:sz w:val="18"/>
          <w:szCs w:val="18"/>
          <w:lang w:val="es-ES_tradnl"/>
        </w:rPr>
        <w:t>los Estados deben</w:t>
      </w:r>
    </w:p>
    <w:p w14:paraId="3331FFC6"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garantizar la transparencia de los procesos de consulta</w:t>
      </w:r>
    </w:p>
    <w:p w14:paraId="202E0CBF"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garantizar el suministro de información adecuada y accesible</w:t>
      </w:r>
    </w:p>
    <w:p w14:paraId="21ABCF9C"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no ocultar información, condicionar o impedir que las organizaciones de personas con discapacidad expresen libremente sus opiniones.</w:t>
      </w:r>
    </w:p>
    <w:p w14:paraId="57484D71"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incluir tanto a las organizaciones registradas como a las no registradas.</w:t>
      </w:r>
    </w:p>
    <w:p w14:paraId="0BCFC39E"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 xml:space="preserve">garantizar una participación temprana y continua. </w:t>
      </w:r>
    </w:p>
    <w:p w14:paraId="3C903687" w14:textId="77777777" w:rsidR="00582C20" w:rsidRPr="00CB111D" w:rsidRDefault="00582C20" w:rsidP="00CB111D">
      <w:pPr>
        <w:pStyle w:val="EndnoteText"/>
        <w:numPr>
          <w:ilvl w:val="0"/>
          <w:numId w:val="21"/>
        </w:numPr>
        <w:jc w:val="both"/>
        <w:rPr>
          <w:sz w:val="18"/>
          <w:szCs w:val="18"/>
          <w:lang w:val="es-ES_tradnl"/>
        </w:rPr>
      </w:pPr>
      <w:r w:rsidRPr="00CB111D">
        <w:rPr>
          <w:sz w:val="18"/>
          <w:szCs w:val="18"/>
          <w:lang w:val="es-ES_tradnl"/>
        </w:rPr>
        <w:t>cubrir los gastos relacionados con los participantes (por ejemplo, transporte y otros gastos para asistir a reuniones y sesiones informativas técnicas).</w:t>
      </w:r>
    </w:p>
    <w:p w14:paraId="0388A061" w14:textId="77777777" w:rsidR="00582C20" w:rsidRPr="00CB111D" w:rsidRDefault="00582C20" w:rsidP="006703DC">
      <w:pPr>
        <w:pStyle w:val="EndnoteText"/>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0BA4" w14:textId="77777777" w:rsidR="0066408B" w:rsidRDefault="0066408B" w:rsidP="00CA591E">
      <w:r>
        <w:separator/>
      </w:r>
    </w:p>
  </w:footnote>
  <w:footnote w:type="continuationSeparator" w:id="0">
    <w:p w14:paraId="4A47BC5D" w14:textId="77777777" w:rsidR="0066408B" w:rsidRDefault="0066408B" w:rsidP="00CA5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3D1AF7"/>
    <w:multiLevelType w:val="hybridMultilevel"/>
    <w:tmpl w:val="4670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D2826"/>
    <w:multiLevelType w:val="hybridMultilevel"/>
    <w:tmpl w:val="FD6E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C3ED1"/>
    <w:multiLevelType w:val="hybridMultilevel"/>
    <w:tmpl w:val="1DC0A8E2"/>
    <w:lvl w:ilvl="0" w:tplc="E09C8312">
      <w:numFmt w:val="bullet"/>
      <w:lvlText w:val="-"/>
      <w:lvlJc w:val="left"/>
      <w:pPr>
        <w:ind w:left="720" w:hanging="360"/>
      </w:pPr>
      <w:rPr>
        <w:rFonts w:ascii="Calibri" w:eastAsiaTheme="minorHAnsi" w:hAnsi="Calibri" w:cstheme="minorHAns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0C951EE"/>
    <w:multiLevelType w:val="hybridMultilevel"/>
    <w:tmpl w:val="D318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8"/>
  </w:num>
  <w:num w:numId="5">
    <w:abstractNumId w:val="11"/>
  </w:num>
  <w:num w:numId="6">
    <w:abstractNumId w:val="23"/>
  </w:num>
  <w:num w:numId="7">
    <w:abstractNumId w:val="18"/>
  </w:num>
  <w:num w:numId="8">
    <w:abstractNumId w:val="6"/>
  </w:num>
  <w:num w:numId="9">
    <w:abstractNumId w:val="0"/>
  </w:num>
  <w:num w:numId="10">
    <w:abstractNumId w:val="20"/>
  </w:num>
  <w:num w:numId="11">
    <w:abstractNumId w:val="5"/>
  </w:num>
  <w:num w:numId="12">
    <w:abstractNumId w:val="17"/>
  </w:num>
  <w:num w:numId="13">
    <w:abstractNumId w:val="7"/>
  </w:num>
  <w:num w:numId="14">
    <w:abstractNumId w:val="13"/>
  </w:num>
  <w:num w:numId="15">
    <w:abstractNumId w:val="12"/>
  </w:num>
  <w:num w:numId="16">
    <w:abstractNumId w:val="21"/>
  </w:num>
  <w:num w:numId="17">
    <w:abstractNumId w:val="1"/>
  </w:num>
  <w:num w:numId="18">
    <w:abstractNumId w:val="9"/>
  </w:num>
  <w:num w:numId="19">
    <w:abstractNumId w:val="22"/>
  </w:num>
  <w:num w:numId="20">
    <w:abstractNumId w:val="19"/>
  </w:num>
  <w:num w:numId="21">
    <w:abstractNumId w:val="15"/>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5A4C"/>
    <w:rsid w:val="00026CE2"/>
    <w:rsid w:val="00027422"/>
    <w:rsid w:val="00050711"/>
    <w:rsid w:val="0005219A"/>
    <w:rsid w:val="00057593"/>
    <w:rsid w:val="00063173"/>
    <w:rsid w:val="00065C3E"/>
    <w:rsid w:val="00073208"/>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17E68"/>
    <w:rsid w:val="00121ED4"/>
    <w:rsid w:val="00122590"/>
    <w:rsid w:val="001361C3"/>
    <w:rsid w:val="00145659"/>
    <w:rsid w:val="00151F7E"/>
    <w:rsid w:val="00154B74"/>
    <w:rsid w:val="00167016"/>
    <w:rsid w:val="0016771A"/>
    <w:rsid w:val="00167E3A"/>
    <w:rsid w:val="0017378D"/>
    <w:rsid w:val="0017443D"/>
    <w:rsid w:val="001820F8"/>
    <w:rsid w:val="00185B50"/>
    <w:rsid w:val="00195062"/>
    <w:rsid w:val="001B790A"/>
    <w:rsid w:val="001C5249"/>
    <w:rsid w:val="001E7926"/>
    <w:rsid w:val="001E7EA3"/>
    <w:rsid w:val="002020F9"/>
    <w:rsid w:val="00203E7D"/>
    <w:rsid w:val="0021105B"/>
    <w:rsid w:val="00215679"/>
    <w:rsid w:val="00215ACE"/>
    <w:rsid w:val="00230DC8"/>
    <w:rsid w:val="00231FE1"/>
    <w:rsid w:val="00232652"/>
    <w:rsid w:val="00234DE0"/>
    <w:rsid w:val="00237688"/>
    <w:rsid w:val="00240F47"/>
    <w:rsid w:val="00256861"/>
    <w:rsid w:val="00263FAE"/>
    <w:rsid w:val="00264909"/>
    <w:rsid w:val="002671D8"/>
    <w:rsid w:val="0027486C"/>
    <w:rsid w:val="002773AC"/>
    <w:rsid w:val="002800F8"/>
    <w:rsid w:val="002820F0"/>
    <w:rsid w:val="002836A9"/>
    <w:rsid w:val="00293512"/>
    <w:rsid w:val="0029416A"/>
    <w:rsid w:val="00294C03"/>
    <w:rsid w:val="002B4C5E"/>
    <w:rsid w:val="002B5B34"/>
    <w:rsid w:val="002C3801"/>
    <w:rsid w:val="002D3D29"/>
    <w:rsid w:val="002D3D56"/>
    <w:rsid w:val="002D7F12"/>
    <w:rsid w:val="002E387E"/>
    <w:rsid w:val="002E3BDC"/>
    <w:rsid w:val="002E6663"/>
    <w:rsid w:val="002F204E"/>
    <w:rsid w:val="002F3113"/>
    <w:rsid w:val="002F45D6"/>
    <w:rsid w:val="00303544"/>
    <w:rsid w:val="00307F27"/>
    <w:rsid w:val="00312E1F"/>
    <w:rsid w:val="00320E55"/>
    <w:rsid w:val="00323CF5"/>
    <w:rsid w:val="003301F5"/>
    <w:rsid w:val="00330660"/>
    <w:rsid w:val="00335FE8"/>
    <w:rsid w:val="00345E96"/>
    <w:rsid w:val="00346DAD"/>
    <w:rsid w:val="003718CF"/>
    <w:rsid w:val="00375672"/>
    <w:rsid w:val="003759C9"/>
    <w:rsid w:val="00376BCC"/>
    <w:rsid w:val="00381918"/>
    <w:rsid w:val="003921D2"/>
    <w:rsid w:val="003A2D7B"/>
    <w:rsid w:val="003A712F"/>
    <w:rsid w:val="003E7407"/>
    <w:rsid w:val="003F3FA7"/>
    <w:rsid w:val="003F568C"/>
    <w:rsid w:val="004149FE"/>
    <w:rsid w:val="00416EC8"/>
    <w:rsid w:val="00420484"/>
    <w:rsid w:val="00420937"/>
    <w:rsid w:val="004301E0"/>
    <w:rsid w:val="00432E7A"/>
    <w:rsid w:val="0043576E"/>
    <w:rsid w:val="00436906"/>
    <w:rsid w:val="0045278F"/>
    <w:rsid w:val="00461CF2"/>
    <w:rsid w:val="004643E4"/>
    <w:rsid w:val="0047455C"/>
    <w:rsid w:val="00474A0E"/>
    <w:rsid w:val="00485ED7"/>
    <w:rsid w:val="004967AF"/>
    <w:rsid w:val="0049767B"/>
    <w:rsid w:val="004A11E8"/>
    <w:rsid w:val="004A22A0"/>
    <w:rsid w:val="004A42A4"/>
    <w:rsid w:val="004B1DF3"/>
    <w:rsid w:val="004C0F5F"/>
    <w:rsid w:val="004C3801"/>
    <w:rsid w:val="004C47F0"/>
    <w:rsid w:val="004D332C"/>
    <w:rsid w:val="004E00C5"/>
    <w:rsid w:val="004E0FAA"/>
    <w:rsid w:val="004E1F02"/>
    <w:rsid w:val="004E41D4"/>
    <w:rsid w:val="004E534A"/>
    <w:rsid w:val="004F1FE0"/>
    <w:rsid w:val="004F538D"/>
    <w:rsid w:val="0051360A"/>
    <w:rsid w:val="005136D8"/>
    <w:rsid w:val="005208D3"/>
    <w:rsid w:val="00533AA4"/>
    <w:rsid w:val="00534A78"/>
    <w:rsid w:val="00542B3C"/>
    <w:rsid w:val="00545A72"/>
    <w:rsid w:val="0056477C"/>
    <w:rsid w:val="005676AC"/>
    <w:rsid w:val="00571036"/>
    <w:rsid w:val="0057267D"/>
    <w:rsid w:val="0058098B"/>
    <w:rsid w:val="00582C20"/>
    <w:rsid w:val="005843A5"/>
    <w:rsid w:val="00595F54"/>
    <w:rsid w:val="005970C3"/>
    <w:rsid w:val="005B0200"/>
    <w:rsid w:val="005B3669"/>
    <w:rsid w:val="005B5EFD"/>
    <w:rsid w:val="005E57DF"/>
    <w:rsid w:val="005F1F6D"/>
    <w:rsid w:val="005F266C"/>
    <w:rsid w:val="005F4EC8"/>
    <w:rsid w:val="005F7C6D"/>
    <w:rsid w:val="00601FF5"/>
    <w:rsid w:val="0060522F"/>
    <w:rsid w:val="006072BE"/>
    <w:rsid w:val="00611DF2"/>
    <w:rsid w:val="00634DC7"/>
    <w:rsid w:val="006362B7"/>
    <w:rsid w:val="00640EB8"/>
    <w:rsid w:val="00643BF2"/>
    <w:rsid w:val="0065051C"/>
    <w:rsid w:val="00652E13"/>
    <w:rsid w:val="00660E71"/>
    <w:rsid w:val="00662FF2"/>
    <w:rsid w:val="0066408B"/>
    <w:rsid w:val="006644EA"/>
    <w:rsid w:val="006671F0"/>
    <w:rsid w:val="006703DC"/>
    <w:rsid w:val="00672036"/>
    <w:rsid w:val="006733FE"/>
    <w:rsid w:val="00681265"/>
    <w:rsid w:val="0068399E"/>
    <w:rsid w:val="00685485"/>
    <w:rsid w:val="00685CF4"/>
    <w:rsid w:val="006905DC"/>
    <w:rsid w:val="00695474"/>
    <w:rsid w:val="00696FC9"/>
    <w:rsid w:val="006B241C"/>
    <w:rsid w:val="006B3FE4"/>
    <w:rsid w:val="006B5CDD"/>
    <w:rsid w:val="006C5832"/>
    <w:rsid w:val="006C6E21"/>
    <w:rsid w:val="006C6ED8"/>
    <w:rsid w:val="006C7478"/>
    <w:rsid w:val="006D7F8D"/>
    <w:rsid w:val="006F201F"/>
    <w:rsid w:val="006F66C7"/>
    <w:rsid w:val="006F7AAC"/>
    <w:rsid w:val="0070160D"/>
    <w:rsid w:val="00702448"/>
    <w:rsid w:val="00705361"/>
    <w:rsid w:val="007065A4"/>
    <w:rsid w:val="007070D2"/>
    <w:rsid w:val="0072068D"/>
    <w:rsid w:val="007221DC"/>
    <w:rsid w:val="0072673E"/>
    <w:rsid w:val="00736A44"/>
    <w:rsid w:val="00737D13"/>
    <w:rsid w:val="00745639"/>
    <w:rsid w:val="007457D0"/>
    <w:rsid w:val="00745EFD"/>
    <w:rsid w:val="007472F1"/>
    <w:rsid w:val="00773317"/>
    <w:rsid w:val="00773555"/>
    <w:rsid w:val="00776B8D"/>
    <w:rsid w:val="00785B3A"/>
    <w:rsid w:val="00792C5D"/>
    <w:rsid w:val="007931F2"/>
    <w:rsid w:val="00793B46"/>
    <w:rsid w:val="007A4591"/>
    <w:rsid w:val="007B6324"/>
    <w:rsid w:val="007C2DCA"/>
    <w:rsid w:val="007E6C19"/>
    <w:rsid w:val="0080004D"/>
    <w:rsid w:val="00803B86"/>
    <w:rsid w:val="00813049"/>
    <w:rsid w:val="00817510"/>
    <w:rsid w:val="00823FA2"/>
    <w:rsid w:val="008260A5"/>
    <w:rsid w:val="00831F3B"/>
    <w:rsid w:val="00832AD0"/>
    <w:rsid w:val="00841566"/>
    <w:rsid w:val="00851CF5"/>
    <w:rsid w:val="008563CA"/>
    <w:rsid w:val="00856B6E"/>
    <w:rsid w:val="0088018F"/>
    <w:rsid w:val="00884F8C"/>
    <w:rsid w:val="008858A7"/>
    <w:rsid w:val="0089365A"/>
    <w:rsid w:val="00893A92"/>
    <w:rsid w:val="00895469"/>
    <w:rsid w:val="008958AB"/>
    <w:rsid w:val="00897B50"/>
    <w:rsid w:val="008A794F"/>
    <w:rsid w:val="008B5FC4"/>
    <w:rsid w:val="008C76C6"/>
    <w:rsid w:val="008D2892"/>
    <w:rsid w:val="008E15CB"/>
    <w:rsid w:val="008F136C"/>
    <w:rsid w:val="008F3148"/>
    <w:rsid w:val="008F3CBA"/>
    <w:rsid w:val="00905637"/>
    <w:rsid w:val="009058BB"/>
    <w:rsid w:val="00911B07"/>
    <w:rsid w:val="009159FD"/>
    <w:rsid w:val="0092368C"/>
    <w:rsid w:val="00926F81"/>
    <w:rsid w:val="009333B2"/>
    <w:rsid w:val="0093467A"/>
    <w:rsid w:val="009421AF"/>
    <w:rsid w:val="00945C70"/>
    <w:rsid w:val="00954D13"/>
    <w:rsid w:val="00964A5B"/>
    <w:rsid w:val="00964A6E"/>
    <w:rsid w:val="00964B94"/>
    <w:rsid w:val="0096663D"/>
    <w:rsid w:val="009747C0"/>
    <w:rsid w:val="00982DDB"/>
    <w:rsid w:val="00984AC7"/>
    <w:rsid w:val="009A4374"/>
    <w:rsid w:val="009A6799"/>
    <w:rsid w:val="009B0C95"/>
    <w:rsid w:val="009B501E"/>
    <w:rsid w:val="009B5367"/>
    <w:rsid w:val="009B6153"/>
    <w:rsid w:val="009D221D"/>
    <w:rsid w:val="009D27EB"/>
    <w:rsid w:val="009D4F22"/>
    <w:rsid w:val="009D6367"/>
    <w:rsid w:val="009E1074"/>
    <w:rsid w:val="009E5527"/>
    <w:rsid w:val="009F6E73"/>
    <w:rsid w:val="009F7D61"/>
    <w:rsid w:val="00A01319"/>
    <w:rsid w:val="00A11619"/>
    <w:rsid w:val="00A1570B"/>
    <w:rsid w:val="00A21E81"/>
    <w:rsid w:val="00A42C44"/>
    <w:rsid w:val="00A441B8"/>
    <w:rsid w:val="00A778DE"/>
    <w:rsid w:val="00A87C64"/>
    <w:rsid w:val="00AA1F90"/>
    <w:rsid w:val="00AB2047"/>
    <w:rsid w:val="00AB4A39"/>
    <w:rsid w:val="00AC03AB"/>
    <w:rsid w:val="00AD3349"/>
    <w:rsid w:val="00AE00B9"/>
    <w:rsid w:val="00AE3064"/>
    <w:rsid w:val="00AF4BE9"/>
    <w:rsid w:val="00B03486"/>
    <w:rsid w:val="00B0552A"/>
    <w:rsid w:val="00B14E1F"/>
    <w:rsid w:val="00B2353B"/>
    <w:rsid w:val="00B27442"/>
    <w:rsid w:val="00B4198C"/>
    <w:rsid w:val="00B43696"/>
    <w:rsid w:val="00B553A7"/>
    <w:rsid w:val="00B64B40"/>
    <w:rsid w:val="00B71249"/>
    <w:rsid w:val="00B7564A"/>
    <w:rsid w:val="00B952F5"/>
    <w:rsid w:val="00B9603F"/>
    <w:rsid w:val="00BA22F4"/>
    <w:rsid w:val="00BA6BAA"/>
    <w:rsid w:val="00BB4CB4"/>
    <w:rsid w:val="00BC022E"/>
    <w:rsid w:val="00BC0719"/>
    <w:rsid w:val="00BC5BC9"/>
    <w:rsid w:val="00BE346D"/>
    <w:rsid w:val="00BE733A"/>
    <w:rsid w:val="00BF276B"/>
    <w:rsid w:val="00BF6814"/>
    <w:rsid w:val="00C00627"/>
    <w:rsid w:val="00C17189"/>
    <w:rsid w:val="00C2143C"/>
    <w:rsid w:val="00C233C1"/>
    <w:rsid w:val="00C24776"/>
    <w:rsid w:val="00C321BA"/>
    <w:rsid w:val="00C410CA"/>
    <w:rsid w:val="00C4598B"/>
    <w:rsid w:val="00C51F20"/>
    <w:rsid w:val="00C541CC"/>
    <w:rsid w:val="00C84B31"/>
    <w:rsid w:val="00C8554B"/>
    <w:rsid w:val="00C92A6B"/>
    <w:rsid w:val="00C95E14"/>
    <w:rsid w:val="00CA0ACC"/>
    <w:rsid w:val="00CA591E"/>
    <w:rsid w:val="00CB111D"/>
    <w:rsid w:val="00CC11B9"/>
    <w:rsid w:val="00CC346D"/>
    <w:rsid w:val="00CD0B22"/>
    <w:rsid w:val="00CE7FF4"/>
    <w:rsid w:val="00CF20D7"/>
    <w:rsid w:val="00D01F95"/>
    <w:rsid w:val="00D12E6A"/>
    <w:rsid w:val="00D13F5B"/>
    <w:rsid w:val="00D167E3"/>
    <w:rsid w:val="00D21F1D"/>
    <w:rsid w:val="00D232D8"/>
    <w:rsid w:val="00D32788"/>
    <w:rsid w:val="00D34575"/>
    <w:rsid w:val="00D50609"/>
    <w:rsid w:val="00D5561D"/>
    <w:rsid w:val="00D5651C"/>
    <w:rsid w:val="00D70A83"/>
    <w:rsid w:val="00D70AF4"/>
    <w:rsid w:val="00D80803"/>
    <w:rsid w:val="00D911DD"/>
    <w:rsid w:val="00D94DC4"/>
    <w:rsid w:val="00D94FFA"/>
    <w:rsid w:val="00D967C7"/>
    <w:rsid w:val="00DB3954"/>
    <w:rsid w:val="00DB4C6E"/>
    <w:rsid w:val="00DB5B52"/>
    <w:rsid w:val="00DC0924"/>
    <w:rsid w:val="00DD079B"/>
    <w:rsid w:val="00DD17EC"/>
    <w:rsid w:val="00DD2A83"/>
    <w:rsid w:val="00DE315D"/>
    <w:rsid w:val="00DE431B"/>
    <w:rsid w:val="00DE4B64"/>
    <w:rsid w:val="00E15075"/>
    <w:rsid w:val="00E232CB"/>
    <w:rsid w:val="00E24957"/>
    <w:rsid w:val="00E26622"/>
    <w:rsid w:val="00E27296"/>
    <w:rsid w:val="00E27806"/>
    <w:rsid w:val="00E31AF2"/>
    <w:rsid w:val="00E32612"/>
    <w:rsid w:val="00E363AE"/>
    <w:rsid w:val="00E41BC1"/>
    <w:rsid w:val="00E4708E"/>
    <w:rsid w:val="00E608B7"/>
    <w:rsid w:val="00E64E57"/>
    <w:rsid w:val="00E72711"/>
    <w:rsid w:val="00E8709D"/>
    <w:rsid w:val="00E87705"/>
    <w:rsid w:val="00E936BF"/>
    <w:rsid w:val="00E96C21"/>
    <w:rsid w:val="00E97952"/>
    <w:rsid w:val="00EA528D"/>
    <w:rsid w:val="00EC0D4A"/>
    <w:rsid w:val="00EC2034"/>
    <w:rsid w:val="00EC2427"/>
    <w:rsid w:val="00ED0E57"/>
    <w:rsid w:val="00ED2C1C"/>
    <w:rsid w:val="00ED3786"/>
    <w:rsid w:val="00ED42B0"/>
    <w:rsid w:val="00ED642C"/>
    <w:rsid w:val="00EE1131"/>
    <w:rsid w:val="00EE4AB0"/>
    <w:rsid w:val="00EE56DD"/>
    <w:rsid w:val="00EE5CFE"/>
    <w:rsid w:val="00F05557"/>
    <w:rsid w:val="00F11C7E"/>
    <w:rsid w:val="00F1204A"/>
    <w:rsid w:val="00F230F3"/>
    <w:rsid w:val="00F25C10"/>
    <w:rsid w:val="00F434A2"/>
    <w:rsid w:val="00F46D3B"/>
    <w:rsid w:val="00F52BEC"/>
    <w:rsid w:val="00F63625"/>
    <w:rsid w:val="00F63CBD"/>
    <w:rsid w:val="00F76645"/>
    <w:rsid w:val="00F77890"/>
    <w:rsid w:val="00F77E96"/>
    <w:rsid w:val="00F80CCF"/>
    <w:rsid w:val="00F958E6"/>
    <w:rsid w:val="00F9606C"/>
    <w:rsid w:val="00F962EB"/>
    <w:rsid w:val="00F97690"/>
    <w:rsid w:val="00FA30F9"/>
    <w:rsid w:val="00FB072B"/>
    <w:rsid w:val="00FB166C"/>
    <w:rsid w:val="00FB233B"/>
    <w:rsid w:val="00FB33D1"/>
    <w:rsid w:val="00FC02DE"/>
    <w:rsid w:val="00FC13CE"/>
    <w:rsid w:val="00FC5610"/>
    <w:rsid w:val="00FD14CF"/>
    <w:rsid w:val="00FD39D7"/>
    <w:rsid w:val="00FD457B"/>
    <w:rsid w:val="00FE0A98"/>
    <w:rsid w:val="00FE41A9"/>
    <w:rsid w:val="00FF0735"/>
    <w:rsid w:val="00FF74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A1570B"/>
  </w:style>
  <w:style w:type="character" w:customStyle="1" w:styleId="col-xs-12">
    <w:name w:val="col-xs-12"/>
    <w:basedOn w:val="DefaultParagraphFont"/>
    <w:rsid w:val="00A1570B"/>
  </w:style>
  <w:style w:type="character" w:customStyle="1" w:styleId="Heading2Char">
    <w:name w:val="Heading 2 Char"/>
    <w:basedOn w:val="DefaultParagraphFont"/>
    <w:link w:val="Heading2"/>
    <w:uiPriority w:val="9"/>
    <w:semiHidden/>
    <w:rsid w:val="004E41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879">
      <w:bodyDiv w:val="1"/>
      <w:marLeft w:val="0"/>
      <w:marRight w:val="0"/>
      <w:marTop w:val="0"/>
      <w:marBottom w:val="0"/>
      <w:divBdr>
        <w:top w:val="none" w:sz="0" w:space="0" w:color="auto"/>
        <w:left w:val="none" w:sz="0" w:space="0" w:color="auto"/>
        <w:bottom w:val="none" w:sz="0" w:space="0" w:color="auto"/>
        <w:right w:val="none" w:sz="0" w:space="0" w:color="auto"/>
      </w:divBdr>
    </w:div>
    <w:div w:id="159464428">
      <w:bodyDiv w:val="1"/>
      <w:marLeft w:val="0"/>
      <w:marRight w:val="0"/>
      <w:marTop w:val="0"/>
      <w:marBottom w:val="0"/>
      <w:divBdr>
        <w:top w:val="none" w:sz="0" w:space="0" w:color="auto"/>
        <w:left w:val="none" w:sz="0" w:space="0" w:color="auto"/>
        <w:bottom w:val="none" w:sz="0" w:space="0" w:color="auto"/>
        <w:right w:val="none" w:sz="0" w:space="0" w:color="auto"/>
      </w:divBdr>
    </w:div>
    <w:div w:id="287711312">
      <w:bodyDiv w:val="1"/>
      <w:marLeft w:val="0"/>
      <w:marRight w:val="0"/>
      <w:marTop w:val="0"/>
      <w:marBottom w:val="0"/>
      <w:divBdr>
        <w:top w:val="none" w:sz="0" w:space="0" w:color="auto"/>
        <w:left w:val="none" w:sz="0" w:space="0" w:color="auto"/>
        <w:bottom w:val="none" w:sz="0" w:space="0" w:color="auto"/>
        <w:right w:val="none" w:sz="0" w:space="0" w:color="auto"/>
      </w:divBdr>
    </w:div>
    <w:div w:id="417600865">
      <w:bodyDiv w:val="1"/>
      <w:marLeft w:val="0"/>
      <w:marRight w:val="0"/>
      <w:marTop w:val="0"/>
      <w:marBottom w:val="0"/>
      <w:divBdr>
        <w:top w:val="none" w:sz="0" w:space="0" w:color="auto"/>
        <w:left w:val="none" w:sz="0" w:space="0" w:color="auto"/>
        <w:bottom w:val="none" w:sz="0" w:space="0" w:color="auto"/>
        <w:right w:val="none" w:sz="0" w:space="0" w:color="auto"/>
      </w:divBdr>
    </w:div>
    <w:div w:id="473567924">
      <w:bodyDiv w:val="1"/>
      <w:marLeft w:val="0"/>
      <w:marRight w:val="0"/>
      <w:marTop w:val="0"/>
      <w:marBottom w:val="0"/>
      <w:divBdr>
        <w:top w:val="none" w:sz="0" w:space="0" w:color="auto"/>
        <w:left w:val="none" w:sz="0" w:space="0" w:color="auto"/>
        <w:bottom w:val="none" w:sz="0" w:space="0" w:color="auto"/>
        <w:right w:val="none" w:sz="0" w:space="0" w:color="auto"/>
      </w:divBdr>
    </w:div>
    <w:div w:id="528103006">
      <w:bodyDiv w:val="1"/>
      <w:marLeft w:val="0"/>
      <w:marRight w:val="0"/>
      <w:marTop w:val="0"/>
      <w:marBottom w:val="0"/>
      <w:divBdr>
        <w:top w:val="none" w:sz="0" w:space="0" w:color="auto"/>
        <w:left w:val="none" w:sz="0" w:space="0" w:color="auto"/>
        <w:bottom w:val="none" w:sz="0" w:space="0" w:color="auto"/>
        <w:right w:val="none" w:sz="0" w:space="0" w:color="auto"/>
      </w:divBdr>
    </w:div>
    <w:div w:id="560363461">
      <w:bodyDiv w:val="1"/>
      <w:marLeft w:val="0"/>
      <w:marRight w:val="0"/>
      <w:marTop w:val="0"/>
      <w:marBottom w:val="0"/>
      <w:divBdr>
        <w:top w:val="none" w:sz="0" w:space="0" w:color="auto"/>
        <w:left w:val="none" w:sz="0" w:space="0" w:color="auto"/>
        <w:bottom w:val="none" w:sz="0" w:space="0" w:color="auto"/>
        <w:right w:val="none" w:sz="0" w:space="0" w:color="auto"/>
      </w:divBdr>
    </w:div>
    <w:div w:id="603272239">
      <w:bodyDiv w:val="1"/>
      <w:marLeft w:val="0"/>
      <w:marRight w:val="0"/>
      <w:marTop w:val="0"/>
      <w:marBottom w:val="0"/>
      <w:divBdr>
        <w:top w:val="none" w:sz="0" w:space="0" w:color="auto"/>
        <w:left w:val="none" w:sz="0" w:space="0" w:color="auto"/>
        <w:bottom w:val="none" w:sz="0" w:space="0" w:color="auto"/>
        <w:right w:val="none" w:sz="0" w:space="0" w:color="auto"/>
      </w:divBdr>
    </w:div>
    <w:div w:id="628362607">
      <w:bodyDiv w:val="1"/>
      <w:marLeft w:val="0"/>
      <w:marRight w:val="0"/>
      <w:marTop w:val="0"/>
      <w:marBottom w:val="0"/>
      <w:divBdr>
        <w:top w:val="none" w:sz="0" w:space="0" w:color="auto"/>
        <w:left w:val="none" w:sz="0" w:space="0" w:color="auto"/>
        <w:bottom w:val="none" w:sz="0" w:space="0" w:color="auto"/>
        <w:right w:val="none" w:sz="0" w:space="0" w:color="auto"/>
      </w:divBdr>
    </w:div>
    <w:div w:id="649095828">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49353">
      <w:bodyDiv w:val="1"/>
      <w:marLeft w:val="0"/>
      <w:marRight w:val="0"/>
      <w:marTop w:val="0"/>
      <w:marBottom w:val="0"/>
      <w:divBdr>
        <w:top w:val="none" w:sz="0" w:space="0" w:color="auto"/>
        <w:left w:val="none" w:sz="0" w:space="0" w:color="auto"/>
        <w:bottom w:val="none" w:sz="0" w:space="0" w:color="auto"/>
        <w:right w:val="none" w:sz="0" w:space="0" w:color="auto"/>
      </w:divBdr>
    </w:div>
    <w:div w:id="834615846">
      <w:bodyDiv w:val="1"/>
      <w:marLeft w:val="0"/>
      <w:marRight w:val="0"/>
      <w:marTop w:val="0"/>
      <w:marBottom w:val="0"/>
      <w:divBdr>
        <w:top w:val="none" w:sz="0" w:space="0" w:color="auto"/>
        <w:left w:val="none" w:sz="0" w:space="0" w:color="auto"/>
        <w:bottom w:val="none" w:sz="0" w:space="0" w:color="auto"/>
        <w:right w:val="none" w:sz="0" w:space="0" w:color="auto"/>
      </w:divBdr>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873883847">
      <w:bodyDiv w:val="1"/>
      <w:marLeft w:val="0"/>
      <w:marRight w:val="0"/>
      <w:marTop w:val="0"/>
      <w:marBottom w:val="0"/>
      <w:divBdr>
        <w:top w:val="none" w:sz="0" w:space="0" w:color="auto"/>
        <w:left w:val="none" w:sz="0" w:space="0" w:color="auto"/>
        <w:bottom w:val="none" w:sz="0" w:space="0" w:color="auto"/>
        <w:right w:val="none" w:sz="0" w:space="0" w:color="auto"/>
      </w:divBdr>
    </w:div>
    <w:div w:id="944071018">
      <w:bodyDiv w:val="1"/>
      <w:marLeft w:val="0"/>
      <w:marRight w:val="0"/>
      <w:marTop w:val="0"/>
      <w:marBottom w:val="0"/>
      <w:divBdr>
        <w:top w:val="none" w:sz="0" w:space="0" w:color="auto"/>
        <w:left w:val="none" w:sz="0" w:space="0" w:color="auto"/>
        <w:bottom w:val="none" w:sz="0" w:space="0" w:color="auto"/>
        <w:right w:val="none" w:sz="0" w:space="0" w:color="auto"/>
      </w:divBdr>
    </w:div>
    <w:div w:id="1098913451">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330211185">
      <w:bodyDiv w:val="1"/>
      <w:marLeft w:val="0"/>
      <w:marRight w:val="0"/>
      <w:marTop w:val="0"/>
      <w:marBottom w:val="0"/>
      <w:divBdr>
        <w:top w:val="none" w:sz="0" w:space="0" w:color="auto"/>
        <w:left w:val="none" w:sz="0" w:space="0" w:color="auto"/>
        <w:bottom w:val="none" w:sz="0" w:space="0" w:color="auto"/>
        <w:right w:val="none" w:sz="0" w:space="0" w:color="auto"/>
      </w:divBdr>
    </w:div>
    <w:div w:id="1363045174">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575318016">
      <w:bodyDiv w:val="1"/>
      <w:marLeft w:val="0"/>
      <w:marRight w:val="0"/>
      <w:marTop w:val="0"/>
      <w:marBottom w:val="0"/>
      <w:divBdr>
        <w:top w:val="none" w:sz="0" w:space="0" w:color="auto"/>
        <w:left w:val="none" w:sz="0" w:space="0" w:color="auto"/>
        <w:bottom w:val="none" w:sz="0" w:space="0" w:color="auto"/>
        <w:right w:val="none" w:sz="0" w:space="0" w:color="auto"/>
      </w:divBdr>
    </w:div>
    <w:div w:id="1621758805">
      <w:bodyDiv w:val="1"/>
      <w:marLeft w:val="0"/>
      <w:marRight w:val="0"/>
      <w:marTop w:val="0"/>
      <w:marBottom w:val="0"/>
      <w:divBdr>
        <w:top w:val="none" w:sz="0" w:space="0" w:color="auto"/>
        <w:left w:val="none" w:sz="0" w:space="0" w:color="auto"/>
        <w:bottom w:val="none" w:sz="0" w:space="0" w:color="auto"/>
        <w:right w:val="none" w:sz="0" w:space="0" w:color="auto"/>
      </w:divBdr>
    </w:div>
    <w:div w:id="1659454116">
      <w:bodyDiv w:val="1"/>
      <w:marLeft w:val="0"/>
      <w:marRight w:val="0"/>
      <w:marTop w:val="0"/>
      <w:marBottom w:val="0"/>
      <w:divBdr>
        <w:top w:val="none" w:sz="0" w:space="0" w:color="auto"/>
        <w:left w:val="none" w:sz="0" w:space="0" w:color="auto"/>
        <w:bottom w:val="none" w:sz="0" w:space="0" w:color="auto"/>
        <w:right w:val="none" w:sz="0" w:space="0" w:color="auto"/>
      </w:divBdr>
    </w:div>
    <w:div w:id="1775129984">
      <w:bodyDiv w:val="1"/>
      <w:marLeft w:val="0"/>
      <w:marRight w:val="0"/>
      <w:marTop w:val="0"/>
      <w:marBottom w:val="0"/>
      <w:divBdr>
        <w:top w:val="none" w:sz="0" w:space="0" w:color="auto"/>
        <w:left w:val="none" w:sz="0" w:space="0" w:color="auto"/>
        <w:bottom w:val="none" w:sz="0" w:space="0" w:color="auto"/>
        <w:right w:val="none" w:sz="0" w:space="0" w:color="auto"/>
      </w:divBdr>
    </w:div>
    <w:div w:id="1841578755">
      <w:bodyDiv w:val="1"/>
      <w:marLeft w:val="0"/>
      <w:marRight w:val="0"/>
      <w:marTop w:val="0"/>
      <w:marBottom w:val="0"/>
      <w:divBdr>
        <w:top w:val="none" w:sz="0" w:space="0" w:color="auto"/>
        <w:left w:val="none" w:sz="0" w:space="0" w:color="auto"/>
        <w:bottom w:val="none" w:sz="0" w:space="0" w:color="auto"/>
        <w:right w:val="none" w:sz="0" w:space="0" w:color="auto"/>
      </w:divBdr>
    </w:div>
    <w:div w:id="184328074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7881355">
      <w:bodyDiv w:val="1"/>
      <w:marLeft w:val="0"/>
      <w:marRight w:val="0"/>
      <w:marTop w:val="0"/>
      <w:marBottom w:val="0"/>
      <w:divBdr>
        <w:top w:val="none" w:sz="0" w:space="0" w:color="auto"/>
        <w:left w:val="none" w:sz="0" w:space="0" w:color="auto"/>
        <w:bottom w:val="none" w:sz="0" w:space="0" w:color="auto"/>
        <w:right w:val="none" w:sz="0" w:space="0" w:color="auto"/>
      </w:divBdr>
    </w:div>
    <w:div w:id="1974289299">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04697699">
      <w:bodyDiv w:val="1"/>
      <w:marLeft w:val="0"/>
      <w:marRight w:val="0"/>
      <w:marTop w:val="0"/>
      <w:marBottom w:val="0"/>
      <w:divBdr>
        <w:top w:val="none" w:sz="0" w:space="0" w:color="auto"/>
        <w:left w:val="none" w:sz="0" w:space="0" w:color="auto"/>
        <w:bottom w:val="none" w:sz="0" w:space="0" w:color="auto"/>
        <w:right w:val="none" w:sz="0" w:space="0" w:color="auto"/>
      </w:divBdr>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 w:id="2083796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A2710-967F-4E4C-BA52-4A7AC652E723}">
  <ds:schemaRefs>
    <ds:schemaRef ds:uri="http://schemas.openxmlformats.org/officeDocument/2006/bibliography"/>
  </ds:schemaRefs>
</ds:datastoreItem>
</file>

<file path=customXml/itemProps2.xml><?xml version="1.0" encoding="utf-8"?>
<ds:datastoreItem xmlns:ds="http://schemas.openxmlformats.org/officeDocument/2006/customXml" ds:itemID="{A2DCD6F6-5BA9-46B6-80F8-BA64DC872D67}"/>
</file>

<file path=customXml/itemProps3.xml><?xml version="1.0" encoding="utf-8"?>
<ds:datastoreItem xmlns:ds="http://schemas.openxmlformats.org/officeDocument/2006/customXml" ds:itemID="{733DCD76-F6D1-4990-92FD-B90CBA4ED9F2}"/>
</file>

<file path=customXml/itemProps4.xml><?xml version="1.0" encoding="utf-8"?>
<ds:datastoreItem xmlns:ds="http://schemas.openxmlformats.org/officeDocument/2006/customXml" ds:itemID="{8F447BFB-49A9-4BB5-8E96-9B1E824EB464}"/>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Microsoft Office User</cp:lastModifiedBy>
  <cp:revision>3</cp:revision>
  <cp:lastPrinted>2018-11-12T09:21:00Z</cp:lastPrinted>
  <dcterms:created xsi:type="dcterms:W3CDTF">2019-07-30T13:24:00Z</dcterms:created>
  <dcterms:modified xsi:type="dcterms:W3CDTF">2019-07-30T13:26:00Z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