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42"/>
        <w:tblW w:w="15163" w:type="dxa"/>
        <w:tblLook w:val="04A0" w:firstRow="1" w:lastRow="0" w:firstColumn="1" w:lastColumn="0" w:noHBand="0" w:noVBand="1"/>
      </w:tblPr>
      <w:tblGrid>
        <w:gridCol w:w="1086"/>
        <w:gridCol w:w="5423"/>
        <w:gridCol w:w="229"/>
        <w:gridCol w:w="6301"/>
        <w:gridCol w:w="2124"/>
      </w:tblGrid>
      <w:tr w:rsidR="00AD3349" w:rsidRPr="005C6A02" w14:paraId="67C66155" w14:textId="77777777" w:rsidTr="0031075F">
        <w:tc>
          <w:tcPr>
            <w:tcW w:w="15163" w:type="dxa"/>
            <w:gridSpan w:val="5"/>
            <w:shd w:val="clear" w:color="auto" w:fill="BFBFBF" w:themeFill="background1" w:themeFillShade="BF"/>
          </w:tcPr>
          <w:p w14:paraId="501F9C92" w14:textId="79DAE8C8" w:rsidR="0065051C" w:rsidRPr="00923056" w:rsidRDefault="0065051C" w:rsidP="00862F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Artículo 27 - Indicadores ilustrativos sobre el trabajo y el empleo</w:t>
            </w:r>
          </w:p>
        </w:tc>
      </w:tr>
      <w:tr w:rsidR="00AD3349" w:rsidRPr="005C6A02" w14:paraId="1113D4A1" w14:textId="77777777" w:rsidTr="0031075F">
        <w:tc>
          <w:tcPr>
            <w:tcW w:w="15163" w:type="dxa"/>
            <w:gridSpan w:val="5"/>
            <w:shd w:val="clear" w:color="auto" w:fill="auto"/>
          </w:tcPr>
          <w:p w14:paraId="4090E0FB" w14:textId="77777777" w:rsidR="0065051C" w:rsidRPr="00923056" w:rsidRDefault="0065051C" w:rsidP="00862F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Derecho a ganarse la vida mediante un trabajo elegido libremente en un mercado y un entorno laboral abierto, inclusivo y accesible</w:t>
            </w:r>
          </w:p>
        </w:tc>
      </w:tr>
      <w:tr w:rsidR="0065051C" w:rsidRPr="005C6A02" w14:paraId="10FDE2E4" w14:textId="77777777" w:rsidTr="00127A37">
        <w:tc>
          <w:tcPr>
            <w:tcW w:w="1054" w:type="dxa"/>
            <w:shd w:val="clear" w:color="auto" w:fill="auto"/>
          </w:tcPr>
          <w:p w14:paraId="40D0D6FD" w14:textId="77777777" w:rsidR="0065051C" w:rsidRPr="00923056" w:rsidRDefault="0065051C" w:rsidP="00862F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Atributos/</w:t>
            </w:r>
          </w:p>
          <w:p w14:paraId="26D49216" w14:textId="77777777" w:rsidR="0065051C" w:rsidRPr="00923056" w:rsidRDefault="0065051C" w:rsidP="00862F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Indicadores</w:t>
            </w:r>
          </w:p>
        </w:tc>
        <w:tc>
          <w:tcPr>
            <w:tcW w:w="5666" w:type="dxa"/>
            <w:gridSpan w:val="2"/>
            <w:shd w:val="clear" w:color="auto" w:fill="auto"/>
          </w:tcPr>
          <w:p w14:paraId="43F5183B" w14:textId="77777777" w:rsidR="0065051C" w:rsidRPr="00923056" w:rsidRDefault="0065051C" w:rsidP="00862F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Acceso al empleo</w:t>
            </w:r>
          </w:p>
        </w:tc>
        <w:tc>
          <w:tcPr>
            <w:tcW w:w="6316" w:type="dxa"/>
            <w:shd w:val="clear" w:color="auto" w:fill="auto"/>
          </w:tcPr>
          <w:p w14:paraId="2CAF58CA" w14:textId="77777777" w:rsidR="0065051C" w:rsidRPr="00923056" w:rsidRDefault="0065051C" w:rsidP="00862F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Igualdad de oportunidades en el lugar de trabajo</w:t>
            </w:r>
          </w:p>
        </w:tc>
        <w:tc>
          <w:tcPr>
            <w:tcW w:w="2127" w:type="dxa"/>
            <w:shd w:val="clear" w:color="auto" w:fill="auto"/>
          </w:tcPr>
          <w:p w14:paraId="5DEE108D" w14:textId="77777777" w:rsidR="0065051C" w:rsidRPr="00923056" w:rsidRDefault="0065051C" w:rsidP="00862F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Protección contra el trabajo forzoso u obligatorio</w:t>
            </w:r>
          </w:p>
        </w:tc>
      </w:tr>
      <w:tr w:rsidR="0065051C" w:rsidRPr="005C6A02" w14:paraId="4ECE9922" w14:textId="77777777" w:rsidTr="00127A37">
        <w:trPr>
          <w:trHeight w:val="699"/>
        </w:trPr>
        <w:tc>
          <w:tcPr>
            <w:tcW w:w="1054" w:type="dxa"/>
            <w:vMerge w:val="restart"/>
            <w:shd w:val="clear" w:color="auto" w:fill="auto"/>
          </w:tcPr>
          <w:p w14:paraId="76F60D5B" w14:textId="77777777" w:rsidR="0065051C" w:rsidRPr="00923056" w:rsidRDefault="0065051C" w:rsidP="00862FC4">
            <w:pPr>
              <w:pStyle w:val="ListParagraph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Estructura</w:t>
            </w:r>
          </w:p>
        </w:tc>
        <w:tc>
          <w:tcPr>
            <w:tcW w:w="11982" w:type="dxa"/>
            <w:gridSpan w:val="3"/>
            <w:shd w:val="clear" w:color="auto" w:fill="auto"/>
          </w:tcPr>
          <w:p w14:paraId="586B55AB" w14:textId="09F5DDAC" w:rsidR="0065051C" w:rsidRPr="00923056" w:rsidRDefault="00264909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27.1 Legislación promulgada en relación con todos los aspectos del empleo</w:t>
            </w:r>
            <w:r w:rsidR="0065051C" w:rsidRPr="00923056">
              <w:rPr>
                <w:rStyle w:val="EndnoteReference"/>
                <w:rFonts w:cstheme="minorHAnsi"/>
                <w:sz w:val="18"/>
                <w:szCs w:val="18"/>
              </w:rPr>
              <w:endnoteReference w:id="1"/>
            </w:r>
            <w:r>
              <w:rPr>
                <w:sz w:val="18"/>
                <w:szCs w:val="18"/>
              </w:rPr>
              <w:t xml:space="preserve">, la formación y los servicios de empleo </w:t>
            </w:r>
            <w:r w:rsidR="006146FD">
              <w:rPr>
                <w:sz w:val="18"/>
                <w:szCs w:val="18"/>
              </w:rPr>
              <w:t>son inclusivas de</w:t>
            </w:r>
            <w:r>
              <w:rPr>
                <w:sz w:val="18"/>
                <w:szCs w:val="18"/>
              </w:rPr>
              <w:t xml:space="preserve"> las personas con discapacidad</w:t>
            </w:r>
            <w:r w:rsidR="0065051C" w:rsidRPr="00923056">
              <w:rPr>
                <w:rStyle w:val="EndnoteReference"/>
                <w:rFonts w:cstheme="minorHAnsi"/>
                <w:sz w:val="18"/>
                <w:szCs w:val="18"/>
              </w:rPr>
              <w:endnoteReference w:id="2"/>
            </w:r>
            <w:r>
              <w:rPr>
                <w:sz w:val="18"/>
                <w:szCs w:val="18"/>
              </w:rPr>
              <w:t xml:space="preserve"> </w:t>
            </w:r>
          </w:p>
          <w:p w14:paraId="28C25378" w14:textId="1267ACF8" w:rsidR="0065051C" w:rsidRPr="00923056" w:rsidRDefault="00264909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27.2 Inexistencia de disposiciones en la legislación o en los reglamentos que restrinjan el empleo por motivos de discapacidad</w:t>
            </w:r>
            <w:r w:rsidR="006146FD">
              <w:rPr>
                <w:sz w:val="18"/>
                <w:szCs w:val="18"/>
              </w:rPr>
              <w:t>.</w:t>
            </w:r>
            <w:r w:rsidR="0065051C" w:rsidRPr="00923056">
              <w:rPr>
                <w:rStyle w:val="EndnoteReference"/>
                <w:rFonts w:cstheme="minorHAnsi"/>
                <w:sz w:val="18"/>
                <w:szCs w:val="18"/>
              </w:rPr>
              <w:endnoteReference w:id="3"/>
            </w:r>
            <w:r>
              <w:rPr>
                <w:sz w:val="18"/>
                <w:szCs w:val="18"/>
              </w:rPr>
              <w:t>.</w:t>
            </w:r>
          </w:p>
          <w:p w14:paraId="4208EDF9" w14:textId="2975887D" w:rsidR="0065051C" w:rsidRPr="00923056" w:rsidRDefault="00264909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27.3 Existencia de un plan nacional (general o específico para las personas con discapacidad) que promueva la formación profesional inclusiva para las personas con discapacidad</w:t>
            </w:r>
            <w:r w:rsidR="006146FD">
              <w:rPr>
                <w:sz w:val="18"/>
                <w:szCs w:val="18"/>
              </w:rPr>
              <w:t>.</w:t>
            </w:r>
            <w:r w:rsidR="0065051C" w:rsidRPr="00923056">
              <w:rPr>
                <w:rStyle w:val="EndnoteReference"/>
                <w:rFonts w:cstheme="minorHAnsi"/>
                <w:sz w:val="18"/>
                <w:szCs w:val="18"/>
              </w:rPr>
              <w:endnoteReference w:id="4"/>
            </w:r>
            <w:r>
              <w:rPr>
                <w:sz w:val="18"/>
                <w:szCs w:val="18"/>
              </w:rPr>
              <w:t xml:space="preserve"> </w:t>
            </w:r>
          </w:p>
          <w:p w14:paraId="6B9E38F4" w14:textId="3D7EEB03" w:rsidR="0065051C" w:rsidRPr="00923056" w:rsidRDefault="00264909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27.4 Existencia de una estrategia o plan nacional de empleo global (general o específico para personas con discapacidad) para promover el empleo de las personas con discapacidad en el sector público y privado</w:t>
            </w:r>
            <w:r w:rsidR="0065051C" w:rsidRPr="00923056">
              <w:rPr>
                <w:rStyle w:val="EndnoteReference"/>
                <w:rFonts w:cstheme="minorHAnsi"/>
                <w:sz w:val="18"/>
                <w:szCs w:val="18"/>
              </w:rPr>
              <w:endnoteReference w:id="5"/>
            </w:r>
            <w:r>
              <w:rPr>
                <w:sz w:val="18"/>
                <w:szCs w:val="18"/>
              </w:rPr>
              <w:t>.</w:t>
            </w:r>
          </w:p>
          <w:p w14:paraId="2FFBDE21" w14:textId="58D47DA1" w:rsidR="0065051C" w:rsidRPr="00923056" w:rsidRDefault="00264909" w:rsidP="00862FC4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27.5 Asistencia técnica y financiera para empresas, empleados y sindicatos sobre la provisión de ajustes razonables en el lugar de trabajo y </w:t>
            </w:r>
            <w:r w:rsidR="006146FD">
              <w:rPr>
                <w:sz w:val="18"/>
                <w:szCs w:val="18"/>
              </w:rPr>
              <w:t xml:space="preserve">para hacer </w:t>
            </w:r>
            <w:r>
              <w:rPr>
                <w:sz w:val="18"/>
                <w:szCs w:val="18"/>
              </w:rPr>
              <w:t>los entornos</w:t>
            </w:r>
            <w:r w:rsidR="006146FD">
              <w:rPr>
                <w:sz w:val="18"/>
                <w:szCs w:val="18"/>
              </w:rPr>
              <w:t xml:space="preserve"> y las comunicaciones en</w:t>
            </w:r>
            <w:r>
              <w:rPr>
                <w:sz w:val="18"/>
                <w:szCs w:val="18"/>
              </w:rPr>
              <w:t xml:space="preserve"> </w:t>
            </w:r>
            <w:r w:rsidR="006146FD">
              <w:rPr>
                <w:sz w:val="18"/>
                <w:szCs w:val="18"/>
              </w:rPr>
              <w:t xml:space="preserve">el </w:t>
            </w:r>
            <w:r>
              <w:rPr>
                <w:sz w:val="18"/>
                <w:szCs w:val="18"/>
              </w:rPr>
              <w:t xml:space="preserve">trabajo </w:t>
            </w:r>
            <w:r w:rsidR="006146FD">
              <w:rPr>
                <w:sz w:val="18"/>
                <w:szCs w:val="18"/>
              </w:rPr>
              <w:t>accesibles</w:t>
            </w:r>
            <w:r w:rsidR="0065051C" w:rsidRPr="00923056">
              <w:rPr>
                <w:rStyle w:val="EndnoteReference"/>
                <w:rFonts w:eastAsia="Times New Roman" w:cstheme="minorHAnsi"/>
                <w:color w:val="000000"/>
                <w:sz w:val="18"/>
                <w:szCs w:val="18"/>
              </w:rPr>
              <w:endnoteReference w:id="6"/>
            </w:r>
            <w:r>
              <w:rPr>
                <w:sz w:val="18"/>
                <w:szCs w:val="18"/>
              </w:rPr>
              <w:t xml:space="preserve">. </w:t>
            </w:r>
          </w:p>
          <w:p w14:paraId="12BDE9F8" w14:textId="5927A3A4" w:rsidR="005075C1" w:rsidRPr="00923056" w:rsidRDefault="00264909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27.6 Los sistemas de protección social que </w:t>
            </w:r>
            <w:r w:rsidR="006146FD">
              <w:rPr>
                <w:sz w:val="18"/>
                <w:szCs w:val="18"/>
              </w:rPr>
              <w:t>brindan</w:t>
            </w:r>
            <w:r w:rsidR="006146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prestaciones a las personas con discapacidad no </w:t>
            </w:r>
            <w:r w:rsidR="006146FD">
              <w:rPr>
                <w:sz w:val="18"/>
                <w:szCs w:val="18"/>
              </w:rPr>
              <w:t>operan como desincentivos</w:t>
            </w:r>
            <w:r>
              <w:rPr>
                <w:sz w:val="18"/>
                <w:szCs w:val="18"/>
              </w:rPr>
              <w:t xml:space="preserve"> y son compatibles con el trabajo y el empleo</w:t>
            </w:r>
            <w:r w:rsidR="005075C1">
              <w:rPr>
                <w:rStyle w:val="EndnoteReference"/>
                <w:rFonts w:cstheme="minorHAnsi"/>
                <w:sz w:val="18"/>
                <w:szCs w:val="18"/>
              </w:rPr>
              <w:endnoteReference w:id="7"/>
            </w:r>
            <w:r>
              <w:rPr>
                <w:sz w:val="18"/>
                <w:szCs w:val="18"/>
              </w:rPr>
              <w:t>.</w:t>
            </w:r>
          </w:p>
          <w:p w14:paraId="5558B01A" w14:textId="66FA674C" w:rsidR="0065051C" w:rsidRPr="00923056" w:rsidRDefault="00264909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27.7 Establecimiento de normas nacionales de accesibilidad </w:t>
            </w:r>
            <w:r w:rsidR="006146FD">
              <w:rPr>
                <w:sz w:val="18"/>
                <w:szCs w:val="18"/>
              </w:rPr>
              <w:t xml:space="preserve">aplicables a </w:t>
            </w:r>
            <w:r>
              <w:rPr>
                <w:sz w:val="18"/>
                <w:szCs w:val="18"/>
              </w:rPr>
              <w:t>los lugares de trabajo.</w:t>
            </w:r>
          </w:p>
          <w:p w14:paraId="4668BAF9" w14:textId="5E927C33" w:rsidR="0065051C" w:rsidRPr="00923056" w:rsidRDefault="00264909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27.8 Las leyes y políticas nacionales de género relacionadas con el trabajo y el empleo incluyen a las mujeres con discapacidad.</w:t>
            </w:r>
          </w:p>
        </w:tc>
        <w:tc>
          <w:tcPr>
            <w:tcW w:w="2127" w:type="dxa"/>
            <w:shd w:val="clear" w:color="auto" w:fill="auto"/>
          </w:tcPr>
          <w:p w14:paraId="3AD9C104" w14:textId="69775B08" w:rsidR="0065051C" w:rsidRPr="00923056" w:rsidRDefault="00264909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27.9 Toda la legislación y las políticas promulgadas para combatir el trabajo forzoso u obligatorio se refieren a las personas con discapacidad o las incluyen. </w:t>
            </w:r>
          </w:p>
        </w:tc>
      </w:tr>
      <w:tr w:rsidR="0065051C" w:rsidRPr="005C6A02" w14:paraId="58098E78" w14:textId="77777777" w:rsidTr="00127A37">
        <w:tc>
          <w:tcPr>
            <w:tcW w:w="1054" w:type="dxa"/>
            <w:vMerge/>
            <w:shd w:val="clear" w:color="auto" w:fill="auto"/>
          </w:tcPr>
          <w:p w14:paraId="66D58FA8" w14:textId="77777777" w:rsidR="0065051C" w:rsidRPr="00522D92" w:rsidRDefault="0065051C" w:rsidP="00862FC4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4109" w:type="dxa"/>
            <w:gridSpan w:val="4"/>
            <w:shd w:val="clear" w:color="auto" w:fill="auto"/>
          </w:tcPr>
          <w:p w14:paraId="37EE9CFE" w14:textId="12250C5E" w:rsidR="0065051C" w:rsidRPr="00923056" w:rsidRDefault="00264909" w:rsidP="00862FC4">
            <w:pPr>
              <w:jc w:val="both"/>
              <w:rPr>
                <w:rFonts w:cstheme="minorHAnsi"/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27.10 Obligación legal de presentar informes periódicos sobre los resultados del empleo y el uso de los servicios relacionados con el empleo, desglosados por discapacidad, sexo y edad.</w:t>
            </w:r>
          </w:p>
        </w:tc>
      </w:tr>
      <w:tr w:rsidR="0065051C" w:rsidRPr="005C6A02" w14:paraId="47D1B907" w14:textId="77777777" w:rsidTr="00862FC4">
        <w:trPr>
          <w:trHeight w:val="1330"/>
        </w:trPr>
        <w:tc>
          <w:tcPr>
            <w:tcW w:w="1054" w:type="dxa"/>
            <w:vMerge w:val="restart"/>
          </w:tcPr>
          <w:p w14:paraId="01AB7567" w14:textId="77777777" w:rsidR="0065051C" w:rsidRPr="00923056" w:rsidRDefault="0065051C" w:rsidP="00862F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Proceso</w:t>
            </w:r>
          </w:p>
          <w:p w14:paraId="29C3A1CC" w14:textId="77777777" w:rsidR="0065051C" w:rsidRPr="00923056" w:rsidRDefault="0065051C" w:rsidP="00862F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36" w:type="dxa"/>
          </w:tcPr>
          <w:p w14:paraId="6228BE4F" w14:textId="50100F58" w:rsidR="0065051C" w:rsidRDefault="000267EE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27.11 Número y porcentaje de personas, desglosados por edad, sexo y discapacidad, inscritas en: formación profesional, servicios de empleo, programas de transición hacia al mundo laboral, aprendizaje permanente, programas de reincorporación al trabajo y/o programas de fomento de</w:t>
            </w:r>
            <w:r w:rsidR="006146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="006146FD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="006146FD">
              <w:rPr>
                <w:sz w:val="18"/>
                <w:szCs w:val="18"/>
              </w:rPr>
              <w:t>iniciativa empresarial</w:t>
            </w:r>
            <w:r>
              <w:rPr>
                <w:sz w:val="18"/>
                <w:szCs w:val="18"/>
              </w:rPr>
              <w:t>, creación de empresas, desarrollo de cooperativas, etc.</w:t>
            </w:r>
          </w:p>
          <w:p w14:paraId="5122DD7C" w14:textId="10E49F8D" w:rsidR="00FF6CC6" w:rsidRPr="00923056" w:rsidRDefault="00FF6CC6" w:rsidP="00862FC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6" w:type="dxa"/>
            <w:gridSpan w:val="2"/>
          </w:tcPr>
          <w:p w14:paraId="4197CEBD" w14:textId="090B2666" w:rsidR="0065051C" w:rsidRPr="00923056" w:rsidRDefault="00264909" w:rsidP="00862F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27.12 Número y porcentaje de personas, desglosados por edad, sexo y discapacidad, que se benefician de cada una de las siguientes medidas: capacitación para el empleo, prácticas y pasantías, proyectos y programas de </w:t>
            </w:r>
            <w:proofErr w:type="spellStart"/>
            <w:r>
              <w:rPr>
                <w:sz w:val="18"/>
                <w:szCs w:val="18"/>
              </w:rPr>
              <w:t>microfinanciación</w:t>
            </w:r>
            <w:proofErr w:type="spellEnd"/>
            <w:r w:rsidR="00AC6B26">
              <w:rPr>
                <w:rStyle w:val="EndnoteReference"/>
                <w:rFonts w:cstheme="minorHAnsi"/>
                <w:sz w:val="18"/>
                <w:szCs w:val="18"/>
              </w:rPr>
              <w:endnoteReference w:id="8"/>
            </w:r>
            <w:r>
              <w:rPr>
                <w:sz w:val="18"/>
                <w:szCs w:val="18"/>
              </w:rPr>
              <w:t xml:space="preserve">, </w:t>
            </w:r>
            <w:r w:rsidR="006146FD">
              <w:rPr>
                <w:sz w:val="18"/>
                <w:szCs w:val="18"/>
              </w:rPr>
              <w:t xml:space="preserve">y </w:t>
            </w:r>
            <w:r>
              <w:rPr>
                <w:sz w:val="18"/>
                <w:szCs w:val="18"/>
              </w:rPr>
              <w:t>empleo mediante medidas de acción afirmativa</w:t>
            </w:r>
            <w:r w:rsidR="0065051C" w:rsidRPr="00923056">
              <w:rPr>
                <w:rStyle w:val="EndnoteReference"/>
                <w:rFonts w:cstheme="minorHAnsi"/>
                <w:sz w:val="18"/>
                <w:szCs w:val="18"/>
              </w:rPr>
              <w:endnoteReference w:id="9"/>
            </w:r>
            <w:r>
              <w:rPr>
                <w:sz w:val="18"/>
                <w:szCs w:val="18"/>
              </w:rPr>
              <w:t xml:space="preserve"> tanto en el sector público como en el privado. </w:t>
            </w:r>
          </w:p>
          <w:p w14:paraId="77E309B0" w14:textId="0C1D2C79" w:rsidR="0065051C" w:rsidRPr="00923056" w:rsidRDefault="000267EE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27.13 Proporción de tiempo dedicado al trabajo doméstico y asistencial no remunerado, desglosada por sexo, edad y ubicación (Indicador 5.4.1 de los ODS) y por discapacidad.</w:t>
            </w:r>
          </w:p>
        </w:tc>
        <w:tc>
          <w:tcPr>
            <w:tcW w:w="2127" w:type="dxa"/>
          </w:tcPr>
          <w:p w14:paraId="5BF7ADC1" w14:textId="77777777" w:rsidR="0065051C" w:rsidRPr="00923056" w:rsidRDefault="0065051C" w:rsidP="00862FC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051C" w:rsidRPr="005C6A02" w14:paraId="556DE3B2" w14:textId="77777777" w:rsidTr="00127A37">
        <w:trPr>
          <w:trHeight w:val="699"/>
        </w:trPr>
        <w:tc>
          <w:tcPr>
            <w:tcW w:w="1054" w:type="dxa"/>
            <w:vMerge/>
          </w:tcPr>
          <w:p w14:paraId="53B41B4E" w14:textId="77777777" w:rsidR="0065051C" w:rsidRPr="00522D92" w:rsidRDefault="0065051C" w:rsidP="00862F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09" w:type="dxa"/>
            <w:gridSpan w:val="4"/>
          </w:tcPr>
          <w:p w14:paraId="3F887067" w14:textId="0AD1795E" w:rsidR="0065051C" w:rsidRPr="00923056" w:rsidRDefault="000267EE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27.14 Porcentaje del personal (público y privado) de los servicios de empleo, formación profesional y microfinanciación, con formación en derechos de las personas con discapacidad, incluida la realización de ajustes razonables.</w:t>
            </w:r>
          </w:p>
          <w:p w14:paraId="704CFCED" w14:textId="3D9C8A3B" w:rsidR="0065051C" w:rsidRPr="00923056" w:rsidRDefault="000267EE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27.15 Campaña</w:t>
            </w:r>
            <w:r w:rsidR="006146FD">
              <w:rPr>
                <w:sz w:val="18"/>
                <w:szCs w:val="18"/>
              </w:rPr>
              <w:t xml:space="preserve"> y actividades</w:t>
            </w:r>
            <w:r>
              <w:rPr>
                <w:sz w:val="18"/>
                <w:szCs w:val="18"/>
              </w:rPr>
              <w:t xml:space="preserve"> de toma de conciencia para promover la inclusión e informar a las empresas y a las personas de sus derechos y responsabilidades en relación con el empleo y los servicios de empleo. </w:t>
            </w:r>
          </w:p>
          <w:p w14:paraId="652BADCA" w14:textId="28F8088D" w:rsidR="007508DB" w:rsidRPr="00923056" w:rsidRDefault="000267EE" w:rsidP="00862FC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27.16 Procesos de consulta emprendidos para asegurar la participación activa de las personas con discapacidad, </w:t>
            </w:r>
            <w:r>
              <w:rPr>
                <w:b/>
                <w:color w:val="444444"/>
                <w:sz w:val="18"/>
                <w:szCs w:val="18"/>
              </w:rPr>
              <w:t>incluso</w:t>
            </w:r>
            <w:r>
              <w:rPr>
                <w:sz w:val="18"/>
                <w:szCs w:val="18"/>
              </w:rPr>
              <w:t xml:space="preserve"> a través de sus organizaciones representativas, en el diseño, la implementación y </w:t>
            </w:r>
            <w:r w:rsidR="006563DC">
              <w:rPr>
                <w:sz w:val="18"/>
                <w:szCs w:val="18"/>
              </w:rPr>
              <w:t>el</w:t>
            </w:r>
            <w:r>
              <w:rPr>
                <w:sz w:val="18"/>
                <w:szCs w:val="18"/>
              </w:rPr>
              <w:t xml:space="preserve"> monitor</w:t>
            </w:r>
            <w:r w:rsidR="006563DC">
              <w:rPr>
                <w:sz w:val="18"/>
                <w:szCs w:val="18"/>
              </w:rPr>
              <w:t>eo</w:t>
            </w:r>
            <w:r>
              <w:rPr>
                <w:sz w:val="18"/>
                <w:szCs w:val="18"/>
              </w:rPr>
              <w:t xml:space="preserve"> de leyes, reglamentos, políticas y programas, en relación con iniciativas de empleo.</w:t>
            </w:r>
            <w:r>
              <w:rPr>
                <w:rStyle w:val="EndnoteReference"/>
                <w:sz w:val="18"/>
                <w:szCs w:val="18"/>
              </w:rPr>
              <w:t xml:space="preserve"> </w:t>
            </w:r>
            <w:r w:rsidR="007508DB" w:rsidRPr="00923056">
              <w:rPr>
                <w:rStyle w:val="EndnoteReference"/>
                <w:rFonts w:cstheme="minorHAnsi"/>
                <w:sz w:val="18"/>
                <w:szCs w:val="18"/>
              </w:rPr>
              <w:endnoteReference w:id="10"/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3402406A" w14:textId="4E6CD2F4" w:rsidR="0065051C" w:rsidRPr="00923056" w:rsidRDefault="000267EE" w:rsidP="00311E4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27.17 Número de </w:t>
            </w:r>
            <w:r w:rsidR="006563DC">
              <w:rPr>
                <w:sz w:val="18"/>
                <w:szCs w:val="18"/>
              </w:rPr>
              <w:t>reclamaciones</w:t>
            </w:r>
            <w:r w:rsidR="006563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recibidas relacionadas con el derecho al trabajo y al empleo en las que se alegue discriminación por motivos de discapacidad y/o en las que estén implicadas personas con discapacidad, investigadas y resueltas, y proporción de las mismas </w:t>
            </w:r>
            <w:r w:rsidR="006563DC">
              <w:rPr>
                <w:sz w:val="18"/>
                <w:szCs w:val="18"/>
              </w:rPr>
              <w:t>que han sido cumplidas por</w:t>
            </w:r>
            <w:r>
              <w:rPr>
                <w:sz w:val="18"/>
                <w:szCs w:val="18"/>
              </w:rPr>
              <w:t xml:space="preserve"> el gobierno o el responsable (por ejemplo, una empresa privada).</w:t>
            </w:r>
          </w:p>
        </w:tc>
      </w:tr>
      <w:tr w:rsidR="00862FC4" w:rsidRPr="005C6A02" w14:paraId="4B91F32E" w14:textId="77777777" w:rsidTr="004A683E">
        <w:trPr>
          <w:trHeight w:val="1778"/>
        </w:trPr>
        <w:tc>
          <w:tcPr>
            <w:tcW w:w="1054" w:type="dxa"/>
            <w:vMerge w:val="restart"/>
          </w:tcPr>
          <w:p w14:paraId="73C4FE8D" w14:textId="77777777" w:rsidR="00862FC4" w:rsidRPr="00923056" w:rsidRDefault="00862FC4" w:rsidP="00862F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Resultado</w:t>
            </w:r>
          </w:p>
        </w:tc>
        <w:tc>
          <w:tcPr>
            <w:tcW w:w="5666" w:type="dxa"/>
            <w:gridSpan w:val="2"/>
            <w:vMerge w:val="restart"/>
          </w:tcPr>
          <w:p w14:paraId="5EDCB252" w14:textId="77777777" w:rsidR="00862FC4" w:rsidRPr="00923056" w:rsidRDefault="00862FC4" w:rsidP="00862F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27.18 Porcentaje de personas con discapacidad empleadas en comparación con otras personas y con la tasa de empleo general, desglosado por tipo de empleo (público, privado, autónomo), edad, sexo y discapacidad</w:t>
            </w:r>
          </w:p>
          <w:p w14:paraId="53B1E89A" w14:textId="77777777" w:rsidR="00862FC4" w:rsidRPr="00F0620D" w:rsidRDefault="00862FC4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27.19 Porcentaje de personas con discapacidad desempleadas en comparación con otras personas y con la tasa de desempleo general, desglosado por edad, sexo y discapacidad (basado en el indicador ODS 8.5.2)</w:t>
            </w:r>
          </w:p>
          <w:p w14:paraId="6B353C9A" w14:textId="77777777" w:rsidR="00862FC4" w:rsidRDefault="00862FC4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27.20 Porcentaje de personas con discapacidad económicamente inactivas en comparación con otras personas y con la población económicamente inactiva en general, desglosado por edad, sexo y discapacidad.</w:t>
            </w:r>
          </w:p>
          <w:p w14:paraId="67664DB9" w14:textId="7462C5EB" w:rsidR="00862FC4" w:rsidRPr="00923056" w:rsidRDefault="00862FC4" w:rsidP="008C26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27.21 Proporción de mujeres en puestos directivos (indicador 5.5.2 de los ODS), desglosada por edad y discapacidad.</w:t>
            </w:r>
          </w:p>
        </w:tc>
        <w:tc>
          <w:tcPr>
            <w:tcW w:w="6316" w:type="dxa"/>
          </w:tcPr>
          <w:p w14:paraId="55B93968" w14:textId="77777777" w:rsidR="00862FC4" w:rsidRPr="00923056" w:rsidRDefault="00862FC4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27.22 Porcentaje de personas con discapacidad que participan en la economía del sector informal en comparación con otras personas y con la tasa general, desglosada por edad, sexo y discapacidad.</w:t>
            </w:r>
          </w:p>
          <w:p w14:paraId="3DDC32DB" w14:textId="77777777" w:rsidR="00862FC4" w:rsidRPr="00F0620D" w:rsidRDefault="00862FC4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27.23 Porcentaje de personas con discapacidad que trabajan a tiempo parcial y de forma temporal en comparación con otras personas y con la tasa global, desglosada por edad, sexo y discapacidad.</w:t>
            </w:r>
          </w:p>
          <w:p w14:paraId="5AC09EA1" w14:textId="4397E0DD" w:rsidR="00862FC4" w:rsidRPr="00923056" w:rsidRDefault="00862FC4" w:rsidP="004A683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27.24 Ingreso medio por hora de empleadas y empleados, por ocupación, edad y personas con discapacidad (indicador ODS 8.5.1)</w:t>
            </w:r>
            <w:r w:rsidRPr="00177DB2">
              <w:rPr>
                <w:rStyle w:val="EndnoteReference"/>
                <w:rFonts w:cstheme="minorHAnsi"/>
                <w:sz w:val="18"/>
                <w:szCs w:val="18"/>
                <w:lang w:val="en-GB"/>
              </w:rPr>
              <w:endnoteReference w:id="11"/>
            </w:r>
          </w:p>
        </w:tc>
        <w:tc>
          <w:tcPr>
            <w:tcW w:w="2127" w:type="dxa"/>
          </w:tcPr>
          <w:p w14:paraId="2A9259F6" w14:textId="7BB73817" w:rsidR="00862FC4" w:rsidRPr="00F0620D" w:rsidRDefault="00862FC4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27.25 Número y porcentaje de personas en trabajo forzoso u obligatorio, desglosados por edad, sexo y discapacidad.</w:t>
            </w:r>
          </w:p>
        </w:tc>
      </w:tr>
      <w:tr w:rsidR="00862FC4" w:rsidRPr="005C6A02" w14:paraId="56FF362D" w14:textId="77777777" w:rsidTr="00AC1DEA">
        <w:tc>
          <w:tcPr>
            <w:tcW w:w="1054" w:type="dxa"/>
            <w:vMerge/>
          </w:tcPr>
          <w:p w14:paraId="13819E1F" w14:textId="77777777" w:rsidR="00862FC4" w:rsidRPr="00522D92" w:rsidRDefault="00862FC4" w:rsidP="00862F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6" w:type="dxa"/>
            <w:gridSpan w:val="2"/>
            <w:vMerge/>
          </w:tcPr>
          <w:p w14:paraId="6E9BC807" w14:textId="77777777" w:rsidR="00862FC4" w:rsidRPr="00522D92" w:rsidRDefault="00862FC4" w:rsidP="00862FC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3" w:type="dxa"/>
            <w:gridSpan w:val="2"/>
          </w:tcPr>
          <w:p w14:paraId="140D22DD" w14:textId="440D9EF6" w:rsidR="00862FC4" w:rsidRPr="00923056" w:rsidRDefault="00862FC4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27.26 Número y porcentaje de personas con discapacidad en la población total de personas activas con discapacidad que trabajan fuera del mercado laboral abierto</w:t>
            </w:r>
            <w:r>
              <w:rPr>
                <w:rStyle w:val="EndnoteReference"/>
                <w:rFonts w:cstheme="minorHAnsi"/>
                <w:sz w:val="18"/>
                <w:szCs w:val="18"/>
              </w:rPr>
              <w:endnoteReference w:id="12"/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2B6B6D14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0117274C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14947C40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1055CD1A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091BF2C4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  <w:bookmarkStart w:id="0" w:name="_GoBack"/>
      <w:bookmarkEnd w:id="0"/>
    </w:p>
    <w:p w14:paraId="1100D681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5900045D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4D22FB01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066E25BD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07A69708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2599B509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15806ED5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1D8C4919" w14:textId="14C2F011" w:rsidR="00DE431B" w:rsidRPr="002047FC" w:rsidRDefault="0065051C" w:rsidP="00862FC4">
      <w:pPr>
        <w:jc w:val="center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ANEXO</w:t>
      </w:r>
    </w:p>
    <w:sectPr w:rsidR="00DE431B" w:rsidRPr="002047FC" w:rsidSect="0031075F">
      <w:footnotePr>
        <w:pos w:val="beneathText"/>
      </w:footnotePr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10789" w14:textId="77777777" w:rsidR="00387EF2" w:rsidRDefault="00387EF2" w:rsidP="00CA591E"/>
  </w:endnote>
  <w:endnote w:type="continuationSeparator" w:id="0">
    <w:p w14:paraId="5B594869" w14:textId="77777777" w:rsidR="00387EF2" w:rsidRDefault="00387EF2" w:rsidP="00CA591E">
      <w:r>
        <w:continuationSeparator/>
      </w:r>
    </w:p>
  </w:endnote>
  <w:endnote w:id="1">
    <w:p w14:paraId="1C0A9E09" w14:textId="4D5E3B0D" w:rsidR="00264909" w:rsidRPr="00E85F2A" w:rsidRDefault="0065051C" w:rsidP="00465138">
      <w:pPr>
        <w:pStyle w:val="EndnoteText"/>
        <w:jc w:val="both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Incluidas las condiciones de contratación, permanencia, promoción profesional y condiciones de trabajo seguras y saludables</w:t>
      </w:r>
    </w:p>
  </w:endnote>
  <w:endnote w:id="2">
    <w:p w14:paraId="5D355EC8" w14:textId="665FDC55" w:rsidR="0065051C" w:rsidRPr="00E85F2A" w:rsidRDefault="0065051C" w:rsidP="00465138">
      <w:pPr>
        <w:jc w:val="both"/>
        <w:rPr>
          <w:rFonts w:cstheme="minorHAnsi"/>
          <w:color w:val="000000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El derecho laboral y la legislación conexa deben incluir</w:t>
      </w:r>
      <w:r>
        <w:rPr>
          <w:color w:val="000000"/>
          <w:sz w:val="18"/>
          <w:szCs w:val="18"/>
        </w:rPr>
        <w:t>:</w:t>
      </w:r>
    </w:p>
    <w:p w14:paraId="6381FA97" w14:textId="2AB031B2" w:rsidR="0065051C" w:rsidRPr="00E85F2A" w:rsidRDefault="0065051C" w:rsidP="00465138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color w:val="000000"/>
          <w:sz w:val="18"/>
          <w:szCs w:val="18"/>
        </w:rPr>
        <w:t xml:space="preserve">la prohibición de la discriminación por motivos de discapacidad </w:t>
      </w:r>
      <w:r>
        <w:rPr>
          <w:sz w:val="18"/>
          <w:szCs w:val="18"/>
        </w:rPr>
        <w:t>, incluida la denegación de ajustes razonables;</w:t>
      </w:r>
    </w:p>
    <w:p w14:paraId="0C776E31" w14:textId="77777777" w:rsidR="0065051C" w:rsidRPr="00E85F2A" w:rsidRDefault="0065051C" w:rsidP="00465138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color w:val="000000"/>
          <w:sz w:val="18"/>
          <w:szCs w:val="18"/>
        </w:rPr>
        <w:t>la prohibición del trabajo forzoso, el acoso y la violencia contra las personas con discapacidad, así como la protección contra los mismos;</w:t>
      </w:r>
    </w:p>
    <w:p w14:paraId="5CCB0087" w14:textId="2315009C" w:rsidR="0065051C" w:rsidRPr="00E85F2A" w:rsidRDefault="0065051C" w:rsidP="00465138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promover el empleo de las personas con discapacidad mediante políticas y medidas apropiadas, que pueden incluir programas de acción afirmativa, exenciones fiscales y otros incentivos y medidas;</w:t>
      </w:r>
    </w:p>
    <w:p w14:paraId="72E013C1" w14:textId="77777777" w:rsidR="0065051C" w:rsidRPr="00E85F2A" w:rsidRDefault="0065051C" w:rsidP="00465138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igualdad de oportunidades para el empleo por cuenta propia, el emprendimiento, el desarrollo de cooperativas y la creación de empresas propias por parte de personas con discapacidad;</w:t>
      </w:r>
    </w:p>
    <w:p w14:paraId="1962D5B7" w14:textId="77777777" w:rsidR="0065051C" w:rsidRPr="00E85F2A" w:rsidRDefault="0065051C" w:rsidP="00465138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igualdad de trato en lo que respecta a la afiliación sindical</w:t>
      </w:r>
    </w:p>
    <w:p w14:paraId="1493E8EF" w14:textId="68499113" w:rsidR="00AC6B26" w:rsidRPr="00E85F2A" w:rsidRDefault="0065051C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igualdad de derechos de baja por paternidad y maternidad, así como a los demás derechos de baja laboral</w:t>
      </w:r>
    </w:p>
    <w:p w14:paraId="41AE60D8" w14:textId="433DD7F3" w:rsidR="0065051C" w:rsidRPr="00E85F2A" w:rsidRDefault="00AC6B26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igualdad de derechos de acceso a los servicios financieros proporcionados por los principales proveedores de servicios financieros (préstamos, ahorros, seguros, remesas, etc.), en particular para permitir el trabajo por cuenta propia, el emprendimiento y otros servicios conexos.</w:t>
      </w:r>
    </w:p>
  </w:endnote>
  <w:endnote w:id="3">
    <w:p w14:paraId="59C614B6" w14:textId="77777777" w:rsidR="0065051C" w:rsidRPr="00E85F2A" w:rsidRDefault="0065051C" w:rsidP="00465138">
      <w:pPr>
        <w:jc w:val="both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Esto incluye:</w:t>
      </w:r>
    </w:p>
    <w:p w14:paraId="1F156695" w14:textId="77777777" w:rsidR="0065051C" w:rsidRPr="00E85F2A" w:rsidRDefault="0065051C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b/>
          <w:sz w:val="18"/>
          <w:szCs w:val="18"/>
        </w:rPr>
      </w:pPr>
      <w:r>
        <w:rPr>
          <w:sz w:val="18"/>
          <w:szCs w:val="18"/>
        </w:rPr>
        <w:t>limitación del acceso al empleo o a la formación profesional relacionada con cualquier tipo de discapacidad;</w:t>
      </w:r>
    </w:p>
    <w:p w14:paraId="130D1B27" w14:textId="77777777" w:rsidR="0065051C" w:rsidRPr="00E85F2A" w:rsidRDefault="0065051C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b/>
          <w:sz w:val="18"/>
          <w:szCs w:val="18"/>
        </w:rPr>
      </w:pPr>
      <w:r>
        <w:rPr>
          <w:sz w:val="18"/>
          <w:szCs w:val="18"/>
        </w:rPr>
        <w:t>limitación del acceso al empleo o a la formación profesional relacionada con la capacidad jurídica;</w:t>
      </w:r>
    </w:p>
    <w:p w14:paraId="78D76368" w14:textId="77777777" w:rsidR="0065051C" w:rsidRPr="00E85F2A" w:rsidRDefault="0065051C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b/>
          <w:sz w:val="18"/>
          <w:szCs w:val="18"/>
        </w:rPr>
      </w:pPr>
      <w:r>
        <w:rPr>
          <w:sz w:val="18"/>
          <w:szCs w:val="18"/>
        </w:rPr>
        <w:t xml:space="preserve">excepciones al salario mínimo basadas en deficiencias; </w:t>
      </w:r>
    </w:p>
    <w:p w14:paraId="7A0D8E7B" w14:textId="77777777" w:rsidR="0065051C" w:rsidRPr="00E85F2A" w:rsidRDefault="0065051C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b/>
          <w:sz w:val="18"/>
          <w:szCs w:val="18"/>
        </w:rPr>
      </w:pPr>
      <w:r>
        <w:rPr>
          <w:sz w:val="18"/>
          <w:szCs w:val="18"/>
        </w:rPr>
        <w:t>evaluaciones basadas en las deficiencias, como la capacidad o la aptitud para el trabajo;</w:t>
      </w:r>
    </w:p>
    <w:p w14:paraId="751FEEB4" w14:textId="77777777" w:rsidR="0065051C" w:rsidRPr="00E85F2A" w:rsidRDefault="0065051C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b/>
          <w:sz w:val="18"/>
          <w:szCs w:val="18"/>
        </w:rPr>
      </w:pPr>
      <w:r>
        <w:rPr>
          <w:sz w:val="18"/>
          <w:szCs w:val="18"/>
        </w:rPr>
        <w:t>restricción de categorías de empleo o formación profesional para personas con discapacidad</w:t>
      </w:r>
    </w:p>
    <w:p w14:paraId="02896A6B" w14:textId="060ECE27" w:rsidR="0065051C" w:rsidRPr="00E85F2A" w:rsidRDefault="0065051C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lugar(es) de trabajo limitado(s) para las personas con discapacidad o mantenimiento de entornos de trabajo segregados (por ejemplo, trabajo protegido)</w:t>
      </w:r>
    </w:p>
  </w:endnote>
  <w:endnote w:id="4">
    <w:p w14:paraId="5F862539" w14:textId="5EAE242A" w:rsidR="001964CA" w:rsidRPr="00E85F2A" w:rsidRDefault="0065051C" w:rsidP="00465138">
      <w:pPr>
        <w:jc w:val="both"/>
        <w:rPr>
          <w:rFonts w:cstheme="minorHAnsi"/>
          <w:color w:val="000000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Que esté </w:t>
      </w:r>
      <w:r>
        <w:rPr>
          <w:color w:val="000000"/>
          <w:sz w:val="18"/>
          <w:szCs w:val="18"/>
        </w:rPr>
        <w:t>diseñado conjuntamente con organizaciones de personas con discapacidad y que contenga:</w:t>
      </w:r>
    </w:p>
    <w:p w14:paraId="1B273BC5" w14:textId="50AA0149" w:rsidR="001964CA" w:rsidRPr="00E85F2A" w:rsidRDefault="00AD3349" w:rsidP="00465138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medidas específicas relativas a jóvenes y mujeres con discapacidad, a personas con necesidades específicas de apoyo, etc.</w:t>
      </w:r>
    </w:p>
    <w:p w14:paraId="5065E209" w14:textId="250037C5" w:rsidR="001964CA" w:rsidRPr="00E85F2A" w:rsidRDefault="00AD3349" w:rsidP="00465138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líneas claras de responsabilidad, objetivos y calendario de implementación;</w:t>
      </w:r>
    </w:p>
    <w:p w14:paraId="3FBA063D" w14:textId="146849C6" w:rsidR="001964CA" w:rsidRPr="00E85F2A" w:rsidRDefault="00AD3349" w:rsidP="00465138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color w:val="000000"/>
          <w:sz w:val="18"/>
          <w:szCs w:val="18"/>
        </w:rPr>
        <w:t>mecanismos de cooperación interministerial;</w:t>
      </w:r>
    </w:p>
    <w:p w14:paraId="640938E2" w14:textId="44E91298" w:rsidR="001964CA" w:rsidRPr="00E85F2A" w:rsidRDefault="001964CA" w:rsidP="00465138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presupuesto asignado;</w:t>
      </w:r>
    </w:p>
    <w:p w14:paraId="5B103D0D" w14:textId="0E8031E0" w:rsidR="001964CA" w:rsidRPr="00E85F2A" w:rsidRDefault="001964CA" w:rsidP="00465138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mecanismos de monitorización y aplicabilidad</w:t>
      </w:r>
    </w:p>
    <w:p w14:paraId="32ACC9AD" w14:textId="7E504A79" w:rsidR="0065051C" w:rsidRPr="00E85F2A" w:rsidRDefault="001964CA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criterios que exijan accesibilidad física e informativa.</w:t>
      </w:r>
    </w:p>
  </w:endnote>
  <w:endnote w:id="5">
    <w:p w14:paraId="29C1C026" w14:textId="77777777" w:rsidR="0065051C" w:rsidRPr="00E85F2A" w:rsidRDefault="0065051C" w:rsidP="00465138">
      <w:pPr>
        <w:pStyle w:val="EndnoteText"/>
        <w:jc w:val="both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Véase la nota final iii relativa al diseño de la estrategia o los planes nacionales de empleo, que debería incluir disposiciones:</w:t>
      </w:r>
    </w:p>
    <w:p w14:paraId="08F54487" w14:textId="3106BB6C" w:rsidR="0065051C" w:rsidRPr="00E85F2A" w:rsidRDefault="00AD3349" w:rsidP="00465138">
      <w:pPr>
        <w:pStyle w:val="ListParagraph"/>
        <w:numPr>
          <w:ilvl w:val="0"/>
          <w:numId w:val="13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Para el acceso igualitario a los servicios de empleo, el trabajo por cuenta propia, el emprendimiento, el desarrollo de cooperativas y la creación de empresas propias</w:t>
      </w:r>
    </w:p>
    <w:p w14:paraId="4452B6E6" w14:textId="1EF9E5D6" w:rsidR="0065051C" w:rsidRPr="00E85F2A" w:rsidRDefault="00AD3349" w:rsidP="00465138">
      <w:pPr>
        <w:pStyle w:val="ListParagraph"/>
        <w:numPr>
          <w:ilvl w:val="0"/>
          <w:numId w:val="13"/>
        </w:numPr>
        <w:ind w:left="714" w:hanging="357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para promover el empleo, lo que puede incluir: programas de acción afirmativa, incentivos</w:t>
      </w:r>
    </w:p>
    <w:p w14:paraId="01BDDA90" w14:textId="7FE2F629" w:rsidR="0065051C" w:rsidRPr="00E85F2A" w:rsidRDefault="00EB1FCE" w:rsidP="00465138">
      <w:pPr>
        <w:pStyle w:val="ListParagraph"/>
        <w:numPr>
          <w:ilvl w:val="0"/>
          <w:numId w:val="13"/>
        </w:numPr>
        <w:ind w:left="714" w:hanging="357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sobre medidas específicas relativas a jóvenes y mujeres con discapacidad, a personas con necesidades específicas de apoyo, etc.</w:t>
      </w:r>
    </w:p>
  </w:endnote>
  <w:endnote w:id="6">
    <w:p w14:paraId="3D3354A6" w14:textId="410A7CCE" w:rsidR="0065051C" w:rsidRPr="00E85F2A" w:rsidRDefault="0065051C" w:rsidP="00465138">
      <w:pPr>
        <w:shd w:val="clear" w:color="auto" w:fill="FFFFFF"/>
        <w:jc w:val="both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Por ejemplo, a través de </w:t>
      </w:r>
      <w:r>
        <w:rPr>
          <w:color w:val="000000"/>
          <w:sz w:val="18"/>
          <w:szCs w:val="18"/>
        </w:rPr>
        <w:t>mecanismos de orientación y apoyo: líneas telefónicas de ayuda, redes, etc.</w:t>
      </w:r>
    </w:p>
  </w:endnote>
  <w:endnote w:id="7">
    <w:p w14:paraId="24FD1A31" w14:textId="6F97EFC0" w:rsidR="005075C1" w:rsidRPr="00E85F2A" w:rsidRDefault="005075C1" w:rsidP="00465138">
      <w:pPr>
        <w:pStyle w:val="EndnoteText"/>
        <w:jc w:val="both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Por ejemplo, estos planes no deben vincular la concesión de prestaciones a la declaración de incapacidad para trabajar, ni impedir la búsqueda de trabajo/empleo o permitir la retirada arbitraria de prestaciones sobre la base del empleo sin abordar los costes adicionales relacionados con la discapacidad, como los derivados de los desplazamientos hacia y desde el trabajo.  </w:t>
      </w:r>
    </w:p>
  </w:endnote>
  <w:endnote w:id="8">
    <w:p w14:paraId="7BC2EB2F" w14:textId="4CD09A02" w:rsidR="00AC6B26" w:rsidRPr="00E85F2A" w:rsidRDefault="00AC6B26" w:rsidP="00465138">
      <w:pPr>
        <w:pStyle w:val="EndnoteText"/>
        <w:jc w:val="both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Esto incluye: tener acceso a los servicios financieros ofrecidos por los proveedores de servicios financieros (como la microfinanciación) y abrir un negocio que obtenga ingresos después de haber estado inscrito en programas de microfinanciación.</w:t>
      </w:r>
    </w:p>
  </w:endnote>
  <w:endnote w:id="9">
    <w:p w14:paraId="5BF3D39A" w14:textId="21FDBDF9" w:rsidR="00AD3349" w:rsidRPr="00E85F2A" w:rsidRDefault="0065051C" w:rsidP="00465138">
      <w:pPr>
        <w:pStyle w:val="EndnoteText"/>
        <w:jc w:val="both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Las medidas de acción afirmativa pueden incluir, entre otros: cupos, subsidios e incentivos para las empresas que contratan a personas con discapacidad, ayudas, programas de inserción en el mundo laboral/prestación social, etc.</w:t>
      </w:r>
    </w:p>
  </w:endnote>
  <w:endnote w:id="10">
    <w:p w14:paraId="66D1E0B7" w14:textId="1A3F6654" w:rsidR="007508DB" w:rsidRPr="00E85F2A" w:rsidRDefault="007508DB" w:rsidP="00465138">
      <w:pPr>
        <w:pStyle w:val="EndnoteText"/>
        <w:jc w:val="both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Este indicador requiere</w:t>
      </w:r>
      <w:r w:rsidR="006563DC">
        <w:rPr>
          <w:sz w:val="18"/>
          <w:szCs w:val="18"/>
        </w:rPr>
        <w:t xml:space="preserve"> la verificación</w:t>
      </w:r>
      <w:r>
        <w:rPr>
          <w:sz w:val="18"/>
          <w:szCs w:val="18"/>
        </w:rPr>
        <w:t xml:space="preserve"> de las actividades concretas emprendidas por las autoridades públicas para involucrar a las personas con discapacidad en los procesos de toma de decisiones relacionados con cuestiones que les afectan directa o indirectamente, de conformidad con el artículo 4.3 de la CDPD, incluidas reuniones de consulta, sesiones informativas técnicas, encuestas de consulta en línea, solicitud de comentarios sobre proyectos de ley y políticas, entre otros métodos participativos. A este respecto, los Estados deben</w:t>
      </w:r>
    </w:p>
    <w:p w14:paraId="1CA6C0D9" w14:textId="77777777" w:rsidR="007508DB" w:rsidRPr="00E85F2A" w:rsidRDefault="007508DB" w:rsidP="00465138">
      <w:pPr>
        <w:pStyle w:val="EndnoteText"/>
        <w:numPr>
          <w:ilvl w:val="0"/>
          <w:numId w:val="14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garantizar la transparencia de los procesos de consulta</w:t>
      </w:r>
    </w:p>
    <w:p w14:paraId="4440FBAE" w14:textId="77777777" w:rsidR="007508DB" w:rsidRPr="00E85F2A" w:rsidRDefault="007508DB" w:rsidP="00465138">
      <w:pPr>
        <w:pStyle w:val="EndnoteText"/>
        <w:numPr>
          <w:ilvl w:val="0"/>
          <w:numId w:val="14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garantizar el suministro de información adecuada y accesible</w:t>
      </w:r>
    </w:p>
    <w:p w14:paraId="0C041A8E" w14:textId="77777777" w:rsidR="007508DB" w:rsidRPr="00E85F2A" w:rsidRDefault="007508DB" w:rsidP="00465138">
      <w:pPr>
        <w:pStyle w:val="EndnoteText"/>
        <w:numPr>
          <w:ilvl w:val="0"/>
          <w:numId w:val="14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no ocultar información, condicionar o impedir que las organizaciones de personas con discapacidad expresen libremente sus opiniones.</w:t>
      </w:r>
    </w:p>
    <w:p w14:paraId="147B72FC" w14:textId="77777777" w:rsidR="007508DB" w:rsidRPr="00E85F2A" w:rsidRDefault="007508DB" w:rsidP="00465138">
      <w:pPr>
        <w:pStyle w:val="EndnoteText"/>
        <w:numPr>
          <w:ilvl w:val="0"/>
          <w:numId w:val="14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incluir tanto a las organizaciones registradas como a las no registradas.</w:t>
      </w:r>
    </w:p>
    <w:p w14:paraId="5EF6E644" w14:textId="77777777" w:rsidR="007508DB" w:rsidRPr="00E85F2A" w:rsidRDefault="007508DB" w:rsidP="00465138">
      <w:pPr>
        <w:pStyle w:val="EndnoteText"/>
        <w:numPr>
          <w:ilvl w:val="0"/>
          <w:numId w:val="14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garantizar una participación temprana y continua. </w:t>
      </w:r>
    </w:p>
    <w:p w14:paraId="379C3EE9" w14:textId="3418F2C5" w:rsidR="007508DB" w:rsidRPr="00E85F2A" w:rsidRDefault="007508DB" w:rsidP="00465138">
      <w:pPr>
        <w:pStyle w:val="EndnoteText"/>
        <w:numPr>
          <w:ilvl w:val="0"/>
          <w:numId w:val="14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cubrir los gastos relacionados con los participantes (por ejemplo, transporte y otros gastos para asistir a reuniones y sesiones informativas técnicas).</w:t>
      </w:r>
    </w:p>
  </w:endnote>
  <w:endnote w:id="11">
    <w:p w14:paraId="349A47F1" w14:textId="77777777" w:rsidR="00862FC4" w:rsidRPr="00F0620D" w:rsidRDefault="00862FC4" w:rsidP="00465138">
      <w:pPr>
        <w:pStyle w:val="EndnoteText"/>
        <w:jc w:val="both"/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Para un debate sobre la metodología, véase el documento de la OIT "</w:t>
      </w:r>
      <w:hyperlink r:id="rId1" w:history="1">
        <w:r>
          <w:rPr>
            <w:rStyle w:val="Hyperlink"/>
            <w:sz w:val="18"/>
            <w:szCs w:val="18"/>
          </w:rPr>
          <w:t>Informe Mundial sobre Salarios 2018/2019:</w:t>
        </w:r>
      </w:hyperlink>
      <w:hyperlink r:id="rId2" w:history="1">
        <w:r>
          <w:rPr>
            <w:rStyle w:val="Hyperlink"/>
            <w:sz w:val="18"/>
            <w:szCs w:val="18"/>
          </w:rPr>
          <w:t xml:space="preserve"> Qué hay detrás de la brecha salarial de género</w:t>
        </w:r>
      </w:hyperlink>
      <w:r>
        <w:rPr>
          <w:sz w:val="18"/>
          <w:szCs w:val="18"/>
        </w:rPr>
        <w:t>” (2018), que promueve el uso de la brecha salarial ponderada por factores, en el contexto del derecho al empleo de las mujeres.</w:t>
      </w:r>
      <w:r>
        <w:t xml:space="preserve">  </w:t>
      </w:r>
    </w:p>
  </w:endnote>
  <w:endnote w:id="12">
    <w:p w14:paraId="1F615B10" w14:textId="13188353" w:rsidR="00862FC4" w:rsidRPr="006A7317" w:rsidRDefault="00862FC4" w:rsidP="00465138">
      <w:pPr>
        <w:pStyle w:val="EndnoteText"/>
        <w:jc w:val="both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8"/>
          <w:szCs w:val="18"/>
        </w:rPr>
        <w:t>Por ejemplo, las personas con discapacidad que realizan trabajos (formales o informales) en entornos seg</w:t>
      </w:r>
      <w:r w:rsidR="001257D1">
        <w:rPr>
          <w:sz w:val="18"/>
          <w:szCs w:val="18"/>
        </w:rPr>
        <w:t>regados (por ejemplo, "</w:t>
      </w:r>
      <w:r w:rsidR="001257D1" w:rsidRPr="001257D1">
        <w:rPr>
          <w:i/>
          <w:sz w:val="18"/>
          <w:szCs w:val="18"/>
        </w:rPr>
        <w:t>sheltered</w:t>
      </w:r>
      <w:r w:rsidRPr="001257D1">
        <w:rPr>
          <w:i/>
          <w:sz w:val="18"/>
          <w:szCs w:val="18"/>
        </w:rPr>
        <w:t xml:space="preserve"> workshops</w:t>
      </w:r>
      <w:r>
        <w:rPr>
          <w:sz w:val="18"/>
          <w:szCs w:val="18"/>
        </w:rPr>
        <w:t>", "</w:t>
      </w:r>
      <w:r w:rsidRPr="001257D1">
        <w:rPr>
          <w:i/>
          <w:sz w:val="18"/>
          <w:szCs w:val="18"/>
        </w:rPr>
        <w:t>atelier</w:t>
      </w:r>
      <w:r>
        <w:rPr>
          <w:sz w:val="18"/>
          <w:szCs w:val="18"/>
        </w:rPr>
        <w:t xml:space="preserve"> </w:t>
      </w:r>
      <w:r w:rsidRPr="001257D1">
        <w:rPr>
          <w:i/>
          <w:sz w:val="18"/>
          <w:szCs w:val="18"/>
        </w:rPr>
        <w:t>protégé</w:t>
      </w:r>
      <w:r>
        <w:rPr>
          <w:sz w:val="18"/>
          <w:szCs w:val="18"/>
        </w:rPr>
        <w:t>", "trabajo protegido").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D7029" w14:textId="77777777" w:rsidR="00387EF2" w:rsidRDefault="00387EF2" w:rsidP="00CA591E">
      <w:r>
        <w:separator/>
      </w:r>
    </w:p>
  </w:footnote>
  <w:footnote w:type="continuationSeparator" w:id="0">
    <w:p w14:paraId="4FAF5017" w14:textId="77777777" w:rsidR="00387EF2" w:rsidRDefault="00387EF2" w:rsidP="00CA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3FA1"/>
    <w:multiLevelType w:val="hybridMultilevel"/>
    <w:tmpl w:val="7E5E69F4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color w:val="00000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2618"/>
    <w:multiLevelType w:val="hybridMultilevel"/>
    <w:tmpl w:val="2BCA6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4EF"/>
    <w:multiLevelType w:val="hybridMultilevel"/>
    <w:tmpl w:val="04F20C28"/>
    <w:lvl w:ilvl="0" w:tplc="7D6C2BB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D525D"/>
    <w:multiLevelType w:val="hybridMultilevel"/>
    <w:tmpl w:val="E570990A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94FEB"/>
    <w:multiLevelType w:val="hybridMultilevel"/>
    <w:tmpl w:val="6F2EBB8A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90548"/>
    <w:multiLevelType w:val="hybridMultilevel"/>
    <w:tmpl w:val="9F589FE8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E482D"/>
    <w:multiLevelType w:val="hybridMultilevel"/>
    <w:tmpl w:val="6F4E5EAC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B66BF"/>
    <w:multiLevelType w:val="hybridMultilevel"/>
    <w:tmpl w:val="C562F2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34C07"/>
    <w:multiLevelType w:val="hybridMultilevel"/>
    <w:tmpl w:val="73863EFA"/>
    <w:lvl w:ilvl="0" w:tplc="8A8C9DA0">
      <w:start w:val="1"/>
      <w:numFmt w:val="bullet"/>
      <w:lvlText w:val=""/>
      <w:lvlJc w:val="left"/>
      <w:pPr>
        <w:ind w:left="1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5CF03E30"/>
    <w:multiLevelType w:val="hybridMultilevel"/>
    <w:tmpl w:val="052EF3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F6741"/>
    <w:multiLevelType w:val="hybridMultilevel"/>
    <w:tmpl w:val="12084090"/>
    <w:lvl w:ilvl="0" w:tplc="A0545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57C46"/>
    <w:multiLevelType w:val="hybridMultilevel"/>
    <w:tmpl w:val="DEFCEDEE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A2E20"/>
    <w:multiLevelType w:val="hybridMultilevel"/>
    <w:tmpl w:val="77DCA250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C4860"/>
    <w:multiLevelType w:val="hybridMultilevel"/>
    <w:tmpl w:val="444A4610"/>
    <w:lvl w:ilvl="0" w:tplc="C70E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16"/>
  </w:num>
  <w:num w:numId="7">
    <w:abstractNumId w:val="3"/>
  </w:num>
  <w:num w:numId="8">
    <w:abstractNumId w:val="14"/>
  </w:num>
  <w:num w:numId="9">
    <w:abstractNumId w:val="5"/>
  </w:num>
  <w:num w:numId="10">
    <w:abstractNumId w:val="15"/>
  </w:num>
  <w:num w:numId="11">
    <w:abstractNumId w:val="6"/>
  </w:num>
  <w:num w:numId="12">
    <w:abstractNumId w:val="0"/>
  </w:num>
  <w:num w:numId="13">
    <w:abstractNumId w:val="4"/>
  </w:num>
  <w:num w:numId="14">
    <w:abstractNumId w:val="10"/>
  </w:num>
  <w:num w:numId="15">
    <w:abstractNumId w:val="2"/>
  </w:num>
  <w:num w:numId="16">
    <w:abstractNumId w:val="9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5B"/>
    <w:rsid w:val="000134AA"/>
    <w:rsid w:val="0001798C"/>
    <w:rsid w:val="000267EE"/>
    <w:rsid w:val="00026CE2"/>
    <w:rsid w:val="00050711"/>
    <w:rsid w:val="0005219A"/>
    <w:rsid w:val="00057593"/>
    <w:rsid w:val="00063173"/>
    <w:rsid w:val="00080904"/>
    <w:rsid w:val="000A76BA"/>
    <w:rsid w:val="000B3868"/>
    <w:rsid w:val="00101BAD"/>
    <w:rsid w:val="001030AE"/>
    <w:rsid w:val="001143E6"/>
    <w:rsid w:val="00121ED4"/>
    <w:rsid w:val="00124360"/>
    <w:rsid w:val="001257D1"/>
    <w:rsid w:val="00127A37"/>
    <w:rsid w:val="00167016"/>
    <w:rsid w:val="00167E3A"/>
    <w:rsid w:val="0017378D"/>
    <w:rsid w:val="0017443D"/>
    <w:rsid w:val="001775A0"/>
    <w:rsid w:val="00177DB2"/>
    <w:rsid w:val="00193C6C"/>
    <w:rsid w:val="001964CA"/>
    <w:rsid w:val="001D14C8"/>
    <w:rsid w:val="001E3DF7"/>
    <w:rsid w:val="001E5C22"/>
    <w:rsid w:val="001E7EA3"/>
    <w:rsid w:val="00203E7D"/>
    <w:rsid w:val="002047FC"/>
    <w:rsid w:val="00240F47"/>
    <w:rsid w:val="00242A99"/>
    <w:rsid w:val="00264909"/>
    <w:rsid w:val="002671D8"/>
    <w:rsid w:val="002773AC"/>
    <w:rsid w:val="002836A9"/>
    <w:rsid w:val="002A3E37"/>
    <w:rsid w:val="002A6969"/>
    <w:rsid w:val="002C3801"/>
    <w:rsid w:val="002D3D29"/>
    <w:rsid w:val="002F45D6"/>
    <w:rsid w:val="00307F27"/>
    <w:rsid w:val="0031075F"/>
    <w:rsid w:val="00311E49"/>
    <w:rsid w:val="003301F5"/>
    <w:rsid w:val="00335FE8"/>
    <w:rsid w:val="00346DAD"/>
    <w:rsid w:val="00357883"/>
    <w:rsid w:val="003718CF"/>
    <w:rsid w:val="003759C9"/>
    <w:rsid w:val="00387EF2"/>
    <w:rsid w:val="003A712F"/>
    <w:rsid w:val="003D1F21"/>
    <w:rsid w:val="003E7407"/>
    <w:rsid w:val="004149FE"/>
    <w:rsid w:val="00461CF2"/>
    <w:rsid w:val="00465138"/>
    <w:rsid w:val="0049767B"/>
    <w:rsid w:val="004A22A0"/>
    <w:rsid w:val="004A42A4"/>
    <w:rsid w:val="004C3801"/>
    <w:rsid w:val="005075C1"/>
    <w:rsid w:val="0051360A"/>
    <w:rsid w:val="00522D92"/>
    <w:rsid w:val="00551F9E"/>
    <w:rsid w:val="005676AC"/>
    <w:rsid w:val="00571F6F"/>
    <w:rsid w:val="005970C3"/>
    <w:rsid w:val="005B0200"/>
    <w:rsid w:val="005B3669"/>
    <w:rsid w:val="005C6A02"/>
    <w:rsid w:val="005E59EF"/>
    <w:rsid w:val="005F266C"/>
    <w:rsid w:val="00613A5A"/>
    <w:rsid w:val="006146FD"/>
    <w:rsid w:val="006311D8"/>
    <w:rsid w:val="006362B7"/>
    <w:rsid w:val="00641928"/>
    <w:rsid w:val="0065051C"/>
    <w:rsid w:val="006563DC"/>
    <w:rsid w:val="00672036"/>
    <w:rsid w:val="00676120"/>
    <w:rsid w:val="0068399E"/>
    <w:rsid w:val="00685CF4"/>
    <w:rsid w:val="00696FC9"/>
    <w:rsid w:val="006A7317"/>
    <w:rsid w:val="006B3FE4"/>
    <w:rsid w:val="006B5CDD"/>
    <w:rsid w:val="006C5832"/>
    <w:rsid w:val="006F7AAC"/>
    <w:rsid w:val="0070160D"/>
    <w:rsid w:val="00702448"/>
    <w:rsid w:val="00705361"/>
    <w:rsid w:val="007070D2"/>
    <w:rsid w:val="0072068D"/>
    <w:rsid w:val="00736A44"/>
    <w:rsid w:val="007457D0"/>
    <w:rsid w:val="007472F1"/>
    <w:rsid w:val="007508DB"/>
    <w:rsid w:val="00773555"/>
    <w:rsid w:val="007856B0"/>
    <w:rsid w:val="00792C5D"/>
    <w:rsid w:val="007C2DCA"/>
    <w:rsid w:val="00813049"/>
    <w:rsid w:val="008264E5"/>
    <w:rsid w:val="00841566"/>
    <w:rsid w:val="00862FC4"/>
    <w:rsid w:val="00884F8C"/>
    <w:rsid w:val="008858A7"/>
    <w:rsid w:val="0089365A"/>
    <w:rsid w:val="00893A92"/>
    <w:rsid w:val="008D2892"/>
    <w:rsid w:val="008E15CB"/>
    <w:rsid w:val="008F4A33"/>
    <w:rsid w:val="009159FD"/>
    <w:rsid w:val="00923056"/>
    <w:rsid w:val="0092368C"/>
    <w:rsid w:val="00964A5B"/>
    <w:rsid w:val="009651E6"/>
    <w:rsid w:val="0096663D"/>
    <w:rsid w:val="00981D26"/>
    <w:rsid w:val="009A4374"/>
    <w:rsid w:val="009A6799"/>
    <w:rsid w:val="009B0C95"/>
    <w:rsid w:val="009D6367"/>
    <w:rsid w:val="009E1074"/>
    <w:rsid w:val="009F6E73"/>
    <w:rsid w:val="009F7D61"/>
    <w:rsid w:val="00A125C5"/>
    <w:rsid w:val="00A42C44"/>
    <w:rsid w:val="00A56CC7"/>
    <w:rsid w:val="00A83D96"/>
    <w:rsid w:val="00AC03AB"/>
    <w:rsid w:val="00AC6B26"/>
    <w:rsid w:val="00AD3349"/>
    <w:rsid w:val="00AE00B9"/>
    <w:rsid w:val="00B03486"/>
    <w:rsid w:val="00B4198C"/>
    <w:rsid w:val="00B55C72"/>
    <w:rsid w:val="00B8716B"/>
    <w:rsid w:val="00BB4CB4"/>
    <w:rsid w:val="00BC022E"/>
    <w:rsid w:val="00BC0719"/>
    <w:rsid w:val="00BD6A46"/>
    <w:rsid w:val="00C00627"/>
    <w:rsid w:val="00C24776"/>
    <w:rsid w:val="00C50D3E"/>
    <w:rsid w:val="00C51F20"/>
    <w:rsid w:val="00C541CC"/>
    <w:rsid w:val="00C92A6B"/>
    <w:rsid w:val="00CA0ACC"/>
    <w:rsid w:val="00CA591E"/>
    <w:rsid w:val="00CD0CB1"/>
    <w:rsid w:val="00CF20D7"/>
    <w:rsid w:val="00D01F95"/>
    <w:rsid w:val="00D13F5B"/>
    <w:rsid w:val="00D167E3"/>
    <w:rsid w:val="00D911DD"/>
    <w:rsid w:val="00DD2A83"/>
    <w:rsid w:val="00DD51DD"/>
    <w:rsid w:val="00DE431B"/>
    <w:rsid w:val="00DE4B64"/>
    <w:rsid w:val="00E232CB"/>
    <w:rsid w:val="00E27296"/>
    <w:rsid w:val="00E27806"/>
    <w:rsid w:val="00E31AF2"/>
    <w:rsid w:val="00E32612"/>
    <w:rsid w:val="00E43DFE"/>
    <w:rsid w:val="00E54419"/>
    <w:rsid w:val="00E608B7"/>
    <w:rsid w:val="00E64E57"/>
    <w:rsid w:val="00E6775B"/>
    <w:rsid w:val="00E85F2A"/>
    <w:rsid w:val="00E963A4"/>
    <w:rsid w:val="00E96C21"/>
    <w:rsid w:val="00EB1FCE"/>
    <w:rsid w:val="00EC0D4A"/>
    <w:rsid w:val="00ED2C1C"/>
    <w:rsid w:val="00ED42B0"/>
    <w:rsid w:val="00ED4517"/>
    <w:rsid w:val="00EE4AB0"/>
    <w:rsid w:val="00EE5CFE"/>
    <w:rsid w:val="00F05557"/>
    <w:rsid w:val="00F0620D"/>
    <w:rsid w:val="00F27ECD"/>
    <w:rsid w:val="00F63625"/>
    <w:rsid w:val="00F63CBD"/>
    <w:rsid w:val="00F77E96"/>
    <w:rsid w:val="00F97690"/>
    <w:rsid w:val="00FB1941"/>
    <w:rsid w:val="00FB33D1"/>
    <w:rsid w:val="00FC316F"/>
    <w:rsid w:val="00FE41A9"/>
    <w:rsid w:val="00FF0735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1D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5B"/>
    <w:pPr>
      <w:ind w:left="720"/>
      <w:contextualSpacing/>
    </w:pPr>
  </w:style>
  <w:style w:type="table" w:styleId="TableGrid">
    <w:name w:val="Table Grid"/>
    <w:basedOn w:val="TableNormal"/>
    <w:uiPriority w:val="59"/>
    <w:rsid w:val="00C5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1C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CC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9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91E"/>
    <w:rPr>
      <w:sz w:val="20"/>
      <w:szCs w:val="20"/>
    </w:rPr>
  </w:style>
  <w:style w:type="character" w:styleId="FootnoteReference">
    <w:name w:val="footnote reference"/>
    <w:aliases w:val="Fn Ref,Footnote Refernece,callout,Footnotes refss,Appel note de bas de p.,Footnote Reference Superscript,BVI fnr,Footnote Reference Number,Footnote Refernece + (Latein) Arial,10 pt,Blau,Fußnotenzeichen_Raxen,Footnote Refe,FR,...,4_G"/>
    <w:basedOn w:val="DefaultParagraphFont"/>
    <w:uiPriority w:val="99"/>
    <w:unhideWhenUsed/>
    <w:qFormat/>
    <w:rsid w:val="00CA59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31B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31B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5B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5B"/>
    <w:rPr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0B3868"/>
  </w:style>
  <w:style w:type="paragraph" w:styleId="EndnoteText">
    <w:name w:val="endnote text"/>
    <w:basedOn w:val="Normal"/>
    <w:link w:val="EndnoteTextChar"/>
    <w:uiPriority w:val="99"/>
    <w:semiHidden/>
    <w:unhideWhenUsed/>
    <w:rsid w:val="00461C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1C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1CF2"/>
    <w:rPr>
      <w:vertAlign w:val="superscript"/>
    </w:rPr>
  </w:style>
  <w:style w:type="character" w:customStyle="1" w:styleId="ilfuvd">
    <w:name w:val="ilfuvd"/>
    <w:basedOn w:val="DefaultParagraphFont"/>
    <w:rsid w:val="00B8716B"/>
  </w:style>
  <w:style w:type="character" w:styleId="Hyperlink">
    <w:name w:val="Hyperlink"/>
    <w:basedOn w:val="DefaultParagraphFont"/>
    <w:uiPriority w:val="99"/>
    <w:unhideWhenUsed/>
    <w:rsid w:val="009651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lo.org/wcmsp5/groups/public/---dgreports/---dcomm/---publ/documents/publication/wcms_650653.pdf" TargetMode="External"/><Relationship Id="rId1" Type="http://schemas.openxmlformats.org/officeDocument/2006/relationships/hyperlink" Target="https://www.ilo.org/wcmsp5/groups/public/---dgreports/---dcomm/---publ/documents/publication/wcms_65065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055735-9532-402D-857B-4A0D2B91C9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0C37E4-2237-4ECD-880D-FD48CA3B844E}"/>
</file>

<file path=customXml/itemProps3.xml><?xml version="1.0" encoding="utf-8"?>
<ds:datastoreItem xmlns:ds="http://schemas.openxmlformats.org/officeDocument/2006/customXml" ds:itemID="{35E7D9BF-E0A2-4BCD-8D89-E892CE11870D}"/>
</file>

<file path=customXml/itemProps4.xml><?xml version="1.0" encoding="utf-8"?>
<ds:datastoreItem xmlns:ds="http://schemas.openxmlformats.org/officeDocument/2006/customXml" ds:itemID="{1FEBD2F8-2029-408D-8ADD-080A7F2019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CONSULTANT HRESI</cp:lastModifiedBy>
  <cp:revision>3</cp:revision>
  <cp:lastPrinted>2018-11-12T09:21:00Z</cp:lastPrinted>
  <dcterms:created xsi:type="dcterms:W3CDTF">2019-05-15T13:08:00Z</dcterms:created>
  <dcterms:modified xsi:type="dcterms:W3CDTF">2019-05-15T13:09:00Z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