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086"/>
        <w:gridCol w:w="8128"/>
        <w:gridCol w:w="3406"/>
        <w:gridCol w:w="2689"/>
      </w:tblGrid>
      <w:tr w:rsidR="009D5D68" w:rsidRPr="005F460C" w14:paraId="1CFAE95B" w14:textId="77777777" w:rsidTr="00D83381">
        <w:trPr>
          <w:trHeight w:val="131"/>
        </w:trPr>
        <w:tc>
          <w:tcPr>
            <w:tcW w:w="15309" w:type="dxa"/>
            <w:gridSpan w:val="4"/>
            <w:shd w:val="clear" w:color="auto" w:fill="D0CECE" w:themeFill="background2" w:themeFillShade="E6"/>
          </w:tcPr>
          <w:p w14:paraId="75E994B5" w14:textId="7B53E448" w:rsidR="009D5D68" w:rsidRPr="005F460C" w:rsidRDefault="009D5D68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8 - Indicadores ilustrativos sobre toma de conciencia</w:t>
            </w:r>
          </w:p>
        </w:tc>
      </w:tr>
      <w:tr w:rsidR="009D5D68" w:rsidRPr="005F460C" w14:paraId="2E2C536C" w14:textId="77777777" w:rsidTr="00D83381">
        <w:tc>
          <w:tcPr>
            <w:tcW w:w="15309" w:type="dxa"/>
            <w:gridSpan w:val="4"/>
          </w:tcPr>
          <w:p w14:paraId="201058D3" w14:textId="5A389049" w:rsidR="009D5D68" w:rsidRPr="005F460C" w:rsidDel="009D5D68" w:rsidRDefault="00356894" w:rsidP="006B77B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Concien</w:t>
            </w:r>
            <w:r w:rsidR="006B77B6">
              <w:rPr>
                <w:b/>
                <w:sz w:val="18"/>
                <w:szCs w:val="18"/>
              </w:rPr>
              <w:t>tiz</w:t>
            </w:r>
            <w:r>
              <w:rPr>
                <w:b/>
                <w:sz w:val="18"/>
                <w:szCs w:val="18"/>
              </w:rPr>
              <w:t xml:space="preserve">ar a la sociedad </w:t>
            </w:r>
            <w:r w:rsidR="006B77B6">
              <w:rPr>
                <w:b/>
                <w:sz w:val="18"/>
                <w:szCs w:val="18"/>
              </w:rPr>
              <w:t>en el</w:t>
            </w:r>
            <w:r>
              <w:rPr>
                <w:b/>
                <w:sz w:val="18"/>
                <w:szCs w:val="18"/>
              </w:rPr>
              <w:t xml:space="preserve"> respet</w:t>
            </w:r>
            <w:r w:rsidR="006B77B6">
              <w:rPr>
                <w:b/>
                <w:sz w:val="18"/>
                <w:szCs w:val="18"/>
              </w:rPr>
              <w:t>o a</w:t>
            </w:r>
            <w:r>
              <w:rPr>
                <w:b/>
                <w:sz w:val="18"/>
                <w:szCs w:val="18"/>
              </w:rPr>
              <w:t xml:space="preserve"> los derechos de las personas con discapacidad</w:t>
            </w:r>
          </w:p>
        </w:tc>
      </w:tr>
      <w:tr w:rsidR="00EC26AF" w:rsidRPr="005F460C" w14:paraId="237C8CAA" w14:textId="77777777" w:rsidTr="00A4786F">
        <w:trPr>
          <w:trHeight w:val="478"/>
        </w:trPr>
        <w:tc>
          <w:tcPr>
            <w:tcW w:w="1086" w:type="dxa"/>
          </w:tcPr>
          <w:p w14:paraId="1FB30168" w14:textId="2C5AEF69" w:rsidR="009D5D68" w:rsidRPr="005F460C" w:rsidRDefault="009D5D68" w:rsidP="002209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8128" w:type="dxa"/>
          </w:tcPr>
          <w:p w14:paraId="3149BE89" w14:textId="292CC2DB" w:rsidR="009D5D68" w:rsidRPr="005F460C" w:rsidRDefault="00A4786F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Combatir los estereotipos, los prejuicios y las prácticas nocivas</w:t>
            </w:r>
          </w:p>
        </w:tc>
        <w:tc>
          <w:tcPr>
            <w:tcW w:w="3406" w:type="dxa"/>
          </w:tcPr>
          <w:p w14:paraId="751F59BE" w14:textId="52127559" w:rsidR="009D5D68" w:rsidRPr="005F460C" w:rsidRDefault="00A4786F" w:rsidP="00A4786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Fomentar el respeto de los derechos y la dignidad de las personas con discapacidad</w:t>
            </w:r>
          </w:p>
        </w:tc>
        <w:tc>
          <w:tcPr>
            <w:tcW w:w="2689" w:type="dxa"/>
          </w:tcPr>
          <w:p w14:paraId="4EC2D545" w14:textId="49A4B070" w:rsidR="009D5D68" w:rsidRPr="005F460C" w:rsidRDefault="009D5D68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Promover la toma de conciencia de las contribuciones de las personas con discapacidad</w:t>
            </w:r>
          </w:p>
        </w:tc>
      </w:tr>
      <w:tr w:rsidR="00C526FA" w:rsidRPr="005F460C" w14:paraId="6A8440A8" w14:textId="77777777" w:rsidTr="00D91C96">
        <w:tc>
          <w:tcPr>
            <w:tcW w:w="1086" w:type="dxa"/>
            <w:vMerge w:val="restart"/>
          </w:tcPr>
          <w:p w14:paraId="6A0FA932" w14:textId="040CDCB9" w:rsidR="00C526FA" w:rsidRPr="005F460C" w:rsidRDefault="00C526FA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4223" w:type="dxa"/>
            <w:gridSpan w:val="3"/>
          </w:tcPr>
          <w:p w14:paraId="6CA0AE90" w14:textId="470419C2" w:rsidR="00AC103E" w:rsidRPr="005F460C" w:rsidRDefault="00AC103E" w:rsidP="00220976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8.1 Inexistencia de disposiciones en la legislación y las políticas que perpetúen el estigma y la discriminación contra las personas con discapacidad</w:t>
            </w:r>
            <w:r w:rsidR="006B77B6">
              <w:rPr>
                <w:color w:val="212121"/>
                <w:sz w:val="18"/>
                <w:szCs w:val="18"/>
              </w:rPr>
              <w:t>.</w:t>
            </w:r>
            <w:r w:rsidRPr="005F460C">
              <w:rPr>
                <w:rStyle w:val="EndnoteReference"/>
                <w:rFonts w:eastAsia="Times New Roman" w:cstheme="minorHAnsi"/>
                <w:color w:val="212121"/>
                <w:sz w:val="18"/>
                <w:szCs w:val="18"/>
                <w:lang w:eastAsia="en-GB"/>
              </w:rPr>
              <w:endnoteReference w:id="1"/>
            </w:r>
          </w:p>
          <w:p w14:paraId="4D4978CC" w14:textId="035D0E22" w:rsidR="00C526FA" w:rsidRPr="005F460C" w:rsidRDefault="009D5334" w:rsidP="00220976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8.2 Existencia de una estrategia o plan nacional amplio de toma de conciencia sobre la discapacidad</w:t>
            </w:r>
            <w:r w:rsidR="009D5D68" w:rsidRPr="005F460C">
              <w:rPr>
                <w:rStyle w:val="EndnoteReference"/>
                <w:rFonts w:eastAsia="Times New Roman" w:cstheme="minorHAnsi"/>
                <w:color w:val="212121"/>
                <w:sz w:val="18"/>
                <w:szCs w:val="18"/>
                <w:lang w:eastAsia="en-GB"/>
              </w:rPr>
              <w:endnoteReference w:id="2"/>
            </w:r>
            <w:r>
              <w:rPr>
                <w:color w:val="212121"/>
                <w:sz w:val="18"/>
                <w:szCs w:val="18"/>
              </w:rPr>
              <w:t xml:space="preserve"> destinado a combatir los estereotipos contra las personas con discapacidad y a promover la toma de conciencia sobre las personas con discapacidad y sus derechos</w:t>
            </w:r>
            <w:r w:rsidR="006B77B6">
              <w:rPr>
                <w:color w:val="212121"/>
                <w:sz w:val="18"/>
                <w:szCs w:val="18"/>
              </w:rPr>
              <w:t>.</w:t>
            </w:r>
            <w:r w:rsidR="009D5D68" w:rsidRPr="005F460C">
              <w:rPr>
                <w:rStyle w:val="EndnoteReference"/>
                <w:rFonts w:eastAsia="Times New Roman" w:cstheme="minorHAnsi"/>
                <w:color w:val="212121"/>
                <w:sz w:val="18"/>
                <w:szCs w:val="18"/>
                <w:lang w:eastAsia="en-GB"/>
              </w:rPr>
              <w:endnoteReference w:id="3"/>
            </w:r>
          </w:p>
          <w:p w14:paraId="3EEC9BE5" w14:textId="184F0602" w:rsidR="00737C7D" w:rsidRPr="005F460C" w:rsidRDefault="009D5334" w:rsidP="0022097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8.3 Plan específico de las autoridades reguladoras de los medios de comunicación para fomentar la adopción por parte de los medios de comunicación masiva y los medios de difusión de:</w:t>
            </w:r>
          </w:p>
          <w:p w14:paraId="5E5F6DD1" w14:textId="77777777" w:rsidR="00737C7D" w:rsidRPr="005F460C" w:rsidRDefault="00737C7D" w:rsidP="0022097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Directrices inclusivas y accesibles para el lugar de trabajo y procedimientos de recursos humanos para acoger a la diversidad;</w:t>
            </w:r>
          </w:p>
          <w:p w14:paraId="64EA83E1" w14:textId="77777777" w:rsidR="00737C7D" w:rsidRPr="005F460C" w:rsidRDefault="00737C7D" w:rsidP="0022097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Directrices para periodistas sobre cómo informar acerca de las personas con discapacidad</w:t>
            </w:r>
            <w:r w:rsidRPr="005F460C">
              <w:rPr>
                <w:rStyle w:val="EndnoteReference"/>
                <w:rFonts w:asciiTheme="minorHAnsi" w:hAnsiTheme="minorHAnsi" w:cstheme="minorHAnsi"/>
                <w:color w:val="212121"/>
                <w:sz w:val="18"/>
                <w:szCs w:val="18"/>
              </w:rPr>
              <w:endnoteReference w:id="4"/>
            </w:r>
          </w:p>
          <w:p w14:paraId="6B4C55CB" w14:textId="07A5E248" w:rsidR="009D4B92" w:rsidRPr="005F460C" w:rsidRDefault="009D4B92" w:rsidP="0022097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Mecanismos de consulta con las personas con discapacidad, especialmente a través de sus organizaciones representativas, en el diseño y desarrollo de sus políticas.</w:t>
            </w:r>
          </w:p>
        </w:tc>
      </w:tr>
      <w:tr w:rsidR="00A4786F" w:rsidRPr="005F460C" w14:paraId="771CE7AB" w14:textId="77777777" w:rsidTr="00A4786F">
        <w:tc>
          <w:tcPr>
            <w:tcW w:w="1086" w:type="dxa"/>
            <w:vMerge/>
          </w:tcPr>
          <w:p w14:paraId="6EB16D3B" w14:textId="77777777" w:rsidR="00A4786F" w:rsidRPr="005F460C" w:rsidRDefault="00A4786F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28" w:type="dxa"/>
          </w:tcPr>
          <w:p w14:paraId="057A3235" w14:textId="6D762DEE" w:rsidR="00A4786F" w:rsidRPr="005F460C" w:rsidRDefault="00A4786F" w:rsidP="00A4786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Promulgación de medidas jurídicas para hacer frente a los delitos motivados por el odio, las expresiones de odio y las prácticas nocivas</w:t>
            </w:r>
            <w:r w:rsidRPr="005F460C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5"/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contra las personas con discapacidad, incluso mediante la comisión de delitos y/o la imposición de sanciones penales</w:t>
            </w:r>
            <w:r w:rsidRPr="005F460C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6"/>
            </w:r>
          </w:p>
          <w:p w14:paraId="27B86878" w14:textId="14CCD6FC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>
              <w:rPr>
                <w:sz w:val="18"/>
                <w:szCs w:val="18"/>
              </w:rPr>
              <w:t xml:space="preserve"> Promulgación de medidas legales que aborden el uso de lenguaje y comportamientos derogatorios o peyorativos mediante sanciones proporcionadas.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68469707" w14:textId="3EB13186" w:rsidR="00A4786F" w:rsidRPr="005F460C" w:rsidRDefault="00A4786F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8.6</w:t>
            </w:r>
            <w:r w:rsidRPr="00A4786F">
              <w:rPr>
                <w:rFonts w:cstheme="minorHAnsi"/>
                <w:sz w:val="18"/>
                <w:szCs w:val="18"/>
              </w:rPr>
              <w:t xml:space="preserve"> Los programas de educación y formación en derechos humanos incluyen los derechos de las personas con discapacidad e involucran a las organizaciones de personas con discapacidad.</w:t>
            </w:r>
            <w:r w:rsidRPr="00A4786F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A4786F">
              <w:rPr>
                <w:rFonts w:cstheme="minorHAnsi"/>
                <w:sz w:val="18"/>
                <w:szCs w:val="18"/>
                <w:vertAlign w:val="superscript"/>
              </w:rPr>
              <w:endnoteReference w:id="7"/>
            </w:r>
          </w:p>
        </w:tc>
      </w:tr>
      <w:tr w:rsidR="008D18E0" w:rsidRPr="005F460C" w14:paraId="732428DE" w14:textId="77777777" w:rsidTr="00D91C96">
        <w:trPr>
          <w:trHeight w:val="1229"/>
        </w:trPr>
        <w:tc>
          <w:tcPr>
            <w:tcW w:w="1086" w:type="dxa"/>
            <w:vMerge w:val="restart"/>
          </w:tcPr>
          <w:p w14:paraId="2730ED28" w14:textId="30C6B1BE" w:rsidR="008D18E0" w:rsidRPr="005F460C" w:rsidRDefault="008D18E0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14223" w:type="dxa"/>
            <w:gridSpan w:val="3"/>
          </w:tcPr>
          <w:p w14:paraId="6645F5D3" w14:textId="19CA59FF" w:rsidR="008D18E0" w:rsidRPr="005F460C" w:rsidRDefault="00737C7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8.7 Número y tipo de actividades multimedia de toma de conciencia sobre los derechos de las personas con discapacidad y sus contribuciones, desglosadas por tipo, duración y grupo destinatario</w:t>
            </w:r>
            <w:r w:rsidR="00C0617F">
              <w:rPr>
                <w:sz w:val="18"/>
                <w:szCs w:val="18"/>
              </w:rPr>
              <w:t>.</w:t>
            </w:r>
            <w:r w:rsidR="001753BD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7E9D214E" w14:textId="02EB5392" w:rsidR="001753BD" w:rsidRPr="005F460C" w:rsidRDefault="001753B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8.8 Número y tipo de actividades de divulgación accesibles e inclusivas dirigidas a las personas con discapacidad</w:t>
            </w:r>
            <w:r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y que les informan sobre sus derechos en virtud de la CDPD, </w:t>
            </w:r>
            <w:r w:rsidR="00C0617F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 xml:space="preserve"> Protocolo Facultativo y el marco jurídico nacional, desglosados por tipo y cobertura geográfica de las actividades</w:t>
            </w:r>
          </w:p>
          <w:p w14:paraId="2CAA6761" w14:textId="2190F65F" w:rsidR="001753BD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8.9 Número de personas formadas en el marco de programas estatales de toma de conciencia para diferentes agentes</w:t>
            </w:r>
            <w:r w:rsidR="001753BD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>
              <w:rPr>
                <w:sz w:val="18"/>
                <w:szCs w:val="18"/>
              </w:rPr>
              <w:t xml:space="preserve"> </w:t>
            </w:r>
            <w:r w:rsidR="00072D0C">
              <w:rPr>
                <w:sz w:val="18"/>
                <w:szCs w:val="18"/>
              </w:rPr>
              <w:t>para fomentar el respe</w:t>
            </w:r>
            <w:r w:rsidR="00C0617F">
              <w:rPr>
                <w:sz w:val="18"/>
                <w:szCs w:val="18"/>
              </w:rPr>
              <w:t xml:space="preserve">to e informar </w:t>
            </w:r>
            <w:proofErr w:type="spellStart"/>
            <w:r w:rsidR="00C0617F">
              <w:rPr>
                <w:sz w:val="18"/>
                <w:szCs w:val="18"/>
              </w:rPr>
              <w:t>sobre</w:t>
            </w:r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derechos de las personas con discapacidad, incluida la lucha contra los estereotipos, los prejuicios y las prácticas nocivas. </w:t>
            </w:r>
          </w:p>
          <w:p w14:paraId="204CCC48" w14:textId="013EB3B1" w:rsidR="001753BD" w:rsidRPr="005F460C" w:rsidRDefault="009D5334" w:rsidP="002209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8.10 Existencia de contenidos que aborden específicamente la inclusión de las personas con discapacidad y la existencia de la integración de la perspectiva de género</w:t>
            </w:r>
            <w:r w:rsidR="001753BD" w:rsidRPr="005F460C">
              <w:rPr>
                <w:rStyle w:val="EndnoteReference"/>
                <w:rFonts w:eastAsia="Times New Roman" w:cstheme="minorHAnsi"/>
                <w:sz w:val="18"/>
                <w:szCs w:val="18"/>
                <w:lang w:eastAsia="en-GB"/>
              </w:rPr>
              <w:endnoteReference w:id="11"/>
            </w:r>
            <w:r>
              <w:rPr>
                <w:sz w:val="18"/>
                <w:szCs w:val="18"/>
              </w:rPr>
              <w:t xml:space="preserve"> en los planes de estudio de periodismo y comunicación en escuelas y universidades.</w:t>
            </w:r>
          </w:p>
          <w:p w14:paraId="38493722" w14:textId="514850D6" w:rsidR="001753BD" w:rsidRPr="005F460C" w:rsidRDefault="001753B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8.11 Número y proporción de empresas de medios de comunicación públicos y privados que han adoptado políticas</w:t>
            </w:r>
            <w:r w:rsidR="00D91C96">
              <w:rPr>
                <w:sz w:val="18"/>
                <w:szCs w:val="18"/>
              </w:rPr>
              <w:t xml:space="preserve"> explicitas y documentadas</w:t>
            </w:r>
            <w:r>
              <w:rPr>
                <w:sz w:val="18"/>
                <w:szCs w:val="18"/>
              </w:rPr>
              <w:t>, como código</w:t>
            </w:r>
            <w:r w:rsidR="00D91C9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ética sobre la cobertura informativa, que abordan el tema de las personas con discapacidad.</w:t>
            </w:r>
          </w:p>
          <w:p w14:paraId="1463EF68" w14:textId="61CFFC12" w:rsidR="00F21E3C" w:rsidRPr="005F460C" w:rsidRDefault="00D04FDE" w:rsidP="002209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8.12 Procesos de consulta emprendidos para asegurar la participación activa de las personas con discapacidad, incluso a través de sus organizaciones representativas, en el diseño, la implementación y el monitoreo de leyes, reglamentos, políticas y programas, en relación con </w:t>
            </w:r>
            <w:r w:rsidR="00D91C96">
              <w:rPr>
                <w:sz w:val="18"/>
                <w:szCs w:val="18"/>
              </w:rPr>
              <w:t>políticas de</w:t>
            </w:r>
            <w:r>
              <w:rPr>
                <w:sz w:val="18"/>
                <w:szCs w:val="18"/>
              </w:rPr>
              <w:t xml:space="preserve"> toma de conciencia </w:t>
            </w:r>
            <w:r w:rsidR="00D91C96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la sociedad para el respeto de los derechos de las personas con discapacidad.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F21E3C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  <w:r>
              <w:rPr>
                <w:sz w:val="18"/>
                <w:szCs w:val="18"/>
              </w:rPr>
              <w:t xml:space="preserve"> </w:t>
            </w:r>
          </w:p>
          <w:p w14:paraId="67F312C6" w14:textId="20BBDB0B" w:rsidR="00AA629F" w:rsidRPr="005F460C" w:rsidRDefault="009D5334" w:rsidP="00D91C9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 Número de reclamaciones </w:t>
            </w:r>
            <w:r w:rsidR="00D91C96">
              <w:rPr>
                <w:sz w:val="18"/>
                <w:szCs w:val="18"/>
              </w:rPr>
              <w:t>recibidas por e</w:t>
            </w:r>
            <w:r>
              <w:rPr>
                <w:sz w:val="18"/>
                <w:szCs w:val="18"/>
              </w:rPr>
              <w:t>l órgano de monitoreo de los medios de comunicación relacionadas con la representación de personas con discapacidad, investigadas y resueltas a favor del denunciante, y proporción de las mismas cumplida por el gobierno o el titular de la obligación</w:t>
            </w:r>
            <w:r w:rsidR="00571829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3"/>
            </w:r>
            <w:r>
              <w:rPr>
                <w:sz w:val="18"/>
                <w:szCs w:val="18"/>
              </w:rPr>
              <w:t>.</w:t>
            </w:r>
          </w:p>
        </w:tc>
      </w:tr>
      <w:tr w:rsidR="00A4786F" w:rsidRPr="005F460C" w14:paraId="50AD9DAB" w14:textId="77777777" w:rsidTr="00A4786F">
        <w:tc>
          <w:tcPr>
            <w:tcW w:w="1086" w:type="dxa"/>
            <w:vMerge/>
          </w:tcPr>
          <w:p w14:paraId="577EDA96" w14:textId="77777777" w:rsidR="00A4786F" w:rsidRPr="005F460C" w:rsidRDefault="00A4786F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28" w:type="dxa"/>
          </w:tcPr>
          <w:p w14:paraId="3B07A0B3" w14:textId="15A0C4F1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8.14</w:t>
            </w:r>
            <w:r>
              <w:rPr>
                <w:sz w:val="18"/>
                <w:szCs w:val="18"/>
              </w:rPr>
              <w:t xml:space="preserve"> Proporción del personal de la justicia, la administración y las fuerzas del orden que ha recibido formación sobre los delitos motivados por el odio relacionados con la discapacidad y sobre la lucha contra las prácticas nocivas y los estereotipos de la discapacidad.</w:t>
            </w:r>
          </w:p>
          <w:p w14:paraId="2EACD5C9" w14:textId="38152352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8.15</w:t>
            </w:r>
            <w:r>
              <w:rPr>
                <w:sz w:val="18"/>
                <w:szCs w:val="18"/>
              </w:rPr>
              <w:t xml:space="preserve"> Número y proporción de delitos motivados por el odio e incidentes de incitación al odio denunciados, enjuiciados y la proporción de los mismos que acabó en condena, desglosados por sexo, edad y discapacidad de la víctima, cuando proceda.</w:t>
            </w:r>
          </w:p>
          <w:p w14:paraId="38948728" w14:textId="1E35F9EB" w:rsidR="00A4786F" w:rsidRPr="005F460C" w:rsidRDefault="00A4786F" w:rsidP="00A478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8.16</w:t>
            </w:r>
            <w:r>
              <w:rPr>
                <w:sz w:val="18"/>
                <w:szCs w:val="18"/>
              </w:rPr>
              <w:t xml:space="preserve"> Proporción de incidentes de prácticas nocivas denunciados, enjuiciados y la proporción de los mismos que acabaron en condena, desglosados por sexo, edad y discapacidad de la víctima.</w:t>
            </w:r>
          </w:p>
        </w:tc>
        <w:tc>
          <w:tcPr>
            <w:tcW w:w="6095" w:type="dxa"/>
            <w:gridSpan w:val="2"/>
          </w:tcPr>
          <w:p w14:paraId="49AB6E27" w14:textId="70D755E1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Proporción de programas de educación y formación en derechos humanos que incluyen los derechos de las personas con discapacidad.</w:t>
            </w:r>
          </w:p>
        </w:tc>
      </w:tr>
      <w:tr w:rsidR="00086EF4" w:rsidRPr="005F460C" w14:paraId="5F55D7A8" w14:textId="77777777" w:rsidTr="00D91C96">
        <w:tc>
          <w:tcPr>
            <w:tcW w:w="1086" w:type="dxa"/>
            <w:vMerge w:val="restart"/>
          </w:tcPr>
          <w:p w14:paraId="2F86783F" w14:textId="77777777" w:rsidR="00086EF4" w:rsidRPr="005F460C" w:rsidRDefault="00086EF4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14223" w:type="dxa"/>
            <w:gridSpan w:val="3"/>
          </w:tcPr>
          <w:p w14:paraId="7AAFD58C" w14:textId="466E56F1" w:rsidR="00CC0A66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8.18 Proporción de la población que declara haberse sentido personalmente discriminada o acosada en los últimos 12 meses por motivos de discriminación prohibidos por el derecho internacional de los derechos humanos (ODS 10.3.1</w:t>
            </w:r>
            <w:r w:rsidR="00D91C96">
              <w:rPr>
                <w:sz w:val="18"/>
                <w:szCs w:val="18"/>
              </w:rPr>
              <w:t xml:space="preserve"> o 16.b.1 de los ODS</w:t>
            </w:r>
            <w:r>
              <w:rPr>
                <w:sz w:val="18"/>
                <w:szCs w:val="18"/>
              </w:rPr>
              <w:t>), desglosada por edad, sexo y discapacidad.</w:t>
            </w:r>
          </w:p>
          <w:p w14:paraId="54BFDB88" w14:textId="30F54EBF" w:rsidR="001B33BE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8.19 Porcentaje de estudiantes que sufren </w:t>
            </w:r>
            <w:r>
              <w:rPr>
                <w:i/>
                <w:iCs/>
                <w:sz w:val="18"/>
                <w:szCs w:val="18"/>
              </w:rPr>
              <w:t>bullying</w:t>
            </w:r>
            <w:r>
              <w:rPr>
                <w:sz w:val="18"/>
                <w:szCs w:val="18"/>
              </w:rPr>
              <w:t>, castigos corporales, acoso, violencia, discriminación y abuso sexual por edad, sexo, discapacidad, tipo de institución educativa pública/privada, primaria/secundaria/terciaria/vocacional (según el indicador de la UNESCO).</w:t>
            </w:r>
          </w:p>
        </w:tc>
      </w:tr>
      <w:tr w:rsidR="00D91C96" w:rsidRPr="005F460C" w14:paraId="2D247B21" w14:textId="77777777" w:rsidTr="00471A9B">
        <w:trPr>
          <w:trHeight w:val="1988"/>
        </w:trPr>
        <w:tc>
          <w:tcPr>
            <w:tcW w:w="1086" w:type="dxa"/>
            <w:vMerge/>
          </w:tcPr>
          <w:p w14:paraId="7B3F2D68" w14:textId="77777777" w:rsidR="00D91C96" w:rsidRPr="005F460C" w:rsidRDefault="00D91C96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534" w:type="dxa"/>
            <w:gridSpan w:val="2"/>
          </w:tcPr>
          <w:p w14:paraId="46D10163" w14:textId="08700A0C" w:rsidR="00D91C96" w:rsidRPr="005F460C" w:rsidRDefault="00D91C96" w:rsidP="009D53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8.20 Proporción de personas de la población general que declaran tener una percepción negativa de las personas con discapacidad, desglosada por discapacidad.</w:t>
            </w:r>
            <w:r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4"/>
            </w:r>
          </w:p>
        </w:tc>
        <w:tc>
          <w:tcPr>
            <w:tcW w:w="2689" w:type="dxa"/>
          </w:tcPr>
          <w:p w14:paraId="41BDE5C5" w14:textId="35259E2F" w:rsidR="00D91C96" w:rsidRPr="005F460C" w:rsidRDefault="00D91C96" w:rsidP="009D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8.21 Número y proporción de personas con discapacidad en los medios de comunicación que aparecen como presentadores de noticias, portavoces, expertos y ciudadanos de a pie en los contenidos de noticias y asuntos de actualidad. </w:t>
            </w:r>
          </w:p>
        </w:tc>
      </w:tr>
    </w:tbl>
    <w:p w14:paraId="1CF75C5B" w14:textId="323AA606" w:rsidR="00D84842" w:rsidRPr="005F460C" w:rsidRDefault="00D84842" w:rsidP="00A4786F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D84842" w:rsidRPr="005F460C" w:rsidSect="00356894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174C0" w16cid:durableId="203BD66E"/>
  <w16cid:commentId w16cid:paraId="12CB275E" w16cid:durableId="203BD699"/>
  <w16cid:commentId w16cid:paraId="74C15BD8" w16cid:durableId="203BD66F"/>
  <w16cid:commentId w16cid:paraId="0D7F7363" w16cid:durableId="203BD6E1"/>
  <w16cid:commentId w16cid:paraId="1E0CE8F9" w16cid:durableId="203BD670"/>
  <w16cid:commentId w16cid:paraId="5C4F96A9" w16cid:durableId="203BD75B"/>
  <w16cid:commentId w16cid:paraId="480352F4" w16cid:durableId="203BD671"/>
  <w16cid:commentId w16cid:paraId="6F5B7B6A" w16cid:durableId="203BD672"/>
  <w16cid:commentId w16cid:paraId="42A8524E" w16cid:durableId="203BD79D"/>
  <w16cid:commentId w16cid:paraId="37962E6D" w16cid:durableId="203BD673"/>
  <w16cid:commentId w16cid:paraId="694BDB4F" w16cid:durableId="203BD674"/>
  <w16cid:commentId w16cid:paraId="7AFE4234" w16cid:durableId="203BD838"/>
  <w16cid:commentId w16cid:paraId="0C5AAE75" w16cid:durableId="203BD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E91B" w14:textId="77777777" w:rsidR="00405306" w:rsidRDefault="00405306" w:rsidP="009D5D68">
      <w:pPr>
        <w:spacing w:after="0" w:line="240" w:lineRule="auto"/>
      </w:pPr>
      <w:r>
        <w:separator/>
      </w:r>
    </w:p>
  </w:endnote>
  <w:endnote w:type="continuationSeparator" w:id="0">
    <w:p w14:paraId="7A5458A1" w14:textId="77777777" w:rsidR="00405306" w:rsidRDefault="00405306" w:rsidP="009D5D68">
      <w:pPr>
        <w:spacing w:after="0" w:line="240" w:lineRule="auto"/>
      </w:pPr>
      <w:r>
        <w:continuationSeparator/>
      </w:r>
    </w:p>
  </w:endnote>
  <w:endnote w:id="1">
    <w:p w14:paraId="7B5E3B61" w14:textId="3A95EDFB" w:rsidR="00AC103E" w:rsidRPr="005F460C" w:rsidRDefault="00AC103E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>Para ello es necesario derogar las disposiciones con un lenguaje despectivo,</w:t>
      </w:r>
      <w:r w:rsidR="00977725">
        <w:rPr>
          <w:sz w:val="18"/>
          <w:szCs w:val="18"/>
        </w:rPr>
        <w:t xml:space="preserve"> basado en la eugenesia y/o el </w:t>
      </w:r>
      <w:proofErr w:type="spellStart"/>
      <w:r w:rsidR="00977725">
        <w:rPr>
          <w:sz w:val="18"/>
          <w:szCs w:val="18"/>
        </w:rPr>
        <w:t>capacitismo</w:t>
      </w:r>
      <w:proofErr w:type="spellEnd"/>
      <w:r>
        <w:rPr>
          <w:sz w:val="18"/>
          <w:szCs w:val="18"/>
        </w:rPr>
        <w:t xml:space="preserve"> o en cualquier otro discurso que menoscabe la dignidad y el valor de la vida de las personas con discapacidad como parte de la diversidad humana. Por ejemplo, disposiciones que permiten el tratamiento forzado, la esterilización forzada, la institucionalización y la experimentación médica con </w:t>
      </w:r>
      <w:r w:rsidR="009974B8">
        <w:rPr>
          <w:sz w:val="18"/>
          <w:szCs w:val="18"/>
        </w:rPr>
        <w:t xml:space="preserve">personas con </w:t>
      </w:r>
      <w:r>
        <w:rPr>
          <w:sz w:val="18"/>
          <w:szCs w:val="18"/>
        </w:rPr>
        <w:t xml:space="preserve">discapacidad. </w:t>
      </w:r>
    </w:p>
  </w:endnote>
  <w:endnote w:id="2">
    <w:p w14:paraId="643DF9F2" w14:textId="4F34F497" w:rsidR="009D5D68" w:rsidRPr="005F460C" w:rsidRDefault="009D5D68" w:rsidP="0025389C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Que esté </w:t>
      </w:r>
      <w:r>
        <w:rPr>
          <w:color w:val="000000"/>
          <w:sz w:val="18"/>
          <w:szCs w:val="18"/>
        </w:rPr>
        <w:t>diseñado conjuntamente con organizaciones de personas con discapacidad y que contenga:</w:t>
      </w:r>
    </w:p>
    <w:p w14:paraId="38AAA39D" w14:textId="2EC4D950" w:rsidR="009D5D68" w:rsidRPr="005F460C" w:rsidRDefault="009D5D68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Líneas claras de responsabilidad, objetivos y calendario para la implementación;</w:t>
      </w:r>
    </w:p>
    <w:p w14:paraId="05538AB1" w14:textId="50D1A47C" w:rsidR="009D5D68" w:rsidRPr="005F460C" w:rsidRDefault="009D5D68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Mecanismos de cooperación interministerial</w:t>
      </w:r>
    </w:p>
    <w:p w14:paraId="70FC54CE" w14:textId="159FFB65" w:rsidR="009D5D68" w:rsidRPr="005F460C" w:rsidRDefault="009D5D68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Presupuesto asignado;</w:t>
      </w:r>
    </w:p>
    <w:p w14:paraId="1B4E5EFF" w14:textId="357C1D12" w:rsidR="009D5D68" w:rsidRPr="005F460C" w:rsidRDefault="009D5D68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control y aplicabilidad</w:t>
      </w:r>
    </w:p>
    <w:p w14:paraId="289F0F5D" w14:textId="3D98193A" w:rsidR="009D5D68" w:rsidRPr="005F460C" w:rsidRDefault="009D5D68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Sanciones disuasorias por incumplimiento</w:t>
      </w:r>
      <w:r>
        <w:rPr>
          <w:sz w:val="18"/>
          <w:szCs w:val="18"/>
        </w:rPr>
        <w:t>;</w:t>
      </w:r>
    </w:p>
    <w:p w14:paraId="5EBCEA86" w14:textId="0F0C8DC8" w:rsidR="009D5D68" w:rsidRPr="005F460C" w:rsidRDefault="009D5D68" w:rsidP="0025389C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Criterios que requieren accesibilidad física e informativa</w:t>
      </w:r>
    </w:p>
  </w:endnote>
  <w:endnote w:id="3">
    <w:p w14:paraId="13C5D921" w14:textId="72AE1ABF" w:rsidR="009D5D68" w:rsidRPr="005F460C" w:rsidRDefault="009D5D68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4410C67E" w14:textId="05C72ADB" w:rsidR="009D5D68" w:rsidRPr="005F460C" w:rsidRDefault="009D5D68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La estigmatización basada en creencias negativas sobre las personas con discapacidad, incluidas las basadas en puntos de vista consuetudinarios, religiosos o médicos;</w:t>
      </w:r>
    </w:p>
    <w:p w14:paraId="529BB7D9" w14:textId="5D11EC17" w:rsidR="009D5D68" w:rsidRPr="005F460C" w:rsidRDefault="009D5D68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la visibilidad de las personas con discapacidad en la sociedad a través de los medios de comunicación que saca a la luz los abusos contra las personas con discapacidad y fomenta su imagen positiva y sus capacidades en entornos inclusivos;</w:t>
      </w:r>
    </w:p>
    <w:p w14:paraId="3AE8E523" w14:textId="77777777" w:rsidR="009D5D68" w:rsidRPr="005F460C" w:rsidRDefault="009D5D68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actividades de formación para profesionales de la comunicación y los medios de comunicación sobre el enfoque de la discapacidad basado en los derechos humanos;</w:t>
      </w:r>
    </w:p>
    <w:p w14:paraId="13AB395F" w14:textId="14528620" w:rsidR="009D5D68" w:rsidRPr="005F460C" w:rsidRDefault="009D5D68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asegurar el apoyo de los funcionarios públicos, incluidos los poderes legislativo, ejecutivo y judicial, en relación con la Convención y su Protocolo Facultativo;</w:t>
      </w:r>
    </w:p>
    <w:p w14:paraId="1C450A66" w14:textId="167E46EC" w:rsidR="009D5D68" w:rsidRPr="005F460C" w:rsidRDefault="009D5D68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bCs/>
          <w:sz w:val="18"/>
          <w:szCs w:val="18"/>
        </w:rPr>
        <w:t xml:space="preserve">hacer que la Convención esté disponible en una variedad de formatos, incluyendo lenguaje(s) nacional(es) de señas, versiones de lectura fácil y versiones para los niños. </w:t>
      </w:r>
    </w:p>
  </w:endnote>
  <w:endnote w:id="4">
    <w:p w14:paraId="305B18FE" w14:textId="72401BC2" w:rsidR="00737C7D" w:rsidRPr="005F460C" w:rsidRDefault="00737C7D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Con ello se </w:t>
      </w:r>
      <w:r>
        <w:rPr>
          <w:color w:val="212121"/>
          <w:sz w:val="18"/>
          <w:szCs w:val="18"/>
        </w:rPr>
        <w:t xml:space="preserve">pretende evitar la perpetuación de estereotipos negativos, desmitificar los mitos, combatir las actitudes de intolerancia y discriminación contra las personas con discapacidad, garantizar el respeto </w:t>
      </w:r>
      <w:r>
        <w:rPr>
          <w:sz w:val="18"/>
          <w:szCs w:val="18"/>
        </w:rPr>
        <w:t>de la dignidad y el valor de la vida de las personas con discapacidad como parte de la diversidad humana</w:t>
      </w:r>
      <w:r>
        <w:rPr>
          <w:color w:val="212121"/>
          <w:sz w:val="18"/>
          <w:szCs w:val="18"/>
        </w:rPr>
        <w:t>, y buscar una multiplicidad de fuentes y voces de las personas con discapacidad</w:t>
      </w:r>
      <w:r>
        <w:rPr>
          <w:sz w:val="18"/>
          <w:szCs w:val="18"/>
        </w:rPr>
        <w:t>.</w:t>
      </w:r>
    </w:p>
  </w:endnote>
  <w:endnote w:id="5">
    <w:p w14:paraId="55F2558D" w14:textId="77777777" w:rsidR="00A4786F" w:rsidRPr="005F460C" w:rsidRDefault="00A4786F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prácticas nocivas son aquellas que "son prácticas y comportamientos persistentes que se basan en la discriminación basada, entre otras cosas, en el sexo, el género y la edad, además de formas múltiples y/o interrelacionadas de discriminación que a menudo implican violencia y causan daño o sufrimiento físico y/o psicológico". </w:t>
      </w:r>
      <w:r>
        <w:t xml:space="preserve">Para más información, </w:t>
      </w:r>
      <w:r>
        <w:rPr>
          <w:sz w:val="18"/>
          <w:szCs w:val="18"/>
        </w:rPr>
        <w:t xml:space="preserve">véase  </w:t>
      </w:r>
      <w:hyperlink r:id="rId1" w:history="1">
        <w:r>
          <w:rPr>
            <w:rStyle w:val="Hyperlink"/>
            <w:sz w:val="18"/>
            <w:szCs w:val="18"/>
          </w:rPr>
          <w:t xml:space="preserve">Recomendación general conjunta N.º 31 del Comité para la Eliminación de la Discriminación contra la Mujer y Observación general No. 18 del Comité de los Derechos del Niño sobre las prácticas nocivas adoptadas de manera conjunta </w:t>
        </w:r>
      </w:hyperlink>
      <w:r>
        <w:rPr>
          <w:sz w:val="18"/>
          <w:szCs w:val="18"/>
        </w:rPr>
        <w:t xml:space="preserve"> </w:t>
      </w:r>
      <w:r>
        <w:t xml:space="preserve">Véase también </w:t>
      </w:r>
      <w:r>
        <w:rPr>
          <w:sz w:val="18"/>
          <w:szCs w:val="18"/>
        </w:rPr>
        <w:t>el informe provisional de 2009 del Relator Especial sobre la tortura y otros tratos o penas crueles, inhumanos o degradantes en las intervenciones psiquiátricas forzosas como ejemplo de prácticas nocivas (</w:t>
      </w:r>
      <w:hyperlink r:id="rId2" w:history="1">
        <w:r>
          <w:rPr>
            <w:rStyle w:val="Hyperlink"/>
            <w:sz w:val="18"/>
            <w:szCs w:val="18"/>
          </w:rPr>
          <w:t>A/63/175</w:t>
        </w:r>
      </w:hyperlink>
      <w:r>
        <w:rPr>
          <w:sz w:val="18"/>
          <w:szCs w:val="18"/>
        </w:rPr>
        <w:t>).</w:t>
      </w:r>
    </w:p>
  </w:endnote>
  <w:endnote w:id="6">
    <w:p w14:paraId="4CC8DC5C" w14:textId="77777777" w:rsidR="00A4786F" w:rsidRPr="005F460C" w:rsidRDefault="00A4786F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incluir específicamente:</w:t>
      </w:r>
    </w:p>
    <w:p w14:paraId="50BAA2F7" w14:textId="77777777" w:rsidR="00A4786F" w:rsidRPr="005F460C" w:rsidRDefault="00A4786F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sobre los delitos motivados por el odio relacionados con la discapacidad aplicables en virtud del derecho penal </w:t>
      </w:r>
    </w:p>
    <w:p w14:paraId="230ACD00" w14:textId="77777777" w:rsidR="00A4786F" w:rsidRPr="005F460C" w:rsidRDefault="00A4786F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sanciones </w:t>
      </w:r>
      <w:r>
        <w:rPr>
          <w:rFonts w:asciiTheme="minorHAnsi" w:hAnsiTheme="minorHAnsi"/>
          <w:sz w:val="18"/>
          <w:szCs w:val="18"/>
        </w:rPr>
        <w:t>contra la incitación a la discriminación de las personas con discapacidad en los medios de comunicación</w:t>
      </w:r>
    </w:p>
    <w:p w14:paraId="706748B9" w14:textId="77777777" w:rsidR="00A4786F" w:rsidRPr="005F460C" w:rsidRDefault="00A4786F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por las que se suprimen las prácticas perjudiciales contra las personas con discapacidad, incluidas las mujeres y los niños, en particular los tratamientos invasivos e irreversibles involuntarios y las prácticas relacionadas con acusaciones de brujería </w:t>
      </w:r>
    </w:p>
    <w:p w14:paraId="455DC53C" w14:textId="77777777" w:rsidR="00A4786F" w:rsidRPr="005F460C" w:rsidRDefault="00A4786F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disposiciones para abolir y eliminar el lenguaje peyorativo sobre las personas con discapacidad dentro de las leyes, las políticas y el discurso gubernamental</w:t>
      </w:r>
    </w:p>
  </w:endnote>
  <w:endnote w:id="7">
    <w:p w14:paraId="7CB7E40A" w14:textId="77777777" w:rsidR="00A4786F" w:rsidRPr="005F460C" w:rsidRDefault="00A4786F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Para más información sobre educación y formación en materia de derechos humanos e indicadores específicos, véase </w:t>
      </w:r>
      <w:hyperlink r:id="rId3" w:history="1">
        <w:r>
          <w:rPr>
            <w:rStyle w:val="Hyperlink"/>
            <w:sz w:val="18"/>
            <w:szCs w:val="18"/>
          </w:rPr>
          <w:t>http://www.hre2020.org/indicator-framework</w:t>
        </w:r>
      </w:hyperlink>
      <w:r>
        <w:rPr>
          <w:sz w:val="18"/>
          <w:szCs w:val="18"/>
        </w:rPr>
        <w:t xml:space="preserve">. </w:t>
      </w:r>
    </w:p>
  </w:endnote>
  <w:endnote w:id="8">
    <w:p w14:paraId="53A6A2E8" w14:textId="77777777" w:rsidR="001753BD" w:rsidRPr="005F460C" w:rsidRDefault="001753BD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9">
    <w:p w14:paraId="21E89912" w14:textId="77777777" w:rsidR="001753BD" w:rsidRPr="005F460C" w:rsidRDefault="001753BD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Incluidas las mujeres con discapacidad, las personas con discapacidad de comunidades marginadas y excluidas y las que viven en zonas rurales.</w:t>
      </w:r>
    </w:p>
  </w:endnote>
  <w:endnote w:id="10">
    <w:p w14:paraId="735E682B" w14:textId="77777777" w:rsidR="001753BD" w:rsidRPr="005F460C" w:rsidRDefault="001753BD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11">
    <w:p w14:paraId="07CF27D8" w14:textId="0927AAB2" w:rsidR="001753BD" w:rsidRPr="005F460C" w:rsidRDefault="001753BD" w:rsidP="0025389C">
      <w:pPr>
        <w:spacing w:after="0" w:line="240" w:lineRule="auto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relativa a la sensibilidad de género podría </w:t>
      </w:r>
      <w:r w:rsidR="009974B8">
        <w:rPr>
          <w:sz w:val="18"/>
          <w:szCs w:val="18"/>
        </w:rPr>
        <w:t xml:space="preserve">derivarse </w:t>
      </w:r>
      <w:r>
        <w:rPr>
          <w:sz w:val="18"/>
          <w:szCs w:val="18"/>
        </w:rPr>
        <w:t>de los Indicadores de género para los medios de comunicación (</w:t>
      </w:r>
      <w:hyperlink r:id="rId4" w:history="1">
        <w:r>
          <w:rPr>
            <w:rStyle w:val="Hyperlink"/>
            <w:sz w:val="18"/>
            <w:szCs w:val="18"/>
          </w:rPr>
          <w:t>http://www.media-diversity.org/en/additional-files/Gender-Sensitive_Indicators_for_Media_ES.pdf</w:t>
        </w:r>
      </w:hyperlink>
      <w:r>
        <w:rPr>
          <w:sz w:val="18"/>
          <w:szCs w:val="18"/>
        </w:rPr>
        <w:t xml:space="preserve">). </w:t>
      </w:r>
    </w:p>
  </w:endnote>
  <w:endnote w:id="12">
    <w:p w14:paraId="200E2147" w14:textId="77777777" w:rsidR="00F21E3C" w:rsidRPr="005F460C" w:rsidRDefault="00F21E3C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véase </w:t>
      </w:r>
      <w:hyperlink r:id="rId5" w:history="1">
        <w:r>
          <w:rPr>
            <w:rStyle w:val="Hyperlink"/>
            <w:sz w:val="18"/>
            <w:szCs w:val="18"/>
          </w:rPr>
          <w:t>Observación general N.º 7 del Comité de la CDPD (CRPD/C/GC/7)</w:t>
        </w:r>
      </w:hyperlink>
      <w:r>
        <w:rPr>
          <w:sz w:val="18"/>
          <w:szCs w:val="18"/>
        </w:rPr>
        <w:t xml:space="preserve"> donde se expone que los Estados deben:</w:t>
      </w:r>
    </w:p>
    <w:p w14:paraId="591F5697" w14:textId="77777777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2249C8BB" w14:textId="77777777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03A67AAA" w14:textId="77777777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</w:t>
      </w:r>
    </w:p>
    <w:p w14:paraId="24BC7F3C" w14:textId="77777777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</w:p>
    <w:p w14:paraId="6E69F277" w14:textId="77777777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</w:p>
    <w:p w14:paraId="1AEC32A1" w14:textId="7BCC67D4" w:rsidR="00F21E3C" w:rsidRPr="005F460C" w:rsidRDefault="00F21E3C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13">
    <w:p w14:paraId="368B8EB9" w14:textId="21FDC262" w:rsidR="00667AB6" w:rsidRPr="005F460C" w:rsidRDefault="0057182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debe estar desglosada por edad, sexo, discapacidad, residencia y situación familiar, ubicación geográfica, pertenencia a una minoría, condición de migrante, etc.</w:t>
      </w:r>
    </w:p>
  </w:endnote>
  <w:endnote w:id="14">
    <w:p w14:paraId="00EECAF2" w14:textId="57910AB3" w:rsidR="00D91C96" w:rsidRDefault="00D91C96" w:rsidP="0025389C">
      <w:pPr>
        <w:pStyle w:val="EndnoteText"/>
        <w:jc w:val="both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evaluarse mediante el uso de encuestas de percepción específicas, como las basadas en la "</w:t>
      </w:r>
      <w:hyperlink r:id="rId6" w:history="1">
        <w:r>
          <w:rPr>
            <w:rStyle w:val="Hyperlink"/>
            <w:sz w:val="18"/>
            <w:szCs w:val="18"/>
          </w:rPr>
          <w:t>Escala de Distancia Social"</w:t>
        </w:r>
      </w:hyperlink>
      <w:r>
        <w:rPr>
          <w:sz w:val="18"/>
          <w:szCs w:val="18"/>
        </w:rPr>
        <w:t>. Véase, por ejemplo, el "Estudio sobre percepciones y actitudes de igualdad en la República de Moldavia" (2015) del Consejo para la prevención y eliminación de la discriminación y la garantía de la igualdad de Moldavia, ACNUDH y</w:t>
      </w:r>
      <w:r>
        <w:t xml:space="preserve"> PNUD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E9B7" w14:textId="77777777" w:rsidR="00405306" w:rsidRDefault="00405306" w:rsidP="009D5D68">
      <w:pPr>
        <w:spacing w:after="0" w:line="240" w:lineRule="auto"/>
      </w:pPr>
      <w:r>
        <w:separator/>
      </w:r>
    </w:p>
  </w:footnote>
  <w:footnote w:type="continuationSeparator" w:id="0">
    <w:p w14:paraId="24E4A2ED" w14:textId="77777777" w:rsidR="00405306" w:rsidRDefault="00405306" w:rsidP="009D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CBA"/>
    <w:multiLevelType w:val="multilevel"/>
    <w:tmpl w:val="A3988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EC457F"/>
    <w:multiLevelType w:val="hybridMultilevel"/>
    <w:tmpl w:val="B120A682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A552A"/>
    <w:multiLevelType w:val="hybridMultilevel"/>
    <w:tmpl w:val="DECE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504EB"/>
    <w:multiLevelType w:val="hybridMultilevel"/>
    <w:tmpl w:val="91806CF2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15B64"/>
    <w:multiLevelType w:val="hybridMultilevel"/>
    <w:tmpl w:val="C9FAF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C87"/>
    <w:multiLevelType w:val="multilevel"/>
    <w:tmpl w:val="A34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224C6"/>
    <w:multiLevelType w:val="hybridMultilevel"/>
    <w:tmpl w:val="704C7094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6CBA"/>
    <w:rsid w:val="0001126F"/>
    <w:rsid w:val="00022B72"/>
    <w:rsid w:val="00037FF1"/>
    <w:rsid w:val="00040B43"/>
    <w:rsid w:val="0006608C"/>
    <w:rsid w:val="00072D0C"/>
    <w:rsid w:val="0008240D"/>
    <w:rsid w:val="00082624"/>
    <w:rsid w:val="00083D9B"/>
    <w:rsid w:val="00086EF4"/>
    <w:rsid w:val="001014E7"/>
    <w:rsid w:val="001256F1"/>
    <w:rsid w:val="001753BD"/>
    <w:rsid w:val="001B33BE"/>
    <w:rsid w:val="001C1286"/>
    <w:rsid w:val="001C7235"/>
    <w:rsid w:val="001E062C"/>
    <w:rsid w:val="002022CF"/>
    <w:rsid w:val="00202CEC"/>
    <w:rsid w:val="00211BCA"/>
    <w:rsid w:val="00212603"/>
    <w:rsid w:val="00220976"/>
    <w:rsid w:val="00241F27"/>
    <w:rsid w:val="00243772"/>
    <w:rsid w:val="00247EB8"/>
    <w:rsid w:val="0025389C"/>
    <w:rsid w:val="00282D27"/>
    <w:rsid w:val="002A3808"/>
    <w:rsid w:val="0032161D"/>
    <w:rsid w:val="003259B9"/>
    <w:rsid w:val="00342B36"/>
    <w:rsid w:val="00356894"/>
    <w:rsid w:val="003759C9"/>
    <w:rsid w:val="003905C4"/>
    <w:rsid w:val="003A1529"/>
    <w:rsid w:val="003B1FB1"/>
    <w:rsid w:val="003D0456"/>
    <w:rsid w:val="003F021E"/>
    <w:rsid w:val="00405306"/>
    <w:rsid w:val="004226B5"/>
    <w:rsid w:val="004229F8"/>
    <w:rsid w:val="00433281"/>
    <w:rsid w:val="004826F5"/>
    <w:rsid w:val="00483AEC"/>
    <w:rsid w:val="004A04C5"/>
    <w:rsid w:val="004D418A"/>
    <w:rsid w:val="004D6799"/>
    <w:rsid w:val="004E2192"/>
    <w:rsid w:val="004F21E5"/>
    <w:rsid w:val="004F2DCA"/>
    <w:rsid w:val="004F4737"/>
    <w:rsid w:val="00540DD7"/>
    <w:rsid w:val="00554502"/>
    <w:rsid w:val="0056112A"/>
    <w:rsid w:val="00571829"/>
    <w:rsid w:val="00594817"/>
    <w:rsid w:val="005F460C"/>
    <w:rsid w:val="00624322"/>
    <w:rsid w:val="006275BA"/>
    <w:rsid w:val="00630454"/>
    <w:rsid w:val="006332BF"/>
    <w:rsid w:val="00642309"/>
    <w:rsid w:val="006436C5"/>
    <w:rsid w:val="00665DEC"/>
    <w:rsid w:val="00667AB6"/>
    <w:rsid w:val="00687C51"/>
    <w:rsid w:val="00693D38"/>
    <w:rsid w:val="006B5CDD"/>
    <w:rsid w:val="006B77B6"/>
    <w:rsid w:val="006E2CF5"/>
    <w:rsid w:val="006F35AA"/>
    <w:rsid w:val="007373F6"/>
    <w:rsid w:val="00737C7D"/>
    <w:rsid w:val="0074340B"/>
    <w:rsid w:val="00764C17"/>
    <w:rsid w:val="00773F31"/>
    <w:rsid w:val="00786018"/>
    <w:rsid w:val="007A6048"/>
    <w:rsid w:val="007C1F7E"/>
    <w:rsid w:val="007C69E0"/>
    <w:rsid w:val="007D3822"/>
    <w:rsid w:val="007D4D25"/>
    <w:rsid w:val="007E0D9F"/>
    <w:rsid w:val="00833CED"/>
    <w:rsid w:val="00846BE1"/>
    <w:rsid w:val="0085746D"/>
    <w:rsid w:val="008708BE"/>
    <w:rsid w:val="00876401"/>
    <w:rsid w:val="00885386"/>
    <w:rsid w:val="00886FB8"/>
    <w:rsid w:val="00895F76"/>
    <w:rsid w:val="008B1850"/>
    <w:rsid w:val="008B6CC8"/>
    <w:rsid w:val="008D18E0"/>
    <w:rsid w:val="008D33C7"/>
    <w:rsid w:val="008F2CA8"/>
    <w:rsid w:val="00947DF0"/>
    <w:rsid w:val="00957478"/>
    <w:rsid w:val="0096783D"/>
    <w:rsid w:val="00977725"/>
    <w:rsid w:val="009820D4"/>
    <w:rsid w:val="009911D3"/>
    <w:rsid w:val="009974B8"/>
    <w:rsid w:val="009A0EC3"/>
    <w:rsid w:val="009B6963"/>
    <w:rsid w:val="009D4B92"/>
    <w:rsid w:val="009D5334"/>
    <w:rsid w:val="009D5D68"/>
    <w:rsid w:val="009E4453"/>
    <w:rsid w:val="009F6E73"/>
    <w:rsid w:val="00A037B7"/>
    <w:rsid w:val="00A2699A"/>
    <w:rsid w:val="00A34440"/>
    <w:rsid w:val="00A4786F"/>
    <w:rsid w:val="00A54B07"/>
    <w:rsid w:val="00A82029"/>
    <w:rsid w:val="00A851A9"/>
    <w:rsid w:val="00A90FDE"/>
    <w:rsid w:val="00AA01C4"/>
    <w:rsid w:val="00AA629F"/>
    <w:rsid w:val="00AC103E"/>
    <w:rsid w:val="00AC35D2"/>
    <w:rsid w:val="00AF2B0A"/>
    <w:rsid w:val="00B075C9"/>
    <w:rsid w:val="00B31265"/>
    <w:rsid w:val="00BA73F7"/>
    <w:rsid w:val="00BD6E9F"/>
    <w:rsid w:val="00C0617F"/>
    <w:rsid w:val="00C526FA"/>
    <w:rsid w:val="00C54556"/>
    <w:rsid w:val="00C56860"/>
    <w:rsid w:val="00C63AB2"/>
    <w:rsid w:val="00C66DDB"/>
    <w:rsid w:val="00C818E7"/>
    <w:rsid w:val="00C8363D"/>
    <w:rsid w:val="00C9536F"/>
    <w:rsid w:val="00CB0A36"/>
    <w:rsid w:val="00CC0A66"/>
    <w:rsid w:val="00CC6831"/>
    <w:rsid w:val="00CE40E8"/>
    <w:rsid w:val="00CF2B66"/>
    <w:rsid w:val="00CF2FFC"/>
    <w:rsid w:val="00D04FDE"/>
    <w:rsid w:val="00D074DE"/>
    <w:rsid w:val="00D15B7B"/>
    <w:rsid w:val="00D32F52"/>
    <w:rsid w:val="00D670BA"/>
    <w:rsid w:val="00D77390"/>
    <w:rsid w:val="00D83381"/>
    <w:rsid w:val="00D84791"/>
    <w:rsid w:val="00D84842"/>
    <w:rsid w:val="00D91C96"/>
    <w:rsid w:val="00DC1184"/>
    <w:rsid w:val="00E12F5E"/>
    <w:rsid w:val="00E24B12"/>
    <w:rsid w:val="00E25F55"/>
    <w:rsid w:val="00E30B9B"/>
    <w:rsid w:val="00E509D6"/>
    <w:rsid w:val="00E55122"/>
    <w:rsid w:val="00E72B46"/>
    <w:rsid w:val="00E772BA"/>
    <w:rsid w:val="00E77DA5"/>
    <w:rsid w:val="00E83577"/>
    <w:rsid w:val="00E924D4"/>
    <w:rsid w:val="00E96D8C"/>
    <w:rsid w:val="00EB181C"/>
    <w:rsid w:val="00EC26AF"/>
    <w:rsid w:val="00ED2FAE"/>
    <w:rsid w:val="00EE00E5"/>
    <w:rsid w:val="00EE057C"/>
    <w:rsid w:val="00EE75D6"/>
    <w:rsid w:val="00EE7A4C"/>
    <w:rsid w:val="00EF173D"/>
    <w:rsid w:val="00F21E3C"/>
    <w:rsid w:val="00F22FD6"/>
    <w:rsid w:val="00F410F6"/>
    <w:rsid w:val="00F63625"/>
    <w:rsid w:val="00F63F2B"/>
    <w:rsid w:val="00F77486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09EA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F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5"/>
    <w:rPr>
      <w:rFonts w:ascii="Times New Roman" w:hAnsi="Times New Roman" w:cs="Times New Roman"/>
      <w:sz w:val="26"/>
      <w:szCs w:val="26"/>
      <w:lang w:val="es-ES"/>
    </w:rPr>
  </w:style>
  <w:style w:type="paragraph" w:customStyle="1" w:styleId="xmsonormal">
    <w:name w:val="x_msonormal"/>
    <w:basedOn w:val="Normal"/>
    <w:rsid w:val="000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D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D2"/>
    <w:rPr>
      <w:b/>
      <w:bCs/>
      <w:sz w:val="20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9D5D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D68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9D5D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8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0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42309"/>
    <w:rPr>
      <w:vertAlign w:val="superscript"/>
    </w:rPr>
  </w:style>
  <w:style w:type="paragraph" w:styleId="Revision">
    <w:name w:val="Revision"/>
    <w:hidden/>
    <w:uiPriority w:val="99"/>
    <w:semiHidden/>
    <w:rsid w:val="003568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e2020.org/indicator-framework" TargetMode="External"/><Relationship Id="rId2" Type="http://schemas.openxmlformats.org/officeDocument/2006/relationships/hyperlink" Target="https://documents-dds-ny.un.org/doc/UNDOC/GEN/N08/440/75/PDF/N0844075.pdf?OpenElement" TargetMode="External"/><Relationship Id="rId1" Type="http://schemas.openxmlformats.org/officeDocument/2006/relationships/hyperlink" Target="https://documents-dds-ny.un.org/doc/UNDOC/GEN/N14/627/78/PDF/N1462778.pdf?OpenElement" TargetMode="External"/><Relationship Id="rId6" Type="http://schemas.openxmlformats.org/officeDocument/2006/relationships/hyperlink" Target="http://md.one.un.org/content/unct/moldova/en/home/publications/joint-publications/studiul-privind-percepiile-i-atitudinile-fa-de-egalitate-in-repu.html" TargetMode="External"/><Relationship Id="rId5" Type="http://schemas.openxmlformats.org/officeDocument/2006/relationships/hyperlink" Target="https://tbinternet.ohchr.org/_layouts/treatybodyexternal/Download.aspx?symbolno=CRPD/C/GC/7&amp;Lang=en" TargetMode="External"/><Relationship Id="rId4" Type="http://schemas.openxmlformats.org/officeDocument/2006/relationships/hyperlink" Target="http://www.media-diversity.org/en/additional-files/Gender-Sensitive_Indicators_for_Medi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00A11-70A7-444E-9DF4-71CB3269A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46967-2088-4370-9703-76801E34B60A}"/>
</file>

<file path=customXml/itemProps3.xml><?xml version="1.0" encoding="utf-8"?>
<ds:datastoreItem xmlns:ds="http://schemas.openxmlformats.org/officeDocument/2006/customXml" ds:itemID="{D642809F-B97B-41D1-A01B-0A34D2970072}"/>
</file>

<file path=customXml/itemProps4.xml><?xml version="1.0" encoding="utf-8"?>
<ds:datastoreItem xmlns:ds="http://schemas.openxmlformats.org/officeDocument/2006/customXml" ds:itemID="{96C6AD06-68A9-43B8-8D3E-18C29DB76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4</cp:revision>
  <dcterms:created xsi:type="dcterms:W3CDTF">2019-05-23T07:05:00Z</dcterms:created>
  <dcterms:modified xsi:type="dcterms:W3CDTF">2019-06-01T05:26:00Z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