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8FA" w:rsidRPr="00360FB0" w:rsidRDefault="007578A3">
      <w:pPr>
        <w:rPr>
          <w:b/>
          <w:sz w:val="24"/>
          <w:szCs w:val="24"/>
          <w:lang w:val="en-GB"/>
        </w:rPr>
      </w:pPr>
      <w:r w:rsidRPr="00360FB0">
        <w:rPr>
          <w:b/>
          <w:sz w:val="24"/>
          <w:szCs w:val="24"/>
          <w:lang w:val="en-GB"/>
        </w:rPr>
        <w:t>QUESTIONAIRE on the provision of support to persons with disabilities</w:t>
      </w:r>
    </w:p>
    <w:p w:rsidR="007578A3" w:rsidRDefault="00BA7240">
      <w:pPr>
        <w:rPr>
          <w:b/>
          <w:sz w:val="28"/>
          <w:szCs w:val="28"/>
          <w:lang w:val="en-GB"/>
        </w:rPr>
      </w:pPr>
      <w:r>
        <w:rPr>
          <w:b/>
          <w:sz w:val="28"/>
          <w:szCs w:val="28"/>
          <w:lang w:val="en-GB"/>
        </w:rPr>
        <w:t xml:space="preserve">The </w:t>
      </w:r>
      <w:bookmarkStart w:id="0" w:name="_GoBack"/>
      <w:r>
        <w:rPr>
          <w:b/>
          <w:sz w:val="28"/>
          <w:szCs w:val="28"/>
          <w:lang w:val="en-GB"/>
        </w:rPr>
        <w:t>Netherlands Institute for Human Rights</w:t>
      </w:r>
    </w:p>
    <w:bookmarkEnd w:id="0"/>
    <w:p w:rsidR="00C4635B" w:rsidRPr="00C4635B" w:rsidRDefault="00C4635B">
      <w:pPr>
        <w:rPr>
          <w:lang w:val="en-GB"/>
        </w:rPr>
      </w:pPr>
      <w:r>
        <w:rPr>
          <w:lang w:val="en-GB"/>
        </w:rPr>
        <w:t>October 14, 2016</w:t>
      </w:r>
    </w:p>
    <w:p w:rsidR="007578A3" w:rsidRPr="00360FB0" w:rsidRDefault="007578A3">
      <w:pPr>
        <w:rPr>
          <w:lang w:val="en-GB"/>
        </w:rPr>
      </w:pPr>
    </w:p>
    <w:p w:rsidR="007B433A" w:rsidRDefault="0001724B" w:rsidP="00360FB0">
      <w:pPr>
        <w:pStyle w:val="ListParagraph"/>
        <w:numPr>
          <w:ilvl w:val="0"/>
          <w:numId w:val="1"/>
        </w:numPr>
        <w:rPr>
          <w:lang w:val="en-GB"/>
        </w:rPr>
      </w:pPr>
      <w:r w:rsidRPr="007B433A">
        <w:rPr>
          <w:lang w:val="en-GB"/>
        </w:rPr>
        <w:t xml:space="preserve">(a-b) </w:t>
      </w:r>
      <w:r w:rsidR="007578A3" w:rsidRPr="007B433A">
        <w:rPr>
          <w:lang w:val="en-GB"/>
        </w:rPr>
        <w:t xml:space="preserve">In The Netherlands, persons with disabilities may receive support </w:t>
      </w:r>
      <w:r w:rsidRPr="007B433A">
        <w:rPr>
          <w:lang w:val="en-GB"/>
        </w:rPr>
        <w:t xml:space="preserve">for personal assistance and in-home, residential and community support through </w:t>
      </w:r>
      <w:r w:rsidR="006D6A46" w:rsidRPr="007B433A">
        <w:rPr>
          <w:lang w:val="en-GB"/>
        </w:rPr>
        <w:t xml:space="preserve">various </w:t>
      </w:r>
      <w:r w:rsidRPr="007B433A">
        <w:rPr>
          <w:lang w:val="en-GB"/>
        </w:rPr>
        <w:t>budget channels.</w:t>
      </w:r>
      <w:r w:rsidR="002C2F32" w:rsidRPr="007B433A">
        <w:rPr>
          <w:lang w:val="en-GB"/>
        </w:rPr>
        <w:t xml:space="preserve"> </w:t>
      </w:r>
      <w:r w:rsidR="00360FB0" w:rsidRPr="007B433A">
        <w:rPr>
          <w:lang w:val="en-GB"/>
        </w:rPr>
        <w:t xml:space="preserve">As a consequence of a major overhaul in the field of social policies </w:t>
      </w:r>
      <w:r w:rsidRPr="007B433A">
        <w:rPr>
          <w:lang w:val="en-GB"/>
        </w:rPr>
        <w:t xml:space="preserve">(in force as of 1 January 2015) </w:t>
      </w:r>
      <w:r w:rsidR="00360FB0" w:rsidRPr="007B433A">
        <w:rPr>
          <w:lang w:val="en-GB"/>
        </w:rPr>
        <w:t>local governments have more responsibilities which affect human rights.</w:t>
      </w:r>
      <w:r w:rsidR="007B433A" w:rsidRPr="007B433A">
        <w:rPr>
          <w:lang w:val="en-GB"/>
        </w:rPr>
        <w:t xml:space="preserve"> In addition, health insurance companies administer budgets for long-term residential care.</w:t>
      </w:r>
      <w:r w:rsidR="00360FB0">
        <w:rPr>
          <w:rStyle w:val="EndnoteReference"/>
          <w:lang w:val="en-GB"/>
        </w:rPr>
        <w:endnoteReference w:id="1"/>
      </w:r>
      <w:r w:rsidR="00360FB0" w:rsidRPr="007B433A">
        <w:rPr>
          <w:sz w:val="14"/>
          <w:szCs w:val="14"/>
          <w:lang w:val="en-GB"/>
        </w:rPr>
        <w:t xml:space="preserve"> </w:t>
      </w:r>
      <w:r w:rsidR="00360FB0" w:rsidRPr="007B433A">
        <w:rPr>
          <w:lang w:val="en-GB"/>
        </w:rPr>
        <w:t xml:space="preserve">The overhaul was accompanied by (severe) budgetary cuts. </w:t>
      </w:r>
    </w:p>
    <w:p w:rsidR="007B433A" w:rsidRDefault="007B433A" w:rsidP="007B433A">
      <w:pPr>
        <w:pStyle w:val="ListParagraph"/>
        <w:ind w:left="360"/>
        <w:rPr>
          <w:lang w:val="en-GB"/>
        </w:rPr>
      </w:pPr>
    </w:p>
    <w:p w:rsidR="00360FB0" w:rsidRPr="007B433A" w:rsidRDefault="00360FB0" w:rsidP="007B433A">
      <w:pPr>
        <w:pStyle w:val="ListParagraph"/>
        <w:ind w:left="360"/>
        <w:rPr>
          <w:lang w:val="en-GB"/>
        </w:rPr>
      </w:pPr>
      <w:r w:rsidRPr="007B433A">
        <w:rPr>
          <w:lang w:val="en-GB"/>
        </w:rPr>
        <w:t xml:space="preserve">Municipalities are responsible to support individuals in participating in society and to provide access to care and services to facilitate this. Individuals are expected to do as much as possible themselves and to request their social network to provide informal care. </w:t>
      </w:r>
    </w:p>
    <w:p w:rsidR="00360FB0" w:rsidRPr="00360FB0" w:rsidRDefault="00360FB0" w:rsidP="00360FB0">
      <w:pPr>
        <w:pStyle w:val="Default"/>
        <w:rPr>
          <w:sz w:val="22"/>
          <w:szCs w:val="22"/>
          <w:lang w:val="en-GB"/>
        </w:rPr>
      </w:pPr>
    </w:p>
    <w:p w:rsidR="00360FB0" w:rsidRPr="00360FB0" w:rsidRDefault="00360FB0" w:rsidP="007B433A">
      <w:pPr>
        <w:pStyle w:val="Default"/>
        <w:ind w:left="360"/>
        <w:rPr>
          <w:sz w:val="22"/>
          <w:szCs w:val="22"/>
          <w:lang w:val="en-GB"/>
        </w:rPr>
      </w:pPr>
      <w:r w:rsidRPr="00360FB0">
        <w:rPr>
          <w:sz w:val="22"/>
          <w:szCs w:val="22"/>
          <w:lang w:val="en-GB"/>
        </w:rPr>
        <w:t>Various reports indicate that the access to, and availability of, care for various groups are negatively affected. These groups include elderly, chronically ill and people with disabilities, women, and children. It appears that many have limited support from their social network.</w:t>
      </w:r>
      <w:r>
        <w:rPr>
          <w:rStyle w:val="EndnoteReference"/>
          <w:sz w:val="22"/>
          <w:szCs w:val="22"/>
          <w:lang w:val="en-GB"/>
        </w:rPr>
        <w:endnoteReference w:id="2"/>
      </w:r>
      <w:r w:rsidRPr="00360FB0">
        <w:rPr>
          <w:sz w:val="14"/>
          <w:szCs w:val="14"/>
          <w:lang w:val="en-GB"/>
        </w:rPr>
        <w:t xml:space="preserve"> </w:t>
      </w:r>
      <w:r w:rsidRPr="00360FB0">
        <w:rPr>
          <w:sz w:val="22"/>
          <w:szCs w:val="22"/>
          <w:lang w:val="en-GB"/>
        </w:rPr>
        <w:t>Local authorities are often not equipped to provide the necessary support. They often lack the infrastructure, expertise and budget. They are not always able to identify vulnerable groups who do not seek support themselves.</w:t>
      </w:r>
    </w:p>
    <w:p w:rsidR="00360FB0" w:rsidRPr="00360FB0" w:rsidRDefault="00360FB0" w:rsidP="00360FB0">
      <w:pPr>
        <w:pStyle w:val="Default"/>
        <w:rPr>
          <w:sz w:val="22"/>
          <w:szCs w:val="22"/>
          <w:lang w:val="en-GB"/>
        </w:rPr>
      </w:pPr>
    </w:p>
    <w:p w:rsidR="00360FB0" w:rsidRPr="00360FB0" w:rsidRDefault="00360FB0" w:rsidP="007B433A">
      <w:pPr>
        <w:pStyle w:val="Default"/>
        <w:spacing w:after="16"/>
        <w:ind w:left="360"/>
        <w:rPr>
          <w:sz w:val="22"/>
          <w:szCs w:val="22"/>
          <w:lang w:val="en-GB"/>
        </w:rPr>
      </w:pPr>
      <w:r w:rsidRPr="00360FB0">
        <w:rPr>
          <w:sz w:val="22"/>
          <w:szCs w:val="22"/>
          <w:lang w:val="en-GB"/>
        </w:rPr>
        <w:t xml:space="preserve">The issues that have arisen as a result of the transition in social services include: </w:t>
      </w:r>
    </w:p>
    <w:p w:rsidR="00360FB0" w:rsidRPr="00360FB0" w:rsidRDefault="00360FB0" w:rsidP="006D6A46">
      <w:pPr>
        <w:pStyle w:val="Default"/>
        <w:numPr>
          <w:ilvl w:val="0"/>
          <w:numId w:val="3"/>
        </w:numPr>
        <w:spacing w:after="16"/>
        <w:rPr>
          <w:sz w:val="14"/>
          <w:szCs w:val="14"/>
          <w:lang w:val="en-GB"/>
        </w:rPr>
      </w:pPr>
      <w:r w:rsidRPr="00360FB0">
        <w:rPr>
          <w:sz w:val="22"/>
          <w:szCs w:val="22"/>
          <w:lang w:val="en-GB"/>
        </w:rPr>
        <w:t>Access to health care: reports indicate that people avoid seeking support due to unclear and high financial contributio</w:t>
      </w:r>
      <w:r>
        <w:rPr>
          <w:sz w:val="22"/>
          <w:szCs w:val="22"/>
          <w:lang w:val="en-GB"/>
        </w:rPr>
        <w:t>ns to obtain care and services.</w:t>
      </w:r>
      <w:r>
        <w:rPr>
          <w:rStyle w:val="EndnoteReference"/>
          <w:sz w:val="22"/>
          <w:szCs w:val="22"/>
          <w:lang w:val="en-GB"/>
        </w:rPr>
        <w:endnoteReference w:id="3"/>
      </w:r>
      <w:r w:rsidRPr="00360FB0">
        <w:rPr>
          <w:sz w:val="14"/>
          <w:szCs w:val="14"/>
          <w:lang w:val="en-GB"/>
        </w:rPr>
        <w:t xml:space="preserve"> </w:t>
      </w:r>
      <w:r w:rsidRPr="00360FB0">
        <w:rPr>
          <w:sz w:val="22"/>
          <w:szCs w:val="22"/>
          <w:lang w:val="en-GB"/>
        </w:rPr>
        <w:t>This disproportionally affects elderly and people with disabilities. Information on obtaining a waiver for such contribution is not always provided. Local authorities are not transparent about the amount of own contribution.</w:t>
      </w:r>
      <w:r>
        <w:rPr>
          <w:rStyle w:val="EndnoteReference"/>
          <w:sz w:val="22"/>
          <w:szCs w:val="22"/>
          <w:lang w:val="en-GB"/>
        </w:rPr>
        <w:endnoteReference w:id="4"/>
      </w:r>
    </w:p>
    <w:p w:rsidR="00360FB0" w:rsidRPr="00360FB0" w:rsidRDefault="00360FB0" w:rsidP="006D6A46">
      <w:pPr>
        <w:pStyle w:val="Default"/>
        <w:numPr>
          <w:ilvl w:val="0"/>
          <w:numId w:val="3"/>
        </w:numPr>
        <w:spacing w:after="16"/>
        <w:rPr>
          <w:sz w:val="22"/>
          <w:szCs w:val="22"/>
          <w:lang w:val="en-GB"/>
        </w:rPr>
      </w:pPr>
      <w:r w:rsidRPr="00360FB0">
        <w:rPr>
          <w:sz w:val="22"/>
          <w:szCs w:val="22"/>
          <w:lang w:val="en-GB"/>
        </w:rPr>
        <w:t>Rights of the child and family life: lack of specific expertise among professionals, lack of information for the families, wrong referrals to specialised support and long(</w:t>
      </w:r>
      <w:proofErr w:type="spellStart"/>
      <w:r w:rsidRPr="00360FB0">
        <w:rPr>
          <w:sz w:val="22"/>
          <w:szCs w:val="22"/>
          <w:lang w:val="en-GB"/>
        </w:rPr>
        <w:t>er</w:t>
      </w:r>
      <w:proofErr w:type="spellEnd"/>
      <w:r w:rsidRPr="00360FB0">
        <w:rPr>
          <w:sz w:val="22"/>
          <w:szCs w:val="22"/>
          <w:lang w:val="en-GB"/>
        </w:rPr>
        <w:t>) waiting lists for families mean access and availability of (specialised) care cannot be guaranteed on time a</w:t>
      </w:r>
      <w:r>
        <w:rPr>
          <w:sz w:val="22"/>
          <w:szCs w:val="22"/>
          <w:lang w:val="en-GB"/>
        </w:rPr>
        <w:t>nd waiting lists are growing.</w:t>
      </w:r>
      <w:r>
        <w:rPr>
          <w:rStyle w:val="EndnoteReference"/>
          <w:sz w:val="22"/>
          <w:szCs w:val="22"/>
          <w:lang w:val="en-GB"/>
        </w:rPr>
        <w:endnoteReference w:id="5"/>
      </w:r>
    </w:p>
    <w:p w:rsidR="00360FB0" w:rsidRPr="00360FB0" w:rsidRDefault="00360FB0" w:rsidP="006D6A46">
      <w:pPr>
        <w:pStyle w:val="Default"/>
        <w:numPr>
          <w:ilvl w:val="0"/>
          <w:numId w:val="3"/>
        </w:numPr>
        <w:rPr>
          <w:sz w:val="22"/>
          <w:szCs w:val="22"/>
          <w:lang w:val="en-GB"/>
        </w:rPr>
      </w:pPr>
      <w:r w:rsidRPr="00360FB0">
        <w:rPr>
          <w:sz w:val="22"/>
          <w:szCs w:val="22"/>
          <w:lang w:val="en-GB"/>
        </w:rPr>
        <w:t xml:space="preserve">Right to information and availability of an effective remedy: local authorities decide about support based on a request by the individual concerned. Information about how to request support is often unclear. The right of access to an independent professional to request support is largely unknown. Though mandatory, such an independent professional is not present everywhere. Decisions on the request for support are not always well-motivated. A refusal to grant support is not </w:t>
      </w:r>
      <w:proofErr w:type="gramStart"/>
      <w:r w:rsidRPr="00360FB0">
        <w:rPr>
          <w:sz w:val="22"/>
          <w:szCs w:val="22"/>
          <w:lang w:val="en-GB"/>
        </w:rPr>
        <w:t>always</w:t>
      </w:r>
      <w:proofErr w:type="gramEnd"/>
      <w:r w:rsidRPr="00360FB0">
        <w:rPr>
          <w:sz w:val="22"/>
          <w:szCs w:val="22"/>
          <w:lang w:val="en-GB"/>
        </w:rPr>
        <w:t xml:space="preserve"> clearly communicated; as a result it is difficult to appeal such decisions. </w:t>
      </w:r>
    </w:p>
    <w:p w:rsidR="00360FB0" w:rsidRPr="00360FB0" w:rsidRDefault="00360FB0" w:rsidP="00360FB0">
      <w:pPr>
        <w:pStyle w:val="Default"/>
        <w:rPr>
          <w:sz w:val="22"/>
          <w:szCs w:val="22"/>
          <w:lang w:val="en-GB"/>
        </w:rPr>
      </w:pPr>
    </w:p>
    <w:p w:rsidR="00360FB0" w:rsidRDefault="00360FB0" w:rsidP="007B433A">
      <w:pPr>
        <w:pStyle w:val="Default"/>
        <w:ind w:left="360"/>
        <w:rPr>
          <w:sz w:val="22"/>
          <w:szCs w:val="22"/>
          <w:lang w:val="en-GB"/>
        </w:rPr>
      </w:pPr>
      <w:r w:rsidRPr="00360FB0">
        <w:rPr>
          <w:sz w:val="22"/>
          <w:szCs w:val="22"/>
          <w:lang w:val="en-GB"/>
        </w:rPr>
        <w:t>The shift in responsibilities to provide social care towards local authorities does not lift the central government’s end-responsibility to guarantee human rights. It should increase its efforts in monitoring the effects of the transition in the domain of social policies on human rights, with special focus on vulnerable groups. It should raise awareness and ensure the development of expertise about relevant human rights stan</w:t>
      </w:r>
      <w:r w:rsidR="00BA7240">
        <w:rPr>
          <w:sz w:val="22"/>
          <w:szCs w:val="22"/>
          <w:lang w:val="en-GB"/>
        </w:rPr>
        <w:t>dards within local authorities.</w:t>
      </w:r>
    </w:p>
    <w:p w:rsidR="00BA7240" w:rsidRDefault="00BA7240" w:rsidP="007B433A">
      <w:pPr>
        <w:pStyle w:val="Default"/>
        <w:ind w:left="360"/>
        <w:rPr>
          <w:sz w:val="22"/>
          <w:szCs w:val="22"/>
          <w:lang w:val="en-GB"/>
        </w:rPr>
      </w:pPr>
    </w:p>
    <w:p w:rsidR="00BA7240" w:rsidRDefault="00BA7240" w:rsidP="007B433A">
      <w:pPr>
        <w:pStyle w:val="Default"/>
        <w:ind w:left="360"/>
        <w:rPr>
          <w:sz w:val="22"/>
          <w:szCs w:val="22"/>
          <w:lang w:val="en-GB"/>
        </w:rPr>
      </w:pPr>
      <w:r>
        <w:rPr>
          <w:sz w:val="22"/>
          <w:szCs w:val="22"/>
          <w:lang w:val="en-GB"/>
        </w:rPr>
        <w:t>(c) The Netherlands Institute for Human Rights is not familiar with services that are available for persons with disabilities for support in decision making.</w:t>
      </w:r>
    </w:p>
    <w:p w:rsidR="00FB5DD3" w:rsidRDefault="00FB5DD3" w:rsidP="007B433A">
      <w:pPr>
        <w:pStyle w:val="Default"/>
        <w:ind w:left="360"/>
        <w:rPr>
          <w:sz w:val="22"/>
          <w:szCs w:val="22"/>
          <w:lang w:val="en-GB"/>
        </w:rPr>
      </w:pPr>
    </w:p>
    <w:p w:rsidR="003D0D43" w:rsidRDefault="003D0D43" w:rsidP="007B433A">
      <w:pPr>
        <w:pStyle w:val="Default"/>
        <w:ind w:left="360"/>
        <w:rPr>
          <w:sz w:val="22"/>
          <w:szCs w:val="22"/>
          <w:lang w:val="en-GB"/>
        </w:rPr>
      </w:pPr>
      <w:r>
        <w:rPr>
          <w:sz w:val="22"/>
          <w:szCs w:val="22"/>
          <w:lang w:val="en-GB"/>
        </w:rPr>
        <w:t>(d) As for communication support: sign language interpreters are made available for work</w:t>
      </w:r>
      <w:r w:rsidR="00C30B51">
        <w:rPr>
          <w:sz w:val="22"/>
          <w:szCs w:val="22"/>
          <w:lang w:val="en-GB"/>
        </w:rPr>
        <w:t xml:space="preserve"> (15% of the working hours)</w:t>
      </w:r>
      <w:r>
        <w:rPr>
          <w:sz w:val="22"/>
          <w:szCs w:val="22"/>
          <w:lang w:val="en-GB"/>
        </w:rPr>
        <w:t xml:space="preserve">, education </w:t>
      </w:r>
      <w:r w:rsidR="00C30B51">
        <w:rPr>
          <w:sz w:val="22"/>
          <w:szCs w:val="22"/>
          <w:lang w:val="en-GB"/>
        </w:rPr>
        <w:t xml:space="preserve">(usually 100%) </w:t>
      </w:r>
      <w:r>
        <w:rPr>
          <w:sz w:val="22"/>
          <w:szCs w:val="22"/>
          <w:lang w:val="en-GB"/>
        </w:rPr>
        <w:t xml:space="preserve">and private situations such </w:t>
      </w:r>
      <w:r>
        <w:rPr>
          <w:sz w:val="22"/>
          <w:szCs w:val="22"/>
          <w:lang w:val="en-GB"/>
        </w:rPr>
        <w:lastRenderedPageBreak/>
        <w:t xml:space="preserve">as </w:t>
      </w:r>
      <w:r w:rsidR="00412CF8">
        <w:rPr>
          <w:sz w:val="22"/>
          <w:szCs w:val="22"/>
          <w:lang w:val="en-GB"/>
        </w:rPr>
        <w:t>a doctors consult, going to a notary, attending a wedding or funeral</w:t>
      </w:r>
      <w:r w:rsidR="00C30B51">
        <w:rPr>
          <w:sz w:val="22"/>
          <w:szCs w:val="22"/>
          <w:lang w:val="en-GB"/>
        </w:rPr>
        <w:t xml:space="preserve"> (30 hours a year)</w:t>
      </w:r>
      <w:r w:rsidR="00412CF8">
        <w:rPr>
          <w:sz w:val="22"/>
          <w:szCs w:val="22"/>
          <w:lang w:val="en-GB"/>
        </w:rPr>
        <w:t>.</w:t>
      </w:r>
    </w:p>
    <w:p w:rsidR="003D0D43" w:rsidRDefault="003D0D43" w:rsidP="007B433A">
      <w:pPr>
        <w:pStyle w:val="Default"/>
        <w:ind w:left="360"/>
        <w:rPr>
          <w:sz w:val="22"/>
          <w:szCs w:val="22"/>
          <w:lang w:val="en-GB"/>
        </w:rPr>
      </w:pPr>
    </w:p>
    <w:p w:rsidR="00262DB1" w:rsidRDefault="0099176C" w:rsidP="007B433A">
      <w:pPr>
        <w:pStyle w:val="Default"/>
        <w:ind w:left="360"/>
        <w:rPr>
          <w:sz w:val="22"/>
          <w:szCs w:val="22"/>
          <w:lang w:val="en-GB"/>
        </w:rPr>
      </w:pPr>
      <w:r>
        <w:rPr>
          <w:sz w:val="22"/>
          <w:szCs w:val="22"/>
          <w:lang w:val="en-GB"/>
        </w:rPr>
        <w:t>Representative organisations of persons with a hearing impairment have criticized the way communication support is organized:</w:t>
      </w:r>
    </w:p>
    <w:p w:rsidR="003D0D43" w:rsidRDefault="0099176C" w:rsidP="00262DB1">
      <w:pPr>
        <w:pStyle w:val="Default"/>
        <w:numPr>
          <w:ilvl w:val="0"/>
          <w:numId w:val="5"/>
        </w:numPr>
        <w:rPr>
          <w:sz w:val="22"/>
          <w:szCs w:val="22"/>
          <w:lang w:val="en-GB"/>
        </w:rPr>
      </w:pPr>
      <w:r>
        <w:rPr>
          <w:sz w:val="22"/>
          <w:szCs w:val="22"/>
          <w:lang w:val="en-GB"/>
        </w:rPr>
        <w:t>the amount of hours for sign language interpreters for work is not enough and</w:t>
      </w:r>
      <w:r w:rsidR="00262DB1">
        <w:rPr>
          <w:sz w:val="22"/>
          <w:szCs w:val="22"/>
          <w:lang w:val="en-GB"/>
        </w:rPr>
        <w:t xml:space="preserve"> it is difficult for</w:t>
      </w:r>
      <w:r>
        <w:rPr>
          <w:sz w:val="22"/>
          <w:szCs w:val="22"/>
          <w:lang w:val="en-GB"/>
        </w:rPr>
        <w:t xml:space="preserve"> </w:t>
      </w:r>
      <w:r w:rsidR="00262DB1">
        <w:rPr>
          <w:sz w:val="22"/>
          <w:szCs w:val="22"/>
          <w:lang w:val="en-GB"/>
        </w:rPr>
        <w:t>independent workers to meet the criteria for a sign language interpreter</w:t>
      </w:r>
    </w:p>
    <w:p w:rsidR="00262DB1" w:rsidRDefault="00262DB1" w:rsidP="00262DB1">
      <w:pPr>
        <w:pStyle w:val="Default"/>
        <w:numPr>
          <w:ilvl w:val="0"/>
          <w:numId w:val="5"/>
        </w:numPr>
        <w:rPr>
          <w:sz w:val="22"/>
          <w:szCs w:val="22"/>
          <w:lang w:val="en-GB"/>
        </w:rPr>
      </w:pPr>
      <w:r>
        <w:rPr>
          <w:sz w:val="22"/>
          <w:szCs w:val="22"/>
          <w:lang w:val="en-GB"/>
        </w:rPr>
        <w:t>sign interpreters are not available for education when persons are 30 years and older</w:t>
      </w:r>
    </w:p>
    <w:p w:rsidR="00EC6CE5" w:rsidRDefault="00262DB1" w:rsidP="00262DB1">
      <w:pPr>
        <w:pStyle w:val="Default"/>
        <w:numPr>
          <w:ilvl w:val="0"/>
          <w:numId w:val="5"/>
        </w:numPr>
        <w:rPr>
          <w:sz w:val="22"/>
          <w:szCs w:val="22"/>
          <w:lang w:val="en-GB"/>
        </w:rPr>
      </w:pPr>
      <w:r>
        <w:rPr>
          <w:sz w:val="22"/>
          <w:szCs w:val="22"/>
          <w:lang w:val="en-GB"/>
        </w:rPr>
        <w:t>different ministries are responsible for sign language interpreters, depending on what th</w:t>
      </w:r>
      <w:r w:rsidR="00EC6CE5">
        <w:rPr>
          <w:sz w:val="22"/>
          <w:szCs w:val="22"/>
          <w:lang w:val="en-GB"/>
        </w:rPr>
        <w:t>e interpreter is needed for</w:t>
      </w:r>
    </w:p>
    <w:p w:rsidR="00262DB1" w:rsidRDefault="00EC6CE5" w:rsidP="00262DB1">
      <w:pPr>
        <w:pStyle w:val="Default"/>
        <w:numPr>
          <w:ilvl w:val="0"/>
          <w:numId w:val="5"/>
        </w:numPr>
        <w:rPr>
          <w:sz w:val="22"/>
          <w:szCs w:val="22"/>
          <w:lang w:val="en-GB"/>
        </w:rPr>
      </w:pPr>
      <w:r>
        <w:rPr>
          <w:sz w:val="22"/>
          <w:szCs w:val="22"/>
          <w:lang w:val="en-GB"/>
        </w:rPr>
        <w:t>several organizations have a role in making sign language interpreters available and they have different policies</w:t>
      </w:r>
    </w:p>
    <w:p w:rsidR="00EC6CE5" w:rsidRDefault="00EC6CE5" w:rsidP="00EC6CE5">
      <w:pPr>
        <w:pStyle w:val="Default"/>
        <w:rPr>
          <w:sz w:val="22"/>
          <w:szCs w:val="22"/>
          <w:lang w:val="en-GB"/>
        </w:rPr>
      </w:pPr>
    </w:p>
    <w:p w:rsidR="00167269" w:rsidRDefault="00167269" w:rsidP="00B71863">
      <w:pPr>
        <w:pStyle w:val="Default"/>
        <w:numPr>
          <w:ilvl w:val="0"/>
          <w:numId w:val="1"/>
        </w:numPr>
        <w:rPr>
          <w:sz w:val="22"/>
          <w:szCs w:val="22"/>
          <w:lang w:val="en-GB"/>
        </w:rPr>
      </w:pPr>
      <w:r>
        <w:rPr>
          <w:sz w:val="22"/>
          <w:szCs w:val="22"/>
          <w:lang w:val="en-GB"/>
        </w:rPr>
        <w:t>The Netherlands Institute for Human Rights does not have information concerning this question.</w:t>
      </w:r>
    </w:p>
    <w:p w:rsidR="00167269" w:rsidRDefault="00167269" w:rsidP="00167269">
      <w:pPr>
        <w:pStyle w:val="Default"/>
        <w:ind w:left="360"/>
        <w:rPr>
          <w:sz w:val="22"/>
          <w:szCs w:val="22"/>
          <w:lang w:val="en-GB"/>
        </w:rPr>
      </w:pPr>
    </w:p>
    <w:p w:rsidR="00167269" w:rsidRDefault="00167269" w:rsidP="00167269">
      <w:pPr>
        <w:pStyle w:val="Default"/>
        <w:numPr>
          <w:ilvl w:val="0"/>
          <w:numId w:val="1"/>
        </w:numPr>
        <w:rPr>
          <w:sz w:val="22"/>
          <w:szCs w:val="22"/>
          <w:lang w:val="en-GB"/>
        </w:rPr>
      </w:pPr>
      <w:r>
        <w:rPr>
          <w:sz w:val="22"/>
          <w:szCs w:val="22"/>
          <w:lang w:val="en-GB"/>
        </w:rPr>
        <w:t>The Netherlands Institute for Human Rights does not have information concerning this question.</w:t>
      </w:r>
    </w:p>
    <w:p w:rsidR="00167269" w:rsidRDefault="00167269" w:rsidP="00167269">
      <w:pPr>
        <w:pStyle w:val="Default"/>
        <w:ind w:left="360"/>
        <w:rPr>
          <w:sz w:val="22"/>
          <w:szCs w:val="22"/>
          <w:lang w:val="en-GB"/>
        </w:rPr>
      </w:pPr>
    </w:p>
    <w:p w:rsidR="00D36C58" w:rsidRDefault="00D36C58" w:rsidP="00D36C58">
      <w:pPr>
        <w:pStyle w:val="Default"/>
        <w:numPr>
          <w:ilvl w:val="0"/>
          <w:numId w:val="1"/>
        </w:numPr>
        <w:rPr>
          <w:sz w:val="22"/>
          <w:szCs w:val="22"/>
          <w:lang w:val="en-GB"/>
        </w:rPr>
      </w:pPr>
      <w:r>
        <w:rPr>
          <w:sz w:val="22"/>
          <w:szCs w:val="22"/>
          <w:lang w:val="en-GB"/>
        </w:rPr>
        <w:t>The Netherlands Institute for Human Rights does not have information concerning this question.</w:t>
      </w:r>
    </w:p>
    <w:p w:rsidR="00167269" w:rsidRDefault="00167269" w:rsidP="00D36C58">
      <w:pPr>
        <w:pStyle w:val="Default"/>
        <w:rPr>
          <w:sz w:val="22"/>
          <w:szCs w:val="22"/>
          <w:lang w:val="en-GB"/>
        </w:rPr>
      </w:pPr>
    </w:p>
    <w:p w:rsidR="00167269" w:rsidRDefault="00D36C58" w:rsidP="00B71863">
      <w:pPr>
        <w:pStyle w:val="Default"/>
        <w:numPr>
          <w:ilvl w:val="0"/>
          <w:numId w:val="1"/>
        </w:numPr>
        <w:rPr>
          <w:sz w:val="22"/>
          <w:szCs w:val="22"/>
          <w:lang w:val="en-GB"/>
        </w:rPr>
      </w:pPr>
      <w:r>
        <w:rPr>
          <w:sz w:val="22"/>
          <w:szCs w:val="22"/>
          <w:lang w:val="en-GB"/>
        </w:rPr>
        <w:t xml:space="preserve">There is a partnership between the State and the UWV and </w:t>
      </w:r>
      <w:proofErr w:type="spellStart"/>
      <w:r>
        <w:rPr>
          <w:sz w:val="22"/>
          <w:szCs w:val="22"/>
          <w:lang w:val="en-GB"/>
        </w:rPr>
        <w:t>Menzis</w:t>
      </w:r>
      <w:proofErr w:type="spellEnd"/>
      <w:r>
        <w:rPr>
          <w:sz w:val="22"/>
          <w:szCs w:val="22"/>
          <w:lang w:val="en-GB"/>
        </w:rPr>
        <w:t>. These organizations provide sign language interpreters. The UWV also pays for job coaches for persons with disabilities.</w:t>
      </w:r>
    </w:p>
    <w:p w:rsidR="00167269" w:rsidRDefault="00167269" w:rsidP="00D36C58">
      <w:pPr>
        <w:pStyle w:val="Default"/>
        <w:ind w:left="360"/>
        <w:rPr>
          <w:sz w:val="22"/>
          <w:szCs w:val="22"/>
          <w:lang w:val="en-GB"/>
        </w:rPr>
      </w:pPr>
    </w:p>
    <w:p w:rsidR="00D36C58" w:rsidRDefault="00D36C58" w:rsidP="00D36C58">
      <w:pPr>
        <w:pStyle w:val="Default"/>
        <w:numPr>
          <w:ilvl w:val="0"/>
          <w:numId w:val="1"/>
        </w:numPr>
        <w:rPr>
          <w:sz w:val="22"/>
          <w:szCs w:val="22"/>
          <w:lang w:val="en-GB"/>
        </w:rPr>
      </w:pPr>
      <w:r>
        <w:rPr>
          <w:sz w:val="22"/>
          <w:szCs w:val="22"/>
          <w:lang w:val="en-GB"/>
        </w:rPr>
        <w:t>The Netherlands Institute for Human Rights does not have information concerning this question.</w:t>
      </w:r>
    </w:p>
    <w:p w:rsidR="00D36C58" w:rsidRDefault="00D36C58" w:rsidP="00D36C58">
      <w:pPr>
        <w:pStyle w:val="ListParagraph"/>
        <w:rPr>
          <w:lang w:val="en-GB"/>
        </w:rPr>
      </w:pPr>
    </w:p>
    <w:p w:rsidR="00FB5DD3" w:rsidRDefault="00BA7240" w:rsidP="00B71863">
      <w:pPr>
        <w:pStyle w:val="Default"/>
        <w:numPr>
          <w:ilvl w:val="0"/>
          <w:numId w:val="1"/>
        </w:numPr>
        <w:rPr>
          <w:sz w:val="22"/>
          <w:szCs w:val="22"/>
          <w:lang w:val="en-GB"/>
        </w:rPr>
      </w:pPr>
      <w:r>
        <w:rPr>
          <w:sz w:val="22"/>
          <w:szCs w:val="22"/>
          <w:lang w:val="en-GB"/>
        </w:rPr>
        <w:t>Several kinds of guardians</w:t>
      </w:r>
      <w:r w:rsidR="00FB5DD3">
        <w:rPr>
          <w:sz w:val="22"/>
          <w:szCs w:val="22"/>
          <w:lang w:val="en-GB"/>
        </w:rPr>
        <w:t xml:space="preserve"> are available and provisions </w:t>
      </w:r>
      <w:r>
        <w:rPr>
          <w:sz w:val="22"/>
          <w:szCs w:val="22"/>
          <w:lang w:val="en-GB"/>
        </w:rPr>
        <w:t xml:space="preserve">concerning guardianship </w:t>
      </w:r>
      <w:r w:rsidR="00FB5DD3">
        <w:rPr>
          <w:sz w:val="22"/>
          <w:szCs w:val="22"/>
          <w:lang w:val="en-GB"/>
        </w:rPr>
        <w:t>are laid down in law. Research commissioned by the Netherlands Institute for Hum</w:t>
      </w:r>
      <w:r>
        <w:rPr>
          <w:sz w:val="22"/>
          <w:szCs w:val="22"/>
          <w:lang w:val="en-GB"/>
        </w:rPr>
        <w:t xml:space="preserve">an </w:t>
      </w:r>
      <w:proofErr w:type="gramStart"/>
      <w:r>
        <w:rPr>
          <w:sz w:val="22"/>
          <w:szCs w:val="22"/>
          <w:lang w:val="en-GB"/>
        </w:rPr>
        <w:t>Rights  shows</w:t>
      </w:r>
      <w:proofErr w:type="gramEnd"/>
      <w:r w:rsidR="00FB5DD3">
        <w:rPr>
          <w:sz w:val="22"/>
          <w:szCs w:val="22"/>
          <w:lang w:val="en-GB"/>
        </w:rPr>
        <w:t xml:space="preserve"> that </w:t>
      </w:r>
      <w:r w:rsidR="00B71863">
        <w:rPr>
          <w:sz w:val="22"/>
          <w:szCs w:val="22"/>
          <w:lang w:val="en-GB"/>
        </w:rPr>
        <w:t>according to art. 12 CRPD possibilities for supported decision-making need to be strengthened. There is need to</w:t>
      </w:r>
      <w:r>
        <w:rPr>
          <w:sz w:val="22"/>
          <w:szCs w:val="22"/>
          <w:lang w:val="en-GB"/>
        </w:rPr>
        <w:t xml:space="preserve"> search for options whereby loss or limitations of </w:t>
      </w:r>
      <w:r w:rsidR="00B71863">
        <w:rPr>
          <w:sz w:val="22"/>
          <w:szCs w:val="22"/>
          <w:lang w:val="en-GB"/>
        </w:rPr>
        <w:t xml:space="preserve">capacity does not arise </w:t>
      </w:r>
      <w:r>
        <w:rPr>
          <w:sz w:val="22"/>
          <w:szCs w:val="22"/>
          <w:lang w:val="en-GB"/>
        </w:rPr>
        <w:t>automatically</w:t>
      </w:r>
      <w:r w:rsidR="00B71863">
        <w:rPr>
          <w:sz w:val="22"/>
          <w:szCs w:val="22"/>
          <w:lang w:val="en-GB"/>
        </w:rPr>
        <w:t xml:space="preserve">, when </w:t>
      </w:r>
      <w:r>
        <w:rPr>
          <w:sz w:val="22"/>
          <w:szCs w:val="22"/>
          <w:lang w:val="en-GB"/>
        </w:rPr>
        <w:t>applying adult guardianship measures</w:t>
      </w:r>
      <w:r w:rsidR="00B71863">
        <w:rPr>
          <w:sz w:val="22"/>
          <w:szCs w:val="22"/>
          <w:lang w:val="en-GB"/>
        </w:rPr>
        <w:t>.</w:t>
      </w:r>
      <w:r w:rsidR="00905842">
        <w:rPr>
          <w:sz w:val="22"/>
          <w:szCs w:val="22"/>
          <w:lang w:val="en-GB"/>
        </w:rPr>
        <w:t xml:space="preserve"> This issue is currently in public debate.</w:t>
      </w:r>
    </w:p>
    <w:p w:rsidR="00BA7240" w:rsidRDefault="00BA7240" w:rsidP="00BA7240">
      <w:pPr>
        <w:pStyle w:val="Default"/>
        <w:rPr>
          <w:sz w:val="22"/>
          <w:szCs w:val="22"/>
          <w:lang w:val="en-GB"/>
        </w:rPr>
      </w:pPr>
    </w:p>
    <w:p w:rsidR="00BA7240" w:rsidRDefault="00BA7240" w:rsidP="00BA7240">
      <w:pPr>
        <w:pStyle w:val="Default"/>
        <w:rPr>
          <w:sz w:val="22"/>
          <w:szCs w:val="22"/>
          <w:lang w:val="en-GB"/>
        </w:rPr>
      </w:pPr>
    </w:p>
    <w:p w:rsidR="00BA7240" w:rsidRDefault="00BA7240" w:rsidP="00BA7240">
      <w:pPr>
        <w:pStyle w:val="Default"/>
        <w:rPr>
          <w:sz w:val="22"/>
          <w:szCs w:val="22"/>
          <w:lang w:val="en-GB"/>
        </w:rPr>
      </w:pPr>
    </w:p>
    <w:p w:rsidR="00BA7240" w:rsidRDefault="00BA7240" w:rsidP="00BA7240">
      <w:pPr>
        <w:pStyle w:val="Default"/>
        <w:rPr>
          <w:sz w:val="22"/>
          <w:szCs w:val="22"/>
          <w:lang w:val="en-GB"/>
        </w:rPr>
      </w:pPr>
    </w:p>
    <w:p w:rsidR="00BA7240" w:rsidRDefault="00BA7240" w:rsidP="00BA7240">
      <w:pPr>
        <w:pStyle w:val="Default"/>
        <w:rPr>
          <w:sz w:val="22"/>
          <w:szCs w:val="22"/>
          <w:lang w:val="en-GB"/>
        </w:rPr>
      </w:pPr>
    </w:p>
    <w:p w:rsidR="00BA7240" w:rsidRDefault="00BA7240" w:rsidP="00BA7240">
      <w:pPr>
        <w:pStyle w:val="Default"/>
        <w:rPr>
          <w:sz w:val="22"/>
          <w:szCs w:val="22"/>
          <w:lang w:val="en-GB"/>
        </w:rPr>
      </w:pPr>
    </w:p>
    <w:p w:rsidR="00BA7240" w:rsidRPr="00360FB0" w:rsidRDefault="00BA7240" w:rsidP="00BA7240">
      <w:pPr>
        <w:pStyle w:val="Default"/>
        <w:rPr>
          <w:sz w:val="22"/>
          <w:szCs w:val="22"/>
          <w:lang w:val="en-GB"/>
        </w:rPr>
      </w:pPr>
    </w:p>
    <w:p w:rsidR="00891FAE" w:rsidRPr="00360FB0" w:rsidRDefault="00891FAE" w:rsidP="00891FAE">
      <w:pPr>
        <w:rPr>
          <w:lang w:val="en-GB"/>
        </w:rPr>
      </w:pPr>
    </w:p>
    <w:sectPr w:rsidR="00891FAE" w:rsidRPr="00360FB0">
      <w:footerReference w:type="default" r:id="rId9"/>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FAE" w:rsidRDefault="00891FAE" w:rsidP="00891FAE">
      <w:r>
        <w:separator/>
      </w:r>
    </w:p>
  </w:endnote>
  <w:endnote w:type="continuationSeparator" w:id="0">
    <w:p w:rsidR="00891FAE" w:rsidRDefault="00891FAE" w:rsidP="00891FAE">
      <w:r>
        <w:continuationSeparator/>
      </w:r>
    </w:p>
  </w:endnote>
  <w:endnote w:id="1">
    <w:p w:rsidR="00360FB0" w:rsidRPr="00360FB0" w:rsidRDefault="00360FB0" w:rsidP="00360FB0">
      <w:pPr>
        <w:pStyle w:val="EndnoteText"/>
        <w:rPr>
          <w:sz w:val="22"/>
          <w:szCs w:val="22"/>
          <w:lang w:val="en-GB"/>
        </w:rPr>
      </w:pPr>
      <w:r w:rsidRPr="00360FB0">
        <w:rPr>
          <w:rStyle w:val="EndnoteReference"/>
          <w:sz w:val="22"/>
          <w:szCs w:val="22"/>
          <w:lang w:val="en-GB"/>
        </w:rPr>
        <w:endnoteRef/>
      </w:r>
      <w:r w:rsidRPr="00360FB0">
        <w:rPr>
          <w:sz w:val="22"/>
          <w:szCs w:val="22"/>
          <w:lang w:val="en-GB"/>
        </w:rPr>
        <w:t xml:space="preserve"> The overhaul centred around </w:t>
      </w:r>
      <w:r w:rsidR="0086685E">
        <w:rPr>
          <w:sz w:val="22"/>
          <w:szCs w:val="22"/>
          <w:lang w:val="en-GB"/>
        </w:rPr>
        <w:t xml:space="preserve">four </w:t>
      </w:r>
      <w:r w:rsidRPr="00360FB0">
        <w:rPr>
          <w:sz w:val="22"/>
          <w:szCs w:val="22"/>
          <w:lang w:val="en-GB"/>
        </w:rPr>
        <w:t>new pieces of legislation each focusing on specific target groups and topics. These are:</w:t>
      </w:r>
    </w:p>
    <w:p w:rsidR="0086685E" w:rsidRDefault="0086685E" w:rsidP="00360FB0">
      <w:pPr>
        <w:pStyle w:val="EndnoteText"/>
        <w:numPr>
          <w:ilvl w:val="0"/>
          <w:numId w:val="2"/>
        </w:numPr>
        <w:rPr>
          <w:sz w:val="22"/>
          <w:szCs w:val="22"/>
          <w:lang w:val="en-GB"/>
        </w:rPr>
      </w:pPr>
      <w:r>
        <w:rPr>
          <w:sz w:val="22"/>
          <w:szCs w:val="22"/>
          <w:lang w:val="en-GB"/>
        </w:rPr>
        <w:t xml:space="preserve">Wet </w:t>
      </w:r>
      <w:proofErr w:type="spellStart"/>
      <w:r>
        <w:rPr>
          <w:sz w:val="22"/>
          <w:szCs w:val="22"/>
          <w:lang w:val="en-GB"/>
        </w:rPr>
        <w:t>Landurige</w:t>
      </w:r>
      <w:proofErr w:type="spellEnd"/>
      <w:r>
        <w:rPr>
          <w:sz w:val="22"/>
          <w:szCs w:val="22"/>
          <w:lang w:val="en-GB"/>
        </w:rPr>
        <w:t xml:space="preserve"> </w:t>
      </w:r>
      <w:proofErr w:type="spellStart"/>
      <w:r>
        <w:rPr>
          <w:sz w:val="22"/>
          <w:szCs w:val="22"/>
          <w:lang w:val="en-GB"/>
        </w:rPr>
        <w:t>Zorg</w:t>
      </w:r>
      <w:proofErr w:type="spellEnd"/>
      <w:r>
        <w:rPr>
          <w:sz w:val="22"/>
          <w:szCs w:val="22"/>
          <w:lang w:val="en-GB"/>
        </w:rPr>
        <w:t xml:space="preserve"> (Law on Long-term Care): focusing on people in need of long-term residential care</w:t>
      </w:r>
      <w:r w:rsidR="00F3678D">
        <w:rPr>
          <w:sz w:val="22"/>
          <w:szCs w:val="22"/>
          <w:lang w:val="en-GB"/>
        </w:rPr>
        <w:t>. Budget may also be handed to caretakers themselves, who are the</w:t>
      </w:r>
      <w:r w:rsidR="0001724B">
        <w:rPr>
          <w:sz w:val="22"/>
          <w:szCs w:val="22"/>
          <w:lang w:val="en-GB"/>
        </w:rPr>
        <w:t>n accountable for</w:t>
      </w:r>
      <w:r w:rsidR="00F3678D">
        <w:rPr>
          <w:sz w:val="22"/>
          <w:szCs w:val="22"/>
          <w:lang w:val="en-GB"/>
        </w:rPr>
        <w:t xml:space="preserve"> paying their caregivers.</w:t>
      </w:r>
    </w:p>
    <w:p w:rsidR="00360FB0" w:rsidRPr="00360FB0" w:rsidRDefault="00360FB0" w:rsidP="00360FB0">
      <w:pPr>
        <w:pStyle w:val="EndnoteText"/>
        <w:numPr>
          <w:ilvl w:val="0"/>
          <w:numId w:val="2"/>
        </w:numPr>
        <w:rPr>
          <w:sz w:val="22"/>
          <w:szCs w:val="22"/>
          <w:lang w:val="en-GB"/>
        </w:rPr>
      </w:pPr>
      <w:r w:rsidRPr="00360FB0">
        <w:rPr>
          <w:sz w:val="22"/>
          <w:szCs w:val="22"/>
          <w:lang w:val="en-GB"/>
        </w:rPr>
        <w:t xml:space="preserve">Wet </w:t>
      </w:r>
      <w:proofErr w:type="spellStart"/>
      <w:r w:rsidRPr="00360FB0">
        <w:rPr>
          <w:sz w:val="22"/>
          <w:szCs w:val="22"/>
          <w:lang w:val="en-GB"/>
        </w:rPr>
        <w:t>Maatschappelijke</w:t>
      </w:r>
      <w:proofErr w:type="spellEnd"/>
      <w:r w:rsidRPr="00360FB0">
        <w:rPr>
          <w:sz w:val="22"/>
          <w:szCs w:val="22"/>
          <w:lang w:val="en-GB"/>
        </w:rPr>
        <w:t xml:space="preserve"> </w:t>
      </w:r>
      <w:proofErr w:type="spellStart"/>
      <w:r w:rsidRPr="00360FB0">
        <w:rPr>
          <w:sz w:val="22"/>
          <w:szCs w:val="22"/>
          <w:lang w:val="en-GB"/>
        </w:rPr>
        <w:t>Ondersteuning</w:t>
      </w:r>
      <w:proofErr w:type="spellEnd"/>
      <w:r w:rsidRPr="00360FB0">
        <w:rPr>
          <w:sz w:val="22"/>
          <w:szCs w:val="22"/>
          <w:lang w:val="en-GB"/>
        </w:rPr>
        <w:t xml:space="preserve"> (Law on Social Support): focusing on people in need of (health) care and support;</w:t>
      </w:r>
    </w:p>
    <w:p w:rsidR="00360FB0" w:rsidRPr="00360FB0" w:rsidRDefault="00360FB0" w:rsidP="00360FB0">
      <w:pPr>
        <w:pStyle w:val="EndnoteText"/>
        <w:numPr>
          <w:ilvl w:val="0"/>
          <w:numId w:val="2"/>
        </w:numPr>
        <w:rPr>
          <w:sz w:val="22"/>
          <w:szCs w:val="22"/>
          <w:lang w:val="en-GB"/>
        </w:rPr>
      </w:pPr>
      <w:proofErr w:type="spellStart"/>
      <w:r w:rsidRPr="00360FB0">
        <w:rPr>
          <w:sz w:val="22"/>
          <w:szCs w:val="22"/>
          <w:lang w:val="en-GB"/>
        </w:rPr>
        <w:t>Jeugdwet</w:t>
      </w:r>
      <w:proofErr w:type="spellEnd"/>
      <w:r w:rsidRPr="00360FB0">
        <w:rPr>
          <w:sz w:val="22"/>
          <w:szCs w:val="22"/>
          <w:lang w:val="en-GB"/>
        </w:rPr>
        <w:t xml:space="preserve"> (Law on Youth): focusing on children and youth (and their families) in need of specific support;</w:t>
      </w:r>
    </w:p>
    <w:p w:rsidR="00360FB0" w:rsidRPr="00360FB0" w:rsidRDefault="00360FB0" w:rsidP="00360FB0">
      <w:pPr>
        <w:pStyle w:val="EndnoteText"/>
        <w:numPr>
          <w:ilvl w:val="0"/>
          <w:numId w:val="2"/>
        </w:numPr>
        <w:rPr>
          <w:sz w:val="22"/>
          <w:szCs w:val="22"/>
          <w:lang w:val="en-GB"/>
        </w:rPr>
      </w:pPr>
      <w:proofErr w:type="spellStart"/>
      <w:r w:rsidRPr="00360FB0">
        <w:rPr>
          <w:sz w:val="22"/>
          <w:szCs w:val="22"/>
          <w:lang w:val="en-GB"/>
        </w:rPr>
        <w:t>Participatiewet</w:t>
      </w:r>
      <w:proofErr w:type="spellEnd"/>
      <w:r w:rsidRPr="00360FB0">
        <w:rPr>
          <w:sz w:val="22"/>
          <w:szCs w:val="22"/>
          <w:lang w:val="en-GB"/>
        </w:rPr>
        <w:t xml:space="preserve"> (Law on Participation): focusing on the labour market and people who are unable to find a job. This includes people with disabilities.</w:t>
      </w:r>
    </w:p>
  </w:endnote>
  <w:endnote w:id="2">
    <w:p w:rsidR="00360FB0" w:rsidRPr="00360FB0" w:rsidRDefault="00360FB0">
      <w:pPr>
        <w:pStyle w:val="EndnoteText"/>
        <w:rPr>
          <w:sz w:val="22"/>
          <w:szCs w:val="22"/>
          <w:lang w:val="en-GB"/>
        </w:rPr>
      </w:pPr>
      <w:r w:rsidRPr="00360FB0">
        <w:rPr>
          <w:rStyle w:val="EndnoteReference"/>
          <w:sz w:val="22"/>
          <w:szCs w:val="22"/>
          <w:lang w:val="en-GB"/>
        </w:rPr>
        <w:endnoteRef/>
      </w:r>
      <w:r w:rsidRPr="00360FB0">
        <w:rPr>
          <w:sz w:val="22"/>
          <w:szCs w:val="22"/>
          <w:lang w:val="en-GB"/>
        </w:rPr>
        <w:t xml:space="preserve"> In 2014 the Netherlands Institute for Social Research (SCP) conducted research on support in care. In that research 1 in 10 Dutch people indicated they would have nobody in their social network to provide support for more than 3 months. SCP, </w:t>
      </w:r>
      <w:proofErr w:type="spellStart"/>
      <w:r w:rsidRPr="00360FB0">
        <w:rPr>
          <w:i/>
          <w:iCs/>
          <w:sz w:val="22"/>
          <w:szCs w:val="22"/>
          <w:lang w:val="en-GB"/>
        </w:rPr>
        <w:t>Zorg</w:t>
      </w:r>
      <w:proofErr w:type="spellEnd"/>
      <w:r w:rsidRPr="00360FB0">
        <w:rPr>
          <w:i/>
          <w:iCs/>
          <w:sz w:val="22"/>
          <w:szCs w:val="22"/>
          <w:lang w:val="en-GB"/>
        </w:rPr>
        <w:t xml:space="preserve"> en </w:t>
      </w:r>
      <w:proofErr w:type="spellStart"/>
      <w:r w:rsidRPr="00360FB0">
        <w:rPr>
          <w:i/>
          <w:iCs/>
          <w:sz w:val="22"/>
          <w:szCs w:val="22"/>
          <w:lang w:val="en-GB"/>
        </w:rPr>
        <w:t>ondersteuning</w:t>
      </w:r>
      <w:proofErr w:type="spellEnd"/>
      <w:r w:rsidRPr="00360FB0">
        <w:rPr>
          <w:i/>
          <w:iCs/>
          <w:sz w:val="22"/>
          <w:szCs w:val="22"/>
          <w:lang w:val="en-GB"/>
        </w:rPr>
        <w:t xml:space="preserve"> in Nederland: </w:t>
      </w:r>
      <w:proofErr w:type="spellStart"/>
      <w:r w:rsidRPr="00360FB0">
        <w:rPr>
          <w:i/>
          <w:iCs/>
          <w:sz w:val="22"/>
          <w:szCs w:val="22"/>
          <w:lang w:val="en-GB"/>
        </w:rPr>
        <w:t>kerncijfers</w:t>
      </w:r>
      <w:proofErr w:type="spellEnd"/>
      <w:r w:rsidRPr="00360FB0">
        <w:rPr>
          <w:i/>
          <w:iCs/>
          <w:sz w:val="22"/>
          <w:szCs w:val="22"/>
          <w:lang w:val="en-GB"/>
        </w:rPr>
        <w:t xml:space="preserve"> 2014 (Care and support in the Netherlands: core numbers 2014)</w:t>
      </w:r>
      <w:r w:rsidRPr="00360FB0">
        <w:rPr>
          <w:sz w:val="22"/>
          <w:szCs w:val="22"/>
          <w:lang w:val="en-GB"/>
        </w:rPr>
        <w:t xml:space="preserve">, 2014, p.19-21. In later research evaluating the transition published in 2016, SCP concluded that for elderly people (65+) with health problems this figure is 1 in 5. </w:t>
      </w:r>
      <w:proofErr w:type="spellStart"/>
      <w:r w:rsidRPr="00360FB0">
        <w:rPr>
          <w:sz w:val="22"/>
          <w:szCs w:val="22"/>
          <w:lang w:val="en-GB"/>
        </w:rPr>
        <w:t>Boelhouwer</w:t>
      </w:r>
      <w:proofErr w:type="spellEnd"/>
      <w:r w:rsidRPr="00360FB0">
        <w:rPr>
          <w:sz w:val="22"/>
          <w:szCs w:val="22"/>
          <w:lang w:val="en-GB"/>
        </w:rPr>
        <w:t xml:space="preserve">, van den Berg, den </w:t>
      </w:r>
      <w:proofErr w:type="spellStart"/>
      <w:r w:rsidRPr="00360FB0">
        <w:rPr>
          <w:sz w:val="22"/>
          <w:szCs w:val="22"/>
          <w:lang w:val="en-GB"/>
        </w:rPr>
        <w:t>Draak</w:t>
      </w:r>
      <w:proofErr w:type="spellEnd"/>
      <w:r w:rsidRPr="00360FB0">
        <w:rPr>
          <w:sz w:val="22"/>
          <w:szCs w:val="22"/>
          <w:lang w:val="en-GB"/>
        </w:rPr>
        <w:t xml:space="preserve"> and </w:t>
      </w:r>
      <w:proofErr w:type="spellStart"/>
      <w:r w:rsidRPr="00360FB0">
        <w:rPr>
          <w:sz w:val="22"/>
          <w:szCs w:val="22"/>
          <w:lang w:val="en-GB"/>
        </w:rPr>
        <w:t>Pommer</w:t>
      </w:r>
      <w:proofErr w:type="spellEnd"/>
      <w:r w:rsidRPr="00360FB0">
        <w:rPr>
          <w:sz w:val="22"/>
          <w:szCs w:val="22"/>
          <w:lang w:val="en-GB"/>
        </w:rPr>
        <w:t xml:space="preserve">, </w:t>
      </w:r>
      <w:r w:rsidRPr="00360FB0">
        <w:rPr>
          <w:i/>
          <w:iCs/>
          <w:sz w:val="22"/>
          <w:szCs w:val="22"/>
          <w:lang w:val="en-GB"/>
        </w:rPr>
        <w:t xml:space="preserve">Overall </w:t>
      </w:r>
      <w:proofErr w:type="spellStart"/>
      <w:r w:rsidRPr="00360FB0">
        <w:rPr>
          <w:i/>
          <w:iCs/>
          <w:sz w:val="22"/>
          <w:szCs w:val="22"/>
          <w:lang w:val="en-GB"/>
        </w:rPr>
        <w:t>Rapportage</w:t>
      </w:r>
      <w:proofErr w:type="spellEnd"/>
      <w:r w:rsidRPr="00360FB0">
        <w:rPr>
          <w:i/>
          <w:iCs/>
          <w:sz w:val="22"/>
          <w:szCs w:val="22"/>
          <w:lang w:val="en-GB"/>
        </w:rPr>
        <w:t xml:space="preserve"> </w:t>
      </w:r>
      <w:proofErr w:type="spellStart"/>
      <w:r w:rsidRPr="00360FB0">
        <w:rPr>
          <w:i/>
          <w:iCs/>
          <w:sz w:val="22"/>
          <w:szCs w:val="22"/>
          <w:lang w:val="en-GB"/>
        </w:rPr>
        <w:t>sociaal</w:t>
      </w:r>
      <w:proofErr w:type="spellEnd"/>
      <w:r w:rsidRPr="00360FB0">
        <w:rPr>
          <w:i/>
          <w:iCs/>
          <w:sz w:val="22"/>
          <w:szCs w:val="22"/>
          <w:lang w:val="en-GB"/>
        </w:rPr>
        <w:t xml:space="preserve"> </w:t>
      </w:r>
      <w:proofErr w:type="spellStart"/>
      <w:r w:rsidRPr="00360FB0">
        <w:rPr>
          <w:i/>
          <w:iCs/>
          <w:sz w:val="22"/>
          <w:szCs w:val="22"/>
          <w:lang w:val="en-GB"/>
        </w:rPr>
        <w:t>domein</w:t>
      </w:r>
      <w:proofErr w:type="spellEnd"/>
      <w:r w:rsidRPr="00360FB0">
        <w:rPr>
          <w:i/>
          <w:iCs/>
          <w:sz w:val="22"/>
          <w:szCs w:val="22"/>
          <w:lang w:val="en-GB"/>
        </w:rPr>
        <w:t xml:space="preserve"> 2015: </w:t>
      </w:r>
      <w:proofErr w:type="spellStart"/>
      <w:r w:rsidRPr="00360FB0">
        <w:rPr>
          <w:i/>
          <w:iCs/>
          <w:sz w:val="22"/>
          <w:szCs w:val="22"/>
          <w:lang w:val="en-GB"/>
        </w:rPr>
        <w:t>rondom</w:t>
      </w:r>
      <w:proofErr w:type="spellEnd"/>
      <w:r w:rsidRPr="00360FB0">
        <w:rPr>
          <w:i/>
          <w:iCs/>
          <w:sz w:val="22"/>
          <w:szCs w:val="22"/>
          <w:lang w:val="en-GB"/>
        </w:rPr>
        <w:t xml:space="preserve"> </w:t>
      </w:r>
      <w:proofErr w:type="spellStart"/>
      <w:r w:rsidRPr="00360FB0">
        <w:rPr>
          <w:i/>
          <w:iCs/>
          <w:sz w:val="22"/>
          <w:szCs w:val="22"/>
          <w:lang w:val="en-GB"/>
        </w:rPr>
        <w:t>transitie</w:t>
      </w:r>
      <w:proofErr w:type="spellEnd"/>
      <w:r w:rsidRPr="00360FB0">
        <w:rPr>
          <w:i/>
          <w:iCs/>
          <w:sz w:val="22"/>
          <w:szCs w:val="22"/>
          <w:lang w:val="en-GB"/>
        </w:rPr>
        <w:t xml:space="preserve"> </w:t>
      </w:r>
      <w:r w:rsidRPr="00360FB0">
        <w:rPr>
          <w:sz w:val="22"/>
          <w:szCs w:val="22"/>
          <w:lang w:val="en-GB"/>
        </w:rPr>
        <w:t>(Overall report social domain 2015: around transition)</w:t>
      </w:r>
      <w:r w:rsidRPr="00360FB0">
        <w:rPr>
          <w:i/>
          <w:iCs/>
          <w:sz w:val="22"/>
          <w:szCs w:val="22"/>
          <w:lang w:val="en-GB"/>
        </w:rPr>
        <w:t xml:space="preserve">, </w:t>
      </w:r>
      <w:r w:rsidRPr="00360FB0">
        <w:rPr>
          <w:sz w:val="22"/>
          <w:szCs w:val="22"/>
          <w:lang w:val="en-GB"/>
        </w:rPr>
        <w:t>SCP</w:t>
      </w:r>
      <w:r w:rsidRPr="00360FB0">
        <w:rPr>
          <w:i/>
          <w:iCs/>
          <w:sz w:val="22"/>
          <w:szCs w:val="22"/>
          <w:lang w:val="en-GB"/>
        </w:rPr>
        <w:t xml:space="preserve">, </w:t>
      </w:r>
      <w:r w:rsidRPr="00360FB0">
        <w:rPr>
          <w:sz w:val="22"/>
          <w:szCs w:val="22"/>
          <w:lang w:val="en-GB"/>
        </w:rPr>
        <w:t>May 2016, chapter 3. They do not always have access to a social network, but they are also reluctant to ask their social network for support. At the same time it is not always possible for the social network to support due to lack of available time and/or expertise.</w:t>
      </w:r>
    </w:p>
  </w:endnote>
  <w:endnote w:id="3">
    <w:p w:rsidR="00360FB0" w:rsidRPr="00360FB0" w:rsidRDefault="00360FB0">
      <w:pPr>
        <w:pStyle w:val="EndnoteText"/>
        <w:rPr>
          <w:sz w:val="22"/>
          <w:szCs w:val="22"/>
          <w:lang w:val="en-GB"/>
        </w:rPr>
      </w:pPr>
      <w:r w:rsidRPr="00360FB0">
        <w:rPr>
          <w:rStyle w:val="EndnoteReference"/>
          <w:sz w:val="22"/>
          <w:szCs w:val="22"/>
          <w:lang w:val="en-GB"/>
        </w:rPr>
        <w:endnoteRef/>
      </w:r>
      <w:r w:rsidRPr="00360FB0">
        <w:rPr>
          <w:sz w:val="22"/>
          <w:szCs w:val="22"/>
          <w:lang w:val="en-GB"/>
        </w:rPr>
        <w:t xml:space="preserve"> </w:t>
      </w:r>
      <w:proofErr w:type="spellStart"/>
      <w:proofErr w:type="gramStart"/>
      <w:r w:rsidRPr="00360FB0">
        <w:rPr>
          <w:sz w:val="22"/>
          <w:szCs w:val="22"/>
          <w:lang w:val="en-GB"/>
        </w:rPr>
        <w:t>Ieder</w:t>
      </w:r>
      <w:proofErr w:type="spellEnd"/>
      <w:r w:rsidRPr="00360FB0">
        <w:rPr>
          <w:sz w:val="22"/>
          <w:szCs w:val="22"/>
          <w:lang w:val="en-GB"/>
        </w:rPr>
        <w:t>(</w:t>
      </w:r>
      <w:proofErr w:type="gramEnd"/>
      <w:r w:rsidRPr="00360FB0">
        <w:rPr>
          <w:sz w:val="22"/>
          <w:szCs w:val="22"/>
          <w:lang w:val="en-GB"/>
        </w:rPr>
        <w:t xml:space="preserve">in) and </w:t>
      </w:r>
      <w:proofErr w:type="spellStart"/>
      <w:r w:rsidRPr="00360FB0">
        <w:rPr>
          <w:sz w:val="22"/>
          <w:szCs w:val="22"/>
          <w:lang w:val="en-GB"/>
        </w:rPr>
        <w:t>Binnenlands</w:t>
      </w:r>
      <w:proofErr w:type="spellEnd"/>
      <w:r w:rsidRPr="00360FB0">
        <w:rPr>
          <w:sz w:val="22"/>
          <w:szCs w:val="22"/>
          <w:lang w:val="en-GB"/>
        </w:rPr>
        <w:t xml:space="preserve"> </w:t>
      </w:r>
      <w:proofErr w:type="spellStart"/>
      <w:r w:rsidRPr="00360FB0">
        <w:rPr>
          <w:sz w:val="22"/>
          <w:szCs w:val="22"/>
          <w:lang w:val="en-GB"/>
        </w:rPr>
        <w:t>Bestuur</w:t>
      </w:r>
      <w:proofErr w:type="spellEnd"/>
      <w:r w:rsidRPr="00360FB0">
        <w:rPr>
          <w:sz w:val="22"/>
          <w:szCs w:val="22"/>
          <w:lang w:val="en-GB"/>
        </w:rPr>
        <w:t xml:space="preserve">, </w:t>
      </w:r>
      <w:proofErr w:type="spellStart"/>
      <w:r w:rsidRPr="00360FB0">
        <w:rPr>
          <w:i/>
          <w:iCs/>
          <w:sz w:val="22"/>
          <w:szCs w:val="22"/>
          <w:lang w:val="en-GB"/>
        </w:rPr>
        <w:t>Meldactie</w:t>
      </w:r>
      <w:proofErr w:type="spellEnd"/>
      <w:r w:rsidRPr="00360FB0">
        <w:rPr>
          <w:i/>
          <w:iCs/>
          <w:sz w:val="22"/>
          <w:szCs w:val="22"/>
          <w:lang w:val="en-GB"/>
        </w:rPr>
        <w:t xml:space="preserve"> Eigen </w:t>
      </w:r>
      <w:proofErr w:type="spellStart"/>
      <w:r w:rsidRPr="00360FB0">
        <w:rPr>
          <w:i/>
          <w:iCs/>
          <w:sz w:val="22"/>
          <w:szCs w:val="22"/>
          <w:lang w:val="en-GB"/>
        </w:rPr>
        <w:t>Bijdrage</w:t>
      </w:r>
      <w:proofErr w:type="spellEnd"/>
      <w:r w:rsidRPr="00360FB0">
        <w:rPr>
          <w:i/>
          <w:iCs/>
          <w:sz w:val="22"/>
          <w:szCs w:val="22"/>
          <w:lang w:val="en-GB"/>
        </w:rPr>
        <w:t xml:space="preserve"> </w:t>
      </w:r>
      <w:r w:rsidRPr="00360FB0">
        <w:rPr>
          <w:sz w:val="22"/>
          <w:szCs w:val="22"/>
          <w:lang w:val="en-GB"/>
        </w:rPr>
        <w:t>(</w:t>
      </w:r>
      <w:r w:rsidRPr="00360FB0">
        <w:rPr>
          <w:i/>
          <w:iCs/>
          <w:sz w:val="22"/>
          <w:szCs w:val="22"/>
          <w:lang w:val="en-GB"/>
        </w:rPr>
        <w:t>Report on survey on own contribution</w:t>
      </w:r>
      <w:r w:rsidRPr="00360FB0">
        <w:rPr>
          <w:sz w:val="22"/>
          <w:szCs w:val="22"/>
          <w:lang w:val="en-GB"/>
        </w:rPr>
        <w:t xml:space="preserve">), February 2016; SSKIPR, </w:t>
      </w:r>
      <w:proofErr w:type="spellStart"/>
      <w:r w:rsidRPr="00360FB0">
        <w:rPr>
          <w:i/>
          <w:iCs/>
          <w:sz w:val="22"/>
          <w:szCs w:val="22"/>
          <w:lang w:val="en-GB"/>
        </w:rPr>
        <w:t>Ouderen</w:t>
      </w:r>
      <w:proofErr w:type="spellEnd"/>
      <w:r w:rsidRPr="00360FB0">
        <w:rPr>
          <w:i/>
          <w:iCs/>
          <w:sz w:val="22"/>
          <w:szCs w:val="22"/>
          <w:lang w:val="en-GB"/>
        </w:rPr>
        <w:t xml:space="preserve"> </w:t>
      </w:r>
      <w:proofErr w:type="spellStart"/>
      <w:r w:rsidRPr="00360FB0">
        <w:rPr>
          <w:i/>
          <w:iCs/>
          <w:sz w:val="22"/>
          <w:szCs w:val="22"/>
          <w:lang w:val="en-GB"/>
        </w:rPr>
        <w:t>mijden</w:t>
      </w:r>
      <w:proofErr w:type="spellEnd"/>
      <w:r w:rsidRPr="00360FB0">
        <w:rPr>
          <w:i/>
          <w:iCs/>
          <w:sz w:val="22"/>
          <w:szCs w:val="22"/>
          <w:lang w:val="en-GB"/>
        </w:rPr>
        <w:t xml:space="preserve"> </w:t>
      </w:r>
      <w:proofErr w:type="spellStart"/>
      <w:r w:rsidRPr="00360FB0">
        <w:rPr>
          <w:i/>
          <w:iCs/>
          <w:sz w:val="22"/>
          <w:szCs w:val="22"/>
          <w:lang w:val="en-GB"/>
        </w:rPr>
        <w:t>zorg</w:t>
      </w:r>
      <w:proofErr w:type="spellEnd"/>
      <w:r w:rsidRPr="00360FB0">
        <w:rPr>
          <w:i/>
          <w:iCs/>
          <w:sz w:val="22"/>
          <w:szCs w:val="22"/>
          <w:lang w:val="en-GB"/>
        </w:rPr>
        <w:t xml:space="preserve"> </w:t>
      </w:r>
      <w:proofErr w:type="spellStart"/>
      <w:r w:rsidRPr="00360FB0">
        <w:rPr>
          <w:i/>
          <w:iCs/>
          <w:sz w:val="22"/>
          <w:szCs w:val="22"/>
          <w:lang w:val="en-GB"/>
        </w:rPr>
        <w:t>om</w:t>
      </w:r>
      <w:proofErr w:type="spellEnd"/>
      <w:r w:rsidRPr="00360FB0">
        <w:rPr>
          <w:i/>
          <w:iCs/>
          <w:sz w:val="22"/>
          <w:szCs w:val="22"/>
          <w:lang w:val="en-GB"/>
        </w:rPr>
        <w:t xml:space="preserve"> </w:t>
      </w:r>
      <w:proofErr w:type="spellStart"/>
      <w:r w:rsidRPr="00360FB0">
        <w:rPr>
          <w:i/>
          <w:iCs/>
          <w:sz w:val="22"/>
          <w:szCs w:val="22"/>
          <w:lang w:val="en-GB"/>
        </w:rPr>
        <w:t>kosten</w:t>
      </w:r>
      <w:proofErr w:type="spellEnd"/>
      <w:r w:rsidRPr="00360FB0">
        <w:rPr>
          <w:i/>
          <w:iCs/>
          <w:sz w:val="22"/>
          <w:szCs w:val="22"/>
          <w:lang w:val="en-GB"/>
        </w:rPr>
        <w:t xml:space="preserve"> (Elderly avoid care because of expenses), </w:t>
      </w:r>
      <w:r w:rsidRPr="00360FB0">
        <w:rPr>
          <w:sz w:val="22"/>
          <w:szCs w:val="22"/>
          <w:lang w:val="en-GB"/>
        </w:rPr>
        <w:t xml:space="preserve">August 2015.  </w:t>
      </w:r>
    </w:p>
  </w:endnote>
  <w:endnote w:id="4">
    <w:p w:rsidR="00360FB0" w:rsidRPr="00360FB0" w:rsidRDefault="00360FB0">
      <w:pPr>
        <w:pStyle w:val="EndnoteText"/>
        <w:rPr>
          <w:sz w:val="22"/>
          <w:szCs w:val="22"/>
          <w:lang w:val="en-GB"/>
        </w:rPr>
      </w:pPr>
      <w:r w:rsidRPr="00360FB0">
        <w:rPr>
          <w:rStyle w:val="EndnoteReference"/>
          <w:sz w:val="22"/>
          <w:szCs w:val="22"/>
          <w:lang w:val="en-GB"/>
        </w:rPr>
        <w:endnoteRef/>
      </w:r>
      <w:r w:rsidRPr="00360FB0">
        <w:rPr>
          <w:sz w:val="22"/>
          <w:szCs w:val="22"/>
          <w:lang w:val="en-GB"/>
        </w:rPr>
        <w:t xml:space="preserve"> </w:t>
      </w:r>
      <w:proofErr w:type="gramStart"/>
      <w:r w:rsidRPr="00360FB0">
        <w:rPr>
          <w:sz w:val="22"/>
          <w:szCs w:val="22"/>
          <w:lang w:val="en-GB"/>
        </w:rPr>
        <w:t xml:space="preserve">National Ombudsman, </w:t>
      </w:r>
      <w:proofErr w:type="spellStart"/>
      <w:r w:rsidRPr="00360FB0">
        <w:rPr>
          <w:i/>
          <w:iCs/>
          <w:sz w:val="22"/>
          <w:szCs w:val="22"/>
          <w:lang w:val="en-GB"/>
        </w:rPr>
        <w:t>Een</w:t>
      </w:r>
      <w:proofErr w:type="spellEnd"/>
      <w:r w:rsidRPr="00360FB0">
        <w:rPr>
          <w:i/>
          <w:iCs/>
          <w:sz w:val="22"/>
          <w:szCs w:val="22"/>
          <w:lang w:val="en-GB"/>
        </w:rPr>
        <w:t xml:space="preserve"> </w:t>
      </w:r>
      <w:proofErr w:type="spellStart"/>
      <w:r w:rsidRPr="00360FB0">
        <w:rPr>
          <w:i/>
          <w:iCs/>
          <w:sz w:val="22"/>
          <w:szCs w:val="22"/>
          <w:lang w:val="en-GB"/>
        </w:rPr>
        <w:t>onverwacht</w:t>
      </w:r>
      <w:proofErr w:type="spellEnd"/>
      <w:r w:rsidRPr="00360FB0">
        <w:rPr>
          <w:i/>
          <w:iCs/>
          <w:sz w:val="22"/>
          <w:szCs w:val="22"/>
          <w:lang w:val="en-GB"/>
        </w:rPr>
        <w:t xml:space="preserve"> </w:t>
      </w:r>
      <w:proofErr w:type="spellStart"/>
      <w:r w:rsidRPr="00360FB0">
        <w:rPr>
          <w:i/>
          <w:iCs/>
          <w:sz w:val="22"/>
          <w:szCs w:val="22"/>
          <w:lang w:val="en-GB"/>
        </w:rPr>
        <w:t>hoge</w:t>
      </w:r>
      <w:proofErr w:type="spellEnd"/>
      <w:r w:rsidRPr="00360FB0">
        <w:rPr>
          <w:i/>
          <w:iCs/>
          <w:sz w:val="22"/>
          <w:szCs w:val="22"/>
          <w:lang w:val="en-GB"/>
        </w:rPr>
        <w:t xml:space="preserve"> </w:t>
      </w:r>
      <w:proofErr w:type="spellStart"/>
      <w:r w:rsidRPr="00360FB0">
        <w:rPr>
          <w:i/>
          <w:iCs/>
          <w:sz w:val="22"/>
          <w:szCs w:val="22"/>
          <w:lang w:val="en-GB"/>
        </w:rPr>
        <w:t>rekening</w:t>
      </w:r>
      <w:proofErr w:type="spellEnd"/>
      <w:r w:rsidRPr="00360FB0">
        <w:rPr>
          <w:i/>
          <w:iCs/>
          <w:sz w:val="22"/>
          <w:szCs w:val="22"/>
          <w:lang w:val="en-GB"/>
        </w:rPr>
        <w:t xml:space="preserve"> (An unexpected high bill), </w:t>
      </w:r>
      <w:r w:rsidRPr="00360FB0">
        <w:rPr>
          <w:sz w:val="22"/>
          <w:szCs w:val="22"/>
          <w:lang w:val="en-GB"/>
        </w:rPr>
        <w:t>March 2016, p. 34.</w:t>
      </w:r>
      <w:proofErr w:type="gramEnd"/>
    </w:p>
  </w:endnote>
  <w:endnote w:id="5">
    <w:p w:rsidR="00360FB0" w:rsidRPr="00360FB0" w:rsidRDefault="00360FB0">
      <w:pPr>
        <w:pStyle w:val="EndnoteText"/>
        <w:rPr>
          <w:sz w:val="22"/>
          <w:szCs w:val="22"/>
          <w:lang w:val="en-GB"/>
        </w:rPr>
      </w:pPr>
      <w:r w:rsidRPr="00360FB0">
        <w:rPr>
          <w:rStyle w:val="EndnoteReference"/>
          <w:sz w:val="22"/>
          <w:szCs w:val="22"/>
          <w:lang w:val="en-GB"/>
        </w:rPr>
        <w:endnoteRef/>
      </w:r>
      <w:r w:rsidRPr="00360FB0">
        <w:rPr>
          <w:sz w:val="22"/>
          <w:szCs w:val="22"/>
          <w:lang w:val="en-GB"/>
        </w:rPr>
        <w:t xml:space="preserve"> See for example: </w:t>
      </w:r>
      <w:proofErr w:type="spellStart"/>
      <w:r w:rsidRPr="00360FB0">
        <w:rPr>
          <w:sz w:val="22"/>
          <w:szCs w:val="22"/>
          <w:lang w:val="en-GB"/>
        </w:rPr>
        <w:t>Baracs</w:t>
      </w:r>
      <w:proofErr w:type="spellEnd"/>
      <w:r w:rsidRPr="00360FB0">
        <w:rPr>
          <w:sz w:val="22"/>
          <w:szCs w:val="22"/>
          <w:lang w:val="en-GB"/>
        </w:rPr>
        <w:t xml:space="preserve">, de Jong and van der </w:t>
      </w:r>
      <w:proofErr w:type="spellStart"/>
      <w:r w:rsidRPr="00360FB0">
        <w:rPr>
          <w:sz w:val="22"/>
          <w:szCs w:val="22"/>
          <w:lang w:val="en-GB"/>
        </w:rPr>
        <w:t>Kooi</w:t>
      </w:r>
      <w:proofErr w:type="spellEnd"/>
      <w:r w:rsidRPr="00360FB0">
        <w:rPr>
          <w:sz w:val="22"/>
          <w:szCs w:val="22"/>
          <w:lang w:val="en-GB"/>
        </w:rPr>
        <w:t xml:space="preserve">, </w:t>
      </w:r>
      <w:r w:rsidRPr="00360FB0">
        <w:rPr>
          <w:i/>
          <w:iCs/>
          <w:sz w:val="22"/>
          <w:szCs w:val="22"/>
          <w:lang w:val="en-GB"/>
        </w:rPr>
        <w:t xml:space="preserve">De </w:t>
      </w:r>
      <w:proofErr w:type="spellStart"/>
      <w:r w:rsidRPr="00360FB0">
        <w:rPr>
          <w:i/>
          <w:iCs/>
          <w:sz w:val="22"/>
          <w:szCs w:val="22"/>
          <w:lang w:val="en-GB"/>
        </w:rPr>
        <w:t>zorg</w:t>
      </w:r>
      <w:proofErr w:type="spellEnd"/>
      <w:r w:rsidRPr="00360FB0">
        <w:rPr>
          <w:i/>
          <w:iCs/>
          <w:sz w:val="22"/>
          <w:szCs w:val="22"/>
          <w:lang w:val="en-GB"/>
        </w:rPr>
        <w:t xml:space="preserve"> </w:t>
      </w:r>
      <w:proofErr w:type="spellStart"/>
      <w:r w:rsidRPr="00360FB0">
        <w:rPr>
          <w:i/>
          <w:iCs/>
          <w:sz w:val="22"/>
          <w:szCs w:val="22"/>
          <w:lang w:val="en-GB"/>
        </w:rPr>
        <w:t>waar</w:t>
      </w:r>
      <w:proofErr w:type="spellEnd"/>
      <w:r w:rsidRPr="00360FB0">
        <w:rPr>
          <w:i/>
          <w:iCs/>
          <w:sz w:val="22"/>
          <w:szCs w:val="22"/>
          <w:lang w:val="en-GB"/>
        </w:rPr>
        <w:t xml:space="preserve"> </w:t>
      </w:r>
      <w:proofErr w:type="spellStart"/>
      <w:r w:rsidRPr="00360FB0">
        <w:rPr>
          <w:i/>
          <w:iCs/>
          <w:sz w:val="22"/>
          <w:szCs w:val="22"/>
          <w:lang w:val="en-GB"/>
        </w:rPr>
        <w:t>ze</w:t>
      </w:r>
      <w:proofErr w:type="spellEnd"/>
      <w:r w:rsidRPr="00360FB0">
        <w:rPr>
          <w:i/>
          <w:iCs/>
          <w:sz w:val="22"/>
          <w:szCs w:val="22"/>
          <w:lang w:val="en-GB"/>
        </w:rPr>
        <w:t xml:space="preserve"> </w:t>
      </w:r>
      <w:proofErr w:type="spellStart"/>
      <w:r w:rsidRPr="00360FB0">
        <w:rPr>
          <w:i/>
          <w:iCs/>
          <w:sz w:val="22"/>
          <w:szCs w:val="22"/>
          <w:lang w:val="en-GB"/>
        </w:rPr>
        <w:t>recht</w:t>
      </w:r>
      <w:proofErr w:type="spellEnd"/>
      <w:r w:rsidRPr="00360FB0">
        <w:rPr>
          <w:i/>
          <w:iCs/>
          <w:sz w:val="22"/>
          <w:szCs w:val="22"/>
          <w:lang w:val="en-GB"/>
        </w:rPr>
        <w:t xml:space="preserve"> op </w:t>
      </w:r>
      <w:proofErr w:type="spellStart"/>
      <w:r w:rsidRPr="00360FB0">
        <w:rPr>
          <w:i/>
          <w:iCs/>
          <w:sz w:val="22"/>
          <w:szCs w:val="22"/>
          <w:lang w:val="en-GB"/>
        </w:rPr>
        <w:t>hebben</w:t>
      </w:r>
      <w:proofErr w:type="spellEnd"/>
      <w:r w:rsidRPr="00360FB0">
        <w:rPr>
          <w:i/>
          <w:iCs/>
          <w:sz w:val="22"/>
          <w:szCs w:val="22"/>
          <w:lang w:val="en-GB"/>
        </w:rPr>
        <w:t xml:space="preserve">: </w:t>
      </w:r>
      <w:proofErr w:type="spellStart"/>
      <w:r w:rsidRPr="00360FB0">
        <w:rPr>
          <w:i/>
          <w:iCs/>
          <w:sz w:val="22"/>
          <w:szCs w:val="22"/>
          <w:lang w:val="en-GB"/>
        </w:rPr>
        <w:t>onderzoek</w:t>
      </w:r>
      <w:proofErr w:type="spellEnd"/>
      <w:r w:rsidRPr="00360FB0">
        <w:rPr>
          <w:i/>
          <w:iCs/>
          <w:sz w:val="22"/>
          <w:szCs w:val="22"/>
          <w:lang w:val="en-GB"/>
        </w:rPr>
        <w:t xml:space="preserve"> </w:t>
      </w:r>
      <w:proofErr w:type="spellStart"/>
      <w:r w:rsidRPr="00360FB0">
        <w:rPr>
          <w:i/>
          <w:iCs/>
          <w:sz w:val="22"/>
          <w:szCs w:val="22"/>
          <w:lang w:val="en-GB"/>
        </w:rPr>
        <w:t>naar</w:t>
      </w:r>
      <w:proofErr w:type="spellEnd"/>
      <w:r w:rsidRPr="00360FB0">
        <w:rPr>
          <w:i/>
          <w:iCs/>
          <w:sz w:val="22"/>
          <w:szCs w:val="22"/>
          <w:lang w:val="en-GB"/>
        </w:rPr>
        <w:t xml:space="preserve"> de </w:t>
      </w:r>
      <w:proofErr w:type="spellStart"/>
      <w:r w:rsidRPr="00360FB0">
        <w:rPr>
          <w:i/>
          <w:iCs/>
          <w:sz w:val="22"/>
          <w:szCs w:val="22"/>
          <w:lang w:val="en-GB"/>
        </w:rPr>
        <w:t>toegang</w:t>
      </w:r>
      <w:proofErr w:type="spellEnd"/>
      <w:r w:rsidRPr="00360FB0">
        <w:rPr>
          <w:i/>
          <w:iCs/>
          <w:sz w:val="22"/>
          <w:szCs w:val="22"/>
          <w:lang w:val="en-GB"/>
        </w:rPr>
        <w:t xml:space="preserve"> tot en de </w:t>
      </w:r>
      <w:proofErr w:type="spellStart"/>
      <w:r w:rsidRPr="00360FB0">
        <w:rPr>
          <w:i/>
          <w:iCs/>
          <w:sz w:val="22"/>
          <w:szCs w:val="22"/>
          <w:lang w:val="en-GB"/>
        </w:rPr>
        <w:t>kwaliteit</w:t>
      </w:r>
      <w:proofErr w:type="spellEnd"/>
      <w:r w:rsidRPr="00360FB0">
        <w:rPr>
          <w:i/>
          <w:iCs/>
          <w:sz w:val="22"/>
          <w:szCs w:val="22"/>
          <w:lang w:val="en-GB"/>
        </w:rPr>
        <w:t xml:space="preserve"> van de </w:t>
      </w:r>
      <w:proofErr w:type="spellStart"/>
      <w:r w:rsidRPr="00360FB0">
        <w:rPr>
          <w:i/>
          <w:iCs/>
          <w:sz w:val="22"/>
          <w:szCs w:val="22"/>
          <w:lang w:val="en-GB"/>
        </w:rPr>
        <w:t>jeugdhulp</w:t>
      </w:r>
      <w:proofErr w:type="spellEnd"/>
      <w:r w:rsidRPr="00360FB0">
        <w:rPr>
          <w:i/>
          <w:iCs/>
          <w:sz w:val="22"/>
          <w:szCs w:val="22"/>
          <w:lang w:val="en-GB"/>
        </w:rPr>
        <w:t xml:space="preserve"> </w:t>
      </w:r>
      <w:proofErr w:type="spellStart"/>
      <w:proofErr w:type="gramStart"/>
      <w:r w:rsidRPr="00360FB0">
        <w:rPr>
          <w:i/>
          <w:iCs/>
          <w:sz w:val="22"/>
          <w:szCs w:val="22"/>
          <w:lang w:val="en-GB"/>
        </w:rPr>
        <w:t>na</w:t>
      </w:r>
      <w:proofErr w:type="spellEnd"/>
      <w:proofErr w:type="gramEnd"/>
      <w:r w:rsidRPr="00360FB0">
        <w:rPr>
          <w:i/>
          <w:iCs/>
          <w:sz w:val="22"/>
          <w:szCs w:val="22"/>
          <w:lang w:val="en-GB"/>
        </w:rPr>
        <w:t xml:space="preserve"> </w:t>
      </w:r>
      <w:proofErr w:type="spellStart"/>
      <w:r w:rsidRPr="00360FB0">
        <w:rPr>
          <w:i/>
          <w:iCs/>
          <w:sz w:val="22"/>
          <w:szCs w:val="22"/>
          <w:lang w:val="en-GB"/>
        </w:rPr>
        <w:t>decentralisatie</w:t>
      </w:r>
      <w:proofErr w:type="spellEnd"/>
      <w:r w:rsidRPr="00360FB0">
        <w:rPr>
          <w:i/>
          <w:iCs/>
          <w:sz w:val="22"/>
          <w:szCs w:val="22"/>
          <w:lang w:val="en-GB"/>
        </w:rPr>
        <w:t xml:space="preserve"> (The care they are entitled to: research in the access to and quality of support for children and youth after decentralization)</w:t>
      </w:r>
      <w:r w:rsidRPr="00360FB0">
        <w:rPr>
          <w:sz w:val="22"/>
          <w:szCs w:val="22"/>
          <w:lang w:val="en-GB"/>
        </w:rPr>
        <w:t xml:space="preserve">, the Netherlands’ Ombudsman for children, March 2016. Specific issues identified are: lack of access to information about support and where to go; waiting lists in support; delays in support for children in unsafe situations; lack of expertise in so-called community teams who are supposed to offer support; little access to information about support available to community teams and general practitioners. Also see: </w:t>
      </w:r>
      <w:proofErr w:type="spellStart"/>
      <w:r w:rsidRPr="00360FB0">
        <w:rPr>
          <w:sz w:val="22"/>
          <w:szCs w:val="22"/>
          <w:lang w:val="en-GB"/>
        </w:rPr>
        <w:t>Movisie</w:t>
      </w:r>
      <w:proofErr w:type="spellEnd"/>
      <w:r w:rsidRPr="00360FB0">
        <w:rPr>
          <w:sz w:val="22"/>
          <w:szCs w:val="22"/>
          <w:lang w:val="en-GB"/>
        </w:rPr>
        <w:t xml:space="preserve">, </w:t>
      </w:r>
      <w:proofErr w:type="spellStart"/>
      <w:r w:rsidRPr="00360FB0">
        <w:rPr>
          <w:i/>
          <w:iCs/>
          <w:sz w:val="22"/>
          <w:szCs w:val="22"/>
          <w:lang w:val="en-GB"/>
        </w:rPr>
        <w:t>Sociale</w:t>
      </w:r>
      <w:proofErr w:type="spellEnd"/>
      <w:r w:rsidRPr="00360FB0">
        <w:rPr>
          <w:i/>
          <w:iCs/>
          <w:sz w:val="22"/>
          <w:szCs w:val="22"/>
          <w:lang w:val="en-GB"/>
        </w:rPr>
        <w:t xml:space="preserve"> (</w:t>
      </w:r>
      <w:proofErr w:type="spellStart"/>
      <w:r w:rsidRPr="00360FB0">
        <w:rPr>
          <w:i/>
          <w:iCs/>
          <w:sz w:val="22"/>
          <w:szCs w:val="22"/>
          <w:lang w:val="en-GB"/>
        </w:rPr>
        <w:t>wijk</w:t>
      </w:r>
      <w:proofErr w:type="spellEnd"/>
      <w:r w:rsidRPr="00360FB0">
        <w:rPr>
          <w:i/>
          <w:iCs/>
          <w:sz w:val="22"/>
          <w:szCs w:val="22"/>
          <w:lang w:val="en-GB"/>
        </w:rPr>
        <w:t xml:space="preserve">)teams in </w:t>
      </w:r>
      <w:proofErr w:type="spellStart"/>
      <w:r w:rsidRPr="00360FB0">
        <w:rPr>
          <w:i/>
          <w:iCs/>
          <w:sz w:val="22"/>
          <w:szCs w:val="22"/>
          <w:lang w:val="en-GB"/>
        </w:rPr>
        <w:t>beeld</w:t>
      </w:r>
      <w:proofErr w:type="spellEnd"/>
      <w:r w:rsidRPr="00360FB0">
        <w:rPr>
          <w:i/>
          <w:iCs/>
          <w:sz w:val="22"/>
          <w:szCs w:val="22"/>
          <w:lang w:val="en-GB"/>
        </w:rPr>
        <w:t xml:space="preserve"> (Community teams portrayed), </w:t>
      </w:r>
      <w:r w:rsidRPr="00360FB0">
        <w:rPr>
          <w:sz w:val="22"/>
          <w:szCs w:val="22"/>
          <w:lang w:val="en-GB"/>
        </w:rPr>
        <w:t xml:space="preserve">2015; Monitor Transition Youth, </w:t>
      </w:r>
      <w:r w:rsidRPr="00360FB0">
        <w:rPr>
          <w:i/>
          <w:iCs/>
          <w:sz w:val="22"/>
          <w:szCs w:val="22"/>
          <w:lang w:val="en-GB"/>
        </w:rPr>
        <w:t>Annual report of 2015</w:t>
      </w:r>
      <w:r w:rsidRPr="00360FB0">
        <w:rPr>
          <w:sz w:val="22"/>
          <w:szCs w:val="22"/>
          <w:lang w:val="en-GB"/>
        </w:rPr>
        <w:t xml:space="preserve">; </w:t>
      </w:r>
      <w:r w:rsidRPr="00360FB0">
        <w:rPr>
          <w:i/>
          <w:iCs/>
          <w:sz w:val="22"/>
          <w:szCs w:val="22"/>
          <w:lang w:val="en-GB"/>
        </w:rPr>
        <w:t xml:space="preserve">Quarterly reports </w:t>
      </w:r>
      <w:r w:rsidRPr="00360FB0">
        <w:rPr>
          <w:sz w:val="22"/>
          <w:szCs w:val="22"/>
          <w:lang w:val="en-GB"/>
        </w:rPr>
        <w:t xml:space="preserve">by Monitor Transition Youth in 2016 indicate the problems are continuing; </w:t>
      </w:r>
      <w:proofErr w:type="spellStart"/>
      <w:r w:rsidRPr="00360FB0">
        <w:rPr>
          <w:sz w:val="22"/>
          <w:szCs w:val="22"/>
          <w:lang w:val="en-GB"/>
        </w:rPr>
        <w:t>Kriek</w:t>
      </w:r>
      <w:proofErr w:type="spellEnd"/>
      <w:r w:rsidRPr="00360FB0">
        <w:rPr>
          <w:sz w:val="22"/>
          <w:szCs w:val="22"/>
          <w:lang w:val="en-GB"/>
        </w:rPr>
        <w:t xml:space="preserve">, </w:t>
      </w:r>
      <w:proofErr w:type="spellStart"/>
      <w:r w:rsidRPr="00360FB0">
        <w:rPr>
          <w:sz w:val="22"/>
          <w:szCs w:val="22"/>
          <w:lang w:val="en-GB"/>
        </w:rPr>
        <w:t>Mallee</w:t>
      </w:r>
      <w:proofErr w:type="spellEnd"/>
      <w:r w:rsidRPr="00360FB0">
        <w:rPr>
          <w:sz w:val="22"/>
          <w:szCs w:val="22"/>
          <w:lang w:val="en-GB"/>
        </w:rPr>
        <w:t xml:space="preserve">, de </w:t>
      </w:r>
      <w:proofErr w:type="spellStart"/>
      <w:r w:rsidRPr="00360FB0">
        <w:rPr>
          <w:sz w:val="22"/>
          <w:szCs w:val="22"/>
          <w:lang w:val="en-GB"/>
        </w:rPr>
        <w:t>Vaan</w:t>
      </w:r>
      <w:proofErr w:type="spellEnd"/>
      <w:r w:rsidRPr="00360FB0">
        <w:rPr>
          <w:sz w:val="22"/>
          <w:szCs w:val="22"/>
          <w:lang w:val="en-GB"/>
        </w:rPr>
        <w:t xml:space="preserve">, </w:t>
      </w:r>
      <w:proofErr w:type="spellStart"/>
      <w:r w:rsidRPr="00360FB0">
        <w:rPr>
          <w:sz w:val="22"/>
          <w:szCs w:val="22"/>
          <w:lang w:val="en-GB"/>
        </w:rPr>
        <w:t>Witvliet</w:t>
      </w:r>
      <w:proofErr w:type="spellEnd"/>
      <w:r w:rsidRPr="00360FB0">
        <w:rPr>
          <w:sz w:val="22"/>
          <w:szCs w:val="22"/>
          <w:lang w:val="en-GB"/>
        </w:rPr>
        <w:t xml:space="preserve">, </w:t>
      </w:r>
      <w:proofErr w:type="spellStart"/>
      <w:r w:rsidRPr="00360FB0">
        <w:rPr>
          <w:i/>
          <w:iCs/>
          <w:sz w:val="22"/>
          <w:szCs w:val="22"/>
          <w:lang w:val="en-GB"/>
        </w:rPr>
        <w:t>Ervaringen</w:t>
      </w:r>
      <w:proofErr w:type="spellEnd"/>
      <w:r w:rsidRPr="00360FB0">
        <w:rPr>
          <w:i/>
          <w:iCs/>
          <w:sz w:val="22"/>
          <w:szCs w:val="22"/>
          <w:lang w:val="en-GB"/>
        </w:rPr>
        <w:t xml:space="preserve"> van </w:t>
      </w:r>
      <w:proofErr w:type="spellStart"/>
      <w:r w:rsidRPr="00360FB0">
        <w:rPr>
          <w:i/>
          <w:iCs/>
          <w:sz w:val="22"/>
          <w:szCs w:val="22"/>
          <w:lang w:val="en-GB"/>
        </w:rPr>
        <w:t>instellingen</w:t>
      </w:r>
      <w:proofErr w:type="spellEnd"/>
      <w:r w:rsidRPr="00360FB0">
        <w:rPr>
          <w:i/>
          <w:iCs/>
          <w:sz w:val="22"/>
          <w:szCs w:val="22"/>
          <w:lang w:val="en-GB"/>
        </w:rPr>
        <w:t xml:space="preserve"> </w:t>
      </w:r>
      <w:proofErr w:type="spellStart"/>
      <w:r w:rsidRPr="00360FB0">
        <w:rPr>
          <w:i/>
          <w:iCs/>
          <w:sz w:val="22"/>
          <w:szCs w:val="22"/>
          <w:lang w:val="en-GB"/>
        </w:rPr>
        <w:t>na</w:t>
      </w:r>
      <w:proofErr w:type="spellEnd"/>
      <w:r w:rsidRPr="00360FB0">
        <w:rPr>
          <w:i/>
          <w:iCs/>
          <w:sz w:val="22"/>
          <w:szCs w:val="22"/>
          <w:lang w:val="en-GB"/>
        </w:rPr>
        <w:t xml:space="preserve"> </w:t>
      </w:r>
      <w:proofErr w:type="spellStart"/>
      <w:r w:rsidRPr="00360FB0">
        <w:rPr>
          <w:i/>
          <w:iCs/>
          <w:sz w:val="22"/>
          <w:szCs w:val="22"/>
          <w:lang w:val="en-GB"/>
        </w:rPr>
        <w:t>een</w:t>
      </w:r>
      <w:proofErr w:type="spellEnd"/>
      <w:r w:rsidRPr="00360FB0">
        <w:rPr>
          <w:i/>
          <w:iCs/>
          <w:sz w:val="22"/>
          <w:szCs w:val="22"/>
          <w:lang w:val="en-GB"/>
        </w:rPr>
        <w:t xml:space="preserve"> </w:t>
      </w:r>
      <w:proofErr w:type="spellStart"/>
      <w:r w:rsidRPr="00360FB0">
        <w:rPr>
          <w:i/>
          <w:iCs/>
          <w:sz w:val="22"/>
          <w:szCs w:val="22"/>
          <w:lang w:val="en-GB"/>
        </w:rPr>
        <w:t>jaar</w:t>
      </w:r>
      <w:proofErr w:type="spellEnd"/>
      <w:r w:rsidRPr="00360FB0">
        <w:rPr>
          <w:i/>
          <w:iCs/>
          <w:sz w:val="22"/>
          <w:szCs w:val="22"/>
          <w:lang w:val="en-GB"/>
        </w:rPr>
        <w:t xml:space="preserve"> </w:t>
      </w:r>
      <w:proofErr w:type="spellStart"/>
      <w:r w:rsidRPr="00360FB0">
        <w:rPr>
          <w:i/>
          <w:iCs/>
          <w:sz w:val="22"/>
          <w:szCs w:val="22"/>
          <w:lang w:val="en-GB"/>
        </w:rPr>
        <w:t>decentralisatie</w:t>
      </w:r>
      <w:proofErr w:type="spellEnd"/>
      <w:r w:rsidRPr="00360FB0">
        <w:rPr>
          <w:i/>
          <w:iCs/>
          <w:sz w:val="22"/>
          <w:szCs w:val="22"/>
          <w:lang w:val="en-GB"/>
        </w:rPr>
        <w:t xml:space="preserve"> (Experiences of institutions one year after decentralisation)</w:t>
      </w:r>
      <w:r w:rsidRPr="00360FB0">
        <w:rPr>
          <w:sz w:val="22"/>
          <w:szCs w:val="22"/>
          <w:lang w:val="en-GB"/>
        </w:rPr>
        <w:t xml:space="preserve">, </w:t>
      </w:r>
      <w:proofErr w:type="spellStart"/>
      <w:r w:rsidRPr="00360FB0">
        <w:rPr>
          <w:sz w:val="22"/>
          <w:szCs w:val="22"/>
          <w:lang w:val="en-GB"/>
        </w:rPr>
        <w:t>Regioplan</w:t>
      </w:r>
      <w:proofErr w:type="spellEnd"/>
      <w:r w:rsidRPr="00360FB0">
        <w:rPr>
          <w:sz w:val="22"/>
          <w:szCs w:val="22"/>
          <w:lang w:val="en-GB"/>
        </w:rPr>
        <w:t xml:space="preserve"> Policy Research, January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521099"/>
      <w:docPartObj>
        <w:docPartGallery w:val="Page Numbers (Bottom of Page)"/>
        <w:docPartUnique/>
      </w:docPartObj>
    </w:sdtPr>
    <w:sdtEndPr/>
    <w:sdtContent>
      <w:p w:rsidR="00360FB0" w:rsidRDefault="00360FB0">
        <w:pPr>
          <w:pStyle w:val="Footer"/>
          <w:jc w:val="right"/>
        </w:pPr>
        <w:r>
          <w:fldChar w:fldCharType="begin"/>
        </w:r>
        <w:r>
          <w:instrText>PAGE   \* MERGEFORMAT</w:instrText>
        </w:r>
        <w:r>
          <w:fldChar w:fldCharType="separate"/>
        </w:r>
        <w:r w:rsidR="00BF62F1">
          <w:rPr>
            <w:noProof/>
          </w:rPr>
          <w:t>1</w:t>
        </w:r>
        <w:r>
          <w:fldChar w:fldCharType="end"/>
        </w:r>
      </w:p>
    </w:sdtContent>
  </w:sdt>
  <w:p w:rsidR="00891FAE" w:rsidRDefault="00891F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FAE" w:rsidRDefault="00891FAE" w:rsidP="00891FAE">
      <w:r>
        <w:separator/>
      </w:r>
    </w:p>
  </w:footnote>
  <w:footnote w:type="continuationSeparator" w:id="0">
    <w:p w:rsidR="00891FAE" w:rsidRDefault="00891FAE" w:rsidP="00891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44B84"/>
    <w:multiLevelType w:val="hybridMultilevel"/>
    <w:tmpl w:val="7BD071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1002FAB"/>
    <w:multiLevelType w:val="hybridMultilevel"/>
    <w:tmpl w:val="C8F4E12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39A52BA7"/>
    <w:multiLevelType w:val="multilevel"/>
    <w:tmpl w:val="AC94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717A31"/>
    <w:multiLevelType w:val="hybridMultilevel"/>
    <w:tmpl w:val="7DE089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7F582B6B"/>
    <w:multiLevelType w:val="hybridMultilevel"/>
    <w:tmpl w:val="E88CC080"/>
    <w:lvl w:ilvl="0" w:tplc="A17A37B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8A3"/>
    <w:rsid w:val="0001724B"/>
    <w:rsid w:val="000673DF"/>
    <w:rsid w:val="00167269"/>
    <w:rsid w:val="00262DB1"/>
    <w:rsid w:val="002C2F32"/>
    <w:rsid w:val="0031321C"/>
    <w:rsid w:val="00360FB0"/>
    <w:rsid w:val="003D0D43"/>
    <w:rsid w:val="00412CF8"/>
    <w:rsid w:val="00481A8E"/>
    <w:rsid w:val="00632DBF"/>
    <w:rsid w:val="006D6A46"/>
    <w:rsid w:val="007578A3"/>
    <w:rsid w:val="007B433A"/>
    <w:rsid w:val="0086685E"/>
    <w:rsid w:val="00891FAE"/>
    <w:rsid w:val="00905842"/>
    <w:rsid w:val="009460E3"/>
    <w:rsid w:val="0099176C"/>
    <w:rsid w:val="009E1F51"/>
    <w:rsid w:val="00B373FD"/>
    <w:rsid w:val="00B71863"/>
    <w:rsid w:val="00BA7240"/>
    <w:rsid w:val="00BF62F1"/>
    <w:rsid w:val="00C30B51"/>
    <w:rsid w:val="00C4635B"/>
    <w:rsid w:val="00CC008A"/>
    <w:rsid w:val="00D36C58"/>
    <w:rsid w:val="00EC6CE5"/>
    <w:rsid w:val="00F3678D"/>
    <w:rsid w:val="00F94AB6"/>
    <w:rsid w:val="00FB5D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B6"/>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8A3"/>
    <w:pPr>
      <w:ind w:left="720"/>
      <w:contextualSpacing/>
    </w:pPr>
  </w:style>
  <w:style w:type="paragraph" w:customStyle="1" w:styleId="Default">
    <w:name w:val="Default"/>
    <w:rsid w:val="00360FB0"/>
    <w:pPr>
      <w:autoSpaceDE w:val="0"/>
      <w:autoSpaceDN w:val="0"/>
      <w:adjustRightInd w:val="0"/>
    </w:pPr>
    <w:rPr>
      <w:rFonts w:ascii="Trebuchet MS" w:hAnsi="Trebuchet MS" w:cs="Trebuchet MS"/>
      <w:color w:val="000000"/>
      <w:sz w:val="24"/>
      <w:szCs w:val="24"/>
    </w:rPr>
  </w:style>
  <w:style w:type="paragraph" w:styleId="Header">
    <w:name w:val="header"/>
    <w:basedOn w:val="Normal"/>
    <w:link w:val="HeaderChar"/>
    <w:uiPriority w:val="99"/>
    <w:unhideWhenUsed/>
    <w:rsid w:val="00360FB0"/>
    <w:pPr>
      <w:tabs>
        <w:tab w:val="center" w:pos="4536"/>
        <w:tab w:val="right" w:pos="9072"/>
      </w:tabs>
    </w:pPr>
  </w:style>
  <w:style w:type="character" w:customStyle="1" w:styleId="HeaderChar">
    <w:name w:val="Header Char"/>
    <w:basedOn w:val="DefaultParagraphFont"/>
    <w:link w:val="Header"/>
    <w:uiPriority w:val="99"/>
    <w:rsid w:val="00360FB0"/>
    <w:rPr>
      <w:rFonts w:ascii="Trebuchet MS" w:hAnsi="Trebuchet MS"/>
    </w:rPr>
  </w:style>
  <w:style w:type="paragraph" w:styleId="Footer">
    <w:name w:val="footer"/>
    <w:basedOn w:val="Normal"/>
    <w:link w:val="FooterChar"/>
    <w:uiPriority w:val="99"/>
    <w:unhideWhenUsed/>
    <w:rsid w:val="00360FB0"/>
    <w:pPr>
      <w:tabs>
        <w:tab w:val="center" w:pos="4536"/>
        <w:tab w:val="right" w:pos="9072"/>
      </w:tabs>
    </w:pPr>
  </w:style>
  <w:style w:type="character" w:customStyle="1" w:styleId="FooterChar">
    <w:name w:val="Footer Char"/>
    <w:basedOn w:val="DefaultParagraphFont"/>
    <w:link w:val="Footer"/>
    <w:uiPriority w:val="99"/>
    <w:rsid w:val="00360FB0"/>
    <w:rPr>
      <w:rFonts w:ascii="Trebuchet MS" w:hAnsi="Trebuchet MS"/>
    </w:rPr>
  </w:style>
  <w:style w:type="paragraph" w:styleId="EndnoteText">
    <w:name w:val="endnote text"/>
    <w:basedOn w:val="Normal"/>
    <w:link w:val="EndnoteTextChar"/>
    <w:uiPriority w:val="99"/>
    <w:semiHidden/>
    <w:unhideWhenUsed/>
    <w:rsid w:val="00360FB0"/>
    <w:rPr>
      <w:sz w:val="20"/>
      <w:szCs w:val="20"/>
    </w:rPr>
  </w:style>
  <w:style w:type="character" w:customStyle="1" w:styleId="EndnoteTextChar">
    <w:name w:val="Endnote Text Char"/>
    <w:basedOn w:val="DefaultParagraphFont"/>
    <w:link w:val="EndnoteText"/>
    <w:uiPriority w:val="99"/>
    <w:semiHidden/>
    <w:rsid w:val="00360FB0"/>
    <w:rPr>
      <w:rFonts w:ascii="Trebuchet MS" w:hAnsi="Trebuchet MS"/>
      <w:sz w:val="20"/>
      <w:szCs w:val="20"/>
    </w:rPr>
  </w:style>
  <w:style w:type="character" w:styleId="EndnoteReference">
    <w:name w:val="endnote reference"/>
    <w:basedOn w:val="DefaultParagraphFont"/>
    <w:uiPriority w:val="99"/>
    <w:semiHidden/>
    <w:unhideWhenUsed/>
    <w:rsid w:val="00360FB0"/>
    <w:rPr>
      <w:vertAlign w:val="superscript"/>
    </w:rPr>
  </w:style>
  <w:style w:type="character" w:styleId="Strong">
    <w:name w:val="Strong"/>
    <w:basedOn w:val="DefaultParagraphFont"/>
    <w:uiPriority w:val="22"/>
    <w:qFormat/>
    <w:rsid w:val="003D0D43"/>
    <w:rPr>
      <w:b/>
      <w:bCs/>
    </w:rPr>
  </w:style>
  <w:style w:type="paragraph" w:styleId="NormalWeb">
    <w:name w:val="Normal (Web)"/>
    <w:basedOn w:val="Normal"/>
    <w:uiPriority w:val="99"/>
    <w:semiHidden/>
    <w:unhideWhenUsed/>
    <w:rsid w:val="003D0D43"/>
    <w:pPr>
      <w:spacing w:after="360"/>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B6"/>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8A3"/>
    <w:pPr>
      <w:ind w:left="720"/>
      <w:contextualSpacing/>
    </w:pPr>
  </w:style>
  <w:style w:type="paragraph" w:customStyle="1" w:styleId="Default">
    <w:name w:val="Default"/>
    <w:rsid w:val="00360FB0"/>
    <w:pPr>
      <w:autoSpaceDE w:val="0"/>
      <w:autoSpaceDN w:val="0"/>
      <w:adjustRightInd w:val="0"/>
    </w:pPr>
    <w:rPr>
      <w:rFonts w:ascii="Trebuchet MS" w:hAnsi="Trebuchet MS" w:cs="Trebuchet MS"/>
      <w:color w:val="000000"/>
      <w:sz w:val="24"/>
      <w:szCs w:val="24"/>
    </w:rPr>
  </w:style>
  <w:style w:type="paragraph" w:styleId="Header">
    <w:name w:val="header"/>
    <w:basedOn w:val="Normal"/>
    <w:link w:val="HeaderChar"/>
    <w:uiPriority w:val="99"/>
    <w:unhideWhenUsed/>
    <w:rsid w:val="00360FB0"/>
    <w:pPr>
      <w:tabs>
        <w:tab w:val="center" w:pos="4536"/>
        <w:tab w:val="right" w:pos="9072"/>
      </w:tabs>
    </w:pPr>
  </w:style>
  <w:style w:type="character" w:customStyle="1" w:styleId="HeaderChar">
    <w:name w:val="Header Char"/>
    <w:basedOn w:val="DefaultParagraphFont"/>
    <w:link w:val="Header"/>
    <w:uiPriority w:val="99"/>
    <w:rsid w:val="00360FB0"/>
    <w:rPr>
      <w:rFonts w:ascii="Trebuchet MS" w:hAnsi="Trebuchet MS"/>
    </w:rPr>
  </w:style>
  <w:style w:type="paragraph" w:styleId="Footer">
    <w:name w:val="footer"/>
    <w:basedOn w:val="Normal"/>
    <w:link w:val="FooterChar"/>
    <w:uiPriority w:val="99"/>
    <w:unhideWhenUsed/>
    <w:rsid w:val="00360FB0"/>
    <w:pPr>
      <w:tabs>
        <w:tab w:val="center" w:pos="4536"/>
        <w:tab w:val="right" w:pos="9072"/>
      </w:tabs>
    </w:pPr>
  </w:style>
  <w:style w:type="character" w:customStyle="1" w:styleId="FooterChar">
    <w:name w:val="Footer Char"/>
    <w:basedOn w:val="DefaultParagraphFont"/>
    <w:link w:val="Footer"/>
    <w:uiPriority w:val="99"/>
    <w:rsid w:val="00360FB0"/>
    <w:rPr>
      <w:rFonts w:ascii="Trebuchet MS" w:hAnsi="Trebuchet MS"/>
    </w:rPr>
  </w:style>
  <w:style w:type="paragraph" w:styleId="EndnoteText">
    <w:name w:val="endnote text"/>
    <w:basedOn w:val="Normal"/>
    <w:link w:val="EndnoteTextChar"/>
    <w:uiPriority w:val="99"/>
    <w:semiHidden/>
    <w:unhideWhenUsed/>
    <w:rsid w:val="00360FB0"/>
    <w:rPr>
      <w:sz w:val="20"/>
      <w:szCs w:val="20"/>
    </w:rPr>
  </w:style>
  <w:style w:type="character" w:customStyle="1" w:styleId="EndnoteTextChar">
    <w:name w:val="Endnote Text Char"/>
    <w:basedOn w:val="DefaultParagraphFont"/>
    <w:link w:val="EndnoteText"/>
    <w:uiPriority w:val="99"/>
    <w:semiHidden/>
    <w:rsid w:val="00360FB0"/>
    <w:rPr>
      <w:rFonts w:ascii="Trebuchet MS" w:hAnsi="Trebuchet MS"/>
      <w:sz w:val="20"/>
      <w:szCs w:val="20"/>
    </w:rPr>
  </w:style>
  <w:style w:type="character" w:styleId="EndnoteReference">
    <w:name w:val="endnote reference"/>
    <w:basedOn w:val="DefaultParagraphFont"/>
    <w:uiPriority w:val="99"/>
    <w:semiHidden/>
    <w:unhideWhenUsed/>
    <w:rsid w:val="00360FB0"/>
    <w:rPr>
      <w:vertAlign w:val="superscript"/>
    </w:rPr>
  </w:style>
  <w:style w:type="character" w:styleId="Strong">
    <w:name w:val="Strong"/>
    <w:basedOn w:val="DefaultParagraphFont"/>
    <w:uiPriority w:val="22"/>
    <w:qFormat/>
    <w:rsid w:val="003D0D43"/>
    <w:rPr>
      <w:b/>
      <w:bCs/>
    </w:rPr>
  </w:style>
  <w:style w:type="paragraph" w:styleId="NormalWeb">
    <w:name w:val="Normal (Web)"/>
    <w:basedOn w:val="Normal"/>
    <w:uiPriority w:val="99"/>
    <w:semiHidden/>
    <w:unhideWhenUsed/>
    <w:rsid w:val="003D0D43"/>
    <w:pPr>
      <w:spacing w:after="360"/>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03889">
      <w:bodyDiv w:val="1"/>
      <w:marLeft w:val="0"/>
      <w:marRight w:val="0"/>
      <w:marTop w:val="0"/>
      <w:marBottom w:val="0"/>
      <w:divBdr>
        <w:top w:val="none" w:sz="0" w:space="0" w:color="auto"/>
        <w:left w:val="none" w:sz="0" w:space="0" w:color="auto"/>
        <w:bottom w:val="none" w:sz="0" w:space="0" w:color="auto"/>
        <w:right w:val="none" w:sz="0" w:space="0" w:color="auto"/>
      </w:divBdr>
      <w:divsChild>
        <w:div w:id="1108813695">
          <w:marLeft w:val="0"/>
          <w:marRight w:val="0"/>
          <w:marTop w:val="0"/>
          <w:marBottom w:val="0"/>
          <w:divBdr>
            <w:top w:val="none" w:sz="0" w:space="0" w:color="auto"/>
            <w:left w:val="none" w:sz="0" w:space="0" w:color="auto"/>
            <w:bottom w:val="none" w:sz="0" w:space="0" w:color="auto"/>
            <w:right w:val="none" w:sz="0" w:space="0" w:color="auto"/>
          </w:divBdr>
          <w:divsChild>
            <w:div w:id="1470123959">
              <w:marLeft w:val="0"/>
              <w:marRight w:val="0"/>
              <w:marTop w:val="0"/>
              <w:marBottom w:val="0"/>
              <w:divBdr>
                <w:top w:val="none" w:sz="0" w:space="0" w:color="auto"/>
                <w:left w:val="none" w:sz="0" w:space="0" w:color="auto"/>
                <w:bottom w:val="none" w:sz="0" w:space="0" w:color="auto"/>
                <w:right w:val="none" w:sz="0" w:space="0" w:color="auto"/>
              </w:divBdr>
              <w:divsChild>
                <w:div w:id="40598979">
                  <w:marLeft w:val="0"/>
                  <w:marRight w:val="0"/>
                  <w:marTop w:val="0"/>
                  <w:marBottom w:val="600"/>
                  <w:divBdr>
                    <w:top w:val="none" w:sz="0" w:space="0" w:color="auto"/>
                    <w:left w:val="none" w:sz="0" w:space="0" w:color="auto"/>
                    <w:bottom w:val="none" w:sz="0" w:space="0" w:color="auto"/>
                    <w:right w:val="none" w:sz="0" w:space="0" w:color="auto"/>
                  </w:divBdr>
                  <w:divsChild>
                    <w:div w:id="560409109">
                      <w:marLeft w:val="0"/>
                      <w:marRight w:val="0"/>
                      <w:marTop w:val="0"/>
                      <w:marBottom w:val="0"/>
                      <w:divBdr>
                        <w:top w:val="none" w:sz="0" w:space="0" w:color="auto"/>
                        <w:left w:val="none" w:sz="0" w:space="0" w:color="auto"/>
                        <w:bottom w:val="none" w:sz="0" w:space="0" w:color="auto"/>
                        <w:right w:val="none" w:sz="0" w:space="0" w:color="auto"/>
                      </w:divBdr>
                      <w:divsChild>
                        <w:div w:id="1689912381">
                          <w:marLeft w:val="0"/>
                          <w:marRight w:val="0"/>
                          <w:marTop w:val="0"/>
                          <w:marBottom w:val="0"/>
                          <w:divBdr>
                            <w:top w:val="none" w:sz="0" w:space="0" w:color="auto"/>
                            <w:left w:val="none" w:sz="0" w:space="0" w:color="auto"/>
                            <w:bottom w:val="none" w:sz="0" w:space="0" w:color="auto"/>
                            <w:right w:val="none" w:sz="0" w:space="0" w:color="auto"/>
                          </w:divBdr>
                          <w:divsChild>
                            <w:div w:id="196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EEF2E-406B-47A1-B601-DE8A79F46033}"/>
</file>

<file path=customXml/itemProps2.xml><?xml version="1.0" encoding="utf-8"?>
<ds:datastoreItem xmlns:ds="http://schemas.openxmlformats.org/officeDocument/2006/customXml" ds:itemID="{AB45DFDD-6742-46C2-9CB1-3F7DC09514FA}"/>
</file>

<file path=customXml/itemProps3.xml><?xml version="1.0" encoding="utf-8"?>
<ds:datastoreItem xmlns:ds="http://schemas.openxmlformats.org/officeDocument/2006/customXml" ds:itemID="{49F61628-EBE3-457C-8770-EF991B50833A}"/>
</file>

<file path=customXml/itemProps4.xml><?xml version="1.0" encoding="utf-8"?>
<ds:datastoreItem xmlns:ds="http://schemas.openxmlformats.org/officeDocument/2006/customXml" ds:itemID="{B6BD4A0F-FF6B-44A5-A9BB-FD2A5A2CD337}"/>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4505</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College voor de Rechten van de Mens</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Naber, J (Mensenrechten)</dc:creator>
  <cp:lastModifiedBy>Alina Grigoras</cp:lastModifiedBy>
  <cp:revision>2</cp:revision>
  <cp:lastPrinted>2016-10-13T09:51:00Z</cp:lastPrinted>
  <dcterms:created xsi:type="dcterms:W3CDTF">2016-11-01T17:35:00Z</dcterms:created>
  <dcterms:modified xsi:type="dcterms:W3CDTF">2016-11-01T17:35:00Z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3854500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