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Override7.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theme/theme1.xml" ContentType="application/vnd.openxmlformats-officedocument.theme+xml"/>
  <Override PartName="/word/theme/themeOverride2.xml" ContentType="application/vnd.openxmlformats-officedocument.themeOverride+xml"/>
  <Override PartName="/word/charts/chart2.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charts/chart6.xml" ContentType="application/vnd.openxmlformats-officedocument.drawingml.chart+xml"/>
  <Override PartName="/word/charts/chart3.xml" ContentType="application/vnd.openxmlformats-officedocument.drawingml.chart+xml"/>
  <Override PartName="/word/theme/themeOverride5.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fontTable.xml" ContentType="application/vnd.openxmlformats-officedocument.wordprocessingml.fontTable+xml"/>
  <Override PartName="/word/stylesWithEffects.xml" ContentType="application/vnd.ms-word.stylesWithEffects+xml"/>
  <Override PartName="/word/glossary/styles.xml" ContentType="application/vnd.openxmlformats-officedocument.wordprocessingml.styles+xml"/>
  <Override PartName="/word/glossary/stylesWithEffects.xml" ContentType="application/vnd.ms-word.stylesWithEffects+xml"/>
  <Override PartName="/word/webSettings.xml" ContentType="application/vnd.openxmlformats-officedocument.wordprocessingml.webSettings+xml"/>
  <Override PartName="/word/numbering.xml" ContentType="application/vnd.openxmlformats-officedocument.wordprocessingml.numbering+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glossary/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50A" w:rsidRPr="004B026D" w:rsidRDefault="0038150A" w:rsidP="0038150A">
      <w:pPr>
        <w:rPr>
          <w:b/>
          <w:bCs/>
        </w:rPr>
      </w:pPr>
      <w:bookmarkStart w:id="0" w:name="_GoBack"/>
      <w:bookmarkEnd w:id="0"/>
    </w:p>
    <w:p w:rsidR="0038150A" w:rsidRPr="004B026D" w:rsidRDefault="0038150A" w:rsidP="0038150A">
      <w:pPr>
        <w:spacing w:after="200" w:line="276" w:lineRule="auto"/>
        <w:jc w:val="both"/>
        <w:rPr>
          <w:rFonts w:asciiTheme="majorBidi" w:eastAsia="Calibri" w:hAnsiTheme="majorBidi" w:cstheme="majorBidi"/>
          <w:b/>
          <w:bCs/>
          <w:sz w:val="26"/>
          <w:szCs w:val="26"/>
        </w:rPr>
      </w:pPr>
      <w:r w:rsidRPr="004B026D">
        <w:rPr>
          <w:rFonts w:asciiTheme="majorBidi" w:eastAsia="Calibri" w:hAnsiTheme="majorBidi" w:cstheme="majorBidi"/>
          <w:b/>
          <w:bCs/>
          <w:sz w:val="26"/>
          <w:szCs w:val="26"/>
        </w:rPr>
        <w:t>Q 1: Please provide information on the following services that are available for persons with disabilities (P</w:t>
      </w:r>
      <w:r>
        <w:rPr>
          <w:rFonts w:asciiTheme="majorBidi" w:eastAsia="Calibri" w:hAnsiTheme="majorBidi" w:cstheme="majorBidi"/>
          <w:b/>
          <w:bCs/>
          <w:sz w:val="26"/>
          <w:szCs w:val="26"/>
        </w:rPr>
        <w:t>W</w:t>
      </w:r>
      <w:r w:rsidRPr="004B026D">
        <w:rPr>
          <w:rFonts w:asciiTheme="majorBidi" w:eastAsia="Calibri" w:hAnsiTheme="majorBidi" w:cstheme="majorBidi"/>
          <w:b/>
          <w:bCs/>
          <w:sz w:val="26"/>
          <w:szCs w:val="26"/>
        </w:rPr>
        <w:t>D) in your country, including data on their coverage, geographic distribution and delivery arrangements, funding and sustainability, challenges and shortcoming in their implementation:</w:t>
      </w:r>
    </w:p>
    <w:p w:rsidR="0038150A" w:rsidRPr="004B026D" w:rsidRDefault="0038150A" w:rsidP="0038150A">
      <w:pPr>
        <w:numPr>
          <w:ilvl w:val="0"/>
          <w:numId w:val="1"/>
        </w:numPr>
        <w:spacing w:after="200" w:line="276" w:lineRule="auto"/>
        <w:contextualSpacing/>
        <w:jc w:val="both"/>
        <w:rPr>
          <w:rFonts w:asciiTheme="majorBidi" w:eastAsia="Calibri" w:hAnsiTheme="majorBidi" w:cstheme="majorBidi"/>
          <w:b/>
          <w:bCs/>
          <w:sz w:val="26"/>
          <w:szCs w:val="26"/>
        </w:rPr>
      </w:pPr>
      <w:r w:rsidRPr="004B026D">
        <w:rPr>
          <w:rFonts w:asciiTheme="majorBidi" w:eastAsia="Calibri" w:hAnsiTheme="majorBidi" w:cstheme="majorBidi"/>
          <w:b/>
          <w:bCs/>
          <w:sz w:val="26"/>
          <w:szCs w:val="26"/>
        </w:rPr>
        <w:t>Personal assistance;</w:t>
      </w:r>
    </w:p>
    <w:p w:rsidR="0038150A" w:rsidRPr="004B026D" w:rsidRDefault="0038150A" w:rsidP="0038150A">
      <w:pPr>
        <w:numPr>
          <w:ilvl w:val="0"/>
          <w:numId w:val="1"/>
        </w:numPr>
        <w:spacing w:after="200" w:line="276" w:lineRule="auto"/>
        <w:contextualSpacing/>
        <w:jc w:val="both"/>
        <w:rPr>
          <w:rFonts w:asciiTheme="majorBidi" w:eastAsia="Calibri" w:hAnsiTheme="majorBidi" w:cstheme="majorBidi"/>
          <w:b/>
          <w:bCs/>
          <w:sz w:val="26"/>
          <w:szCs w:val="26"/>
        </w:rPr>
      </w:pPr>
      <w:r w:rsidRPr="004B026D">
        <w:rPr>
          <w:rFonts w:asciiTheme="majorBidi" w:eastAsia="Calibri" w:hAnsiTheme="majorBidi" w:cstheme="majorBidi"/>
          <w:b/>
          <w:bCs/>
          <w:sz w:val="26"/>
          <w:szCs w:val="26"/>
        </w:rPr>
        <w:t>In-home, residential and community support;</w:t>
      </w:r>
    </w:p>
    <w:p w:rsidR="0038150A" w:rsidRPr="004B026D" w:rsidRDefault="0038150A" w:rsidP="0038150A">
      <w:pPr>
        <w:numPr>
          <w:ilvl w:val="0"/>
          <w:numId w:val="1"/>
        </w:numPr>
        <w:spacing w:after="200" w:line="276" w:lineRule="auto"/>
        <w:contextualSpacing/>
        <w:jc w:val="both"/>
        <w:rPr>
          <w:rFonts w:asciiTheme="majorBidi" w:eastAsia="Calibri" w:hAnsiTheme="majorBidi" w:cstheme="majorBidi"/>
          <w:b/>
          <w:bCs/>
          <w:sz w:val="26"/>
          <w:szCs w:val="26"/>
        </w:rPr>
      </w:pPr>
      <w:r w:rsidRPr="004B026D">
        <w:rPr>
          <w:rFonts w:asciiTheme="majorBidi" w:eastAsia="Calibri" w:hAnsiTheme="majorBidi" w:cstheme="majorBidi"/>
          <w:b/>
          <w:bCs/>
          <w:sz w:val="26"/>
          <w:szCs w:val="26"/>
        </w:rPr>
        <w:t xml:space="preserve">Support in decision-making, including peer support; and </w:t>
      </w:r>
    </w:p>
    <w:p w:rsidR="0038150A" w:rsidRPr="004B026D" w:rsidRDefault="0038150A" w:rsidP="0038150A">
      <w:pPr>
        <w:numPr>
          <w:ilvl w:val="0"/>
          <w:numId w:val="1"/>
        </w:numPr>
        <w:spacing w:after="200" w:line="276" w:lineRule="auto"/>
        <w:contextualSpacing/>
        <w:jc w:val="both"/>
        <w:rPr>
          <w:rFonts w:asciiTheme="majorBidi" w:eastAsia="Calibri" w:hAnsiTheme="majorBidi" w:cstheme="majorBidi"/>
          <w:b/>
          <w:bCs/>
          <w:sz w:val="26"/>
          <w:szCs w:val="26"/>
        </w:rPr>
      </w:pPr>
      <w:r w:rsidRPr="004B026D">
        <w:rPr>
          <w:rFonts w:asciiTheme="majorBidi" w:eastAsia="Calibri" w:hAnsiTheme="majorBidi" w:cstheme="majorBidi"/>
          <w:b/>
          <w:bCs/>
          <w:sz w:val="26"/>
          <w:szCs w:val="26"/>
        </w:rPr>
        <w:t>Communication support, including support for augmentative and alternative communication</w:t>
      </w:r>
    </w:p>
    <w:p w:rsidR="0038150A" w:rsidRDefault="0038150A" w:rsidP="0038150A">
      <w:pPr>
        <w:pStyle w:val="ListParagraph"/>
        <w:numPr>
          <w:ilvl w:val="0"/>
          <w:numId w:val="2"/>
        </w:numPr>
        <w:jc w:val="both"/>
        <w:rPr>
          <w:rFonts w:asciiTheme="majorBidi" w:hAnsiTheme="majorBidi" w:cstheme="majorBidi"/>
          <w:sz w:val="26"/>
          <w:szCs w:val="26"/>
        </w:rPr>
      </w:pPr>
      <w:r>
        <w:rPr>
          <w:rFonts w:asciiTheme="majorBidi" w:hAnsiTheme="majorBidi" w:cstheme="majorBidi"/>
          <w:sz w:val="26"/>
          <w:szCs w:val="26"/>
        </w:rPr>
        <w:t>According to the last national survey, done by the Palestinian Central Bureau of statistics (PCBS), published in 2011, about 300.000 Palestinians or 7% of the total population in the West Bank and Gaza Strip are living with disability. Some of which are a direct consequence of violence inflicted by Israeli settlers, police or the army.</w:t>
      </w:r>
    </w:p>
    <w:p w:rsidR="0038150A" w:rsidRDefault="0038150A" w:rsidP="0038150A">
      <w:pPr>
        <w:pStyle w:val="ListParagraph"/>
        <w:numPr>
          <w:ilvl w:val="0"/>
          <w:numId w:val="2"/>
        </w:numPr>
        <w:jc w:val="both"/>
        <w:rPr>
          <w:rFonts w:asciiTheme="majorBidi" w:hAnsiTheme="majorBidi" w:cstheme="majorBidi"/>
          <w:sz w:val="26"/>
          <w:szCs w:val="26"/>
        </w:rPr>
      </w:pPr>
      <w:r>
        <w:rPr>
          <w:rFonts w:asciiTheme="majorBidi" w:hAnsiTheme="majorBidi" w:cstheme="majorBidi"/>
          <w:sz w:val="26"/>
          <w:szCs w:val="26"/>
        </w:rPr>
        <w:t>The State of Palestine has taken a number of legislative and policy steps that indicate commitment to advancing the rights of persons with disabilities and reducing barriers experienced by persons with disabilities (PWDs) by:</w:t>
      </w:r>
    </w:p>
    <w:p w:rsidR="0038150A" w:rsidRDefault="0038150A" w:rsidP="0038150A">
      <w:pPr>
        <w:pStyle w:val="ListParagraph"/>
        <w:numPr>
          <w:ilvl w:val="3"/>
          <w:numId w:val="1"/>
        </w:numPr>
        <w:jc w:val="both"/>
        <w:rPr>
          <w:rFonts w:asciiTheme="majorBidi" w:hAnsiTheme="majorBidi" w:cstheme="majorBidi"/>
          <w:sz w:val="26"/>
          <w:szCs w:val="26"/>
        </w:rPr>
      </w:pPr>
      <w:r>
        <w:rPr>
          <w:rFonts w:asciiTheme="majorBidi" w:hAnsiTheme="majorBidi" w:cstheme="majorBidi"/>
          <w:sz w:val="26"/>
          <w:szCs w:val="26"/>
        </w:rPr>
        <w:t>Article 9 of the 2003 Palestinian amended basic law, recognizes the right of all Palestinians to equality before the law and judiciary without distinction based on disability. Article 22 commits the National Authority to providing education services, health and social assurance to the families of disabled persons.</w:t>
      </w:r>
    </w:p>
    <w:p w:rsidR="0038150A" w:rsidRDefault="0038150A" w:rsidP="0038150A">
      <w:pPr>
        <w:pStyle w:val="ListParagraph"/>
        <w:numPr>
          <w:ilvl w:val="3"/>
          <w:numId w:val="1"/>
        </w:numPr>
        <w:jc w:val="both"/>
        <w:rPr>
          <w:rFonts w:asciiTheme="majorBidi" w:hAnsiTheme="majorBidi" w:cstheme="majorBidi"/>
          <w:sz w:val="26"/>
          <w:szCs w:val="26"/>
        </w:rPr>
      </w:pPr>
      <w:r w:rsidRPr="00581617">
        <w:rPr>
          <w:rFonts w:asciiTheme="majorBidi" w:hAnsiTheme="majorBidi" w:cstheme="majorBidi"/>
          <w:sz w:val="26"/>
          <w:szCs w:val="26"/>
        </w:rPr>
        <w:t xml:space="preserve">The Palestinian Disability law No 4 for the year 1999, </w:t>
      </w:r>
      <w:r>
        <w:rPr>
          <w:rFonts w:asciiTheme="majorBidi" w:hAnsiTheme="majorBidi" w:cstheme="majorBidi"/>
          <w:sz w:val="26"/>
          <w:szCs w:val="26"/>
        </w:rPr>
        <w:t xml:space="preserve">provides the persons with disabilities, the right to equality before the law and to non-discrimination, it provides them also the right to housing, to health care, and to travel, to </w:t>
      </w:r>
      <w:r>
        <w:rPr>
          <w:rFonts w:asciiTheme="majorBidi" w:hAnsiTheme="majorBidi" w:cstheme="majorBidi"/>
          <w:sz w:val="26"/>
          <w:szCs w:val="26"/>
        </w:rPr>
        <w:lastRenderedPageBreak/>
        <w:t xml:space="preserve">work, the right to participate in cultural life and sport.  </w:t>
      </w:r>
      <w:r w:rsidRPr="00581617">
        <w:rPr>
          <w:rFonts w:asciiTheme="majorBidi" w:hAnsiTheme="majorBidi" w:cstheme="majorBidi"/>
          <w:sz w:val="26"/>
          <w:szCs w:val="26"/>
        </w:rPr>
        <w:t>Concerning Disabled persons,</w:t>
      </w:r>
      <w:r>
        <w:rPr>
          <w:rFonts w:asciiTheme="majorBidi" w:hAnsiTheme="majorBidi" w:cstheme="majorBidi"/>
          <w:sz w:val="26"/>
          <w:szCs w:val="26"/>
        </w:rPr>
        <w:t xml:space="preserve"> </w:t>
      </w:r>
      <w:r w:rsidRPr="00581617">
        <w:rPr>
          <w:rFonts w:asciiTheme="majorBidi" w:hAnsiTheme="majorBidi" w:cstheme="majorBidi"/>
          <w:sz w:val="26"/>
          <w:szCs w:val="26"/>
        </w:rPr>
        <w:t>the ministries of social affairs, health, education, labor, youth and sports and other relevant agencies</w:t>
      </w:r>
      <w:r>
        <w:rPr>
          <w:rFonts w:asciiTheme="majorBidi" w:hAnsiTheme="majorBidi" w:cstheme="majorBidi"/>
          <w:sz w:val="26"/>
          <w:szCs w:val="26"/>
        </w:rPr>
        <w:t xml:space="preserve"> are required</w:t>
      </w:r>
      <w:r w:rsidRPr="00581617">
        <w:rPr>
          <w:rFonts w:asciiTheme="majorBidi" w:hAnsiTheme="majorBidi" w:cstheme="majorBidi"/>
          <w:sz w:val="26"/>
          <w:szCs w:val="26"/>
        </w:rPr>
        <w:t xml:space="preserve"> to ensure that their services equally made available for all disabled persons.</w:t>
      </w:r>
    </w:p>
    <w:p w:rsidR="0038150A" w:rsidRDefault="0038150A" w:rsidP="0038150A">
      <w:pPr>
        <w:pStyle w:val="ListParagraph"/>
        <w:numPr>
          <w:ilvl w:val="3"/>
          <w:numId w:val="1"/>
        </w:numPr>
        <w:jc w:val="both"/>
        <w:rPr>
          <w:rFonts w:asciiTheme="majorBidi" w:hAnsiTheme="majorBidi" w:cstheme="majorBidi"/>
          <w:sz w:val="26"/>
          <w:szCs w:val="26"/>
        </w:rPr>
      </w:pPr>
      <w:r>
        <w:rPr>
          <w:rFonts w:asciiTheme="majorBidi" w:hAnsiTheme="majorBidi" w:cstheme="majorBidi"/>
          <w:sz w:val="26"/>
          <w:szCs w:val="26"/>
        </w:rPr>
        <w:t>A Presidential Decree was issued in 2004 calling for the establishment of a higher council for the affairs of persons with disabilities, to oversee the implementation of the 1999 law as well as other legal provisions relating to disability.</w:t>
      </w:r>
    </w:p>
    <w:p w:rsidR="0038150A" w:rsidRDefault="0038150A" w:rsidP="0038150A">
      <w:pPr>
        <w:pStyle w:val="ListParagraph"/>
        <w:numPr>
          <w:ilvl w:val="3"/>
          <w:numId w:val="1"/>
        </w:numPr>
        <w:jc w:val="both"/>
        <w:rPr>
          <w:rFonts w:asciiTheme="majorBidi" w:hAnsiTheme="majorBidi" w:cstheme="majorBidi"/>
          <w:sz w:val="26"/>
          <w:szCs w:val="26"/>
        </w:rPr>
      </w:pPr>
      <w:r>
        <w:rPr>
          <w:rFonts w:asciiTheme="majorBidi" w:hAnsiTheme="majorBidi" w:cstheme="majorBidi"/>
          <w:sz w:val="26"/>
          <w:szCs w:val="26"/>
        </w:rPr>
        <w:t xml:space="preserve"> A National Strategic Framework for Disability was adopted in 2012; it considers disability as a prime development issue, based on the principle that persons with disabilities are entitled to their rights equally with all other citizens. It requires various government ministries to mainstream disability issues in their planning and programs.</w:t>
      </w:r>
    </w:p>
    <w:p w:rsidR="0038150A" w:rsidRDefault="0038150A" w:rsidP="0038150A">
      <w:pPr>
        <w:pStyle w:val="ListParagraph"/>
        <w:numPr>
          <w:ilvl w:val="3"/>
          <w:numId w:val="1"/>
        </w:numPr>
        <w:jc w:val="both"/>
        <w:rPr>
          <w:rFonts w:asciiTheme="majorBidi" w:hAnsiTheme="majorBidi" w:cstheme="majorBidi"/>
          <w:sz w:val="26"/>
          <w:szCs w:val="26"/>
        </w:rPr>
      </w:pPr>
      <w:r>
        <w:rPr>
          <w:rFonts w:asciiTheme="majorBidi" w:hAnsiTheme="majorBidi" w:cstheme="majorBidi"/>
          <w:sz w:val="26"/>
          <w:szCs w:val="26"/>
        </w:rPr>
        <w:t xml:space="preserve">The Palestinian National Development Plan for 2014 to 2016 includes priorities references to improving the social protection, security, access to justice opportunities of persons with disabilities. It commits itself to providing “sustainable, high quality, rights-based, social services, and specifically lists persons with disabilities amongst the intended beneficiaries. </w:t>
      </w:r>
    </w:p>
    <w:p w:rsidR="0038150A" w:rsidRPr="004738B8" w:rsidRDefault="0038150A" w:rsidP="0038150A">
      <w:pPr>
        <w:pStyle w:val="ListParagraph"/>
        <w:numPr>
          <w:ilvl w:val="3"/>
          <w:numId w:val="1"/>
        </w:numPr>
        <w:jc w:val="both"/>
        <w:rPr>
          <w:rFonts w:asciiTheme="majorBidi" w:hAnsiTheme="majorBidi" w:cstheme="majorBidi"/>
          <w:sz w:val="26"/>
          <w:szCs w:val="26"/>
        </w:rPr>
      </w:pPr>
      <w:r>
        <w:rPr>
          <w:rFonts w:asciiTheme="majorBidi" w:hAnsiTheme="majorBidi" w:cstheme="majorBidi"/>
          <w:sz w:val="26"/>
          <w:szCs w:val="26"/>
        </w:rPr>
        <w:t>The Palestinian Ministry of Education and higher Education Development Strategy Plan for 2014 -2019, Includes specific goals relating to students with special education needs, identifies the need for a more detailed and comprehensive policy pertaining to inclusive education for children with disabilities.</w:t>
      </w:r>
    </w:p>
    <w:p w:rsidR="0038150A" w:rsidRPr="00581617" w:rsidRDefault="0038150A" w:rsidP="0038150A">
      <w:pPr>
        <w:pStyle w:val="ListParagraph"/>
        <w:ind w:left="3240"/>
        <w:jc w:val="both"/>
        <w:rPr>
          <w:rFonts w:asciiTheme="majorBidi" w:hAnsiTheme="majorBidi" w:cstheme="majorBidi"/>
          <w:sz w:val="26"/>
          <w:szCs w:val="26"/>
        </w:rPr>
      </w:pPr>
    </w:p>
    <w:p w:rsidR="0038150A" w:rsidRDefault="0038150A" w:rsidP="0038150A">
      <w:pPr>
        <w:pStyle w:val="ListParagraph"/>
        <w:numPr>
          <w:ilvl w:val="0"/>
          <w:numId w:val="3"/>
        </w:numPr>
        <w:jc w:val="both"/>
        <w:rPr>
          <w:rFonts w:asciiTheme="majorBidi" w:hAnsiTheme="majorBidi" w:cstheme="majorBidi"/>
          <w:sz w:val="26"/>
          <w:szCs w:val="26"/>
        </w:rPr>
      </w:pPr>
      <w:r w:rsidRPr="004738B8">
        <w:rPr>
          <w:rFonts w:asciiTheme="majorBidi" w:hAnsiTheme="majorBidi" w:cstheme="majorBidi"/>
          <w:sz w:val="26"/>
          <w:szCs w:val="26"/>
        </w:rPr>
        <w:t xml:space="preserve">The Ministry of </w:t>
      </w:r>
      <w:r>
        <w:rPr>
          <w:rFonts w:asciiTheme="majorBidi" w:hAnsiTheme="majorBidi" w:cstheme="majorBidi"/>
          <w:sz w:val="26"/>
          <w:szCs w:val="26"/>
        </w:rPr>
        <w:t>S</w:t>
      </w:r>
      <w:r w:rsidRPr="004738B8">
        <w:rPr>
          <w:rFonts w:asciiTheme="majorBidi" w:hAnsiTheme="majorBidi" w:cstheme="majorBidi"/>
          <w:sz w:val="26"/>
          <w:szCs w:val="26"/>
        </w:rPr>
        <w:t xml:space="preserve">ocial </w:t>
      </w:r>
      <w:r>
        <w:rPr>
          <w:rFonts w:asciiTheme="majorBidi" w:hAnsiTheme="majorBidi" w:cstheme="majorBidi"/>
          <w:sz w:val="26"/>
          <w:szCs w:val="26"/>
        </w:rPr>
        <w:t>D</w:t>
      </w:r>
      <w:r w:rsidRPr="004738B8">
        <w:rPr>
          <w:rFonts w:asciiTheme="majorBidi" w:hAnsiTheme="majorBidi" w:cstheme="majorBidi"/>
          <w:sz w:val="26"/>
          <w:szCs w:val="26"/>
        </w:rPr>
        <w:t xml:space="preserve">evelopment </w:t>
      </w:r>
      <w:r>
        <w:rPr>
          <w:rFonts w:asciiTheme="majorBidi" w:hAnsiTheme="majorBidi" w:cstheme="majorBidi"/>
          <w:sz w:val="26"/>
          <w:szCs w:val="26"/>
        </w:rPr>
        <w:t xml:space="preserve">has a </w:t>
      </w:r>
      <w:r w:rsidRPr="004738B8">
        <w:rPr>
          <w:rFonts w:asciiTheme="majorBidi" w:hAnsiTheme="majorBidi" w:cstheme="majorBidi"/>
          <w:sz w:val="26"/>
          <w:szCs w:val="26"/>
        </w:rPr>
        <w:t xml:space="preserve">general directorate for persons with disability affairs; it has divisions for disabled persons within each of its district offices. There are currently 2-3 full time staff members/ social workers assigned to support disabled persons in accessing services and rights through government programs and schemes. They are responsible for overseeing the delivery of rehabilitative services for persons with disability. </w:t>
      </w:r>
      <w:proofErr w:type="gramStart"/>
      <w:r w:rsidRPr="004738B8">
        <w:rPr>
          <w:rFonts w:asciiTheme="majorBidi" w:hAnsiTheme="majorBidi" w:cstheme="majorBidi"/>
          <w:sz w:val="26"/>
          <w:szCs w:val="26"/>
        </w:rPr>
        <w:t>Which includes a number of services, activities and social, psychological, medical, educational, and professional support that enable disabled persons to live their life independen</w:t>
      </w:r>
      <w:r>
        <w:rPr>
          <w:rFonts w:asciiTheme="majorBidi" w:hAnsiTheme="majorBidi" w:cstheme="majorBidi"/>
          <w:sz w:val="26"/>
          <w:szCs w:val="26"/>
        </w:rPr>
        <w:t>tly and</w:t>
      </w:r>
      <w:r w:rsidRPr="004738B8">
        <w:rPr>
          <w:rFonts w:asciiTheme="majorBidi" w:hAnsiTheme="majorBidi" w:cstheme="majorBidi"/>
          <w:sz w:val="26"/>
          <w:szCs w:val="26"/>
        </w:rPr>
        <w:t xml:space="preserve"> with dignity.</w:t>
      </w:r>
      <w:proofErr w:type="gramEnd"/>
      <w:r w:rsidRPr="004738B8">
        <w:rPr>
          <w:rFonts w:asciiTheme="majorBidi" w:hAnsiTheme="majorBidi" w:cstheme="majorBidi"/>
          <w:sz w:val="26"/>
          <w:szCs w:val="26"/>
        </w:rPr>
        <w:t xml:space="preserve"> </w:t>
      </w:r>
    </w:p>
    <w:p w:rsidR="0038150A" w:rsidRDefault="0038150A" w:rsidP="0038150A">
      <w:pPr>
        <w:pStyle w:val="ListParagraph"/>
        <w:numPr>
          <w:ilvl w:val="0"/>
          <w:numId w:val="3"/>
        </w:numPr>
        <w:jc w:val="both"/>
        <w:rPr>
          <w:rFonts w:asciiTheme="majorBidi" w:hAnsiTheme="majorBidi" w:cstheme="majorBidi"/>
          <w:sz w:val="26"/>
          <w:szCs w:val="26"/>
        </w:rPr>
      </w:pPr>
      <w:r w:rsidRPr="004738B8">
        <w:rPr>
          <w:rFonts w:asciiTheme="majorBidi" w:hAnsiTheme="majorBidi" w:cstheme="majorBidi"/>
          <w:sz w:val="26"/>
          <w:szCs w:val="26"/>
        </w:rPr>
        <w:lastRenderedPageBreak/>
        <w:t>The Ministry of Social Development is</w:t>
      </w:r>
      <w:r>
        <w:rPr>
          <w:rFonts w:asciiTheme="majorBidi" w:hAnsiTheme="majorBidi" w:cstheme="majorBidi"/>
          <w:sz w:val="26"/>
          <w:szCs w:val="26"/>
        </w:rPr>
        <w:t xml:space="preserve"> also</w:t>
      </w:r>
      <w:r w:rsidRPr="004738B8">
        <w:rPr>
          <w:rFonts w:asciiTheme="majorBidi" w:hAnsiTheme="majorBidi" w:cstheme="majorBidi"/>
          <w:sz w:val="26"/>
          <w:szCs w:val="26"/>
        </w:rPr>
        <w:t xml:space="preserve"> responsible for</w:t>
      </w:r>
      <w:r>
        <w:rPr>
          <w:rFonts w:asciiTheme="majorBidi" w:hAnsiTheme="majorBidi" w:cstheme="majorBidi"/>
          <w:sz w:val="26"/>
          <w:szCs w:val="26"/>
        </w:rPr>
        <w:t xml:space="preserve"> the</w:t>
      </w:r>
      <w:r w:rsidRPr="004738B8">
        <w:rPr>
          <w:rFonts w:asciiTheme="majorBidi" w:hAnsiTheme="majorBidi" w:cstheme="majorBidi"/>
          <w:sz w:val="26"/>
          <w:szCs w:val="26"/>
        </w:rPr>
        <w:t xml:space="preserve"> coordination with all stakeholders and other ministries to work on the care and rehabilitation of persons with disabilities by: </w:t>
      </w:r>
    </w:p>
    <w:p w:rsidR="0038150A" w:rsidRDefault="0038150A" w:rsidP="0038150A">
      <w:pPr>
        <w:pStyle w:val="ListParagraph"/>
        <w:numPr>
          <w:ilvl w:val="0"/>
          <w:numId w:val="5"/>
        </w:numPr>
        <w:jc w:val="both"/>
        <w:rPr>
          <w:rFonts w:asciiTheme="majorBidi" w:hAnsiTheme="majorBidi" w:cstheme="majorBidi"/>
          <w:sz w:val="26"/>
          <w:szCs w:val="26"/>
        </w:rPr>
      </w:pPr>
      <w:r w:rsidRPr="004738B8">
        <w:rPr>
          <w:rFonts w:asciiTheme="majorBidi" w:hAnsiTheme="majorBidi" w:cstheme="majorBidi"/>
          <w:sz w:val="26"/>
          <w:szCs w:val="26"/>
        </w:rPr>
        <w:t>Determi</w:t>
      </w:r>
      <w:r>
        <w:rPr>
          <w:rFonts w:asciiTheme="majorBidi" w:hAnsiTheme="majorBidi" w:cstheme="majorBidi"/>
          <w:sz w:val="26"/>
          <w:szCs w:val="26"/>
        </w:rPr>
        <w:t>ning</w:t>
      </w:r>
      <w:r w:rsidRPr="004738B8">
        <w:rPr>
          <w:rFonts w:asciiTheme="majorBidi" w:hAnsiTheme="majorBidi" w:cstheme="majorBidi"/>
          <w:sz w:val="26"/>
          <w:szCs w:val="26"/>
        </w:rPr>
        <w:t xml:space="preserve"> the nature, degree and the extent of the disability</w:t>
      </w:r>
      <w:r>
        <w:rPr>
          <w:rFonts w:asciiTheme="majorBidi" w:hAnsiTheme="majorBidi" w:cstheme="majorBidi"/>
          <w:sz w:val="26"/>
          <w:szCs w:val="26"/>
        </w:rPr>
        <w:t>;</w:t>
      </w:r>
    </w:p>
    <w:p w:rsidR="0038150A" w:rsidRDefault="0038150A" w:rsidP="0038150A">
      <w:pPr>
        <w:pStyle w:val="ListParagraph"/>
        <w:numPr>
          <w:ilvl w:val="0"/>
          <w:numId w:val="5"/>
        </w:numPr>
        <w:jc w:val="both"/>
        <w:rPr>
          <w:rFonts w:asciiTheme="majorBidi" w:hAnsiTheme="majorBidi" w:cstheme="majorBidi"/>
          <w:sz w:val="26"/>
          <w:szCs w:val="26"/>
        </w:rPr>
      </w:pPr>
      <w:r w:rsidRPr="004738B8">
        <w:rPr>
          <w:rFonts w:asciiTheme="majorBidi" w:hAnsiTheme="majorBidi" w:cstheme="majorBidi"/>
          <w:sz w:val="26"/>
          <w:szCs w:val="26"/>
        </w:rPr>
        <w:t xml:space="preserve"> Determin</w:t>
      </w:r>
      <w:r>
        <w:rPr>
          <w:rFonts w:asciiTheme="majorBidi" w:hAnsiTheme="majorBidi" w:cstheme="majorBidi"/>
          <w:sz w:val="26"/>
          <w:szCs w:val="26"/>
        </w:rPr>
        <w:t>ing</w:t>
      </w:r>
      <w:r w:rsidRPr="004738B8">
        <w:rPr>
          <w:rFonts w:asciiTheme="majorBidi" w:hAnsiTheme="majorBidi" w:cstheme="majorBidi"/>
          <w:sz w:val="26"/>
          <w:szCs w:val="26"/>
        </w:rPr>
        <w:t xml:space="preserve"> the extent of the</w:t>
      </w:r>
      <w:r>
        <w:rPr>
          <w:rFonts w:asciiTheme="majorBidi" w:hAnsiTheme="majorBidi" w:cstheme="majorBidi"/>
          <w:sz w:val="26"/>
          <w:szCs w:val="26"/>
        </w:rPr>
        <w:t xml:space="preserve"> impact the</w:t>
      </w:r>
      <w:r w:rsidRPr="004738B8">
        <w:rPr>
          <w:rFonts w:asciiTheme="majorBidi" w:hAnsiTheme="majorBidi" w:cstheme="majorBidi"/>
          <w:sz w:val="26"/>
          <w:szCs w:val="26"/>
        </w:rPr>
        <w:t xml:space="preserve"> disability</w:t>
      </w:r>
      <w:r>
        <w:rPr>
          <w:rFonts w:asciiTheme="majorBidi" w:hAnsiTheme="majorBidi" w:cstheme="majorBidi"/>
          <w:sz w:val="26"/>
          <w:szCs w:val="26"/>
        </w:rPr>
        <w:t xml:space="preserve"> has </w:t>
      </w:r>
      <w:r w:rsidRPr="004738B8">
        <w:rPr>
          <w:rFonts w:asciiTheme="majorBidi" w:hAnsiTheme="majorBidi" w:cstheme="majorBidi"/>
          <w:sz w:val="26"/>
          <w:szCs w:val="26"/>
        </w:rPr>
        <w:t>the family of the disabled person, and provide appropriate assistance</w:t>
      </w:r>
      <w:r>
        <w:rPr>
          <w:rFonts w:asciiTheme="majorBidi" w:hAnsiTheme="majorBidi" w:cstheme="majorBidi"/>
          <w:sz w:val="26"/>
          <w:szCs w:val="26"/>
        </w:rPr>
        <w:t>;</w:t>
      </w:r>
    </w:p>
    <w:p w:rsidR="0038150A" w:rsidRDefault="0038150A" w:rsidP="0038150A">
      <w:pPr>
        <w:pStyle w:val="ListParagraph"/>
        <w:numPr>
          <w:ilvl w:val="0"/>
          <w:numId w:val="5"/>
        </w:numPr>
        <w:jc w:val="both"/>
        <w:rPr>
          <w:rFonts w:asciiTheme="majorBidi" w:hAnsiTheme="majorBidi" w:cstheme="majorBidi"/>
          <w:sz w:val="26"/>
          <w:szCs w:val="26"/>
        </w:rPr>
      </w:pPr>
      <w:r w:rsidRPr="004738B8">
        <w:rPr>
          <w:rFonts w:asciiTheme="majorBidi" w:hAnsiTheme="majorBidi" w:cstheme="majorBidi"/>
          <w:sz w:val="26"/>
          <w:szCs w:val="26"/>
        </w:rPr>
        <w:t xml:space="preserve"> Provid</w:t>
      </w:r>
      <w:r>
        <w:rPr>
          <w:rFonts w:asciiTheme="majorBidi" w:hAnsiTheme="majorBidi" w:cstheme="majorBidi"/>
          <w:sz w:val="26"/>
          <w:szCs w:val="26"/>
        </w:rPr>
        <w:t>ing</w:t>
      </w:r>
      <w:r w:rsidRPr="004738B8">
        <w:rPr>
          <w:rFonts w:asciiTheme="majorBidi" w:hAnsiTheme="majorBidi" w:cstheme="majorBidi"/>
          <w:sz w:val="26"/>
          <w:szCs w:val="26"/>
        </w:rPr>
        <w:t xml:space="preserve"> special services to persons with disabilities in the area of care and relief, training and education and giv</w:t>
      </w:r>
      <w:r>
        <w:rPr>
          <w:rFonts w:asciiTheme="majorBidi" w:hAnsiTheme="majorBidi" w:cstheme="majorBidi"/>
          <w:sz w:val="26"/>
          <w:szCs w:val="26"/>
        </w:rPr>
        <w:t>ing</w:t>
      </w:r>
      <w:r w:rsidRPr="004738B8">
        <w:rPr>
          <w:rFonts w:asciiTheme="majorBidi" w:hAnsiTheme="majorBidi" w:cstheme="majorBidi"/>
          <w:sz w:val="26"/>
          <w:szCs w:val="26"/>
        </w:rPr>
        <w:t xml:space="preserve"> priorit</w:t>
      </w:r>
      <w:r>
        <w:rPr>
          <w:rFonts w:asciiTheme="majorBidi" w:hAnsiTheme="majorBidi" w:cstheme="majorBidi"/>
          <w:sz w:val="26"/>
          <w:szCs w:val="26"/>
        </w:rPr>
        <w:t>izing</w:t>
      </w:r>
      <w:r w:rsidRPr="004738B8">
        <w:rPr>
          <w:rFonts w:asciiTheme="majorBidi" w:hAnsiTheme="majorBidi" w:cstheme="majorBidi"/>
          <w:sz w:val="26"/>
          <w:szCs w:val="26"/>
        </w:rPr>
        <w:t xml:space="preserve"> to family development programs</w:t>
      </w:r>
      <w:r>
        <w:rPr>
          <w:rFonts w:asciiTheme="majorBidi" w:hAnsiTheme="majorBidi" w:cstheme="majorBidi"/>
          <w:sz w:val="26"/>
          <w:szCs w:val="26"/>
        </w:rPr>
        <w:t>;</w:t>
      </w:r>
    </w:p>
    <w:p w:rsidR="0038150A" w:rsidRDefault="0038150A" w:rsidP="0038150A">
      <w:pPr>
        <w:pStyle w:val="ListParagraph"/>
        <w:numPr>
          <w:ilvl w:val="0"/>
          <w:numId w:val="5"/>
        </w:numPr>
        <w:jc w:val="both"/>
        <w:rPr>
          <w:rFonts w:asciiTheme="majorBidi" w:hAnsiTheme="majorBidi" w:cstheme="majorBidi"/>
          <w:sz w:val="26"/>
          <w:szCs w:val="26"/>
        </w:rPr>
      </w:pPr>
      <w:r w:rsidRPr="004738B8">
        <w:rPr>
          <w:rFonts w:asciiTheme="majorBidi" w:hAnsiTheme="majorBidi" w:cstheme="majorBidi"/>
          <w:sz w:val="26"/>
          <w:szCs w:val="26"/>
        </w:rPr>
        <w:t>The provision of inpatient care and social services</w:t>
      </w:r>
      <w:r>
        <w:rPr>
          <w:rFonts w:asciiTheme="majorBidi" w:hAnsiTheme="majorBidi" w:cstheme="majorBidi"/>
          <w:sz w:val="26"/>
          <w:szCs w:val="26"/>
        </w:rPr>
        <w:t>,</w:t>
      </w:r>
      <w:r w:rsidRPr="004738B8">
        <w:rPr>
          <w:rFonts w:asciiTheme="majorBidi" w:hAnsiTheme="majorBidi" w:cstheme="majorBidi"/>
          <w:sz w:val="26"/>
          <w:szCs w:val="26"/>
        </w:rPr>
        <w:t xml:space="preserve"> for the severely disabled and </w:t>
      </w:r>
      <w:r>
        <w:rPr>
          <w:rFonts w:asciiTheme="majorBidi" w:hAnsiTheme="majorBidi" w:cstheme="majorBidi"/>
          <w:sz w:val="26"/>
          <w:szCs w:val="26"/>
        </w:rPr>
        <w:t xml:space="preserve">those </w:t>
      </w:r>
      <w:r w:rsidRPr="004738B8">
        <w:rPr>
          <w:rFonts w:asciiTheme="majorBidi" w:hAnsiTheme="majorBidi" w:cstheme="majorBidi"/>
          <w:sz w:val="26"/>
          <w:szCs w:val="26"/>
        </w:rPr>
        <w:t>who have no dependents.</w:t>
      </w:r>
    </w:p>
    <w:p w:rsidR="0038150A" w:rsidRDefault="0038150A" w:rsidP="0038150A">
      <w:pPr>
        <w:pStyle w:val="ListParagraph"/>
        <w:numPr>
          <w:ilvl w:val="0"/>
          <w:numId w:val="5"/>
        </w:numPr>
        <w:jc w:val="both"/>
        <w:rPr>
          <w:rFonts w:asciiTheme="majorBidi" w:hAnsiTheme="majorBidi" w:cstheme="majorBidi"/>
          <w:sz w:val="26"/>
          <w:szCs w:val="26"/>
        </w:rPr>
      </w:pPr>
      <w:r w:rsidRPr="004738B8">
        <w:rPr>
          <w:rFonts w:asciiTheme="majorBidi" w:hAnsiTheme="majorBidi" w:cstheme="majorBidi"/>
          <w:sz w:val="26"/>
          <w:szCs w:val="26"/>
        </w:rPr>
        <w:t>Support</w:t>
      </w:r>
      <w:r>
        <w:rPr>
          <w:rFonts w:asciiTheme="majorBidi" w:hAnsiTheme="majorBidi" w:cstheme="majorBidi"/>
          <w:sz w:val="26"/>
          <w:szCs w:val="26"/>
        </w:rPr>
        <w:t>ing</w:t>
      </w:r>
      <w:r w:rsidRPr="004738B8">
        <w:rPr>
          <w:rFonts w:asciiTheme="majorBidi" w:hAnsiTheme="majorBidi" w:cstheme="majorBidi"/>
          <w:sz w:val="26"/>
          <w:szCs w:val="26"/>
        </w:rPr>
        <w:t xml:space="preserve"> concerns protected programs.</w:t>
      </w:r>
    </w:p>
    <w:p w:rsidR="0038150A" w:rsidRDefault="0038150A" w:rsidP="0038150A">
      <w:pPr>
        <w:pStyle w:val="ListParagraph"/>
        <w:numPr>
          <w:ilvl w:val="0"/>
          <w:numId w:val="5"/>
        </w:numPr>
        <w:jc w:val="both"/>
        <w:rPr>
          <w:rFonts w:asciiTheme="majorBidi" w:hAnsiTheme="majorBidi" w:cstheme="majorBidi"/>
          <w:sz w:val="26"/>
          <w:szCs w:val="26"/>
        </w:rPr>
      </w:pPr>
      <w:r w:rsidRPr="004738B8">
        <w:rPr>
          <w:rFonts w:asciiTheme="majorBidi" w:hAnsiTheme="majorBidi" w:cstheme="majorBidi"/>
          <w:sz w:val="26"/>
          <w:szCs w:val="26"/>
        </w:rPr>
        <w:t>Issuing a disability card</w:t>
      </w:r>
      <w:r>
        <w:rPr>
          <w:rFonts w:asciiTheme="majorBidi" w:hAnsiTheme="majorBidi" w:cstheme="majorBidi"/>
          <w:sz w:val="26"/>
          <w:szCs w:val="26"/>
        </w:rPr>
        <w:t>.</w:t>
      </w:r>
      <w:r w:rsidRPr="001B4639">
        <w:rPr>
          <w:rFonts w:asciiTheme="majorBidi" w:hAnsiTheme="majorBidi" w:cstheme="majorBidi"/>
          <w:sz w:val="26"/>
          <w:szCs w:val="26"/>
        </w:rPr>
        <w:t xml:space="preserve"> </w:t>
      </w:r>
    </w:p>
    <w:p w:rsidR="0038150A" w:rsidRPr="00A4314C" w:rsidRDefault="0038150A" w:rsidP="0038150A">
      <w:pPr>
        <w:pStyle w:val="ListParagraph"/>
        <w:numPr>
          <w:ilvl w:val="0"/>
          <w:numId w:val="12"/>
        </w:numPr>
        <w:jc w:val="both"/>
        <w:rPr>
          <w:rFonts w:asciiTheme="majorBidi" w:hAnsiTheme="majorBidi" w:cstheme="majorBidi"/>
          <w:sz w:val="26"/>
          <w:szCs w:val="26"/>
        </w:rPr>
      </w:pPr>
      <w:r>
        <w:rPr>
          <w:rFonts w:asciiTheme="majorBidi" w:hAnsiTheme="majorBidi" w:cstheme="majorBidi"/>
          <w:sz w:val="26"/>
          <w:szCs w:val="26"/>
        </w:rPr>
        <w:t>Several line ministries provide services to people with disabilities, including the MOSA, MOH, MOE, MOL, MOT, and the ministry of Local Government (MOLG).</w:t>
      </w:r>
    </w:p>
    <w:p w:rsidR="0038150A" w:rsidRDefault="0038150A" w:rsidP="0038150A">
      <w:pPr>
        <w:pStyle w:val="ListParagraph"/>
        <w:numPr>
          <w:ilvl w:val="0"/>
          <w:numId w:val="10"/>
        </w:numPr>
        <w:jc w:val="both"/>
        <w:rPr>
          <w:rFonts w:asciiTheme="majorBidi" w:hAnsiTheme="majorBidi" w:cstheme="majorBidi"/>
          <w:sz w:val="26"/>
          <w:szCs w:val="26"/>
        </w:rPr>
      </w:pPr>
      <w:r>
        <w:rPr>
          <w:rFonts w:asciiTheme="majorBidi" w:hAnsiTheme="majorBidi" w:cstheme="majorBidi"/>
          <w:sz w:val="26"/>
          <w:szCs w:val="26"/>
        </w:rPr>
        <w:t>Through line ministries and government bodies, the Palestinian government has scored progress towards implementing priority policies associated with the strategic goals of the NDP 2014-2016.</w:t>
      </w:r>
    </w:p>
    <w:p w:rsidR="0038150A" w:rsidRDefault="0038150A" w:rsidP="0038150A">
      <w:pPr>
        <w:pStyle w:val="ListParagraph"/>
        <w:numPr>
          <w:ilvl w:val="0"/>
          <w:numId w:val="10"/>
        </w:numPr>
        <w:jc w:val="both"/>
        <w:rPr>
          <w:rFonts w:asciiTheme="majorBidi" w:hAnsiTheme="majorBidi" w:cstheme="majorBidi"/>
          <w:sz w:val="26"/>
          <w:szCs w:val="26"/>
        </w:rPr>
      </w:pPr>
      <w:r>
        <w:rPr>
          <w:rFonts w:asciiTheme="majorBidi" w:hAnsiTheme="majorBidi" w:cstheme="majorBidi"/>
          <w:sz w:val="26"/>
          <w:szCs w:val="26"/>
        </w:rPr>
        <w:t xml:space="preserve">Social Protection sector continue to develop integrated rights based social protection systems with a view to deliver high-quality services. These will ensure a decent life and allow opportunities for all citizens, particularly the poor, disabled, children, youth, women and the elderly. </w:t>
      </w:r>
    </w:p>
    <w:p w:rsidR="0038150A" w:rsidRDefault="0038150A" w:rsidP="0038150A">
      <w:pPr>
        <w:pStyle w:val="ListParagraph"/>
        <w:numPr>
          <w:ilvl w:val="0"/>
          <w:numId w:val="4"/>
        </w:numPr>
        <w:jc w:val="both"/>
        <w:rPr>
          <w:rFonts w:asciiTheme="majorBidi" w:hAnsiTheme="majorBidi" w:cstheme="majorBidi"/>
          <w:sz w:val="26"/>
          <w:szCs w:val="26"/>
        </w:rPr>
      </w:pPr>
      <w:r>
        <w:rPr>
          <w:rFonts w:asciiTheme="majorBidi" w:hAnsiTheme="majorBidi" w:cstheme="majorBidi"/>
          <w:sz w:val="26"/>
          <w:szCs w:val="26"/>
        </w:rPr>
        <w:t xml:space="preserve">Many civil society organizations provide a range of services to people with disabilities, including rehabilitation. These are the PRCS; Bethlehem Arab Society for rehabilitation (BASR), patient’s friends Society, </w:t>
      </w:r>
      <w:proofErr w:type="spellStart"/>
      <w:r>
        <w:rPr>
          <w:rFonts w:asciiTheme="majorBidi" w:hAnsiTheme="majorBidi" w:cstheme="majorBidi"/>
          <w:sz w:val="26"/>
          <w:szCs w:val="26"/>
        </w:rPr>
        <w:t>Abu.Raya</w:t>
      </w:r>
      <w:proofErr w:type="spellEnd"/>
      <w:r>
        <w:rPr>
          <w:rFonts w:asciiTheme="majorBidi" w:hAnsiTheme="majorBidi" w:cstheme="majorBidi"/>
          <w:sz w:val="26"/>
          <w:szCs w:val="26"/>
        </w:rPr>
        <w:t xml:space="preserve"> Rehabilitation center and community based Rehabilitation Program. </w:t>
      </w:r>
    </w:p>
    <w:p w:rsidR="0038150A" w:rsidRDefault="0038150A" w:rsidP="0038150A">
      <w:pPr>
        <w:pStyle w:val="ListParagraph"/>
        <w:numPr>
          <w:ilvl w:val="0"/>
          <w:numId w:val="4"/>
        </w:numPr>
        <w:jc w:val="both"/>
        <w:rPr>
          <w:rFonts w:asciiTheme="majorBidi" w:hAnsiTheme="majorBidi" w:cstheme="majorBidi"/>
          <w:sz w:val="26"/>
          <w:szCs w:val="26"/>
        </w:rPr>
      </w:pPr>
      <w:r>
        <w:rPr>
          <w:rFonts w:asciiTheme="majorBidi" w:hAnsiTheme="majorBidi" w:cstheme="majorBidi"/>
          <w:sz w:val="26"/>
          <w:szCs w:val="26"/>
        </w:rPr>
        <w:t xml:space="preserve">These institutions deliver a variety of services and programs to people with disabilities, particularly children, the elderly, the injured patients, children with growth disorders, and other need of rehabilitation services.  </w:t>
      </w:r>
    </w:p>
    <w:p w:rsidR="0038150A" w:rsidRDefault="0038150A" w:rsidP="0038150A">
      <w:pPr>
        <w:pStyle w:val="ListParagraph"/>
        <w:numPr>
          <w:ilvl w:val="0"/>
          <w:numId w:val="4"/>
        </w:numPr>
        <w:jc w:val="both"/>
        <w:rPr>
          <w:rFonts w:asciiTheme="majorBidi" w:hAnsiTheme="majorBidi" w:cstheme="majorBidi"/>
          <w:sz w:val="26"/>
          <w:szCs w:val="26"/>
        </w:rPr>
      </w:pPr>
      <w:r>
        <w:rPr>
          <w:rFonts w:asciiTheme="majorBidi" w:hAnsiTheme="majorBidi" w:cstheme="majorBidi"/>
          <w:sz w:val="26"/>
          <w:szCs w:val="26"/>
        </w:rPr>
        <w:t>The rights to personal assistance, in-home residential and community support, support in decision making and peer support, communication support, are all rights for disabled persons recognized in the national law for the rights of PWD, no 4 for the year 1999.</w:t>
      </w:r>
    </w:p>
    <w:p w:rsidR="0038150A" w:rsidRDefault="0038150A" w:rsidP="0038150A">
      <w:pPr>
        <w:pStyle w:val="ListParagraph"/>
        <w:numPr>
          <w:ilvl w:val="0"/>
          <w:numId w:val="4"/>
        </w:numPr>
        <w:jc w:val="both"/>
        <w:rPr>
          <w:rFonts w:asciiTheme="majorBidi" w:hAnsiTheme="majorBidi" w:cstheme="majorBidi"/>
          <w:sz w:val="26"/>
          <w:szCs w:val="26"/>
        </w:rPr>
      </w:pPr>
      <w:r>
        <w:rPr>
          <w:rFonts w:asciiTheme="majorBidi" w:hAnsiTheme="majorBidi" w:cstheme="majorBidi"/>
          <w:sz w:val="26"/>
          <w:szCs w:val="26"/>
        </w:rPr>
        <w:t xml:space="preserve">In the Gaza Strip, the </w:t>
      </w:r>
      <w:proofErr w:type="spellStart"/>
      <w:r>
        <w:rPr>
          <w:rFonts w:asciiTheme="majorBidi" w:hAnsiTheme="majorBidi" w:cstheme="majorBidi"/>
          <w:sz w:val="26"/>
          <w:szCs w:val="26"/>
        </w:rPr>
        <w:t>MoSA</w:t>
      </w:r>
      <w:proofErr w:type="spellEnd"/>
      <w:r>
        <w:rPr>
          <w:rFonts w:asciiTheme="majorBidi" w:hAnsiTheme="majorBidi" w:cstheme="majorBidi"/>
          <w:sz w:val="26"/>
          <w:szCs w:val="26"/>
        </w:rPr>
        <w:t xml:space="preserve"> Directorate General of people with Disabilities registered many achievements in 2015. In line with its annual Plan, the </w:t>
      </w:r>
      <w:proofErr w:type="spellStart"/>
      <w:r>
        <w:rPr>
          <w:rFonts w:asciiTheme="majorBidi" w:hAnsiTheme="majorBidi" w:cstheme="majorBidi"/>
          <w:sz w:val="26"/>
          <w:szCs w:val="26"/>
        </w:rPr>
        <w:t>MoSA</w:t>
      </w:r>
      <w:proofErr w:type="spellEnd"/>
      <w:r>
        <w:rPr>
          <w:rFonts w:asciiTheme="majorBidi" w:hAnsiTheme="majorBidi" w:cstheme="majorBidi"/>
          <w:sz w:val="26"/>
          <w:szCs w:val="26"/>
        </w:rPr>
        <w:t xml:space="preserve"> </w:t>
      </w:r>
      <w:r>
        <w:rPr>
          <w:rFonts w:asciiTheme="majorBidi" w:hAnsiTheme="majorBidi" w:cstheme="majorBidi"/>
          <w:sz w:val="26"/>
          <w:szCs w:val="26"/>
        </w:rPr>
        <w:lastRenderedPageBreak/>
        <w:t xml:space="preserve">embraced a variety of approaches designed to develop educational guidance and deliver services to students with disabilities. </w:t>
      </w:r>
    </w:p>
    <w:p w:rsidR="0038150A" w:rsidRDefault="0038150A" w:rsidP="0038150A">
      <w:pPr>
        <w:pStyle w:val="ListParagraph"/>
        <w:numPr>
          <w:ilvl w:val="0"/>
          <w:numId w:val="4"/>
        </w:numPr>
        <w:jc w:val="both"/>
        <w:rPr>
          <w:rFonts w:asciiTheme="majorBidi" w:hAnsiTheme="majorBidi" w:cstheme="majorBidi"/>
          <w:sz w:val="26"/>
          <w:szCs w:val="26"/>
        </w:rPr>
      </w:pPr>
      <w:r>
        <w:rPr>
          <w:rFonts w:asciiTheme="majorBidi" w:hAnsiTheme="majorBidi" w:cstheme="majorBidi"/>
          <w:sz w:val="26"/>
          <w:szCs w:val="26"/>
        </w:rPr>
        <w:t xml:space="preserve">Partnership agreements in Gaza Strip were also concluded, to enhance the education sector. The </w:t>
      </w:r>
      <w:proofErr w:type="spellStart"/>
      <w:r>
        <w:rPr>
          <w:rFonts w:asciiTheme="majorBidi" w:hAnsiTheme="majorBidi" w:cstheme="majorBidi"/>
          <w:sz w:val="26"/>
          <w:szCs w:val="26"/>
        </w:rPr>
        <w:t>MoE</w:t>
      </w:r>
      <w:proofErr w:type="spellEnd"/>
      <w:r>
        <w:rPr>
          <w:rFonts w:asciiTheme="majorBidi" w:hAnsiTheme="majorBidi" w:cstheme="majorBidi"/>
          <w:sz w:val="26"/>
          <w:szCs w:val="26"/>
        </w:rPr>
        <w:t xml:space="preserve"> signed an agreement with the Islamic Relief Palestine to provide psychosocial support and furnish </w:t>
      </w:r>
      <w:proofErr w:type="spellStart"/>
      <w:r>
        <w:rPr>
          <w:rFonts w:asciiTheme="majorBidi" w:hAnsiTheme="majorBidi" w:cstheme="majorBidi"/>
          <w:sz w:val="26"/>
          <w:szCs w:val="26"/>
        </w:rPr>
        <w:t>counselling</w:t>
      </w:r>
      <w:proofErr w:type="spellEnd"/>
      <w:r>
        <w:rPr>
          <w:rFonts w:asciiTheme="majorBidi" w:hAnsiTheme="majorBidi" w:cstheme="majorBidi"/>
          <w:sz w:val="26"/>
          <w:szCs w:val="26"/>
        </w:rPr>
        <w:t xml:space="preserve"> offices. In addition to an agreement with UNICEF to provide guidance and special education, a memorandum of understanding on comprehensive education was signed with the Palestinian Medical Relief Society (PMRS). </w:t>
      </w:r>
    </w:p>
    <w:p w:rsidR="0038150A" w:rsidRDefault="0038150A" w:rsidP="0038150A">
      <w:pPr>
        <w:pStyle w:val="ListParagraph"/>
        <w:numPr>
          <w:ilvl w:val="0"/>
          <w:numId w:val="4"/>
        </w:numPr>
        <w:jc w:val="both"/>
        <w:rPr>
          <w:rFonts w:asciiTheme="majorBidi" w:hAnsiTheme="majorBidi" w:cstheme="majorBidi"/>
          <w:sz w:val="26"/>
          <w:szCs w:val="26"/>
        </w:rPr>
      </w:pPr>
      <w:r>
        <w:rPr>
          <w:rFonts w:asciiTheme="majorBidi" w:hAnsiTheme="majorBidi" w:cstheme="majorBidi"/>
          <w:sz w:val="26"/>
          <w:szCs w:val="26"/>
        </w:rPr>
        <w:t xml:space="preserve">The </w:t>
      </w:r>
      <w:proofErr w:type="spellStart"/>
      <w:r>
        <w:rPr>
          <w:rFonts w:asciiTheme="majorBidi" w:hAnsiTheme="majorBidi" w:cstheme="majorBidi"/>
          <w:sz w:val="26"/>
          <w:szCs w:val="26"/>
        </w:rPr>
        <w:t>MoE</w:t>
      </w:r>
      <w:proofErr w:type="spellEnd"/>
      <w:r>
        <w:rPr>
          <w:rFonts w:asciiTheme="majorBidi" w:hAnsiTheme="majorBidi" w:cstheme="majorBidi"/>
          <w:sz w:val="26"/>
          <w:szCs w:val="26"/>
        </w:rPr>
        <w:t xml:space="preserve"> concluded an agreement with the center for mind-body medicine to implement the hope and healing programs, which targeted 400 students at the </w:t>
      </w:r>
      <w:proofErr w:type="spellStart"/>
      <w:r>
        <w:rPr>
          <w:rFonts w:asciiTheme="majorBidi" w:hAnsiTheme="majorBidi" w:cstheme="majorBidi"/>
          <w:sz w:val="26"/>
          <w:szCs w:val="26"/>
        </w:rPr>
        <w:t>Hittin</w:t>
      </w:r>
      <w:proofErr w:type="spellEnd"/>
      <w:r>
        <w:rPr>
          <w:rFonts w:asciiTheme="majorBidi" w:hAnsiTheme="majorBidi" w:cstheme="majorBidi"/>
          <w:sz w:val="26"/>
          <w:szCs w:val="26"/>
        </w:rPr>
        <w:t xml:space="preserve"> Secondary school in Eastern Gaza District Directorate of education. </w:t>
      </w:r>
    </w:p>
    <w:p w:rsidR="0038150A" w:rsidRPr="00642024" w:rsidRDefault="0038150A" w:rsidP="0038150A">
      <w:pPr>
        <w:pStyle w:val="ListParagraph"/>
        <w:numPr>
          <w:ilvl w:val="0"/>
          <w:numId w:val="4"/>
        </w:numPr>
        <w:jc w:val="both"/>
        <w:rPr>
          <w:rFonts w:asciiTheme="majorBidi" w:hAnsiTheme="majorBidi" w:cstheme="majorBidi"/>
          <w:sz w:val="26"/>
          <w:szCs w:val="26"/>
        </w:rPr>
      </w:pPr>
      <w:r>
        <w:rPr>
          <w:rFonts w:asciiTheme="majorBidi" w:hAnsiTheme="majorBidi" w:cstheme="majorBidi"/>
          <w:sz w:val="26"/>
          <w:szCs w:val="26"/>
        </w:rPr>
        <w:t xml:space="preserve">Another agreement was made with the Gaza community Mental Health program (GCMHP) to provide training to school </w:t>
      </w:r>
      <w:proofErr w:type="spellStart"/>
      <w:r>
        <w:rPr>
          <w:rFonts w:asciiTheme="majorBidi" w:hAnsiTheme="majorBidi" w:cstheme="majorBidi"/>
          <w:sz w:val="26"/>
          <w:szCs w:val="26"/>
        </w:rPr>
        <w:t>counsellors</w:t>
      </w:r>
      <w:proofErr w:type="spellEnd"/>
      <w:r>
        <w:rPr>
          <w:rFonts w:asciiTheme="majorBidi" w:hAnsiTheme="majorBidi" w:cstheme="majorBidi"/>
          <w:sz w:val="26"/>
          <w:szCs w:val="26"/>
        </w:rPr>
        <w:t xml:space="preserve"> and furnish advice units. </w:t>
      </w:r>
    </w:p>
    <w:p w:rsidR="0038150A" w:rsidRPr="005862C9" w:rsidRDefault="0038150A" w:rsidP="0038150A">
      <w:pPr>
        <w:pStyle w:val="ListParagraph"/>
        <w:jc w:val="both"/>
        <w:rPr>
          <w:rFonts w:asciiTheme="majorBidi" w:hAnsiTheme="majorBidi" w:cstheme="majorBidi"/>
          <w:sz w:val="26"/>
          <w:szCs w:val="26"/>
        </w:rPr>
      </w:pPr>
    </w:p>
    <w:p w:rsidR="0038150A" w:rsidRDefault="0038150A" w:rsidP="0038150A">
      <w:pPr>
        <w:pStyle w:val="ListParagraph"/>
        <w:numPr>
          <w:ilvl w:val="0"/>
          <w:numId w:val="4"/>
        </w:numPr>
        <w:jc w:val="both"/>
        <w:rPr>
          <w:rFonts w:asciiTheme="majorBidi" w:hAnsiTheme="majorBidi" w:cstheme="majorBidi"/>
          <w:sz w:val="26"/>
          <w:szCs w:val="26"/>
        </w:rPr>
      </w:pPr>
      <w:r w:rsidRPr="00C50E25">
        <w:rPr>
          <w:rFonts w:asciiTheme="majorBidi" w:hAnsiTheme="majorBidi" w:cstheme="majorBidi"/>
          <w:sz w:val="26"/>
          <w:szCs w:val="26"/>
        </w:rPr>
        <w:t xml:space="preserve">Personal assistance </w:t>
      </w:r>
      <w:r>
        <w:rPr>
          <w:rFonts w:asciiTheme="majorBidi" w:hAnsiTheme="majorBidi" w:cstheme="majorBidi"/>
          <w:sz w:val="26"/>
          <w:szCs w:val="26"/>
        </w:rPr>
        <w:t>is</w:t>
      </w:r>
      <w:r>
        <w:rPr>
          <w:rFonts w:asciiTheme="majorBidi" w:hAnsiTheme="majorBidi" w:cstheme="majorBidi" w:hint="cs"/>
          <w:sz w:val="26"/>
          <w:szCs w:val="26"/>
          <w:rtl/>
        </w:rPr>
        <w:t xml:space="preserve"> </w:t>
      </w:r>
      <w:r>
        <w:rPr>
          <w:rFonts w:asciiTheme="majorBidi" w:hAnsiTheme="majorBidi" w:cstheme="majorBidi"/>
          <w:sz w:val="26"/>
          <w:szCs w:val="26"/>
        </w:rPr>
        <w:t>being</w:t>
      </w:r>
      <w:r w:rsidRPr="00C50E25">
        <w:rPr>
          <w:rFonts w:asciiTheme="majorBidi" w:hAnsiTheme="majorBidi" w:cstheme="majorBidi"/>
          <w:sz w:val="26"/>
          <w:szCs w:val="26"/>
        </w:rPr>
        <w:t xml:space="preserve"> offered through families support for </w:t>
      </w:r>
      <w:proofErr w:type="spellStart"/>
      <w:r w:rsidRPr="00C50E25">
        <w:rPr>
          <w:rFonts w:asciiTheme="majorBidi" w:hAnsiTheme="majorBidi" w:cstheme="majorBidi"/>
          <w:sz w:val="26"/>
          <w:szCs w:val="26"/>
        </w:rPr>
        <w:t>PwD</w:t>
      </w:r>
      <w:proofErr w:type="spellEnd"/>
      <w:r>
        <w:rPr>
          <w:rFonts w:asciiTheme="majorBidi" w:hAnsiTheme="majorBidi" w:cstheme="majorBidi"/>
          <w:sz w:val="26"/>
          <w:szCs w:val="26"/>
        </w:rPr>
        <w:t>,</w:t>
      </w:r>
      <w:r w:rsidRPr="00C50E25">
        <w:rPr>
          <w:rFonts w:asciiTheme="majorBidi" w:hAnsiTheme="majorBidi" w:cstheme="majorBidi"/>
          <w:sz w:val="26"/>
          <w:szCs w:val="26"/>
        </w:rPr>
        <w:t xml:space="preserve"> and allocated for </w:t>
      </w:r>
      <w:proofErr w:type="spellStart"/>
      <w:r w:rsidRPr="00C50E25">
        <w:rPr>
          <w:rFonts w:asciiTheme="majorBidi" w:hAnsiTheme="majorBidi" w:cstheme="majorBidi"/>
          <w:sz w:val="26"/>
          <w:szCs w:val="26"/>
        </w:rPr>
        <w:t>PwD</w:t>
      </w:r>
      <w:proofErr w:type="spellEnd"/>
      <w:r w:rsidRPr="00C50E25">
        <w:rPr>
          <w:rFonts w:asciiTheme="majorBidi" w:hAnsiTheme="majorBidi" w:cstheme="majorBidi"/>
          <w:sz w:val="26"/>
          <w:szCs w:val="26"/>
        </w:rPr>
        <w:t xml:space="preserve"> that are employed by NGOs or INGOs.  There are no services related to in-home or residential care for </w:t>
      </w:r>
      <w:proofErr w:type="spellStart"/>
      <w:r w:rsidRPr="00C50E25">
        <w:rPr>
          <w:rFonts w:asciiTheme="majorBidi" w:hAnsiTheme="majorBidi" w:cstheme="majorBidi"/>
          <w:sz w:val="26"/>
          <w:szCs w:val="26"/>
        </w:rPr>
        <w:t>PwD</w:t>
      </w:r>
      <w:proofErr w:type="spellEnd"/>
      <w:r w:rsidRPr="00C50E25">
        <w:rPr>
          <w:rFonts w:asciiTheme="majorBidi" w:hAnsiTheme="majorBidi" w:cstheme="majorBidi"/>
          <w:sz w:val="26"/>
          <w:szCs w:val="26"/>
        </w:rPr>
        <w:t xml:space="preserve"> neither from the formal social nor from the health service providers. Services in this manner come from NGOs who are providing seasonal services through community based rehabilitation projects that have been offering community services for the last 24 years. </w:t>
      </w:r>
      <w:proofErr w:type="gramStart"/>
      <w:r w:rsidRPr="00C50E25">
        <w:rPr>
          <w:rFonts w:asciiTheme="majorBidi" w:hAnsiTheme="majorBidi" w:cstheme="majorBidi"/>
          <w:sz w:val="26"/>
          <w:szCs w:val="26"/>
        </w:rPr>
        <w:t>These services offered by NGOs at the community level has</w:t>
      </w:r>
      <w:proofErr w:type="gramEnd"/>
      <w:r w:rsidRPr="00C50E25">
        <w:rPr>
          <w:rFonts w:asciiTheme="majorBidi" w:hAnsiTheme="majorBidi" w:cstheme="majorBidi"/>
          <w:sz w:val="26"/>
          <w:szCs w:val="26"/>
        </w:rPr>
        <w:t xml:space="preserve"> no capacity in terms of budgets and assistive devices for communication and movement to cover all geographical areas and ages of </w:t>
      </w:r>
      <w:proofErr w:type="spellStart"/>
      <w:r w:rsidRPr="00C50E25">
        <w:rPr>
          <w:rFonts w:asciiTheme="majorBidi" w:hAnsiTheme="majorBidi" w:cstheme="majorBidi"/>
          <w:sz w:val="26"/>
          <w:szCs w:val="26"/>
        </w:rPr>
        <w:t>PwD</w:t>
      </w:r>
      <w:proofErr w:type="spellEnd"/>
      <w:r>
        <w:rPr>
          <w:rStyle w:val="FootnoteReference"/>
          <w:rFonts w:asciiTheme="majorBidi" w:hAnsiTheme="majorBidi" w:cstheme="majorBidi"/>
          <w:sz w:val="26"/>
          <w:szCs w:val="26"/>
        </w:rPr>
        <w:footnoteReference w:id="1"/>
      </w:r>
      <w:r w:rsidRPr="00C50E25">
        <w:rPr>
          <w:rFonts w:asciiTheme="majorBidi" w:hAnsiTheme="majorBidi" w:cstheme="majorBidi"/>
          <w:sz w:val="26"/>
          <w:szCs w:val="26"/>
        </w:rPr>
        <w:t xml:space="preserve">. </w:t>
      </w:r>
    </w:p>
    <w:p w:rsidR="0038150A" w:rsidRPr="0009052F" w:rsidRDefault="0038150A" w:rsidP="0038150A">
      <w:pPr>
        <w:pStyle w:val="ListParagraph"/>
        <w:rPr>
          <w:rFonts w:asciiTheme="majorBidi" w:hAnsiTheme="majorBidi" w:cstheme="majorBidi"/>
          <w:sz w:val="26"/>
          <w:szCs w:val="26"/>
        </w:rPr>
      </w:pPr>
    </w:p>
    <w:p w:rsidR="0038150A" w:rsidRPr="00642024" w:rsidRDefault="0038150A" w:rsidP="0038150A">
      <w:pPr>
        <w:ind w:left="360"/>
        <w:jc w:val="both"/>
        <w:rPr>
          <w:rFonts w:asciiTheme="majorBidi" w:hAnsiTheme="majorBidi" w:cstheme="majorBidi"/>
          <w:sz w:val="26"/>
          <w:szCs w:val="26"/>
        </w:rPr>
      </w:pPr>
    </w:p>
    <w:p w:rsidR="0038150A" w:rsidRPr="00D27F16" w:rsidRDefault="0038150A" w:rsidP="0038150A">
      <w:pPr>
        <w:ind w:left="360"/>
        <w:jc w:val="both"/>
        <w:rPr>
          <w:rFonts w:ascii="Sakkal Majalla" w:hAnsi="Sakkal Majalla" w:cs="Sakkal Majalla"/>
          <w:b/>
          <w:bCs/>
          <w:sz w:val="28"/>
          <w:szCs w:val="28"/>
        </w:rPr>
      </w:pPr>
      <w:r>
        <w:rPr>
          <w:noProof/>
          <w:lang w:val="en-GB" w:eastAsia="en-GB"/>
        </w:rPr>
        <w:lastRenderedPageBreak/>
        <w:drawing>
          <wp:anchor distT="0" distB="0" distL="114300" distR="114300" simplePos="0" relativeHeight="251659264" behindDoc="0" locked="0" layoutInCell="1" allowOverlap="1" wp14:anchorId="2B466BA3" wp14:editId="479C1DE4">
            <wp:simplePos x="0" y="0"/>
            <wp:positionH relativeFrom="margin">
              <wp:align>left</wp:align>
            </wp:positionH>
            <wp:positionV relativeFrom="page">
              <wp:posOffset>5070475</wp:posOffset>
            </wp:positionV>
            <wp:extent cx="6004560" cy="3413760"/>
            <wp:effectExtent l="0" t="0" r="15240" b="1524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Pr>
          <w:rFonts w:ascii="Sakkal Majalla" w:hAnsi="Sakkal Majalla" w:cs="Sakkal Majalla"/>
          <w:b/>
          <w:bCs/>
          <w:sz w:val="28"/>
          <w:szCs w:val="28"/>
        </w:rPr>
        <w:t>**</w:t>
      </w:r>
      <w:r w:rsidRPr="00D27F16">
        <w:rPr>
          <w:rFonts w:ascii="Sakkal Majalla" w:hAnsi="Sakkal Majalla" w:cs="Sakkal Majalla"/>
          <w:b/>
          <w:bCs/>
          <w:sz w:val="28"/>
          <w:szCs w:val="28"/>
        </w:rPr>
        <w:t xml:space="preserve">Geographical distribution of </w:t>
      </w:r>
      <w:proofErr w:type="spellStart"/>
      <w:r w:rsidRPr="00D27F16">
        <w:rPr>
          <w:rFonts w:ascii="Sakkal Majalla" w:hAnsi="Sakkal Majalla" w:cs="Sakkal Majalla"/>
          <w:b/>
          <w:bCs/>
          <w:sz w:val="28"/>
          <w:szCs w:val="28"/>
        </w:rPr>
        <w:t>PwD</w:t>
      </w:r>
      <w:proofErr w:type="spellEnd"/>
      <w:r w:rsidRPr="00D27F16">
        <w:rPr>
          <w:rFonts w:ascii="Sakkal Majalla" w:hAnsi="Sakkal Majalla" w:cs="Sakkal Majalla"/>
          <w:b/>
          <w:bCs/>
          <w:sz w:val="28"/>
          <w:szCs w:val="28"/>
        </w:rPr>
        <w:t xml:space="preserve"> in Palestine –2011</w:t>
      </w:r>
      <w:r>
        <w:rPr>
          <w:rStyle w:val="FootnoteReference"/>
          <w:rFonts w:ascii="Sakkal Majalla" w:hAnsi="Sakkal Majalla" w:cs="Sakkal Majalla"/>
          <w:b/>
          <w:bCs/>
          <w:sz w:val="28"/>
          <w:szCs w:val="28"/>
        </w:rPr>
        <w:footnoteReference w:id="2"/>
      </w:r>
    </w:p>
    <w:tbl>
      <w:tblPr>
        <w:tblStyle w:val="TableGrid"/>
        <w:tblW w:w="0" w:type="auto"/>
        <w:tblInd w:w="0" w:type="dxa"/>
        <w:tblLook w:val="04A0" w:firstRow="1" w:lastRow="0" w:firstColumn="1" w:lastColumn="0" w:noHBand="0" w:noVBand="1"/>
      </w:tblPr>
      <w:tblGrid>
        <w:gridCol w:w="4225"/>
        <w:gridCol w:w="1175"/>
        <w:gridCol w:w="1721"/>
        <w:gridCol w:w="1721"/>
      </w:tblGrid>
      <w:tr w:rsidR="0038150A" w:rsidTr="008504AD">
        <w:trPr>
          <w:trHeight w:val="391"/>
        </w:trPr>
        <w:tc>
          <w:tcPr>
            <w:tcW w:w="4225" w:type="dxa"/>
            <w:vMerge w:val="restart"/>
            <w:tcBorders>
              <w:top w:val="single" w:sz="4" w:space="0" w:color="auto"/>
              <w:left w:val="single" w:sz="4" w:space="0" w:color="auto"/>
              <w:bottom w:val="single" w:sz="4" w:space="0" w:color="auto"/>
              <w:right w:val="single" w:sz="4" w:space="0" w:color="auto"/>
            </w:tcBorders>
            <w:vAlign w:val="center"/>
            <w:hideMark/>
          </w:tcPr>
          <w:p w:rsidR="0038150A" w:rsidRDefault="0038150A" w:rsidP="008504AD">
            <w:pPr>
              <w:bidi/>
              <w:jc w:val="center"/>
              <w:rPr>
                <w:rFonts w:ascii="Sakkal Majalla" w:hAnsi="Sakkal Majalla" w:cs="Sakkal Majalla"/>
                <w:sz w:val="28"/>
                <w:szCs w:val="28"/>
              </w:rPr>
            </w:pPr>
            <w:r>
              <w:rPr>
                <w:rFonts w:ascii="Sakkal Majalla" w:hAnsi="Sakkal Majalla" w:cs="Sakkal Majalla"/>
                <w:sz w:val="28"/>
                <w:szCs w:val="28"/>
              </w:rPr>
              <w:t>Type of disability</w:t>
            </w:r>
          </w:p>
        </w:tc>
        <w:tc>
          <w:tcPr>
            <w:tcW w:w="4617" w:type="dxa"/>
            <w:gridSpan w:val="3"/>
            <w:tcBorders>
              <w:top w:val="single" w:sz="4" w:space="0" w:color="auto"/>
              <w:left w:val="single" w:sz="4" w:space="0" w:color="auto"/>
              <w:bottom w:val="single" w:sz="4" w:space="0" w:color="auto"/>
              <w:right w:val="single" w:sz="4" w:space="0" w:color="auto"/>
            </w:tcBorders>
            <w:hideMark/>
          </w:tcPr>
          <w:p w:rsidR="0038150A" w:rsidRDefault="0038150A" w:rsidP="008504AD">
            <w:pPr>
              <w:bidi/>
              <w:jc w:val="center"/>
              <w:rPr>
                <w:rFonts w:ascii="Sakkal Majalla" w:hAnsi="Sakkal Majalla" w:cs="Sakkal Majalla"/>
                <w:sz w:val="28"/>
                <w:szCs w:val="28"/>
                <w:rtl/>
              </w:rPr>
            </w:pPr>
            <w:r>
              <w:rPr>
                <w:rFonts w:ascii="Sakkal Majalla" w:hAnsi="Sakkal Majalla" w:cs="Sakkal Majalla"/>
                <w:sz w:val="28"/>
                <w:szCs w:val="28"/>
              </w:rPr>
              <w:t>Disability Prevalence rates according to the narrow definition of disability</w:t>
            </w:r>
          </w:p>
        </w:tc>
      </w:tr>
      <w:tr w:rsidR="0038150A" w:rsidTr="008504AD">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38150A" w:rsidRDefault="0038150A" w:rsidP="008504AD">
            <w:pPr>
              <w:rPr>
                <w:rFonts w:ascii="Sakkal Majalla" w:hAnsi="Sakkal Majalla" w:cs="Sakkal Majalla"/>
                <w:sz w:val="28"/>
                <w:szCs w:val="28"/>
              </w:rPr>
            </w:pPr>
          </w:p>
        </w:tc>
        <w:tc>
          <w:tcPr>
            <w:tcW w:w="1175" w:type="dxa"/>
            <w:tcBorders>
              <w:top w:val="single" w:sz="4" w:space="0" w:color="auto"/>
              <w:left w:val="single" w:sz="4" w:space="0" w:color="auto"/>
              <w:bottom w:val="single" w:sz="4" w:space="0" w:color="auto"/>
              <w:right w:val="single" w:sz="4" w:space="0" w:color="auto"/>
            </w:tcBorders>
            <w:vAlign w:val="center"/>
            <w:hideMark/>
          </w:tcPr>
          <w:p w:rsidR="0038150A" w:rsidRDefault="0038150A" w:rsidP="008504AD">
            <w:pPr>
              <w:bidi/>
              <w:jc w:val="center"/>
              <w:rPr>
                <w:rFonts w:ascii="Sakkal Majalla" w:hAnsi="Sakkal Majalla" w:cs="Sakkal Majalla"/>
                <w:sz w:val="28"/>
                <w:szCs w:val="28"/>
                <w:rtl/>
              </w:rPr>
            </w:pPr>
            <w:r>
              <w:rPr>
                <w:rFonts w:ascii="Sakkal Majalla" w:hAnsi="Sakkal Majalla" w:cs="Sakkal Majalla"/>
                <w:sz w:val="28"/>
                <w:szCs w:val="28"/>
              </w:rPr>
              <w:t>Palestinian Territories</w:t>
            </w:r>
          </w:p>
        </w:tc>
        <w:tc>
          <w:tcPr>
            <w:tcW w:w="1721" w:type="dxa"/>
            <w:tcBorders>
              <w:top w:val="single" w:sz="4" w:space="0" w:color="auto"/>
              <w:left w:val="single" w:sz="4" w:space="0" w:color="auto"/>
              <w:bottom w:val="single" w:sz="4" w:space="0" w:color="auto"/>
              <w:right w:val="single" w:sz="4" w:space="0" w:color="auto"/>
            </w:tcBorders>
            <w:vAlign w:val="center"/>
            <w:hideMark/>
          </w:tcPr>
          <w:p w:rsidR="0038150A" w:rsidRDefault="0038150A" w:rsidP="008504AD">
            <w:pPr>
              <w:bidi/>
              <w:jc w:val="center"/>
              <w:rPr>
                <w:rFonts w:ascii="Sakkal Majalla" w:hAnsi="Sakkal Majalla" w:cs="Sakkal Majalla"/>
                <w:sz w:val="28"/>
                <w:szCs w:val="28"/>
                <w:rtl/>
              </w:rPr>
            </w:pPr>
            <w:r>
              <w:rPr>
                <w:rFonts w:ascii="Sakkal Majalla" w:hAnsi="Sakkal Majalla" w:cs="Sakkal Majalla"/>
                <w:sz w:val="28"/>
                <w:szCs w:val="28"/>
              </w:rPr>
              <w:t>West Bank</w:t>
            </w:r>
          </w:p>
        </w:tc>
        <w:tc>
          <w:tcPr>
            <w:tcW w:w="1721" w:type="dxa"/>
            <w:tcBorders>
              <w:top w:val="single" w:sz="4" w:space="0" w:color="auto"/>
              <w:left w:val="single" w:sz="4" w:space="0" w:color="auto"/>
              <w:bottom w:val="single" w:sz="4" w:space="0" w:color="auto"/>
              <w:right w:val="single" w:sz="4" w:space="0" w:color="auto"/>
            </w:tcBorders>
            <w:vAlign w:val="center"/>
            <w:hideMark/>
          </w:tcPr>
          <w:p w:rsidR="0038150A" w:rsidRDefault="0038150A" w:rsidP="008504AD">
            <w:pPr>
              <w:bidi/>
              <w:jc w:val="center"/>
              <w:rPr>
                <w:rFonts w:ascii="Sakkal Majalla" w:hAnsi="Sakkal Majalla" w:cs="Sakkal Majalla"/>
                <w:sz w:val="28"/>
                <w:szCs w:val="28"/>
                <w:rtl/>
              </w:rPr>
            </w:pPr>
            <w:r>
              <w:rPr>
                <w:rFonts w:ascii="Sakkal Majalla" w:hAnsi="Sakkal Majalla" w:cs="Sakkal Majalla"/>
                <w:sz w:val="28"/>
                <w:szCs w:val="28"/>
              </w:rPr>
              <w:t>Gaza</w:t>
            </w:r>
          </w:p>
        </w:tc>
      </w:tr>
      <w:tr w:rsidR="0038150A" w:rsidTr="008504AD">
        <w:trPr>
          <w:trHeight w:val="391"/>
        </w:trPr>
        <w:tc>
          <w:tcPr>
            <w:tcW w:w="4225" w:type="dxa"/>
            <w:tcBorders>
              <w:top w:val="single" w:sz="4" w:space="0" w:color="auto"/>
              <w:left w:val="single" w:sz="4" w:space="0" w:color="auto"/>
              <w:bottom w:val="single" w:sz="4" w:space="0" w:color="auto"/>
              <w:right w:val="single" w:sz="4" w:space="0" w:color="auto"/>
            </w:tcBorders>
            <w:hideMark/>
          </w:tcPr>
          <w:p w:rsidR="0038150A" w:rsidRDefault="0038150A" w:rsidP="008504AD">
            <w:pPr>
              <w:rPr>
                <w:rFonts w:ascii="Sakkal Majalla" w:hAnsi="Sakkal Majalla" w:cs="Sakkal Majalla"/>
                <w:sz w:val="28"/>
                <w:szCs w:val="28"/>
                <w:rtl/>
              </w:rPr>
            </w:pPr>
            <w:r>
              <w:rPr>
                <w:rFonts w:ascii="Sakkal Majalla" w:hAnsi="Sakkal Majalla" w:cs="Sakkal Majalla"/>
                <w:sz w:val="28"/>
                <w:szCs w:val="28"/>
              </w:rPr>
              <w:t>Total of people with disabilities / difficulties</w:t>
            </w:r>
          </w:p>
        </w:tc>
        <w:tc>
          <w:tcPr>
            <w:tcW w:w="1175" w:type="dxa"/>
            <w:tcBorders>
              <w:top w:val="single" w:sz="4" w:space="0" w:color="auto"/>
              <w:left w:val="single" w:sz="4" w:space="0" w:color="auto"/>
              <w:bottom w:val="single" w:sz="4" w:space="0" w:color="auto"/>
              <w:right w:val="single" w:sz="4" w:space="0" w:color="auto"/>
            </w:tcBorders>
            <w:hideMark/>
          </w:tcPr>
          <w:p w:rsidR="0038150A" w:rsidRDefault="0038150A" w:rsidP="008504AD">
            <w:pPr>
              <w:bidi/>
              <w:jc w:val="center"/>
              <w:rPr>
                <w:rFonts w:ascii="Sakkal Majalla" w:hAnsi="Sakkal Majalla" w:cs="Sakkal Majalla"/>
                <w:sz w:val="28"/>
                <w:szCs w:val="28"/>
              </w:rPr>
            </w:pPr>
            <w:r>
              <w:rPr>
                <w:rFonts w:ascii="Sakkal Majalla" w:hAnsi="Sakkal Majalla" w:cs="Sakkal Majalla"/>
                <w:sz w:val="28"/>
                <w:szCs w:val="28"/>
                <w:rtl/>
              </w:rPr>
              <w:t>2.7</w:t>
            </w:r>
          </w:p>
        </w:tc>
        <w:tc>
          <w:tcPr>
            <w:tcW w:w="1721" w:type="dxa"/>
            <w:tcBorders>
              <w:top w:val="single" w:sz="4" w:space="0" w:color="auto"/>
              <w:left w:val="single" w:sz="4" w:space="0" w:color="auto"/>
              <w:bottom w:val="single" w:sz="4" w:space="0" w:color="auto"/>
              <w:right w:val="single" w:sz="4" w:space="0" w:color="auto"/>
            </w:tcBorders>
            <w:hideMark/>
          </w:tcPr>
          <w:p w:rsidR="0038150A" w:rsidRDefault="0038150A" w:rsidP="008504AD">
            <w:pPr>
              <w:bidi/>
              <w:jc w:val="center"/>
              <w:rPr>
                <w:rFonts w:ascii="Sakkal Majalla" w:hAnsi="Sakkal Majalla" w:cs="Sakkal Majalla"/>
                <w:sz w:val="28"/>
                <w:szCs w:val="28"/>
                <w:rtl/>
              </w:rPr>
            </w:pPr>
            <w:r>
              <w:rPr>
                <w:rFonts w:ascii="Sakkal Majalla" w:hAnsi="Sakkal Majalla" w:cs="Sakkal Majalla"/>
                <w:sz w:val="28"/>
                <w:szCs w:val="28"/>
                <w:rtl/>
              </w:rPr>
              <w:t>2.9</w:t>
            </w:r>
          </w:p>
        </w:tc>
        <w:tc>
          <w:tcPr>
            <w:tcW w:w="1721" w:type="dxa"/>
            <w:tcBorders>
              <w:top w:val="single" w:sz="4" w:space="0" w:color="auto"/>
              <w:left w:val="single" w:sz="4" w:space="0" w:color="auto"/>
              <w:bottom w:val="single" w:sz="4" w:space="0" w:color="auto"/>
              <w:right w:val="single" w:sz="4" w:space="0" w:color="auto"/>
            </w:tcBorders>
            <w:hideMark/>
          </w:tcPr>
          <w:p w:rsidR="0038150A" w:rsidRDefault="0038150A" w:rsidP="008504AD">
            <w:pPr>
              <w:bidi/>
              <w:jc w:val="center"/>
              <w:rPr>
                <w:rFonts w:ascii="Sakkal Majalla" w:hAnsi="Sakkal Majalla" w:cs="Sakkal Majalla"/>
                <w:sz w:val="28"/>
                <w:szCs w:val="28"/>
                <w:rtl/>
              </w:rPr>
            </w:pPr>
            <w:r>
              <w:rPr>
                <w:rFonts w:ascii="Sakkal Majalla" w:hAnsi="Sakkal Majalla" w:cs="Sakkal Majalla"/>
                <w:sz w:val="28"/>
                <w:szCs w:val="28"/>
                <w:rtl/>
              </w:rPr>
              <w:t>2.4</w:t>
            </w:r>
          </w:p>
        </w:tc>
      </w:tr>
      <w:tr w:rsidR="0038150A" w:rsidTr="008504AD">
        <w:trPr>
          <w:trHeight w:val="391"/>
        </w:trPr>
        <w:tc>
          <w:tcPr>
            <w:tcW w:w="4225" w:type="dxa"/>
            <w:tcBorders>
              <w:top w:val="single" w:sz="4" w:space="0" w:color="auto"/>
              <w:left w:val="single" w:sz="4" w:space="0" w:color="auto"/>
              <w:bottom w:val="single" w:sz="4" w:space="0" w:color="auto"/>
              <w:right w:val="single" w:sz="4" w:space="0" w:color="auto"/>
            </w:tcBorders>
            <w:hideMark/>
          </w:tcPr>
          <w:p w:rsidR="0038150A" w:rsidRDefault="0038150A" w:rsidP="008504AD">
            <w:pPr>
              <w:rPr>
                <w:rFonts w:ascii="Sakkal Majalla" w:hAnsi="Sakkal Majalla" w:cs="Sakkal Majalla"/>
                <w:sz w:val="28"/>
                <w:szCs w:val="28"/>
                <w:rtl/>
              </w:rPr>
            </w:pPr>
            <w:r>
              <w:rPr>
                <w:rFonts w:ascii="Sakkal Majalla" w:hAnsi="Sakkal Majalla" w:cs="Sakkal Majalla"/>
                <w:sz w:val="28"/>
                <w:szCs w:val="28"/>
              </w:rPr>
              <w:t>Total of disabilities / difficulties</w:t>
            </w:r>
          </w:p>
        </w:tc>
        <w:tc>
          <w:tcPr>
            <w:tcW w:w="1175" w:type="dxa"/>
            <w:tcBorders>
              <w:top w:val="single" w:sz="4" w:space="0" w:color="auto"/>
              <w:left w:val="single" w:sz="4" w:space="0" w:color="auto"/>
              <w:bottom w:val="single" w:sz="4" w:space="0" w:color="auto"/>
              <w:right w:val="single" w:sz="4" w:space="0" w:color="auto"/>
            </w:tcBorders>
            <w:hideMark/>
          </w:tcPr>
          <w:p w:rsidR="0038150A" w:rsidRDefault="0038150A" w:rsidP="008504AD">
            <w:pPr>
              <w:bidi/>
              <w:jc w:val="center"/>
              <w:rPr>
                <w:rFonts w:ascii="Sakkal Majalla" w:hAnsi="Sakkal Majalla" w:cs="Sakkal Majalla"/>
                <w:sz w:val="28"/>
                <w:szCs w:val="28"/>
                <w:rtl/>
              </w:rPr>
            </w:pPr>
            <w:r>
              <w:rPr>
                <w:rFonts w:ascii="Sakkal Majalla" w:hAnsi="Sakkal Majalla" w:cs="Sakkal Majalla"/>
                <w:sz w:val="28"/>
                <w:szCs w:val="28"/>
                <w:rtl/>
              </w:rPr>
              <w:t>4.6</w:t>
            </w:r>
          </w:p>
        </w:tc>
        <w:tc>
          <w:tcPr>
            <w:tcW w:w="1721" w:type="dxa"/>
            <w:tcBorders>
              <w:top w:val="single" w:sz="4" w:space="0" w:color="auto"/>
              <w:left w:val="single" w:sz="4" w:space="0" w:color="auto"/>
              <w:bottom w:val="single" w:sz="4" w:space="0" w:color="auto"/>
              <w:right w:val="single" w:sz="4" w:space="0" w:color="auto"/>
            </w:tcBorders>
            <w:hideMark/>
          </w:tcPr>
          <w:p w:rsidR="0038150A" w:rsidRDefault="0038150A" w:rsidP="008504AD">
            <w:pPr>
              <w:bidi/>
              <w:jc w:val="center"/>
              <w:rPr>
                <w:rFonts w:ascii="Sakkal Majalla" w:hAnsi="Sakkal Majalla" w:cs="Sakkal Majalla"/>
                <w:sz w:val="28"/>
                <w:szCs w:val="28"/>
                <w:rtl/>
              </w:rPr>
            </w:pPr>
            <w:r>
              <w:rPr>
                <w:rFonts w:ascii="Sakkal Majalla" w:hAnsi="Sakkal Majalla" w:cs="Sakkal Majalla"/>
                <w:sz w:val="28"/>
                <w:szCs w:val="28"/>
                <w:rtl/>
              </w:rPr>
              <w:t>4.7</w:t>
            </w:r>
          </w:p>
        </w:tc>
        <w:tc>
          <w:tcPr>
            <w:tcW w:w="1721" w:type="dxa"/>
            <w:tcBorders>
              <w:top w:val="single" w:sz="4" w:space="0" w:color="auto"/>
              <w:left w:val="single" w:sz="4" w:space="0" w:color="auto"/>
              <w:bottom w:val="single" w:sz="4" w:space="0" w:color="auto"/>
              <w:right w:val="single" w:sz="4" w:space="0" w:color="auto"/>
            </w:tcBorders>
            <w:hideMark/>
          </w:tcPr>
          <w:p w:rsidR="0038150A" w:rsidRDefault="0038150A" w:rsidP="008504AD">
            <w:pPr>
              <w:bidi/>
              <w:jc w:val="center"/>
              <w:rPr>
                <w:rFonts w:ascii="Sakkal Majalla" w:hAnsi="Sakkal Majalla" w:cs="Sakkal Majalla"/>
                <w:sz w:val="28"/>
                <w:szCs w:val="28"/>
                <w:rtl/>
              </w:rPr>
            </w:pPr>
            <w:r>
              <w:rPr>
                <w:rFonts w:ascii="Sakkal Majalla" w:hAnsi="Sakkal Majalla" w:cs="Sakkal Majalla"/>
                <w:sz w:val="28"/>
                <w:szCs w:val="28"/>
                <w:rtl/>
              </w:rPr>
              <w:t>4.1</w:t>
            </w:r>
          </w:p>
        </w:tc>
      </w:tr>
      <w:tr w:rsidR="0038150A" w:rsidTr="008504AD">
        <w:trPr>
          <w:trHeight w:val="391"/>
        </w:trPr>
        <w:tc>
          <w:tcPr>
            <w:tcW w:w="4225" w:type="dxa"/>
            <w:tcBorders>
              <w:top w:val="single" w:sz="4" w:space="0" w:color="auto"/>
              <w:left w:val="single" w:sz="4" w:space="0" w:color="auto"/>
              <w:bottom w:val="single" w:sz="4" w:space="0" w:color="auto"/>
              <w:right w:val="single" w:sz="4" w:space="0" w:color="auto"/>
            </w:tcBorders>
            <w:hideMark/>
          </w:tcPr>
          <w:p w:rsidR="0038150A" w:rsidRDefault="0038150A" w:rsidP="008504AD">
            <w:pPr>
              <w:rPr>
                <w:rFonts w:ascii="Sakkal Majalla" w:hAnsi="Sakkal Majalla" w:cs="Sakkal Majalla"/>
                <w:sz w:val="28"/>
                <w:szCs w:val="28"/>
                <w:rtl/>
              </w:rPr>
            </w:pPr>
            <w:r>
              <w:rPr>
                <w:rFonts w:ascii="Sakkal Majalla" w:hAnsi="Sakkal Majalla" w:cs="Sakkal Majalla"/>
                <w:sz w:val="28"/>
                <w:szCs w:val="28"/>
              </w:rPr>
              <w:t>Vision</w:t>
            </w:r>
          </w:p>
        </w:tc>
        <w:tc>
          <w:tcPr>
            <w:tcW w:w="1175" w:type="dxa"/>
            <w:tcBorders>
              <w:top w:val="single" w:sz="4" w:space="0" w:color="auto"/>
              <w:left w:val="single" w:sz="4" w:space="0" w:color="auto"/>
              <w:bottom w:val="single" w:sz="4" w:space="0" w:color="auto"/>
              <w:right w:val="single" w:sz="4" w:space="0" w:color="auto"/>
            </w:tcBorders>
            <w:hideMark/>
          </w:tcPr>
          <w:p w:rsidR="0038150A" w:rsidRDefault="0038150A" w:rsidP="008504AD">
            <w:pPr>
              <w:bidi/>
              <w:jc w:val="center"/>
              <w:rPr>
                <w:rFonts w:ascii="Sakkal Majalla" w:hAnsi="Sakkal Majalla" w:cs="Sakkal Majalla"/>
                <w:sz w:val="28"/>
                <w:szCs w:val="28"/>
                <w:rtl/>
              </w:rPr>
            </w:pPr>
            <w:r>
              <w:rPr>
                <w:rFonts w:ascii="Sakkal Majalla" w:hAnsi="Sakkal Majalla" w:cs="Sakkal Majalla"/>
                <w:sz w:val="28"/>
                <w:szCs w:val="28"/>
                <w:rtl/>
              </w:rPr>
              <w:t>0.6</w:t>
            </w:r>
          </w:p>
        </w:tc>
        <w:tc>
          <w:tcPr>
            <w:tcW w:w="1721" w:type="dxa"/>
            <w:tcBorders>
              <w:top w:val="single" w:sz="4" w:space="0" w:color="auto"/>
              <w:left w:val="single" w:sz="4" w:space="0" w:color="auto"/>
              <w:bottom w:val="single" w:sz="4" w:space="0" w:color="auto"/>
              <w:right w:val="single" w:sz="4" w:space="0" w:color="auto"/>
            </w:tcBorders>
            <w:hideMark/>
          </w:tcPr>
          <w:p w:rsidR="0038150A" w:rsidRDefault="0038150A" w:rsidP="008504AD">
            <w:pPr>
              <w:bidi/>
              <w:jc w:val="center"/>
              <w:rPr>
                <w:rFonts w:ascii="Sakkal Majalla" w:hAnsi="Sakkal Majalla" w:cs="Sakkal Majalla"/>
                <w:sz w:val="28"/>
                <w:szCs w:val="28"/>
                <w:rtl/>
              </w:rPr>
            </w:pPr>
            <w:r>
              <w:rPr>
                <w:rFonts w:ascii="Sakkal Majalla" w:hAnsi="Sakkal Majalla" w:cs="Sakkal Majalla"/>
                <w:sz w:val="28"/>
                <w:szCs w:val="28"/>
                <w:rtl/>
              </w:rPr>
              <w:t>0.6</w:t>
            </w:r>
          </w:p>
        </w:tc>
        <w:tc>
          <w:tcPr>
            <w:tcW w:w="1721" w:type="dxa"/>
            <w:tcBorders>
              <w:top w:val="single" w:sz="4" w:space="0" w:color="auto"/>
              <w:left w:val="single" w:sz="4" w:space="0" w:color="auto"/>
              <w:bottom w:val="single" w:sz="4" w:space="0" w:color="auto"/>
              <w:right w:val="single" w:sz="4" w:space="0" w:color="auto"/>
            </w:tcBorders>
            <w:hideMark/>
          </w:tcPr>
          <w:p w:rsidR="0038150A" w:rsidRDefault="0038150A" w:rsidP="008504AD">
            <w:pPr>
              <w:bidi/>
              <w:jc w:val="center"/>
              <w:rPr>
                <w:rFonts w:ascii="Sakkal Majalla" w:hAnsi="Sakkal Majalla" w:cs="Sakkal Majalla"/>
                <w:sz w:val="28"/>
                <w:szCs w:val="28"/>
                <w:rtl/>
              </w:rPr>
            </w:pPr>
            <w:r>
              <w:rPr>
                <w:rFonts w:ascii="Sakkal Majalla" w:hAnsi="Sakkal Majalla" w:cs="Sakkal Majalla"/>
                <w:sz w:val="28"/>
                <w:szCs w:val="28"/>
                <w:rtl/>
              </w:rPr>
              <w:t>0.5</w:t>
            </w:r>
          </w:p>
        </w:tc>
      </w:tr>
      <w:tr w:rsidR="0038150A" w:rsidTr="008504AD">
        <w:trPr>
          <w:trHeight w:val="391"/>
        </w:trPr>
        <w:tc>
          <w:tcPr>
            <w:tcW w:w="4225" w:type="dxa"/>
            <w:tcBorders>
              <w:top w:val="single" w:sz="4" w:space="0" w:color="auto"/>
              <w:left w:val="single" w:sz="4" w:space="0" w:color="auto"/>
              <w:bottom w:val="single" w:sz="4" w:space="0" w:color="auto"/>
              <w:right w:val="single" w:sz="4" w:space="0" w:color="auto"/>
            </w:tcBorders>
            <w:hideMark/>
          </w:tcPr>
          <w:p w:rsidR="0038150A" w:rsidRDefault="0038150A" w:rsidP="008504AD">
            <w:pPr>
              <w:rPr>
                <w:rFonts w:ascii="Sakkal Majalla" w:hAnsi="Sakkal Majalla" w:cs="Sakkal Majalla"/>
                <w:sz w:val="28"/>
                <w:szCs w:val="28"/>
                <w:rtl/>
              </w:rPr>
            </w:pPr>
            <w:r>
              <w:rPr>
                <w:rFonts w:ascii="Sakkal Majalla" w:hAnsi="Sakkal Majalla" w:cs="Sakkal Majalla"/>
                <w:sz w:val="28"/>
                <w:szCs w:val="28"/>
              </w:rPr>
              <w:t>Hearing</w:t>
            </w:r>
          </w:p>
        </w:tc>
        <w:tc>
          <w:tcPr>
            <w:tcW w:w="1175" w:type="dxa"/>
            <w:tcBorders>
              <w:top w:val="single" w:sz="4" w:space="0" w:color="auto"/>
              <w:left w:val="single" w:sz="4" w:space="0" w:color="auto"/>
              <w:bottom w:val="single" w:sz="4" w:space="0" w:color="auto"/>
              <w:right w:val="single" w:sz="4" w:space="0" w:color="auto"/>
            </w:tcBorders>
            <w:hideMark/>
          </w:tcPr>
          <w:p w:rsidR="0038150A" w:rsidRDefault="0038150A" w:rsidP="008504AD">
            <w:pPr>
              <w:bidi/>
              <w:jc w:val="center"/>
              <w:rPr>
                <w:rFonts w:ascii="Sakkal Majalla" w:hAnsi="Sakkal Majalla" w:cs="Sakkal Majalla"/>
                <w:sz w:val="28"/>
                <w:szCs w:val="28"/>
                <w:rtl/>
              </w:rPr>
            </w:pPr>
            <w:r>
              <w:rPr>
                <w:rFonts w:ascii="Sakkal Majalla" w:hAnsi="Sakkal Majalla" w:cs="Sakkal Majalla"/>
                <w:sz w:val="28"/>
                <w:szCs w:val="28"/>
                <w:rtl/>
              </w:rPr>
              <w:t>0.4</w:t>
            </w:r>
          </w:p>
        </w:tc>
        <w:tc>
          <w:tcPr>
            <w:tcW w:w="1721" w:type="dxa"/>
            <w:tcBorders>
              <w:top w:val="single" w:sz="4" w:space="0" w:color="auto"/>
              <w:left w:val="single" w:sz="4" w:space="0" w:color="auto"/>
              <w:bottom w:val="single" w:sz="4" w:space="0" w:color="auto"/>
              <w:right w:val="single" w:sz="4" w:space="0" w:color="auto"/>
            </w:tcBorders>
            <w:hideMark/>
          </w:tcPr>
          <w:p w:rsidR="0038150A" w:rsidRDefault="0038150A" w:rsidP="008504AD">
            <w:pPr>
              <w:bidi/>
              <w:jc w:val="center"/>
              <w:rPr>
                <w:rFonts w:ascii="Sakkal Majalla" w:hAnsi="Sakkal Majalla" w:cs="Sakkal Majalla"/>
                <w:sz w:val="28"/>
                <w:szCs w:val="28"/>
                <w:rtl/>
              </w:rPr>
            </w:pPr>
            <w:r>
              <w:rPr>
                <w:rFonts w:ascii="Sakkal Majalla" w:hAnsi="Sakkal Majalla" w:cs="Sakkal Majalla"/>
                <w:sz w:val="28"/>
                <w:szCs w:val="28"/>
                <w:rtl/>
              </w:rPr>
              <w:t>0.5</w:t>
            </w:r>
          </w:p>
        </w:tc>
        <w:tc>
          <w:tcPr>
            <w:tcW w:w="1721" w:type="dxa"/>
            <w:tcBorders>
              <w:top w:val="single" w:sz="4" w:space="0" w:color="auto"/>
              <w:left w:val="single" w:sz="4" w:space="0" w:color="auto"/>
              <w:bottom w:val="single" w:sz="4" w:space="0" w:color="auto"/>
              <w:right w:val="single" w:sz="4" w:space="0" w:color="auto"/>
            </w:tcBorders>
            <w:hideMark/>
          </w:tcPr>
          <w:p w:rsidR="0038150A" w:rsidRDefault="0038150A" w:rsidP="008504AD">
            <w:pPr>
              <w:bidi/>
              <w:jc w:val="center"/>
              <w:rPr>
                <w:rFonts w:ascii="Sakkal Majalla" w:hAnsi="Sakkal Majalla" w:cs="Sakkal Majalla"/>
                <w:sz w:val="28"/>
                <w:szCs w:val="28"/>
                <w:rtl/>
              </w:rPr>
            </w:pPr>
            <w:r>
              <w:rPr>
                <w:rFonts w:ascii="Sakkal Majalla" w:hAnsi="Sakkal Majalla" w:cs="Sakkal Majalla"/>
                <w:sz w:val="28"/>
                <w:szCs w:val="28"/>
                <w:rtl/>
              </w:rPr>
              <w:t>0.3</w:t>
            </w:r>
          </w:p>
        </w:tc>
      </w:tr>
      <w:tr w:rsidR="0038150A" w:rsidTr="008504AD">
        <w:trPr>
          <w:trHeight w:val="391"/>
        </w:trPr>
        <w:tc>
          <w:tcPr>
            <w:tcW w:w="4225" w:type="dxa"/>
            <w:tcBorders>
              <w:top w:val="single" w:sz="4" w:space="0" w:color="auto"/>
              <w:left w:val="single" w:sz="4" w:space="0" w:color="auto"/>
              <w:bottom w:val="single" w:sz="4" w:space="0" w:color="auto"/>
              <w:right w:val="single" w:sz="4" w:space="0" w:color="auto"/>
            </w:tcBorders>
            <w:hideMark/>
          </w:tcPr>
          <w:p w:rsidR="0038150A" w:rsidRDefault="0038150A" w:rsidP="008504AD">
            <w:pPr>
              <w:rPr>
                <w:rFonts w:ascii="Sakkal Majalla" w:hAnsi="Sakkal Majalla" w:cs="Sakkal Majalla"/>
                <w:sz w:val="28"/>
                <w:szCs w:val="28"/>
                <w:rtl/>
              </w:rPr>
            </w:pPr>
            <w:r>
              <w:rPr>
                <w:rFonts w:ascii="Sakkal Majalla" w:hAnsi="Sakkal Majalla" w:cs="Sakkal Majalla"/>
                <w:sz w:val="28"/>
                <w:szCs w:val="28"/>
              </w:rPr>
              <w:t>Mobility</w:t>
            </w:r>
          </w:p>
        </w:tc>
        <w:tc>
          <w:tcPr>
            <w:tcW w:w="1175" w:type="dxa"/>
            <w:tcBorders>
              <w:top w:val="single" w:sz="4" w:space="0" w:color="auto"/>
              <w:left w:val="single" w:sz="4" w:space="0" w:color="auto"/>
              <w:bottom w:val="single" w:sz="4" w:space="0" w:color="auto"/>
              <w:right w:val="single" w:sz="4" w:space="0" w:color="auto"/>
            </w:tcBorders>
            <w:hideMark/>
          </w:tcPr>
          <w:p w:rsidR="0038150A" w:rsidRDefault="0038150A" w:rsidP="008504AD">
            <w:pPr>
              <w:bidi/>
              <w:jc w:val="center"/>
              <w:rPr>
                <w:rFonts w:ascii="Sakkal Majalla" w:hAnsi="Sakkal Majalla" w:cs="Sakkal Majalla"/>
                <w:sz w:val="28"/>
                <w:szCs w:val="28"/>
                <w:rtl/>
              </w:rPr>
            </w:pPr>
            <w:r>
              <w:rPr>
                <w:rFonts w:ascii="Sakkal Majalla" w:hAnsi="Sakkal Majalla" w:cs="Sakkal Majalla"/>
                <w:sz w:val="28"/>
                <w:szCs w:val="28"/>
                <w:rtl/>
              </w:rPr>
              <w:t>1.3</w:t>
            </w:r>
          </w:p>
        </w:tc>
        <w:tc>
          <w:tcPr>
            <w:tcW w:w="1721" w:type="dxa"/>
            <w:tcBorders>
              <w:top w:val="single" w:sz="4" w:space="0" w:color="auto"/>
              <w:left w:val="single" w:sz="4" w:space="0" w:color="auto"/>
              <w:bottom w:val="single" w:sz="4" w:space="0" w:color="auto"/>
              <w:right w:val="single" w:sz="4" w:space="0" w:color="auto"/>
            </w:tcBorders>
            <w:hideMark/>
          </w:tcPr>
          <w:p w:rsidR="0038150A" w:rsidRDefault="0038150A" w:rsidP="008504AD">
            <w:pPr>
              <w:bidi/>
              <w:jc w:val="center"/>
              <w:rPr>
                <w:rFonts w:ascii="Sakkal Majalla" w:hAnsi="Sakkal Majalla" w:cs="Sakkal Majalla"/>
                <w:sz w:val="28"/>
                <w:szCs w:val="28"/>
                <w:rtl/>
              </w:rPr>
            </w:pPr>
            <w:r>
              <w:rPr>
                <w:rFonts w:ascii="Sakkal Majalla" w:hAnsi="Sakkal Majalla" w:cs="Sakkal Majalla"/>
                <w:sz w:val="28"/>
                <w:szCs w:val="28"/>
                <w:rtl/>
              </w:rPr>
              <w:t>0.4</w:t>
            </w:r>
          </w:p>
        </w:tc>
        <w:tc>
          <w:tcPr>
            <w:tcW w:w="1721" w:type="dxa"/>
            <w:tcBorders>
              <w:top w:val="single" w:sz="4" w:space="0" w:color="auto"/>
              <w:left w:val="single" w:sz="4" w:space="0" w:color="auto"/>
              <w:bottom w:val="single" w:sz="4" w:space="0" w:color="auto"/>
              <w:right w:val="single" w:sz="4" w:space="0" w:color="auto"/>
            </w:tcBorders>
            <w:hideMark/>
          </w:tcPr>
          <w:p w:rsidR="0038150A" w:rsidRDefault="0038150A" w:rsidP="008504AD">
            <w:pPr>
              <w:bidi/>
              <w:jc w:val="center"/>
              <w:rPr>
                <w:rFonts w:ascii="Sakkal Majalla" w:hAnsi="Sakkal Majalla" w:cs="Sakkal Majalla"/>
                <w:sz w:val="28"/>
                <w:szCs w:val="28"/>
                <w:rtl/>
              </w:rPr>
            </w:pPr>
            <w:r>
              <w:rPr>
                <w:rFonts w:ascii="Sakkal Majalla" w:hAnsi="Sakkal Majalla" w:cs="Sakkal Majalla"/>
                <w:sz w:val="28"/>
                <w:szCs w:val="28"/>
                <w:rtl/>
              </w:rPr>
              <w:t>1.1</w:t>
            </w:r>
          </w:p>
        </w:tc>
      </w:tr>
      <w:tr w:rsidR="0038150A" w:rsidTr="008504AD">
        <w:trPr>
          <w:trHeight w:val="391"/>
        </w:trPr>
        <w:tc>
          <w:tcPr>
            <w:tcW w:w="4225" w:type="dxa"/>
            <w:tcBorders>
              <w:top w:val="single" w:sz="4" w:space="0" w:color="auto"/>
              <w:left w:val="single" w:sz="4" w:space="0" w:color="auto"/>
              <w:bottom w:val="single" w:sz="4" w:space="0" w:color="auto"/>
              <w:right w:val="single" w:sz="4" w:space="0" w:color="auto"/>
            </w:tcBorders>
            <w:hideMark/>
          </w:tcPr>
          <w:p w:rsidR="0038150A" w:rsidRDefault="0038150A" w:rsidP="008504AD">
            <w:pPr>
              <w:rPr>
                <w:rFonts w:ascii="Sakkal Majalla" w:hAnsi="Sakkal Majalla" w:cs="Sakkal Majalla"/>
                <w:sz w:val="28"/>
                <w:szCs w:val="28"/>
                <w:rtl/>
              </w:rPr>
            </w:pPr>
            <w:r>
              <w:rPr>
                <w:rFonts w:ascii="Sakkal Majalla" w:hAnsi="Sakkal Majalla" w:cs="Sakkal Majalla"/>
                <w:sz w:val="28"/>
                <w:szCs w:val="28"/>
              </w:rPr>
              <w:t>Remembering and concentrating</w:t>
            </w:r>
          </w:p>
        </w:tc>
        <w:tc>
          <w:tcPr>
            <w:tcW w:w="1175" w:type="dxa"/>
            <w:tcBorders>
              <w:top w:val="single" w:sz="4" w:space="0" w:color="auto"/>
              <w:left w:val="single" w:sz="4" w:space="0" w:color="auto"/>
              <w:bottom w:val="single" w:sz="4" w:space="0" w:color="auto"/>
              <w:right w:val="single" w:sz="4" w:space="0" w:color="auto"/>
            </w:tcBorders>
            <w:hideMark/>
          </w:tcPr>
          <w:p w:rsidR="0038150A" w:rsidRDefault="0038150A" w:rsidP="008504AD">
            <w:pPr>
              <w:bidi/>
              <w:jc w:val="center"/>
              <w:rPr>
                <w:rFonts w:ascii="Sakkal Majalla" w:hAnsi="Sakkal Majalla" w:cs="Sakkal Majalla"/>
                <w:sz w:val="28"/>
                <w:szCs w:val="28"/>
                <w:rtl/>
              </w:rPr>
            </w:pPr>
            <w:r>
              <w:rPr>
                <w:rFonts w:ascii="Sakkal Majalla" w:hAnsi="Sakkal Majalla" w:cs="Sakkal Majalla"/>
                <w:sz w:val="28"/>
                <w:szCs w:val="28"/>
                <w:rtl/>
              </w:rPr>
              <w:t>0.6</w:t>
            </w:r>
          </w:p>
        </w:tc>
        <w:tc>
          <w:tcPr>
            <w:tcW w:w="1721" w:type="dxa"/>
            <w:tcBorders>
              <w:top w:val="single" w:sz="4" w:space="0" w:color="auto"/>
              <w:left w:val="single" w:sz="4" w:space="0" w:color="auto"/>
              <w:bottom w:val="single" w:sz="4" w:space="0" w:color="auto"/>
              <w:right w:val="single" w:sz="4" w:space="0" w:color="auto"/>
            </w:tcBorders>
            <w:hideMark/>
          </w:tcPr>
          <w:p w:rsidR="0038150A" w:rsidRDefault="0038150A" w:rsidP="008504AD">
            <w:pPr>
              <w:bidi/>
              <w:jc w:val="center"/>
              <w:rPr>
                <w:rFonts w:ascii="Sakkal Majalla" w:hAnsi="Sakkal Majalla" w:cs="Sakkal Majalla"/>
                <w:sz w:val="28"/>
                <w:szCs w:val="28"/>
                <w:rtl/>
              </w:rPr>
            </w:pPr>
            <w:r>
              <w:rPr>
                <w:rFonts w:ascii="Sakkal Majalla" w:hAnsi="Sakkal Majalla" w:cs="Sakkal Majalla"/>
                <w:sz w:val="28"/>
                <w:szCs w:val="28"/>
                <w:rtl/>
              </w:rPr>
              <w:t>0.6</w:t>
            </w:r>
          </w:p>
        </w:tc>
        <w:tc>
          <w:tcPr>
            <w:tcW w:w="1721" w:type="dxa"/>
            <w:tcBorders>
              <w:top w:val="single" w:sz="4" w:space="0" w:color="auto"/>
              <w:left w:val="single" w:sz="4" w:space="0" w:color="auto"/>
              <w:bottom w:val="single" w:sz="4" w:space="0" w:color="auto"/>
              <w:right w:val="single" w:sz="4" w:space="0" w:color="auto"/>
            </w:tcBorders>
            <w:hideMark/>
          </w:tcPr>
          <w:p w:rsidR="0038150A" w:rsidRDefault="0038150A" w:rsidP="008504AD">
            <w:pPr>
              <w:bidi/>
              <w:jc w:val="center"/>
              <w:rPr>
                <w:rFonts w:ascii="Sakkal Majalla" w:hAnsi="Sakkal Majalla" w:cs="Sakkal Majalla"/>
                <w:sz w:val="28"/>
                <w:szCs w:val="28"/>
                <w:rtl/>
              </w:rPr>
            </w:pPr>
            <w:r>
              <w:rPr>
                <w:rFonts w:ascii="Sakkal Majalla" w:hAnsi="Sakkal Majalla" w:cs="Sakkal Majalla"/>
                <w:sz w:val="28"/>
                <w:szCs w:val="28"/>
                <w:rtl/>
              </w:rPr>
              <w:t>0.6</w:t>
            </w:r>
          </w:p>
        </w:tc>
      </w:tr>
      <w:tr w:rsidR="0038150A" w:rsidTr="008504AD">
        <w:trPr>
          <w:trHeight w:val="391"/>
        </w:trPr>
        <w:tc>
          <w:tcPr>
            <w:tcW w:w="4225" w:type="dxa"/>
            <w:tcBorders>
              <w:top w:val="single" w:sz="4" w:space="0" w:color="auto"/>
              <w:left w:val="single" w:sz="4" w:space="0" w:color="auto"/>
              <w:bottom w:val="single" w:sz="4" w:space="0" w:color="auto"/>
              <w:right w:val="single" w:sz="4" w:space="0" w:color="auto"/>
            </w:tcBorders>
            <w:hideMark/>
          </w:tcPr>
          <w:p w:rsidR="0038150A" w:rsidRDefault="0038150A" w:rsidP="008504AD">
            <w:pPr>
              <w:rPr>
                <w:rFonts w:ascii="Sakkal Majalla" w:hAnsi="Sakkal Majalla" w:cs="Sakkal Majalla"/>
                <w:sz w:val="28"/>
                <w:szCs w:val="28"/>
                <w:rtl/>
              </w:rPr>
            </w:pPr>
            <w:r>
              <w:rPr>
                <w:rFonts w:ascii="Sakkal Majalla" w:hAnsi="Sakkal Majalla" w:cs="Sakkal Majalla"/>
                <w:sz w:val="28"/>
                <w:szCs w:val="28"/>
              </w:rPr>
              <w:t>Communication</w:t>
            </w:r>
          </w:p>
        </w:tc>
        <w:tc>
          <w:tcPr>
            <w:tcW w:w="1175" w:type="dxa"/>
            <w:tcBorders>
              <w:top w:val="single" w:sz="4" w:space="0" w:color="auto"/>
              <w:left w:val="single" w:sz="4" w:space="0" w:color="auto"/>
              <w:bottom w:val="single" w:sz="4" w:space="0" w:color="auto"/>
              <w:right w:val="single" w:sz="4" w:space="0" w:color="auto"/>
            </w:tcBorders>
            <w:hideMark/>
          </w:tcPr>
          <w:p w:rsidR="0038150A" w:rsidRDefault="0038150A" w:rsidP="008504AD">
            <w:pPr>
              <w:bidi/>
              <w:jc w:val="center"/>
              <w:rPr>
                <w:rFonts w:ascii="Sakkal Majalla" w:hAnsi="Sakkal Majalla" w:cs="Sakkal Majalla"/>
                <w:sz w:val="28"/>
                <w:szCs w:val="28"/>
                <w:rtl/>
              </w:rPr>
            </w:pPr>
            <w:r>
              <w:rPr>
                <w:rFonts w:ascii="Sakkal Majalla" w:hAnsi="Sakkal Majalla" w:cs="Sakkal Majalla"/>
                <w:sz w:val="28"/>
                <w:szCs w:val="28"/>
                <w:rtl/>
              </w:rPr>
              <w:t>0.6</w:t>
            </w:r>
          </w:p>
        </w:tc>
        <w:tc>
          <w:tcPr>
            <w:tcW w:w="1721" w:type="dxa"/>
            <w:tcBorders>
              <w:top w:val="single" w:sz="4" w:space="0" w:color="auto"/>
              <w:left w:val="single" w:sz="4" w:space="0" w:color="auto"/>
              <w:bottom w:val="single" w:sz="4" w:space="0" w:color="auto"/>
              <w:right w:val="single" w:sz="4" w:space="0" w:color="auto"/>
            </w:tcBorders>
            <w:hideMark/>
          </w:tcPr>
          <w:p w:rsidR="0038150A" w:rsidRDefault="0038150A" w:rsidP="008504AD">
            <w:pPr>
              <w:bidi/>
              <w:jc w:val="center"/>
              <w:rPr>
                <w:rFonts w:ascii="Sakkal Majalla" w:hAnsi="Sakkal Majalla" w:cs="Sakkal Majalla"/>
                <w:sz w:val="28"/>
                <w:szCs w:val="28"/>
                <w:rtl/>
              </w:rPr>
            </w:pPr>
            <w:r>
              <w:rPr>
                <w:rFonts w:ascii="Sakkal Majalla" w:hAnsi="Sakkal Majalla" w:cs="Sakkal Majalla"/>
                <w:sz w:val="28"/>
                <w:szCs w:val="28"/>
                <w:rtl/>
              </w:rPr>
              <w:t>0.6</w:t>
            </w:r>
          </w:p>
        </w:tc>
        <w:tc>
          <w:tcPr>
            <w:tcW w:w="1721" w:type="dxa"/>
            <w:tcBorders>
              <w:top w:val="single" w:sz="4" w:space="0" w:color="auto"/>
              <w:left w:val="single" w:sz="4" w:space="0" w:color="auto"/>
              <w:bottom w:val="single" w:sz="4" w:space="0" w:color="auto"/>
              <w:right w:val="single" w:sz="4" w:space="0" w:color="auto"/>
            </w:tcBorders>
            <w:hideMark/>
          </w:tcPr>
          <w:p w:rsidR="0038150A" w:rsidRDefault="0038150A" w:rsidP="008504AD">
            <w:pPr>
              <w:bidi/>
              <w:jc w:val="center"/>
              <w:rPr>
                <w:rFonts w:ascii="Sakkal Majalla" w:hAnsi="Sakkal Majalla" w:cs="Sakkal Majalla"/>
                <w:sz w:val="28"/>
                <w:szCs w:val="28"/>
                <w:rtl/>
              </w:rPr>
            </w:pPr>
            <w:r>
              <w:rPr>
                <w:rFonts w:ascii="Sakkal Majalla" w:hAnsi="Sakkal Majalla" w:cs="Sakkal Majalla"/>
                <w:sz w:val="28"/>
                <w:szCs w:val="28"/>
                <w:rtl/>
              </w:rPr>
              <w:t>0.5</w:t>
            </w:r>
          </w:p>
        </w:tc>
      </w:tr>
      <w:tr w:rsidR="0038150A" w:rsidTr="008504AD">
        <w:trPr>
          <w:trHeight w:val="391"/>
        </w:trPr>
        <w:tc>
          <w:tcPr>
            <w:tcW w:w="4225" w:type="dxa"/>
            <w:tcBorders>
              <w:top w:val="single" w:sz="4" w:space="0" w:color="auto"/>
              <w:left w:val="single" w:sz="4" w:space="0" w:color="auto"/>
              <w:bottom w:val="single" w:sz="4" w:space="0" w:color="auto"/>
              <w:right w:val="single" w:sz="4" w:space="0" w:color="auto"/>
            </w:tcBorders>
            <w:hideMark/>
          </w:tcPr>
          <w:p w:rsidR="0038150A" w:rsidRDefault="0038150A" w:rsidP="008504AD">
            <w:pPr>
              <w:rPr>
                <w:rFonts w:ascii="Sakkal Majalla" w:hAnsi="Sakkal Majalla" w:cs="Sakkal Majalla"/>
                <w:sz w:val="28"/>
                <w:szCs w:val="28"/>
                <w:rtl/>
              </w:rPr>
            </w:pPr>
            <w:r>
              <w:rPr>
                <w:rFonts w:ascii="Sakkal Majalla" w:hAnsi="Sakkal Majalla" w:cs="Sakkal Majalla"/>
                <w:sz w:val="28"/>
                <w:szCs w:val="28"/>
              </w:rPr>
              <w:t>Learning Difficulty</w:t>
            </w:r>
          </w:p>
        </w:tc>
        <w:tc>
          <w:tcPr>
            <w:tcW w:w="1175" w:type="dxa"/>
            <w:tcBorders>
              <w:top w:val="single" w:sz="4" w:space="0" w:color="auto"/>
              <w:left w:val="single" w:sz="4" w:space="0" w:color="auto"/>
              <w:bottom w:val="single" w:sz="4" w:space="0" w:color="auto"/>
              <w:right w:val="single" w:sz="4" w:space="0" w:color="auto"/>
            </w:tcBorders>
            <w:hideMark/>
          </w:tcPr>
          <w:p w:rsidR="0038150A" w:rsidRDefault="0038150A" w:rsidP="008504AD">
            <w:pPr>
              <w:bidi/>
              <w:jc w:val="center"/>
              <w:rPr>
                <w:rFonts w:ascii="Sakkal Majalla" w:hAnsi="Sakkal Majalla" w:cs="Sakkal Majalla"/>
                <w:sz w:val="28"/>
                <w:szCs w:val="28"/>
                <w:rtl/>
              </w:rPr>
            </w:pPr>
            <w:r>
              <w:rPr>
                <w:rFonts w:ascii="Sakkal Majalla" w:hAnsi="Sakkal Majalla" w:cs="Sakkal Majalla"/>
                <w:sz w:val="28"/>
                <w:szCs w:val="28"/>
                <w:rtl/>
              </w:rPr>
              <w:t>0.7</w:t>
            </w:r>
          </w:p>
        </w:tc>
        <w:tc>
          <w:tcPr>
            <w:tcW w:w="1721" w:type="dxa"/>
            <w:tcBorders>
              <w:top w:val="single" w:sz="4" w:space="0" w:color="auto"/>
              <w:left w:val="single" w:sz="4" w:space="0" w:color="auto"/>
              <w:bottom w:val="single" w:sz="4" w:space="0" w:color="auto"/>
              <w:right w:val="single" w:sz="4" w:space="0" w:color="auto"/>
            </w:tcBorders>
            <w:hideMark/>
          </w:tcPr>
          <w:p w:rsidR="0038150A" w:rsidRDefault="0038150A" w:rsidP="008504AD">
            <w:pPr>
              <w:bidi/>
              <w:jc w:val="center"/>
              <w:rPr>
                <w:rFonts w:ascii="Sakkal Majalla" w:hAnsi="Sakkal Majalla" w:cs="Sakkal Majalla"/>
                <w:sz w:val="28"/>
                <w:szCs w:val="28"/>
                <w:rtl/>
              </w:rPr>
            </w:pPr>
            <w:r>
              <w:rPr>
                <w:rFonts w:ascii="Sakkal Majalla" w:hAnsi="Sakkal Majalla" w:cs="Sakkal Majalla"/>
                <w:sz w:val="28"/>
                <w:szCs w:val="28"/>
                <w:rtl/>
              </w:rPr>
              <w:t>0.7</w:t>
            </w:r>
          </w:p>
        </w:tc>
        <w:tc>
          <w:tcPr>
            <w:tcW w:w="1721" w:type="dxa"/>
            <w:tcBorders>
              <w:top w:val="single" w:sz="4" w:space="0" w:color="auto"/>
              <w:left w:val="single" w:sz="4" w:space="0" w:color="auto"/>
              <w:bottom w:val="single" w:sz="4" w:space="0" w:color="auto"/>
              <w:right w:val="single" w:sz="4" w:space="0" w:color="auto"/>
            </w:tcBorders>
            <w:hideMark/>
          </w:tcPr>
          <w:p w:rsidR="0038150A" w:rsidRDefault="0038150A" w:rsidP="008504AD">
            <w:pPr>
              <w:bidi/>
              <w:jc w:val="center"/>
              <w:rPr>
                <w:rFonts w:ascii="Sakkal Majalla" w:hAnsi="Sakkal Majalla" w:cs="Sakkal Majalla"/>
                <w:sz w:val="28"/>
                <w:szCs w:val="28"/>
                <w:rtl/>
              </w:rPr>
            </w:pPr>
            <w:r>
              <w:rPr>
                <w:rFonts w:ascii="Sakkal Majalla" w:hAnsi="Sakkal Majalla" w:cs="Sakkal Majalla"/>
                <w:sz w:val="28"/>
                <w:szCs w:val="28"/>
                <w:rtl/>
              </w:rPr>
              <w:t>0.6</w:t>
            </w:r>
          </w:p>
        </w:tc>
      </w:tr>
      <w:tr w:rsidR="0038150A" w:rsidTr="008504AD">
        <w:trPr>
          <w:trHeight w:val="391"/>
        </w:trPr>
        <w:tc>
          <w:tcPr>
            <w:tcW w:w="4225" w:type="dxa"/>
            <w:tcBorders>
              <w:top w:val="single" w:sz="4" w:space="0" w:color="auto"/>
              <w:left w:val="single" w:sz="4" w:space="0" w:color="auto"/>
              <w:bottom w:val="single" w:sz="4" w:space="0" w:color="auto"/>
              <w:right w:val="single" w:sz="4" w:space="0" w:color="auto"/>
            </w:tcBorders>
            <w:hideMark/>
          </w:tcPr>
          <w:p w:rsidR="0038150A" w:rsidRDefault="0038150A" w:rsidP="008504AD">
            <w:pPr>
              <w:rPr>
                <w:rFonts w:ascii="Sakkal Majalla" w:hAnsi="Sakkal Majalla" w:cs="Sakkal Majalla"/>
                <w:sz w:val="28"/>
                <w:szCs w:val="28"/>
                <w:rtl/>
              </w:rPr>
            </w:pPr>
            <w:r>
              <w:rPr>
                <w:rFonts w:ascii="Sakkal Majalla" w:hAnsi="Sakkal Majalla" w:cs="Sakkal Majalla"/>
                <w:sz w:val="28"/>
                <w:szCs w:val="28"/>
              </w:rPr>
              <w:t>Psychological</w:t>
            </w:r>
          </w:p>
        </w:tc>
        <w:tc>
          <w:tcPr>
            <w:tcW w:w="1175" w:type="dxa"/>
            <w:tcBorders>
              <w:top w:val="single" w:sz="4" w:space="0" w:color="auto"/>
              <w:left w:val="single" w:sz="4" w:space="0" w:color="auto"/>
              <w:bottom w:val="single" w:sz="4" w:space="0" w:color="auto"/>
              <w:right w:val="single" w:sz="4" w:space="0" w:color="auto"/>
            </w:tcBorders>
            <w:hideMark/>
          </w:tcPr>
          <w:p w:rsidR="0038150A" w:rsidRDefault="0038150A" w:rsidP="008504AD">
            <w:pPr>
              <w:bidi/>
              <w:jc w:val="center"/>
              <w:rPr>
                <w:rFonts w:ascii="Sakkal Majalla" w:hAnsi="Sakkal Majalla" w:cs="Sakkal Majalla"/>
                <w:sz w:val="28"/>
                <w:szCs w:val="28"/>
                <w:rtl/>
              </w:rPr>
            </w:pPr>
            <w:r>
              <w:rPr>
                <w:rFonts w:ascii="Sakkal Majalla" w:hAnsi="Sakkal Majalla" w:cs="Sakkal Majalla"/>
                <w:sz w:val="28"/>
                <w:szCs w:val="28"/>
                <w:rtl/>
              </w:rPr>
              <w:t>0.4</w:t>
            </w:r>
          </w:p>
        </w:tc>
        <w:tc>
          <w:tcPr>
            <w:tcW w:w="1721" w:type="dxa"/>
            <w:tcBorders>
              <w:top w:val="single" w:sz="4" w:space="0" w:color="auto"/>
              <w:left w:val="single" w:sz="4" w:space="0" w:color="auto"/>
              <w:bottom w:val="single" w:sz="4" w:space="0" w:color="auto"/>
              <w:right w:val="single" w:sz="4" w:space="0" w:color="auto"/>
            </w:tcBorders>
            <w:hideMark/>
          </w:tcPr>
          <w:p w:rsidR="0038150A" w:rsidRDefault="0038150A" w:rsidP="008504AD">
            <w:pPr>
              <w:bidi/>
              <w:jc w:val="center"/>
              <w:rPr>
                <w:rFonts w:ascii="Sakkal Majalla" w:hAnsi="Sakkal Majalla" w:cs="Sakkal Majalla"/>
                <w:sz w:val="28"/>
                <w:szCs w:val="28"/>
                <w:rtl/>
              </w:rPr>
            </w:pPr>
            <w:r>
              <w:rPr>
                <w:rFonts w:ascii="Sakkal Majalla" w:hAnsi="Sakkal Majalla" w:cs="Sakkal Majalla"/>
                <w:sz w:val="28"/>
                <w:szCs w:val="28"/>
                <w:rtl/>
              </w:rPr>
              <w:t>0.4</w:t>
            </w:r>
          </w:p>
        </w:tc>
        <w:tc>
          <w:tcPr>
            <w:tcW w:w="1721" w:type="dxa"/>
            <w:tcBorders>
              <w:top w:val="single" w:sz="4" w:space="0" w:color="auto"/>
              <w:left w:val="single" w:sz="4" w:space="0" w:color="auto"/>
              <w:bottom w:val="single" w:sz="4" w:space="0" w:color="auto"/>
              <w:right w:val="single" w:sz="4" w:space="0" w:color="auto"/>
            </w:tcBorders>
            <w:hideMark/>
          </w:tcPr>
          <w:p w:rsidR="0038150A" w:rsidRDefault="0038150A" w:rsidP="008504AD">
            <w:pPr>
              <w:bidi/>
              <w:jc w:val="center"/>
              <w:rPr>
                <w:rFonts w:ascii="Sakkal Majalla" w:hAnsi="Sakkal Majalla" w:cs="Sakkal Majalla"/>
                <w:sz w:val="28"/>
                <w:szCs w:val="28"/>
                <w:rtl/>
              </w:rPr>
            </w:pPr>
            <w:r>
              <w:rPr>
                <w:rFonts w:ascii="Sakkal Majalla" w:hAnsi="Sakkal Majalla" w:cs="Sakkal Majalla"/>
                <w:sz w:val="28"/>
                <w:szCs w:val="28"/>
                <w:rtl/>
              </w:rPr>
              <w:t>0.4</w:t>
            </w:r>
          </w:p>
        </w:tc>
      </w:tr>
    </w:tbl>
    <w:p w:rsidR="0038150A" w:rsidRDefault="0038150A" w:rsidP="0038150A">
      <w:pPr>
        <w:pStyle w:val="ListParagraph"/>
        <w:rPr>
          <w:rFonts w:asciiTheme="majorBidi" w:hAnsiTheme="majorBidi" w:cstheme="majorBidi"/>
          <w:sz w:val="26"/>
          <w:szCs w:val="26"/>
        </w:rPr>
      </w:pPr>
    </w:p>
    <w:p w:rsidR="0038150A" w:rsidRPr="00D8420C" w:rsidRDefault="0038150A" w:rsidP="0038150A">
      <w:pPr>
        <w:pStyle w:val="ListParagraph"/>
        <w:rPr>
          <w:rFonts w:asciiTheme="majorBidi" w:hAnsiTheme="majorBidi" w:cstheme="majorBidi"/>
          <w:sz w:val="26"/>
          <w:szCs w:val="26"/>
        </w:rPr>
      </w:pPr>
      <w:r>
        <w:rPr>
          <w:noProof/>
          <w:lang w:val="en-GB" w:eastAsia="en-GB"/>
        </w:rPr>
        <w:lastRenderedPageBreak/>
        <w:drawing>
          <wp:inline distT="0" distB="0" distL="0" distR="0" wp14:anchorId="4B337DDB" wp14:editId="11702615">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8150A" w:rsidRDefault="0038150A" w:rsidP="0038150A">
      <w:pPr>
        <w:jc w:val="both"/>
        <w:rPr>
          <w:rFonts w:asciiTheme="majorBidi" w:hAnsiTheme="majorBidi" w:cstheme="majorBidi"/>
          <w:sz w:val="26"/>
          <w:szCs w:val="26"/>
        </w:rPr>
      </w:pPr>
      <w:r>
        <w:rPr>
          <w:noProof/>
          <w:lang w:val="en-GB" w:eastAsia="en-GB"/>
        </w:rPr>
        <w:drawing>
          <wp:inline distT="0" distB="0" distL="0" distR="0" wp14:anchorId="1671C035" wp14:editId="24E77D29">
            <wp:extent cx="5943600" cy="3373120"/>
            <wp:effectExtent l="0" t="0" r="0" b="177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8150A" w:rsidRDefault="0038150A" w:rsidP="0038150A">
      <w:pPr>
        <w:jc w:val="both"/>
        <w:rPr>
          <w:rFonts w:asciiTheme="majorBidi" w:hAnsiTheme="majorBidi" w:cstheme="majorBidi"/>
          <w:sz w:val="26"/>
          <w:szCs w:val="26"/>
        </w:rPr>
      </w:pPr>
    </w:p>
    <w:p w:rsidR="0038150A" w:rsidRDefault="0038150A" w:rsidP="0038150A">
      <w:pPr>
        <w:jc w:val="both"/>
        <w:rPr>
          <w:rFonts w:asciiTheme="majorBidi" w:hAnsiTheme="majorBidi" w:cstheme="majorBidi"/>
          <w:sz w:val="26"/>
          <w:szCs w:val="26"/>
        </w:rPr>
      </w:pPr>
      <w:r>
        <w:rPr>
          <w:noProof/>
          <w:lang w:val="en-GB" w:eastAsia="en-GB"/>
        </w:rPr>
        <w:lastRenderedPageBreak/>
        <w:drawing>
          <wp:inline distT="0" distB="0" distL="0" distR="0" wp14:anchorId="5FB94172" wp14:editId="61108B0D">
            <wp:extent cx="5943600" cy="3862070"/>
            <wp:effectExtent l="0" t="0" r="0" b="50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8150A" w:rsidRPr="00533922" w:rsidRDefault="0038150A" w:rsidP="0038150A">
      <w:pPr>
        <w:jc w:val="both"/>
        <w:rPr>
          <w:rFonts w:asciiTheme="majorBidi" w:hAnsiTheme="majorBidi" w:cstheme="majorBidi"/>
          <w:b/>
          <w:bCs/>
          <w:sz w:val="26"/>
          <w:szCs w:val="26"/>
        </w:rPr>
      </w:pPr>
      <w:r w:rsidRPr="00533922">
        <w:rPr>
          <w:rFonts w:asciiTheme="majorBidi" w:hAnsiTheme="majorBidi" w:cstheme="majorBidi"/>
          <w:b/>
          <w:bCs/>
          <w:sz w:val="26"/>
          <w:szCs w:val="26"/>
        </w:rPr>
        <w:t xml:space="preserve">Q2: Please explain how persons with disabilities can access information about the existing services referred to in question one, including referral procedures, eligibility criteria and application requirements.  </w:t>
      </w:r>
    </w:p>
    <w:p w:rsidR="0038150A" w:rsidRPr="001547D2" w:rsidRDefault="0038150A" w:rsidP="0038150A">
      <w:pPr>
        <w:pStyle w:val="ListParagraph"/>
        <w:numPr>
          <w:ilvl w:val="0"/>
          <w:numId w:val="6"/>
        </w:numPr>
        <w:jc w:val="both"/>
        <w:rPr>
          <w:rFonts w:asciiTheme="majorBidi" w:hAnsiTheme="majorBidi" w:cstheme="majorBidi"/>
          <w:sz w:val="26"/>
          <w:szCs w:val="26"/>
        </w:rPr>
      </w:pPr>
      <w:r w:rsidRPr="001547D2">
        <w:rPr>
          <w:rFonts w:asciiTheme="majorBidi" w:hAnsiTheme="majorBidi" w:cstheme="majorBidi"/>
          <w:sz w:val="26"/>
          <w:szCs w:val="26"/>
        </w:rPr>
        <w:t xml:space="preserve">All persons with disabilities in the </w:t>
      </w:r>
      <w:r>
        <w:rPr>
          <w:rFonts w:asciiTheme="majorBidi" w:hAnsiTheme="majorBidi" w:cstheme="majorBidi"/>
          <w:sz w:val="26"/>
          <w:szCs w:val="26"/>
        </w:rPr>
        <w:t>S</w:t>
      </w:r>
      <w:r w:rsidRPr="001547D2">
        <w:rPr>
          <w:rFonts w:asciiTheme="majorBidi" w:hAnsiTheme="majorBidi" w:cstheme="majorBidi"/>
          <w:sz w:val="26"/>
          <w:szCs w:val="26"/>
        </w:rPr>
        <w:t>tate of Palestine have access to information</w:t>
      </w:r>
      <w:r>
        <w:rPr>
          <w:rFonts w:asciiTheme="majorBidi" w:hAnsiTheme="majorBidi" w:cstheme="majorBidi"/>
          <w:sz w:val="26"/>
          <w:szCs w:val="26"/>
        </w:rPr>
        <w:t xml:space="preserve"> in relation</w:t>
      </w:r>
      <w:r w:rsidRPr="001547D2">
        <w:rPr>
          <w:rFonts w:asciiTheme="majorBidi" w:hAnsiTheme="majorBidi" w:cstheme="majorBidi"/>
          <w:sz w:val="26"/>
          <w:szCs w:val="26"/>
        </w:rPr>
        <w:t xml:space="preserve"> to the services delivered by the ministry of social development</w:t>
      </w:r>
      <w:r>
        <w:rPr>
          <w:rFonts w:asciiTheme="majorBidi" w:hAnsiTheme="majorBidi" w:cstheme="majorBidi"/>
          <w:sz w:val="26"/>
          <w:szCs w:val="26"/>
        </w:rPr>
        <w:t>. In the meantime, all</w:t>
      </w:r>
      <w:r w:rsidRPr="001547D2">
        <w:rPr>
          <w:rFonts w:asciiTheme="majorBidi" w:hAnsiTheme="majorBidi" w:cstheme="majorBidi"/>
          <w:sz w:val="26"/>
          <w:szCs w:val="26"/>
        </w:rPr>
        <w:t xml:space="preserve"> </w:t>
      </w:r>
      <w:r>
        <w:rPr>
          <w:rFonts w:asciiTheme="majorBidi" w:hAnsiTheme="majorBidi" w:cstheme="majorBidi"/>
          <w:sz w:val="26"/>
          <w:szCs w:val="26"/>
        </w:rPr>
        <w:t xml:space="preserve">the </w:t>
      </w:r>
      <w:r w:rsidRPr="001547D2">
        <w:rPr>
          <w:rFonts w:asciiTheme="majorBidi" w:hAnsiTheme="majorBidi" w:cstheme="majorBidi"/>
          <w:sz w:val="26"/>
          <w:szCs w:val="26"/>
        </w:rPr>
        <w:t xml:space="preserve">information </w:t>
      </w:r>
      <w:r>
        <w:rPr>
          <w:rFonts w:asciiTheme="majorBidi" w:hAnsiTheme="majorBidi" w:cstheme="majorBidi"/>
          <w:sz w:val="26"/>
          <w:szCs w:val="26"/>
        </w:rPr>
        <w:t>is</w:t>
      </w:r>
      <w:r w:rsidRPr="001547D2">
        <w:rPr>
          <w:rFonts w:asciiTheme="majorBidi" w:hAnsiTheme="majorBidi" w:cstheme="majorBidi"/>
          <w:sz w:val="26"/>
          <w:szCs w:val="26"/>
        </w:rPr>
        <w:t xml:space="preserve"> available </w:t>
      </w:r>
      <w:r>
        <w:rPr>
          <w:rFonts w:asciiTheme="majorBidi" w:hAnsiTheme="majorBidi" w:cstheme="majorBidi"/>
          <w:sz w:val="26"/>
          <w:szCs w:val="26"/>
        </w:rPr>
        <w:t>in</w:t>
      </w:r>
      <w:r w:rsidRPr="001547D2">
        <w:rPr>
          <w:rFonts w:asciiTheme="majorBidi" w:hAnsiTheme="majorBidi" w:cstheme="majorBidi"/>
          <w:sz w:val="26"/>
          <w:szCs w:val="26"/>
        </w:rPr>
        <w:t xml:space="preserve"> the ministry’s official offices in all the regions and on the official website. </w:t>
      </w:r>
    </w:p>
    <w:p w:rsidR="0038150A" w:rsidRDefault="0038150A" w:rsidP="0038150A">
      <w:pPr>
        <w:jc w:val="both"/>
        <w:rPr>
          <w:rFonts w:asciiTheme="majorBidi" w:hAnsiTheme="majorBidi" w:cstheme="majorBidi"/>
          <w:b/>
          <w:bCs/>
          <w:sz w:val="26"/>
          <w:szCs w:val="26"/>
        </w:rPr>
      </w:pPr>
      <w:r w:rsidRPr="00200F95">
        <w:rPr>
          <w:rFonts w:asciiTheme="majorBidi" w:hAnsiTheme="majorBidi" w:cstheme="majorBidi"/>
          <w:b/>
          <w:bCs/>
          <w:sz w:val="26"/>
          <w:szCs w:val="26"/>
        </w:rPr>
        <w:t xml:space="preserve">Q3: </w:t>
      </w:r>
      <w:r>
        <w:rPr>
          <w:rFonts w:asciiTheme="majorBidi" w:hAnsiTheme="majorBidi" w:cstheme="majorBidi"/>
          <w:b/>
          <w:bCs/>
          <w:sz w:val="26"/>
          <w:szCs w:val="26"/>
        </w:rPr>
        <w:t xml:space="preserve">Please elaborate on how these services respond to the specific needs of persons with disabilities throughout their life cycle (infancy, childhood, adolescence, adulthood and older age) and how is service delivery ensured in the transition periods between life cycle stages. </w:t>
      </w:r>
    </w:p>
    <w:p w:rsidR="0038150A" w:rsidRPr="001547D2" w:rsidRDefault="0038150A" w:rsidP="0038150A">
      <w:pPr>
        <w:pStyle w:val="ListParagraph"/>
        <w:numPr>
          <w:ilvl w:val="0"/>
          <w:numId w:val="6"/>
        </w:numPr>
        <w:jc w:val="both"/>
        <w:rPr>
          <w:rFonts w:asciiTheme="majorBidi" w:hAnsiTheme="majorBidi" w:cstheme="majorBidi"/>
          <w:sz w:val="26"/>
          <w:szCs w:val="26"/>
        </w:rPr>
      </w:pPr>
      <w:r>
        <w:rPr>
          <w:rFonts w:asciiTheme="majorBidi" w:hAnsiTheme="majorBidi" w:cstheme="majorBidi"/>
          <w:sz w:val="26"/>
          <w:szCs w:val="26"/>
        </w:rPr>
        <w:t xml:space="preserve">The MOSA issued disability ID card, which qualify all people with disabilities to access health insurance and rehabilitation free of charge or with nominal fees, in light. In light of extended needs of people with disabilities, the Ministry’s contributes to service delivery is limited compared to services provided by private and Civil society organizations. </w:t>
      </w:r>
    </w:p>
    <w:p w:rsidR="0038150A" w:rsidRPr="00EE4376" w:rsidRDefault="0038150A" w:rsidP="0038150A">
      <w:pPr>
        <w:pStyle w:val="ListParagraph"/>
        <w:numPr>
          <w:ilvl w:val="0"/>
          <w:numId w:val="6"/>
        </w:numPr>
        <w:jc w:val="both"/>
        <w:rPr>
          <w:rFonts w:asciiTheme="majorBidi" w:hAnsiTheme="majorBidi" w:cstheme="majorBidi"/>
          <w:sz w:val="26"/>
          <w:szCs w:val="26"/>
        </w:rPr>
      </w:pPr>
      <w:r>
        <w:rPr>
          <w:rFonts w:asciiTheme="majorBidi" w:hAnsiTheme="majorBidi" w:cstheme="majorBidi"/>
          <w:sz w:val="26"/>
          <w:szCs w:val="26"/>
        </w:rPr>
        <w:t xml:space="preserve">In relation to disability ID card, the MOSA has finalized the case management system, including budget diagnosis and service map. The ministry concluded 23 agreements on service purchase with nationwide centers and societies to provide </w:t>
      </w:r>
      <w:r>
        <w:rPr>
          <w:rFonts w:asciiTheme="majorBidi" w:hAnsiTheme="majorBidi" w:cstheme="majorBidi"/>
          <w:sz w:val="26"/>
          <w:szCs w:val="26"/>
        </w:rPr>
        <w:lastRenderedPageBreak/>
        <w:t>care to 755 beneficiaries. Three agreements were signed to purchase domestic services for the benefit of persons with disabilities. The MOSA also delivered cash and in-kind assistance to people with disabilities and beneficiaries of various programs, including the cash assistance program and deprived families Economic Empowerment Program (DEEP).</w:t>
      </w:r>
      <w:r w:rsidRPr="00EE4376">
        <w:rPr>
          <w:rFonts w:asciiTheme="majorBidi" w:hAnsiTheme="majorBidi" w:cstheme="majorBidi"/>
          <w:sz w:val="26"/>
          <w:szCs w:val="26"/>
        </w:rPr>
        <w:t xml:space="preserve"> </w:t>
      </w:r>
    </w:p>
    <w:p w:rsidR="0038150A" w:rsidRDefault="0038150A" w:rsidP="0038150A">
      <w:pPr>
        <w:jc w:val="both"/>
        <w:rPr>
          <w:b/>
          <w:bCs/>
          <w:i/>
          <w:iCs/>
        </w:rPr>
      </w:pPr>
      <w:r>
        <w:rPr>
          <w:b/>
          <w:bCs/>
          <w:i/>
          <w:iCs/>
        </w:rPr>
        <w:t xml:space="preserve"> </w:t>
      </w:r>
    </w:p>
    <w:p w:rsidR="0038150A" w:rsidRDefault="0038150A" w:rsidP="0038150A">
      <w:pPr>
        <w:jc w:val="both"/>
        <w:rPr>
          <w:rFonts w:asciiTheme="majorBidi" w:hAnsiTheme="majorBidi" w:cstheme="majorBidi"/>
          <w:b/>
          <w:bCs/>
          <w:sz w:val="26"/>
          <w:szCs w:val="26"/>
        </w:rPr>
      </w:pPr>
    </w:p>
    <w:p w:rsidR="0038150A" w:rsidRDefault="0038150A" w:rsidP="0038150A">
      <w:pPr>
        <w:jc w:val="both"/>
        <w:rPr>
          <w:rFonts w:asciiTheme="majorBidi" w:hAnsiTheme="majorBidi" w:cstheme="majorBidi"/>
          <w:b/>
          <w:bCs/>
          <w:sz w:val="26"/>
          <w:szCs w:val="26"/>
        </w:rPr>
      </w:pPr>
    </w:p>
    <w:p w:rsidR="0038150A" w:rsidRDefault="0038150A" w:rsidP="0038150A">
      <w:pPr>
        <w:jc w:val="both"/>
        <w:rPr>
          <w:rFonts w:asciiTheme="majorBidi" w:hAnsiTheme="majorBidi" w:cstheme="majorBidi"/>
          <w:b/>
          <w:bCs/>
          <w:sz w:val="26"/>
          <w:szCs w:val="26"/>
        </w:rPr>
      </w:pPr>
      <w:r>
        <w:rPr>
          <w:noProof/>
          <w:lang w:val="en-GB" w:eastAsia="en-GB"/>
        </w:rPr>
        <w:drawing>
          <wp:inline distT="0" distB="0" distL="0" distR="0" wp14:anchorId="52B36D5B" wp14:editId="48770AA8">
            <wp:extent cx="5943600" cy="3466465"/>
            <wp:effectExtent l="0" t="0" r="0" b="63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8150A" w:rsidRDefault="0038150A" w:rsidP="0038150A">
      <w:pPr>
        <w:jc w:val="both"/>
        <w:rPr>
          <w:rFonts w:asciiTheme="majorBidi" w:hAnsiTheme="majorBidi" w:cstheme="majorBidi"/>
          <w:b/>
          <w:bCs/>
          <w:sz w:val="26"/>
          <w:szCs w:val="26"/>
        </w:rPr>
      </w:pPr>
      <w:r>
        <w:rPr>
          <w:noProof/>
          <w:lang w:val="en-GB" w:eastAsia="en-GB"/>
        </w:rPr>
        <w:lastRenderedPageBreak/>
        <w:drawing>
          <wp:inline distT="0" distB="0" distL="0" distR="0" wp14:anchorId="19E0BDA1" wp14:editId="5DD780DC">
            <wp:extent cx="5943600" cy="3466465"/>
            <wp:effectExtent l="0" t="0" r="0" b="63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8150A" w:rsidRDefault="0038150A" w:rsidP="0038150A">
      <w:pPr>
        <w:jc w:val="both"/>
        <w:rPr>
          <w:rFonts w:asciiTheme="majorBidi" w:hAnsiTheme="majorBidi" w:cstheme="majorBidi"/>
          <w:b/>
          <w:bCs/>
          <w:sz w:val="26"/>
          <w:szCs w:val="26"/>
        </w:rPr>
      </w:pPr>
    </w:p>
    <w:p w:rsidR="0038150A" w:rsidRDefault="0038150A" w:rsidP="0038150A">
      <w:pPr>
        <w:jc w:val="both"/>
        <w:rPr>
          <w:rFonts w:asciiTheme="majorBidi" w:hAnsiTheme="majorBidi" w:cstheme="majorBidi"/>
          <w:b/>
          <w:bCs/>
          <w:sz w:val="26"/>
          <w:szCs w:val="26"/>
        </w:rPr>
      </w:pPr>
      <w:r>
        <w:rPr>
          <w:noProof/>
          <w:lang w:val="en-GB" w:eastAsia="en-GB"/>
        </w:rPr>
        <w:drawing>
          <wp:inline distT="0" distB="0" distL="0" distR="0" wp14:anchorId="2F775AAE" wp14:editId="10DE8820">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8150A" w:rsidRDefault="0038150A" w:rsidP="0038150A">
      <w:pPr>
        <w:jc w:val="both"/>
        <w:rPr>
          <w:rFonts w:asciiTheme="majorBidi" w:hAnsiTheme="majorBidi" w:cstheme="majorBidi"/>
          <w:b/>
          <w:bCs/>
          <w:sz w:val="26"/>
          <w:szCs w:val="26"/>
        </w:rPr>
      </w:pPr>
    </w:p>
    <w:p w:rsidR="0038150A" w:rsidRDefault="0038150A" w:rsidP="0038150A">
      <w:pPr>
        <w:jc w:val="both"/>
        <w:rPr>
          <w:i/>
          <w:iCs/>
        </w:rPr>
      </w:pPr>
    </w:p>
    <w:p w:rsidR="0038150A" w:rsidRPr="00A93931" w:rsidRDefault="0038150A" w:rsidP="0038150A">
      <w:pPr>
        <w:jc w:val="both"/>
        <w:rPr>
          <w:rFonts w:asciiTheme="majorBidi" w:hAnsiTheme="majorBidi" w:cstheme="majorBidi"/>
          <w:i/>
          <w:iCs/>
          <w:sz w:val="26"/>
          <w:szCs w:val="26"/>
        </w:rPr>
      </w:pPr>
      <w:r w:rsidRPr="00914030">
        <w:rPr>
          <w:rFonts w:asciiTheme="majorBidi" w:hAnsiTheme="majorBidi" w:cstheme="majorBidi"/>
          <w:b/>
          <w:bCs/>
          <w:sz w:val="26"/>
          <w:szCs w:val="26"/>
        </w:rPr>
        <w:t>Q 4</w:t>
      </w:r>
      <w:r w:rsidRPr="00A93931">
        <w:rPr>
          <w:rFonts w:asciiTheme="majorBidi" w:hAnsiTheme="majorBidi" w:cstheme="majorBidi"/>
          <w:b/>
          <w:bCs/>
          <w:i/>
          <w:iCs/>
          <w:sz w:val="26"/>
          <w:szCs w:val="26"/>
        </w:rPr>
        <w:t>:</w:t>
      </w:r>
      <w:r w:rsidRPr="00A93931">
        <w:rPr>
          <w:rFonts w:asciiTheme="majorBidi" w:hAnsiTheme="majorBidi" w:cstheme="majorBidi"/>
          <w:i/>
          <w:iCs/>
          <w:sz w:val="26"/>
          <w:szCs w:val="26"/>
        </w:rPr>
        <w:t xml:space="preserve"> </w:t>
      </w:r>
      <w:r w:rsidRPr="00A93931">
        <w:rPr>
          <w:rFonts w:asciiTheme="majorBidi" w:hAnsiTheme="majorBidi" w:cstheme="majorBidi"/>
          <w:b/>
          <w:bCs/>
          <w:sz w:val="26"/>
          <w:szCs w:val="26"/>
        </w:rPr>
        <w:t xml:space="preserve">Please provide information on the number of certified sign language interpreters and </w:t>
      </w:r>
      <w:proofErr w:type="spellStart"/>
      <w:r w:rsidRPr="00A93931">
        <w:rPr>
          <w:rFonts w:asciiTheme="majorBidi" w:hAnsiTheme="majorBidi" w:cstheme="majorBidi"/>
          <w:b/>
          <w:bCs/>
          <w:sz w:val="26"/>
          <w:szCs w:val="26"/>
        </w:rPr>
        <w:t>deafblind</w:t>
      </w:r>
      <w:proofErr w:type="spellEnd"/>
      <w:r w:rsidRPr="00A93931">
        <w:rPr>
          <w:rFonts w:asciiTheme="majorBidi" w:hAnsiTheme="majorBidi" w:cstheme="majorBidi"/>
          <w:b/>
          <w:bCs/>
          <w:sz w:val="26"/>
          <w:szCs w:val="26"/>
        </w:rPr>
        <w:t xml:space="preserve"> interpreters available in your country.</w:t>
      </w:r>
    </w:p>
    <w:p w:rsidR="0038150A" w:rsidRPr="001547D2" w:rsidRDefault="0038150A" w:rsidP="0038150A">
      <w:pPr>
        <w:pStyle w:val="ListParagraph"/>
        <w:numPr>
          <w:ilvl w:val="0"/>
          <w:numId w:val="7"/>
        </w:numPr>
        <w:jc w:val="both"/>
        <w:rPr>
          <w:rFonts w:asciiTheme="majorBidi" w:hAnsiTheme="majorBidi" w:cstheme="majorBidi"/>
          <w:i/>
          <w:iCs/>
          <w:sz w:val="26"/>
          <w:szCs w:val="26"/>
        </w:rPr>
      </w:pPr>
      <w:r w:rsidRPr="001547D2">
        <w:rPr>
          <w:rFonts w:asciiTheme="majorBidi" w:hAnsiTheme="majorBidi" w:cstheme="majorBidi"/>
          <w:sz w:val="26"/>
          <w:szCs w:val="26"/>
        </w:rPr>
        <w:lastRenderedPageBreak/>
        <w:t xml:space="preserve">The number of certified sign language interpreters in Palestine </w:t>
      </w:r>
      <w:r>
        <w:rPr>
          <w:rFonts w:asciiTheme="majorBidi" w:hAnsiTheme="majorBidi" w:cstheme="majorBidi"/>
          <w:sz w:val="26"/>
          <w:szCs w:val="26"/>
        </w:rPr>
        <w:t>is</w:t>
      </w:r>
      <w:r w:rsidRPr="001547D2">
        <w:rPr>
          <w:rFonts w:asciiTheme="majorBidi" w:hAnsiTheme="majorBidi" w:cstheme="majorBidi"/>
          <w:sz w:val="26"/>
          <w:szCs w:val="26"/>
        </w:rPr>
        <w:t xml:space="preserve"> five; the Palestinian Deaf Union is the certified reference for granting certificates of practice. </w:t>
      </w:r>
      <w:r>
        <w:rPr>
          <w:rFonts w:asciiTheme="majorBidi" w:hAnsiTheme="majorBidi" w:cstheme="majorBidi"/>
          <w:sz w:val="26"/>
          <w:szCs w:val="26"/>
        </w:rPr>
        <w:t>T</w:t>
      </w:r>
      <w:r w:rsidRPr="001547D2">
        <w:rPr>
          <w:rFonts w:asciiTheme="majorBidi" w:hAnsiTheme="majorBidi" w:cstheme="majorBidi"/>
          <w:sz w:val="26"/>
          <w:szCs w:val="26"/>
        </w:rPr>
        <w:t xml:space="preserve">here are no </w:t>
      </w:r>
      <w:proofErr w:type="spellStart"/>
      <w:r>
        <w:rPr>
          <w:rFonts w:asciiTheme="majorBidi" w:hAnsiTheme="majorBidi" w:cstheme="majorBidi"/>
          <w:sz w:val="26"/>
          <w:szCs w:val="26"/>
        </w:rPr>
        <w:t>deafblind</w:t>
      </w:r>
      <w:proofErr w:type="spellEnd"/>
      <w:r>
        <w:rPr>
          <w:rFonts w:asciiTheme="majorBidi" w:hAnsiTheme="majorBidi" w:cstheme="majorBidi"/>
          <w:sz w:val="26"/>
          <w:szCs w:val="26"/>
        </w:rPr>
        <w:t xml:space="preserve"> </w:t>
      </w:r>
      <w:r w:rsidRPr="001547D2">
        <w:rPr>
          <w:rFonts w:asciiTheme="majorBidi" w:hAnsiTheme="majorBidi" w:cstheme="majorBidi"/>
          <w:sz w:val="26"/>
          <w:szCs w:val="26"/>
        </w:rPr>
        <w:t>inte</w:t>
      </w:r>
      <w:r>
        <w:rPr>
          <w:rFonts w:asciiTheme="majorBidi" w:hAnsiTheme="majorBidi" w:cstheme="majorBidi"/>
          <w:sz w:val="26"/>
          <w:szCs w:val="26"/>
        </w:rPr>
        <w:t>rpreters in Palestine. P</w:t>
      </w:r>
      <w:r w:rsidRPr="001547D2">
        <w:rPr>
          <w:rFonts w:asciiTheme="majorBidi" w:hAnsiTheme="majorBidi" w:cstheme="majorBidi"/>
          <w:sz w:val="26"/>
          <w:szCs w:val="26"/>
        </w:rPr>
        <w:t xml:space="preserve">ersons with </w:t>
      </w:r>
      <w:proofErr w:type="spellStart"/>
      <w:r w:rsidRPr="001547D2">
        <w:rPr>
          <w:rFonts w:asciiTheme="majorBidi" w:hAnsiTheme="majorBidi" w:cstheme="majorBidi"/>
          <w:sz w:val="26"/>
          <w:szCs w:val="26"/>
        </w:rPr>
        <w:t>deafblind</w:t>
      </w:r>
      <w:proofErr w:type="spellEnd"/>
      <w:r w:rsidRPr="001547D2">
        <w:rPr>
          <w:rFonts w:asciiTheme="majorBidi" w:hAnsiTheme="majorBidi" w:cstheme="majorBidi"/>
          <w:sz w:val="26"/>
          <w:szCs w:val="26"/>
        </w:rPr>
        <w:t xml:space="preserve"> disability are communicating through touch with their families, as they are underserved within the services available in Palestine. </w:t>
      </w:r>
      <w:r w:rsidRPr="001547D2">
        <w:rPr>
          <w:rFonts w:asciiTheme="majorBidi" w:hAnsiTheme="majorBidi" w:cstheme="majorBidi"/>
          <w:i/>
          <w:iCs/>
          <w:sz w:val="26"/>
          <w:szCs w:val="26"/>
        </w:rPr>
        <w:t>(Info source: Palestinian Deaf Union)</w:t>
      </w:r>
    </w:p>
    <w:p w:rsidR="0038150A" w:rsidRDefault="0038150A" w:rsidP="0038150A">
      <w:pPr>
        <w:pStyle w:val="ListParagraph"/>
        <w:numPr>
          <w:ilvl w:val="0"/>
          <w:numId w:val="7"/>
        </w:numPr>
        <w:jc w:val="both"/>
        <w:rPr>
          <w:rFonts w:asciiTheme="majorBidi" w:hAnsiTheme="majorBidi" w:cstheme="majorBidi"/>
          <w:sz w:val="26"/>
          <w:szCs w:val="26"/>
        </w:rPr>
      </w:pPr>
      <w:r w:rsidRPr="0039116B">
        <w:rPr>
          <w:rFonts w:asciiTheme="majorBidi" w:hAnsiTheme="majorBidi" w:cstheme="majorBidi"/>
          <w:sz w:val="26"/>
          <w:szCs w:val="26"/>
        </w:rPr>
        <w:t xml:space="preserve">In addition to that, for communication in media, the national Palestine TV offers sign language only once a day for </w:t>
      </w:r>
      <w:proofErr w:type="gramStart"/>
      <w:r w:rsidRPr="0039116B">
        <w:rPr>
          <w:rFonts w:asciiTheme="majorBidi" w:hAnsiTheme="majorBidi" w:cstheme="majorBidi"/>
          <w:sz w:val="26"/>
          <w:szCs w:val="26"/>
        </w:rPr>
        <w:t>one news</w:t>
      </w:r>
      <w:proofErr w:type="gramEnd"/>
      <w:r w:rsidRPr="0039116B">
        <w:rPr>
          <w:rFonts w:asciiTheme="majorBidi" w:hAnsiTheme="majorBidi" w:cstheme="majorBidi"/>
          <w:sz w:val="26"/>
          <w:szCs w:val="26"/>
        </w:rPr>
        <w:t xml:space="preserve"> bulletin. </w:t>
      </w:r>
      <w:r>
        <w:rPr>
          <w:rFonts w:asciiTheme="majorBidi" w:hAnsiTheme="majorBidi" w:cstheme="majorBidi"/>
          <w:sz w:val="26"/>
          <w:szCs w:val="26"/>
        </w:rPr>
        <w:t xml:space="preserve">However, other Palestinian television network like </w:t>
      </w:r>
      <w:proofErr w:type="spellStart"/>
      <w:r>
        <w:rPr>
          <w:rFonts w:asciiTheme="majorBidi" w:hAnsiTheme="majorBidi" w:cstheme="majorBidi"/>
          <w:sz w:val="26"/>
          <w:szCs w:val="26"/>
        </w:rPr>
        <w:t>Ma’an</w:t>
      </w:r>
      <w:proofErr w:type="spellEnd"/>
      <w:r>
        <w:rPr>
          <w:rFonts w:asciiTheme="majorBidi" w:hAnsiTheme="majorBidi" w:cstheme="majorBidi"/>
          <w:sz w:val="26"/>
          <w:szCs w:val="26"/>
        </w:rPr>
        <w:t xml:space="preserve"> news network does not offer any sign services to </w:t>
      </w:r>
      <w:proofErr w:type="spellStart"/>
      <w:r>
        <w:rPr>
          <w:rFonts w:asciiTheme="majorBidi" w:hAnsiTheme="majorBidi" w:cstheme="majorBidi"/>
          <w:sz w:val="26"/>
          <w:szCs w:val="26"/>
        </w:rPr>
        <w:t>PwD</w:t>
      </w:r>
      <w:proofErr w:type="spellEnd"/>
      <w:r>
        <w:rPr>
          <w:rFonts w:asciiTheme="majorBidi" w:hAnsiTheme="majorBidi" w:cstheme="majorBidi"/>
          <w:sz w:val="26"/>
          <w:szCs w:val="26"/>
        </w:rPr>
        <w:t>.</w:t>
      </w:r>
    </w:p>
    <w:p w:rsidR="0038150A" w:rsidRPr="0039116B" w:rsidRDefault="0038150A" w:rsidP="0038150A">
      <w:pPr>
        <w:pStyle w:val="ListParagraph"/>
        <w:numPr>
          <w:ilvl w:val="0"/>
          <w:numId w:val="7"/>
        </w:numPr>
        <w:jc w:val="both"/>
        <w:rPr>
          <w:rFonts w:asciiTheme="majorBidi" w:hAnsiTheme="majorBidi" w:cstheme="majorBidi"/>
          <w:sz w:val="26"/>
          <w:szCs w:val="26"/>
        </w:rPr>
      </w:pPr>
      <w:r w:rsidRPr="0039116B">
        <w:rPr>
          <w:rFonts w:asciiTheme="majorBidi" w:hAnsiTheme="majorBidi" w:cstheme="majorBidi"/>
          <w:sz w:val="26"/>
          <w:szCs w:val="26"/>
        </w:rPr>
        <w:t xml:space="preserve">Persons with deaf disabilities communicate through smartphone cameras and SMS messages. Israeli telecommunication companies are not allowing Palestinian telecommunication companies to benefit from this service through dominating internet services.  </w:t>
      </w:r>
    </w:p>
    <w:p w:rsidR="0038150A" w:rsidRDefault="0038150A" w:rsidP="0038150A">
      <w:pPr>
        <w:jc w:val="both"/>
        <w:rPr>
          <w:rFonts w:asciiTheme="majorBidi" w:hAnsiTheme="majorBidi" w:cstheme="majorBidi"/>
          <w:sz w:val="26"/>
          <w:szCs w:val="26"/>
        </w:rPr>
      </w:pPr>
    </w:p>
    <w:p w:rsidR="0038150A" w:rsidRPr="00914030" w:rsidRDefault="0038150A" w:rsidP="0038150A">
      <w:pPr>
        <w:jc w:val="both"/>
        <w:rPr>
          <w:rFonts w:asciiTheme="majorBidi" w:hAnsiTheme="majorBidi" w:cstheme="majorBidi"/>
          <w:b/>
          <w:bCs/>
          <w:sz w:val="26"/>
          <w:szCs w:val="26"/>
        </w:rPr>
      </w:pPr>
      <w:r w:rsidRPr="00914030">
        <w:rPr>
          <w:rFonts w:asciiTheme="majorBidi" w:hAnsiTheme="majorBidi" w:cstheme="majorBidi"/>
          <w:b/>
          <w:bCs/>
          <w:sz w:val="26"/>
          <w:szCs w:val="26"/>
        </w:rPr>
        <w:t>Q 5: Please provide information on the existence of any partnership between State institutions and private service providers (</w:t>
      </w:r>
      <w:proofErr w:type="spellStart"/>
      <w:r w:rsidRPr="00914030">
        <w:rPr>
          <w:rFonts w:asciiTheme="majorBidi" w:hAnsiTheme="majorBidi" w:cstheme="majorBidi"/>
          <w:b/>
          <w:bCs/>
          <w:sz w:val="26"/>
          <w:szCs w:val="26"/>
        </w:rPr>
        <w:t>e.g</w:t>
      </w:r>
      <w:proofErr w:type="spellEnd"/>
      <w:r w:rsidRPr="00914030">
        <w:rPr>
          <w:rFonts w:asciiTheme="majorBidi" w:hAnsiTheme="majorBidi" w:cstheme="majorBidi"/>
          <w:b/>
          <w:bCs/>
          <w:sz w:val="26"/>
          <w:szCs w:val="26"/>
        </w:rPr>
        <w:t xml:space="preserve">, non-governmental organizations, for profit service providers) for the provision of support to </w:t>
      </w:r>
      <w:proofErr w:type="spellStart"/>
      <w:r w:rsidRPr="00914030">
        <w:rPr>
          <w:rFonts w:asciiTheme="majorBidi" w:hAnsiTheme="majorBidi" w:cstheme="majorBidi"/>
          <w:b/>
          <w:bCs/>
          <w:sz w:val="26"/>
          <w:szCs w:val="26"/>
        </w:rPr>
        <w:t>PwD</w:t>
      </w:r>
      <w:proofErr w:type="spellEnd"/>
      <w:r w:rsidRPr="00914030">
        <w:rPr>
          <w:rFonts w:asciiTheme="majorBidi" w:hAnsiTheme="majorBidi" w:cstheme="majorBidi"/>
          <w:b/>
          <w:bCs/>
          <w:sz w:val="26"/>
          <w:szCs w:val="26"/>
        </w:rPr>
        <w:t>.</w:t>
      </w:r>
    </w:p>
    <w:p w:rsidR="0038150A" w:rsidRPr="00D91D83" w:rsidRDefault="0038150A" w:rsidP="0038150A">
      <w:pPr>
        <w:pStyle w:val="ListParagraph"/>
        <w:numPr>
          <w:ilvl w:val="0"/>
          <w:numId w:val="8"/>
        </w:numPr>
        <w:jc w:val="both"/>
        <w:rPr>
          <w:rFonts w:asciiTheme="majorBidi" w:hAnsiTheme="majorBidi" w:cstheme="majorBidi"/>
          <w:sz w:val="26"/>
          <w:szCs w:val="26"/>
        </w:rPr>
      </w:pPr>
      <w:r w:rsidRPr="00D91D83">
        <w:rPr>
          <w:rFonts w:asciiTheme="majorBidi" w:hAnsiTheme="majorBidi" w:cstheme="majorBidi"/>
          <w:sz w:val="26"/>
          <w:szCs w:val="26"/>
        </w:rPr>
        <w:t xml:space="preserve">Since the establishment of the Palestinian Authority and its institutions, Civil Society Organizations have attempted to build partnerships with it, aiming to participate in the nation building process at all levels. In the disability sector, before and after the PNA, CSOs, NGOs and INGOs have continued to be the main supporters to the rights and providers to the needs of </w:t>
      </w:r>
      <w:proofErr w:type="spellStart"/>
      <w:r w:rsidRPr="00D91D83">
        <w:rPr>
          <w:rFonts w:asciiTheme="majorBidi" w:hAnsiTheme="majorBidi" w:cstheme="majorBidi"/>
          <w:sz w:val="26"/>
          <w:szCs w:val="26"/>
        </w:rPr>
        <w:t>PwD</w:t>
      </w:r>
      <w:proofErr w:type="spellEnd"/>
      <w:r w:rsidRPr="00D91D83">
        <w:rPr>
          <w:rFonts w:asciiTheme="majorBidi" w:hAnsiTheme="majorBidi" w:cstheme="majorBidi"/>
          <w:sz w:val="26"/>
          <w:szCs w:val="26"/>
        </w:rPr>
        <w:t xml:space="preserve"> through foreign aid. During the past 22 years, the Palestinian government has played the role of a service provider to some services for </w:t>
      </w:r>
      <w:proofErr w:type="spellStart"/>
      <w:r w:rsidRPr="00D91D83">
        <w:rPr>
          <w:rFonts w:asciiTheme="majorBidi" w:hAnsiTheme="majorBidi" w:cstheme="majorBidi"/>
          <w:sz w:val="26"/>
          <w:szCs w:val="26"/>
        </w:rPr>
        <w:t>PwD</w:t>
      </w:r>
      <w:proofErr w:type="spellEnd"/>
      <w:r w:rsidRPr="00D91D83">
        <w:rPr>
          <w:rFonts w:asciiTheme="majorBidi" w:hAnsiTheme="majorBidi" w:cstheme="majorBidi"/>
          <w:sz w:val="26"/>
          <w:szCs w:val="26"/>
        </w:rPr>
        <w:t xml:space="preserve">, instead of creating the social security system and disability card that entitles all </w:t>
      </w:r>
      <w:proofErr w:type="spellStart"/>
      <w:r w:rsidRPr="00D91D83">
        <w:rPr>
          <w:rFonts w:asciiTheme="majorBidi" w:hAnsiTheme="majorBidi" w:cstheme="majorBidi"/>
          <w:sz w:val="26"/>
          <w:szCs w:val="26"/>
        </w:rPr>
        <w:t>PwD</w:t>
      </w:r>
      <w:proofErr w:type="spellEnd"/>
      <w:r w:rsidRPr="00D91D83">
        <w:rPr>
          <w:rFonts w:asciiTheme="majorBidi" w:hAnsiTheme="majorBidi" w:cstheme="majorBidi"/>
          <w:sz w:val="26"/>
          <w:szCs w:val="26"/>
        </w:rPr>
        <w:t xml:space="preserve"> to obtain their rights and needs in dignity. Until this day the rights of </w:t>
      </w:r>
      <w:proofErr w:type="spellStart"/>
      <w:r w:rsidRPr="00D91D83">
        <w:rPr>
          <w:rFonts w:asciiTheme="majorBidi" w:hAnsiTheme="majorBidi" w:cstheme="majorBidi"/>
          <w:sz w:val="26"/>
          <w:szCs w:val="26"/>
        </w:rPr>
        <w:t>PwD</w:t>
      </w:r>
      <w:proofErr w:type="spellEnd"/>
      <w:r w:rsidRPr="00D91D83">
        <w:rPr>
          <w:rFonts w:asciiTheme="majorBidi" w:hAnsiTheme="majorBidi" w:cstheme="majorBidi"/>
          <w:sz w:val="26"/>
          <w:szCs w:val="26"/>
        </w:rPr>
        <w:t xml:space="preserve"> are pending. Until these rights are acknowledged by a decision maker. </w:t>
      </w:r>
    </w:p>
    <w:p w:rsidR="0038150A" w:rsidRPr="001547D2" w:rsidRDefault="0038150A" w:rsidP="0038150A">
      <w:pPr>
        <w:pStyle w:val="ListParagraph"/>
        <w:numPr>
          <w:ilvl w:val="0"/>
          <w:numId w:val="8"/>
        </w:numPr>
        <w:jc w:val="both"/>
        <w:rPr>
          <w:rFonts w:asciiTheme="majorBidi" w:hAnsiTheme="majorBidi" w:cstheme="majorBidi"/>
          <w:sz w:val="26"/>
          <w:szCs w:val="26"/>
        </w:rPr>
      </w:pPr>
      <w:r w:rsidRPr="001547D2">
        <w:rPr>
          <w:rFonts w:asciiTheme="majorBidi" w:hAnsiTheme="majorBidi" w:cstheme="majorBidi"/>
          <w:sz w:val="26"/>
          <w:szCs w:val="26"/>
        </w:rPr>
        <w:t xml:space="preserve">E.g., The </w:t>
      </w:r>
      <w:proofErr w:type="spellStart"/>
      <w:r w:rsidRPr="001547D2">
        <w:rPr>
          <w:rFonts w:asciiTheme="majorBidi" w:hAnsiTheme="majorBidi" w:cstheme="majorBidi"/>
          <w:sz w:val="26"/>
          <w:szCs w:val="26"/>
        </w:rPr>
        <w:t>MoSD</w:t>
      </w:r>
      <w:proofErr w:type="spellEnd"/>
      <w:r w:rsidRPr="001547D2">
        <w:rPr>
          <w:rFonts w:asciiTheme="majorBidi" w:hAnsiTheme="majorBidi" w:cstheme="majorBidi"/>
          <w:sz w:val="26"/>
          <w:szCs w:val="26"/>
        </w:rPr>
        <w:t xml:space="preserve"> has partnerships with 28 CSOs that provides </w:t>
      </w:r>
      <w:proofErr w:type="spellStart"/>
      <w:r w:rsidRPr="001547D2">
        <w:rPr>
          <w:rFonts w:asciiTheme="majorBidi" w:hAnsiTheme="majorBidi" w:cstheme="majorBidi"/>
          <w:sz w:val="26"/>
          <w:szCs w:val="26"/>
        </w:rPr>
        <w:t>PwD</w:t>
      </w:r>
      <w:proofErr w:type="spellEnd"/>
      <w:r w:rsidRPr="001547D2">
        <w:rPr>
          <w:rFonts w:asciiTheme="majorBidi" w:hAnsiTheme="majorBidi" w:cstheme="majorBidi"/>
          <w:sz w:val="26"/>
          <w:szCs w:val="26"/>
        </w:rPr>
        <w:t xml:space="preserve"> services in different specialization</w:t>
      </w:r>
      <w:r>
        <w:rPr>
          <w:rFonts w:asciiTheme="majorBidi" w:hAnsiTheme="majorBidi" w:cstheme="majorBidi"/>
          <w:sz w:val="26"/>
          <w:szCs w:val="26"/>
        </w:rPr>
        <w:t>s</w:t>
      </w:r>
      <w:r w:rsidRPr="001547D2">
        <w:rPr>
          <w:rFonts w:asciiTheme="majorBidi" w:hAnsiTheme="majorBidi" w:cstheme="majorBidi"/>
          <w:sz w:val="26"/>
          <w:szCs w:val="26"/>
        </w:rPr>
        <w:t xml:space="preserve"> in Palestine, </w:t>
      </w:r>
      <w:r>
        <w:rPr>
          <w:rFonts w:asciiTheme="majorBidi" w:hAnsiTheme="majorBidi" w:cstheme="majorBidi"/>
          <w:sz w:val="26"/>
          <w:szCs w:val="26"/>
        </w:rPr>
        <w:t>by offering the services for sale</w:t>
      </w:r>
      <w:r w:rsidRPr="001547D2">
        <w:rPr>
          <w:rFonts w:asciiTheme="majorBidi" w:hAnsiTheme="majorBidi" w:cstheme="majorBidi"/>
          <w:sz w:val="26"/>
          <w:szCs w:val="26"/>
        </w:rPr>
        <w:t>.</w:t>
      </w:r>
    </w:p>
    <w:p w:rsidR="0038150A" w:rsidRPr="001547D2" w:rsidRDefault="0038150A" w:rsidP="0038150A">
      <w:pPr>
        <w:pStyle w:val="ListParagraph"/>
        <w:numPr>
          <w:ilvl w:val="0"/>
          <w:numId w:val="8"/>
        </w:numPr>
        <w:jc w:val="both"/>
        <w:rPr>
          <w:rFonts w:asciiTheme="majorBidi" w:hAnsiTheme="majorBidi" w:cstheme="majorBidi"/>
          <w:sz w:val="26"/>
          <w:szCs w:val="26"/>
        </w:rPr>
      </w:pPr>
      <w:r>
        <w:rPr>
          <w:rFonts w:asciiTheme="majorBidi" w:hAnsiTheme="majorBidi" w:cstheme="majorBidi"/>
          <w:sz w:val="26"/>
          <w:szCs w:val="26"/>
        </w:rPr>
        <w:t>E</w:t>
      </w:r>
      <w:r w:rsidRPr="001547D2">
        <w:rPr>
          <w:rFonts w:asciiTheme="majorBidi" w:hAnsiTheme="majorBidi" w:cstheme="majorBidi"/>
          <w:sz w:val="26"/>
          <w:szCs w:val="26"/>
        </w:rPr>
        <w:t>.g.</w:t>
      </w:r>
      <w:r>
        <w:rPr>
          <w:rFonts w:asciiTheme="majorBidi" w:hAnsiTheme="majorBidi" w:cstheme="majorBidi"/>
          <w:sz w:val="26"/>
          <w:szCs w:val="26"/>
        </w:rPr>
        <w:t>,</w:t>
      </w:r>
      <w:r w:rsidRPr="001547D2">
        <w:rPr>
          <w:rFonts w:asciiTheme="majorBidi" w:hAnsiTheme="majorBidi" w:cstheme="majorBidi"/>
          <w:sz w:val="26"/>
          <w:szCs w:val="26"/>
        </w:rPr>
        <w:t xml:space="preserve"> QADER since its establishment as a CSO working in the disability </w:t>
      </w:r>
      <w:r>
        <w:rPr>
          <w:rFonts w:asciiTheme="majorBidi" w:hAnsiTheme="majorBidi" w:cstheme="majorBidi"/>
          <w:sz w:val="26"/>
          <w:szCs w:val="26"/>
        </w:rPr>
        <w:t xml:space="preserve">sector, it </w:t>
      </w:r>
      <w:r w:rsidRPr="001547D2">
        <w:rPr>
          <w:rFonts w:asciiTheme="majorBidi" w:hAnsiTheme="majorBidi" w:cstheme="majorBidi"/>
          <w:sz w:val="26"/>
          <w:szCs w:val="26"/>
        </w:rPr>
        <w:t xml:space="preserve"> has </w:t>
      </w:r>
      <w:r>
        <w:rPr>
          <w:rFonts w:asciiTheme="majorBidi" w:hAnsiTheme="majorBidi" w:cstheme="majorBidi"/>
          <w:sz w:val="26"/>
          <w:szCs w:val="26"/>
        </w:rPr>
        <w:t>partnered</w:t>
      </w:r>
      <w:r w:rsidRPr="001547D2">
        <w:rPr>
          <w:rFonts w:asciiTheme="majorBidi" w:hAnsiTheme="majorBidi" w:cstheme="majorBidi"/>
          <w:sz w:val="26"/>
          <w:szCs w:val="26"/>
        </w:rPr>
        <w:t xml:space="preserve"> with three main ministries (M</w:t>
      </w:r>
      <w:r>
        <w:rPr>
          <w:rFonts w:asciiTheme="majorBidi" w:hAnsiTheme="majorBidi" w:cstheme="majorBidi"/>
          <w:sz w:val="26"/>
          <w:szCs w:val="26"/>
        </w:rPr>
        <w:t>OS</w:t>
      </w:r>
      <w:r w:rsidRPr="001547D2">
        <w:rPr>
          <w:rFonts w:asciiTheme="majorBidi" w:hAnsiTheme="majorBidi" w:cstheme="majorBidi"/>
          <w:sz w:val="26"/>
          <w:szCs w:val="26"/>
        </w:rPr>
        <w:t>D, M</w:t>
      </w:r>
      <w:r>
        <w:rPr>
          <w:rFonts w:asciiTheme="majorBidi" w:hAnsiTheme="majorBidi" w:cstheme="majorBidi"/>
          <w:sz w:val="26"/>
          <w:szCs w:val="26"/>
        </w:rPr>
        <w:t>O</w:t>
      </w:r>
      <w:r w:rsidRPr="001547D2">
        <w:rPr>
          <w:rFonts w:asciiTheme="majorBidi" w:hAnsiTheme="majorBidi" w:cstheme="majorBidi"/>
          <w:sz w:val="26"/>
          <w:szCs w:val="26"/>
        </w:rPr>
        <w:t>H, M</w:t>
      </w:r>
      <w:r>
        <w:rPr>
          <w:rFonts w:asciiTheme="majorBidi" w:hAnsiTheme="majorBidi" w:cstheme="majorBidi"/>
          <w:sz w:val="26"/>
          <w:szCs w:val="26"/>
        </w:rPr>
        <w:t>O</w:t>
      </w:r>
      <w:r w:rsidRPr="001547D2">
        <w:rPr>
          <w:rFonts w:asciiTheme="majorBidi" w:hAnsiTheme="majorBidi" w:cstheme="majorBidi"/>
          <w:sz w:val="26"/>
          <w:szCs w:val="26"/>
        </w:rPr>
        <w:t>LG and M</w:t>
      </w:r>
      <w:r>
        <w:rPr>
          <w:rFonts w:asciiTheme="majorBidi" w:hAnsiTheme="majorBidi" w:cstheme="majorBidi"/>
          <w:sz w:val="26"/>
          <w:szCs w:val="26"/>
        </w:rPr>
        <w:t>O</w:t>
      </w:r>
      <w:r w:rsidRPr="001547D2">
        <w:rPr>
          <w:rFonts w:asciiTheme="majorBidi" w:hAnsiTheme="majorBidi" w:cstheme="majorBidi"/>
          <w:sz w:val="26"/>
          <w:szCs w:val="26"/>
        </w:rPr>
        <w:t xml:space="preserve">ED) to build systems, strategies, and models in social development and created together success stories. Unfortunately, success stories require the will and capacity to build on </w:t>
      </w:r>
      <w:r>
        <w:rPr>
          <w:rFonts w:asciiTheme="majorBidi" w:hAnsiTheme="majorBidi" w:cstheme="majorBidi"/>
          <w:sz w:val="26"/>
          <w:szCs w:val="26"/>
        </w:rPr>
        <w:t>them</w:t>
      </w:r>
      <w:r w:rsidRPr="001547D2">
        <w:rPr>
          <w:rFonts w:asciiTheme="majorBidi" w:hAnsiTheme="majorBidi" w:cstheme="majorBidi"/>
          <w:sz w:val="26"/>
          <w:szCs w:val="26"/>
        </w:rPr>
        <w:t xml:space="preserve"> and carry on with the achievements</w:t>
      </w:r>
      <w:r>
        <w:rPr>
          <w:rFonts w:asciiTheme="majorBidi" w:hAnsiTheme="majorBidi" w:cstheme="majorBidi"/>
          <w:sz w:val="26"/>
          <w:szCs w:val="26"/>
        </w:rPr>
        <w:t>,</w:t>
      </w:r>
      <w:r w:rsidRPr="001547D2">
        <w:rPr>
          <w:rFonts w:asciiTheme="majorBidi" w:hAnsiTheme="majorBidi" w:cstheme="majorBidi"/>
          <w:sz w:val="26"/>
          <w:szCs w:val="26"/>
        </w:rPr>
        <w:t xml:space="preserve"> which is not the case in many of the partnerships due to </w:t>
      </w:r>
      <w:r>
        <w:rPr>
          <w:rFonts w:asciiTheme="majorBidi" w:hAnsiTheme="majorBidi" w:cstheme="majorBidi"/>
          <w:sz w:val="26"/>
          <w:szCs w:val="26"/>
        </w:rPr>
        <w:t xml:space="preserve">the </w:t>
      </w:r>
      <w:r w:rsidRPr="001547D2">
        <w:rPr>
          <w:rFonts w:asciiTheme="majorBidi" w:hAnsiTheme="majorBidi" w:cstheme="majorBidi"/>
          <w:sz w:val="26"/>
          <w:szCs w:val="26"/>
        </w:rPr>
        <w:t>lack of institutionalization of new models.</w:t>
      </w:r>
    </w:p>
    <w:p w:rsidR="0038150A" w:rsidRDefault="0038150A" w:rsidP="0038150A">
      <w:pPr>
        <w:jc w:val="both"/>
        <w:rPr>
          <w:rFonts w:asciiTheme="majorBidi" w:hAnsiTheme="majorBidi" w:cstheme="majorBidi"/>
          <w:b/>
          <w:bCs/>
          <w:sz w:val="26"/>
          <w:szCs w:val="26"/>
        </w:rPr>
      </w:pPr>
      <w:r w:rsidRPr="00914030">
        <w:rPr>
          <w:rFonts w:asciiTheme="majorBidi" w:hAnsiTheme="majorBidi" w:cstheme="majorBidi"/>
          <w:b/>
          <w:bCs/>
          <w:sz w:val="26"/>
          <w:szCs w:val="26"/>
        </w:rPr>
        <w:lastRenderedPageBreak/>
        <w:t xml:space="preserve">Q 6: Please describe to what extent and how are </w:t>
      </w:r>
      <w:proofErr w:type="spellStart"/>
      <w:r w:rsidRPr="00914030">
        <w:rPr>
          <w:rFonts w:asciiTheme="majorBidi" w:hAnsiTheme="majorBidi" w:cstheme="majorBidi"/>
          <w:b/>
          <w:bCs/>
          <w:sz w:val="26"/>
          <w:szCs w:val="26"/>
        </w:rPr>
        <w:t>PwD</w:t>
      </w:r>
      <w:proofErr w:type="spellEnd"/>
      <w:r w:rsidRPr="00914030">
        <w:rPr>
          <w:rFonts w:asciiTheme="majorBidi" w:hAnsiTheme="majorBidi" w:cstheme="majorBidi"/>
          <w:b/>
          <w:bCs/>
          <w:sz w:val="26"/>
          <w:szCs w:val="26"/>
        </w:rPr>
        <w:t xml:space="preserve"> and their representative organizations involved in the design, planning, implementation and evaluation of support services.</w:t>
      </w:r>
    </w:p>
    <w:p w:rsidR="0038150A" w:rsidRDefault="0038150A" w:rsidP="0038150A">
      <w:pPr>
        <w:pStyle w:val="ListParagraph"/>
        <w:numPr>
          <w:ilvl w:val="0"/>
          <w:numId w:val="10"/>
        </w:numPr>
        <w:jc w:val="both"/>
        <w:rPr>
          <w:rFonts w:asciiTheme="majorBidi" w:hAnsiTheme="majorBidi" w:cstheme="majorBidi"/>
          <w:sz w:val="26"/>
          <w:szCs w:val="26"/>
        </w:rPr>
      </w:pPr>
      <w:r>
        <w:rPr>
          <w:rFonts w:asciiTheme="majorBidi" w:hAnsiTheme="majorBidi" w:cstheme="majorBidi"/>
          <w:sz w:val="26"/>
          <w:szCs w:val="26"/>
        </w:rPr>
        <w:t>The State of Palestine also re-established the higher council for the affairs of people with disabilities (HCAPD) which includes in its membership, representatives of the government, service providers, and organization of people with disabilities, private sector, and ICHR.</w:t>
      </w:r>
    </w:p>
    <w:p w:rsidR="0038150A" w:rsidRPr="001B4639" w:rsidRDefault="0038150A" w:rsidP="0038150A">
      <w:pPr>
        <w:pStyle w:val="ListParagraph"/>
        <w:numPr>
          <w:ilvl w:val="0"/>
          <w:numId w:val="11"/>
        </w:numPr>
        <w:jc w:val="both"/>
        <w:rPr>
          <w:rFonts w:asciiTheme="majorBidi" w:hAnsiTheme="majorBidi" w:cstheme="majorBidi"/>
          <w:b/>
          <w:bCs/>
          <w:sz w:val="26"/>
          <w:szCs w:val="26"/>
        </w:rPr>
      </w:pPr>
      <w:r>
        <w:rPr>
          <w:rFonts w:asciiTheme="majorBidi" w:hAnsiTheme="majorBidi" w:cstheme="majorBidi"/>
          <w:sz w:val="26"/>
          <w:szCs w:val="26"/>
        </w:rPr>
        <w:t xml:space="preserve">According to its bylaws, the HCAPD is mainly tasked to activate </w:t>
      </w:r>
      <w:proofErr w:type="gramStart"/>
      <w:r>
        <w:rPr>
          <w:rFonts w:asciiTheme="majorBidi" w:hAnsiTheme="majorBidi" w:cstheme="majorBidi"/>
          <w:sz w:val="26"/>
          <w:szCs w:val="26"/>
        </w:rPr>
        <w:t>policies that contributes</w:t>
      </w:r>
      <w:proofErr w:type="gramEnd"/>
      <w:r>
        <w:rPr>
          <w:rFonts w:asciiTheme="majorBidi" w:hAnsiTheme="majorBidi" w:cstheme="majorBidi"/>
          <w:sz w:val="26"/>
          <w:szCs w:val="26"/>
        </w:rPr>
        <w:t xml:space="preserve"> to promoting the status of and empowering people with disabilities, propose and follow up on approval of draft law and regulations on the rights of people with disabilities, and provide capacity building to relevant governmental and non-governmental organizations.</w:t>
      </w:r>
    </w:p>
    <w:p w:rsidR="0038150A" w:rsidRPr="001547D2" w:rsidRDefault="0038150A" w:rsidP="0038150A">
      <w:pPr>
        <w:pStyle w:val="ListParagraph"/>
        <w:numPr>
          <w:ilvl w:val="0"/>
          <w:numId w:val="9"/>
        </w:numPr>
        <w:jc w:val="both"/>
        <w:rPr>
          <w:rFonts w:asciiTheme="majorBidi" w:hAnsiTheme="majorBidi" w:cstheme="majorBidi"/>
          <w:sz w:val="26"/>
          <w:szCs w:val="26"/>
        </w:rPr>
      </w:pPr>
      <w:r w:rsidRPr="001547D2">
        <w:rPr>
          <w:rFonts w:asciiTheme="majorBidi" w:hAnsiTheme="majorBidi" w:cstheme="majorBidi"/>
          <w:sz w:val="26"/>
          <w:szCs w:val="26"/>
        </w:rPr>
        <w:t xml:space="preserve">Generally, </w:t>
      </w:r>
      <w:proofErr w:type="spellStart"/>
      <w:r w:rsidRPr="001547D2">
        <w:rPr>
          <w:rFonts w:asciiTheme="majorBidi" w:hAnsiTheme="majorBidi" w:cstheme="majorBidi"/>
          <w:sz w:val="26"/>
          <w:szCs w:val="26"/>
        </w:rPr>
        <w:t>PwD</w:t>
      </w:r>
      <w:proofErr w:type="spellEnd"/>
      <w:r w:rsidRPr="001547D2">
        <w:rPr>
          <w:rFonts w:asciiTheme="majorBidi" w:hAnsiTheme="majorBidi" w:cstheme="majorBidi"/>
          <w:sz w:val="26"/>
          <w:szCs w:val="26"/>
        </w:rPr>
        <w:t xml:space="preserve"> are represented through DPOs Disabled Persons Organizations in Palestine</w:t>
      </w:r>
      <w:r>
        <w:rPr>
          <w:rFonts w:asciiTheme="majorBidi" w:hAnsiTheme="majorBidi" w:cstheme="majorBidi"/>
          <w:sz w:val="26"/>
          <w:szCs w:val="26"/>
        </w:rPr>
        <w:t>.</w:t>
      </w:r>
      <w:r w:rsidRPr="001547D2">
        <w:rPr>
          <w:rFonts w:asciiTheme="majorBidi" w:hAnsiTheme="majorBidi" w:cstheme="majorBidi"/>
          <w:sz w:val="26"/>
          <w:szCs w:val="26"/>
        </w:rPr>
        <w:t xml:space="preserve"> The General Union of Disabled Persons </w:t>
      </w:r>
      <w:r>
        <w:rPr>
          <w:rFonts w:asciiTheme="majorBidi" w:hAnsiTheme="majorBidi" w:cstheme="majorBidi"/>
          <w:sz w:val="26"/>
          <w:szCs w:val="26"/>
        </w:rPr>
        <w:t>(</w:t>
      </w:r>
      <w:r w:rsidRPr="001547D2">
        <w:rPr>
          <w:rFonts w:asciiTheme="majorBidi" w:hAnsiTheme="majorBidi" w:cstheme="majorBidi"/>
          <w:sz w:val="26"/>
          <w:szCs w:val="26"/>
        </w:rPr>
        <w:t>GUDP</w:t>
      </w:r>
      <w:r>
        <w:rPr>
          <w:rFonts w:asciiTheme="majorBidi" w:hAnsiTheme="majorBidi" w:cstheme="majorBidi"/>
          <w:sz w:val="26"/>
          <w:szCs w:val="26"/>
        </w:rPr>
        <w:t>)</w:t>
      </w:r>
      <w:r w:rsidRPr="001547D2">
        <w:rPr>
          <w:rFonts w:asciiTheme="majorBidi" w:hAnsiTheme="majorBidi" w:cstheme="majorBidi"/>
          <w:sz w:val="26"/>
          <w:szCs w:val="26"/>
        </w:rPr>
        <w:t xml:space="preserve"> is the lead Union for the disability movement since 1992, and the union has district branches in the West Bank and Gaza. During the 24 years of its function, the union has faced tremendous organizational challenges because of its membership of the Palestinian Liberation Organization PLO</w:t>
      </w:r>
      <w:r w:rsidRPr="00743553">
        <w:rPr>
          <w:rFonts w:asciiTheme="majorBidi" w:hAnsiTheme="majorBidi" w:cstheme="majorBidi"/>
          <w:sz w:val="26"/>
          <w:szCs w:val="26"/>
        </w:rPr>
        <w:t>.</w:t>
      </w:r>
      <w:r w:rsidRPr="001547D2">
        <w:rPr>
          <w:rFonts w:asciiTheme="majorBidi" w:hAnsiTheme="majorBidi" w:cstheme="majorBidi"/>
          <w:sz w:val="26"/>
          <w:szCs w:val="26"/>
        </w:rPr>
        <w:t xml:space="preserve"> Other DPOs are organized to advocate for the rights of </w:t>
      </w:r>
      <w:proofErr w:type="spellStart"/>
      <w:r w:rsidRPr="001547D2">
        <w:rPr>
          <w:rFonts w:asciiTheme="majorBidi" w:hAnsiTheme="majorBidi" w:cstheme="majorBidi"/>
          <w:sz w:val="26"/>
          <w:szCs w:val="26"/>
        </w:rPr>
        <w:t>PwD</w:t>
      </w:r>
      <w:proofErr w:type="spellEnd"/>
      <w:r w:rsidRPr="001547D2">
        <w:rPr>
          <w:rFonts w:asciiTheme="majorBidi" w:hAnsiTheme="majorBidi" w:cstheme="majorBidi"/>
          <w:sz w:val="26"/>
          <w:szCs w:val="26"/>
        </w:rPr>
        <w:t xml:space="preserve"> and </w:t>
      </w:r>
      <w:proofErr w:type="spellStart"/>
      <w:r w:rsidRPr="001547D2">
        <w:rPr>
          <w:rFonts w:asciiTheme="majorBidi" w:hAnsiTheme="majorBidi" w:cstheme="majorBidi"/>
          <w:sz w:val="26"/>
          <w:szCs w:val="26"/>
        </w:rPr>
        <w:t>WwD</w:t>
      </w:r>
      <w:proofErr w:type="spellEnd"/>
      <w:r>
        <w:rPr>
          <w:rFonts w:asciiTheme="majorBidi" w:hAnsiTheme="majorBidi" w:cstheme="majorBidi"/>
          <w:sz w:val="26"/>
          <w:szCs w:val="26"/>
        </w:rPr>
        <w:t>. T</w:t>
      </w:r>
      <w:r w:rsidRPr="001547D2">
        <w:rPr>
          <w:rFonts w:asciiTheme="majorBidi" w:hAnsiTheme="majorBidi" w:cstheme="majorBidi"/>
          <w:sz w:val="26"/>
          <w:szCs w:val="26"/>
        </w:rPr>
        <w:t>here are about 15 to 20 DPOs existing and functioning in hard organizational and financial constraints due to limited capacities and</w:t>
      </w:r>
      <w:r>
        <w:rPr>
          <w:rFonts w:asciiTheme="majorBidi" w:hAnsiTheme="majorBidi" w:cstheme="majorBidi"/>
          <w:sz w:val="26"/>
          <w:szCs w:val="26"/>
        </w:rPr>
        <w:t xml:space="preserve"> the</w:t>
      </w:r>
      <w:r w:rsidRPr="001547D2">
        <w:rPr>
          <w:rFonts w:asciiTheme="majorBidi" w:hAnsiTheme="majorBidi" w:cstheme="majorBidi"/>
          <w:sz w:val="26"/>
          <w:szCs w:val="26"/>
        </w:rPr>
        <w:t xml:space="preserve"> lack of financial support. Despite the difficult situation of </w:t>
      </w:r>
      <w:proofErr w:type="gramStart"/>
      <w:r w:rsidRPr="001547D2">
        <w:rPr>
          <w:rFonts w:asciiTheme="majorBidi" w:hAnsiTheme="majorBidi" w:cstheme="majorBidi"/>
          <w:sz w:val="26"/>
          <w:szCs w:val="26"/>
        </w:rPr>
        <w:t>DPOs</w:t>
      </w:r>
      <w:r>
        <w:rPr>
          <w:rFonts w:asciiTheme="majorBidi" w:hAnsiTheme="majorBidi" w:cstheme="majorBidi"/>
          <w:sz w:val="26"/>
          <w:szCs w:val="26"/>
        </w:rPr>
        <w:t>,</w:t>
      </w:r>
      <w:proofErr w:type="gramEnd"/>
      <w:r w:rsidRPr="001547D2">
        <w:rPr>
          <w:rFonts w:asciiTheme="majorBidi" w:hAnsiTheme="majorBidi" w:cstheme="majorBidi"/>
          <w:sz w:val="26"/>
          <w:szCs w:val="26"/>
        </w:rPr>
        <w:t xml:space="preserve"> and with the support of CSOs, NGOs and INGOs, the disability movement and rights situation has developed comprehensively in the last 24 years. Nowadays, </w:t>
      </w:r>
      <w:proofErr w:type="spellStart"/>
      <w:r w:rsidRPr="001547D2">
        <w:rPr>
          <w:rFonts w:asciiTheme="majorBidi" w:hAnsiTheme="majorBidi" w:cstheme="majorBidi"/>
          <w:sz w:val="26"/>
          <w:szCs w:val="26"/>
        </w:rPr>
        <w:t>PwD</w:t>
      </w:r>
      <w:proofErr w:type="spellEnd"/>
      <w:r w:rsidRPr="001547D2">
        <w:rPr>
          <w:rFonts w:asciiTheme="majorBidi" w:hAnsiTheme="majorBidi" w:cstheme="majorBidi"/>
          <w:sz w:val="26"/>
          <w:szCs w:val="26"/>
        </w:rPr>
        <w:t xml:space="preserve"> who are leading DPOs along with activists </w:t>
      </w:r>
      <w:r>
        <w:rPr>
          <w:rFonts w:asciiTheme="majorBidi" w:hAnsiTheme="majorBidi" w:cstheme="majorBidi"/>
          <w:sz w:val="26"/>
          <w:szCs w:val="26"/>
        </w:rPr>
        <w:t xml:space="preserve">who </w:t>
      </w:r>
      <w:r w:rsidRPr="001547D2">
        <w:rPr>
          <w:rFonts w:asciiTheme="majorBidi" w:hAnsiTheme="majorBidi" w:cstheme="majorBidi"/>
          <w:sz w:val="26"/>
          <w:szCs w:val="26"/>
        </w:rPr>
        <w:t xml:space="preserve">are representing, advocating and putting pressure on the formal institutions to acknowledge the rights of </w:t>
      </w:r>
      <w:proofErr w:type="spellStart"/>
      <w:r w:rsidRPr="001547D2">
        <w:rPr>
          <w:rFonts w:asciiTheme="majorBidi" w:hAnsiTheme="majorBidi" w:cstheme="majorBidi"/>
          <w:sz w:val="26"/>
          <w:szCs w:val="26"/>
        </w:rPr>
        <w:t>PwD</w:t>
      </w:r>
      <w:proofErr w:type="spellEnd"/>
      <w:r w:rsidRPr="001547D2">
        <w:rPr>
          <w:rFonts w:asciiTheme="majorBidi" w:hAnsiTheme="majorBidi" w:cstheme="majorBidi"/>
          <w:sz w:val="26"/>
          <w:szCs w:val="26"/>
        </w:rPr>
        <w:t xml:space="preserve"> towards enforcing the rights enshrined in the international conventions.   </w:t>
      </w:r>
    </w:p>
    <w:p w:rsidR="0038150A" w:rsidRDefault="0038150A" w:rsidP="0038150A">
      <w:pPr>
        <w:jc w:val="both"/>
        <w:rPr>
          <w:rFonts w:asciiTheme="majorBidi" w:hAnsiTheme="majorBidi" w:cstheme="majorBidi"/>
          <w:sz w:val="26"/>
          <w:szCs w:val="26"/>
        </w:rPr>
      </w:pPr>
    </w:p>
    <w:p w:rsidR="0038150A" w:rsidRDefault="0038150A" w:rsidP="0038150A">
      <w:pPr>
        <w:jc w:val="both"/>
        <w:rPr>
          <w:rFonts w:asciiTheme="majorBidi" w:hAnsiTheme="majorBidi" w:cstheme="majorBidi"/>
          <w:b/>
          <w:bCs/>
          <w:sz w:val="26"/>
          <w:szCs w:val="26"/>
        </w:rPr>
      </w:pPr>
      <w:r w:rsidRPr="00EE00FA">
        <w:rPr>
          <w:rFonts w:asciiTheme="majorBidi" w:hAnsiTheme="majorBidi" w:cstheme="majorBidi"/>
          <w:b/>
          <w:bCs/>
          <w:sz w:val="26"/>
          <w:szCs w:val="26"/>
        </w:rPr>
        <w:t xml:space="preserve">Q7: Please provide any other relevant information and statistics (including surveys, censuses, administrative data, reports, and studies) related to the provision of support to </w:t>
      </w:r>
      <w:proofErr w:type="spellStart"/>
      <w:r w:rsidRPr="00EE00FA">
        <w:rPr>
          <w:rFonts w:asciiTheme="majorBidi" w:hAnsiTheme="majorBidi" w:cstheme="majorBidi"/>
          <w:b/>
          <w:bCs/>
          <w:sz w:val="26"/>
          <w:szCs w:val="26"/>
        </w:rPr>
        <w:t>PwD</w:t>
      </w:r>
      <w:proofErr w:type="spellEnd"/>
      <w:r w:rsidRPr="00EE00FA">
        <w:rPr>
          <w:rFonts w:asciiTheme="majorBidi" w:hAnsiTheme="majorBidi" w:cstheme="majorBidi"/>
          <w:b/>
          <w:bCs/>
          <w:sz w:val="26"/>
          <w:szCs w:val="26"/>
        </w:rPr>
        <w:t xml:space="preserve"> in your country.</w:t>
      </w:r>
    </w:p>
    <w:p w:rsidR="0038150A" w:rsidRPr="00EE00FA" w:rsidRDefault="0038150A" w:rsidP="0038150A">
      <w:pPr>
        <w:jc w:val="both"/>
        <w:rPr>
          <w:rFonts w:asciiTheme="majorBidi" w:hAnsiTheme="majorBidi" w:cstheme="majorBidi"/>
          <w:sz w:val="26"/>
          <w:szCs w:val="26"/>
        </w:rPr>
      </w:pPr>
    </w:p>
    <w:p w:rsidR="0038150A" w:rsidRPr="00914030" w:rsidRDefault="0038150A" w:rsidP="0038150A">
      <w:pPr>
        <w:jc w:val="both"/>
        <w:rPr>
          <w:rFonts w:asciiTheme="majorBidi" w:hAnsiTheme="majorBidi" w:cstheme="majorBidi"/>
          <w:sz w:val="26"/>
          <w:szCs w:val="26"/>
        </w:rPr>
      </w:pPr>
    </w:p>
    <w:p w:rsidR="0038150A" w:rsidRPr="00914030" w:rsidRDefault="0038150A" w:rsidP="0038150A">
      <w:pPr>
        <w:jc w:val="both"/>
        <w:rPr>
          <w:rFonts w:asciiTheme="majorBidi" w:hAnsiTheme="majorBidi" w:cstheme="majorBidi"/>
          <w:sz w:val="26"/>
          <w:szCs w:val="26"/>
        </w:rPr>
      </w:pPr>
    </w:p>
    <w:p w:rsidR="0038150A" w:rsidRPr="00914030" w:rsidRDefault="0038150A" w:rsidP="0038150A">
      <w:pPr>
        <w:jc w:val="both"/>
        <w:rPr>
          <w:rFonts w:asciiTheme="majorBidi" w:hAnsiTheme="majorBidi" w:cstheme="majorBidi"/>
          <w:b/>
          <w:bCs/>
          <w:sz w:val="26"/>
          <w:szCs w:val="26"/>
        </w:rPr>
      </w:pPr>
    </w:p>
    <w:p w:rsidR="005C756C" w:rsidRDefault="004630BB"/>
    <w:sectPr w:rsidR="005C756C" w:rsidSect="0038150A">
      <w:headerReference w:type="default" r:id="rId15"/>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3F9" w:rsidRDefault="00D973F9" w:rsidP="0038150A">
      <w:pPr>
        <w:spacing w:after="0" w:line="240" w:lineRule="auto"/>
      </w:pPr>
      <w:r>
        <w:separator/>
      </w:r>
    </w:p>
  </w:endnote>
  <w:endnote w:type="continuationSeparator" w:id="0">
    <w:p w:rsidR="00D973F9" w:rsidRDefault="00D973F9" w:rsidP="003815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Palatino">
    <w:altName w:val="Book Antiqua"/>
    <w:charset w:val="00"/>
    <w:family w:val="auto"/>
    <w:pitch w:val="variable"/>
    <w:sig w:usb0="A00002FF" w:usb1="7800205A" w:usb2="14600000" w:usb3="00000000" w:csb0="00000193" w:csb1="00000000"/>
  </w:font>
  <w:font w:name="(AH) Manal Black">
    <w:altName w:val="Times New Roman"/>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50A" w:rsidRDefault="0038150A">
    <w:pPr>
      <w:pStyle w:val="Footer"/>
    </w:pPr>
    <w:r>
      <w:rPr>
        <w:rFonts w:ascii="Cambria" w:hAnsi="Cambria" w:cs="Times New Roman"/>
        <w:sz w:val="16"/>
        <w:szCs w:val="16"/>
      </w:rPr>
      <w:t xml:space="preserve">                    </w:t>
    </w:r>
    <w:proofErr w:type="gramStart"/>
    <w:r>
      <w:rPr>
        <w:rFonts w:ascii="Cambria" w:hAnsi="Cambria" w:cs="Times New Roman"/>
        <w:sz w:val="16"/>
        <w:szCs w:val="16"/>
      </w:rPr>
      <w:t>Tel :</w:t>
    </w:r>
    <w:proofErr w:type="gramEnd"/>
    <w:r>
      <w:rPr>
        <w:rFonts w:ascii="Cambria" w:hAnsi="Cambria" w:cs="Times New Roman"/>
        <w:sz w:val="16"/>
        <w:szCs w:val="16"/>
      </w:rPr>
      <w:t xml:space="preserve"> 2943140/1/2        Fax 2943165/6/7/8        Mail :  </w:t>
    </w:r>
    <w:hyperlink r:id="rId1" w:history="1">
      <w:r w:rsidRPr="009D5174">
        <w:rPr>
          <w:rStyle w:val="Hyperlink"/>
          <w:rFonts w:ascii="Cambria" w:hAnsi="Cambria" w:cs="Times New Roman"/>
          <w:sz w:val="16"/>
          <w:szCs w:val="16"/>
        </w:rPr>
        <w:t>archive@mofa.pna.ps</w:t>
      </w:r>
    </w:hyperlink>
    <w:r>
      <w:rPr>
        <w:rFonts w:ascii="Cambria" w:hAnsi="Cambria" w:cs="Times New Roman"/>
        <w:sz w:val="16"/>
        <w:szCs w:val="16"/>
      </w:rPr>
      <w:t xml:space="preserve">      Web : www.mofa.pna.ps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3F9" w:rsidRDefault="00D973F9" w:rsidP="0038150A">
      <w:pPr>
        <w:spacing w:after="0" w:line="240" w:lineRule="auto"/>
      </w:pPr>
      <w:r>
        <w:separator/>
      </w:r>
    </w:p>
  </w:footnote>
  <w:footnote w:type="continuationSeparator" w:id="0">
    <w:p w:rsidR="00D973F9" w:rsidRDefault="00D973F9" w:rsidP="0038150A">
      <w:pPr>
        <w:spacing w:after="0" w:line="240" w:lineRule="auto"/>
      </w:pPr>
      <w:r>
        <w:continuationSeparator/>
      </w:r>
    </w:p>
  </w:footnote>
  <w:footnote w:id="1">
    <w:p w:rsidR="0038150A" w:rsidRPr="000C241B" w:rsidRDefault="0038150A" w:rsidP="0038150A">
      <w:pPr>
        <w:jc w:val="both"/>
        <w:rPr>
          <w:b/>
          <w:bCs/>
          <w:i/>
          <w:iCs/>
          <w:sz w:val="12"/>
          <w:szCs w:val="12"/>
          <w:rtl/>
        </w:rPr>
      </w:pPr>
      <w:r w:rsidRPr="000C241B">
        <w:rPr>
          <w:rStyle w:val="FootnoteReference"/>
          <w:sz w:val="12"/>
          <w:szCs w:val="12"/>
        </w:rPr>
        <w:footnoteRef/>
      </w:r>
      <w:r w:rsidRPr="000C241B">
        <w:rPr>
          <w:sz w:val="12"/>
          <w:szCs w:val="12"/>
        </w:rPr>
        <w:t xml:space="preserve"> </w:t>
      </w:r>
      <w:r w:rsidRPr="0081520A">
        <w:rPr>
          <w:sz w:val="16"/>
          <w:szCs w:val="16"/>
        </w:rPr>
        <w:t>Al-Sahel company for Institutional Development &amp; Communication, Needs Assessment and services provided to people with disabilities  in Bethlehem and Hebron, QADER for Community Development, 2012”</w:t>
      </w:r>
    </w:p>
    <w:p w:rsidR="0038150A" w:rsidRPr="00CD4B7E" w:rsidRDefault="0038150A" w:rsidP="0038150A">
      <w:pPr>
        <w:jc w:val="both"/>
        <w:rPr>
          <w:i/>
          <w:iCs/>
        </w:rPr>
      </w:pPr>
    </w:p>
    <w:p w:rsidR="0038150A" w:rsidRDefault="0038150A" w:rsidP="0038150A">
      <w:pPr>
        <w:pStyle w:val="FootnoteText"/>
      </w:pPr>
    </w:p>
  </w:footnote>
  <w:footnote w:id="2">
    <w:p w:rsidR="0038150A" w:rsidRPr="005C1EEC" w:rsidRDefault="0038150A" w:rsidP="0038150A">
      <w:pPr>
        <w:pStyle w:val="FootnoteText"/>
        <w:rPr>
          <w:sz w:val="12"/>
          <w:szCs w:val="12"/>
        </w:rPr>
      </w:pPr>
      <w:r>
        <w:rPr>
          <w:rStyle w:val="FootnoteReference"/>
        </w:rPr>
        <w:footnoteRef/>
      </w:r>
      <w:r>
        <w:t xml:space="preserve">  </w:t>
      </w:r>
      <w:r>
        <w:rPr>
          <w:sz w:val="16"/>
          <w:szCs w:val="16"/>
        </w:rPr>
        <w:t xml:space="preserve">Diagrams and tables are all done from, </w:t>
      </w:r>
      <w:r w:rsidRPr="0081520A">
        <w:rPr>
          <w:sz w:val="16"/>
          <w:szCs w:val="16"/>
        </w:rPr>
        <w:t>The Palestinian Central Bureau of Statistics (PCBS)</w:t>
      </w:r>
      <w:r>
        <w:rPr>
          <w:sz w:val="16"/>
          <w:szCs w:val="16"/>
        </w:rPr>
        <w:t xml:space="preserve"> and ministry of social affairs, Disability Survey 2011</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placeholder>
        <w:docPart w:val="EAB48404FC1E443E9257BA74A29AD138"/>
      </w:placeholder>
      <w:temporary/>
      <w:showingPlcHdr/>
    </w:sdtPr>
    <w:sdtEndPr/>
    <w:sdtContent>
      <w:p w:rsidR="0038150A" w:rsidRDefault="0038150A">
        <w:pPr>
          <w:pStyle w:val="Header"/>
        </w:pPr>
        <w:r>
          <w:t>[Type here]</w:t>
        </w:r>
      </w:p>
    </w:sdtContent>
  </w:sdt>
  <w:p w:rsidR="0038150A" w:rsidRDefault="0038150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Borders>
        <w:bottom w:val="single" w:sz="4" w:space="0" w:color="auto"/>
        <w:insideV w:val="single" w:sz="4" w:space="0" w:color="auto"/>
      </w:tblBorders>
      <w:tblLook w:val="01E0" w:firstRow="1" w:lastRow="1" w:firstColumn="1" w:lastColumn="1" w:noHBand="0" w:noVBand="0"/>
    </w:tblPr>
    <w:tblGrid>
      <w:gridCol w:w="5338"/>
    </w:tblGrid>
    <w:tr w:rsidR="0038150A" w:rsidRPr="00BD2F74" w:rsidTr="008504AD">
      <w:trPr>
        <w:jc w:val="center"/>
      </w:trPr>
      <w:tc>
        <w:tcPr>
          <w:tcW w:w="5338" w:type="dxa"/>
        </w:tcPr>
        <w:p w:rsidR="0038150A" w:rsidRPr="00BD2F74" w:rsidRDefault="0038150A" w:rsidP="0038150A">
          <w:pPr>
            <w:jc w:val="center"/>
            <w:rPr>
              <w:rFonts w:ascii="Palatino" w:hAnsi="Palatino" w:cs="(AH) Manal Black"/>
              <w:b/>
              <w:bCs/>
              <w:color w:val="000000"/>
              <w:rtl/>
              <w:lang w:bidi="ar-JO"/>
            </w:rPr>
          </w:pPr>
          <w:r w:rsidRPr="00FF7056">
            <w:rPr>
              <w:rFonts w:ascii="Palatino" w:hAnsi="Palatino" w:cs="(AH) Manal Black"/>
              <w:b/>
              <w:bCs/>
              <w:noProof/>
              <w:color w:val="000000"/>
              <w:lang w:val="en-GB" w:eastAsia="en-GB"/>
            </w:rPr>
            <w:drawing>
              <wp:inline distT="0" distB="0" distL="0" distR="0">
                <wp:extent cx="882015" cy="1249045"/>
                <wp:effectExtent l="0" t="0" r="0" b="8255"/>
                <wp:docPr id="1" name="Picture 1" descr="الوصف: PL cmy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PL cmyk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015" cy="1249045"/>
                        </a:xfrm>
                        <a:prstGeom prst="rect">
                          <a:avLst/>
                        </a:prstGeom>
                        <a:noFill/>
                        <a:ln>
                          <a:noFill/>
                        </a:ln>
                      </pic:spPr>
                    </pic:pic>
                  </a:graphicData>
                </a:graphic>
              </wp:inline>
            </w:drawing>
          </w:r>
        </w:p>
        <w:p w:rsidR="0038150A" w:rsidRPr="00BD2F74" w:rsidRDefault="0038150A" w:rsidP="0038150A">
          <w:pPr>
            <w:jc w:val="center"/>
            <w:rPr>
              <w:rFonts w:ascii="Palatino" w:hAnsi="Palatino"/>
              <w:b/>
              <w:bCs/>
              <w:rtl/>
            </w:rPr>
          </w:pPr>
          <w:r w:rsidRPr="00BD2F74">
            <w:rPr>
              <w:rFonts w:ascii="Palatino" w:hAnsi="Palatino"/>
              <w:b/>
              <w:bCs/>
            </w:rPr>
            <w:t xml:space="preserve">State of Palestine </w:t>
          </w:r>
        </w:p>
        <w:p w:rsidR="0038150A" w:rsidRPr="00BD2F74" w:rsidRDefault="0038150A" w:rsidP="0038150A">
          <w:pPr>
            <w:jc w:val="center"/>
            <w:rPr>
              <w:rFonts w:ascii="Palatino" w:hAnsi="Palatino"/>
              <w:b/>
              <w:bCs/>
            </w:rPr>
          </w:pPr>
          <w:r w:rsidRPr="00BD2F74">
            <w:rPr>
              <w:rFonts w:ascii="Palatino" w:hAnsi="Palatino"/>
              <w:b/>
              <w:bCs/>
            </w:rPr>
            <w:t>Ministry of Foreign Affairs</w:t>
          </w:r>
        </w:p>
      </w:tc>
    </w:tr>
    <w:tr w:rsidR="0038150A" w:rsidRPr="00BD2F74" w:rsidTr="008504AD">
      <w:trPr>
        <w:trHeight w:val="95"/>
        <w:jc w:val="center"/>
      </w:trPr>
      <w:tc>
        <w:tcPr>
          <w:tcW w:w="5338" w:type="dxa"/>
        </w:tcPr>
        <w:p w:rsidR="0038150A" w:rsidRPr="00FF7056" w:rsidRDefault="0038150A" w:rsidP="0038150A">
          <w:pPr>
            <w:jc w:val="center"/>
            <w:rPr>
              <w:rFonts w:ascii="Palatino" w:hAnsi="Palatino" w:cs="(AH) Manal Black"/>
              <w:b/>
              <w:bCs/>
              <w:noProof/>
              <w:color w:val="000000"/>
            </w:rPr>
          </w:pPr>
        </w:p>
      </w:tc>
    </w:tr>
  </w:tbl>
  <w:p w:rsidR="0038150A" w:rsidRDefault="003815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B6306"/>
    <w:multiLevelType w:val="hybridMultilevel"/>
    <w:tmpl w:val="6958E1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C3D37BF"/>
    <w:multiLevelType w:val="hybridMultilevel"/>
    <w:tmpl w:val="E850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FC3CFC"/>
    <w:multiLevelType w:val="hybridMultilevel"/>
    <w:tmpl w:val="3C34F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4C3C2C"/>
    <w:multiLevelType w:val="hybridMultilevel"/>
    <w:tmpl w:val="2C9CA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EB425A"/>
    <w:multiLevelType w:val="hybridMultilevel"/>
    <w:tmpl w:val="57105310"/>
    <w:lvl w:ilvl="0" w:tplc="8DFC7920">
      <w:start w:val="1"/>
      <w:numFmt w:val="lowerLetter"/>
      <w:lvlText w:val="%1)"/>
      <w:lvlJc w:val="left"/>
      <w:pPr>
        <w:ind w:left="3286" w:hanging="360"/>
      </w:pPr>
      <w:rPr>
        <w:rFonts w:hint="default"/>
      </w:rPr>
    </w:lvl>
    <w:lvl w:ilvl="1" w:tplc="04090019" w:tentative="1">
      <w:start w:val="1"/>
      <w:numFmt w:val="lowerLetter"/>
      <w:lvlText w:val="%2."/>
      <w:lvlJc w:val="left"/>
      <w:pPr>
        <w:ind w:left="4006" w:hanging="360"/>
      </w:pPr>
    </w:lvl>
    <w:lvl w:ilvl="2" w:tplc="0409001B" w:tentative="1">
      <w:start w:val="1"/>
      <w:numFmt w:val="lowerRoman"/>
      <w:lvlText w:val="%3."/>
      <w:lvlJc w:val="right"/>
      <w:pPr>
        <w:ind w:left="4726" w:hanging="180"/>
      </w:pPr>
    </w:lvl>
    <w:lvl w:ilvl="3" w:tplc="0409000F">
      <w:start w:val="1"/>
      <w:numFmt w:val="decimal"/>
      <w:lvlText w:val="%4."/>
      <w:lvlJc w:val="left"/>
      <w:pPr>
        <w:ind w:left="5446" w:hanging="360"/>
      </w:pPr>
    </w:lvl>
    <w:lvl w:ilvl="4" w:tplc="04090019" w:tentative="1">
      <w:start w:val="1"/>
      <w:numFmt w:val="lowerLetter"/>
      <w:lvlText w:val="%5."/>
      <w:lvlJc w:val="left"/>
      <w:pPr>
        <w:ind w:left="6166" w:hanging="360"/>
      </w:pPr>
    </w:lvl>
    <w:lvl w:ilvl="5" w:tplc="0409001B" w:tentative="1">
      <w:start w:val="1"/>
      <w:numFmt w:val="lowerRoman"/>
      <w:lvlText w:val="%6."/>
      <w:lvlJc w:val="right"/>
      <w:pPr>
        <w:ind w:left="6886" w:hanging="180"/>
      </w:pPr>
    </w:lvl>
    <w:lvl w:ilvl="6" w:tplc="0409000F" w:tentative="1">
      <w:start w:val="1"/>
      <w:numFmt w:val="decimal"/>
      <w:lvlText w:val="%7."/>
      <w:lvlJc w:val="left"/>
      <w:pPr>
        <w:ind w:left="7606" w:hanging="360"/>
      </w:pPr>
    </w:lvl>
    <w:lvl w:ilvl="7" w:tplc="04090019" w:tentative="1">
      <w:start w:val="1"/>
      <w:numFmt w:val="lowerLetter"/>
      <w:lvlText w:val="%8."/>
      <w:lvlJc w:val="left"/>
      <w:pPr>
        <w:ind w:left="8326" w:hanging="360"/>
      </w:pPr>
    </w:lvl>
    <w:lvl w:ilvl="8" w:tplc="0409001B" w:tentative="1">
      <w:start w:val="1"/>
      <w:numFmt w:val="lowerRoman"/>
      <w:lvlText w:val="%9."/>
      <w:lvlJc w:val="right"/>
      <w:pPr>
        <w:ind w:left="9046" w:hanging="180"/>
      </w:pPr>
    </w:lvl>
  </w:abstractNum>
  <w:abstractNum w:abstractNumId="5">
    <w:nsid w:val="27C73E6B"/>
    <w:multiLevelType w:val="hybridMultilevel"/>
    <w:tmpl w:val="8CDC3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CA6327"/>
    <w:multiLevelType w:val="hybridMultilevel"/>
    <w:tmpl w:val="F9AE1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3416B6"/>
    <w:multiLevelType w:val="hybridMultilevel"/>
    <w:tmpl w:val="CC14B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9E5936"/>
    <w:multiLevelType w:val="hybridMultilevel"/>
    <w:tmpl w:val="47CE0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08149E"/>
    <w:multiLevelType w:val="hybridMultilevel"/>
    <w:tmpl w:val="D764AD04"/>
    <w:lvl w:ilvl="0" w:tplc="18421FC0">
      <w:start w:val="1"/>
      <w:numFmt w:val="lowerLetter"/>
      <w:lvlText w:val="%1)"/>
      <w:lvlJc w:val="left"/>
      <w:pPr>
        <w:ind w:left="1080" w:hanging="360"/>
      </w:pPr>
      <w:rPr>
        <w:lang w:bidi="ar-SA"/>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6C2B7C97"/>
    <w:multiLevelType w:val="hybridMultilevel"/>
    <w:tmpl w:val="16A07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E9F5F6F"/>
    <w:multiLevelType w:val="hybridMultilevel"/>
    <w:tmpl w:val="05562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0"/>
  </w:num>
  <w:num w:numId="4">
    <w:abstractNumId w:val="8"/>
  </w:num>
  <w:num w:numId="5">
    <w:abstractNumId w:val="4"/>
  </w:num>
  <w:num w:numId="6">
    <w:abstractNumId w:val="1"/>
  </w:num>
  <w:num w:numId="7">
    <w:abstractNumId w:val="6"/>
  </w:num>
  <w:num w:numId="8">
    <w:abstractNumId w:val="2"/>
  </w:num>
  <w:num w:numId="9">
    <w:abstractNumId w:val="7"/>
  </w:num>
  <w:num w:numId="10">
    <w:abstractNumId w:val="10"/>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50A"/>
    <w:rsid w:val="0038150A"/>
    <w:rsid w:val="004630BB"/>
    <w:rsid w:val="008402E0"/>
    <w:rsid w:val="00A9356A"/>
    <w:rsid w:val="00D973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5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15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150A"/>
  </w:style>
  <w:style w:type="paragraph" w:styleId="Footer">
    <w:name w:val="footer"/>
    <w:basedOn w:val="Normal"/>
    <w:link w:val="FooterChar"/>
    <w:uiPriority w:val="99"/>
    <w:unhideWhenUsed/>
    <w:rsid w:val="003815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150A"/>
  </w:style>
  <w:style w:type="character" w:styleId="Hyperlink">
    <w:name w:val="Hyperlink"/>
    <w:rsid w:val="0038150A"/>
    <w:rPr>
      <w:strike w:val="0"/>
      <w:dstrike w:val="0"/>
      <w:color w:val="000000"/>
      <w:u w:val="none"/>
      <w:effect w:val="none"/>
    </w:rPr>
  </w:style>
  <w:style w:type="paragraph" w:styleId="ListParagraph">
    <w:name w:val="List Paragraph"/>
    <w:basedOn w:val="Normal"/>
    <w:uiPriority w:val="34"/>
    <w:qFormat/>
    <w:rsid w:val="0038150A"/>
    <w:pPr>
      <w:ind w:left="720"/>
      <w:contextualSpacing/>
    </w:pPr>
  </w:style>
  <w:style w:type="table" w:styleId="TableGrid">
    <w:name w:val="Table Grid"/>
    <w:basedOn w:val="TableNormal"/>
    <w:uiPriority w:val="39"/>
    <w:rsid w:val="0038150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815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150A"/>
    <w:rPr>
      <w:sz w:val="20"/>
      <w:szCs w:val="20"/>
    </w:rPr>
  </w:style>
  <w:style w:type="character" w:styleId="FootnoteReference">
    <w:name w:val="footnote reference"/>
    <w:basedOn w:val="DefaultParagraphFont"/>
    <w:uiPriority w:val="99"/>
    <w:semiHidden/>
    <w:unhideWhenUsed/>
    <w:rsid w:val="0038150A"/>
    <w:rPr>
      <w:vertAlign w:val="superscript"/>
    </w:rPr>
  </w:style>
  <w:style w:type="paragraph" w:styleId="BalloonText">
    <w:name w:val="Balloon Text"/>
    <w:basedOn w:val="Normal"/>
    <w:link w:val="BalloonTextChar"/>
    <w:uiPriority w:val="99"/>
    <w:semiHidden/>
    <w:unhideWhenUsed/>
    <w:rsid w:val="004630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0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5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15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150A"/>
  </w:style>
  <w:style w:type="paragraph" w:styleId="Footer">
    <w:name w:val="footer"/>
    <w:basedOn w:val="Normal"/>
    <w:link w:val="FooterChar"/>
    <w:uiPriority w:val="99"/>
    <w:unhideWhenUsed/>
    <w:rsid w:val="003815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150A"/>
  </w:style>
  <w:style w:type="character" w:styleId="Hyperlink">
    <w:name w:val="Hyperlink"/>
    <w:rsid w:val="0038150A"/>
    <w:rPr>
      <w:strike w:val="0"/>
      <w:dstrike w:val="0"/>
      <w:color w:val="000000"/>
      <w:u w:val="none"/>
      <w:effect w:val="none"/>
    </w:rPr>
  </w:style>
  <w:style w:type="paragraph" w:styleId="ListParagraph">
    <w:name w:val="List Paragraph"/>
    <w:basedOn w:val="Normal"/>
    <w:uiPriority w:val="34"/>
    <w:qFormat/>
    <w:rsid w:val="0038150A"/>
    <w:pPr>
      <w:ind w:left="720"/>
      <w:contextualSpacing/>
    </w:pPr>
  </w:style>
  <w:style w:type="table" w:styleId="TableGrid">
    <w:name w:val="Table Grid"/>
    <w:basedOn w:val="TableNormal"/>
    <w:uiPriority w:val="39"/>
    <w:rsid w:val="0038150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815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150A"/>
    <w:rPr>
      <w:sz w:val="20"/>
      <w:szCs w:val="20"/>
    </w:rPr>
  </w:style>
  <w:style w:type="character" w:styleId="FootnoteReference">
    <w:name w:val="footnote reference"/>
    <w:basedOn w:val="DefaultParagraphFont"/>
    <w:uiPriority w:val="99"/>
    <w:semiHidden/>
    <w:unhideWhenUsed/>
    <w:rsid w:val="0038150A"/>
    <w:rPr>
      <w:vertAlign w:val="superscript"/>
    </w:rPr>
  </w:style>
  <w:style w:type="paragraph" w:styleId="BalloonText">
    <w:name w:val="Balloon Text"/>
    <w:basedOn w:val="Normal"/>
    <w:link w:val="BalloonTextChar"/>
    <w:uiPriority w:val="99"/>
    <w:semiHidden/>
    <w:unhideWhenUsed/>
    <w:rsid w:val="004630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0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customXml" Target="../customXml/item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ustomXml" Target="../customXml/item3.xml"/><Relationship Id="rId10" Type="http://schemas.openxmlformats.org/officeDocument/2006/relationships/chart" Target="charts/chart3.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hyperlink" Target="mailto:archive@mofa.pna.p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r>
              <a:rPr lang="en-US" b="1" baseline="0">
                <a:latin typeface="Sakkal Majalla" panose="02000000000000000000" pitchFamily="2" charset="-78"/>
                <a:cs typeface="Sakkal Majalla" panose="02000000000000000000" pitchFamily="2" charset="-78"/>
              </a:rPr>
              <a:t>PwD rates by gender and region</a:t>
            </a:r>
            <a:endParaRPr lang="ar-SA" b="1">
              <a:latin typeface="Sakkal Majalla" panose="02000000000000000000" pitchFamily="2" charset="-78"/>
              <a:cs typeface="Sakkal Majalla" panose="02000000000000000000" pitchFamily="2" charset="-78"/>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نسبة الأفراد ذوي الإعاقة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Males</c:v>
                </c:pt>
                <c:pt idx="1">
                  <c:v>Females</c:v>
                </c:pt>
                <c:pt idx="2">
                  <c:v>West Bank</c:v>
                </c:pt>
                <c:pt idx="3">
                  <c:v>Gaza</c:v>
                </c:pt>
                <c:pt idx="4">
                  <c:v>Palestinian Territories </c:v>
                </c:pt>
              </c:strCache>
            </c:strRef>
          </c:cat>
          <c:val>
            <c:numRef>
              <c:f>Sheet1!$B$2:$B$6</c:f>
              <c:numCache>
                <c:formatCode>General</c:formatCode>
                <c:ptCount val="5"/>
                <c:pt idx="0">
                  <c:v>2.9</c:v>
                </c:pt>
                <c:pt idx="1">
                  <c:v>2.5</c:v>
                </c:pt>
                <c:pt idx="2">
                  <c:v>2.9</c:v>
                </c:pt>
                <c:pt idx="3">
                  <c:v>2.4</c:v>
                </c:pt>
                <c:pt idx="4">
                  <c:v>2.7</c:v>
                </c:pt>
              </c:numCache>
            </c:numRef>
          </c:val>
        </c:ser>
        <c:dLbls>
          <c:dLblPos val="outEnd"/>
          <c:showLegendKey val="0"/>
          <c:showVal val="1"/>
          <c:showCatName val="0"/>
          <c:showSerName val="0"/>
          <c:showPercent val="0"/>
          <c:showBubbleSize val="0"/>
        </c:dLbls>
        <c:gapWidth val="219"/>
        <c:overlap val="-27"/>
        <c:axId val="205607680"/>
        <c:axId val="254308736"/>
      </c:barChart>
      <c:catAx>
        <c:axId val="20560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254308736"/>
        <c:crosses val="autoZero"/>
        <c:auto val="1"/>
        <c:lblAlgn val="ctr"/>
        <c:lblOffset val="100"/>
        <c:noMultiLvlLbl val="0"/>
      </c:catAx>
      <c:valAx>
        <c:axId val="254308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205607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r>
              <a:rPr lang="en-US">
                <a:latin typeface="Sakkal Majalla" panose="02000000000000000000" pitchFamily="2" charset="-78"/>
                <a:cs typeface="Sakkal Majalla" panose="02000000000000000000" pitchFamily="2" charset="-78"/>
              </a:rPr>
              <a:t>Disability distribution of all </a:t>
            </a:r>
            <a:r>
              <a:rPr lang="en-US" sz="1400" b="1" i="0" u="none" strike="noStrike" baseline="0">
                <a:effectLst/>
              </a:rPr>
              <a:t>PwD </a:t>
            </a:r>
            <a:r>
              <a:rPr lang="en-US">
                <a:latin typeface="Sakkal Majalla" panose="02000000000000000000" pitchFamily="2" charset="-78"/>
                <a:cs typeface="Sakkal Majalla" panose="02000000000000000000" pitchFamily="2" charset="-78"/>
              </a:rPr>
              <a:t>by region</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West Bank</c:v>
                </c:pt>
              </c:strCache>
            </c:strRef>
          </c:tx>
          <c:spPr>
            <a:solidFill>
              <a:schemeClr val="accent1"/>
            </a:solidFill>
            <a:ln>
              <a:noFill/>
            </a:ln>
            <a:effectLst/>
          </c:spPr>
          <c:invertIfNegative val="0"/>
          <c:dLbls>
            <c:dLbl>
              <c:idx val="4"/>
              <c:layout>
                <c:manualLayout>
                  <c:x val="0"/>
                  <c:y val="1.587301587301579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8.4875562720133283E-17"/>
                  <c:y val="1.587301587301579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0"/>
                  <c:y val="2.380952380952380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Vision</c:v>
                </c:pt>
                <c:pt idx="1">
                  <c:v>Hearing</c:v>
                </c:pt>
                <c:pt idx="2">
                  <c:v>Communication</c:v>
                </c:pt>
                <c:pt idx="3">
                  <c:v>Mobility</c:v>
                </c:pt>
                <c:pt idx="4">
                  <c:v>Remembering &amp; Concentrating</c:v>
                </c:pt>
                <c:pt idx="5">
                  <c:v>Learning Disability</c:v>
                </c:pt>
                <c:pt idx="6">
                  <c:v>Psychological</c:v>
                </c:pt>
              </c:strCache>
            </c:strRef>
          </c:cat>
          <c:val>
            <c:numRef>
              <c:f>Sheet1!$B$2:$B$8</c:f>
              <c:numCache>
                <c:formatCode>General</c:formatCode>
                <c:ptCount val="7"/>
                <c:pt idx="0">
                  <c:v>21.9</c:v>
                </c:pt>
                <c:pt idx="1">
                  <c:v>15.5</c:v>
                </c:pt>
                <c:pt idx="2">
                  <c:v>21.2</c:v>
                </c:pt>
                <c:pt idx="3">
                  <c:v>49.5</c:v>
                </c:pt>
                <c:pt idx="4">
                  <c:v>21.1</c:v>
                </c:pt>
                <c:pt idx="5">
                  <c:v>23.6</c:v>
                </c:pt>
                <c:pt idx="6">
                  <c:v>14.3</c:v>
                </c:pt>
              </c:numCache>
            </c:numRef>
          </c:val>
        </c:ser>
        <c:ser>
          <c:idx val="1"/>
          <c:order val="1"/>
          <c:tx>
            <c:strRef>
              <c:f>Sheet1!$C$1</c:f>
              <c:strCache>
                <c:ptCount val="1"/>
                <c:pt idx="0">
                  <c:v>Gaza</c:v>
                </c:pt>
              </c:strCache>
            </c:strRef>
          </c:tx>
          <c:spPr>
            <a:solidFill>
              <a:schemeClr val="accent2"/>
            </a:solidFill>
            <a:ln>
              <a:noFill/>
            </a:ln>
            <a:effectLst/>
          </c:spPr>
          <c:invertIfNegative val="0"/>
          <c:dLbls>
            <c:dLbl>
              <c:idx val="0"/>
              <c:layout>
                <c:manualLayout>
                  <c:x val="0"/>
                  <c:y val="3.174603174603174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984126984126984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Vision</c:v>
                </c:pt>
                <c:pt idx="1">
                  <c:v>Hearing</c:v>
                </c:pt>
                <c:pt idx="2">
                  <c:v>Communication</c:v>
                </c:pt>
                <c:pt idx="3">
                  <c:v>Mobility</c:v>
                </c:pt>
                <c:pt idx="4">
                  <c:v>Remembering &amp; Concentrating</c:v>
                </c:pt>
                <c:pt idx="5">
                  <c:v>Learning Disability</c:v>
                </c:pt>
                <c:pt idx="6">
                  <c:v>Psychological</c:v>
                </c:pt>
              </c:strCache>
            </c:strRef>
          </c:cat>
          <c:val>
            <c:numRef>
              <c:f>Sheet1!$C$2:$C$8</c:f>
              <c:numCache>
                <c:formatCode>General</c:formatCode>
                <c:ptCount val="7"/>
                <c:pt idx="0">
                  <c:v>21.3</c:v>
                </c:pt>
                <c:pt idx="1">
                  <c:v>11.5</c:v>
                </c:pt>
                <c:pt idx="2">
                  <c:v>21.6</c:v>
                </c:pt>
                <c:pt idx="3">
                  <c:v>47.2</c:v>
                </c:pt>
                <c:pt idx="4">
                  <c:v>23.7</c:v>
                </c:pt>
                <c:pt idx="5">
                  <c:v>26.7</c:v>
                </c:pt>
                <c:pt idx="6">
                  <c:v>15.6</c:v>
                </c:pt>
              </c:numCache>
            </c:numRef>
          </c:val>
        </c:ser>
        <c:dLbls>
          <c:dLblPos val="outEnd"/>
          <c:showLegendKey val="0"/>
          <c:showVal val="1"/>
          <c:showCatName val="0"/>
          <c:showSerName val="0"/>
          <c:showPercent val="0"/>
          <c:showBubbleSize val="0"/>
        </c:dLbls>
        <c:gapWidth val="219"/>
        <c:overlap val="-27"/>
        <c:axId val="371998080"/>
        <c:axId val="372000256"/>
      </c:barChart>
      <c:catAx>
        <c:axId val="37199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372000256"/>
        <c:crosses val="autoZero"/>
        <c:auto val="1"/>
        <c:lblAlgn val="ctr"/>
        <c:lblOffset val="100"/>
        <c:noMultiLvlLbl val="0"/>
      </c:catAx>
      <c:valAx>
        <c:axId val="372000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371998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r>
              <a:rPr lang="en-US" b="1" baseline="0">
                <a:latin typeface="Sakkal Majalla" panose="02000000000000000000" pitchFamily="2" charset="-78"/>
                <a:cs typeface="Sakkal Majalla" panose="02000000000000000000" pitchFamily="2" charset="-78"/>
              </a:rPr>
              <a:t>PwD rates by gender and region</a:t>
            </a:r>
            <a:endParaRPr lang="ar-SA" b="1">
              <a:latin typeface="Sakkal Majalla" panose="02000000000000000000" pitchFamily="2" charset="-78"/>
              <a:cs typeface="Sakkal Majalla" panose="02000000000000000000" pitchFamily="2" charset="-78"/>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نسبة الأفراد ذوي الإعاقة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Males</c:v>
                </c:pt>
                <c:pt idx="1">
                  <c:v>Females</c:v>
                </c:pt>
                <c:pt idx="2">
                  <c:v>West Bank</c:v>
                </c:pt>
                <c:pt idx="3">
                  <c:v>Gaza</c:v>
                </c:pt>
                <c:pt idx="4">
                  <c:v>Palestinian Territories </c:v>
                </c:pt>
              </c:strCache>
            </c:strRef>
          </c:cat>
          <c:val>
            <c:numRef>
              <c:f>Sheet1!$B$2:$B$6</c:f>
              <c:numCache>
                <c:formatCode>General</c:formatCode>
                <c:ptCount val="5"/>
                <c:pt idx="0">
                  <c:v>2.9</c:v>
                </c:pt>
                <c:pt idx="1">
                  <c:v>2.5</c:v>
                </c:pt>
                <c:pt idx="2">
                  <c:v>2.9</c:v>
                </c:pt>
                <c:pt idx="3">
                  <c:v>2.4</c:v>
                </c:pt>
                <c:pt idx="4">
                  <c:v>2.7</c:v>
                </c:pt>
              </c:numCache>
            </c:numRef>
          </c:val>
        </c:ser>
        <c:dLbls>
          <c:dLblPos val="outEnd"/>
          <c:showLegendKey val="0"/>
          <c:showVal val="1"/>
          <c:showCatName val="0"/>
          <c:showSerName val="0"/>
          <c:showPercent val="0"/>
          <c:showBubbleSize val="0"/>
        </c:dLbls>
        <c:gapWidth val="219"/>
        <c:overlap val="-27"/>
        <c:axId val="373421184"/>
        <c:axId val="373866880"/>
      </c:barChart>
      <c:catAx>
        <c:axId val="37342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373866880"/>
        <c:crosses val="autoZero"/>
        <c:auto val="1"/>
        <c:lblAlgn val="ctr"/>
        <c:lblOffset val="100"/>
        <c:noMultiLvlLbl val="0"/>
      </c:catAx>
      <c:valAx>
        <c:axId val="37386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373421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r>
              <a:rPr lang="en-US">
                <a:latin typeface="Sakkal Majalla" panose="02000000000000000000" pitchFamily="2" charset="-78"/>
                <a:cs typeface="Sakkal Majalla" panose="02000000000000000000" pitchFamily="2" charset="-78"/>
              </a:rPr>
              <a:t>Rates</a:t>
            </a:r>
            <a:r>
              <a:rPr lang="en-US" baseline="0">
                <a:latin typeface="Sakkal Majalla" panose="02000000000000000000" pitchFamily="2" charset="-78"/>
                <a:cs typeface="Sakkal Majalla" panose="02000000000000000000" pitchFamily="2" charset="-78"/>
              </a:rPr>
              <a:t> </a:t>
            </a:r>
            <a:r>
              <a:rPr lang="en-US" sz="1400" b="1" i="0" u="none" strike="noStrike" baseline="0">
                <a:effectLst/>
              </a:rPr>
              <a:t>PwD </a:t>
            </a:r>
            <a:r>
              <a:rPr lang="en-US" baseline="0">
                <a:latin typeface="Sakkal Majalla" panose="02000000000000000000" pitchFamily="2" charset="-78"/>
                <a:cs typeface="Sakkal Majalla" panose="02000000000000000000" pitchFamily="2" charset="-78"/>
              </a:rPr>
              <a:t>by Governorate</a:t>
            </a:r>
            <a:endParaRPr lang="ar-SA">
              <a:latin typeface="Sakkal Majalla" panose="02000000000000000000" pitchFamily="2" charset="-78"/>
              <a:cs typeface="Sakkal Majalla" panose="02000000000000000000" pitchFamily="2" charset="-78"/>
            </a:endParaRPr>
          </a:p>
        </c:rich>
      </c:tx>
      <c:overlay val="0"/>
      <c:spPr>
        <a:noFill/>
        <a:ln>
          <a:noFill/>
        </a:ln>
        <a:effectLst/>
      </c:spPr>
    </c:title>
    <c:autoTitleDeleted val="0"/>
    <c:plotArea>
      <c:layout/>
      <c:barChart>
        <c:barDir val="bar"/>
        <c:grouping val="clustered"/>
        <c:varyColors val="0"/>
        <c:ser>
          <c:idx val="0"/>
          <c:order val="0"/>
          <c:tx>
            <c:strRef>
              <c:f>Sheet1!$B$1</c:f>
              <c:strCache>
                <c:ptCount val="1"/>
                <c:pt idx="0">
                  <c:v>Directory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Jerusalem</c:v>
                </c:pt>
                <c:pt idx="1">
                  <c:v>Selfeet</c:v>
                </c:pt>
                <c:pt idx="2">
                  <c:v>Ramallah &amp; Al-Bireh</c:v>
                </c:pt>
                <c:pt idx="3">
                  <c:v>Khan Younis</c:v>
                </c:pt>
                <c:pt idx="4">
                  <c:v>Rafah</c:v>
                </c:pt>
                <c:pt idx="5">
                  <c:v>Deir Al Balah</c:v>
                </c:pt>
                <c:pt idx="6">
                  <c:v>North gaza</c:v>
                </c:pt>
                <c:pt idx="7">
                  <c:v>Gaza</c:v>
                </c:pt>
                <c:pt idx="8">
                  <c:v>Jericho </c:v>
                </c:pt>
                <c:pt idx="9">
                  <c:v>Bethlehem</c:v>
                </c:pt>
                <c:pt idx="10">
                  <c:v>Nablus</c:v>
                </c:pt>
                <c:pt idx="11">
                  <c:v>Tubas</c:v>
                </c:pt>
                <c:pt idx="12">
                  <c:v>Tulkarim</c:v>
                </c:pt>
                <c:pt idx="13">
                  <c:v>Qalqilia</c:v>
                </c:pt>
                <c:pt idx="14">
                  <c:v>Hebron</c:v>
                </c:pt>
                <c:pt idx="15">
                  <c:v>Jenin</c:v>
                </c:pt>
              </c:strCache>
            </c:strRef>
          </c:cat>
          <c:val>
            <c:numRef>
              <c:f>Sheet1!$B$2:$B$17</c:f>
              <c:numCache>
                <c:formatCode>General</c:formatCode>
                <c:ptCount val="16"/>
                <c:pt idx="0">
                  <c:v>1.4</c:v>
                </c:pt>
                <c:pt idx="1">
                  <c:v>2</c:v>
                </c:pt>
                <c:pt idx="2">
                  <c:v>2.1</c:v>
                </c:pt>
                <c:pt idx="3">
                  <c:v>2.2000000000000002</c:v>
                </c:pt>
                <c:pt idx="4">
                  <c:v>2.4</c:v>
                </c:pt>
                <c:pt idx="5">
                  <c:v>2.4</c:v>
                </c:pt>
                <c:pt idx="6">
                  <c:v>2.4</c:v>
                </c:pt>
                <c:pt idx="7">
                  <c:v>2.5</c:v>
                </c:pt>
                <c:pt idx="8">
                  <c:v>2.8</c:v>
                </c:pt>
                <c:pt idx="9">
                  <c:v>3</c:v>
                </c:pt>
                <c:pt idx="10">
                  <c:v>3</c:v>
                </c:pt>
                <c:pt idx="11">
                  <c:v>3.1</c:v>
                </c:pt>
                <c:pt idx="12">
                  <c:v>3.2</c:v>
                </c:pt>
                <c:pt idx="13">
                  <c:v>3.4</c:v>
                </c:pt>
                <c:pt idx="14">
                  <c:v>3.6</c:v>
                </c:pt>
                <c:pt idx="15">
                  <c:v>4.0999999999999996</c:v>
                </c:pt>
              </c:numCache>
            </c:numRef>
          </c:val>
        </c:ser>
        <c:dLbls>
          <c:showLegendKey val="0"/>
          <c:showVal val="0"/>
          <c:showCatName val="0"/>
          <c:showSerName val="0"/>
          <c:showPercent val="0"/>
          <c:showBubbleSize val="0"/>
        </c:dLbls>
        <c:gapWidth val="219"/>
        <c:axId val="374259712"/>
        <c:axId val="374269440"/>
      </c:barChart>
      <c:catAx>
        <c:axId val="374259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374269440"/>
        <c:crosses val="autoZero"/>
        <c:auto val="1"/>
        <c:lblAlgn val="ctr"/>
        <c:lblOffset val="100"/>
        <c:noMultiLvlLbl val="0"/>
      </c:catAx>
      <c:valAx>
        <c:axId val="374269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374259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PwD </a:t>
            </a:r>
            <a:r>
              <a:rPr lang="en-US" sz="1400" b="1" i="0" baseline="0">
                <a:effectLst/>
                <a:latin typeface="Sakkal Majalla" panose="02000000000000000000" pitchFamily="2" charset="-78"/>
                <a:cs typeface="Sakkal Majalla" panose="02000000000000000000" pitchFamily="2" charset="-78"/>
              </a:rPr>
              <a:t>rates by age and region</a:t>
            </a:r>
            <a:endParaRPr lang="en-US" sz="1400" b="1">
              <a:effectLst/>
              <a:latin typeface="Sakkal Majalla" panose="02000000000000000000" pitchFamily="2" charset="-78"/>
              <a:cs typeface="Sakkal Majalla" panose="02000000000000000000" pitchFamily="2" charset="-78"/>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West Bank</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0 - 17 years</c:v>
                </c:pt>
                <c:pt idx="1">
                  <c:v>18 - 34 years</c:v>
                </c:pt>
                <c:pt idx="2">
                  <c:v>35 - 44 years</c:v>
                </c:pt>
                <c:pt idx="3">
                  <c:v>45 - 54 years</c:v>
                </c:pt>
                <c:pt idx="4">
                  <c:v>55 - 64 years</c:v>
                </c:pt>
                <c:pt idx="5">
                  <c:v>65 - 74 years</c:v>
                </c:pt>
                <c:pt idx="6">
                  <c:v>75 &amp; Above</c:v>
                </c:pt>
              </c:strCache>
            </c:strRef>
          </c:cat>
          <c:val>
            <c:numRef>
              <c:f>Sheet1!$B$2:$B$8</c:f>
              <c:numCache>
                <c:formatCode>General</c:formatCode>
                <c:ptCount val="7"/>
                <c:pt idx="0">
                  <c:v>1.6</c:v>
                </c:pt>
                <c:pt idx="1">
                  <c:v>2</c:v>
                </c:pt>
                <c:pt idx="2">
                  <c:v>2.8</c:v>
                </c:pt>
                <c:pt idx="3">
                  <c:v>4.2</c:v>
                </c:pt>
                <c:pt idx="4">
                  <c:v>7.2</c:v>
                </c:pt>
                <c:pt idx="5">
                  <c:v>15.5</c:v>
                </c:pt>
                <c:pt idx="6">
                  <c:v>31.4</c:v>
                </c:pt>
              </c:numCache>
            </c:numRef>
          </c:val>
        </c:ser>
        <c:ser>
          <c:idx val="1"/>
          <c:order val="1"/>
          <c:tx>
            <c:strRef>
              <c:f>Sheet1!$C$1</c:f>
              <c:strCache>
                <c:ptCount val="1"/>
                <c:pt idx="0">
                  <c:v>Gaza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0 - 17 years</c:v>
                </c:pt>
                <c:pt idx="1">
                  <c:v>18 - 34 years</c:v>
                </c:pt>
                <c:pt idx="2">
                  <c:v>35 - 44 years</c:v>
                </c:pt>
                <c:pt idx="3">
                  <c:v>45 - 54 years</c:v>
                </c:pt>
                <c:pt idx="4">
                  <c:v>55 - 64 years</c:v>
                </c:pt>
                <c:pt idx="5">
                  <c:v>65 - 74 years</c:v>
                </c:pt>
                <c:pt idx="6">
                  <c:v>75 &amp; Above</c:v>
                </c:pt>
              </c:strCache>
            </c:strRef>
          </c:cat>
          <c:val>
            <c:numRef>
              <c:f>Sheet1!$C$2:$C$8</c:f>
              <c:numCache>
                <c:formatCode>General</c:formatCode>
                <c:ptCount val="7"/>
                <c:pt idx="0">
                  <c:v>1.4</c:v>
                </c:pt>
                <c:pt idx="1">
                  <c:v>1.5</c:v>
                </c:pt>
                <c:pt idx="2">
                  <c:v>2.4</c:v>
                </c:pt>
                <c:pt idx="3">
                  <c:v>3.8</c:v>
                </c:pt>
                <c:pt idx="4">
                  <c:v>6.9</c:v>
                </c:pt>
                <c:pt idx="5">
                  <c:v>19.399999999999999</c:v>
                </c:pt>
                <c:pt idx="6">
                  <c:v>33.6</c:v>
                </c:pt>
              </c:numCache>
            </c:numRef>
          </c:val>
        </c:ser>
        <c:dLbls>
          <c:dLblPos val="outEnd"/>
          <c:showLegendKey val="0"/>
          <c:showVal val="1"/>
          <c:showCatName val="0"/>
          <c:showSerName val="0"/>
          <c:showPercent val="0"/>
          <c:showBubbleSize val="0"/>
        </c:dLbls>
        <c:gapWidth val="219"/>
        <c:overlap val="-27"/>
        <c:axId val="462370304"/>
        <c:axId val="466372480"/>
      </c:barChart>
      <c:catAx>
        <c:axId val="46237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466372480"/>
        <c:crosses val="autoZero"/>
        <c:auto val="1"/>
        <c:lblAlgn val="ctr"/>
        <c:lblOffset val="100"/>
        <c:noMultiLvlLbl val="0"/>
      </c:catAx>
      <c:valAx>
        <c:axId val="46637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46237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PwD </a:t>
            </a:r>
            <a:r>
              <a:rPr lang="en-US" sz="1400" b="1" i="0" baseline="0">
                <a:effectLst/>
                <a:latin typeface="Sakkal Majalla" panose="02000000000000000000" pitchFamily="2" charset="-78"/>
                <a:cs typeface="Sakkal Majalla" panose="02000000000000000000" pitchFamily="2" charset="-78"/>
              </a:rPr>
              <a:t>rates by gender and age</a:t>
            </a:r>
            <a:endParaRPr lang="en-US" sz="1400">
              <a:effectLst/>
              <a:latin typeface="Sakkal Majalla" panose="02000000000000000000" pitchFamily="2" charset="-78"/>
              <a:cs typeface="Sakkal Majalla" panose="02000000000000000000" pitchFamily="2" charset="-78"/>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Males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0 - 17 years</c:v>
                </c:pt>
                <c:pt idx="1">
                  <c:v>18 - 34 years</c:v>
                </c:pt>
                <c:pt idx="2">
                  <c:v>35 - 44 years</c:v>
                </c:pt>
                <c:pt idx="3">
                  <c:v>45 - 54 years</c:v>
                </c:pt>
                <c:pt idx="4">
                  <c:v>55 - 64 years</c:v>
                </c:pt>
                <c:pt idx="5">
                  <c:v>65 - 74 years</c:v>
                </c:pt>
                <c:pt idx="6">
                  <c:v>75 &amp; Above</c:v>
                </c:pt>
              </c:strCache>
            </c:strRef>
          </c:cat>
          <c:val>
            <c:numRef>
              <c:f>Sheet1!$B$2:$B$8</c:f>
              <c:numCache>
                <c:formatCode>General</c:formatCode>
                <c:ptCount val="7"/>
                <c:pt idx="0">
                  <c:v>1.8</c:v>
                </c:pt>
                <c:pt idx="1">
                  <c:v>2.2999999999999998</c:v>
                </c:pt>
                <c:pt idx="2">
                  <c:v>3.4</c:v>
                </c:pt>
                <c:pt idx="3">
                  <c:v>4.4000000000000004</c:v>
                </c:pt>
                <c:pt idx="4">
                  <c:v>7.5</c:v>
                </c:pt>
                <c:pt idx="5">
                  <c:v>11.9</c:v>
                </c:pt>
                <c:pt idx="6">
                  <c:v>28.9</c:v>
                </c:pt>
              </c:numCache>
            </c:numRef>
          </c:val>
        </c:ser>
        <c:ser>
          <c:idx val="1"/>
          <c:order val="1"/>
          <c:tx>
            <c:strRef>
              <c:f>Sheet1!$C$1</c:f>
              <c:strCache>
                <c:ptCount val="1"/>
                <c:pt idx="0">
                  <c:v>Females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0 - 17 years</c:v>
                </c:pt>
                <c:pt idx="1">
                  <c:v>18 - 34 years</c:v>
                </c:pt>
                <c:pt idx="2">
                  <c:v>35 - 44 years</c:v>
                </c:pt>
                <c:pt idx="3">
                  <c:v>45 - 54 years</c:v>
                </c:pt>
                <c:pt idx="4">
                  <c:v>55 - 64 years</c:v>
                </c:pt>
                <c:pt idx="5">
                  <c:v>65 - 74 years</c:v>
                </c:pt>
                <c:pt idx="6">
                  <c:v>75 &amp; Above</c:v>
                </c:pt>
              </c:strCache>
            </c:strRef>
          </c:cat>
          <c:val>
            <c:numRef>
              <c:f>Sheet1!$C$2:$C$8</c:f>
              <c:numCache>
                <c:formatCode>General</c:formatCode>
                <c:ptCount val="7"/>
                <c:pt idx="0">
                  <c:v>1.3</c:v>
                </c:pt>
                <c:pt idx="1">
                  <c:v>1.4</c:v>
                </c:pt>
                <c:pt idx="2">
                  <c:v>1.9</c:v>
                </c:pt>
                <c:pt idx="3">
                  <c:v>3.8</c:v>
                </c:pt>
                <c:pt idx="4">
                  <c:v>6.6</c:v>
                </c:pt>
                <c:pt idx="5">
                  <c:v>20.5</c:v>
                </c:pt>
                <c:pt idx="6">
                  <c:v>34.1</c:v>
                </c:pt>
              </c:numCache>
            </c:numRef>
          </c:val>
        </c:ser>
        <c:ser>
          <c:idx val="2"/>
          <c:order val="2"/>
          <c:tx>
            <c:strRef>
              <c:f>Sheet1!$D$1</c:f>
              <c:strCache>
                <c:ptCount val="1"/>
                <c:pt idx="0">
                  <c:v>Total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0 - 17 years</c:v>
                </c:pt>
                <c:pt idx="1">
                  <c:v>18 - 34 years</c:v>
                </c:pt>
                <c:pt idx="2">
                  <c:v>35 - 44 years</c:v>
                </c:pt>
                <c:pt idx="3">
                  <c:v>45 - 54 years</c:v>
                </c:pt>
                <c:pt idx="4">
                  <c:v>55 - 64 years</c:v>
                </c:pt>
                <c:pt idx="5">
                  <c:v>65 - 74 years</c:v>
                </c:pt>
                <c:pt idx="6">
                  <c:v>75 &amp; Above</c:v>
                </c:pt>
              </c:strCache>
            </c:strRef>
          </c:cat>
          <c:val>
            <c:numRef>
              <c:f>Sheet1!$D$2:$D$8</c:f>
              <c:numCache>
                <c:formatCode>General</c:formatCode>
                <c:ptCount val="7"/>
                <c:pt idx="0">
                  <c:v>1.5</c:v>
                </c:pt>
                <c:pt idx="1">
                  <c:v>1.8</c:v>
                </c:pt>
                <c:pt idx="2">
                  <c:v>2.7</c:v>
                </c:pt>
                <c:pt idx="3">
                  <c:v>4.0999999999999996</c:v>
                </c:pt>
                <c:pt idx="4">
                  <c:v>7.1</c:v>
                </c:pt>
                <c:pt idx="5">
                  <c:v>16.8</c:v>
                </c:pt>
                <c:pt idx="6">
                  <c:v>32</c:v>
                </c:pt>
              </c:numCache>
            </c:numRef>
          </c:val>
        </c:ser>
        <c:dLbls>
          <c:dLblPos val="outEnd"/>
          <c:showLegendKey val="0"/>
          <c:showVal val="1"/>
          <c:showCatName val="0"/>
          <c:showSerName val="0"/>
          <c:showPercent val="0"/>
          <c:showBubbleSize val="0"/>
        </c:dLbls>
        <c:gapWidth val="219"/>
        <c:overlap val="-27"/>
        <c:axId val="522424320"/>
        <c:axId val="522426240"/>
      </c:barChart>
      <c:catAx>
        <c:axId val="52242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22426240"/>
        <c:crosses val="autoZero"/>
        <c:auto val="1"/>
        <c:lblAlgn val="ctr"/>
        <c:lblOffset val="100"/>
        <c:noMultiLvlLbl val="0"/>
      </c:catAx>
      <c:valAx>
        <c:axId val="522426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2242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r>
              <a:rPr lang="en-US">
                <a:latin typeface="Sakkal Majalla" panose="02000000000000000000" pitchFamily="2" charset="-78"/>
                <a:cs typeface="Sakkal Majalla" panose="02000000000000000000" pitchFamily="2" charset="-78"/>
              </a:rPr>
              <a:t>Disability distribution of all </a:t>
            </a:r>
            <a:r>
              <a:rPr lang="en-US" sz="1400" b="1" i="0" u="none" strike="noStrike" baseline="0">
                <a:effectLst/>
              </a:rPr>
              <a:t>PwD </a:t>
            </a:r>
            <a:r>
              <a:rPr lang="en-US">
                <a:latin typeface="Sakkal Majalla" panose="02000000000000000000" pitchFamily="2" charset="-78"/>
                <a:cs typeface="Sakkal Majalla" panose="02000000000000000000" pitchFamily="2" charset="-78"/>
              </a:rPr>
              <a:t>by region</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West Bank</c:v>
                </c:pt>
              </c:strCache>
            </c:strRef>
          </c:tx>
          <c:spPr>
            <a:solidFill>
              <a:schemeClr val="accent1"/>
            </a:solidFill>
            <a:ln>
              <a:noFill/>
            </a:ln>
            <a:effectLst/>
          </c:spPr>
          <c:invertIfNegative val="0"/>
          <c:dLbls>
            <c:dLbl>
              <c:idx val="4"/>
              <c:layout>
                <c:manualLayout>
                  <c:x val="0"/>
                  <c:y val="1.587301587301579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8.4875562720133283E-17"/>
                  <c:y val="1.587301587301579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0"/>
                  <c:y val="2.380952380952380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Vision</c:v>
                </c:pt>
                <c:pt idx="1">
                  <c:v>Hearing</c:v>
                </c:pt>
                <c:pt idx="2">
                  <c:v>Communication</c:v>
                </c:pt>
                <c:pt idx="3">
                  <c:v>Mobility</c:v>
                </c:pt>
                <c:pt idx="4">
                  <c:v>Remembering &amp; Concentrating</c:v>
                </c:pt>
                <c:pt idx="5">
                  <c:v>Learning Disability</c:v>
                </c:pt>
                <c:pt idx="6">
                  <c:v>Psychological</c:v>
                </c:pt>
              </c:strCache>
            </c:strRef>
          </c:cat>
          <c:val>
            <c:numRef>
              <c:f>Sheet1!$B$2:$B$8</c:f>
              <c:numCache>
                <c:formatCode>General</c:formatCode>
                <c:ptCount val="7"/>
                <c:pt idx="0">
                  <c:v>21.9</c:v>
                </c:pt>
                <c:pt idx="1">
                  <c:v>15.5</c:v>
                </c:pt>
                <c:pt idx="2">
                  <c:v>21.2</c:v>
                </c:pt>
                <c:pt idx="3">
                  <c:v>49.5</c:v>
                </c:pt>
                <c:pt idx="4">
                  <c:v>21.1</c:v>
                </c:pt>
                <c:pt idx="5">
                  <c:v>23.6</c:v>
                </c:pt>
                <c:pt idx="6">
                  <c:v>14.3</c:v>
                </c:pt>
              </c:numCache>
            </c:numRef>
          </c:val>
        </c:ser>
        <c:ser>
          <c:idx val="1"/>
          <c:order val="1"/>
          <c:tx>
            <c:strRef>
              <c:f>Sheet1!$C$1</c:f>
              <c:strCache>
                <c:ptCount val="1"/>
                <c:pt idx="0">
                  <c:v>Gaza</c:v>
                </c:pt>
              </c:strCache>
            </c:strRef>
          </c:tx>
          <c:spPr>
            <a:solidFill>
              <a:schemeClr val="accent2"/>
            </a:solidFill>
            <a:ln>
              <a:noFill/>
            </a:ln>
            <a:effectLst/>
          </c:spPr>
          <c:invertIfNegative val="0"/>
          <c:dLbls>
            <c:dLbl>
              <c:idx val="0"/>
              <c:layout>
                <c:manualLayout>
                  <c:x val="0"/>
                  <c:y val="3.174603174603174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984126984126984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Vision</c:v>
                </c:pt>
                <c:pt idx="1">
                  <c:v>Hearing</c:v>
                </c:pt>
                <c:pt idx="2">
                  <c:v>Communication</c:v>
                </c:pt>
                <c:pt idx="3">
                  <c:v>Mobility</c:v>
                </c:pt>
                <c:pt idx="4">
                  <c:v>Remembering &amp; Concentrating</c:v>
                </c:pt>
                <c:pt idx="5">
                  <c:v>Learning Disability</c:v>
                </c:pt>
                <c:pt idx="6">
                  <c:v>Psychological</c:v>
                </c:pt>
              </c:strCache>
            </c:strRef>
          </c:cat>
          <c:val>
            <c:numRef>
              <c:f>Sheet1!$C$2:$C$8</c:f>
              <c:numCache>
                <c:formatCode>General</c:formatCode>
                <c:ptCount val="7"/>
                <c:pt idx="0">
                  <c:v>21.3</c:v>
                </c:pt>
                <c:pt idx="1">
                  <c:v>11.5</c:v>
                </c:pt>
                <c:pt idx="2">
                  <c:v>21.6</c:v>
                </c:pt>
                <c:pt idx="3">
                  <c:v>47.2</c:v>
                </c:pt>
                <c:pt idx="4">
                  <c:v>23.7</c:v>
                </c:pt>
                <c:pt idx="5">
                  <c:v>26.7</c:v>
                </c:pt>
                <c:pt idx="6">
                  <c:v>15.6</c:v>
                </c:pt>
              </c:numCache>
            </c:numRef>
          </c:val>
        </c:ser>
        <c:dLbls>
          <c:dLblPos val="outEnd"/>
          <c:showLegendKey val="0"/>
          <c:showVal val="1"/>
          <c:showCatName val="0"/>
          <c:showSerName val="0"/>
          <c:showPercent val="0"/>
          <c:showBubbleSize val="0"/>
        </c:dLbls>
        <c:gapWidth val="219"/>
        <c:overlap val="-27"/>
        <c:axId val="525411072"/>
        <c:axId val="525412608"/>
      </c:barChart>
      <c:catAx>
        <c:axId val="52541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25412608"/>
        <c:crosses val="autoZero"/>
        <c:auto val="1"/>
        <c:lblAlgn val="ctr"/>
        <c:lblOffset val="100"/>
        <c:noMultiLvlLbl val="0"/>
      </c:catAx>
      <c:valAx>
        <c:axId val="525412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2541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AB48404FC1E443E9257BA74A29AD138"/>
        <w:category>
          <w:name w:val="General"/>
          <w:gallery w:val="placeholder"/>
        </w:category>
        <w:types>
          <w:type w:val="bbPlcHdr"/>
        </w:types>
        <w:behaviors>
          <w:behavior w:val="content"/>
        </w:behaviors>
        <w:guid w:val="{5DCC2A16-0656-470C-AFF7-A8186532635A}"/>
      </w:docPartPr>
      <w:docPartBody>
        <w:p w:rsidR="00945766" w:rsidRDefault="00891097" w:rsidP="00891097">
          <w:pPr>
            <w:pStyle w:val="EAB48404FC1E443E9257BA74A29AD138"/>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Palatino">
    <w:altName w:val="Book Antiqua"/>
    <w:charset w:val="00"/>
    <w:family w:val="auto"/>
    <w:pitch w:val="variable"/>
    <w:sig w:usb0="A00002FF" w:usb1="7800205A" w:usb2="14600000" w:usb3="00000000" w:csb0="00000193" w:csb1="00000000"/>
  </w:font>
  <w:font w:name="(AH) Manal Black">
    <w:altName w:val="Times New Roman"/>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097"/>
    <w:rsid w:val="00253B6C"/>
    <w:rsid w:val="00891097"/>
    <w:rsid w:val="009457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AB48404FC1E443E9257BA74A29AD138">
    <w:name w:val="EAB48404FC1E443E9257BA74A29AD138"/>
    <w:rsid w:val="0089109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AB48404FC1E443E9257BA74A29AD138">
    <w:name w:val="EAB48404FC1E443E9257BA74A29AD138"/>
    <w:rsid w:val="008910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37D63A5-473C-45FB-B732-98CA3933362A}"/>
</file>

<file path=customXml/itemProps2.xml><?xml version="1.0" encoding="utf-8"?>
<ds:datastoreItem xmlns:ds="http://schemas.openxmlformats.org/officeDocument/2006/customXml" ds:itemID="{A456F4CD-134B-4942-9EE2-AFB6A5F31CEC}"/>
</file>

<file path=customXml/itemProps3.xml><?xml version="1.0" encoding="utf-8"?>
<ds:datastoreItem xmlns:ds="http://schemas.openxmlformats.org/officeDocument/2006/customXml" ds:itemID="{D4A487E2-46DC-4EBB-9C8B-AC5B158A1ADE}"/>
</file>

<file path=docProps/app.xml><?xml version="1.0" encoding="utf-8"?>
<Properties xmlns="http://schemas.openxmlformats.org/officeDocument/2006/extended-properties" xmlns:vt="http://schemas.openxmlformats.org/officeDocument/2006/docPropsVTypes">
  <Template>Normal.dotm</Template>
  <TotalTime>1</TotalTime>
  <Pages>11</Pages>
  <Words>2195</Words>
  <Characters>12516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Miral Hammoudeh</dc:creator>
  <cp:keywords/>
  <dc:description/>
  <cp:lastModifiedBy>Alina Grigoras</cp:lastModifiedBy>
  <cp:revision>2</cp:revision>
  <dcterms:created xsi:type="dcterms:W3CDTF">2017-01-04T17:30:00Z</dcterms:created>
  <dcterms:modified xsi:type="dcterms:W3CDTF">2017-01-04T17:30:00Z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