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5859AFDE" w:rsidR="005A094A" w:rsidRPr="00086C87" w:rsidRDefault="005458FD" w:rsidP="005B1381">
      <w:pPr>
        <w:pStyle w:val="Heading1"/>
        <w:rPr>
          <w:rFonts w:eastAsiaTheme="majorEastAsia" w:cstheme="majorBidi"/>
          <w:color w:val="FFFFFF" w:themeColor="background1"/>
        </w:rPr>
      </w:pPr>
      <w:r w:rsidRPr="00086C87">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36F71381">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086C87">
        <w:rPr>
          <w:rFonts w:eastAsiaTheme="majorEastAsia" w:cstheme="majorBidi"/>
          <w:color w:val="FFFFFF" w:themeColor="background1"/>
        </w:rPr>
        <w:t xml:space="preserve">Data sources for outcome indicators on Article </w:t>
      </w:r>
      <w:r w:rsidR="00AA6E64" w:rsidRPr="00086C87">
        <w:rPr>
          <w:rFonts w:eastAsiaTheme="majorEastAsia" w:cstheme="majorBidi"/>
          <w:color w:val="FFFFFF" w:themeColor="background1"/>
        </w:rPr>
        <w:t>12</w:t>
      </w:r>
      <w:r w:rsidR="000A661C" w:rsidRPr="00086C87">
        <w:rPr>
          <w:rFonts w:eastAsiaTheme="majorEastAsia" w:cstheme="majorBidi"/>
          <w:color w:val="FFFFFF" w:themeColor="background1"/>
        </w:rPr>
        <w:t>:</w:t>
      </w:r>
    </w:p>
    <w:p w14:paraId="5A518BF9" w14:textId="6088167F" w:rsidR="00906D01" w:rsidRPr="00086C87" w:rsidRDefault="00C92D74" w:rsidP="005B1381">
      <w:pPr>
        <w:pStyle w:val="Heading1"/>
        <w:rPr>
          <w:rFonts w:eastAsiaTheme="majorEastAsia" w:cstheme="majorBidi"/>
          <w:color w:val="FFFFFF" w:themeColor="background1"/>
          <w:sz w:val="72"/>
          <w:szCs w:val="72"/>
        </w:rPr>
      </w:pPr>
      <w:r w:rsidRPr="00086C87">
        <w:rPr>
          <w:rFonts w:eastAsiaTheme="majorEastAsia" w:cstheme="majorBidi"/>
          <w:color w:val="FFFFFF" w:themeColor="background1"/>
          <w:sz w:val="72"/>
          <w:szCs w:val="72"/>
        </w:rPr>
        <w:t>Equal recognition before the law</w:t>
      </w:r>
    </w:p>
    <w:p w14:paraId="3CBE4037" w14:textId="33DE13A4" w:rsidR="00355C6D" w:rsidRPr="00086C87" w:rsidRDefault="005B1381" w:rsidP="00D850DC">
      <w:pPr>
        <w:spacing w:before="0" w:after="0" w:line="240" w:lineRule="auto"/>
        <w:rPr>
          <w:rFonts w:asciiTheme="minorHAnsi" w:hAnsiTheme="minorHAnsi" w:cstheme="minorHAnsi"/>
        </w:rPr>
      </w:pPr>
      <w:r w:rsidRPr="00086C87">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11B1B134">
            <wp:simplePos x="4371975" y="9029700"/>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086C87">
        <w:rPr>
          <w:rFonts w:asciiTheme="minorHAnsi" w:hAnsiTheme="minorHAnsi" w:cstheme="minorHAnsi"/>
        </w:rPr>
        <w:br w:type="page"/>
      </w:r>
    </w:p>
    <w:p w14:paraId="779E1EF4" w14:textId="5C6FD04F" w:rsidR="00355C6D" w:rsidRPr="00086C87" w:rsidRDefault="00570364" w:rsidP="00D850DC">
      <w:pPr>
        <w:spacing w:before="0" w:after="0" w:line="240" w:lineRule="auto"/>
        <w:rPr>
          <w:rFonts w:asciiTheme="minorHAnsi" w:hAnsiTheme="minorHAnsi" w:cstheme="minorHAnsi"/>
        </w:rPr>
      </w:pPr>
      <w:r w:rsidRPr="00086C87">
        <w:rPr>
          <w:rFonts w:asciiTheme="minorHAnsi" w:hAnsiTheme="minorHAnsi" w:cstheme="minorHAnsi"/>
          <w:noProof/>
          <w:lang w:eastAsia="en-GB"/>
        </w:rPr>
        <w:lastRenderedPageBreak/>
        <w:drawing>
          <wp:inline distT="0" distB="0" distL="0" distR="0" wp14:anchorId="48975751" wp14:editId="1F640CE4">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59FD564B" w14:textId="77777777" w:rsidR="000F7ABB" w:rsidRPr="00086C87" w:rsidRDefault="000F7ABB" w:rsidP="000F7ABB">
      <w:pPr>
        <w:autoSpaceDE w:val="0"/>
        <w:autoSpaceDN w:val="0"/>
        <w:spacing w:before="7200" w:line="260" w:lineRule="exact"/>
        <w:rPr>
          <w:rFonts w:cs="Segoe UI"/>
          <w:color w:val="000000"/>
          <w:sz w:val="18"/>
          <w:lang w:eastAsia="en-GB"/>
        </w:rPr>
      </w:pPr>
      <w:r w:rsidRPr="00086C87">
        <w:rPr>
          <w:rFonts w:cs="Segoe UI"/>
          <w:color w:val="000000"/>
          <w:sz w:val="18"/>
          <w:lang w:eastAsia="en-GB"/>
        </w:rPr>
        <w:t>ADVANCE VERSION</w:t>
      </w:r>
    </w:p>
    <w:p w14:paraId="66E4584E" w14:textId="77777777" w:rsidR="000F7ABB" w:rsidRPr="00086C87" w:rsidRDefault="000F7ABB" w:rsidP="000F7ABB">
      <w:pPr>
        <w:autoSpaceDE w:val="0"/>
        <w:autoSpaceDN w:val="0"/>
        <w:spacing w:line="260" w:lineRule="exact"/>
        <w:rPr>
          <w:rFonts w:cs="Segoe UI"/>
          <w:color w:val="000000"/>
          <w:sz w:val="20"/>
          <w:szCs w:val="20"/>
          <w:lang w:eastAsia="en-GB"/>
        </w:rPr>
      </w:pPr>
      <w:r w:rsidRPr="00086C87">
        <w:rPr>
          <w:rFonts w:cs="Segoe UI"/>
          <w:color w:val="000000"/>
          <w:sz w:val="20"/>
          <w:szCs w:val="20"/>
          <w:lang w:eastAsia="en-GB"/>
        </w:rPr>
        <w:t xml:space="preserve">© 2020 United Nations  </w:t>
      </w:r>
    </w:p>
    <w:p w14:paraId="611C991A" w14:textId="77777777" w:rsidR="000F7ABB" w:rsidRPr="00086C87" w:rsidRDefault="000F7ABB" w:rsidP="000F7ABB">
      <w:pPr>
        <w:autoSpaceDE w:val="0"/>
        <w:autoSpaceDN w:val="0"/>
        <w:spacing w:line="260" w:lineRule="exact"/>
        <w:rPr>
          <w:rFonts w:cs="Segoe UI"/>
          <w:color w:val="000000"/>
          <w:sz w:val="20"/>
          <w:szCs w:val="20"/>
          <w:lang w:eastAsia="en-GB"/>
        </w:rPr>
      </w:pPr>
      <w:r w:rsidRPr="00086C87">
        <w:rPr>
          <w:rFonts w:cs="Segoe UI"/>
          <w:color w:val="000000"/>
          <w:sz w:val="20"/>
          <w:szCs w:val="20"/>
          <w:lang w:eastAsia="en-GB"/>
        </w:rPr>
        <w:t xml:space="preserve">The </w:t>
      </w:r>
      <w:r w:rsidRPr="00086C87">
        <w:rPr>
          <w:rFonts w:cs="Segoe UI"/>
          <w:i/>
          <w:color w:val="000000"/>
          <w:sz w:val="20"/>
          <w:szCs w:val="20"/>
          <w:lang w:eastAsia="en-GB"/>
        </w:rPr>
        <w:t>Data Sources Guidance</w:t>
      </w:r>
      <w:r w:rsidRPr="00086C87">
        <w:rPr>
          <w:rFonts w:cs="Segoe UI"/>
          <w:color w:val="000000"/>
          <w:sz w:val="20"/>
          <w:szCs w:val="20"/>
          <w:lang w:eastAsia="en-GB"/>
        </w:rPr>
        <w:t xml:space="preserve"> is a component of the </w:t>
      </w:r>
      <w:hyperlink r:id="rId12" w:history="1">
        <w:r w:rsidRPr="00086C87">
          <w:rPr>
            <w:rStyle w:val="Hyperlink"/>
            <w:rFonts w:cs="Segoe UI"/>
            <w:sz w:val="20"/>
            <w:szCs w:val="20"/>
            <w:lang w:eastAsia="en-GB"/>
          </w:rPr>
          <w:t>SDG-CRPD Resource Package</w:t>
        </w:r>
      </w:hyperlink>
      <w:r w:rsidRPr="00086C87">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212A6273" w14:textId="4FD9ECE2" w:rsidR="000F7ABB" w:rsidRPr="00086C87" w:rsidRDefault="000F7ABB" w:rsidP="000F7ABB">
      <w:pPr>
        <w:autoSpaceDE w:val="0"/>
        <w:autoSpaceDN w:val="0"/>
        <w:spacing w:line="260" w:lineRule="exact"/>
        <w:rPr>
          <w:rFonts w:cs="Segoe UI"/>
          <w:color w:val="000000"/>
          <w:sz w:val="20"/>
          <w:szCs w:val="20"/>
          <w:lang w:eastAsia="en-GB"/>
        </w:rPr>
      </w:pPr>
      <w:r w:rsidRPr="00086C87">
        <w:rPr>
          <w:rFonts w:cs="Segoe UI"/>
          <w:color w:val="000000"/>
          <w:sz w:val="20"/>
          <w:szCs w:val="20"/>
          <w:lang w:eastAsia="en-GB"/>
        </w:rPr>
        <w:t xml:space="preserve">The designations employed and the presentation of the material </w:t>
      </w:r>
      <w:r w:rsidR="001F2FB6" w:rsidRPr="00086C87">
        <w:rPr>
          <w:rFonts w:cs="Segoe UI"/>
          <w:color w:val="000000"/>
          <w:sz w:val="20"/>
          <w:szCs w:val="20"/>
          <w:lang w:eastAsia="en-GB"/>
        </w:rPr>
        <w:t>herein</w:t>
      </w:r>
      <w:r w:rsidRPr="00086C87">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720F8DBF" w14:textId="77777777" w:rsidR="000F7ABB" w:rsidRPr="00086C87" w:rsidRDefault="000F7ABB" w:rsidP="000F7ABB">
      <w:pPr>
        <w:autoSpaceDE w:val="0"/>
        <w:autoSpaceDN w:val="0"/>
        <w:spacing w:line="260" w:lineRule="exact"/>
        <w:rPr>
          <w:rFonts w:cs="Segoe UI"/>
          <w:color w:val="000000"/>
          <w:sz w:val="20"/>
          <w:szCs w:val="20"/>
          <w:lang w:eastAsia="en-GB"/>
        </w:rPr>
      </w:pPr>
      <w:r w:rsidRPr="00086C87">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59BDCC86" w14:textId="06490CC4" w:rsidR="000F7ABB" w:rsidRPr="00086C87" w:rsidRDefault="000F7ABB" w:rsidP="000F7ABB">
      <w:pPr>
        <w:autoSpaceDE w:val="0"/>
        <w:autoSpaceDN w:val="0"/>
        <w:spacing w:line="260" w:lineRule="exact"/>
        <w:rPr>
          <w:rFonts w:cs="Segoe UI"/>
          <w:color w:val="000000"/>
          <w:sz w:val="20"/>
          <w:szCs w:val="20"/>
          <w:lang w:eastAsia="en-GB"/>
        </w:rPr>
      </w:pPr>
      <w:r w:rsidRPr="00086C87">
        <w:rPr>
          <w:rFonts w:cs="Segoe UI"/>
          <w:color w:val="000000"/>
          <w:sz w:val="20"/>
          <w:szCs w:val="20"/>
          <w:lang w:eastAsia="en-GB"/>
        </w:rPr>
        <w:t xml:space="preserve">The </w:t>
      </w:r>
      <w:r w:rsidRPr="00086C87">
        <w:rPr>
          <w:rFonts w:cs="Segoe UI"/>
          <w:i/>
          <w:color w:val="000000"/>
          <w:sz w:val="20"/>
          <w:szCs w:val="20"/>
          <w:lang w:eastAsia="en-GB"/>
        </w:rPr>
        <w:t>Data Sources Guidance</w:t>
      </w:r>
      <w:r w:rsidRPr="00086C87">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176C80">
        <w:rPr>
          <w:rFonts w:cs="Segoe UI"/>
          <w:color w:val="000000"/>
          <w:sz w:val="20"/>
          <w:szCs w:val="20"/>
          <w:lang w:eastAsia="en-GB"/>
        </w:rPr>
        <w:br/>
      </w:r>
    </w:p>
    <w:p w14:paraId="615C1F59" w14:textId="77777777" w:rsidR="000F7ABB" w:rsidRPr="00086C87" w:rsidRDefault="000F7ABB" w:rsidP="000F7ABB">
      <w:pPr>
        <w:autoSpaceDE w:val="0"/>
        <w:autoSpaceDN w:val="0"/>
        <w:rPr>
          <w:rFonts w:eastAsiaTheme="majorEastAsia" w:cstheme="minorHAnsi"/>
          <w:b/>
          <w:color w:val="0A59AB"/>
          <w:spacing w:val="4"/>
          <w:kern w:val="0"/>
          <w:sz w:val="20"/>
          <w:szCs w:val="30"/>
        </w:rPr>
      </w:pPr>
      <w:r w:rsidRPr="00086C87">
        <w:rPr>
          <w:rFonts w:cstheme="minorHAnsi"/>
          <w:noProof/>
          <w:lang w:eastAsia="en-GB"/>
        </w:rPr>
        <w:drawing>
          <wp:inline distT="0" distB="0" distL="0" distR="0" wp14:anchorId="262B7E0A" wp14:editId="067D0C2F">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086C87">
        <w:rPr>
          <w:rFonts w:eastAsiaTheme="majorEastAsia" w:cstheme="minorHAnsi"/>
          <w:b/>
          <w:color w:val="0A59AB"/>
          <w:spacing w:val="4"/>
          <w:kern w:val="0"/>
          <w:sz w:val="20"/>
          <w:szCs w:val="30"/>
        </w:rPr>
        <w:br w:type="page"/>
      </w:r>
    </w:p>
    <w:p w14:paraId="3388D06A" w14:textId="77777777" w:rsidR="00B663D2" w:rsidRPr="00086C87" w:rsidRDefault="00B663D2" w:rsidP="005A3718">
      <w:pPr>
        <w:pStyle w:val="Heading2"/>
        <w:rPr>
          <w:rFonts w:eastAsiaTheme="majorEastAsia"/>
        </w:rPr>
      </w:pPr>
      <w:r w:rsidRPr="00086C87">
        <w:rPr>
          <w:rFonts w:eastAsiaTheme="majorEastAsia"/>
        </w:rPr>
        <w:lastRenderedPageBreak/>
        <w:t>12.19 Number of persons with disabilities formally deprived of their legal capacity (either fully or partially), disaggregated by sex, age, and disability.</w:t>
      </w:r>
    </w:p>
    <w:p w14:paraId="5C68B24D" w14:textId="77777777" w:rsidR="00B663D2" w:rsidRPr="00086C87" w:rsidRDefault="00B663D2" w:rsidP="005A3718">
      <w:pPr>
        <w:pStyle w:val="Heading4"/>
        <w:rPr>
          <w:rFonts w:eastAsiaTheme="majorEastAsia"/>
        </w:rPr>
      </w:pPr>
      <w:r w:rsidRPr="00086C87">
        <w:rPr>
          <w:rFonts w:eastAsiaTheme="majorEastAsia"/>
        </w:rPr>
        <w:t>Level 1: Indicator for which data are already being produced and reported on in at least some countries.</w:t>
      </w:r>
    </w:p>
    <w:p w14:paraId="087E06A9" w14:textId="323FB914" w:rsidR="00344CA7" w:rsidRPr="00086C87" w:rsidRDefault="00344CA7" w:rsidP="00691E82">
      <w:pPr>
        <w:rPr>
          <w:rFonts w:cstheme="minorHAnsi"/>
        </w:rPr>
      </w:pPr>
      <w:r w:rsidRPr="00086C87">
        <w:rPr>
          <w:rFonts w:cstheme="minorHAnsi"/>
        </w:rPr>
        <w:t>This indicator tracks the incidence of formal deprivation of legal capacity. While article 12 and General Comment no. 1 of the CRPD Committee clearly call for the elimination of deprivation of legal capacity, this indicator can contribute to monitoring and informing strategies to abolish deprivation of legal capacity, in accordance with the CRPD.</w:t>
      </w:r>
    </w:p>
    <w:p w14:paraId="3BE718C0" w14:textId="4FEB147E" w:rsidR="00B663D2" w:rsidRPr="00086C87" w:rsidRDefault="00B663D2" w:rsidP="00691E82">
      <w:pPr>
        <w:rPr>
          <w:rFonts w:cstheme="minorHAnsi"/>
        </w:rPr>
      </w:pPr>
      <w:r w:rsidRPr="00086C87">
        <w:rPr>
          <w:rFonts w:cstheme="minorHAnsi"/>
        </w:rPr>
        <w:t xml:space="preserve">Denmark is an example of a country that records this information in its civil registries. In 2019, Denmark’s </w:t>
      </w:r>
      <w:hyperlink r:id="rId14" w:history="1">
        <w:r w:rsidRPr="00086C87">
          <w:rPr>
            <w:rStyle w:val="Hyperlink"/>
            <w:rFonts w:eastAsiaTheme="majorEastAsia" w:cstheme="minorHAnsi"/>
          </w:rPr>
          <w:t>Central Person Registry</w:t>
        </w:r>
      </w:hyperlink>
      <w:r w:rsidRPr="00086C87">
        <w:rPr>
          <w:rFonts w:cstheme="minorHAnsi"/>
        </w:rPr>
        <w:t xml:space="preserve"> recorded 1958 persons registered as having guardianship, among whom were 14 with partial guardianships. Some variables, including guardianship data, are registered </w:t>
      </w:r>
      <w:hyperlink r:id="rId15" w:history="1">
        <w:r w:rsidR="00DF5B68" w:rsidRPr="00086C87">
          <w:rPr>
            <w:rStyle w:val="Hyperlink"/>
            <w:rFonts w:cstheme="minorHAnsi"/>
          </w:rPr>
          <w:t>www.danishhealthdata.com</w:t>
        </w:r>
      </w:hyperlink>
      <w:r w:rsidR="00DF5B68" w:rsidRPr="00086C87">
        <w:rPr>
          <w:rStyle w:val="Hyperlink"/>
          <w:rFonts w:cstheme="minorHAnsi"/>
        </w:rPr>
        <w:t>.</w:t>
      </w:r>
    </w:p>
    <w:p w14:paraId="31206EE5" w14:textId="77777777" w:rsidR="00B663D2" w:rsidRPr="00086C87" w:rsidRDefault="00B663D2" w:rsidP="00691E82">
      <w:pPr>
        <w:pStyle w:val="CommentText"/>
      </w:pPr>
      <w:r w:rsidRPr="00086C87">
        <w:rPr>
          <w:rFonts w:cstheme="minorHAnsi"/>
          <w:sz w:val="22"/>
          <w:szCs w:val="22"/>
        </w:rPr>
        <w:t xml:space="preserve">Other countries account for this in judiciary records. </w:t>
      </w:r>
      <w:hyperlink r:id="rId16" w:anchor="view=fitH" w:history="1">
        <w:r w:rsidRPr="00086C87">
          <w:rPr>
            <w:rStyle w:val="Hyperlink"/>
            <w:rFonts w:eastAsiaTheme="majorEastAsia" w:cstheme="minorHAnsi"/>
            <w:sz w:val="22"/>
            <w:szCs w:val="22"/>
          </w:rPr>
          <w:t>Ireland’s annual report of court services</w:t>
        </w:r>
      </w:hyperlink>
      <w:r w:rsidRPr="00086C87">
        <w:rPr>
          <w:rFonts w:cstheme="minorHAnsi"/>
          <w:sz w:val="22"/>
          <w:szCs w:val="22"/>
        </w:rPr>
        <w:t xml:space="preserve"> captures information on new cases each year. For example, table 1 shows the status of “wards of the court”. This report also records enduring powers of attorney and Mental Health Act applications.</w:t>
      </w:r>
    </w:p>
    <w:p w14:paraId="3F5D84C6" w14:textId="102A5D45" w:rsidR="00B663D2" w:rsidRPr="00086C87" w:rsidRDefault="00B663D2" w:rsidP="00415367">
      <w:pPr>
        <w:pStyle w:val="TableHeader"/>
        <w:rPr>
          <w:rFonts w:eastAsiaTheme="majorEastAsia" w:cstheme="majorBidi"/>
        </w:rPr>
      </w:pPr>
      <w:r w:rsidRPr="00086C87">
        <w:rPr>
          <w:rFonts w:eastAsiaTheme="majorEastAsia" w:cstheme="majorBidi"/>
          <w:b/>
          <w:bCs w:val="0"/>
        </w:rPr>
        <w:t>Table 1:</w:t>
      </w:r>
      <w:r w:rsidRPr="00086C87">
        <w:rPr>
          <w:rFonts w:eastAsiaTheme="majorEastAsia" w:cstheme="majorBidi"/>
        </w:rPr>
        <w:t xml:space="preserve"> Number of wards of the Court, High Court of Ireland, by year</w:t>
      </w:r>
    </w:p>
    <w:tbl>
      <w:tblPr>
        <w:tblStyle w:val="TableGrid"/>
        <w:tblW w:w="5000" w:type="pct"/>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Number of wards of the Court, High Court of Ireland, by year"/>
      </w:tblPr>
      <w:tblGrid>
        <w:gridCol w:w="6120"/>
        <w:gridCol w:w="1440"/>
        <w:gridCol w:w="1440"/>
      </w:tblGrid>
      <w:tr w:rsidR="00B663D2" w:rsidRPr="00086C87" w14:paraId="56D5C18D" w14:textId="77777777" w:rsidTr="005A3718">
        <w:trPr>
          <w:trHeight w:val="269"/>
          <w:tblHeader/>
        </w:trPr>
        <w:tc>
          <w:tcPr>
            <w:tcW w:w="3400" w:type="pct"/>
            <w:tcBorders>
              <w:top w:val="single" w:sz="12" w:space="0" w:color="auto"/>
              <w:bottom w:val="single" w:sz="12" w:space="0" w:color="auto"/>
            </w:tcBorders>
            <w:shd w:val="clear" w:color="auto" w:fill="F5F5F1"/>
          </w:tcPr>
          <w:p w14:paraId="01BB81F1" w14:textId="77777777" w:rsidR="00B663D2" w:rsidRPr="00086C87" w:rsidRDefault="00B663D2" w:rsidP="00725B37">
            <w:pPr>
              <w:pStyle w:val="CommentText"/>
              <w:rPr>
                <w:rFonts w:asciiTheme="minorHAnsi" w:hAnsiTheme="minorHAnsi" w:cstheme="minorHAnsi"/>
                <w:b/>
                <w:bCs/>
                <w:sz w:val="22"/>
                <w:szCs w:val="22"/>
              </w:rPr>
            </w:pPr>
          </w:p>
        </w:tc>
        <w:tc>
          <w:tcPr>
            <w:tcW w:w="800" w:type="pct"/>
            <w:tcBorders>
              <w:top w:val="single" w:sz="12" w:space="0" w:color="auto"/>
              <w:bottom w:val="single" w:sz="12" w:space="0" w:color="auto"/>
            </w:tcBorders>
            <w:shd w:val="clear" w:color="auto" w:fill="F5F5F1"/>
            <w:vAlign w:val="center"/>
          </w:tcPr>
          <w:p w14:paraId="11749E25" w14:textId="77777777" w:rsidR="00B663D2" w:rsidRPr="00086C87" w:rsidRDefault="00B663D2" w:rsidP="008C2077">
            <w:pPr>
              <w:pStyle w:val="TableHeaderRow"/>
              <w:spacing w:before="200"/>
            </w:pPr>
            <w:r w:rsidRPr="00086C87">
              <w:t>2019</w:t>
            </w:r>
          </w:p>
        </w:tc>
        <w:tc>
          <w:tcPr>
            <w:tcW w:w="800" w:type="pct"/>
            <w:tcBorders>
              <w:top w:val="single" w:sz="12" w:space="0" w:color="auto"/>
              <w:bottom w:val="single" w:sz="12" w:space="0" w:color="auto"/>
            </w:tcBorders>
            <w:shd w:val="clear" w:color="auto" w:fill="F5F5F1"/>
            <w:vAlign w:val="center"/>
          </w:tcPr>
          <w:p w14:paraId="41E3AFA2" w14:textId="77777777" w:rsidR="00B663D2" w:rsidRPr="00086C87" w:rsidRDefault="00B663D2" w:rsidP="008C2077">
            <w:pPr>
              <w:pStyle w:val="TableHeaderRow"/>
              <w:spacing w:before="200"/>
            </w:pPr>
            <w:r w:rsidRPr="00086C87">
              <w:t>2018</w:t>
            </w:r>
          </w:p>
        </w:tc>
      </w:tr>
      <w:tr w:rsidR="00B663D2" w:rsidRPr="00086C87" w14:paraId="30F3DC78" w14:textId="77777777" w:rsidTr="005A3718">
        <w:trPr>
          <w:trHeight w:val="269"/>
        </w:trPr>
        <w:tc>
          <w:tcPr>
            <w:tcW w:w="3400" w:type="pct"/>
            <w:tcBorders>
              <w:top w:val="single" w:sz="12" w:space="0" w:color="auto"/>
            </w:tcBorders>
            <w:shd w:val="clear" w:color="auto" w:fill="F5F5F1"/>
          </w:tcPr>
          <w:p w14:paraId="616F270C" w14:textId="77777777" w:rsidR="00B663D2" w:rsidRPr="00086C87" w:rsidRDefault="00B663D2" w:rsidP="00725B37">
            <w:pPr>
              <w:pStyle w:val="CommentText"/>
              <w:rPr>
                <w:rFonts w:cstheme="minorHAnsi"/>
                <w:sz w:val="22"/>
                <w:szCs w:val="22"/>
              </w:rPr>
            </w:pPr>
            <w:r w:rsidRPr="00086C87">
              <w:rPr>
                <w:rFonts w:cstheme="minorHAnsi"/>
                <w:sz w:val="22"/>
                <w:szCs w:val="22"/>
              </w:rPr>
              <w:t>Wardship cases</w:t>
            </w:r>
          </w:p>
        </w:tc>
        <w:tc>
          <w:tcPr>
            <w:tcW w:w="800" w:type="pct"/>
            <w:tcBorders>
              <w:top w:val="single" w:sz="12" w:space="0" w:color="auto"/>
            </w:tcBorders>
            <w:shd w:val="clear" w:color="auto" w:fill="F5F5F1"/>
          </w:tcPr>
          <w:p w14:paraId="0039D5A0" w14:textId="77777777" w:rsidR="00B663D2" w:rsidRPr="00086C87" w:rsidRDefault="00B663D2" w:rsidP="00725B37">
            <w:pPr>
              <w:pStyle w:val="CommentText"/>
              <w:rPr>
                <w:rFonts w:cstheme="minorHAnsi"/>
                <w:sz w:val="22"/>
                <w:szCs w:val="22"/>
              </w:rPr>
            </w:pPr>
            <w:r w:rsidRPr="00086C87">
              <w:rPr>
                <w:rFonts w:cstheme="minorHAnsi"/>
                <w:sz w:val="22"/>
                <w:szCs w:val="22"/>
              </w:rPr>
              <w:t>2,758</w:t>
            </w:r>
          </w:p>
        </w:tc>
        <w:tc>
          <w:tcPr>
            <w:tcW w:w="800" w:type="pct"/>
            <w:tcBorders>
              <w:top w:val="single" w:sz="12" w:space="0" w:color="auto"/>
            </w:tcBorders>
            <w:shd w:val="clear" w:color="auto" w:fill="F5F5F1"/>
          </w:tcPr>
          <w:p w14:paraId="45C4FB92" w14:textId="77777777" w:rsidR="00B663D2" w:rsidRPr="00086C87" w:rsidRDefault="00B663D2" w:rsidP="00725B37">
            <w:pPr>
              <w:pStyle w:val="CommentText"/>
              <w:rPr>
                <w:rFonts w:cstheme="minorHAnsi"/>
                <w:sz w:val="22"/>
                <w:szCs w:val="22"/>
              </w:rPr>
            </w:pPr>
            <w:r w:rsidRPr="00086C87">
              <w:rPr>
                <w:rFonts w:cstheme="minorHAnsi"/>
                <w:sz w:val="22"/>
                <w:szCs w:val="22"/>
              </w:rPr>
              <w:t>2,720</w:t>
            </w:r>
          </w:p>
        </w:tc>
      </w:tr>
      <w:tr w:rsidR="00B663D2" w:rsidRPr="00086C87" w14:paraId="55F55645" w14:textId="77777777" w:rsidTr="005A3718">
        <w:trPr>
          <w:trHeight w:val="269"/>
        </w:trPr>
        <w:tc>
          <w:tcPr>
            <w:tcW w:w="3400" w:type="pct"/>
            <w:shd w:val="clear" w:color="auto" w:fill="F5F5F1"/>
          </w:tcPr>
          <w:p w14:paraId="165DB3F3" w14:textId="77777777" w:rsidR="00B663D2" w:rsidRPr="00086C87" w:rsidRDefault="00B663D2" w:rsidP="00725B37">
            <w:pPr>
              <w:pStyle w:val="CommentText"/>
              <w:rPr>
                <w:rFonts w:cstheme="minorHAnsi"/>
                <w:sz w:val="22"/>
                <w:szCs w:val="22"/>
              </w:rPr>
            </w:pPr>
            <w:r w:rsidRPr="00086C87">
              <w:rPr>
                <w:rFonts w:cstheme="minorHAnsi"/>
                <w:sz w:val="22"/>
                <w:szCs w:val="22"/>
              </w:rPr>
              <w:t>Applications awaiting hearing</w:t>
            </w:r>
          </w:p>
        </w:tc>
        <w:tc>
          <w:tcPr>
            <w:tcW w:w="800" w:type="pct"/>
            <w:shd w:val="clear" w:color="auto" w:fill="F5F5F1"/>
          </w:tcPr>
          <w:p w14:paraId="23CD2847" w14:textId="77777777" w:rsidR="00B663D2" w:rsidRPr="00086C87" w:rsidRDefault="00B663D2" w:rsidP="00725B37">
            <w:pPr>
              <w:pStyle w:val="CommentText"/>
              <w:rPr>
                <w:rFonts w:cstheme="minorHAnsi"/>
                <w:sz w:val="22"/>
                <w:szCs w:val="22"/>
              </w:rPr>
            </w:pPr>
            <w:r w:rsidRPr="00086C87">
              <w:rPr>
                <w:rFonts w:cstheme="minorHAnsi"/>
                <w:sz w:val="22"/>
                <w:szCs w:val="22"/>
              </w:rPr>
              <w:t>145</w:t>
            </w:r>
          </w:p>
        </w:tc>
        <w:tc>
          <w:tcPr>
            <w:tcW w:w="800" w:type="pct"/>
            <w:shd w:val="clear" w:color="auto" w:fill="F5F5F1"/>
          </w:tcPr>
          <w:p w14:paraId="108EEBB6" w14:textId="77777777" w:rsidR="00B663D2" w:rsidRPr="00086C87" w:rsidRDefault="00B663D2" w:rsidP="00725B37">
            <w:pPr>
              <w:pStyle w:val="CommentText"/>
              <w:rPr>
                <w:rFonts w:cstheme="minorHAnsi"/>
                <w:sz w:val="22"/>
                <w:szCs w:val="22"/>
              </w:rPr>
            </w:pPr>
            <w:r w:rsidRPr="00086C87">
              <w:rPr>
                <w:rFonts w:cstheme="minorHAnsi"/>
                <w:sz w:val="22"/>
                <w:szCs w:val="22"/>
              </w:rPr>
              <w:t>144</w:t>
            </w:r>
          </w:p>
        </w:tc>
      </w:tr>
      <w:tr w:rsidR="00B663D2" w:rsidRPr="00086C87" w14:paraId="55CCB65A" w14:textId="77777777" w:rsidTr="005A3718">
        <w:trPr>
          <w:trHeight w:val="269"/>
        </w:trPr>
        <w:tc>
          <w:tcPr>
            <w:tcW w:w="3400" w:type="pct"/>
            <w:shd w:val="clear" w:color="auto" w:fill="F5F5F1"/>
          </w:tcPr>
          <w:p w14:paraId="3FFB74E6" w14:textId="77777777" w:rsidR="00B663D2" w:rsidRPr="00086C87" w:rsidRDefault="00B663D2" w:rsidP="00725B37">
            <w:pPr>
              <w:pStyle w:val="CommentText"/>
              <w:rPr>
                <w:rFonts w:cstheme="minorHAnsi"/>
                <w:sz w:val="22"/>
                <w:szCs w:val="22"/>
              </w:rPr>
            </w:pPr>
            <w:r w:rsidRPr="00086C87">
              <w:rPr>
                <w:rFonts w:cstheme="minorHAnsi"/>
                <w:sz w:val="22"/>
                <w:szCs w:val="22"/>
              </w:rPr>
              <w:t>Adults and minors taken into wardship (declaratory orders)</w:t>
            </w:r>
          </w:p>
        </w:tc>
        <w:tc>
          <w:tcPr>
            <w:tcW w:w="800" w:type="pct"/>
            <w:shd w:val="clear" w:color="auto" w:fill="F5F5F1"/>
          </w:tcPr>
          <w:p w14:paraId="2CC0819C" w14:textId="77777777" w:rsidR="00B663D2" w:rsidRPr="00086C87" w:rsidRDefault="00B663D2" w:rsidP="00725B37">
            <w:pPr>
              <w:pStyle w:val="CommentText"/>
              <w:rPr>
                <w:rFonts w:cstheme="minorHAnsi"/>
                <w:sz w:val="22"/>
                <w:szCs w:val="22"/>
              </w:rPr>
            </w:pPr>
            <w:r w:rsidRPr="00086C87">
              <w:rPr>
                <w:rFonts w:cstheme="minorHAnsi"/>
                <w:sz w:val="22"/>
                <w:szCs w:val="22"/>
              </w:rPr>
              <w:t>385</w:t>
            </w:r>
          </w:p>
        </w:tc>
        <w:tc>
          <w:tcPr>
            <w:tcW w:w="800" w:type="pct"/>
            <w:shd w:val="clear" w:color="auto" w:fill="F5F5F1"/>
          </w:tcPr>
          <w:p w14:paraId="70390048" w14:textId="77777777" w:rsidR="00B663D2" w:rsidRPr="00086C87" w:rsidRDefault="00B663D2" w:rsidP="00725B37">
            <w:pPr>
              <w:pStyle w:val="CommentText"/>
              <w:rPr>
                <w:rFonts w:cstheme="minorHAnsi"/>
                <w:sz w:val="22"/>
                <w:szCs w:val="22"/>
              </w:rPr>
            </w:pPr>
            <w:r w:rsidRPr="00086C87">
              <w:rPr>
                <w:rFonts w:cstheme="minorHAnsi"/>
                <w:sz w:val="22"/>
                <w:szCs w:val="22"/>
              </w:rPr>
              <w:t>346</w:t>
            </w:r>
          </w:p>
        </w:tc>
      </w:tr>
      <w:tr w:rsidR="00B663D2" w:rsidRPr="00086C87" w14:paraId="41AFE849" w14:textId="77777777" w:rsidTr="005A3718">
        <w:trPr>
          <w:trHeight w:val="269"/>
        </w:trPr>
        <w:tc>
          <w:tcPr>
            <w:tcW w:w="3400" w:type="pct"/>
            <w:shd w:val="clear" w:color="auto" w:fill="F5F5F1"/>
          </w:tcPr>
          <w:p w14:paraId="297C7FA0" w14:textId="77777777" w:rsidR="00B663D2" w:rsidRPr="00086C87" w:rsidRDefault="00B663D2" w:rsidP="00725B37">
            <w:pPr>
              <w:pStyle w:val="CommentText"/>
              <w:rPr>
                <w:rFonts w:cstheme="minorHAnsi"/>
                <w:sz w:val="22"/>
                <w:szCs w:val="22"/>
              </w:rPr>
            </w:pPr>
            <w:r w:rsidRPr="00086C87">
              <w:rPr>
                <w:rFonts w:cstheme="minorHAnsi"/>
                <w:sz w:val="22"/>
                <w:szCs w:val="22"/>
              </w:rPr>
              <w:t>Dismissed/discharged</w:t>
            </w:r>
          </w:p>
        </w:tc>
        <w:tc>
          <w:tcPr>
            <w:tcW w:w="800" w:type="pct"/>
            <w:shd w:val="clear" w:color="auto" w:fill="F5F5F1"/>
          </w:tcPr>
          <w:p w14:paraId="2838EA4E" w14:textId="77777777" w:rsidR="00B663D2" w:rsidRPr="00086C87" w:rsidRDefault="00B663D2" w:rsidP="00725B37">
            <w:pPr>
              <w:pStyle w:val="CommentText"/>
              <w:rPr>
                <w:rFonts w:cstheme="minorHAnsi"/>
                <w:sz w:val="22"/>
                <w:szCs w:val="22"/>
              </w:rPr>
            </w:pPr>
            <w:r w:rsidRPr="00086C87">
              <w:rPr>
                <w:rFonts w:cstheme="minorHAnsi"/>
                <w:sz w:val="22"/>
                <w:szCs w:val="22"/>
              </w:rPr>
              <w:t>266</w:t>
            </w:r>
          </w:p>
        </w:tc>
        <w:tc>
          <w:tcPr>
            <w:tcW w:w="800" w:type="pct"/>
            <w:shd w:val="clear" w:color="auto" w:fill="F5F5F1"/>
          </w:tcPr>
          <w:p w14:paraId="2A816943" w14:textId="77777777" w:rsidR="00B663D2" w:rsidRPr="00086C87" w:rsidRDefault="00B663D2" w:rsidP="00725B37">
            <w:pPr>
              <w:pStyle w:val="CommentText"/>
              <w:rPr>
                <w:rFonts w:cstheme="minorHAnsi"/>
                <w:sz w:val="22"/>
                <w:szCs w:val="22"/>
              </w:rPr>
            </w:pPr>
            <w:r w:rsidRPr="00086C87">
              <w:rPr>
                <w:rFonts w:cstheme="minorHAnsi"/>
                <w:sz w:val="22"/>
                <w:szCs w:val="22"/>
              </w:rPr>
              <w:t>246</w:t>
            </w:r>
          </w:p>
        </w:tc>
      </w:tr>
      <w:tr w:rsidR="00B663D2" w:rsidRPr="00086C87" w14:paraId="43ABFC43" w14:textId="77777777" w:rsidTr="005A3718">
        <w:trPr>
          <w:trHeight w:val="269"/>
        </w:trPr>
        <w:tc>
          <w:tcPr>
            <w:tcW w:w="3400" w:type="pct"/>
            <w:tcBorders>
              <w:bottom w:val="single" w:sz="12" w:space="0" w:color="auto"/>
            </w:tcBorders>
            <w:shd w:val="clear" w:color="auto" w:fill="F5F5F1"/>
          </w:tcPr>
          <w:p w14:paraId="146F1429" w14:textId="77777777" w:rsidR="00B663D2" w:rsidRPr="00086C87" w:rsidRDefault="00B663D2" w:rsidP="00725B37">
            <w:pPr>
              <w:pStyle w:val="CommentText"/>
              <w:rPr>
                <w:rFonts w:cstheme="minorHAnsi"/>
                <w:sz w:val="22"/>
                <w:szCs w:val="22"/>
              </w:rPr>
            </w:pPr>
            <w:r w:rsidRPr="00086C87">
              <w:rPr>
                <w:rFonts w:cstheme="minorHAnsi"/>
                <w:sz w:val="22"/>
                <w:szCs w:val="22"/>
              </w:rPr>
              <w:t>Orders signed</w:t>
            </w:r>
          </w:p>
        </w:tc>
        <w:tc>
          <w:tcPr>
            <w:tcW w:w="800" w:type="pct"/>
            <w:tcBorders>
              <w:bottom w:val="single" w:sz="12" w:space="0" w:color="auto"/>
            </w:tcBorders>
            <w:shd w:val="clear" w:color="auto" w:fill="F5F5F1"/>
          </w:tcPr>
          <w:p w14:paraId="046521FE" w14:textId="77777777" w:rsidR="00B663D2" w:rsidRPr="00086C87" w:rsidRDefault="00B663D2" w:rsidP="00725B37">
            <w:pPr>
              <w:pStyle w:val="CommentText"/>
              <w:rPr>
                <w:rFonts w:cstheme="minorHAnsi"/>
                <w:sz w:val="22"/>
                <w:szCs w:val="22"/>
              </w:rPr>
            </w:pPr>
            <w:r w:rsidRPr="00086C87">
              <w:rPr>
                <w:rFonts w:cstheme="minorHAnsi"/>
                <w:sz w:val="22"/>
                <w:szCs w:val="22"/>
              </w:rPr>
              <w:t>2,001</w:t>
            </w:r>
          </w:p>
        </w:tc>
        <w:tc>
          <w:tcPr>
            <w:tcW w:w="800" w:type="pct"/>
            <w:tcBorders>
              <w:bottom w:val="single" w:sz="12" w:space="0" w:color="auto"/>
            </w:tcBorders>
            <w:shd w:val="clear" w:color="auto" w:fill="F5F5F1"/>
          </w:tcPr>
          <w:p w14:paraId="36D5D07C" w14:textId="77777777" w:rsidR="00B663D2" w:rsidRPr="00086C87" w:rsidRDefault="00B663D2" w:rsidP="00725B37">
            <w:pPr>
              <w:pStyle w:val="CommentText"/>
              <w:rPr>
                <w:rFonts w:cstheme="minorHAnsi"/>
                <w:sz w:val="22"/>
                <w:szCs w:val="22"/>
              </w:rPr>
            </w:pPr>
            <w:r w:rsidRPr="00086C87">
              <w:rPr>
                <w:rFonts w:cstheme="minorHAnsi"/>
                <w:sz w:val="22"/>
                <w:szCs w:val="22"/>
              </w:rPr>
              <w:t>1,635</w:t>
            </w:r>
          </w:p>
        </w:tc>
      </w:tr>
      <w:tr w:rsidR="00B663D2" w:rsidRPr="00086C87" w14:paraId="79C9C9EE" w14:textId="77777777" w:rsidTr="009F42BF">
        <w:tc>
          <w:tcPr>
            <w:tcW w:w="5000" w:type="pct"/>
            <w:gridSpan w:val="3"/>
            <w:tcBorders>
              <w:top w:val="single" w:sz="12" w:space="0" w:color="auto"/>
              <w:bottom w:val="nil"/>
            </w:tcBorders>
          </w:tcPr>
          <w:p w14:paraId="37F980AA" w14:textId="056242CA" w:rsidR="00B663D2" w:rsidRPr="00086C87" w:rsidRDefault="00B663D2" w:rsidP="00691E82">
            <w:pPr>
              <w:pStyle w:val="CommentText"/>
              <w:rPr>
                <w:rFonts w:cstheme="minorHAnsi"/>
                <w:sz w:val="18"/>
                <w:szCs w:val="18"/>
              </w:rPr>
            </w:pPr>
            <w:r w:rsidRPr="00086C87">
              <w:rPr>
                <w:rFonts w:cstheme="minorHAnsi"/>
                <w:i/>
                <w:iCs/>
                <w:sz w:val="18"/>
                <w:szCs w:val="18"/>
              </w:rPr>
              <w:t>Source</w:t>
            </w:r>
            <w:r w:rsidRPr="00086C87">
              <w:rPr>
                <w:rFonts w:cstheme="minorHAnsi"/>
                <w:sz w:val="18"/>
                <w:szCs w:val="18"/>
              </w:rPr>
              <w:t xml:space="preserve">: Courts Service, </w:t>
            </w:r>
            <w:r w:rsidRPr="00086C87">
              <w:rPr>
                <w:rFonts w:cstheme="minorHAnsi"/>
                <w:i/>
                <w:iCs/>
                <w:sz w:val="18"/>
                <w:szCs w:val="18"/>
              </w:rPr>
              <w:t>Annual Report 2019</w:t>
            </w:r>
            <w:r w:rsidRPr="00086C87">
              <w:rPr>
                <w:rFonts w:cstheme="minorHAnsi"/>
                <w:sz w:val="18"/>
                <w:szCs w:val="18"/>
              </w:rPr>
              <w:t xml:space="preserve"> (2019)</w:t>
            </w:r>
          </w:p>
        </w:tc>
      </w:tr>
    </w:tbl>
    <w:p w14:paraId="412F492F" w14:textId="77777777" w:rsidR="00B663D2" w:rsidRPr="00086C87" w:rsidRDefault="00B663D2" w:rsidP="00691E82">
      <w:pPr>
        <w:pStyle w:val="CommentText"/>
        <w:rPr>
          <w:rFonts w:cstheme="minorHAnsi"/>
          <w:sz w:val="22"/>
          <w:szCs w:val="22"/>
        </w:rPr>
      </w:pPr>
      <w:r w:rsidRPr="00086C87">
        <w:rPr>
          <w:rFonts w:cstheme="minorHAnsi"/>
          <w:sz w:val="22"/>
          <w:szCs w:val="22"/>
        </w:rPr>
        <w:t xml:space="preserve">Other examples of countries recording such information are: </w:t>
      </w:r>
    </w:p>
    <w:p w14:paraId="4E175B4D" w14:textId="4874F804" w:rsidR="00B663D2" w:rsidRPr="00086C87" w:rsidRDefault="00B663D2" w:rsidP="00AD00C4">
      <w:pPr>
        <w:pStyle w:val="CommentText"/>
        <w:numPr>
          <w:ilvl w:val="0"/>
          <w:numId w:val="44"/>
        </w:numPr>
        <w:spacing w:before="0" w:after="0" w:line="240" w:lineRule="auto"/>
        <w:rPr>
          <w:rStyle w:val="Hyperlink"/>
          <w:rFonts w:eastAsiaTheme="majorEastAsia" w:cstheme="minorHAnsi"/>
          <w:sz w:val="22"/>
          <w:szCs w:val="22"/>
        </w:rPr>
      </w:pPr>
      <w:r w:rsidRPr="00086C87">
        <w:rPr>
          <w:rFonts w:cstheme="minorHAnsi"/>
          <w:sz w:val="22"/>
          <w:szCs w:val="22"/>
        </w:rPr>
        <w:t xml:space="preserve">France: </w:t>
      </w:r>
      <w:hyperlink r:id="rId17" w:history="1">
        <w:r w:rsidR="00DF5B68" w:rsidRPr="00086C87">
          <w:rPr>
            <w:rStyle w:val="Hyperlink"/>
            <w:rFonts w:cstheme="minorHAnsi"/>
            <w:sz w:val="22"/>
            <w:szCs w:val="22"/>
          </w:rPr>
          <w:t>www.justice.gouv.fr - PDF</w:t>
        </w:r>
      </w:hyperlink>
      <w:r w:rsidR="005A3718" w:rsidRPr="00086C87">
        <w:rPr>
          <w:rFonts w:cstheme="minorHAnsi"/>
          <w:sz w:val="22"/>
          <w:szCs w:val="22"/>
        </w:rPr>
        <w:t xml:space="preserve"> </w:t>
      </w:r>
      <w:bookmarkStart w:id="0" w:name="OLE_LINK42"/>
      <w:bookmarkStart w:id="1" w:name="OLE_LINK43"/>
      <w:r w:rsidRPr="00086C87">
        <w:rPr>
          <w:rFonts w:cstheme="minorHAnsi"/>
          <w:sz w:val="22"/>
          <w:szCs w:val="22"/>
        </w:rPr>
        <w:t>a</w:t>
      </w:r>
      <w:bookmarkEnd w:id="0"/>
      <w:bookmarkEnd w:id="1"/>
      <w:r w:rsidRPr="00086C87">
        <w:rPr>
          <w:rFonts w:cstheme="minorHAnsi"/>
          <w:sz w:val="22"/>
          <w:szCs w:val="22"/>
        </w:rPr>
        <w:t>nd</w:t>
      </w:r>
      <w:r w:rsidR="005A3718" w:rsidRPr="00086C87">
        <w:rPr>
          <w:rFonts w:cstheme="minorHAnsi"/>
          <w:sz w:val="22"/>
          <w:szCs w:val="22"/>
        </w:rPr>
        <w:t xml:space="preserve"> </w:t>
      </w:r>
      <w:hyperlink r:id="rId18" w:history="1">
        <w:r w:rsidR="00DF5B68" w:rsidRPr="00086C87">
          <w:rPr>
            <w:rStyle w:val="Hyperlink"/>
            <w:rFonts w:cstheme="minorHAnsi"/>
            <w:sz w:val="22"/>
            <w:szCs w:val="22"/>
          </w:rPr>
          <w:t>www.justice.gouv.fr - EXCEL</w:t>
        </w:r>
      </w:hyperlink>
      <w:r w:rsidR="005A3718" w:rsidRPr="00086C87">
        <w:rPr>
          <w:rFonts w:cstheme="minorHAnsi"/>
          <w:sz w:val="22"/>
          <w:szCs w:val="22"/>
        </w:rPr>
        <w:t>;</w:t>
      </w:r>
    </w:p>
    <w:p w14:paraId="711680E5" w14:textId="02D5087F" w:rsidR="00B663D2" w:rsidRPr="00086C87" w:rsidRDefault="00B663D2" w:rsidP="00AD00C4">
      <w:pPr>
        <w:pStyle w:val="CommentText"/>
        <w:numPr>
          <w:ilvl w:val="0"/>
          <w:numId w:val="44"/>
        </w:numPr>
        <w:spacing w:before="0" w:after="0" w:line="240" w:lineRule="auto"/>
        <w:rPr>
          <w:rFonts w:cstheme="minorHAnsi"/>
          <w:sz w:val="22"/>
          <w:szCs w:val="22"/>
        </w:rPr>
      </w:pPr>
      <w:r w:rsidRPr="00086C87">
        <w:rPr>
          <w:rFonts w:cstheme="minorHAnsi"/>
          <w:sz w:val="22"/>
          <w:szCs w:val="22"/>
        </w:rPr>
        <w:t>Chile:</w:t>
      </w:r>
      <w:r w:rsidR="005A3718" w:rsidRPr="00086C87">
        <w:rPr>
          <w:rFonts w:cstheme="minorHAnsi"/>
          <w:sz w:val="22"/>
          <w:szCs w:val="22"/>
        </w:rPr>
        <w:t xml:space="preserve"> </w:t>
      </w:r>
      <w:hyperlink r:id="rId19" w:history="1">
        <w:r w:rsidR="00DF5B68" w:rsidRPr="00086C87">
          <w:rPr>
            <w:rStyle w:val="Hyperlink"/>
            <w:rFonts w:cstheme="minorHAnsi"/>
            <w:sz w:val="22"/>
            <w:szCs w:val="22"/>
          </w:rPr>
          <w:t>www.chileatiende.gob.cl</w:t>
        </w:r>
      </w:hyperlink>
      <w:r w:rsidRPr="00086C87">
        <w:rPr>
          <w:rFonts w:cstheme="minorHAnsi"/>
          <w:sz w:val="22"/>
          <w:szCs w:val="22"/>
        </w:rPr>
        <w:t xml:space="preserve"> and </w:t>
      </w:r>
    </w:p>
    <w:p w14:paraId="075BCEED" w14:textId="5BF31E6F" w:rsidR="00B663D2" w:rsidRPr="00086C87" w:rsidRDefault="00B663D2" w:rsidP="00AD00C4">
      <w:pPr>
        <w:pStyle w:val="CommentText"/>
        <w:numPr>
          <w:ilvl w:val="0"/>
          <w:numId w:val="44"/>
        </w:numPr>
        <w:spacing w:before="0" w:after="0" w:line="240" w:lineRule="auto"/>
        <w:rPr>
          <w:rFonts w:cstheme="minorHAnsi"/>
          <w:sz w:val="22"/>
          <w:szCs w:val="22"/>
          <w:lang w:val="es-ES"/>
        </w:rPr>
      </w:pPr>
      <w:r w:rsidRPr="00086C87">
        <w:rPr>
          <w:rFonts w:cstheme="minorHAnsi"/>
          <w:sz w:val="22"/>
          <w:szCs w:val="22"/>
          <w:lang w:val="es-ES"/>
        </w:rPr>
        <w:t xml:space="preserve">Argentina: </w:t>
      </w:r>
      <w:hyperlink r:id="rId20" w:history="1">
        <w:r w:rsidR="00DF5B68" w:rsidRPr="00086C87">
          <w:rPr>
            <w:rStyle w:val="Hyperlink"/>
            <w:rFonts w:cstheme="minorHAnsi"/>
            <w:sz w:val="22"/>
            <w:szCs w:val="22"/>
            <w:lang w:val="es-ES"/>
          </w:rPr>
          <w:t>www.gba.gob.ar</w:t>
        </w:r>
      </w:hyperlink>
    </w:p>
    <w:p w14:paraId="62CADFC8" w14:textId="77777777" w:rsidR="00B663D2" w:rsidRPr="00086C87" w:rsidRDefault="00B663D2" w:rsidP="00691E82">
      <w:pPr>
        <w:rPr>
          <w:rFonts w:cstheme="minorHAnsi"/>
        </w:rPr>
      </w:pPr>
      <w:r w:rsidRPr="00086C87">
        <w:rPr>
          <w:rFonts w:cstheme="minorHAnsi"/>
        </w:rPr>
        <w:t xml:space="preserve">In a related concept, in the United States of America, the Social Security Administration may assign a “Representative Payee” to manage disability benefit payments for beneficiaries whom they deem “incapable” of managing the money. The </w:t>
      </w:r>
      <w:hyperlink r:id="rId21" w:history="1">
        <w:r w:rsidRPr="00086C87">
          <w:rPr>
            <w:rStyle w:val="Hyperlink"/>
            <w:rFonts w:eastAsiaTheme="majorEastAsia" w:cstheme="minorHAnsi"/>
          </w:rPr>
          <w:t>Social Security Administration</w:t>
        </w:r>
      </w:hyperlink>
      <w:r w:rsidRPr="00086C87">
        <w:rPr>
          <w:rFonts w:cstheme="minorHAnsi"/>
        </w:rPr>
        <w:t xml:space="preserve"> reports the number of beneficiaries with representative payees for each of its programs annually, based on administrative data. </w:t>
      </w:r>
    </w:p>
    <w:p w14:paraId="0FEE21FB" w14:textId="77777777" w:rsidR="00B663D2" w:rsidRPr="00086C87" w:rsidRDefault="00B663D2" w:rsidP="00691E82">
      <w:pPr>
        <w:rPr>
          <w:rFonts w:cstheme="minorHAnsi"/>
        </w:rPr>
      </w:pPr>
      <w:r w:rsidRPr="00086C87">
        <w:rPr>
          <w:rFonts w:cstheme="minorHAnsi"/>
        </w:rPr>
        <w:lastRenderedPageBreak/>
        <w:t>This is one indicator where a national disability survey may be problematic for two reasons. Firstly, because people who are institutionalized are generally excluded from household survey samples, so the sample would have to include the institutionalized population. Secondly, proxy respondents – either in a household or in institutions – may be hesitant to report this.</w:t>
      </w:r>
    </w:p>
    <w:p w14:paraId="7C913B3A" w14:textId="5E376B0F" w:rsidR="00B663D2" w:rsidRPr="00086C87" w:rsidRDefault="00B663D2" w:rsidP="005A3718">
      <w:pPr>
        <w:pStyle w:val="TableHeader"/>
        <w:rPr>
          <w:rFonts w:eastAsiaTheme="majorEastAsia" w:cstheme="majorBidi"/>
          <w:b/>
        </w:rPr>
      </w:pPr>
      <w:r w:rsidRPr="00086C87">
        <w:rPr>
          <w:rFonts w:eastAsiaTheme="majorEastAsia" w:cstheme="majorBidi"/>
          <w:b/>
          <w:bCs w:val="0"/>
        </w:rPr>
        <w:t>Table 2:</w:t>
      </w:r>
      <w:r w:rsidRPr="00086C87">
        <w:rPr>
          <w:rFonts w:eastAsiaTheme="majorEastAsia" w:cstheme="majorBidi"/>
        </w:rPr>
        <w:t xml:space="preserve"> Representative Payees in United States of America Social Security Disability Benefits, 2019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Representative Payees in United States of America Social Security Disability Benefits, 2019"/>
      </w:tblPr>
      <w:tblGrid>
        <w:gridCol w:w="3420"/>
        <w:gridCol w:w="1890"/>
        <w:gridCol w:w="1800"/>
        <w:gridCol w:w="1890"/>
      </w:tblGrid>
      <w:tr w:rsidR="00A0797B" w:rsidRPr="00086C87" w14:paraId="747356F7" w14:textId="77777777" w:rsidTr="005A3718">
        <w:trPr>
          <w:trHeight w:val="240"/>
          <w:tblHeader/>
        </w:trPr>
        <w:tc>
          <w:tcPr>
            <w:tcW w:w="1900" w:type="pct"/>
            <w:tcBorders>
              <w:top w:val="single" w:sz="12" w:space="0" w:color="auto"/>
              <w:bottom w:val="single" w:sz="12" w:space="0" w:color="auto"/>
            </w:tcBorders>
            <w:shd w:val="clear" w:color="auto" w:fill="F5F5F1"/>
            <w:noWrap/>
            <w:hideMark/>
          </w:tcPr>
          <w:p w14:paraId="6A9A0D9D" w14:textId="77777777" w:rsidR="00B663D2" w:rsidRPr="00086C87" w:rsidRDefault="00B663D2" w:rsidP="005B1381">
            <w:pPr>
              <w:pStyle w:val="TableHeaderRow"/>
            </w:pPr>
          </w:p>
        </w:tc>
        <w:tc>
          <w:tcPr>
            <w:tcW w:w="1050" w:type="pct"/>
            <w:tcBorders>
              <w:top w:val="single" w:sz="12" w:space="0" w:color="auto"/>
              <w:bottom w:val="single" w:sz="12" w:space="0" w:color="auto"/>
            </w:tcBorders>
            <w:shd w:val="clear" w:color="auto" w:fill="F5F5F1"/>
            <w:vAlign w:val="bottom"/>
            <w:hideMark/>
          </w:tcPr>
          <w:p w14:paraId="33092F4E" w14:textId="77777777" w:rsidR="00B663D2" w:rsidRPr="00086C87" w:rsidRDefault="00B663D2" w:rsidP="005A3718">
            <w:pPr>
              <w:pStyle w:val="TableHeaderRow"/>
            </w:pPr>
            <w:r w:rsidRPr="00086C87">
              <w:t>All Beneficiaries</w:t>
            </w:r>
          </w:p>
        </w:tc>
        <w:tc>
          <w:tcPr>
            <w:tcW w:w="1000" w:type="pct"/>
            <w:tcBorders>
              <w:top w:val="single" w:sz="12" w:space="0" w:color="auto"/>
              <w:bottom w:val="single" w:sz="12" w:space="0" w:color="auto"/>
            </w:tcBorders>
            <w:shd w:val="clear" w:color="auto" w:fill="F5F5F1"/>
            <w:vAlign w:val="bottom"/>
            <w:hideMark/>
          </w:tcPr>
          <w:p w14:paraId="02689310" w14:textId="77777777" w:rsidR="00B663D2" w:rsidRPr="00086C87" w:rsidRDefault="00B663D2" w:rsidP="005A3718">
            <w:pPr>
              <w:pStyle w:val="TableHeaderRow"/>
            </w:pPr>
            <w:r w:rsidRPr="00086C87">
              <w:t>Number with Representative Payee</w:t>
            </w:r>
          </w:p>
        </w:tc>
        <w:tc>
          <w:tcPr>
            <w:tcW w:w="1050" w:type="pct"/>
            <w:tcBorders>
              <w:top w:val="single" w:sz="12" w:space="0" w:color="auto"/>
              <w:bottom w:val="single" w:sz="12" w:space="0" w:color="auto"/>
            </w:tcBorders>
            <w:shd w:val="clear" w:color="auto" w:fill="F5F5F1"/>
            <w:vAlign w:val="bottom"/>
            <w:hideMark/>
          </w:tcPr>
          <w:p w14:paraId="00DE8A7C" w14:textId="77777777" w:rsidR="00B663D2" w:rsidRPr="00086C87" w:rsidRDefault="00B663D2" w:rsidP="005A3718">
            <w:pPr>
              <w:pStyle w:val="TableHeaderRow"/>
            </w:pPr>
            <w:r w:rsidRPr="00086C87">
              <w:t>Percentage with Representative Payee</w:t>
            </w:r>
          </w:p>
        </w:tc>
      </w:tr>
      <w:tr w:rsidR="00A0797B" w:rsidRPr="00086C87" w14:paraId="19336F0A" w14:textId="77777777" w:rsidTr="005A3718">
        <w:trPr>
          <w:trHeight w:val="285"/>
          <w:tblHeader/>
        </w:trPr>
        <w:tc>
          <w:tcPr>
            <w:tcW w:w="1900" w:type="pct"/>
            <w:tcBorders>
              <w:top w:val="single" w:sz="12" w:space="0" w:color="auto"/>
              <w:bottom w:val="single" w:sz="12" w:space="0" w:color="auto"/>
            </w:tcBorders>
            <w:shd w:val="clear" w:color="auto" w:fill="F5F5F1"/>
            <w:vAlign w:val="center"/>
          </w:tcPr>
          <w:p w14:paraId="07DC411B" w14:textId="77777777" w:rsidR="00B663D2" w:rsidRPr="00086C87" w:rsidRDefault="00B663D2" w:rsidP="005A3718">
            <w:pPr>
              <w:rPr>
                <w:rFonts w:cstheme="minorHAnsi"/>
                <w:b/>
                <w:bCs/>
                <w:i/>
                <w:iCs/>
                <w:color w:val="000000"/>
              </w:rPr>
            </w:pPr>
            <w:r w:rsidRPr="00086C87">
              <w:rPr>
                <w:rFonts w:cstheme="minorHAnsi"/>
                <w:b/>
                <w:bCs/>
                <w:i/>
                <w:iCs/>
                <w:color w:val="000000"/>
              </w:rPr>
              <w:t>Social Security Disability Insurance: Disabled workers</w:t>
            </w:r>
          </w:p>
        </w:tc>
        <w:tc>
          <w:tcPr>
            <w:tcW w:w="1050" w:type="pct"/>
            <w:tcBorders>
              <w:top w:val="single" w:sz="12" w:space="0" w:color="auto"/>
              <w:bottom w:val="single" w:sz="12" w:space="0" w:color="auto"/>
            </w:tcBorders>
            <w:shd w:val="clear" w:color="auto" w:fill="F5F5F1"/>
            <w:noWrap/>
            <w:vAlign w:val="center"/>
            <w:hideMark/>
          </w:tcPr>
          <w:p w14:paraId="27BA6760" w14:textId="77777777" w:rsidR="00B663D2" w:rsidRPr="00086C87" w:rsidRDefault="00B663D2" w:rsidP="005A3718">
            <w:pPr>
              <w:rPr>
                <w:rFonts w:cstheme="minorHAnsi"/>
                <w:color w:val="000000"/>
              </w:rPr>
            </w:pPr>
            <w:r w:rsidRPr="00086C87">
              <w:rPr>
                <w:rFonts w:cstheme="minorHAnsi"/>
                <w:color w:val="000000"/>
              </w:rPr>
              <w:t>8,537,332</w:t>
            </w:r>
          </w:p>
        </w:tc>
        <w:tc>
          <w:tcPr>
            <w:tcW w:w="1000" w:type="pct"/>
            <w:tcBorders>
              <w:top w:val="single" w:sz="12" w:space="0" w:color="auto"/>
              <w:bottom w:val="single" w:sz="12" w:space="0" w:color="auto"/>
            </w:tcBorders>
            <w:shd w:val="clear" w:color="auto" w:fill="F5F5F1"/>
            <w:noWrap/>
            <w:vAlign w:val="center"/>
            <w:hideMark/>
          </w:tcPr>
          <w:p w14:paraId="351C9B0D" w14:textId="77777777" w:rsidR="00B663D2" w:rsidRPr="00086C87" w:rsidRDefault="00B663D2" w:rsidP="005A3718">
            <w:pPr>
              <w:rPr>
                <w:rFonts w:cstheme="minorHAnsi"/>
                <w:color w:val="000000"/>
              </w:rPr>
            </w:pPr>
            <w:r w:rsidRPr="00086C87">
              <w:rPr>
                <w:rFonts w:cstheme="minorHAnsi"/>
                <w:color w:val="000000"/>
              </w:rPr>
              <w:t>855,224</w:t>
            </w:r>
          </w:p>
        </w:tc>
        <w:tc>
          <w:tcPr>
            <w:tcW w:w="1050" w:type="pct"/>
            <w:tcBorders>
              <w:top w:val="single" w:sz="12" w:space="0" w:color="auto"/>
              <w:bottom w:val="single" w:sz="12" w:space="0" w:color="auto"/>
            </w:tcBorders>
            <w:shd w:val="clear" w:color="auto" w:fill="F5F5F1"/>
            <w:noWrap/>
            <w:vAlign w:val="center"/>
            <w:hideMark/>
          </w:tcPr>
          <w:p w14:paraId="25751F03" w14:textId="77777777" w:rsidR="00B663D2" w:rsidRPr="00086C87" w:rsidRDefault="00B663D2" w:rsidP="005A3718">
            <w:pPr>
              <w:rPr>
                <w:rFonts w:cstheme="minorHAnsi"/>
                <w:color w:val="000000"/>
              </w:rPr>
            </w:pPr>
            <w:r w:rsidRPr="00086C87">
              <w:rPr>
                <w:rFonts w:cstheme="minorHAnsi"/>
                <w:color w:val="000000"/>
              </w:rPr>
              <w:t>10.0%</w:t>
            </w:r>
          </w:p>
        </w:tc>
      </w:tr>
      <w:tr w:rsidR="00A0797B" w:rsidRPr="00086C87" w14:paraId="2A32406A" w14:textId="77777777" w:rsidTr="005A3718">
        <w:trPr>
          <w:trHeight w:val="210"/>
          <w:tblHeader/>
        </w:trPr>
        <w:tc>
          <w:tcPr>
            <w:tcW w:w="1900" w:type="pct"/>
            <w:tcBorders>
              <w:top w:val="single" w:sz="12" w:space="0" w:color="auto"/>
            </w:tcBorders>
            <w:shd w:val="clear" w:color="auto" w:fill="F5F5F1"/>
            <w:vAlign w:val="center"/>
            <w:hideMark/>
          </w:tcPr>
          <w:p w14:paraId="653787E8" w14:textId="77777777" w:rsidR="00B663D2" w:rsidRPr="00086C87" w:rsidRDefault="00B663D2" w:rsidP="005A3718">
            <w:pPr>
              <w:rPr>
                <w:rFonts w:cstheme="minorHAnsi"/>
                <w:color w:val="000000"/>
              </w:rPr>
            </w:pPr>
            <w:r w:rsidRPr="00086C87">
              <w:rPr>
                <w:rFonts w:cstheme="minorHAnsi"/>
                <w:color w:val="000000"/>
              </w:rPr>
              <w:t>Under 35</w:t>
            </w:r>
          </w:p>
        </w:tc>
        <w:tc>
          <w:tcPr>
            <w:tcW w:w="1050" w:type="pct"/>
            <w:tcBorders>
              <w:top w:val="single" w:sz="12" w:space="0" w:color="auto"/>
            </w:tcBorders>
            <w:shd w:val="clear" w:color="auto" w:fill="F5F5F1"/>
            <w:noWrap/>
            <w:vAlign w:val="center"/>
            <w:hideMark/>
          </w:tcPr>
          <w:p w14:paraId="1E65AEBE" w14:textId="77777777" w:rsidR="00B663D2" w:rsidRPr="00086C87" w:rsidRDefault="00B663D2" w:rsidP="005A3718">
            <w:pPr>
              <w:rPr>
                <w:rFonts w:cstheme="minorHAnsi"/>
                <w:color w:val="000000"/>
              </w:rPr>
            </w:pPr>
            <w:r w:rsidRPr="00086C87">
              <w:rPr>
                <w:rFonts w:cstheme="minorHAnsi"/>
                <w:color w:val="000000"/>
              </w:rPr>
              <w:t>354,043</w:t>
            </w:r>
          </w:p>
        </w:tc>
        <w:tc>
          <w:tcPr>
            <w:tcW w:w="1000" w:type="pct"/>
            <w:tcBorders>
              <w:top w:val="single" w:sz="12" w:space="0" w:color="auto"/>
            </w:tcBorders>
            <w:shd w:val="clear" w:color="auto" w:fill="F5F5F1"/>
            <w:noWrap/>
            <w:vAlign w:val="center"/>
            <w:hideMark/>
          </w:tcPr>
          <w:p w14:paraId="3DED723C" w14:textId="77777777" w:rsidR="00B663D2" w:rsidRPr="00086C87" w:rsidRDefault="00B663D2" w:rsidP="005A3718">
            <w:pPr>
              <w:rPr>
                <w:rFonts w:cstheme="minorHAnsi"/>
                <w:color w:val="000000"/>
              </w:rPr>
            </w:pPr>
            <w:r w:rsidRPr="00086C87">
              <w:rPr>
                <w:rFonts w:cstheme="minorHAnsi"/>
                <w:color w:val="000000"/>
              </w:rPr>
              <w:t>114,487</w:t>
            </w:r>
          </w:p>
        </w:tc>
        <w:tc>
          <w:tcPr>
            <w:tcW w:w="1050" w:type="pct"/>
            <w:tcBorders>
              <w:top w:val="single" w:sz="12" w:space="0" w:color="auto"/>
            </w:tcBorders>
            <w:shd w:val="clear" w:color="auto" w:fill="F5F5F1"/>
            <w:noWrap/>
            <w:vAlign w:val="center"/>
            <w:hideMark/>
          </w:tcPr>
          <w:p w14:paraId="59443F03" w14:textId="77777777" w:rsidR="00B663D2" w:rsidRPr="00086C87" w:rsidRDefault="00B663D2" w:rsidP="005A3718">
            <w:pPr>
              <w:rPr>
                <w:rFonts w:cstheme="minorHAnsi"/>
                <w:color w:val="000000"/>
              </w:rPr>
            </w:pPr>
            <w:r w:rsidRPr="00086C87">
              <w:rPr>
                <w:rFonts w:cstheme="minorHAnsi"/>
                <w:color w:val="000000"/>
              </w:rPr>
              <w:t>32.3%</w:t>
            </w:r>
          </w:p>
        </w:tc>
      </w:tr>
      <w:tr w:rsidR="00B663D2" w:rsidRPr="00086C87" w14:paraId="02AA9BC3" w14:textId="77777777" w:rsidTr="005A3718">
        <w:trPr>
          <w:trHeight w:val="210"/>
          <w:tblHeader/>
        </w:trPr>
        <w:tc>
          <w:tcPr>
            <w:tcW w:w="1900" w:type="pct"/>
            <w:shd w:val="clear" w:color="auto" w:fill="F5F5F1"/>
            <w:vAlign w:val="center"/>
            <w:hideMark/>
          </w:tcPr>
          <w:p w14:paraId="64DDF2AE" w14:textId="77777777" w:rsidR="00B663D2" w:rsidRPr="00086C87" w:rsidRDefault="00B663D2" w:rsidP="005A3718">
            <w:pPr>
              <w:rPr>
                <w:rFonts w:cstheme="minorHAnsi"/>
                <w:color w:val="000000"/>
              </w:rPr>
            </w:pPr>
            <w:r w:rsidRPr="00086C87">
              <w:rPr>
                <w:rFonts w:cstheme="minorHAnsi"/>
                <w:color w:val="000000"/>
              </w:rPr>
              <w:t>35–44</w:t>
            </w:r>
          </w:p>
        </w:tc>
        <w:tc>
          <w:tcPr>
            <w:tcW w:w="1050" w:type="pct"/>
            <w:shd w:val="clear" w:color="auto" w:fill="F5F5F1"/>
            <w:noWrap/>
            <w:vAlign w:val="center"/>
            <w:hideMark/>
          </w:tcPr>
          <w:p w14:paraId="31B3E4B0" w14:textId="77777777" w:rsidR="00B663D2" w:rsidRPr="00086C87" w:rsidRDefault="00B663D2" w:rsidP="005A3718">
            <w:pPr>
              <w:rPr>
                <w:rFonts w:cstheme="minorHAnsi"/>
                <w:color w:val="000000"/>
              </w:rPr>
            </w:pPr>
            <w:r w:rsidRPr="00086C87">
              <w:rPr>
                <w:rFonts w:cstheme="minorHAnsi"/>
                <w:color w:val="000000"/>
              </w:rPr>
              <w:t>874,576</w:t>
            </w:r>
          </w:p>
        </w:tc>
        <w:tc>
          <w:tcPr>
            <w:tcW w:w="1000" w:type="pct"/>
            <w:shd w:val="clear" w:color="auto" w:fill="F5F5F1"/>
            <w:noWrap/>
            <w:vAlign w:val="center"/>
            <w:hideMark/>
          </w:tcPr>
          <w:p w14:paraId="5D5907DB" w14:textId="77777777" w:rsidR="00B663D2" w:rsidRPr="00086C87" w:rsidRDefault="00B663D2" w:rsidP="005A3718">
            <w:pPr>
              <w:rPr>
                <w:rFonts w:cstheme="minorHAnsi"/>
                <w:color w:val="000000"/>
              </w:rPr>
            </w:pPr>
            <w:r w:rsidRPr="00086C87">
              <w:rPr>
                <w:rFonts w:cstheme="minorHAnsi"/>
                <w:color w:val="000000"/>
              </w:rPr>
              <w:t>165,757</w:t>
            </w:r>
          </w:p>
        </w:tc>
        <w:tc>
          <w:tcPr>
            <w:tcW w:w="1050" w:type="pct"/>
            <w:shd w:val="clear" w:color="auto" w:fill="F5F5F1"/>
            <w:noWrap/>
            <w:vAlign w:val="center"/>
            <w:hideMark/>
          </w:tcPr>
          <w:p w14:paraId="3B8F472F" w14:textId="77777777" w:rsidR="00B663D2" w:rsidRPr="00086C87" w:rsidRDefault="00B663D2" w:rsidP="005A3718">
            <w:pPr>
              <w:rPr>
                <w:rFonts w:cstheme="minorHAnsi"/>
                <w:color w:val="000000"/>
              </w:rPr>
            </w:pPr>
            <w:r w:rsidRPr="00086C87">
              <w:rPr>
                <w:rFonts w:cstheme="minorHAnsi"/>
                <w:color w:val="000000"/>
              </w:rPr>
              <w:t>19.0%</w:t>
            </w:r>
          </w:p>
        </w:tc>
      </w:tr>
      <w:tr w:rsidR="00B663D2" w:rsidRPr="00086C87" w14:paraId="5499573D" w14:textId="77777777" w:rsidTr="005A3718">
        <w:trPr>
          <w:trHeight w:val="210"/>
          <w:tblHeader/>
        </w:trPr>
        <w:tc>
          <w:tcPr>
            <w:tcW w:w="1900" w:type="pct"/>
            <w:shd w:val="clear" w:color="auto" w:fill="F5F5F1"/>
            <w:vAlign w:val="center"/>
            <w:hideMark/>
          </w:tcPr>
          <w:p w14:paraId="66263877" w14:textId="77777777" w:rsidR="00B663D2" w:rsidRPr="00086C87" w:rsidRDefault="00B663D2" w:rsidP="005A3718">
            <w:pPr>
              <w:rPr>
                <w:rFonts w:cstheme="minorHAnsi"/>
                <w:color w:val="000000"/>
              </w:rPr>
            </w:pPr>
            <w:r w:rsidRPr="00086C87">
              <w:rPr>
                <w:rFonts w:cstheme="minorHAnsi"/>
                <w:color w:val="000000"/>
              </w:rPr>
              <w:t>45–54</w:t>
            </w:r>
          </w:p>
        </w:tc>
        <w:tc>
          <w:tcPr>
            <w:tcW w:w="1050" w:type="pct"/>
            <w:shd w:val="clear" w:color="auto" w:fill="F5F5F1"/>
            <w:noWrap/>
            <w:vAlign w:val="center"/>
            <w:hideMark/>
          </w:tcPr>
          <w:p w14:paraId="63512903" w14:textId="77777777" w:rsidR="00B663D2" w:rsidRPr="00086C87" w:rsidRDefault="00B663D2" w:rsidP="005A3718">
            <w:pPr>
              <w:rPr>
                <w:rFonts w:cstheme="minorHAnsi"/>
                <w:color w:val="000000"/>
              </w:rPr>
            </w:pPr>
            <w:r w:rsidRPr="00086C87">
              <w:rPr>
                <w:rFonts w:cstheme="minorHAnsi"/>
                <w:color w:val="000000"/>
              </w:rPr>
              <w:t>1,991,913</w:t>
            </w:r>
          </w:p>
        </w:tc>
        <w:tc>
          <w:tcPr>
            <w:tcW w:w="1000" w:type="pct"/>
            <w:shd w:val="clear" w:color="auto" w:fill="F5F5F1"/>
            <w:noWrap/>
            <w:vAlign w:val="center"/>
            <w:hideMark/>
          </w:tcPr>
          <w:p w14:paraId="3B9F4BA1" w14:textId="77777777" w:rsidR="00B663D2" w:rsidRPr="00086C87" w:rsidRDefault="00B663D2" w:rsidP="005A3718">
            <w:pPr>
              <w:rPr>
                <w:rFonts w:cstheme="minorHAnsi"/>
                <w:color w:val="000000"/>
              </w:rPr>
            </w:pPr>
            <w:r w:rsidRPr="00086C87">
              <w:rPr>
                <w:rFonts w:cstheme="minorHAnsi"/>
                <w:color w:val="000000"/>
              </w:rPr>
              <w:t>220,021</w:t>
            </w:r>
          </w:p>
        </w:tc>
        <w:tc>
          <w:tcPr>
            <w:tcW w:w="1050" w:type="pct"/>
            <w:shd w:val="clear" w:color="auto" w:fill="F5F5F1"/>
            <w:noWrap/>
            <w:vAlign w:val="center"/>
            <w:hideMark/>
          </w:tcPr>
          <w:p w14:paraId="69253CC6" w14:textId="77777777" w:rsidR="00B663D2" w:rsidRPr="00086C87" w:rsidRDefault="00B663D2" w:rsidP="005A3718">
            <w:pPr>
              <w:rPr>
                <w:rFonts w:cstheme="minorHAnsi"/>
                <w:color w:val="000000"/>
              </w:rPr>
            </w:pPr>
            <w:r w:rsidRPr="00086C87">
              <w:rPr>
                <w:rFonts w:cstheme="minorHAnsi"/>
                <w:color w:val="000000"/>
              </w:rPr>
              <w:t>11.0%</w:t>
            </w:r>
          </w:p>
        </w:tc>
      </w:tr>
      <w:tr w:rsidR="00A0797B" w:rsidRPr="00086C87" w14:paraId="0568688F" w14:textId="77777777" w:rsidTr="005A3718">
        <w:trPr>
          <w:trHeight w:val="210"/>
          <w:tblHeader/>
        </w:trPr>
        <w:tc>
          <w:tcPr>
            <w:tcW w:w="1900" w:type="pct"/>
            <w:tcBorders>
              <w:bottom w:val="single" w:sz="12" w:space="0" w:color="auto"/>
            </w:tcBorders>
            <w:shd w:val="clear" w:color="auto" w:fill="F5F5F1"/>
            <w:vAlign w:val="center"/>
            <w:hideMark/>
          </w:tcPr>
          <w:p w14:paraId="19B49ACD" w14:textId="77777777" w:rsidR="00B663D2" w:rsidRPr="00086C87" w:rsidRDefault="00B663D2" w:rsidP="005A3718">
            <w:pPr>
              <w:rPr>
                <w:rFonts w:cstheme="minorHAnsi"/>
                <w:color w:val="000000"/>
              </w:rPr>
            </w:pPr>
            <w:r w:rsidRPr="00086C87">
              <w:rPr>
                <w:rFonts w:cstheme="minorHAnsi"/>
                <w:color w:val="000000"/>
              </w:rPr>
              <w:t>55–FRA</w:t>
            </w:r>
          </w:p>
        </w:tc>
        <w:tc>
          <w:tcPr>
            <w:tcW w:w="1050" w:type="pct"/>
            <w:tcBorders>
              <w:bottom w:val="single" w:sz="12" w:space="0" w:color="auto"/>
            </w:tcBorders>
            <w:shd w:val="clear" w:color="auto" w:fill="F5F5F1"/>
            <w:noWrap/>
            <w:vAlign w:val="center"/>
            <w:hideMark/>
          </w:tcPr>
          <w:p w14:paraId="40A36391" w14:textId="77777777" w:rsidR="00B663D2" w:rsidRPr="00086C87" w:rsidRDefault="00B663D2" w:rsidP="005A3718">
            <w:pPr>
              <w:rPr>
                <w:rFonts w:cstheme="minorHAnsi"/>
                <w:color w:val="000000"/>
              </w:rPr>
            </w:pPr>
            <w:r w:rsidRPr="00086C87">
              <w:rPr>
                <w:rFonts w:cstheme="minorHAnsi"/>
                <w:color w:val="000000"/>
              </w:rPr>
              <w:t>5,316,800</w:t>
            </w:r>
          </w:p>
        </w:tc>
        <w:tc>
          <w:tcPr>
            <w:tcW w:w="1000" w:type="pct"/>
            <w:tcBorders>
              <w:bottom w:val="single" w:sz="12" w:space="0" w:color="auto"/>
            </w:tcBorders>
            <w:shd w:val="clear" w:color="auto" w:fill="F5F5F1"/>
            <w:noWrap/>
            <w:vAlign w:val="center"/>
            <w:hideMark/>
          </w:tcPr>
          <w:p w14:paraId="572F9B40" w14:textId="77777777" w:rsidR="00B663D2" w:rsidRPr="00086C87" w:rsidRDefault="00B663D2" w:rsidP="005A3718">
            <w:pPr>
              <w:rPr>
                <w:rFonts w:cstheme="minorHAnsi"/>
                <w:color w:val="000000"/>
              </w:rPr>
            </w:pPr>
            <w:r w:rsidRPr="00086C87">
              <w:rPr>
                <w:rFonts w:cstheme="minorHAnsi"/>
                <w:color w:val="000000"/>
              </w:rPr>
              <w:t>354,959</w:t>
            </w:r>
          </w:p>
        </w:tc>
        <w:tc>
          <w:tcPr>
            <w:tcW w:w="1050" w:type="pct"/>
            <w:tcBorders>
              <w:bottom w:val="single" w:sz="12" w:space="0" w:color="auto"/>
            </w:tcBorders>
            <w:shd w:val="clear" w:color="auto" w:fill="F5F5F1"/>
            <w:noWrap/>
            <w:vAlign w:val="center"/>
            <w:hideMark/>
          </w:tcPr>
          <w:p w14:paraId="5863BD77" w14:textId="77777777" w:rsidR="00B663D2" w:rsidRPr="00086C87" w:rsidRDefault="00B663D2" w:rsidP="005A3718">
            <w:pPr>
              <w:rPr>
                <w:rFonts w:cstheme="minorHAnsi"/>
                <w:color w:val="000000"/>
              </w:rPr>
            </w:pPr>
            <w:r w:rsidRPr="00086C87">
              <w:rPr>
                <w:rFonts w:cstheme="minorHAnsi"/>
                <w:color w:val="000000"/>
              </w:rPr>
              <w:t>6.7%</w:t>
            </w:r>
          </w:p>
        </w:tc>
      </w:tr>
      <w:tr w:rsidR="00A0797B" w:rsidRPr="00086C87" w14:paraId="25C03516" w14:textId="77777777" w:rsidTr="005A3718">
        <w:trPr>
          <w:trHeight w:val="210"/>
          <w:tblHeader/>
        </w:trPr>
        <w:tc>
          <w:tcPr>
            <w:tcW w:w="1900" w:type="pct"/>
            <w:tcBorders>
              <w:top w:val="single" w:sz="12" w:space="0" w:color="auto"/>
              <w:bottom w:val="single" w:sz="12" w:space="0" w:color="auto"/>
            </w:tcBorders>
            <w:shd w:val="clear" w:color="auto" w:fill="F5F5F1"/>
            <w:vAlign w:val="center"/>
          </w:tcPr>
          <w:p w14:paraId="117FDFC3" w14:textId="77777777" w:rsidR="00B663D2" w:rsidRPr="00086C87" w:rsidRDefault="00B663D2" w:rsidP="005A3718">
            <w:pPr>
              <w:rPr>
                <w:rFonts w:cstheme="minorHAnsi"/>
                <w:b/>
                <w:bCs/>
                <w:i/>
                <w:iCs/>
                <w:color w:val="000000"/>
              </w:rPr>
            </w:pPr>
            <w:r w:rsidRPr="00086C87">
              <w:rPr>
                <w:rFonts w:cstheme="minorHAnsi"/>
                <w:b/>
                <w:bCs/>
                <w:i/>
                <w:iCs/>
                <w:color w:val="000000"/>
              </w:rPr>
              <w:t>Social Security Disability Insurance: Disabled Adult Children</w:t>
            </w:r>
          </w:p>
        </w:tc>
        <w:tc>
          <w:tcPr>
            <w:tcW w:w="1050" w:type="pct"/>
            <w:tcBorders>
              <w:top w:val="single" w:sz="12" w:space="0" w:color="auto"/>
              <w:bottom w:val="single" w:sz="12" w:space="0" w:color="auto"/>
            </w:tcBorders>
            <w:shd w:val="clear" w:color="auto" w:fill="F5F5F1"/>
            <w:noWrap/>
            <w:vAlign w:val="center"/>
            <w:hideMark/>
          </w:tcPr>
          <w:p w14:paraId="71B7FCF3" w14:textId="77777777" w:rsidR="00B663D2" w:rsidRPr="00086C87" w:rsidRDefault="00B663D2" w:rsidP="005A3718">
            <w:pPr>
              <w:rPr>
                <w:rFonts w:cstheme="minorHAnsi"/>
                <w:color w:val="000000"/>
              </w:rPr>
            </w:pPr>
            <w:r w:rsidRPr="00086C87">
              <w:rPr>
                <w:rFonts w:cstheme="minorHAnsi"/>
                <w:color w:val="000000"/>
              </w:rPr>
              <w:t>1,127,181</w:t>
            </w:r>
          </w:p>
        </w:tc>
        <w:tc>
          <w:tcPr>
            <w:tcW w:w="1000" w:type="pct"/>
            <w:tcBorders>
              <w:top w:val="single" w:sz="12" w:space="0" w:color="auto"/>
              <w:bottom w:val="single" w:sz="12" w:space="0" w:color="auto"/>
            </w:tcBorders>
            <w:shd w:val="clear" w:color="auto" w:fill="F5F5F1"/>
            <w:noWrap/>
            <w:vAlign w:val="center"/>
            <w:hideMark/>
          </w:tcPr>
          <w:p w14:paraId="3A6FF090" w14:textId="77777777" w:rsidR="00B663D2" w:rsidRPr="00086C87" w:rsidRDefault="00B663D2" w:rsidP="005A3718">
            <w:pPr>
              <w:rPr>
                <w:rFonts w:cstheme="minorHAnsi"/>
                <w:color w:val="000000"/>
              </w:rPr>
            </w:pPr>
            <w:r w:rsidRPr="00086C87">
              <w:rPr>
                <w:rFonts w:cstheme="minorHAnsi"/>
                <w:color w:val="000000"/>
              </w:rPr>
              <w:t>821,807</w:t>
            </w:r>
          </w:p>
        </w:tc>
        <w:tc>
          <w:tcPr>
            <w:tcW w:w="1050" w:type="pct"/>
            <w:tcBorders>
              <w:top w:val="single" w:sz="12" w:space="0" w:color="auto"/>
              <w:bottom w:val="single" w:sz="12" w:space="0" w:color="auto"/>
            </w:tcBorders>
            <w:shd w:val="clear" w:color="auto" w:fill="F5F5F1"/>
            <w:noWrap/>
            <w:vAlign w:val="center"/>
            <w:hideMark/>
          </w:tcPr>
          <w:p w14:paraId="736C8892" w14:textId="77777777" w:rsidR="00B663D2" w:rsidRPr="00086C87" w:rsidRDefault="00B663D2" w:rsidP="005A3718">
            <w:pPr>
              <w:rPr>
                <w:rFonts w:cstheme="minorHAnsi"/>
                <w:color w:val="000000"/>
              </w:rPr>
            </w:pPr>
            <w:r w:rsidRPr="00086C87">
              <w:rPr>
                <w:rFonts w:cstheme="minorHAnsi"/>
                <w:color w:val="000000"/>
              </w:rPr>
              <w:t>72.9%</w:t>
            </w:r>
          </w:p>
        </w:tc>
      </w:tr>
      <w:tr w:rsidR="00A0797B" w:rsidRPr="00086C87" w14:paraId="78DBDD70" w14:textId="77777777" w:rsidTr="005A3718">
        <w:trPr>
          <w:trHeight w:val="144"/>
          <w:tblHeader/>
        </w:trPr>
        <w:tc>
          <w:tcPr>
            <w:tcW w:w="1900" w:type="pct"/>
            <w:tcBorders>
              <w:top w:val="single" w:sz="12" w:space="0" w:color="auto"/>
            </w:tcBorders>
            <w:shd w:val="clear" w:color="auto" w:fill="F5F5F1"/>
            <w:vAlign w:val="center"/>
            <w:hideMark/>
          </w:tcPr>
          <w:p w14:paraId="59C163FC" w14:textId="77777777" w:rsidR="00B663D2" w:rsidRPr="00086C87" w:rsidRDefault="00B663D2" w:rsidP="005A3718">
            <w:pPr>
              <w:rPr>
                <w:rFonts w:cstheme="minorHAnsi"/>
                <w:color w:val="000000"/>
              </w:rPr>
            </w:pPr>
            <w:r w:rsidRPr="00086C87">
              <w:rPr>
                <w:rFonts w:cstheme="minorHAnsi"/>
                <w:color w:val="000000"/>
              </w:rPr>
              <w:t>Under 35</w:t>
            </w:r>
          </w:p>
        </w:tc>
        <w:tc>
          <w:tcPr>
            <w:tcW w:w="1050" w:type="pct"/>
            <w:tcBorders>
              <w:top w:val="single" w:sz="12" w:space="0" w:color="auto"/>
            </w:tcBorders>
            <w:shd w:val="clear" w:color="auto" w:fill="F5F5F1"/>
            <w:noWrap/>
            <w:vAlign w:val="center"/>
            <w:hideMark/>
          </w:tcPr>
          <w:p w14:paraId="6B258FF6" w14:textId="77777777" w:rsidR="00B663D2" w:rsidRPr="00086C87" w:rsidRDefault="00B663D2" w:rsidP="005A3718">
            <w:pPr>
              <w:rPr>
                <w:rFonts w:cstheme="minorHAnsi"/>
                <w:color w:val="000000"/>
              </w:rPr>
            </w:pPr>
            <w:r w:rsidRPr="00086C87">
              <w:rPr>
                <w:rFonts w:cstheme="minorHAnsi"/>
                <w:color w:val="000000"/>
              </w:rPr>
              <w:t>367,487</w:t>
            </w:r>
          </w:p>
        </w:tc>
        <w:tc>
          <w:tcPr>
            <w:tcW w:w="1000" w:type="pct"/>
            <w:tcBorders>
              <w:top w:val="single" w:sz="12" w:space="0" w:color="auto"/>
            </w:tcBorders>
            <w:shd w:val="clear" w:color="auto" w:fill="F5F5F1"/>
            <w:noWrap/>
            <w:vAlign w:val="center"/>
            <w:hideMark/>
          </w:tcPr>
          <w:p w14:paraId="1B10D345" w14:textId="77777777" w:rsidR="00B663D2" w:rsidRPr="00086C87" w:rsidRDefault="00B663D2" w:rsidP="005A3718">
            <w:pPr>
              <w:rPr>
                <w:rFonts w:cstheme="minorHAnsi"/>
                <w:color w:val="000000"/>
              </w:rPr>
            </w:pPr>
            <w:r w:rsidRPr="00086C87">
              <w:rPr>
                <w:rFonts w:cstheme="minorHAnsi"/>
                <w:color w:val="000000"/>
              </w:rPr>
              <w:t>260,835</w:t>
            </w:r>
          </w:p>
        </w:tc>
        <w:tc>
          <w:tcPr>
            <w:tcW w:w="1050" w:type="pct"/>
            <w:tcBorders>
              <w:top w:val="single" w:sz="12" w:space="0" w:color="auto"/>
            </w:tcBorders>
            <w:shd w:val="clear" w:color="auto" w:fill="F5F5F1"/>
            <w:noWrap/>
            <w:vAlign w:val="center"/>
            <w:hideMark/>
          </w:tcPr>
          <w:p w14:paraId="6F85BE21" w14:textId="77777777" w:rsidR="00B663D2" w:rsidRPr="00086C87" w:rsidRDefault="00B663D2" w:rsidP="005A3718">
            <w:pPr>
              <w:rPr>
                <w:rFonts w:cstheme="minorHAnsi"/>
                <w:color w:val="000000"/>
              </w:rPr>
            </w:pPr>
            <w:r w:rsidRPr="00086C87">
              <w:rPr>
                <w:rFonts w:cstheme="minorHAnsi"/>
                <w:color w:val="000000"/>
              </w:rPr>
              <w:t>71.0%</w:t>
            </w:r>
          </w:p>
        </w:tc>
      </w:tr>
      <w:tr w:rsidR="00B663D2" w:rsidRPr="00086C87" w14:paraId="7A43B8F8" w14:textId="77777777" w:rsidTr="005A3718">
        <w:trPr>
          <w:trHeight w:val="210"/>
          <w:tblHeader/>
        </w:trPr>
        <w:tc>
          <w:tcPr>
            <w:tcW w:w="1900" w:type="pct"/>
            <w:shd w:val="clear" w:color="auto" w:fill="F5F5F1"/>
            <w:vAlign w:val="center"/>
            <w:hideMark/>
          </w:tcPr>
          <w:p w14:paraId="25CB0FA5" w14:textId="77777777" w:rsidR="00B663D2" w:rsidRPr="00086C87" w:rsidRDefault="00B663D2" w:rsidP="005A3718">
            <w:pPr>
              <w:rPr>
                <w:rFonts w:cstheme="minorHAnsi"/>
                <w:color w:val="000000"/>
              </w:rPr>
            </w:pPr>
            <w:r w:rsidRPr="00086C87">
              <w:rPr>
                <w:rFonts w:cstheme="minorHAnsi"/>
                <w:color w:val="000000"/>
              </w:rPr>
              <w:t>35–44</w:t>
            </w:r>
          </w:p>
        </w:tc>
        <w:tc>
          <w:tcPr>
            <w:tcW w:w="1050" w:type="pct"/>
            <w:shd w:val="clear" w:color="auto" w:fill="F5F5F1"/>
            <w:noWrap/>
            <w:vAlign w:val="center"/>
            <w:hideMark/>
          </w:tcPr>
          <w:p w14:paraId="7A23ED74" w14:textId="77777777" w:rsidR="00B663D2" w:rsidRPr="00086C87" w:rsidRDefault="00B663D2" w:rsidP="005A3718">
            <w:pPr>
              <w:rPr>
                <w:rFonts w:cstheme="minorHAnsi"/>
                <w:color w:val="000000"/>
              </w:rPr>
            </w:pPr>
            <w:r w:rsidRPr="00086C87">
              <w:rPr>
                <w:rFonts w:cstheme="minorHAnsi"/>
                <w:color w:val="000000"/>
              </w:rPr>
              <w:t>243,673</w:t>
            </w:r>
          </w:p>
        </w:tc>
        <w:tc>
          <w:tcPr>
            <w:tcW w:w="1000" w:type="pct"/>
            <w:shd w:val="clear" w:color="auto" w:fill="F5F5F1"/>
            <w:noWrap/>
            <w:vAlign w:val="center"/>
            <w:hideMark/>
          </w:tcPr>
          <w:p w14:paraId="4F59640A" w14:textId="77777777" w:rsidR="00B663D2" w:rsidRPr="00086C87" w:rsidRDefault="00B663D2" w:rsidP="005A3718">
            <w:pPr>
              <w:rPr>
                <w:rFonts w:cstheme="minorHAnsi"/>
                <w:color w:val="000000"/>
              </w:rPr>
            </w:pPr>
            <w:r w:rsidRPr="00086C87">
              <w:rPr>
                <w:rFonts w:cstheme="minorHAnsi"/>
                <w:color w:val="000000"/>
              </w:rPr>
              <w:t>166,737</w:t>
            </w:r>
          </w:p>
        </w:tc>
        <w:tc>
          <w:tcPr>
            <w:tcW w:w="1050" w:type="pct"/>
            <w:shd w:val="clear" w:color="auto" w:fill="F5F5F1"/>
            <w:noWrap/>
            <w:vAlign w:val="center"/>
            <w:hideMark/>
          </w:tcPr>
          <w:p w14:paraId="335FB8DD" w14:textId="77777777" w:rsidR="00B663D2" w:rsidRPr="00086C87" w:rsidRDefault="00B663D2" w:rsidP="005A3718">
            <w:pPr>
              <w:rPr>
                <w:rFonts w:cstheme="minorHAnsi"/>
                <w:color w:val="000000"/>
              </w:rPr>
            </w:pPr>
            <w:r w:rsidRPr="00086C87">
              <w:rPr>
                <w:rFonts w:cstheme="minorHAnsi"/>
                <w:color w:val="000000"/>
              </w:rPr>
              <w:t>68.4%</w:t>
            </w:r>
          </w:p>
        </w:tc>
      </w:tr>
      <w:tr w:rsidR="00B663D2" w:rsidRPr="00086C87" w14:paraId="1098B0BF" w14:textId="77777777" w:rsidTr="005A3718">
        <w:trPr>
          <w:trHeight w:val="210"/>
          <w:tblHeader/>
        </w:trPr>
        <w:tc>
          <w:tcPr>
            <w:tcW w:w="1900" w:type="pct"/>
            <w:shd w:val="clear" w:color="auto" w:fill="F5F5F1"/>
            <w:vAlign w:val="center"/>
            <w:hideMark/>
          </w:tcPr>
          <w:p w14:paraId="131BF543" w14:textId="77777777" w:rsidR="00B663D2" w:rsidRPr="00086C87" w:rsidRDefault="00B663D2" w:rsidP="005A3718">
            <w:pPr>
              <w:rPr>
                <w:rFonts w:cstheme="minorHAnsi"/>
                <w:color w:val="000000"/>
              </w:rPr>
            </w:pPr>
            <w:r w:rsidRPr="00086C87">
              <w:rPr>
                <w:rFonts w:cstheme="minorHAnsi"/>
                <w:color w:val="000000"/>
              </w:rPr>
              <w:t>45–54</w:t>
            </w:r>
          </w:p>
        </w:tc>
        <w:tc>
          <w:tcPr>
            <w:tcW w:w="1050" w:type="pct"/>
            <w:shd w:val="clear" w:color="auto" w:fill="F5F5F1"/>
            <w:noWrap/>
            <w:vAlign w:val="center"/>
            <w:hideMark/>
          </w:tcPr>
          <w:p w14:paraId="329CC5DC" w14:textId="77777777" w:rsidR="00B663D2" w:rsidRPr="00086C87" w:rsidRDefault="00B663D2" w:rsidP="005A3718">
            <w:pPr>
              <w:rPr>
                <w:rFonts w:cstheme="minorHAnsi"/>
                <w:color w:val="000000"/>
              </w:rPr>
            </w:pPr>
            <w:r w:rsidRPr="00086C87">
              <w:rPr>
                <w:rFonts w:cstheme="minorHAnsi"/>
                <w:color w:val="000000"/>
              </w:rPr>
              <w:t>231,679</w:t>
            </w:r>
          </w:p>
        </w:tc>
        <w:tc>
          <w:tcPr>
            <w:tcW w:w="1000" w:type="pct"/>
            <w:shd w:val="clear" w:color="auto" w:fill="F5F5F1"/>
            <w:noWrap/>
            <w:vAlign w:val="center"/>
            <w:hideMark/>
          </w:tcPr>
          <w:p w14:paraId="435F5D71" w14:textId="77777777" w:rsidR="00B663D2" w:rsidRPr="00086C87" w:rsidRDefault="00B663D2" w:rsidP="005A3718">
            <w:pPr>
              <w:rPr>
                <w:rFonts w:cstheme="minorHAnsi"/>
                <w:color w:val="000000"/>
              </w:rPr>
            </w:pPr>
            <w:r w:rsidRPr="00086C87">
              <w:rPr>
                <w:rFonts w:cstheme="minorHAnsi"/>
                <w:color w:val="000000"/>
              </w:rPr>
              <w:t>165,267</w:t>
            </w:r>
          </w:p>
        </w:tc>
        <w:tc>
          <w:tcPr>
            <w:tcW w:w="1050" w:type="pct"/>
            <w:shd w:val="clear" w:color="auto" w:fill="F5F5F1"/>
            <w:noWrap/>
            <w:vAlign w:val="center"/>
            <w:hideMark/>
          </w:tcPr>
          <w:p w14:paraId="3C908DB2" w14:textId="77777777" w:rsidR="00B663D2" w:rsidRPr="00086C87" w:rsidRDefault="00B663D2" w:rsidP="005A3718">
            <w:pPr>
              <w:rPr>
                <w:rFonts w:cstheme="minorHAnsi"/>
                <w:color w:val="000000"/>
              </w:rPr>
            </w:pPr>
            <w:r w:rsidRPr="00086C87">
              <w:rPr>
                <w:rFonts w:cstheme="minorHAnsi"/>
                <w:color w:val="000000"/>
              </w:rPr>
              <w:t>71.3%</w:t>
            </w:r>
          </w:p>
        </w:tc>
      </w:tr>
      <w:tr w:rsidR="00A0797B" w:rsidRPr="00086C87" w14:paraId="1B647EDD" w14:textId="77777777" w:rsidTr="005A3718">
        <w:trPr>
          <w:trHeight w:val="210"/>
          <w:tblHeader/>
        </w:trPr>
        <w:tc>
          <w:tcPr>
            <w:tcW w:w="1900" w:type="pct"/>
            <w:tcBorders>
              <w:bottom w:val="single" w:sz="12" w:space="0" w:color="auto"/>
            </w:tcBorders>
            <w:shd w:val="clear" w:color="auto" w:fill="F5F5F1"/>
            <w:vAlign w:val="center"/>
            <w:hideMark/>
          </w:tcPr>
          <w:p w14:paraId="4CC14303" w14:textId="77777777" w:rsidR="00B663D2" w:rsidRPr="00086C87" w:rsidRDefault="00B663D2" w:rsidP="005A3718">
            <w:pPr>
              <w:rPr>
                <w:rFonts w:cstheme="minorHAnsi"/>
                <w:color w:val="000000"/>
              </w:rPr>
            </w:pPr>
            <w:r w:rsidRPr="00086C87">
              <w:rPr>
                <w:rFonts w:cstheme="minorHAnsi"/>
                <w:color w:val="000000"/>
              </w:rPr>
              <w:t>55 or older</w:t>
            </w:r>
          </w:p>
        </w:tc>
        <w:tc>
          <w:tcPr>
            <w:tcW w:w="1050" w:type="pct"/>
            <w:tcBorders>
              <w:bottom w:val="single" w:sz="12" w:space="0" w:color="auto"/>
            </w:tcBorders>
            <w:shd w:val="clear" w:color="auto" w:fill="F5F5F1"/>
            <w:noWrap/>
            <w:vAlign w:val="center"/>
            <w:hideMark/>
          </w:tcPr>
          <w:p w14:paraId="2D34A9B3" w14:textId="77777777" w:rsidR="00B663D2" w:rsidRPr="00086C87" w:rsidRDefault="00B663D2" w:rsidP="005A3718">
            <w:pPr>
              <w:rPr>
                <w:rFonts w:cstheme="minorHAnsi"/>
                <w:color w:val="000000"/>
              </w:rPr>
            </w:pPr>
            <w:r w:rsidRPr="00086C87">
              <w:rPr>
                <w:rFonts w:cstheme="minorHAnsi"/>
                <w:color w:val="000000"/>
              </w:rPr>
              <w:t>284,342</w:t>
            </w:r>
          </w:p>
        </w:tc>
        <w:tc>
          <w:tcPr>
            <w:tcW w:w="1000" w:type="pct"/>
            <w:tcBorders>
              <w:bottom w:val="single" w:sz="12" w:space="0" w:color="auto"/>
            </w:tcBorders>
            <w:shd w:val="clear" w:color="auto" w:fill="F5F5F1"/>
            <w:noWrap/>
            <w:vAlign w:val="center"/>
            <w:hideMark/>
          </w:tcPr>
          <w:p w14:paraId="585F092C" w14:textId="77777777" w:rsidR="00B663D2" w:rsidRPr="00086C87" w:rsidRDefault="00B663D2" w:rsidP="005A3718">
            <w:pPr>
              <w:rPr>
                <w:rFonts w:cstheme="minorHAnsi"/>
                <w:color w:val="000000"/>
              </w:rPr>
            </w:pPr>
            <w:r w:rsidRPr="00086C87">
              <w:rPr>
                <w:rFonts w:cstheme="minorHAnsi"/>
                <w:color w:val="000000"/>
              </w:rPr>
              <w:t>228,968</w:t>
            </w:r>
          </w:p>
        </w:tc>
        <w:tc>
          <w:tcPr>
            <w:tcW w:w="1050" w:type="pct"/>
            <w:tcBorders>
              <w:bottom w:val="single" w:sz="12" w:space="0" w:color="auto"/>
            </w:tcBorders>
            <w:shd w:val="clear" w:color="auto" w:fill="F5F5F1"/>
            <w:noWrap/>
            <w:vAlign w:val="center"/>
            <w:hideMark/>
          </w:tcPr>
          <w:p w14:paraId="50EFD252" w14:textId="77777777" w:rsidR="00B663D2" w:rsidRPr="00086C87" w:rsidRDefault="00B663D2" w:rsidP="005A3718">
            <w:pPr>
              <w:rPr>
                <w:rFonts w:cstheme="minorHAnsi"/>
                <w:color w:val="000000"/>
              </w:rPr>
            </w:pPr>
            <w:r w:rsidRPr="00086C87">
              <w:rPr>
                <w:rFonts w:cstheme="minorHAnsi"/>
                <w:color w:val="000000"/>
              </w:rPr>
              <w:t>80.5%</w:t>
            </w:r>
          </w:p>
        </w:tc>
      </w:tr>
      <w:tr w:rsidR="00A0797B" w:rsidRPr="00086C87" w14:paraId="586C4337" w14:textId="77777777" w:rsidTr="005A3718">
        <w:trPr>
          <w:trHeight w:val="210"/>
          <w:tblHeader/>
        </w:trPr>
        <w:tc>
          <w:tcPr>
            <w:tcW w:w="1900" w:type="pct"/>
            <w:tcBorders>
              <w:top w:val="single" w:sz="12" w:space="0" w:color="auto"/>
              <w:bottom w:val="single" w:sz="12" w:space="0" w:color="auto"/>
            </w:tcBorders>
            <w:shd w:val="clear" w:color="auto" w:fill="F5F5F1"/>
            <w:vAlign w:val="center"/>
          </w:tcPr>
          <w:p w14:paraId="7963AD69" w14:textId="77777777" w:rsidR="00B663D2" w:rsidRPr="00086C87" w:rsidRDefault="00B663D2" w:rsidP="005A3718">
            <w:pPr>
              <w:rPr>
                <w:rFonts w:cstheme="minorHAnsi"/>
                <w:b/>
                <w:bCs/>
                <w:i/>
                <w:iCs/>
                <w:color w:val="000000"/>
              </w:rPr>
            </w:pPr>
            <w:r w:rsidRPr="00086C87">
              <w:rPr>
                <w:rFonts w:cstheme="minorHAnsi"/>
                <w:b/>
                <w:bCs/>
                <w:i/>
                <w:iCs/>
                <w:color w:val="000000"/>
              </w:rPr>
              <w:t>Supplemental Security Income</w:t>
            </w:r>
          </w:p>
        </w:tc>
        <w:tc>
          <w:tcPr>
            <w:tcW w:w="1050" w:type="pct"/>
            <w:tcBorders>
              <w:top w:val="single" w:sz="12" w:space="0" w:color="auto"/>
              <w:bottom w:val="single" w:sz="12" w:space="0" w:color="auto"/>
            </w:tcBorders>
            <w:shd w:val="clear" w:color="auto" w:fill="F5F5F1"/>
            <w:noWrap/>
            <w:vAlign w:val="center"/>
            <w:hideMark/>
          </w:tcPr>
          <w:p w14:paraId="0000A024" w14:textId="77777777" w:rsidR="00B663D2" w:rsidRPr="00086C87" w:rsidRDefault="00B663D2" w:rsidP="005A3718">
            <w:pPr>
              <w:rPr>
                <w:rFonts w:cstheme="minorHAnsi"/>
                <w:color w:val="000000"/>
              </w:rPr>
            </w:pPr>
          </w:p>
        </w:tc>
        <w:tc>
          <w:tcPr>
            <w:tcW w:w="1000" w:type="pct"/>
            <w:tcBorders>
              <w:top w:val="single" w:sz="12" w:space="0" w:color="auto"/>
              <w:bottom w:val="single" w:sz="12" w:space="0" w:color="auto"/>
            </w:tcBorders>
            <w:shd w:val="clear" w:color="auto" w:fill="F5F5F1"/>
            <w:noWrap/>
            <w:vAlign w:val="center"/>
            <w:hideMark/>
          </w:tcPr>
          <w:p w14:paraId="330C3675" w14:textId="77777777" w:rsidR="00B663D2" w:rsidRPr="00086C87" w:rsidRDefault="00B663D2" w:rsidP="005A3718">
            <w:pPr>
              <w:rPr>
                <w:rFonts w:cstheme="minorHAnsi"/>
              </w:rPr>
            </w:pPr>
          </w:p>
        </w:tc>
        <w:tc>
          <w:tcPr>
            <w:tcW w:w="1050" w:type="pct"/>
            <w:tcBorders>
              <w:top w:val="single" w:sz="12" w:space="0" w:color="auto"/>
              <w:bottom w:val="single" w:sz="12" w:space="0" w:color="auto"/>
            </w:tcBorders>
            <w:shd w:val="clear" w:color="auto" w:fill="F5F5F1"/>
            <w:noWrap/>
            <w:vAlign w:val="center"/>
            <w:hideMark/>
          </w:tcPr>
          <w:p w14:paraId="7691F4E1" w14:textId="77777777" w:rsidR="00B663D2" w:rsidRPr="00086C87" w:rsidRDefault="00B663D2" w:rsidP="005A3718">
            <w:pPr>
              <w:rPr>
                <w:rFonts w:cstheme="minorHAnsi"/>
              </w:rPr>
            </w:pPr>
          </w:p>
        </w:tc>
      </w:tr>
      <w:tr w:rsidR="00A0797B" w:rsidRPr="00086C87" w14:paraId="2ECEA75D" w14:textId="77777777" w:rsidTr="005A3718">
        <w:trPr>
          <w:trHeight w:val="285"/>
          <w:tblHeader/>
        </w:trPr>
        <w:tc>
          <w:tcPr>
            <w:tcW w:w="1900" w:type="pct"/>
            <w:tcBorders>
              <w:top w:val="single" w:sz="12" w:space="0" w:color="auto"/>
            </w:tcBorders>
            <w:shd w:val="clear" w:color="auto" w:fill="F5F5F1"/>
            <w:vAlign w:val="center"/>
            <w:hideMark/>
          </w:tcPr>
          <w:p w14:paraId="4C5B68FA" w14:textId="77777777" w:rsidR="00B663D2" w:rsidRPr="00086C87" w:rsidRDefault="00B663D2" w:rsidP="005A3718">
            <w:pPr>
              <w:rPr>
                <w:rFonts w:cstheme="minorHAnsi"/>
                <w:color w:val="000000"/>
              </w:rPr>
            </w:pPr>
            <w:r w:rsidRPr="00086C87">
              <w:rPr>
                <w:rFonts w:cstheme="minorHAnsi"/>
                <w:color w:val="000000"/>
              </w:rPr>
              <w:t>Under 18</w:t>
            </w:r>
          </w:p>
        </w:tc>
        <w:tc>
          <w:tcPr>
            <w:tcW w:w="1050" w:type="pct"/>
            <w:tcBorders>
              <w:top w:val="single" w:sz="12" w:space="0" w:color="auto"/>
            </w:tcBorders>
            <w:shd w:val="clear" w:color="auto" w:fill="F5F5F1"/>
            <w:noWrap/>
            <w:vAlign w:val="center"/>
            <w:hideMark/>
          </w:tcPr>
          <w:p w14:paraId="69D70A0C" w14:textId="77777777" w:rsidR="00B663D2" w:rsidRPr="00086C87" w:rsidRDefault="00B663D2" w:rsidP="005A3718">
            <w:pPr>
              <w:rPr>
                <w:rFonts w:cstheme="minorHAnsi"/>
                <w:color w:val="000000"/>
              </w:rPr>
            </w:pPr>
            <w:r w:rsidRPr="00086C87">
              <w:rPr>
                <w:rFonts w:cstheme="minorHAnsi"/>
                <w:color w:val="000000"/>
              </w:rPr>
              <w:t>1,148,038</w:t>
            </w:r>
          </w:p>
        </w:tc>
        <w:tc>
          <w:tcPr>
            <w:tcW w:w="1000" w:type="pct"/>
            <w:tcBorders>
              <w:top w:val="single" w:sz="12" w:space="0" w:color="auto"/>
            </w:tcBorders>
            <w:shd w:val="clear" w:color="auto" w:fill="F5F5F1"/>
            <w:noWrap/>
            <w:vAlign w:val="center"/>
            <w:hideMark/>
          </w:tcPr>
          <w:p w14:paraId="79A95648" w14:textId="77777777" w:rsidR="00B663D2" w:rsidRPr="00086C87" w:rsidRDefault="00B663D2" w:rsidP="005A3718">
            <w:pPr>
              <w:rPr>
                <w:rFonts w:cstheme="minorHAnsi"/>
                <w:color w:val="000000"/>
              </w:rPr>
            </w:pPr>
            <w:r w:rsidRPr="00086C87">
              <w:rPr>
                <w:rFonts w:cstheme="minorHAnsi"/>
                <w:color w:val="000000"/>
              </w:rPr>
              <w:t>1,147,195</w:t>
            </w:r>
          </w:p>
        </w:tc>
        <w:tc>
          <w:tcPr>
            <w:tcW w:w="1050" w:type="pct"/>
            <w:tcBorders>
              <w:top w:val="single" w:sz="12" w:space="0" w:color="auto"/>
            </w:tcBorders>
            <w:shd w:val="clear" w:color="auto" w:fill="F5F5F1"/>
            <w:noWrap/>
            <w:vAlign w:val="center"/>
            <w:hideMark/>
          </w:tcPr>
          <w:p w14:paraId="706005E2" w14:textId="77777777" w:rsidR="00B663D2" w:rsidRPr="00086C87" w:rsidRDefault="00B663D2" w:rsidP="005A3718">
            <w:pPr>
              <w:rPr>
                <w:rFonts w:cstheme="minorHAnsi"/>
                <w:color w:val="000000"/>
              </w:rPr>
            </w:pPr>
            <w:r w:rsidRPr="00086C87">
              <w:rPr>
                <w:rFonts w:cstheme="minorHAnsi"/>
                <w:color w:val="000000"/>
              </w:rPr>
              <w:t>99.9%</w:t>
            </w:r>
          </w:p>
        </w:tc>
      </w:tr>
      <w:tr w:rsidR="00A0797B" w:rsidRPr="00086C87" w14:paraId="7CBEAB80" w14:textId="77777777" w:rsidTr="005A3718">
        <w:trPr>
          <w:trHeight w:val="210"/>
          <w:tblHeader/>
        </w:trPr>
        <w:tc>
          <w:tcPr>
            <w:tcW w:w="1900" w:type="pct"/>
            <w:tcBorders>
              <w:bottom w:val="single" w:sz="12" w:space="0" w:color="auto"/>
            </w:tcBorders>
            <w:shd w:val="clear" w:color="auto" w:fill="F5F5F1"/>
            <w:vAlign w:val="center"/>
            <w:hideMark/>
          </w:tcPr>
          <w:p w14:paraId="48F762CB" w14:textId="77777777" w:rsidR="00B663D2" w:rsidRPr="00086C87" w:rsidRDefault="00B663D2" w:rsidP="005A3718">
            <w:pPr>
              <w:rPr>
                <w:rFonts w:cstheme="minorHAnsi"/>
                <w:color w:val="000000"/>
              </w:rPr>
            </w:pPr>
            <w:r w:rsidRPr="00086C87">
              <w:rPr>
                <w:rFonts w:cstheme="minorHAnsi"/>
                <w:color w:val="000000"/>
              </w:rPr>
              <w:t>18–64</w:t>
            </w:r>
          </w:p>
        </w:tc>
        <w:tc>
          <w:tcPr>
            <w:tcW w:w="1050" w:type="pct"/>
            <w:tcBorders>
              <w:bottom w:val="single" w:sz="12" w:space="0" w:color="auto"/>
            </w:tcBorders>
            <w:shd w:val="clear" w:color="auto" w:fill="F5F5F1"/>
            <w:noWrap/>
            <w:vAlign w:val="center"/>
            <w:hideMark/>
          </w:tcPr>
          <w:p w14:paraId="5595CE93" w14:textId="77777777" w:rsidR="00B663D2" w:rsidRPr="00086C87" w:rsidRDefault="00B663D2" w:rsidP="005A3718">
            <w:pPr>
              <w:rPr>
                <w:rFonts w:cstheme="minorHAnsi"/>
                <w:color w:val="000000"/>
              </w:rPr>
            </w:pPr>
            <w:r w:rsidRPr="00086C87">
              <w:rPr>
                <w:rFonts w:cstheme="minorHAnsi"/>
                <w:color w:val="000000"/>
              </w:rPr>
              <w:t>4,714,234</w:t>
            </w:r>
          </w:p>
        </w:tc>
        <w:tc>
          <w:tcPr>
            <w:tcW w:w="1000" w:type="pct"/>
            <w:tcBorders>
              <w:bottom w:val="single" w:sz="12" w:space="0" w:color="auto"/>
            </w:tcBorders>
            <w:shd w:val="clear" w:color="auto" w:fill="F5F5F1"/>
            <w:noWrap/>
            <w:vAlign w:val="center"/>
            <w:hideMark/>
          </w:tcPr>
          <w:p w14:paraId="6F22CC85" w14:textId="77777777" w:rsidR="00B663D2" w:rsidRPr="00086C87" w:rsidRDefault="00B663D2" w:rsidP="005A3718">
            <w:pPr>
              <w:rPr>
                <w:rFonts w:cstheme="minorHAnsi"/>
                <w:color w:val="000000"/>
              </w:rPr>
            </w:pPr>
            <w:r w:rsidRPr="00086C87">
              <w:rPr>
                <w:rFonts w:cstheme="minorHAnsi"/>
                <w:color w:val="000000"/>
              </w:rPr>
              <w:t>1,609,306</w:t>
            </w:r>
          </w:p>
        </w:tc>
        <w:tc>
          <w:tcPr>
            <w:tcW w:w="1050" w:type="pct"/>
            <w:tcBorders>
              <w:bottom w:val="single" w:sz="12" w:space="0" w:color="auto"/>
            </w:tcBorders>
            <w:shd w:val="clear" w:color="auto" w:fill="F5F5F1"/>
            <w:noWrap/>
            <w:vAlign w:val="center"/>
            <w:hideMark/>
          </w:tcPr>
          <w:p w14:paraId="250CF278" w14:textId="77777777" w:rsidR="00B663D2" w:rsidRPr="00086C87" w:rsidRDefault="00B663D2" w:rsidP="005A3718">
            <w:pPr>
              <w:rPr>
                <w:rFonts w:cstheme="minorHAnsi"/>
                <w:color w:val="000000"/>
              </w:rPr>
            </w:pPr>
            <w:r w:rsidRPr="00086C87">
              <w:rPr>
                <w:rFonts w:cstheme="minorHAnsi"/>
                <w:color w:val="000000"/>
              </w:rPr>
              <w:t>34.1%</w:t>
            </w:r>
          </w:p>
        </w:tc>
      </w:tr>
      <w:tr w:rsidR="00B663D2" w:rsidRPr="00086C87" w14:paraId="5AA75AD5" w14:textId="77777777" w:rsidTr="00B663D2">
        <w:trPr>
          <w:trHeight w:val="210"/>
          <w:tblHeader/>
        </w:trPr>
        <w:tc>
          <w:tcPr>
            <w:tcW w:w="5000" w:type="pct"/>
            <w:gridSpan w:val="4"/>
            <w:tcBorders>
              <w:top w:val="single" w:sz="12" w:space="0" w:color="auto"/>
            </w:tcBorders>
          </w:tcPr>
          <w:p w14:paraId="39C63966" w14:textId="77F09EA8" w:rsidR="00B663D2" w:rsidRPr="00086C87" w:rsidRDefault="00B663D2" w:rsidP="004B61CC">
            <w:pPr>
              <w:spacing w:after="0"/>
              <w:rPr>
                <w:rFonts w:cstheme="minorHAnsi"/>
                <w:color w:val="000000"/>
                <w:sz w:val="18"/>
                <w:szCs w:val="18"/>
              </w:rPr>
            </w:pPr>
            <w:r w:rsidRPr="00086C87">
              <w:rPr>
                <w:rFonts w:cstheme="minorHAnsi"/>
                <w:i/>
                <w:iCs/>
                <w:color w:val="000000"/>
                <w:sz w:val="18"/>
                <w:szCs w:val="18"/>
              </w:rPr>
              <w:t>Source:</w:t>
            </w:r>
            <w:r w:rsidRPr="00086C87">
              <w:rPr>
                <w:rFonts w:cstheme="minorHAnsi"/>
                <w:color w:val="000000"/>
                <w:sz w:val="18"/>
                <w:szCs w:val="18"/>
              </w:rPr>
              <w:t xml:space="preserve"> Social Security Administration, </w:t>
            </w:r>
            <w:r w:rsidRPr="00086C87">
              <w:rPr>
                <w:rFonts w:cstheme="minorHAnsi"/>
                <w:i/>
                <w:iCs/>
                <w:color w:val="000000"/>
                <w:sz w:val="18"/>
                <w:szCs w:val="18"/>
              </w:rPr>
              <w:t>Annual Statistical Supplement</w:t>
            </w:r>
            <w:r w:rsidRPr="00086C87">
              <w:rPr>
                <w:rFonts w:cstheme="minorHAnsi"/>
                <w:color w:val="000000"/>
                <w:sz w:val="18"/>
                <w:szCs w:val="18"/>
              </w:rPr>
              <w:t>, 2019 (2019).</w:t>
            </w:r>
          </w:p>
          <w:p w14:paraId="0494C71D" w14:textId="17C89261" w:rsidR="00B663D2" w:rsidRPr="00086C87" w:rsidRDefault="00B663D2" w:rsidP="004B61CC">
            <w:pPr>
              <w:spacing w:before="0"/>
              <w:rPr>
                <w:rFonts w:asciiTheme="minorHAnsi" w:hAnsiTheme="minorHAnsi" w:cstheme="minorHAnsi"/>
                <w:color w:val="000000"/>
                <w:sz w:val="18"/>
                <w:szCs w:val="18"/>
              </w:rPr>
            </w:pPr>
            <w:r w:rsidRPr="00086C87">
              <w:rPr>
                <w:rFonts w:cstheme="minorHAnsi"/>
                <w:i/>
                <w:iCs/>
                <w:color w:val="000000"/>
                <w:sz w:val="18"/>
                <w:szCs w:val="18"/>
              </w:rPr>
              <w:t xml:space="preserve">Notes: </w:t>
            </w:r>
            <w:r w:rsidRPr="00086C87">
              <w:rPr>
                <w:rFonts w:cstheme="minorHAnsi"/>
                <w:color w:val="000000"/>
                <w:sz w:val="18"/>
                <w:szCs w:val="18"/>
              </w:rPr>
              <w:t>Table terminology as presented in the source material.</w:t>
            </w:r>
          </w:p>
        </w:tc>
      </w:tr>
    </w:tbl>
    <w:p w14:paraId="6154792A" w14:textId="77777777" w:rsidR="00B663D2" w:rsidRPr="00086C87" w:rsidRDefault="00B663D2" w:rsidP="005274CF">
      <w:pPr>
        <w:pStyle w:val="Heading2"/>
        <w:rPr>
          <w:rFonts w:eastAsiaTheme="majorEastAsia"/>
        </w:rPr>
      </w:pPr>
      <w:r w:rsidRPr="00086C87">
        <w:rPr>
          <w:rFonts w:eastAsiaTheme="majorEastAsia"/>
        </w:rPr>
        <w:lastRenderedPageBreak/>
        <w:t>12.20 Number of persons with disabilities whose full legal capacity has been restored, disaggregated by sex, age and disability.</w:t>
      </w:r>
    </w:p>
    <w:p w14:paraId="5B194100" w14:textId="3D755867" w:rsidR="00B663D2" w:rsidRPr="00086C87" w:rsidRDefault="00B663D2" w:rsidP="00CD4DF1">
      <w:pPr>
        <w:pStyle w:val="Heading4"/>
        <w:rPr>
          <w:rFonts w:eastAsiaTheme="majorEastAsia"/>
        </w:rPr>
      </w:pPr>
      <w:r w:rsidRPr="00086C87">
        <w:rPr>
          <w:rFonts w:eastAsiaTheme="majorEastAsia"/>
        </w:rPr>
        <w:t>Level 1</w:t>
      </w:r>
      <w:r w:rsidR="00CD4DF1" w:rsidRPr="00086C87">
        <w:rPr>
          <w:rFonts w:eastAsiaTheme="majorEastAsia"/>
        </w:rPr>
        <w:t>:</w:t>
      </w:r>
      <w:r w:rsidRPr="00086C87">
        <w:rPr>
          <w:rFonts w:eastAsiaTheme="majorEastAsia"/>
        </w:rPr>
        <w:t xml:space="preserve"> Indicator for which data are already being produced and reported on in at least some countries.</w:t>
      </w:r>
    </w:p>
    <w:p w14:paraId="0197167B" w14:textId="34EEF62A" w:rsidR="00B663D2" w:rsidRPr="00086C87" w:rsidRDefault="00B663D2" w:rsidP="00CD4DF1">
      <w:r w:rsidRPr="00086C87">
        <w:rPr>
          <w:rFonts w:eastAsiaTheme="majorEastAsia"/>
        </w:rPr>
        <w:t>For countries collecting civil registry and/or judiciary records, as noted above for indicator 12.19, charting these numbers over time would give an indicator of how often legal capacity has been restored.</w:t>
      </w:r>
    </w:p>
    <w:p w14:paraId="12DBC787" w14:textId="661BF746" w:rsidR="00B663D2" w:rsidRPr="00086C87" w:rsidRDefault="00B663D2" w:rsidP="00B663D2">
      <w:pPr>
        <w:rPr>
          <w:rStyle w:val="Hyperlink"/>
          <w:rFonts w:eastAsiaTheme="majorEastAsia"/>
          <w:color w:val="auto"/>
          <w:u w:val="none"/>
        </w:rPr>
      </w:pPr>
      <w:r w:rsidRPr="00086C87">
        <w:t xml:space="preserve">In the United States of America, a non-governmental organization collects individual court cases where full legal capacity has been restored, by state, as can be consulted in </w:t>
      </w:r>
      <w:hyperlink r:id="rId22" w:tooltip="http://www.supporteddecisionmaking.org/" w:history="1">
        <w:r w:rsidR="00DF5B68" w:rsidRPr="00086C87">
          <w:rPr>
            <w:rStyle w:val="Hyperlink"/>
            <w:rFonts w:eastAsiaTheme="majorEastAsia" w:cstheme="minorHAnsi"/>
          </w:rPr>
          <w:t>www.supporteddecisionmaking.org</w:t>
        </w:r>
      </w:hyperlink>
      <w:r w:rsidRPr="00086C87">
        <w:rPr>
          <w:rStyle w:val="Hyperlink"/>
          <w:rFonts w:eastAsiaTheme="majorEastAsia" w:cstheme="minorHAnsi"/>
        </w:rPr>
        <w:t>.</w:t>
      </w:r>
      <w:r w:rsidR="00CD4DF1" w:rsidRPr="00086C87">
        <w:rPr>
          <w:rFonts w:eastAsiaTheme="majorEastAsia"/>
        </w:rPr>
        <w:t xml:space="preserve"> </w:t>
      </w:r>
      <w:r w:rsidRPr="00086C87">
        <w:rPr>
          <w:rFonts w:eastAsiaTheme="majorEastAsia"/>
        </w:rPr>
        <w:t>To systematize the collection of such data, an ongoing reporting system would need to be established within the Ministry of Justice. This information could be asked for within a national disability survey.</w:t>
      </w:r>
    </w:p>
    <w:p w14:paraId="14824908" w14:textId="77777777" w:rsidR="00B663D2" w:rsidRPr="00086C87" w:rsidRDefault="00B663D2" w:rsidP="005274CF">
      <w:pPr>
        <w:pStyle w:val="Heading2"/>
        <w:rPr>
          <w:rFonts w:eastAsiaTheme="majorEastAsia"/>
        </w:rPr>
      </w:pPr>
      <w:r w:rsidRPr="00086C87">
        <w:rPr>
          <w:rFonts w:eastAsiaTheme="majorEastAsia"/>
        </w:rPr>
        <w:t>12.21 Number of persons who formally requested support for decision-making and the proportion who received it, disaggregated by sex, age, disability, and type/duration of support received.</w:t>
      </w:r>
    </w:p>
    <w:p w14:paraId="42B586AB" w14:textId="77777777" w:rsidR="00B663D2" w:rsidRPr="00086C87" w:rsidRDefault="00B663D2" w:rsidP="005274CF">
      <w:pPr>
        <w:pStyle w:val="Heading4"/>
        <w:rPr>
          <w:rFonts w:eastAsiaTheme="majorEastAsia"/>
        </w:rPr>
      </w:pPr>
      <w:r w:rsidRPr="00086C87">
        <w:rPr>
          <w:rFonts w:eastAsiaTheme="majorEastAsia"/>
        </w:rPr>
        <w:t>Level 2: Indicator can be produced with existing data but has not been reported on</w:t>
      </w:r>
    </w:p>
    <w:p w14:paraId="0AF7ECAA" w14:textId="18EAAF89" w:rsidR="00B663D2" w:rsidRPr="00086C87" w:rsidRDefault="00B663D2" w:rsidP="00CD4DF1">
      <w:pPr>
        <w:rPr>
          <w:rFonts w:cstheme="minorHAnsi"/>
        </w:rPr>
      </w:pPr>
      <w:r w:rsidRPr="00086C87">
        <w:rPr>
          <w:rFonts w:eastAsiaTheme="majorEastAsia"/>
        </w:rPr>
        <w:t>The number of people receiving support can be available for countries collecting civil registry and/or judiciary records, as noted above for indicator 12.19. For example, in Peru,</w:t>
      </w:r>
      <w:r w:rsidR="00CD4DF1" w:rsidRPr="00086C87">
        <w:rPr>
          <w:rStyle w:val="Hyperlink"/>
          <w:rFonts w:eastAsiaTheme="majorEastAsia" w:cstheme="minorHAnsi"/>
        </w:rPr>
        <w:t xml:space="preserve"> </w:t>
      </w:r>
      <w:r w:rsidRPr="00086C87">
        <w:rPr>
          <w:rFonts w:cstheme="minorHAnsi"/>
        </w:rPr>
        <w:t>the number of registered guardianships fell from 818 new cases in 2017 to 223 new cases in 2019. At the same time, up until January 2020, 608 new support measures were registered. This information is available in the Peruvian National Superintendency of Public Registries (</w:t>
      </w:r>
      <w:proofErr w:type="spellStart"/>
      <w:r w:rsidRPr="00086C87">
        <w:rPr>
          <w:rFonts w:cstheme="minorHAnsi"/>
        </w:rPr>
        <w:t>Superintendencia</w:t>
      </w:r>
      <w:proofErr w:type="spellEnd"/>
      <w:r w:rsidRPr="00086C87">
        <w:rPr>
          <w:rFonts w:cstheme="minorHAnsi"/>
        </w:rPr>
        <w:t xml:space="preserve"> Nacional de los </w:t>
      </w:r>
      <w:proofErr w:type="spellStart"/>
      <w:r w:rsidRPr="00086C87">
        <w:rPr>
          <w:rFonts w:cstheme="minorHAnsi"/>
        </w:rPr>
        <w:t>Registros</w:t>
      </w:r>
      <w:proofErr w:type="spellEnd"/>
      <w:r w:rsidRPr="00086C87">
        <w:rPr>
          <w:rFonts w:cstheme="minorHAnsi"/>
        </w:rPr>
        <w:t xml:space="preserve"> </w:t>
      </w:r>
      <w:proofErr w:type="spellStart"/>
      <w:r w:rsidRPr="00086C87">
        <w:rPr>
          <w:rFonts w:cstheme="minorHAnsi"/>
        </w:rPr>
        <w:t>Publicos</w:t>
      </w:r>
      <w:proofErr w:type="spellEnd"/>
      <w:r w:rsidRPr="00086C87">
        <w:rPr>
          <w:rFonts w:cstheme="minorHAnsi"/>
        </w:rPr>
        <w:t>—SUNARP).</w:t>
      </w:r>
    </w:p>
    <w:p w14:paraId="5F271634" w14:textId="77777777" w:rsidR="00B663D2" w:rsidRPr="00086C87" w:rsidRDefault="00B663D2" w:rsidP="00CD4DF1">
      <w:pPr>
        <w:rPr>
          <w:rFonts w:cstheme="minorHAnsi"/>
        </w:rPr>
      </w:pPr>
      <w:r w:rsidRPr="00086C87">
        <w:rPr>
          <w:rFonts w:cstheme="minorHAnsi"/>
        </w:rPr>
        <w:t>Not all countries have such registries, and some permit private arrangements (notaries, administrative) while others only permit judicial decisions. For example, in Colombia, the system is administered through public notaries, conciliation centres and the judiciary. Such information, however, can only be accessed if there is a centralized database.</w:t>
      </w:r>
    </w:p>
    <w:p w14:paraId="01D3F939" w14:textId="77777777" w:rsidR="00B663D2" w:rsidRPr="00086C87" w:rsidRDefault="00B663D2" w:rsidP="00CD4DF1">
      <w:pPr>
        <w:rPr>
          <w:rFonts w:cstheme="minorHAnsi"/>
        </w:rPr>
      </w:pPr>
      <w:r w:rsidRPr="00086C87">
        <w:rPr>
          <w:rFonts w:cstheme="minorHAnsi"/>
        </w:rPr>
        <w:t>Less available is the number of people requesting support, although that could be added to the registries.</w:t>
      </w:r>
    </w:p>
    <w:p w14:paraId="4F2319A9" w14:textId="77777777" w:rsidR="00B663D2" w:rsidRPr="00086C87" w:rsidRDefault="00B663D2" w:rsidP="00CD4DF1">
      <w:pPr>
        <w:rPr>
          <w:rFonts w:cstheme="minorHAnsi"/>
        </w:rPr>
      </w:pPr>
      <w:r w:rsidRPr="00086C87">
        <w:rPr>
          <w:rFonts w:cstheme="minorHAnsi"/>
        </w:rPr>
        <w:t>This information could be asked for within a national disability survey, although the frequency of such requests may only show up in very large samples.</w:t>
      </w:r>
    </w:p>
    <w:p w14:paraId="109C4A41" w14:textId="77777777" w:rsidR="00B663D2" w:rsidRPr="00086C87" w:rsidRDefault="00B663D2" w:rsidP="005274CF">
      <w:pPr>
        <w:pStyle w:val="Heading2"/>
        <w:rPr>
          <w:rFonts w:eastAsiaTheme="majorEastAsia"/>
        </w:rPr>
      </w:pPr>
      <w:r w:rsidRPr="00086C87">
        <w:rPr>
          <w:rFonts w:eastAsiaTheme="majorEastAsia"/>
        </w:rPr>
        <w:lastRenderedPageBreak/>
        <w:t>12.22 Number and proportion of persons with disabilities reporting that their requirements for supported decision-making have been met, disaggregated by sex, age, disability.</w:t>
      </w:r>
    </w:p>
    <w:p w14:paraId="6B9D1C48" w14:textId="77777777" w:rsidR="00B663D2" w:rsidRPr="00086C87" w:rsidRDefault="00B663D2" w:rsidP="005274CF">
      <w:pPr>
        <w:pStyle w:val="Heading4"/>
        <w:rPr>
          <w:rFonts w:eastAsiaTheme="majorEastAsia"/>
        </w:rPr>
      </w:pPr>
      <w:r w:rsidRPr="00086C87">
        <w:rPr>
          <w:rFonts w:eastAsiaTheme="majorEastAsia"/>
        </w:rPr>
        <w:t>Level 3: Indicator for which acquiring data is more complex or requires the development of data collection mechanisms which are currently not in place.</w:t>
      </w:r>
    </w:p>
    <w:p w14:paraId="59468A3D" w14:textId="77777777" w:rsidR="00B663D2" w:rsidRPr="00086C87" w:rsidRDefault="00B663D2" w:rsidP="00691E82">
      <w:pPr>
        <w:rPr>
          <w:rFonts w:cstheme="minorHAnsi"/>
        </w:rPr>
      </w:pPr>
      <w:r w:rsidRPr="00086C87">
        <w:rPr>
          <w:rFonts w:cstheme="minorHAnsi"/>
        </w:rPr>
        <w:t>This indicator could be collected with a satisfaction survey administered by the supported decision-making registry, where such an entity exists. This will not capture people who wanted supported decision-making but could not access the registry.</w:t>
      </w:r>
    </w:p>
    <w:p w14:paraId="279C1ED5" w14:textId="2F9C7606" w:rsidR="00355C6D" w:rsidRPr="00086C87" w:rsidRDefault="00B663D2" w:rsidP="00691E82">
      <w:pPr>
        <w:pStyle w:val="CommentText"/>
      </w:pPr>
      <w:r w:rsidRPr="00086C87">
        <w:rPr>
          <w:rFonts w:cstheme="minorHAnsi"/>
          <w:sz w:val="22"/>
          <w:szCs w:val="22"/>
        </w:rPr>
        <w:t xml:space="preserve">In Colombia, judicial requests of support are assessed and registered in the intervening court, but this is mandatory only in court-presented cases (not for public notaries or conciliation centres). An explanation of the process is available </w:t>
      </w:r>
      <w:hyperlink r:id="rId23" w:history="1">
        <w:r w:rsidR="00DF5B68" w:rsidRPr="00086C87">
          <w:rPr>
            <w:rStyle w:val="Hyperlink"/>
            <w:rFonts w:cstheme="minorHAnsi"/>
            <w:sz w:val="22"/>
            <w:szCs w:val="22"/>
          </w:rPr>
          <w:t>dapre.presidencia.gov.co - PDF</w:t>
        </w:r>
      </w:hyperlink>
      <w:r w:rsidR="005A3718" w:rsidRPr="00086C87">
        <w:rPr>
          <w:rFonts w:cstheme="minorHAnsi"/>
          <w:sz w:val="22"/>
          <w:szCs w:val="22"/>
        </w:rPr>
        <w:t xml:space="preserve">. </w:t>
      </w:r>
    </w:p>
    <w:sectPr w:rsidR="00355C6D" w:rsidRPr="00086C87" w:rsidSect="00C92D74">
      <w:footerReference w:type="even" r:id="rId24"/>
      <w:footerReference w:type="default" r:id="rId25"/>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6287" w14:textId="77777777" w:rsidR="00D03824" w:rsidRPr="00086C87" w:rsidRDefault="00D03824" w:rsidP="00461540">
      <w:r w:rsidRPr="00086C87">
        <w:separator/>
      </w:r>
    </w:p>
  </w:endnote>
  <w:endnote w:type="continuationSeparator" w:id="0">
    <w:p w14:paraId="6A5A4B47" w14:textId="77777777" w:rsidR="00D03824" w:rsidRPr="00086C87" w:rsidRDefault="00D03824" w:rsidP="00461540">
      <w:r w:rsidRPr="00086C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086C87" w:rsidRDefault="00C22620" w:rsidP="005935AC">
        <w:pPr>
          <w:pStyle w:val="Footer"/>
          <w:framePr w:wrap="none" w:vAnchor="text" w:hAnchor="margin" w:xAlign="right" w:y="1"/>
          <w:rPr>
            <w:rStyle w:val="PageNumber"/>
          </w:rPr>
        </w:pPr>
        <w:r w:rsidRPr="00086C87">
          <w:rPr>
            <w:rStyle w:val="PageNumber"/>
          </w:rPr>
          <w:fldChar w:fldCharType="begin"/>
        </w:r>
        <w:r w:rsidRPr="00086C87">
          <w:rPr>
            <w:rStyle w:val="PageNumber"/>
          </w:rPr>
          <w:instrText xml:space="preserve"> PAGE </w:instrText>
        </w:r>
        <w:r w:rsidRPr="00086C87">
          <w:rPr>
            <w:rStyle w:val="PageNumber"/>
          </w:rPr>
          <w:fldChar w:fldCharType="end"/>
        </w:r>
      </w:p>
    </w:sdtContent>
  </w:sdt>
  <w:p w14:paraId="143BCC80" w14:textId="77777777" w:rsidR="00C22620" w:rsidRPr="00086C87"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5B6B7C70" w:rsidR="00C22620" w:rsidRPr="00086C87" w:rsidRDefault="00C22620" w:rsidP="00867838">
        <w:pPr>
          <w:pStyle w:val="Footer"/>
          <w:framePr w:wrap="none" w:vAnchor="text" w:hAnchor="margin" w:xAlign="right" w:y="1"/>
          <w:spacing w:before="0" w:after="0" w:line="240" w:lineRule="auto"/>
          <w:rPr>
            <w:rStyle w:val="PageNumber"/>
            <w:b/>
          </w:rPr>
        </w:pPr>
        <w:r w:rsidRPr="00086C87">
          <w:rPr>
            <w:rStyle w:val="PageNumber"/>
            <w:rFonts w:cstheme="minorHAnsi"/>
            <w:b/>
          </w:rPr>
          <w:fldChar w:fldCharType="begin"/>
        </w:r>
        <w:r w:rsidRPr="00086C87">
          <w:rPr>
            <w:rStyle w:val="PageNumber"/>
            <w:rFonts w:cstheme="minorHAnsi"/>
            <w:b/>
          </w:rPr>
          <w:instrText xml:space="preserve"> PAGE </w:instrText>
        </w:r>
        <w:r w:rsidRPr="00086C87">
          <w:rPr>
            <w:rStyle w:val="PageNumber"/>
            <w:rFonts w:cstheme="minorHAnsi"/>
            <w:b/>
          </w:rPr>
          <w:fldChar w:fldCharType="separate"/>
        </w:r>
        <w:r w:rsidR="00344CA7" w:rsidRPr="00086C87">
          <w:rPr>
            <w:rStyle w:val="PageNumber"/>
            <w:rFonts w:cstheme="minorHAnsi"/>
            <w:b/>
            <w:noProof/>
          </w:rPr>
          <w:t>6</w:t>
        </w:r>
        <w:r w:rsidRPr="00086C87">
          <w:rPr>
            <w:rStyle w:val="PageNumber"/>
            <w:rFonts w:cstheme="minorHAnsi"/>
            <w:b/>
          </w:rPr>
          <w:fldChar w:fldCharType="end"/>
        </w:r>
      </w:p>
    </w:sdtContent>
  </w:sdt>
  <w:p w14:paraId="6BE60550" w14:textId="4DF5C34B" w:rsidR="000F7ABB" w:rsidRPr="00086C87" w:rsidRDefault="000F7ABB" w:rsidP="000F7ABB">
    <w:pPr>
      <w:pStyle w:val="Footer"/>
      <w:tabs>
        <w:tab w:val="clear" w:pos="9360"/>
        <w:tab w:val="right" w:pos="8300"/>
      </w:tabs>
      <w:spacing w:before="0"/>
      <w:ind w:left="432" w:right="360"/>
      <w:rPr>
        <w:spacing w:val="-2"/>
        <w:sz w:val="18"/>
        <w:szCs w:val="18"/>
        <w:lang w:val="en-US"/>
      </w:rPr>
    </w:pPr>
    <w:r w:rsidRPr="00086C87">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7266C92B" wp14:editId="4B6879AD">
              <wp:simplePos x="0" y="0"/>
              <wp:positionH relativeFrom="column">
                <wp:posOffset>5327243</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0C203" id="Rounded Rectangle 4" o:spid="_x0000_s1026" alt="&quot;&quot;" style="position:absolute;margin-left:419.4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" fillcolor="#ffc000" stroked="f" strokeweight="1pt">
              <v:stroke joinstyle="miter"/>
              <w10:wrap type="through"/>
            </v:roundrect>
          </w:pict>
        </mc:Fallback>
      </mc:AlternateContent>
    </w:r>
    <w:r w:rsidRPr="00086C87">
      <w:rPr>
        <w:rFonts w:asciiTheme="minorHAnsi" w:hAnsiTheme="minorHAnsi"/>
        <w:noProof/>
        <w:sz w:val="18"/>
        <w:szCs w:val="18"/>
        <w:lang w:eastAsia="en-GB"/>
      </w:rPr>
      <w:drawing>
        <wp:anchor distT="0" distB="0" distL="114300" distR="114300" simplePos="0" relativeHeight="251659264" behindDoc="0" locked="0" layoutInCell="1" allowOverlap="1" wp14:anchorId="7CDF73A4" wp14:editId="23645EFA">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C87">
      <w:rPr>
        <w:rFonts w:asciiTheme="minorHAnsi" w:hAnsiTheme="minorHAnsi"/>
        <w:sz w:val="18"/>
        <w:szCs w:val="18"/>
        <w:lang w:val="en-US"/>
      </w:rPr>
      <w:t xml:space="preserve">  </w:t>
    </w:r>
    <w:r w:rsidRPr="00086C87">
      <w:rPr>
        <w:color w:val="7F7F7F" w:themeColor="text1" w:themeTint="80"/>
        <w:sz w:val="18"/>
        <w:szCs w:val="18"/>
        <w:lang w:val="en-US"/>
      </w:rPr>
      <w:t>+</w:t>
    </w:r>
    <w:r w:rsidRPr="00086C87">
      <w:rPr>
        <w:color w:val="7F7F7F" w:themeColor="text1" w:themeTint="80"/>
        <w:spacing w:val="-2"/>
        <w:sz w:val="18"/>
        <w:szCs w:val="18"/>
        <w:lang w:val="en-US"/>
      </w:rPr>
      <w:t xml:space="preserve"> Data Sources on Article 12 (outcome indicator</w:t>
    </w:r>
    <w:r w:rsidR="00CD4DF1" w:rsidRPr="00086C87">
      <w:rPr>
        <w:color w:val="7F7F7F" w:themeColor="text1" w:themeTint="80"/>
        <w:spacing w:val="-2"/>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93307" w14:textId="77777777" w:rsidR="00D03824" w:rsidRPr="00086C87" w:rsidRDefault="00D03824" w:rsidP="00461540">
      <w:r w:rsidRPr="00086C87">
        <w:separator/>
      </w:r>
    </w:p>
  </w:footnote>
  <w:footnote w:type="continuationSeparator" w:id="0">
    <w:p w14:paraId="06CE5696" w14:textId="77777777" w:rsidR="00D03824" w:rsidRPr="00086C87" w:rsidRDefault="00D03824" w:rsidP="00461540">
      <w:r w:rsidRPr="00086C8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3"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F0545"/>
    <w:multiLevelType w:val="hybridMultilevel"/>
    <w:tmpl w:val="C6D0B1DE"/>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4"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057B13"/>
    <w:multiLevelType w:val="hybridMultilevel"/>
    <w:tmpl w:val="B4F494F0"/>
    <w:lvl w:ilvl="0" w:tplc="2B6075D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31"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6"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8"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51678"/>
    <w:multiLevelType w:val="hybridMultilevel"/>
    <w:tmpl w:val="409E4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7057D"/>
    <w:multiLevelType w:val="hybridMultilevel"/>
    <w:tmpl w:val="D10E8ED0"/>
    <w:lvl w:ilvl="0" w:tplc="81B0E160">
      <w:start w:val="10"/>
      <w:numFmt w:val="bullet"/>
      <w:lvlText w:val="-"/>
      <w:lvlJc w:val="left"/>
      <w:pPr>
        <w:ind w:left="720" w:hanging="360"/>
      </w:pPr>
      <w:rPr>
        <w:rFonts w:ascii="Calibri" w:eastAsia="Times New Roman" w:hAnsi="Calibri" w:cs="Calibri"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33"/>
  </w:num>
  <w:num w:numId="4">
    <w:abstractNumId w:val="30"/>
  </w:num>
  <w:num w:numId="5">
    <w:abstractNumId w:val="20"/>
  </w:num>
  <w:num w:numId="6">
    <w:abstractNumId w:val="39"/>
  </w:num>
  <w:num w:numId="7">
    <w:abstractNumId w:val="26"/>
  </w:num>
  <w:num w:numId="8">
    <w:abstractNumId w:val="24"/>
  </w:num>
  <w:num w:numId="9">
    <w:abstractNumId w:val="31"/>
  </w:num>
  <w:num w:numId="10">
    <w:abstractNumId w:val="27"/>
  </w:num>
  <w:num w:numId="11">
    <w:abstractNumId w:val="15"/>
  </w:num>
  <w:num w:numId="12">
    <w:abstractNumId w:val="36"/>
  </w:num>
  <w:num w:numId="13">
    <w:abstractNumId w:val="23"/>
  </w:num>
  <w:num w:numId="14">
    <w:abstractNumId w:val="12"/>
  </w:num>
  <w:num w:numId="15">
    <w:abstractNumId w:val="34"/>
  </w:num>
  <w:num w:numId="16">
    <w:abstractNumId w:val="13"/>
  </w:num>
  <w:num w:numId="17">
    <w:abstractNumId w:val="10"/>
  </w:num>
  <w:num w:numId="18">
    <w:abstractNumId w:val="42"/>
  </w:num>
  <w:num w:numId="19">
    <w:abstractNumId w:val="16"/>
  </w:num>
  <w:num w:numId="20">
    <w:abstractNumId w:val="14"/>
  </w:num>
  <w:num w:numId="21">
    <w:abstractNumId w:val="29"/>
  </w:num>
  <w:num w:numId="22">
    <w:abstractNumId w:val="40"/>
  </w:num>
  <w:num w:numId="23">
    <w:abstractNumId w:val="21"/>
  </w:num>
  <w:num w:numId="24">
    <w:abstractNumId w:val="19"/>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8"/>
  </w:num>
  <w:num w:numId="36">
    <w:abstractNumId w:val="32"/>
  </w:num>
  <w:num w:numId="37">
    <w:abstractNumId w:val="28"/>
  </w:num>
  <w:num w:numId="38">
    <w:abstractNumId w:val="38"/>
  </w:num>
  <w:num w:numId="39">
    <w:abstractNumId w:val="11"/>
  </w:num>
  <w:num w:numId="40">
    <w:abstractNumId w:val="37"/>
  </w:num>
  <w:num w:numId="41">
    <w:abstractNumId w:val="43"/>
  </w:num>
  <w:num w:numId="42">
    <w:abstractNumId w:val="41"/>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0"/>
  <w:activeWritingStyle w:appName="MSWord" w:lang="es-ES" w:vendorID="64" w:dllVersion="4096"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45AE2"/>
    <w:rsid w:val="00062C31"/>
    <w:rsid w:val="000764AF"/>
    <w:rsid w:val="00085AA9"/>
    <w:rsid w:val="00086C87"/>
    <w:rsid w:val="00087BBD"/>
    <w:rsid w:val="0009093A"/>
    <w:rsid w:val="000A661C"/>
    <w:rsid w:val="000B1186"/>
    <w:rsid w:val="000B13D8"/>
    <w:rsid w:val="000B1723"/>
    <w:rsid w:val="000D47E4"/>
    <w:rsid w:val="000F5328"/>
    <w:rsid w:val="000F56DA"/>
    <w:rsid w:val="000F7ABB"/>
    <w:rsid w:val="00101E46"/>
    <w:rsid w:val="00102434"/>
    <w:rsid w:val="0010320A"/>
    <w:rsid w:val="00104C3F"/>
    <w:rsid w:val="0011247F"/>
    <w:rsid w:val="00113282"/>
    <w:rsid w:val="00113670"/>
    <w:rsid w:val="00116DE9"/>
    <w:rsid w:val="001243C1"/>
    <w:rsid w:val="00124491"/>
    <w:rsid w:val="001541E8"/>
    <w:rsid w:val="0016333C"/>
    <w:rsid w:val="00163B0E"/>
    <w:rsid w:val="00166B8E"/>
    <w:rsid w:val="00173D86"/>
    <w:rsid w:val="00176C80"/>
    <w:rsid w:val="00191780"/>
    <w:rsid w:val="00191D5C"/>
    <w:rsid w:val="00191DAC"/>
    <w:rsid w:val="001B09F2"/>
    <w:rsid w:val="001C2D74"/>
    <w:rsid w:val="001C65CC"/>
    <w:rsid w:val="001C76A8"/>
    <w:rsid w:val="001D54C9"/>
    <w:rsid w:val="001F2FB6"/>
    <w:rsid w:val="001F4B1B"/>
    <w:rsid w:val="002004D2"/>
    <w:rsid w:val="0020421C"/>
    <w:rsid w:val="00213CD1"/>
    <w:rsid w:val="002148FC"/>
    <w:rsid w:val="0021621F"/>
    <w:rsid w:val="002218F7"/>
    <w:rsid w:val="0022275D"/>
    <w:rsid w:val="00222C7E"/>
    <w:rsid w:val="0022595A"/>
    <w:rsid w:val="002268B4"/>
    <w:rsid w:val="00242D93"/>
    <w:rsid w:val="0026208F"/>
    <w:rsid w:val="0026364F"/>
    <w:rsid w:val="00270A8A"/>
    <w:rsid w:val="00270BD0"/>
    <w:rsid w:val="0027734E"/>
    <w:rsid w:val="00286968"/>
    <w:rsid w:val="002949A8"/>
    <w:rsid w:val="002C350A"/>
    <w:rsid w:val="002C4B00"/>
    <w:rsid w:val="002E12D5"/>
    <w:rsid w:val="002E25CA"/>
    <w:rsid w:val="002E3A64"/>
    <w:rsid w:val="002E4EB8"/>
    <w:rsid w:val="002E7C72"/>
    <w:rsid w:val="0031097C"/>
    <w:rsid w:val="00311B6B"/>
    <w:rsid w:val="003126C7"/>
    <w:rsid w:val="00313B63"/>
    <w:rsid w:val="003237DF"/>
    <w:rsid w:val="00323FB0"/>
    <w:rsid w:val="00330FE4"/>
    <w:rsid w:val="0033262E"/>
    <w:rsid w:val="0034007F"/>
    <w:rsid w:val="00344CA7"/>
    <w:rsid w:val="003478B1"/>
    <w:rsid w:val="00353776"/>
    <w:rsid w:val="00355C6D"/>
    <w:rsid w:val="003616BB"/>
    <w:rsid w:val="00382A3E"/>
    <w:rsid w:val="00382B12"/>
    <w:rsid w:val="00390D12"/>
    <w:rsid w:val="00396691"/>
    <w:rsid w:val="00396C8F"/>
    <w:rsid w:val="003A223E"/>
    <w:rsid w:val="003A2ADC"/>
    <w:rsid w:val="003B7A00"/>
    <w:rsid w:val="003C0BEA"/>
    <w:rsid w:val="003F1867"/>
    <w:rsid w:val="00415367"/>
    <w:rsid w:val="00432D6B"/>
    <w:rsid w:val="00435BA2"/>
    <w:rsid w:val="00435E14"/>
    <w:rsid w:val="00436405"/>
    <w:rsid w:val="00446E99"/>
    <w:rsid w:val="00450B91"/>
    <w:rsid w:val="00461540"/>
    <w:rsid w:val="0046655B"/>
    <w:rsid w:val="0046658B"/>
    <w:rsid w:val="00467602"/>
    <w:rsid w:val="00474244"/>
    <w:rsid w:val="004777C6"/>
    <w:rsid w:val="0048153F"/>
    <w:rsid w:val="00484B33"/>
    <w:rsid w:val="00487E37"/>
    <w:rsid w:val="004913CF"/>
    <w:rsid w:val="00494626"/>
    <w:rsid w:val="00494783"/>
    <w:rsid w:val="004954C4"/>
    <w:rsid w:val="004A3269"/>
    <w:rsid w:val="004B375B"/>
    <w:rsid w:val="004B61CC"/>
    <w:rsid w:val="004B6FD7"/>
    <w:rsid w:val="004C75C6"/>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25F57"/>
    <w:rsid w:val="005274CF"/>
    <w:rsid w:val="00527BE5"/>
    <w:rsid w:val="00527D96"/>
    <w:rsid w:val="00532347"/>
    <w:rsid w:val="005458FD"/>
    <w:rsid w:val="00551B15"/>
    <w:rsid w:val="00555658"/>
    <w:rsid w:val="005600A0"/>
    <w:rsid w:val="00567F31"/>
    <w:rsid w:val="00570364"/>
    <w:rsid w:val="00572828"/>
    <w:rsid w:val="00586884"/>
    <w:rsid w:val="005935AC"/>
    <w:rsid w:val="00595CBC"/>
    <w:rsid w:val="005A094A"/>
    <w:rsid w:val="005A3718"/>
    <w:rsid w:val="005B1381"/>
    <w:rsid w:val="005B5CFA"/>
    <w:rsid w:val="005C1458"/>
    <w:rsid w:val="005C72F3"/>
    <w:rsid w:val="005E0158"/>
    <w:rsid w:val="005E1A55"/>
    <w:rsid w:val="005E7B70"/>
    <w:rsid w:val="005F2806"/>
    <w:rsid w:val="005F281A"/>
    <w:rsid w:val="005F4C96"/>
    <w:rsid w:val="005F7463"/>
    <w:rsid w:val="006056A7"/>
    <w:rsid w:val="00605A03"/>
    <w:rsid w:val="0062437F"/>
    <w:rsid w:val="006278BB"/>
    <w:rsid w:val="006301F6"/>
    <w:rsid w:val="00632C09"/>
    <w:rsid w:val="00672636"/>
    <w:rsid w:val="00690066"/>
    <w:rsid w:val="00691370"/>
    <w:rsid w:val="00691D31"/>
    <w:rsid w:val="00691E82"/>
    <w:rsid w:val="00694E7B"/>
    <w:rsid w:val="006A74CF"/>
    <w:rsid w:val="006B12B9"/>
    <w:rsid w:val="006B56A8"/>
    <w:rsid w:val="006D0FAA"/>
    <w:rsid w:val="006D3CE0"/>
    <w:rsid w:val="006E20BC"/>
    <w:rsid w:val="006F0DD2"/>
    <w:rsid w:val="0070044F"/>
    <w:rsid w:val="00715858"/>
    <w:rsid w:val="00725275"/>
    <w:rsid w:val="00725B37"/>
    <w:rsid w:val="00737923"/>
    <w:rsid w:val="0074088C"/>
    <w:rsid w:val="00747288"/>
    <w:rsid w:val="007573A5"/>
    <w:rsid w:val="00762B52"/>
    <w:rsid w:val="0076508E"/>
    <w:rsid w:val="0076693D"/>
    <w:rsid w:val="00770763"/>
    <w:rsid w:val="00770A1F"/>
    <w:rsid w:val="007710EB"/>
    <w:rsid w:val="0078026A"/>
    <w:rsid w:val="0078179A"/>
    <w:rsid w:val="00784F2D"/>
    <w:rsid w:val="007A5C39"/>
    <w:rsid w:val="007A6602"/>
    <w:rsid w:val="007B79E5"/>
    <w:rsid w:val="007C2B91"/>
    <w:rsid w:val="007C2FCE"/>
    <w:rsid w:val="007C4FC3"/>
    <w:rsid w:val="007D41E0"/>
    <w:rsid w:val="007D47A0"/>
    <w:rsid w:val="007E33D6"/>
    <w:rsid w:val="007E46EB"/>
    <w:rsid w:val="007E6363"/>
    <w:rsid w:val="0080218D"/>
    <w:rsid w:val="00811055"/>
    <w:rsid w:val="008153EF"/>
    <w:rsid w:val="00816E92"/>
    <w:rsid w:val="008649E4"/>
    <w:rsid w:val="00867838"/>
    <w:rsid w:val="00867F6C"/>
    <w:rsid w:val="008A1B56"/>
    <w:rsid w:val="008A44D4"/>
    <w:rsid w:val="008B4EDF"/>
    <w:rsid w:val="008B7B78"/>
    <w:rsid w:val="008C2077"/>
    <w:rsid w:val="008D4556"/>
    <w:rsid w:val="008D5C3A"/>
    <w:rsid w:val="008D5E40"/>
    <w:rsid w:val="008F099C"/>
    <w:rsid w:val="008F441F"/>
    <w:rsid w:val="00904290"/>
    <w:rsid w:val="00904C4A"/>
    <w:rsid w:val="00906D01"/>
    <w:rsid w:val="0091019C"/>
    <w:rsid w:val="00911D78"/>
    <w:rsid w:val="00916A3E"/>
    <w:rsid w:val="00923EF7"/>
    <w:rsid w:val="0092477B"/>
    <w:rsid w:val="00933952"/>
    <w:rsid w:val="00934480"/>
    <w:rsid w:val="009347C8"/>
    <w:rsid w:val="00936EB2"/>
    <w:rsid w:val="00941EC9"/>
    <w:rsid w:val="009473C1"/>
    <w:rsid w:val="0095111A"/>
    <w:rsid w:val="00951389"/>
    <w:rsid w:val="0096264B"/>
    <w:rsid w:val="00967DC8"/>
    <w:rsid w:val="009745F6"/>
    <w:rsid w:val="00974C96"/>
    <w:rsid w:val="009842F6"/>
    <w:rsid w:val="009855D7"/>
    <w:rsid w:val="00990B7E"/>
    <w:rsid w:val="0099485B"/>
    <w:rsid w:val="009A65EB"/>
    <w:rsid w:val="009B1276"/>
    <w:rsid w:val="009B25A1"/>
    <w:rsid w:val="009C097E"/>
    <w:rsid w:val="009E3CD9"/>
    <w:rsid w:val="00A00BFC"/>
    <w:rsid w:val="00A0426C"/>
    <w:rsid w:val="00A0797B"/>
    <w:rsid w:val="00A16324"/>
    <w:rsid w:val="00A17830"/>
    <w:rsid w:val="00A222FB"/>
    <w:rsid w:val="00A2663D"/>
    <w:rsid w:val="00A31BB2"/>
    <w:rsid w:val="00A469D3"/>
    <w:rsid w:val="00A501CE"/>
    <w:rsid w:val="00A51989"/>
    <w:rsid w:val="00A528DF"/>
    <w:rsid w:val="00A531F2"/>
    <w:rsid w:val="00A542D3"/>
    <w:rsid w:val="00A62020"/>
    <w:rsid w:val="00A659DF"/>
    <w:rsid w:val="00A700CD"/>
    <w:rsid w:val="00A73A9D"/>
    <w:rsid w:val="00A87A63"/>
    <w:rsid w:val="00AA6E64"/>
    <w:rsid w:val="00AA7A6C"/>
    <w:rsid w:val="00AB34D2"/>
    <w:rsid w:val="00AC0682"/>
    <w:rsid w:val="00AC538E"/>
    <w:rsid w:val="00AD00C4"/>
    <w:rsid w:val="00AF1E95"/>
    <w:rsid w:val="00AF48A4"/>
    <w:rsid w:val="00AF7866"/>
    <w:rsid w:val="00B111CA"/>
    <w:rsid w:val="00B153E6"/>
    <w:rsid w:val="00B2460D"/>
    <w:rsid w:val="00B24F18"/>
    <w:rsid w:val="00B33C39"/>
    <w:rsid w:val="00B37E01"/>
    <w:rsid w:val="00B56341"/>
    <w:rsid w:val="00B56BBB"/>
    <w:rsid w:val="00B60FD1"/>
    <w:rsid w:val="00B628C6"/>
    <w:rsid w:val="00B62EC4"/>
    <w:rsid w:val="00B663D2"/>
    <w:rsid w:val="00B67975"/>
    <w:rsid w:val="00B90D1F"/>
    <w:rsid w:val="00B95136"/>
    <w:rsid w:val="00BA5172"/>
    <w:rsid w:val="00BD3EEF"/>
    <w:rsid w:val="00BE1BF0"/>
    <w:rsid w:val="00BE2C1A"/>
    <w:rsid w:val="00BE5EE4"/>
    <w:rsid w:val="00BF7A4D"/>
    <w:rsid w:val="00C028D2"/>
    <w:rsid w:val="00C0511A"/>
    <w:rsid w:val="00C063C4"/>
    <w:rsid w:val="00C1724C"/>
    <w:rsid w:val="00C22620"/>
    <w:rsid w:val="00C36070"/>
    <w:rsid w:val="00C3673D"/>
    <w:rsid w:val="00C409D7"/>
    <w:rsid w:val="00C40D38"/>
    <w:rsid w:val="00C52338"/>
    <w:rsid w:val="00C7351A"/>
    <w:rsid w:val="00C74662"/>
    <w:rsid w:val="00C76959"/>
    <w:rsid w:val="00C77C48"/>
    <w:rsid w:val="00C81AF6"/>
    <w:rsid w:val="00C83B53"/>
    <w:rsid w:val="00C877CE"/>
    <w:rsid w:val="00C90A1D"/>
    <w:rsid w:val="00C92D74"/>
    <w:rsid w:val="00CA12C3"/>
    <w:rsid w:val="00CA247C"/>
    <w:rsid w:val="00CA40B9"/>
    <w:rsid w:val="00CB0525"/>
    <w:rsid w:val="00CB0ADB"/>
    <w:rsid w:val="00CB0E58"/>
    <w:rsid w:val="00CD3E5C"/>
    <w:rsid w:val="00CD4DF1"/>
    <w:rsid w:val="00CD60C6"/>
    <w:rsid w:val="00CE4D5E"/>
    <w:rsid w:val="00CE4EBE"/>
    <w:rsid w:val="00CE55C8"/>
    <w:rsid w:val="00CE5E74"/>
    <w:rsid w:val="00CF1DAA"/>
    <w:rsid w:val="00D03824"/>
    <w:rsid w:val="00D115E7"/>
    <w:rsid w:val="00D12084"/>
    <w:rsid w:val="00D177A9"/>
    <w:rsid w:val="00D32032"/>
    <w:rsid w:val="00D5098B"/>
    <w:rsid w:val="00D53439"/>
    <w:rsid w:val="00D57270"/>
    <w:rsid w:val="00D57DF3"/>
    <w:rsid w:val="00D61786"/>
    <w:rsid w:val="00D63A37"/>
    <w:rsid w:val="00D72ED2"/>
    <w:rsid w:val="00D808B3"/>
    <w:rsid w:val="00D80A5D"/>
    <w:rsid w:val="00D82371"/>
    <w:rsid w:val="00D850DC"/>
    <w:rsid w:val="00D935C4"/>
    <w:rsid w:val="00DA3A52"/>
    <w:rsid w:val="00DA5396"/>
    <w:rsid w:val="00DA62A0"/>
    <w:rsid w:val="00DB7C66"/>
    <w:rsid w:val="00DC17B0"/>
    <w:rsid w:val="00DC1AE4"/>
    <w:rsid w:val="00DC3A3E"/>
    <w:rsid w:val="00DC7751"/>
    <w:rsid w:val="00DE5C59"/>
    <w:rsid w:val="00DE79BC"/>
    <w:rsid w:val="00DF3B7D"/>
    <w:rsid w:val="00DF5B68"/>
    <w:rsid w:val="00E04B4C"/>
    <w:rsid w:val="00E10CD2"/>
    <w:rsid w:val="00E21209"/>
    <w:rsid w:val="00E26357"/>
    <w:rsid w:val="00E42ED0"/>
    <w:rsid w:val="00E47893"/>
    <w:rsid w:val="00E47A39"/>
    <w:rsid w:val="00E507C5"/>
    <w:rsid w:val="00E5235D"/>
    <w:rsid w:val="00E564BE"/>
    <w:rsid w:val="00E606B1"/>
    <w:rsid w:val="00E6194F"/>
    <w:rsid w:val="00E71AA5"/>
    <w:rsid w:val="00EA0FEF"/>
    <w:rsid w:val="00EB35B7"/>
    <w:rsid w:val="00EB3CDC"/>
    <w:rsid w:val="00EB695E"/>
    <w:rsid w:val="00EC3B99"/>
    <w:rsid w:val="00EC6659"/>
    <w:rsid w:val="00ED30FC"/>
    <w:rsid w:val="00ED779D"/>
    <w:rsid w:val="00EE344D"/>
    <w:rsid w:val="00EE3C72"/>
    <w:rsid w:val="00EE51F9"/>
    <w:rsid w:val="00EE55CD"/>
    <w:rsid w:val="00EE5EE5"/>
    <w:rsid w:val="00EE5F74"/>
    <w:rsid w:val="00EF586A"/>
    <w:rsid w:val="00EF5C91"/>
    <w:rsid w:val="00F02F9E"/>
    <w:rsid w:val="00F1658A"/>
    <w:rsid w:val="00F206AD"/>
    <w:rsid w:val="00F21128"/>
    <w:rsid w:val="00F25165"/>
    <w:rsid w:val="00F25654"/>
    <w:rsid w:val="00F35443"/>
    <w:rsid w:val="00F74F01"/>
    <w:rsid w:val="00F814CF"/>
    <w:rsid w:val="00F91C52"/>
    <w:rsid w:val="00FA3FE7"/>
    <w:rsid w:val="00FA4E53"/>
    <w:rsid w:val="00FA5E66"/>
    <w:rsid w:val="00FA77E9"/>
    <w:rsid w:val="00FB39CF"/>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D37E2"/>
  <w15:docId w15:val="{5348F663-A556-41A2-9AF9-8658344D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F1"/>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415367"/>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415367"/>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3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415367"/>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415367"/>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415367"/>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5A3718"/>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UnresolvedMention4">
    <w:name w:val="Unresolved Mention4"/>
    <w:basedOn w:val="DefaultParagraphFont"/>
    <w:uiPriority w:val="99"/>
    <w:semiHidden/>
    <w:unhideWhenUsed/>
    <w:rsid w:val="005A3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justice.gouv.fr/art_pix/Stat_RSJ_civil_2.2_2017.o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sa.gov/policy/docs/statcomps/supplement/.%20A%20data%20sample%20is%20presented%20in%20table%202" TargetMode="Externa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www.justice.gouv.fr/art_pix/Annuaire_ministere-justice_2018_CHAPITRE_2.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urts.ie/acc/alfresco/9bd89c8a-3187-44c3-a2e9-ff0855e69cb5/CourtsServiceAnnualReport2019.pdf/pdf" TargetMode="External"/><Relationship Id="rId20" Type="http://schemas.openxmlformats.org/officeDocument/2006/relationships/hyperlink" Target="https://www.gba.gob.ar/registrodelaspersonas/otros_tramites/inscripciones_de_incapacidade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anishhealthdata.com/find-health-data/CPR-registeret/" TargetMode="External"/><Relationship Id="rId23" Type="http://schemas.openxmlformats.org/officeDocument/2006/relationships/hyperlink" Target="https://dapre.presidencia.gov.co/AtencionCiudadana/DocumentosConsulta/consulta-200710-Lineamiento-protocolo-nacional.pdf" TargetMode="Externa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www.chileatiende.gob.cl/fichas/43504-inscripcion-de-curador-en-el-registro-nacional-de-discapacidad-rn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pr.dk/cpr-nyt/nyhedsarkiv/2019/jun/vaergemaal-og-delt-bopael/" TargetMode="External"/><Relationship Id="rId22" Type="http://schemas.openxmlformats.org/officeDocument/2006/relationships/hyperlink" Target="http://www.supporteddecisionmaking.org/"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D78B8-4C55-4D25-9DBC-3EF4CA4B387D}">
  <ds:schemaRefs>
    <ds:schemaRef ds:uri="http://schemas.openxmlformats.org/officeDocument/2006/bibliography"/>
  </ds:schemaRefs>
</ds:datastoreItem>
</file>

<file path=customXml/itemProps2.xml><?xml version="1.0" encoding="utf-8"?>
<ds:datastoreItem xmlns:ds="http://schemas.openxmlformats.org/officeDocument/2006/customXml" ds:itemID="{73B4925A-646D-4DEE-BF51-DC7DF2152DB1}"/>
</file>

<file path=customXml/itemProps3.xml><?xml version="1.0" encoding="utf-8"?>
<ds:datastoreItem xmlns:ds="http://schemas.openxmlformats.org/officeDocument/2006/customXml" ds:itemID="{8965F55D-9E8F-4DC3-8E5A-1F0B889A5C83}"/>
</file>

<file path=customXml/itemProps4.xml><?xml version="1.0" encoding="utf-8"?>
<ds:datastoreItem xmlns:ds="http://schemas.openxmlformats.org/officeDocument/2006/customXml" ds:itemID="{9FC49A20-9D50-426C-8CCD-42C0DFE7D053}"/>
</file>

<file path=docProps/app.xml><?xml version="1.0" encoding="utf-8"?>
<Properties xmlns="http://schemas.openxmlformats.org/officeDocument/2006/extended-properties" xmlns:vt="http://schemas.openxmlformats.org/officeDocument/2006/docPropsVTypes">
  <Template>Normal</Template>
  <TotalTime>4</TotalTime>
  <Pages>6</Pages>
  <Words>1310</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for Article 12 (outcome indicators)</dc:title>
  <dc:subject/>
  <dc:creator>Nanette Goodman</dc:creator>
  <cp:keywords/>
  <dc:description/>
  <cp:lastModifiedBy>Elias Constantopedos</cp:lastModifiedBy>
  <cp:revision>7</cp:revision>
  <cp:lastPrinted>2020-11-19T04:53:00Z</cp:lastPrinted>
  <dcterms:created xsi:type="dcterms:W3CDTF">2020-12-20T12:32:00Z</dcterms:created>
  <dcterms:modified xsi:type="dcterms:W3CDTF">2020-12-20T21:11:00Z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