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397E8FA2" w:rsidR="005A094A" w:rsidRPr="001B74DA" w:rsidRDefault="005458FD" w:rsidP="00E05980">
      <w:pPr>
        <w:pStyle w:val="Heading1"/>
        <w:rPr>
          <w:rFonts w:eastAsiaTheme="majorEastAsia" w:cstheme="majorBidi"/>
          <w:color w:val="FFFFFF" w:themeColor="background1"/>
        </w:rPr>
      </w:pPr>
      <w:r w:rsidRPr="001B74DA">
        <w:rPr>
          <w:rFonts w:eastAsiaTheme="majorEastAsia" w:cstheme="majorBidi"/>
          <w:noProof/>
          <w:color w:val="FFFFFF" w:themeColor="background1"/>
          <w:lang w:eastAsia="en-GB"/>
        </w:rPr>
        <w:drawing>
          <wp:anchor distT="0" distB="0" distL="114300" distR="114300" simplePos="0" relativeHeight="251658240" behindDoc="1" locked="0" layoutInCell="1" allowOverlap="1" wp14:anchorId="45C2F5DD" wp14:editId="44D8D839">
            <wp:simplePos x="0" y="0"/>
            <wp:positionH relativeFrom="column">
              <wp:posOffset>-970915</wp:posOffset>
            </wp:positionH>
            <wp:positionV relativeFrom="paragraph">
              <wp:posOffset>-1027430</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1B74DA">
        <w:rPr>
          <w:rFonts w:eastAsiaTheme="majorEastAsia" w:cstheme="majorBidi"/>
          <w:color w:val="FFFFFF" w:themeColor="background1"/>
        </w:rPr>
        <w:t xml:space="preserve">Data sources for outcome indicators on Article </w:t>
      </w:r>
      <w:r w:rsidR="005A37A3" w:rsidRPr="001B74DA">
        <w:rPr>
          <w:rFonts w:eastAsiaTheme="majorEastAsia" w:cstheme="majorBidi"/>
          <w:color w:val="FFFFFF" w:themeColor="background1"/>
        </w:rPr>
        <w:t>14</w:t>
      </w:r>
      <w:r w:rsidR="000A661C" w:rsidRPr="001B74DA">
        <w:rPr>
          <w:rFonts w:eastAsiaTheme="majorEastAsia" w:cstheme="majorBidi"/>
          <w:color w:val="FFFFFF" w:themeColor="background1"/>
        </w:rPr>
        <w:t>:</w:t>
      </w:r>
    </w:p>
    <w:p w14:paraId="5A518BF9" w14:textId="41FA27E5" w:rsidR="00906D01" w:rsidRPr="001B74DA" w:rsidRDefault="005A37A3" w:rsidP="00E05980">
      <w:pPr>
        <w:pStyle w:val="Heading1"/>
        <w:rPr>
          <w:rFonts w:eastAsiaTheme="majorEastAsia" w:cstheme="majorBidi"/>
          <w:color w:val="FFFFFF" w:themeColor="background1"/>
          <w:sz w:val="72"/>
          <w:szCs w:val="72"/>
        </w:rPr>
      </w:pPr>
      <w:r w:rsidRPr="001B74DA">
        <w:rPr>
          <w:rFonts w:eastAsiaTheme="majorEastAsia" w:cstheme="majorBidi"/>
          <w:color w:val="FFFFFF" w:themeColor="background1"/>
          <w:sz w:val="72"/>
          <w:szCs w:val="72"/>
        </w:rPr>
        <w:t>Liberty and security of the person</w:t>
      </w:r>
    </w:p>
    <w:p w14:paraId="3CBE4037" w14:textId="267E7B90" w:rsidR="00355C6D" w:rsidRPr="001B74DA" w:rsidRDefault="00486237" w:rsidP="00D850DC">
      <w:pPr>
        <w:spacing w:before="0" w:after="0" w:line="240" w:lineRule="auto"/>
        <w:rPr>
          <w:rFonts w:asciiTheme="minorHAnsi" w:hAnsiTheme="minorHAnsi" w:cstheme="minorHAnsi"/>
        </w:rPr>
      </w:pPr>
      <w:r w:rsidRPr="001B74DA">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471E5778">
            <wp:simplePos x="4319588" y="901065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1B74DA">
        <w:rPr>
          <w:rFonts w:asciiTheme="minorHAnsi" w:hAnsiTheme="minorHAnsi" w:cstheme="minorHAnsi"/>
        </w:rPr>
        <w:br w:type="page"/>
      </w:r>
    </w:p>
    <w:p w14:paraId="779E1EF4" w14:textId="5C6FD04F" w:rsidR="00355C6D" w:rsidRPr="001B74DA" w:rsidRDefault="00570364" w:rsidP="00D850DC">
      <w:pPr>
        <w:spacing w:before="0" w:after="0" w:line="240" w:lineRule="auto"/>
        <w:rPr>
          <w:rFonts w:asciiTheme="minorHAnsi" w:hAnsiTheme="minorHAnsi" w:cstheme="minorHAnsi"/>
        </w:rPr>
      </w:pPr>
      <w:r w:rsidRPr="001B74DA">
        <w:rPr>
          <w:rFonts w:asciiTheme="minorHAnsi" w:hAnsiTheme="minorHAnsi" w:cstheme="minorHAnsi"/>
          <w:noProof/>
          <w:lang w:eastAsia="en-GB"/>
        </w:rPr>
        <w:lastRenderedPageBreak/>
        <w:drawing>
          <wp:inline distT="0" distB="0" distL="0" distR="0" wp14:anchorId="48975751" wp14:editId="38317DE5">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083F91B9" w14:textId="77777777" w:rsidR="00FE23AF" w:rsidRPr="001B74DA" w:rsidRDefault="00FE23AF" w:rsidP="00FE23AF">
      <w:pPr>
        <w:autoSpaceDE w:val="0"/>
        <w:autoSpaceDN w:val="0"/>
        <w:spacing w:before="7200" w:line="260" w:lineRule="exact"/>
        <w:rPr>
          <w:rFonts w:cs="Segoe UI"/>
          <w:color w:val="000000"/>
          <w:sz w:val="18"/>
          <w:lang w:eastAsia="en-GB"/>
        </w:rPr>
      </w:pPr>
      <w:r w:rsidRPr="001B74DA">
        <w:rPr>
          <w:rFonts w:cs="Segoe UI"/>
          <w:color w:val="000000"/>
          <w:sz w:val="18"/>
          <w:lang w:eastAsia="en-GB"/>
        </w:rPr>
        <w:t>ADVANCE VERSION</w:t>
      </w:r>
    </w:p>
    <w:p w14:paraId="09C6217B" w14:textId="77777777" w:rsidR="00FE23AF" w:rsidRPr="001B74DA" w:rsidRDefault="00FE23AF" w:rsidP="00FE23AF">
      <w:pPr>
        <w:autoSpaceDE w:val="0"/>
        <w:autoSpaceDN w:val="0"/>
        <w:spacing w:line="260" w:lineRule="exact"/>
        <w:rPr>
          <w:rFonts w:cs="Segoe UI"/>
          <w:color w:val="000000"/>
          <w:sz w:val="20"/>
          <w:szCs w:val="20"/>
          <w:lang w:eastAsia="en-GB"/>
        </w:rPr>
      </w:pPr>
      <w:r w:rsidRPr="001B74DA">
        <w:rPr>
          <w:rFonts w:cs="Segoe UI"/>
          <w:color w:val="000000"/>
          <w:sz w:val="20"/>
          <w:szCs w:val="20"/>
          <w:lang w:eastAsia="en-GB"/>
        </w:rPr>
        <w:t xml:space="preserve">© 2020 United Nations  </w:t>
      </w:r>
    </w:p>
    <w:p w14:paraId="10FF12CD" w14:textId="77777777" w:rsidR="00FE23AF" w:rsidRPr="001B74DA" w:rsidRDefault="00FE23AF" w:rsidP="00FE23AF">
      <w:pPr>
        <w:autoSpaceDE w:val="0"/>
        <w:autoSpaceDN w:val="0"/>
        <w:spacing w:line="260" w:lineRule="exact"/>
        <w:rPr>
          <w:rFonts w:cs="Segoe UI"/>
          <w:color w:val="000000"/>
          <w:sz w:val="20"/>
          <w:szCs w:val="20"/>
          <w:lang w:eastAsia="en-GB"/>
        </w:rPr>
      </w:pPr>
      <w:r w:rsidRPr="001B74DA">
        <w:rPr>
          <w:rFonts w:cs="Segoe UI"/>
          <w:color w:val="000000"/>
          <w:sz w:val="20"/>
          <w:szCs w:val="20"/>
          <w:lang w:eastAsia="en-GB"/>
        </w:rPr>
        <w:t xml:space="preserve">The </w:t>
      </w:r>
      <w:r w:rsidRPr="001B74DA">
        <w:rPr>
          <w:rFonts w:cs="Segoe UI"/>
          <w:i/>
          <w:color w:val="000000"/>
          <w:sz w:val="20"/>
          <w:szCs w:val="20"/>
          <w:lang w:eastAsia="en-GB"/>
        </w:rPr>
        <w:t>Data Sources Guidance</w:t>
      </w:r>
      <w:r w:rsidRPr="001B74DA">
        <w:rPr>
          <w:rFonts w:cs="Segoe UI"/>
          <w:color w:val="000000"/>
          <w:sz w:val="20"/>
          <w:szCs w:val="20"/>
          <w:lang w:eastAsia="en-GB"/>
        </w:rPr>
        <w:t xml:space="preserve"> is a component of the </w:t>
      </w:r>
      <w:hyperlink r:id="rId12" w:history="1">
        <w:r w:rsidRPr="001B74DA">
          <w:rPr>
            <w:rStyle w:val="Hyperlink"/>
            <w:rFonts w:cs="Segoe UI"/>
            <w:sz w:val="20"/>
            <w:szCs w:val="20"/>
            <w:lang w:eastAsia="en-GB"/>
          </w:rPr>
          <w:t>SDG-CRPD Resource Package</w:t>
        </w:r>
      </w:hyperlink>
      <w:r w:rsidRPr="001B74DA">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2480EEE8" w14:textId="4FB50615" w:rsidR="00FE23AF" w:rsidRPr="001B74DA" w:rsidRDefault="00FE23AF" w:rsidP="00FE23AF">
      <w:pPr>
        <w:autoSpaceDE w:val="0"/>
        <w:autoSpaceDN w:val="0"/>
        <w:spacing w:line="260" w:lineRule="exact"/>
        <w:rPr>
          <w:rFonts w:cs="Segoe UI"/>
          <w:color w:val="000000"/>
          <w:sz w:val="20"/>
          <w:szCs w:val="20"/>
          <w:lang w:eastAsia="en-GB"/>
        </w:rPr>
      </w:pPr>
      <w:r w:rsidRPr="001B74DA">
        <w:rPr>
          <w:rFonts w:cs="Segoe UI"/>
          <w:color w:val="000000"/>
          <w:sz w:val="20"/>
          <w:szCs w:val="20"/>
          <w:lang w:eastAsia="en-GB"/>
        </w:rPr>
        <w:t xml:space="preserve">The designations employed and the presentation of the material </w:t>
      </w:r>
      <w:r w:rsidR="004F7FA2" w:rsidRPr="001B74DA">
        <w:rPr>
          <w:rFonts w:cs="Segoe UI"/>
          <w:color w:val="000000"/>
          <w:sz w:val="20"/>
          <w:szCs w:val="20"/>
          <w:lang w:eastAsia="en-GB"/>
        </w:rPr>
        <w:t>herein</w:t>
      </w:r>
      <w:r w:rsidRPr="001B74DA">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015A091C" w14:textId="77777777" w:rsidR="00FE23AF" w:rsidRPr="001B74DA" w:rsidRDefault="00FE23AF" w:rsidP="00FE23AF">
      <w:pPr>
        <w:autoSpaceDE w:val="0"/>
        <w:autoSpaceDN w:val="0"/>
        <w:spacing w:line="260" w:lineRule="exact"/>
        <w:rPr>
          <w:rFonts w:cs="Segoe UI"/>
          <w:color w:val="000000"/>
          <w:sz w:val="20"/>
          <w:szCs w:val="20"/>
          <w:lang w:eastAsia="en-GB"/>
        </w:rPr>
      </w:pPr>
      <w:r w:rsidRPr="001B74DA">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61C2DF1" w14:textId="73F755E8" w:rsidR="00FE23AF" w:rsidRPr="001B74DA" w:rsidRDefault="00FE23AF" w:rsidP="00FE23AF">
      <w:pPr>
        <w:autoSpaceDE w:val="0"/>
        <w:autoSpaceDN w:val="0"/>
        <w:spacing w:line="260" w:lineRule="exact"/>
        <w:rPr>
          <w:rFonts w:cs="Segoe UI"/>
          <w:color w:val="000000"/>
          <w:sz w:val="20"/>
          <w:szCs w:val="20"/>
          <w:lang w:eastAsia="en-GB"/>
        </w:rPr>
      </w:pPr>
      <w:r w:rsidRPr="001B74DA">
        <w:rPr>
          <w:rFonts w:cs="Segoe UI"/>
          <w:color w:val="000000"/>
          <w:sz w:val="20"/>
          <w:szCs w:val="20"/>
          <w:lang w:eastAsia="en-GB"/>
        </w:rPr>
        <w:t xml:space="preserve">The </w:t>
      </w:r>
      <w:r w:rsidRPr="001B74DA">
        <w:rPr>
          <w:rFonts w:cs="Segoe UI"/>
          <w:i/>
          <w:color w:val="000000"/>
          <w:sz w:val="20"/>
          <w:szCs w:val="20"/>
          <w:lang w:eastAsia="en-GB"/>
        </w:rPr>
        <w:t>Data Sources Guidance</w:t>
      </w:r>
      <w:r w:rsidRPr="001B74DA">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9E3F68">
        <w:rPr>
          <w:rFonts w:cs="Segoe UI"/>
          <w:color w:val="000000"/>
          <w:sz w:val="20"/>
          <w:szCs w:val="20"/>
          <w:lang w:eastAsia="en-GB"/>
        </w:rPr>
        <w:br/>
      </w:r>
    </w:p>
    <w:p w14:paraId="290B993A" w14:textId="328D8F64" w:rsidR="00EF6626" w:rsidRPr="001B74DA" w:rsidRDefault="00FE23AF" w:rsidP="00EF6626">
      <w:pPr>
        <w:jc w:val="both"/>
        <w:rPr>
          <w:rFonts w:asciiTheme="majorHAnsi" w:hAnsiTheme="majorHAnsi" w:cstheme="majorHAnsi"/>
          <w:sz w:val="52"/>
          <w:szCs w:val="56"/>
          <w:u w:val="single"/>
        </w:rPr>
      </w:pPr>
      <w:r w:rsidRPr="001B74DA">
        <w:rPr>
          <w:rFonts w:cstheme="minorHAnsi"/>
          <w:noProof/>
          <w:lang w:eastAsia="en-GB"/>
        </w:rPr>
        <w:drawing>
          <wp:inline distT="0" distB="0" distL="0" distR="0" wp14:anchorId="6162D5F0" wp14:editId="3D4DFD33">
            <wp:extent cx="758678" cy="515664"/>
            <wp:effectExtent l="0" t="0" r="3810" b="0"/>
            <wp:docPr id="9" name="Picture 9"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00432EB2" w:rsidRPr="001B74DA">
        <w:rPr>
          <w:rFonts w:eastAsiaTheme="majorEastAsia" w:cstheme="minorHAnsi"/>
          <w:b/>
          <w:color w:val="0A59AB"/>
          <w:spacing w:val="4"/>
          <w:kern w:val="0"/>
          <w:sz w:val="20"/>
          <w:szCs w:val="30"/>
        </w:rPr>
        <w:br w:type="page"/>
      </w:r>
    </w:p>
    <w:p w14:paraId="3070EA4C" w14:textId="02433AC9" w:rsidR="005A37A3" w:rsidRPr="001B74DA" w:rsidRDefault="005A37A3" w:rsidP="005A37A3">
      <w:pPr>
        <w:pStyle w:val="Heading2"/>
        <w:rPr>
          <w:rFonts w:eastAsiaTheme="majorEastAsia"/>
        </w:rPr>
      </w:pPr>
      <w:r w:rsidRPr="001B74DA">
        <w:rPr>
          <w:rFonts w:eastAsiaTheme="majorEastAsia"/>
        </w:rPr>
        <w:lastRenderedPageBreak/>
        <w:t>14.23 Number of persons with disabilities currently deprived of liberty on the basis of actual or perceived impairment, disaggregated by sex, age and disability, type of institution/place of detention (e.g. mental health institution, social care or residential institution, residences for persons with intellectual disabilities, etc.) and legal ground for the institutionalization or detention.</w:t>
      </w:r>
    </w:p>
    <w:p w14:paraId="082767A9" w14:textId="6832E7DD" w:rsidR="005A37A3" w:rsidRPr="001B74DA" w:rsidRDefault="005A37A3" w:rsidP="005A37A3">
      <w:pPr>
        <w:pStyle w:val="Heading4"/>
        <w:rPr>
          <w:rFonts w:eastAsiaTheme="majorEastAsia"/>
          <w:lang w:eastAsia="en-GB"/>
        </w:rPr>
      </w:pPr>
      <w:r w:rsidRPr="001B74DA">
        <w:rPr>
          <w:rFonts w:eastAsiaTheme="majorEastAsia"/>
          <w:lang w:eastAsia="en-GB"/>
        </w:rPr>
        <w:t xml:space="preserve">Level 3: Indicator for </w:t>
      </w:r>
      <w:r w:rsidRPr="001B74DA">
        <w:rPr>
          <w:rFonts w:eastAsiaTheme="majorEastAsia"/>
        </w:rPr>
        <w:t>which</w:t>
      </w:r>
      <w:r w:rsidRPr="001B74DA">
        <w:rPr>
          <w:rFonts w:eastAsiaTheme="majorEastAsia"/>
          <w:lang w:eastAsia="en-GB"/>
        </w:rPr>
        <w:t xml:space="preserve"> acquiring data is more complex or requires the development of data collection mechanisms which are currently not in place.</w:t>
      </w:r>
    </w:p>
    <w:p w14:paraId="0BD7D625" w14:textId="76766E82" w:rsidR="00310D46" w:rsidRPr="001B74DA" w:rsidRDefault="00310D46" w:rsidP="005A37A3">
      <w:r w:rsidRPr="001B74DA">
        <w:t>This indicator aims at tracking disability-based deprivation of liberty, a practice which is contrary to the CRPD. The indicator seeks to contribute to the development of strategies to prevent and end such practices, in accordance with the CRPD.</w:t>
      </w:r>
    </w:p>
    <w:p w14:paraId="72115E5F" w14:textId="3CF7DCA1" w:rsidR="005A37A3" w:rsidRPr="001B74DA" w:rsidRDefault="005A37A3" w:rsidP="005A37A3">
      <w:r w:rsidRPr="001B74DA">
        <w:t>A major European study, “</w:t>
      </w:r>
      <w:hyperlink r:id="rId14" w:history="1">
        <w:r w:rsidRPr="001B74DA">
          <w:rPr>
            <w:rStyle w:val="Hyperlink"/>
            <w:rFonts w:eastAsiaTheme="majorEastAsia"/>
          </w:rPr>
          <w:t>Deinstitutionalisation and community living – outcomes and costs</w:t>
        </w:r>
      </w:hyperlink>
      <w:r w:rsidRPr="001B74DA">
        <w:t>”, was undertaken in 2007 and found that, in many countries, even when data existed at a regional or local level (generally through administrative records), they were not necessarily collected at a national level.</w:t>
      </w:r>
    </w:p>
    <w:p w14:paraId="04008C98" w14:textId="109D6BAD" w:rsidR="005A37A3" w:rsidRPr="001B74DA" w:rsidRDefault="005A37A3" w:rsidP="005A37A3">
      <w:r w:rsidRPr="001B74DA">
        <w:t xml:space="preserve">While the data in the report is outdated, it provides a good example of how to encourage countries to report on this issue. Most European countries do not routinely collect the data reported but did so specifically for this study, see those </w:t>
      </w:r>
      <w:hyperlink r:id="rId15" w:history="1">
        <w:r w:rsidRPr="001B74DA">
          <w:rPr>
            <w:rStyle w:val="Hyperlink"/>
            <w:rFonts w:eastAsiaTheme="majorEastAsia"/>
          </w:rPr>
          <w:t>country reports</w:t>
        </w:r>
      </w:hyperlink>
      <w:r w:rsidRPr="001B74DA">
        <w:t>.</w:t>
      </w:r>
    </w:p>
    <w:p w14:paraId="241E4397" w14:textId="77777777" w:rsidR="005A37A3" w:rsidRPr="001B74DA" w:rsidRDefault="005A37A3" w:rsidP="005A37A3">
      <w:r w:rsidRPr="001B74DA">
        <w:t>An example of the relevant table from the report for Bulgaria can be found in table 1.</w:t>
      </w:r>
    </w:p>
    <w:p w14:paraId="3813BD51" w14:textId="77777777" w:rsidR="005A37A3" w:rsidRPr="001B74DA" w:rsidRDefault="005A37A3" w:rsidP="005A37A3"/>
    <w:p w14:paraId="4232195F" w14:textId="7016B39E" w:rsidR="005A37A3" w:rsidRPr="001B74DA" w:rsidRDefault="005A37A3" w:rsidP="005A37A3">
      <w:r w:rsidRPr="001B74DA">
        <w:rPr>
          <w:b/>
          <w:bCs/>
        </w:rPr>
        <w:t>Table 1:</w:t>
      </w:r>
      <w:r w:rsidRPr="001B74DA">
        <w:t xml:space="preserve"> Bulgaria: Data available by service type – breakdown by gender and age, 2001-2005</w:t>
      </w:r>
    </w:p>
    <w:tbl>
      <w:tblPr>
        <w:tblW w:w="5000" w:type="pct"/>
        <w:shd w:val="clear" w:color="auto" w:fill="F5F5F1"/>
        <w:tblLayout w:type="fixed"/>
        <w:tblLook w:val="04A0" w:firstRow="1" w:lastRow="0" w:firstColumn="1" w:lastColumn="0" w:noHBand="0" w:noVBand="1"/>
      </w:tblPr>
      <w:tblGrid>
        <w:gridCol w:w="2424"/>
        <w:gridCol w:w="904"/>
        <w:gridCol w:w="810"/>
        <w:gridCol w:w="810"/>
        <w:gridCol w:w="722"/>
        <w:gridCol w:w="812"/>
        <w:gridCol w:w="898"/>
        <w:gridCol w:w="819"/>
        <w:gridCol w:w="821"/>
      </w:tblGrid>
      <w:tr w:rsidR="00097BD2" w:rsidRPr="001B74DA" w14:paraId="2B9E93ED" w14:textId="77777777" w:rsidTr="00BF7EB6">
        <w:trPr>
          <w:trHeight w:val="351"/>
        </w:trPr>
        <w:tc>
          <w:tcPr>
            <w:tcW w:w="1344" w:type="pct"/>
            <w:vMerge w:val="restart"/>
            <w:tcBorders>
              <w:top w:val="single" w:sz="12" w:space="0" w:color="auto"/>
            </w:tcBorders>
            <w:shd w:val="clear" w:color="auto" w:fill="F5F5F1"/>
            <w:vAlign w:val="bottom"/>
          </w:tcPr>
          <w:p w14:paraId="17042CED" w14:textId="77777777" w:rsidR="005A37A3" w:rsidRPr="001B74DA" w:rsidRDefault="005A37A3" w:rsidP="005A37A3">
            <w:pPr>
              <w:pStyle w:val="TableHeaderRow"/>
            </w:pPr>
            <w:r w:rsidRPr="001B74DA">
              <w:t>Type of institution</w:t>
            </w:r>
          </w:p>
        </w:tc>
        <w:tc>
          <w:tcPr>
            <w:tcW w:w="501" w:type="pct"/>
            <w:vMerge w:val="restart"/>
            <w:tcBorders>
              <w:top w:val="single" w:sz="12" w:space="0" w:color="auto"/>
            </w:tcBorders>
            <w:shd w:val="clear" w:color="auto" w:fill="F5F5F1"/>
            <w:vAlign w:val="bottom"/>
          </w:tcPr>
          <w:p w14:paraId="163C4AA7" w14:textId="77777777" w:rsidR="005A37A3" w:rsidRPr="001B74DA" w:rsidRDefault="005A37A3" w:rsidP="005A37A3">
            <w:pPr>
              <w:pStyle w:val="TableHeaderRow"/>
            </w:pPr>
            <w:r w:rsidRPr="001B74DA">
              <w:t>Total</w:t>
            </w:r>
          </w:p>
        </w:tc>
        <w:tc>
          <w:tcPr>
            <w:tcW w:w="1298" w:type="pct"/>
            <w:gridSpan w:val="3"/>
            <w:tcBorders>
              <w:top w:val="single" w:sz="12" w:space="0" w:color="auto"/>
              <w:bottom w:val="single" w:sz="12" w:space="0" w:color="auto"/>
              <w:right w:val="single" w:sz="4" w:space="0" w:color="auto"/>
            </w:tcBorders>
            <w:shd w:val="clear" w:color="auto" w:fill="F5F5F1"/>
          </w:tcPr>
          <w:p w14:paraId="2208B83E" w14:textId="77777777" w:rsidR="005A37A3" w:rsidRPr="001B74DA" w:rsidRDefault="005A37A3" w:rsidP="005A37A3">
            <w:pPr>
              <w:pStyle w:val="TableHeaderRow"/>
              <w:rPr>
                <w:i/>
                <w:iCs/>
              </w:rPr>
            </w:pPr>
            <w:r w:rsidRPr="001B74DA">
              <w:rPr>
                <w:i/>
                <w:iCs/>
              </w:rPr>
              <w:t>Gender</w:t>
            </w:r>
          </w:p>
        </w:tc>
        <w:tc>
          <w:tcPr>
            <w:tcW w:w="1857" w:type="pct"/>
            <w:gridSpan w:val="4"/>
            <w:tcBorders>
              <w:top w:val="single" w:sz="12" w:space="0" w:color="auto"/>
              <w:left w:val="single" w:sz="4" w:space="0" w:color="auto"/>
              <w:bottom w:val="single" w:sz="12" w:space="0" w:color="auto"/>
            </w:tcBorders>
            <w:shd w:val="clear" w:color="auto" w:fill="F5F5F1"/>
          </w:tcPr>
          <w:p w14:paraId="4390F89E" w14:textId="77777777" w:rsidR="005A37A3" w:rsidRPr="001B74DA" w:rsidRDefault="005A37A3" w:rsidP="005A37A3">
            <w:pPr>
              <w:pStyle w:val="TableHeaderRow"/>
              <w:rPr>
                <w:i/>
                <w:iCs/>
              </w:rPr>
            </w:pPr>
            <w:r w:rsidRPr="001B74DA">
              <w:rPr>
                <w:i/>
                <w:iCs/>
              </w:rPr>
              <w:t>Age</w:t>
            </w:r>
          </w:p>
        </w:tc>
      </w:tr>
      <w:tr w:rsidR="00097BD2" w:rsidRPr="001B74DA" w14:paraId="6FE75BC6" w14:textId="77777777" w:rsidTr="00BF7EB6">
        <w:trPr>
          <w:trHeight w:val="1326"/>
        </w:trPr>
        <w:tc>
          <w:tcPr>
            <w:tcW w:w="1344" w:type="pct"/>
            <w:vMerge/>
            <w:tcBorders>
              <w:bottom w:val="single" w:sz="12" w:space="0" w:color="auto"/>
            </w:tcBorders>
            <w:shd w:val="clear" w:color="auto" w:fill="F5F5F1"/>
            <w:textDirection w:val="btLr"/>
            <w:vAlign w:val="bottom"/>
            <w:hideMark/>
          </w:tcPr>
          <w:p w14:paraId="7D9DAC5B" w14:textId="77777777" w:rsidR="005A37A3" w:rsidRPr="001B74DA" w:rsidRDefault="005A37A3" w:rsidP="005A37A3">
            <w:pPr>
              <w:pStyle w:val="TableHeaderRow"/>
            </w:pPr>
          </w:p>
        </w:tc>
        <w:tc>
          <w:tcPr>
            <w:tcW w:w="501" w:type="pct"/>
            <w:vMerge/>
            <w:tcBorders>
              <w:bottom w:val="single" w:sz="12" w:space="0" w:color="auto"/>
            </w:tcBorders>
            <w:shd w:val="clear" w:color="auto" w:fill="F5F5F1"/>
            <w:textDirection w:val="btLr"/>
            <w:vAlign w:val="bottom"/>
            <w:hideMark/>
          </w:tcPr>
          <w:p w14:paraId="24EA2748" w14:textId="77777777" w:rsidR="005A37A3" w:rsidRPr="001B74DA" w:rsidRDefault="005A37A3" w:rsidP="005A37A3">
            <w:pPr>
              <w:pStyle w:val="TableHeaderRow"/>
            </w:pPr>
          </w:p>
        </w:tc>
        <w:tc>
          <w:tcPr>
            <w:tcW w:w="449" w:type="pct"/>
            <w:tcBorders>
              <w:top w:val="single" w:sz="12" w:space="0" w:color="auto"/>
              <w:bottom w:val="single" w:sz="12" w:space="0" w:color="auto"/>
            </w:tcBorders>
            <w:shd w:val="clear" w:color="auto" w:fill="F5F5F1"/>
            <w:textDirection w:val="btLr"/>
            <w:hideMark/>
          </w:tcPr>
          <w:p w14:paraId="45F1B153" w14:textId="77777777" w:rsidR="005A37A3" w:rsidRPr="001B74DA" w:rsidRDefault="005A37A3" w:rsidP="00097BD2">
            <w:pPr>
              <w:pStyle w:val="TableHeaderRow"/>
              <w:spacing w:before="0" w:after="240" w:line="240" w:lineRule="auto"/>
              <w:ind w:left="144"/>
            </w:pPr>
            <w:r w:rsidRPr="001B74DA">
              <w:t>Male</w:t>
            </w:r>
          </w:p>
        </w:tc>
        <w:tc>
          <w:tcPr>
            <w:tcW w:w="449" w:type="pct"/>
            <w:tcBorders>
              <w:top w:val="single" w:sz="12" w:space="0" w:color="auto"/>
              <w:bottom w:val="single" w:sz="12" w:space="0" w:color="auto"/>
            </w:tcBorders>
            <w:shd w:val="clear" w:color="auto" w:fill="F5F5F1"/>
            <w:textDirection w:val="btLr"/>
            <w:hideMark/>
          </w:tcPr>
          <w:p w14:paraId="642C9185" w14:textId="77777777" w:rsidR="005A37A3" w:rsidRPr="001B74DA" w:rsidRDefault="005A37A3" w:rsidP="00097BD2">
            <w:pPr>
              <w:pStyle w:val="TableHeaderRow"/>
              <w:spacing w:before="0" w:after="240" w:line="240" w:lineRule="auto"/>
              <w:ind w:left="144"/>
            </w:pPr>
            <w:r w:rsidRPr="001B74DA">
              <w:t>Female</w:t>
            </w:r>
          </w:p>
        </w:tc>
        <w:tc>
          <w:tcPr>
            <w:tcW w:w="400" w:type="pct"/>
            <w:tcBorders>
              <w:top w:val="single" w:sz="12" w:space="0" w:color="auto"/>
              <w:bottom w:val="single" w:sz="12" w:space="0" w:color="auto"/>
              <w:right w:val="single" w:sz="4" w:space="0" w:color="auto"/>
            </w:tcBorders>
            <w:shd w:val="clear" w:color="auto" w:fill="F5F5F1"/>
            <w:textDirection w:val="btLr"/>
            <w:hideMark/>
          </w:tcPr>
          <w:p w14:paraId="1CD78963" w14:textId="77777777" w:rsidR="005A37A3" w:rsidRPr="001B74DA" w:rsidRDefault="005A37A3" w:rsidP="00097BD2">
            <w:pPr>
              <w:pStyle w:val="TableHeaderRow"/>
              <w:spacing w:before="0" w:after="240" w:line="240" w:lineRule="auto"/>
              <w:ind w:left="144"/>
            </w:pPr>
            <w:r w:rsidRPr="001B74DA">
              <w:t>Gender unspecified</w:t>
            </w:r>
          </w:p>
        </w:tc>
        <w:tc>
          <w:tcPr>
            <w:tcW w:w="450" w:type="pct"/>
            <w:tcBorders>
              <w:top w:val="single" w:sz="12" w:space="0" w:color="auto"/>
              <w:left w:val="single" w:sz="4" w:space="0" w:color="auto"/>
              <w:bottom w:val="single" w:sz="12" w:space="0" w:color="auto"/>
            </w:tcBorders>
            <w:shd w:val="clear" w:color="auto" w:fill="F5F5F1"/>
            <w:textDirection w:val="btLr"/>
            <w:hideMark/>
          </w:tcPr>
          <w:p w14:paraId="13BE6E4A" w14:textId="77777777" w:rsidR="005A37A3" w:rsidRPr="001B74DA" w:rsidRDefault="005A37A3" w:rsidP="00097BD2">
            <w:pPr>
              <w:pStyle w:val="TableHeaderRow"/>
              <w:spacing w:before="0" w:after="240" w:line="240" w:lineRule="auto"/>
              <w:ind w:left="144"/>
            </w:pPr>
            <w:r w:rsidRPr="001B74DA">
              <w:t>Children</w:t>
            </w:r>
          </w:p>
        </w:tc>
        <w:tc>
          <w:tcPr>
            <w:tcW w:w="498" w:type="pct"/>
            <w:tcBorders>
              <w:top w:val="single" w:sz="12" w:space="0" w:color="auto"/>
              <w:bottom w:val="single" w:sz="12" w:space="0" w:color="auto"/>
            </w:tcBorders>
            <w:shd w:val="clear" w:color="auto" w:fill="F5F5F1"/>
            <w:textDirection w:val="btLr"/>
            <w:hideMark/>
          </w:tcPr>
          <w:p w14:paraId="0B99BFC3" w14:textId="77777777" w:rsidR="005A37A3" w:rsidRPr="001B74DA" w:rsidRDefault="005A37A3" w:rsidP="00097BD2">
            <w:pPr>
              <w:pStyle w:val="TableHeaderRow"/>
              <w:spacing w:before="0" w:after="240" w:line="240" w:lineRule="auto"/>
              <w:ind w:left="144"/>
            </w:pPr>
            <w:r w:rsidRPr="001B74DA">
              <w:t>Younger adults</w:t>
            </w:r>
          </w:p>
        </w:tc>
        <w:tc>
          <w:tcPr>
            <w:tcW w:w="454" w:type="pct"/>
            <w:tcBorders>
              <w:top w:val="single" w:sz="12" w:space="0" w:color="auto"/>
              <w:bottom w:val="single" w:sz="12" w:space="0" w:color="auto"/>
            </w:tcBorders>
            <w:shd w:val="clear" w:color="auto" w:fill="F5F5F1"/>
            <w:textDirection w:val="btLr"/>
            <w:hideMark/>
          </w:tcPr>
          <w:p w14:paraId="245E5C21" w14:textId="77777777" w:rsidR="005A37A3" w:rsidRPr="001B74DA" w:rsidRDefault="005A37A3" w:rsidP="00097BD2">
            <w:pPr>
              <w:pStyle w:val="TableHeaderRow"/>
              <w:spacing w:before="0" w:after="240" w:line="240" w:lineRule="auto"/>
              <w:ind w:left="144"/>
            </w:pPr>
            <w:r w:rsidRPr="001B74DA">
              <w:t>Adults over 18</w:t>
            </w:r>
          </w:p>
        </w:tc>
        <w:tc>
          <w:tcPr>
            <w:tcW w:w="455" w:type="pct"/>
            <w:tcBorders>
              <w:top w:val="single" w:sz="12" w:space="0" w:color="auto"/>
              <w:bottom w:val="single" w:sz="12" w:space="0" w:color="auto"/>
            </w:tcBorders>
            <w:shd w:val="clear" w:color="auto" w:fill="F5F5F1"/>
            <w:textDirection w:val="btLr"/>
            <w:hideMark/>
          </w:tcPr>
          <w:p w14:paraId="530131FB" w14:textId="77777777" w:rsidR="005A37A3" w:rsidRPr="001B74DA" w:rsidRDefault="005A37A3" w:rsidP="00097BD2">
            <w:pPr>
              <w:pStyle w:val="TableHeaderRow"/>
              <w:spacing w:before="0" w:after="240" w:line="240" w:lineRule="auto"/>
              <w:ind w:left="144"/>
            </w:pPr>
            <w:r w:rsidRPr="001B74DA">
              <w:t>Age unspecified</w:t>
            </w:r>
          </w:p>
        </w:tc>
      </w:tr>
      <w:tr w:rsidR="00097BD2" w:rsidRPr="001B74DA" w14:paraId="1892000C" w14:textId="77777777" w:rsidTr="00BF7EB6">
        <w:trPr>
          <w:trHeight w:val="680"/>
        </w:trPr>
        <w:tc>
          <w:tcPr>
            <w:tcW w:w="1344" w:type="pct"/>
            <w:tcBorders>
              <w:top w:val="single" w:sz="12" w:space="0" w:color="auto"/>
            </w:tcBorders>
            <w:shd w:val="clear" w:color="auto" w:fill="F5F5F1"/>
            <w:hideMark/>
          </w:tcPr>
          <w:p w14:paraId="19B8A2DC" w14:textId="77777777" w:rsidR="005A37A3" w:rsidRPr="001B74DA" w:rsidRDefault="005A37A3" w:rsidP="00D60BC4">
            <w:r w:rsidRPr="001B74DA">
              <w:t>Homes for children and adolescents with mental retardation</w:t>
            </w:r>
          </w:p>
        </w:tc>
        <w:tc>
          <w:tcPr>
            <w:tcW w:w="501" w:type="pct"/>
            <w:tcBorders>
              <w:top w:val="single" w:sz="12" w:space="0" w:color="auto"/>
            </w:tcBorders>
            <w:shd w:val="clear" w:color="auto" w:fill="F5F5F1"/>
            <w:hideMark/>
          </w:tcPr>
          <w:p w14:paraId="5B4C8300" w14:textId="77777777" w:rsidR="005A37A3" w:rsidRPr="001B74DA" w:rsidRDefault="005A37A3" w:rsidP="00D60BC4">
            <w:r w:rsidRPr="001B74DA">
              <w:t>1,766</w:t>
            </w:r>
          </w:p>
        </w:tc>
        <w:tc>
          <w:tcPr>
            <w:tcW w:w="449" w:type="pct"/>
            <w:tcBorders>
              <w:top w:val="single" w:sz="12" w:space="0" w:color="auto"/>
            </w:tcBorders>
            <w:shd w:val="clear" w:color="auto" w:fill="F5F5F1"/>
            <w:hideMark/>
          </w:tcPr>
          <w:p w14:paraId="214A6FDE" w14:textId="77777777" w:rsidR="005A37A3" w:rsidRPr="001B74DA" w:rsidRDefault="005A37A3" w:rsidP="00D60BC4">
            <w:r w:rsidRPr="001B74DA">
              <w:t>920</w:t>
            </w:r>
          </w:p>
        </w:tc>
        <w:tc>
          <w:tcPr>
            <w:tcW w:w="449" w:type="pct"/>
            <w:tcBorders>
              <w:top w:val="single" w:sz="12" w:space="0" w:color="auto"/>
            </w:tcBorders>
            <w:shd w:val="clear" w:color="auto" w:fill="F5F5F1"/>
            <w:hideMark/>
          </w:tcPr>
          <w:p w14:paraId="3FB25B75" w14:textId="77777777" w:rsidR="005A37A3" w:rsidRPr="001B74DA" w:rsidRDefault="005A37A3" w:rsidP="00D60BC4">
            <w:r w:rsidRPr="001B74DA">
              <w:t>693</w:t>
            </w:r>
          </w:p>
        </w:tc>
        <w:tc>
          <w:tcPr>
            <w:tcW w:w="400" w:type="pct"/>
            <w:tcBorders>
              <w:top w:val="single" w:sz="12" w:space="0" w:color="auto"/>
              <w:right w:val="single" w:sz="4" w:space="0" w:color="auto"/>
            </w:tcBorders>
            <w:shd w:val="clear" w:color="auto" w:fill="F5F5F1"/>
            <w:hideMark/>
          </w:tcPr>
          <w:p w14:paraId="386B801B" w14:textId="77777777" w:rsidR="005A37A3" w:rsidRPr="001B74DA" w:rsidRDefault="005A37A3" w:rsidP="00D60BC4">
            <w:r w:rsidRPr="001B74DA">
              <w:t>153</w:t>
            </w:r>
          </w:p>
        </w:tc>
        <w:tc>
          <w:tcPr>
            <w:tcW w:w="450" w:type="pct"/>
            <w:tcBorders>
              <w:top w:val="single" w:sz="12" w:space="0" w:color="auto"/>
              <w:left w:val="single" w:sz="4" w:space="0" w:color="auto"/>
            </w:tcBorders>
            <w:shd w:val="clear" w:color="auto" w:fill="F5F5F1"/>
            <w:hideMark/>
          </w:tcPr>
          <w:p w14:paraId="0F1E552B" w14:textId="77777777" w:rsidR="005A37A3" w:rsidRPr="001B74DA" w:rsidRDefault="005A37A3" w:rsidP="00D60BC4">
            <w:r w:rsidRPr="001B74DA">
              <w:t>1,766</w:t>
            </w:r>
          </w:p>
        </w:tc>
        <w:tc>
          <w:tcPr>
            <w:tcW w:w="498" w:type="pct"/>
            <w:tcBorders>
              <w:top w:val="single" w:sz="12" w:space="0" w:color="auto"/>
            </w:tcBorders>
            <w:shd w:val="clear" w:color="auto" w:fill="F5F5F1"/>
            <w:hideMark/>
          </w:tcPr>
          <w:p w14:paraId="19B5FF6E" w14:textId="77777777" w:rsidR="005A37A3" w:rsidRPr="001B74DA" w:rsidRDefault="005A37A3" w:rsidP="00D60BC4"/>
        </w:tc>
        <w:tc>
          <w:tcPr>
            <w:tcW w:w="454" w:type="pct"/>
            <w:tcBorders>
              <w:top w:val="single" w:sz="12" w:space="0" w:color="auto"/>
            </w:tcBorders>
            <w:shd w:val="clear" w:color="auto" w:fill="F5F5F1"/>
            <w:hideMark/>
          </w:tcPr>
          <w:p w14:paraId="7614EA43" w14:textId="77777777" w:rsidR="005A37A3" w:rsidRPr="001B74DA" w:rsidRDefault="005A37A3" w:rsidP="00D60BC4"/>
        </w:tc>
        <w:tc>
          <w:tcPr>
            <w:tcW w:w="455" w:type="pct"/>
            <w:tcBorders>
              <w:top w:val="single" w:sz="12" w:space="0" w:color="auto"/>
            </w:tcBorders>
            <w:shd w:val="clear" w:color="auto" w:fill="F5F5F1"/>
            <w:hideMark/>
          </w:tcPr>
          <w:p w14:paraId="1B6BFB3C" w14:textId="77777777" w:rsidR="005A37A3" w:rsidRPr="001B74DA" w:rsidRDefault="005A37A3" w:rsidP="00D60BC4"/>
        </w:tc>
      </w:tr>
      <w:tr w:rsidR="00097BD2" w:rsidRPr="001B74DA" w14:paraId="08F62428" w14:textId="77777777" w:rsidTr="00BF7EB6">
        <w:trPr>
          <w:trHeight w:val="1020"/>
        </w:trPr>
        <w:tc>
          <w:tcPr>
            <w:tcW w:w="1344" w:type="pct"/>
            <w:shd w:val="clear" w:color="auto" w:fill="F5F5F1"/>
            <w:hideMark/>
          </w:tcPr>
          <w:p w14:paraId="34187845" w14:textId="77777777" w:rsidR="005A37A3" w:rsidRPr="001B74DA" w:rsidRDefault="005A37A3" w:rsidP="00D60BC4">
            <w:r w:rsidRPr="001B74DA">
              <w:t>36-week residential schools for children with sensory disabilities and intellectual disabilities</w:t>
            </w:r>
          </w:p>
        </w:tc>
        <w:tc>
          <w:tcPr>
            <w:tcW w:w="501" w:type="pct"/>
            <w:shd w:val="clear" w:color="auto" w:fill="F5F5F1"/>
            <w:hideMark/>
          </w:tcPr>
          <w:p w14:paraId="29CAB37A" w14:textId="77777777" w:rsidR="005A37A3" w:rsidRPr="001B74DA" w:rsidRDefault="005A37A3" w:rsidP="00D60BC4">
            <w:r w:rsidRPr="001B74DA">
              <w:t>2,856</w:t>
            </w:r>
          </w:p>
        </w:tc>
        <w:tc>
          <w:tcPr>
            <w:tcW w:w="449" w:type="pct"/>
            <w:shd w:val="clear" w:color="auto" w:fill="F5F5F1"/>
            <w:hideMark/>
          </w:tcPr>
          <w:p w14:paraId="605422F0" w14:textId="77777777" w:rsidR="005A37A3" w:rsidRPr="001B74DA" w:rsidRDefault="005A37A3" w:rsidP="00D60BC4"/>
        </w:tc>
        <w:tc>
          <w:tcPr>
            <w:tcW w:w="449" w:type="pct"/>
            <w:shd w:val="clear" w:color="auto" w:fill="F5F5F1"/>
            <w:hideMark/>
          </w:tcPr>
          <w:p w14:paraId="16CD464E" w14:textId="77777777" w:rsidR="005A37A3" w:rsidRPr="001B74DA" w:rsidRDefault="005A37A3" w:rsidP="00D60BC4"/>
        </w:tc>
        <w:tc>
          <w:tcPr>
            <w:tcW w:w="400" w:type="pct"/>
            <w:tcBorders>
              <w:right w:val="single" w:sz="4" w:space="0" w:color="auto"/>
            </w:tcBorders>
            <w:shd w:val="clear" w:color="auto" w:fill="F5F5F1"/>
            <w:hideMark/>
          </w:tcPr>
          <w:p w14:paraId="5C0ECE24" w14:textId="77777777" w:rsidR="005A37A3" w:rsidRPr="001B74DA" w:rsidRDefault="005A37A3" w:rsidP="00D60BC4"/>
        </w:tc>
        <w:tc>
          <w:tcPr>
            <w:tcW w:w="450" w:type="pct"/>
            <w:tcBorders>
              <w:left w:val="single" w:sz="4" w:space="0" w:color="auto"/>
            </w:tcBorders>
            <w:shd w:val="clear" w:color="auto" w:fill="F5F5F1"/>
            <w:hideMark/>
          </w:tcPr>
          <w:p w14:paraId="3F071092" w14:textId="77777777" w:rsidR="005A37A3" w:rsidRPr="001B74DA" w:rsidRDefault="005A37A3" w:rsidP="00D60BC4">
            <w:r w:rsidRPr="001B74DA">
              <w:t>2,856</w:t>
            </w:r>
          </w:p>
        </w:tc>
        <w:tc>
          <w:tcPr>
            <w:tcW w:w="498" w:type="pct"/>
            <w:shd w:val="clear" w:color="auto" w:fill="F5F5F1"/>
            <w:hideMark/>
          </w:tcPr>
          <w:p w14:paraId="0D13948C" w14:textId="77777777" w:rsidR="005A37A3" w:rsidRPr="001B74DA" w:rsidRDefault="005A37A3" w:rsidP="00D60BC4"/>
        </w:tc>
        <w:tc>
          <w:tcPr>
            <w:tcW w:w="454" w:type="pct"/>
            <w:shd w:val="clear" w:color="auto" w:fill="F5F5F1"/>
            <w:hideMark/>
          </w:tcPr>
          <w:p w14:paraId="43367ABA" w14:textId="77777777" w:rsidR="005A37A3" w:rsidRPr="001B74DA" w:rsidRDefault="005A37A3" w:rsidP="00D60BC4"/>
        </w:tc>
        <w:tc>
          <w:tcPr>
            <w:tcW w:w="455" w:type="pct"/>
            <w:shd w:val="clear" w:color="auto" w:fill="F5F5F1"/>
            <w:hideMark/>
          </w:tcPr>
          <w:p w14:paraId="1C0F106F" w14:textId="77777777" w:rsidR="005A37A3" w:rsidRPr="001B74DA" w:rsidRDefault="005A37A3" w:rsidP="00D60BC4"/>
        </w:tc>
      </w:tr>
      <w:tr w:rsidR="00097BD2" w:rsidRPr="001B74DA" w14:paraId="3F5B76E1" w14:textId="77777777" w:rsidTr="00BF7EB6">
        <w:trPr>
          <w:trHeight w:val="680"/>
        </w:trPr>
        <w:tc>
          <w:tcPr>
            <w:tcW w:w="1344" w:type="pct"/>
            <w:shd w:val="clear" w:color="auto" w:fill="F5F5F1"/>
            <w:hideMark/>
          </w:tcPr>
          <w:p w14:paraId="65D5BDFD" w14:textId="77777777" w:rsidR="005A37A3" w:rsidRPr="001B74DA" w:rsidRDefault="005A37A3" w:rsidP="00D60BC4">
            <w:r w:rsidRPr="001B74DA">
              <w:lastRenderedPageBreak/>
              <w:t>Homes for children and adolescents with physical disabilities</w:t>
            </w:r>
          </w:p>
        </w:tc>
        <w:tc>
          <w:tcPr>
            <w:tcW w:w="501" w:type="pct"/>
            <w:shd w:val="clear" w:color="auto" w:fill="F5F5F1"/>
            <w:hideMark/>
          </w:tcPr>
          <w:p w14:paraId="53E67A3C" w14:textId="77777777" w:rsidR="005A37A3" w:rsidRPr="001B74DA" w:rsidRDefault="005A37A3" w:rsidP="00D60BC4">
            <w:r w:rsidRPr="001B74DA">
              <w:t>130</w:t>
            </w:r>
          </w:p>
        </w:tc>
        <w:tc>
          <w:tcPr>
            <w:tcW w:w="449" w:type="pct"/>
            <w:shd w:val="clear" w:color="auto" w:fill="F5F5F1"/>
            <w:hideMark/>
          </w:tcPr>
          <w:p w14:paraId="4BEC3C25" w14:textId="77777777" w:rsidR="005A37A3" w:rsidRPr="001B74DA" w:rsidRDefault="005A37A3" w:rsidP="00D60BC4">
            <w:r w:rsidRPr="001B74DA">
              <w:t>43</w:t>
            </w:r>
          </w:p>
        </w:tc>
        <w:tc>
          <w:tcPr>
            <w:tcW w:w="449" w:type="pct"/>
            <w:shd w:val="clear" w:color="auto" w:fill="F5F5F1"/>
            <w:hideMark/>
          </w:tcPr>
          <w:p w14:paraId="40CC23F2" w14:textId="77777777" w:rsidR="005A37A3" w:rsidRPr="001B74DA" w:rsidRDefault="005A37A3" w:rsidP="00D60BC4">
            <w:r w:rsidRPr="001B74DA">
              <w:t>29</w:t>
            </w:r>
          </w:p>
        </w:tc>
        <w:tc>
          <w:tcPr>
            <w:tcW w:w="400" w:type="pct"/>
            <w:tcBorders>
              <w:right w:val="single" w:sz="4" w:space="0" w:color="auto"/>
            </w:tcBorders>
            <w:shd w:val="clear" w:color="auto" w:fill="F5F5F1"/>
            <w:hideMark/>
          </w:tcPr>
          <w:p w14:paraId="728BBFD8" w14:textId="77777777" w:rsidR="005A37A3" w:rsidRPr="001B74DA" w:rsidRDefault="005A37A3" w:rsidP="00D60BC4">
            <w:r w:rsidRPr="001B74DA">
              <w:t>58</w:t>
            </w:r>
          </w:p>
        </w:tc>
        <w:tc>
          <w:tcPr>
            <w:tcW w:w="450" w:type="pct"/>
            <w:tcBorders>
              <w:left w:val="single" w:sz="4" w:space="0" w:color="auto"/>
            </w:tcBorders>
            <w:shd w:val="clear" w:color="auto" w:fill="F5F5F1"/>
            <w:hideMark/>
          </w:tcPr>
          <w:p w14:paraId="764BC5DD" w14:textId="77777777" w:rsidR="005A37A3" w:rsidRPr="001B74DA" w:rsidRDefault="005A37A3" w:rsidP="00D60BC4">
            <w:r w:rsidRPr="001B74DA">
              <w:t>130</w:t>
            </w:r>
          </w:p>
        </w:tc>
        <w:tc>
          <w:tcPr>
            <w:tcW w:w="498" w:type="pct"/>
            <w:shd w:val="clear" w:color="auto" w:fill="F5F5F1"/>
            <w:hideMark/>
          </w:tcPr>
          <w:p w14:paraId="53F2ADFD" w14:textId="77777777" w:rsidR="005A37A3" w:rsidRPr="001B74DA" w:rsidRDefault="005A37A3" w:rsidP="00D60BC4"/>
        </w:tc>
        <w:tc>
          <w:tcPr>
            <w:tcW w:w="454" w:type="pct"/>
            <w:shd w:val="clear" w:color="auto" w:fill="F5F5F1"/>
            <w:hideMark/>
          </w:tcPr>
          <w:p w14:paraId="2009A2BF" w14:textId="77777777" w:rsidR="005A37A3" w:rsidRPr="001B74DA" w:rsidRDefault="005A37A3" w:rsidP="00D60BC4"/>
        </w:tc>
        <w:tc>
          <w:tcPr>
            <w:tcW w:w="455" w:type="pct"/>
            <w:shd w:val="clear" w:color="auto" w:fill="F5F5F1"/>
            <w:hideMark/>
          </w:tcPr>
          <w:p w14:paraId="2CB53914" w14:textId="77777777" w:rsidR="005A37A3" w:rsidRPr="001B74DA" w:rsidRDefault="005A37A3" w:rsidP="00D60BC4"/>
        </w:tc>
      </w:tr>
      <w:tr w:rsidR="00097BD2" w:rsidRPr="001B74DA" w14:paraId="626FB01F" w14:textId="77777777" w:rsidTr="00BF7EB6">
        <w:trPr>
          <w:trHeight w:val="340"/>
        </w:trPr>
        <w:tc>
          <w:tcPr>
            <w:tcW w:w="1344" w:type="pct"/>
            <w:shd w:val="clear" w:color="auto" w:fill="F5F5F1"/>
            <w:hideMark/>
          </w:tcPr>
          <w:p w14:paraId="32EC5B93" w14:textId="77777777" w:rsidR="005A37A3" w:rsidRPr="001B74DA" w:rsidRDefault="005A37A3" w:rsidP="00D60BC4">
            <w:r w:rsidRPr="001B74DA">
              <w:t>Social-vocational training institutions</w:t>
            </w:r>
          </w:p>
        </w:tc>
        <w:tc>
          <w:tcPr>
            <w:tcW w:w="501" w:type="pct"/>
            <w:shd w:val="clear" w:color="auto" w:fill="F5F5F1"/>
            <w:hideMark/>
          </w:tcPr>
          <w:p w14:paraId="3081D4F8" w14:textId="77777777" w:rsidR="005A37A3" w:rsidRPr="001B74DA" w:rsidRDefault="005A37A3" w:rsidP="00D60BC4">
            <w:r w:rsidRPr="001B74DA">
              <w:t>1,347</w:t>
            </w:r>
          </w:p>
        </w:tc>
        <w:tc>
          <w:tcPr>
            <w:tcW w:w="449" w:type="pct"/>
            <w:shd w:val="clear" w:color="auto" w:fill="F5F5F1"/>
            <w:hideMark/>
          </w:tcPr>
          <w:p w14:paraId="7FD3FB44" w14:textId="77777777" w:rsidR="005A37A3" w:rsidRPr="001B74DA" w:rsidRDefault="005A37A3" w:rsidP="00D60BC4">
            <w:r w:rsidRPr="001B74DA">
              <w:t>541</w:t>
            </w:r>
          </w:p>
        </w:tc>
        <w:tc>
          <w:tcPr>
            <w:tcW w:w="449" w:type="pct"/>
            <w:shd w:val="clear" w:color="auto" w:fill="F5F5F1"/>
            <w:hideMark/>
          </w:tcPr>
          <w:p w14:paraId="025B635B" w14:textId="77777777" w:rsidR="005A37A3" w:rsidRPr="001B74DA" w:rsidRDefault="005A37A3" w:rsidP="00D60BC4">
            <w:r w:rsidRPr="001B74DA">
              <w:t>267</w:t>
            </w:r>
          </w:p>
        </w:tc>
        <w:tc>
          <w:tcPr>
            <w:tcW w:w="400" w:type="pct"/>
            <w:tcBorders>
              <w:right w:val="single" w:sz="4" w:space="0" w:color="auto"/>
            </w:tcBorders>
            <w:shd w:val="clear" w:color="auto" w:fill="F5F5F1"/>
            <w:hideMark/>
          </w:tcPr>
          <w:p w14:paraId="06FF5315" w14:textId="77777777" w:rsidR="005A37A3" w:rsidRPr="001B74DA" w:rsidRDefault="005A37A3" w:rsidP="00D60BC4">
            <w:r w:rsidRPr="001B74DA">
              <w:t>539</w:t>
            </w:r>
          </w:p>
        </w:tc>
        <w:tc>
          <w:tcPr>
            <w:tcW w:w="450" w:type="pct"/>
            <w:tcBorders>
              <w:left w:val="single" w:sz="4" w:space="0" w:color="auto"/>
            </w:tcBorders>
            <w:shd w:val="clear" w:color="auto" w:fill="F5F5F1"/>
            <w:hideMark/>
          </w:tcPr>
          <w:p w14:paraId="0C2308E1" w14:textId="77777777" w:rsidR="005A37A3" w:rsidRPr="001B74DA" w:rsidRDefault="005A37A3" w:rsidP="00D60BC4"/>
        </w:tc>
        <w:tc>
          <w:tcPr>
            <w:tcW w:w="498" w:type="pct"/>
            <w:shd w:val="clear" w:color="auto" w:fill="F5F5F1"/>
            <w:hideMark/>
          </w:tcPr>
          <w:p w14:paraId="37184558" w14:textId="77777777" w:rsidR="005A37A3" w:rsidRPr="001B74DA" w:rsidRDefault="005A37A3" w:rsidP="00D60BC4">
            <w:r w:rsidRPr="001B74DA">
              <w:t>1,347</w:t>
            </w:r>
          </w:p>
        </w:tc>
        <w:tc>
          <w:tcPr>
            <w:tcW w:w="454" w:type="pct"/>
            <w:shd w:val="clear" w:color="auto" w:fill="F5F5F1"/>
            <w:hideMark/>
          </w:tcPr>
          <w:p w14:paraId="39291298" w14:textId="77777777" w:rsidR="005A37A3" w:rsidRPr="001B74DA" w:rsidRDefault="005A37A3" w:rsidP="00D60BC4"/>
        </w:tc>
        <w:tc>
          <w:tcPr>
            <w:tcW w:w="455" w:type="pct"/>
            <w:shd w:val="clear" w:color="auto" w:fill="F5F5F1"/>
            <w:hideMark/>
          </w:tcPr>
          <w:p w14:paraId="77BB2B0E" w14:textId="77777777" w:rsidR="005A37A3" w:rsidRPr="001B74DA" w:rsidRDefault="005A37A3" w:rsidP="00D60BC4"/>
        </w:tc>
      </w:tr>
      <w:tr w:rsidR="00097BD2" w:rsidRPr="001B74DA" w14:paraId="35977614" w14:textId="77777777" w:rsidTr="00BF7EB6">
        <w:trPr>
          <w:trHeight w:val="680"/>
        </w:trPr>
        <w:tc>
          <w:tcPr>
            <w:tcW w:w="1344" w:type="pct"/>
            <w:shd w:val="clear" w:color="auto" w:fill="F5F5F1"/>
            <w:hideMark/>
          </w:tcPr>
          <w:p w14:paraId="71C46ECC" w14:textId="77777777" w:rsidR="005A37A3" w:rsidRPr="001B74DA" w:rsidRDefault="005A37A3" w:rsidP="00D60BC4">
            <w:r w:rsidRPr="001B74DA">
              <w:t xml:space="preserve">Wards in homes for medical-social care for children </w:t>
            </w:r>
          </w:p>
        </w:tc>
        <w:tc>
          <w:tcPr>
            <w:tcW w:w="501" w:type="pct"/>
            <w:shd w:val="clear" w:color="auto" w:fill="F5F5F1"/>
            <w:hideMark/>
          </w:tcPr>
          <w:p w14:paraId="17DB8AA3" w14:textId="77777777" w:rsidR="005A37A3" w:rsidRPr="001B74DA" w:rsidRDefault="005A37A3" w:rsidP="00D60BC4">
            <w:r w:rsidRPr="001B74DA">
              <w:t>1,213</w:t>
            </w:r>
          </w:p>
        </w:tc>
        <w:tc>
          <w:tcPr>
            <w:tcW w:w="449" w:type="pct"/>
            <w:shd w:val="clear" w:color="auto" w:fill="F5F5F1"/>
            <w:hideMark/>
          </w:tcPr>
          <w:p w14:paraId="5C6252E0" w14:textId="77777777" w:rsidR="005A37A3" w:rsidRPr="001B74DA" w:rsidRDefault="005A37A3" w:rsidP="00D60BC4"/>
        </w:tc>
        <w:tc>
          <w:tcPr>
            <w:tcW w:w="449" w:type="pct"/>
            <w:shd w:val="clear" w:color="auto" w:fill="F5F5F1"/>
            <w:hideMark/>
          </w:tcPr>
          <w:p w14:paraId="4312360A" w14:textId="77777777" w:rsidR="005A37A3" w:rsidRPr="001B74DA" w:rsidRDefault="005A37A3" w:rsidP="00D60BC4"/>
        </w:tc>
        <w:tc>
          <w:tcPr>
            <w:tcW w:w="400" w:type="pct"/>
            <w:tcBorders>
              <w:right w:val="single" w:sz="4" w:space="0" w:color="auto"/>
            </w:tcBorders>
            <w:shd w:val="clear" w:color="auto" w:fill="F5F5F1"/>
            <w:hideMark/>
          </w:tcPr>
          <w:p w14:paraId="2CAFEF3B" w14:textId="77777777" w:rsidR="005A37A3" w:rsidRPr="001B74DA" w:rsidRDefault="005A37A3" w:rsidP="00D60BC4"/>
        </w:tc>
        <w:tc>
          <w:tcPr>
            <w:tcW w:w="450" w:type="pct"/>
            <w:tcBorders>
              <w:left w:val="single" w:sz="4" w:space="0" w:color="auto"/>
            </w:tcBorders>
            <w:shd w:val="clear" w:color="auto" w:fill="F5F5F1"/>
            <w:hideMark/>
          </w:tcPr>
          <w:p w14:paraId="74797CDA" w14:textId="77777777" w:rsidR="005A37A3" w:rsidRPr="001B74DA" w:rsidRDefault="005A37A3" w:rsidP="00D60BC4"/>
        </w:tc>
        <w:tc>
          <w:tcPr>
            <w:tcW w:w="498" w:type="pct"/>
            <w:shd w:val="clear" w:color="auto" w:fill="F5F5F1"/>
            <w:hideMark/>
          </w:tcPr>
          <w:p w14:paraId="73B7AFE7" w14:textId="77777777" w:rsidR="005A37A3" w:rsidRPr="001B74DA" w:rsidRDefault="005A37A3" w:rsidP="00D60BC4"/>
        </w:tc>
        <w:tc>
          <w:tcPr>
            <w:tcW w:w="454" w:type="pct"/>
            <w:shd w:val="clear" w:color="auto" w:fill="F5F5F1"/>
            <w:hideMark/>
          </w:tcPr>
          <w:p w14:paraId="68E422BB" w14:textId="77777777" w:rsidR="005A37A3" w:rsidRPr="001B74DA" w:rsidRDefault="005A37A3" w:rsidP="00D60BC4"/>
        </w:tc>
        <w:tc>
          <w:tcPr>
            <w:tcW w:w="455" w:type="pct"/>
            <w:shd w:val="clear" w:color="auto" w:fill="F5F5F1"/>
            <w:hideMark/>
          </w:tcPr>
          <w:p w14:paraId="13155CD8" w14:textId="77777777" w:rsidR="005A37A3" w:rsidRPr="001B74DA" w:rsidRDefault="005A37A3" w:rsidP="00D60BC4">
            <w:r w:rsidRPr="001B74DA">
              <w:t>1,213</w:t>
            </w:r>
          </w:p>
        </w:tc>
      </w:tr>
      <w:tr w:rsidR="00097BD2" w:rsidRPr="001B74DA" w14:paraId="55F8E731" w14:textId="77777777" w:rsidTr="00BF7EB6">
        <w:trPr>
          <w:trHeight w:val="340"/>
        </w:trPr>
        <w:tc>
          <w:tcPr>
            <w:tcW w:w="1344" w:type="pct"/>
            <w:shd w:val="clear" w:color="auto" w:fill="F5F5F1"/>
            <w:hideMark/>
          </w:tcPr>
          <w:p w14:paraId="0E99AC2B" w14:textId="77777777" w:rsidR="005A37A3" w:rsidRPr="001B74DA" w:rsidRDefault="005A37A3" w:rsidP="00D60BC4">
            <w:r w:rsidRPr="001B74DA">
              <w:t xml:space="preserve">Group homes </w:t>
            </w:r>
          </w:p>
        </w:tc>
        <w:tc>
          <w:tcPr>
            <w:tcW w:w="501" w:type="pct"/>
            <w:shd w:val="clear" w:color="auto" w:fill="F5F5F1"/>
            <w:hideMark/>
          </w:tcPr>
          <w:p w14:paraId="386EAB5D" w14:textId="77777777" w:rsidR="005A37A3" w:rsidRPr="001B74DA" w:rsidRDefault="005A37A3" w:rsidP="00D60BC4">
            <w:r w:rsidRPr="001B74DA">
              <w:t>120</w:t>
            </w:r>
          </w:p>
        </w:tc>
        <w:tc>
          <w:tcPr>
            <w:tcW w:w="449" w:type="pct"/>
            <w:shd w:val="clear" w:color="auto" w:fill="F5F5F1"/>
            <w:hideMark/>
          </w:tcPr>
          <w:p w14:paraId="08B0DC0A" w14:textId="77777777" w:rsidR="005A37A3" w:rsidRPr="001B74DA" w:rsidRDefault="005A37A3" w:rsidP="00D60BC4"/>
        </w:tc>
        <w:tc>
          <w:tcPr>
            <w:tcW w:w="449" w:type="pct"/>
            <w:shd w:val="clear" w:color="auto" w:fill="F5F5F1"/>
            <w:hideMark/>
          </w:tcPr>
          <w:p w14:paraId="03F62987" w14:textId="77777777" w:rsidR="005A37A3" w:rsidRPr="001B74DA" w:rsidRDefault="005A37A3" w:rsidP="00D60BC4"/>
        </w:tc>
        <w:tc>
          <w:tcPr>
            <w:tcW w:w="400" w:type="pct"/>
            <w:tcBorders>
              <w:right w:val="single" w:sz="4" w:space="0" w:color="auto"/>
            </w:tcBorders>
            <w:shd w:val="clear" w:color="auto" w:fill="F5F5F1"/>
            <w:hideMark/>
          </w:tcPr>
          <w:p w14:paraId="15A3D4DF" w14:textId="77777777" w:rsidR="005A37A3" w:rsidRPr="001B74DA" w:rsidRDefault="005A37A3" w:rsidP="00D60BC4"/>
        </w:tc>
        <w:tc>
          <w:tcPr>
            <w:tcW w:w="450" w:type="pct"/>
            <w:tcBorders>
              <w:left w:val="single" w:sz="4" w:space="0" w:color="auto"/>
            </w:tcBorders>
            <w:shd w:val="clear" w:color="auto" w:fill="F5F5F1"/>
            <w:hideMark/>
          </w:tcPr>
          <w:p w14:paraId="492A24A9" w14:textId="77777777" w:rsidR="005A37A3" w:rsidRPr="001B74DA" w:rsidRDefault="005A37A3" w:rsidP="00D60BC4"/>
        </w:tc>
        <w:tc>
          <w:tcPr>
            <w:tcW w:w="498" w:type="pct"/>
            <w:shd w:val="clear" w:color="auto" w:fill="F5F5F1"/>
            <w:hideMark/>
          </w:tcPr>
          <w:p w14:paraId="70CD4354" w14:textId="77777777" w:rsidR="005A37A3" w:rsidRPr="001B74DA" w:rsidRDefault="005A37A3" w:rsidP="00D60BC4"/>
        </w:tc>
        <w:tc>
          <w:tcPr>
            <w:tcW w:w="454" w:type="pct"/>
            <w:shd w:val="clear" w:color="auto" w:fill="F5F5F1"/>
            <w:hideMark/>
          </w:tcPr>
          <w:p w14:paraId="0D9CE8DA" w14:textId="77777777" w:rsidR="005A37A3" w:rsidRPr="001B74DA" w:rsidRDefault="005A37A3" w:rsidP="00D60BC4"/>
        </w:tc>
        <w:tc>
          <w:tcPr>
            <w:tcW w:w="455" w:type="pct"/>
            <w:shd w:val="clear" w:color="auto" w:fill="F5F5F1"/>
            <w:hideMark/>
          </w:tcPr>
          <w:p w14:paraId="579DA612" w14:textId="77777777" w:rsidR="005A37A3" w:rsidRPr="001B74DA" w:rsidRDefault="005A37A3" w:rsidP="00D60BC4">
            <w:r w:rsidRPr="001B74DA">
              <w:t>120</w:t>
            </w:r>
          </w:p>
        </w:tc>
      </w:tr>
      <w:tr w:rsidR="00097BD2" w:rsidRPr="001B74DA" w14:paraId="0D843B0B" w14:textId="77777777" w:rsidTr="00BF7EB6">
        <w:trPr>
          <w:trHeight w:val="340"/>
        </w:trPr>
        <w:tc>
          <w:tcPr>
            <w:tcW w:w="1344" w:type="pct"/>
            <w:shd w:val="clear" w:color="auto" w:fill="F5F5F1"/>
            <w:hideMark/>
          </w:tcPr>
          <w:p w14:paraId="48CA16CC" w14:textId="77777777" w:rsidR="005A37A3" w:rsidRPr="001B74DA" w:rsidRDefault="005A37A3" w:rsidP="00D60BC4">
            <w:r w:rsidRPr="001B74DA">
              <w:t>Social vocational boarding schools</w:t>
            </w:r>
          </w:p>
        </w:tc>
        <w:tc>
          <w:tcPr>
            <w:tcW w:w="501" w:type="pct"/>
            <w:shd w:val="clear" w:color="auto" w:fill="F5F5F1"/>
            <w:hideMark/>
          </w:tcPr>
          <w:p w14:paraId="0BD95B57" w14:textId="77777777" w:rsidR="005A37A3" w:rsidRPr="001B74DA" w:rsidRDefault="005A37A3" w:rsidP="00D60BC4"/>
        </w:tc>
        <w:tc>
          <w:tcPr>
            <w:tcW w:w="449" w:type="pct"/>
            <w:shd w:val="clear" w:color="auto" w:fill="F5F5F1"/>
            <w:hideMark/>
          </w:tcPr>
          <w:p w14:paraId="2C91DA2B" w14:textId="77777777" w:rsidR="005A37A3" w:rsidRPr="001B74DA" w:rsidRDefault="005A37A3" w:rsidP="00D60BC4"/>
        </w:tc>
        <w:tc>
          <w:tcPr>
            <w:tcW w:w="449" w:type="pct"/>
            <w:shd w:val="clear" w:color="auto" w:fill="F5F5F1"/>
            <w:hideMark/>
          </w:tcPr>
          <w:p w14:paraId="726B7AFC" w14:textId="77777777" w:rsidR="005A37A3" w:rsidRPr="001B74DA" w:rsidRDefault="005A37A3" w:rsidP="00D60BC4"/>
        </w:tc>
        <w:tc>
          <w:tcPr>
            <w:tcW w:w="400" w:type="pct"/>
            <w:tcBorders>
              <w:right w:val="single" w:sz="4" w:space="0" w:color="auto"/>
            </w:tcBorders>
            <w:shd w:val="clear" w:color="auto" w:fill="F5F5F1"/>
            <w:hideMark/>
          </w:tcPr>
          <w:p w14:paraId="205A0DCF" w14:textId="77777777" w:rsidR="005A37A3" w:rsidRPr="001B74DA" w:rsidRDefault="005A37A3" w:rsidP="00D60BC4"/>
        </w:tc>
        <w:tc>
          <w:tcPr>
            <w:tcW w:w="450" w:type="pct"/>
            <w:tcBorders>
              <w:left w:val="single" w:sz="4" w:space="0" w:color="auto"/>
            </w:tcBorders>
            <w:shd w:val="clear" w:color="auto" w:fill="F5F5F1"/>
            <w:hideMark/>
          </w:tcPr>
          <w:p w14:paraId="39D08635" w14:textId="77777777" w:rsidR="005A37A3" w:rsidRPr="001B74DA" w:rsidRDefault="005A37A3" w:rsidP="00D60BC4"/>
        </w:tc>
        <w:tc>
          <w:tcPr>
            <w:tcW w:w="498" w:type="pct"/>
            <w:shd w:val="clear" w:color="auto" w:fill="F5F5F1"/>
            <w:hideMark/>
          </w:tcPr>
          <w:p w14:paraId="0FB96816" w14:textId="77777777" w:rsidR="005A37A3" w:rsidRPr="001B74DA" w:rsidRDefault="005A37A3" w:rsidP="00D60BC4"/>
        </w:tc>
        <w:tc>
          <w:tcPr>
            <w:tcW w:w="454" w:type="pct"/>
            <w:shd w:val="clear" w:color="auto" w:fill="F5F5F1"/>
            <w:hideMark/>
          </w:tcPr>
          <w:p w14:paraId="56DADCBF" w14:textId="77777777" w:rsidR="005A37A3" w:rsidRPr="001B74DA" w:rsidRDefault="005A37A3" w:rsidP="00D60BC4"/>
        </w:tc>
        <w:tc>
          <w:tcPr>
            <w:tcW w:w="455" w:type="pct"/>
            <w:shd w:val="clear" w:color="auto" w:fill="F5F5F1"/>
            <w:hideMark/>
          </w:tcPr>
          <w:p w14:paraId="2553738A" w14:textId="77777777" w:rsidR="005A37A3" w:rsidRPr="001B74DA" w:rsidRDefault="005A37A3" w:rsidP="00D60BC4"/>
        </w:tc>
      </w:tr>
      <w:tr w:rsidR="00097BD2" w:rsidRPr="001B74DA" w14:paraId="265B8E55" w14:textId="77777777" w:rsidTr="00BF7EB6">
        <w:trPr>
          <w:trHeight w:val="340"/>
        </w:trPr>
        <w:tc>
          <w:tcPr>
            <w:tcW w:w="1344" w:type="pct"/>
            <w:shd w:val="clear" w:color="auto" w:fill="F5F5F1"/>
            <w:hideMark/>
          </w:tcPr>
          <w:p w14:paraId="24D9DA88" w14:textId="77777777" w:rsidR="005A37A3" w:rsidRPr="001B74DA" w:rsidRDefault="005A37A3" w:rsidP="00D60BC4">
            <w:r w:rsidRPr="001B74DA">
              <w:t>Psychiatric wards in hospitals</w:t>
            </w:r>
          </w:p>
        </w:tc>
        <w:tc>
          <w:tcPr>
            <w:tcW w:w="501" w:type="pct"/>
            <w:shd w:val="clear" w:color="auto" w:fill="F5F5F1"/>
            <w:hideMark/>
          </w:tcPr>
          <w:p w14:paraId="54A15C76" w14:textId="77777777" w:rsidR="005A37A3" w:rsidRPr="001B74DA" w:rsidRDefault="005A37A3" w:rsidP="00D60BC4"/>
        </w:tc>
        <w:tc>
          <w:tcPr>
            <w:tcW w:w="449" w:type="pct"/>
            <w:shd w:val="clear" w:color="auto" w:fill="F5F5F1"/>
            <w:hideMark/>
          </w:tcPr>
          <w:p w14:paraId="4D64F887" w14:textId="77777777" w:rsidR="005A37A3" w:rsidRPr="001B74DA" w:rsidRDefault="005A37A3" w:rsidP="00D60BC4"/>
        </w:tc>
        <w:tc>
          <w:tcPr>
            <w:tcW w:w="449" w:type="pct"/>
            <w:shd w:val="clear" w:color="auto" w:fill="F5F5F1"/>
            <w:hideMark/>
          </w:tcPr>
          <w:p w14:paraId="359F2ED5" w14:textId="77777777" w:rsidR="005A37A3" w:rsidRPr="001B74DA" w:rsidRDefault="005A37A3" w:rsidP="00D60BC4"/>
        </w:tc>
        <w:tc>
          <w:tcPr>
            <w:tcW w:w="400" w:type="pct"/>
            <w:tcBorders>
              <w:right w:val="single" w:sz="4" w:space="0" w:color="auto"/>
            </w:tcBorders>
            <w:shd w:val="clear" w:color="auto" w:fill="F5F5F1"/>
            <w:hideMark/>
          </w:tcPr>
          <w:p w14:paraId="36D46869" w14:textId="77777777" w:rsidR="005A37A3" w:rsidRPr="001B74DA" w:rsidRDefault="005A37A3" w:rsidP="00D60BC4"/>
        </w:tc>
        <w:tc>
          <w:tcPr>
            <w:tcW w:w="450" w:type="pct"/>
            <w:tcBorders>
              <w:left w:val="single" w:sz="4" w:space="0" w:color="auto"/>
            </w:tcBorders>
            <w:shd w:val="clear" w:color="auto" w:fill="F5F5F1"/>
            <w:hideMark/>
          </w:tcPr>
          <w:p w14:paraId="0DB6657B" w14:textId="77777777" w:rsidR="005A37A3" w:rsidRPr="001B74DA" w:rsidRDefault="005A37A3" w:rsidP="00D60BC4"/>
        </w:tc>
        <w:tc>
          <w:tcPr>
            <w:tcW w:w="498" w:type="pct"/>
            <w:shd w:val="clear" w:color="auto" w:fill="F5F5F1"/>
            <w:hideMark/>
          </w:tcPr>
          <w:p w14:paraId="295FD14A" w14:textId="77777777" w:rsidR="005A37A3" w:rsidRPr="001B74DA" w:rsidRDefault="005A37A3" w:rsidP="00D60BC4"/>
        </w:tc>
        <w:tc>
          <w:tcPr>
            <w:tcW w:w="454" w:type="pct"/>
            <w:shd w:val="clear" w:color="auto" w:fill="F5F5F1"/>
            <w:hideMark/>
          </w:tcPr>
          <w:p w14:paraId="5BECC0CC" w14:textId="77777777" w:rsidR="005A37A3" w:rsidRPr="001B74DA" w:rsidRDefault="005A37A3" w:rsidP="00D60BC4"/>
        </w:tc>
        <w:tc>
          <w:tcPr>
            <w:tcW w:w="455" w:type="pct"/>
            <w:shd w:val="clear" w:color="auto" w:fill="F5F5F1"/>
            <w:hideMark/>
          </w:tcPr>
          <w:p w14:paraId="24AD45CD" w14:textId="77777777" w:rsidR="005A37A3" w:rsidRPr="001B74DA" w:rsidRDefault="005A37A3" w:rsidP="00D60BC4"/>
        </w:tc>
      </w:tr>
      <w:tr w:rsidR="00097BD2" w:rsidRPr="001B74DA" w14:paraId="23FB1FD6" w14:textId="77777777" w:rsidTr="00BF7EB6">
        <w:trPr>
          <w:trHeight w:val="460"/>
        </w:trPr>
        <w:tc>
          <w:tcPr>
            <w:tcW w:w="1344" w:type="pct"/>
            <w:shd w:val="clear" w:color="auto" w:fill="F5F5F1"/>
            <w:hideMark/>
          </w:tcPr>
          <w:p w14:paraId="217029F3" w14:textId="77777777" w:rsidR="005A37A3" w:rsidRPr="001B74DA" w:rsidRDefault="005A37A3" w:rsidP="00D60BC4">
            <w:r w:rsidRPr="001B74DA">
              <w:t>Homes for adults with sensory disabilities</w:t>
            </w:r>
          </w:p>
        </w:tc>
        <w:tc>
          <w:tcPr>
            <w:tcW w:w="501" w:type="pct"/>
            <w:shd w:val="clear" w:color="auto" w:fill="F5F5F1"/>
            <w:hideMark/>
          </w:tcPr>
          <w:p w14:paraId="6706054C" w14:textId="77777777" w:rsidR="005A37A3" w:rsidRPr="001B74DA" w:rsidRDefault="005A37A3" w:rsidP="00D60BC4">
            <w:r w:rsidRPr="001B74DA">
              <w:t>148</w:t>
            </w:r>
          </w:p>
        </w:tc>
        <w:tc>
          <w:tcPr>
            <w:tcW w:w="449" w:type="pct"/>
            <w:shd w:val="clear" w:color="auto" w:fill="F5F5F1"/>
            <w:hideMark/>
          </w:tcPr>
          <w:p w14:paraId="6D063363" w14:textId="77777777" w:rsidR="005A37A3" w:rsidRPr="001B74DA" w:rsidRDefault="005A37A3" w:rsidP="00D60BC4">
            <w:r w:rsidRPr="001B74DA">
              <w:t>47</w:t>
            </w:r>
          </w:p>
        </w:tc>
        <w:tc>
          <w:tcPr>
            <w:tcW w:w="449" w:type="pct"/>
            <w:shd w:val="clear" w:color="auto" w:fill="F5F5F1"/>
            <w:hideMark/>
          </w:tcPr>
          <w:p w14:paraId="21EE43B2" w14:textId="77777777" w:rsidR="005A37A3" w:rsidRPr="001B74DA" w:rsidRDefault="005A37A3" w:rsidP="00D60BC4">
            <w:r w:rsidRPr="001B74DA">
              <w:t>85</w:t>
            </w:r>
          </w:p>
        </w:tc>
        <w:tc>
          <w:tcPr>
            <w:tcW w:w="400" w:type="pct"/>
            <w:tcBorders>
              <w:right w:val="single" w:sz="4" w:space="0" w:color="auto"/>
            </w:tcBorders>
            <w:shd w:val="clear" w:color="auto" w:fill="F5F5F1"/>
            <w:hideMark/>
          </w:tcPr>
          <w:p w14:paraId="4CA7B857" w14:textId="77777777" w:rsidR="005A37A3" w:rsidRPr="001B74DA" w:rsidRDefault="005A37A3" w:rsidP="00D60BC4">
            <w:r w:rsidRPr="001B74DA">
              <w:t>16</w:t>
            </w:r>
          </w:p>
        </w:tc>
        <w:tc>
          <w:tcPr>
            <w:tcW w:w="450" w:type="pct"/>
            <w:tcBorders>
              <w:left w:val="single" w:sz="4" w:space="0" w:color="auto"/>
            </w:tcBorders>
            <w:shd w:val="clear" w:color="auto" w:fill="F5F5F1"/>
            <w:hideMark/>
          </w:tcPr>
          <w:p w14:paraId="5957AFAE" w14:textId="77777777" w:rsidR="005A37A3" w:rsidRPr="001B74DA" w:rsidRDefault="005A37A3" w:rsidP="00D60BC4"/>
        </w:tc>
        <w:tc>
          <w:tcPr>
            <w:tcW w:w="498" w:type="pct"/>
            <w:shd w:val="clear" w:color="auto" w:fill="F5F5F1"/>
            <w:hideMark/>
          </w:tcPr>
          <w:p w14:paraId="13FB8A65" w14:textId="77777777" w:rsidR="005A37A3" w:rsidRPr="001B74DA" w:rsidRDefault="005A37A3" w:rsidP="00D60BC4"/>
        </w:tc>
        <w:tc>
          <w:tcPr>
            <w:tcW w:w="454" w:type="pct"/>
            <w:shd w:val="clear" w:color="auto" w:fill="F5F5F1"/>
            <w:hideMark/>
          </w:tcPr>
          <w:p w14:paraId="33F8F28C" w14:textId="77777777" w:rsidR="005A37A3" w:rsidRPr="001B74DA" w:rsidRDefault="005A37A3" w:rsidP="00D60BC4">
            <w:r w:rsidRPr="001B74DA">
              <w:t>148</w:t>
            </w:r>
          </w:p>
        </w:tc>
        <w:tc>
          <w:tcPr>
            <w:tcW w:w="455" w:type="pct"/>
            <w:shd w:val="clear" w:color="auto" w:fill="F5F5F1"/>
            <w:hideMark/>
          </w:tcPr>
          <w:p w14:paraId="707DC4FD" w14:textId="77777777" w:rsidR="005A37A3" w:rsidRPr="001B74DA" w:rsidRDefault="005A37A3" w:rsidP="00D60BC4"/>
        </w:tc>
      </w:tr>
      <w:tr w:rsidR="00097BD2" w:rsidRPr="001B74DA" w14:paraId="76F8DDD2" w14:textId="77777777" w:rsidTr="00BF7EB6">
        <w:trPr>
          <w:trHeight w:val="481"/>
        </w:trPr>
        <w:tc>
          <w:tcPr>
            <w:tcW w:w="1344" w:type="pct"/>
            <w:shd w:val="clear" w:color="auto" w:fill="F5F5F1"/>
            <w:hideMark/>
          </w:tcPr>
          <w:p w14:paraId="74012D61" w14:textId="77777777" w:rsidR="005A37A3" w:rsidRPr="001B74DA" w:rsidRDefault="005A37A3" w:rsidP="00D60BC4">
            <w:r w:rsidRPr="001B74DA">
              <w:t>Homes for adults with mental retardation</w:t>
            </w:r>
          </w:p>
        </w:tc>
        <w:tc>
          <w:tcPr>
            <w:tcW w:w="501" w:type="pct"/>
            <w:shd w:val="clear" w:color="auto" w:fill="F5F5F1"/>
            <w:hideMark/>
          </w:tcPr>
          <w:p w14:paraId="6C36DDDE" w14:textId="77777777" w:rsidR="005A37A3" w:rsidRPr="001B74DA" w:rsidRDefault="005A37A3" w:rsidP="00D60BC4">
            <w:r w:rsidRPr="001B74DA">
              <w:t>2,513</w:t>
            </w:r>
          </w:p>
        </w:tc>
        <w:tc>
          <w:tcPr>
            <w:tcW w:w="449" w:type="pct"/>
            <w:shd w:val="clear" w:color="auto" w:fill="F5F5F1"/>
            <w:hideMark/>
          </w:tcPr>
          <w:p w14:paraId="0FEA82C4" w14:textId="77777777" w:rsidR="005A37A3" w:rsidRPr="001B74DA" w:rsidRDefault="005A37A3" w:rsidP="00D60BC4">
            <w:r w:rsidRPr="001B74DA">
              <w:t>1,220</w:t>
            </w:r>
          </w:p>
        </w:tc>
        <w:tc>
          <w:tcPr>
            <w:tcW w:w="449" w:type="pct"/>
            <w:shd w:val="clear" w:color="auto" w:fill="F5F5F1"/>
            <w:hideMark/>
          </w:tcPr>
          <w:p w14:paraId="32A74915" w14:textId="77777777" w:rsidR="005A37A3" w:rsidRPr="001B74DA" w:rsidRDefault="005A37A3" w:rsidP="00D60BC4">
            <w:r w:rsidRPr="001B74DA">
              <w:t>1,200</w:t>
            </w:r>
          </w:p>
        </w:tc>
        <w:tc>
          <w:tcPr>
            <w:tcW w:w="400" w:type="pct"/>
            <w:tcBorders>
              <w:right w:val="single" w:sz="4" w:space="0" w:color="auto"/>
            </w:tcBorders>
            <w:shd w:val="clear" w:color="auto" w:fill="F5F5F1"/>
            <w:hideMark/>
          </w:tcPr>
          <w:p w14:paraId="56AB8717" w14:textId="77777777" w:rsidR="005A37A3" w:rsidRPr="001B74DA" w:rsidRDefault="005A37A3" w:rsidP="00D60BC4">
            <w:r w:rsidRPr="001B74DA">
              <w:t>93</w:t>
            </w:r>
          </w:p>
        </w:tc>
        <w:tc>
          <w:tcPr>
            <w:tcW w:w="450" w:type="pct"/>
            <w:tcBorders>
              <w:left w:val="single" w:sz="4" w:space="0" w:color="auto"/>
            </w:tcBorders>
            <w:shd w:val="clear" w:color="auto" w:fill="F5F5F1"/>
            <w:hideMark/>
          </w:tcPr>
          <w:p w14:paraId="0D6A5CBE" w14:textId="77777777" w:rsidR="005A37A3" w:rsidRPr="001B74DA" w:rsidRDefault="005A37A3" w:rsidP="00D60BC4"/>
        </w:tc>
        <w:tc>
          <w:tcPr>
            <w:tcW w:w="498" w:type="pct"/>
            <w:shd w:val="clear" w:color="auto" w:fill="F5F5F1"/>
            <w:hideMark/>
          </w:tcPr>
          <w:p w14:paraId="4474A144" w14:textId="77777777" w:rsidR="005A37A3" w:rsidRPr="001B74DA" w:rsidRDefault="005A37A3" w:rsidP="00D60BC4"/>
        </w:tc>
        <w:tc>
          <w:tcPr>
            <w:tcW w:w="454" w:type="pct"/>
            <w:shd w:val="clear" w:color="auto" w:fill="F5F5F1"/>
            <w:hideMark/>
          </w:tcPr>
          <w:p w14:paraId="495B890A" w14:textId="77777777" w:rsidR="005A37A3" w:rsidRPr="001B74DA" w:rsidRDefault="005A37A3" w:rsidP="00D60BC4">
            <w:r w:rsidRPr="001B74DA">
              <w:t>2,512</w:t>
            </w:r>
          </w:p>
        </w:tc>
        <w:tc>
          <w:tcPr>
            <w:tcW w:w="455" w:type="pct"/>
            <w:shd w:val="clear" w:color="auto" w:fill="F5F5F1"/>
            <w:hideMark/>
          </w:tcPr>
          <w:p w14:paraId="57A52E95" w14:textId="77777777" w:rsidR="005A37A3" w:rsidRPr="001B74DA" w:rsidRDefault="005A37A3" w:rsidP="00D60BC4"/>
        </w:tc>
      </w:tr>
      <w:tr w:rsidR="00097BD2" w:rsidRPr="001B74DA" w14:paraId="79BBCBC7" w14:textId="77777777" w:rsidTr="00BF7EB6">
        <w:trPr>
          <w:trHeight w:val="503"/>
        </w:trPr>
        <w:tc>
          <w:tcPr>
            <w:tcW w:w="1344" w:type="pct"/>
            <w:shd w:val="clear" w:color="auto" w:fill="F5F5F1"/>
            <w:hideMark/>
          </w:tcPr>
          <w:p w14:paraId="4462BD5F" w14:textId="77777777" w:rsidR="005A37A3" w:rsidRPr="001B74DA" w:rsidRDefault="005A37A3" w:rsidP="00D60BC4">
            <w:r w:rsidRPr="001B74DA">
              <w:t>Homes for adults with physical disabilities</w:t>
            </w:r>
          </w:p>
        </w:tc>
        <w:tc>
          <w:tcPr>
            <w:tcW w:w="501" w:type="pct"/>
            <w:shd w:val="clear" w:color="auto" w:fill="F5F5F1"/>
            <w:hideMark/>
          </w:tcPr>
          <w:p w14:paraId="1B07B790" w14:textId="77777777" w:rsidR="005A37A3" w:rsidRPr="001B74DA" w:rsidRDefault="005A37A3" w:rsidP="00D60BC4">
            <w:r w:rsidRPr="001B74DA">
              <w:t>1,800</w:t>
            </w:r>
          </w:p>
        </w:tc>
        <w:tc>
          <w:tcPr>
            <w:tcW w:w="449" w:type="pct"/>
            <w:shd w:val="clear" w:color="auto" w:fill="F5F5F1"/>
            <w:hideMark/>
          </w:tcPr>
          <w:p w14:paraId="1219BED2" w14:textId="77777777" w:rsidR="005A37A3" w:rsidRPr="001B74DA" w:rsidRDefault="005A37A3" w:rsidP="00D60BC4">
            <w:r w:rsidRPr="001B74DA">
              <w:t>760</w:t>
            </w:r>
          </w:p>
        </w:tc>
        <w:tc>
          <w:tcPr>
            <w:tcW w:w="449" w:type="pct"/>
            <w:shd w:val="clear" w:color="auto" w:fill="F5F5F1"/>
            <w:hideMark/>
          </w:tcPr>
          <w:p w14:paraId="00BA37EA" w14:textId="77777777" w:rsidR="005A37A3" w:rsidRPr="001B74DA" w:rsidRDefault="005A37A3" w:rsidP="00D60BC4">
            <w:r w:rsidRPr="001B74DA">
              <w:t>724</w:t>
            </w:r>
          </w:p>
        </w:tc>
        <w:tc>
          <w:tcPr>
            <w:tcW w:w="400" w:type="pct"/>
            <w:tcBorders>
              <w:right w:val="single" w:sz="4" w:space="0" w:color="auto"/>
            </w:tcBorders>
            <w:shd w:val="clear" w:color="auto" w:fill="F5F5F1"/>
            <w:hideMark/>
          </w:tcPr>
          <w:p w14:paraId="02FFB346" w14:textId="77777777" w:rsidR="005A37A3" w:rsidRPr="001B74DA" w:rsidRDefault="005A37A3" w:rsidP="00D60BC4">
            <w:r w:rsidRPr="001B74DA">
              <w:t>316</w:t>
            </w:r>
          </w:p>
        </w:tc>
        <w:tc>
          <w:tcPr>
            <w:tcW w:w="450" w:type="pct"/>
            <w:tcBorders>
              <w:left w:val="single" w:sz="4" w:space="0" w:color="auto"/>
            </w:tcBorders>
            <w:shd w:val="clear" w:color="auto" w:fill="F5F5F1"/>
            <w:hideMark/>
          </w:tcPr>
          <w:p w14:paraId="268D3ECD" w14:textId="77777777" w:rsidR="005A37A3" w:rsidRPr="001B74DA" w:rsidRDefault="005A37A3" w:rsidP="00D60BC4"/>
        </w:tc>
        <w:tc>
          <w:tcPr>
            <w:tcW w:w="498" w:type="pct"/>
            <w:shd w:val="clear" w:color="auto" w:fill="F5F5F1"/>
            <w:hideMark/>
          </w:tcPr>
          <w:p w14:paraId="13AF108F" w14:textId="77777777" w:rsidR="005A37A3" w:rsidRPr="001B74DA" w:rsidRDefault="005A37A3" w:rsidP="00D60BC4"/>
        </w:tc>
        <w:tc>
          <w:tcPr>
            <w:tcW w:w="454" w:type="pct"/>
            <w:shd w:val="clear" w:color="auto" w:fill="F5F5F1"/>
            <w:hideMark/>
          </w:tcPr>
          <w:p w14:paraId="3E1AED1E" w14:textId="77777777" w:rsidR="005A37A3" w:rsidRPr="001B74DA" w:rsidRDefault="005A37A3" w:rsidP="00D60BC4">
            <w:r w:rsidRPr="001B74DA">
              <w:t>1,600</w:t>
            </w:r>
          </w:p>
        </w:tc>
        <w:tc>
          <w:tcPr>
            <w:tcW w:w="455" w:type="pct"/>
            <w:shd w:val="clear" w:color="auto" w:fill="F5F5F1"/>
            <w:hideMark/>
          </w:tcPr>
          <w:p w14:paraId="2A076BB5" w14:textId="77777777" w:rsidR="005A37A3" w:rsidRPr="001B74DA" w:rsidRDefault="005A37A3" w:rsidP="00D60BC4">
            <w:r w:rsidRPr="001B74DA">
              <w:t>200</w:t>
            </w:r>
          </w:p>
        </w:tc>
      </w:tr>
      <w:tr w:rsidR="00097BD2" w:rsidRPr="001B74DA" w14:paraId="09BB975C" w14:textId="77777777" w:rsidTr="00BF7EB6">
        <w:trPr>
          <w:trHeight w:val="340"/>
        </w:trPr>
        <w:tc>
          <w:tcPr>
            <w:tcW w:w="1344" w:type="pct"/>
            <w:shd w:val="clear" w:color="auto" w:fill="F5F5F1"/>
            <w:hideMark/>
          </w:tcPr>
          <w:p w14:paraId="34858702" w14:textId="77777777" w:rsidR="005A37A3" w:rsidRPr="001B74DA" w:rsidRDefault="005A37A3" w:rsidP="00D60BC4">
            <w:r w:rsidRPr="001B74DA">
              <w:t>Homes for adults with dementia</w:t>
            </w:r>
          </w:p>
        </w:tc>
        <w:tc>
          <w:tcPr>
            <w:tcW w:w="501" w:type="pct"/>
            <w:shd w:val="clear" w:color="auto" w:fill="F5F5F1"/>
            <w:hideMark/>
          </w:tcPr>
          <w:p w14:paraId="019918FE" w14:textId="77777777" w:rsidR="005A37A3" w:rsidRPr="001B74DA" w:rsidRDefault="005A37A3" w:rsidP="00D60BC4">
            <w:r w:rsidRPr="001B74DA">
              <w:t>869</w:t>
            </w:r>
          </w:p>
        </w:tc>
        <w:tc>
          <w:tcPr>
            <w:tcW w:w="449" w:type="pct"/>
            <w:shd w:val="clear" w:color="auto" w:fill="F5F5F1"/>
            <w:hideMark/>
          </w:tcPr>
          <w:p w14:paraId="696083C4" w14:textId="77777777" w:rsidR="005A37A3" w:rsidRPr="001B74DA" w:rsidRDefault="005A37A3" w:rsidP="00D60BC4">
            <w:r w:rsidRPr="001B74DA">
              <w:t>352</w:t>
            </w:r>
          </w:p>
        </w:tc>
        <w:tc>
          <w:tcPr>
            <w:tcW w:w="449" w:type="pct"/>
            <w:shd w:val="clear" w:color="auto" w:fill="F5F5F1"/>
            <w:hideMark/>
          </w:tcPr>
          <w:p w14:paraId="36ABD896" w14:textId="77777777" w:rsidR="005A37A3" w:rsidRPr="001B74DA" w:rsidRDefault="005A37A3" w:rsidP="00D60BC4">
            <w:r w:rsidRPr="001B74DA">
              <w:t>386</w:t>
            </w:r>
          </w:p>
        </w:tc>
        <w:tc>
          <w:tcPr>
            <w:tcW w:w="400" w:type="pct"/>
            <w:tcBorders>
              <w:right w:val="single" w:sz="4" w:space="0" w:color="auto"/>
            </w:tcBorders>
            <w:shd w:val="clear" w:color="auto" w:fill="F5F5F1"/>
            <w:hideMark/>
          </w:tcPr>
          <w:p w14:paraId="79A0C463" w14:textId="77777777" w:rsidR="005A37A3" w:rsidRPr="001B74DA" w:rsidRDefault="005A37A3" w:rsidP="00D60BC4">
            <w:r w:rsidRPr="001B74DA">
              <w:t>738</w:t>
            </w:r>
          </w:p>
        </w:tc>
        <w:tc>
          <w:tcPr>
            <w:tcW w:w="450" w:type="pct"/>
            <w:tcBorders>
              <w:left w:val="single" w:sz="4" w:space="0" w:color="auto"/>
            </w:tcBorders>
            <w:shd w:val="clear" w:color="auto" w:fill="F5F5F1"/>
            <w:hideMark/>
          </w:tcPr>
          <w:p w14:paraId="279AF843" w14:textId="77777777" w:rsidR="005A37A3" w:rsidRPr="001B74DA" w:rsidRDefault="005A37A3" w:rsidP="00D60BC4"/>
        </w:tc>
        <w:tc>
          <w:tcPr>
            <w:tcW w:w="498" w:type="pct"/>
            <w:shd w:val="clear" w:color="auto" w:fill="F5F5F1"/>
            <w:hideMark/>
          </w:tcPr>
          <w:p w14:paraId="7F32E433" w14:textId="77777777" w:rsidR="005A37A3" w:rsidRPr="001B74DA" w:rsidRDefault="005A37A3" w:rsidP="00D60BC4"/>
        </w:tc>
        <w:tc>
          <w:tcPr>
            <w:tcW w:w="454" w:type="pct"/>
            <w:shd w:val="clear" w:color="auto" w:fill="F5F5F1"/>
            <w:hideMark/>
          </w:tcPr>
          <w:p w14:paraId="5E696BC4" w14:textId="77777777" w:rsidR="005A37A3" w:rsidRPr="001B74DA" w:rsidRDefault="005A37A3" w:rsidP="00D60BC4">
            <w:r w:rsidRPr="001B74DA">
              <w:t>869</w:t>
            </w:r>
          </w:p>
        </w:tc>
        <w:tc>
          <w:tcPr>
            <w:tcW w:w="455" w:type="pct"/>
            <w:shd w:val="clear" w:color="auto" w:fill="F5F5F1"/>
            <w:hideMark/>
          </w:tcPr>
          <w:p w14:paraId="0D582622" w14:textId="77777777" w:rsidR="005A37A3" w:rsidRPr="001B74DA" w:rsidRDefault="005A37A3" w:rsidP="00D60BC4"/>
        </w:tc>
      </w:tr>
      <w:tr w:rsidR="00097BD2" w:rsidRPr="001B74DA" w14:paraId="41DB2596" w14:textId="77777777" w:rsidTr="00BF7EB6">
        <w:trPr>
          <w:trHeight w:val="340"/>
        </w:trPr>
        <w:tc>
          <w:tcPr>
            <w:tcW w:w="1344" w:type="pct"/>
            <w:shd w:val="clear" w:color="auto" w:fill="F5F5F1"/>
            <w:hideMark/>
          </w:tcPr>
          <w:p w14:paraId="7CAA4FF4" w14:textId="77777777" w:rsidR="005A37A3" w:rsidRPr="001B74DA" w:rsidRDefault="005A37A3" w:rsidP="00D60BC4">
            <w:r w:rsidRPr="001B74DA">
              <w:t>Homes for adults with psychic disorders</w:t>
            </w:r>
          </w:p>
        </w:tc>
        <w:tc>
          <w:tcPr>
            <w:tcW w:w="501" w:type="pct"/>
            <w:shd w:val="clear" w:color="auto" w:fill="F5F5F1"/>
            <w:hideMark/>
          </w:tcPr>
          <w:p w14:paraId="2CCA31F0" w14:textId="77777777" w:rsidR="005A37A3" w:rsidRPr="001B74DA" w:rsidRDefault="005A37A3" w:rsidP="00D60BC4">
            <w:r w:rsidRPr="001B74DA">
              <w:t>1,376</w:t>
            </w:r>
          </w:p>
        </w:tc>
        <w:tc>
          <w:tcPr>
            <w:tcW w:w="449" w:type="pct"/>
            <w:shd w:val="clear" w:color="auto" w:fill="F5F5F1"/>
            <w:hideMark/>
          </w:tcPr>
          <w:p w14:paraId="63EA860C" w14:textId="77777777" w:rsidR="005A37A3" w:rsidRPr="001B74DA" w:rsidRDefault="005A37A3" w:rsidP="00D60BC4">
            <w:r w:rsidRPr="001B74DA">
              <w:t>549</w:t>
            </w:r>
          </w:p>
        </w:tc>
        <w:tc>
          <w:tcPr>
            <w:tcW w:w="449" w:type="pct"/>
            <w:shd w:val="clear" w:color="auto" w:fill="F5F5F1"/>
            <w:hideMark/>
          </w:tcPr>
          <w:p w14:paraId="37256D9A" w14:textId="77777777" w:rsidR="005A37A3" w:rsidRPr="001B74DA" w:rsidRDefault="005A37A3" w:rsidP="00D60BC4">
            <w:r w:rsidRPr="001B74DA">
              <w:t>799</w:t>
            </w:r>
          </w:p>
        </w:tc>
        <w:tc>
          <w:tcPr>
            <w:tcW w:w="400" w:type="pct"/>
            <w:tcBorders>
              <w:right w:val="single" w:sz="4" w:space="0" w:color="auto"/>
            </w:tcBorders>
            <w:shd w:val="clear" w:color="auto" w:fill="F5F5F1"/>
            <w:hideMark/>
          </w:tcPr>
          <w:p w14:paraId="31EA6E5C" w14:textId="77777777" w:rsidR="005A37A3" w:rsidRPr="001B74DA" w:rsidRDefault="005A37A3" w:rsidP="00D60BC4">
            <w:r w:rsidRPr="001B74DA">
              <w:t>28</w:t>
            </w:r>
          </w:p>
        </w:tc>
        <w:tc>
          <w:tcPr>
            <w:tcW w:w="450" w:type="pct"/>
            <w:tcBorders>
              <w:left w:val="single" w:sz="4" w:space="0" w:color="auto"/>
            </w:tcBorders>
            <w:shd w:val="clear" w:color="auto" w:fill="F5F5F1"/>
            <w:hideMark/>
          </w:tcPr>
          <w:p w14:paraId="099888DB" w14:textId="77777777" w:rsidR="005A37A3" w:rsidRPr="001B74DA" w:rsidRDefault="005A37A3" w:rsidP="00D60BC4"/>
        </w:tc>
        <w:tc>
          <w:tcPr>
            <w:tcW w:w="498" w:type="pct"/>
            <w:shd w:val="clear" w:color="auto" w:fill="F5F5F1"/>
            <w:hideMark/>
          </w:tcPr>
          <w:p w14:paraId="3BC6ED56" w14:textId="77777777" w:rsidR="005A37A3" w:rsidRPr="001B74DA" w:rsidRDefault="005A37A3" w:rsidP="00D60BC4"/>
        </w:tc>
        <w:tc>
          <w:tcPr>
            <w:tcW w:w="454" w:type="pct"/>
            <w:shd w:val="clear" w:color="auto" w:fill="F5F5F1"/>
            <w:hideMark/>
          </w:tcPr>
          <w:p w14:paraId="598BC36C" w14:textId="77777777" w:rsidR="005A37A3" w:rsidRPr="001B74DA" w:rsidRDefault="005A37A3" w:rsidP="00D60BC4">
            <w:r w:rsidRPr="001B74DA">
              <w:t>1,376</w:t>
            </w:r>
          </w:p>
        </w:tc>
        <w:tc>
          <w:tcPr>
            <w:tcW w:w="455" w:type="pct"/>
            <w:shd w:val="clear" w:color="auto" w:fill="F5F5F1"/>
            <w:hideMark/>
          </w:tcPr>
          <w:p w14:paraId="61D4F580" w14:textId="77777777" w:rsidR="005A37A3" w:rsidRPr="001B74DA" w:rsidRDefault="005A37A3" w:rsidP="00D60BC4"/>
        </w:tc>
      </w:tr>
      <w:tr w:rsidR="00097BD2" w:rsidRPr="001B74DA" w14:paraId="425873EB" w14:textId="77777777" w:rsidTr="00BF7EB6">
        <w:trPr>
          <w:trHeight w:val="340"/>
        </w:trPr>
        <w:tc>
          <w:tcPr>
            <w:tcW w:w="1344" w:type="pct"/>
            <w:tcBorders>
              <w:bottom w:val="single" w:sz="12" w:space="0" w:color="auto"/>
            </w:tcBorders>
            <w:shd w:val="clear" w:color="auto" w:fill="F5F5F1"/>
            <w:hideMark/>
          </w:tcPr>
          <w:p w14:paraId="0F3DCF86" w14:textId="77777777" w:rsidR="005A37A3" w:rsidRPr="001B74DA" w:rsidRDefault="005A37A3" w:rsidP="00D60BC4">
            <w:r w:rsidRPr="001B74DA">
              <w:t>Psychiatric hospitals</w:t>
            </w:r>
          </w:p>
        </w:tc>
        <w:tc>
          <w:tcPr>
            <w:tcW w:w="501" w:type="pct"/>
            <w:tcBorders>
              <w:bottom w:val="single" w:sz="12" w:space="0" w:color="auto"/>
            </w:tcBorders>
            <w:shd w:val="clear" w:color="auto" w:fill="F5F5F1"/>
            <w:hideMark/>
          </w:tcPr>
          <w:p w14:paraId="514F0DF6" w14:textId="77777777" w:rsidR="005A37A3" w:rsidRPr="001B74DA" w:rsidRDefault="005A37A3" w:rsidP="00D60BC4"/>
        </w:tc>
        <w:tc>
          <w:tcPr>
            <w:tcW w:w="449" w:type="pct"/>
            <w:tcBorders>
              <w:bottom w:val="single" w:sz="12" w:space="0" w:color="auto"/>
            </w:tcBorders>
            <w:shd w:val="clear" w:color="auto" w:fill="F5F5F1"/>
            <w:hideMark/>
          </w:tcPr>
          <w:p w14:paraId="60D77EBE" w14:textId="77777777" w:rsidR="005A37A3" w:rsidRPr="001B74DA" w:rsidRDefault="005A37A3" w:rsidP="00D60BC4"/>
        </w:tc>
        <w:tc>
          <w:tcPr>
            <w:tcW w:w="449" w:type="pct"/>
            <w:tcBorders>
              <w:bottom w:val="single" w:sz="12" w:space="0" w:color="auto"/>
            </w:tcBorders>
            <w:shd w:val="clear" w:color="auto" w:fill="F5F5F1"/>
            <w:hideMark/>
          </w:tcPr>
          <w:p w14:paraId="462619D6" w14:textId="77777777" w:rsidR="005A37A3" w:rsidRPr="001B74DA" w:rsidRDefault="005A37A3" w:rsidP="00D60BC4"/>
        </w:tc>
        <w:tc>
          <w:tcPr>
            <w:tcW w:w="400" w:type="pct"/>
            <w:tcBorders>
              <w:bottom w:val="single" w:sz="12" w:space="0" w:color="auto"/>
              <w:right w:val="single" w:sz="4" w:space="0" w:color="auto"/>
            </w:tcBorders>
            <w:shd w:val="clear" w:color="auto" w:fill="F5F5F1"/>
            <w:hideMark/>
          </w:tcPr>
          <w:p w14:paraId="3EBA0647" w14:textId="77777777" w:rsidR="005A37A3" w:rsidRPr="001B74DA" w:rsidRDefault="005A37A3" w:rsidP="00D60BC4"/>
        </w:tc>
        <w:tc>
          <w:tcPr>
            <w:tcW w:w="450" w:type="pct"/>
            <w:tcBorders>
              <w:left w:val="single" w:sz="4" w:space="0" w:color="auto"/>
              <w:bottom w:val="single" w:sz="12" w:space="0" w:color="auto"/>
            </w:tcBorders>
            <w:shd w:val="clear" w:color="auto" w:fill="F5F5F1"/>
            <w:hideMark/>
          </w:tcPr>
          <w:p w14:paraId="018F9BFA" w14:textId="77777777" w:rsidR="005A37A3" w:rsidRPr="001B74DA" w:rsidRDefault="005A37A3" w:rsidP="00D60BC4"/>
        </w:tc>
        <w:tc>
          <w:tcPr>
            <w:tcW w:w="498" w:type="pct"/>
            <w:tcBorders>
              <w:bottom w:val="single" w:sz="12" w:space="0" w:color="auto"/>
            </w:tcBorders>
            <w:shd w:val="clear" w:color="auto" w:fill="F5F5F1"/>
            <w:hideMark/>
          </w:tcPr>
          <w:p w14:paraId="7D5F728D" w14:textId="77777777" w:rsidR="005A37A3" w:rsidRPr="001B74DA" w:rsidRDefault="005A37A3" w:rsidP="00D60BC4"/>
        </w:tc>
        <w:tc>
          <w:tcPr>
            <w:tcW w:w="454" w:type="pct"/>
            <w:tcBorders>
              <w:bottom w:val="single" w:sz="12" w:space="0" w:color="auto"/>
            </w:tcBorders>
            <w:shd w:val="clear" w:color="auto" w:fill="F5F5F1"/>
            <w:hideMark/>
          </w:tcPr>
          <w:p w14:paraId="51BA75EC" w14:textId="77777777" w:rsidR="005A37A3" w:rsidRPr="001B74DA" w:rsidRDefault="005A37A3" w:rsidP="00D60BC4"/>
        </w:tc>
        <w:tc>
          <w:tcPr>
            <w:tcW w:w="455" w:type="pct"/>
            <w:tcBorders>
              <w:bottom w:val="single" w:sz="12" w:space="0" w:color="auto"/>
            </w:tcBorders>
            <w:shd w:val="clear" w:color="auto" w:fill="F5F5F1"/>
            <w:hideMark/>
          </w:tcPr>
          <w:p w14:paraId="794AB6EC" w14:textId="77777777" w:rsidR="005A37A3" w:rsidRPr="001B74DA" w:rsidRDefault="005A37A3" w:rsidP="00D60BC4"/>
        </w:tc>
      </w:tr>
      <w:tr w:rsidR="00097BD2" w:rsidRPr="001B74DA" w14:paraId="549CBC9E" w14:textId="77777777" w:rsidTr="00BF7EB6">
        <w:trPr>
          <w:trHeight w:val="340"/>
        </w:trPr>
        <w:tc>
          <w:tcPr>
            <w:tcW w:w="1344" w:type="pct"/>
            <w:tcBorders>
              <w:top w:val="single" w:sz="12" w:space="0" w:color="auto"/>
              <w:bottom w:val="single" w:sz="12" w:space="0" w:color="auto"/>
            </w:tcBorders>
            <w:shd w:val="clear" w:color="auto" w:fill="F5F5F1"/>
            <w:vAlign w:val="bottom"/>
            <w:hideMark/>
          </w:tcPr>
          <w:p w14:paraId="5663E5B2" w14:textId="77777777" w:rsidR="005A37A3" w:rsidRPr="001B74DA" w:rsidRDefault="005A37A3" w:rsidP="005A37A3">
            <w:pPr>
              <w:rPr>
                <w:b/>
                <w:bCs/>
                <w:i/>
                <w:iCs/>
              </w:rPr>
            </w:pPr>
            <w:r w:rsidRPr="001B74DA">
              <w:rPr>
                <w:b/>
                <w:bCs/>
                <w:i/>
                <w:iCs/>
              </w:rPr>
              <w:t>Totals</w:t>
            </w:r>
          </w:p>
        </w:tc>
        <w:tc>
          <w:tcPr>
            <w:tcW w:w="501" w:type="pct"/>
            <w:tcBorders>
              <w:top w:val="single" w:sz="12" w:space="0" w:color="auto"/>
              <w:bottom w:val="single" w:sz="12" w:space="0" w:color="auto"/>
            </w:tcBorders>
            <w:shd w:val="clear" w:color="auto" w:fill="F5F5F1"/>
            <w:vAlign w:val="bottom"/>
            <w:hideMark/>
          </w:tcPr>
          <w:p w14:paraId="516FCA02" w14:textId="77777777" w:rsidR="005A37A3" w:rsidRPr="001B74DA" w:rsidRDefault="005A37A3" w:rsidP="005A37A3">
            <w:r w:rsidRPr="001B74DA">
              <w:t>14,138</w:t>
            </w:r>
          </w:p>
        </w:tc>
        <w:tc>
          <w:tcPr>
            <w:tcW w:w="449" w:type="pct"/>
            <w:tcBorders>
              <w:top w:val="single" w:sz="12" w:space="0" w:color="auto"/>
              <w:bottom w:val="single" w:sz="12" w:space="0" w:color="auto"/>
            </w:tcBorders>
            <w:shd w:val="clear" w:color="auto" w:fill="F5F5F1"/>
            <w:vAlign w:val="bottom"/>
            <w:hideMark/>
          </w:tcPr>
          <w:p w14:paraId="48A5A197" w14:textId="77777777" w:rsidR="005A37A3" w:rsidRPr="001B74DA" w:rsidRDefault="005A37A3" w:rsidP="005A37A3">
            <w:r w:rsidRPr="001B74DA">
              <w:t>4,432</w:t>
            </w:r>
          </w:p>
        </w:tc>
        <w:tc>
          <w:tcPr>
            <w:tcW w:w="449" w:type="pct"/>
            <w:tcBorders>
              <w:top w:val="single" w:sz="12" w:space="0" w:color="auto"/>
              <w:bottom w:val="single" w:sz="12" w:space="0" w:color="auto"/>
            </w:tcBorders>
            <w:shd w:val="clear" w:color="auto" w:fill="F5F5F1"/>
            <w:vAlign w:val="bottom"/>
            <w:hideMark/>
          </w:tcPr>
          <w:p w14:paraId="15350928" w14:textId="77777777" w:rsidR="005A37A3" w:rsidRPr="001B74DA" w:rsidRDefault="005A37A3" w:rsidP="005A37A3">
            <w:r w:rsidRPr="001B74DA">
              <w:t>4,183</w:t>
            </w:r>
          </w:p>
        </w:tc>
        <w:tc>
          <w:tcPr>
            <w:tcW w:w="400" w:type="pct"/>
            <w:tcBorders>
              <w:top w:val="single" w:sz="12" w:space="0" w:color="auto"/>
              <w:bottom w:val="single" w:sz="12" w:space="0" w:color="auto"/>
              <w:right w:val="single" w:sz="4" w:space="0" w:color="auto"/>
            </w:tcBorders>
            <w:shd w:val="clear" w:color="auto" w:fill="F5F5F1"/>
            <w:vAlign w:val="bottom"/>
            <w:hideMark/>
          </w:tcPr>
          <w:p w14:paraId="2EACFB34" w14:textId="77777777" w:rsidR="005A37A3" w:rsidRPr="001B74DA" w:rsidRDefault="005A37A3" w:rsidP="005A37A3">
            <w:r w:rsidRPr="001B74DA">
              <w:t>465</w:t>
            </w:r>
          </w:p>
        </w:tc>
        <w:tc>
          <w:tcPr>
            <w:tcW w:w="450" w:type="pct"/>
            <w:tcBorders>
              <w:top w:val="single" w:sz="12" w:space="0" w:color="auto"/>
              <w:left w:val="single" w:sz="4" w:space="0" w:color="auto"/>
              <w:bottom w:val="single" w:sz="12" w:space="0" w:color="auto"/>
            </w:tcBorders>
            <w:shd w:val="clear" w:color="auto" w:fill="F5F5F1"/>
            <w:vAlign w:val="bottom"/>
            <w:hideMark/>
          </w:tcPr>
          <w:p w14:paraId="3D2DD228" w14:textId="77777777" w:rsidR="005A37A3" w:rsidRPr="001B74DA" w:rsidRDefault="005A37A3" w:rsidP="005A37A3">
            <w:r w:rsidRPr="001B74DA">
              <w:t>4,752</w:t>
            </w:r>
          </w:p>
        </w:tc>
        <w:tc>
          <w:tcPr>
            <w:tcW w:w="498" w:type="pct"/>
            <w:tcBorders>
              <w:top w:val="single" w:sz="12" w:space="0" w:color="auto"/>
              <w:bottom w:val="single" w:sz="12" w:space="0" w:color="auto"/>
            </w:tcBorders>
            <w:shd w:val="clear" w:color="auto" w:fill="F5F5F1"/>
            <w:vAlign w:val="bottom"/>
            <w:hideMark/>
          </w:tcPr>
          <w:p w14:paraId="21E42153" w14:textId="77777777" w:rsidR="005A37A3" w:rsidRPr="001B74DA" w:rsidRDefault="005A37A3" w:rsidP="005A37A3">
            <w:r w:rsidRPr="001B74DA">
              <w:t>1,347</w:t>
            </w:r>
          </w:p>
        </w:tc>
        <w:tc>
          <w:tcPr>
            <w:tcW w:w="454" w:type="pct"/>
            <w:tcBorders>
              <w:top w:val="single" w:sz="12" w:space="0" w:color="auto"/>
              <w:bottom w:val="single" w:sz="12" w:space="0" w:color="auto"/>
            </w:tcBorders>
            <w:shd w:val="clear" w:color="auto" w:fill="F5F5F1"/>
            <w:vAlign w:val="bottom"/>
            <w:hideMark/>
          </w:tcPr>
          <w:p w14:paraId="47DF29FE" w14:textId="77777777" w:rsidR="005A37A3" w:rsidRPr="001B74DA" w:rsidRDefault="005A37A3" w:rsidP="005A37A3">
            <w:r w:rsidRPr="001B74DA">
              <w:t>6,506</w:t>
            </w:r>
          </w:p>
        </w:tc>
        <w:tc>
          <w:tcPr>
            <w:tcW w:w="455" w:type="pct"/>
            <w:tcBorders>
              <w:top w:val="single" w:sz="12" w:space="0" w:color="auto"/>
              <w:bottom w:val="single" w:sz="12" w:space="0" w:color="auto"/>
            </w:tcBorders>
            <w:shd w:val="clear" w:color="auto" w:fill="F5F5F1"/>
            <w:vAlign w:val="bottom"/>
            <w:hideMark/>
          </w:tcPr>
          <w:p w14:paraId="575AE1FE" w14:textId="77777777" w:rsidR="005A37A3" w:rsidRPr="001B74DA" w:rsidRDefault="005A37A3" w:rsidP="005A37A3">
            <w:r w:rsidRPr="001B74DA">
              <w:t>1,533</w:t>
            </w:r>
          </w:p>
        </w:tc>
      </w:tr>
      <w:tr w:rsidR="005A37A3" w:rsidRPr="001B74DA" w14:paraId="2B40115D" w14:textId="77777777" w:rsidTr="005A37A3">
        <w:trPr>
          <w:trHeight w:val="340"/>
        </w:trPr>
        <w:tc>
          <w:tcPr>
            <w:tcW w:w="5000" w:type="pct"/>
            <w:gridSpan w:val="9"/>
            <w:tcBorders>
              <w:top w:val="single" w:sz="12" w:space="0" w:color="auto"/>
            </w:tcBorders>
            <w:shd w:val="clear" w:color="auto" w:fill="auto"/>
            <w:vAlign w:val="bottom"/>
          </w:tcPr>
          <w:p w14:paraId="4CC7E243" w14:textId="13CB67AE" w:rsidR="005A37A3" w:rsidRPr="001B74DA" w:rsidDel="009E1700" w:rsidRDefault="005A37A3" w:rsidP="005A37A3">
            <w:pPr>
              <w:rPr>
                <w:sz w:val="18"/>
                <w:szCs w:val="16"/>
              </w:rPr>
            </w:pPr>
            <w:r w:rsidRPr="001B74DA">
              <w:rPr>
                <w:i/>
                <w:iCs/>
                <w:sz w:val="18"/>
                <w:szCs w:val="16"/>
              </w:rPr>
              <w:t>Source</w:t>
            </w:r>
            <w:r w:rsidRPr="001B74DA">
              <w:rPr>
                <w:sz w:val="18"/>
                <w:szCs w:val="16"/>
              </w:rPr>
              <w:t xml:space="preserve">: Julie Beadle-Brown and Agnes </w:t>
            </w:r>
            <w:proofErr w:type="spellStart"/>
            <w:r w:rsidRPr="001B74DA">
              <w:rPr>
                <w:sz w:val="18"/>
                <w:szCs w:val="16"/>
              </w:rPr>
              <w:t>Kozma</w:t>
            </w:r>
            <w:proofErr w:type="spellEnd"/>
            <w:r w:rsidRPr="001B74DA">
              <w:rPr>
                <w:sz w:val="18"/>
                <w:szCs w:val="16"/>
              </w:rPr>
              <w:t xml:space="preserve">, eds., </w:t>
            </w:r>
            <w:r w:rsidRPr="001B74DA">
              <w:rPr>
                <w:i/>
                <w:iCs/>
                <w:sz w:val="18"/>
                <w:szCs w:val="16"/>
              </w:rPr>
              <w:t>Deinstitutionalisation and community living – outcomes and costs: report of a European Study</w:t>
            </w:r>
            <w:r w:rsidRPr="001B74DA">
              <w:rPr>
                <w:sz w:val="18"/>
                <w:szCs w:val="16"/>
              </w:rPr>
              <w:t xml:space="preserve">, vol. 3, </w:t>
            </w:r>
            <w:r w:rsidRPr="001B74DA">
              <w:rPr>
                <w:i/>
                <w:iCs/>
                <w:sz w:val="18"/>
                <w:szCs w:val="16"/>
              </w:rPr>
              <w:t>Country Reports</w:t>
            </w:r>
            <w:r w:rsidRPr="001B74DA">
              <w:rPr>
                <w:sz w:val="18"/>
                <w:szCs w:val="16"/>
              </w:rPr>
              <w:t xml:space="preserve"> (Canterbury, Tizard Centre, University of Kent, 2007), p. 41</w:t>
            </w:r>
            <w:r w:rsidR="00B755A7" w:rsidRPr="001B74DA">
              <w:rPr>
                <w:sz w:val="18"/>
                <w:szCs w:val="16"/>
              </w:rPr>
              <w:br/>
            </w:r>
            <w:r w:rsidRPr="001B74DA">
              <w:rPr>
                <w:i/>
                <w:iCs/>
                <w:sz w:val="18"/>
                <w:szCs w:val="16"/>
              </w:rPr>
              <w:t xml:space="preserve">Notes: </w:t>
            </w:r>
            <w:r w:rsidRPr="001B74DA">
              <w:rPr>
                <w:sz w:val="18"/>
                <w:szCs w:val="16"/>
              </w:rPr>
              <w:t>Categories as specified in the source.</w:t>
            </w:r>
          </w:p>
        </w:tc>
      </w:tr>
    </w:tbl>
    <w:p w14:paraId="53E6DB46" w14:textId="77777777" w:rsidR="005A37A3" w:rsidRPr="001B74DA" w:rsidRDefault="005A37A3" w:rsidP="005A37A3">
      <w:pPr>
        <w:jc w:val="both"/>
        <w:rPr>
          <w:rFonts w:asciiTheme="minorHAnsi" w:hAnsiTheme="minorHAnsi" w:cstheme="minorHAnsi"/>
        </w:rPr>
      </w:pPr>
    </w:p>
    <w:p w14:paraId="5A76F900" w14:textId="77777777" w:rsidR="005A37A3" w:rsidRPr="001B74DA" w:rsidRDefault="005A37A3" w:rsidP="005A37A3">
      <w:r w:rsidRPr="001B74DA">
        <w:t>Macedonia’s “National Deinstitutionalisation Strategy of the Republic of Macedonia 2018–2020 ‘</w:t>
      </w:r>
      <w:proofErr w:type="spellStart"/>
      <w:r w:rsidRPr="001B74DA">
        <w:t>Timjanik</w:t>
      </w:r>
      <w:proofErr w:type="spellEnd"/>
      <w:r w:rsidRPr="001B74DA">
        <w:t>’ and its Action Plan”, sets out data on the number of children and adults in institutional care, as presented in table 2.</w:t>
      </w:r>
    </w:p>
    <w:p w14:paraId="347E646B" w14:textId="77777777" w:rsidR="00B755A7" w:rsidRPr="001B74DA" w:rsidRDefault="00B755A7">
      <w:pPr>
        <w:spacing w:before="0" w:after="0" w:line="240" w:lineRule="auto"/>
        <w:rPr>
          <w:rFonts w:eastAsiaTheme="majorEastAsia" w:cstheme="majorBidi"/>
          <w:b/>
          <w:iCs/>
          <w:color w:val="000000" w:themeColor="text1"/>
          <w:szCs w:val="23"/>
        </w:rPr>
      </w:pPr>
      <w:r w:rsidRPr="001B74DA">
        <w:rPr>
          <w:b/>
          <w:bCs/>
        </w:rPr>
        <w:br w:type="page"/>
      </w:r>
    </w:p>
    <w:p w14:paraId="3DCAF5A4" w14:textId="54ED73C0" w:rsidR="005A37A3" w:rsidRPr="001B74DA" w:rsidRDefault="005A37A3" w:rsidP="005A37A3">
      <w:pPr>
        <w:pStyle w:val="TableHeader"/>
        <w:rPr>
          <w:rStyle w:val="Hyperlink"/>
          <w:rFonts w:eastAsiaTheme="majorEastAsia" w:cstheme="majorBidi"/>
          <w:color w:val="000000" w:themeColor="text1"/>
          <w:u w:val="none"/>
        </w:rPr>
      </w:pPr>
      <w:r w:rsidRPr="001B74DA">
        <w:rPr>
          <w:rFonts w:eastAsiaTheme="majorEastAsia" w:cstheme="majorBidi"/>
          <w:b/>
          <w:bCs w:val="0"/>
        </w:rPr>
        <w:lastRenderedPageBreak/>
        <w:t>Table 2:</w:t>
      </w:r>
      <w:r w:rsidRPr="001B74DA">
        <w:rPr>
          <w:rFonts w:eastAsiaTheme="majorEastAsia" w:cstheme="majorBidi"/>
        </w:rPr>
        <w:t xml:space="preserve"> Macedonia: Number of children and adults in institutional care by degree of disability (2005)</w:t>
      </w:r>
    </w:p>
    <w:tbl>
      <w:tblPr>
        <w:tblW w:w="5000" w:type="pct"/>
        <w:shd w:val="clear" w:color="auto" w:fill="F5F5F1"/>
        <w:tblLayout w:type="fixed"/>
        <w:tblLook w:val="04A0" w:firstRow="1" w:lastRow="0" w:firstColumn="1" w:lastColumn="0" w:noHBand="0" w:noVBand="1"/>
      </w:tblPr>
      <w:tblGrid>
        <w:gridCol w:w="4420"/>
        <w:gridCol w:w="4600"/>
      </w:tblGrid>
      <w:tr w:rsidR="005A37A3" w:rsidRPr="001B74DA" w14:paraId="49310F61" w14:textId="77777777" w:rsidTr="005A37A3">
        <w:trPr>
          <w:trHeight w:val="320"/>
        </w:trPr>
        <w:tc>
          <w:tcPr>
            <w:tcW w:w="2450" w:type="pct"/>
            <w:tcBorders>
              <w:top w:val="single" w:sz="12" w:space="0" w:color="auto"/>
              <w:bottom w:val="single" w:sz="12" w:space="0" w:color="auto"/>
            </w:tcBorders>
            <w:shd w:val="clear" w:color="auto" w:fill="F5F5F1"/>
            <w:noWrap/>
            <w:vAlign w:val="bottom"/>
            <w:hideMark/>
          </w:tcPr>
          <w:p w14:paraId="2E3E626E" w14:textId="77777777" w:rsidR="005A37A3" w:rsidRPr="001B74DA" w:rsidRDefault="005A37A3" w:rsidP="005A37A3">
            <w:pPr>
              <w:pStyle w:val="TableHeaderRow"/>
            </w:pPr>
            <w:r w:rsidRPr="001B74DA">
              <w:t>Group</w:t>
            </w:r>
          </w:p>
        </w:tc>
        <w:tc>
          <w:tcPr>
            <w:tcW w:w="2550" w:type="pct"/>
            <w:tcBorders>
              <w:top w:val="single" w:sz="12" w:space="0" w:color="auto"/>
              <w:bottom w:val="single" w:sz="12" w:space="0" w:color="auto"/>
            </w:tcBorders>
            <w:shd w:val="clear" w:color="auto" w:fill="F5F5F1"/>
            <w:noWrap/>
            <w:vAlign w:val="bottom"/>
            <w:hideMark/>
          </w:tcPr>
          <w:p w14:paraId="2A52E53D" w14:textId="77777777" w:rsidR="005A37A3" w:rsidRPr="001B74DA" w:rsidRDefault="005A37A3" w:rsidP="005A37A3">
            <w:pPr>
              <w:pStyle w:val="TableHeaderRow"/>
            </w:pPr>
            <w:r w:rsidRPr="001B74DA">
              <w:t>Number of residents in institutional care</w:t>
            </w:r>
          </w:p>
        </w:tc>
      </w:tr>
      <w:tr w:rsidR="005A37A3" w:rsidRPr="001B74DA" w14:paraId="7E0EF11B" w14:textId="77777777" w:rsidTr="00BF7EB6">
        <w:trPr>
          <w:trHeight w:val="320"/>
        </w:trPr>
        <w:tc>
          <w:tcPr>
            <w:tcW w:w="2450" w:type="pct"/>
            <w:tcBorders>
              <w:top w:val="single" w:sz="12" w:space="0" w:color="auto"/>
            </w:tcBorders>
            <w:shd w:val="clear" w:color="auto" w:fill="F5F5F1"/>
            <w:noWrap/>
            <w:vAlign w:val="bottom"/>
            <w:hideMark/>
          </w:tcPr>
          <w:p w14:paraId="7A27DB3E" w14:textId="77777777" w:rsidR="005A37A3" w:rsidRPr="001B74DA" w:rsidRDefault="005A37A3" w:rsidP="005A37A3">
            <w:r w:rsidRPr="001B74DA">
              <w:t>Children with disabilities</w:t>
            </w:r>
          </w:p>
        </w:tc>
        <w:tc>
          <w:tcPr>
            <w:tcW w:w="2550" w:type="pct"/>
            <w:tcBorders>
              <w:top w:val="single" w:sz="12" w:space="0" w:color="auto"/>
            </w:tcBorders>
            <w:shd w:val="clear" w:color="auto" w:fill="F5F5F1"/>
            <w:noWrap/>
            <w:hideMark/>
          </w:tcPr>
          <w:p w14:paraId="6612E603" w14:textId="77777777" w:rsidR="005A37A3" w:rsidRPr="001B74DA" w:rsidRDefault="005A37A3" w:rsidP="00BF7EB6">
            <w:r w:rsidRPr="001B74DA">
              <w:t>42</w:t>
            </w:r>
          </w:p>
        </w:tc>
      </w:tr>
      <w:tr w:rsidR="005A37A3" w:rsidRPr="001B74DA" w14:paraId="51EDEE02" w14:textId="77777777" w:rsidTr="00BF7EB6">
        <w:trPr>
          <w:trHeight w:val="320"/>
        </w:trPr>
        <w:tc>
          <w:tcPr>
            <w:tcW w:w="2450" w:type="pct"/>
            <w:shd w:val="clear" w:color="auto" w:fill="F5F5F1"/>
            <w:noWrap/>
            <w:vAlign w:val="bottom"/>
            <w:hideMark/>
          </w:tcPr>
          <w:p w14:paraId="1E4487DB" w14:textId="77777777" w:rsidR="005A37A3" w:rsidRPr="001B74DA" w:rsidRDefault="005A37A3" w:rsidP="005A37A3">
            <w:r w:rsidRPr="001B74DA">
              <w:t>Children with social difficulties</w:t>
            </w:r>
          </w:p>
        </w:tc>
        <w:tc>
          <w:tcPr>
            <w:tcW w:w="2550" w:type="pct"/>
            <w:shd w:val="clear" w:color="auto" w:fill="F5F5F1"/>
            <w:noWrap/>
            <w:hideMark/>
          </w:tcPr>
          <w:p w14:paraId="461C9787" w14:textId="77777777" w:rsidR="005A37A3" w:rsidRPr="001B74DA" w:rsidRDefault="005A37A3" w:rsidP="00BF7EB6">
            <w:r w:rsidRPr="001B74DA">
              <w:t>200</w:t>
            </w:r>
          </w:p>
        </w:tc>
      </w:tr>
      <w:tr w:rsidR="005A37A3" w:rsidRPr="001B74DA" w14:paraId="500DA5F2" w14:textId="77777777" w:rsidTr="00BF7EB6">
        <w:trPr>
          <w:trHeight w:val="320"/>
        </w:trPr>
        <w:tc>
          <w:tcPr>
            <w:tcW w:w="2450" w:type="pct"/>
            <w:shd w:val="clear" w:color="auto" w:fill="F5F5F1"/>
            <w:noWrap/>
            <w:vAlign w:val="bottom"/>
            <w:hideMark/>
          </w:tcPr>
          <w:p w14:paraId="2FD0A602" w14:textId="77777777" w:rsidR="005A37A3" w:rsidRPr="001B74DA" w:rsidRDefault="005A37A3" w:rsidP="005A37A3">
            <w:r w:rsidRPr="001B74DA">
              <w:t>Children without parental care</w:t>
            </w:r>
          </w:p>
        </w:tc>
        <w:tc>
          <w:tcPr>
            <w:tcW w:w="2550" w:type="pct"/>
            <w:shd w:val="clear" w:color="auto" w:fill="F5F5F1"/>
            <w:noWrap/>
            <w:hideMark/>
          </w:tcPr>
          <w:p w14:paraId="727D680D" w14:textId="77777777" w:rsidR="005A37A3" w:rsidRPr="001B74DA" w:rsidRDefault="005A37A3" w:rsidP="00BF7EB6">
            <w:r w:rsidRPr="001B74DA">
              <w:t>146</w:t>
            </w:r>
          </w:p>
        </w:tc>
      </w:tr>
      <w:tr w:rsidR="005A37A3" w:rsidRPr="001B74DA" w14:paraId="20A0BB59" w14:textId="77777777" w:rsidTr="00BF7EB6">
        <w:trPr>
          <w:trHeight w:val="320"/>
        </w:trPr>
        <w:tc>
          <w:tcPr>
            <w:tcW w:w="2450" w:type="pct"/>
            <w:shd w:val="clear" w:color="auto" w:fill="F5F5F1"/>
            <w:noWrap/>
            <w:vAlign w:val="bottom"/>
            <w:hideMark/>
          </w:tcPr>
          <w:p w14:paraId="36A40C0E" w14:textId="77777777" w:rsidR="005A37A3" w:rsidRPr="001B74DA" w:rsidRDefault="005A37A3" w:rsidP="005A37A3">
            <w:r w:rsidRPr="001B74DA">
              <w:t>Children with social and educational difficulties/children in conflict with the law</w:t>
            </w:r>
          </w:p>
        </w:tc>
        <w:tc>
          <w:tcPr>
            <w:tcW w:w="2550" w:type="pct"/>
            <w:shd w:val="clear" w:color="auto" w:fill="F5F5F1"/>
            <w:noWrap/>
            <w:hideMark/>
          </w:tcPr>
          <w:p w14:paraId="4E6F5871" w14:textId="77777777" w:rsidR="005A37A3" w:rsidRPr="001B74DA" w:rsidRDefault="005A37A3" w:rsidP="00BF7EB6">
            <w:r w:rsidRPr="001B74DA">
              <w:t>54</w:t>
            </w:r>
          </w:p>
        </w:tc>
      </w:tr>
      <w:tr w:rsidR="005A37A3" w:rsidRPr="001B74DA" w14:paraId="47DFF10C" w14:textId="77777777" w:rsidTr="00BF7EB6">
        <w:trPr>
          <w:trHeight w:val="317"/>
        </w:trPr>
        <w:tc>
          <w:tcPr>
            <w:tcW w:w="2450" w:type="pct"/>
            <w:shd w:val="clear" w:color="auto" w:fill="F5F5F1"/>
            <w:noWrap/>
            <w:vAlign w:val="bottom"/>
            <w:hideMark/>
          </w:tcPr>
          <w:p w14:paraId="51400612" w14:textId="77777777" w:rsidR="005A37A3" w:rsidRPr="001B74DA" w:rsidRDefault="005A37A3" w:rsidP="005A37A3">
            <w:r w:rsidRPr="001B74DA">
              <w:t>Adults with disabilities (under 65 years)</w:t>
            </w:r>
          </w:p>
        </w:tc>
        <w:tc>
          <w:tcPr>
            <w:tcW w:w="2550" w:type="pct"/>
            <w:shd w:val="clear" w:color="auto" w:fill="F5F5F1"/>
            <w:hideMark/>
          </w:tcPr>
          <w:p w14:paraId="2035B7FC" w14:textId="77777777" w:rsidR="005A37A3" w:rsidRPr="001B74DA" w:rsidRDefault="005A37A3" w:rsidP="00BF7EB6">
            <w:r w:rsidRPr="001B74DA">
              <w:t>356 in institutions plus 122 in old age homes</w:t>
            </w:r>
          </w:p>
        </w:tc>
      </w:tr>
      <w:tr w:rsidR="005A37A3" w:rsidRPr="001B74DA" w14:paraId="4AB39315" w14:textId="77777777" w:rsidTr="00BF7EB6">
        <w:trPr>
          <w:trHeight w:val="320"/>
        </w:trPr>
        <w:tc>
          <w:tcPr>
            <w:tcW w:w="2450" w:type="pct"/>
            <w:shd w:val="clear" w:color="auto" w:fill="F5F5F1"/>
            <w:noWrap/>
            <w:vAlign w:val="bottom"/>
            <w:hideMark/>
          </w:tcPr>
          <w:p w14:paraId="752F4388" w14:textId="77777777" w:rsidR="005A37A3" w:rsidRPr="001B74DA" w:rsidRDefault="005A37A3" w:rsidP="005A37A3">
            <w:r w:rsidRPr="001B74DA">
              <w:t>Adults with long-term mental health difficulties or distress</w:t>
            </w:r>
          </w:p>
        </w:tc>
        <w:tc>
          <w:tcPr>
            <w:tcW w:w="2550" w:type="pct"/>
            <w:shd w:val="clear" w:color="auto" w:fill="F5F5F1"/>
            <w:noWrap/>
            <w:hideMark/>
          </w:tcPr>
          <w:p w14:paraId="313EA102" w14:textId="77777777" w:rsidR="005A37A3" w:rsidRPr="001B74DA" w:rsidRDefault="005A37A3" w:rsidP="00BF7EB6">
            <w:r w:rsidRPr="001B74DA">
              <w:t>650 beds</w:t>
            </w:r>
          </w:p>
        </w:tc>
      </w:tr>
      <w:tr w:rsidR="005A37A3" w:rsidRPr="001B74DA" w14:paraId="6A66C8D2" w14:textId="77777777" w:rsidTr="00BF7EB6">
        <w:trPr>
          <w:trHeight w:val="320"/>
        </w:trPr>
        <w:tc>
          <w:tcPr>
            <w:tcW w:w="2450" w:type="pct"/>
            <w:tcBorders>
              <w:bottom w:val="single" w:sz="12" w:space="0" w:color="auto"/>
            </w:tcBorders>
            <w:shd w:val="clear" w:color="auto" w:fill="F5F5F1"/>
            <w:noWrap/>
            <w:vAlign w:val="bottom"/>
            <w:hideMark/>
          </w:tcPr>
          <w:p w14:paraId="661E5FCC" w14:textId="77777777" w:rsidR="005A37A3" w:rsidRPr="001B74DA" w:rsidRDefault="005A37A3" w:rsidP="005A37A3">
            <w:r w:rsidRPr="001B74DA">
              <w:t>Old age</w:t>
            </w:r>
          </w:p>
        </w:tc>
        <w:tc>
          <w:tcPr>
            <w:tcW w:w="2550" w:type="pct"/>
            <w:tcBorders>
              <w:bottom w:val="single" w:sz="12" w:space="0" w:color="auto"/>
            </w:tcBorders>
            <w:shd w:val="clear" w:color="auto" w:fill="F5F5F1"/>
            <w:noWrap/>
            <w:hideMark/>
          </w:tcPr>
          <w:p w14:paraId="364E06C7" w14:textId="77777777" w:rsidR="005A37A3" w:rsidRPr="001B74DA" w:rsidRDefault="005A37A3" w:rsidP="00BF7EB6">
            <w:r w:rsidRPr="001B74DA">
              <w:t>988</w:t>
            </w:r>
          </w:p>
        </w:tc>
      </w:tr>
      <w:tr w:rsidR="005A37A3" w:rsidRPr="001B74DA" w14:paraId="2CC3AF6D" w14:textId="77777777" w:rsidTr="005A37A3">
        <w:trPr>
          <w:trHeight w:val="320"/>
        </w:trPr>
        <w:tc>
          <w:tcPr>
            <w:tcW w:w="2450" w:type="pct"/>
            <w:tcBorders>
              <w:top w:val="single" w:sz="12" w:space="0" w:color="auto"/>
              <w:bottom w:val="single" w:sz="12" w:space="0" w:color="auto"/>
            </w:tcBorders>
            <w:shd w:val="clear" w:color="auto" w:fill="F5F5F1"/>
            <w:noWrap/>
            <w:vAlign w:val="bottom"/>
            <w:hideMark/>
          </w:tcPr>
          <w:p w14:paraId="043319E7" w14:textId="77777777" w:rsidR="005A37A3" w:rsidRPr="001B74DA" w:rsidRDefault="005A37A3" w:rsidP="005A37A3">
            <w:pPr>
              <w:rPr>
                <w:b/>
                <w:bCs/>
                <w:i/>
                <w:iCs/>
              </w:rPr>
            </w:pPr>
            <w:r w:rsidRPr="001B74DA">
              <w:rPr>
                <w:b/>
                <w:bCs/>
                <w:i/>
                <w:iCs/>
              </w:rPr>
              <w:t>Total</w:t>
            </w:r>
          </w:p>
        </w:tc>
        <w:tc>
          <w:tcPr>
            <w:tcW w:w="2550" w:type="pct"/>
            <w:tcBorders>
              <w:top w:val="single" w:sz="12" w:space="0" w:color="auto"/>
              <w:bottom w:val="single" w:sz="12" w:space="0" w:color="auto"/>
            </w:tcBorders>
            <w:shd w:val="clear" w:color="auto" w:fill="F5F5F1"/>
            <w:noWrap/>
            <w:vAlign w:val="bottom"/>
            <w:hideMark/>
          </w:tcPr>
          <w:p w14:paraId="37755ED4" w14:textId="77777777" w:rsidR="005A37A3" w:rsidRPr="001B74DA" w:rsidRDefault="005A37A3" w:rsidP="005A37A3">
            <w:r w:rsidRPr="001B74DA">
              <w:t>2,358</w:t>
            </w:r>
          </w:p>
        </w:tc>
      </w:tr>
      <w:tr w:rsidR="005A37A3" w:rsidRPr="001B74DA" w14:paraId="779A7F17" w14:textId="77777777" w:rsidTr="005A37A3">
        <w:trPr>
          <w:trHeight w:val="320"/>
        </w:trPr>
        <w:tc>
          <w:tcPr>
            <w:tcW w:w="5000" w:type="pct"/>
            <w:gridSpan w:val="2"/>
            <w:tcBorders>
              <w:top w:val="single" w:sz="12" w:space="0" w:color="auto"/>
            </w:tcBorders>
            <w:shd w:val="clear" w:color="auto" w:fill="auto"/>
            <w:noWrap/>
            <w:vAlign w:val="bottom"/>
          </w:tcPr>
          <w:p w14:paraId="6A2DBC37" w14:textId="5BF0CAE4" w:rsidR="005A37A3" w:rsidRPr="001B74DA" w:rsidRDefault="005A37A3" w:rsidP="005A37A3">
            <w:r w:rsidRPr="001B74DA">
              <w:rPr>
                <w:i/>
                <w:iCs/>
                <w:sz w:val="18"/>
                <w:szCs w:val="16"/>
              </w:rPr>
              <w:t>Source:</w:t>
            </w:r>
            <w:r w:rsidRPr="001B74DA">
              <w:rPr>
                <w:sz w:val="18"/>
                <w:szCs w:val="16"/>
              </w:rPr>
              <w:t xml:space="preserve"> The Republic of Macedonia Ministry of Labour and Social Policy, </w:t>
            </w:r>
            <w:r w:rsidRPr="001B74DA">
              <w:rPr>
                <w:i/>
                <w:iCs/>
                <w:sz w:val="18"/>
                <w:szCs w:val="16"/>
              </w:rPr>
              <w:t>National Deinstitutionalisation Strategy of the Republic of Macedonia for 2018–2027 ‘</w:t>
            </w:r>
            <w:proofErr w:type="spellStart"/>
            <w:r w:rsidRPr="001B74DA">
              <w:rPr>
                <w:i/>
                <w:iCs/>
                <w:sz w:val="18"/>
                <w:szCs w:val="16"/>
              </w:rPr>
              <w:t>Timjanik</w:t>
            </w:r>
            <w:proofErr w:type="spellEnd"/>
            <w:r w:rsidRPr="001B74DA">
              <w:rPr>
                <w:i/>
                <w:iCs/>
                <w:sz w:val="18"/>
                <w:szCs w:val="16"/>
              </w:rPr>
              <w:t xml:space="preserve">’ &amp; Action plan </w:t>
            </w:r>
            <w:r w:rsidRPr="001B74DA">
              <w:rPr>
                <w:sz w:val="18"/>
                <w:szCs w:val="16"/>
              </w:rPr>
              <w:t>(Skopje, 2018), p.20</w:t>
            </w:r>
          </w:p>
        </w:tc>
      </w:tr>
    </w:tbl>
    <w:p w14:paraId="7D0A91E2" w14:textId="77777777" w:rsidR="005A37A3" w:rsidRPr="001B74DA" w:rsidRDefault="005A37A3" w:rsidP="005A37A3">
      <w:pPr>
        <w:jc w:val="both"/>
        <w:rPr>
          <w:rFonts w:asciiTheme="minorHAnsi" w:hAnsiTheme="minorHAnsi" w:cstheme="minorHAnsi"/>
        </w:rPr>
      </w:pPr>
    </w:p>
    <w:p w14:paraId="198B871C" w14:textId="77777777" w:rsidR="005A37A3" w:rsidRPr="001B74DA" w:rsidRDefault="005A37A3" w:rsidP="00B755A7">
      <w:r w:rsidRPr="001B74DA">
        <w:t xml:space="preserve">A more recent </w:t>
      </w:r>
      <w:hyperlink r:id="rId16" w:history="1">
        <w:r w:rsidRPr="001B74DA">
          <w:rPr>
            <w:rStyle w:val="Hyperlink"/>
            <w:rFonts w:eastAsiaTheme="majorEastAsia"/>
          </w:rPr>
          <w:t>report from Finland</w:t>
        </w:r>
      </w:hyperlink>
      <w:r w:rsidRPr="001B74DA">
        <w:t xml:space="preserve"> shows that at the end of 2018, the total number of clients of non-round-the-clock services for those with “mental disabilities” in supervised and supported housing was 3,735. There were 1,859 customers in supervised housing, which was 6.4 per cent less than in 2017. At the end of 2018, there were 1,876 residential clients and the number of clients remained almost the same as in the previous year. At the end of 2018, there were a total of 631 clients in “institutions for the mentally handicapped”, which was 14.6 per cent less than in the previous year. The number of assisted housing clients with intellectual disabilities increased by 2.1 per cent and was 8,664 at the end of 2018. A reported 89 per cent of institutional care clients were housed in a public service provider.</w:t>
      </w:r>
    </w:p>
    <w:p w14:paraId="27F4730B" w14:textId="77777777" w:rsidR="00A86881" w:rsidRPr="001B74DA" w:rsidRDefault="00A86881">
      <w:pPr>
        <w:spacing w:before="0" w:after="0" w:line="240" w:lineRule="auto"/>
        <w:rPr>
          <w:rFonts w:eastAsiaTheme="majorEastAsia"/>
          <w:b/>
          <w:color w:val="0A59AB"/>
          <w:kern w:val="0"/>
          <w:sz w:val="30"/>
          <w:szCs w:val="30"/>
        </w:rPr>
      </w:pPr>
      <w:r w:rsidRPr="001B74DA">
        <w:br w:type="page"/>
      </w:r>
    </w:p>
    <w:p w14:paraId="400B391C" w14:textId="56197931" w:rsidR="005A37A3" w:rsidRPr="001B74DA" w:rsidRDefault="005A37A3" w:rsidP="00A86881">
      <w:pPr>
        <w:pStyle w:val="Heading2"/>
        <w:rPr>
          <w:rFonts w:eastAsiaTheme="majorEastAsia"/>
        </w:rPr>
      </w:pPr>
      <w:r w:rsidRPr="001B74DA">
        <w:rPr>
          <w:rFonts w:eastAsiaTheme="majorEastAsia"/>
        </w:rPr>
        <w:lastRenderedPageBreak/>
        <w:t>14.24 Number of persons with disabilities currently deprived of liberty as a result of diversion from prosecution on the basis of actual or perceived impairment (</w:t>
      </w:r>
      <w:proofErr w:type="gramStart"/>
      <w:r w:rsidRPr="001B74DA">
        <w:rPr>
          <w:rFonts w:eastAsiaTheme="majorEastAsia"/>
        </w:rPr>
        <w:t>e.g.</w:t>
      </w:r>
      <w:proofErr w:type="gramEnd"/>
      <w:r w:rsidRPr="001B74DA">
        <w:rPr>
          <w:rFonts w:eastAsiaTheme="majorEastAsia"/>
        </w:rPr>
        <w:t xml:space="preserve"> “unfitness to stand trial” followed by the application of a security measure), disaggregated by sex, age and disability and type of institution/place of detention.</w:t>
      </w:r>
    </w:p>
    <w:p w14:paraId="112A9EEB" w14:textId="0208A865" w:rsidR="005A37A3" w:rsidRPr="001B74DA" w:rsidRDefault="005A37A3" w:rsidP="00B755A7">
      <w:pPr>
        <w:pStyle w:val="Heading4"/>
        <w:rPr>
          <w:rFonts w:eastAsiaTheme="majorEastAsia"/>
          <w:lang w:eastAsia="en-GB"/>
        </w:rPr>
      </w:pPr>
      <w:r w:rsidRPr="001B74DA">
        <w:rPr>
          <w:rFonts w:eastAsiaTheme="majorEastAsia"/>
          <w:lang w:eastAsia="en-GB"/>
        </w:rPr>
        <w:t xml:space="preserve">Level 3: Indicator for which acquiring data is more complex or requires the development of data collection mechanisms which </w:t>
      </w:r>
      <w:r w:rsidRPr="001B74DA">
        <w:rPr>
          <w:rFonts w:eastAsiaTheme="majorEastAsia"/>
        </w:rPr>
        <w:t>are</w:t>
      </w:r>
      <w:r w:rsidRPr="001B74DA">
        <w:rPr>
          <w:rFonts w:eastAsiaTheme="majorEastAsia"/>
          <w:lang w:eastAsia="en-GB"/>
        </w:rPr>
        <w:t xml:space="preserve"> currently not in place.</w:t>
      </w:r>
    </w:p>
    <w:p w14:paraId="6F053D1E" w14:textId="3EF61822" w:rsidR="005A37A3" w:rsidRPr="001B74DA" w:rsidRDefault="005A37A3" w:rsidP="00B755A7">
      <w:r w:rsidRPr="001B74DA">
        <w:t xml:space="preserve">A </w:t>
      </w:r>
      <w:hyperlink r:id="rId17" w:history="1">
        <w:r w:rsidRPr="001B74DA">
          <w:rPr>
            <w:rStyle w:val="Hyperlink"/>
            <w:rFonts w:eastAsiaTheme="majorEastAsia"/>
          </w:rPr>
          <w:t>Canadian study</w:t>
        </w:r>
      </w:hyperlink>
      <w:r w:rsidRPr="001B74DA">
        <w:t xml:space="preserve"> identified people determined unfit to stand trial, based on manual extraction of data from administrative Review Board files of cases, that were active between 1992 and 2004, in seven jurisdictions. Researchers identified cases where the defendant was found not criminally responsible on account of mental disorder (NCRMD) or unfit to stand trial (UST), as can be seen on table 3. The report does not identify in what type of detention the defendants were placed.</w:t>
      </w:r>
    </w:p>
    <w:p w14:paraId="133298CD" w14:textId="76D75C1F" w:rsidR="005A37A3" w:rsidRPr="001B74DA" w:rsidRDefault="005A37A3" w:rsidP="00B755A7">
      <w:pPr>
        <w:pStyle w:val="TableHeader"/>
        <w:rPr>
          <w:rFonts w:eastAsiaTheme="majorEastAsia" w:cstheme="majorBidi"/>
        </w:rPr>
      </w:pPr>
      <w:r w:rsidRPr="001B74DA">
        <w:rPr>
          <w:rFonts w:eastAsiaTheme="majorEastAsia" w:cstheme="majorBidi"/>
          <w:b/>
          <w:bCs w:val="0"/>
        </w:rPr>
        <w:t>Table 3</w:t>
      </w:r>
      <w:r w:rsidR="00B755A7" w:rsidRPr="001B74DA">
        <w:rPr>
          <w:rFonts w:eastAsiaTheme="majorEastAsia" w:cstheme="majorBidi"/>
          <w:b/>
          <w:bCs w:val="0"/>
        </w:rPr>
        <w:t>:</w:t>
      </w:r>
      <w:r w:rsidR="00B755A7" w:rsidRPr="001B74DA">
        <w:rPr>
          <w:rFonts w:eastAsiaTheme="majorEastAsia" w:cstheme="majorBidi"/>
        </w:rPr>
        <w:t xml:space="preserve"> </w:t>
      </w:r>
      <w:r w:rsidRPr="001B74DA">
        <w:rPr>
          <w:rFonts w:eastAsiaTheme="majorEastAsia" w:cstheme="majorBidi"/>
        </w:rPr>
        <w:t>Canada: Legal Status: not criminally responsible on account of mental disorder (NCRMD)/ Unfit to stand trial (UST), by sex and age</w:t>
      </w:r>
    </w:p>
    <w:tbl>
      <w:tblPr>
        <w:tblW w:w="5000" w:type="pct"/>
        <w:tblBorders>
          <w:top w:val="single" w:sz="12" w:space="0" w:color="auto"/>
        </w:tblBorders>
        <w:shd w:val="clear" w:color="auto" w:fill="F5F5F1"/>
        <w:tblLook w:val="04A0" w:firstRow="1" w:lastRow="0" w:firstColumn="1" w:lastColumn="0" w:noHBand="0" w:noVBand="1"/>
      </w:tblPr>
      <w:tblGrid>
        <w:gridCol w:w="2717"/>
        <w:gridCol w:w="2195"/>
        <w:gridCol w:w="2049"/>
        <w:gridCol w:w="2059"/>
      </w:tblGrid>
      <w:tr w:rsidR="005A37A3" w:rsidRPr="001B74DA" w14:paraId="17EA371D" w14:textId="77777777" w:rsidTr="00B755A7">
        <w:trPr>
          <w:trHeight w:val="320"/>
        </w:trPr>
        <w:tc>
          <w:tcPr>
            <w:tcW w:w="1519" w:type="pct"/>
            <w:tcBorders>
              <w:bottom w:val="single" w:sz="12" w:space="0" w:color="auto"/>
            </w:tcBorders>
            <w:shd w:val="clear" w:color="auto" w:fill="F5F5F1"/>
            <w:noWrap/>
            <w:vAlign w:val="bottom"/>
            <w:hideMark/>
          </w:tcPr>
          <w:p w14:paraId="171CB4CF" w14:textId="77777777" w:rsidR="005A37A3" w:rsidRPr="001B74DA" w:rsidRDefault="005A37A3" w:rsidP="00B755A7">
            <w:pPr>
              <w:pStyle w:val="TableHeaderRow"/>
            </w:pPr>
          </w:p>
        </w:tc>
        <w:tc>
          <w:tcPr>
            <w:tcW w:w="1215" w:type="pct"/>
            <w:tcBorders>
              <w:top w:val="single" w:sz="12" w:space="0" w:color="auto"/>
              <w:bottom w:val="single" w:sz="12" w:space="0" w:color="auto"/>
            </w:tcBorders>
            <w:shd w:val="clear" w:color="auto" w:fill="F5F5F1"/>
            <w:noWrap/>
            <w:vAlign w:val="bottom"/>
            <w:hideMark/>
          </w:tcPr>
          <w:p w14:paraId="435135DA" w14:textId="77777777" w:rsidR="005A37A3" w:rsidRPr="001B74DA" w:rsidRDefault="005A37A3" w:rsidP="00B755A7">
            <w:pPr>
              <w:pStyle w:val="TableHeaderRow"/>
            </w:pPr>
            <w:r w:rsidRPr="001B74DA">
              <w:t>NCRMD N (%)</w:t>
            </w:r>
          </w:p>
        </w:tc>
        <w:tc>
          <w:tcPr>
            <w:tcW w:w="1130" w:type="pct"/>
            <w:tcBorders>
              <w:top w:val="single" w:sz="12" w:space="0" w:color="auto"/>
              <w:bottom w:val="single" w:sz="12" w:space="0" w:color="auto"/>
            </w:tcBorders>
            <w:shd w:val="clear" w:color="auto" w:fill="F5F5F1"/>
            <w:noWrap/>
            <w:vAlign w:val="bottom"/>
            <w:hideMark/>
          </w:tcPr>
          <w:p w14:paraId="1D8BBF12" w14:textId="77777777" w:rsidR="005A37A3" w:rsidRPr="001B74DA" w:rsidRDefault="005A37A3" w:rsidP="00B755A7">
            <w:pPr>
              <w:pStyle w:val="TableHeaderRow"/>
            </w:pPr>
            <w:r w:rsidRPr="001B74DA">
              <w:t>UST N (%)</w:t>
            </w:r>
          </w:p>
        </w:tc>
        <w:tc>
          <w:tcPr>
            <w:tcW w:w="1136" w:type="pct"/>
            <w:tcBorders>
              <w:top w:val="single" w:sz="12" w:space="0" w:color="auto"/>
              <w:bottom w:val="single" w:sz="12" w:space="0" w:color="auto"/>
            </w:tcBorders>
            <w:shd w:val="clear" w:color="auto" w:fill="F5F5F1"/>
            <w:noWrap/>
            <w:vAlign w:val="bottom"/>
            <w:hideMark/>
          </w:tcPr>
          <w:p w14:paraId="152DC4F9" w14:textId="77777777" w:rsidR="005A37A3" w:rsidRPr="001B74DA" w:rsidRDefault="005A37A3" w:rsidP="00B755A7">
            <w:pPr>
              <w:pStyle w:val="TableHeaderRow"/>
            </w:pPr>
            <w:r w:rsidRPr="001B74DA">
              <w:t>TOTAL N (%)</w:t>
            </w:r>
          </w:p>
        </w:tc>
      </w:tr>
      <w:tr w:rsidR="005A37A3" w:rsidRPr="001B74DA" w14:paraId="1952614C" w14:textId="77777777" w:rsidTr="00B755A7">
        <w:trPr>
          <w:trHeight w:val="320"/>
        </w:trPr>
        <w:tc>
          <w:tcPr>
            <w:tcW w:w="1519" w:type="pct"/>
            <w:tcBorders>
              <w:top w:val="single" w:sz="12" w:space="0" w:color="auto"/>
              <w:bottom w:val="single" w:sz="12" w:space="0" w:color="auto"/>
            </w:tcBorders>
            <w:shd w:val="clear" w:color="auto" w:fill="F5F5F1"/>
            <w:noWrap/>
            <w:vAlign w:val="bottom"/>
            <w:hideMark/>
          </w:tcPr>
          <w:p w14:paraId="0F50FEEC" w14:textId="77777777" w:rsidR="005A37A3" w:rsidRPr="001B74DA" w:rsidRDefault="005A37A3" w:rsidP="00B755A7">
            <w:pPr>
              <w:rPr>
                <w:b/>
                <w:bCs/>
                <w:i/>
                <w:iCs/>
              </w:rPr>
            </w:pPr>
            <w:r w:rsidRPr="001B74DA">
              <w:rPr>
                <w:b/>
                <w:bCs/>
                <w:i/>
                <w:iCs/>
              </w:rPr>
              <w:t>Sex</w:t>
            </w:r>
          </w:p>
        </w:tc>
        <w:tc>
          <w:tcPr>
            <w:tcW w:w="1215" w:type="pct"/>
            <w:tcBorders>
              <w:top w:val="single" w:sz="12" w:space="0" w:color="auto"/>
              <w:bottom w:val="single" w:sz="12" w:space="0" w:color="auto"/>
            </w:tcBorders>
            <w:shd w:val="clear" w:color="auto" w:fill="F5F5F1"/>
            <w:noWrap/>
            <w:vAlign w:val="bottom"/>
            <w:hideMark/>
          </w:tcPr>
          <w:p w14:paraId="31505DBB" w14:textId="77777777" w:rsidR="005A37A3" w:rsidRPr="001B74DA" w:rsidRDefault="005A37A3" w:rsidP="00B755A7"/>
        </w:tc>
        <w:tc>
          <w:tcPr>
            <w:tcW w:w="1130" w:type="pct"/>
            <w:tcBorders>
              <w:top w:val="single" w:sz="12" w:space="0" w:color="auto"/>
              <w:bottom w:val="single" w:sz="12" w:space="0" w:color="auto"/>
            </w:tcBorders>
            <w:shd w:val="clear" w:color="auto" w:fill="F5F5F1"/>
            <w:noWrap/>
            <w:vAlign w:val="bottom"/>
            <w:hideMark/>
          </w:tcPr>
          <w:p w14:paraId="73289909" w14:textId="77777777" w:rsidR="005A37A3" w:rsidRPr="001B74DA" w:rsidRDefault="005A37A3" w:rsidP="00B755A7"/>
        </w:tc>
        <w:tc>
          <w:tcPr>
            <w:tcW w:w="1136" w:type="pct"/>
            <w:tcBorders>
              <w:top w:val="single" w:sz="12" w:space="0" w:color="auto"/>
              <w:bottom w:val="single" w:sz="12" w:space="0" w:color="auto"/>
            </w:tcBorders>
            <w:shd w:val="clear" w:color="auto" w:fill="F5F5F1"/>
            <w:noWrap/>
            <w:vAlign w:val="bottom"/>
            <w:hideMark/>
          </w:tcPr>
          <w:p w14:paraId="7783E0C2" w14:textId="77777777" w:rsidR="005A37A3" w:rsidRPr="001B74DA" w:rsidRDefault="005A37A3" w:rsidP="00B755A7"/>
        </w:tc>
      </w:tr>
      <w:tr w:rsidR="005A37A3" w:rsidRPr="001B74DA" w14:paraId="65201D2A" w14:textId="77777777" w:rsidTr="00B755A7">
        <w:trPr>
          <w:trHeight w:val="320"/>
        </w:trPr>
        <w:tc>
          <w:tcPr>
            <w:tcW w:w="1519" w:type="pct"/>
            <w:tcBorders>
              <w:top w:val="single" w:sz="12" w:space="0" w:color="auto"/>
            </w:tcBorders>
            <w:shd w:val="clear" w:color="auto" w:fill="F5F5F1"/>
            <w:noWrap/>
            <w:vAlign w:val="bottom"/>
            <w:hideMark/>
          </w:tcPr>
          <w:p w14:paraId="086B6CF7" w14:textId="77777777" w:rsidR="005A37A3" w:rsidRPr="001B74DA" w:rsidRDefault="005A37A3" w:rsidP="00B755A7">
            <w:r w:rsidRPr="001B74DA">
              <w:t>Male</w:t>
            </w:r>
          </w:p>
        </w:tc>
        <w:tc>
          <w:tcPr>
            <w:tcW w:w="1215" w:type="pct"/>
            <w:tcBorders>
              <w:top w:val="single" w:sz="12" w:space="0" w:color="auto"/>
            </w:tcBorders>
            <w:shd w:val="clear" w:color="auto" w:fill="F5F5F1"/>
            <w:noWrap/>
            <w:vAlign w:val="bottom"/>
            <w:hideMark/>
          </w:tcPr>
          <w:p w14:paraId="1C3FF6BB" w14:textId="77777777" w:rsidR="005A37A3" w:rsidRPr="001B74DA" w:rsidRDefault="005A37A3" w:rsidP="00B755A7">
            <w:r w:rsidRPr="001B74DA">
              <w:t>5,716 (84.0%)</w:t>
            </w:r>
          </w:p>
        </w:tc>
        <w:tc>
          <w:tcPr>
            <w:tcW w:w="1130" w:type="pct"/>
            <w:tcBorders>
              <w:top w:val="single" w:sz="12" w:space="0" w:color="auto"/>
            </w:tcBorders>
            <w:shd w:val="clear" w:color="auto" w:fill="F5F5F1"/>
            <w:noWrap/>
            <w:vAlign w:val="bottom"/>
            <w:hideMark/>
          </w:tcPr>
          <w:p w14:paraId="5CE923D9" w14:textId="77777777" w:rsidR="005A37A3" w:rsidRPr="001B74DA" w:rsidRDefault="005A37A3" w:rsidP="00B755A7">
            <w:r w:rsidRPr="001B74DA">
              <w:t>1,561 (83.2%)</w:t>
            </w:r>
          </w:p>
        </w:tc>
        <w:tc>
          <w:tcPr>
            <w:tcW w:w="1136" w:type="pct"/>
            <w:tcBorders>
              <w:top w:val="single" w:sz="12" w:space="0" w:color="auto"/>
            </w:tcBorders>
            <w:shd w:val="clear" w:color="auto" w:fill="F5F5F1"/>
            <w:noWrap/>
            <w:vAlign w:val="bottom"/>
            <w:hideMark/>
          </w:tcPr>
          <w:p w14:paraId="77111358" w14:textId="77777777" w:rsidR="005A37A3" w:rsidRPr="001B74DA" w:rsidRDefault="005A37A3" w:rsidP="00B755A7">
            <w:r w:rsidRPr="001B74DA">
              <w:t>7,277 (83.9%)</w:t>
            </w:r>
          </w:p>
        </w:tc>
      </w:tr>
      <w:tr w:rsidR="005A37A3" w:rsidRPr="001B74DA" w14:paraId="1F9378A0" w14:textId="77777777" w:rsidTr="00B755A7">
        <w:trPr>
          <w:trHeight w:val="320"/>
        </w:trPr>
        <w:tc>
          <w:tcPr>
            <w:tcW w:w="1519" w:type="pct"/>
            <w:tcBorders>
              <w:bottom w:val="single" w:sz="12" w:space="0" w:color="auto"/>
            </w:tcBorders>
            <w:shd w:val="clear" w:color="auto" w:fill="F5F5F1"/>
            <w:noWrap/>
            <w:vAlign w:val="bottom"/>
            <w:hideMark/>
          </w:tcPr>
          <w:p w14:paraId="1C0BBA63" w14:textId="77777777" w:rsidR="005A37A3" w:rsidRPr="001B74DA" w:rsidRDefault="005A37A3" w:rsidP="00B755A7">
            <w:r w:rsidRPr="001B74DA">
              <w:t>Female</w:t>
            </w:r>
          </w:p>
        </w:tc>
        <w:tc>
          <w:tcPr>
            <w:tcW w:w="1215" w:type="pct"/>
            <w:tcBorders>
              <w:bottom w:val="single" w:sz="12" w:space="0" w:color="auto"/>
            </w:tcBorders>
            <w:shd w:val="clear" w:color="auto" w:fill="F5F5F1"/>
            <w:noWrap/>
            <w:vAlign w:val="bottom"/>
            <w:hideMark/>
          </w:tcPr>
          <w:p w14:paraId="08FA318C" w14:textId="77777777" w:rsidR="005A37A3" w:rsidRPr="001B74DA" w:rsidRDefault="005A37A3" w:rsidP="00B755A7">
            <w:r w:rsidRPr="001B74DA">
              <w:t>1,086 (16.0%)</w:t>
            </w:r>
          </w:p>
        </w:tc>
        <w:tc>
          <w:tcPr>
            <w:tcW w:w="1130" w:type="pct"/>
            <w:tcBorders>
              <w:bottom w:val="single" w:sz="12" w:space="0" w:color="auto"/>
            </w:tcBorders>
            <w:shd w:val="clear" w:color="auto" w:fill="F5F5F1"/>
            <w:noWrap/>
            <w:vAlign w:val="bottom"/>
            <w:hideMark/>
          </w:tcPr>
          <w:p w14:paraId="014B8993" w14:textId="77777777" w:rsidR="005A37A3" w:rsidRPr="001B74DA" w:rsidRDefault="005A37A3" w:rsidP="00B755A7">
            <w:r w:rsidRPr="001B74DA">
              <w:t>316 (16.8%)</w:t>
            </w:r>
          </w:p>
        </w:tc>
        <w:tc>
          <w:tcPr>
            <w:tcW w:w="1136" w:type="pct"/>
            <w:tcBorders>
              <w:bottom w:val="single" w:sz="12" w:space="0" w:color="auto"/>
            </w:tcBorders>
            <w:shd w:val="clear" w:color="auto" w:fill="F5F5F1"/>
            <w:noWrap/>
            <w:vAlign w:val="bottom"/>
            <w:hideMark/>
          </w:tcPr>
          <w:p w14:paraId="49E98B58" w14:textId="77777777" w:rsidR="005A37A3" w:rsidRPr="001B74DA" w:rsidRDefault="005A37A3" w:rsidP="00B755A7">
            <w:r w:rsidRPr="001B74DA">
              <w:t>1,402 (16.2%)</w:t>
            </w:r>
          </w:p>
        </w:tc>
      </w:tr>
      <w:tr w:rsidR="005A37A3" w:rsidRPr="001B74DA" w14:paraId="3980B817" w14:textId="77777777" w:rsidTr="00B755A7">
        <w:trPr>
          <w:trHeight w:val="320"/>
        </w:trPr>
        <w:tc>
          <w:tcPr>
            <w:tcW w:w="1519" w:type="pct"/>
            <w:tcBorders>
              <w:top w:val="single" w:sz="12" w:space="0" w:color="auto"/>
              <w:bottom w:val="single" w:sz="12" w:space="0" w:color="auto"/>
            </w:tcBorders>
            <w:shd w:val="clear" w:color="auto" w:fill="F5F5F1"/>
            <w:noWrap/>
            <w:vAlign w:val="bottom"/>
            <w:hideMark/>
          </w:tcPr>
          <w:p w14:paraId="77876644" w14:textId="77777777" w:rsidR="005A37A3" w:rsidRPr="001B74DA" w:rsidRDefault="005A37A3" w:rsidP="00B755A7">
            <w:pPr>
              <w:rPr>
                <w:b/>
                <w:bCs/>
                <w:i/>
                <w:iCs/>
              </w:rPr>
            </w:pPr>
            <w:r w:rsidRPr="001B74DA">
              <w:rPr>
                <w:b/>
                <w:bCs/>
                <w:i/>
                <w:iCs/>
              </w:rPr>
              <w:t>Age</w:t>
            </w:r>
          </w:p>
        </w:tc>
        <w:tc>
          <w:tcPr>
            <w:tcW w:w="1215" w:type="pct"/>
            <w:tcBorders>
              <w:top w:val="single" w:sz="12" w:space="0" w:color="auto"/>
              <w:bottom w:val="single" w:sz="12" w:space="0" w:color="auto"/>
            </w:tcBorders>
            <w:shd w:val="clear" w:color="auto" w:fill="F5F5F1"/>
            <w:noWrap/>
            <w:vAlign w:val="bottom"/>
            <w:hideMark/>
          </w:tcPr>
          <w:p w14:paraId="206B3E3C" w14:textId="77777777" w:rsidR="005A37A3" w:rsidRPr="001B74DA" w:rsidRDefault="005A37A3" w:rsidP="00B755A7"/>
        </w:tc>
        <w:tc>
          <w:tcPr>
            <w:tcW w:w="1130" w:type="pct"/>
            <w:tcBorders>
              <w:top w:val="single" w:sz="12" w:space="0" w:color="auto"/>
              <w:bottom w:val="single" w:sz="12" w:space="0" w:color="auto"/>
            </w:tcBorders>
            <w:shd w:val="clear" w:color="auto" w:fill="F5F5F1"/>
            <w:noWrap/>
            <w:vAlign w:val="bottom"/>
            <w:hideMark/>
          </w:tcPr>
          <w:p w14:paraId="4D3F3D44" w14:textId="77777777" w:rsidR="005A37A3" w:rsidRPr="001B74DA" w:rsidRDefault="005A37A3" w:rsidP="00B755A7"/>
        </w:tc>
        <w:tc>
          <w:tcPr>
            <w:tcW w:w="1136" w:type="pct"/>
            <w:tcBorders>
              <w:top w:val="single" w:sz="12" w:space="0" w:color="auto"/>
              <w:bottom w:val="single" w:sz="12" w:space="0" w:color="auto"/>
            </w:tcBorders>
            <w:shd w:val="clear" w:color="auto" w:fill="F5F5F1"/>
            <w:noWrap/>
            <w:vAlign w:val="bottom"/>
            <w:hideMark/>
          </w:tcPr>
          <w:p w14:paraId="0E1E3FC2" w14:textId="77777777" w:rsidR="005A37A3" w:rsidRPr="001B74DA" w:rsidRDefault="005A37A3" w:rsidP="00B755A7"/>
        </w:tc>
      </w:tr>
      <w:tr w:rsidR="005A37A3" w:rsidRPr="001B74DA" w14:paraId="00145A00" w14:textId="77777777" w:rsidTr="00B755A7">
        <w:trPr>
          <w:trHeight w:val="320"/>
        </w:trPr>
        <w:tc>
          <w:tcPr>
            <w:tcW w:w="1519" w:type="pct"/>
            <w:tcBorders>
              <w:top w:val="single" w:sz="12" w:space="0" w:color="auto"/>
            </w:tcBorders>
            <w:shd w:val="clear" w:color="auto" w:fill="F5F5F1"/>
            <w:noWrap/>
            <w:vAlign w:val="bottom"/>
            <w:hideMark/>
          </w:tcPr>
          <w:p w14:paraId="1A231031" w14:textId="77777777" w:rsidR="005A37A3" w:rsidRPr="001B74DA" w:rsidRDefault="005A37A3" w:rsidP="00B755A7">
            <w:r w:rsidRPr="001B74DA">
              <w:t>Under 18 years</w:t>
            </w:r>
          </w:p>
        </w:tc>
        <w:tc>
          <w:tcPr>
            <w:tcW w:w="1215" w:type="pct"/>
            <w:tcBorders>
              <w:top w:val="single" w:sz="12" w:space="0" w:color="auto"/>
            </w:tcBorders>
            <w:shd w:val="clear" w:color="auto" w:fill="F5F5F1"/>
            <w:noWrap/>
            <w:vAlign w:val="bottom"/>
            <w:hideMark/>
          </w:tcPr>
          <w:p w14:paraId="4E30E65E" w14:textId="77777777" w:rsidR="005A37A3" w:rsidRPr="001B74DA" w:rsidRDefault="005A37A3" w:rsidP="00B755A7">
            <w:r w:rsidRPr="001B74DA">
              <w:t>115 (1.7%)</w:t>
            </w:r>
          </w:p>
        </w:tc>
        <w:tc>
          <w:tcPr>
            <w:tcW w:w="1130" w:type="pct"/>
            <w:tcBorders>
              <w:top w:val="single" w:sz="12" w:space="0" w:color="auto"/>
            </w:tcBorders>
            <w:shd w:val="clear" w:color="auto" w:fill="F5F5F1"/>
            <w:noWrap/>
            <w:vAlign w:val="bottom"/>
            <w:hideMark/>
          </w:tcPr>
          <w:p w14:paraId="45027153" w14:textId="77777777" w:rsidR="005A37A3" w:rsidRPr="001B74DA" w:rsidRDefault="005A37A3" w:rsidP="00B755A7">
            <w:r w:rsidRPr="001B74DA">
              <w:t>74 (4.0%)</w:t>
            </w:r>
          </w:p>
        </w:tc>
        <w:tc>
          <w:tcPr>
            <w:tcW w:w="1136" w:type="pct"/>
            <w:tcBorders>
              <w:top w:val="single" w:sz="12" w:space="0" w:color="auto"/>
            </w:tcBorders>
            <w:shd w:val="clear" w:color="auto" w:fill="F5F5F1"/>
            <w:noWrap/>
            <w:vAlign w:val="bottom"/>
            <w:hideMark/>
          </w:tcPr>
          <w:p w14:paraId="09C25A71" w14:textId="77777777" w:rsidR="005A37A3" w:rsidRPr="001B74DA" w:rsidRDefault="005A37A3" w:rsidP="00B755A7">
            <w:r w:rsidRPr="001B74DA">
              <w:t>189 (2.2%)</w:t>
            </w:r>
          </w:p>
        </w:tc>
      </w:tr>
      <w:tr w:rsidR="005A37A3" w:rsidRPr="001B74DA" w14:paraId="243BB642" w14:textId="77777777" w:rsidTr="00B755A7">
        <w:trPr>
          <w:trHeight w:val="320"/>
        </w:trPr>
        <w:tc>
          <w:tcPr>
            <w:tcW w:w="1519" w:type="pct"/>
            <w:shd w:val="clear" w:color="auto" w:fill="F5F5F1"/>
            <w:noWrap/>
            <w:vAlign w:val="bottom"/>
            <w:hideMark/>
          </w:tcPr>
          <w:p w14:paraId="27CD6747" w14:textId="77777777" w:rsidR="005A37A3" w:rsidRPr="001B74DA" w:rsidRDefault="005A37A3" w:rsidP="00B755A7">
            <w:r w:rsidRPr="001B74DA">
              <w:t>18 to 25 years</w:t>
            </w:r>
          </w:p>
        </w:tc>
        <w:tc>
          <w:tcPr>
            <w:tcW w:w="1215" w:type="pct"/>
            <w:shd w:val="clear" w:color="auto" w:fill="F5F5F1"/>
            <w:noWrap/>
            <w:vAlign w:val="bottom"/>
            <w:hideMark/>
          </w:tcPr>
          <w:p w14:paraId="0DFFC7E5" w14:textId="77777777" w:rsidR="005A37A3" w:rsidRPr="001B74DA" w:rsidRDefault="005A37A3" w:rsidP="00B755A7">
            <w:r w:rsidRPr="001B74DA">
              <w:t>1,374 (20.5%)</w:t>
            </w:r>
          </w:p>
        </w:tc>
        <w:tc>
          <w:tcPr>
            <w:tcW w:w="1130" w:type="pct"/>
            <w:shd w:val="clear" w:color="auto" w:fill="F5F5F1"/>
            <w:noWrap/>
            <w:vAlign w:val="bottom"/>
            <w:hideMark/>
          </w:tcPr>
          <w:p w14:paraId="28A446AD" w14:textId="77777777" w:rsidR="005A37A3" w:rsidRPr="001B74DA" w:rsidRDefault="005A37A3" w:rsidP="00B755A7">
            <w:r w:rsidRPr="001B74DA">
              <w:t>250 (13.6%)</w:t>
            </w:r>
          </w:p>
        </w:tc>
        <w:tc>
          <w:tcPr>
            <w:tcW w:w="1136" w:type="pct"/>
            <w:shd w:val="clear" w:color="auto" w:fill="F5F5F1"/>
            <w:noWrap/>
            <w:vAlign w:val="bottom"/>
            <w:hideMark/>
          </w:tcPr>
          <w:p w14:paraId="41383450" w14:textId="77777777" w:rsidR="005A37A3" w:rsidRPr="001B74DA" w:rsidRDefault="005A37A3" w:rsidP="00B755A7">
            <w:r w:rsidRPr="001B74DA">
              <w:t>1,624 (19.0%)</w:t>
            </w:r>
          </w:p>
        </w:tc>
      </w:tr>
      <w:tr w:rsidR="005A37A3" w:rsidRPr="001B74DA" w14:paraId="6D276CA9" w14:textId="77777777" w:rsidTr="00B755A7">
        <w:trPr>
          <w:trHeight w:val="320"/>
        </w:trPr>
        <w:tc>
          <w:tcPr>
            <w:tcW w:w="1519" w:type="pct"/>
            <w:shd w:val="clear" w:color="auto" w:fill="F5F5F1"/>
            <w:noWrap/>
            <w:vAlign w:val="bottom"/>
            <w:hideMark/>
          </w:tcPr>
          <w:p w14:paraId="21CBC99C" w14:textId="77777777" w:rsidR="005A37A3" w:rsidRPr="001B74DA" w:rsidRDefault="005A37A3" w:rsidP="00B755A7">
            <w:r w:rsidRPr="001B74DA">
              <w:t>26 to 40 years</w:t>
            </w:r>
          </w:p>
        </w:tc>
        <w:tc>
          <w:tcPr>
            <w:tcW w:w="1215" w:type="pct"/>
            <w:shd w:val="clear" w:color="auto" w:fill="F5F5F1"/>
            <w:noWrap/>
            <w:vAlign w:val="bottom"/>
            <w:hideMark/>
          </w:tcPr>
          <w:p w14:paraId="22023207" w14:textId="77777777" w:rsidR="005A37A3" w:rsidRPr="001B74DA" w:rsidRDefault="005A37A3" w:rsidP="00B755A7">
            <w:r w:rsidRPr="001B74DA">
              <w:t>3,115 (46.4%)</w:t>
            </w:r>
          </w:p>
        </w:tc>
        <w:tc>
          <w:tcPr>
            <w:tcW w:w="1130" w:type="pct"/>
            <w:shd w:val="clear" w:color="auto" w:fill="F5F5F1"/>
            <w:noWrap/>
            <w:vAlign w:val="bottom"/>
            <w:hideMark/>
          </w:tcPr>
          <w:p w14:paraId="4945ED8A" w14:textId="77777777" w:rsidR="005A37A3" w:rsidRPr="001B74DA" w:rsidRDefault="005A37A3" w:rsidP="00B755A7">
            <w:r w:rsidRPr="001B74DA">
              <w:t>748 (40.7%)</w:t>
            </w:r>
          </w:p>
        </w:tc>
        <w:tc>
          <w:tcPr>
            <w:tcW w:w="1136" w:type="pct"/>
            <w:shd w:val="clear" w:color="auto" w:fill="F5F5F1"/>
            <w:noWrap/>
            <w:vAlign w:val="bottom"/>
            <w:hideMark/>
          </w:tcPr>
          <w:p w14:paraId="1AB6AD6A" w14:textId="77777777" w:rsidR="005A37A3" w:rsidRPr="001B74DA" w:rsidRDefault="005A37A3" w:rsidP="00B755A7">
            <w:r w:rsidRPr="001B74DA">
              <w:t>3,863 (45.2%)</w:t>
            </w:r>
          </w:p>
        </w:tc>
      </w:tr>
      <w:tr w:rsidR="005A37A3" w:rsidRPr="001B74DA" w14:paraId="0A90FA68" w14:textId="77777777" w:rsidTr="00B755A7">
        <w:trPr>
          <w:trHeight w:val="320"/>
        </w:trPr>
        <w:tc>
          <w:tcPr>
            <w:tcW w:w="1519" w:type="pct"/>
            <w:shd w:val="clear" w:color="auto" w:fill="F5F5F1"/>
            <w:noWrap/>
            <w:vAlign w:val="bottom"/>
            <w:hideMark/>
          </w:tcPr>
          <w:p w14:paraId="1C806F3B" w14:textId="77777777" w:rsidR="005A37A3" w:rsidRPr="001B74DA" w:rsidRDefault="005A37A3" w:rsidP="00B755A7">
            <w:r w:rsidRPr="001B74DA">
              <w:t>41 to 64 years</w:t>
            </w:r>
          </w:p>
        </w:tc>
        <w:tc>
          <w:tcPr>
            <w:tcW w:w="1215" w:type="pct"/>
            <w:shd w:val="clear" w:color="auto" w:fill="F5F5F1"/>
            <w:noWrap/>
            <w:vAlign w:val="bottom"/>
            <w:hideMark/>
          </w:tcPr>
          <w:p w14:paraId="0637EA34" w14:textId="77777777" w:rsidR="005A37A3" w:rsidRPr="001B74DA" w:rsidRDefault="005A37A3" w:rsidP="00B755A7">
            <w:r w:rsidRPr="001B74DA">
              <w:t>1,987 (29.6%)</w:t>
            </w:r>
          </w:p>
        </w:tc>
        <w:tc>
          <w:tcPr>
            <w:tcW w:w="1130" w:type="pct"/>
            <w:shd w:val="clear" w:color="auto" w:fill="F5F5F1"/>
            <w:noWrap/>
            <w:vAlign w:val="bottom"/>
            <w:hideMark/>
          </w:tcPr>
          <w:p w14:paraId="2A20701C" w14:textId="77777777" w:rsidR="005A37A3" w:rsidRPr="001B74DA" w:rsidRDefault="005A37A3" w:rsidP="00B755A7">
            <w:r w:rsidRPr="001B74DA">
              <w:t>642 (34.9%)</w:t>
            </w:r>
          </w:p>
        </w:tc>
        <w:tc>
          <w:tcPr>
            <w:tcW w:w="1136" w:type="pct"/>
            <w:shd w:val="clear" w:color="auto" w:fill="F5F5F1"/>
            <w:noWrap/>
            <w:vAlign w:val="bottom"/>
            <w:hideMark/>
          </w:tcPr>
          <w:p w14:paraId="3979A3E2" w14:textId="77777777" w:rsidR="005A37A3" w:rsidRPr="001B74DA" w:rsidRDefault="005A37A3" w:rsidP="00B755A7">
            <w:r w:rsidRPr="001B74DA">
              <w:t>2,629 (30.7%)</w:t>
            </w:r>
          </w:p>
        </w:tc>
      </w:tr>
      <w:tr w:rsidR="005A37A3" w:rsidRPr="001B74DA" w14:paraId="4F7AF6BC" w14:textId="77777777" w:rsidTr="00B755A7">
        <w:trPr>
          <w:trHeight w:val="320"/>
        </w:trPr>
        <w:tc>
          <w:tcPr>
            <w:tcW w:w="1519" w:type="pct"/>
            <w:shd w:val="clear" w:color="auto" w:fill="F5F5F1"/>
            <w:noWrap/>
            <w:vAlign w:val="bottom"/>
            <w:hideMark/>
          </w:tcPr>
          <w:p w14:paraId="76E3316F" w14:textId="77777777" w:rsidR="005A37A3" w:rsidRPr="001B74DA" w:rsidRDefault="005A37A3" w:rsidP="00B755A7">
            <w:r w:rsidRPr="001B74DA">
              <w:t>Over 64 years</w:t>
            </w:r>
          </w:p>
        </w:tc>
        <w:tc>
          <w:tcPr>
            <w:tcW w:w="1215" w:type="pct"/>
            <w:shd w:val="clear" w:color="auto" w:fill="F5F5F1"/>
            <w:noWrap/>
            <w:vAlign w:val="bottom"/>
            <w:hideMark/>
          </w:tcPr>
          <w:p w14:paraId="04EC5E5F" w14:textId="77777777" w:rsidR="005A37A3" w:rsidRPr="001B74DA" w:rsidRDefault="005A37A3" w:rsidP="00B755A7">
            <w:r w:rsidRPr="001B74DA">
              <w:t>123 (1.8%)</w:t>
            </w:r>
          </w:p>
        </w:tc>
        <w:tc>
          <w:tcPr>
            <w:tcW w:w="1130" w:type="pct"/>
            <w:shd w:val="clear" w:color="auto" w:fill="F5F5F1"/>
            <w:noWrap/>
            <w:vAlign w:val="bottom"/>
            <w:hideMark/>
          </w:tcPr>
          <w:p w14:paraId="7AED1D7A" w14:textId="77777777" w:rsidR="005A37A3" w:rsidRPr="001B74DA" w:rsidRDefault="005A37A3" w:rsidP="00B755A7">
            <w:r w:rsidRPr="001B74DA">
              <w:t>124 (6.7%)</w:t>
            </w:r>
          </w:p>
        </w:tc>
        <w:tc>
          <w:tcPr>
            <w:tcW w:w="1136" w:type="pct"/>
            <w:shd w:val="clear" w:color="auto" w:fill="F5F5F1"/>
            <w:noWrap/>
            <w:vAlign w:val="bottom"/>
            <w:hideMark/>
          </w:tcPr>
          <w:p w14:paraId="7590CFA5" w14:textId="77777777" w:rsidR="005A37A3" w:rsidRPr="001B74DA" w:rsidRDefault="005A37A3" w:rsidP="00B755A7">
            <w:r w:rsidRPr="001B74DA">
              <w:t>247 (2.9%)</w:t>
            </w:r>
          </w:p>
        </w:tc>
      </w:tr>
      <w:tr w:rsidR="005A37A3" w:rsidRPr="001B74DA" w14:paraId="0638F7A8" w14:textId="77777777" w:rsidTr="00B755A7">
        <w:trPr>
          <w:trHeight w:val="320"/>
        </w:trPr>
        <w:tc>
          <w:tcPr>
            <w:tcW w:w="1519" w:type="pct"/>
            <w:tcBorders>
              <w:bottom w:val="single" w:sz="12" w:space="0" w:color="auto"/>
            </w:tcBorders>
            <w:shd w:val="clear" w:color="auto" w:fill="F5F5F1"/>
            <w:noWrap/>
            <w:vAlign w:val="bottom"/>
            <w:hideMark/>
          </w:tcPr>
          <w:p w14:paraId="3B5865A3" w14:textId="77777777" w:rsidR="005A37A3" w:rsidRPr="001B74DA" w:rsidRDefault="005A37A3" w:rsidP="00B755A7">
            <w:r w:rsidRPr="001B74DA">
              <w:t>Median age</w:t>
            </w:r>
          </w:p>
        </w:tc>
        <w:tc>
          <w:tcPr>
            <w:tcW w:w="1215" w:type="pct"/>
            <w:tcBorders>
              <w:bottom w:val="single" w:sz="12" w:space="0" w:color="auto"/>
            </w:tcBorders>
            <w:shd w:val="clear" w:color="auto" w:fill="F5F5F1"/>
            <w:noWrap/>
            <w:vAlign w:val="bottom"/>
            <w:hideMark/>
          </w:tcPr>
          <w:p w14:paraId="493FE1CD" w14:textId="77777777" w:rsidR="005A37A3" w:rsidRPr="001B74DA" w:rsidRDefault="005A37A3" w:rsidP="00B755A7">
            <w:r w:rsidRPr="001B74DA">
              <w:t>35 years</w:t>
            </w:r>
          </w:p>
        </w:tc>
        <w:tc>
          <w:tcPr>
            <w:tcW w:w="1130" w:type="pct"/>
            <w:tcBorders>
              <w:bottom w:val="single" w:sz="12" w:space="0" w:color="auto"/>
            </w:tcBorders>
            <w:shd w:val="clear" w:color="auto" w:fill="F5F5F1"/>
            <w:noWrap/>
            <w:vAlign w:val="bottom"/>
            <w:hideMark/>
          </w:tcPr>
          <w:p w14:paraId="32C6492B" w14:textId="77777777" w:rsidR="005A37A3" w:rsidRPr="001B74DA" w:rsidRDefault="005A37A3" w:rsidP="00B755A7">
            <w:r w:rsidRPr="001B74DA">
              <w:t>37 years</w:t>
            </w:r>
          </w:p>
        </w:tc>
        <w:tc>
          <w:tcPr>
            <w:tcW w:w="1136" w:type="pct"/>
            <w:tcBorders>
              <w:bottom w:val="single" w:sz="12" w:space="0" w:color="auto"/>
            </w:tcBorders>
            <w:shd w:val="clear" w:color="auto" w:fill="F5F5F1"/>
            <w:noWrap/>
            <w:vAlign w:val="bottom"/>
            <w:hideMark/>
          </w:tcPr>
          <w:p w14:paraId="7BF1CC56" w14:textId="77777777" w:rsidR="005A37A3" w:rsidRPr="001B74DA" w:rsidRDefault="005A37A3" w:rsidP="00B755A7">
            <w:r w:rsidRPr="001B74DA">
              <w:t>35 years</w:t>
            </w:r>
          </w:p>
        </w:tc>
      </w:tr>
      <w:tr w:rsidR="005A37A3" w:rsidRPr="001B74DA" w14:paraId="50A2229F" w14:textId="77777777" w:rsidTr="00B755A7">
        <w:trPr>
          <w:trHeight w:val="320"/>
        </w:trPr>
        <w:tc>
          <w:tcPr>
            <w:tcW w:w="5000" w:type="pct"/>
            <w:gridSpan w:val="4"/>
            <w:tcBorders>
              <w:top w:val="single" w:sz="12" w:space="0" w:color="auto"/>
            </w:tcBorders>
            <w:shd w:val="clear" w:color="auto" w:fill="auto"/>
            <w:noWrap/>
            <w:vAlign w:val="bottom"/>
          </w:tcPr>
          <w:p w14:paraId="5281979C" w14:textId="41AA395F" w:rsidR="005A37A3" w:rsidRPr="001B74DA" w:rsidRDefault="005A37A3" w:rsidP="00B755A7">
            <w:r w:rsidRPr="001B74DA">
              <w:rPr>
                <w:i/>
                <w:iCs/>
                <w:sz w:val="18"/>
                <w:szCs w:val="16"/>
              </w:rPr>
              <w:t>Source:</w:t>
            </w:r>
            <w:r w:rsidRPr="001B74DA">
              <w:rPr>
                <w:sz w:val="18"/>
                <w:szCs w:val="16"/>
              </w:rPr>
              <w:t xml:space="preserve"> Jeff Latimer and Austin Lawrence, </w:t>
            </w:r>
            <w:r w:rsidRPr="001B74DA">
              <w:rPr>
                <w:i/>
                <w:iCs/>
                <w:sz w:val="18"/>
                <w:szCs w:val="16"/>
              </w:rPr>
              <w:t>The Review Board Systems in Canada: An Overview of Results from the Mentally Disordered Accused Data Collection Study</w:t>
            </w:r>
            <w:r w:rsidRPr="001B74DA">
              <w:rPr>
                <w:sz w:val="18"/>
                <w:szCs w:val="16"/>
              </w:rPr>
              <w:t xml:space="preserve"> (Department of Justice Canada, Research and Statistics Division, 2006), p.14</w:t>
            </w:r>
          </w:p>
        </w:tc>
      </w:tr>
    </w:tbl>
    <w:p w14:paraId="4CD88A98" w14:textId="77777777" w:rsidR="005A37A3" w:rsidRPr="001B74DA" w:rsidRDefault="005A37A3" w:rsidP="00B755A7">
      <w:r w:rsidRPr="001B74DA">
        <w:t xml:space="preserve">Data relevant to this indicator was also collected in Peru. </w:t>
      </w:r>
      <w:r w:rsidRPr="001B74DA">
        <w:rPr>
          <w:lang w:val="es-ES"/>
        </w:rPr>
        <w:t xml:space="preserve">In 2018, </w:t>
      </w:r>
      <w:proofErr w:type="spellStart"/>
      <w:r w:rsidRPr="001B74DA">
        <w:rPr>
          <w:lang w:val="es-ES"/>
        </w:rPr>
        <w:t>the</w:t>
      </w:r>
      <w:proofErr w:type="spellEnd"/>
      <w:r w:rsidRPr="001B74DA">
        <w:rPr>
          <w:lang w:val="es-ES"/>
        </w:rPr>
        <w:t xml:space="preserve"> Peruvian </w:t>
      </w:r>
      <w:proofErr w:type="spellStart"/>
      <w:r w:rsidRPr="001B74DA">
        <w:rPr>
          <w:lang w:val="es-ES"/>
        </w:rPr>
        <w:t>Ombudsman’s</w:t>
      </w:r>
      <w:proofErr w:type="spellEnd"/>
      <w:r w:rsidRPr="001B74DA">
        <w:rPr>
          <w:lang w:val="es-ES"/>
        </w:rPr>
        <w:t xml:space="preserve"> Office </w:t>
      </w:r>
      <w:proofErr w:type="spellStart"/>
      <w:r w:rsidRPr="001B74DA">
        <w:rPr>
          <w:lang w:val="es-ES"/>
        </w:rPr>
        <w:t>published</w:t>
      </w:r>
      <w:proofErr w:type="spellEnd"/>
      <w:r w:rsidRPr="001B74DA">
        <w:rPr>
          <w:lang w:val="es-ES"/>
        </w:rPr>
        <w:t xml:space="preserve"> a </w:t>
      </w:r>
      <w:proofErr w:type="spellStart"/>
      <w:r w:rsidRPr="001B74DA">
        <w:rPr>
          <w:lang w:val="es-ES"/>
        </w:rPr>
        <w:t>report</w:t>
      </w:r>
      <w:proofErr w:type="spellEnd"/>
      <w:r w:rsidRPr="001B74DA">
        <w:rPr>
          <w:lang w:val="es-ES"/>
        </w:rPr>
        <w:t>, “</w:t>
      </w:r>
      <w:hyperlink r:id="rId18" w:history="1">
        <w:r w:rsidRPr="001B74DA">
          <w:rPr>
            <w:rStyle w:val="Hyperlink"/>
            <w:rFonts w:eastAsiaTheme="majorEastAsia"/>
            <w:lang w:val="es-ES"/>
          </w:rPr>
          <w:t xml:space="preserve">El Derecho a la Salud Mental: supervisión de la implementación de la política </w:t>
        </w:r>
        <w:r w:rsidRPr="001B74DA">
          <w:rPr>
            <w:rStyle w:val="Hyperlink"/>
            <w:rFonts w:eastAsiaTheme="majorEastAsia"/>
            <w:lang w:val="es-ES"/>
          </w:rPr>
          <w:lastRenderedPageBreak/>
          <w:t>publica de atención comunitaria y el camino a la desinstitucionalización</w:t>
        </w:r>
      </w:hyperlink>
      <w:r w:rsidRPr="001B74DA">
        <w:rPr>
          <w:lang w:val="es-ES"/>
        </w:rPr>
        <w:t xml:space="preserve">”. </w:t>
      </w:r>
      <w:r w:rsidRPr="001B74DA">
        <w:t>This report sets out the number of persons held in hospitals, institutions, protected homes and prisons on security measures. For example, in 2018, 59 people who were declared “</w:t>
      </w:r>
      <w:proofErr w:type="spellStart"/>
      <w:r w:rsidRPr="001B74DA">
        <w:t>inimputable</w:t>
      </w:r>
      <w:proofErr w:type="spellEnd"/>
      <w:r w:rsidRPr="001B74DA">
        <w:t>” (not held criminally liable) were admitted to state hospitals (p. 170) and 38 people to penitentiaries (p. 179).</w:t>
      </w:r>
    </w:p>
    <w:p w14:paraId="6D22CD38" w14:textId="3A67D0D2" w:rsidR="005A37A3" w:rsidRPr="001B74DA" w:rsidRDefault="005A37A3" w:rsidP="00B755A7">
      <w:pPr>
        <w:pStyle w:val="Heading2"/>
        <w:rPr>
          <w:rFonts w:eastAsiaTheme="majorEastAsia"/>
        </w:rPr>
      </w:pPr>
      <w:r w:rsidRPr="001B74DA">
        <w:rPr>
          <w:rFonts w:eastAsiaTheme="majorEastAsia"/>
        </w:rPr>
        <w:t>14.25 Number of persons with disabilities who are released from disability-specific deprivation of liberty disaggregated by sex, age and disability, and place of detention (e.g. psychiatric institutions, residences for persons with intellectual disabilities, etc.), and proportion of them who have been provided with access to housing, means of subsistence and other forms of economic and social support.</w:t>
      </w:r>
    </w:p>
    <w:p w14:paraId="715FED24" w14:textId="3BC2E3ED" w:rsidR="005A37A3" w:rsidRPr="001B74DA" w:rsidRDefault="005A37A3" w:rsidP="00B755A7">
      <w:pPr>
        <w:pStyle w:val="Heading4"/>
        <w:rPr>
          <w:rFonts w:eastAsiaTheme="majorEastAsia"/>
          <w:lang w:eastAsia="en-GB"/>
        </w:rPr>
      </w:pPr>
      <w:r w:rsidRPr="001B74DA">
        <w:rPr>
          <w:rFonts w:eastAsiaTheme="majorEastAsia"/>
          <w:lang w:eastAsia="en-GB"/>
        </w:rPr>
        <w:t>Level 1: Indicator for which data are already being produced and reported on in at least some countries.</w:t>
      </w:r>
    </w:p>
    <w:p w14:paraId="53763444" w14:textId="3EAEDA8F" w:rsidR="005A37A3" w:rsidRPr="001B74DA" w:rsidRDefault="005A37A3" w:rsidP="00B755A7">
      <w:r w:rsidRPr="001B74DA">
        <w:t xml:space="preserve">The United States of America has used administrative data that can capture this indicator. The </w:t>
      </w:r>
      <w:proofErr w:type="spellStart"/>
      <w:r w:rsidRPr="001B74DA">
        <w:t>Centers</w:t>
      </w:r>
      <w:proofErr w:type="spellEnd"/>
      <w:r w:rsidRPr="001B74DA">
        <w:t xml:space="preserve"> for Medicare and Medicaid Services - the agency providing funding for people with Intellectual or Developmental Disabilities institutions and home and community-based services - had a “money follows the person initiative” to move people living in nursing homes or institutions into the community, with appropriate services. The federal government gave grants to states, which were then required to submit an annual report that included the number of people transitioned.</w:t>
      </w:r>
    </w:p>
    <w:p w14:paraId="78BFFECC" w14:textId="77777777" w:rsidR="005A37A3" w:rsidRPr="001B74DA" w:rsidRDefault="005A37A3" w:rsidP="00B755A7">
      <w:r w:rsidRPr="001B74DA">
        <w:t xml:space="preserve">The first transitions occurred in late 2007. As of June 2018, 91,540 institutional residents had transitioned in 44 states and the District of Columbia. Some 14,856 of these were persons with Intellectual or Developmental Disabilities, who moved from either institutions for people with intellectual disabilities or nursing homes into community settings, such as their own home, a family home, or a small group setting. The remaining 76,684 persons had physical, mental, or adult-onset cognitive disabilities and were primarily transitioned out of nursing homes. For a report on these data, consult the publication of the </w:t>
      </w:r>
      <w:hyperlink r:id="rId19" w:history="1">
        <w:r w:rsidRPr="001B74DA">
          <w:rPr>
            <w:rStyle w:val="Hyperlink"/>
            <w:rFonts w:eastAsiaTheme="majorEastAsia"/>
          </w:rPr>
          <w:t xml:space="preserve">Community Living Policy </w:t>
        </w:r>
        <w:proofErr w:type="spellStart"/>
        <w:r w:rsidRPr="001B74DA">
          <w:rPr>
            <w:rStyle w:val="Hyperlink"/>
            <w:rFonts w:eastAsiaTheme="majorEastAsia"/>
          </w:rPr>
          <w:t>Center</w:t>
        </w:r>
        <w:proofErr w:type="spellEnd"/>
      </w:hyperlink>
      <w:r w:rsidRPr="001B74DA">
        <w:t>.</w:t>
      </w:r>
    </w:p>
    <w:p w14:paraId="0208395D" w14:textId="55036329" w:rsidR="005A37A3" w:rsidRPr="001B74DA" w:rsidRDefault="005A37A3" w:rsidP="00B755A7">
      <w:pPr>
        <w:pStyle w:val="Heading2"/>
        <w:rPr>
          <w:rFonts w:eastAsiaTheme="majorEastAsia"/>
        </w:rPr>
      </w:pPr>
      <w:r w:rsidRPr="001B74DA">
        <w:rPr>
          <w:rFonts w:eastAsiaTheme="majorEastAsia"/>
        </w:rPr>
        <w:t>14.26 Number of persons deprived of liberty in prisons and other detention centres (non-disability specific) and proportion of them who are persons with disabilities, disaggregated by sex, age disability, ground of detention, detention centre and geographical area.</w:t>
      </w:r>
    </w:p>
    <w:p w14:paraId="108D5844" w14:textId="77777777" w:rsidR="005A37A3" w:rsidRPr="001B74DA" w:rsidRDefault="005A37A3" w:rsidP="005A37A3">
      <w:pPr>
        <w:pStyle w:val="Heading4"/>
        <w:rPr>
          <w:rFonts w:eastAsiaTheme="majorEastAsia"/>
        </w:rPr>
      </w:pPr>
      <w:r w:rsidRPr="001B74DA">
        <w:rPr>
          <w:rFonts w:eastAsiaTheme="majorEastAsia"/>
        </w:rPr>
        <w:t>Level 2: Indicator that can be produced with existing data but has not been reported on</w:t>
      </w:r>
    </w:p>
    <w:p w14:paraId="57F5677B" w14:textId="7DFFF31C" w:rsidR="005A37A3" w:rsidRPr="001B74DA" w:rsidRDefault="005A37A3" w:rsidP="00B755A7">
      <w:r w:rsidRPr="001B74DA">
        <w:t>Countries have administrative data on people in prisons and detention centres. If they do not already record the disability status (the Bureau of Prisons in South Africa is one example that does) they can add it to their records.</w:t>
      </w:r>
    </w:p>
    <w:p w14:paraId="328D4ED5" w14:textId="5F1E637E" w:rsidR="005A37A3" w:rsidRPr="001B74DA" w:rsidRDefault="005A37A3" w:rsidP="00B755A7">
      <w:r w:rsidRPr="001B74DA">
        <w:lastRenderedPageBreak/>
        <w:t xml:space="preserve">Surveys can also be used, as in the </w:t>
      </w:r>
      <w:hyperlink r:id="rId20" w:history="1">
        <w:r w:rsidRPr="001B74DA">
          <w:rPr>
            <w:rStyle w:val="Hyperlink"/>
            <w:rFonts w:eastAsiaTheme="majorEastAsia"/>
          </w:rPr>
          <w:t>United States of America’s National Inmate Survey (NIS-3)</w:t>
        </w:r>
      </w:hyperlink>
      <w:r w:rsidRPr="001B74DA">
        <w:t>, that describes the prevalence of persons with disabilities among the prison population.</w:t>
      </w:r>
    </w:p>
    <w:p w14:paraId="530E1CD0" w14:textId="2BDBCF63" w:rsidR="005A37A3" w:rsidRPr="001B74DA" w:rsidRDefault="005A37A3" w:rsidP="00B755A7">
      <w:r w:rsidRPr="001B74DA">
        <w:t xml:space="preserve">Another example, from England and Wales, is a </w:t>
      </w:r>
      <w:hyperlink r:id="rId21" w:history="1">
        <w:r w:rsidRPr="001B74DA">
          <w:rPr>
            <w:rStyle w:val="Hyperlink"/>
            <w:rFonts w:eastAsiaTheme="majorEastAsia"/>
          </w:rPr>
          <w:t>study that estimates the proportion of newly sentenced prisoners who have a disability</w:t>
        </w:r>
      </w:hyperlink>
      <w:r w:rsidRPr="001B74DA">
        <w:rPr>
          <w:rFonts w:eastAsiaTheme="majorEastAsia"/>
        </w:rPr>
        <w:t>,</w:t>
      </w:r>
      <w:r w:rsidRPr="001B74DA">
        <w:t xml:space="preserve"> using survey questions about perceived disability, physical health, and anxiety and depression.</w:t>
      </w:r>
    </w:p>
    <w:p w14:paraId="5F74281C" w14:textId="616A2603" w:rsidR="005A37A3" w:rsidRPr="001B74DA" w:rsidRDefault="005A37A3" w:rsidP="00B755A7">
      <w:r w:rsidRPr="001B74DA">
        <w:t xml:space="preserve">The </w:t>
      </w:r>
      <w:hyperlink r:id="rId22" w:history="1">
        <w:r w:rsidRPr="001B74DA">
          <w:rPr>
            <w:rStyle w:val="Hyperlink"/>
            <w:rFonts w:eastAsiaTheme="majorEastAsia"/>
          </w:rPr>
          <w:t>World Prison Brief</w:t>
        </w:r>
      </w:hyperlink>
      <w:r w:rsidR="00CA1838" w:rsidRPr="001B74DA">
        <w:rPr>
          <w:rStyle w:val="Hyperlink"/>
          <w:rFonts w:eastAsiaTheme="majorEastAsia"/>
        </w:rPr>
        <w:t>,</w:t>
      </w:r>
      <w:r w:rsidR="00CA1838" w:rsidRPr="001B74DA">
        <w:t xml:space="preserve"> an online database, p</w:t>
      </w:r>
      <w:r w:rsidRPr="001B74DA">
        <w:t>rovides free access to information on prison systems around the world.</w:t>
      </w:r>
    </w:p>
    <w:p w14:paraId="0546174E" w14:textId="5AE1AE87" w:rsidR="005A37A3" w:rsidRPr="001B74DA" w:rsidRDefault="005A37A3" w:rsidP="00B755A7">
      <w:pPr>
        <w:pStyle w:val="Heading2"/>
        <w:rPr>
          <w:rFonts w:eastAsiaTheme="majorEastAsia"/>
        </w:rPr>
      </w:pPr>
      <w:r w:rsidRPr="001B74DA">
        <w:rPr>
          <w:rFonts w:eastAsiaTheme="majorEastAsia"/>
        </w:rPr>
        <w:t>14.27 Conviction rate of persons with disabilities as compared to the general conviction rate, disaggregated by age, sex, disability, crime/ground and whether accessed legal aid or lawyer of the person’s choice.</w:t>
      </w:r>
    </w:p>
    <w:p w14:paraId="2088C309" w14:textId="2AAFD10C" w:rsidR="005A37A3" w:rsidRPr="001B74DA" w:rsidRDefault="005A37A3" w:rsidP="00B755A7">
      <w:pPr>
        <w:pStyle w:val="Heading4"/>
        <w:rPr>
          <w:rFonts w:eastAsiaTheme="majorEastAsia"/>
        </w:rPr>
      </w:pPr>
      <w:r w:rsidRPr="001B74DA">
        <w:rPr>
          <w:rFonts w:eastAsiaTheme="majorEastAsia"/>
        </w:rPr>
        <w:t>Level 2: Indicator that could be produced with straightforward additions or modifications to existing data collection efforts</w:t>
      </w:r>
    </w:p>
    <w:p w14:paraId="06C85807" w14:textId="35F38929" w:rsidR="005A37A3" w:rsidRPr="001B74DA" w:rsidRDefault="005A37A3" w:rsidP="00B755A7">
      <w:r w:rsidRPr="001B74DA">
        <w:t>Administrative records from the courts can be used to determine a general conviction rate. For these data to be disaggregated by disability status, disability information would have to be included in court records.</w:t>
      </w:r>
    </w:p>
    <w:p w14:paraId="4EE5AB48" w14:textId="77777777" w:rsidR="005A37A3" w:rsidRPr="001B74DA" w:rsidRDefault="005A37A3" w:rsidP="00B755A7">
      <w:r w:rsidRPr="001B74DA">
        <w:t xml:space="preserve">A </w:t>
      </w:r>
      <w:hyperlink r:id="rId23" w:history="1">
        <w:r w:rsidRPr="001B74DA">
          <w:rPr>
            <w:rStyle w:val="Hyperlink"/>
            <w:rFonts w:eastAsiaTheme="majorEastAsia"/>
          </w:rPr>
          <w:t>study from Bulgaria</w:t>
        </w:r>
      </w:hyperlink>
      <w:r w:rsidRPr="001B74DA">
        <w:t xml:space="preserve"> based on court records disaggregates by age and sex, but not disability. If disability status were added, then it would be capable of doing so.</w:t>
      </w:r>
    </w:p>
    <w:p w14:paraId="0B066864" w14:textId="1EF15992" w:rsidR="005A37A3" w:rsidRPr="001B74DA" w:rsidRDefault="005A37A3" w:rsidP="00B755A7">
      <w:pPr>
        <w:pStyle w:val="Heading2"/>
        <w:rPr>
          <w:rFonts w:eastAsiaTheme="majorEastAsia"/>
        </w:rPr>
      </w:pPr>
      <w:r w:rsidRPr="001B74DA">
        <w:rPr>
          <w:rFonts w:eastAsiaTheme="majorEastAsia"/>
        </w:rPr>
        <w:t>14.28 Proportion of cases in which, after appeal, a sentence was reduced or a criminal conviction vacated, disaggregated by sex, age, disability.</w:t>
      </w:r>
    </w:p>
    <w:p w14:paraId="0B3A890E" w14:textId="2C05F86D" w:rsidR="005A37A3" w:rsidRPr="001B74DA" w:rsidRDefault="005A37A3" w:rsidP="00B755A7">
      <w:pPr>
        <w:pStyle w:val="Heading4"/>
        <w:rPr>
          <w:rFonts w:eastAsiaTheme="majorEastAsia"/>
        </w:rPr>
      </w:pPr>
      <w:r w:rsidRPr="001B74DA">
        <w:rPr>
          <w:rFonts w:eastAsiaTheme="majorEastAsia"/>
        </w:rPr>
        <w:t>Level 2: Indicator that could be produced with straightforward additions or modifications to existing data collection efforts</w:t>
      </w:r>
    </w:p>
    <w:p w14:paraId="5FA88F89" w14:textId="77777777" w:rsidR="005A37A3" w:rsidRPr="001B74DA" w:rsidRDefault="005A37A3" w:rsidP="00B755A7">
      <w:r w:rsidRPr="001B74DA">
        <w:t xml:space="preserve">If court records included disability status, then they could be used to generate this indicator. Studies have been done without disaggregation by disability status - for example, </w:t>
      </w:r>
      <w:hyperlink r:id="rId24" w:history="1">
        <w:r w:rsidRPr="001B74DA">
          <w:rPr>
            <w:rStyle w:val="Hyperlink"/>
            <w:rFonts w:eastAsiaTheme="majorEastAsia"/>
          </w:rPr>
          <w:t>a study done by the United States governmen</w:t>
        </w:r>
      </w:hyperlink>
      <w:r w:rsidRPr="001B74DA">
        <w:t>t examined appeals from appellate courts and included reversal rates, type of crime and reason for reversal, but did not include demographic characteristics of the defendant.</w:t>
      </w:r>
    </w:p>
    <w:p w14:paraId="2DA8FBE4" w14:textId="7C1844E3" w:rsidR="005A37A3" w:rsidRPr="001B74DA" w:rsidRDefault="005A37A3" w:rsidP="00B755A7">
      <w:pPr>
        <w:pStyle w:val="Heading2"/>
        <w:rPr>
          <w:rFonts w:eastAsiaTheme="majorEastAsia"/>
        </w:rPr>
      </w:pPr>
      <w:r w:rsidRPr="001B74DA">
        <w:rPr>
          <w:rFonts w:eastAsiaTheme="majorEastAsia"/>
        </w:rPr>
        <w:lastRenderedPageBreak/>
        <w:t>14.29 Number and proportion of persons with disabilities deprived of liberty in any place of detention provided with reasonable accommodation, disaggregated by age, sex, disability, ground of detention, detention centre and geographical area.</w:t>
      </w:r>
    </w:p>
    <w:p w14:paraId="528D5E4C" w14:textId="4A17A9C2" w:rsidR="005A37A3" w:rsidRPr="001B74DA" w:rsidRDefault="005A37A3" w:rsidP="00B755A7">
      <w:pPr>
        <w:pStyle w:val="Heading4"/>
        <w:rPr>
          <w:rFonts w:eastAsiaTheme="majorEastAsia"/>
        </w:rPr>
      </w:pPr>
      <w:r w:rsidRPr="001B74DA">
        <w:rPr>
          <w:rFonts w:eastAsiaTheme="majorEastAsia"/>
        </w:rPr>
        <w:t>Level 2: Indicator that could be produced with straightforward additions or modifications to existing data collection efforts</w:t>
      </w:r>
    </w:p>
    <w:p w14:paraId="5E2DFB23" w14:textId="08D84388" w:rsidR="005A37A3" w:rsidRPr="001B74DA" w:rsidRDefault="005A37A3" w:rsidP="00B755A7">
      <w:r w:rsidRPr="001B74DA">
        <w:t xml:space="preserve">This requires a survey of prisoners, like the one undertaken in the United Kingdom and Wales and reported in the </w:t>
      </w:r>
      <w:hyperlink r:id="rId25" w:history="1">
        <w:r w:rsidRPr="001B74DA">
          <w:rPr>
            <w:rStyle w:val="Hyperlink"/>
            <w:rFonts w:eastAsiaTheme="majorEastAsia"/>
            <w:i/>
            <w:iCs/>
          </w:rPr>
          <w:t>2017-2018 Annual Report of HM Chief Inspector of Prisons for England and Wales</w:t>
        </w:r>
      </w:hyperlink>
      <w:r w:rsidRPr="001B74DA">
        <w:rPr>
          <w:i/>
          <w:iCs/>
        </w:rPr>
        <w:t>.</w:t>
      </w:r>
    </w:p>
    <w:p w14:paraId="4B239372" w14:textId="08AE5CE1" w:rsidR="005A37A3" w:rsidRPr="001B74DA" w:rsidRDefault="005A37A3" w:rsidP="00B755A7">
      <w:r w:rsidRPr="001B74DA">
        <w:t>However, while the survey asks about disability and details the prisoners’ experiences, it does not ask specifically about accommodations. It does ask related questions that reveal a difference in experiences between men with disabilities and those without, as can be seen in table 4.</w:t>
      </w:r>
    </w:p>
    <w:p w14:paraId="3AE3F421" w14:textId="77777777" w:rsidR="00A86881" w:rsidRPr="001B74DA" w:rsidRDefault="00A86881">
      <w:pPr>
        <w:spacing w:before="0" w:after="0" w:line="240" w:lineRule="auto"/>
        <w:rPr>
          <w:rFonts w:eastAsiaTheme="majorEastAsia" w:cstheme="majorBidi"/>
          <w:b/>
          <w:iCs/>
          <w:color w:val="000000" w:themeColor="text1"/>
          <w:szCs w:val="23"/>
        </w:rPr>
      </w:pPr>
      <w:r w:rsidRPr="001B74DA">
        <w:rPr>
          <w:b/>
          <w:bCs/>
        </w:rPr>
        <w:br w:type="page"/>
      </w:r>
    </w:p>
    <w:p w14:paraId="56084BBB" w14:textId="67EE4542" w:rsidR="005A37A3" w:rsidRPr="001B74DA" w:rsidRDefault="005A37A3" w:rsidP="00B755A7">
      <w:pPr>
        <w:pStyle w:val="TableHeader"/>
        <w:rPr>
          <w:rFonts w:eastAsiaTheme="majorEastAsia" w:cstheme="majorBidi"/>
        </w:rPr>
      </w:pPr>
      <w:r w:rsidRPr="001B74DA">
        <w:rPr>
          <w:rFonts w:eastAsiaTheme="majorEastAsia" w:cstheme="majorBidi"/>
          <w:b/>
          <w:bCs w:val="0"/>
        </w:rPr>
        <w:lastRenderedPageBreak/>
        <w:t>Table 4</w:t>
      </w:r>
      <w:r w:rsidR="00B755A7" w:rsidRPr="001B74DA">
        <w:rPr>
          <w:rFonts w:eastAsiaTheme="majorEastAsia" w:cstheme="majorBidi"/>
          <w:b/>
          <w:bCs w:val="0"/>
        </w:rPr>
        <w:t>:</w:t>
      </w:r>
      <w:r w:rsidR="00B755A7" w:rsidRPr="001B74DA">
        <w:rPr>
          <w:rFonts w:eastAsiaTheme="majorEastAsia" w:cstheme="majorBidi"/>
        </w:rPr>
        <w:t xml:space="preserve"> </w:t>
      </w:r>
      <w:r w:rsidRPr="001B74DA">
        <w:rPr>
          <w:rFonts w:eastAsiaTheme="majorEastAsia" w:cstheme="majorBidi"/>
        </w:rPr>
        <w:t>United Kingdom: Prisoners’ experiences by disability status</w:t>
      </w:r>
    </w:p>
    <w:tbl>
      <w:tblPr>
        <w:tblW w:w="5000" w:type="pct"/>
        <w:tblBorders>
          <w:top w:val="single" w:sz="12" w:space="0" w:color="auto"/>
        </w:tblBorders>
        <w:shd w:val="clear" w:color="auto" w:fill="F5F5F1"/>
        <w:tblLook w:val="04A0" w:firstRow="1" w:lastRow="0" w:firstColumn="1" w:lastColumn="0" w:noHBand="0" w:noVBand="1"/>
      </w:tblPr>
      <w:tblGrid>
        <w:gridCol w:w="5502"/>
        <w:gridCol w:w="1714"/>
        <w:gridCol w:w="1804"/>
      </w:tblGrid>
      <w:tr w:rsidR="005A37A3" w:rsidRPr="001B74DA" w14:paraId="14A8AE10" w14:textId="77777777" w:rsidTr="00B755A7">
        <w:trPr>
          <w:trHeight w:val="283"/>
        </w:trPr>
        <w:tc>
          <w:tcPr>
            <w:tcW w:w="3050" w:type="pct"/>
            <w:tcBorders>
              <w:bottom w:val="single" w:sz="12" w:space="0" w:color="auto"/>
            </w:tcBorders>
            <w:shd w:val="clear" w:color="auto" w:fill="F5F5F1"/>
            <w:vAlign w:val="center"/>
            <w:hideMark/>
          </w:tcPr>
          <w:p w14:paraId="174E399A" w14:textId="77777777" w:rsidR="005A37A3" w:rsidRPr="001B74DA" w:rsidRDefault="005A37A3" w:rsidP="00B755A7">
            <w:pPr>
              <w:pStyle w:val="TableHeaderRow"/>
            </w:pPr>
          </w:p>
        </w:tc>
        <w:tc>
          <w:tcPr>
            <w:tcW w:w="950" w:type="pct"/>
            <w:tcBorders>
              <w:bottom w:val="single" w:sz="12" w:space="0" w:color="auto"/>
            </w:tcBorders>
            <w:shd w:val="clear" w:color="auto" w:fill="F5F5F1"/>
            <w:vAlign w:val="bottom"/>
            <w:hideMark/>
          </w:tcPr>
          <w:p w14:paraId="2F04754E" w14:textId="77777777" w:rsidR="005A37A3" w:rsidRPr="001B74DA" w:rsidRDefault="005A37A3" w:rsidP="00B755A7">
            <w:pPr>
              <w:pStyle w:val="TableHeaderRow"/>
            </w:pPr>
            <w:r w:rsidRPr="001B74DA">
              <w:t>Men with a disability</w:t>
            </w:r>
          </w:p>
        </w:tc>
        <w:tc>
          <w:tcPr>
            <w:tcW w:w="1000" w:type="pct"/>
            <w:tcBorders>
              <w:bottom w:val="single" w:sz="12" w:space="0" w:color="auto"/>
            </w:tcBorders>
            <w:shd w:val="clear" w:color="auto" w:fill="F5F5F1"/>
            <w:vAlign w:val="bottom"/>
            <w:hideMark/>
          </w:tcPr>
          <w:p w14:paraId="5914F931" w14:textId="77777777" w:rsidR="005A37A3" w:rsidRPr="001B74DA" w:rsidRDefault="005A37A3" w:rsidP="00B755A7">
            <w:pPr>
              <w:pStyle w:val="TableHeaderRow"/>
            </w:pPr>
            <w:r w:rsidRPr="001B74DA">
              <w:t>Men without a disability</w:t>
            </w:r>
          </w:p>
        </w:tc>
      </w:tr>
      <w:tr w:rsidR="005A37A3" w:rsidRPr="001B74DA" w14:paraId="6FC3A01E" w14:textId="77777777" w:rsidTr="00B755A7">
        <w:trPr>
          <w:trHeight w:val="322"/>
        </w:trPr>
        <w:tc>
          <w:tcPr>
            <w:tcW w:w="3050" w:type="pct"/>
            <w:tcBorders>
              <w:top w:val="single" w:sz="12" w:space="0" w:color="auto"/>
            </w:tcBorders>
            <w:shd w:val="clear" w:color="auto" w:fill="F5F5F1"/>
            <w:vAlign w:val="center"/>
            <w:hideMark/>
          </w:tcPr>
          <w:p w14:paraId="262A4673" w14:textId="77777777" w:rsidR="005A37A3" w:rsidRPr="001B74DA" w:rsidRDefault="005A37A3" w:rsidP="00B755A7">
            <w:r w:rsidRPr="001B74DA">
              <w:t>When you first arrived, did you have any problems?</w:t>
            </w:r>
          </w:p>
        </w:tc>
        <w:tc>
          <w:tcPr>
            <w:tcW w:w="950" w:type="pct"/>
            <w:tcBorders>
              <w:top w:val="single" w:sz="12" w:space="0" w:color="auto"/>
            </w:tcBorders>
            <w:shd w:val="clear" w:color="auto" w:fill="F5F5F1"/>
            <w:noWrap/>
            <w:hideMark/>
          </w:tcPr>
          <w:p w14:paraId="3EDD6AD1" w14:textId="77777777" w:rsidR="005A37A3" w:rsidRPr="001B74DA" w:rsidRDefault="005A37A3" w:rsidP="00B755A7">
            <w:r w:rsidRPr="001B74DA">
              <w:t>88%</w:t>
            </w:r>
          </w:p>
        </w:tc>
        <w:tc>
          <w:tcPr>
            <w:tcW w:w="1000" w:type="pct"/>
            <w:tcBorders>
              <w:top w:val="single" w:sz="12" w:space="0" w:color="auto"/>
            </w:tcBorders>
            <w:shd w:val="clear" w:color="auto" w:fill="F5F5F1"/>
            <w:noWrap/>
            <w:hideMark/>
          </w:tcPr>
          <w:p w14:paraId="4F57A0E0" w14:textId="77777777" w:rsidR="005A37A3" w:rsidRPr="001B74DA" w:rsidRDefault="005A37A3" w:rsidP="00B755A7">
            <w:r w:rsidRPr="001B74DA">
              <w:t>64%</w:t>
            </w:r>
          </w:p>
        </w:tc>
      </w:tr>
      <w:tr w:rsidR="005A37A3" w:rsidRPr="001B74DA" w14:paraId="5DED3970" w14:textId="77777777" w:rsidTr="00B755A7">
        <w:trPr>
          <w:trHeight w:val="322"/>
        </w:trPr>
        <w:tc>
          <w:tcPr>
            <w:tcW w:w="3050" w:type="pct"/>
            <w:shd w:val="clear" w:color="auto" w:fill="F5F5F1"/>
            <w:vAlign w:val="center"/>
            <w:hideMark/>
          </w:tcPr>
          <w:p w14:paraId="3EE28A92" w14:textId="77777777" w:rsidR="005A37A3" w:rsidRPr="001B74DA" w:rsidRDefault="005A37A3" w:rsidP="00B755A7">
            <w:r w:rsidRPr="001B74DA">
              <w:t>(…) physical health problems?</w:t>
            </w:r>
          </w:p>
        </w:tc>
        <w:tc>
          <w:tcPr>
            <w:tcW w:w="950" w:type="pct"/>
            <w:shd w:val="clear" w:color="auto" w:fill="F5F5F1"/>
            <w:noWrap/>
            <w:hideMark/>
          </w:tcPr>
          <w:p w14:paraId="13EADDA1" w14:textId="77777777" w:rsidR="005A37A3" w:rsidRPr="001B74DA" w:rsidRDefault="005A37A3" w:rsidP="00B755A7">
            <w:r w:rsidRPr="001B74DA">
              <w:t>33%</w:t>
            </w:r>
          </w:p>
        </w:tc>
        <w:tc>
          <w:tcPr>
            <w:tcW w:w="1000" w:type="pct"/>
            <w:shd w:val="clear" w:color="auto" w:fill="F5F5F1"/>
            <w:noWrap/>
            <w:hideMark/>
          </w:tcPr>
          <w:p w14:paraId="3445341E" w14:textId="77777777" w:rsidR="005A37A3" w:rsidRPr="001B74DA" w:rsidRDefault="005A37A3" w:rsidP="00B755A7">
            <w:r w:rsidRPr="001B74DA">
              <w:t>9%</w:t>
            </w:r>
          </w:p>
        </w:tc>
      </w:tr>
      <w:tr w:rsidR="005A37A3" w:rsidRPr="001B74DA" w14:paraId="4CF0CBA2" w14:textId="77777777" w:rsidTr="00B755A7">
        <w:trPr>
          <w:trHeight w:val="322"/>
        </w:trPr>
        <w:tc>
          <w:tcPr>
            <w:tcW w:w="3050" w:type="pct"/>
            <w:shd w:val="clear" w:color="auto" w:fill="F5F5F1"/>
            <w:vAlign w:val="center"/>
            <w:hideMark/>
          </w:tcPr>
          <w:p w14:paraId="70C17605" w14:textId="77777777" w:rsidR="005A37A3" w:rsidRPr="001B74DA" w:rsidRDefault="005A37A3" w:rsidP="00B755A7">
            <w:r w:rsidRPr="001B74DA">
              <w:t>(…) housing worries?</w:t>
            </w:r>
          </w:p>
        </w:tc>
        <w:tc>
          <w:tcPr>
            <w:tcW w:w="950" w:type="pct"/>
            <w:shd w:val="clear" w:color="auto" w:fill="F5F5F1"/>
            <w:noWrap/>
            <w:hideMark/>
          </w:tcPr>
          <w:p w14:paraId="48D99314" w14:textId="77777777" w:rsidR="005A37A3" w:rsidRPr="001B74DA" w:rsidRDefault="005A37A3" w:rsidP="00B755A7">
            <w:r w:rsidRPr="001B74DA">
              <w:t>25%</w:t>
            </w:r>
          </w:p>
        </w:tc>
        <w:tc>
          <w:tcPr>
            <w:tcW w:w="1000" w:type="pct"/>
            <w:shd w:val="clear" w:color="auto" w:fill="F5F5F1"/>
            <w:noWrap/>
            <w:hideMark/>
          </w:tcPr>
          <w:p w14:paraId="5DEC4A71" w14:textId="77777777" w:rsidR="005A37A3" w:rsidRPr="001B74DA" w:rsidRDefault="005A37A3" w:rsidP="00B755A7">
            <w:r w:rsidRPr="001B74DA">
              <w:t>12%</w:t>
            </w:r>
          </w:p>
        </w:tc>
      </w:tr>
      <w:tr w:rsidR="005A37A3" w:rsidRPr="001B74DA" w14:paraId="44A13317" w14:textId="77777777" w:rsidTr="00B755A7">
        <w:trPr>
          <w:trHeight w:val="680"/>
        </w:trPr>
        <w:tc>
          <w:tcPr>
            <w:tcW w:w="3050" w:type="pct"/>
            <w:shd w:val="clear" w:color="auto" w:fill="F5F5F1"/>
            <w:vAlign w:val="center"/>
            <w:hideMark/>
          </w:tcPr>
          <w:p w14:paraId="4CC0E5FC" w14:textId="77777777" w:rsidR="005A37A3" w:rsidRPr="001B74DA" w:rsidRDefault="005A37A3" w:rsidP="00B755A7">
            <w:r w:rsidRPr="001B74DA">
              <w:t>Do you usually spend less than 2 hours out of your cell l on a typical weekday?</w:t>
            </w:r>
          </w:p>
        </w:tc>
        <w:tc>
          <w:tcPr>
            <w:tcW w:w="950" w:type="pct"/>
            <w:shd w:val="clear" w:color="auto" w:fill="F5F5F1"/>
            <w:noWrap/>
            <w:hideMark/>
          </w:tcPr>
          <w:p w14:paraId="1F43D01D" w14:textId="77777777" w:rsidR="005A37A3" w:rsidRPr="001B74DA" w:rsidRDefault="005A37A3" w:rsidP="00B755A7">
            <w:r w:rsidRPr="001B74DA">
              <w:t>26%</w:t>
            </w:r>
          </w:p>
        </w:tc>
        <w:tc>
          <w:tcPr>
            <w:tcW w:w="1000" w:type="pct"/>
            <w:shd w:val="clear" w:color="auto" w:fill="F5F5F1"/>
            <w:noWrap/>
            <w:hideMark/>
          </w:tcPr>
          <w:p w14:paraId="07939AAA" w14:textId="77777777" w:rsidR="005A37A3" w:rsidRPr="001B74DA" w:rsidRDefault="005A37A3" w:rsidP="00B755A7">
            <w:r w:rsidRPr="001B74DA">
              <w:t>18%</w:t>
            </w:r>
          </w:p>
        </w:tc>
      </w:tr>
      <w:tr w:rsidR="005A37A3" w:rsidRPr="001B74DA" w14:paraId="7D74A334" w14:textId="77777777" w:rsidTr="00B755A7">
        <w:trPr>
          <w:trHeight w:val="340"/>
        </w:trPr>
        <w:tc>
          <w:tcPr>
            <w:tcW w:w="3050" w:type="pct"/>
            <w:tcBorders>
              <w:bottom w:val="single" w:sz="12" w:space="0" w:color="auto"/>
            </w:tcBorders>
            <w:shd w:val="clear" w:color="auto" w:fill="F5F5F1"/>
            <w:vAlign w:val="center"/>
            <w:hideMark/>
          </w:tcPr>
          <w:p w14:paraId="7731D032" w14:textId="77777777" w:rsidR="005A37A3" w:rsidRPr="001B74DA" w:rsidRDefault="005A37A3" w:rsidP="00B755A7">
            <w:r w:rsidRPr="001B74DA">
              <w:t>Have you ever felt unsafe here?</w:t>
            </w:r>
          </w:p>
        </w:tc>
        <w:tc>
          <w:tcPr>
            <w:tcW w:w="950" w:type="pct"/>
            <w:tcBorders>
              <w:bottom w:val="single" w:sz="12" w:space="0" w:color="auto"/>
            </w:tcBorders>
            <w:shd w:val="clear" w:color="auto" w:fill="F5F5F1"/>
            <w:noWrap/>
            <w:hideMark/>
          </w:tcPr>
          <w:p w14:paraId="4D0CFC02" w14:textId="77777777" w:rsidR="005A37A3" w:rsidRPr="001B74DA" w:rsidRDefault="005A37A3" w:rsidP="00B755A7">
            <w:r w:rsidRPr="001B74DA">
              <w:t>63%</w:t>
            </w:r>
          </w:p>
        </w:tc>
        <w:tc>
          <w:tcPr>
            <w:tcW w:w="1000" w:type="pct"/>
            <w:tcBorders>
              <w:bottom w:val="single" w:sz="12" w:space="0" w:color="auto"/>
            </w:tcBorders>
            <w:shd w:val="clear" w:color="auto" w:fill="F5F5F1"/>
            <w:noWrap/>
            <w:hideMark/>
          </w:tcPr>
          <w:p w14:paraId="062CBDA9" w14:textId="77777777" w:rsidR="005A37A3" w:rsidRPr="001B74DA" w:rsidRDefault="005A37A3" w:rsidP="00B755A7">
            <w:r w:rsidRPr="001B74DA">
              <w:t>44%</w:t>
            </w:r>
          </w:p>
        </w:tc>
      </w:tr>
      <w:tr w:rsidR="005A37A3" w:rsidRPr="001B74DA" w14:paraId="422F5E84" w14:textId="77777777" w:rsidTr="00B755A7">
        <w:trPr>
          <w:trHeight w:val="340"/>
        </w:trPr>
        <w:tc>
          <w:tcPr>
            <w:tcW w:w="5000" w:type="pct"/>
            <w:gridSpan w:val="3"/>
            <w:tcBorders>
              <w:top w:val="single" w:sz="12" w:space="0" w:color="auto"/>
            </w:tcBorders>
            <w:shd w:val="clear" w:color="auto" w:fill="auto"/>
            <w:vAlign w:val="bottom"/>
          </w:tcPr>
          <w:p w14:paraId="7EA60589" w14:textId="7B361FA9" w:rsidR="005A37A3" w:rsidRPr="001B74DA" w:rsidRDefault="005A37A3" w:rsidP="00B755A7">
            <w:r w:rsidRPr="001B74DA">
              <w:rPr>
                <w:i/>
                <w:iCs/>
                <w:sz w:val="18"/>
                <w:szCs w:val="16"/>
              </w:rPr>
              <w:t>Source:</w:t>
            </w:r>
            <w:r w:rsidRPr="001B74DA">
              <w:rPr>
                <w:sz w:val="18"/>
                <w:szCs w:val="16"/>
              </w:rPr>
              <w:t xml:space="preserve"> HM Chief Inspector of Prisons for England and Wales, </w:t>
            </w:r>
            <w:r w:rsidRPr="001B74DA">
              <w:rPr>
                <w:i/>
                <w:iCs/>
                <w:sz w:val="18"/>
                <w:szCs w:val="16"/>
              </w:rPr>
              <w:t>Annual Report 2017–18</w:t>
            </w:r>
            <w:r w:rsidRPr="001B74DA">
              <w:rPr>
                <w:sz w:val="18"/>
                <w:szCs w:val="16"/>
              </w:rPr>
              <w:t xml:space="preserve"> (London, 2018), p. 121</w:t>
            </w:r>
          </w:p>
        </w:tc>
      </w:tr>
    </w:tbl>
    <w:p w14:paraId="2E49D0A3" w14:textId="77777777" w:rsidR="005A37A3" w:rsidRPr="001B74DA" w:rsidRDefault="005A37A3" w:rsidP="00B755A7"/>
    <w:p w14:paraId="5B7543FE" w14:textId="2A0E3C02" w:rsidR="00432EB2" w:rsidRPr="001B74DA" w:rsidRDefault="005A37A3" w:rsidP="00B755A7">
      <w:r w:rsidRPr="001B74DA">
        <w:t xml:space="preserve">A </w:t>
      </w:r>
      <w:hyperlink r:id="rId26" w:history="1">
        <w:r w:rsidRPr="001B74DA">
          <w:rPr>
            <w:rStyle w:val="Hyperlink"/>
            <w:rFonts w:eastAsiaTheme="majorEastAsia"/>
          </w:rPr>
          <w:t>US survey of prison inmates</w:t>
        </w:r>
      </w:hyperlink>
      <w:r w:rsidRPr="001B74DA">
        <w:t xml:space="preserve"> does include several ways to identify disability (6 questions, work status, ever been told by a doctor you have a learning disability) but does not ask if accommodations were needed, requested, or received, which would need to be added.</w:t>
      </w:r>
    </w:p>
    <w:sectPr w:rsidR="00432EB2" w:rsidRPr="001B74DA" w:rsidSect="00B755A7">
      <w:footerReference w:type="even" r:id="rId27"/>
      <w:footerReference w:type="default" r:id="rId28"/>
      <w:pgSz w:w="11900" w:h="1682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B5BE0" w14:textId="77777777" w:rsidR="00140D35" w:rsidRPr="001B74DA" w:rsidRDefault="00140D35" w:rsidP="00461540">
      <w:r w:rsidRPr="001B74DA">
        <w:separator/>
      </w:r>
    </w:p>
  </w:endnote>
  <w:endnote w:type="continuationSeparator" w:id="0">
    <w:p w14:paraId="307FD173" w14:textId="77777777" w:rsidR="00140D35" w:rsidRPr="001B74DA" w:rsidRDefault="00140D35" w:rsidP="00461540">
      <w:r w:rsidRPr="001B74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PT Medium">
    <w:altName w:val="﷽﷽﷽﷽﷽﷽﷽৸ಯ"/>
    <w:panose1 w:val="020B0602020204020303"/>
    <w:charset w:val="4D"/>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191871" w:rsidRPr="001B74DA" w:rsidRDefault="00191871" w:rsidP="005935AC">
        <w:pPr>
          <w:pStyle w:val="Footer"/>
          <w:framePr w:wrap="none" w:vAnchor="text" w:hAnchor="margin" w:xAlign="right" w:y="1"/>
          <w:rPr>
            <w:rStyle w:val="PageNumber"/>
          </w:rPr>
        </w:pPr>
        <w:r w:rsidRPr="001B74DA">
          <w:rPr>
            <w:rStyle w:val="PageNumber"/>
          </w:rPr>
          <w:fldChar w:fldCharType="begin"/>
        </w:r>
        <w:r w:rsidRPr="001B74DA">
          <w:rPr>
            <w:rStyle w:val="PageNumber"/>
          </w:rPr>
          <w:instrText xml:space="preserve"> PAGE </w:instrText>
        </w:r>
        <w:r w:rsidRPr="001B74DA">
          <w:rPr>
            <w:rStyle w:val="PageNumber"/>
          </w:rPr>
          <w:fldChar w:fldCharType="end"/>
        </w:r>
      </w:p>
    </w:sdtContent>
  </w:sdt>
  <w:p w14:paraId="143BCC80" w14:textId="77777777" w:rsidR="00191871" w:rsidRPr="001B74DA" w:rsidRDefault="00191871"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7877"/>
      <w:docPartObj>
        <w:docPartGallery w:val="Page Numbers (Bottom of Page)"/>
        <w:docPartUnique/>
      </w:docPartObj>
    </w:sdtPr>
    <w:sdtEndPr>
      <w:rPr>
        <w:rStyle w:val="PageNumber"/>
        <w:b/>
        <w:sz w:val="18"/>
        <w:szCs w:val="18"/>
      </w:rPr>
    </w:sdtEndPr>
    <w:sdtContent>
      <w:p w14:paraId="672B0C64" w14:textId="3F781F57" w:rsidR="00191871" w:rsidRPr="001B74DA" w:rsidRDefault="00191871" w:rsidP="00867838">
        <w:pPr>
          <w:pStyle w:val="Footer"/>
          <w:framePr w:wrap="none" w:vAnchor="text" w:hAnchor="margin" w:xAlign="right" w:y="1"/>
          <w:spacing w:before="0" w:after="0" w:line="240" w:lineRule="auto"/>
          <w:rPr>
            <w:rStyle w:val="PageNumber"/>
            <w:b/>
          </w:rPr>
        </w:pPr>
        <w:r w:rsidRPr="001B74DA">
          <w:rPr>
            <w:rStyle w:val="PageNumber"/>
            <w:rFonts w:cstheme="minorHAnsi"/>
            <w:b/>
          </w:rPr>
          <w:fldChar w:fldCharType="begin"/>
        </w:r>
        <w:r w:rsidRPr="001B74DA">
          <w:rPr>
            <w:rStyle w:val="PageNumber"/>
            <w:rFonts w:cstheme="minorHAnsi"/>
            <w:b/>
          </w:rPr>
          <w:instrText xml:space="preserve"> PAGE </w:instrText>
        </w:r>
        <w:r w:rsidRPr="001B74DA">
          <w:rPr>
            <w:rStyle w:val="PageNumber"/>
            <w:rFonts w:cstheme="minorHAnsi"/>
            <w:b/>
          </w:rPr>
          <w:fldChar w:fldCharType="separate"/>
        </w:r>
        <w:r w:rsidR="00310D46" w:rsidRPr="001B74DA">
          <w:rPr>
            <w:rStyle w:val="PageNumber"/>
            <w:rFonts w:cstheme="minorHAnsi"/>
            <w:b/>
            <w:noProof/>
          </w:rPr>
          <w:t>9</w:t>
        </w:r>
        <w:r w:rsidRPr="001B74DA">
          <w:rPr>
            <w:rStyle w:val="PageNumber"/>
            <w:rFonts w:cstheme="minorHAnsi"/>
            <w:b/>
          </w:rPr>
          <w:fldChar w:fldCharType="end"/>
        </w:r>
      </w:p>
    </w:sdtContent>
  </w:sdt>
  <w:p w14:paraId="624EBB02" w14:textId="1C6B6561" w:rsidR="00191871" w:rsidRPr="001B74DA" w:rsidRDefault="00191871" w:rsidP="00FE23AF">
    <w:pPr>
      <w:pStyle w:val="Footer"/>
      <w:tabs>
        <w:tab w:val="clear" w:pos="9360"/>
        <w:tab w:val="right" w:pos="8300"/>
      </w:tabs>
      <w:spacing w:before="0"/>
      <w:ind w:left="432" w:right="360"/>
      <w:rPr>
        <w:spacing w:val="-2"/>
        <w:sz w:val="18"/>
        <w:szCs w:val="18"/>
        <w:lang w:val="en-US"/>
      </w:rPr>
    </w:pPr>
    <w:r w:rsidRPr="001B74DA">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01692F6C" wp14:editId="7BF2354E">
              <wp:simplePos x="0" y="0"/>
              <wp:positionH relativeFrom="column">
                <wp:posOffset>5332730</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115F45" id="Rounded Rectangle 4" o:spid="_x0000_s1026" alt="&quot;&quot;" style="position:absolute;margin-left:419.9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" fillcolor="#ffc000" stroked="f" strokeweight="1pt">
              <v:stroke joinstyle="miter"/>
              <w10:wrap type="through"/>
            </v:roundrect>
          </w:pict>
        </mc:Fallback>
      </mc:AlternateContent>
    </w:r>
    <w:r w:rsidRPr="001B74DA">
      <w:rPr>
        <w:rFonts w:asciiTheme="minorHAnsi" w:hAnsiTheme="minorHAnsi"/>
        <w:noProof/>
        <w:sz w:val="18"/>
        <w:szCs w:val="18"/>
        <w:lang w:eastAsia="en-GB"/>
      </w:rPr>
      <w:drawing>
        <wp:anchor distT="0" distB="0" distL="114300" distR="114300" simplePos="0" relativeHeight="251659264" behindDoc="0" locked="0" layoutInCell="1" allowOverlap="1" wp14:anchorId="0F563D01" wp14:editId="7A6F10D9">
          <wp:simplePos x="0" y="0"/>
          <wp:positionH relativeFrom="column">
            <wp:posOffset>-3810</wp:posOffset>
          </wp:positionH>
          <wp:positionV relativeFrom="paragraph">
            <wp:posOffset>-6127</wp:posOffset>
          </wp:positionV>
          <wp:extent cx="287020" cy="148590"/>
          <wp:effectExtent l="0" t="0" r="0" b="3810"/>
          <wp:wrapNone/>
          <wp:docPr id="7" name="Picture 7"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74DA">
      <w:rPr>
        <w:rFonts w:asciiTheme="minorHAnsi" w:hAnsiTheme="minorHAnsi"/>
        <w:sz w:val="18"/>
        <w:szCs w:val="18"/>
        <w:lang w:val="en-US"/>
      </w:rPr>
      <w:t xml:space="preserve">  </w:t>
    </w:r>
    <w:r w:rsidRPr="001B74DA">
      <w:rPr>
        <w:color w:val="7F7F7F" w:themeColor="text1" w:themeTint="80"/>
        <w:sz w:val="18"/>
        <w:szCs w:val="18"/>
        <w:lang w:val="en-US"/>
      </w:rPr>
      <w:t>+</w:t>
    </w:r>
    <w:r w:rsidRPr="001B74DA">
      <w:rPr>
        <w:color w:val="7F7F7F" w:themeColor="text1" w:themeTint="80"/>
        <w:spacing w:val="-2"/>
        <w:sz w:val="18"/>
        <w:szCs w:val="18"/>
        <w:lang w:val="en-US"/>
      </w:rPr>
      <w:t xml:space="preserve"> Data Sources on Article </w:t>
    </w:r>
    <w:r w:rsidR="00373E32" w:rsidRPr="001B74DA">
      <w:rPr>
        <w:color w:val="7F7F7F" w:themeColor="text1" w:themeTint="80"/>
        <w:spacing w:val="-2"/>
        <w:sz w:val="18"/>
        <w:szCs w:val="18"/>
        <w:lang w:val="en-US"/>
      </w:rPr>
      <w:t>14</w:t>
    </w:r>
    <w:r w:rsidRPr="001B74DA">
      <w:rPr>
        <w:color w:val="7F7F7F" w:themeColor="text1" w:themeTint="80"/>
        <w:spacing w:val="-2"/>
        <w:sz w:val="18"/>
        <w:szCs w:val="18"/>
        <w:lang w:val="en-US"/>
      </w:rPr>
      <w:t xml:space="preserve">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D539" w14:textId="77777777" w:rsidR="00140D35" w:rsidRPr="001B74DA" w:rsidRDefault="00140D35" w:rsidP="00461540">
      <w:r w:rsidRPr="001B74DA">
        <w:separator/>
      </w:r>
    </w:p>
  </w:footnote>
  <w:footnote w:type="continuationSeparator" w:id="0">
    <w:p w14:paraId="7A689AAF" w14:textId="77777777" w:rsidR="00140D35" w:rsidRPr="001B74DA" w:rsidRDefault="00140D35" w:rsidP="00461540">
      <w:r w:rsidRPr="001B74DA">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B3366"/>
    <w:multiLevelType w:val="hybridMultilevel"/>
    <w:tmpl w:val="1DD49F10"/>
    <w:lvl w:ilvl="0" w:tplc="048CEC4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C75E3"/>
    <w:multiLevelType w:val="hybridMultilevel"/>
    <w:tmpl w:val="8F764D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4992"/>
    <w:multiLevelType w:val="hybridMultilevel"/>
    <w:tmpl w:val="802EE5D6"/>
    <w:lvl w:ilvl="0" w:tplc="048CEC44">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5E86"/>
    <w:multiLevelType w:val="hybridMultilevel"/>
    <w:tmpl w:val="F72042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B383F"/>
    <w:multiLevelType w:val="hybridMultilevel"/>
    <w:tmpl w:val="0D1C3FC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D103B7"/>
    <w:multiLevelType w:val="hybridMultilevel"/>
    <w:tmpl w:val="67D255B4"/>
    <w:lvl w:ilvl="0" w:tplc="6B168F8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0024FD"/>
    <w:multiLevelType w:val="hybridMultilevel"/>
    <w:tmpl w:val="91749606"/>
    <w:lvl w:ilvl="0" w:tplc="6B168F86">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C81142"/>
    <w:multiLevelType w:val="hybridMultilevel"/>
    <w:tmpl w:val="9C864FFA"/>
    <w:lvl w:ilvl="0" w:tplc="9B4C629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2"/>
  </w:num>
  <w:num w:numId="7">
    <w:abstractNumId w:val="0"/>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03EBF"/>
    <w:rsid w:val="000132FA"/>
    <w:rsid w:val="00015BA0"/>
    <w:rsid w:val="000175F5"/>
    <w:rsid w:val="0002001C"/>
    <w:rsid w:val="00020A40"/>
    <w:rsid w:val="00023DCD"/>
    <w:rsid w:val="000255F1"/>
    <w:rsid w:val="00035310"/>
    <w:rsid w:val="00035E51"/>
    <w:rsid w:val="00045957"/>
    <w:rsid w:val="00045D0B"/>
    <w:rsid w:val="0005128D"/>
    <w:rsid w:val="00062C31"/>
    <w:rsid w:val="00064F20"/>
    <w:rsid w:val="000764AF"/>
    <w:rsid w:val="00085AA9"/>
    <w:rsid w:val="00087BBD"/>
    <w:rsid w:val="0009093A"/>
    <w:rsid w:val="00097BD2"/>
    <w:rsid w:val="000A661C"/>
    <w:rsid w:val="000B1186"/>
    <w:rsid w:val="000B13D8"/>
    <w:rsid w:val="000B1723"/>
    <w:rsid w:val="000D47E4"/>
    <w:rsid w:val="000D70E4"/>
    <w:rsid w:val="000F5328"/>
    <w:rsid w:val="000F56DA"/>
    <w:rsid w:val="00100B36"/>
    <w:rsid w:val="00101E46"/>
    <w:rsid w:val="00102434"/>
    <w:rsid w:val="00104C3F"/>
    <w:rsid w:val="0011247F"/>
    <w:rsid w:val="00113282"/>
    <w:rsid w:val="00113670"/>
    <w:rsid w:val="00116DE9"/>
    <w:rsid w:val="001243C1"/>
    <w:rsid w:val="00124491"/>
    <w:rsid w:val="00140D35"/>
    <w:rsid w:val="001541E8"/>
    <w:rsid w:val="00163B0E"/>
    <w:rsid w:val="00166B8E"/>
    <w:rsid w:val="00173D86"/>
    <w:rsid w:val="00191871"/>
    <w:rsid w:val="00191D5C"/>
    <w:rsid w:val="00191DAC"/>
    <w:rsid w:val="001B74DA"/>
    <w:rsid w:val="001C0EEA"/>
    <w:rsid w:val="001C2D74"/>
    <w:rsid w:val="001C5E27"/>
    <w:rsid w:val="001C65CC"/>
    <w:rsid w:val="001C76A8"/>
    <w:rsid w:val="001D54C9"/>
    <w:rsid w:val="001F4B1B"/>
    <w:rsid w:val="002004D2"/>
    <w:rsid w:val="0020421C"/>
    <w:rsid w:val="0021029F"/>
    <w:rsid w:val="002114B1"/>
    <w:rsid w:val="00213CD1"/>
    <w:rsid w:val="002148FC"/>
    <w:rsid w:val="0021621F"/>
    <w:rsid w:val="002218F7"/>
    <w:rsid w:val="0022275D"/>
    <w:rsid w:val="00222C7E"/>
    <w:rsid w:val="00224F92"/>
    <w:rsid w:val="0022595A"/>
    <w:rsid w:val="002268B4"/>
    <w:rsid w:val="00242D93"/>
    <w:rsid w:val="0026208F"/>
    <w:rsid w:val="0026364F"/>
    <w:rsid w:val="00270488"/>
    <w:rsid w:val="00270A8A"/>
    <w:rsid w:val="00270BD0"/>
    <w:rsid w:val="002754D9"/>
    <w:rsid w:val="0027734E"/>
    <w:rsid w:val="002801CC"/>
    <w:rsid w:val="00286968"/>
    <w:rsid w:val="002949A8"/>
    <w:rsid w:val="002963D9"/>
    <w:rsid w:val="002B2BB4"/>
    <w:rsid w:val="002C350A"/>
    <w:rsid w:val="002C4B00"/>
    <w:rsid w:val="002D12CF"/>
    <w:rsid w:val="002E12D5"/>
    <w:rsid w:val="002E25CA"/>
    <w:rsid w:val="002E4EB8"/>
    <w:rsid w:val="002E7C72"/>
    <w:rsid w:val="002F5C1A"/>
    <w:rsid w:val="00303B28"/>
    <w:rsid w:val="0031097C"/>
    <w:rsid w:val="00310D46"/>
    <w:rsid w:val="00311934"/>
    <w:rsid w:val="00311B6B"/>
    <w:rsid w:val="003126C7"/>
    <w:rsid w:val="00313B63"/>
    <w:rsid w:val="00323FB0"/>
    <w:rsid w:val="0032789F"/>
    <w:rsid w:val="00330FE4"/>
    <w:rsid w:val="0033262E"/>
    <w:rsid w:val="0033400B"/>
    <w:rsid w:val="0034007F"/>
    <w:rsid w:val="003478B1"/>
    <w:rsid w:val="00353776"/>
    <w:rsid w:val="00355C6D"/>
    <w:rsid w:val="003616BB"/>
    <w:rsid w:val="00373E32"/>
    <w:rsid w:val="003769D0"/>
    <w:rsid w:val="00377B94"/>
    <w:rsid w:val="00381C73"/>
    <w:rsid w:val="00382A3E"/>
    <w:rsid w:val="00390D12"/>
    <w:rsid w:val="00396691"/>
    <w:rsid w:val="00396C8F"/>
    <w:rsid w:val="003A021F"/>
    <w:rsid w:val="003A223E"/>
    <w:rsid w:val="003A2ADC"/>
    <w:rsid w:val="003B7A00"/>
    <w:rsid w:val="003D0391"/>
    <w:rsid w:val="003F1867"/>
    <w:rsid w:val="003F5B00"/>
    <w:rsid w:val="003F76CC"/>
    <w:rsid w:val="00432D6B"/>
    <w:rsid w:val="00432EB2"/>
    <w:rsid w:val="00435BA2"/>
    <w:rsid w:val="00435E14"/>
    <w:rsid w:val="00436405"/>
    <w:rsid w:val="00446E99"/>
    <w:rsid w:val="00450B91"/>
    <w:rsid w:val="0045708C"/>
    <w:rsid w:val="00461540"/>
    <w:rsid w:val="0046655B"/>
    <w:rsid w:val="0046658B"/>
    <w:rsid w:val="00467602"/>
    <w:rsid w:val="00474244"/>
    <w:rsid w:val="004777C6"/>
    <w:rsid w:val="00484B33"/>
    <w:rsid w:val="00486237"/>
    <w:rsid w:val="004913CF"/>
    <w:rsid w:val="00494626"/>
    <w:rsid w:val="00494783"/>
    <w:rsid w:val="004954C4"/>
    <w:rsid w:val="004A3269"/>
    <w:rsid w:val="004B25B8"/>
    <w:rsid w:val="004B33B1"/>
    <w:rsid w:val="004B375B"/>
    <w:rsid w:val="004B6FD7"/>
    <w:rsid w:val="004C2DBA"/>
    <w:rsid w:val="004D43D0"/>
    <w:rsid w:val="004D74F3"/>
    <w:rsid w:val="004E2537"/>
    <w:rsid w:val="004E35BC"/>
    <w:rsid w:val="004E51B7"/>
    <w:rsid w:val="004E5F2F"/>
    <w:rsid w:val="004E6D50"/>
    <w:rsid w:val="004E73D8"/>
    <w:rsid w:val="004F049C"/>
    <w:rsid w:val="004F2D5E"/>
    <w:rsid w:val="004F337D"/>
    <w:rsid w:val="004F3BD9"/>
    <w:rsid w:val="004F3DE2"/>
    <w:rsid w:val="004F7196"/>
    <w:rsid w:val="004F7FA2"/>
    <w:rsid w:val="0050710F"/>
    <w:rsid w:val="00511D23"/>
    <w:rsid w:val="005148BD"/>
    <w:rsid w:val="00522712"/>
    <w:rsid w:val="00525F57"/>
    <w:rsid w:val="00527BE5"/>
    <w:rsid w:val="00527D96"/>
    <w:rsid w:val="00532347"/>
    <w:rsid w:val="00542547"/>
    <w:rsid w:val="005458FD"/>
    <w:rsid w:val="00547F7B"/>
    <w:rsid w:val="00551B15"/>
    <w:rsid w:val="00554561"/>
    <w:rsid w:val="00555658"/>
    <w:rsid w:val="005600A0"/>
    <w:rsid w:val="00567F31"/>
    <w:rsid w:val="00570364"/>
    <w:rsid w:val="00572828"/>
    <w:rsid w:val="00577B99"/>
    <w:rsid w:val="005935AC"/>
    <w:rsid w:val="00595CBC"/>
    <w:rsid w:val="005A094A"/>
    <w:rsid w:val="005A37A3"/>
    <w:rsid w:val="005B5CFA"/>
    <w:rsid w:val="005C1192"/>
    <w:rsid w:val="005C1458"/>
    <w:rsid w:val="005C2147"/>
    <w:rsid w:val="005C41FA"/>
    <w:rsid w:val="005C72F3"/>
    <w:rsid w:val="005E0158"/>
    <w:rsid w:val="005E1A55"/>
    <w:rsid w:val="005E4702"/>
    <w:rsid w:val="005E7B70"/>
    <w:rsid w:val="005F2806"/>
    <w:rsid w:val="005F281A"/>
    <w:rsid w:val="005F7463"/>
    <w:rsid w:val="00605A03"/>
    <w:rsid w:val="0062437F"/>
    <w:rsid w:val="006301F6"/>
    <w:rsid w:val="00632C09"/>
    <w:rsid w:val="006474D9"/>
    <w:rsid w:val="00672636"/>
    <w:rsid w:val="00674965"/>
    <w:rsid w:val="00676964"/>
    <w:rsid w:val="0068720D"/>
    <w:rsid w:val="00690066"/>
    <w:rsid w:val="00691370"/>
    <w:rsid w:val="00691D31"/>
    <w:rsid w:val="00694AA2"/>
    <w:rsid w:val="00694E7B"/>
    <w:rsid w:val="006A74CF"/>
    <w:rsid w:val="006B12B9"/>
    <w:rsid w:val="006B3287"/>
    <w:rsid w:val="006B56A8"/>
    <w:rsid w:val="006D0FAA"/>
    <w:rsid w:val="006D1C9A"/>
    <w:rsid w:val="006D3CE0"/>
    <w:rsid w:val="006E20BC"/>
    <w:rsid w:val="006F0DD2"/>
    <w:rsid w:val="0070044F"/>
    <w:rsid w:val="0071485A"/>
    <w:rsid w:val="00715858"/>
    <w:rsid w:val="007203B1"/>
    <w:rsid w:val="00725275"/>
    <w:rsid w:val="00737923"/>
    <w:rsid w:val="0074088C"/>
    <w:rsid w:val="00747288"/>
    <w:rsid w:val="00752450"/>
    <w:rsid w:val="007573A5"/>
    <w:rsid w:val="00762B52"/>
    <w:rsid w:val="0076508E"/>
    <w:rsid w:val="0076693D"/>
    <w:rsid w:val="00770763"/>
    <w:rsid w:val="00770A1F"/>
    <w:rsid w:val="007710EB"/>
    <w:rsid w:val="00771142"/>
    <w:rsid w:val="00783FE2"/>
    <w:rsid w:val="00784F2D"/>
    <w:rsid w:val="007A55B0"/>
    <w:rsid w:val="007A5C39"/>
    <w:rsid w:val="007A6903"/>
    <w:rsid w:val="007B2670"/>
    <w:rsid w:val="007B79E5"/>
    <w:rsid w:val="007C2B91"/>
    <w:rsid w:val="007C2FCE"/>
    <w:rsid w:val="007C4FC3"/>
    <w:rsid w:val="007D41E0"/>
    <w:rsid w:val="007D47A0"/>
    <w:rsid w:val="007E33D6"/>
    <w:rsid w:val="007E46EB"/>
    <w:rsid w:val="007E6363"/>
    <w:rsid w:val="007E65C1"/>
    <w:rsid w:val="008015DC"/>
    <w:rsid w:val="0080218D"/>
    <w:rsid w:val="0081072D"/>
    <w:rsid w:val="00811055"/>
    <w:rsid w:val="008153EF"/>
    <w:rsid w:val="00816E92"/>
    <w:rsid w:val="008310F7"/>
    <w:rsid w:val="008649E4"/>
    <w:rsid w:val="00867838"/>
    <w:rsid w:val="00867F6C"/>
    <w:rsid w:val="008A1B56"/>
    <w:rsid w:val="008A44D4"/>
    <w:rsid w:val="008B4EDF"/>
    <w:rsid w:val="008B7B78"/>
    <w:rsid w:val="008D4556"/>
    <w:rsid w:val="008D5C3A"/>
    <w:rsid w:val="008D5E40"/>
    <w:rsid w:val="008F099C"/>
    <w:rsid w:val="008F441F"/>
    <w:rsid w:val="008F4713"/>
    <w:rsid w:val="0090317D"/>
    <w:rsid w:val="00904290"/>
    <w:rsid w:val="00904C4A"/>
    <w:rsid w:val="00905215"/>
    <w:rsid w:val="00906D01"/>
    <w:rsid w:val="0091019C"/>
    <w:rsid w:val="00911D78"/>
    <w:rsid w:val="00916A3E"/>
    <w:rsid w:val="00917B72"/>
    <w:rsid w:val="00922D31"/>
    <w:rsid w:val="00923EF7"/>
    <w:rsid w:val="009336BD"/>
    <w:rsid w:val="00933B8E"/>
    <w:rsid w:val="009347C8"/>
    <w:rsid w:val="00936EB2"/>
    <w:rsid w:val="00941EC9"/>
    <w:rsid w:val="009470CA"/>
    <w:rsid w:val="0095111A"/>
    <w:rsid w:val="00951389"/>
    <w:rsid w:val="0095797B"/>
    <w:rsid w:val="00960289"/>
    <w:rsid w:val="0096264B"/>
    <w:rsid w:val="00967DC8"/>
    <w:rsid w:val="00974C96"/>
    <w:rsid w:val="009779D7"/>
    <w:rsid w:val="009842F6"/>
    <w:rsid w:val="009855D7"/>
    <w:rsid w:val="00990B7E"/>
    <w:rsid w:val="0099485B"/>
    <w:rsid w:val="009A2FD0"/>
    <w:rsid w:val="009A4C89"/>
    <w:rsid w:val="009A65EB"/>
    <w:rsid w:val="009B1276"/>
    <w:rsid w:val="009B144B"/>
    <w:rsid w:val="009B25A1"/>
    <w:rsid w:val="009B34B5"/>
    <w:rsid w:val="009B38DA"/>
    <w:rsid w:val="009C097E"/>
    <w:rsid w:val="009E3CD9"/>
    <w:rsid w:val="009E3F68"/>
    <w:rsid w:val="009E7593"/>
    <w:rsid w:val="00A00BFC"/>
    <w:rsid w:val="00A0426C"/>
    <w:rsid w:val="00A049F4"/>
    <w:rsid w:val="00A17830"/>
    <w:rsid w:val="00A222FB"/>
    <w:rsid w:val="00A31BB2"/>
    <w:rsid w:val="00A40EFF"/>
    <w:rsid w:val="00A469D3"/>
    <w:rsid w:val="00A46C7D"/>
    <w:rsid w:val="00A501CE"/>
    <w:rsid w:val="00A51989"/>
    <w:rsid w:val="00A528DF"/>
    <w:rsid w:val="00A531F2"/>
    <w:rsid w:val="00A542D3"/>
    <w:rsid w:val="00A60686"/>
    <w:rsid w:val="00A62020"/>
    <w:rsid w:val="00A659DF"/>
    <w:rsid w:val="00A66CA3"/>
    <w:rsid w:val="00A700CD"/>
    <w:rsid w:val="00A73A9D"/>
    <w:rsid w:val="00A86881"/>
    <w:rsid w:val="00A9439A"/>
    <w:rsid w:val="00A94525"/>
    <w:rsid w:val="00AA34C8"/>
    <w:rsid w:val="00AA7A6C"/>
    <w:rsid w:val="00AB34D2"/>
    <w:rsid w:val="00AC0682"/>
    <w:rsid w:val="00AC538E"/>
    <w:rsid w:val="00AC69B1"/>
    <w:rsid w:val="00AC6F01"/>
    <w:rsid w:val="00AF1E95"/>
    <w:rsid w:val="00AF48A4"/>
    <w:rsid w:val="00AF7866"/>
    <w:rsid w:val="00B111CA"/>
    <w:rsid w:val="00B13051"/>
    <w:rsid w:val="00B153E6"/>
    <w:rsid w:val="00B2460D"/>
    <w:rsid w:val="00B24F18"/>
    <w:rsid w:val="00B33C39"/>
    <w:rsid w:val="00B37E01"/>
    <w:rsid w:val="00B415F8"/>
    <w:rsid w:val="00B56341"/>
    <w:rsid w:val="00B56BBB"/>
    <w:rsid w:val="00B60FD1"/>
    <w:rsid w:val="00B628C6"/>
    <w:rsid w:val="00B62EC4"/>
    <w:rsid w:val="00B67975"/>
    <w:rsid w:val="00B755A7"/>
    <w:rsid w:val="00B90D1F"/>
    <w:rsid w:val="00B94805"/>
    <w:rsid w:val="00B95136"/>
    <w:rsid w:val="00BA126C"/>
    <w:rsid w:val="00BA5172"/>
    <w:rsid w:val="00BD3EEF"/>
    <w:rsid w:val="00BE1BF0"/>
    <w:rsid w:val="00BE2C1A"/>
    <w:rsid w:val="00BE5EE4"/>
    <w:rsid w:val="00BF7A4D"/>
    <w:rsid w:val="00BF7EB6"/>
    <w:rsid w:val="00C028D2"/>
    <w:rsid w:val="00C0511A"/>
    <w:rsid w:val="00C1724C"/>
    <w:rsid w:val="00C22620"/>
    <w:rsid w:val="00C2674B"/>
    <w:rsid w:val="00C32BD4"/>
    <w:rsid w:val="00C36070"/>
    <w:rsid w:val="00C3673D"/>
    <w:rsid w:val="00C409D7"/>
    <w:rsid w:val="00C40D38"/>
    <w:rsid w:val="00C52338"/>
    <w:rsid w:val="00C66576"/>
    <w:rsid w:val="00C7351A"/>
    <w:rsid w:val="00C74662"/>
    <w:rsid w:val="00C76959"/>
    <w:rsid w:val="00C77C48"/>
    <w:rsid w:val="00C81AF6"/>
    <w:rsid w:val="00C83B53"/>
    <w:rsid w:val="00C90A1D"/>
    <w:rsid w:val="00C916C0"/>
    <w:rsid w:val="00CA12C3"/>
    <w:rsid w:val="00CA1838"/>
    <w:rsid w:val="00CA247C"/>
    <w:rsid w:val="00CA36BD"/>
    <w:rsid w:val="00CA40B9"/>
    <w:rsid w:val="00CA6AE6"/>
    <w:rsid w:val="00CB0525"/>
    <w:rsid w:val="00CB0ADB"/>
    <w:rsid w:val="00CB0E58"/>
    <w:rsid w:val="00CB5927"/>
    <w:rsid w:val="00CD3E5C"/>
    <w:rsid w:val="00CD60C6"/>
    <w:rsid w:val="00CE4D5E"/>
    <w:rsid w:val="00CE4EBE"/>
    <w:rsid w:val="00CE55C8"/>
    <w:rsid w:val="00CE5E74"/>
    <w:rsid w:val="00CF1DAA"/>
    <w:rsid w:val="00CF3B8C"/>
    <w:rsid w:val="00D115E7"/>
    <w:rsid w:val="00D177A9"/>
    <w:rsid w:val="00D5098B"/>
    <w:rsid w:val="00D522BC"/>
    <w:rsid w:val="00D57270"/>
    <w:rsid w:val="00D57DF3"/>
    <w:rsid w:val="00D60BC4"/>
    <w:rsid w:val="00D61786"/>
    <w:rsid w:val="00D63A37"/>
    <w:rsid w:val="00D72ED2"/>
    <w:rsid w:val="00D808B3"/>
    <w:rsid w:val="00D80A5D"/>
    <w:rsid w:val="00D8326C"/>
    <w:rsid w:val="00D850DC"/>
    <w:rsid w:val="00D935C4"/>
    <w:rsid w:val="00D95CDD"/>
    <w:rsid w:val="00DA5396"/>
    <w:rsid w:val="00DA62A0"/>
    <w:rsid w:val="00DB5196"/>
    <w:rsid w:val="00DB7C66"/>
    <w:rsid w:val="00DC17B0"/>
    <w:rsid w:val="00DC1AE4"/>
    <w:rsid w:val="00DC3A3E"/>
    <w:rsid w:val="00DC7751"/>
    <w:rsid w:val="00DE5C59"/>
    <w:rsid w:val="00DE79BC"/>
    <w:rsid w:val="00DF0BC3"/>
    <w:rsid w:val="00DF3B7D"/>
    <w:rsid w:val="00DF50C3"/>
    <w:rsid w:val="00E04B4C"/>
    <w:rsid w:val="00E05980"/>
    <w:rsid w:val="00E10CD2"/>
    <w:rsid w:val="00E21209"/>
    <w:rsid w:val="00E26357"/>
    <w:rsid w:val="00E42ED0"/>
    <w:rsid w:val="00E46AAA"/>
    <w:rsid w:val="00E47893"/>
    <w:rsid w:val="00E47A39"/>
    <w:rsid w:val="00E522A8"/>
    <w:rsid w:val="00E5235D"/>
    <w:rsid w:val="00E564BE"/>
    <w:rsid w:val="00E60224"/>
    <w:rsid w:val="00E606B1"/>
    <w:rsid w:val="00E6194F"/>
    <w:rsid w:val="00E66488"/>
    <w:rsid w:val="00E71AA5"/>
    <w:rsid w:val="00E83A73"/>
    <w:rsid w:val="00EA0FEF"/>
    <w:rsid w:val="00EB35B7"/>
    <w:rsid w:val="00EB3CDC"/>
    <w:rsid w:val="00EB695E"/>
    <w:rsid w:val="00EC1961"/>
    <w:rsid w:val="00EC3B99"/>
    <w:rsid w:val="00EC6659"/>
    <w:rsid w:val="00ED3021"/>
    <w:rsid w:val="00ED30FC"/>
    <w:rsid w:val="00ED779D"/>
    <w:rsid w:val="00EE344D"/>
    <w:rsid w:val="00EE3C72"/>
    <w:rsid w:val="00EE51F9"/>
    <w:rsid w:val="00EE55CD"/>
    <w:rsid w:val="00EE5EE5"/>
    <w:rsid w:val="00EE5F74"/>
    <w:rsid w:val="00EF586A"/>
    <w:rsid w:val="00EF5C91"/>
    <w:rsid w:val="00EF6626"/>
    <w:rsid w:val="00F02F9E"/>
    <w:rsid w:val="00F03C2E"/>
    <w:rsid w:val="00F21128"/>
    <w:rsid w:val="00F25165"/>
    <w:rsid w:val="00F25654"/>
    <w:rsid w:val="00F35443"/>
    <w:rsid w:val="00F63525"/>
    <w:rsid w:val="00F63B2E"/>
    <w:rsid w:val="00F74F01"/>
    <w:rsid w:val="00F814CF"/>
    <w:rsid w:val="00F91C52"/>
    <w:rsid w:val="00FA11A5"/>
    <w:rsid w:val="00FA2502"/>
    <w:rsid w:val="00FA3FE7"/>
    <w:rsid w:val="00FA4E53"/>
    <w:rsid w:val="00FA5E66"/>
    <w:rsid w:val="00FA77E9"/>
    <w:rsid w:val="00FB39CF"/>
    <w:rsid w:val="00FC0585"/>
    <w:rsid w:val="00FC15FD"/>
    <w:rsid w:val="00FD1490"/>
    <w:rsid w:val="00FD2F83"/>
    <w:rsid w:val="00FE23AF"/>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97A35364-FA15-AC46-8D32-238415A9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DD"/>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A40EFF"/>
    <w:pPr>
      <w:keepNext/>
      <w:keepLines/>
      <w:spacing w:before="720"/>
      <w:outlineLvl w:val="1"/>
    </w:pPr>
    <w:rPr>
      <w:b/>
      <w:color w:val="0A59AB"/>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752450"/>
    <w:pPr>
      <w:outlineLvl w:val="3"/>
    </w:pPr>
    <w:rPr>
      <w:rFonts w:cs="Calibri"/>
      <w:bCs w:val="0"/>
      <w:color w:val="0A59AB"/>
    </w:rPr>
  </w:style>
  <w:style w:type="paragraph" w:styleId="Heading5">
    <w:name w:val="heading 5"/>
    <w:basedOn w:val="Normal"/>
    <w:next w:val="Normal"/>
    <w:link w:val="Heading5Char"/>
    <w:uiPriority w:val="9"/>
    <w:unhideWhenUsed/>
    <w:qFormat/>
    <w:rsid w:val="00EF6626"/>
    <w:pPr>
      <w:keepNext/>
      <w:keepLines/>
      <w:spacing w:before="40" w:after="0"/>
      <w:outlineLvl w:val="4"/>
    </w:pPr>
    <w:rPr>
      <w:rFonts w:ascii="Times New Roman" w:hAnsi="Times New Roman" w:cs="Times New Roman"/>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qFormat/>
    <w:rsid w:val="009347C8"/>
    <w:pPr>
      <w:numPr>
        <w:numId w:val="1"/>
      </w:numPr>
      <w:ind w:left="1080"/>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3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qFormat/>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qFormat/>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A40EFF"/>
    <w:rPr>
      <w:rFonts w:ascii="Calibri" w:eastAsia="Times New Roman" w:hAnsi="Calibri" w:cs="Calibri"/>
      <w:b/>
      <w:color w:val="0A59AB"/>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752450"/>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F63B2E"/>
    <w:rPr>
      <w:b w:val="0"/>
      <w:bCs/>
      <w:i w:val="0"/>
      <w:iCs/>
      <w:sz w:val="22"/>
    </w:rPr>
  </w:style>
  <w:style w:type="paragraph" w:customStyle="1" w:styleId="TableHeading">
    <w:name w:val="Table Heading"/>
    <w:basedOn w:val="Heading3"/>
    <w:qFormat/>
    <w:rsid w:val="00EE55CD"/>
    <w:rPr>
      <w:rFonts w:ascii="Futura PT Medium" w:hAnsi="Futura PT Medium"/>
      <w:bCs/>
      <w:i w:val="0"/>
      <w:iCs/>
    </w:rPr>
  </w:style>
  <w:style w:type="paragraph" w:customStyle="1" w:styleId="TableHeaderRow">
    <w:name w:val="Table Header Row"/>
    <w:basedOn w:val="Normal"/>
    <w:qFormat/>
    <w:rsid w:val="00F63B2E"/>
    <w:rPr>
      <w:b/>
      <w:bCs/>
      <w:sz w:val="20"/>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 w:type="character" w:customStyle="1" w:styleId="Mentionnonrsolue1">
    <w:name w:val="Mention non résolue1"/>
    <w:basedOn w:val="DefaultParagraphFont"/>
    <w:uiPriority w:val="99"/>
    <w:semiHidden/>
    <w:unhideWhenUsed/>
    <w:rsid w:val="00783FE2"/>
    <w:rPr>
      <w:color w:val="605E5C"/>
      <w:shd w:val="clear" w:color="auto" w:fill="E1DFDD"/>
    </w:rPr>
  </w:style>
  <w:style w:type="paragraph" w:customStyle="1" w:styleId="InstructionstointvwCharChar">
    <w:name w:val="Instructions to intvw Char Char"/>
    <w:basedOn w:val="Normal"/>
    <w:link w:val="InstructionstointvwCharCharChar1"/>
    <w:rsid w:val="00783FE2"/>
    <w:pPr>
      <w:spacing w:before="0" w:after="0" w:line="240" w:lineRule="auto"/>
    </w:pPr>
    <w:rPr>
      <w:rFonts w:ascii="Times New Roman" w:hAnsi="Times New Roman" w:cs="Times New Roman"/>
      <w:i/>
      <w:color w:val="000000" w:themeColor="text1"/>
      <w:kern w:val="0"/>
      <w:sz w:val="20"/>
      <w:szCs w:val="20"/>
      <w:lang w:eastAsia="en-GB"/>
    </w:rPr>
  </w:style>
  <w:style w:type="character" w:customStyle="1" w:styleId="InstructionstointvwCharCharChar1">
    <w:name w:val="Instructions to intvw Char Char Char1"/>
    <w:link w:val="InstructionstointvwCharChar"/>
    <w:rsid w:val="00783FE2"/>
    <w:rPr>
      <w:rFonts w:eastAsia="Times New Roman" w:cs="Times New Roman"/>
      <w:i/>
      <w:color w:val="000000" w:themeColor="text1"/>
      <w:sz w:val="20"/>
      <w:szCs w:val="20"/>
      <w:lang w:val="en-GB" w:eastAsia="en-GB"/>
    </w:rPr>
  </w:style>
  <w:style w:type="paragraph" w:customStyle="1" w:styleId="1Intvwqst">
    <w:name w:val="1. Intvw qst"/>
    <w:basedOn w:val="Normal"/>
    <w:link w:val="1IntvwqstChar1"/>
    <w:rsid w:val="00783FE2"/>
    <w:pPr>
      <w:spacing w:before="0" w:after="0" w:line="240" w:lineRule="auto"/>
      <w:ind w:left="360" w:hanging="360"/>
    </w:pPr>
    <w:rPr>
      <w:rFonts w:ascii="Arial" w:hAnsi="Arial" w:cs="Times New Roman"/>
      <w:smallCaps/>
      <w:color w:val="000000" w:themeColor="text1"/>
      <w:kern w:val="0"/>
      <w:sz w:val="20"/>
      <w:szCs w:val="20"/>
      <w:lang w:eastAsia="en-GB"/>
    </w:rPr>
  </w:style>
  <w:style w:type="character" w:customStyle="1" w:styleId="1IntvwqstChar1">
    <w:name w:val="1. Intvw qst Char1"/>
    <w:link w:val="1Intvwqst"/>
    <w:rsid w:val="00783FE2"/>
    <w:rPr>
      <w:rFonts w:ascii="Arial" w:eastAsia="Times New Roman" w:hAnsi="Arial" w:cs="Times New Roman"/>
      <w:smallCaps/>
      <w:color w:val="000000" w:themeColor="text1"/>
      <w:sz w:val="20"/>
      <w:szCs w:val="20"/>
      <w:lang w:val="en-GB" w:eastAsia="en-GB"/>
    </w:rPr>
  </w:style>
  <w:style w:type="paragraph" w:customStyle="1" w:styleId="Responsecategs">
    <w:name w:val="Response categs....."/>
    <w:basedOn w:val="Normal"/>
    <w:link w:val="ResponsecategsChar"/>
    <w:rsid w:val="00783FE2"/>
    <w:pPr>
      <w:tabs>
        <w:tab w:val="right" w:leader="dot" w:pos="3942"/>
      </w:tabs>
      <w:spacing w:before="0" w:after="0" w:line="240" w:lineRule="auto"/>
      <w:ind w:left="216" w:hanging="216"/>
    </w:pPr>
    <w:rPr>
      <w:rFonts w:ascii="Arial" w:hAnsi="Arial" w:cs="Times New Roman"/>
      <w:color w:val="000000" w:themeColor="text1"/>
      <w:kern w:val="0"/>
      <w:sz w:val="20"/>
      <w:szCs w:val="20"/>
      <w:lang w:eastAsia="x-none"/>
    </w:rPr>
  </w:style>
  <w:style w:type="character" w:customStyle="1" w:styleId="ResponsecategsChar">
    <w:name w:val="Response categs..... Char"/>
    <w:link w:val="Responsecategs"/>
    <w:rsid w:val="00783FE2"/>
    <w:rPr>
      <w:rFonts w:ascii="Arial" w:eastAsia="Times New Roman" w:hAnsi="Arial" w:cs="Times New Roman"/>
      <w:color w:val="000000" w:themeColor="text1"/>
      <w:sz w:val="20"/>
      <w:szCs w:val="20"/>
      <w:lang w:val="en-GB" w:eastAsia="x-none"/>
    </w:rPr>
  </w:style>
  <w:style w:type="paragraph" w:customStyle="1" w:styleId="Instructionstointvw">
    <w:name w:val="Instructions to intvw"/>
    <w:basedOn w:val="Normal"/>
    <w:rsid w:val="00783FE2"/>
    <w:pPr>
      <w:spacing w:before="0" w:after="0" w:line="240" w:lineRule="auto"/>
    </w:pPr>
    <w:rPr>
      <w:rFonts w:ascii="Times New Roman" w:hAnsi="Times New Roman" w:cs="Times New Roman"/>
      <w:i/>
      <w:color w:val="000000" w:themeColor="text1"/>
      <w:kern w:val="0"/>
      <w:sz w:val="20"/>
      <w:szCs w:val="20"/>
      <w:lang w:eastAsia="en-GB"/>
    </w:rPr>
  </w:style>
  <w:style w:type="paragraph" w:customStyle="1" w:styleId="modulename">
    <w:name w:val="module name"/>
    <w:basedOn w:val="Normal"/>
    <w:link w:val="modulenameChar"/>
    <w:rsid w:val="00783FE2"/>
    <w:pPr>
      <w:spacing w:before="0" w:after="0" w:line="240" w:lineRule="auto"/>
    </w:pPr>
    <w:rPr>
      <w:rFonts w:ascii="Times New Roman" w:hAnsi="Times New Roman" w:cs="Times New Roman"/>
      <w:b/>
      <w:caps/>
      <w:color w:val="000000" w:themeColor="text1"/>
      <w:kern w:val="0"/>
      <w:szCs w:val="20"/>
      <w:lang w:eastAsia="x-none"/>
    </w:rPr>
  </w:style>
  <w:style w:type="character" w:customStyle="1" w:styleId="modulenameChar">
    <w:name w:val="module name Char"/>
    <w:link w:val="modulename"/>
    <w:rsid w:val="00783FE2"/>
    <w:rPr>
      <w:rFonts w:eastAsia="Times New Roman" w:cs="Times New Roman"/>
      <w:b/>
      <w:caps/>
      <w:color w:val="000000" w:themeColor="text1"/>
      <w:sz w:val="22"/>
      <w:szCs w:val="20"/>
      <w:lang w:val="en-GB" w:eastAsia="x-none"/>
    </w:rPr>
  </w:style>
  <w:style w:type="character" w:customStyle="1" w:styleId="Instructionsinparens">
    <w:name w:val="Instructions in parens"/>
    <w:rsid w:val="00783FE2"/>
    <w:rPr>
      <w:rFonts w:ascii="Times New Roman" w:hAnsi="Times New Roman"/>
      <w:i/>
      <w:sz w:val="20"/>
      <w:szCs w:val="20"/>
    </w:rPr>
  </w:style>
  <w:style w:type="character" w:customStyle="1" w:styleId="title-text">
    <w:name w:val="title-text"/>
    <w:basedOn w:val="DefaultParagraphFont"/>
    <w:rsid w:val="00783FE2"/>
  </w:style>
  <w:style w:type="character" w:customStyle="1" w:styleId="UnresolvedMention4">
    <w:name w:val="Unresolved Mention4"/>
    <w:basedOn w:val="DefaultParagraphFont"/>
    <w:uiPriority w:val="99"/>
    <w:semiHidden/>
    <w:unhideWhenUsed/>
    <w:rsid w:val="00A40EFF"/>
    <w:rPr>
      <w:color w:val="605E5C"/>
      <w:shd w:val="clear" w:color="auto" w:fill="E1DFDD"/>
    </w:rPr>
  </w:style>
  <w:style w:type="paragraph" w:customStyle="1" w:styleId="TableSub-header">
    <w:name w:val="Table Sub-header"/>
    <w:basedOn w:val="TableHeaderRow"/>
    <w:qFormat/>
    <w:rsid w:val="007A55B0"/>
    <w:rPr>
      <w:i/>
      <w:iCs/>
      <w:lang w:eastAsia="ja-JP"/>
    </w:rPr>
  </w:style>
  <w:style w:type="character" w:customStyle="1" w:styleId="UnresolvedMention5">
    <w:name w:val="Unresolved Mention5"/>
    <w:basedOn w:val="DefaultParagraphFont"/>
    <w:uiPriority w:val="99"/>
    <w:semiHidden/>
    <w:unhideWhenUsed/>
    <w:rsid w:val="00EF6626"/>
    <w:rPr>
      <w:color w:val="605E5C"/>
      <w:shd w:val="clear" w:color="auto" w:fill="E1DFDD"/>
    </w:rPr>
  </w:style>
  <w:style w:type="paragraph" w:customStyle="1" w:styleId="QuotedText">
    <w:name w:val="Quoted Text"/>
    <w:basedOn w:val="Normal"/>
    <w:qFormat/>
    <w:rsid w:val="00EF6626"/>
    <w:pPr>
      <w:ind w:left="360"/>
    </w:pPr>
    <w:rPr>
      <w:i/>
    </w:rPr>
  </w:style>
  <w:style w:type="character" w:customStyle="1" w:styleId="Heading5Char">
    <w:name w:val="Heading 5 Char"/>
    <w:basedOn w:val="DefaultParagraphFont"/>
    <w:link w:val="Heading5"/>
    <w:uiPriority w:val="9"/>
    <w:rsid w:val="00EF6626"/>
    <w:rPr>
      <w:rFonts w:ascii="Times New Roman" w:eastAsia="Times New Roman" w:hAnsi="Times New Roman" w:cs="Times New Roman"/>
      <w:color w:val="2F5496" w:themeColor="accent1" w:themeShade="BF"/>
      <w:kern w:val="2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www.defensoria.gob.pe/wp-content/uploads/2018/12/Informe-Defensorial-N%C2%BA-180-Derecho-a-la-Salud-Mental-con-RD.pdf" TargetMode="External"/><Relationship Id="rId26" Type="http://schemas.openxmlformats.org/officeDocument/2006/relationships/hyperlink" Target="https://www.bjs.gov/content/pub/pdf/spi16q.pdf" TargetMode="External"/><Relationship Id="rId3" Type="http://schemas.openxmlformats.org/officeDocument/2006/relationships/styles" Target="styles.xml"/><Relationship Id="rId21" Type="http://schemas.openxmlformats.org/officeDocument/2006/relationships/hyperlink" Target="http://library.college.police.uk/docs/moj/estimating-prevalence-disability-amongst-prisoners.pdf" TargetMode="Externa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hyperlink" Target="https://www.justice.gc.ca/eng/rp-pr/csj-sjc/jsp-sjp/rr06_1/rr06_1.pdf" TargetMode="External"/><Relationship Id="rId25" Type="http://schemas.openxmlformats.org/officeDocument/2006/relationships/hyperlink" Target="file:///C:/Users/victorialee/Downloads/2017-2018%20Annual%20Report%20of%20HM%20Chief%20Inspector%20of%20Prisons%20for%20England%20and%20Wale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julkari.fi/handle/10024/138808" TargetMode="External"/><Relationship Id="rId20" Type="http://schemas.openxmlformats.org/officeDocument/2006/relationships/hyperlink" Target="https://www.bjs.gov/content/pub/pdf/dpji111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s://www.bjs.gov/content/pub/pdf/casc.pdf"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research.kent.ac.uk/tizard/wp-content/uploads/sites/495/2019/01/DECLOC_Volume_3_Country_Reports.pdf" TargetMode="External"/><Relationship Id="rId23" Type="http://schemas.openxmlformats.org/officeDocument/2006/relationships/hyperlink" Target="https://www.nsi.bg/sites/default/files/files/pressreleases/Crimes2019_en_0C5AFLM.pdf"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heller.brandeis.edu/community-living-policy/images/pdfpublications/2019julyevidencefortheimpactofmfp.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research.kent.ac.uk/tizard/wp-content/uploads/sites/495/2019/01/DECLOC_Volume_2_Report.pdf" TargetMode="External"/><Relationship Id="rId22" Type="http://schemas.openxmlformats.org/officeDocument/2006/relationships/hyperlink" Target="https://www.prisonstudies.org/world-prison-brief-data"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9179C-AC43-43FA-865E-FA779E9CD563}">
  <ds:schemaRefs>
    <ds:schemaRef ds:uri="http://schemas.openxmlformats.org/officeDocument/2006/bibliography"/>
  </ds:schemaRefs>
</ds:datastoreItem>
</file>

<file path=customXml/itemProps2.xml><?xml version="1.0" encoding="utf-8"?>
<ds:datastoreItem xmlns:ds="http://schemas.openxmlformats.org/officeDocument/2006/customXml" ds:itemID="{737E6D05-FCD0-4E1D-AAE0-2A1A3B56B573}"/>
</file>

<file path=customXml/itemProps3.xml><?xml version="1.0" encoding="utf-8"?>
<ds:datastoreItem xmlns:ds="http://schemas.openxmlformats.org/officeDocument/2006/customXml" ds:itemID="{9CE0BDC4-9BA3-494D-A05A-D876DC72DEE9}"/>
</file>

<file path=customXml/itemProps4.xml><?xml version="1.0" encoding="utf-8"?>
<ds:datastoreItem xmlns:ds="http://schemas.openxmlformats.org/officeDocument/2006/customXml" ds:itemID="{D52BA1F4-8FBA-4CFF-B8E5-125657BBDF4A}"/>
</file>

<file path=docProps/app.xml><?xml version="1.0" encoding="utf-8"?>
<Properties xmlns="http://schemas.openxmlformats.org/officeDocument/2006/extended-properties" xmlns:vt="http://schemas.openxmlformats.org/officeDocument/2006/docPropsVTypes">
  <Template>Normal</Template>
  <TotalTime>3</TotalTime>
  <Pages>10</Pages>
  <Words>2299</Words>
  <Characters>13105</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14 (outcome indicators)</dc:title>
  <dc:subject/>
  <dc:creator>Nanette Goodman</dc:creator>
  <cp:keywords/>
  <dc:description/>
  <cp:lastModifiedBy>Elias Constantopedos</cp:lastModifiedBy>
  <cp:revision>9</cp:revision>
  <cp:lastPrinted>2020-11-19T04:53:00Z</cp:lastPrinted>
  <dcterms:created xsi:type="dcterms:W3CDTF">2020-12-20T12:47:00Z</dcterms:created>
  <dcterms:modified xsi:type="dcterms:W3CDTF">2020-12-20T21:12:00Z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