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2DF40A32" w:rsidR="005A094A" w:rsidRPr="00BC3535" w:rsidRDefault="005458FD" w:rsidP="00D850DC">
      <w:pPr>
        <w:pStyle w:val="Heading1"/>
        <w:rPr>
          <w:rFonts w:eastAsiaTheme="majorEastAsia" w:cstheme="minorHAnsi"/>
          <w:color w:val="FFFFFF" w:themeColor="background1"/>
        </w:rPr>
      </w:pPr>
      <w:r w:rsidRPr="00BC3535">
        <w:rPr>
          <w:rFonts w:eastAsiaTheme="majorEastAsia" w:cstheme="minorHAnsi"/>
          <w:noProof/>
          <w:color w:val="FFFFFF" w:themeColor="background1"/>
          <w:sz w:val="72"/>
          <w:szCs w:val="72"/>
          <w:lang w:eastAsia="en-GB"/>
        </w:rPr>
        <w:drawing>
          <wp:anchor distT="0" distB="0" distL="114300" distR="114300" simplePos="0" relativeHeight="251658240" behindDoc="1" locked="0" layoutInCell="1" allowOverlap="1" wp14:anchorId="45C2F5DD" wp14:editId="70401613">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BC3535">
        <w:rPr>
          <w:rFonts w:eastAsiaTheme="majorEastAsia" w:cstheme="minorHAnsi"/>
          <w:color w:val="FFFFFF" w:themeColor="background1"/>
        </w:rPr>
        <w:t xml:space="preserve">Data sources for outcome indicators on Article </w:t>
      </w:r>
      <w:r w:rsidR="00FA5E66" w:rsidRPr="00BC3535">
        <w:rPr>
          <w:rFonts w:eastAsiaTheme="majorEastAsia" w:cstheme="minorHAnsi"/>
          <w:color w:val="FFFFFF" w:themeColor="background1"/>
        </w:rPr>
        <w:t>25</w:t>
      </w:r>
      <w:r w:rsidR="000A661C" w:rsidRPr="00BC3535">
        <w:rPr>
          <w:rFonts w:eastAsiaTheme="majorEastAsia" w:cstheme="minorHAnsi"/>
          <w:color w:val="FFFFFF" w:themeColor="background1"/>
        </w:rPr>
        <w:t>:</w:t>
      </w:r>
    </w:p>
    <w:p w14:paraId="5A518BF9" w14:textId="2790E2D0" w:rsidR="00906D01" w:rsidRPr="00BC3535" w:rsidRDefault="00FA5E66" w:rsidP="00D850DC">
      <w:pPr>
        <w:pStyle w:val="Heading1"/>
        <w:ind w:right="720"/>
        <w:rPr>
          <w:rFonts w:eastAsiaTheme="majorEastAsia" w:cstheme="minorHAnsi"/>
          <w:color w:val="FFFFFF" w:themeColor="background1"/>
          <w:sz w:val="72"/>
          <w:szCs w:val="72"/>
        </w:rPr>
      </w:pPr>
      <w:r w:rsidRPr="00BC3535">
        <w:rPr>
          <w:rFonts w:eastAsiaTheme="majorEastAsia" w:cstheme="minorHAnsi"/>
          <w:color w:val="FFFFFF" w:themeColor="background1"/>
          <w:sz w:val="72"/>
          <w:szCs w:val="72"/>
        </w:rPr>
        <w:t>Health</w:t>
      </w:r>
    </w:p>
    <w:p w14:paraId="3CBE4037" w14:textId="1CEC72C6" w:rsidR="00355C6D" w:rsidRPr="00BC3535" w:rsidRDefault="00E445A8" w:rsidP="00D850DC">
      <w:pPr>
        <w:spacing w:before="0" w:after="0" w:line="240" w:lineRule="auto"/>
        <w:rPr>
          <w:rFonts w:asciiTheme="minorHAnsi" w:hAnsiTheme="minorHAnsi" w:cstheme="minorHAnsi"/>
        </w:rPr>
      </w:pPr>
      <w:r w:rsidRPr="00BC3535">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565FAC8A">
            <wp:simplePos x="4367213" y="9001125"/>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BC3535">
        <w:rPr>
          <w:rFonts w:asciiTheme="minorHAnsi" w:hAnsiTheme="minorHAnsi" w:cstheme="minorHAnsi"/>
        </w:rPr>
        <w:br w:type="page"/>
      </w:r>
    </w:p>
    <w:p w14:paraId="779E1EF4" w14:textId="5C6FD04F" w:rsidR="00355C6D" w:rsidRPr="00BC3535" w:rsidRDefault="00570364" w:rsidP="00D850DC">
      <w:pPr>
        <w:spacing w:before="0" w:after="0" w:line="240" w:lineRule="auto"/>
        <w:rPr>
          <w:rFonts w:asciiTheme="minorHAnsi" w:hAnsiTheme="minorHAnsi" w:cstheme="minorHAnsi"/>
        </w:rPr>
      </w:pPr>
      <w:r w:rsidRPr="00BC3535">
        <w:rPr>
          <w:rFonts w:asciiTheme="minorHAnsi" w:hAnsiTheme="minorHAnsi" w:cstheme="minorHAnsi"/>
          <w:noProof/>
          <w:lang w:eastAsia="en-GB"/>
        </w:rPr>
        <w:lastRenderedPageBreak/>
        <w:drawing>
          <wp:inline distT="0" distB="0" distL="0" distR="0" wp14:anchorId="48975751" wp14:editId="2000FB2D">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2C10AE4C" w14:textId="77777777" w:rsidR="009D3457" w:rsidRPr="00BC3535" w:rsidRDefault="009D3457" w:rsidP="009D3457">
      <w:pPr>
        <w:autoSpaceDE w:val="0"/>
        <w:autoSpaceDN w:val="0"/>
        <w:spacing w:before="7200" w:line="260" w:lineRule="exact"/>
        <w:rPr>
          <w:rFonts w:cs="Segoe UI"/>
          <w:color w:val="000000"/>
          <w:sz w:val="18"/>
          <w:lang w:eastAsia="en-GB"/>
        </w:rPr>
      </w:pPr>
      <w:r w:rsidRPr="00BC3535">
        <w:rPr>
          <w:rFonts w:cs="Segoe UI"/>
          <w:color w:val="000000"/>
          <w:sz w:val="18"/>
          <w:lang w:eastAsia="en-GB"/>
        </w:rPr>
        <w:t>ADVANCE VERSION</w:t>
      </w:r>
    </w:p>
    <w:p w14:paraId="16FB6717" w14:textId="77777777" w:rsidR="009D3457" w:rsidRPr="00BC3535" w:rsidRDefault="009D3457" w:rsidP="009D3457">
      <w:pPr>
        <w:autoSpaceDE w:val="0"/>
        <w:autoSpaceDN w:val="0"/>
        <w:spacing w:line="260" w:lineRule="exact"/>
        <w:rPr>
          <w:rFonts w:cs="Segoe UI"/>
          <w:color w:val="000000"/>
          <w:sz w:val="20"/>
          <w:szCs w:val="20"/>
          <w:lang w:eastAsia="en-GB"/>
        </w:rPr>
      </w:pPr>
      <w:r w:rsidRPr="00BC3535">
        <w:rPr>
          <w:rFonts w:cs="Segoe UI"/>
          <w:color w:val="000000"/>
          <w:sz w:val="20"/>
          <w:szCs w:val="20"/>
          <w:lang w:eastAsia="en-GB"/>
        </w:rPr>
        <w:t xml:space="preserve">© 2020 United Nations  </w:t>
      </w:r>
    </w:p>
    <w:p w14:paraId="45AE89CA" w14:textId="77777777" w:rsidR="009D3457" w:rsidRPr="00BC3535" w:rsidRDefault="009D3457" w:rsidP="009D3457">
      <w:pPr>
        <w:autoSpaceDE w:val="0"/>
        <w:autoSpaceDN w:val="0"/>
        <w:spacing w:line="260" w:lineRule="exact"/>
        <w:rPr>
          <w:rFonts w:cs="Segoe UI"/>
          <w:color w:val="000000"/>
          <w:sz w:val="20"/>
          <w:szCs w:val="20"/>
          <w:lang w:eastAsia="en-GB"/>
        </w:rPr>
      </w:pPr>
      <w:r w:rsidRPr="00BC3535">
        <w:rPr>
          <w:rFonts w:cs="Segoe UI"/>
          <w:color w:val="000000"/>
          <w:sz w:val="20"/>
          <w:szCs w:val="20"/>
          <w:lang w:eastAsia="en-GB"/>
        </w:rPr>
        <w:t xml:space="preserve">The </w:t>
      </w:r>
      <w:r w:rsidRPr="00BC3535">
        <w:rPr>
          <w:rFonts w:cs="Segoe UI"/>
          <w:i/>
          <w:color w:val="000000"/>
          <w:sz w:val="20"/>
          <w:szCs w:val="20"/>
          <w:lang w:eastAsia="en-GB"/>
        </w:rPr>
        <w:t>Data Sources Guidance</w:t>
      </w:r>
      <w:r w:rsidRPr="00BC3535">
        <w:rPr>
          <w:rFonts w:cs="Segoe UI"/>
          <w:color w:val="000000"/>
          <w:sz w:val="20"/>
          <w:szCs w:val="20"/>
          <w:lang w:eastAsia="en-GB"/>
        </w:rPr>
        <w:t xml:space="preserve"> is a component of the </w:t>
      </w:r>
      <w:hyperlink r:id="rId12" w:history="1">
        <w:r w:rsidRPr="00BC3535">
          <w:rPr>
            <w:rStyle w:val="Hyperlink"/>
            <w:rFonts w:cs="Segoe UI"/>
            <w:sz w:val="20"/>
            <w:szCs w:val="20"/>
            <w:lang w:eastAsia="en-GB"/>
          </w:rPr>
          <w:t>SDG-CRPD Resource Package</w:t>
        </w:r>
      </w:hyperlink>
      <w:r w:rsidRPr="00BC3535">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53E8D935" w14:textId="35A0AEE8" w:rsidR="009D3457" w:rsidRPr="00BC3535" w:rsidRDefault="009D3457" w:rsidP="009D3457">
      <w:pPr>
        <w:autoSpaceDE w:val="0"/>
        <w:autoSpaceDN w:val="0"/>
        <w:spacing w:line="260" w:lineRule="exact"/>
        <w:rPr>
          <w:rFonts w:cs="Segoe UI"/>
          <w:color w:val="000000"/>
          <w:sz w:val="20"/>
          <w:szCs w:val="20"/>
          <w:lang w:eastAsia="en-GB"/>
        </w:rPr>
      </w:pPr>
      <w:r w:rsidRPr="00BC3535">
        <w:rPr>
          <w:rFonts w:cs="Segoe UI"/>
          <w:color w:val="000000"/>
          <w:sz w:val="20"/>
          <w:szCs w:val="20"/>
          <w:lang w:eastAsia="en-GB"/>
        </w:rPr>
        <w:t xml:space="preserve">The designations employed and the presentation of the material </w:t>
      </w:r>
      <w:r w:rsidR="006D23EB" w:rsidRPr="00BC3535">
        <w:rPr>
          <w:rFonts w:cs="Segoe UI"/>
          <w:color w:val="000000"/>
          <w:sz w:val="20"/>
          <w:szCs w:val="20"/>
          <w:lang w:eastAsia="en-GB"/>
        </w:rPr>
        <w:t>herein</w:t>
      </w:r>
      <w:r w:rsidRPr="00BC3535">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26E1A364" w14:textId="77777777" w:rsidR="009D3457" w:rsidRPr="00BC3535" w:rsidRDefault="009D3457" w:rsidP="009D3457">
      <w:pPr>
        <w:autoSpaceDE w:val="0"/>
        <w:autoSpaceDN w:val="0"/>
        <w:spacing w:line="260" w:lineRule="exact"/>
        <w:rPr>
          <w:rFonts w:cs="Segoe UI"/>
          <w:color w:val="000000"/>
          <w:sz w:val="20"/>
          <w:szCs w:val="20"/>
          <w:lang w:eastAsia="en-GB"/>
        </w:rPr>
      </w:pPr>
      <w:r w:rsidRPr="00BC3535">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394604B3" w14:textId="0A150D00" w:rsidR="009D3457" w:rsidRPr="00BC3535" w:rsidRDefault="009D3457" w:rsidP="009D3457">
      <w:pPr>
        <w:autoSpaceDE w:val="0"/>
        <w:autoSpaceDN w:val="0"/>
        <w:spacing w:line="260" w:lineRule="exact"/>
        <w:rPr>
          <w:rFonts w:cs="Segoe UI"/>
          <w:color w:val="000000"/>
          <w:sz w:val="20"/>
          <w:szCs w:val="20"/>
          <w:lang w:eastAsia="en-GB"/>
        </w:rPr>
      </w:pPr>
      <w:r w:rsidRPr="00BC3535">
        <w:rPr>
          <w:rFonts w:cs="Segoe UI"/>
          <w:color w:val="000000"/>
          <w:sz w:val="20"/>
          <w:szCs w:val="20"/>
          <w:lang w:eastAsia="en-GB"/>
        </w:rPr>
        <w:t xml:space="preserve">The </w:t>
      </w:r>
      <w:r w:rsidRPr="00BC3535">
        <w:rPr>
          <w:rFonts w:cs="Segoe UI"/>
          <w:i/>
          <w:color w:val="000000"/>
          <w:sz w:val="20"/>
          <w:szCs w:val="20"/>
          <w:lang w:eastAsia="en-GB"/>
        </w:rPr>
        <w:t>Data Sources Guidance</w:t>
      </w:r>
      <w:r w:rsidRPr="00BC3535">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9F6205">
        <w:rPr>
          <w:rFonts w:cs="Segoe UI"/>
          <w:color w:val="000000"/>
          <w:sz w:val="20"/>
          <w:szCs w:val="20"/>
          <w:lang w:eastAsia="en-GB"/>
        </w:rPr>
        <w:br/>
      </w:r>
    </w:p>
    <w:p w14:paraId="4E2F2AE8" w14:textId="77777777" w:rsidR="009D3457" w:rsidRPr="00BC3535" w:rsidRDefault="009D3457" w:rsidP="009D3457">
      <w:pPr>
        <w:autoSpaceDE w:val="0"/>
        <w:autoSpaceDN w:val="0"/>
        <w:rPr>
          <w:rFonts w:eastAsiaTheme="majorEastAsia" w:cstheme="minorHAnsi"/>
          <w:b/>
          <w:color w:val="0A59AB"/>
          <w:spacing w:val="4"/>
          <w:kern w:val="0"/>
          <w:sz w:val="20"/>
          <w:szCs w:val="30"/>
        </w:rPr>
      </w:pPr>
      <w:r w:rsidRPr="00BC3535">
        <w:rPr>
          <w:rFonts w:cstheme="minorHAnsi"/>
          <w:noProof/>
          <w:lang w:eastAsia="en-GB"/>
        </w:rPr>
        <w:drawing>
          <wp:inline distT="0" distB="0" distL="0" distR="0" wp14:anchorId="028DE4FF" wp14:editId="7A397A48">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BC3535">
        <w:rPr>
          <w:rFonts w:eastAsiaTheme="majorEastAsia" w:cstheme="minorHAnsi"/>
          <w:b/>
          <w:color w:val="0A59AB"/>
          <w:spacing w:val="4"/>
          <w:kern w:val="0"/>
          <w:sz w:val="20"/>
          <w:szCs w:val="30"/>
        </w:rPr>
        <w:br w:type="page"/>
      </w:r>
    </w:p>
    <w:p w14:paraId="3AF75916" w14:textId="77777777" w:rsidR="00FA5E66" w:rsidRPr="00BC3535" w:rsidRDefault="00FA5E66" w:rsidP="00B33ECD">
      <w:pPr>
        <w:pStyle w:val="Heading2"/>
        <w:rPr>
          <w:rFonts w:eastAsiaTheme="majorEastAsia"/>
        </w:rPr>
      </w:pPr>
      <w:r w:rsidRPr="00BC3535">
        <w:rPr>
          <w:rFonts w:eastAsiaTheme="majorEastAsia"/>
        </w:rPr>
        <w:lastRenderedPageBreak/>
        <w:t>25.21 Maternal mortality ratio (SDG indicator 3.1.1) disaggregated by age and disability of the person.</w:t>
      </w:r>
    </w:p>
    <w:p w14:paraId="251EB2CE" w14:textId="77777777" w:rsidR="00FA5E66" w:rsidRPr="00BC3535" w:rsidRDefault="00FA5E66" w:rsidP="00B33ECD">
      <w:pPr>
        <w:pStyle w:val="Heading4"/>
        <w:rPr>
          <w:rFonts w:eastAsiaTheme="majorEastAsia"/>
        </w:rPr>
      </w:pPr>
      <w:r w:rsidRPr="00BC3535">
        <w:rPr>
          <w:rFonts w:eastAsiaTheme="majorEastAsia"/>
        </w:rPr>
        <w:t>Level 2: Indicator that could be produced with straightforward additions or modifications to existing data collection efforts</w:t>
      </w:r>
    </w:p>
    <w:p w14:paraId="0EB4F3E2" w14:textId="1998F320" w:rsidR="00FA5E66" w:rsidRPr="00BC3535" w:rsidRDefault="00474244" w:rsidP="00D850DC">
      <w:pPr>
        <w:rPr>
          <w:rStyle w:val="Hyperlink"/>
          <w:iCs/>
          <w:lang w:eastAsia="fr-FR"/>
        </w:rPr>
      </w:pPr>
      <w:r w:rsidRPr="00BC3535">
        <w:rPr>
          <w:rFonts w:cstheme="minorHAnsi"/>
        </w:rPr>
        <w:fldChar w:fldCharType="begin"/>
      </w:r>
      <w:r w:rsidRPr="00BC3535">
        <w:rPr>
          <w:rFonts w:cstheme="minorHAnsi"/>
        </w:rPr>
        <w:instrText xml:space="preserve"> HYPERLINK "https://unstats.un.org/sdgs/metadata?Text=&amp;Goal=&amp;Target=3.1" \o "https://unstats.un.org/sdgs/metadata?Text=&amp;Goal=&amp;Target=3.1" </w:instrText>
      </w:r>
      <w:r w:rsidRPr="00BC3535">
        <w:rPr>
          <w:rFonts w:cstheme="minorHAnsi"/>
        </w:rPr>
        <w:fldChar w:fldCharType="separate"/>
      </w:r>
      <w:r w:rsidRPr="00BC3535">
        <w:rPr>
          <w:rStyle w:val="Hyperlink"/>
          <w:rFonts w:cstheme="minorHAnsi"/>
        </w:rPr>
        <w:t>Link to the metadata related to this SDG indicator</w:t>
      </w:r>
    </w:p>
    <w:p w14:paraId="592BE85D" w14:textId="3BA8F407" w:rsidR="006D23EB" w:rsidRPr="00BC3535" w:rsidRDefault="00474244" w:rsidP="006D23EB">
      <w:pPr>
        <w:rPr>
          <w:rFonts w:cstheme="minorHAnsi"/>
        </w:rPr>
      </w:pPr>
      <w:r w:rsidRPr="00BC3535">
        <w:rPr>
          <w:rFonts w:cstheme="minorHAnsi"/>
        </w:rPr>
        <w:fldChar w:fldCharType="end"/>
      </w:r>
      <w:r w:rsidR="006D23EB" w:rsidRPr="00BC3535">
        <w:rPr>
          <w:rFonts w:cstheme="minorHAnsi"/>
        </w:rPr>
        <w:t>According to the metadata:</w:t>
      </w:r>
    </w:p>
    <w:p w14:paraId="4EFCE3E4" w14:textId="12F72BC0" w:rsidR="00FA5E66" w:rsidRPr="00BC3535" w:rsidRDefault="006D23EB" w:rsidP="00D81478">
      <w:pPr>
        <w:ind w:left="360"/>
        <w:rPr>
          <w:i/>
          <w:lang w:eastAsia="en-GB"/>
        </w:rPr>
      </w:pPr>
      <w:r w:rsidRPr="00BC3535">
        <w:rPr>
          <w:i/>
          <w:lang w:eastAsia="en-GB"/>
        </w:rPr>
        <w:t>“</w:t>
      </w:r>
      <w:r w:rsidR="00FA5E66" w:rsidRPr="00BC3535">
        <w:rPr>
          <w:i/>
          <w:lang w:eastAsia="en-GB"/>
        </w:rPr>
        <w:t xml:space="preserve">Please see </w:t>
      </w:r>
      <w:hyperlink r:id="rId14" w:history="1">
        <w:r w:rsidR="00FA5E66" w:rsidRPr="00BC3535">
          <w:rPr>
            <w:rStyle w:val="Hyperlink"/>
            <w:i/>
            <w:lang w:eastAsia="en-GB"/>
          </w:rPr>
          <w:t>page 14 of the report</w:t>
        </w:r>
      </w:hyperlink>
      <w:r w:rsidR="00FA5E66" w:rsidRPr="00BC3535">
        <w:rPr>
          <w:i/>
          <w:lang w:eastAsia="en-GB"/>
        </w:rPr>
        <w:t>.</w:t>
      </w:r>
    </w:p>
    <w:p w14:paraId="56BF83E8" w14:textId="3007DC27" w:rsidR="00FA5E66" w:rsidRPr="00BC3535" w:rsidRDefault="00FA5E66" w:rsidP="00D81478">
      <w:pPr>
        <w:ind w:left="360"/>
        <w:rPr>
          <w:i/>
        </w:rPr>
      </w:pPr>
      <w:r w:rsidRPr="00BC3535">
        <w:rPr>
          <w:i/>
        </w:rPr>
        <w:t xml:space="preserve">The </w:t>
      </w:r>
      <w:r w:rsidRPr="00BC3535">
        <w:rPr>
          <w:i/>
          <w:shd w:val="clear" w:color="auto" w:fill="FFFFFF"/>
        </w:rPr>
        <w:t>Maternal Mortality Estimation Inter-Agency Group</w:t>
      </w:r>
      <w:r w:rsidRPr="00BC3535">
        <w:rPr>
          <w:i/>
        </w:rPr>
        <w:t xml:space="preserve"> (MMEIG) maintains an input database consisting of maternal mortality data from civil registration, population</w:t>
      </w:r>
      <w:r w:rsidRPr="00BC3535">
        <w:rPr>
          <w:i/>
          <w:lang w:eastAsia="en-GB"/>
        </w:rPr>
        <w:t>-</w:t>
      </w:r>
      <w:r w:rsidRPr="00BC3535">
        <w:rPr>
          <w:i/>
        </w:rPr>
        <w:t>based surveys, surveillance systems, censuses, and other specialized studies/surveys. This database is used to determine the number of maternal deaths and where possible the number of deaths among all women of reproductive age (WRA) to calculate the "PM" proportion of maternal deaths among WRA. The MMR is then calculated as MMR = PM(D/B); where "D" is the number of deaths in women aged 15-49 (WRA) and "B" is the number of live births. The number of live births is based upon the World Population Prospects</w:t>
      </w:r>
      <w:r w:rsidRPr="00BC3535">
        <w:rPr>
          <w:i/>
          <w:lang w:eastAsia="en-GB"/>
        </w:rPr>
        <w:t xml:space="preserve"> 2019.</w:t>
      </w:r>
    </w:p>
    <w:p w14:paraId="0C345292" w14:textId="77777777" w:rsidR="00FA5E66" w:rsidRPr="00BC3535" w:rsidRDefault="00FA5E66" w:rsidP="00D81478">
      <w:pPr>
        <w:ind w:left="360"/>
        <w:rPr>
          <w:i/>
        </w:rPr>
      </w:pPr>
      <w:r w:rsidRPr="00BC3535">
        <w:rPr>
          <w:i/>
        </w:rPr>
        <w:t xml:space="preserve">Statistical modelling is undertaken to generate comparable </w:t>
      </w:r>
      <w:r w:rsidRPr="00BC3535">
        <w:rPr>
          <w:i/>
          <w:lang w:eastAsia="en-GB"/>
        </w:rPr>
        <w:t>country, regional</w:t>
      </w:r>
      <w:r w:rsidRPr="00BC3535">
        <w:rPr>
          <w:i/>
        </w:rPr>
        <w:t xml:space="preserve">, and </w:t>
      </w:r>
      <w:r w:rsidRPr="00BC3535">
        <w:rPr>
          <w:i/>
          <w:lang w:eastAsia="en-GB"/>
        </w:rPr>
        <w:t>global</w:t>
      </w:r>
      <w:r w:rsidRPr="00BC3535">
        <w:rPr>
          <w:i/>
        </w:rPr>
        <w:t xml:space="preserve"> level estimates. The model's fit is assessed by cross-validation. Estimates are then reviewed with Member States through a WHO country consultation process</w:t>
      </w:r>
      <w:r w:rsidRPr="00BC3535">
        <w:rPr>
          <w:i/>
          <w:lang w:eastAsia="en-GB"/>
        </w:rPr>
        <w:t xml:space="preserve"> and SDG focal points.</w:t>
      </w:r>
      <w:r w:rsidRPr="00BC3535">
        <w:rPr>
          <w:i/>
        </w:rPr>
        <w:t xml:space="preserve"> In 2001, the WHO Executive Board endorsed a resolution (EB.</w:t>
      </w:r>
      <w:r w:rsidRPr="00BC3535">
        <w:rPr>
          <w:i/>
          <w:lang w:eastAsia="en-GB"/>
        </w:rPr>
        <w:t xml:space="preserve"> </w:t>
      </w:r>
      <w:r w:rsidRPr="00BC3535">
        <w:rPr>
          <w:i/>
        </w:rPr>
        <w:t>107.R8) seeking to “establish a technical consultation process bringing together personnel and perspectives from Member States in different WHO regions”. A key objective of this consultation process is “to ensure that each Member State is consulted on the best data to be used”. Since the process is an integral step in the overall estimation strategy, it is described here in brief.</w:t>
      </w:r>
    </w:p>
    <w:p w14:paraId="4E50651C" w14:textId="77777777" w:rsidR="00FA5E66" w:rsidRPr="00BC3535" w:rsidRDefault="00FA5E66" w:rsidP="00D81478">
      <w:pPr>
        <w:ind w:left="360"/>
        <w:rPr>
          <w:i/>
        </w:rPr>
      </w:pPr>
      <w:r w:rsidRPr="00BC3535">
        <w:rPr>
          <w:i/>
        </w:rPr>
        <w:t xml:space="preserve">The country consultation process entails an exchange between WHO and technical focal person(s) in each country. It is carried out prior to the publication of estimates. During the consultation period, WHO invites focal person(s) to review input data sources, methods for estimation and the preliminary estimates. Focal person(s) </w:t>
      </w:r>
      <w:proofErr w:type="gramStart"/>
      <w:r w:rsidRPr="00BC3535">
        <w:rPr>
          <w:i/>
        </w:rPr>
        <w:t>are</w:t>
      </w:r>
      <w:proofErr w:type="gramEnd"/>
      <w:r w:rsidRPr="00BC3535">
        <w:rPr>
          <w:i/>
        </w:rPr>
        <w:t xml:space="preserve"> encouraged to submit additional data that may not have been taken into account in the preliminary estimates.</w:t>
      </w:r>
    </w:p>
    <w:p w14:paraId="67E605E8" w14:textId="77777777" w:rsidR="00D81478" w:rsidRPr="00BC3535" w:rsidRDefault="00FA5E66" w:rsidP="00D81478">
      <w:pPr>
        <w:ind w:left="360"/>
        <w:rPr>
          <w:i/>
        </w:rPr>
      </w:pPr>
      <w:r w:rsidRPr="00BC3535">
        <w:rPr>
          <w:i/>
        </w:rPr>
        <w:t>Adjustments are made according to the data source type:</w:t>
      </w:r>
    </w:p>
    <w:p w14:paraId="29669CE5" w14:textId="1E66C6D1" w:rsidR="00FA5E66" w:rsidRPr="00BC3535" w:rsidRDefault="00FA5E66" w:rsidP="00D81478">
      <w:pPr>
        <w:pStyle w:val="ListParagraph"/>
        <w:numPr>
          <w:ilvl w:val="0"/>
          <w:numId w:val="43"/>
        </w:numPr>
        <w:rPr>
          <w:rFonts w:eastAsiaTheme="minorEastAsia"/>
          <w:i/>
        </w:rPr>
      </w:pPr>
      <w:r w:rsidRPr="00BC3535">
        <w:rPr>
          <w:rFonts w:eastAsiaTheme="minorEastAsia"/>
          <w:i/>
        </w:rPr>
        <w:t xml:space="preserve">CRVS, for </w:t>
      </w:r>
      <w:r w:rsidRPr="00BC3535">
        <w:rPr>
          <w:rFonts w:eastAsiaTheme="minorEastAsia"/>
          <w:i/>
          <w:lang w:eastAsia="en-GB"/>
        </w:rPr>
        <w:t>incompleteness</w:t>
      </w:r>
      <w:r w:rsidRPr="00BC3535">
        <w:rPr>
          <w:rFonts w:eastAsiaTheme="minorEastAsia"/>
          <w:i/>
        </w:rPr>
        <w:t xml:space="preserve"> and misclassification of maternal deaths</w:t>
      </w:r>
    </w:p>
    <w:p w14:paraId="609DC618" w14:textId="2A94574B" w:rsidR="00FA5E66" w:rsidRPr="00BC3535" w:rsidRDefault="00FA5E66" w:rsidP="00D81478">
      <w:pPr>
        <w:pStyle w:val="ListParagraph"/>
        <w:numPr>
          <w:ilvl w:val="0"/>
          <w:numId w:val="43"/>
        </w:numPr>
        <w:rPr>
          <w:rFonts w:eastAsiaTheme="minorEastAsia"/>
          <w:i/>
        </w:rPr>
      </w:pPr>
      <w:r w:rsidRPr="00BC3535">
        <w:rPr>
          <w:rFonts w:eastAsiaTheme="minorEastAsia"/>
          <w:i/>
        </w:rPr>
        <w:t>reports providing "pregnancy-related" mortality, for underreporting of these deaths, as well as over-reporting of maternal deaths due to inclusion of deaths which are accidental or incidental to pregnancy (thus outside of the definition of maternal mortality).</w:t>
      </w:r>
    </w:p>
    <w:p w14:paraId="1FC57CCF" w14:textId="77777777" w:rsidR="00FA5E66" w:rsidRPr="00BC3535" w:rsidRDefault="00FA5E66" w:rsidP="00D81478">
      <w:pPr>
        <w:ind w:left="360"/>
        <w:rPr>
          <w:i/>
        </w:rPr>
      </w:pPr>
      <w:r w:rsidRPr="00BC3535">
        <w:rPr>
          <w:i/>
        </w:rPr>
        <w:t>The analysis also accounts for stochastic errors due to the general rarity of maternal deaths, sampling error in the data source, errors during data collection and processing, and other random error.</w:t>
      </w:r>
    </w:p>
    <w:p w14:paraId="7651CEDD" w14:textId="1CCF6C04" w:rsidR="00FA5E66" w:rsidRPr="00BC3535" w:rsidRDefault="00FA5E66" w:rsidP="00D81478">
      <w:pPr>
        <w:ind w:left="360"/>
      </w:pPr>
      <w:r w:rsidRPr="00BC3535">
        <w:rPr>
          <w:i/>
        </w:rPr>
        <w:t xml:space="preserve">The MMR estimates </w:t>
      </w:r>
      <w:r w:rsidRPr="00BC3535">
        <w:rPr>
          <w:i/>
          <w:lang w:eastAsia="en-GB"/>
        </w:rPr>
        <w:t>are</w:t>
      </w:r>
      <w:r w:rsidRPr="00BC3535">
        <w:rPr>
          <w:i/>
        </w:rPr>
        <w:t xml:space="preserve"> limited to countries with population of greater than 100 000. Out of </w:t>
      </w:r>
      <w:r w:rsidRPr="00BC3535">
        <w:rPr>
          <w:i/>
          <w:lang w:eastAsia="en-GB"/>
        </w:rPr>
        <w:t>185</w:t>
      </w:r>
      <w:r w:rsidRPr="00BC3535">
        <w:rPr>
          <w:i/>
        </w:rPr>
        <w:t xml:space="preserve"> countries</w:t>
      </w:r>
      <w:r w:rsidRPr="00BC3535">
        <w:rPr>
          <w:i/>
          <w:lang w:eastAsia="en-GB"/>
        </w:rPr>
        <w:t xml:space="preserve"> and territories, 177</w:t>
      </w:r>
      <w:r w:rsidRPr="00BC3535">
        <w:rPr>
          <w:i/>
        </w:rPr>
        <w:t xml:space="preserve"> have nationally representative data</w:t>
      </w:r>
      <w:r w:rsidRPr="00BC3535">
        <w:t>.</w:t>
      </w:r>
      <w:r w:rsidR="006D23EB" w:rsidRPr="00BC3535">
        <w:t>”</w:t>
      </w:r>
    </w:p>
    <w:p w14:paraId="4DB6F2D6" w14:textId="56C27B3C" w:rsidR="00FA5E66" w:rsidRPr="00BC3535" w:rsidRDefault="00FA5E66" w:rsidP="00D850DC">
      <w:pPr>
        <w:rPr>
          <w:color w:val="000000" w:themeColor="text1"/>
        </w:rPr>
      </w:pPr>
      <w:r w:rsidRPr="00BC3535">
        <w:lastRenderedPageBreak/>
        <w:t xml:space="preserve">The </w:t>
      </w:r>
      <w:hyperlink r:id="rId15" w:history="1">
        <w:r w:rsidRPr="00BC3535">
          <w:rPr>
            <w:rStyle w:val="Hyperlink"/>
          </w:rPr>
          <w:t>Maternal Mortality Estimation Inter-Agency Group data</w:t>
        </w:r>
      </w:hyperlink>
      <w:r w:rsidRPr="00BC3535">
        <w:t xml:space="preserve"> does not include disability. According to this website, the most reliable source of data on maternal mortality is </w:t>
      </w:r>
      <w:r w:rsidRPr="00BC3535">
        <w:rPr>
          <w:color w:val="000000" w:themeColor="text1"/>
        </w:rPr>
        <w:t xml:space="preserve">civil registration, if there is complete coverage and the medical certification contains the cause of death. </w:t>
      </w:r>
    </w:p>
    <w:p w14:paraId="48C9E51F" w14:textId="5A5B96C4" w:rsidR="00FA5E66" w:rsidRPr="00BC3535" w:rsidRDefault="00FA5E66" w:rsidP="00D850DC">
      <w:r w:rsidRPr="00BC3535">
        <w:rPr>
          <w:color w:val="000000" w:themeColor="text1"/>
        </w:rPr>
        <w:t>Other possible data sources listed by WHO include household surveys, population census, sample or sentinel registration systems, or even specific studies.</w:t>
      </w:r>
      <w:r w:rsidRPr="00BC3535">
        <w:t xml:space="preserve"> Key issues about how to calculate the maternal mortality rate, in general, can be found at </w:t>
      </w:r>
      <w:hyperlink r:id="rId16" w:tooltip="https://www.who.int/reproductivehealth/topics/monitoring/measuring_mmr.pdf" w:history="1">
        <w:r w:rsidR="00B563EB" w:rsidRPr="00BC3535">
          <w:rPr>
            <w:rStyle w:val="Hyperlink"/>
            <w:rFonts w:eastAsiaTheme="majorEastAsia" w:cstheme="minorHAnsi"/>
          </w:rPr>
          <w:t>www.who.it - PDF</w:t>
        </w:r>
      </w:hyperlink>
      <w:r w:rsidRPr="00BC3535">
        <w:rPr>
          <w:rStyle w:val="Hyperlink"/>
          <w:rFonts w:eastAsiaTheme="majorEastAsia" w:cstheme="minorHAnsi"/>
        </w:rPr>
        <w:t>.</w:t>
      </w:r>
    </w:p>
    <w:p w14:paraId="1685C205" w14:textId="77777777" w:rsidR="00FA5E66" w:rsidRPr="00BC3535" w:rsidRDefault="00FA5E66" w:rsidP="00D850DC">
      <w:r w:rsidRPr="00BC3535">
        <w:t>A good option is to include disability status on civil registration. If not, a survey can be used. In 2016, Bangladesh conducted the Maternal Mortality and Health Care Survey across 298,284 households. It included a “verbal autopsy interview” for any household death in the past three years. Doctors reviewed the interview and coded the cause of death. The interviews did not ask about the disability status of the mother, but if that were incorporated, the indicator could be produced.</w:t>
      </w:r>
    </w:p>
    <w:p w14:paraId="1D34D1EF" w14:textId="77777777" w:rsidR="00FA5E66" w:rsidRPr="00BC3535" w:rsidRDefault="00FA5E66" w:rsidP="00D850DC">
      <w:r w:rsidRPr="00BC3535">
        <w:t xml:space="preserve">In the </w:t>
      </w:r>
      <w:hyperlink r:id="rId17" w:history="1">
        <w:r w:rsidRPr="00BC3535">
          <w:rPr>
            <w:rStyle w:val="Hyperlink"/>
            <w:rFonts w:cstheme="minorHAnsi"/>
          </w:rPr>
          <w:t>2016 Uganda DHS</w:t>
        </w:r>
      </w:hyperlink>
      <w:r w:rsidRPr="00BC3535">
        <w:t>, which includes disability questions on the overall survey, “data were collected from all female respondents on the survival of their sisters and brothers to obtain an estimate of adult mortality. Questions were included to determine if any of the sisters’ deaths were maternity-related, which permits the estimation of maternal mortality.” However, no questions were asked about the disability status of the mother.</w:t>
      </w:r>
    </w:p>
    <w:p w14:paraId="0E668D2D" w14:textId="77777777" w:rsidR="00FA5E66" w:rsidRPr="00BC3535" w:rsidRDefault="00FA5E66" w:rsidP="00D60EEB">
      <w:pPr>
        <w:pStyle w:val="Heading2"/>
        <w:rPr>
          <w:rFonts w:eastAsiaTheme="majorEastAsia"/>
        </w:rPr>
      </w:pPr>
      <w:r w:rsidRPr="00BC3535">
        <w:rPr>
          <w:rFonts w:eastAsiaTheme="majorEastAsia"/>
        </w:rPr>
        <w:t>25.22 Proportion of women and girls of reproductive age who have their need for family planning satisfied with modern methods (based on SDG indicator 3.7.1) disaggregated by age and disability.</w:t>
      </w:r>
    </w:p>
    <w:p w14:paraId="0DAE3AA9" w14:textId="77777777" w:rsidR="00FA5E66" w:rsidRPr="00BC3535" w:rsidRDefault="00FA5E66" w:rsidP="00D60EEB">
      <w:pPr>
        <w:pStyle w:val="Heading4"/>
        <w:rPr>
          <w:rFonts w:eastAsiaTheme="majorEastAsia"/>
        </w:rPr>
      </w:pPr>
      <w:r w:rsidRPr="00BC3535">
        <w:rPr>
          <w:rFonts w:eastAsiaTheme="majorEastAsia"/>
        </w:rPr>
        <w:t>Level 1: Indicator for which data are already being produced and reported on in at least some countries</w:t>
      </w:r>
    </w:p>
    <w:p w14:paraId="67C62799" w14:textId="4633B632" w:rsidR="00E47893" w:rsidRPr="00BC3535" w:rsidRDefault="00E47893" w:rsidP="00D850DC">
      <w:pPr>
        <w:rPr>
          <w:rStyle w:val="Hyperlink"/>
          <w:iCs/>
          <w:lang w:eastAsia="fr-FR"/>
        </w:rPr>
      </w:pPr>
      <w:r w:rsidRPr="00BC3535">
        <w:rPr>
          <w:rFonts w:cstheme="minorHAnsi"/>
        </w:rPr>
        <w:fldChar w:fldCharType="begin"/>
      </w:r>
      <w:r w:rsidRPr="00BC3535">
        <w:rPr>
          <w:rFonts w:cstheme="minorHAnsi"/>
        </w:rPr>
        <w:instrText>HYPERLINK "https://unstats.un.org/sdgs/metadata?Text=&amp;Goal=&amp;Target=3.7" \o "https://unstats.un.org/sdgs/metadata?Text=&amp;Goal=&amp;Target=3.7"</w:instrText>
      </w:r>
      <w:r w:rsidRPr="00BC3535">
        <w:rPr>
          <w:rFonts w:cstheme="minorHAnsi"/>
        </w:rPr>
        <w:fldChar w:fldCharType="separate"/>
      </w:r>
      <w:r w:rsidRPr="00BC3535">
        <w:rPr>
          <w:rStyle w:val="Hyperlink"/>
          <w:rFonts w:cstheme="minorHAnsi"/>
        </w:rPr>
        <w:t>Link to the metadata related to this SDG indicator</w:t>
      </w:r>
    </w:p>
    <w:p w14:paraId="63AC640E" w14:textId="77777777" w:rsidR="00280323" w:rsidRPr="00BC3535" w:rsidRDefault="00E47893" w:rsidP="00D850DC">
      <w:pPr>
        <w:rPr>
          <w:rFonts w:cstheme="minorHAnsi"/>
        </w:rPr>
      </w:pPr>
      <w:r w:rsidRPr="00BC3535">
        <w:rPr>
          <w:rFonts w:cstheme="minorHAnsi"/>
        </w:rPr>
        <w:fldChar w:fldCharType="end"/>
      </w:r>
      <w:r w:rsidR="00280323" w:rsidRPr="00BC3535">
        <w:rPr>
          <w:rFonts w:cstheme="minorHAnsi"/>
        </w:rPr>
        <w:t>According to the metadata:</w:t>
      </w:r>
    </w:p>
    <w:p w14:paraId="31569E90" w14:textId="33C1DE90" w:rsidR="00FA5E66" w:rsidRPr="00BC3535" w:rsidRDefault="00280323" w:rsidP="00D81478">
      <w:pPr>
        <w:ind w:left="360"/>
        <w:rPr>
          <w:i/>
          <w:lang w:eastAsia="en-GB"/>
        </w:rPr>
      </w:pPr>
      <w:r w:rsidRPr="00BC3535">
        <w:rPr>
          <w:lang w:eastAsia="en-GB"/>
        </w:rPr>
        <w:t>“</w:t>
      </w:r>
      <w:r w:rsidR="00FA5E66" w:rsidRPr="00BC3535">
        <w:rPr>
          <w:i/>
          <w:lang w:eastAsia="en-GB"/>
        </w:rPr>
        <w:t>This indicator is calculated from nationally-representative household survey data. Multi-country survey programmes that include relevant data for this indicator are: Contraceptive Prevalence Surveys (CPS), Demographic and Health Surveys (DHS), Fertility and Family Surveys (FFS), Reproductive Health Surveys (RHS), Multiple Indicator Cluster Surveys (MICS), Performance Monitoring and Accountability 2020 surveys (PMA), World Fertility Surveys (WFS), other international survey programmes and national surveys.</w:t>
      </w:r>
    </w:p>
    <w:p w14:paraId="630DC218" w14:textId="77777777" w:rsidR="00FA5E66" w:rsidRPr="00BC3535" w:rsidRDefault="00FA5E66" w:rsidP="00D81478">
      <w:pPr>
        <w:ind w:left="360"/>
        <w:rPr>
          <w:i/>
          <w:lang w:eastAsia="en-GB"/>
        </w:rPr>
      </w:pPr>
      <w:r w:rsidRPr="00BC3535">
        <w:rPr>
          <w:i/>
          <w:lang w:eastAsia="en-GB"/>
        </w:rPr>
        <w:t>For information on the source of each estimate, see United Nations, Department of Economic and Social Affairs, Population Division (2020). World Contraceptive Use 2020</w:t>
      </w:r>
    </w:p>
    <w:p w14:paraId="21DBED02" w14:textId="06BBD0AC" w:rsidR="00FA5E66" w:rsidRPr="00BC3535" w:rsidRDefault="00FA5E66" w:rsidP="00D81478">
      <w:pPr>
        <w:ind w:left="360"/>
        <w:rPr>
          <w:lang w:eastAsia="en-GB"/>
        </w:rPr>
      </w:pPr>
      <w:r w:rsidRPr="00BC3535">
        <w:rPr>
          <w:i/>
          <w:lang w:eastAsia="en-GB"/>
        </w:rPr>
        <w:t>Data for the percentage of women of reproductive age (15-49 years) who have their need for family planning satisfied with modern methods are available for 130 countries or areas for the 2000-2019 time period. For 103 countries or areas, there are at least two available data points</w:t>
      </w:r>
      <w:r w:rsidRPr="00BC3535">
        <w:rPr>
          <w:lang w:eastAsia="en-GB"/>
        </w:rPr>
        <w:t>.</w:t>
      </w:r>
      <w:r w:rsidR="00280323" w:rsidRPr="00BC3535">
        <w:rPr>
          <w:lang w:eastAsia="en-GB"/>
        </w:rPr>
        <w:t>”</w:t>
      </w:r>
    </w:p>
    <w:p w14:paraId="287E577F" w14:textId="77777777" w:rsidR="00FA5E66" w:rsidRPr="00BC3535" w:rsidRDefault="00FA5E66" w:rsidP="00D850DC">
      <w:pPr>
        <w:rPr>
          <w:lang w:eastAsia="en-GB"/>
        </w:rPr>
      </w:pPr>
      <w:r w:rsidRPr="00BC3535">
        <w:rPr>
          <w:lang w:eastAsia="en-GB"/>
        </w:rPr>
        <w:t xml:space="preserve">The World Contraceptive Use 2020 data set includes </w:t>
      </w:r>
      <w:hyperlink r:id="rId18" w:history="1">
        <w:r w:rsidRPr="00BC3535">
          <w:rPr>
            <w:rStyle w:val="Hyperlink"/>
            <w:rFonts w:cstheme="minorHAnsi"/>
            <w:lang w:eastAsia="en-GB"/>
          </w:rPr>
          <w:t>data on contraceptive use by marital status and age group</w:t>
        </w:r>
      </w:hyperlink>
      <w:r w:rsidRPr="00BC3535">
        <w:rPr>
          <w:lang w:eastAsia="en-GB"/>
        </w:rPr>
        <w:t xml:space="preserve">. It does not disaggregate by disability status but could do so if the surveys used to </w:t>
      </w:r>
      <w:r w:rsidRPr="00BC3535">
        <w:rPr>
          <w:lang w:eastAsia="en-GB"/>
        </w:rPr>
        <w:lastRenderedPageBreak/>
        <w:t>generate these data included related questions. An example of a survey from Lesotho used to generate this indicator that can disaggregate data by disability is presented in table 1.</w:t>
      </w:r>
    </w:p>
    <w:p w14:paraId="02468AD6" w14:textId="2F1EE489" w:rsidR="00FA5E66" w:rsidRPr="00BC3535" w:rsidRDefault="00FA5E66" w:rsidP="00D81478">
      <w:pPr>
        <w:pStyle w:val="TableHeader"/>
        <w:rPr>
          <w:rFonts w:eastAsiaTheme="majorEastAsia" w:cstheme="majorBidi"/>
        </w:rPr>
      </w:pPr>
      <w:r w:rsidRPr="00BC3535">
        <w:rPr>
          <w:rFonts w:eastAsiaTheme="majorEastAsia" w:cstheme="majorBidi"/>
          <w:b/>
          <w:bCs w:val="0"/>
        </w:rPr>
        <w:t>Table 1:</w:t>
      </w:r>
      <w:r w:rsidR="003126C7" w:rsidRPr="00BC3535">
        <w:rPr>
          <w:rFonts w:eastAsiaTheme="majorEastAsia" w:cstheme="majorBidi"/>
        </w:rPr>
        <w:t xml:space="preserve"> </w:t>
      </w:r>
      <w:r w:rsidRPr="00BC3535">
        <w:rPr>
          <w:rFonts w:eastAsiaTheme="majorEastAsia" w:cstheme="majorBidi"/>
        </w:rPr>
        <w:t>Use of contraception (currently married/in union) Percentage of women age 15-49 years currently married or in union who are using (or whose partner is using) a contraceptive method, Lesotho,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1: Use of contraception (currently married/in union) Percentage of women age 15-49 years currently married or in union who are using (or whose partner is using) a contraceptive method, Lesotho, 2018"/>
      </w:tblPr>
      <w:tblGrid>
        <w:gridCol w:w="2444"/>
        <w:gridCol w:w="1638"/>
        <w:gridCol w:w="1638"/>
        <w:gridCol w:w="1638"/>
        <w:gridCol w:w="1642"/>
      </w:tblGrid>
      <w:tr w:rsidR="004E35BC" w:rsidRPr="00BC3535" w14:paraId="2A62EA65" w14:textId="77777777" w:rsidTr="00D81478">
        <w:trPr>
          <w:trHeight w:val="612"/>
          <w:tblHeader/>
        </w:trPr>
        <w:tc>
          <w:tcPr>
            <w:tcW w:w="1358" w:type="pct"/>
            <w:tcBorders>
              <w:top w:val="single" w:sz="12" w:space="0" w:color="auto"/>
              <w:bottom w:val="single" w:sz="12" w:space="0" w:color="auto"/>
            </w:tcBorders>
            <w:shd w:val="clear" w:color="auto" w:fill="F5F5F1"/>
            <w:noWrap/>
            <w:hideMark/>
          </w:tcPr>
          <w:p w14:paraId="44F04D29" w14:textId="77777777" w:rsidR="004E35BC" w:rsidRPr="00BC3535" w:rsidRDefault="004E35BC" w:rsidP="00D850DC">
            <w:pPr>
              <w:rPr>
                <w:rFonts w:asciiTheme="minorHAnsi" w:hAnsiTheme="minorHAnsi"/>
              </w:rPr>
            </w:pPr>
          </w:p>
        </w:tc>
        <w:tc>
          <w:tcPr>
            <w:tcW w:w="910" w:type="pct"/>
            <w:tcBorders>
              <w:top w:val="single" w:sz="12" w:space="0" w:color="auto"/>
              <w:bottom w:val="single" w:sz="12" w:space="0" w:color="auto"/>
            </w:tcBorders>
            <w:shd w:val="clear" w:color="auto" w:fill="F5F5F1"/>
            <w:noWrap/>
            <w:vAlign w:val="bottom"/>
            <w:hideMark/>
          </w:tcPr>
          <w:p w14:paraId="51CCFE7A" w14:textId="77777777" w:rsidR="004E35BC" w:rsidRPr="00BC3535" w:rsidRDefault="004E35BC" w:rsidP="00D81478">
            <w:pPr>
              <w:pStyle w:val="TableHeaderRow"/>
            </w:pPr>
            <w:r w:rsidRPr="00BC3535">
              <w:t>No method</w:t>
            </w:r>
          </w:p>
        </w:tc>
        <w:tc>
          <w:tcPr>
            <w:tcW w:w="910" w:type="pct"/>
            <w:tcBorders>
              <w:top w:val="single" w:sz="12" w:space="0" w:color="auto"/>
              <w:bottom w:val="single" w:sz="12" w:space="0" w:color="auto"/>
            </w:tcBorders>
            <w:shd w:val="clear" w:color="auto" w:fill="F5F5F1"/>
            <w:noWrap/>
            <w:vAlign w:val="bottom"/>
            <w:hideMark/>
          </w:tcPr>
          <w:p w14:paraId="404B6D54" w14:textId="77777777" w:rsidR="004E35BC" w:rsidRPr="00BC3535" w:rsidRDefault="004E35BC" w:rsidP="00D81478">
            <w:pPr>
              <w:pStyle w:val="TableHeaderRow"/>
            </w:pPr>
            <w:r w:rsidRPr="00BC3535">
              <w:t>Any modern method</w:t>
            </w:r>
            <w:r w:rsidRPr="00BC3535">
              <w:rPr>
                <w:vertAlign w:val="superscript"/>
              </w:rPr>
              <w:t>1</w:t>
            </w:r>
          </w:p>
        </w:tc>
        <w:tc>
          <w:tcPr>
            <w:tcW w:w="910" w:type="pct"/>
            <w:tcBorders>
              <w:top w:val="single" w:sz="12" w:space="0" w:color="auto"/>
              <w:bottom w:val="single" w:sz="12" w:space="0" w:color="auto"/>
            </w:tcBorders>
            <w:shd w:val="clear" w:color="auto" w:fill="F5F5F1"/>
            <w:noWrap/>
            <w:vAlign w:val="bottom"/>
            <w:hideMark/>
          </w:tcPr>
          <w:p w14:paraId="28AE15A5" w14:textId="77777777" w:rsidR="004E35BC" w:rsidRPr="00BC3535" w:rsidRDefault="004E35BC" w:rsidP="00D81478">
            <w:pPr>
              <w:pStyle w:val="TableHeaderRow"/>
            </w:pPr>
            <w:r w:rsidRPr="00BC3535">
              <w:t>Any traditional method</w:t>
            </w:r>
            <w:r w:rsidRPr="00BC3535">
              <w:rPr>
                <w:vertAlign w:val="superscript"/>
              </w:rPr>
              <w:t>2</w:t>
            </w:r>
          </w:p>
        </w:tc>
        <w:tc>
          <w:tcPr>
            <w:tcW w:w="911" w:type="pct"/>
            <w:tcBorders>
              <w:top w:val="single" w:sz="12" w:space="0" w:color="auto"/>
              <w:bottom w:val="single" w:sz="12" w:space="0" w:color="auto"/>
            </w:tcBorders>
            <w:shd w:val="clear" w:color="auto" w:fill="F5F5F1"/>
            <w:noWrap/>
            <w:vAlign w:val="bottom"/>
            <w:hideMark/>
          </w:tcPr>
          <w:p w14:paraId="39812486" w14:textId="77777777" w:rsidR="004E35BC" w:rsidRPr="00BC3535" w:rsidRDefault="004E35BC" w:rsidP="00D81478">
            <w:pPr>
              <w:pStyle w:val="TableHeaderRow"/>
            </w:pPr>
            <w:r w:rsidRPr="00BC3535">
              <w:t>Any method</w:t>
            </w:r>
          </w:p>
        </w:tc>
      </w:tr>
      <w:tr w:rsidR="004E35BC" w:rsidRPr="00BC3535" w14:paraId="3C89A580" w14:textId="77777777" w:rsidTr="004E35BC">
        <w:trPr>
          <w:tblHeader/>
        </w:trPr>
        <w:tc>
          <w:tcPr>
            <w:tcW w:w="1358" w:type="pct"/>
            <w:tcBorders>
              <w:top w:val="single" w:sz="12" w:space="0" w:color="auto"/>
              <w:bottom w:val="single" w:sz="12" w:space="0" w:color="auto"/>
            </w:tcBorders>
            <w:shd w:val="clear" w:color="auto" w:fill="F5F5F1"/>
            <w:hideMark/>
          </w:tcPr>
          <w:p w14:paraId="2FC6E3A2" w14:textId="77777777" w:rsidR="004E35BC" w:rsidRPr="00BC3535" w:rsidRDefault="004E35BC" w:rsidP="00D850DC">
            <w:pPr>
              <w:rPr>
                <w:color w:val="000000"/>
              </w:rPr>
            </w:pPr>
            <w:r w:rsidRPr="00BC3535">
              <w:rPr>
                <w:color w:val="000000"/>
              </w:rPr>
              <w:t>Total</w:t>
            </w:r>
          </w:p>
        </w:tc>
        <w:tc>
          <w:tcPr>
            <w:tcW w:w="910" w:type="pct"/>
            <w:tcBorders>
              <w:top w:val="single" w:sz="12" w:space="0" w:color="auto"/>
              <w:bottom w:val="single" w:sz="12" w:space="0" w:color="auto"/>
            </w:tcBorders>
            <w:shd w:val="clear" w:color="auto" w:fill="F5F5F1"/>
            <w:noWrap/>
            <w:hideMark/>
          </w:tcPr>
          <w:p w14:paraId="7C178781" w14:textId="77777777" w:rsidR="004E35BC" w:rsidRPr="00BC3535" w:rsidRDefault="004E35BC" w:rsidP="00D850DC">
            <w:pPr>
              <w:rPr>
                <w:color w:val="000000"/>
              </w:rPr>
            </w:pPr>
            <w:r w:rsidRPr="00BC3535">
              <w:rPr>
                <w:color w:val="000000"/>
              </w:rPr>
              <w:t>35.1</w:t>
            </w:r>
          </w:p>
        </w:tc>
        <w:tc>
          <w:tcPr>
            <w:tcW w:w="910" w:type="pct"/>
            <w:tcBorders>
              <w:top w:val="single" w:sz="12" w:space="0" w:color="auto"/>
              <w:bottom w:val="single" w:sz="12" w:space="0" w:color="auto"/>
            </w:tcBorders>
            <w:shd w:val="clear" w:color="auto" w:fill="F5F5F1"/>
            <w:noWrap/>
            <w:hideMark/>
          </w:tcPr>
          <w:p w14:paraId="2DB64EE9" w14:textId="77777777" w:rsidR="004E35BC" w:rsidRPr="00BC3535" w:rsidRDefault="004E35BC" w:rsidP="00D850DC">
            <w:pPr>
              <w:rPr>
                <w:color w:val="000000"/>
              </w:rPr>
            </w:pPr>
            <w:r w:rsidRPr="00BC3535">
              <w:rPr>
                <w:color w:val="000000"/>
              </w:rPr>
              <w:t>64.6</w:t>
            </w:r>
          </w:p>
        </w:tc>
        <w:tc>
          <w:tcPr>
            <w:tcW w:w="910" w:type="pct"/>
            <w:tcBorders>
              <w:top w:val="single" w:sz="12" w:space="0" w:color="auto"/>
              <w:bottom w:val="single" w:sz="12" w:space="0" w:color="auto"/>
            </w:tcBorders>
            <w:shd w:val="clear" w:color="auto" w:fill="F5F5F1"/>
            <w:noWrap/>
            <w:hideMark/>
          </w:tcPr>
          <w:p w14:paraId="45FDFB77" w14:textId="77777777" w:rsidR="004E35BC" w:rsidRPr="00BC3535" w:rsidRDefault="004E35BC" w:rsidP="00D850DC">
            <w:pPr>
              <w:rPr>
                <w:color w:val="000000"/>
              </w:rPr>
            </w:pPr>
            <w:r w:rsidRPr="00BC3535">
              <w:rPr>
                <w:color w:val="000000"/>
              </w:rPr>
              <w:t>0.4</w:t>
            </w:r>
          </w:p>
        </w:tc>
        <w:tc>
          <w:tcPr>
            <w:tcW w:w="911" w:type="pct"/>
            <w:tcBorders>
              <w:top w:val="single" w:sz="12" w:space="0" w:color="auto"/>
              <w:bottom w:val="single" w:sz="12" w:space="0" w:color="auto"/>
            </w:tcBorders>
            <w:shd w:val="clear" w:color="auto" w:fill="F5F5F1"/>
            <w:noWrap/>
            <w:hideMark/>
          </w:tcPr>
          <w:p w14:paraId="3BA4CE43" w14:textId="77777777" w:rsidR="004E35BC" w:rsidRPr="00BC3535" w:rsidRDefault="004E35BC" w:rsidP="00D850DC">
            <w:pPr>
              <w:rPr>
                <w:color w:val="000000"/>
              </w:rPr>
            </w:pPr>
            <w:r w:rsidRPr="00BC3535">
              <w:rPr>
                <w:color w:val="000000"/>
              </w:rPr>
              <w:t>64.9</w:t>
            </w:r>
          </w:p>
        </w:tc>
      </w:tr>
      <w:tr w:rsidR="004E35BC" w:rsidRPr="00BC3535" w14:paraId="76D3872A" w14:textId="77777777" w:rsidTr="004E35BC">
        <w:trPr>
          <w:tblHeader/>
        </w:trPr>
        <w:tc>
          <w:tcPr>
            <w:tcW w:w="5000" w:type="pct"/>
            <w:gridSpan w:val="5"/>
            <w:tcBorders>
              <w:top w:val="single" w:sz="12" w:space="0" w:color="auto"/>
              <w:bottom w:val="single" w:sz="12" w:space="0" w:color="auto"/>
            </w:tcBorders>
            <w:shd w:val="clear" w:color="auto" w:fill="F5F5F1"/>
            <w:hideMark/>
          </w:tcPr>
          <w:p w14:paraId="079EEC15" w14:textId="77777777" w:rsidR="004E35BC" w:rsidRPr="00BC3535" w:rsidRDefault="004E35BC" w:rsidP="00D850DC">
            <w:pPr>
              <w:rPr>
                <w:b/>
                <w:bCs/>
                <w:i/>
                <w:iCs/>
              </w:rPr>
            </w:pPr>
            <w:r w:rsidRPr="00BC3535">
              <w:rPr>
                <w:b/>
                <w:bCs/>
                <w:i/>
                <w:iCs/>
                <w:color w:val="000000"/>
              </w:rPr>
              <w:t>Age</w:t>
            </w:r>
          </w:p>
        </w:tc>
      </w:tr>
      <w:tr w:rsidR="004E35BC" w:rsidRPr="00BC3535" w14:paraId="3D95EB27" w14:textId="77777777" w:rsidTr="004E35BC">
        <w:trPr>
          <w:tblHeader/>
        </w:trPr>
        <w:tc>
          <w:tcPr>
            <w:tcW w:w="1358" w:type="pct"/>
            <w:tcBorders>
              <w:top w:val="single" w:sz="12" w:space="0" w:color="auto"/>
            </w:tcBorders>
            <w:shd w:val="clear" w:color="auto" w:fill="F5F5F1"/>
            <w:hideMark/>
          </w:tcPr>
          <w:p w14:paraId="2BF55689" w14:textId="77777777" w:rsidR="004E35BC" w:rsidRPr="00BC3535" w:rsidRDefault="004E35BC" w:rsidP="00D850DC">
            <w:pPr>
              <w:rPr>
                <w:color w:val="000000"/>
              </w:rPr>
            </w:pPr>
            <w:r w:rsidRPr="00BC3535">
              <w:rPr>
                <w:color w:val="000000"/>
              </w:rPr>
              <w:t>15-19</w:t>
            </w:r>
          </w:p>
        </w:tc>
        <w:tc>
          <w:tcPr>
            <w:tcW w:w="910" w:type="pct"/>
            <w:tcBorders>
              <w:top w:val="single" w:sz="12" w:space="0" w:color="auto"/>
            </w:tcBorders>
            <w:shd w:val="clear" w:color="auto" w:fill="F5F5F1"/>
            <w:noWrap/>
            <w:hideMark/>
          </w:tcPr>
          <w:p w14:paraId="7E059E68" w14:textId="77777777" w:rsidR="004E35BC" w:rsidRPr="00BC3535" w:rsidRDefault="004E35BC" w:rsidP="00D850DC">
            <w:pPr>
              <w:rPr>
                <w:color w:val="000000"/>
              </w:rPr>
            </w:pPr>
            <w:r w:rsidRPr="00BC3535">
              <w:rPr>
                <w:color w:val="000000"/>
              </w:rPr>
              <w:t>54.5</w:t>
            </w:r>
          </w:p>
        </w:tc>
        <w:tc>
          <w:tcPr>
            <w:tcW w:w="910" w:type="pct"/>
            <w:tcBorders>
              <w:top w:val="single" w:sz="12" w:space="0" w:color="auto"/>
            </w:tcBorders>
            <w:shd w:val="clear" w:color="auto" w:fill="F5F5F1"/>
            <w:noWrap/>
            <w:hideMark/>
          </w:tcPr>
          <w:p w14:paraId="389AF76A" w14:textId="77777777" w:rsidR="004E35BC" w:rsidRPr="00BC3535" w:rsidRDefault="004E35BC" w:rsidP="00D850DC">
            <w:pPr>
              <w:rPr>
                <w:color w:val="000000"/>
              </w:rPr>
            </w:pPr>
            <w:r w:rsidRPr="00BC3535">
              <w:rPr>
                <w:color w:val="000000"/>
              </w:rPr>
              <w:t>45.2</w:t>
            </w:r>
          </w:p>
        </w:tc>
        <w:tc>
          <w:tcPr>
            <w:tcW w:w="910" w:type="pct"/>
            <w:tcBorders>
              <w:top w:val="single" w:sz="12" w:space="0" w:color="auto"/>
            </w:tcBorders>
            <w:shd w:val="clear" w:color="auto" w:fill="F5F5F1"/>
            <w:noWrap/>
            <w:hideMark/>
          </w:tcPr>
          <w:p w14:paraId="2C126C1C" w14:textId="77777777" w:rsidR="004E35BC" w:rsidRPr="00BC3535" w:rsidRDefault="004E35BC" w:rsidP="00D850DC">
            <w:pPr>
              <w:rPr>
                <w:color w:val="000000"/>
              </w:rPr>
            </w:pPr>
            <w:r w:rsidRPr="00BC3535">
              <w:rPr>
                <w:color w:val="000000"/>
              </w:rPr>
              <w:t>0.4</w:t>
            </w:r>
          </w:p>
        </w:tc>
        <w:tc>
          <w:tcPr>
            <w:tcW w:w="911" w:type="pct"/>
            <w:tcBorders>
              <w:top w:val="single" w:sz="12" w:space="0" w:color="auto"/>
            </w:tcBorders>
            <w:shd w:val="clear" w:color="auto" w:fill="F5F5F1"/>
            <w:noWrap/>
            <w:hideMark/>
          </w:tcPr>
          <w:p w14:paraId="59CA3667" w14:textId="77777777" w:rsidR="004E35BC" w:rsidRPr="00BC3535" w:rsidRDefault="004E35BC" w:rsidP="00D850DC">
            <w:pPr>
              <w:rPr>
                <w:color w:val="000000"/>
              </w:rPr>
            </w:pPr>
            <w:r w:rsidRPr="00BC3535">
              <w:rPr>
                <w:color w:val="000000"/>
              </w:rPr>
              <w:t>45.5</w:t>
            </w:r>
          </w:p>
        </w:tc>
      </w:tr>
      <w:tr w:rsidR="004E35BC" w:rsidRPr="00BC3535" w14:paraId="38DD45B9" w14:textId="77777777" w:rsidTr="004E35BC">
        <w:trPr>
          <w:tblHeader/>
        </w:trPr>
        <w:tc>
          <w:tcPr>
            <w:tcW w:w="1358" w:type="pct"/>
            <w:shd w:val="clear" w:color="auto" w:fill="F5F5F1"/>
            <w:hideMark/>
          </w:tcPr>
          <w:p w14:paraId="3B6B19ED" w14:textId="77777777" w:rsidR="004E35BC" w:rsidRPr="00BC3535" w:rsidRDefault="004E35BC" w:rsidP="00D850DC">
            <w:pPr>
              <w:rPr>
                <w:color w:val="000000"/>
              </w:rPr>
            </w:pPr>
            <w:r w:rsidRPr="00BC3535">
              <w:rPr>
                <w:color w:val="000000"/>
              </w:rPr>
              <w:t>20-24</w:t>
            </w:r>
          </w:p>
        </w:tc>
        <w:tc>
          <w:tcPr>
            <w:tcW w:w="910" w:type="pct"/>
            <w:shd w:val="clear" w:color="auto" w:fill="F5F5F1"/>
            <w:noWrap/>
            <w:hideMark/>
          </w:tcPr>
          <w:p w14:paraId="16CE5C03" w14:textId="77777777" w:rsidR="004E35BC" w:rsidRPr="00BC3535" w:rsidRDefault="004E35BC" w:rsidP="00D850DC">
            <w:pPr>
              <w:rPr>
                <w:color w:val="000000"/>
              </w:rPr>
            </w:pPr>
            <w:r w:rsidRPr="00BC3535">
              <w:rPr>
                <w:color w:val="000000"/>
              </w:rPr>
              <w:t>33.0</w:t>
            </w:r>
          </w:p>
        </w:tc>
        <w:tc>
          <w:tcPr>
            <w:tcW w:w="910" w:type="pct"/>
            <w:shd w:val="clear" w:color="auto" w:fill="F5F5F1"/>
            <w:noWrap/>
            <w:hideMark/>
          </w:tcPr>
          <w:p w14:paraId="05AC9A70" w14:textId="77777777" w:rsidR="004E35BC" w:rsidRPr="00BC3535" w:rsidRDefault="004E35BC" w:rsidP="00D850DC">
            <w:pPr>
              <w:rPr>
                <w:color w:val="000000"/>
              </w:rPr>
            </w:pPr>
            <w:r w:rsidRPr="00BC3535">
              <w:rPr>
                <w:color w:val="000000"/>
              </w:rPr>
              <w:t>66.7</w:t>
            </w:r>
          </w:p>
        </w:tc>
        <w:tc>
          <w:tcPr>
            <w:tcW w:w="910" w:type="pct"/>
            <w:shd w:val="clear" w:color="auto" w:fill="F5F5F1"/>
            <w:noWrap/>
            <w:hideMark/>
          </w:tcPr>
          <w:p w14:paraId="49AD68C5" w14:textId="77777777" w:rsidR="004E35BC" w:rsidRPr="00BC3535" w:rsidRDefault="004E35BC" w:rsidP="00D850DC">
            <w:pPr>
              <w:rPr>
                <w:color w:val="000000"/>
              </w:rPr>
            </w:pPr>
            <w:r w:rsidRPr="00BC3535">
              <w:rPr>
                <w:color w:val="000000"/>
              </w:rPr>
              <w:t>0.3</w:t>
            </w:r>
          </w:p>
        </w:tc>
        <w:tc>
          <w:tcPr>
            <w:tcW w:w="911" w:type="pct"/>
            <w:shd w:val="clear" w:color="auto" w:fill="F5F5F1"/>
            <w:noWrap/>
            <w:hideMark/>
          </w:tcPr>
          <w:p w14:paraId="1C991C3E" w14:textId="77777777" w:rsidR="004E35BC" w:rsidRPr="00BC3535" w:rsidRDefault="004E35BC" w:rsidP="00D850DC">
            <w:pPr>
              <w:rPr>
                <w:color w:val="000000"/>
              </w:rPr>
            </w:pPr>
            <w:r w:rsidRPr="00BC3535">
              <w:rPr>
                <w:color w:val="000000"/>
              </w:rPr>
              <w:t>67.0</w:t>
            </w:r>
          </w:p>
        </w:tc>
      </w:tr>
      <w:tr w:rsidR="004E35BC" w:rsidRPr="00BC3535" w14:paraId="2189DB66" w14:textId="77777777" w:rsidTr="004E35BC">
        <w:trPr>
          <w:tblHeader/>
        </w:trPr>
        <w:tc>
          <w:tcPr>
            <w:tcW w:w="1358" w:type="pct"/>
            <w:shd w:val="clear" w:color="auto" w:fill="F5F5F1"/>
            <w:hideMark/>
          </w:tcPr>
          <w:p w14:paraId="1BC8A3D3" w14:textId="77777777" w:rsidR="004E35BC" w:rsidRPr="00BC3535" w:rsidRDefault="004E35BC" w:rsidP="00D850DC">
            <w:pPr>
              <w:rPr>
                <w:color w:val="000000"/>
              </w:rPr>
            </w:pPr>
            <w:r w:rsidRPr="00BC3535">
              <w:rPr>
                <w:color w:val="000000"/>
              </w:rPr>
              <w:t>25-29</w:t>
            </w:r>
          </w:p>
        </w:tc>
        <w:tc>
          <w:tcPr>
            <w:tcW w:w="910" w:type="pct"/>
            <w:shd w:val="clear" w:color="auto" w:fill="F5F5F1"/>
            <w:noWrap/>
            <w:hideMark/>
          </w:tcPr>
          <w:p w14:paraId="7B41926A" w14:textId="77777777" w:rsidR="004E35BC" w:rsidRPr="00BC3535" w:rsidRDefault="004E35BC" w:rsidP="00D850DC">
            <w:pPr>
              <w:rPr>
                <w:color w:val="000000"/>
              </w:rPr>
            </w:pPr>
            <w:r w:rsidRPr="00BC3535">
              <w:rPr>
                <w:color w:val="000000"/>
              </w:rPr>
              <w:t>28.7</w:t>
            </w:r>
          </w:p>
        </w:tc>
        <w:tc>
          <w:tcPr>
            <w:tcW w:w="910" w:type="pct"/>
            <w:shd w:val="clear" w:color="auto" w:fill="F5F5F1"/>
            <w:noWrap/>
            <w:hideMark/>
          </w:tcPr>
          <w:p w14:paraId="1D9AF8A0" w14:textId="77777777" w:rsidR="004E35BC" w:rsidRPr="00BC3535" w:rsidRDefault="004E35BC" w:rsidP="00D850DC">
            <w:pPr>
              <w:rPr>
                <w:color w:val="000000"/>
              </w:rPr>
            </w:pPr>
            <w:r w:rsidRPr="00BC3535">
              <w:rPr>
                <w:color w:val="000000"/>
              </w:rPr>
              <w:t>71.3</w:t>
            </w:r>
          </w:p>
        </w:tc>
        <w:tc>
          <w:tcPr>
            <w:tcW w:w="910" w:type="pct"/>
            <w:shd w:val="clear" w:color="auto" w:fill="F5F5F1"/>
            <w:noWrap/>
            <w:hideMark/>
          </w:tcPr>
          <w:p w14:paraId="5D40DF3A" w14:textId="77777777" w:rsidR="004E35BC" w:rsidRPr="00BC3535" w:rsidRDefault="004E35BC" w:rsidP="00D850DC">
            <w:pPr>
              <w:rPr>
                <w:color w:val="000000"/>
              </w:rPr>
            </w:pPr>
            <w:r w:rsidRPr="00BC3535">
              <w:rPr>
                <w:color w:val="000000"/>
              </w:rPr>
              <w:t>0.0</w:t>
            </w:r>
          </w:p>
        </w:tc>
        <w:tc>
          <w:tcPr>
            <w:tcW w:w="911" w:type="pct"/>
            <w:shd w:val="clear" w:color="auto" w:fill="F5F5F1"/>
            <w:noWrap/>
            <w:hideMark/>
          </w:tcPr>
          <w:p w14:paraId="1CC08A64" w14:textId="77777777" w:rsidR="004E35BC" w:rsidRPr="00BC3535" w:rsidRDefault="004E35BC" w:rsidP="00D850DC">
            <w:pPr>
              <w:rPr>
                <w:color w:val="000000"/>
              </w:rPr>
            </w:pPr>
            <w:r w:rsidRPr="00BC3535">
              <w:rPr>
                <w:color w:val="000000"/>
              </w:rPr>
              <w:t>71.3</w:t>
            </w:r>
          </w:p>
        </w:tc>
      </w:tr>
      <w:tr w:rsidR="004E35BC" w:rsidRPr="00BC3535" w14:paraId="1F25F923" w14:textId="77777777" w:rsidTr="004E35BC">
        <w:trPr>
          <w:tblHeader/>
        </w:trPr>
        <w:tc>
          <w:tcPr>
            <w:tcW w:w="1358" w:type="pct"/>
            <w:shd w:val="clear" w:color="auto" w:fill="F5F5F1"/>
            <w:hideMark/>
          </w:tcPr>
          <w:p w14:paraId="40B28CF4" w14:textId="77777777" w:rsidR="004E35BC" w:rsidRPr="00BC3535" w:rsidRDefault="004E35BC" w:rsidP="00D850DC">
            <w:pPr>
              <w:rPr>
                <w:color w:val="000000"/>
              </w:rPr>
            </w:pPr>
            <w:r w:rsidRPr="00BC3535">
              <w:rPr>
                <w:color w:val="000000"/>
              </w:rPr>
              <w:t>30-34</w:t>
            </w:r>
          </w:p>
        </w:tc>
        <w:tc>
          <w:tcPr>
            <w:tcW w:w="910" w:type="pct"/>
            <w:shd w:val="clear" w:color="auto" w:fill="F5F5F1"/>
            <w:noWrap/>
            <w:hideMark/>
          </w:tcPr>
          <w:p w14:paraId="1CD64FA0" w14:textId="77777777" w:rsidR="004E35BC" w:rsidRPr="00BC3535" w:rsidRDefault="004E35BC" w:rsidP="00D850DC">
            <w:pPr>
              <w:rPr>
                <w:color w:val="000000"/>
              </w:rPr>
            </w:pPr>
            <w:r w:rsidRPr="00BC3535">
              <w:rPr>
                <w:color w:val="000000"/>
              </w:rPr>
              <w:t>28.0</w:t>
            </w:r>
          </w:p>
        </w:tc>
        <w:tc>
          <w:tcPr>
            <w:tcW w:w="910" w:type="pct"/>
            <w:shd w:val="clear" w:color="auto" w:fill="F5F5F1"/>
            <w:noWrap/>
            <w:hideMark/>
          </w:tcPr>
          <w:p w14:paraId="64B95E93" w14:textId="77777777" w:rsidR="004E35BC" w:rsidRPr="00BC3535" w:rsidRDefault="004E35BC" w:rsidP="00D850DC">
            <w:pPr>
              <w:rPr>
                <w:color w:val="000000"/>
              </w:rPr>
            </w:pPr>
            <w:r w:rsidRPr="00BC3535">
              <w:rPr>
                <w:color w:val="000000"/>
              </w:rPr>
              <w:t>71.9</w:t>
            </w:r>
          </w:p>
        </w:tc>
        <w:tc>
          <w:tcPr>
            <w:tcW w:w="910" w:type="pct"/>
            <w:shd w:val="clear" w:color="auto" w:fill="F5F5F1"/>
            <w:noWrap/>
            <w:hideMark/>
          </w:tcPr>
          <w:p w14:paraId="366E291C" w14:textId="77777777" w:rsidR="004E35BC" w:rsidRPr="00BC3535" w:rsidRDefault="004E35BC" w:rsidP="00D850DC">
            <w:pPr>
              <w:rPr>
                <w:color w:val="000000"/>
              </w:rPr>
            </w:pPr>
            <w:r w:rsidRPr="00BC3535">
              <w:rPr>
                <w:color w:val="000000"/>
              </w:rPr>
              <w:t>0.1</w:t>
            </w:r>
          </w:p>
        </w:tc>
        <w:tc>
          <w:tcPr>
            <w:tcW w:w="911" w:type="pct"/>
            <w:shd w:val="clear" w:color="auto" w:fill="F5F5F1"/>
            <w:noWrap/>
            <w:hideMark/>
          </w:tcPr>
          <w:p w14:paraId="3B2BECBE" w14:textId="77777777" w:rsidR="004E35BC" w:rsidRPr="00BC3535" w:rsidRDefault="004E35BC" w:rsidP="00D850DC">
            <w:pPr>
              <w:rPr>
                <w:color w:val="000000"/>
              </w:rPr>
            </w:pPr>
            <w:r w:rsidRPr="00BC3535">
              <w:rPr>
                <w:color w:val="000000"/>
              </w:rPr>
              <w:t>72.0</w:t>
            </w:r>
          </w:p>
        </w:tc>
      </w:tr>
      <w:tr w:rsidR="004E35BC" w:rsidRPr="00BC3535" w14:paraId="09ED5F0A" w14:textId="77777777" w:rsidTr="00952E43">
        <w:trPr>
          <w:tblHeader/>
        </w:trPr>
        <w:tc>
          <w:tcPr>
            <w:tcW w:w="1358" w:type="pct"/>
            <w:shd w:val="clear" w:color="auto" w:fill="F5F5F1"/>
            <w:hideMark/>
          </w:tcPr>
          <w:p w14:paraId="0ED36B77" w14:textId="77777777" w:rsidR="004E35BC" w:rsidRPr="00BC3535" w:rsidRDefault="004E35BC" w:rsidP="00D850DC">
            <w:pPr>
              <w:rPr>
                <w:color w:val="000000"/>
              </w:rPr>
            </w:pPr>
            <w:r w:rsidRPr="00BC3535">
              <w:rPr>
                <w:color w:val="000000"/>
              </w:rPr>
              <w:t>35-39</w:t>
            </w:r>
          </w:p>
        </w:tc>
        <w:tc>
          <w:tcPr>
            <w:tcW w:w="910" w:type="pct"/>
            <w:shd w:val="clear" w:color="auto" w:fill="F5F5F1"/>
            <w:noWrap/>
            <w:hideMark/>
          </w:tcPr>
          <w:p w14:paraId="5FCE6D19" w14:textId="77777777" w:rsidR="004E35BC" w:rsidRPr="00BC3535" w:rsidRDefault="004E35BC" w:rsidP="00D850DC">
            <w:pPr>
              <w:rPr>
                <w:color w:val="000000"/>
              </w:rPr>
            </w:pPr>
            <w:r w:rsidRPr="00BC3535">
              <w:rPr>
                <w:color w:val="000000"/>
              </w:rPr>
              <w:t>32.9</w:t>
            </w:r>
          </w:p>
        </w:tc>
        <w:tc>
          <w:tcPr>
            <w:tcW w:w="910" w:type="pct"/>
            <w:shd w:val="clear" w:color="auto" w:fill="F5F5F1"/>
            <w:noWrap/>
            <w:hideMark/>
          </w:tcPr>
          <w:p w14:paraId="0D3C531E" w14:textId="77777777" w:rsidR="004E35BC" w:rsidRPr="00BC3535" w:rsidRDefault="004E35BC" w:rsidP="00D850DC">
            <w:pPr>
              <w:rPr>
                <w:color w:val="000000"/>
              </w:rPr>
            </w:pPr>
            <w:r w:rsidRPr="00BC3535">
              <w:rPr>
                <w:color w:val="000000"/>
              </w:rPr>
              <w:t>67.0</w:t>
            </w:r>
          </w:p>
        </w:tc>
        <w:tc>
          <w:tcPr>
            <w:tcW w:w="910" w:type="pct"/>
            <w:shd w:val="clear" w:color="auto" w:fill="F5F5F1"/>
            <w:noWrap/>
            <w:hideMark/>
          </w:tcPr>
          <w:p w14:paraId="5E4D631D" w14:textId="77777777" w:rsidR="004E35BC" w:rsidRPr="00BC3535" w:rsidRDefault="004E35BC" w:rsidP="00D850DC">
            <w:pPr>
              <w:rPr>
                <w:color w:val="000000"/>
              </w:rPr>
            </w:pPr>
            <w:r w:rsidRPr="00BC3535">
              <w:rPr>
                <w:color w:val="000000"/>
              </w:rPr>
              <w:t>0.1</w:t>
            </w:r>
          </w:p>
        </w:tc>
        <w:tc>
          <w:tcPr>
            <w:tcW w:w="911" w:type="pct"/>
            <w:shd w:val="clear" w:color="auto" w:fill="F5F5F1"/>
            <w:noWrap/>
            <w:hideMark/>
          </w:tcPr>
          <w:p w14:paraId="59E038BC" w14:textId="77777777" w:rsidR="004E35BC" w:rsidRPr="00BC3535" w:rsidRDefault="004E35BC" w:rsidP="00D850DC">
            <w:pPr>
              <w:rPr>
                <w:color w:val="000000"/>
              </w:rPr>
            </w:pPr>
            <w:r w:rsidRPr="00BC3535">
              <w:rPr>
                <w:color w:val="000000"/>
              </w:rPr>
              <w:t>67.1</w:t>
            </w:r>
          </w:p>
        </w:tc>
      </w:tr>
      <w:tr w:rsidR="004E35BC" w:rsidRPr="00BC3535" w14:paraId="0338659D" w14:textId="77777777" w:rsidTr="00952E43">
        <w:trPr>
          <w:tblHeader/>
        </w:trPr>
        <w:tc>
          <w:tcPr>
            <w:tcW w:w="1358" w:type="pct"/>
            <w:shd w:val="clear" w:color="auto" w:fill="F5F5F1"/>
            <w:hideMark/>
          </w:tcPr>
          <w:p w14:paraId="7263B4D5" w14:textId="77777777" w:rsidR="004E35BC" w:rsidRPr="00BC3535" w:rsidRDefault="004E35BC" w:rsidP="00D850DC">
            <w:pPr>
              <w:rPr>
                <w:color w:val="000000"/>
              </w:rPr>
            </w:pPr>
            <w:r w:rsidRPr="00BC3535">
              <w:rPr>
                <w:color w:val="000000"/>
              </w:rPr>
              <w:t>40-44</w:t>
            </w:r>
          </w:p>
        </w:tc>
        <w:tc>
          <w:tcPr>
            <w:tcW w:w="910" w:type="pct"/>
            <w:shd w:val="clear" w:color="auto" w:fill="F5F5F1"/>
            <w:noWrap/>
            <w:hideMark/>
          </w:tcPr>
          <w:p w14:paraId="761D440A" w14:textId="77777777" w:rsidR="004E35BC" w:rsidRPr="00BC3535" w:rsidRDefault="004E35BC" w:rsidP="00D850DC">
            <w:pPr>
              <w:rPr>
                <w:color w:val="000000"/>
              </w:rPr>
            </w:pPr>
            <w:r w:rsidRPr="00BC3535">
              <w:rPr>
                <w:color w:val="000000"/>
              </w:rPr>
              <w:t>36.5</w:t>
            </w:r>
          </w:p>
        </w:tc>
        <w:tc>
          <w:tcPr>
            <w:tcW w:w="910" w:type="pct"/>
            <w:shd w:val="clear" w:color="auto" w:fill="F5F5F1"/>
            <w:noWrap/>
            <w:hideMark/>
          </w:tcPr>
          <w:p w14:paraId="5BC82CCA" w14:textId="77777777" w:rsidR="004E35BC" w:rsidRPr="00BC3535" w:rsidRDefault="004E35BC" w:rsidP="00D850DC">
            <w:pPr>
              <w:rPr>
                <w:color w:val="000000"/>
              </w:rPr>
            </w:pPr>
            <w:r w:rsidRPr="00BC3535">
              <w:rPr>
                <w:color w:val="000000"/>
              </w:rPr>
              <w:t>61.4</w:t>
            </w:r>
          </w:p>
        </w:tc>
        <w:tc>
          <w:tcPr>
            <w:tcW w:w="910" w:type="pct"/>
            <w:shd w:val="clear" w:color="auto" w:fill="F5F5F1"/>
            <w:noWrap/>
            <w:hideMark/>
          </w:tcPr>
          <w:p w14:paraId="296B36A6" w14:textId="77777777" w:rsidR="004E35BC" w:rsidRPr="00BC3535" w:rsidRDefault="004E35BC" w:rsidP="00D850DC">
            <w:pPr>
              <w:rPr>
                <w:color w:val="000000"/>
              </w:rPr>
            </w:pPr>
            <w:r w:rsidRPr="00BC3535">
              <w:rPr>
                <w:color w:val="000000"/>
              </w:rPr>
              <w:t>2.0</w:t>
            </w:r>
          </w:p>
        </w:tc>
        <w:tc>
          <w:tcPr>
            <w:tcW w:w="911" w:type="pct"/>
            <w:shd w:val="clear" w:color="auto" w:fill="F5F5F1"/>
            <w:noWrap/>
            <w:hideMark/>
          </w:tcPr>
          <w:p w14:paraId="111C3C0C" w14:textId="77777777" w:rsidR="004E35BC" w:rsidRPr="00BC3535" w:rsidRDefault="004E35BC" w:rsidP="00D850DC">
            <w:pPr>
              <w:rPr>
                <w:color w:val="000000"/>
              </w:rPr>
            </w:pPr>
            <w:r w:rsidRPr="00BC3535">
              <w:rPr>
                <w:color w:val="000000"/>
              </w:rPr>
              <w:t>63.5</w:t>
            </w:r>
          </w:p>
        </w:tc>
      </w:tr>
      <w:tr w:rsidR="004E35BC" w:rsidRPr="00BC3535" w14:paraId="0084B388" w14:textId="77777777" w:rsidTr="00952E43">
        <w:trPr>
          <w:tblHeader/>
        </w:trPr>
        <w:tc>
          <w:tcPr>
            <w:tcW w:w="1358" w:type="pct"/>
            <w:tcBorders>
              <w:bottom w:val="single" w:sz="12" w:space="0" w:color="auto"/>
            </w:tcBorders>
            <w:shd w:val="clear" w:color="auto" w:fill="F5F5F1"/>
            <w:hideMark/>
          </w:tcPr>
          <w:p w14:paraId="259EF5EE" w14:textId="77777777" w:rsidR="004E35BC" w:rsidRPr="00BC3535" w:rsidRDefault="004E35BC" w:rsidP="00D850DC">
            <w:pPr>
              <w:rPr>
                <w:color w:val="000000"/>
              </w:rPr>
            </w:pPr>
            <w:r w:rsidRPr="00BC3535">
              <w:rPr>
                <w:color w:val="000000"/>
              </w:rPr>
              <w:t>45-49</w:t>
            </w:r>
          </w:p>
        </w:tc>
        <w:tc>
          <w:tcPr>
            <w:tcW w:w="910" w:type="pct"/>
            <w:tcBorders>
              <w:bottom w:val="single" w:sz="12" w:space="0" w:color="auto"/>
            </w:tcBorders>
            <w:shd w:val="clear" w:color="auto" w:fill="F5F5F1"/>
            <w:noWrap/>
            <w:hideMark/>
          </w:tcPr>
          <w:p w14:paraId="5E4D6049" w14:textId="77777777" w:rsidR="004E35BC" w:rsidRPr="00BC3535" w:rsidRDefault="004E35BC" w:rsidP="00D850DC">
            <w:pPr>
              <w:rPr>
                <w:color w:val="000000"/>
              </w:rPr>
            </w:pPr>
            <w:r w:rsidRPr="00BC3535">
              <w:rPr>
                <w:color w:val="000000"/>
              </w:rPr>
              <w:t>60.5</w:t>
            </w:r>
          </w:p>
        </w:tc>
        <w:tc>
          <w:tcPr>
            <w:tcW w:w="910" w:type="pct"/>
            <w:tcBorders>
              <w:bottom w:val="single" w:sz="12" w:space="0" w:color="auto"/>
            </w:tcBorders>
            <w:shd w:val="clear" w:color="auto" w:fill="F5F5F1"/>
            <w:noWrap/>
            <w:hideMark/>
          </w:tcPr>
          <w:p w14:paraId="5973C389" w14:textId="77777777" w:rsidR="004E35BC" w:rsidRPr="00BC3535" w:rsidRDefault="004E35BC" w:rsidP="00D850DC">
            <w:pPr>
              <w:rPr>
                <w:color w:val="000000"/>
              </w:rPr>
            </w:pPr>
            <w:r w:rsidRPr="00BC3535">
              <w:rPr>
                <w:color w:val="000000"/>
              </w:rPr>
              <w:t>39.5</w:t>
            </w:r>
          </w:p>
        </w:tc>
        <w:tc>
          <w:tcPr>
            <w:tcW w:w="910" w:type="pct"/>
            <w:tcBorders>
              <w:bottom w:val="single" w:sz="12" w:space="0" w:color="auto"/>
            </w:tcBorders>
            <w:shd w:val="clear" w:color="auto" w:fill="F5F5F1"/>
            <w:noWrap/>
            <w:hideMark/>
          </w:tcPr>
          <w:p w14:paraId="492131A4" w14:textId="77777777" w:rsidR="004E35BC" w:rsidRPr="00BC3535" w:rsidRDefault="004E35BC" w:rsidP="00D850DC">
            <w:pPr>
              <w:rPr>
                <w:color w:val="000000"/>
              </w:rPr>
            </w:pPr>
            <w:r w:rsidRPr="00BC3535">
              <w:rPr>
                <w:color w:val="000000"/>
              </w:rPr>
              <w:t>0.0</w:t>
            </w:r>
          </w:p>
        </w:tc>
        <w:tc>
          <w:tcPr>
            <w:tcW w:w="911" w:type="pct"/>
            <w:tcBorders>
              <w:bottom w:val="single" w:sz="12" w:space="0" w:color="auto"/>
            </w:tcBorders>
            <w:shd w:val="clear" w:color="auto" w:fill="F5F5F1"/>
            <w:noWrap/>
            <w:hideMark/>
          </w:tcPr>
          <w:p w14:paraId="197A3660" w14:textId="77777777" w:rsidR="004E35BC" w:rsidRPr="00BC3535" w:rsidRDefault="004E35BC" w:rsidP="00D850DC">
            <w:pPr>
              <w:rPr>
                <w:color w:val="000000"/>
              </w:rPr>
            </w:pPr>
            <w:r w:rsidRPr="00BC3535">
              <w:rPr>
                <w:color w:val="000000"/>
              </w:rPr>
              <w:t>39.5</w:t>
            </w:r>
          </w:p>
        </w:tc>
      </w:tr>
      <w:tr w:rsidR="004E35BC" w:rsidRPr="00BC3535" w14:paraId="4B4C0CBE" w14:textId="77777777" w:rsidTr="004E35BC">
        <w:trPr>
          <w:tblHeader/>
        </w:trPr>
        <w:tc>
          <w:tcPr>
            <w:tcW w:w="5000" w:type="pct"/>
            <w:gridSpan w:val="5"/>
            <w:tcBorders>
              <w:top w:val="single" w:sz="12" w:space="0" w:color="auto"/>
              <w:bottom w:val="single" w:sz="12" w:space="0" w:color="auto"/>
            </w:tcBorders>
            <w:shd w:val="clear" w:color="auto" w:fill="F5F5F1"/>
            <w:hideMark/>
          </w:tcPr>
          <w:p w14:paraId="7DE813C9" w14:textId="77777777" w:rsidR="004E35BC" w:rsidRPr="00BC3535" w:rsidRDefault="004E35BC" w:rsidP="00D850DC">
            <w:pPr>
              <w:rPr>
                <w:b/>
                <w:bCs/>
                <w:i/>
                <w:iCs/>
              </w:rPr>
            </w:pPr>
            <w:r w:rsidRPr="00BC3535">
              <w:rPr>
                <w:b/>
                <w:bCs/>
                <w:i/>
                <w:iCs/>
                <w:color w:val="000000"/>
              </w:rPr>
              <w:t xml:space="preserve">Functional difficulties (age 18-49 years) </w:t>
            </w:r>
          </w:p>
        </w:tc>
      </w:tr>
      <w:tr w:rsidR="004E35BC" w:rsidRPr="00BC3535" w14:paraId="547C80D7" w14:textId="77777777" w:rsidTr="004E35BC">
        <w:trPr>
          <w:tblHeader/>
        </w:trPr>
        <w:tc>
          <w:tcPr>
            <w:tcW w:w="1358" w:type="pct"/>
            <w:tcBorders>
              <w:top w:val="single" w:sz="12" w:space="0" w:color="auto"/>
            </w:tcBorders>
            <w:shd w:val="clear" w:color="auto" w:fill="F5F5F1"/>
            <w:hideMark/>
          </w:tcPr>
          <w:p w14:paraId="3F91AAAB" w14:textId="77777777" w:rsidR="004E35BC" w:rsidRPr="00BC3535" w:rsidRDefault="004E35BC" w:rsidP="00D850DC">
            <w:pPr>
              <w:rPr>
                <w:color w:val="000000"/>
              </w:rPr>
            </w:pPr>
            <w:r w:rsidRPr="00BC3535">
              <w:rPr>
                <w:color w:val="000000"/>
              </w:rPr>
              <w:t>Functional difficulty</w:t>
            </w:r>
          </w:p>
        </w:tc>
        <w:tc>
          <w:tcPr>
            <w:tcW w:w="910" w:type="pct"/>
            <w:tcBorders>
              <w:top w:val="single" w:sz="12" w:space="0" w:color="auto"/>
            </w:tcBorders>
            <w:shd w:val="clear" w:color="auto" w:fill="F5F5F1"/>
            <w:noWrap/>
            <w:hideMark/>
          </w:tcPr>
          <w:p w14:paraId="524D2D33" w14:textId="77777777" w:rsidR="004E35BC" w:rsidRPr="00BC3535" w:rsidRDefault="004E35BC" w:rsidP="00D850DC">
            <w:pPr>
              <w:rPr>
                <w:color w:val="000000"/>
              </w:rPr>
            </w:pPr>
            <w:r w:rsidRPr="00BC3535">
              <w:rPr>
                <w:color w:val="000000"/>
              </w:rPr>
              <w:t>41.8</w:t>
            </w:r>
          </w:p>
        </w:tc>
        <w:tc>
          <w:tcPr>
            <w:tcW w:w="910" w:type="pct"/>
            <w:tcBorders>
              <w:top w:val="single" w:sz="12" w:space="0" w:color="auto"/>
            </w:tcBorders>
            <w:shd w:val="clear" w:color="auto" w:fill="F5F5F1"/>
            <w:noWrap/>
            <w:hideMark/>
          </w:tcPr>
          <w:p w14:paraId="75CBD783" w14:textId="77777777" w:rsidR="004E35BC" w:rsidRPr="00BC3535" w:rsidRDefault="004E35BC" w:rsidP="00D850DC">
            <w:pPr>
              <w:rPr>
                <w:color w:val="000000"/>
              </w:rPr>
            </w:pPr>
            <w:r w:rsidRPr="00BC3535">
              <w:rPr>
                <w:color w:val="000000"/>
              </w:rPr>
              <w:t>58.2</w:t>
            </w:r>
          </w:p>
        </w:tc>
        <w:tc>
          <w:tcPr>
            <w:tcW w:w="910" w:type="pct"/>
            <w:tcBorders>
              <w:top w:val="single" w:sz="12" w:space="0" w:color="auto"/>
            </w:tcBorders>
            <w:shd w:val="clear" w:color="auto" w:fill="F5F5F1"/>
            <w:noWrap/>
            <w:hideMark/>
          </w:tcPr>
          <w:p w14:paraId="2817C290" w14:textId="77777777" w:rsidR="004E35BC" w:rsidRPr="00BC3535" w:rsidRDefault="004E35BC" w:rsidP="00D850DC">
            <w:pPr>
              <w:rPr>
                <w:color w:val="000000"/>
              </w:rPr>
            </w:pPr>
            <w:r w:rsidRPr="00BC3535">
              <w:rPr>
                <w:color w:val="000000"/>
              </w:rPr>
              <w:t>0.0</w:t>
            </w:r>
          </w:p>
        </w:tc>
        <w:tc>
          <w:tcPr>
            <w:tcW w:w="911" w:type="pct"/>
            <w:tcBorders>
              <w:top w:val="single" w:sz="12" w:space="0" w:color="auto"/>
            </w:tcBorders>
            <w:shd w:val="clear" w:color="auto" w:fill="F5F5F1"/>
            <w:noWrap/>
            <w:hideMark/>
          </w:tcPr>
          <w:p w14:paraId="328FDF76" w14:textId="77777777" w:rsidR="004E35BC" w:rsidRPr="00BC3535" w:rsidRDefault="004E35BC" w:rsidP="00D850DC">
            <w:pPr>
              <w:rPr>
                <w:color w:val="000000"/>
              </w:rPr>
            </w:pPr>
            <w:r w:rsidRPr="00BC3535">
              <w:rPr>
                <w:color w:val="000000"/>
              </w:rPr>
              <w:t>58.2</w:t>
            </w:r>
          </w:p>
        </w:tc>
      </w:tr>
      <w:tr w:rsidR="004E35BC" w:rsidRPr="00BC3535" w14:paraId="260E506B" w14:textId="77777777" w:rsidTr="004E35BC">
        <w:trPr>
          <w:tblHeader/>
        </w:trPr>
        <w:tc>
          <w:tcPr>
            <w:tcW w:w="1358" w:type="pct"/>
            <w:tcBorders>
              <w:bottom w:val="single" w:sz="12" w:space="0" w:color="auto"/>
            </w:tcBorders>
            <w:shd w:val="clear" w:color="auto" w:fill="F5F5F1"/>
            <w:hideMark/>
          </w:tcPr>
          <w:p w14:paraId="4767A32E" w14:textId="77777777" w:rsidR="004E35BC" w:rsidRPr="00BC3535" w:rsidRDefault="004E35BC" w:rsidP="00D850DC">
            <w:pPr>
              <w:rPr>
                <w:color w:val="000000"/>
              </w:rPr>
            </w:pPr>
            <w:r w:rsidRPr="00BC3535">
              <w:rPr>
                <w:color w:val="000000"/>
              </w:rPr>
              <w:t>No functional difficulty</w:t>
            </w:r>
          </w:p>
        </w:tc>
        <w:tc>
          <w:tcPr>
            <w:tcW w:w="910" w:type="pct"/>
            <w:tcBorders>
              <w:bottom w:val="single" w:sz="12" w:space="0" w:color="auto"/>
            </w:tcBorders>
            <w:shd w:val="clear" w:color="auto" w:fill="F5F5F1"/>
            <w:noWrap/>
            <w:hideMark/>
          </w:tcPr>
          <w:p w14:paraId="6DEBE4D7" w14:textId="77777777" w:rsidR="004E35BC" w:rsidRPr="00BC3535" w:rsidRDefault="004E35BC" w:rsidP="00D850DC">
            <w:pPr>
              <w:rPr>
                <w:color w:val="000000"/>
              </w:rPr>
            </w:pPr>
            <w:r w:rsidRPr="00BC3535">
              <w:rPr>
                <w:color w:val="000000"/>
              </w:rPr>
              <w:t>34.1</w:t>
            </w:r>
          </w:p>
        </w:tc>
        <w:tc>
          <w:tcPr>
            <w:tcW w:w="910" w:type="pct"/>
            <w:tcBorders>
              <w:bottom w:val="single" w:sz="12" w:space="0" w:color="auto"/>
            </w:tcBorders>
            <w:shd w:val="clear" w:color="auto" w:fill="F5F5F1"/>
            <w:noWrap/>
            <w:hideMark/>
          </w:tcPr>
          <w:p w14:paraId="0DB6F0BD" w14:textId="77777777" w:rsidR="004E35BC" w:rsidRPr="00BC3535" w:rsidRDefault="004E35BC" w:rsidP="00D850DC">
            <w:pPr>
              <w:rPr>
                <w:color w:val="000000"/>
              </w:rPr>
            </w:pPr>
            <w:r w:rsidRPr="00BC3535">
              <w:rPr>
                <w:color w:val="000000"/>
              </w:rPr>
              <w:t>65.5</w:t>
            </w:r>
          </w:p>
        </w:tc>
        <w:tc>
          <w:tcPr>
            <w:tcW w:w="910" w:type="pct"/>
            <w:tcBorders>
              <w:bottom w:val="single" w:sz="12" w:space="0" w:color="auto"/>
            </w:tcBorders>
            <w:shd w:val="clear" w:color="auto" w:fill="F5F5F1"/>
            <w:noWrap/>
            <w:hideMark/>
          </w:tcPr>
          <w:p w14:paraId="3E3E340A" w14:textId="77777777" w:rsidR="004E35BC" w:rsidRPr="00BC3535" w:rsidRDefault="004E35BC" w:rsidP="00D850DC">
            <w:pPr>
              <w:rPr>
                <w:color w:val="000000"/>
              </w:rPr>
            </w:pPr>
            <w:r w:rsidRPr="00BC3535">
              <w:rPr>
                <w:color w:val="000000"/>
              </w:rPr>
              <w:t>0.4</w:t>
            </w:r>
          </w:p>
        </w:tc>
        <w:tc>
          <w:tcPr>
            <w:tcW w:w="911" w:type="pct"/>
            <w:tcBorders>
              <w:bottom w:val="single" w:sz="12" w:space="0" w:color="auto"/>
            </w:tcBorders>
            <w:shd w:val="clear" w:color="auto" w:fill="F5F5F1"/>
            <w:noWrap/>
            <w:hideMark/>
          </w:tcPr>
          <w:p w14:paraId="735F3201" w14:textId="77777777" w:rsidR="004E35BC" w:rsidRPr="00BC3535" w:rsidRDefault="004E35BC" w:rsidP="00D850DC">
            <w:pPr>
              <w:rPr>
                <w:color w:val="000000"/>
              </w:rPr>
            </w:pPr>
            <w:r w:rsidRPr="00BC3535">
              <w:rPr>
                <w:color w:val="000000"/>
              </w:rPr>
              <w:t>65.9</w:t>
            </w:r>
          </w:p>
        </w:tc>
      </w:tr>
      <w:tr w:rsidR="004E35BC" w:rsidRPr="00BC3535" w14:paraId="5E96DFEA" w14:textId="77777777" w:rsidTr="004E35BC">
        <w:trPr>
          <w:tblHeader/>
        </w:trPr>
        <w:tc>
          <w:tcPr>
            <w:tcW w:w="5000" w:type="pct"/>
            <w:gridSpan w:val="5"/>
            <w:tcBorders>
              <w:top w:val="single" w:sz="12" w:space="0" w:color="auto"/>
            </w:tcBorders>
          </w:tcPr>
          <w:p w14:paraId="0E2FDCAF" w14:textId="77777777" w:rsidR="004E35BC" w:rsidRPr="00BC3535" w:rsidRDefault="004E35BC" w:rsidP="00125983">
            <w:pPr>
              <w:spacing w:after="0"/>
              <w:rPr>
                <w:color w:val="000000"/>
                <w:sz w:val="18"/>
                <w:szCs w:val="18"/>
              </w:rPr>
            </w:pPr>
            <w:r w:rsidRPr="00BC3535">
              <w:rPr>
                <w:i/>
                <w:iCs/>
                <w:color w:val="000000"/>
                <w:sz w:val="18"/>
                <w:szCs w:val="18"/>
              </w:rPr>
              <w:t>Source</w:t>
            </w:r>
            <w:r w:rsidRPr="00BC3535">
              <w:rPr>
                <w:color w:val="000000"/>
                <w:sz w:val="18"/>
                <w:szCs w:val="18"/>
              </w:rPr>
              <w:t xml:space="preserve">: Bureau of Statistics, </w:t>
            </w:r>
            <w:r w:rsidRPr="00BC3535">
              <w:rPr>
                <w:i/>
                <w:iCs/>
                <w:color w:val="000000"/>
                <w:sz w:val="18"/>
                <w:szCs w:val="18"/>
              </w:rPr>
              <w:t>Lesotho Multiple Indicator Cluster Survey 2018, Survey Findings Report</w:t>
            </w:r>
            <w:r w:rsidRPr="00BC3535">
              <w:rPr>
                <w:color w:val="000000"/>
                <w:sz w:val="18"/>
                <w:szCs w:val="18"/>
              </w:rPr>
              <w:t xml:space="preserve"> (Maseru, Lesotho, 2019).</w:t>
            </w:r>
          </w:p>
          <w:p w14:paraId="5D31E7CF" w14:textId="77777777" w:rsidR="004E35BC" w:rsidRPr="00BC3535" w:rsidRDefault="004E35BC" w:rsidP="00125983">
            <w:pPr>
              <w:spacing w:before="0"/>
              <w:rPr>
                <w:color w:val="000000"/>
              </w:rPr>
            </w:pPr>
            <w:r w:rsidRPr="00BC3535">
              <w:rPr>
                <w:i/>
                <w:iCs/>
                <w:color w:val="000000"/>
                <w:sz w:val="18"/>
                <w:szCs w:val="18"/>
              </w:rPr>
              <w:t>Notes</w:t>
            </w:r>
            <w:r w:rsidRPr="00BC3535">
              <w:rPr>
                <w:color w:val="000000"/>
                <w:sz w:val="18"/>
                <w:szCs w:val="18"/>
              </w:rPr>
              <w:t xml:space="preserve">: </w:t>
            </w:r>
            <w:r w:rsidRPr="00BC3535">
              <w:rPr>
                <w:color w:val="000000"/>
                <w:sz w:val="18"/>
                <w:szCs w:val="18"/>
                <w:vertAlign w:val="superscript"/>
              </w:rPr>
              <w:t>1</w:t>
            </w:r>
            <w:r w:rsidRPr="00BC3535">
              <w:rPr>
                <w:color w:val="000000"/>
                <w:sz w:val="18"/>
                <w:szCs w:val="18"/>
              </w:rPr>
              <w:t xml:space="preserve">Female sterilization, Male sterilization, IUD, Injectables, Implants, Pill, Male condom, Female condom, Diaphragm/Foam/Jelly; </w:t>
            </w:r>
            <w:r w:rsidRPr="00BC3535">
              <w:rPr>
                <w:color w:val="000000"/>
                <w:sz w:val="18"/>
                <w:szCs w:val="18"/>
                <w:vertAlign w:val="superscript"/>
              </w:rPr>
              <w:t>2</w:t>
            </w:r>
            <w:r w:rsidRPr="00BC3535">
              <w:rPr>
                <w:color w:val="000000"/>
                <w:sz w:val="18"/>
                <w:szCs w:val="18"/>
              </w:rPr>
              <w:t>Periodic abstinence, Withdrawal, Other.</w:t>
            </w:r>
          </w:p>
        </w:tc>
      </w:tr>
    </w:tbl>
    <w:p w14:paraId="618283CE" w14:textId="77777777" w:rsidR="00FA5E66" w:rsidRPr="00BC3535" w:rsidRDefault="00FA5E66" w:rsidP="00952E43">
      <w:pPr>
        <w:pStyle w:val="Heading2"/>
        <w:rPr>
          <w:rFonts w:eastAsiaTheme="majorEastAsia"/>
        </w:rPr>
      </w:pPr>
      <w:r w:rsidRPr="00BC3535">
        <w:rPr>
          <w:rFonts w:eastAsiaTheme="majorEastAsia"/>
        </w:rPr>
        <w:lastRenderedPageBreak/>
        <w:t>25.23 Number of new HIV infections per 1,000 uninfected population, by sex, age and key population (SDG indicator 3.3.1) and disability.</w:t>
      </w:r>
    </w:p>
    <w:p w14:paraId="21B30D0D" w14:textId="77777777" w:rsidR="00FA5E66" w:rsidRPr="00BC3535" w:rsidRDefault="00FA5E66" w:rsidP="00952E43">
      <w:pPr>
        <w:pStyle w:val="Heading4"/>
        <w:rPr>
          <w:rFonts w:eastAsiaTheme="majorEastAsia"/>
        </w:rPr>
      </w:pPr>
      <w:r w:rsidRPr="00BC3535">
        <w:rPr>
          <w:rFonts w:eastAsiaTheme="majorEastAsia"/>
        </w:rPr>
        <w:t>Level 1: Indicator for which data are already being produced and reported on in at least some countries</w:t>
      </w:r>
    </w:p>
    <w:p w14:paraId="79384B28" w14:textId="342BBDEF" w:rsidR="00FA5E66" w:rsidRPr="00BC3535" w:rsidRDefault="00FA5E66" w:rsidP="00D850DC">
      <w:pPr>
        <w:rPr>
          <w:rFonts w:cstheme="minorHAnsi"/>
        </w:rPr>
      </w:pPr>
      <w:r w:rsidRPr="00BC3535">
        <w:rPr>
          <w:rFonts w:cstheme="minorHAnsi"/>
        </w:rPr>
        <w:t xml:space="preserve">According to the SDG metadata, this can be obtained from </w:t>
      </w:r>
      <w:hyperlink r:id="rId19" w:history="1">
        <w:r w:rsidRPr="00BC3535">
          <w:rPr>
            <w:rStyle w:val="Hyperlink"/>
            <w:rFonts w:cstheme="minorHAnsi"/>
          </w:rPr>
          <w:t>Spectrum modelling</w:t>
        </w:r>
      </w:hyperlink>
      <w:r w:rsidRPr="00BC3535">
        <w:rPr>
          <w:rFonts w:cstheme="minorHAnsi"/>
        </w:rPr>
        <w:t xml:space="preserve"> (which does include disability dat</w:t>
      </w:r>
      <w:r w:rsidR="00345D66" w:rsidRPr="00BC3535">
        <w:rPr>
          <w:rFonts w:cstheme="minorHAnsi"/>
        </w:rPr>
        <w:t>a)</w:t>
      </w:r>
      <w:r w:rsidRPr="00BC3535">
        <w:rPr>
          <w:rFonts w:cstheme="minorHAnsi"/>
        </w:rPr>
        <w:t>, household or key population surveys with HIV incidence-testing. Other possible sources include regular surveillance systems among key populations, should people with disabilities be considered a key population.</w:t>
      </w:r>
    </w:p>
    <w:p w14:paraId="72DF77DA" w14:textId="3E7F977D" w:rsidR="00FA5E66" w:rsidRPr="00BC3535" w:rsidRDefault="009F6205" w:rsidP="00D850DC">
      <w:pPr>
        <w:rPr>
          <w:rFonts w:cstheme="minorHAnsi"/>
        </w:rPr>
      </w:pPr>
      <w:hyperlink r:id="rId20" w:tooltip="https://unstats.un.org/sdgs/metadata?Text=&amp;Goal=&amp;Target=3.3" w:history="1">
        <w:r w:rsidR="009855D7" w:rsidRPr="00BC3535">
          <w:rPr>
            <w:rStyle w:val="Hyperlink"/>
            <w:lang w:eastAsia="en-GB"/>
          </w:rPr>
          <w:t>Link to the metadata related to this SDG indicator</w:t>
        </w:r>
      </w:hyperlink>
    </w:p>
    <w:p w14:paraId="0205EBA6" w14:textId="600526D4" w:rsidR="00FA5E66" w:rsidRPr="00BC3535" w:rsidRDefault="00280323" w:rsidP="00D81478">
      <w:pPr>
        <w:shd w:val="clear" w:color="auto" w:fill="FFFFFF"/>
        <w:ind w:left="360"/>
        <w:rPr>
          <w:rFonts w:cstheme="minorHAnsi"/>
          <w:i/>
          <w:color w:val="000000" w:themeColor="text1"/>
          <w:lang w:eastAsia="en-GB"/>
        </w:rPr>
      </w:pPr>
      <w:r w:rsidRPr="00BC3535">
        <w:rPr>
          <w:rFonts w:cstheme="minorHAnsi"/>
          <w:color w:val="000000" w:themeColor="text1"/>
          <w:lang w:eastAsia="en-GB"/>
        </w:rPr>
        <w:t>“</w:t>
      </w:r>
      <w:r w:rsidR="00FA5E66" w:rsidRPr="00BC3535">
        <w:rPr>
          <w:rFonts w:cstheme="minorHAnsi"/>
          <w:i/>
          <w:color w:val="000000" w:themeColor="text1"/>
          <w:lang w:eastAsia="en-GB"/>
        </w:rPr>
        <w:t>Country teams use UNAIDS-supported software to develop estimates annually. The country teams are comprised of primarily epidemiologists, demographers, monitoring and evaluation specialists and technical partners.</w:t>
      </w:r>
    </w:p>
    <w:p w14:paraId="382DDFC0" w14:textId="0CF59A8F" w:rsidR="00FA5E66" w:rsidRPr="00BC3535" w:rsidRDefault="00FA5E66" w:rsidP="00D81478">
      <w:pPr>
        <w:shd w:val="clear" w:color="auto" w:fill="FFFFFF"/>
        <w:ind w:left="360"/>
        <w:rPr>
          <w:rFonts w:cstheme="minorHAnsi"/>
          <w:color w:val="000000" w:themeColor="text1"/>
          <w:lang w:eastAsia="en-GB"/>
        </w:rPr>
      </w:pPr>
      <w:r w:rsidRPr="00BC3535">
        <w:rPr>
          <w:rFonts w:cstheme="minorHAnsi"/>
          <w:i/>
          <w:color w:val="000000" w:themeColor="text1"/>
          <w:lang w:eastAsia="en-GB"/>
        </w:rPr>
        <w:t>The software used to produce the estimates is Spectrum—developed by Avenir Health (</w:t>
      </w:r>
      <w:hyperlink r:id="rId21" w:tooltip="www.avenirhealth.org" w:history="1">
        <w:r w:rsidRPr="00BC3535">
          <w:rPr>
            <w:rStyle w:val="Hyperlink"/>
            <w:i/>
          </w:rPr>
          <w:t>www.avenirhealth.org</w:t>
        </w:r>
      </w:hyperlink>
      <w:r w:rsidRPr="00BC3535">
        <w:rPr>
          <w:rFonts w:cstheme="minorHAnsi"/>
          <w:i/>
          <w:color w:val="000000" w:themeColor="text1"/>
          <w:lang w:eastAsia="en-GB"/>
        </w:rPr>
        <w:t xml:space="preserve">)—and the Estimates and Projections Package, which is developed by the East-West </w:t>
      </w:r>
      <w:proofErr w:type="spellStart"/>
      <w:r w:rsidRPr="00BC3535">
        <w:rPr>
          <w:rFonts w:cstheme="minorHAnsi"/>
          <w:i/>
          <w:color w:val="000000" w:themeColor="text1"/>
          <w:lang w:eastAsia="en-GB"/>
        </w:rPr>
        <w:t>Center</w:t>
      </w:r>
      <w:proofErr w:type="spellEnd"/>
      <w:r w:rsidRPr="00BC3535">
        <w:rPr>
          <w:rFonts w:cstheme="minorHAnsi"/>
          <w:i/>
          <w:color w:val="000000" w:themeColor="text1"/>
          <w:lang w:eastAsia="en-GB"/>
        </w:rPr>
        <w:t xml:space="preserve"> (</w:t>
      </w:r>
      <w:hyperlink r:id="rId22" w:tooltip="www.eastwestcenter.org" w:history="1">
        <w:r w:rsidRPr="00BC3535">
          <w:rPr>
            <w:rStyle w:val="Hyperlink"/>
            <w:i/>
          </w:rPr>
          <w:t>www.eastwestcenter.org</w:t>
        </w:r>
      </w:hyperlink>
      <w:r w:rsidRPr="00BC3535">
        <w:rPr>
          <w:rFonts w:cstheme="minorHAnsi"/>
          <w:i/>
          <w:color w:val="000000" w:themeColor="text1"/>
          <w:lang w:eastAsia="en-GB"/>
        </w:rPr>
        <w:t>). The UNAIDS Reference Group on Estimates, Modelling and Projections provides technical guidance on the development of the HIV component of the software (</w:t>
      </w:r>
      <w:hyperlink r:id="rId23" w:tooltip="www.epidem.org" w:history="1">
        <w:r w:rsidRPr="00BC3535">
          <w:rPr>
            <w:rStyle w:val="Hyperlink"/>
            <w:i/>
          </w:rPr>
          <w:t>www.epidem.org</w:t>
        </w:r>
      </w:hyperlink>
      <w:r w:rsidRPr="00BC3535">
        <w:rPr>
          <w:rFonts w:cstheme="minorHAnsi"/>
          <w:i/>
          <w:color w:val="000000" w:themeColor="text1"/>
          <w:lang w:eastAsia="en-GB"/>
        </w:rPr>
        <w:t>).</w:t>
      </w:r>
      <w:r w:rsidR="00280323" w:rsidRPr="00BC3535">
        <w:rPr>
          <w:rFonts w:cstheme="minorHAnsi"/>
          <w:color w:val="000000" w:themeColor="text1"/>
          <w:lang w:eastAsia="en-GB"/>
        </w:rPr>
        <w:t>”</w:t>
      </w:r>
    </w:p>
    <w:p w14:paraId="7F80DAAD" w14:textId="77777777" w:rsidR="00FA5E66" w:rsidRPr="00BC3535" w:rsidRDefault="00FA5E66" w:rsidP="00D850DC">
      <w:pPr>
        <w:rPr>
          <w:lang w:eastAsia="en-GB"/>
        </w:rPr>
      </w:pPr>
      <w:r w:rsidRPr="00BC3535">
        <w:rPr>
          <w:lang w:eastAsia="en-GB"/>
        </w:rPr>
        <w:t>In 2019, 170 countries reported on this indicator without disaggregating by disability.</w:t>
      </w:r>
    </w:p>
    <w:p w14:paraId="226148C4" w14:textId="640C9E4E" w:rsidR="00FA5E66" w:rsidRPr="00BC3535" w:rsidRDefault="00FA5E66" w:rsidP="00D850DC">
      <w:r w:rsidRPr="00BC3535">
        <w:t xml:space="preserve">The DHS and the MICS ask about HIV/AIDs knowledge, attitudes and behaviours, but do not ask about infections. The </w:t>
      </w:r>
      <w:hyperlink r:id="rId24" w:history="1">
        <w:r w:rsidR="00345D66" w:rsidRPr="00BC3535">
          <w:rPr>
            <w:rStyle w:val="Hyperlink"/>
          </w:rPr>
          <w:t>United Nations Gap Report</w:t>
        </w:r>
      </w:hyperlink>
      <w:r w:rsidR="00345D66" w:rsidRPr="00BC3535">
        <w:t xml:space="preserve">, in 2014, </w:t>
      </w:r>
      <w:r w:rsidRPr="00BC3535">
        <w:t>states that data on disability and HIV status is sparse but obtainable. They cite studies from South Africa, Cameroon and Kenya.</w:t>
      </w:r>
    </w:p>
    <w:p w14:paraId="420C46B8" w14:textId="77777777" w:rsidR="00FA5E66" w:rsidRPr="00BC3535" w:rsidRDefault="00FA5E66" w:rsidP="00D850DC">
      <w:r w:rsidRPr="00BC3535">
        <w:t>Two studies on a project that would allow for data to be reported on this indicator are:</w:t>
      </w:r>
    </w:p>
    <w:p w14:paraId="6C01C9D2" w14:textId="77777777" w:rsidR="00FA5E66" w:rsidRPr="00BC3535" w:rsidRDefault="00FA5E66" w:rsidP="00D81478">
      <w:pPr>
        <w:pStyle w:val="ListParagraph"/>
        <w:numPr>
          <w:ilvl w:val="0"/>
          <w:numId w:val="44"/>
        </w:numPr>
        <w:rPr>
          <w:rFonts w:eastAsiaTheme="minorEastAsia"/>
        </w:rPr>
      </w:pPr>
      <w:r w:rsidRPr="00BC3535">
        <w:rPr>
          <w:rFonts w:eastAsiaTheme="minorEastAsia"/>
        </w:rPr>
        <w:t xml:space="preserve">Pierre De </w:t>
      </w:r>
      <w:proofErr w:type="spellStart"/>
      <w:r w:rsidRPr="00BC3535">
        <w:rPr>
          <w:rFonts w:eastAsiaTheme="minorEastAsia"/>
        </w:rPr>
        <w:t>Beaudrap</w:t>
      </w:r>
      <w:proofErr w:type="spellEnd"/>
      <w:r w:rsidRPr="00BC3535">
        <w:rPr>
          <w:rFonts w:eastAsiaTheme="minorEastAsia"/>
        </w:rPr>
        <w:t xml:space="preserve"> and others, “Prevalence of HIV infection among people with disabilities: a population-based observational study in Yaoundé, Cameroon (</w:t>
      </w:r>
      <w:proofErr w:type="spellStart"/>
      <w:r w:rsidRPr="00BC3535">
        <w:rPr>
          <w:rFonts w:eastAsiaTheme="minorEastAsia"/>
        </w:rPr>
        <w:t>HandiVIH</w:t>
      </w:r>
      <w:proofErr w:type="spellEnd"/>
      <w:r w:rsidRPr="00BC3535">
        <w:rPr>
          <w:rFonts w:eastAsiaTheme="minorEastAsia"/>
        </w:rPr>
        <w:t xml:space="preserve">)”, </w:t>
      </w:r>
      <w:r w:rsidRPr="00BC3535">
        <w:rPr>
          <w:rFonts w:eastAsiaTheme="minorEastAsia"/>
          <w:i/>
          <w:iCs/>
        </w:rPr>
        <w:t>The Lancet HIV</w:t>
      </w:r>
      <w:r w:rsidRPr="00BC3535">
        <w:rPr>
          <w:rFonts w:eastAsiaTheme="minorEastAsia"/>
        </w:rPr>
        <w:t>, vol. 4, No. 4 (1 April 2017), p. E161-E168</w:t>
      </w:r>
    </w:p>
    <w:p w14:paraId="1BA87A59" w14:textId="77777777" w:rsidR="00FA5E66" w:rsidRPr="00BC3535" w:rsidRDefault="00FA5E66" w:rsidP="00D81478">
      <w:pPr>
        <w:pStyle w:val="ListParagraph"/>
        <w:numPr>
          <w:ilvl w:val="0"/>
          <w:numId w:val="44"/>
        </w:numPr>
        <w:rPr>
          <w:rFonts w:eastAsiaTheme="minorEastAsia"/>
        </w:rPr>
      </w:pPr>
      <w:r w:rsidRPr="00BC3535">
        <w:rPr>
          <w:rFonts w:eastAsiaTheme="minorEastAsia"/>
        </w:rPr>
        <w:t xml:space="preserve">Pierre De </w:t>
      </w:r>
      <w:proofErr w:type="spellStart"/>
      <w:r w:rsidRPr="00BC3535">
        <w:rPr>
          <w:rFonts w:eastAsiaTheme="minorEastAsia"/>
        </w:rPr>
        <w:t>Beaudrap</w:t>
      </w:r>
      <w:proofErr w:type="spellEnd"/>
      <w:r w:rsidRPr="00BC3535">
        <w:rPr>
          <w:rFonts w:eastAsiaTheme="minorEastAsia"/>
        </w:rPr>
        <w:t xml:space="preserve"> and others, “</w:t>
      </w:r>
      <w:proofErr w:type="spellStart"/>
      <w:r w:rsidRPr="00BC3535">
        <w:rPr>
          <w:rFonts w:eastAsiaTheme="minorEastAsia"/>
        </w:rPr>
        <w:t>HandiVIH</w:t>
      </w:r>
      <w:proofErr w:type="spellEnd"/>
      <w:r w:rsidRPr="00BC3535">
        <w:rPr>
          <w:rFonts w:eastAsiaTheme="minorEastAsia"/>
        </w:rPr>
        <w:t xml:space="preserve">—A population-based survey to understand the vulnerability of people with disabilities to HIV and other sexual and reproductive health problems in Cameroon: protocol and methodological considerations”, </w:t>
      </w:r>
      <w:r w:rsidRPr="00BC3535">
        <w:rPr>
          <w:rFonts w:eastAsiaTheme="minorEastAsia"/>
          <w:i/>
          <w:iCs/>
        </w:rPr>
        <w:t>BJM Open</w:t>
      </w:r>
      <w:r w:rsidRPr="00BC3535">
        <w:rPr>
          <w:rFonts w:eastAsiaTheme="minorEastAsia"/>
        </w:rPr>
        <w:t>, vol. 6, No. 2 (February 2016)</w:t>
      </w:r>
    </w:p>
    <w:p w14:paraId="713C9B43" w14:textId="77777777" w:rsidR="00FA5E66" w:rsidRPr="00BC3535" w:rsidRDefault="00FA5E66" w:rsidP="00D81478">
      <w:r w:rsidRPr="00BC3535">
        <w:t xml:space="preserve">In this project, researchers </w:t>
      </w:r>
      <w:r w:rsidRPr="00BC3535">
        <w:rPr>
          <w:shd w:val="clear" w:color="auto" w:fill="FFFFFF"/>
        </w:rPr>
        <w:t xml:space="preserve">“used two-phase random sampling to recruit adults with disabilities and a control group matched for age, sex, and residential location from households of the general population.” </w:t>
      </w:r>
      <w:r w:rsidRPr="00BC3535">
        <w:t>They</w:t>
      </w:r>
      <w:r w:rsidRPr="00BC3535">
        <w:rPr>
          <w:shd w:val="clear" w:color="auto" w:fill="FFFFFF"/>
        </w:rPr>
        <w:t xml:space="preserve"> recruited 807 persons with disabilities and 807 persons without disabilities from Yaoundé, Cameroon. They did face-to-face interviews and then administered a blood test to identify the prevalence of HIV. They found that “28 of 716 people in the control population had a positive HIV test result (crude prevalence 3·9%, 95% CI 2·9–5·3) compared with 50 of 739 persons with disabilities (6·8%, 5·0–8·6; conditional odds ratio [OR] 1·7; p=0·04).”</w:t>
      </w:r>
    </w:p>
    <w:p w14:paraId="3D1D6070" w14:textId="77777777" w:rsidR="00FA5E66" w:rsidRPr="00BC3535" w:rsidRDefault="00FA5E66" w:rsidP="00952E43">
      <w:pPr>
        <w:pStyle w:val="Heading2"/>
        <w:rPr>
          <w:rFonts w:eastAsiaTheme="majorEastAsia"/>
        </w:rPr>
      </w:pPr>
      <w:r w:rsidRPr="00BC3535">
        <w:rPr>
          <w:rFonts w:eastAsiaTheme="majorEastAsia"/>
        </w:rPr>
        <w:lastRenderedPageBreak/>
        <w:t>25.24 Tuberculosis, malaria and hepatitis B incidence per 1,000 population (SDG indicators 3.3.2, 3.3.3, and 3.3.4) among population of persons with disabilities compared to others.</w:t>
      </w:r>
    </w:p>
    <w:p w14:paraId="240167D3" w14:textId="77777777" w:rsidR="00FA5E66" w:rsidRPr="00BC3535" w:rsidRDefault="00FA5E66" w:rsidP="00952E43">
      <w:pPr>
        <w:pStyle w:val="Heading4"/>
        <w:rPr>
          <w:rFonts w:eastAsiaTheme="majorEastAsia"/>
        </w:rPr>
      </w:pPr>
      <w:r w:rsidRPr="00BC3535">
        <w:rPr>
          <w:rFonts w:eastAsiaTheme="majorEastAsia"/>
        </w:rPr>
        <w:t>Level 2: Indicator that could be produced with straightforward additions or modifications to existing data collection efforts</w:t>
      </w:r>
    </w:p>
    <w:p w14:paraId="384B0C54" w14:textId="04AD4854" w:rsidR="00FA5E66" w:rsidRPr="00BC3535" w:rsidRDefault="009F6205" w:rsidP="00D850DC">
      <w:pPr>
        <w:rPr>
          <w:rFonts w:cstheme="minorHAnsi"/>
        </w:rPr>
      </w:pPr>
      <w:hyperlink r:id="rId25" w:tooltip="https://unstats.un.org/sdgs/metadata?Text=&amp;Goal=&amp;Target=3.3." w:history="1">
        <w:r w:rsidR="009855D7" w:rsidRPr="00BC3535">
          <w:rPr>
            <w:rStyle w:val="Hyperlink"/>
            <w:rFonts w:cstheme="minorHAnsi"/>
            <w:lang w:eastAsia="en-GB"/>
          </w:rPr>
          <w:t>Link to the metadata related to this SDG indicator</w:t>
        </w:r>
      </w:hyperlink>
    </w:p>
    <w:p w14:paraId="3224D173" w14:textId="77777777" w:rsidR="00FA5E66" w:rsidRPr="00BC3535" w:rsidRDefault="00FA5E66" w:rsidP="00D850DC">
      <w:pPr>
        <w:rPr>
          <w:rFonts w:cstheme="minorHAnsi"/>
          <w:color w:val="4A4A4A"/>
          <w:lang w:eastAsia="en-GB"/>
        </w:rPr>
      </w:pPr>
      <w:r w:rsidRPr="00BC3535">
        <w:rPr>
          <w:lang w:eastAsia="en-GB"/>
        </w:rPr>
        <w:t>For tuberculosis:</w:t>
      </w:r>
    </w:p>
    <w:p w14:paraId="498407F0" w14:textId="6842E040" w:rsidR="00FA5E66" w:rsidRPr="00BC3535" w:rsidRDefault="00280323" w:rsidP="00D81478">
      <w:pPr>
        <w:ind w:left="360"/>
        <w:rPr>
          <w:i/>
          <w:lang w:eastAsia="en-GB"/>
        </w:rPr>
      </w:pPr>
      <w:r w:rsidRPr="00BC3535">
        <w:rPr>
          <w:lang w:eastAsia="en-GB"/>
        </w:rPr>
        <w:t>“</w:t>
      </w:r>
      <w:r w:rsidR="00FA5E66" w:rsidRPr="00BC3535">
        <w:rPr>
          <w:i/>
          <w:lang w:eastAsia="en-GB"/>
        </w:rPr>
        <w:t xml:space="preserve">Details about data sources and methods are available in the following publicly available paper: </w:t>
      </w:r>
      <w:hyperlink r:id="rId26" w:history="1">
        <w:r w:rsidR="00B563EB" w:rsidRPr="00BC3535">
          <w:rPr>
            <w:rStyle w:val="Hyperlink"/>
            <w:i/>
            <w:lang w:eastAsia="en-GB"/>
          </w:rPr>
          <w:t>arxiv.org - PDF</w:t>
        </w:r>
      </w:hyperlink>
    </w:p>
    <w:p w14:paraId="69314FE3" w14:textId="13FEB15B" w:rsidR="00FA5E66" w:rsidRPr="00BC3535" w:rsidRDefault="00FA5E66" w:rsidP="00D81478">
      <w:pPr>
        <w:ind w:left="360"/>
        <w:rPr>
          <w:rFonts w:cstheme="minorHAnsi"/>
          <w:color w:val="000000" w:themeColor="text1"/>
          <w:lang w:eastAsia="en-GB"/>
        </w:rPr>
      </w:pPr>
      <w:r w:rsidRPr="00BC3535">
        <w:rPr>
          <w:i/>
          <w:lang w:eastAsia="en-GB"/>
        </w:rPr>
        <w:t>National TB Programmes report every year between March and June their annual TB data to WHO using a standardized online data reporting system maintained at WHO. The system includes real-time checks for data consistency. Estimates of TB burden are prepared in July-August and communicated with countries. In selected countries with new survey data, estimates are updated separately during the year. All estimates are communicated in August-September and revisions are done based on feedback. The final set of estimates is reviewed in WHO before publication in October, for compliance with specific international standards and harmonization of breakdowns for age and sex groups.</w:t>
      </w:r>
      <w:r w:rsidR="00280323" w:rsidRPr="00BC3535">
        <w:rPr>
          <w:lang w:eastAsia="en-GB"/>
        </w:rPr>
        <w:t>”</w:t>
      </w:r>
    </w:p>
    <w:p w14:paraId="23D29F2B" w14:textId="77777777" w:rsidR="00FA5E66" w:rsidRPr="00BC3535" w:rsidRDefault="00FA5E66" w:rsidP="00D850DC">
      <w:pPr>
        <w:rPr>
          <w:lang w:eastAsia="en-GB"/>
        </w:rPr>
      </w:pPr>
      <w:r w:rsidRPr="00BC3535">
        <w:rPr>
          <w:lang w:eastAsia="en-GB"/>
        </w:rPr>
        <w:t>For Malaria:</w:t>
      </w:r>
    </w:p>
    <w:p w14:paraId="6230F715" w14:textId="2FAD2EDD" w:rsidR="00FA5E66" w:rsidRPr="00BC3535" w:rsidRDefault="00280323" w:rsidP="00D81478">
      <w:pPr>
        <w:ind w:left="360"/>
        <w:rPr>
          <w:i/>
        </w:rPr>
      </w:pPr>
      <w:r w:rsidRPr="00BC3535">
        <w:t>“</w:t>
      </w:r>
      <w:r w:rsidR="00FA5E66" w:rsidRPr="00BC3535">
        <w:rPr>
          <w:i/>
        </w:rPr>
        <w:t xml:space="preserve">Cases reported by the NMCP are obtained from each country surveillance system. This </w:t>
      </w:r>
      <w:proofErr w:type="gramStart"/>
      <w:r w:rsidR="00FA5E66" w:rsidRPr="00BC3535">
        <w:rPr>
          <w:i/>
        </w:rPr>
        <w:t>include</w:t>
      </w:r>
      <w:proofErr w:type="gramEnd"/>
      <w:r w:rsidR="00FA5E66" w:rsidRPr="00BC3535">
        <w:rPr>
          <w:i/>
        </w:rPr>
        <w:t xml:space="preserve"> among others information on the number of suspected cases, number of tested cases, number of positive cases by method of detection and by species as well as number of health facilities that report those cases. This information is summarized in a DHIS2 application developed for this purpose. Data for representative household surveys are publicly available and included National Demographic Household Surveys (DHS) or Malaria Indicator Survey (MIS).</w:t>
      </w:r>
    </w:p>
    <w:p w14:paraId="0B83BEE4" w14:textId="32313735" w:rsidR="00FA5E66" w:rsidRPr="00BC3535" w:rsidRDefault="00FA5E66" w:rsidP="00D81478">
      <w:pPr>
        <w:ind w:left="360"/>
        <w:rPr>
          <w:i/>
        </w:rPr>
      </w:pPr>
      <w:r w:rsidRPr="00BC3535">
        <w:rPr>
          <w:i/>
        </w:rPr>
        <w:t>The official counterpart for each country is the National Malaria Control Program at the Ministry of Health</w:t>
      </w:r>
      <w:r w:rsidR="00280323" w:rsidRPr="00BC3535">
        <w:t>”</w:t>
      </w:r>
      <w:r w:rsidRPr="00BC3535">
        <w:rPr>
          <w:i/>
        </w:rPr>
        <w:t>.</w:t>
      </w:r>
    </w:p>
    <w:p w14:paraId="02AEF4A5" w14:textId="77777777" w:rsidR="00FA5E66" w:rsidRPr="00BC3535" w:rsidRDefault="00FA5E66" w:rsidP="00D850DC">
      <w:r w:rsidRPr="00BC3535">
        <w:t>For hepatitis, metadata for this indicator is not yet available but has been requested from the custodian agency(</w:t>
      </w:r>
      <w:proofErr w:type="spellStart"/>
      <w:r w:rsidRPr="00BC3535">
        <w:t>ies</w:t>
      </w:r>
      <w:proofErr w:type="spellEnd"/>
      <w:r w:rsidRPr="00BC3535">
        <w:t xml:space="preserve">). Further information can be obtained by contacting </w:t>
      </w:r>
      <w:hyperlink r:id="rId27" w:history="1">
        <w:r w:rsidRPr="00BC3535">
          <w:rPr>
            <w:rStyle w:val="Hyperlink"/>
            <w:rFonts w:cstheme="minorHAnsi"/>
          </w:rPr>
          <w:t>statistics@un.org</w:t>
        </w:r>
      </w:hyperlink>
      <w:r w:rsidRPr="00BC3535">
        <w:t>.</w:t>
      </w:r>
    </w:p>
    <w:p w14:paraId="58F77570" w14:textId="77777777" w:rsidR="00FA5E66" w:rsidRPr="00BC3535" w:rsidRDefault="00FA5E66" w:rsidP="00D850DC">
      <w:r w:rsidRPr="00BC3535">
        <w:t xml:space="preserve">If these surveillance systems include questions on disability, then these indicators could be disaggregated. For example, the 2018 </w:t>
      </w:r>
      <w:hyperlink r:id="rId28" w:history="1">
        <w:r w:rsidRPr="00BC3535">
          <w:rPr>
            <w:rStyle w:val="Hyperlink"/>
            <w:rFonts w:cstheme="minorHAnsi"/>
          </w:rPr>
          <w:t>DHS in Nigeria</w:t>
        </w:r>
      </w:hyperlink>
      <w:r w:rsidRPr="00BC3535">
        <w:t xml:space="preserve"> reports the prevalence of malaria among children, based on rapid diagnostics tests administered as part of the survey. It asks about tuberculosis and hepatitis B vaccination, but not incidence. It uses the WG questions to identify disability, so the rate of malaria for children over 2 by disability status could be reported, although they do not do so.</w:t>
      </w:r>
    </w:p>
    <w:p w14:paraId="34C4235D" w14:textId="77777777" w:rsidR="00FA5E66" w:rsidRPr="00BC3535" w:rsidRDefault="00FA5E66" w:rsidP="00D850DC">
      <w:r w:rsidRPr="00BC3535">
        <w:t>Table 2 presents an example from the Malaria table in the 2018 Nigeria DHS. It does not have disability as a characteristic of either the child or the mother, but if the optional DHS module on disability was included, this table could be disaggregated by disability.</w:t>
      </w:r>
    </w:p>
    <w:p w14:paraId="7DC94E9A" w14:textId="06906D66" w:rsidR="00FA5E66" w:rsidRPr="00BC3535" w:rsidRDefault="00FA5E66" w:rsidP="00D81478">
      <w:pPr>
        <w:pStyle w:val="TableHeader"/>
        <w:rPr>
          <w:rFonts w:eastAsiaTheme="majorEastAsia" w:cstheme="majorBidi"/>
        </w:rPr>
      </w:pPr>
      <w:r w:rsidRPr="00BC3535">
        <w:rPr>
          <w:rFonts w:eastAsiaTheme="majorEastAsia" w:cstheme="majorBidi"/>
          <w:b/>
          <w:bCs w:val="0"/>
        </w:rPr>
        <w:lastRenderedPageBreak/>
        <w:t>Table 2</w:t>
      </w:r>
      <w:r w:rsidR="009855D7" w:rsidRPr="00BC3535">
        <w:rPr>
          <w:rFonts w:eastAsiaTheme="majorEastAsia" w:cstheme="majorBidi"/>
          <w:b/>
          <w:bCs w:val="0"/>
        </w:rPr>
        <w:t>:</w:t>
      </w:r>
      <w:r w:rsidR="009855D7" w:rsidRPr="00BC3535">
        <w:rPr>
          <w:rFonts w:eastAsiaTheme="majorEastAsia" w:cstheme="majorBidi"/>
        </w:rPr>
        <w:t xml:space="preserve"> </w:t>
      </w:r>
      <w:r w:rsidRPr="00BC3535">
        <w:rPr>
          <w:rFonts w:eastAsiaTheme="majorEastAsia" w:cstheme="majorBidi"/>
        </w:rPr>
        <w:t>Percentage of children age 6-59 months classified in two tests as having malaria, according to background characteristics, Nigeria 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Percentage of children age 6-59 months classified in two tests as having malaria, according to background characteristics, Nigeria 2018"/>
      </w:tblPr>
      <w:tblGrid>
        <w:gridCol w:w="1927"/>
        <w:gridCol w:w="1764"/>
        <w:gridCol w:w="1767"/>
        <w:gridCol w:w="1775"/>
        <w:gridCol w:w="1767"/>
      </w:tblGrid>
      <w:tr w:rsidR="007D47A0" w:rsidRPr="00BC3535" w14:paraId="3D6282F5" w14:textId="77777777" w:rsidTr="00D81478">
        <w:trPr>
          <w:trHeight w:val="670"/>
          <w:tblHeader/>
        </w:trPr>
        <w:tc>
          <w:tcPr>
            <w:tcW w:w="1073" w:type="pct"/>
            <w:tcBorders>
              <w:top w:val="single" w:sz="12" w:space="0" w:color="auto"/>
            </w:tcBorders>
            <w:shd w:val="clear" w:color="auto" w:fill="F5F5F1"/>
            <w:noWrap/>
            <w:hideMark/>
          </w:tcPr>
          <w:p w14:paraId="0FE9286F" w14:textId="77777777" w:rsidR="007D47A0" w:rsidRPr="00BC3535" w:rsidRDefault="007D47A0" w:rsidP="00D850DC">
            <w:pPr>
              <w:rPr>
                <w:rFonts w:asciiTheme="minorHAnsi" w:hAnsiTheme="minorHAnsi"/>
              </w:rPr>
            </w:pPr>
          </w:p>
        </w:tc>
        <w:tc>
          <w:tcPr>
            <w:tcW w:w="1960" w:type="pct"/>
            <w:gridSpan w:val="2"/>
            <w:tcBorders>
              <w:top w:val="single" w:sz="12" w:space="0" w:color="auto"/>
              <w:bottom w:val="single" w:sz="12" w:space="0" w:color="auto"/>
            </w:tcBorders>
            <w:shd w:val="clear" w:color="auto" w:fill="F5F5F1"/>
            <w:vAlign w:val="center"/>
            <w:hideMark/>
          </w:tcPr>
          <w:p w14:paraId="7EC0DFF9" w14:textId="5796EA9B" w:rsidR="007D47A0" w:rsidRPr="00BC3535" w:rsidRDefault="007D47A0" w:rsidP="0098745D">
            <w:pPr>
              <w:pStyle w:val="TableHeaderRow"/>
            </w:pPr>
            <w:r w:rsidRPr="00BC3535">
              <w:t>Malaria prevalence according to RDT</w:t>
            </w:r>
          </w:p>
        </w:tc>
        <w:tc>
          <w:tcPr>
            <w:tcW w:w="1967" w:type="pct"/>
            <w:gridSpan w:val="2"/>
            <w:tcBorders>
              <w:top w:val="single" w:sz="12" w:space="0" w:color="auto"/>
              <w:bottom w:val="single" w:sz="12" w:space="0" w:color="auto"/>
            </w:tcBorders>
            <w:shd w:val="clear" w:color="auto" w:fill="F5F5F1"/>
            <w:vAlign w:val="center"/>
            <w:hideMark/>
          </w:tcPr>
          <w:p w14:paraId="485D4666" w14:textId="77777777" w:rsidR="007D47A0" w:rsidRPr="00BC3535" w:rsidRDefault="007D47A0" w:rsidP="0098745D">
            <w:pPr>
              <w:pStyle w:val="TableHeaderRow"/>
            </w:pPr>
            <w:r w:rsidRPr="00BC3535">
              <w:t>Malaria prevalence according to microscopy</w:t>
            </w:r>
          </w:p>
        </w:tc>
      </w:tr>
      <w:tr w:rsidR="002E12D5" w:rsidRPr="00BC3535" w14:paraId="1612A1E2" w14:textId="77777777" w:rsidTr="00D81478">
        <w:trPr>
          <w:trHeight w:val="566"/>
          <w:tblHeader/>
        </w:trPr>
        <w:tc>
          <w:tcPr>
            <w:tcW w:w="1073" w:type="pct"/>
            <w:tcBorders>
              <w:bottom w:val="single" w:sz="12" w:space="0" w:color="auto"/>
            </w:tcBorders>
            <w:shd w:val="clear" w:color="auto" w:fill="F5F5F1"/>
            <w:vAlign w:val="center"/>
            <w:hideMark/>
          </w:tcPr>
          <w:p w14:paraId="0746CAEC" w14:textId="5D730C75" w:rsidR="007D47A0" w:rsidRPr="00BC3535" w:rsidRDefault="00B95136" w:rsidP="0098745D">
            <w:pPr>
              <w:pStyle w:val="TableHeaderRow"/>
            </w:pPr>
            <w:r w:rsidRPr="00BC3535">
              <w:t>Background characteristic</w:t>
            </w:r>
          </w:p>
        </w:tc>
        <w:tc>
          <w:tcPr>
            <w:tcW w:w="979" w:type="pct"/>
            <w:tcBorders>
              <w:top w:val="single" w:sz="12" w:space="0" w:color="auto"/>
              <w:bottom w:val="single" w:sz="12" w:space="0" w:color="auto"/>
            </w:tcBorders>
            <w:shd w:val="clear" w:color="auto" w:fill="F5F5F1"/>
            <w:hideMark/>
          </w:tcPr>
          <w:p w14:paraId="41E37203" w14:textId="77777777" w:rsidR="007D47A0" w:rsidRPr="00BC3535" w:rsidRDefault="007D47A0" w:rsidP="0098745D">
            <w:pPr>
              <w:pStyle w:val="TableHeaderRow"/>
            </w:pPr>
            <w:r w:rsidRPr="00BC3535">
              <w:t>RDT Positive (%)</w:t>
            </w:r>
          </w:p>
        </w:tc>
        <w:tc>
          <w:tcPr>
            <w:tcW w:w="981" w:type="pct"/>
            <w:tcBorders>
              <w:top w:val="single" w:sz="12" w:space="0" w:color="auto"/>
              <w:bottom w:val="single" w:sz="12" w:space="0" w:color="auto"/>
            </w:tcBorders>
            <w:shd w:val="clear" w:color="auto" w:fill="F5F5F1"/>
            <w:vAlign w:val="center"/>
            <w:hideMark/>
          </w:tcPr>
          <w:p w14:paraId="4D99B25C" w14:textId="77777777" w:rsidR="007D47A0" w:rsidRPr="00BC3535" w:rsidRDefault="007D47A0" w:rsidP="0098745D">
            <w:pPr>
              <w:pStyle w:val="TableHeaderRow"/>
            </w:pPr>
            <w:r w:rsidRPr="00BC3535">
              <w:t>Number of Children</w:t>
            </w:r>
          </w:p>
        </w:tc>
        <w:tc>
          <w:tcPr>
            <w:tcW w:w="986" w:type="pct"/>
            <w:tcBorders>
              <w:top w:val="single" w:sz="12" w:space="0" w:color="auto"/>
              <w:bottom w:val="single" w:sz="12" w:space="0" w:color="auto"/>
            </w:tcBorders>
            <w:shd w:val="clear" w:color="auto" w:fill="F5F5F1"/>
            <w:vAlign w:val="center"/>
            <w:hideMark/>
          </w:tcPr>
          <w:p w14:paraId="1C5C4206" w14:textId="77777777" w:rsidR="007D47A0" w:rsidRPr="00BC3535" w:rsidRDefault="007D47A0" w:rsidP="0098745D">
            <w:pPr>
              <w:pStyle w:val="TableHeaderRow"/>
            </w:pPr>
            <w:r w:rsidRPr="00BC3535">
              <w:t>Microscopy Positive (%)</w:t>
            </w:r>
          </w:p>
        </w:tc>
        <w:tc>
          <w:tcPr>
            <w:tcW w:w="981" w:type="pct"/>
            <w:tcBorders>
              <w:top w:val="single" w:sz="12" w:space="0" w:color="auto"/>
              <w:bottom w:val="single" w:sz="12" w:space="0" w:color="auto"/>
            </w:tcBorders>
            <w:shd w:val="clear" w:color="auto" w:fill="F5F5F1"/>
            <w:vAlign w:val="center"/>
            <w:hideMark/>
          </w:tcPr>
          <w:p w14:paraId="1A5DA86A" w14:textId="77777777" w:rsidR="007D47A0" w:rsidRPr="00BC3535" w:rsidRDefault="007D47A0" w:rsidP="0098745D">
            <w:pPr>
              <w:pStyle w:val="TableHeaderRow"/>
            </w:pPr>
            <w:r w:rsidRPr="00BC3535">
              <w:t>Number of Children</w:t>
            </w:r>
          </w:p>
        </w:tc>
      </w:tr>
      <w:tr w:rsidR="00D81478" w:rsidRPr="00BC3535" w14:paraId="0AAADE71" w14:textId="77777777" w:rsidTr="00D81478">
        <w:trPr>
          <w:trHeight w:val="320"/>
          <w:tblHeader/>
        </w:trPr>
        <w:tc>
          <w:tcPr>
            <w:tcW w:w="5000" w:type="pct"/>
            <w:gridSpan w:val="5"/>
            <w:tcBorders>
              <w:top w:val="single" w:sz="12" w:space="0" w:color="auto"/>
              <w:bottom w:val="single" w:sz="12" w:space="0" w:color="auto"/>
            </w:tcBorders>
            <w:shd w:val="clear" w:color="auto" w:fill="F5F5F1"/>
            <w:noWrap/>
            <w:hideMark/>
          </w:tcPr>
          <w:p w14:paraId="59436C9E" w14:textId="3982F834" w:rsidR="00D81478" w:rsidRPr="00BC3535" w:rsidRDefault="00D81478" w:rsidP="00D850DC">
            <w:pPr>
              <w:rPr>
                <w:b/>
                <w:bCs/>
                <w:i/>
                <w:iCs/>
              </w:rPr>
            </w:pPr>
            <w:r w:rsidRPr="00BC3535">
              <w:rPr>
                <w:b/>
                <w:bCs/>
                <w:i/>
                <w:iCs/>
                <w:color w:val="000000"/>
              </w:rPr>
              <w:t>Age in months</w:t>
            </w:r>
          </w:p>
        </w:tc>
      </w:tr>
      <w:tr w:rsidR="007D47A0" w:rsidRPr="00BC3535" w14:paraId="58E15D8C" w14:textId="77777777" w:rsidTr="00D81478">
        <w:trPr>
          <w:trHeight w:val="320"/>
          <w:tblHeader/>
        </w:trPr>
        <w:tc>
          <w:tcPr>
            <w:tcW w:w="1073" w:type="pct"/>
            <w:tcBorders>
              <w:top w:val="single" w:sz="12" w:space="0" w:color="auto"/>
            </w:tcBorders>
            <w:shd w:val="clear" w:color="auto" w:fill="F5F5F1"/>
            <w:noWrap/>
            <w:hideMark/>
          </w:tcPr>
          <w:p w14:paraId="582454E3" w14:textId="77777777" w:rsidR="007D47A0" w:rsidRPr="00BC3535" w:rsidRDefault="007D47A0" w:rsidP="00D850DC">
            <w:pPr>
              <w:rPr>
                <w:color w:val="000000"/>
              </w:rPr>
            </w:pPr>
            <w:r w:rsidRPr="00BC3535">
              <w:rPr>
                <w:color w:val="000000"/>
              </w:rPr>
              <w:t>6-8</w:t>
            </w:r>
          </w:p>
        </w:tc>
        <w:tc>
          <w:tcPr>
            <w:tcW w:w="979" w:type="pct"/>
            <w:tcBorders>
              <w:top w:val="single" w:sz="12" w:space="0" w:color="auto"/>
            </w:tcBorders>
            <w:shd w:val="clear" w:color="auto" w:fill="F5F5F1"/>
            <w:noWrap/>
            <w:hideMark/>
          </w:tcPr>
          <w:p w14:paraId="04D97F61" w14:textId="77777777" w:rsidR="007D47A0" w:rsidRPr="00BC3535" w:rsidRDefault="007D47A0" w:rsidP="00D850DC">
            <w:pPr>
              <w:rPr>
                <w:color w:val="000000"/>
              </w:rPr>
            </w:pPr>
            <w:r w:rsidRPr="00BC3535">
              <w:rPr>
                <w:color w:val="000000"/>
              </w:rPr>
              <w:t>27.5</w:t>
            </w:r>
          </w:p>
        </w:tc>
        <w:tc>
          <w:tcPr>
            <w:tcW w:w="981" w:type="pct"/>
            <w:tcBorders>
              <w:top w:val="single" w:sz="12" w:space="0" w:color="auto"/>
            </w:tcBorders>
            <w:shd w:val="clear" w:color="auto" w:fill="F5F5F1"/>
            <w:noWrap/>
            <w:hideMark/>
          </w:tcPr>
          <w:p w14:paraId="26F869D5" w14:textId="77777777" w:rsidR="007D47A0" w:rsidRPr="00BC3535" w:rsidRDefault="007D47A0" w:rsidP="00D850DC">
            <w:pPr>
              <w:rPr>
                <w:color w:val="000000"/>
              </w:rPr>
            </w:pPr>
            <w:r w:rsidRPr="00BC3535">
              <w:rPr>
                <w:color w:val="000000"/>
              </w:rPr>
              <w:t>687</w:t>
            </w:r>
          </w:p>
        </w:tc>
        <w:tc>
          <w:tcPr>
            <w:tcW w:w="986" w:type="pct"/>
            <w:tcBorders>
              <w:top w:val="single" w:sz="12" w:space="0" w:color="auto"/>
            </w:tcBorders>
            <w:shd w:val="clear" w:color="auto" w:fill="F5F5F1"/>
            <w:noWrap/>
            <w:hideMark/>
          </w:tcPr>
          <w:p w14:paraId="2300CFB2" w14:textId="77777777" w:rsidR="007D47A0" w:rsidRPr="00BC3535" w:rsidRDefault="007D47A0" w:rsidP="00D850DC">
            <w:pPr>
              <w:rPr>
                <w:color w:val="000000"/>
              </w:rPr>
            </w:pPr>
            <w:r w:rsidRPr="00BC3535">
              <w:rPr>
                <w:color w:val="000000"/>
              </w:rPr>
              <w:t>19.1</w:t>
            </w:r>
          </w:p>
        </w:tc>
        <w:tc>
          <w:tcPr>
            <w:tcW w:w="981" w:type="pct"/>
            <w:tcBorders>
              <w:top w:val="single" w:sz="12" w:space="0" w:color="auto"/>
            </w:tcBorders>
            <w:shd w:val="clear" w:color="auto" w:fill="F5F5F1"/>
            <w:noWrap/>
            <w:hideMark/>
          </w:tcPr>
          <w:p w14:paraId="712CA5CB" w14:textId="77777777" w:rsidR="007D47A0" w:rsidRPr="00BC3535" w:rsidRDefault="007D47A0" w:rsidP="00D850DC">
            <w:pPr>
              <w:rPr>
                <w:color w:val="000000"/>
              </w:rPr>
            </w:pPr>
            <w:r w:rsidRPr="00BC3535">
              <w:rPr>
                <w:color w:val="000000"/>
              </w:rPr>
              <w:t>482</w:t>
            </w:r>
          </w:p>
        </w:tc>
      </w:tr>
      <w:tr w:rsidR="007D47A0" w:rsidRPr="00BC3535" w14:paraId="04A5D032" w14:textId="77777777" w:rsidTr="00D81478">
        <w:trPr>
          <w:trHeight w:val="320"/>
          <w:tblHeader/>
        </w:trPr>
        <w:tc>
          <w:tcPr>
            <w:tcW w:w="1073" w:type="pct"/>
            <w:shd w:val="clear" w:color="auto" w:fill="F5F5F1"/>
            <w:noWrap/>
            <w:hideMark/>
          </w:tcPr>
          <w:p w14:paraId="58CEA6FD" w14:textId="77777777" w:rsidR="007D47A0" w:rsidRPr="00BC3535" w:rsidRDefault="007D47A0" w:rsidP="00D850DC">
            <w:pPr>
              <w:rPr>
                <w:color w:val="000000"/>
              </w:rPr>
            </w:pPr>
            <w:r w:rsidRPr="00BC3535">
              <w:rPr>
                <w:color w:val="000000"/>
              </w:rPr>
              <w:t>9-11</w:t>
            </w:r>
          </w:p>
        </w:tc>
        <w:tc>
          <w:tcPr>
            <w:tcW w:w="979" w:type="pct"/>
            <w:shd w:val="clear" w:color="auto" w:fill="F5F5F1"/>
            <w:noWrap/>
            <w:hideMark/>
          </w:tcPr>
          <w:p w14:paraId="0AE91DAB" w14:textId="77777777" w:rsidR="007D47A0" w:rsidRPr="00BC3535" w:rsidRDefault="007D47A0" w:rsidP="00D850DC">
            <w:pPr>
              <w:rPr>
                <w:color w:val="000000"/>
              </w:rPr>
            </w:pPr>
            <w:r w:rsidRPr="00BC3535">
              <w:rPr>
                <w:color w:val="000000"/>
              </w:rPr>
              <w:t>21.8</w:t>
            </w:r>
          </w:p>
        </w:tc>
        <w:tc>
          <w:tcPr>
            <w:tcW w:w="981" w:type="pct"/>
            <w:shd w:val="clear" w:color="auto" w:fill="F5F5F1"/>
            <w:noWrap/>
            <w:hideMark/>
          </w:tcPr>
          <w:p w14:paraId="2C23CFDC" w14:textId="77777777" w:rsidR="007D47A0" w:rsidRPr="00BC3535" w:rsidRDefault="007D47A0" w:rsidP="00D850DC">
            <w:pPr>
              <w:rPr>
                <w:color w:val="000000"/>
              </w:rPr>
            </w:pPr>
            <w:r w:rsidRPr="00BC3535">
              <w:rPr>
                <w:color w:val="000000"/>
              </w:rPr>
              <w:t>598</w:t>
            </w:r>
          </w:p>
        </w:tc>
        <w:tc>
          <w:tcPr>
            <w:tcW w:w="986" w:type="pct"/>
            <w:shd w:val="clear" w:color="auto" w:fill="F5F5F1"/>
            <w:noWrap/>
            <w:hideMark/>
          </w:tcPr>
          <w:p w14:paraId="74EA013D" w14:textId="77777777" w:rsidR="007D47A0" w:rsidRPr="00BC3535" w:rsidRDefault="007D47A0" w:rsidP="00D850DC">
            <w:pPr>
              <w:rPr>
                <w:color w:val="000000"/>
              </w:rPr>
            </w:pPr>
            <w:r w:rsidRPr="00BC3535">
              <w:rPr>
                <w:color w:val="000000"/>
              </w:rPr>
              <w:t>13.1</w:t>
            </w:r>
          </w:p>
        </w:tc>
        <w:tc>
          <w:tcPr>
            <w:tcW w:w="981" w:type="pct"/>
            <w:shd w:val="clear" w:color="auto" w:fill="F5F5F1"/>
            <w:noWrap/>
            <w:hideMark/>
          </w:tcPr>
          <w:p w14:paraId="503E6497" w14:textId="77777777" w:rsidR="007D47A0" w:rsidRPr="00BC3535" w:rsidRDefault="007D47A0" w:rsidP="00D850DC">
            <w:pPr>
              <w:rPr>
                <w:color w:val="000000"/>
              </w:rPr>
            </w:pPr>
            <w:r w:rsidRPr="00BC3535">
              <w:rPr>
                <w:color w:val="000000"/>
              </w:rPr>
              <w:t>448</w:t>
            </w:r>
          </w:p>
        </w:tc>
      </w:tr>
      <w:tr w:rsidR="007D47A0" w:rsidRPr="00BC3535" w14:paraId="3010BA97" w14:textId="77777777" w:rsidTr="00D81478">
        <w:trPr>
          <w:trHeight w:val="320"/>
          <w:tblHeader/>
        </w:trPr>
        <w:tc>
          <w:tcPr>
            <w:tcW w:w="1073" w:type="pct"/>
            <w:shd w:val="clear" w:color="auto" w:fill="F5F5F1"/>
            <w:noWrap/>
            <w:hideMark/>
          </w:tcPr>
          <w:p w14:paraId="6830D1BF" w14:textId="77777777" w:rsidR="007D47A0" w:rsidRPr="00BC3535" w:rsidRDefault="007D47A0" w:rsidP="00D850DC">
            <w:pPr>
              <w:rPr>
                <w:color w:val="000000"/>
              </w:rPr>
            </w:pPr>
            <w:r w:rsidRPr="00BC3535">
              <w:rPr>
                <w:color w:val="000000"/>
              </w:rPr>
              <w:t>12-17</w:t>
            </w:r>
          </w:p>
        </w:tc>
        <w:tc>
          <w:tcPr>
            <w:tcW w:w="979" w:type="pct"/>
            <w:shd w:val="clear" w:color="auto" w:fill="F5F5F1"/>
            <w:noWrap/>
            <w:hideMark/>
          </w:tcPr>
          <w:p w14:paraId="33EB8672" w14:textId="77777777" w:rsidR="007D47A0" w:rsidRPr="00BC3535" w:rsidRDefault="007D47A0" w:rsidP="00D850DC">
            <w:pPr>
              <w:rPr>
                <w:color w:val="000000"/>
              </w:rPr>
            </w:pPr>
            <w:r w:rsidRPr="00BC3535">
              <w:rPr>
                <w:color w:val="000000"/>
              </w:rPr>
              <w:t>30.1</w:t>
            </w:r>
          </w:p>
        </w:tc>
        <w:tc>
          <w:tcPr>
            <w:tcW w:w="981" w:type="pct"/>
            <w:shd w:val="clear" w:color="auto" w:fill="F5F5F1"/>
            <w:noWrap/>
            <w:hideMark/>
          </w:tcPr>
          <w:p w14:paraId="6D919921" w14:textId="77777777" w:rsidR="007D47A0" w:rsidRPr="00BC3535" w:rsidRDefault="007D47A0" w:rsidP="00D850DC">
            <w:pPr>
              <w:rPr>
                <w:color w:val="000000"/>
              </w:rPr>
            </w:pPr>
            <w:r w:rsidRPr="00BC3535">
              <w:rPr>
                <w:color w:val="000000"/>
              </w:rPr>
              <w:t>1,450</w:t>
            </w:r>
          </w:p>
        </w:tc>
        <w:tc>
          <w:tcPr>
            <w:tcW w:w="986" w:type="pct"/>
            <w:shd w:val="clear" w:color="auto" w:fill="F5F5F1"/>
            <w:noWrap/>
            <w:hideMark/>
          </w:tcPr>
          <w:p w14:paraId="05AC7F67" w14:textId="77777777" w:rsidR="007D47A0" w:rsidRPr="00BC3535" w:rsidRDefault="007D47A0" w:rsidP="00D850DC">
            <w:pPr>
              <w:rPr>
                <w:color w:val="000000"/>
              </w:rPr>
            </w:pPr>
            <w:r w:rsidRPr="00BC3535">
              <w:rPr>
                <w:color w:val="000000"/>
              </w:rPr>
              <w:t>17.9</w:t>
            </w:r>
          </w:p>
        </w:tc>
        <w:tc>
          <w:tcPr>
            <w:tcW w:w="981" w:type="pct"/>
            <w:shd w:val="clear" w:color="auto" w:fill="F5F5F1"/>
            <w:noWrap/>
            <w:hideMark/>
          </w:tcPr>
          <w:p w14:paraId="45A041FF" w14:textId="77777777" w:rsidR="007D47A0" w:rsidRPr="00BC3535" w:rsidRDefault="007D47A0" w:rsidP="00D850DC">
            <w:pPr>
              <w:rPr>
                <w:color w:val="000000"/>
              </w:rPr>
            </w:pPr>
            <w:r w:rsidRPr="00BC3535">
              <w:rPr>
                <w:color w:val="000000"/>
              </w:rPr>
              <w:t>1,064</w:t>
            </w:r>
          </w:p>
        </w:tc>
      </w:tr>
      <w:tr w:rsidR="007D47A0" w:rsidRPr="00BC3535" w14:paraId="65F87443" w14:textId="77777777" w:rsidTr="00D81478">
        <w:trPr>
          <w:trHeight w:val="320"/>
          <w:tblHeader/>
        </w:trPr>
        <w:tc>
          <w:tcPr>
            <w:tcW w:w="1073" w:type="pct"/>
            <w:shd w:val="clear" w:color="auto" w:fill="F5F5F1"/>
            <w:noWrap/>
            <w:hideMark/>
          </w:tcPr>
          <w:p w14:paraId="0CD2FC5D" w14:textId="77777777" w:rsidR="007D47A0" w:rsidRPr="00BC3535" w:rsidRDefault="007D47A0" w:rsidP="00D850DC">
            <w:pPr>
              <w:rPr>
                <w:color w:val="000000"/>
              </w:rPr>
            </w:pPr>
            <w:r w:rsidRPr="00BC3535">
              <w:rPr>
                <w:color w:val="000000"/>
              </w:rPr>
              <w:t>18-23</w:t>
            </w:r>
          </w:p>
        </w:tc>
        <w:tc>
          <w:tcPr>
            <w:tcW w:w="979" w:type="pct"/>
            <w:shd w:val="clear" w:color="auto" w:fill="F5F5F1"/>
            <w:noWrap/>
            <w:hideMark/>
          </w:tcPr>
          <w:p w14:paraId="15283688" w14:textId="77777777" w:rsidR="007D47A0" w:rsidRPr="00BC3535" w:rsidRDefault="007D47A0" w:rsidP="00D850DC">
            <w:pPr>
              <w:rPr>
                <w:color w:val="000000"/>
              </w:rPr>
            </w:pPr>
            <w:r w:rsidRPr="00BC3535">
              <w:rPr>
                <w:color w:val="000000"/>
              </w:rPr>
              <w:t>31.9</w:t>
            </w:r>
          </w:p>
        </w:tc>
        <w:tc>
          <w:tcPr>
            <w:tcW w:w="981" w:type="pct"/>
            <w:shd w:val="clear" w:color="auto" w:fill="F5F5F1"/>
            <w:noWrap/>
            <w:hideMark/>
          </w:tcPr>
          <w:p w14:paraId="42C0C278" w14:textId="77777777" w:rsidR="007D47A0" w:rsidRPr="00BC3535" w:rsidRDefault="007D47A0" w:rsidP="00D850DC">
            <w:pPr>
              <w:rPr>
                <w:color w:val="000000"/>
              </w:rPr>
            </w:pPr>
            <w:r w:rsidRPr="00BC3535">
              <w:rPr>
                <w:color w:val="000000"/>
              </w:rPr>
              <w:t>1,142</w:t>
            </w:r>
          </w:p>
        </w:tc>
        <w:tc>
          <w:tcPr>
            <w:tcW w:w="986" w:type="pct"/>
            <w:shd w:val="clear" w:color="auto" w:fill="F5F5F1"/>
            <w:noWrap/>
            <w:hideMark/>
          </w:tcPr>
          <w:p w14:paraId="77F13EDF" w14:textId="77777777" w:rsidR="007D47A0" w:rsidRPr="00BC3535" w:rsidRDefault="007D47A0" w:rsidP="00D850DC">
            <w:pPr>
              <w:rPr>
                <w:color w:val="000000"/>
              </w:rPr>
            </w:pPr>
            <w:r w:rsidRPr="00BC3535">
              <w:rPr>
                <w:color w:val="000000"/>
              </w:rPr>
              <w:t>19.7</w:t>
            </w:r>
          </w:p>
        </w:tc>
        <w:tc>
          <w:tcPr>
            <w:tcW w:w="981" w:type="pct"/>
            <w:shd w:val="clear" w:color="auto" w:fill="F5F5F1"/>
            <w:noWrap/>
            <w:hideMark/>
          </w:tcPr>
          <w:p w14:paraId="7D05E393" w14:textId="77777777" w:rsidR="007D47A0" w:rsidRPr="00BC3535" w:rsidRDefault="007D47A0" w:rsidP="00D850DC">
            <w:pPr>
              <w:rPr>
                <w:color w:val="000000"/>
              </w:rPr>
            </w:pPr>
            <w:r w:rsidRPr="00BC3535">
              <w:rPr>
                <w:color w:val="000000"/>
              </w:rPr>
              <w:t>857</w:t>
            </w:r>
          </w:p>
        </w:tc>
      </w:tr>
      <w:tr w:rsidR="007D47A0" w:rsidRPr="00BC3535" w14:paraId="41B3030C" w14:textId="77777777" w:rsidTr="00D81478">
        <w:trPr>
          <w:trHeight w:val="320"/>
          <w:tblHeader/>
        </w:trPr>
        <w:tc>
          <w:tcPr>
            <w:tcW w:w="1073" w:type="pct"/>
            <w:shd w:val="clear" w:color="auto" w:fill="F5F5F1"/>
            <w:noWrap/>
            <w:hideMark/>
          </w:tcPr>
          <w:p w14:paraId="079123E8" w14:textId="77777777" w:rsidR="007D47A0" w:rsidRPr="00BC3535" w:rsidRDefault="007D47A0" w:rsidP="00D850DC">
            <w:pPr>
              <w:rPr>
                <w:color w:val="000000"/>
              </w:rPr>
            </w:pPr>
            <w:r w:rsidRPr="00BC3535">
              <w:rPr>
                <w:color w:val="000000"/>
              </w:rPr>
              <w:t>24-35</w:t>
            </w:r>
          </w:p>
        </w:tc>
        <w:tc>
          <w:tcPr>
            <w:tcW w:w="979" w:type="pct"/>
            <w:shd w:val="clear" w:color="auto" w:fill="F5F5F1"/>
            <w:noWrap/>
            <w:hideMark/>
          </w:tcPr>
          <w:p w14:paraId="661B2E88" w14:textId="77777777" w:rsidR="007D47A0" w:rsidRPr="00BC3535" w:rsidRDefault="007D47A0" w:rsidP="00D850DC">
            <w:pPr>
              <w:rPr>
                <w:color w:val="000000"/>
              </w:rPr>
            </w:pPr>
            <w:r w:rsidRPr="00BC3535">
              <w:rPr>
                <w:color w:val="000000"/>
              </w:rPr>
              <w:t>36.6</w:t>
            </w:r>
          </w:p>
        </w:tc>
        <w:tc>
          <w:tcPr>
            <w:tcW w:w="981" w:type="pct"/>
            <w:shd w:val="clear" w:color="auto" w:fill="F5F5F1"/>
            <w:noWrap/>
            <w:hideMark/>
          </w:tcPr>
          <w:p w14:paraId="3BD4FA89" w14:textId="77777777" w:rsidR="007D47A0" w:rsidRPr="00BC3535" w:rsidRDefault="007D47A0" w:rsidP="00D850DC">
            <w:pPr>
              <w:rPr>
                <w:color w:val="000000"/>
              </w:rPr>
            </w:pPr>
            <w:r w:rsidRPr="00BC3535">
              <w:rPr>
                <w:color w:val="000000"/>
              </w:rPr>
              <w:t>2,429</w:t>
            </w:r>
          </w:p>
        </w:tc>
        <w:tc>
          <w:tcPr>
            <w:tcW w:w="986" w:type="pct"/>
            <w:shd w:val="clear" w:color="auto" w:fill="F5F5F1"/>
            <w:noWrap/>
            <w:hideMark/>
          </w:tcPr>
          <w:p w14:paraId="749C3F85" w14:textId="77777777" w:rsidR="007D47A0" w:rsidRPr="00BC3535" w:rsidRDefault="007D47A0" w:rsidP="00D850DC">
            <w:pPr>
              <w:rPr>
                <w:color w:val="000000"/>
              </w:rPr>
            </w:pPr>
            <w:r w:rsidRPr="00BC3535">
              <w:rPr>
                <w:color w:val="000000"/>
              </w:rPr>
              <w:t>20.1</w:t>
            </w:r>
          </w:p>
        </w:tc>
        <w:tc>
          <w:tcPr>
            <w:tcW w:w="981" w:type="pct"/>
            <w:shd w:val="clear" w:color="auto" w:fill="F5F5F1"/>
            <w:noWrap/>
            <w:hideMark/>
          </w:tcPr>
          <w:p w14:paraId="293DC4C8" w14:textId="77777777" w:rsidR="007D47A0" w:rsidRPr="00BC3535" w:rsidRDefault="007D47A0" w:rsidP="00D850DC">
            <w:pPr>
              <w:rPr>
                <w:color w:val="000000"/>
              </w:rPr>
            </w:pPr>
            <w:r w:rsidRPr="00BC3535">
              <w:rPr>
                <w:color w:val="000000"/>
              </w:rPr>
              <w:t>1,775</w:t>
            </w:r>
          </w:p>
        </w:tc>
      </w:tr>
      <w:tr w:rsidR="007D47A0" w:rsidRPr="00BC3535" w14:paraId="01D6538C" w14:textId="77777777" w:rsidTr="00D81478">
        <w:trPr>
          <w:trHeight w:val="320"/>
          <w:tblHeader/>
        </w:trPr>
        <w:tc>
          <w:tcPr>
            <w:tcW w:w="1073" w:type="pct"/>
            <w:shd w:val="clear" w:color="auto" w:fill="F5F5F1"/>
            <w:noWrap/>
            <w:hideMark/>
          </w:tcPr>
          <w:p w14:paraId="0B88CDC3" w14:textId="77777777" w:rsidR="007D47A0" w:rsidRPr="00BC3535" w:rsidRDefault="007D47A0" w:rsidP="00D850DC">
            <w:pPr>
              <w:rPr>
                <w:color w:val="000000"/>
              </w:rPr>
            </w:pPr>
            <w:r w:rsidRPr="00BC3535">
              <w:rPr>
                <w:color w:val="000000"/>
              </w:rPr>
              <w:t>36-47</w:t>
            </w:r>
          </w:p>
        </w:tc>
        <w:tc>
          <w:tcPr>
            <w:tcW w:w="979" w:type="pct"/>
            <w:shd w:val="clear" w:color="auto" w:fill="F5F5F1"/>
            <w:noWrap/>
            <w:hideMark/>
          </w:tcPr>
          <w:p w14:paraId="1A4A629F" w14:textId="77777777" w:rsidR="007D47A0" w:rsidRPr="00BC3535" w:rsidRDefault="007D47A0" w:rsidP="00D850DC">
            <w:pPr>
              <w:rPr>
                <w:color w:val="000000"/>
              </w:rPr>
            </w:pPr>
            <w:r w:rsidRPr="00BC3535">
              <w:rPr>
                <w:color w:val="000000"/>
              </w:rPr>
              <w:t>40.5</w:t>
            </w:r>
          </w:p>
        </w:tc>
        <w:tc>
          <w:tcPr>
            <w:tcW w:w="981" w:type="pct"/>
            <w:shd w:val="clear" w:color="auto" w:fill="F5F5F1"/>
            <w:noWrap/>
            <w:hideMark/>
          </w:tcPr>
          <w:p w14:paraId="32B62AC1" w14:textId="77777777" w:rsidR="007D47A0" w:rsidRPr="00BC3535" w:rsidRDefault="007D47A0" w:rsidP="00D850DC">
            <w:pPr>
              <w:rPr>
                <w:color w:val="000000"/>
              </w:rPr>
            </w:pPr>
            <w:r w:rsidRPr="00BC3535">
              <w:rPr>
                <w:color w:val="000000"/>
              </w:rPr>
              <w:t>2,525</w:t>
            </w:r>
          </w:p>
        </w:tc>
        <w:tc>
          <w:tcPr>
            <w:tcW w:w="986" w:type="pct"/>
            <w:shd w:val="clear" w:color="auto" w:fill="F5F5F1"/>
            <w:noWrap/>
            <w:hideMark/>
          </w:tcPr>
          <w:p w14:paraId="11930269" w14:textId="77777777" w:rsidR="007D47A0" w:rsidRPr="00BC3535" w:rsidRDefault="007D47A0" w:rsidP="00D850DC">
            <w:pPr>
              <w:rPr>
                <w:color w:val="000000"/>
              </w:rPr>
            </w:pPr>
            <w:r w:rsidRPr="00BC3535">
              <w:rPr>
                <w:color w:val="000000"/>
              </w:rPr>
              <w:t>24.3</w:t>
            </w:r>
          </w:p>
        </w:tc>
        <w:tc>
          <w:tcPr>
            <w:tcW w:w="981" w:type="pct"/>
            <w:shd w:val="clear" w:color="auto" w:fill="F5F5F1"/>
            <w:noWrap/>
            <w:hideMark/>
          </w:tcPr>
          <w:p w14:paraId="4FD036E2" w14:textId="77777777" w:rsidR="007D47A0" w:rsidRPr="00BC3535" w:rsidRDefault="007D47A0" w:rsidP="00D850DC">
            <w:pPr>
              <w:rPr>
                <w:color w:val="000000"/>
              </w:rPr>
            </w:pPr>
            <w:r w:rsidRPr="00BC3535">
              <w:rPr>
                <w:color w:val="000000"/>
              </w:rPr>
              <w:t>1,856</w:t>
            </w:r>
          </w:p>
        </w:tc>
      </w:tr>
      <w:tr w:rsidR="002E12D5" w:rsidRPr="00BC3535" w14:paraId="43B66616" w14:textId="77777777" w:rsidTr="00D81478">
        <w:trPr>
          <w:trHeight w:val="320"/>
          <w:tblHeader/>
        </w:trPr>
        <w:tc>
          <w:tcPr>
            <w:tcW w:w="1073" w:type="pct"/>
            <w:tcBorders>
              <w:bottom w:val="single" w:sz="12" w:space="0" w:color="auto"/>
            </w:tcBorders>
            <w:shd w:val="clear" w:color="auto" w:fill="F5F5F1"/>
            <w:noWrap/>
            <w:hideMark/>
          </w:tcPr>
          <w:p w14:paraId="164FD45D" w14:textId="77777777" w:rsidR="007D47A0" w:rsidRPr="00BC3535" w:rsidRDefault="007D47A0" w:rsidP="00D850DC">
            <w:pPr>
              <w:rPr>
                <w:color w:val="000000"/>
              </w:rPr>
            </w:pPr>
            <w:r w:rsidRPr="00BC3535">
              <w:rPr>
                <w:color w:val="000000"/>
              </w:rPr>
              <w:t>48-59</w:t>
            </w:r>
          </w:p>
        </w:tc>
        <w:tc>
          <w:tcPr>
            <w:tcW w:w="979" w:type="pct"/>
            <w:tcBorders>
              <w:bottom w:val="single" w:sz="12" w:space="0" w:color="auto"/>
            </w:tcBorders>
            <w:shd w:val="clear" w:color="auto" w:fill="F5F5F1"/>
            <w:noWrap/>
            <w:hideMark/>
          </w:tcPr>
          <w:p w14:paraId="0F92B79A" w14:textId="77777777" w:rsidR="007D47A0" w:rsidRPr="00BC3535" w:rsidRDefault="007D47A0" w:rsidP="00D850DC">
            <w:pPr>
              <w:rPr>
                <w:color w:val="000000"/>
              </w:rPr>
            </w:pPr>
            <w:r w:rsidRPr="00BC3535">
              <w:rPr>
                <w:color w:val="000000"/>
              </w:rPr>
              <w:t>42.7</w:t>
            </w:r>
          </w:p>
        </w:tc>
        <w:tc>
          <w:tcPr>
            <w:tcW w:w="981" w:type="pct"/>
            <w:tcBorders>
              <w:bottom w:val="single" w:sz="12" w:space="0" w:color="auto"/>
            </w:tcBorders>
            <w:shd w:val="clear" w:color="auto" w:fill="F5F5F1"/>
            <w:noWrap/>
            <w:hideMark/>
          </w:tcPr>
          <w:p w14:paraId="0A9A41D3" w14:textId="77777777" w:rsidR="007D47A0" w:rsidRPr="00BC3535" w:rsidRDefault="007D47A0" w:rsidP="00D850DC">
            <w:pPr>
              <w:rPr>
                <w:color w:val="000000"/>
              </w:rPr>
            </w:pPr>
            <w:r w:rsidRPr="00BC3535">
              <w:rPr>
                <w:color w:val="000000"/>
              </w:rPr>
              <w:t>2,519</w:t>
            </w:r>
          </w:p>
        </w:tc>
        <w:tc>
          <w:tcPr>
            <w:tcW w:w="986" w:type="pct"/>
            <w:tcBorders>
              <w:bottom w:val="single" w:sz="12" w:space="0" w:color="auto"/>
            </w:tcBorders>
            <w:shd w:val="clear" w:color="auto" w:fill="F5F5F1"/>
            <w:noWrap/>
            <w:hideMark/>
          </w:tcPr>
          <w:p w14:paraId="5ADBFBF1" w14:textId="77777777" w:rsidR="007D47A0" w:rsidRPr="00BC3535" w:rsidRDefault="007D47A0" w:rsidP="00D850DC">
            <w:pPr>
              <w:rPr>
                <w:color w:val="000000"/>
              </w:rPr>
            </w:pPr>
            <w:r w:rsidRPr="00BC3535">
              <w:rPr>
                <w:color w:val="000000"/>
              </w:rPr>
              <w:t>30.8</w:t>
            </w:r>
          </w:p>
        </w:tc>
        <w:tc>
          <w:tcPr>
            <w:tcW w:w="981" w:type="pct"/>
            <w:tcBorders>
              <w:bottom w:val="single" w:sz="12" w:space="0" w:color="auto"/>
            </w:tcBorders>
            <w:shd w:val="clear" w:color="auto" w:fill="F5F5F1"/>
            <w:noWrap/>
            <w:hideMark/>
          </w:tcPr>
          <w:p w14:paraId="445D208C" w14:textId="77777777" w:rsidR="007D47A0" w:rsidRPr="00BC3535" w:rsidRDefault="007D47A0" w:rsidP="00D850DC">
            <w:pPr>
              <w:rPr>
                <w:color w:val="000000"/>
              </w:rPr>
            </w:pPr>
            <w:r w:rsidRPr="00BC3535">
              <w:rPr>
                <w:color w:val="000000"/>
              </w:rPr>
              <w:t>1,817</w:t>
            </w:r>
          </w:p>
        </w:tc>
      </w:tr>
      <w:tr w:rsidR="00D81478" w:rsidRPr="00BC3535" w14:paraId="29BE7BF7" w14:textId="77777777" w:rsidTr="00D81478">
        <w:trPr>
          <w:trHeight w:val="320"/>
          <w:tblHeader/>
        </w:trPr>
        <w:tc>
          <w:tcPr>
            <w:tcW w:w="5000" w:type="pct"/>
            <w:gridSpan w:val="5"/>
            <w:tcBorders>
              <w:top w:val="single" w:sz="12" w:space="0" w:color="auto"/>
              <w:bottom w:val="single" w:sz="12" w:space="0" w:color="auto"/>
            </w:tcBorders>
            <w:shd w:val="clear" w:color="auto" w:fill="F5F5F1"/>
            <w:noWrap/>
            <w:vAlign w:val="center"/>
            <w:hideMark/>
          </w:tcPr>
          <w:p w14:paraId="7C998CE1" w14:textId="71D3852A" w:rsidR="00D81478" w:rsidRPr="00BC3535" w:rsidRDefault="00D81478" w:rsidP="00D850DC">
            <w:r w:rsidRPr="00BC3535">
              <w:rPr>
                <w:b/>
                <w:bCs/>
                <w:i/>
                <w:iCs/>
                <w:color w:val="000000"/>
              </w:rPr>
              <w:t>Wealth quintile</w:t>
            </w:r>
          </w:p>
        </w:tc>
      </w:tr>
      <w:tr w:rsidR="007D47A0" w:rsidRPr="00BC3535" w14:paraId="6E4E5C42" w14:textId="77777777" w:rsidTr="00D81478">
        <w:trPr>
          <w:trHeight w:val="320"/>
          <w:tblHeader/>
        </w:trPr>
        <w:tc>
          <w:tcPr>
            <w:tcW w:w="1073" w:type="pct"/>
            <w:tcBorders>
              <w:top w:val="single" w:sz="12" w:space="0" w:color="auto"/>
            </w:tcBorders>
            <w:shd w:val="clear" w:color="auto" w:fill="F5F5F1"/>
            <w:noWrap/>
            <w:hideMark/>
          </w:tcPr>
          <w:p w14:paraId="0BA67FAF" w14:textId="77777777" w:rsidR="007D47A0" w:rsidRPr="00BC3535" w:rsidRDefault="007D47A0" w:rsidP="00D850DC">
            <w:pPr>
              <w:rPr>
                <w:color w:val="000000"/>
              </w:rPr>
            </w:pPr>
            <w:r w:rsidRPr="00BC3535">
              <w:rPr>
                <w:color w:val="000000"/>
              </w:rPr>
              <w:t>Lowest</w:t>
            </w:r>
          </w:p>
        </w:tc>
        <w:tc>
          <w:tcPr>
            <w:tcW w:w="979" w:type="pct"/>
            <w:tcBorders>
              <w:top w:val="single" w:sz="12" w:space="0" w:color="auto"/>
            </w:tcBorders>
            <w:shd w:val="clear" w:color="auto" w:fill="F5F5F1"/>
            <w:noWrap/>
            <w:hideMark/>
          </w:tcPr>
          <w:p w14:paraId="0D7D24F5" w14:textId="77777777" w:rsidR="007D47A0" w:rsidRPr="00BC3535" w:rsidRDefault="007D47A0" w:rsidP="00D850DC">
            <w:pPr>
              <w:rPr>
                <w:color w:val="000000"/>
              </w:rPr>
            </w:pPr>
            <w:r w:rsidRPr="00BC3535">
              <w:rPr>
                <w:color w:val="000000"/>
              </w:rPr>
              <w:t>57.1</w:t>
            </w:r>
          </w:p>
        </w:tc>
        <w:tc>
          <w:tcPr>
            <w:tcW w:w="981" w:type="pct"/>
            <w:tcBorders>
              <w:top w:val="single" w:sz="12" w:space="0" w:color="auto"/>
            </w:tcBorders>
            <w:shd w:val="clear" w:color="auto" w:fill="F5F5F1"/>
            <w:noWrap/>
            <w:hideMark/>
          </w:tcPr>
          <w:p w14:paraId="14FF9051" w14:textId="77777777" w:rsidR="007D47A0" w:rsidRPr="00BC3535" w:rsidRDefault="007D47A0" w:rsidP="00D850DC">
            <w:pPr>
              <w:rPr>
                <w:color w:val="000000"/>
              </w:rPr>
            </w:pPr>
            <w:r w:rsidRPr="00BC3535">
              <w:rPr>
                <w:color w:val="000000"/>
              </w:rPr>
              <w:t>2,115</w:t>
            </w:r>
          </w:p>
        </w:tc>
        <w:tc>
          <w:tcPr>
            <w:tcW w:w="986" w:type="pct"/>
            <w:tcBorders>
              <w:top w:val="single" w:sz="12" w:space="0" w:color="auto"/>
            </w:tcBorders>
            <w:shd w:val="clear" w:color="auto" w:fill="F5F5F1"/>
            <w:noWrap/>
            <w:hideMark/>
          </w:tcPr>
          <w:p w14:paraId="2B502794" w14:textId="77777777" w:rsidR="007D47A0" w:rsidRPr="00BC3535" w:rsidRDefault="007D47A0" w:rsidP="00D850DC">
            <w:pPr>
              <w:rPr>
                <w:color w:val="000000"/>
              </w:rPr>
            </w:pPr>
            <w:r w:rsidRPr="00BC3535">
              <w:rPr>
                <w:color w:val="000000"/>
              </w:rPr>
              <w:t>38.4</w:t>
            </w:r>
          </w:p>
        </w:tc>
        <w:tc>
          <w:tcPr>
            <w:tcW w:w="981" w:type="pct"/>
            <w:tcBorders>
              <w:top w:val="single" w:sz="12" w:space="0" w:color="auto"/>
            </w:tcBorders>
            <w:shd w:val="clear" w:color="auto" w:fill="F5F5F1"/>
            <w:noWrap/>
            <w:hideMark/>
          </w:tcPr>
          <w:p w14:paraId="3D0B1C6D" w14:textId="77777777" w:rsidR="007D47A0" w:rsidRPr="00BC3535" w:rsidRDefault="007D47A0" w:rsidP="00D850DC">
            <w:pPr>
              <w:rPr>
                <w:color w:val="000000"/>
              </w:rPr>
            </w:pPr>
            <w:r w:rsidRPr="00BC3535">
              <w:rPr>
                <w:color w:val="000000"/>
              </w:rPr>
              <w:t>1,479</w:t>
            </w:r>
          </w:p>
        </w:tc>
      </w:tr>
      <w:tr w:rsidR="007D47A0" w:rsidRPr="00BC3535" w14:paraId="2D7CEF20" w14:textId="77777777" w:rsidTr="00D81478">
        <w:trPr>
          <w:trHeight w:val="320"/>
          <w:tblHeader/>
        </w:trPr>
        <w:tc>
          <w:tcPr>
            <w:tcW w:w="1073" w:type="pct"/>
            <w:shd w:val="clear" w:color="auto" w:fill="F5F5F1"/>
            <w:noWrap/>
            <w:hideMark/>
          </w:tcPr>
          <w:p w14:paraId="4F3647F0" w14:textId="77777777" w:rsidR="007D47A0" w:rsidRPr="00BC3535" w:rsidRDefault="007D47A0" w:rsidP="00D850DC">
            <w:pPr>
              <w:rPr>
                <w:color w:val="000000"/>
              </w:rPr>
            </w:pPr>
            <w:r w:rsidRPr="00BC3535">
              <w:rPr>
                <w:color w:val="000000"/>
              </w:rPr>
              <w:t>Second</w:t>
            </w:r>
          </w:p>
        </w:tc>
        <w:tc>
          <w:tcPr>
            <w:tcW w:w="979" w:type="pct"/>
            <w:shd w:val="clear" w:color="auto" w:fill="F5F5F1"/>
            <w:noWrap/>
            <w:hideMark/>
          </w:tcPr>
          <w:p w14:paraId="707294AE" w14:textId="77777777" w:rsidR="007D47A0" w:rsidRPr="00BC3535" w:rsidRDefault="007D47A0" w:rsidP="00D850DC">
            <w:pPr>
              <w:rPr>
                <w:color w:val="000000"/>
              </w:rPr>
            </w:pPr>
            <w:r w:rsidRPr="00BC3535">
              <w:rPr>
                <w:color w:val="000000"/>
              </w:rPr>
              <w:t>50.3</w:t>
            </w:r>
          </w:p>
        </w:tc>
        <w:tc>
          <w:tcPr>
            <w:tcW w:w="981" w:type="pct"/>
            <w:shd w:val="clear" w:color="auto" w:fill="F5F5F1"/>
            <w:noWrap/>
            <w:hideMark/>
          </w:tcPr>
          <w:p w14:paraId="76BED6E3" w14:textId="77777777" w:rsidR="007D47A0" w:rsidRPr="00BC3535" w:rsidRDefault="007D47A0" w:rsidP="00D850DC">
            <w:pPr>
              <w:rPr>
                <w:color w:val="000000"/>
              </w:rPr>
            </w:pPr>
            <w:r w:rsidRPr="00BC3535">
              <w:rPr>
                <w:color w:val="000000"/>
              </w:rPr>
              <w:t>2,230</w:t>
            </w:r>
          </w:p>
        </w:tc>
        <w:tc>
          <w:tcPr>
            <w:tcW w:w="986" w:type="pct"/>
            <w:shd w:val="clear" w:color="auto" w:fill="F5F5F1"/>
            <w:noWrap/>
            <w:hideMark/>
          </w:tcPr>
          <w:p w14:paraId="1246B017" w14:textId="77777777" w:rsidR="007D47A0" w:rsidRPr="00BC3535" w:rsidRDefault="007D47A0" w:rsidP="00D850DC">
            <w:pPr>
              <w:rPr>
                <w:color w:val="000000"/>
              </w:rPr>
            </w:pPr>
            <w:r w:rsidRPr="00BC3535">
              <w:rPr>
                <w:color w:val="000000"/>
              </w:rPr>
              <w:t>33.6</w:t>
            </w:r>
          </w:p>
        </w:tc>
        <w:tc>
          <w:tcPr>
            <w:tcW w:w="981" w:type="pct"/>
            <w:shd w:val="clear" w:color="auto" w:fill="F5F5F1"/>
            <w:noWrap/>
            <w:hideMark/>
          </w:tcPr>
          <w:p w14:paraId="3CDE0BF1" w14:textId="77777777" w:rsidR="007D47A0" w:rsidRPr="00BC3535" w:rsidRDefault="007D47A0" w:rsidP="00D850DC">
            <w:pPr>
              <w:rPr>
                <w:color w:val="000000"/>
              </w:rPr>
            </w:pPr>
            <w:r w:rsidRPr="00BC3535">
              <w:rPr>
                <w:color w:val="000000"/>
              </w:rPr>
              <w:t>1,572</w:t>
            </w:r>
          </w:p>
        </w:tc>
      </w:tr>
      <w:tr w:rsidR="007D47A0" w:rsidRPr="00BC3535" w14:paraId="344F8908" w14:textId="77777777" w:rsidTr="00D81478">
        <w:trPr>
          <w:trHeight w:val="320"/>
          <w:tblHeader/>
        </w:trPr>
        <w:tc>
          <w:tcPr>
            <w:tcW w:w="1073" w:type="pct"/>
            <w:shd w:val="clear" w:color="auto" w:fill="F5F5F1"/>
            <w:noWrap/>
            <w:hideMark/>
          </w:tcPr>
          <w:p w14:paraId="2CEE588C" w14:textId="77777777" w:rsidR="007D47A0" w:rsidRPr="00BC3535" w:rsidRDefault="007D47A0" w:rsidP="00D850DC">
            <w:pPr>
              <w:rPr>
                <w:color w:val="000000"/>
              </w:rPr>
            </w:pPr>
            <w:r w:rsidRPr="00BC3535">
              <w:rPr>
                <w:color w:val="000000"/>
              </w:rPr>
              <w:t>Middle</w:t>
            </w:r>
          </w:p>
        </w:tc>
        <w:tc>
          <w:tcPr>
            <w:tcW w:w="979" w:type="pct"/>
            <w:shd w:val="clear" w:color="auto" w:fill="F5F5F1"/>
            <w:noWrap/>
            <w:hideMark/>
          </w:tcPr>
          <w:p w14:paraId="4EC7B5FF" w14:textId="77777777" w:rsidR="007D47A0" w:rsidRPr="00BC3535" w:rsidRDefault="007D47A0" w:rsidP="00D850DC">
            <w:pPr>
              <w:rPr>
                <w:color w:val="000000"/>
              </w:rPr>
            </w:pPr>
            <w:r w:rsidRPr="00BC3535">
              <w:rPr>
                <w:color w:val="000000"/>
              </w:rPr>
              <w:t>38.6</w:t>
            </w:r>
          </w:p>
        </w:tc>
        <w:tc>
          <w:tcPr>
            <w:tcW w:w="981" w:type="pct"/>
            <w:shd w:val="clear" w:color="auto" w:fill="F5F5F1"/>
            <w:noWrap/>
            <w:hideMark/>
          </w:tcPr>
          <w:p w14:paraId="5E9DC7E2" w14:textId="77777777" w:rsidR="007D47A0" w:rsidRPr="00BC3535" w:rsidRDefault="007D47A0" w:rsidP="00D850DC">
            <w:pPr>
              <w:rPr>
                <w:color w:val="000000"/>
              </w:rPr>
            </w:pPr>
            <w:r w:rsidRPr="00BC3535">
              <w:rPr>
                <w:color w:val="000000"/>
              </w:rPr>
              <w:t>2,398</w:t>
            </w:r>
          </w:p>
        </w:tc>
        <w:tc>
          <w:tcPr>
            <w:tcW w:w="986" w:type="pct"/>
            <w:shd w:val="clear" w:color="auto" w:fill="F5F5F1"/>
            <w:noWrap/>
            <w:hideMark/>
          </w:tcPr>
          <w:p w14:paraId="660A178B" w14:textId="77777777" w:rsidR="007D47A0" w:rsidRPr="00BC3535" w:rsidRDefault="007D47A0" w:rsidP="00D850DC">
            <w:pPr>
              <w:rPr>
                <w:color w:val="000000"/>
              </w:rPr>
            </w:pPr>
            <w:r w:rsidRPr="00BC3535">
              <w:rPr>
                <w:color w:val="000000"/>
              </w:rPr>
              <w:t>24.2</w:t>
            </w:r>
          </w:p>
        </w:tc>
        <w:tc>
          <w:tcPr>
            <w:tcW w:w="981" w:type="pct"/>
            <w:shd w:val="clear" w:color="auto" w:fill="F5F5F1"/>
            <w:noWrap/>
            <w:hideMark/>
          </w:tcPr>
          <w:p w14:paraId="2C3625A9" w14:textId="77777777" w:rsidR="007D47A0" w:rsidRPr="00BC3535" w:rsidRDefault="007D47A0" w:rsidP="00D850DC">
            <w:pPr>
              <w:rPr>
                <w:color w:val="000000"/>
              </w:rPr>
            </w:pPr>
            <w:r w:rsidRPr="00BC3535">
              <w:rPr>
                <w:color w:val="000000"/>
              </w:rPr>
              <w:t>1,750</w:t>
            </w:r>
          </w:p>
        </w:tc>
      </w:tr>
      <w:tr w:rsidR="007D47A0" w:rsidRPr="00BC3535" w14:paraId="70D848B0" w14:textId="77777777" w:rsidTr="00D81478">
        <w:trPr>
          <w:trHeight w:val="320"/>
          <w:tblHeader/>
        </w:trPr>
        <w:tc>
          <w:tcPr>
            <w:tcW w:w="1073" w:type="pct"/>
            <w:shd w:val="clear" w:color="auto" w:fill="F5F5F1"/>
            <w:noWrap/>
            <w:hideMark/>
          </w:tcPr>
          <w:p w14:paraId="6A48BA11" w14:textId="77777777" w:rsidR="007D47A0" w:rsidRPr="00BC3535" w:rsidRDefault="007D47A0" w:rsidP="00D850DC">
            <w:pPr>
              <w:rPr>
                <w:color w:val="000000"/>
              </w:rPr>
            </w:pPr>
            <w:r w:rsidRPr="00BC3535">
              <w:rPr>
                <w:color w:val="000000"/>
              </w:rPr>
              <w:t>Fourth</w:t>
            </w:r>
          </w:p>
        </w:tc>
        <w:tc>
          <w:tcPr>
            <w:tcW w:w="979" w:type="pct"/>
            <w:shd w:val="clear" w:color="auto" w:fill="F5F5F1"/>
            <w:noWrap/>
            <w:hideMark/>
          </w:tcPr>
          <w:p w14:paraId="031706EE" w14:textId="77777777" w:rsidR="007D47A0" w:rsidRPr="00BC3535" w:rsidRDefault="007D47A0" w:rsidP="00D850DC">
            <w:pPr>
              <w:rPr>
                <w:color w:val="000000"/>
              </w:rPr>
            </w:pPr>
            <w:r w:rsidRPr="00BC3535">
              <w:rPr>
                <w:color w:val="000000"/>
              </w:rPr>
              <w:t>25.9</w:t>
            </w:r>
          </w:p>
        </w:tc>
        <w:tc>
          <w:tcPr>
            <w:tcW w:w="981" w:type="pct"/>
            <w:shd w:val="clear" w:color="auto" w:fill="F5F5F1"/>
            <w:noWrap/>
            <w:hideMark/>
          </w:tcPr>
          <w:p w14:paraId="25718964" w14:textId="77777777" w:rsidR="007D47A0" w:rsidRPr="00BC3535" w:rsidRDefault="007D47A0" w:rsidP="00D850DC">
            <w:pPr>
              <w:rPr>
                <w:color w:val="000000"/>
              </w:rPr>
            </w:pPr>
            <w:r w:rsidRPr="00BC3535">
              <w:rPr>
                <w:color w:val="000000"/>
              </w:rPr>
              <w:t>2,377</w:t>
            </w:r>
          </w:p>
        </w:tc>
        <w:tc>
          <w:tcPr>
            <w:tcW w:w="986" w:type="pct"/>
            <w:shd w:val="clear" w:color="auto" w:fill="F5F5F1"/>
            <w:noWrap/>
            <w:hideMark/>
          </w:tcPr>
          <w:p w14:paraId="0FB08C43" w14:textId="77777777" w:rsidR="007D47A0" w:rsidRPr="00BC3535" w:rsidRDefault="007D47A0" w:rsidP="00D850DC">
            <w:pPr>
              <w:rPr>
                <w:color w:val="000000"/>
              </w:rPr>
            </w:pPr>
            <w:r w:rsidRPr="00BC3535">
              <w:rPr>
                <w:color w:val="000000"/>
              </w:rPr>
              <w:t>14.7</w:t>
            </w:r>
          </w:p>
        </w:tc>
        <w:tc>
          <w:tcPr>
            <w:tcW w:w="981" w:type="pct"/>
            <w:shd w:val="clear" w:color="auto" w:fill="F5F5F1"/>
            <w:noWrap/>
            <w:hideMark/>
          </w:tcPr>
          <w:p w14:paraId="0301A309" w14:textId="77777777" w:rsidR="007D47A0" w:rsidRPr="00BC3535" w:rsidRDefault="007D47A0" w:rsidP="00D850DC">
            <w:pPr>
              <w:rPr>
                <w:color w:val="000000"/>
              </w:rPr>
            </w:pPr>
            <w:r w:rsidRPr="00BC3535">
              <w:rPr>
                <w:color w:val="000000"/>
              </w:rPr>
              <w:t>1,765</w:t>
            </w:r>
          </w:p>
        </w:tc>
      </w:tr>
      <w:tr w:rsidR="007D47A0" w:rsidRPr="00BC3535" w14:paraId="75D2CF00" w14:textId="77777777" w:rsidTr="00D81478">
        <w:trPr>
          <w:trHeight w:val="320"/>
          <w:tblHeader/>
        </w:trPr>
        <w:tc>
          <w:tcPr>
            <w:tcW w:w="1073" w:type="pct"/>
            <w:tcBorders>
              <w:bottom w:val="single" w:sz="12" w:space="0" w:color="auto"/>
            </w:tcBorders>
            <w:shd w:val="clear" w:color="auto" w:fill="F5F5F1"/>
            <w:noWrap/>
            <w:hideMark/>
          </w:tcPr>
          <w:p w14:paraId="34697F87" w14:textId="77777777" w:rsidR="007D47A0" w:rsidRPr="00BC3535" w:rsidRDefault="007D47A0" w:rsidP="00D850DC">
            <w:pPr>
              <w:rPr>
                <w:color w:val="000000"/>
              </w:rPr>
            </w:pPr>
            <w:r w:rsidRPr="00BC3535">
              <w:rPr>
                <w:color w:val="000000"/>
              </w:rPr>
              <w:t>Highest</w:t>
            </w:r>
          </w:p>
        </w:tc>
        <w:tc>
          <w:tcPr>
            <w:tcW w:w="979" w:type="pct"/>
            <w:tcBorders>
              <w:bottom w:val="single" w:sz="12" w:space="0" w:color="auto"/>
            </w:tcBorders>
            <w:shd w:val="clear" w:color="auto" w:fill="F5F5F1"/>
            <w:noWrap/>
            <w:hideMark/>
          </w:tcPr>
          <w:p w14:paraId="4E4E248D" w14:textId="77777777" w:rsidR="007D47A0" w:rsidRPr="00BC3535" w:rsidRDefault="007D47A0" w:rsidP="00D850DC">
            <w:pPr>
              <w:rPr>
                <w:color w:val="000000"/>
              </w:rPr>
            </w:pPr>
            <w:r w:rsidRPr="00BC3535">
              <w:rPr>
                <w:color w:val="000000"/>
              </w:rPr>
              <w:t>10.7</w:t>
            </w:r>
          </w:p>
        </w:tc>
        <w:tc>
          <w:tcPr>
            <w:tcW w:w="981" w:type="pct"/>
            <w:tcBorders>
              <w:bottom w:val="single" w:sz="12" w:space="0" w:color="auto"/>
            </w:tcBorders>
            <w:shd w:val="clear" w:color="auto" w:fill="F5F5F1"/>
            <w:noWrap/>
            <w:hideMark/>
          </w:tcPr>
          <w:p w14:paraId="26DD0C24" w14:textId="77777777" w:rsidR="007D47A0" w:rsidRPr="00BC3535" w:rsidRDefault="007D47A0" w:rsidP="00D850DC">
            <w:pPr>
              <w:rPr>
                <w:color w:val="000000"/>
              </w:rPr>
            </w:pPr>
            <w:r w:rsidRPr="00BC3535">
              <w:rPr>
                <w:color w:val="000000"/>
              </w:rPr>
              <w:t>2,231</w:t>
            </w:r>
          </w:p>
        </w:tc>
        <w:tc>
          <w:tcPr>
            <w:tcW w:w="986" w:type="pct"/>
            <w:tcBorders>
              <w:bottom w:val="single" w:sz="12" w:space="0" w:color="auto"/>
            </w:tcBorders>
            <w:shd w:val="clear" w:color="auto" w:fill="F5F5F1"/>
            <w:noWrap/>
            <w:hideMark/>
          </w:tcPr>
          <w:p w14:paraId="09278F88" w14:textId="77777777" w:rsidR="007D47A0" w:rsidRPr="00BC3535" w:rsidRDefault="007D47A0" w:rsidP="00D850DC">
            <w:pPr>
              <w:rPr>
                <w:color w:val="000000"/>
              </w:rPr>
            </w:pPr>
            <w:r w:rsidRPr="00BC3535">
              <w:rPr>
                <w:color w:val="000000"/>
              </w:rPr>
              <w:t>5.7</w:t>
            </w:r>
          </w:p>
        </w:tc>
        <w:tc>
          <w:tcPr>
            <w:tcW w:w="981" w:type="pct"/>
            <w:tcBorders>
              <w:bottom w:val="single" w:sz="12" w:space="0" w:color="auto"/>
            </w:tcBorders>
            <w:shd w:val="clear" w:color="auto" w:fill="F5F5F1"/>
            <w:noWrap/>
            <w:hideMark/>
          </w:tcPr>
          <w:p w14:paraId="4DBA0EB3" w14:textId="77777777" w:rsidR="007D47A0" w:rsidRPr="00BC3535" w:rsidRDefault="007D47A0" w:rsidP="00D850DC">
            <w:pPr>
              <w:rPr>
                <w:color w:val="000000"/>
              </w:rPr>
            </w:pPr>
            <w:r w:rsidRPr="00BC3535">
              <w:rPr>
                <w:color w:val="000000"/>
              </w:rPr>
              <w:t>1,731</w:t>
            </w:r>
          </w:p>
        </w:tc>
      </w:tr>
      <w:tr w:rsidR="007D47A0" w:rsidRPr="00BC3535" w14:paraId="745E7577" w14:textId="77777777" w:rsidTr="007D47A0">
        <w:trPr>
          <w:trHeight w:val="320"/>
          <w:tblHeader/>
        </w:trPr>
        <w:tc>
          <w:tcPr>
            <w:tcW w:w="5000" w:type="pct"/>
            <w:gridSpan w:val="5"/>
            <w:tcBorders>
              <w:top w:val="single" w:sz="12" w:space="0" w:color="auto"/>
            </w:tcBorders>
            <w:noWrap/>
          </w:tcPr>
          <w:p w14:paraId="335C3B5F" w14:textId="77777777" w:rsidR="007D47A0" w:rsidRPr="00BC3535" w:rsidRDefault="007D47A0" w:rsidP="00D850DC">
            <w:pPr>
              <w:rPr>
                <w:color w:val="000000"/>
                <w:sz w:val="18"/>
                <w:szCs w:val="18"/>
              </w:rPr>
            </w:pPr>
            <w:r w:rsidRPr="00BC3535">
              <w:rPr>
                <w:i/>
                <w:iCs/>
                <w:color w:val="000000"/>
                <w:sz w:val="18"/>
                <w:szCs w:val="18"/>
              </w:rPr>
              <w:t>Source</w:t>
            </w:r>
            <w:r w:rsidRPr="00BC3535">
              <w:rPr>
                <w:color w:val="000000"/>
                <w:sz w:val="18"/>
                <w:szCs w:val="18"/>
              </w:rPr>
              <w:t xml:space="preserve">: National Population Commission and ICF, </w:t>
            </w:r>
            <w:r w:rsidRPr="00BC3535">
              <w:rPr>
                <w:i/>
                <w:iCs/>
                <w:color w:val="000000"/>
                <w:sz w:val="18"/>
                <w:szCs w:val="18"/>
              </w:rPr>
              <w:t>Nigeria Demographic and Health Survey 2018</w:t>
            </w:r>
            <w:r w:rsidRPr="00BC3535">
              <w:rPr>
                <w:color w:val="000000"/>
                <w:sz w:val="18"/>
                <w:szCs w:val="18"/>
              </w:rPr>
              <w:t xml:space="preserve"> (Abuja, Nigeria, NPC; Rockville, Maryland, USA, ICF, 2019), p. 330</w:t>
            </w:r>
          </w:p>
        </w:tc>
      </w:tr>
    </w:tbl>
    <w:p w14:paraId="76BCAE57" w14:textId="77777777" w:rsidR="00D81478" w:rsidRPr="00BC3535" w:rsidRDefault="00D81478" w:rsidP="00D850DC"/>
    <w:p w14:paraId="38A18A42" w14:textId="6D5ED2D8" w:rsidR="00FA5E66" w:rsidRPr="00BC3535" w:rsidRDefault="00FA5E66" w:rsidP="00D850DC">
      <w:r w:rsidRPr="00BC3535">
        <w:t>In the United States of America,</w:t>
      </w:r>
      <w:r w:rsidR="00345D66" w:rsidRPr="00BC3535">
        <w:t xml:space="preserve"> the</w:t>
      </w:r>
      <w:r w:rsidRPr="00BC3535">
        <w:t xml:space="preserve"> </w:t>
      </w:r>
      <w:hyperlink r:id="rId29" w:history="1">
        <w:r w:rsidR="00345D66" w:rsidRPr="00BC3535">
          <w:rPr>
            <w:rStyle w:val="Hyperlink"/>
            <w:rFonts w:cstheme="minorHAnsi"/>
          </w:rPr>
          <w:t>National Health and Nutrition Survey</w:t>
        </w:r>
      </w:hyperlink>
      <w:r w:rsidRPr="00BC3535">
        <w:t xml:space="preserve"> combines interviews and physical examinations. It tests for Hepatitis B and Tuberculosis. It also has disability questions, so it could be used to produce an indicator for prevalence, as can be seen in Table 3, although the report does not currently include it. Note that this is different from incidence - incidence refers to individuals who ever had the disease, while prevalence is those who currently have the disease.</w:t>
      </w:r>
    </w:p>
    <w:p w14:paraId="141F1BF9" w14:textId="56C78BE7" w:rsidR="00FA5E66" w:rsidRPr="00BC3535" w:rsidRDefault="00FA5E66" w:rsidP="00D81478">
      <w:pPr>
        <w:pStyle w:val="TableHeader"/>
        <w:rPr>
          <w:rFonts w:eastAsiaTheme="majorEastAsia" w:cstheme="majorBidi"/>
        </w:rPr>
      </w:pPr>
      <w:r w:rsidRPr="00BC3535">
        <w:rPr>
          <w:rFonts w:eastAsiaTheme="majorEastAsia" w:cstheme="majorBidi"/>
          <w:b/>
          <w:bCs w:val="0"/>
        </w:rPr>
        <w:lastRenderedPageBreak/>
        <w:t>Table 3:</w:t>
      </w:r>
      <w:r w:rsidR="009855D7" w:rsidRPr="00BC3535">
        <w:rPr>
          <w:rFonts w:eastAsiaTheme="majorEastAsia" w:cstheme="majorBidi"/>
        </w:rPr>
        <w:t xml:space="preserve"> </w:t>
      </w:r>
      <w:r w:rsidRPr="00BC3535">
        <w:rPr>
          <w:rFonts w:eastAsiaTheme="majorEastAsia" w:cstheme="majorBidi"/>
        </w:rPr>
        <w:t xml:space="preserve">Age-adjusted prevalence of past or present hepatitis B virus infection among adults aged 18 and over, by sex, race and Hispanic origin, and U.S. birth status: </w:t>
      </w:r>
      <w:proofErr w:type="gramStart"/>
      <w:r w:rsidRPr="00BC3535">
        <w:rPr>
          <w:rFonts w:eastAsiaTheme="majorEastAsia" w:cstheme="majorBidi"/>
        </w:rPr>
        <w:t>the</w:t>
      </w:r>
      <w:proofErr w:type="gramEnd"/>
      <w:r w:rsidRPr="00BC3535">
        <w:rPr>
          <w:rFonts w:eastAsiaTheme="majorEastAsia" w:cstheme="majorBidi"/>
        </w:rPr>
        <w:t xml:space="preserve"> United States of America, 2015–2018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Age-adjusted prevalence of past or present hepatitis B virus infection among adults aged 18 and over, by sex, race and Hispanic origin, and U.S. birth status: the United States of America, 2015–2018"/>
      </w:tblPr>
      <w:tblGrid>
        <w:gridCol w:w="5229"/>
        <w:gridCol w:w="3771"/>
      </w:tblGrid>
      <w:tr w:rsidR="00FA5E66" w:rsidRPr="00BC3535" w14:paraId="1BEC27A2" w14:textId="77777777" w:rsidTr="00502559">
        <w:trPr>
          <w:tblHeader/>
        </w:trPr>
        <w:tc>
          <w:tcPr>
            <w:tcW w:w="2905" w:type="pct"/>
            <w:tcBorders>
              <w:top w:val="single" w:sz="12" w:space="0" w:color="auto"/>
              <w:bottom w:val="single" w:sz="12" w:space="0" w:color="auto"/>
            </w:tcBorders>
            <w:shd w:val="clear" w:color="auto" w:fill="F5F5F1"/>
          </w:tcPr>
          <w:p w14:paraId="0880D5B6" w14:textId="77777777" w:rsidR="00FA5E66" w:rsidRPr="00BC3535" w:rsidRDefault="00FA5E66" w:rsidP="00D850DC">
            <w:pPr>
              <w:rPr>
                <w:rFonts w:asciiTheme="minorHAnsi" w:hAnsiTheme="minorHAnsi"/>
              </w:rPr>
            </w:pPr>
          </w:p>
        </w:tc>
        <w:tc>
          <w:tcPr>
            <w:tcW w:w="2095" w:type="pct"/>
            <w:tcBorders>
              <w:top w:val="single" w:sz="12" w:space="0" w:color="auto"/>
              <w:bottom w:val="single" w:sz="12" w:space="0" w:color="auto"/>
            </w:tcBorders>
            <w:shd w:val="clear" w:color="auto" w:fill="F5F5F1"/>
            <w:vAlign w:val="center"/>
          </w:tcPr>
          <w:p w14:paraId="51935336" w14:textId="77777777" w:rsidR="00FA5E66" w:rsidRPr="00BC3535" w:rsidRDefault="00FA5E66" w:rsidP="00502559">
            <w:pPr>
              <w:pStyle w:val="TableHeaderRow"/>
            </w:pPr>
            <w:r w:rsidRPr="00BC3535">
              <w:t>Prevalence (%)</w:t>
            </w:r>
          </w:p>
        </w:tc>
      </w:tr>
      <w:tr w:rsidR="00FA5E66" w:rsidRPr="00BC3535" w14:paraId="0C54C3E5" w14:textId="77777777" w:rsidTr="00C02B65">
        <w:trPr>
          <w:tblHeader/>
        </w:trPr>
        <w:tc>
          <w:tcPr>
            <w:tcW w:w="2905" w:type="pct"/>
            <w:tcBorders>
              <w:top w:val="single" w:sz="12" w:space="0" w:color="auto"/>
              <w:bottom w:val="single" w:sz="12" w:space="0" w:color="auto"/>
            </w:tcBorders>
            <w:shd w:val="clear" w:color="auto" w:fill="F5F5F1"/>
          </w:tcPr>
          <w:p w14:paraId="4DB92806" w14:textId="77777777" w:rsidR="00FA5E66" w:rsidRPr="00BC3535" w:rsidRDefault="00FA5E66" w:rsidP="00D850DC">
            <w:r w:rsidRPr="00BC3535">
              <w:t>Total Population</w:t>
            </w:r>
          </w:p>
        </w:tc>
        <w:tc>
          <w:tcPr>
            <w:tcW w:w="2095" w:type="pct"/>
            <w:tcBorders>
              <w:top w:val="single" w:sz="12" w:space="0" w:color="auto"/>
              <w:bottom w:val="single" w:sz="12" w:space="0" w:color="auto"/>
            </w:tcBorders>
            <w:shd w:val="clear" w:color="auto" w:fill="F5F5F1"/>
          </w:tcPr>
          <w:p w14:paraId="53415488" w14:textId="77777777" w:rsidR="00FA5E66" w:rsidRPr="00BC3535" w:rsidRDefault="00FA5E66" w:rsidP="00D850DC">
            <w:r w:rsidRPr="00BC3535">
              <w:t>4.3</w:t>
            </w:r>
          </w:p>
        </w:tc>
      </w:tr>
      <w:tr w:rsidR="00FA5E66" w:rsidRPr="00BC3535" w14:paraId="2AA69C67" w14:textId="77777777" w:rsidTr="00C02B65">
        <w:trPr>
          <w:tblHeader/>
        </w:trPr>
        <w:tc>
          <w:tcPr>
            <w:tcW w:w="2905" w:type="pct"/>
            <w:tcBorders>
              <w:top w:val="single" w:sz="12" w:space="0" w:color="auto"/>
            </w:tcBorders>
            <w:shd w:val="clear" w:color="auto" w:fill="F5F5F1"/>
          </w:tcPr>
          <w:p w14:paraId="2AEBDD8B" w14:textId="77777777" w:rsidR="00FA5E66" w:rsidRPr="00BC3535" w:rsidRDefault="00FA5E66" w:rsidP="00D850DC">
            <w:r w:rsidRPr="00BC3535">
              <w:t>Men</w:t>
            </w:r>
          </w:p>
        </w:tc>
        <w:tc>
          <w:tcPr>
            <w:tcW w:w="2095" w:type="pct"/>
            <w:tcBorders>
              <w:top w:val="single" w:sz="12" w:space="0" w:color="auto"/>
            </w:tcBorders>
            <w:shd w:val="clear" w:color="auto" w:fill="F5F5F1"/>
          </w:tcPr>
          <w:p w14:paraId="359EDD90" w14:textId="77777777" w:rsidR="00FA5E66" w:rsidRPr="00BC3535" w:rsidRDefault="00FA5E66" w:rsidP="00D850DC">
            <w:r w:rsidRPr="00BC3535">
              <w:t>5.3</w:t>
            </w:r>
          </w:p>
        </w:tc>
      </w:tr>
      <w:tr w:rsidR="00FA5E66" w:rsidRPr="00BC3535" w14:paraId="1A3E6EFA" w14:textId="77777777" w:rsidTr="00D81478">
        <w:trPr>
          <w:tblHeader/>
        </w:trPr>
        <w:tc>
          <w:tcPr>
            <w:tcW w:w="2905" w:type="pct"/>
            <w:shd w:val="clear" w:color="auto" w:fill="F5F5F1"/>
          </w:tcPr>
          <w:p w14:paraId="54CAF302" w14:textId="77777777" w:rsidR="00FA5E66" w:rsidRPr="00BC3535" w:rsidRDefault="00FA5E66" w:rsidP="00D850DC">
            <w:r w:rsidRPr="00BC3535">
              <w:t>Women</w:t>
            </w:r>
          </w:p>
        </w:tc>
        <w:tc>
          <w:tcPr>
            <w:tcW w:w="2095" w:type="pct"/>
            <w:shd w:val="clear" w:color="auto" w:fill="F5F5F1"/>
          </w:tcPr>
          <w:p w14:paraId="08D97A88" w14:textId="77777777" w:rsidR="00FA5E66" w:rsidRPr="00BC3535" w:rsidRDefault="00FA5E66" w:rsidP="00D850DC">
            <w:r w:rsidRPr="00BC3535">
              <w:t>3.4</w:t>
            </w:r>
          </w:p>
        </w:tc>
      </w:tr>
      <w:tr w:rsidR="00FA5E66" w:rsidRPr="00BC3535" w14:paraId="623DA3E9" w14:textId="77777777" w:rsidTr="00D81478">
        <w:trPr>
          <w:tblHeader/>
        </w:trPr>
        <w:tc>
          <w:tcPr>
            <w:tcW w:w="2905" w:type="pct"/>
            <w:shd w:val="clear" w:color="auto" w:fill="F5F5F1"/>
          </w:tcPr>
          <w:p w14:paraId="68342FCE" w14:textId="77777777" w:rsidR="00FA5E66" w:rsidRPr="00BC3535" w:rsidRDefault="00FA5E66" w:rsidP="00D850DC">
            <w:r w:rsidRPr="00BC3535">
              <w:t>Non-Hispanic white</w:t>
            </w:r>
          </w:p>
        </w:tc>
        <w:tc>
          <w:tcPr>
            <w:tcW w:w="2095" w:type="pct"/>
            <w:shd w:val="clear" w:color="auto" w:fill="F5F5F1"/>
          </w:tcPr>
          <w:p w14:paraId="351ADA83" w14:textId="77777777" w:rsidR="00FA5E66" w:rsidRPr="00BC3535" w:rsidRDefault="00FA5E66" w:rsidP="00D850DC">
            <w:r w:rsidRPr="00BC3535">
              <w:t>2.1</w:t>
            </w:r>
          </w:p>
        </w:tc>
      </w:tr>
      <w:tr w:rsidR="00FA5E66" w:rsidRPr="00BC3535" w14:paraId="67ADC4FF" w14:textId="77777777" w:rsidTr="00D81478">
        <w:trPr>
          <w:tblHeader/>
        </w:trPr>
        <w:tc>
          <w:tcPr>
            <w:tcW w:w="2905" w:type="pct"/>
            <w:shd w:val="clear" w:color="auto" w:fill="F5F5F1"/>
          </w:tcPr>
          <w:p w14:paraId="71C6170E" w14:textId="77777777" w:rsidR="00FA5E66" w:rsidRPr="00BC3535" w:rsidRDefault="00FA5E66" w:rsidP="00D850DC">
            <w:r w:rsidRPr="00BC3535">
              <w:t>Non-Hispanic black</w:t>
            </w:r>
          </w:p>
        </w:tc>
        <w:tc>
          <w:tcPr>
            <w:tcW w:w="2095" w:type="pct"/>
            <w:shd w:val="clear" w:color="auto" w:fill="F5F5F1"/>
          </w:tcPr>
          <w:p w14:paraId="576F6620" w14:textId="77777777" w:rsidR="00FA5E66" w:rsidRPr="00BC3535" w:rsidRDefault="00FA5E66" w:rsidP="00D850DC">
            <w:r w:rsidRPr="00BC3535">
              <w:t>10.8</w:t>
            </w:r>
          </w:p>
        </w:tc>
      </w:tr>
      <w:tr w:rsidR="00FA5E66" w:rsidRPr="00BC3535" w14:paraId="139D0460" w14:textId="77777777" w:rsidTr="00C02B65">
        <w:trPr>
          <w:tblHeader/>
        </w:trPr>
        <w:tc>
          <w:tcPr>
            <w:tcW w:w="2905" w:type="pct"/>
            <w:shd w:val="clear" w:color="auto" w:fill="F5F5F1"/>
          </w:tcPr>
          <w:p w14:paraId="106B4FA5" w14:textId="77777777" w:rsidR="00FA5E66" w:rsidRPr="00BC3535" w:rsidRDefault="00FA5E66" w:rsidP="00D850DC">
            <w:r w:rsidRPr="00BC3535">
              <w:t>Non-Hispanic Asian</w:t>
            </w:r>
          </w:p>
        </w:tc>
        <w:tc>
          <w:tcPr>
            <w:tcW w:w="2095" w:type="pct"/>
            <w:shd w:val="clear" w:color="auto" w:fill="F5F5F1"/>
          </w:tcPr>
          <w:p w14:paraId="7FDB1AB8" w14:textId="77777777" w:rsidR="00FA5E66" w:rsidRPr="00BC3535" w:rsidRDefault="00FA5E66" w:rsidP="00D850DC">
            <w:r w:rsidRPr="00BC3535">
              <w:t>21.1</w:t>
            </w:r>
          </w:p>
        </w:tc>
      </w:tr>
      <w:tr w:rsidR="00FA5E66" w:rsidRPr="00BC3535" w14:paraId="7F64E302" w14:textId="77777777" w:rsidTr="00C02B65">
        <w:trPr>
          <w:tblHeader/>
        </w:trPr>
        <w:tc>
          <w:tcPr>
            <w:tcW w:w="2905" w:type="pct"/>
            <w:shd w:val="clear" w:color="auto" w:fill="F5F5F1"/>
          </w:tcPr>
          <w:p w14:paraId="09BD9033" w14:textId="77777777" w:rsidR="00FA5E66" w:rsidRPr="00BC3535" w:rsidRDefault="00FA5E66" w:rsidP="00D850DC">
            <w:r w:rsidRPr="00BC3535">
              <w:t>Hispanic</w:t>
            </w:r>
          </w:p>
        </w:tc>
        <w:tc>
          <w:tcPr>
            <w:tcW w:w="2095" w:type="pct"/>
            <w:shd w:val="clear" w:color="auto" w:fill="F5F5F1"/>
          </w:tcPr>
          <w:p w14:paraId="4851A648" w14:textId="77777777" w:rsidR="00FA5E66" w:rsidRPr="00BC3535" w:rsidRDefault="00FA5E66" w:rsidP="00D850DC">
            <w:r w:rsidRPr="00BC3535">
              <w:t>3.8</w:t>
            </w:r>
          </w:p>
        </w:tc>
      </w:tr>
      <w:tr w:rsidR="00FA5E66" w:rsidRPr="00BC3535" w14:paraId="05C38508" w14:textId="77777777" w:rsidTr="00C02B65">
        <w:trPr>
          <w:tblHeader/>
        </w:trPr>
        <w:tc>
          <w:tcPr>
            <w:tcW w:w="2905" w:type="pct"/>
            <w:shd w:val="clear" w:color="auto" w:fill="F5F5F1"/>
          </w:tcPr>
          <w:p w14:paraId="5C65AF2C" w14:textId="77777777" w:rsidR="00FA5E66" w:rsidRPr="00BC3535" w:rsidRDefault="00FA5E66" w:rsidP="00D850DC">
            <w:r w:rsidRPr="00BC3535">
              <w:t>Non-U.S. born</w:t>
            </w:r>
          </w:p>
        </w:tc>
        <w:tc>
          <w:tcPr>
            <w:tcW w:w="2095" w:type="pct"/>
            <w:shd w:val="clear" w:color="auto" w:fill="F5F5F1"/>
          </w:tcPr>
          <w:p w14:paraId="43FE16F5" w14:textId="77777777" w:rsidR="00FA5E66" w:rsidRPr="00BC3535" w:rsidRDefault="00FA5E66" w:rsidP="00D850DC">
            <w:r w:rsidRPr="00BC3535">
              <w:t>11.9</w:t>
            </w:r>
          </w:p>
        </w:tc>
      </w:tr>
      <w:tr w:rsidR="00FA5E66" w:rsidRPr="00BC3535" w14:paraId="6692BB41" w14:textId="77777777" w:rsidTr="00C02B65">
        <w:trPr>
          <w:tblHeader/>
        </w:trPr>
        <w:tc>
          <w:tcPr>
            <w:tcW w:w="2905" w:type="pct"/>
            <w:tcBorders>
              <w:bottom w:val="single" w:sz="12" w:space="0" w:color="auto"/>
            </w:tcBorders>
            <w:shd w:val="clear" w:color="auto" w:fill="F5F5F1"/>
          </w:tcPr>
          <w:p w14:paraId="38D33715" w14:textId="77777777" w:rsidR="00FA5E66" w:rsidRPr="00BC3535" w:rsidRDefault="00FA5E66" w:rsidP="00D850DC">
            <w:r w:rsidRPr="00BC3535">
              <w:t>U.S. born</w:t>
            </w:r>
          </w:p>
        </w:tc>
        <w:tc>
          <w:tcPr>
            <w:tcW w:w="2095" w:type="pct"/>
            <w:tcBorders>
              <w:bottom w:val="single" w:sz="12" w:space="0" w:color="auto"/>
            </w:tcBorders>
            <w:shd w:val="clear" w:color="auto" w:fill="F5F5F1"/>
          </w:tcPr>
          <w:p w14:paraId="19F4FCCB" w14:textId="77777777" w:rsidR="00FA5E66" w:rsidRPr="00BC3535" w:rsidRDefault="00FA5E66" w:rsidP="00D850DC">
            <w:r w:rsidRPr="00BC3535">
              <w:t>2.5</w:t>
            </w:r>
          </w:p>
        </w:tc>
      </w:tr>
      <w:tr w:rsidR="00FA5E66" w:rsidRPr="00BC3535" w14:paraId="32C9963B" w14:textId="77777777" w:rsidTr="00C02B65">
        <w:trPr>
          <w:tblHeader/>
        </w:trPr>
        <w:tc>
          <w:tcPr>
            <w:tcW w:w="5000" w:type="pct"/>
            <w:gridSpan w:val="2"/>
            <w:tcBorders>
              <w:top w:val="single" w:sz="12" w:space="0" w:color="auto"/>
            </w:tcBorders>
          </w:tcPr>
          <w:p w14:paraId="26269FB4" w14:textId="7C886367" w:rsidR="00FA5E66" w:rsidRPr="00BC3535" w:rsidRDefault="00FA5E66" w:rsidP="00D850DC">
            <w:pPr>
              <w:rPr>
                <w:sz w:val="18"/>
                <w:szCs w:val="18"/>
              </w:rPr>
            </w:pPr>
            <w:r w:rsidRPr="00BC3535">
              <w:rPr>
                <w:i/>
                <w:iCs/>
                <w:sz w:val="18"/>
                <w:szCs w:val="18"/>
              </w:rPr>
              <w:t>Source:</w:t>
            </w:r>
            <w:r w:rsidRPr="00BC3535">
              <w:rPr>
                <w:sz w:val="18"/>
                <w:szCs w:val="18"/>
              </w:rPr>
              <w:t xml:space="preserve"> Deanna </w:t>
            </w:r>
            <w:proofErr w:type="spellStart"/>
            <w:r w:rsidRPr="00BC3535">
              <w:rPr>
                <w:sz w:val="18"/>
                <w:szCs w:val="18"/>
              </w:rPr>
              <w:t>Kruszon</w:t>
            </w:r>
            <w:proofErr w:type="spellEnd"/>
            <w:r w:rsidRPr="00BC3535">
              <w:rPr>
                <w:sz w:val="18"/>
                <w:szCs w:val="18"/>
              </w:rPr>
              <w:t xml:space="preserve">-Moran and others, “Prevalence and Trends in Hepatitis B Virus Infection in the United States, 2015–2018”, </w:t>
            </w:r>
            <w:r w:rsidRPr="00BC3535">
              <w:rPr>
                <w:i/>
                <w:iCs/>
                <w:sz w:val="18"/>
                <w:szCs w:val="18"/>
              </w:rPr>
              <w:t>NCHS Data Brief</w:t>
            </w:r>
            <w:r w:rsidRPr="00BC3535">
              <w:rPr>
                <w:sz w:val="18"/>
                <w:szCs w:val="18"/>
              </w:rPr>
              <w:t>, No. 361 (March 2020), p.1</w:t>
            </w:r>
          </w:p>
        </w:tc>
      </w:tr>
    </w:tbl>
    <w:p w14:paraId="7A95271A" w14:textId="77777777" w:rsidR="00FA5E66" w:rsidRPr="00BC3535" w:rsidRDefault="00FA5E66" w:rsidP="002F46CD">
      <w:pPr>
        <w:pStyle w:val="Heading2"/>
        <w:rPr>
          <w:rFonts w:eastAsiaTheme="majorEastAsia"/>
        </w:rPr>
      </w:pPr>
      <w:r w:rsidRPr="00BC3535">
        <w:rPr>
          <w:rFonts w:eastAsiaTheme="majorEastAsia"/>
        </w:rPr>
        <w:t>25.25 Probability of dying (per 1000) between ages 15 and 60 years, disaggregated by sex (WHO indicator), disability, and indigenous/minority background.</w:t>
      </w:r>
    </w:p>
    <w:p w14:paraId="681C42D3" w14:textId="77777777" w:rsidR="00FA5E66" w:rsidRPr="00BC3535" w:rsidRDefault="00FA5E66" w:rsidP="002F46CD">
      <w:pPr>
        <w:pStyle w:val="Heading4"/>
        <w:rPr>
          <w:rFonts w:eastAsiaTheme="majorEastAsia"/>
        </w:rPr>
      </w:pPr>
      <w:r w:rsidRPr="00BC3535">
        <w:rPr>
          <w:rFonts w:eastAsiaTheme="majorEastAsia"/>
        </w:rPr>
        <w:t>Level 3: Indicator for which acquiring data is more complex or requires the development of data collection mechanisms which are currently not in place</w:t>
      </w:r>
    </w:p>
    <w:p w14:paraId="71AFC784" w14:textId="6AAAF10A" w:rsidR="00FA5E66" w:rsidRPr="00BC3535" w:rsidRDefault="00FA5E66" w:rsidP="00D850DC">
      <w:pPr>
        <w:rPr>
          <w:rFonts w:cstheme="minorHAnsi"/>
          <w:color w:val="000000" w:themeColor="text1"/>
        </w:rPr>
      </w:pPr>
      <w:r w:rsidRPr="00BC3535">
        <w:rPr>
          <w:rFonts w:cstheme="minorHAnsi"/>
          <w:color w:val="000000" w:themeColor="text1"/>
        </w:rPr>
        <w:t>According to WHO, this indicator draws extensively on available death registration data to assess age-specific mortality rates. Adult mortality rates are derived from life tables which draw on the United Nations World Population Prospects revision, recent and unpublished analyses of all-cause and HIV mortality for countries with high HIV prevalence, vital registration data, and estimates of child mortality from the United Nations Inter-Agency Group for Child Mortality Estimation. More detailed methods are available at</w:t>
      </w:r>
      <w:r w:rsidR="00B21303" w:rsidRPr="00BC3535">
        <w:rPr>
          <w:rFonts w:cstheme="minorHAnsi"/>
          <w:color w:val="000000" w:themeColor="text1"/>
        </w:rPr>
        <w:t xml:space="preserve"> the</w:t>
      </w:r>
      <w:r w:rsidR="00D81478" w:rsidRPr="00BC3535">
        <w:rPr>
          <w:rFonts w:cstheme="minorHAnsi"/>
          <w:color w:val="000000" w:themeColor="text1"/>
        </w:rPr>
        <w:t xml:space="preserve"> </w:t>
      </w:r>
      <w:hyperlink r:id="rId30" w:history="1">
        <w:r w:rsidR="00B21303" w:rsidRPr="00BC3535">
          <w:rPr>
            <w:rStyle w:val="Hyperlink"/>
            <w:rFonts w:cstheme="minorHAnsi"/>
          </w:rPr>
          <w:t>WHO</w:t>
        </w:r>
      </w:hyperlink>
      <w:r w:rsidR="00D81478" w:rsidRPr="00BC3535">
        <w:rPr>
          <w:rFonts w:cstheme="minorHAnsi"/>
          <w:color w:val="000000" w:themeColor="text1"/>
        </w:rPr>
        <w:t>.</w:t>
      </w:r>
    </w:p>
    <w:p w14:paraId="50F68C9D" w14:textId="77777777" w:rsidR="00FA5E66" w:rsidRPr="00BC3535" w:rsidRDefault="00FA5E66" w:rsidP="00D850DC">
      <w:r w:rsidRPr="00BC3535">
        <w:t>To compute this indicator, the mortality rate by age, sex and disability status is required. One way to do this would be to include disability status as part of the death registration process.</w:t>
      </w:r>
    </w:p>
    <w:p w14:paraId="1D7D4A83" w14:textId="77777777" w:rsidR="00FA5E66" w:rsidRPr="00BC3535" w:rsidRDefault="00FA5E66" w:rsidP="002F46CD">
      <w:pPr>
        <w:pStyle w:val="Heading2"/>
        <w:rPr>
          <w:rFonts w:eastAsiaTheme="majorEastAsia"/>
        </w:rPr>
      </w:pPr>
      <w:r w:rsidRPr="00BC3535">
        <w:rPr>
          <w:rFonts w:eastAsiaTheme="majorEastAsia"/>
        </w:rPr>
        <w:lastRenderedPageBreak/>
        <w:t>25.26 Prevalence of undernourishment (SDG indicator 2.1.1) disaggregated by sex, age and disability.</w:t>
      </w:r>
    </w:p>
    <w:p w14:paraId="244A00DA" w14:textId="77777777" w:rsidR="00FA5E66" w:rsidRPr="00BC3535" w:rsidRDefault="00FA5E66" w:rsidP="002F46CD">
      <w:pPr>
        <w:pStyle w:val="Heading4"/>
        <w:rPr>
          <w:rFonts w:eastAsiaTheme="majorEastAsia"/>
        </w:rPr>
      </w:pPr>
      <w:r w:rsidRPr="00BC3535">
        <w:rPr>
          <w:rFonts w:eastAsiaTheme="majorEastAsia"/>
        </w:rPr>
        <w:t>Level 2: Indicator could be produced with straightforward additions or modifications to existing data collection efforts</w:t>
      </w:r>
    </w:p>
    <w:p w14:paraId="596A3EBB" w14:textId="79C6C89D" w:rsidR="00FA5E66" w:rsidRPr="00BC3535" w:rsidRDefault="009F6205" w:rsidP="00D850DC">
      <w:pPr>
        <w:rPr>
          <w:lang w:eastAsia="fr-FR"/>
        </w:rPr>
      </w:pPr>
      <w:hyperlink r:id="rId31" w:tooltip="https://unstats.un.org/sdgs/metadata?Text=&amp;Goal=&amp;Target=2.1" w:history="1">
        <w:r w:rsidR="009855D7" w:rsidRPr="00BC3535">
          <w:rPr>
            <w:rStyle w:val="Hyperlink"/>
          </w:rPr>
          <w:t>Link to the metadata related to this SDG indicator</w:t>
        </w:r>
      </w:hyperlink>
    </w:p>
    <w:p w14:paraId="2A2BEFB4" w14:textId="356B0B63" w:rsidR="00280323" w:rsidRPr="00BC3535" w:rsidRDefault="00280323" w:rsidP="00280323">
      <w:pPr>
        <w:pStyle w:val="Default"/>
        <w:rPr>
          <w:lang w:val="en-GB"/>
        </w:rPr>
      </w:pPr>
      <w:r w:rsidRPr="00BC3535">
        <w:rPr>
          <w:lang w:val="en-GB"/>
        </w:rPr>
        <w:t>According to the metadata:</w:t>
      </w:r>
    </w:p>
    <w:p w14:paraId="5BF5615A" w14:textId="6A543CCC" w:rsidR="00FA5E66" w:rsidRPr="00BC3535" w:rsidRDefault="00280323" w:rsidP="00D81478">
      <w:pPr>
        <w:ind w:left="360"/>
        <w:rPr>
          <w:rFonts w:cstheme="minorHAnsi"/>
          <w:i/>
          <w:iCs/>
          <w:color w:val="000000" w:themeColor="text1"/>
        </w:rPr>
      </w:pPr>
      <w:r w:rsidRPr="00BC3535">
        <w:rPr>
          <w:i/>
          <w:iCs/>
        </w:rPr>
        <w:t>“</w:t>
      </w:r>
      <w:r w:rsidR="00FA5E66" w:rsidRPr="00BC3535">
        <w:rPr>
          <w:i/>
          <w:iCs/>
        </w:rPr>
        <w:t>The ideal source of data to estimate the Prevalence of Undernourishment (</w:t>
      </w:r>
      <w:proofErr w:type="spellStart"/>
      <w:r w:rsidR="00FA5E66" w:rsidRPr="00BC3535">
        <w:rPr>
          <w:i/>
          <w:iCs/>
        </w:rPr>
        <w:t>PoU</w:t>
      </w:r>
      <w:proofErr w:type="spellEnd"/>
      <w:r w:rsidR="00FA5E66" w:rsidRPr="00BC3535">
        <w:rPr>
          <w:i/>
          <w:iCs/>
        </w:rPr>
        <w:t xml:space="preserve">) would be a carefully designed and </w:t>
      </w:r>
      <w:proofErr w:type="spellStart"/>
      <w:r w:rsidR="00FA5E66" w:rsidRPr="00BC3535">
        <w:rPr>
          <w:i/>
          <w:iCs/>
        </w:rPr>
        <w:t>skillfully</w:t>
      </w:r>
      <w:proofErr w:type="spellEnd"/>
      <w:r w:rsidR="00FA5E66" w:rsidRPr="00BC3535">
        <w:rPr>
          <w:i/>
          <w:iCs/>
        </w:rPr>
        <w:t xml:space="preserve"> conducted individual dietary intake survey, in which actual daily food consumption, together with heights and weights for each surveyed individual, are repeatedly measured on a sample that is representative of the target population. Due to their cost, however, such surveys are rare.</w:t>
      </w:r>
    </w:p>
    <w:p w14:paraId="6FA4963B" w14:textId="77777777" w:rsidR="00FA5E66" w:rsidRPr="00BC3535" w:rsidRDefault="00FA5E66" w:rsidP="00D81478">
      <w:pPr>
        <w:ind w:left="360"/>
        <w:rPr>
          <w:rFonts w:cstheme="minorHAnsi"/>
          <w:i/>
          <w:iCs/>
          <w:color w:val="000000" w:themeColor="text1"/>
        </w:rPr>
      </w:pPr>
      <w:r w:rsidRPr="00BC3535">
        <w:rPr>
          <w:i/>
          <w:iCs/>
        </w:rPr>
        <w:t>In principle, a well-designed household survey that collects information on food acquisitions might be sufficient to inform a reliable estimate of the Prevalence of Undernourishment in a population, at a reasonable cost and with the necessary periodicity to inform the SDG monitoring process, provided that:</w:t>
      </w:r>
    </w:p>
    <w:p w14:paraId="18243BCA" w14:textId="77777777" w:rsidR="00FA5E66" w:rsidRPr="00BC3535" w:rsidRDefault="00FA5E66" w:rsidP="00D81478">
      <w:pPr>
        <w:ind w:left="360"/>
        <w:rPr>
          <w:i/>
          <w:iCs/>
        </w:rPr>
      </w:pPr>
      <w:r w:rsidRPr="00BC3535">
        <w:rPr>
          <w:i/>
          <w:iCs/>
        </w:rPr>
        <w:t xml:space="preserve">All sources of food consumption for all members of the households are properly accounted for, including, in particular, food that is consumed away from </w:t>
      </w:r>
      <w:proofErr w:type="gramStart"/>
      <w:r w:rsidRPr="00BC3535">
        <w:rPr>
          <w:i/>
          <w:iCs/>
        </w:rPr>
        <w:t>home;</w:t>
      </w:r>
      <w:proofErr w:type="gramEnd"/>
    </w:p>
    <w:p w14:paraId="41166C81" w14:textId="77777777" w:rsidR="00FA5E66" w:rsidRPr="00BC3535" w:rsidRDefault="00FA5E66" w:rsidP="00D81478">
      <w:pPr>
        <w:ind w:left="360"/>
        <w:rPr>
          <w:i/>
          <w:iCs/>
        </w:rPr>
      </w:pPr>
      <w:r w:rsidRPr="00BC3535">
        <w:rPr>
          <w:i/>
          <w:iCs/>
        </w:rPr>
        <w:t xml:space="preserve">Sufficient information is available to convert the data on food consumption or on food expenditures into their contribution to dietary energy </w:t>
      </w:r>
      <w:proofErr w:type="gramStart"/>
      <w:r w:rsidRPr="00BC3535">
        <w:rPr>
          <w:i/>
          <w:iCs/>
        </w:rPr>
        <w:t>intake;</w:t>
      </w:r>
      <w:proofErr w:type="gramEnd"/>
    </w:p>
    <w:p w14:paraId="144D6C94" w14:textId="77777777" w:rsidR="00FA5E66" w:rsidRPr="00BC3535" w:rsidRDefault="00FA5E66" w:rsidP="00D81478">
      <w:pPr>
        <w:ind w:left="360"/>
        <w:rPr>
          <w:i/>
          <w:iCs/>
        </w:rPr>
      </w:pPr>
      <w:r w:rsidRPr="00BC3535">
        <w:rPr>
          <w:i/>
          <w:iCs/>
        </w:rPr>
        <w:t xml:space="preserve">The proper methods to compute the </w:t>
      </w:r>
      <w:proofErr w:type="spellStart"/>
      <w:r w:rsidRPr="00BC3535">
        <w:rPr>
          <w:i/>
          <w:iCs/>
        </w:rPr>
        <w:t>PoU</w:t>
      </w:r>
      <w:proofErr w:type="spellEnd"/>
      <w:r w:rsidRPr="00BC3535">
        <w:rPr>
          <w:i/>
          <w:iCs/>
        </w:rPr>
        <w:t xml:space="preserve"> are used, to control for excess variability in the estimated levels of habitual food consumption across households, allowing for the presence on normal variability in the distribution of food consumption across individuals, induced by the differences in energy requirements of the members of the population.</w:t>
      </w:r>
    </w:p>
    <w:p w14:paraId="794B29D3" w14:textId="77777777" w:rsidR="00FA5E66" w:rsidRPr="00BC3535" w:rsidRDefault="00FA5E66" w:rsidP="00D81478">
      <w:pPr>
        <w:ind w:left="360"/>
        <w:rPr>
          <w:rFonts w:cstheme="minorHAnsi"/>
          <w:i/>
          <w:iCs/>
          <w:color w:val="000000" w:themeColor="text1"/>
        </w:rPr>
      </w:pPr>
      <w:r w:rsidRPr="00BC3535">
        <w:rPr>
          <w:rFonts w:cstheme="minorHAnsi"/>
          <w:i/>
          <w:iCs/>
          <w:color w:val="000000" w:themeColor="text1"/>
        </w:rPr>
        <w:t>Examples of surveys that could be considered for this purpose include surveys conducted to compute economic statistics and conduct poverty assessments, such as Household Income and Expenditure Surveys, Household Budget Surveys and Living Standard Measurement Surveys. (…)</w:t>
      </w:r>
    </w:p>
    <w:p w14:paraId="53908F78" w14:textId="77777777" w:rsidR="00FA5E66" w:rsidRPr="00BC3535" w:rsidRDefault="00FA5E66" w:rsidP="00D81478">
      <w:pPr>
        <w:ind w:left="360"/>
        <w:rPr>
          <w:rFonts w:cstheme="minorHAnsi"/>
          <w:i/>
          <w:iCs/>
          <w:color w:val="000000" w:themeColor="text1"/>
        </w:rPr>
      </w:pPr>
      <w:r w:rsidRPr="00BC3535">
        <w:rPr>
          <w:rFonts w:cstheme="minorHAnsi"/>
          <w:i/>
          <w:iCs/>
          <w:color w:val="000000" w:themeColor="text1"/>
        </w:rPr>
        <w:t xml:space="preserve">To inform its estimate of </w:t>
      </w:r>
      <w:proofErr w:type="spellStart"/>
      <w:r w:rsidRPr="00BC3535">
        <w:rPr>
          <w:rFonts w:cstheme="minorHAnsi"/>
          <w:i/>
          <w:iCs/>
          <w:color w:val="000000" w:themeColor="text1"/>
        </w:rPr>
        <w:t>PoU</w:t>
      </w:r>
      <w:proofErr w:type="spellEnd"/>
      <w:r w:rsidRPr="00BC3535">
        <w:rPr>
          <w:rFonts w:cstheme="minorHAnsi"/>
          <w:i/>
          <w:iCs/>
          <w:color w:val="000000" w:themeColor="text1"/>
        </w:rPr>
        <w:t xml:space="preserve"> at national, regional and global level, in addition to all household surveys for which it is possible to obtain micro data on food consumption, FAO [Food and Agriculture Organization of the United Nations] relies on:</w:t>
      </w:r>
    </w:p>
    <w:p w14:paraId="6BDCC62F" w14:textId="27F66008" w:rsidR="00FA5E66" w:rsidRPr="00BC3535" w:rsidRDefault="00FA5E66" w:rsidP="00D81478">
      <w:pPr>
        <w:pStyle w:val="ListParagraph"/>
        <w:numPr>
          <w:ilvl w:val="0"/>
          <w:numId w:val="45"/>
        </w:numPr>
        <w:rPr>
          <w:rFonts w:eastAsiaTheme="minorEastAsia" w:cstheme="minorHAnsi"/>
          <w:i/>
          <w:iCs/>
          <w:color w:val="000000" w:themeColor="text1"/>
        </w:rPr>
      </w:pPr>
      <w:r w:rsidRPr="00BC3535">
        <w:rPr>
          <w:rFonts w:eastAsiaTheme="minorEastAsia" w:cstheme="minorHAnsi"/>
          <w:i/>
          <w:iCs/>
          <w:color w:val="000000" w:themeColor="text1"/>
        </w:rPr>
        <w:t xml:space="preserve">UN Population Division’s World Population Prospects (https://esa.un.org/unpd/wpp/Download/Standard/Population/), which provide updated estimates of the structures of the national population by sex and age every two years for most countries in the </w:t>
      </w:r>
      <w:proofErr w:type="gramStart"/>
      <w:r w:rsidRPr="00BC3535">
        <w:rPr>
          <w:rFonts w:eastAsiaTheme="minorEastAsia" w:cstheme="minorHAnsi"/>
          <w:i/>
          <w:iCs/>
          <w:color w:val="000000" w:themeColor="text1"/>
        </w:rPr>
        <w:t>world;</w:t>
      </w:r>
      <w:proofErr w:type="gramEnd"/>
    </w:p>
    <w:p w14:paraId="0FABDFE1" w14:textId="49D3B47B" w:rsidR="00FA5E66" w:rsidRPr="00BC3535" w:rsidRDefault="009F6205" w:rsidP="00D81478">
      <w:pPr>
        <w:pStyle w:val="ListParagraph"/>
        <w:numPr>
          <w:ilvl w:val="0"/>
          <w:numId w:val="45"/>
        </w:numPr>
        <w:rPr>
          <w:rFonts w:eastAsiaTheme="minorEastAsia" w:cstheme="minorHAnsi"/>
          <w:i/>
          <w:iCs/>
          <w:color w:val="000000" w:themeColor="text1"/>
        </w:rPr>
      </w:pPr>
      <w:hyperlink r:id="rId32" w:history="1">
        <w:r w:rsidR="00FA5E66" w:rsidRPr="00BC3535">
          <w:rPr>
            <w:rStyle w:val="Hyperlink"/>
            <w:rFonts w:eastAsiaTheme="minorEastAsia" w:cstheme="minorHAnsi"/>
            <w:i/>
            <w:iCs/>
          </w:rPr>
          <w:t>FAO Food Balance Sheets</w:t>
        </w:r>
      </w:hyperlink>
      <w:r w:rsidR="00FA5E66" w:rsidRPr="00BC3535">
        <w:rPr>
          <w:rFonts w:eastAsiaTheme="minorEastAsia" w:cstheme="minorHAnsi"/>
          <w:i/>
          <w:iCs/>
          <w:color w:val="000000" w:themeColor="text1"/>
        </w:rPr>
        <w:t>, which provides updated estimates of the national availability of food every year for most countries in the world.</w:t>
      </w:r>
    </w:p>
    <w:p w14:paraId="6705A9B9" w14:textId="73343891" w:rsidR="00280323" w:rsidRPr="00BC3535" w:rsidRDefault="00FA5E66" w:rsidP="00D81478">
      <w:pPr>
        <w:ind w:left="360"/>
        <w:rPr>
          <w:rFonts w:cstheme="minorHAnsi"/>
          <w:i/>
          <w:iCs/>
          <w:color w:val="000000" w:themeColor="text1"/>
        </w:rPr>
      </w:pPr>
      <w:r w:rsidRPr="00BC3535">
        <w:rPr>
          <w:rFonts w:cstheme="minorHAnsi"/>
          <w:i/>
          <w:iCs/>
          <w:color w:val="000000" w:themeColor="text1"/>
        </w:rPr>
        <w:t xml:space="preserve">Micro data from household surveys that collect food consumption data are sourced by FAO directly through the National Statistical Agencies’ websites, or through specific bilateral agreements. </w:t>
      </w:r>
    </w:p>
    <w:p w14:paraId="729F77AF" w14:textId="77777777" w:rsidR="00FA5E66" w:rsidRPr="00BC3535" w:rsidRDefault="00FA5E66" w:rsidP="00D81478">
      <w:pPr>
        <w:ind w:left="360"/>
        <w:rPr>
          <w:rFonts w:cstheme="minorHAnsi"/>
          <w:b/>
          <w:bCs/>
          <w:i/>
          <w:iCs/>
          <w:color w:val="000000" w:themeColor="text1"/>
        </w:rPr>
      </w:pPr>
      <w:r w:rsidRPr="00BC3535">
        <w:rPr>
          <w:rFonts w:cstheme="minorHAnsi"/>
          <w:b/>
          <w:bCs/>
          <w:i/>
          <w:iCs/>
          <w:color w:val="000000" w:themeColor="text1"/>
        </w:rPr>
        <w:lastRenderedPageBreak/>
        <w:t>Collection process:</w:t>
      </w:r>
    </w:p>
    <w:p w14:paraId="6ABF5D3F" w14:textId="77777777" w:rsidR="00FA5E66" w:rsidRPr="00BC3535" w:rsidRDefault="00FA5E66" w:rsidP="00D81478">
      <w:pPr>
        <w:ind w:left="360"/>
        <w:rPr>
          <w:rFonts w:cstheme="minorHAnsi"/>
          <w:i/>
          <w:iCs/>
          <w:color w:val="000000" w:themeColor="text1"/>
        </w:rPr>
      </w:pPr>
      <w:r w:rsidRPr="00BC3535">
        <w:rPr>
          <w:rFonts w:cstheme="minorHAnsi"/>
          <w:i/>
          <w:iCs/>
          <w:color w:val="000000" w:themeColor="text1"/>
        </w:rPr>
        <w:t>Official information on food commodity production, trade and utilization used by FAO to compile Food Balance Sheets is provided mainly by Statistical Units of the Ministry of Agriculture. FAO sends out a data collection questionnaire every year to an identified focal point.</w:t>
      </w:r>
    </w:p>
    <w:p w14:paraId="4A6930A6" w14:textId="261189F3" w:rsidR="00FA5E66" w:rsidRPr="00BC3535" w:rsidRDefault="00FA5E66" w:rsidP="00D81478">
      <w:pPr>
        <w:ind w:left="360"/>
        <w:rPr>
          <w:rFonts w:cstheme="minorHAnsi"/>
          <w:i/>
          <w:iCs/>
          <w:color w:val="000000" w:themeColor="text1"/>
        </w:rPr>
      </w:pPr>
      <w:r w:rsidRPr="00BC3535">
        <w:rPr>
          <w:rFonts w:cstheme="minorHAnsi"/>
          <w:i/>
          <w:iCs/>
          <w:color w:val="000000" w:themeColor="text1"/>
        </w:rPr>
        <w:t>Microdata of household surveys are generally owned and provided by National Statistical Agencies. When available, data is sourced by FAO directly through the NSA’s website. In several cases, when microdata is not available in the public domain, bilateral agreements have been signed, usually in the contexts of technical assistance and capacity development programs.</w:t>
      </w:r>
      <w:r w:rsidR="00280323" w:rsidRPr="00BC3535">
        <w:rPr>
          <w:rFonts w:cstheme="minorHAnsi"/>
          <w:i/>
          <w:iCs/>
          <w:color w:val="000000" w:themeColor="text1"/>
        </w:rPr>
        <w:t>”</w:t>
      </w:r>
    </w:p>
    <w:p w14:paraId="75D705B5" w14:textId="77777777" w:rsidR="00FA5E66" w:rsidRPr="00BC3535" w:rsidRDefault="00FA5E66" w:rsidP="00D81478">
      <w:r w:rsidRPr="00BC3535">
        <w:t>To obtain this information for children with disabilities, the UNICEF/WG Child Functioning Module that is incorporated in MICS would have to be used.</w:t>
      </w:r>
    </w:p>
    <w:p w14:paraId="5502DC80" w14:textId="77777777" w:rsidR="00FA5E66" w:rsidRPr="00BC3535" w:rsidRDefault="00FA5E66" w:rsidP="002F46CD">
      <w:pPr>
        <w:pStyle w:val="Heading2"/>
        <w:rPr>
          <w:rFonts w:eastAsiaTheme="majorEastAsia"/>
        </w:rPr>
      </w:pPr>
      <w:r w:rsidRPr="00BC3535">
        <w:rPr>
          <w:rFonts w:eastAsiaTheme="majorEastAsia"/>
        </w:rPr>
        <w:t>25.27 Prevalence of malnutrition among children under 5 years of age, by type (wasting and overweight) (SDG indicator 2.2.2) and by sex, age and disability.</w:t>
      </w:r>
    </w:p>
    <w:p w14:paraId="37BCB216" w14:textId="77777777" w:rsidR="00FA5E66" w:rsidRPr="00BC3535" w:rsidRDefault="00FA5E66" w:rsidP="002F46CD">
      <w:pPr>
        <w:pStyle w:val="Heading4"/>
        <w:rPr>
          <w:rFonts w:eastAsiaTheme="majorEastAsia"/>
        </w:rPr>
      </w:pPr>
      <w:r w:rsidRPr="00BC3535">
        <w:rPr>
          <w:rFonts w:eastAsiaTheme="majorEastAsia"/>
        </w:rPr>
        <w:t>Level 2: Indicator could be produced with straightforward additions or modifications to existing data collection</w:t>
      </w:r>
    </w:p>
    <w:p w14:paraId="3647EDFC" w14:textId="645C505F" w:rsidR="00FA5E66" w:rsidRPr="00BC3535" w:rsidRDefault="009F6205" w:rsidP="00D850DC">
      <w:hyperlink r:id="rId33" w:history="1">
        <w:r w:rsidR="005935AC" w:rsidRPr="00BC3535">
          <w:rPr>
            <w:rStyle w:val="Hyperlink"/>
          </w:rPr>
          <w:t>Link to the metadata related to this SDG indicator</w:t>
        </w:r>
      </w:hyperlink>
    </w:p>
    <w:p w14:paraId="46C9EF2F" w14:textId="21321BC4" w:rsidR="00280323" w:rsidRPr="00BC3535" w:rsidRDefault="00280323" w:rsidP="00280323">
      <w:r w:rsidRPr="00BC3535">
        <w:t>According to the metadata:</w:t>
      </w:r>
    </w:p>
    <w:p w14:paraId="00819A5E" w14:textId="1AE02508" w:rsidR="00FA5E66" w:rsidRPr="00BC3535" w:rsidRDefault="00280323" w:rsidP="00752CF3">
      <w:pPr>
        <w:ind w:left="360"/>
        <w:rPr>
          <w:i/>
        </w:rPr>
      </w:pPr>
      <w:r w:rsidRPr="00BC3535">
        <w:t>“</w:t>
      </w:r>
      <w:r w:rsidR="00FA5E66" w:rsidRPr="00BC3535">
        <w:rPr>
          <w:i/>
        </w:rPr>
        <w:t>For the majority of countries, nationally representative household surveys constitute the data source. For a limited number of countries data from surveillance systems is used if sufficient population coverage is documented (about 80%). For both data sources, the child’s height and weight measurements have to be collected following recommended standard measuring techniques (WHO 2008).</w:t>
      </w:r>
    </w:p>
    <w:p w14:paraId="070BB602" w14:textId="77777777" w:rsidR="00FA5E66" w:rsidRPr="00BC3535" w:rsidRDefault="00FA5E66" w:rsidP="00752CF3">
      <w:pPr>
        <w:ind w:left="360"/>
        <w:rPr>
          <w:i/>
        </w:rPr>
      </w:pPr>
      <w:r w:rsidRPr="00BC3535">
        <w:rPr>
          <w:i/>
        </w:rPr>
        <w:t>Collection process:</w:t>
      </w:r>
    </w:p>
    <w:p w14:paraId="6752247F" w14:textId="77777777" w:rsidR="00FA5E66" w:rsidRPr="00BC3535" w:rsidRDefault="00FA5E66" w:rsidP="00752CF3">
      <w:pPr>
        <w:ind w:left="360"/>
        <w:rPr>
          <w:i/>
        </w:rPr>
      </w:pPr>
      <w:r w:rsidRPr="00BC3535">
        <w:rPr>
          <w:i/>
        </w:rPr>
        <w:t>UNICEF, WHO and the World Bank group jointly review new data sources to update the country level estimates. Each agency uses their existing mechanisms for obtaining data.</w:t>
      </w:r>
    </w:p>
    <w:p w14:paraId="554F0333" w14:textId="3E847D54" w:rsidR="00FA5E66" w:rsidRPr="00BC3535" w:rsidRDefault="00FA5E66" w:rsidP="00752CF3">
      <w:pPr>
        <w:ind w:left="360"/>
      </w:pPr>
      <w:proofErr w:type="gramStart"/>
      <w:r w:rsidRPr="00BC3535">
        <w:rPr>
          <w:i/>
        </w:rPr>
        <w:t>For WHO,</w:t>
      </w:r>
      <w:proofErr w:type="gramEnd"/>
      <w:r w:rsidRPr="00BC3535">
        <w:rPr>
          <w:i/>
        </w:rPr>
        <w:t xml:space="preserve"> see published database methodology (de Onis et al. 2004). For UNICEF, the cadre of dedicated data and monitoring specialists working at national, regional and international levels in 190 countries routinely provide technical support for the collection and analysis of data. For the past 20 years UNICEF has undertaken an annual process to update its global databases, called Country Reporting on Indicators for Goals (CRING). This exercise is done in close collaboration with UNICEF country offices with the purpose of ensuring that UNICEF global databases contain updated and internationally comparable data. UNICEF country offices are invited to submit, through an online system, nationally representative data for over 100 key indicators on the well-being of women and children, including stunting. The country office staff work with local counterparts to ensure the most relevant data are shared. Updates sent by the country offices are then reviewed by sector specialists at UNICEF headquarters to check for consistency and overall data quality of the submitted estimates and re-analysis where possible. </w:t>
      </w:r>
      <w:r w:rsidRPr="00BC3535">
        <w:rPr>
          <w:i/>
        </w:rPr>
        <w:lastRenderedPageBreak/>
        <w:t>This review is based on a set of objective criteria to ensure that only the most reliable information is included in the databases. Once reviewed, feedback is made available on whether or not specific data points are accepted, and if not, the reasons why. UNICEF uses these data obtained through CRING to feed into the joint dataset. The World Bank Group provides estimates available through the Living Standard Measurement Surveys (LSMS) which usually requires re-analysis of datasets given that the LSMS reports often do not tabulate the stunting data</w:t>
      </w:r>
      <w:r w:rsidRPr="00BC3535">
        <w:t>.</w:t>
      </w:r>
      <w:r w:rsidR="00280323" w:rsidRPr="00BC3535">
        <w:t>”</w:t>
      </w:r>
    </w:p>
    <w:p w14:paraId="0B80B1CE" w14:textId="77777777" w:rsidR="00FA5E66" w:rsidRPr="00BC3535" w:rsidRDefault="00FA5E66" w:rsidP="00D850DC">
      <w:r w:rsidRPr="00BC3535">
        <w:t xml:space="preserve">The MICS includes a battery of questions about malnutrition and the UNICEF/WG Child Functioning Module. For example, consider the data from the </w:t>
      </w:r>
      <w:hyperlink r:id="rId34" w:history="1">
        <w:r w:rsidRPr="00BC3535">
          <w:rPr>
            <w:rStyle w:val="Hyperlink"/>
          </w:rPr>
          <w:t>2017/2108 Ghana MICS survey</w:t>
        </w:r>
      </w:hyperlink>
      <w:r w:rsidRPr="00BC3535">
        <w:t xml:space="preserve"> presented in table 4.</w:t>
      </w:r>
    </w:p>
    <w:p w14:paraId="6BD6D21E" w14:textId="1F4C9F03" w:rsidR="00FA5E66" w:rsidRPr="00BC3535" w:rsidRDefault="00FA5E66" w:rsidP="00752CF3">
      <w:pPr>
        <w:pStyle w:val="TableHeader"/>
        <w:rPr>
          <w:rFonts w:eastAsiaTheme="majorEastAsia" w:cstheme="majorBidi"/>
        </w:rPr>
      </w:pPr>
      <w:r w:rsidRPr="00BC3535">
        <w:rPr>
          <w:rFonts w:eastAsiaTheme="majorEastAsia" w:cstheme="majorBidi"/>
          <w:b/>
          <w:bCs w:val="0"/>
        </w:rPr>
        <w:t>Table 4:</w:t>
      </w:r>
      <w:r w:rsidR="005935AC" w:rsidRPr="00BC3535">
        <w:rPr>
          <w:rFonts w:eastAsiaTheme="majorEastAsia" w:cstheme="majorBidi"/>
        </w:rPr>
        <w:t xml:space="preserve"> </w:t>
      </w:r>
      <w:r w:rsidRPr="00BC3535">
        <w:rPr>
          <w:rFonts w:eastAsiaTheme="majorEastAsia" w:cstheme="majorBidi"/>
        </w:rPr>
        <w:t>Percentage of children under age 5 by nutritional status according to three anthropometric indices: weight for age, height for age and weight for height, Ghana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4: Percentage of children under age 5 by nutritional status according to three anthropometric indices: weight for age, height for age and weight for height, Ghana"/>
      </w:tblPr>
      <w:tblGrid>
        <w:gridCol w:w="1526"/>
        <w:gridCol w:w="808"/>
        <w:gridCol w:w="774"/>
        <w:gridCol w:w="824"/>
        <w:gridCol w:w="846"/>
        <w:gridCol w:w="828"/>
        <w:gridCol w:w="830"/>
        <w:gridCol w:w="805"/>
        <w:gridCol w:w="805"/>
        <w:gridCol w:w="954"/>
      </w:tblGrid>
      <w:tr w:rsidR="00FA5E66" w:rsidRPr="00BC3535" w14:paraId="3EF6AB7C" w14:textId="77777777" w:rsidTr="00752CF3">
        <w:trPr>
          <w:trHeight w:val="320"/>
          <w:tblHeader/>
        </w:trPr>
        <w:tc>
          <w:tcPr>
            <w:tcW w:w="848" w:type="pct"/>
            <w:vMerge w:val="restart"/>
            <w:tcBorders>
              <w:top w:val="single" w:sz="12" w:space="0" w:color="auto"/>
            </w:tcBorders>
            <w:shd w:val="clear" w:color="auto" w:fill="F5F5F1"/>
            <w:hideMark/>
          </w:tcPr>
          <w:p w14:paraId="2B47CA60" w14:textId="77777777" w:rsidR="00FA5E66" w:rsidRPr="00BC3535" w:rsidRDefault="00FA5E66" w:rsidP="00393AE6">
            <w:pPr>
              <w:pStyle w:val="TableHeaderRow"/>
            </w:pPr>
            <w:r w:rsidRPr="00BC3535">
              <w:rPr>
                <w:sz w:val="20"/>
                <w:szCs w:val="20"/>
              </w:rPr>
              <w:t>Background Characteristic</w:t>
            </w:r>
          </w:p>
        </w:tc>
        <w:tc>
          <w:tcPr>
            <w:tcW w:w="879" w:type="pct"/>
            <w:gridSpan w:val="2"/>
            <w:tcBorders>
              <w:top w:val="single" w:sz="12" w:space="0" w:color="auto"/>
              <w:bottom w:val="single" w:sz="12" w:space="0" w:color="auto"/>
            </w:tcBorders>
            <w:shd w:val="clear" w:color="auto" w:fill="F5F5F1"/>
            <w:noWrap/>
            <w:vAlign w:val="center"/>
            <w:hideMark/>
          </w:tcPr>
          <w:p w14:paraId="7C2B99EA" w14:textId="77777777" w:rsidR="00FA5E66" w:rsidRPr="00BC3535" w:rsidRDefault="00FA5E66" w:rsidP="00393AE6">
            <w:pPr>
              <w:pStyle w:val="TableHeaderRow"/>
              <w:rPr>
                <w:i/>
                <w:iCs/>
              </w:rPr>
            </w:pPr>
            <w:r w:rsidRPr="00BC3535">
              <w:rPr>
                <w:i/>
                <w:iCs/>
              </w:rPr>
              <w:t>Weight for age</w:t>
            </w:r>
          </w:p>
        </w:tc>
        <w:tc>
          <w:tcPr>
            <w:tcW w:w="928" w:type="pct"/>
            <w:gridSpan w:val="2"/>
            <w:tcBorders>
              <w:top w:val="single" w:sz="12" w:space="0" w:color="auto"/>
              <w:bottom w:val="single" w:sz="12" w:space="0" w:color="auto"/>
            </w:tcBorders>
            <w:shd w:val="clear" w:color="auto" w:fill="F5F5F1"/>
            <w:noWrap/>
            <w:vAlign w:val="center"/>
            <w:hideMark/>
          </w:tcPr>
          <w:p w14:paraId="2FBCAC6E" w14:textId="77777777" w:rsidR="00FA5E66" w:rsidRPr="00BC3535" w:rsidRDefault="00FA5E66" w:rsidP="00393AE6">
            <w:pPr>
              <w:pStyle w:val="TableHeaderRow"/>
              <w:rPr>
                <w:i/>
                <w:iCs/>
              </w:rPr>
            </w:pPr>
            <w:r w:rsidRPr="00BC3535">
              <w:rPr>
                <w:i/>
                <w:iCs/>
              </w:rPr>
              <w:t>Height for age</w:t>
            </w:r>
          </w:p>
        </w:tc>
        <w:tc>
          <w:tcPr>
            <w:tcW w:w="1815" w:type="pct"/>
            <w:gridSpan w:val="4"/>
            <w:tcBorders>
              <w:top w:val="single" w:sz="12" w:space="0" w:color="auto"/>
              <w:bottom w:val="single" w:sz="12" w:space="0" w:color="auto"/>
            </w:tcBorders>
            <w:shd w:val="clear" w:color="auto" w:fill="F5F5F1"/>
            <w:noWrap/>
            <w:vAlign w:val="center"/>
            <w:hideMark/>
          </w:tcPr>
          <w:p w14:paraId="742FCC8D" w14:textId="77777777" w:rsidR="00FA5E66" w:rsidRPr="00BC3535" w:rsidRDefault="00FA5E66" w:rsidP="00393AE6">
            <w:pPr>
              <w:pStyle w:val="TableHeaderRow"/>
              <w:rPr>
                <w:i/>
                <w:iCs/>
              </w:rPr>
            </w:pPr>
            <w:r w:rsidRPr="00BC3535">
              <w:rPr>
                <w:i/>
                <w:iCs/>
              </w:rPr>
              <w:t>Weight for height</w:t>
            </w:r>
          </w:p>
        </w:tc>
        <w:tc>
          <w:tcPr>
            <w:tcW w:w="530" w:type="pct"/>
            <w:vMerge w:val="restart"/>
            <w:tcBorders>
              <w:top w:val="single" w:sz="12" w:space="0" w:color="auto"/>
            </w:tcBorders>
            <w:shd w:val="clear" w:color="auto" w:fill="F5F5F1"/>
            <w:hideMark/>
          </w:tcPr>
          <w:p w14:paraId="68C74032" w14:textId="77777777" w:rsidR="00FA5E66" w:rsidRPr="00BC3535" w:rsidRDefault="00FA5E66" w:rsidP="00393AE6">
            <w:pPr>
              <w:pStyle w:val="TableHeaderRow"/>
            </w:pPr>
            <w:r w:rsidRPr="00BC3535">
              <w:rPr>
                <w:sz w:val="20"/>
                <w:szCs w:val="20"/>
              </w:rPr>
              <w:t xml:space="preserve">No. of children </w:t>
            </w:r>
            <w:proofErr w:type="gramStart"/>
            <w:r w:rsidRPr="00BC3535">
              <w:rPr>
                <w:sz w:val="20"/>
                <w:szCs w:val="20"/>
              </w:rPr>
              <w:t>under age</w:t>
            </w:r>
            <w:proofErr w:type="gramEnd"/>
            <w:r w:rsidRPr="00BC3535">
              <w:rPr>
                <w:sz w:val="20"/>
                <w:szCs w:val="20"/>
              </w:rPr>
              <w:t xml:space="preserve"> 5</w:t>
            </w:r>
          </w:p>
        </w:tc>
      </w:tr>
      <w:tr w:rsidR="00FA5E66" w:rsidRPr="00BC3535" w14:paraId="027E9480" w14:textId="77777777" w:rsidTr="00752CF3">
        <w:trPr>
          <w:trHeight w:val="650"/>
          <w:tblHeader/>
        </w:trPr>
        <w:tc>
          <w:tcPr>
            <w:tcW w:w="848" w:type="pct"/>
            <w:vMerge/>
            <w:shd w:val="clear" w:color="auto" w:fill="F5F5F1"/>
            <w:hideMark/>
          </w:tcPr>
          <w:p w14:paraId="181D8E6A" w14:textId="77777777" w:rsidR="00FA5E66" w:rsidRPr="00BC3535" w:rsidRDefault="00FA5E66" w:rsidP="00D850DC">
            <w:pPr>
              <w:rPr>
                <w:rFonts w:asciiTheme="minorHAnsi" w:hAnsiTheme="minorHAnsi"/>
                <w:b/>
                <w:sz w:val="21"/>
                <w:szCs w:val="21"/>
              </w:rPr>
            </w:pPr>
          </w:p>
        </w:tc>
        <w:tc>
          <w:tcPr>
            <w:tcW w:w="879" w:type="pct"/>
            <w:gridSpan w:val="2"/>
            <w:tcBorders>
              <w:top w:val="single" w:sz="12" w:space="0" w:color="auto"/>
              <w:bottom w:val="single" w:sz="12" w:space="0" w:color="auto"/>
            </w:tcBorders>
            <w:shd w:val="clear" w:color="auto" w:fill="F5F5F1"/>
            <w:noWrap/>
            <w:vAlign w:val="center"/>
            <w:hideMark/>
          </w:tcPr>
          <w:p w14:paraId="40ED2E3B" w14:textId="77777777" w:rsidR="00FA5E66" w:rsidRPr="00BC3535" w:rsidRDefault="00FA5E66" w:rsidP="00393AE6">
            <w:pPr>
              <w:pStyle w:val="TableHeaderRow"/>
            </w:pPr>
            <w:r w:rsidRPr="00BC3535">
              <w:t>Underweight, per cent below</w:t>
            </w:r>
          </w:p>
        </w:tc>
        <w:tc>
          <w:tcPr>
            <w:tcW w:w="928" w:type="pct"/>
            <w:gridSpan w:val="2"/>
            <w:tcBorders>
              <w:top w:val="single" w:sz="12" w:space="0" w:color="auto"/>
              <w:bottom w:val="single" w:sz="12" w:space="0" w:color="auto"/>
            </w:tcBorders>
            <w:shd w:val="clear" w:color="auto" w:fill="F5F5F1"/>
            <w:noWrap/>
            <w:vAlign w:val="center"/>
            <w:hideMark/>
          </w:tcPr>
          <w:p w14:paraId="66137056" w14:textId="77777777" w:rsidR="00FA5E66" w:rsidRPr="00BC3535" w:rsidRDefault="00FA5E66" w:rsidP="00393AE6">
            <w:pPr>
              <w:pStyle w:val="TableHeaderRow"/>
            </w:pPr>
            <w:r w:rsidRPr="00BC3535">
              <w:t>Stunted, per cent below</w:t>
            </w:r>
          </w:p>
        </w:tc>
        <w:tc>
          <w:tcPr>
            <w:tcW w:w="921" w:type="pct"/>
            <w:gridSpan w:val="2"/>
            <w:tcBorders>
              <w:top w:val="single" w:sz="12" w:space="0" w:color="auto"/>
              <w:bottom w:val="single" w:sz="12" w:space="0" w:color="auto"/>
            </w:tcBorders>
            <w:shd w:val="clear" w:color="auto" w:fill="F5F5F1"/>
            <w:noWrap/>
            <w:vAlign w:val="center"/>
            <w:hideMark/>
          </w:tcPr>
          <w:p w14:paraId="12C98A75" w14:textId="77777777" w:rsidR="00FA5E66" w:rsidRPr="00BC3535" w:rsidRDefault="00FA5E66" w:rsidP="00393AE6">
            <w:pPr>
              <w:pStyle w:val="TableHeaderRow"/>
            </w:pPr>
            <w:r w:rsidRPr="00BC3535">
              <w:t>Wasted, per cent below</w:t>
            </w:r>
          </w:p>
        </w:tc>
        <w:tc>
          <w:tcPr>
            <w:tcW w:w="894" w:type="pct"/>
            <w:gridSpan w:val="2"/>
            <w:tcBorders>
              <w:top w:val="single" w:sz="12" w:space="0" w:color="auto"/>
              <w:bottom w:val="single" w:sz="12" w:space="0" w:color="auto"/>
            </w:tcBorders>
            <w:shd w:val="clear" w:color="auto" w:fill="F5F5F1"/>
            <w:noWrap/>
            <w:vAlign w:val="center"/>
            <w:hideMark/>
          </w:tcPr>
          <w:p w14:paraId="58D15D9B" w14:textId="77777777" w:rsidR="00FA5E66" w:rsidRPr="00BC3535" w:rsidRDefault="00FA5E66" w:rsidP="00393AE6">
            <w:pPr>
              <w:pStyle w:val="TableHeaderRow"/>
            </w:pPr>
            <w:r w:rsidRPr="00BC3535">
              <w:t>Overweight, per cent above</w:t>
            </w:r>
          </w:p>
        </w:tc>
        <w:tc>
          <w:tcPr>
            <w:tcW w:w="530" w:type="pct"/>
            <w:vMerge/>
            <w:shd w:val="clear" w:color="auto" w:fill="F5F5F1"/>
            <w:hideMark/>
          </w:tcPr>
          <w:p w14:paraId="7300D880" w14:textId="77777777" w:rsidR="00FA5E66" w:rsidRPr="00BC3535" w:rsidRDefault="00FA5E66" w:rsidP="00D850DC">
            <w:pPr>
              <w:rPr>
                <w:rFonts w:asciiTheme="minorHAnsi" w:hAnsiTheme="minorHAnsi"/>
                <w:sz w:val="21"/>
                <w:szCs w:val="21"/>
              </w:rPr>
            </w:pPr>
          </w:p>
        </w:tc>
      </w:tr>
      <w:tr w:rsidR="00FA5E66" w:rsidRPr="00BC3535" w14:paraId="09FBAB48" w14:textId="77777777" w:rsidTr="00752CF3">
        <w:trPr>
          <w:trHeight w:val="320"/>
          <w:tblHeader/>
        </w:trPr>
        <w:tc>
          <w:tcPr>
            <w:tcW w:w="848" w:type="pct"/>
            <w:vMerge/>
            <w:tcBorders>
              <w:bottom w:val="single" w:sz="12" w:space="0" w:color="auto"/>
            </w:tcBorders>
            <w:shd w:val="clear" w:color="auto" w:fill="F5F5F1"/>
            <w:hideMark/>
          </w:tcPr>
          <w:p w14:paraId="4D13987D" w14:textId="77777777" w:rsidR="00FA5E66" w:rsidRPr="00BC3535" w:rsidRDefault="00FA5E66" w:rsidP="00D850DC">
            <w:pPr>
              <w:rPr>
                <w:rFonts w:asciiTheme="minorHAnsi" w:hAnsiTheme="minorHAnsi"/>
                <w:sz w:val="21"/>
                <w:szCs w:val="21"/>
              </w:rPr>
            </w:pPr>
          </w:p>
        </w:tc>
        <w:tc>
          <w:tcPr>
            <w:tcW w:w="449" w:type="pct"/>
            <w:tcBorders>
              <w:top w:val="single" w:sz="12" w:space="0" w:color="auto"/>
              <w:bottom w:val="single" w:sz="12" w:space="0" w:color="auto"/>
            </w:tcBorders>
            <w:shd w:val="clear" w:color="auto" w:fill="F5F5F1"/>
            <w:noWrap/>
            <w:hideMark/>
          </w:tcPr>
          <w:p w14:paraId="03CDD0C7" w14:textId="77777777" w:rsidR="00FA5E66" w:rsidRPr="00BC3535" w:rsidRDefault="00FA5E66" w:rsidP="00D850DC">
            <w:pPr>
              <w:rPr>
                <w:sz w:val="21"/>
                <w:szCs w:val="21"/>
              </w:rPr>
            </w:pPr>
            <w:r w:rsidRPr="00BC3535">
              <w:rPr>
                <w:sz w:val="21"/>
                <w:szCs w:val="21"/>
              </w:rPr>
              <w:t>-2 SD</w:t>
            </w:r>
          </w:p>
        </w:tc>
        <w:tc>
          <w:tcPr>
            <w:tcW w:w="430" w:type="pct"/>
            <w:tcBorders>
              <w:top w:val="single" w:sz="12" w:space="0" w:color="auto"/>
              <w:bottom w:val="single" w:sz="12" w:space="0" w:color="auto"/>
            </w:tcBorders>
            <w:shd w:val="clear" w:color="auto" w:fill="F5F5F1"/>
            <w:noWrap/>
            <w:hideMark/>
          </w:tcPr>
          <w:p w14:paraId="09CF12DA" w14:textId="77777777" w:rsidR="00FA5E66" w:rsidRPr="00BC3535" w:rsidRDefault="00FA5E66" w:rsidP="00D850DC">
            <w:pPr>
              <w:rPr>
                <w:sz w:val="21"/>
                <w:szCs w:val="21"/>
              </w:rPr>
            </w:pPr>
            <w:r w:rsidRPr="00BC3535">
              <w:rPr>
                <w:sz w:val="21"/>
                <w:szCs w:val="21"/>
              </w:rPr>
              <w:t>-3 SD</w:t>
            </w:r>
          </w:p>
        </w:tc>
        <w:tc>
          <w:tcPr>
            <w:tcW w:w="458" w:type="pct"/>
            <w:tcBorders>
              <w:top w:val="single" w:sz="12" w:space="0" w:color="auto"/>
              <w:bottom w:val="single" w:sz="12" w:space="0" w:color="auto"/>
            </w:tcBorders>
            <w:shd w:val="clear" w:color="auto" w:fill="F5F5F1"/>
            <w:noWrap/>
            <w:hideMark/>
          </w:tcPr>
          <w:p w14:paraId="6812DD48" w14:textId="77777777" w:rsidR="00FA5E66" w:rsidRPr="00BC3535" w:rsidRDefault="00FA5E66" w:rsidP="00D850DC">
            <w:pPr>
              <w:rPr>
                <w:sz w:val="21"/>
                <w:szCs w:val="21"/>
              </w:rPr>
            </w:pPr>
            <w:r w:rsidRPr="00BC3535">
              <w:rPr>
                <w:sz w:val="21"/>
                <w:szCs w:val="21"/>
              </w:rPr>
              <w:t>-2 SD</w:t>
            </w:r>
          </w:p>
        </w:tc>
        <w:tc>
          <w:tcPr>
            <w:tcW w:w="470" w:type="pct"/>
            <w:tcBorders>
              <w:top w:val="single" w:sz="12" w:space="0" w:color="auto"/>
              <w:bottom w:val="single" w:sz="12" w:space="0" w:color="auto"/>
            </w:tcBorders>
            <w:shd w:val="clear" w:color="auto" w:fill="F5F5F1"/>
            <w:noWrap/>
            <w:hideMark/>
          </w:tcPr>
          <w:p w14:paraId="36BFF3D1" w14:textId="77777777" w:rsidR="00FA5E66" w:rsidRPr="00BC3535" w:rsidRDefault="00FA5E66" w:rsidP="00D850DC">
            <w:pPr>
              <w:rPr>
                <w:sz w:val="21"/>
                <w:szCs w:val="21"/>
              </w:rPr>
            </w:pPr>
            <w:r w:rsidRPr="00BC3535">
              <w:rPr>
                <w:sz w:val="21"/>
                <w:szCs w:val="21"/>
              </w:rPr>
              <w:t>-3 SD</w:t>
            </w:r>
          </w:p>
        </w:tc>
        <w:tc>
          <w:tcPr>
            <w:tcW w:w="460" w:type="pct"/>
            <w:tcBorders>
              <w:top w:val="single" w:sz="12" w:space="0" w:color="auto"/>
              <w:bottom w:val="single" w:sz="12" w:space="0" w:color="auto"/>
            </w:tcBorders>
            <w:shd w:val="clear" w:color="auto" w:fill="F5F5F1"/>
            <w:noWrap/>
            <w:hideMark/>
          </w:tcPr>
          <w:p w14:paraId="7CF95889" w14:textId="77777777" w:rsidR="00FA5E66" w:rsidRPr="00BC3535" w:rsidRDefault="00FA5E66" w:rsidP="00D850DC">
            <w:pPr>
              <w:rPr>
                <w:sz w:val="21"/>
                <w:szCs w:val="21"/>
              </w:rPr>
            </w:pPr>
            <w:r w:rsidRPr="00BC3535">
              <w:rPr>
                <w:sz w:val="21"/>
                <w:szCs w:val="21"/>
              </w:rPr>
              <w:t>-2 SD</w:t>
            </w:r>
          </w:p>
        </w:tc>
        <w:tc>
          <w:tcPr>
            <w:tcW w:w="461" w:type="pct"/>
            <w:tcBorders>
              <w:top w:val="single" w:sz="12" w:space="0" w:color="auto"/>
              <w:bottom w:val="single" w:sz="12" w:space="0" w:color="auto"/>
            </w:tcBorders>
            <w:shd w:val="clear" w:color="auto" w:fill="F5F5F1"/>
            <w:noWrap/>
            <w:hideMark/>
          </w:tcPr>
          <w:p w14:paraId="04C68825" w14:textId="77777777" w:rsidR="00FA5E66" w:rsidRPr="00BC3535" w:rsidRDefault="00FA5E66" w:rsidP="00D850DC">
            <w:pPr>
              <w:rPr>
                <w:sz w:val="21"/>
                <w:szCs w:val="21"/>
              </w:rPr>
            </w:pPr>
            <w:r w:rsidRPr="00BC3535">
              <w:rPr>
                <w:sz w:val="21"/>
                <w:szCs w:val="21"/>
              </w:rPr>
              <w:t>-3 SD</w:t>
            </w:r>
          </w:p>
        </w:tc>
        <w:tc>
          <w:tcPr>
            <w:tcW w:w="447" w:type="pct"/>
            <w:tcBorders>
              <w:top w:val="single" w:sz="12" w:space="0" w:color="auto"/>
              <w:bottom w:val="single" w:sz="12" w:space="0" w:color="auto"/>
            </w:tcBorders>
            <w:shd w:val="clear" w:color="auto" w:fill="F5F5F1"/>
            <w:noWrap/>
            <w:hideMark/>
          </w:tcPr>
          <w:p w14:paraId="4F619708" w14:textId="77777777" w:rsidR="00FA5E66" w:rsidRPr="00BC3535" w:rsidRDefault="00FA5E66" w:rsidP="00D850DC">
            <w:pPr>
              <w:rPr>
                <w:sz w:val="21"/>
                <w:szCs w:val="21"/>
              </w:rPr>
            </w:pPr>
            <w:r w:rsidRPr="00BC3535">
              <w:rPr>
                <w:sz w:val="21"/>
                <w:szCs w:val="21"/>
              </w:rPr>
              <w:t>+2 SD</w:t>
            </w:r>
          </w:p>
        </w:tc>
        <w:tc>
          <w:tcPr>
            <w:tcW w:w="447" w:type="pct"/>
            <w:tcBorders>
              <w:top w:val="single" w:sz="12" w:space="0" w:color="auto"/>
              <w:bottom w:val="single" w:sz="12" w:space="0" w:color="auto"/>
            </w:tcBorders>
            <w:shd w:val="clear" w:color="auto" w:fill="F5F5F1"/>
            <w:noWrap/>
            <w:hideMark/>
          </w:tcPr>
          <w:p w14:paraId="6DEBF275" w14:textId="77777777" w:rsidR="00FA5E66" w:rsidRPr="00BC3535" w:rsidRDefault="00FA5E66" w:rsidP="00D850DC">
            <w:pPr>
              <w:rPr>
                <w:sz w:val="21"/>
                <w:szCs w:val="21"/>
              </w:rPr>
            </w:pPr>
            <w:r w:rsidRPr="00BC3535">
              <w:rPr>
                <w:sz w:val="21"/>
                <w:szCs w:val="21"/>
              </w:rPr>
              <w:t>+3 SD</w:t>
            </w:r>
          </w:p>
        </w:tc>
        <w:tc>
          <w:tcPr>
            <w:tcW w:w="530" w:type="pct"/>
            <w:vMerge/>
            <w:tcBorders>
              <w:bottom w:val="single" w:sz="12" w:space="0" w:color="auto"/>
            </w:tcBorders>
            <w:shd w:val="clear" w:color="auto" w:fill="F5F5F1"/>
            <w:hideMark/>
          </w:tcPr>
          <w:p w14:paraId="0FC16991" w14:textId="77777777" w:rsidR="00FA5E66" w:rsidRPr="00BC3535" w:rsidRDefault="00FA5E66" w:rsidP="00D850DC">
            <w:pPr>
              <w:rPr>
                <w:rFonts w:asciiTheme="minorHAnsi" w:hAnsiTheme="minorHAnsi"/>
                <w:sz w:val="21"/>
                <w:szCs w:val="21"/>
              </w:rPr>
            </w:pPr>
          </w:p>
        </w:tc>
      </w:tr>
      <w:tr w:rsidR="00FA5E66" w:rsidRPr="00BC3535" w14:paraId="0D5F5527" w14:textId="77777777" w:rsidTr="00752CF3">
        <w:trPr>
          <w:trHeight w:val="320"/>
          <w:tblHeader/>
        </w:trPr>
        <w:tc>
          <w:tcPr>
            <w:tcW w:w="848" w:type="pct"/>
            <w:tcBorders>
              <w:top w:val="single" w:sz="12" w:space="0" w:color="auto"/>
              <w:bottom w:val="single" w:sz="12" w:space="0" w:color="auto"/>
            </w:tcBorders>
            <w:shd w:val="clear" w:color="auto" w:fill="F5F5F1"/>
            <w:noWrap/>
            <w:hideMark/>
          </w:tcPr>
          <w:p w14:paraId="16E6A733" w14:textId="77777777" w:rsidR="00FA5E66" w:rsidRPr="00BC3535" w:rsidRDefault="00FA5E66" w:rsidP="00D850DC">
            <w:pPr>
              <w:rPr>
                <w:sz w:val="21"/>
                <w:szCs w:val="21"/>
              </w:rPr>
            </w:pPr>
            <w:r w:rsidRPr="00BC3535">
              <w:rPr>
                <w:sz w:val="21"/>
                <w:szCs w:val="21"/>
              </w:rPr>
              <w:t>Total</w:t>
            </w:r>
          </w:p>
        </w:tc>
        <w:tc>
          <w:tcPr>
            <w:tcW w:w="449" w:type="pct"/>
            <w:tcBorders>
              <w:top w:val="single" w:sz="12" w:space="0" w:color="auto"/>
              <w:bottom w:val="single" w:sz="12" w:space="0" w:color="auto"/>
            </w:tcBorders>
            <w:shd w:val="clear" w:color="auto" w:fill="F5F5F1"/>
            <w:noWrap/>
            <w:hideMark/>
          </w:tcPr>
          <w:p w14:paraId="29A9124A" w14:textId="77777777" w:rsidR="00FA5E66" w:rsidRPr="00BC3535" w:rsidRDefault="00FA5E66" w:rsidP="00D850DC">
            <w:pPr>
              <w:rPr>
                <w:sz w:val="21"/>
                <w:szCs w:val="21"/>
              </w:rPr>
            </w:pPr>
            <w:r w:rsidRPr="00BC3535">
              <w:rPr>
                <w:sz w:val="21"/>
                <w:szCs w:val="21"/>
              </w:rPr>
              <w:t>12.6</w:t>
            </w:r>
          </w:p>
        </w:tc>
        <w:tc>
          <w:tcPr>
            <w:tcW w:w="430" w:type="pct"/>
            <w:tcBorders>
              <w:top w:val="single" w:sz="12" w:space="0" w:color="auto"/>
              <w:bottom w:val="single" w:sz="12" w:space="0" w:color="auto"/>
            </w:tcBorders>
            <w:shd w:val="clear" w:color="auto" w:fill="F5F5F1"/>
            <w:noWrap/>
            <w:hideMark/>
          </w:tcPr>
          <w:p w14:paraId="562F74A7" w14:textId="77777777" w:rsidR="00FA5E66" w:rsidRPr="00BC3535" w:rsidRDefault="00FA5E66" w:rsidP="00D850DC">
            <w:pPr>
              <w:rPr>
                <w:sz w:val="21"/>
                <w:szCs w:val="21"/>
              </w:rPr>
            </w:pPr>
            <w:r w:rsidRPr="00BC3535">
              <w:rPr>
                <w:sz w:val="21"/>
                <w:szCs w:val="21"/>
              </w:rPr>
              <w:t>2.4</w:t>
            </w:r>
          </w:p>
        </w:tc>
        <w:tc>
          <w:tcPr>
            <w:tcW w:w="458" w:type="pct"/>
            <w:tcBorders>
              <w:top w:val="single" w:sz="12" w:space="0" w:color="auto"/>
              <w:bottom w:val="single" w:sz="12" w:space="0" w:color="auto"/>
            </w:tcBorders>
            <w:shd w:val="clear" w:color="auto" w:fill="F5F5F1"/>
            <w:noWrap/>
            <w:hideMark/>
          </w:tcPr>
          <w:p w14:paraId="759B075A" w14:textId="77777777" w:rsidR="00FA5E66" w:rsidRPr="00BC3535" w:rsidRDefault="00FA5E66" w:rsidP="00D850DC">
            <w:pPr>
              <w:rPr>
                <w:sz w:val="21"/>
                <w:szCs w:val="21"/>
              </w:rPr>
            </w:pPr>
            <w:r w:rsidRPr="00BC3535">
              <w:rPr>
                <w:sz w:val="21"/>
                <w:szCs w:val="21"/>
              </w:rPr>
              <w:t>17.5</w:t>
            </w:r>
          </w:p>
        </w:tc>
        <w:tc>
          <w:tcPr>
            <w:tcW w:w="470" w:type="pct"/>
            <w:tcBorders>
              <w:top w:val="single" w:sz="12" w:space="0" w:color="auto"/>
              <w:bottom w:val="single" w:sz="12" w:space="0" w:color="auto"/>
            </w:tcBorders>
            <w:shd w:val="clear" w:color="auto" w:fill="F5F5F1"/>
            <w:noWrap/>
            <w:hideMark/>
          </w:tcPr>
          <w:p w14:paraId="5775FBFC" w14:textId="77777777" w:rsidR="00FA5E66" w:rsidRPr="00BC3535" w:rsidRDefault="00FA5E66" w:rsidP="00D850DC">
            <w:pPr>
              <w:rPr>
                <w:sz w:val="21"/>
                <w:szCs w:val="21"/>
              </w:rPr>
            </w:pPr>
            <w:r w:rsidRPr="00BC3535">
              <w:rPr>
                <w:sz w:val="21"/>
                <w:szCs w:val="21"/>
              </w:rPr>
              <w:t>4.8</w:t>
            </w:r>
          </w:p>
        </w:tc>
        <w:tc>
          <w:tcPr>
            <w:tcW w:w="460" w:type="pct"/>
            <w:tcBorders>
              <w:top w:val="single" w:sz="12" w:space="0" w:color="auto"/>
              <w:bottom w:val="single" w:sz="12" w:space="0" w:color="auto"/>
            </w:tcBorders>
            <w:shd w:val="clear" w:color="auto" w:fill="F5F5F1"/>
            <w:noWrap/>
            <w:hideMark/>
          </w:tcPr>
          <w:p w14:paraId="6450C8CA" w14:textId="77777777" w:rsidR="00FA5E66" w:rsidRPr="00BC3535" w:rsidRDefault="00FA5E66" w:rsidP="00D850DC">
            <w:pPr>
              <w:rPr>
                <w:sz w:val="21"/>
                <w:szCs w:val="21"/>
              </w:rPr>
            </w:pPr>
            <w:r w:rsidRPr="00BC3535">
              <w:rPr>
                <w:sz w:val="21"/>
                <w:szCs w:val="21"/>
              </w:rPr>
              <w:t>6.8</w:t>
            </w:r>
          </w:p>
        </w:tc>
        <w:tc>
          <w:tcPr>
            <w:tcW w:w="461" w:type="pct"/>
            <w:tcBorders>
              <w:top w:val="single" w:sz="12" w:space="0" w:color="auto"/>
              <w:bottom w:val="single" w:sz="12" w:space="0" w:color="auto"/>
            </w:tcBorders>
            <w:shd w:val="clear" w:color="auto" w:fill="F5F5F1"/>
            <w:noWrap/>
            <w:hideMark/>
          </w:tcPr>
          <w:p w14:paraId="0A33C9D9" w14:textId="77777777" w:rsidR="00FA5E66" w:rsidRPr="00BC3535" w:rsidRDefault="00FA5E66" w:rsidP="00D850DC">
            <w:pPr>
              <w:rPr>
                <w:sz w:val="21"/>
                <w:szCs w:val="21"/>
              </w:rPr>
            </w:pPr>
            <w:r w:rsidRPr="00BC3535">
              <w:rPr>
                <w:sz w:val="21"/>
                <w:szCs w:val="21"/>
              </w:rPr>
              <w:t>1.1</w:t>
            </w:r>
          </w:p>
        </w:tc>
        <w:tc>
          <w:tcPr>
            <w:tcW w:w="447" w:type="pct"/>
            <w:tcBorders>
              <w:top w:val="single" w:sz="12" w:space="0" w:color="auto"/>
              <w:bottom w:val="single" w:sz="12" w:space="0" w:color="auto"/>
            </w:tcBorders>
            <w:shd w:val="clear" w:color="auto" w:fill="F5F5F1"/>
            <w:noWrap/>
            <w:hideMark/>
          </w:tcPr>
          <w:p w14:paraId="7FD342D9" w14:textId="77777777" w:rsidR="00FA5E66" w:rsidRPr="00BC3535" w:rsidRDefault="00FA5E66" w:rsidP="00D850DC">
            <w:pPr>
              <w:rPr>
                <w:sz w:val="21"/>
                <w:szCs w:val="21"/>
              </w:rPr>
            </w:pPr>
            <w:r w:rsidRPr="00BC3535">
              <w:rPr>
                <w:sz w:val="21"/>
                <w:szCs w:val="21"/>
              </w:rPr>
              <w:t>1.4</w:t>
            </w:r>
          </w:p>
        </w:tc>
        <w:tc>
          <w:tcPr>
            <w:tcW w:w="447" w:type="pct"/>
            <w:tcBorders>
              <w:top w:val="single" w:sz="12" w:space="0" w:color="auto"/>
              <w:bottom w:val="single" w:sz="12" w:space="0" w:color="auto"/>
            </w:tcBorders>
            <w:shd w:val="clear" w:color="auto" w:fill="F5F5F1"/>
            <w:noWrap/>
            <w:hideMark/>
          </w:tcPr>
          <w:p w14:paraId="66B887CD" w14:textId="77777777" w:rsidR="00FA5E66" w:rsidRPr="00BC3535" w:rsidRDefault="00FA5E66" w:rsidP="00D850DC">
            <w:pPr>
              <w:rPr>
                <w:sz w:val="21"/>
                <w:szCs w:val="21"/>
              </w:rPr>
            </w:pPr>
            <w:r w:rsidRPr="00BC3535">
              <w:rPr>
                <w:sz w:val="21"/>
                <w:szCs w:val="21"/>
              </w:rPr>
              <w:t>0.3</w:t>
            </w:r>
          </w:p>
        </w:tc>
        <w:tc>
          <w:tcPr>
            <w:tcW w:w="530" w:type="pct"/>
            <w:tcBorders>
              <w:top w:val="single" w:sz="12" w:space="0" w:color="auto"/>
              <w:bottom w:val="single" w:sz="12" w:space="0" w:color="auto"/>
            </w:tcBorders>
            <w:shd w:val="clear" w:color="auto" w:fill="F5F5F1"/>
            <w:noWrap/>
            <w:hideMark/>
          </w:tcPr>
          <w:p w14:paraId="503E9ECF" w14:textId="77777777" w:rsidR="00FA5E66" w:rsidRPr="00BC3535" w:rsidRDefault="00FA5E66" w:rsidP="00D850DC">
            <w:pPr>
              <w:rPr>
                <w:sz w:val="21"/>
                <w:szCs w:val="21"/>
              </w:rPr>
            </w:pPr>
            <w:r w:rsidRPr="00BC3535">
              <w:rPr>
                <w:sz w:val="21"/>
                <w:szCs w:val="21"/>
              </w:rPr>
              <w:t>8,775</w:t>
            </w:r>
          </w:p>
        </w:tc>
      </w:tr>
      <w:tr w:rsidR="00752CF3" w:rsidRPr="00BC3535" w14:paraId="58CB5B2C" w14:textId="77777777" w:rsidTr="00752CF3">
        <w:trPr>
          <w:trHeight w:val="320"/>
          <w:tblHeader/>
        </w:trPr>
        <w:tc>
          <w:tcPr>
            <w:tcW w:w="5000" w:type="pct"/>
            <w:gridSpan w:val="10"/>
            <w:tcBorders>
              <w:top w:val="single" w:sz="12" w:space="0" w:color="auto"/>
              <w:bottom w:val="single" w:sz="12" w:space="0" w:color="auto"/>
            </w:tcBorders>
            <w:shd w:val="clear" w:color="auto" w:fill="F5F5F1"/>
            <w:noWrap/>
            <w:hideMark/>
          </w:tcPr>
          <w:p w14:paraId="55AFEAB1" w14:textId="36C26A1F" w:rsidR="00752CF3" w:rsidRPr="00BC3535" w:rsidRDefault="00752CF3" w:rsidP="00D850DC">
            <w:pPr>
              <w:rPr>
                <w:b/>
                <w:bCs/>
                <w:i/>
                <w:iCs/>
                <w:sz w:val="21"/>
                <w:szCs w:val="21"/>
              </w:rPr>
            </w:pPr>
            <w:r w:rsidRPr="00BC3535">
              <w:rPr>
                <w:b/>
                <w:bCs/>
                <w:i/>
                <w:iCs/>
                <w:sz w:val="21"/>
                <w:szCs w:val="21"/>
              </w:rPr>
              <w:t>Sex</w:t>
            </w:r>
          </w:p>
        </w:tc>
      </w:tr>
      <w:tr w:rsidR="00FA5E66" w:rsidRPr="00BC3535" w14:paraId="0F90AF8D" w14:textId="77777777" w:rsidTr="00752CF3">
        <w:trPr>
          <w:trHeight w:val="320"/>
          <w:tblHeader/>
        </w:trPr>
        <w:tc>
          <w:tcPr>
            <w:tcW w:w="848" w:type="pct"/>
            <w:tcBorders>
              <w:top w:val="single" w:sz="12" w:space="0" w:color="auto"/>
            </w:tcBorders>
            <w:shd w:val="clear" w:color="auto" w:fill="F5F5F1"/>
            <w:noWrap/>
            <w:hideMark/>
          </w:tcPr>
          <w:p w14:paraId="0C757CC8" w14:textId="77777777" w:rsidR="00FA5E66" w:rsidRPr="00BC3535" w:rsidRDefault="00FA5E66" w:rsidP="00D850DC">
            <w:pPr>
              <w:rPr>
                <w:sz w:val="21"/>
                <w:szCs w:val="21"/>
              </w:rPr>
            </w:pPr>
            <w:r w:rsidRPr="00BC3535">
              <w:rPr>
                <w:sz w:val="21"/>
                <w:szCs w:val="21"/>
              </w:rPr>
              <w:t xml:space="preserve">Male </w:t>
            </w:r>
          </w:p>
        </w:tc>
        <w:tc>
          <w:tcPr>
            <w:tcW w:w="449" w:type="pct"/>
            <w:tcBorders>
              <w:top w:val="single" w:sz="12" w:space="0" w:color="auto"/>
            </w:tcBorders>
            <w:shd w:val="clear" w:color="auto" w:fill="F5F5F1"/>
            <w:noWrap/>
            <w:hideMark/>
          </w:tcPr>
          <w:p w14:paraId="1240B750" w14:textId="77777777" w:rsidR="00FA5E66" w:rsidRPr="00BC3535" w:rsidRDefault="00FA5E66" w:rsidP="00D850DC">
            <w:pPr>
              <w:rPr>
                <w:sz w:val="21"/>
                <w:szCs w:val="21"/>
              </w:rPr>
            </w:pPr>
            <w:r w:rsidRPr="00BC3535">
              <w:rPr>
                <w:sz w:val="21"/>
                <w:szCs w:val="21"/>
              </w:rPr>
              <w:t>14.1</w:t>
            </w:r>
          </w:p>
        </w:tc>
        <w:tc>
          <w:tcPr>
            <w:tcW w:w="430" w:type="pct"/>
            <w:tcBorders>
              <w:top w:val="single" w:sz="12" w:space="0" w:color="auto"/>
            </w:tcBorders>
            <w:shd w:val="clear" w:color="auto" w:fill="F5F5F1"/>
            <w:noWrap/>
            <w:hideMark/>
          </w:tcPr>
          <w:p w14:paraId="57C52372" w14:textId="77777777" w:rsidR="00FA5E66" w:rsidRPr="00BC3535" w:rsidRDefault="00FA5E66" w:rsidP="00D850DC">
            <w:pPr>
              <w:rPr>
                <w:sz w:val="21"/>
                <w:szCs w:val="21"/>
              </w:rPr>
            </w:pPr>
            <w:r w:rsidRPr="00BC3535">
              <w:rPr>
                <w:sz w:val="21"/>
                <w:szCs w:val="21"/>
              </w:rPr>
              <w:t>3.2</w:t>
            </w:r>
          </w:p>
        </w:tc>
        <w:tc>
          <w:tcPr>
            <w:tcW w:w="458" w:type="pct"/>
            <w:tcBorders>
              <w:top w:val="single" w:sz="12" w:space="0" w:color="auto"/>
            </w:tcBorders>
            <w:shd w:val="clear" w:color="auto" w:fill="F5F5F1"/>
            <w:noWrap/>
            <w:hideMark/>
          </w:tcPr>
          <w:p w14:paraId="40EDACC6" w14:textId="77777777" w:rsidR="00FA5E66" w:rsidRPr="00BC3535" w:rsidRDefault="00FA5E66" w:rsidP="00D850DC">
            <w:pPr>
              <w:rPr>
                <w:sz w:val="21"/>
                <w:szCs w:val="21"/>
              </w:rPr>
            </w:pPr>
            <w:r w:rsidRPr="00BC3535">
              <w:rPr>
                <w:sz w:val="21"/>
                <w:szCs w:val="21"/>
              </w:rPr>
              <w:t>19.5</w:t>
            </w:r>
          </w:p>
        </w:tc>
        <w:tc>
          <w:tcPr>
            <w:tcW w:w="470" w:type="pct"/>
            <w:tcBorders>
              <w:top w:val="single" w:sz="12" w:space="0" w:color="auto"/>
            </w:tcBorders>
            <w:shd w:val="clear" w:color="auto" w:fill="F5F5F1"/>
            <w:noWrap/>
            <w:hideMark/>
          </w:tcPr>
          <w:p w14:paraId="7909F208" w14:textId="77777777" w:rsidR="00FA5E66" w:rsidRPr="00BC3535" w:rsidRDefault="00FA5E66" w:rsidP="00D850DC">
            <w:pPr>
              <w:rPr>
                <w:sz w:val="21"/>
                <w:szCs w:val="21"/>
              </w:rPr>
            </w:pPr>
            <w:r w:rsidRPr="00BC3535">
              <w:rPr>
                <w:sz w:val="21"/>
                <w:szCs w:val="21"/>
              </w:rPr>
              <w:t>5.7</w:t>
            </w:r>
          </w:p>
        </w:tc>
        <w:tc>
          <w:tcPr>
            <w:tcW w:w="460" w:type="pct"/>
            <w:tcBorders>
              <w:top w:val="single" w:sz="12" w:space="0" w:color="auto"/>
            </w:tcBorders>
            <w:shd w:val="clear" w:color="auto" w:fill="F5F5F1"/>
            <w:noWrap/>
            <w:hideMark/>
          </w:tcPr>
          <w:p w14:paraId="0D970F66" w14:textId="77777777" w:rsidR="00FA5E66" w:rsidRPr="00BC3535" w:rsidRDefault="00FA5E66" w:rsidP="00D850DC">
            <w:pPr>
              <w:rPr>
                <w:sz w:val="21"/>
                <w:szCs w:val="21"/>
              </w:rPr>
            </w:pPr>
            <w:r w:rsidRPr="00BC3535">
              <w:rPr>
                <w:sz w:val="21"/>
                <w:szCs w:val="21"/>
              </w:rPr>
              <w:t>7.8</w:t>
            </w:r>
          </w:p>
        </w:tc>
        <w:tc>
          <w:tcPr>
            <w:tcW w:w="461" w:type="pct"/>
            <w:tcBorders>
              <w:top w:val="single" w:sz="12" w:space="0" w:color="auto"/>
            </w:tcBorders>
            <w:shd w:val="clear" w:color="auto" w:fill="F5F5F1"/>
            <w:noWrap/>
            <w:hideMark/>
          </w:tcPr>
          <w:p w14:paraId="77368482" w14:textId="77777777" w:rsidR="00FA5E66" w:rsidRPr="00BC3535" w:rsidRDefault="00FA5E66" w:rsidP="00D850DC">
            <w:pPr>
              <w:rPr>
                <w:sz w:val="21"/>
                <w:szCs w:val="21"/>
              </w:rPr>
            </w:pPr>
            <w:r w:rsidRPr="00BC3535">
              <w:rPr>
                <w:sz w:val="21"/>
                <w:szCs w:val="21"/>
              </w:rPr>
              <w:t>1.3</w:t>
            </w:r>
          </w:p>
        </w:tc>
        <w:tc>
          <w:tcPr>
            <w:tcW w:w="447" w:type="pct"/>
            <w:tcBorders>
              <w:top w:val="single" w:sz="12" w:space="0" w:color="auto"/>
            </w:tcBorders>
            <w:shd w:val="clear" w:color="auto" w:fill="F5F5F1"/>
            <w:noWrap/>
            <w:hideMark/>
          </w:tcPr>
          <w:p w14:paraId="018661DF" w14:textId="77777777" w:rsidR="00FA5E66" w:rsidRPr="00BC3535" w:rsidRDefault="00FA5E66" w:rsidP="00D850DC">
            <w:pPr>
              <w:rPr>
                <w:sz w:val="21"/>
                <w:szCs w:val="21"/>
              </w:rPr>
            </w:pPr>
            <w:r w:rsidRPr="00BC3535">
              <w:rPr>
                <w:sz w:val="21"/>
                <w:szCs w:val="21"/>
              </w:rPr>
              <w:t>1.5</w:t>
            </w:r>
          </w:p>
        </w:tc>
        <w:tc>
          <w:tcPr>
            <w:tcW w:w="447" w:type="pct"/>
            <w:tcBorders>
              <w:top w:val="single" w:sz="12" w:space="0" w:color="auto"/>
            </w:tcBorders>
            <w:shd w:val="clear" w:color="auto" w:fill="F5F5F1"/>
            <w:noWrap/>
            <w:hideMark/>
          </w:tcPr>
          <w:p w14:paraId="1B65580B" w14:textId="77777777" w:rsidR="00FA5E66" w:rsidRPr="00BC3535" w:rsidRDefault="00FA5E66" w:rsidP="00D850DC">
            <w:pPr>
              <w:rPr>
                <w:sz w:val="21"/>
                <w:szCs w:val="21"/>
              </w:rPr>
            </w:pPr>
            <w:r w:rsidRPr="00BC3535">
              <w:rPr>
                <w:sz w:val="21"/>
                <w:szCs w:val="21"/>
              </w:rPr>
              <w:t>0.2</w:t>
            </w:r>
          </w:p>
        </w:tc>
        <w:tc>
          <w:tcPr>
            <w:tcW w:w="530" w:type="pct"/>
            <w:tcBorders>
              <w:top w:val="single" w:sz="12" w:space="0" w:color="auto"/>
            </w:tcBorders>
            <w:shd w:val="clear" w:color="auto" w:fill="F5F5F1"/>
            <w:noWrap/>
            <w:hideMark/>
          </w:tcPr>
          <w:p w14:paraId="19EF6209" w14:textId="77777777" w:rsidR="00FA5E66" w:rsidRPr="00BC3535" w:rsidRDefault="00FA5E66" w:rsidP="00D850DC">
            <w:pPr>
              <w:rPr>
                <w:sz w:val="21"/>
                <w:szCs w:val="21"/>
              </w:rPr>
            </w:pPr>
            <w:r w:rsidRPr="00BC3535">
              <w:rPr>
                <w:sz w:val="21"/>
                <w:szCs w:val="21"/>
              </w:rPr>
              <w:t>4,308</w:t>
            </w:r>
          </w:p>
        </w:tc>
      </w:tr>
      <w:tr w:rsidR="00FA5E66" w:rsidRPr="00BC3535" w14:paraId="564C3986" w14:textId="77777777" w:rsidTr="00752CF3">
        <w:trPr>
          <w:trHeight w:val="320"/>
          <w:tblHeader/>
        </w:trPr>
        <w:tc>
          <w:tcPr>
            <w:tcW w:w="848" w:type="pct"/>
            <w:tcBorders>
              <w:bottom w:val="single" w:sz="12" w:space="0" w:color="auto"/>
            </w:tcBorders>
            <w:shd w:val="clear" w:color="auto" w:fill="F5F5F1"/>
            <w:noWrap/>
            <w:hideMark/>
          </w:tcPr>
          <w:p w14:paraId="3CAB7FDD" w14:textId="77777777" w:rsidR="00FA5E66" w:rsidRPr="00BC3535" w:rsidRDefault="00FA5E66" w:rsidP="00D850DC">
            <w:pPr>
              <w:rPr>
                <w:sz w:val="21"/>
                <w:szCs w:val="21"/>
              </w:rPr>
            </w:pPr>
            <w:r w:rsidRPr="00BC3535">
              <w:rPr>
                <w:sz w:val="21"/>
                <w:szCs w:val="21"/>
              </w:rPr>
              <w:t>Female</w:t>
            </w:r>
          </w:p>
        </w:tc>
        <w:tc>
          <w:tcPr>
            <w:tcW w:w="449" w:type="pct"/>
            <w:tcBorders>
              <w:bottom w:val="single" w:sz="12" w:space="0" w:color="auto"/>
            </w:tcBorders>
            <w:shd w:val="clear" w:color="auto" w:fill="F5F5F1"/>
            <w:noWrap/>
            <w:hideMark/>
          </w:tcPr>
          <w:p w14:paraId="1A5515FF" w14:textId="77777777" w:rsidR="00FA5E66" w:rsidRPr="00BC3535" w:rsidRDefault="00FA5E66" w:rsidP="00D850DC">
            <w:pPr>
              <w:rPr>
                <w:sz w:val="21"/>
                <w:szCs w:val="21"/>
              </w:rPr>
            </w:pPr>
            <w:r w:rsidRPr="00BC3535">
              <w:rPr>
                <w:sz w:val="21"/>
                <w:szCs w:val="21"/>
              </w:rPr>
              <w:t>11.0</w:t>
            </w:r>
          </w:p>
        </w:tc>
        <w:tc>
          <w:tcPr>
            <w:tcW w:w="430" w:type="pct"/>
            <w:tcBorders>
              <w:bottom w:val="single" w:sz="12" w:space="0" w:color="auto"/>
            </w:tcBorders>
            <w:shd w:val="clear" w:color="auto" w:fill="F5F5F1"/>
            <w:noWrap/>
            <w:hideMark/>
          </w:tcPr>
          <w:p w14:paraId="4D398531" w14:textId="77777777" w:rsidR="00FA5E66" w:rsidRPr="00BC3535" w:rsidRDefault="00FA5E66" w:rsidP="00D850DC">
            <w:pPr>
              <w:rPr>
                <w:sz w:val="21"/>
                <w:szCs w:val="21"/>
              </w:rPr>
            </w:pPr>
            <w:r w:rsidRPr="00BC3535">
              <w:rPr>
                <w:sz w:val="21"/>
                <w:szCs w:val="21"/>
              </w:rPr>
              <w:t>1.6</w:t>
            </w:r>
          </w:p>
        </w:tc>
        <w:tc>
          <w:tcPr>
            <w:tcW w:w="458" w:type="pct"/>
            <w:tcBorders>
              <w:bottom w:val="single" w:sz="12" w:space="0" w:color="auto"/>
            </w:tcBorders>
            <w:shd w:val="clear" w:color="auto" w:fill="F5F5F1"/>
            <w:noWrap/>
            <w:hideMark/>
          </w:tcPr>
          <w:p w14:paraId="32B7936D" w14:textId="77777777" w:rsidR="00FA5E66" w:rsidRPr="00BC3535" w:rsidRDefault="00FA5E66" w:rsidP="00D850DC">
            <w:pPr>
              <w:rPr>
                <w:sz w:val="21"/>
                <w:szCs w:val="21"/>
              </w:rPr>
            </w:pPr>
            <w:r w:rsidRPr="00BC3535">
              <w:rPr>
                <w:sz w:val="21"/>
                <w:szCs w:val="21"/>
              </w:rPr>
              <w:t>15.6</w:t>
            </w:r>
          </w:p>
        </w:tc>
        <w:tc>
          <w:tcPr>
            <w:tcW w:w="470" w:type="pct"/>
            <w:tcBorders>
              <w:bottom w:val="single" w:sz="12" w:space="0" w:color="auto"/>
            </w:tcBorders>
            <w:shd w:val="clear" w:color="auto" w:fill="F5F5F1"/>
            <w:noWrap/>
            <w:hideMark/>
          </w:tcPr>
          <w:p w14:paraId="479F8248" w14:textId="77777777" w:rsidR="00FA5E66" w:rsidRPr="00BC3535" w:rsidRDefault="00FA5E66" w:rsidP="00D850DC">
            <w:pPr>
              <w:rPr>
                <w:sz w:val="21"/>
                <w:szCs w:val="21"/>
              </w:rPr>
            </w:pPr>
            <w:r w:rsidRPr="00BC3535">
              <w:rPr>
                <w:sz w:val="21"/>
                <w:szCs w:val="21"/>
              </w:rPr>
              <w:t>3.9</w:t>
            </w:r>
          </w:p>
        </w:tc>
        <w:tc>
          <w:tcPr>
            <w:tcW w:w="460" w:type="pct"/>
            <w:tcBorders>
              <w:bottom w:val="single" w:sz="12" w:space="0" w:color="auto"/>
            </w:tcBorders>
            <w:shd w:val="clear" w:color="auto" w:fill="F5F5F1"/>
            <w:noWrap/>
            <w:hideMark/>
          </w:tcPr>
          <w:p w14:paraId="4D55DB26" w14:textId="77777777" w:rsidR="00FA5E66" w:rsidRPr="00BC3535" w:rsidRDefault="00FA5E66" w:rsidP="00D850DC">
            <w:pPr>
              <w:rPr>
                <w:sz w:val="21"/>
                <w:szCs w:val="21"/>
              </w:rPr>
            </w:pPr>
            <w:r w:rsidRPr="00BC3535">
              <w:rPr>
                <w:sz w:val="21"/>
                <w:szCs w:val="21"/>
              </w:rPr>
              <w:t>5.9</w:t>
            </w:r>
          </w:p>
        </w:tc>
        <w:tc>
          <w:tcPr>
            <w:tcW w:w="461" w:type="pct"/>
            <w:tcBorders>
              <w:bottom w:val="single" w:sz="12" w:space="0" w:color="auto"/>
            </w:tcBorders>
            <w:shd w:val="clear" w:color="auto" w:fill="F5F5F1"/>
            <w:noWrap/>
            <w:hideMark/>
          </w:tcPr>
          <w:p w14:paraId="71C51638" w14:textId="77777777" w:rsidR="00FA5E66" w:rsidRPr="00BC3535" w:rsidRDefault="00FA5E66" w:rsidP="00D850DC">
            <w:pPr>
              <w:rPr>
                <w:sz w:val="21"/>
                <w:szCs w:val="21"/>
              </w:rPr>
            </w:pPr>
            <w:r w:rsidRPr="00BC3535">
              <w:rPr>
                <w:sz w:val="21"/>
                <w:szCs w:val="21"/>
              </w:rPr>
              <w:t>1.0</w:t>
            </w:r>
          </w:p>
        </w:tc>
        <w:tc>
          <w:tcPr>
            <w:tcW w:w="447" w:type="pct"/>
            <w:tcBorders>
              <w:bottom w:val="single" w:sz="12" w:space="0" w:color="auto"/>
            </w:tcBorders>
            <w:shd w:val="clear" w:color="auto" w:fill="F5F5F1"/>
            <w:noWrap/>
            <w:hideMark/>
          </w:tcPr>
          <w:p w14:paraId="30F2653F" w14:textId="77777777" w:rsidR="00FA5E66" w:rsidRPr="00BC3535" w:rsidRDefault="00FA5E66" w:rsidP="00D850DC">
            <w:pPr>
              <w:rPr>
                <w:sz w:val="21"/>
                <w:szCs w:val="21"/>
              </w:rPr>
            </w:pPr>
            <w:r w:rsidRPr="00BC3535">
              <w:rPr>
                <w:sz w:val="21"/>
                <w:szCs w:val="21"/>
              </w:rPr>
              <w:t>1.3</w:t>
            </w:r>
          </w:p>
        </w:tc>
        <w:tc>
          <w:tcPr>
            <w:tcW w:w="447" w:type="pct"/>
            <w:tcBorders>
              <w:bottom w:val="single" w:sz="12" w:space="0" w:color="auto"/>
            </w:tcBorders>
            <w:shd w:val="clear" w:color="auto" w:fill="F5F5F1"/>
            <w:noWrap/>
            <w:hideMark/>
          </w:tcPr>
          <w:p w14:paraId="5E22E1F3" w14:textId="77777777" w:rsidR="00FA5E66" w:rsidRPr="00BC3535" w:rsidRDefault="00FA5E66" w:rsidP="00D850DC">
            <w:pPr>
              <w:rPr>
                <w:sz w:val="21"/>
                <w:szCs w:val="21"/>
              </w:rPr>
            </w:pPr>
            <w:r w:rsidRPr="00BC3535">
              <w:rPr>
                <w:sz w:val="21"/>
                <w:szCs w:val="21"/>
              </w:rPr>
              <w:t>0.3</w:t>
            </w:r>
          </w:p>
        </w:tc>
        <w:tc>
          <w:tcPr>
            <w:tcW w:w="530" w:type="pct"/>
            <w:tcBorders>
              <w:bottom w:val="single" w:sz="12" w:space="0" w:color="auto"/>
            </w:tcBorders>
            <w:shd w:val="clear" w:color="auto" w:fill="F5F5F1"/>
            <w:noWrap/>
            <w:hideMark/>
          </w:tcPr>
          <w:p w14:paraId="7B430CBA" w14:textId="77777777" w:rsidR="00FA5E66" w:rsidRPr="00BC3535" w:rsidRDefault="00FA5E66" w:rsidP="00D850DC">
            <w:pPr>
              <w:rPr>
                <w:sz w:val="21"/>
                <w:szCs w:val="21"/>
              </w:rPr>
            </w:pPr>
            <w:r w:rsidRPr="00BC3535">
              <w:rPr>
                <w:sz w:val="21"/>
                <w:szCs w:val="21"/>
              </w:rPr>
              <w:t>4,467</w:t>
            </w:r>
          </w:p>
        </w:tc>
      </w:tr>
      <w:tr w:rsidR="00752CF3" w:rsidRPr="00BC3535" w14:paraId="161B1A75" w14:textId="77777777" w:rsidTr="00752CF3">
        <w:trPr>
          <w:trHeight w:val="320"/>
          <w:tblHeader/>
        </w:trPr>
        <w:tc>
          <w:tcPr>
            <w:tcW w:w="5000" w:type="pct"/>
            <w:gridSpan w:val="10"/>
            <w:tcBorders>
              <w:top w:val="single" w:sz="12" w:space="0" w:color="auto"/>
              <w:bottom w:val="single" w:sz="12" w:space="0" w:color="auto"/>
            </w:tcBorders>
            <w:shd w:val="clear" w:color="auto" w:fill="F5F5F1"/>
            <w:noWrap/>
            <w:hideMark/>
          </w:tcPr>
          <w:p w14:paraId="320C1F57" w14:textId="59E9CB15" w:rsidR="00752CF3" w:rsidRPr="00BC3535" w:rsidRDefault="00752CF3" w:rsidP="00D850DC">
            <w:pPr>
              <w:rPr>
                <w:b/>
                <w:bCs/>
                <w:i/>
                <w:iCs/>
                <w:sz w:val="21"/>
                <w:szCs w:val="21"/>
              </w:rPr>
            </w:pPr>
            <w:r w:rsidRPr="00BC3535">
              <w:rPr>
                <w:b/>
                <w:bCs/>
                <w:i/>
                <w:iCs/>
                <w:sz w:val="21"/>
                <w:szCs w:val="21"/>
              </w:rPr>
              <w:t>Age (in months)</w:t>
            </w:r>
          </w:p>
        </w:tc>
      </w:tr>
      <w:tr w:rsidR="00FA5E66" w:rsidRPr="00BC3535" w14:paraId="1AB8A539" w14:textId="77777777" w:rsidTr="00752CF3">
        <w:trPr>
          <w:trHeight w:val="320"/>
          <w:tblHeader/>
        </w:trPr>
        <w:tc>
          <w:tcPr>
            <w:tcW w:w="848" w:type="pct"/>
            <w:tcBorders>
              <w:top w:val="single" w:sz="12" w:space="0" w:color="auto"/>
            </w:tcBorders>
            <w:shd w:val="clear" w:color="auto" w:fill="F5F5F1"/>
            <w:noWrap/>
            <w:hideMark/>
          </w:tcPr>
          <w:p w14:paraId="28D2C9C8" w14:textId="77777777" w:rsidR="00FA5E66" w:rsidRPr="00BC3535" w:rsidRDefault="00FA5E66" w:rsidP="00D850DC">
            <w:pPr>
              <w:rPr>
                <w:sz w:val="21"/>
                <w:szCs w:val="21"/>
              </w:rPr>
            </w:pPr>
            <w:r w:rsidRPr="00BC3535">
              <w:rPr>
                <w:sz w:val="21"/>
                <w:szCs w:val="21"/>
              </w:rPr>
              <w:t>0-5</w:t>
            </w:r>
          </w:p>
        </w:tc>
        <w:tc>
          <w:tcPr>
            <w:tcW w:w="449" w:type="pct"/>
            <w:tcBorders>
              <w:top w:val="single" w:sz="12" w:space="0" w:color="auto"/>
            </w:tcBorders>
            <w:shd w:val="clear" w:color="auto" w:fill="F5F5F1"/>
            <w:noWrap/>
            <w:hideMark/>
          </w:tcPr>
          <w:p w14:paraId="3993B7E0" w14:textId="77777777" w:rsidR="00FA5E66" w:rsidRPr="00BC3535" w:rsidRDefault="00FA5E66" w:rsidP="00D850DC">
            <w:pPr>
              <w:rPr>
                <w:sz w:val="21"/>
                <w:szCs w:val="21"/>
              </w:rPr>
            </w:pPr>
            <w:r w:rsidRPr="00BC3535">
              <w:rPr>
                <w:sz w:val="21"/>
                <w:szCs w:val="21"/>
              </w:rPr>
              <w:t>11.8</w:t>
            </w:r>
          </w:p>
        </w:tc>
        <w:tc>
          <w:tcPr>
            <w:tcW w:w="430" w:type="pct"/>
            <w:tcBorders>
              <w:top w:val="single" w:sz="12" w:space="0" w:color="auto"/>
            </w:tcBorders>
            <w:shd w:val="clear" w:color="auto" w:fill="F5F5F1"/>
            <w:noWrap/>
            <w:hideMark/>
          </w:tcPr>
          <w:p w14:paraId="7301EB62" w14:textId="77777777" w:rsidR="00FA5E66" w:rsidRPr="00BC3535" w:rsidRDefault="00FA5E66" w:rsidP="00D850DC">
            <w:pPr>
              <w:rPr>
                <w:sz w:val="21"/>
                <w:szCs w:val="21"/>
              </w:rPr>
            </w:pPr>
            <w:r w:rsidRPr="00BC3535">
              <w:rPr>
                <w:sz w:val="21"/>
                <w:szCs w:val="21"/>
              </w:rPr>
              <w:t>3.4</w:t>
            </w:r>
          </w:p>
        </w:tc>
        <w:tc>
          <w:tcPr>
            <w:tcW w:w="458" w:type="pct"/>
            <w:tcBorders>
              <w:top w:val="single" w:sz="12" w:space="0" w:color="auto"/>
            </w:tcBorders>
            <w:shd w:val="clear" w:color="auto" w:fill="F5F5F1"/>
            <w:noWrap/>
            <w:hideMark/>
          </w:tcPr>
          <w:p w14:paraId="2BAFF4BB" w14:textId="77777777" w:rsidR="00FA5E66" w:rsidRPr="00BC3535" w:rsidRDefault="00FA5E66" w:rsidP="00D850DC">
            <w:pPr>
              <w:rPr>
                <w:sz w:val="21"/>
                <w:szCs w:val="21"/>
              </w:rPr>
            </w:pPr>
            <w:r w:rsidRPr="00BC3535">
              <w:rPr>
                <w:sz w:val="21"/>
                <w:szCs w:val="21"/>
              </w:rPr>
              <w:t>7.5</w:t>
            </w:r>
          </w:p>
        </w:tc>
        <w:tc>
          <w:tcPr>
            <w:tcW w:w="470" w:type="pct"/>
            <w:tcBorders>
              <w:top w:val="single" w:sz="12" w:space="0" w:color="auto"/>
            </w:tcBorders>
            <w:shd w:val="clear" w:color="auto" w:fill="F5F5F1"/>
            <w:noWrap/>
            <w:hideMark/>
          </w:tcPr>
          <w:p w14:paraId="184C7397" w14:textId="77777777" w:rsidR="00FA5E66" w:rsidRPr="00BC3535" w:rsidRDefault="00FA5E66" w:rsidP="00D850DC">
            <w:pPr>
              <w:rPr>
                <w:sz w:val="21"/>
                <w:szCs w:val="21"/>
              </w:rPr>
            </w:pPr>
            <w:r w:rsidRPr="00BC3535">
              <w:rPr>
                <w:sz w:val="21"/>
                <w:szCs w:val="21"/>
              </w:rPr>
              <w:t>2.7</w:t>
            </w:r>
          </w:p>
        </w:tc>
        <w:tc>
          <w:tcPr>
            <w:tcW w:w="460" w:type="pct"/>
            <w:tcBorders>
              <w:top w:val="single" w:sz="12" w:space="0" w:color="auto"/>
            </w:tcBorders>
            <w:shd w:val="clear" w:color="auto" w:fill="F5F5F1"/>
            <w:noWrap/>
            <w:hideMark/>
          </w:tcPr>
          <w:p w14:paraId="47FB3089" w14:textId="77777777" w:rsidR="00FA5E66" w:rsidRPr="00BC3535" w:rsidRDefault="00FA5E66" w:rsidP="00D850DC">
            <w:pPr>
              <w:rPr>
                <w:sz w:val="21"/>
                <w:szCs w:val="21"/>
              </w:rPr>
            </w:pPr>
            <w:r w:rsidRPr="00BC3535">
              <w:rPr>
                <w:sz w:val="21"/>
                <w:szCs w:val="21"/>
              </w:rPr>
              <w:t>13.4</w:t>
            </w:r>
          </w:p>
        </w:tc>
        <w:tc>
          <w:tcPr>
            <w:tcW w:w="461" w:type="pct"/>
            <w:tcBorders>
              <w:top w:val="single" w:sz="12" w:space="0" w:color="auto"/>
            </w:tcBorders>
            <w:shd w:val="clear" w:color="auto" w:fill="F5F5F1"/>
            <w:noWrap/>
            <w:hideMark/>
          </w:tcPr>
          <w:p w14:paraId="0A81D8F5" w14:textId="77777777" w:rsidR="00FA5E66" w:rsidRPr="00BC3535" w:rsidRDefault="00FA5E66" w:rsidP="00D850DC">
            <w:pPr>
              <w:rPr>
                <w:sz w:val="21"/>
                <w:szCs w:val="21"/>
              </w:rPr>
            </w:pPr>
            <w:r w:rsidRPr="00BC3535">
              <w:rPr>
                <w:sz w:val="21"/>
                <w:szCs w:val="21"/>
              </w:rPr>
              <w:t>4.4</w:t>
            </w:r>
          </w:p>
        </w:tc>
        <w:tc>
          <w:tcPr>
            <w:tcW w:w="447" w:type="pct"/>
            <w:tcBorders>
              <w:top w:val="single" w:sz="12" w:space="0" w:color="auto"/>
            </w:tcBorders>
            <w:shd w:val="clear" w:color="auto" w:fill="F5F5F1"/>
            <w:noWrap/>
            <w:hideMark/>
          </w:tcPr>
          <w:p w14:paraId="326CD2AC" w14:textId="77777777" w:rsidR="00FA5E66" w:rsidRPr="00BC3535" w:rsidRDefault="00FA5E66" w:rsidP="00D850DC">
            <w:pPr>
              <w:rPr>
                <w:sz w:val="21"/>
                <w:szCs w:val="21"/>
              </w:rPr>
            </w:pPr>
            <w:r w:rsidRPr="00BC3535">
              <w:rPr>
                <w:sz w:val="21"/>
                <w:szCs w:val="21"/>
              </w:rPr>
              <w:t>3.4</w:t>
            </w:r>
          </w:p>
        </w:tc>
        <w:tc>
          <w:tcPr>
            <w:tcW w:w="447" w:type="pct"/>
            <w:tcBorders>
              <w:top w:val="single" w:sz="12" w:space="0" w:color="auto"/>
            </w:tcBorders>
            <w:shd w:val="clear" w:color="auto" w:fill="F5F5F1"/>
            <w:noWrap/>
            <w:hideMark/>
          </w:tcPr>
          <w:p w14:paraId="13DAD5A5" w14:textId="77777777" w:rsidR="00FA5E66" w:rsidRPr="00BC3535" w:rsidRDefault="00FA5E66" w:rsidP="00D850DC">
            <w:pPr>
              <w:rPr>
                <w:sz w:val="21"/>
                <w:szCs w:val="21"/>
              </w:rPr>
            </w:pPr>
            <w:r w:rsidRPr="00BC3535">
              <w:rPr>
                <w:sz w:val="21"/>
                <w:szCs w:val="21"/>
              </w:rPr>
              <w:t>1.1</w:t>
            </w:r>
          </w:p>
        </w:tc>
        <w:tc>
          <w:tcPr>
            <w:tcW w:w="530" w:type="pct"/>
            <w:tcBorders>
              <w:top w:val="single" w:sz="12" w:space="0" w:color="auto"/>
            </w:tcBorders>
            <w:shd w:val="clear" w:color="auto" w:fill="F5F5F1"/>
            <w:noWrap/>
            <w:hideMark/>
          </w:tcPr>
          <w:p w14:paraId="4D42E785" w14:textId="77777777" w:rsidR="00FA5E66" w:rsidRPr="00BC3535" w:rsidRDefault="00FA5E66" w:rsidP="00D850DC">
            <w:pPr>
              <w:rPr>
                <w:sz w:val="21"/>
                <w:szCs w:val="21"/>
              </w:rPr>
            </w:pPr>
            <w:r w:rsidRPr="00BC3535">
              <w:rPr>
                <w:sz w:val="21"/>
                <w:szCs w:val="21"/>
              </w:rPr>
              <w:t>802</w:t>
            </w:r>
          </w:p>
        </w:tc>
      </w:tr>
      <w:tr w:rsidR="00FA5E66" w:rsidRPr="00BC3535" w14:paraId="1E8452A0" w14:textId="77777777" w:rsidTr="00752CF3">
        <w:trPr>
          <w:trHeight w:val="320"/>
          <w:tblHeader/>
        </w:trPr>
        <w:tc>
          <w:tcPr>
            <w:tcW w:w="848" w:type="pct"/>
            <w:shd w:val="clear" w:color="auto" w:fill="F5F5F1"/>
            <w:noWrap/>
            <w:hideMark/>
          </w:tcPr>
          <w:p w14:paraId="38A72F42" w14:textId="77777777" w:rsidR="00FA5E66" w:rsidRPr="00BC3535" w:rsidRDefault="00FA5E66" w:rsidP="00D850DC">
            <w:pPr>
              <w:rPr>
                <w:sz w:val="21"/>
                <w:szCs w:val="21"/>
              </w:rPr>
            </w:pPr>
            <w:r w:rsidRPr="00BC3535">
              <w:rPr>
                <w:sz w:val="21"/>
                <w:szCs w:val="21"/>
              </w:rPr>
              <w:t>6-11</w:t>
            </w:r>
          </w:p>
        </w:tc>
        <w:tc>
          <w:tcPr>
            <w:tcW w:w="449" w:type="pct"/>
            <w:shd w:val="clear" w:color="auto" w:fill="F5F5F1"/>
            <w:noWrap/>
            <w:hideMark/>
          </w:tcPr>
          <w:p w14:paraId="00CCCF9F" w14:textId="77777777" w:rsidR="00FA5E66" w:rsidRPr="00BC3535" w:rsidRDefault="00FA5E66" w:rsidP="00D850DC">
            <w:pPr>
              <w:rPr>
                <w:sz w:val="21"/>
                <w:szCs w:val="21"/>
              </w:rPr>
            </w:pPr>
            <w:r w:rsidRPr="00BC3535">
              <w:rPr>
                <w:sz w:val="21"/>
                <w:szCs w:val="21"/>
              </w:rPr>
              <w:t>14.7</w:t>
            </w:r>
          </w:p>
        </w:tc>
        <w:tc>
          <w:tcPr>
            <w:tcW w:w="430" w:type="pct"/>
            <w:shd w:val="clear" w:color="auto" w:fill="F5F5F1"/>
            <w:noWrap/>
            <w:hideMark/>
          </w:tcPr>
          <w:p w14:paraId="4C45B5AB" w14:textId="77777777" w:rsidR="00FA5E66" w:rsidRPr="00BC3535" w:rsidRDefault="00FA5E66" w:rsidP="00D850DC">
            <w:pPr>
              <w:rPr>
                <w:sz w:val="21"/>
                <w:szCs w:val="21"/>
              </w:rPr>
            </w:pPr>
            <w:r w:rsidRPr="00BC3535">
              <w:rPr>
                <w:sz w:val="21"/>
                <w:szCs w:val="21"/>
              </w:rPr>
              <w:t>4.0</w:t>
            </w:r>
          </w:p>
        </w:tc>
        <w:tc>
          <w:tcPr>
            <w:tcW w:w="458" w:type="pct"/>
            <w:shd w:val="clear" w:color="auto" w:fill="F5F5F1"/>
            <w:noWrap/>
            <w:hideMark/>
          </w:tcPr>
          <w:p w14:paraId="29572FB9" w14:textId="77777777" w:rsidR="00FA5E66" w:rsidRPr="00BC3535" w:rsidRDefault="00FA5E66" w:rsidP="00D850DC">
            <w:pPr>
              <w:rPr>
                <w:sz w:val="21"/>
                <w:szCs w:val="21"/>
              </w:rPr>
            </w:pPr>
            <w:r w:rsidRPr="00BC3535">
              <w:rPr>
                <w:sz w:val="21"/>
                <w:szCs w:val="21"/>
              </w:rPr>
              <w:t>9.6</w:t>
            </w:r>
          </w:p>
        </w:tc>
        <w:tc>
          <w:tcPr>
            <w:tcW w:w="470" w:type="pct"/>
            <w:shd w:val="clear" w:color="auto" w:fill="F5F5F1"/>
            <w:noWrap/>
            <w:hideMark/>
          </w:tcPr>
          <w:p w14:paraId="10CE9FE8" w14:textId="77777777" w:rsidR="00FA5E66" w:rsidRPr="00BC3535" w:rsidRDefault="00FA5E66" w:rsidP="00D850DC">
            <w:pPr>
              <w:rPr>
                <w:sz w:val="21"/>
                <w:szCs w:val="21"/>
              </w:rPr>
            </w:pPr>
            <w:r w:rsidRPr="00BC3535">
              <w:rPr>
                <w:sz w:val="21"/>
                <w:szCs w:val="21"/>
              </w:rPr>
              <w:t>2.6</w:t>
            </w:r>
          </w:p>
        </w:tc>
        <w:tc>
          <w:tcPr>
            <w:tcW w:w="460" w:type="pct"/>
            <w:shd w:val="clear" w:color="auto" w:fill="F5F5F1"/>
            <w:noWrap/>
            <w:hideMark/>
          </w:tcPr>
          <w:p w14:paraId="61D936A2" w14:textId="77777777" w:rsidR="00FA5E66" w:rsidRPr="00BC3535" w:rsidRDefault="00FA5E66" w:rsidP="00D850DC">
            <w:pPr>
              <w:rPr>
                <w:sz w:val="21"/>
                <w:szCs w:val="21"/>
              </w:rPr>
            </w:pPr>
            <w:r w:rsidRPr="00BC3535">
              <w:rPr>
                <w:sz w:val="21"/>
                <w:szCs w:val="21"/>
              </w:rPr>
              <w:t>14.9</w:t>
            </w:r>
          </w:p>
        </w:tc>
        <w:tc>
          <w:tcPr>
            <w:tcW w:w="461" w:type="pct"/>
            <w:shd w:val="clear" w:color="auto" w:fill="F5F5F1"/>
            <w:noWrap/>
            <w:hideMark/>
          </w:tcPr>
          <w:p w14:paraId="6511DD42" w14:textId="77777777" w:rsidR="00FA5E66" w:rsidRPr="00BC3535" w:rsidRDefault="00FA5E66" w:rsidP="00D850DC">
            <w:pPr>
              <w:rPr>
                <w:sz w:val="21"/>
                <w:szCs w:val="21"/>
              </w:rPr>
            </w:pPr>
            <w:r w:rsidRPr="00BC3535">
              <w:rPr>
                <w:sz w:val="21"/>
                <w:szCs w:val="21"/>
              </w:rPr>
              <w:t>2.7</w:t>
            </w:r>
          </w:p>
        </w:tc>
        <w:tc>
          <w:tcPr>
            <w:tcW w:w="447" w:type="pct"/>
            <w:shd w:val="clear" w:color="auto" w:fill="F5F5F1"/>
            <w:noWrap/>
            <w:hideMark/>
          </w:tcPr>
          <w:p w14:paraId="79622934" w14:textId="77777777" w:rsidR="00FA5E66" w:rsidRPr="00BC3535" w:rsidRDefault="00FA5E66" w:rsidP="00D850DC">
            <w:pPr>
              <w:rPr>
                <w:sz w:val="21"/>
                <w:szCs w:val="21"/>
              </w:rPr>
            </w:pPr>
            <w:r w:rsidRPr="00BC3535">
              <w:rPr>
                <w:sz w:val="21"/>
                <w:szCs w:val="21"/>
              </w:rPr>
              <w:t>1.7</w:t>
            </w:r>
          </w:p>
        </w:tc>
        <w:tc>
          <w:tcPr>
            <w:tcW w:w="447" w:type="pct"/>
            <w:shd w:val="clear" w:color="auto" w:fill="F5F5F1"/>
            <w:noWrap/>
            <w:hideMark/>
          </w:tcPr>
          <w:p w14:paraId="45D3B63D" w14:textId="77777777" w:rsidR="00FA5E66" w:rsidRPr="00BC3535" w:rsidRDefault="00FA5E66" w:rsidP="00D850DC">
            <w:pPr>
              <w:rPr>
                <w:sz w:val="21"/>
                <w:szCs w:val="21"/>
              </w:rPr>
            </w:pPr>
            <w:r w:rsidRPr="00BC3535">
              <w:rPr>
                <w:sz w:val="21"/>
                <w:szCs w:val="21"/>
              </w:rPr>
              <w:t>0.4</w:t>
            </w:r>
          </w:p>
        </w:tc>
        <w:tc>
          <w:tcPr>
            <w:tcW w:w="530" w:type="pct"/>
            <w:shd w:val="clear" w:color="auto" w:fill="F5F5F1"/>
            <w:noWrap/>
            <w:hideMark/>
          </w:tcPr>
          <w:p w14:paraId="66030FDC" w14:textId="77777777" w:rsidR="00FA5E66" w:rsidRPr="00BC3535" w:rsidRDefault="00FA5E66" w:rsidP="00D850DC">
            <w:pPr>
              <w:rPr>
                <w:sz w:val="21"/>
                <w:szCs w:val="21"/>
              </w:rPr>
            </w:pPr>
            <w:r w:rsidRPr="00BC3535">
              <w:rPr>
                <w:sz w:val="21"/>
                <w:szCs w:val="21"/>
              </w:rPr>
              <w:t>866</w:t>
            </w:r>
          </w:p>
        </w:tc>
      </w:tr>
      <w:tr w:rsidR="00FA5E66" w:rsidRPr="00BC3535" w14:paraId="131B103B" w14:textId="77777777" w:rsidTr="00752CF3">
        <w:trPr>
          <w:trHeight w:val="320"/>
          <w:tblHeader/>
        </w:trPr>
        <w:tc>
          <w:tcPr>
            <w:tcW w:w="848" w:type="pct"/>
            <w:shd w:val="clear" w:color="auto" w:fill="F5F5F1"/>
            <w:noWrap/>
            <w:hideMark/>
          </w:tcPr>
          <w:p w14:paraId="55628696" w14:textId="77777777" w:rsidR="00FA5E66" w:rsidRPr="00BC3535" w:rsidRDefault="00FA5E66" w:rsidP="00D850DC">
            <w:pPr>
              <w:rPr>
                <w:sz w:val="21"/>
                <w:szCs w:val="21"/>
              </w:rPr>
            </w:pPr>
            <w:r w:rsidRPr="00BC3535">
              <w:rPr>
                <w:sz w:val="21"/>
                <w:szCs w:val="21"/>
              </w:rPr>
              <w:t>12-17</w:t>
            </w:r>
          </w:p>
        </w:tc>
        <w:tc>
          <w:tcPr>
            <w:tcW w:w="449" w:type="pct"/>
            <w:shd w:val="clear" w:color="auto" w:fill="F5F5F1"/>
            <w:noWrap/>
            <w:hideMark/>
          </w:tcPr>
          <w:p w14:paraId="3FD206C1" w14:textId="77777777" w:rsidR="00FA5E66" w:rsidRPr="00BC3535" w:rsidRDefault="00FA5E66" w:rsidP="00D850DC">
            <w:pPr>
              <w:rPr>
                <w:sz w:val="21"/>
                <w:szCs w:val="21"/>
              </w:rPr>
            </w:pPr>
            <w:r w:rsidRPr="00BC3535">
              <w:rPr>
                <w:sz w:val="21"/>
                <w:szCs w:val="21"/>
              </w:rPr>
              <w:t>14.0</w:t>
            </w:r>
          </w:p>
        </w:tc>
        <w:tc>
          <w:tcPr>
            <w:tcW w:w="430" w:type="pct"/>
            <w:shd w:val="clear" w:color="auto" w:fill="F5F5F1"/>
            <w:noWrap/>
            <w:hideMark/>
          </w:tcPr>
          <w:p w14:paraId="7759E0EB" w14:textId="77777777" w:rsidR="00FA5E66" w:rsidRPr="00BC3535" w:rsidRDefault="00FA5E66" w:rsidP="00D850DC">
            <w:pPr>
              <w:rPr>
                <w:sz w:val="21"/>
                <w:szCs w:val="21"/>
              </w:rPr>
            </w:pPr>
            <w:r w:rsidRPr="00BC3535">
              <w:rPr>
                <w:sz w:val="21"/>
                <w:szCs w:val="21"/>
              </w:rPr>
              <w:t>3.7</w:t>
            </w:r>
          </w:p>
        </w:tc>
        <w:tc>
          <w:tcPr>
            <w:tcW w:w="458" w:type="pct"/>
            <w:shd w:val="clear" w:color="auto" w:fill="F5F5F1"/>
            <w:noWrap/>
            <w:hideMark/>
          </w:tcPr>
          <w:p w14:paraId="4E168A29" w14:textId="77777777" w:rsidR="00FA5E66" w:rsidRPr="00BC3535" w:rsidRDefault="00FA5E66" w:rsidP="00D850DC">
            <w:pPr>
              <w:rPr>
                <w:sz w:val="21"/>
                <w:szCs w:val="21"/>
              </w:rPr>
            </w:pPr>
            <w:r w:rsidRPr="00BC3535">
              <w:rPr>
                <w:sz w:val="21"/>
                <w:szCs w:val="21"/>
              </w:rPr>
              <w:t>14.8</w:t>
            </w:r>
          </w:p>
        </w:tc>
        <w:tc>
          <w:tcPr>
            <w:tcW w:w="470" w:type="pct"/>
            <w:shd w:val="clear" w:color="auto" w:fill="F5F5F1"/>
            <w:noWrap/>
            <w:hideMark/>
          </w:tcPr>
          <w:p w14:paraId="51BF2B39" w14:textId="77777777" w:rsidR="00FA5E66" w:rsidRPr="00BC3535" w:rsidRDefault="00FA5E66" w:rsidP="00D850DC">
            <w:pPr>
              <w:rPr>
                <w:sz w:val="21"/>
                <w:szCs w:val="21"/>
              </w:rPr>
            </w:pPr>
            <w:r w:rsidRPr="00BC3535">
              <w:rPr>
                <w:sz w:val="21"/>
                <w:szCs w:val="21"/>
              </w:rPr>
              <w:t>3.3</w:t>
            </w:r>
          </w:p>
        </w:tc>
        <w:tc>
          <w:tcPr>
            <w:tcW w:w="460" w:type="pct"/>
            <w:shd w:val="clear" w:color="auto" w:fill="F5F5F1"/>
            <w:noWrap/>
            <w:hideMark/>
          </w:tcPr>
          <w:p w14:paraId="2DEA0BDD" w14:textId="77777777" w:rsidR="00FA5E66" w:rsidRPr="00BC3535" w:rsidRDefault="00FA5E66" w:rsidP="00D850DC">
            <w:pPr>
              <w:rPr>
                <w:sz w:val="21"/>
                <w:szCs w:val="21"/>
              </w:rPr>
            </w:pPr>
            <w:r w:rsidRPr="00BC3535">
              <w:rPr>
                <w:sz w:val="21"/>
                <w:szCs w:val="21"/>
              </w:rPr>
              <w:t>10.5</w:t>
            </w:r>
          </w:p>
        </w:tc>
        <w:tc>
          <w:tcPr>
            <w:tcW w:w="461" w:type="pct"/>
            <w:shd w:val="clear" w:color="auto" w:fill="F5F5F1"/>
            <w:noWrap/>
            <w:hideMark/>
          </w:tcPr>
          <w:p w14:paraId="06D5F52E" w14:textId="77777777" w:rsidR="00FA5E66" w:rsidRPr="00BC3535" w:rsidRDefault="00FA5E66" w:rsidP="00D850DC">
            <w:pPr>
              <w:rPr>
                <w:sz w:val="21"/>
                <w:szCs w:val="21"/>
              </w:rPr>
            </w:pPr>
            <w:r w:rsidRPr="00BC3535">
              <w:rPr>
                <w:sz w:val="21"/>
                <w:szCs w:val="21"/>
              </w:rPr>
              <w:t>2.8</w:t>
            </w:r>
          </w:p>
        </w:tc>
        <w:tc>
          <w:tcPr>
            <w:tcW w:w="447" w:type="pct"/>
            <w:shd w:val="clear" w:color="auto" w:fill="F5F5F1"/>
            <w:noWrap/>
            <w:hideMark/>
          </w:tcPr>
          <w:p w14:paraId="592B9BA8" w14:textId="77777777" w:rsidR="00FA5E66" w:rsidRPr="00BC3535" w:rsidRDefault="00FA5E66" w:rsidP="00D850DC">
            <w:pPr>
              <w:rPr>
                <w:sz w:val="21"/>
                <w:szCs w:val="21"/>
              </w:rPr>
            </w:pPr>
            <w:r w:rsidRPr="00BC3535">
              <w:rPr>
                <w:sz w:val="21"/>
                <w:szCs w:val="21"/>
              </w:rPr>
              <w:t>0.7</w:t>
            </w:r>
          </w:p>
        </w:tc>
        <w:tc>
          <w:tcPr>
            <w:tcW w:w="447" w:type="pct"/>
            <w:shd w:val="clear" w:color="auto" w:fill="F5F5F1"/>
            <w:noWrap/>
            <w:hideMark/>
          </w:tcPr>
          <w:p w14:paraId="78FF73D7" w14:textId="77777777" w:rsidR="00FA5E66" w:rsidRPr="00BC3535" w:rsidRDefault="00FA5E66" w:rsidP="00D850DC">
            <w:pPr>
              <w:rPr>
                <w:sz w:val="21"/>
                <w:szCs w:val="21"/>
              </w:rPr>
            </w:pPr>
            <w:r w:rsidRPr="00BC3535">
              <w:rPr>
                <w:sz w:val="21"/>
                <w:szCs w:val="21"/>
              </w:rPr>
              <w:t>0.0</w:t>
            </w:r>
          </w:p>
        </w:tc>
        <w:tc>
          <w:tcPr>
            <w:tcW w:w="530" w:type="pct"/>
            <w:shd w:val="clear" w:color="auto" w:fill="F5F5F1"/>
            <w:noWrap/>
            <w:hideMark/>
          </w:tcPr>
          <w:p w14:paraId="7B0BE9F3" w14:textId="77777777" w:rsidR="00FA5E66" w:rsidRPr="00BC3535" w:rsidRDefault="00FA5E66" w:rsidP="00D850DC">
            <w:pPr>
              <w:rPr>
                <w:sz w:val="21"/>
                <w:szCs w:val="21"/>
              </w:rPr>
            </w:pPr>
            <w:r w:rsidRPr="00BC3535">
              <w:rPr>
                <w:sz w:val="21"/>
                <w:szCs w:val="21"/>
              </w:rPr>
              <w:t>819</w:t>
            </w:r>
          </w:p>
        </w:tc>
      </w:tr>
      <w:tr w:rsidR="00FA5E66" w:rsidRPr="00BC3535" w14:paraId="20F3874F" w14:textId="77777777" w:rsidTr="00752CF3">
        <w:trPr>
          <w:trHeight w:val="320"/>
          <w:tblHeader/>
        </w:trPr>
        <w:tc>
          <w:tcPr>
            <w:tcW w:w="848" w:type="pct"/>
            <w:shd w:val="clear" w:color="auto" w:fill="F5F5F1"/>
            <w:noWrap/>
            <w:hideMark/>
          </w:tcPr>
          <w:p w14:paraId="104A7224" w14:textId="77777777" w:rsidR="00FA5E66" w:rsidRPr="00BC3535" w:rsidRDefault="00FA5E66" w:rsidP="00D850DC">
            <w:pPr>
              <w:rPr>
                <w:sz w:val="21"/>
                <w:szCs w:val="21"/>
              </w:rPr>
            </w:pPr>
            <w:r w:rsidRPr="00BC3535">
              <w:rPr>
                <w:sz w:val="21"/>
                <w:szCs w:val="21"/>
              </w:rPr>
              <w:t>18-23</w:t>
            </w:r>
          </w:p>
        </w:tc>
        <w:tc>
          <w:tcPr>
            <w:tcW w:w="449" w:type="pct"/>
            <w:shd w:val="clear" w:color="auto" w:fill="F5F5F1"/>
            <w:noWrap/>
            <w:hideMark/>
          </w:tcPr>
          <w:p w14:paraId="1309863A" w14:textId="77777777" w:rsidR="00FA5E66" w:rsidRPr="00BC3535" w:rsidRDefault="00FA5E66" w:rsidP="00D850DC">
            <w:pPr>
              <w:rPr>
                <w:sz w:val="21"/>
                <w:szCs w:val="21"/>
              </w:rPr>
            </w:pPr>
            <w:r w:rsidRPr="00BC3535">
              <w:rPr>
                <w:sz w:val="21"/>
                <w:szCs w:val="21"/>
              </w:rPr>
              <w:t>18.7</w:t>
            </w:r>
          </w:p>
        </w:tc>
        <w:tc>
          <w:tcPr>
            <w:tcW w:w="430" w:type="pct"/>
            <w:shd w:val="clear" w:color="auto" w:fill="F5F5F1"/>
            <w:noWrap/>
            <w:hideMark/>
          </w:tcPr>
          <w:p w14:paraId="6F6F2CEB" w14:textId="77777777" w:rsidR="00FA5E66" w:rsidRPr="00BC3535" w:rsidRDefault="00FA5E66" w:rsidP="00D850DC">
            <w:pPr>
              <w:rPr>
                <w:sz w:val="21"/>
                <w:szCs w:val="21"/>
              </w:rPr>
            </w:pPr>
            <w:r w:rsidRPr="00BC3535">
              <w:rPr>
                <w:sz w:val="21"/>
                <w:szCs w:val="21"/>
              </w:rPr>
              <w:t>2.6</w:t>
            </w:r>
          </w:p>
        </w:tc>
        <w:tc>
          <w:tcPr>
            <w:tcW w:w="458" w:type="pct"/>
            <w:shd w:val="clear" w:color="auto" w:fill="F5F5F1"/>
            <w:noWrap/>
            <w:hideMark/>
          </w:tcPr>
          <w:p w14:paraId="171B2903" w14:textId="77777777" w:rsidR="00FA5E66" w:rsidRPr="00BC3535" w:rsidRDefault="00FA5E66" w:rsidP="00D850DC">
            <w:pPr>
              <w:rPr>
                <w:sz w:val="21"/>
                <w:szCs w:val="21"/>
              </w:rPr>
            </w:pPr>
            <w:r w:rsidRPr="00BC3535">
              <w:rPr>
                <w:sz w:val="21"/>
                <w:szCs w:val="21"/>
              </w:rPr>
              <w:t>22.4</w:t>
            </w:r>
          </w:p>
        </w:tc>
        <w:tc>
          <w:tcPr>
            <w:tcW w:w="470" w:type="pct"/>
            <w:shd w:val="clear" w:color="auto" w:fill="F5F5F1"/>
            <w:noWrap/>
            <w:hideMark/>
          </w:tcPr>
          <w:p w14:paraId="08011250" w14:textId="77777777" w:rsidR="00FA5E66" w:rsidRPr="00BC3535" w:rsidRDefault="00FA5E66" w:rsidP="00D850DC">
            <w:pPr>
              <w:rPr>
                <w:sz w:val="21"/>
                <w:szCs w:val="21"/>
              </w:rPr>
            </w:pPr>
            <w:r w:rsidRPr="00BC3535">
              <w:rPr>
                <w:sz w:val="21"/>
                <w:szCs w:val="21"/>
              </w:rPr>
              <w:t>6.6</w:t>
            </w:r>
          </w:p>
        </w:tc>
        <w:tc>
          <w:tcPr>
            <w:tcW w:w="460" w:type="pct"/>
            <w:shd w:val="clear" w:color="auto" w:fill="F5F5F1"/>
            <w:noWrap/>
            <w:hideMark/>
          </w:tcPr>
          <w:p w14:paraId="2C283FB6" w14:textId="77777777" w:rsidR="00FA5E66" w:rsidRPr="00BC3535" w:rsidRDefault="00FA5E66" w:rsidP="00D850DC">
            <w:pPr>
              <w:rPr>
                <w:sz w:val="21"/>
                <w:szCs w:val="21"/>
              </w:rPr>
            </w:pPr>
            <w:r w:rsidRPr="00BC3535">
              <w:rPr>
                <w:sz w:val="21"/>
                <w:szCs w:val="21"/>
              </w:rPr>
              <w:t>9.9</w:t>
            </w:r>
          </w:p>
        </w:tc>
        <w:tc>
          <w:tcPr>
            <w:tcW w:w="461" w:type="pct"/>
            <w:shd w:val="clear" w:color="auto" w:fill="F5F5F1"/>
            <w:noWrap/>
            <w:hideMark/>
          </w:tcPr>
          <w:p w14:paraId="1F20E8E2" w14:textId="77777777" w:rsidR="00FA5E66" w:rsidRPr="00BC3535" w:rsidRDefault="00FA5E66" w:rsidP="00D850DC">
            <w:pPr>
              <w:rPr>
                <w:sz w:val="21"/>
                <w:szCs w:val="21"/>
              </w:rPr>
            </w:pPr>
            <w:r w:rsidRPr="00BC3535">
              <w:rPr>
                <w:sz w:val="21"/>
                <w:szCs w:val="21"/>
              </w:rPr>
              <w:t>0.8</w:t>
            </w:r>
          </w:p>
        </w:tc>
        <w:tc>
          <w:tcPr>
            <w:tcW w:w="447" w:type="pct"/>
            <w:shd w:val="clear" w:color="auto" w:fill="F5F5F1"/>
            <w:noWrap/>
            <w:hideMark/>
          </w:tcPr>
          <w:p w14:paraId="4C92EFAE" w14:textId="77777777" w:rsidR="00FA5E66" w:rsidRPr="00BC3535" w:rsidRDefault="00FA5E66" w:rsidP="00D850DC">
            <w:pPr>
              <w:rPr>
                <w:sz w:val="21"/>
                <w:szCs w:val="21"/>
              </w:rPr>
            </w:pPr>
            <w:r w:rsidRPr="00BC3535">
              <w:rPr>
                <w:sz w:val="21"/>
                <w:szCs w:val="21"/>
              </w:rPr>
              <w:t>0.3</w:t>
            </w:r>
          </w:p>
        </w:tc>
        <w:tc>
          <w:tcPr>
            <w:tcW w:w="447" w:type="pct"/>
            <w:shd w:val="clear" w:color="auto" w:fill="F5F5F1"/>
            <w:noWrap/>
            <w:hideMark/>
          </w:tcPr>
          <w:p w14:paraId="3C01CE49" w14:textId="77777777" w:rsidR="00FA5E66" w:rsidRPr="00BC3535" w:rsidRDefault="00FA5E66" w:rsidP="00D850DC">
            <w:pPr>
              <w:rPr>
                <w:sz w:val="21"/>
                <w:szCs w:val="21"/>
              </w:rPr>
            </w:pPr>
            <w:r w:rsidRPr="00BC3535">
              <w:rPr>
                <w:sz w:val="21"/>
                <w:szCs w:val="21"/>
              </w:rPr>
              <w:t>0.0</w:t>
            </w:r>
          </w:p>
        </w:tc>
        <w:tc>
          <w:tcPr>
            <w:tcW w:w="530" w:type="pct"/>
            <w:shd w:val="clear" w:color="auto" w:fill="F5F5F1"/>
            <w:noWrap/>
            <w:hideMark/>
          </w:tcPr>
          <w:p w14:paraId="2C53ABD3" w14:textId="77777777" w:rsidR="00FA5E66" w:rsidRPr="00BC3535" w:rsidRDefault="00FA5E66" w:rsidP="00D850DC">
            <w:pPr>
              <w:rPr>
                <w:sz w:val="21"/>
                <w:szCs w:val="21"/>
              </w:rPr>
            </w:pPr>
            <w:r w:rsidRPr="00BC3535">
              <w:rPr>
                <w:sz w:val="21"/>
                <w:szCs w:val="21"/>
              </w:rPr>
              <w:t>860</w:t>
            </w:r>
          </w:p>
        </w:tc>
      </w:tr>
      <w:tr w:rsidR="00FA5E66" w:rsidRPr="00BC3535" w14:paraId="4C1F9608" w14:textId="77777777" w:rsidTr="00752CF3">
        <w:trPr>
          <w:trHeight w:val="320"/>
          <w:tblHeader/>
        </w:trPr>
        <w:tc>
          <w:tcPr>
            <w:tcW w:w="848" w:type="pct"/>
            <w:shd w:val="clear" w:color="auto" w:fill="F5F5F1"/>
            <w:noWrap/>
            <w:hideMark/>
          </w:tcPr>
          <w:p w14:paraId="399AAA61" w14:textId="77777777" w:rsidR="00FA5E66" w:rsidRPr="00BC3535" w:rsidRDefault="00FA5E66" w:rsidP="00D850DC">
            <w:pPr>
              <w:rPr>
                <w:sz w:val="21"/>
                <w:szCs w:val="21"/>
              </w:rPr>
            </w:pPr>
            <w:r w:rsidRPr="00BC3535">
              <w:rPr>
                <w:sz w:val="21"/>
                <w:szCs w:val="21"/>
              </w:rPr>
              <w:t>24-5</w:t>
            </w:r>
          </w:p>
        </w:tc>
        <w:tc>
          <w:tcPr>
            <w:tcW w:w="449" w:type="pct"/>
            <w:shd w:val="clear" w:color="auto" w:fill="F5F5F1"/>
            <w:noWrap/>
            <w:hideMark/>
          </w:tcPr>
          <w:p w14:paraId="7D872C6B" w14:textId="77777777" w:rsidR="00FA5E66" w:rsidRPr="00BC3535" w:rsidRDefault="00FA5E66" w:rsidP="00D850DC">
            <w:pPr>
              <w:rPr>
                <w:sz w:val="21"/>
                <w:szCs w:val="21"/>
              </w:rPr>
            </w:pPr>
            <w:r w:rsidRPr="00BC3535">
              <w:rPr>
                <w:sz w:val="21"/>
                <w:szCs w:val="21"/>
              </w:rPr>
              <w:t>12.2</w:t>
            </w:r>
          </w:p>
        </w:tc>
        <w:tc>
          <w:tcPr>
            <w:tcW w:w="430" w:type="pct"/>
            <w:shd w:val="clear" w:color="auto" w:fill="F5F5F1"/>
            <w:noWrap/>
            <w:hideMark/>
          </w:tcPr>
          <w:p w14:paraId="45BFF543" w14:textId="77777777" w:rsidR="00FA5E66" w:rsidRPr="00BC3535" w:rsidRDefault="00FA5E66" w:rsidP="00D850DC">
            <w:pPr>
              <w:rPr>
                <w:sz w:val="21"/>
                <w:szCs w:val="21"/>
              </w:rPr>
            </w:pPr>
            <w:r w:rsidRPr="00BC3535">
              <w:rPr>
                <w:sz w:val="21"/>
                <w:szCs w:val="21"/>
              </w:rPr>
              <w:t>2.7</w:t>
            </w:r>
          </w:p>
        </w:tc>
        <w:tc>
          <w:tcPr>
            <w:tcW w:w="458" w:type="pct"/>
            <w:shd w:val="clear" w:color="auto" w:fill="F5F5F1"/>
            <w:noWrap/>
            <w:hideMark/>
          </w:tcPr>
          <w:p w14:paraId="7030F6DC" w14:textId="77777777" w:rsidR="00FA5E66" w:rsidRPr="00BC3535" w:rsidRDefault="00FA5E66" w:rsidP="00D850DC">
            <w:pPr>
              <w:rPr>
                <w:sz w:val="21"/>
                <w:szCs w:val="21"/>
              </w:rPr>
            </w:pPr>
            <w:r w:rsidRPr="00BC3535">
              <w:rPr>
                <w:sz w:val="21"/>
                <w:szCs w:val="21"/>
              </w:rPr>
              <w:t>23.1</w:t>
            </w:r>
          </w:p>
        </w:tc>
        <w:tc>
          <w:tcPr>
            <w:tcW w:w="470" w:type="pct"/>
            <w:shd w:val="clear" w:color="auto" w:fill="F5F5F1"/>
            <w:noWrap/>
            <w:hideMark/>
          </w:tcPr>
          <w:p w14:paraId="217B48DD" w14:textId="77777777" w:rsidR="00FA5E66" w:rsidRPr="00BC3535" w:rsidRDefault="00FA5E66" w:rsidP="00D850DC">
            <w:pPr>
              <w:rPr>
                <w:sz w:val="21"/>
                <w:szCs w:val="21"/>
              </w:rPr>
            </w:pPr>
            <w:r w:rsidRPr="00BC3535">
              <w:rPr>
                <w:sz w:val="21"/>
                <w:szCs w:val="21"/>
              </w:rPr>
              <w:t>5.6</w:t>
            </w:r>
          </w:p>
        </w:tc>
        <w:tc>
          <w:tcPr>
            <w:tcW w:w="460" w:type="pct"/>
            <w:shd w:val="clear" w:color="auto" w:fill="F5F5F1"/>
            <w:noWrap/>
            <w:hideMark/>
          </w:tcPr>
          <w:p w14:paraId="11A71231" w14:textId="77777777" w:rsidR="00FA5E66" w:rsidRPr="00BC3535" w:rsidRDefault="00FA5E66" w:rsidP="00D850DC">
            <w:pPr>
              <w:rPr>
                <w:sz w:val="21"/>
                <w:szCs w:val="21"/>
              </w:rPr>
            </w:pPr>
            <w:r w:rsidRPr="00BC3535">
              <w:rPr>
                <w:sz w:val="21"/>
                <w:szCs w:val="21"/>
              </w:rPr>
              <w:t>4.7</w:t>
            </w:r>
          </w:p>
        </w:tc>
        <w:tc>
          <w:tcPr>
            <w:tcW w:w="461" w:type="pct"/>
            <w:shd w:val="clear" w:color="auto" w:fill="F5F5F1"/>
            <w:noWrap/>
            <w:hideMark/>
          </w:tcPr>
          <w:p w14:paraId="5171955A" w14:textId="77777777" w:rsidR="00FA5E66" w:rsidRPr="00BC3535" w:rsidRDefault="00FA5E66" w:rsidP="00D850DC">
            <w:pPr>
              <w:rPr>
                <w:sz w:val="21"/>
                <w:szCs w:val="21"/>
              </w:rPr>
            </w:pPr>
            <w:r w:rsidRPr="00BC3535">
              <w:rPr>
                <w:sz w:val="21"/>
                <w:szCs w:val="21"/>
              </w:rPr>
              <w:t>0.3</w:t>
            </w:r>
          </w:p>
        </w:tc>
        <w:tc>
          <w:tcPr>
            <w:tcW w:w="447" w:type="pct"/>
            <w:shd w:val="clear" w:color="auto" w:fill="F5F5F1"/>
            <w:noWrap/>
            <w:hideMark/>
          </w:tcPr>
          <w:p w14:paraId="0D7B7657" w14:textId="77777777" w:rsidR="00FA5E66" w:rsidRPr="00BC3535" w:rsidRDefault="00FA5E66" w:rsidP="00D850DC">
            <w:pPr>
              <w:rPr>
                <w:sz w:val="21"/>
                <w:szCs w:val="21"/>
              </w:rPr>
            </w:pPr>
            <w:r w:rsidRPr="00BC3535">
              <w:rPr>
                <w:sz w:val="21"/>
                <w:szCs w:val="21"/>
              </w:rPr>
              <w:t>1.7</w:t>
            </w:r>
          </w:p>
        </w:tc>
        <w:tc>
          <w:tcPr>
            <w:tcW w:w="447" w:type="pct"/>
            <w:shd w:val="clear" w:color="auto" w:fill="F5F5F1"/>
            <w:noWrap/>
            <w:hideMark/>
          </w:tcPr>
          <w:p w14:paraId="54779682" w14:textId="77777777" w:rsidR="00FA5E66" w:rsidRPr="00BC3535" w:rsidRDefault="00FA5E66" w:rsidP="00D850DC">
            <w:pPr>
              <w:rPr>
                <w:sz w:val="21"/>
                <w:szCs w:val="21"/>
              </w:rPr>
            </w:pPr>
            <w:r w:rsidRPr="00BC3535">
              <w:rPr>
                <w:sz w:val="21"/>
                <w:szCs w:val="21"/>
              </w:rPr>
              <w:t>0.3</w:t>
            </w:r>
          </w:p>
        </w:tc>
        <w:tc>
          <w:tcPr>
            <w:tcW w:w="530" w:type="pct"/>
            <w:shd w:val="clear" w:color="auto" w:fill="F5F5F1"/>
            <w:noWrap/>
            <w:hideMark/>
          </w:tcPr>
          <w:p w14:paraId="0AD5EE31" w14:textId="77777777" w:rsidR="00FA5E66" w:rsidRPr="00BC3535" w:rsidRDefault="00FA5E66" w:rsidP="00D850DC">
            <w:pPr>
              <w:rPr>
                <w:sz w:val="21"/>
                <w:szCs w:val="21"/>
              </w:rPr>
            </w:pPr>
            <w:r w:rsidRPr="00BC3535">
              <w:rPr>
                <w:sz w:val="21"/>
                <w:szCs w:val="21"/>
              </w:rPr>
              <w:t>1,729</w:t>
            </w:r>
          </w:p>
        </w:tc>
      </w:tr>
      <w:tr w:rsidR="00FA5E66" w:rsidRPr="00BC3535" w14:paraId="07A89480" w14:textId="77777777" w:rsidTr="00752CF3">
        <w:trPr>
          <w:trHeight w:val="320"/>
          <w:tblHeader/>
        </w:trPr>
        <w:tc>
          <w:tcPr>
            <w:tcW w:w="848" w:type="pct"/>
            <w:shd w:val="clear" w:color="auto" w:fill="F5F5F1"/>
            <w:noWrap/>
            <w:hideMark/>
          </w:tcPr>
          <w:p w14:paraId="72CB8EA4" w14:textId="77777777" w:rsidR="00FA5E66" w:rsidRPr="00BC3535" w:rsidRDefault="00FA5E66" w:rsidP="00D850DC">
            <w:pPr>
              <w:rPr>
                <w:sz w:val="21"/>
                <w:szCs w:val="21"/>
              </w:rPr>
            </w:pPr>
            <w:r w:rsidRPr="00BC3535">
              <w:rPr>
                <w:sz w:val="21"/>
                <w:szCs w:val="21"/>
              </w:rPr>
              <w:t>36-47</w:t>
            </w:r>
          </w:p>
        </w:tc>
        <w:tc>
          <w:tcPr>
            <w:tcW w:w="449" w:type="pct"/>
            <w:shd w:val="clear" w:color="auto" w:fill="F5F5F1"/>
            <w:noWrap/>
            <w:hideMark/>
          </w:tcPr>
          <w:p w14:paraId="062C0C56" w14:textId="77777777" w:rsidR="00FA5E66" w:rsidRPr="00BC3535" w:rsidRDefault="00FA5E66" w:rsidP="00D850DC">
            <w:pPr>
              <w:rPr>
                <w:sz w:val="21"/>
                <w:szCs w:val="21"/>
              </w:rPr>
            </w:pPr>
            <w:r w:rsidRPr="00BC3535">
              <w:rPr>
                <w:sz w:val="21"/>
                <w:szCs w:val="21"/>
              </w:rPr>
              <w:t>12.0</w:t>
            </w:r>
          </w:p>
        </w:tc>
        <w:tc>
          <w:tcPr>
            <w:tcW w:w="430" w:type="pct"/>
            <w:shd w:val="clear" w:color="auto" w:fill="F5F5F1"/>
            <w:noWrap/>
            <w:hideMark/>
          </w:tcPr>
          <w:p w14:paraId="62E20227" w14:textId="77777777" w:rsidR="00FA5E66" w:rsidRPr="00BC3535" w:rsidRDefault="00FA5E66" w:rsidP="00D850DC">
            <w:pPr>
              <w:rPr>
                <w:sz w:val="21"/>
                <w:szCs w:val="21"/>
              </w:rPr>
            </w:pPr>
            <w:r w:rsidRPr="00BC3535">
              <w:rPr>
                <w:sz w:val="21"/>
                <w:szCs w:val="21"/>
              </w:rPr>
              <w:t>1.4</w:t>
            </w:r>
          </w:p>
        </w:tc>
        <w:tc>
          <w:tcPr>
            <w:tcW w:w="458" w:type="pct"/>
            <w:shd w:val="clear" w:color="auto" w:fill="F5F5F1"/>
            <w:noWrap/>
            <w:hideMark/>
          </w:tcPr>
          <w:p w14:paraId="137973E1" w14:textId="77777777" w:rsidR="00FA5E66" w:rsidRPr="00BC3535" w:rsidRDefault="00FA5E66" w:rsidP="00D850DC">
            <w:pPr>
              <w:rPr>
                <w:sz w:val="21"/>
                <w:szCs w:val="21"/>
              </w:rPr>
            </w:pPr>
            <w:r w:rsidRPr="00BC3535">
              <w:rPr>
                <w:sz w:val="21"/>
                <w:szCs w:val="21"/>
              </w:rPr>
              <w:t>21.3</w:t>
            </w:r>
          </w:p>
        </w:tc>
        <w:tc>
          <w:tcPr>
            <w:tcW w:w="470" w:type="pct"/>
            <w:shd w:val="clear" w:color="auto" w:fill="F5F5F1"/>
            <w:noWrap/>
            <w:hideMark/>
          </w:tcPr>
          <w:p w14:paraId="355F2CD2" w14:textId="77777777" w:rsidR="00FA5E66" w:rsidRPr="00BC3535" w:rsidRDefault="00FA5E66" w:rsidP="00D850DC">
            <w:pPr>
              <w:rPr>
                <w:sz w:val="21"/>
                <w:szCs w:val="21"/>
              </w:rPr>
            </w:pPr>
            <w:r w:rsidRPr="00BC3535">
              <w:rPr>
                <w:sz w:val="21"/>
                <w:szCs w:val="21"/>
              </w:rPr>
              <w:t>6.9</w:t>
            </w:r>
          </w:p>
        </w:tc>
        <w:tc>
          <w:tcPr>
            <w:tcW w:w="460" w:type="pct"/>
            <w:shd w:val="clear" w:color="auto" w:fill="F5F5F1"/>
            <w:noWrap/>
            <w:hideMark/>
          </w:tcPr>
          <w:p w14:paraId="1F4742F7" w14:textId="77777777" w:rsidR="00FA5E66" w:rsidRPr="00BC3535" w:rsidRDefault="00FA5E66" w:rsidP="00D850DC">
            <w:pPr>
              <w:rPr>
                <w:sz w:val="21"/>
                <w:szCs w:val="21"/>
              </w:rPr>
            </w:pPr>
            <w:r w:rsidRPr="00BC3535">
              <w:rPr>
                <w:sz w:val="21"/>
                <w:szCs w:val="21"/>
              </w:rPr>
              <w:t>3.1</w:t>
            </w:r>
          </w:p>
        </w:tc>
        <w:tc>
          <w:tcPr>
            <w:tcW w:w="461" w:type="pct"/>
            <w:shd w:val="clear" w:color="auto" w:fill="F5F5F1"/>
            <w:noWrap/>
            <w:hideMark/>
          </w:tcPr>
          <w:p w14:paraId="0BE0CCEF" w14:textId="77777777" w:rsidR="00FA5E66" w:rsidRPr="00BC3535" w:rsidRDefault="00FA5E66" w:rsidP="00D850DC">
            <w:pPr>
              <w:rPr>
                <w:sz w:val="21"/>
                <w:szCs w:val="21"/>
              </w:rPr>
            </w:pPr>
            <w:r w:rsidRPr="00BC3535">
              <w:rPr>
                <w:sz w:val="21"/>
                <w:szCs w:val="21"/>
              </w:rPr>
              <w:t>0.1</w:t>
            </w:r>
          </w:p>
        </w:tc>
        <w:tc>
          <w:tcPr>
            <w:tcW w:w="447" w:type="pct"/>
            <w:shd w:val="clear" w:color="auto" w:fill="F5F5F1"/>
            <w:noWrap/>
            <w:hideMark/>
          </w:tcPr>
          <w:p w14:paraId="4A22A013" w14:textId="77777777" w:rsidR="00FA5E66" w:rsidRPr="00BC3535" w:rsidRDefault="00FA5E66" w:rsidP="00D850DC">
            <w:pPr>
              <w:rPr>
                <w:sz w:val="21"/>
                <w:szCs w:val="21"/>
              </w:rPr>
            </w:pPr>
            <w:r w:rsidRPr="00BC3535">
              <w:rPr>
                <w:sz w:val="21"/>
                <w:szCs w:val="21"/>
              </w:rPr>
              <w:t>1.2</w:t>
            </w:r>
          </w:p>
        </w:tc>
        <w:tc>
          <w:tcPr>
            <w:tcW w:w="447" w:type="pct"/>
            <w:shd w:val="clear" w:color="auto" w:fill="F5F5F1"/>
            <w:noWrap/>
            <w:hideMark/>
          </w:tcPr>
          <w:p w14:paraId="2D63DC09" w14:textId="77777777" w:rsidR="00FA5E66" w:rsidRPr="00BC3535" w:rsidRDefault="00FA5E66" w:rsidP="00D850DC">
            <w:pPr>
              <w:rPr>
                <w:sz w:val="21"/>
                <w:szCs w:val="21"/>
              </w:rPr>
            </w:pPr>
            <w:r w:rsidRPr="00BC3535">
              <w:rPr>
                <w:sz w:val="21"/>
                <w:szCs w:val="21"/>
              </w:rPr>
              <w:t>0.2</w:t>
            </w:r>
          </w:p>
        </w:tc>
        <w:tc>
          <w:tcPr>
            <w:tcW w:w="530" w:type="pct"/>
            <w:shd w:val="clear" w:color="auto" w:fill="F5F5F1"/>
            <w:noWrap/>
            <w:hideMark/>
          </w:tcPr>
          <w:p w14:paraId="6AFD04A8" w14:textId="77777777" w:rsidR="00FA5E66" w:rsidRPr="00BC3535" w:rsidRDefault="00FA5E66" w:rsidP="00D850DC">
            <w:pPr>
              <w:rPr>
                <w:sz w:val="21"/>
                <w:szCs w:val="21"/>
              </w:rPr>
            </w:pPr>
            <w:r w:rsidRPr="00BC3535">
              <w:rPr>
                <w:sz w:val="21"/>
                <w:szCs w:val="21"/>
              </w:rPr>
              <w:t>1,914</w:t>
            </w:r>
          </w:p>
        </w:tc>
      </w:tr>
      <w:tr w:rsidR="00FA5E66" w:rsidRPr="00BC3535" w14:paraId="14898DF7" w14:textId="77777777" w:rsidTr="00752CF3">
        <w:trPr>
          <w:trHeight w:val="320"/>
          <w:tblHeader/>
        </w:trPr>
        <w:tc>
          <w:tcPr>
            <w:tcW w:w="848" w:type="pct"/>
            <w:tcBorders>
              <w:bottom w:val="single" w:sz="12" w:space="0" w:color="auto"/>
            </w:tcBorders>
            <w:shd w:val="clear" w:color="auto" w:fill="F5F5F1"/>
            <w:noWrap/>
            <w:hideMark/>
          </w:tcPr>
          <w:p w14:paraId="6955A287" w14:textId="77777777" w:rsidR="00FA5E66" w:rsidRPr="00BC3535" w:rsidRDefault="00FA5E66" w:rsidP="00D850DC">
            <w:pPr>
              <w:rPr>
                <w:sz w:val="21"/>
                <w:szCs w:val="21"/>
              </w:rPr>
            </w:pPr>
            <w:r w:rsidRPr="00BC3535">
              <w:rPr>
                <w:sz w:val="21"/>
                <w:szCs w:val="21"/>
              </w:rPr>
              <w:t>48-59</w:t>
            </w:r>
          </w:p>
        </w:tc>
        <w:tc>
          <w:tcPr>
            <w:tcW w:w="449" w:type="pct"/>
            <w:tcBorders>
              <w:bottom w:val="single" w:sz="12" w:space="0" w:color="auto"/>
            </w:tcBorders>
            <w:shd w:val="clear" w:color="auto" w:fill="F5F5F1"/>
            <w:noWrap/>
            <w:hideMark/>
          </w:tcPr>
          <w:p w14:paraId="1548FF72" w14:textId="77777777" w:rsidR="00FA5E66" w:rsidRPr="00BC3535" w:rsidRDefault="00FA5E66" w:rsidP="00D850DC">
            <w:pPr>
              <w:rPr>
                <w:sz w:val="21"/>
                <w:szCs w:val="21"/>
              </w:rPr>
            </w:pPr>
            <w:r w:rsidRPr="00BC3535">
              <w:rPr>
                <w:sz w:val="21"/>
                <w:szCs w:val="21"/>
              </w:rPr>
              <w:t>9.0</w:t>
            </w:r>
          </w:p>
        </w:tc>
        <w:tc>
          <w:tcPr>
            <w:tcW w:w="430" w:type="pct"/>
            <w:tcBorders>
              <w:bottom w:val="single" w:sz="12" w:space="0" w:color="auto"/>
            </w:tcBorders>
            <w:shd w:val="clear" w:color="auto" w:fill="F5F5F1"/>
            <w:noWrap/>
            <w:hideMark/>
          </w:tcPr>
          <w:p w14:paraId="2C7C6932" w14:textId="77777777" w:rsidR="00FA5E66" w:rsidRPr="00BC3535" w:rsidRDefault="00FA5E66" w:rsidP="00D850DC">
            <w:pPr>
              <w:rPr>
                <w:sz w:val="21"/>
                <w:szCs w:val="21"/>
              </w:rPr>
            </w:pPr>
            <w:r w:rsidRPr="00BC3535">
              <w:rPr>
                <w:sz w:val="21"/>
                <w:szCs w:val="21"/>
              </w:rPr>
              <w:t>1.1</w:t>
            </w:r>
          </w:p>
        </w:tc>
        <w:tc>
          <w:tcPr>
            <w:tcW w:w="458" w:type="pct"/>
            <w:tcBorders>
              <w:bottom w:val="single" w:sz="12" w:space="0" w:color="auto"/>
            </w:tcBorders>
            <w:shd w:val="clear" w:color="auto" w:fill="F5F5F1"/>
            <w:noWrap/>
            <w:hideMark/>
          </w:tcPr>
          <w:p w14:paraId="3BDC6028" w14:textId="77777777" w:rsidR="00FA5E66" w:rsidRPr="00BC3535" w:rsidRDefault="00FA5E66" w:rsidP="00D850DC">
            <w:pPr>
              <w:rPr>
                <w:sz w:val="21"/>
                <w:szCs w:val="21"/>
              </w:rPr>
            </w:pPr>
            <w:r w:rsidRPr="00BC3535">
              <w:rPr>
                <w:sz w:val="21"/>
                <w:szCs w:val="21"/>
              </w:rPr>
              <w:t>15.4</w:t>
            </w:r>
          </w:p>
        </w:tc>
        <w:tc>
          <w:tcPr>
            <w:tcW w:w="470" w:type="pct"/>
            <w:tcBorders>
              <w:bottom w:val="single" w:sz="12" w:space="0" w:color="auto"/>
            </w:tcBorders>
            <w:shd w:val="clear" w:color="auto" w:fill="F5F5F1"/>
            <w:noWrap/>
            <w:hideMark/>
          </w:tcPr>
          <w:p w14:paraId="1061B2D4" w14:textId="77777777" w:rsidR="00FA5E66" w:rsidRPr="00BC3535" w:rsidRDefault="00FA5E66" w:rsidP="00D850DC">
            <w:pPr>
              <w:rPr>
                <w:sz w:val="21"/>
                <w:szCs w:val="21"/>
              </w:rPr>
            </w:pPr>
            <w:r w:rsidRPr="00BC3535">
              <w:rPr>
                <w:sz w:val="21"/>
                <w:szCs w:val="21"/>
              </w:rPr>
              <w:t>3.3</w:t>
            </w:r>
          </w:p>
        </w:tc>
        <w:tc>
          <w:tcPr>
            <w:tcW w:w="460" w:type="pct"/>
            <w:tcBorders>
              <w:bottom w:val="single" w:sz="12" w:space="0" w:color="auto"/>
            </w:tcBorders>
            <w:shd w:val="clear" w:color="auto" w:fill="F5F5F1"/>
            <w:noWrap/>
            <w:hideMark/>
          </w:tcPr>
          <w:p w14:paraId="0F162FC2" w14:textId="77777777" w:rsidR="00FA5E66" w:rsidRPr="00BC3535" w:rsidRDefault="00FA5E66" w:rsidP="00D850DC">
            <w:pPr>
              <w:rPr>
                <w:sz w:val="21"/>
                <w:szCs w:val="21"/>
              </w:rPr>
            </w:pPr>
            <w:r w:rsidRPr="00BC3535">
              <w:rPr>
                <w:sz w:val="21"/>
                <w:szCs w:val="21"/>
              </w:rPr>
              <w:t>2.8</w:t>
            </w:r>
          </w:p>
        </w:tc>
        <w:tc>
          <w:tcPr>
            <w:tcW w:w="461" w:type="pct"/>
            <w:tcBorders>
              <w:bottom w:val="single" w:sz="12" w:space="0" w:color="auto"/>
            </w:tcBorders>
            <w:shd w:val="clear" w:color="auto" w:fill="F5F5F1"/>
            <w:noWrap/>
            <w:hideMark/>
          </w:tcPr>
          <w:p w14:paraId="6132D68E" w14:textId="77777777" w:rsidR="00FA5E66" w:rsidRPr="00BC3535" w:rsidRDefault="00FA5E66" w:rsidP="00D850DC">
            <w:pPr>
              <w:rPr>
                <w:sz w:val="21"/>
                <w:szCs w:val="21"/>
              </w:rPr>
            </w:pPr>
            <w:r w:rsidRPr="00BC3535">
              <w:rPr>
                <w:sz w:val="21"/>
                <w:szCs w:val="21"/>
              </w:rPr>
              <w:t>0.2</w:t>
            </w:r>
          </w:p>
        </w:tc>
        <w:tc>
          <w:tcPr>
            <w:tcW w:w="447" w:type="pct"/>
            <w:tcBorders>
              <w:bottom w:val="single" w:sz="12" w:space="0" w:color="auto"/>
            </w:tcBorders>
            <w:shd w:val="clear" w:color="auto" w:fill="F5F5F1"/>
            <w:noWrap/>
            <w:hideMark/>
          </w:tcPr>
          <w:p w14:paraId="765DDE73" w14:textId="77777777" w:rsidR="00FA5E66" w:rsidRPr="00BC3535" w:rsidRDefault="00FA5E66" w:rsidP="00D850DC">
            <w:pPr>
              <w:rPr>
                <w:sz w:val="21"/>
                <w:szCs w:val="21"/>
              </w:rPr>
            </w:pPr>
            <w:r w:rsidRPr="00BC3535">
              <w:rPr>
                <w:sz w:val="21"/>
                <w:szCs w:val="21"/>
              </w:rPr>
              <w:t>1.0</w:t>
            </w:r>
          </w:p>
        </w:tc>
        <w:tc>
          <w:tcPr>
            <w:tcW w:w="447" w:type="pct"/>
            <w:tcBorders>
              <w:bottom w:val="single" w:sz="12" w:space="0" w:color="auto"/>
            </w:tcBorders>
            <w:shd w:val="clear" w:color="auto" w:fill="F5F5F1"/>
            <w:noWrap/>
            <w:hideMark/>
          </w:tcPr>
          <w:p w14:paraId="0A2BCBF4" w14:textId="77777777" w:rsidR="00FA5E66" w:rsidRPr="00BC3535" w:rsidRDefault="00FA5E66" w:rsidP="00D850DC">
            <w:pPr>
              <w:rPr>
                <w:sz w:val="21"/>
                <w:szCs w:val="21"/>
              </w:rPr>
            </w:pPr>
            <w:r w:rsidRPr="00BC3535">
              <w:rPr>
                <w:sz w:val="21"/>
                <w:szCs w:val="21"/>
              </w:rPr>
              <w:t>0.0</w:t>
            </w:r>
          </w:p>
        </w:tc>
        <w:tc>
          <w:tcPr>
            <w:tcW w:w="530" w:type="pct"/>
            <w:tcBorders>
              <w:bottom w:val="single" w:sz="12" w:space="0" w:color="auto"/>
            </w:tcBorders>
            <w:shd w:val="clear" w:color="auto" w:fill="F5F5F1"/>
            <w:noWrap/>
            <w:hideMark/>
          </w:tcPr>
          <w:p w14:paraId="4D3C11F4" w14:textId="77777777" w:rsidR="00FA5E66" w:rsidRPr="00BC3535" w:rsidRDefault="00FA5E66" w:rsidP="00D850DC">
            <w:pPr>
              <w:rPr>
                <w:sz w:val="21"/>
                <w:szCs w:val="21"/>
              </w:rPr>
            </w:pPr>
            <w:r w:rsidRPr="00BC3535">
              <w:rPr>
                <w:sz w:val="21"/>
                <w:szCs w:val="21"/>
              </w:rPr>
              <w:t>1,785</w:t>
            </w:r>
          </w:p>
        </w:tc>
      </w:tr>
      <w:tr w:rsidR="00FA5E66" w:rsidRPr="00BC3535" w14:paraId="4188C356" w14:textId="77777777" w:rsidTr="00353776">
        <w:trPr>
          <w:trHeight w:val="320"/>
          <w:tblHeader/>
        </w:trPr>
        <w:tc>
          <w:tcPr>
            <w:tcW w:w="5000" w:type="pct"/>
            <w:gridSpan w:val="10"/>
            <w:tcBorders>
              <w:top w:val="single" w:sz="12" w:space="0" w:color="auto"/>
            </w:tcBorders>
            <w:noWrap/>
          </w:tcPr>
          <w:p w14:paraId="7C180BC7" w14:textId="040C4A1A" w:rsidR="00FA5E66" w:rsidRPr="00BC3535" w:rsidRDefault="00FA5E66" w:rsidP="00D850DC">
            <w:pPr>
              <w:rPr>
                <w:sz w:val="18"/>
                <w:szCs w:val="18"/>
              </w:rPr>
            </w:pPr>
            <w:r w:rsidRPr="00BC3535">
              <w:rPr>
                <w:i/>
                <w:iCs/>
                <w:sz w:val="18"/>
                <w:szCs w:val="18"/>
              </w:rPr>
              <w:t>Source:</w:t>
            </w:r>
            <w:r w:rsidRPr="00BC3535">
              <w:rPr>
                <w:sz w:val="18"/>
                <w:szCs w:val="18"/>
              </w:rPr>
              <w:t xml:space="preserve"> Ghana Statistical Service, </w:t>
            </w:r>
            <w:r w:rsidRPr="00BC3535">
              <w:rPr>
                <w:i/>
                <w:iCs/>
                <w:sz w:val="18"/>
                <w:szCs w:val="18"/>
              </w:rPr>
              <w:t>Multiple Indicator Cluster Survey (MICS2017/18) Survey Findings Report</w:t>
            </w:r>
            <w:r w:rsidRPr="00BC3535">
              <w:rPr>
                <w:sz w:val="18"/>
                <w:szCs w:val="18"/>
              </w:rPr>
              <w:t xml:space="preserve"> (Accra, Ghana, 2018)</w:t>
            </w:r>
          </w:p>
        </w:tc>
      </w:tr>
    </w:tbl>
    <w:p w14:paraId="2BB09F41" w14:textId="036CE628" w:rsidR="00FA5E66" w:rsidRPr="00BC3535" w:rsidRDefault="00752CF3" w:rsidP="00D850DC">
      <w:r w:rsidRPr="00BC3535">
        <w:lastRenderedPageBreak/>
        <w:br/>
      </w:r>
      <w:r w:rsidR="00FA5E66" w:rsidRPr="00BC3535">
        <w:t>The UNICEF/WG Child Functioning Module identifies children with functional difficulties, beginning at age 2. Thus, the Ghana survey report could have included data on nutrition disaggregated by the child’s functional difficulties (age 2-4 years), as presented in table 5.</w:t>
      </w:r>
    </w:p>
    <w:p w14:paraId="32B1C643" w14:textId="5B2C9722" w:rsidR="00FA5E66" w:rsidRPr="00BC3535" w:rsidRDefault="00FA5E66" w:rsidP="00752CF3">
      <w:pPr>
        <w:pStyle w:val="TableHeader"/>
        <w:rPr>
          <w:rFonts w:eastAsiaTheme="majorEastAsia" w:cstheme="majorBidi"/>
        </w:rPr>
      </w:pPr>
      <w:r w:rsidRPr="00BC3535">
        <w:rPr>
          <w:rFonts w:eastAsiaTheme="majorEastAsia" w:cstheme="majorBidi"/>
          <w:b/>
          <w:bCs w:val="0"/>
        </w:rPr>
        <w:t>Table 5:</w:t>
      </w:r>
      <w:r w:rsidR="007C2B91" w:rsidRPr="00BC3535">
        <w:rPr>
          <w:rFonts w:eastAsiaTheme="majorEastAsia" w:cstheme="majorBidi"/>
        </w:rPr>
        <w:t xml:space="preserve"> </w:t>
      </w:r>
      <w:r w:rsidRPr="00BC3535">
        <w:rPr>
          <w:rFonts w:eastAsiaTheme="majorEastAsia" w:cstheme="majorBidi"/>
        </w:rPr>
        <w:t>Nutrition disaggregated by the child’s functional difficulties (age 2-4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5: Nutrition disaggregated by the child’s functional difficulties (age 2-4 years)"/>
      </w:tblPr>
      <w:tblGrid>
        <w:gridCol w:w="4458"/>
        <w:gridCol w:w="1379"/>
        <w:gridCol w:w="1334"/>
        <w:gridCol w:w="1829"/>
      </w:tblGrid>
      <w:tr w:rsidR="00FA5E66" w:rsidRPr="00BC3535" w14:paraId="57BF11D5" w14:textId="77777777" w:rsidTr="00752CF3">
        <w:trPr>
          <w:trHeight w:val="320"/>
          <w:tblHeader/>
        </w:trPr>
        <w:tc>
          <w:tcPr>
            <w:tcW w:w="2477" w:type="pct"/>
            <w:vMerge w:val="restart"/>
            <w:tcBorders>
              <w:top w:val="single" w:sz="12" w:space="0" w:color="auto"/>
            </w:tcBorders>
            <w:shd w:val="clear" w:color="auto" w:fill="F5F5F1"/>
            <w:noWrap/>
            <w:vAlign w:val="bottom"/>
            <w:hideMark/>
          </w:tcPr>
          <w:p w14:paraId="690FD074" w14:textId="68471C8B" w:rsidR="00FA5E66" w:rsidRPr="00BC3535" w:rsidRDefault="00FA5E66" w:rsidP="00752CF3">
            <w:pPr>
              <w:pStyle w:val="TableHeaderRow"/>
              <w:spacing w:before="600"/>
            </w:pPr>
            <w:r w:rsidRPr="00BC3535">
              <w:t>Background Characteristics</w:t>
            </w:r>
          </w:p>
        </w:tc>
        <w:tc>
          <w:tcPr>
            <w:tcW w:w="766" w:type="pct"/>
            <w:vMerge w:val="restart"/>
            <w:tcBorders>
              <w:top w:val="single" w:sz="12" w:space="0" w:color="auto"/>
            </w:tcBorders>
            <w:shd w:val="clear" w:color="auto" w:fill="F5F5F1"/>
            <w:vAlign w:val="bottom"/>
            <w:hideMark/>
          </w:tcPr>
          <w:p w14:paraId="1EBCE35C" w14:textId="77777777" w:rsidR="00FA5E66" w:rsidRPr="00BC3535" w:rsidRDefault="00FA5E66" w:rsidP="00752CF3">
            <w:pPr>
              <w:pStyle w:val="TableHeaderRow"/>
              <w:spacing w:before="360"/>
            </w:pPr>
            <w:r w:rsidRPr="00BC3535">
              <w:t>Weighted</w:t>
            </w:r>
            <w:r w:rsidRPr="00BC3535">
              <w:rPr>
                <w:spacing w:val="400"/>
              </w:rPr>
              <w:t xml:space="preserve"> </w:t>
            </w:r>
            <w:r w:rsidRPr="00BC3535">
              <w:t>per cent</w:t>
            </w:r>
          </w:p>
        </w:tc>
        <w:tc>
          <w:tcPr>
            <w:tcW w:w="1757" w:type="pct"/>
            <w:gridSpan w:val="2"/>
            <w:tcBorders>
              <w:top w:val="single" w:sz="12" w:space="0" w:color="auto"/>
              <w:bottom w:val="single" w:sz="12" w:space="0" w:color="auto"/>
            </w:tcBorders>
            <w:shd w:val="clear" w:color="auto" w:fill="F5F5F1"/>
            <w:noWrap/>
            <w:vAlign w:val="bottom"/>
            <w:hideMark/>
          </w:tcPr>
          <w:p w14:paraId="4F6B0581" w14:textId="77777777" w:rsidR="00FA5E66" w:rsidRPr="00BC3535" w:rsidRDefault="00FA5E66" w:rsidP="00752CF3">
            <w:pPr>
              <w:pStyle w:val="TableHeaderRow"/>
              <w:rPr>
                <w:i/>
                <w:iCs/>
              </w:rPr>
            </w:pPr>
            <w:r w:rsidRPr="00BC3535">
              <w:rPr>
                <w:i/>
                <w:iCs/>
              </w:rPr>
              <w:t>Number of under 5 children</w:t>
            </w:r>
          </w:p>
        </w:tc>
      </w:tr>
      <w:tr w:rsidR="00FA5E66" w:rsidRPr="00BC3535" w14:paraId="4DFA1E01" w14:textId="77777777" w:rsidTr="00752CF3">
        <w:trPr>
          <w:trHeight w:val="320"/>
          <w:tblHeader/>
        </w:trPr>
        <w:tc>
          <w:tcPr>
            <w:tcW w:w="2477" w:type="pct"/>
            <w:vMerge/>
            <w:tcBorders>
              <w:bottom w:val="single" w:sz="12" w:space="0" w:color="auto"/>
            </w:tcBorders>
            <w:shd w:val="clear" w:color="auto" w:fill="F5F5F1"/>
            <w:vAlign w:val="bottom"/>
            <w:hideMark/>
          </w:tcPr>
          <w:p w14:paraId="581C0EC4" w14:textId="77777777" w:rsidR="00FA5E66" w:rsidRPr="00BC3535" w:rsidRDefault="00FA5E66" w:rsidP="00752CF3">
            <w:pPr>
              <w:pStyle w:val="TableHeaderRow"/>
            </w:pPr>
          </w:p>
        </w:tc>
        <w:tc>
          <w:tcPr>
            <w:tcW w:w="766" w:type="pct"/>
            <w:vMerge/>
            <w:tcBorders>
              <w:bottom w:val="single" w:sz="12" w:space="0" w:color="auto"/>
            </w:tcBorders>
            <w:shd w:val="clear" w:color="auto" w:fill="F5F5F1"/>
            <w:vAlign w:val="bottom"/>
            <w:hideMark/>
          </w:tcPr>
          <w:p w14:paraId="476F4EBE" w14:textId="77777777" w:rsidR="00FA5E66" w:rsidRPr="00BC3535" w:rsidRDefault="00FA5E66" w:rsidP="00752CF3">
            <w:pPr>
              <w:pStyle w:val="TableHeaderRow"/>
            </w:pPr>
          </w:p>
        </w:tc>
        <w:tc>
          <w:tcPr>
            <w:tcW w:w="741" w:type="pct"/>
            <w:tcBorders>
              <w:top w:val="single" w:sz="12" w:space="0" w:color="auto"/>
              <w:bottom w:val="single" w:sz="12" w:space="0" w:color="auto"/>
            </w:tcBorders>
            <w:shd w:val="clear" w:color="auto" w:fill="F5F5F1"/>
            <w:noWrap/>
            <w:vAlign w:val="bottom"/>
            <w:hideMark/>
          </w:tcPr>
          <w:p w14:paraId="142CAB30" w14:textId="77777777" w:rsidR="00FA5E66" w:rsidRPr="00BC3535" w:rsidRDefault="00FA5E66" w:rsidP="00752CF3">
            <w:pPr>
              <w:pStyle w:val="TableHeaderRow"/>
            </w:pPr>
            <w:r w:rsidRPr="00BC3535">
              <w:t>Weighted</w:t>
            </w:r>
          </w:p>
        </w:tc>
        <w:tc>
          <w:tcPr>
            <w:tcW w:w="1016" w:type="pct"/>
            <w:tcBorders>
              <w:top w:val="single" w:sz="12" w:space="0" w:color="auto"/>
              <w:bottom w:val="single" w:sz="12" w:space="0" w:color="auto"/>
            </w:tcBorders>
            <w:shd w:val="clear" w:color="auto" w:fill="F5F5F1"/>
            <w:noWrap/>
            <w:vAlign w:val="bottom"/>
            <w:hideMark/>
          </w:tcPr>
          <w:p w14:paraId="10B013F3" w14:textId="77777777" w:rsidR="00FA5E66" w:rsidRPr="00BC3535" w:rsidRDefault="00FA5E66" w:rsidP="00752CF3">
            <w:pPr>
              <w:pStyle w:val="TableHeaderRow"/>
            </w:pPr>
            <w:r w:rsidRPr="00BC3535">
              <w:t>Unweighted</w:t>
            </w:r>
          </w:p>
        </w:tc>
      </w:tr>
      <w:tr w:rsidR="00752CF3" w:rsidRPr="00BC3535" w14:paraId="341C2B27" w14:textId="77777777" w:rsidTr="00752CF3">
        <w:trPr>
          <w:trHeight w:val="310"/>
          <w:tblHeader/>
        </w:trPr>
        <w:tc>
          <w:tcPr>
            <w:tcW w:w="5000" w:type="pct"/>
            <w:gridSpan w:val="4"/>
            <w:tcBorders>
              <w:top w:val="single" w:sz="12" w:space="0" w:color="auto"/>
              <w:bottom w:val="single" w:sz="12" w:space="0" w:color="auto"/>
            </w:tcBorders>
            <w:shd w:val="clear" w:color="auto" w:fill="F5F5F1"/>
            <w:hideMark/>
          </w:tcPr>
          <w:p w14:paraId="2BB75A9E" w14:textId="12AE3E66" w:rsidR="00752CF3" w:rsidRPr="00BC3535" w:rsidRDefault="00752CF3" w:rsidP="00D850DC">
            <w:r w:rsidRPr="00BC3535">
              <w:rPr>
                <w:b/>
                <w:bCs/>
                <w:i/>
                <w:iCs/>
              </w:rPr>
              <w:t>Child’s functional difficulties (age 2-4 years)</w:t>
            </w:r>
          </w:p>
        </w:tc>
      </w:tr>
      <w:tr w:rsidR="00FA5E66" w:rsidRPr="00BC3535" w14:paraId="0EE2A9BA" w14:textId="77777777" w:rsidTr="00752CF3">
        <w:trPr>
          <w:trHeight w:val="310"/>
          <w:tblHeader/>
        </w:trPr>
        <w:tc>
          <w:tcPr>
            <w:tcW w:w="2477" w:type="pct"/>
            <w:tcBorders>
              <w:top w:val="single" w:sz="12" w:space="0" w:color="auto"/>
            </w:tcBorders>
            <w:shd w:val="clear" w:color="auto" w:fill="F5F5F1"/>
            <w:noWrap/>
            <w:hideMark/>
          </w:tcPr>
          <w:p w14:paraId="37B04325" w14:textId="77777777" w:rsidR="00FA5E66" w:rsidRPr="00BC3535" w:rsidRDefault="00FA5E66" w:rsidP="00D850DC">
            <w:r w:rsidRPr="00BC3535">
              <w:t>Has functional difficulty</w:t>
            </w:r>
          </w:p>
        </w:tc>
        <w:tc>
          <w:tcPr>
            <w:tcW w:w="766" w:type="pct"/>
            <w:tcBorders>
              <w:top w:val="single" w:sz="12" w:space="0" w:color="auto"/>
            </w:tcBorders>
            <w:shd w:val="clear" w:color="auto" w:fill="F5F5F1"/>
            <w:noWrap/>
            <w:hideMark/>
          </w:tcPr>
          <w:p w14:paraId="000CC354" w14:textId="77777777" w:rsidR="00FA5E66" w:rsidRPr="00BC3535" w:rsidRDefault="00FA5E66" w:rsidP="00D850DC">
            <w:r w:rsidRPr="00BC3535">
              <w:t>10.8</w:t>
            </w:r>
          </w:p>
        </w:tc>
        <w:tc>
          <w:tcPr>
            <w:tcW w:w="741" w:type="pct"/>
            <w:tcBorders>
              <w:top w:val="single" w:sz="12" w:space="0" w:color="auto"/>
            </w:tcBorders>
            <w:shd w:val="clear" w:color="auto" w:fill="F5F5F1"/>
            <w:noWrap/>
            <w:hideMark/>
          </w:tcPr>
          <w:p w14:paraId="04AE1BAD" w14:textId="77777777" w:rsidR="00FA5E66" w:rsidRPr="00BC3535" w:rsidRDefault="00FA5E66" w:rsidP="00D850DC">
            <w:r w:rsidRPr="00BC3535">
              <w:t>593</w:t>
            </w:r>
          </w:p>
        </w:tc>
        <w:tc>
          <w:tcPr>
            <w:tcW w:w="1016" w:type="pct"/>
            <w:tcBorders>
              <w:top w:val="single" w:sz="12" w:space="0" w:color="auto"/>
            </w:tcBorders>
            <w:shd w:val="clear" w:color="auto" w:fill="F5F5F1"/>
            <w:noWrap/>
            <w:hideMark/>
          </w:tcPr>
          <w:p w14:paraId="26686B21" w14:textId="77777777" w:rsidR="00FA5E66" w:rsidRPr="00BC3535" w:rsidRDefault="00FA5E66" w:rsidP="00D850DC">
            <w:r w:rsidRPr="00BC3535">
              <w:t>551</w:t>
            </w:r>
          </w:p>
        </w:tc>
      </w:tr>
      <w:tr w:rsidR="00FA5E66" w:rsidRPr="00BC3535" w14:paraId="6083A647" w14:textId="77777777" w:rsidTr="00752CF3">
        <w:trPr>
          <w:trHeight w:val="310"/>
          <w:tblHeader/>
        </w:trPr>
        <w:tc>
          <w:tcPr>
            <w:tcW w:w="2477" w:type="pct"/>
            <w:tcBorders>
              <w:bottom w:val="single" w:sz="12" w:space="0" w:color="auto"/>
            </w:tcBorders>
            <w:shd w:val="clear" w:color="auto" w:fill="F5F5F1"/>
            <w:noWrap/>
            <w:hideMark/>
          </w:tcPr>
          <w:p w14:paraId="2895F29E" w14:textId="77777777" w:rsidR="00FA5E66" w:rsidRPr="00BC3535" w:rsidRDefault="00FA5E66" w:rsidP="00D850DC">
            <w:r w:rsidRPr="00BC3535">
              <w:t>Has no functional difficulty</w:t>
            </w:r>
          </w:p>
        </w:tc>
        <w:tc>
          <w:tcPr>
            <w:tcW w:w="766" w:type="pct"/>
            <w:tcBorders>
              <w:bottom w:val="single" w:sz="12" w:space="0" w:color="auto"/>
            </w:tcBorders>
            <w:shd w:val="clear" w:color="auto" w:fill="F5F5F1"/>
            <w:noWrap/>
            <w:hideMark/>
          </w:tcPr>
          <w:p w14:paraId="1B894F69" w14:textId="77777777" w:rsidR="00FA5E66" w:rsidRPr="00BC3535" w:rsidRDefault="00FA5E66" w:rsidP="00D850DC">
            <w:r w:rsidRPr="00BC3535">
              <w:t>89.2</w:t>
            </w:r>
          </w:p>
        </w:tc>
        <w:tc>
          <w:tcPr>
            <w:tcW w:w="741" w:type="pct"/>
            <w:tcBorders>
              <w:bottom w:val="single" w:sz="12" w:space="0" w:color="auto"/>
            </w:tcBorders>
            <w:shd w:val="clear" w:color="auto" w:fill="F5F5F1"/>
            <w:noWrap/>
            <w:hideMark/>
          </w:tcPr>
          <w:p w14:paraId="7DB82D38" w14:textId="77777777" w:rsidR="00FA5E66" w:rsidRPr="00BC3535" w:rsidRDefault="00FA5E66" w:rsidP="00D850DC">
            <w:r w:rsidRPr="00BC3535">
              <w:t>4,903</w:t>
            </w:r>
          </w:p>
        </w:tc>
        <w:tc>
          <w:tcPr>
            <w:tcW w:w="1016" w:type="pct"/>
            <w:tcBorders>
              <w:bottom w:val="single" w:sz="12" w:space="0" w:color="auto"/>
            </w:tcBorders>
            <w:shd w:val="clear" w:color="auto" w:fill="F5F5F1"/>
            <w:noWrap/>
            <w:hideMark/>
          </w:tcPr>
          <w:p w14:paraId="1DABBD23" w14:textId="77777777" w:rsidR="00FA5E66" w:rsidRPr="00BC3535" w:rsidRDefault="00FA5E66" w:rsidP="00D850DC">
            <w:r w:rsidRPr="00BC3535">
              <w:t>4,862</w:t>
            </w:r>
          </w:p>
        </w:tc>
      </w:tr>
      <w:tr w:rsidR="00FA5E66" w:rsidRPr="00BC3535" w14:paraId="4600CB2A" w14:textId="77777777" w:rsidTr="00752CF3">
        <w:trPr>
          <w:trHeight w:val="310"/>
          <w:tblHeader/>
        </w:trPr>
        <w:tc>
          <w:tcPr>
            <w:tcW w:w="5000" w:type="pct"/>
            <w:gridSpan w:val="4"/>
            <w:tcBorders>
              <w:top w:val="single" w:sz="12" w:space="0" w:color="auto"/>
            </w:tcBorders>
            <w:noWrap/>
          </w:tcPr>
          <w:p w14:paraId="358EE555" w14:textId="52134761" w:rsidR="00FA5E66" w:rsidRPr="00BC3535" w:rsidDel="00641B23" w:rsidRDefault="00FA5E66" w:rsidP="00D850DC">
            <w:pPr>
              <w:rPr>
                <w:sz w:val="18"/>
                <w:szCs w:val="18"/>
              </w:rPr>
            </w:pPr>
            <w:r w:rsidRPr="00BC3535">
              <w:rPr>
                <w:i/>
                <w:iCs/>
                <w:sz w:val="18"/>
                <w:szCs w:val="18"/>
              </w:rPr>
              <w:t xml:space="preserve">Source: </w:t>
            </w:r>
            <w:r w:rsidRPr="00BC3535">
              <w:rPr>
                <w:sz w:val="18"/>
                <w:szCs w:val="18"/>
              </w:rPr>
              <w:t xml:space="preserve">Ghana Statistical Service, </w:t>
            </w:r>
            <w:r w:rsidRPr="00BC3535">
              <w:rPr>
                <w:i/>
                <w:iCs/>
                <w:sz w:val="18"/>
                <w:szCs w:val="18"/>
              </w:rPr>
              <w:t>Multiple Indicator Cluster Survey (MICS2017/18) Survey Findings Report</w:t>
            </w:r>
            <w:r w:rsidRPr="00BC3535">
              <w:rPr>
                <w:sz w:val="18"/>
                <w:szCs w:val="18"/>
              </w:rPr>
              <w:t xml:space="preserve"> (Accra, Ghana, 2018) </w:t>
            </w:r>
          </w:p>
        </w:tc>
      </w:tr>
    </w:tbl>
    <w:p w14:paraId="277EE992" w14:textId="77777777" w:rsidR="00FA5E66" w:rsidRPr="00BC3535" w:rsidRDefault="00FA5E66" w:rsidP="002273D6">
      <w:pPr>
        <w:pStyle w:val="Heading2"/>
        <w:rPr>
          <w:rFonts w:eastAsiaTheme="majorEastAsia"/>
        </w:rPr>
      </w:pPr>
      <w:r w:rsidRPr="00BC3535">
        <w:rPr>
          <w:rFonts w:eastAsiaTheme="majorEastAsia"/>
        </w:rPr>
        <w:t>25.28 Proportion of births attended by skilled health personnel (SDG indicator 3.1.2). disaggregated by age and disability of the individual giving birth.</w:t>
      </w:r>
    </w:p>
    <w:p w14:paraId="24974B86" w14:textId="77777777" w:rsidR="00FA5E66" w:rsidRPr="00BC3535" w:rsidRDefault="00FA5E66" w:rsidP="002273D6">
      <w:pPr>
        <w:pStyle w:val="Heading4"/>
        <w:rPr>
          <w:rFonts w:eastAsiaTheme="majorEastAsia"/>
        </w:rPr>
      </w:pPr>
      <w:r w:rsidRPr="00BC3535">
        <w:rPr>
          <w:rFonts w:eastAsiaTheme="majorEastAsia"/>
        </w:rPr>
        <w:t>Level 1: Indicator for which data are already being produced and reported on in at least some countries</w:t>
      </w:r>
    </w:p>
    <w:p w14:paraId="3830000C" w14:textId="438C6B34" w:rsidR="00FA5E66" w:rsidRPr="00BC3535" w:rsidRDefault="009F6205" w:rsidP="00D850DC">
      <w:pPr>
        <w:rPr>
          <w:rFonts w:cstheme="minorHAnsi"/>
          <w:color w:val="4A4A4A"/>
          <w:lang w:eastAsia="en-GB"/>
        </w:rPr>
      </w:pPr>
      <w:hyperlink r:id="rId35" w:history="1">
        <w:r w:rsidR="007C2B91" w:rsidRPr="00BC3535">
          <w:rPr>
            <w:rStyle w:val="Hyperlink"/>
            <w:rFonts w:cstheme="minorHAnsi"/>
            <w:lang w:eastAsia="en-GB"/>
          </w:rPr>
          <w:t>Link to the metadata related to this SDG indicator</w:t>
        </w:r>
      </w:hyperlink>
    </w:p>
    <w:p w14:paraId="526C7CCB" w14:textId="77967DB6" w:rsidR="00280323" w:rsidRPr="00BC3535" w:rsidRDefault="00280323" w:rsidP="00280323">
      <w:pPr>
        <w:rPr>
          <w:lang w:eastAsia="en-GB"/>
        </w:rPr>
      </w:pPr>
      <w:r w:rsidRPr="00BC3535">
        <w:rPr>
          <w:lang w:eastAsia="en-GB"/>
        </w:rPr>
        <w:t>According to the metadata:</w:t>
      </w:r>
    </w:p>
    <w:p w14:paraId="247E9052" w14:textId="562581CC" w:rsidR="00FA5E66" w:rsidRPr="00BC3535" w:rsidRDefault="00280323" w:rsidP="00752CF3">
      <w:pPr>
        <w:ind w:left="360"/>
        <w:rPr>
          <w:i/>
          <w:lang w:eastAsia="en-GB"/>
        </w:rPr>
      </w:pPr>
      <w:r w:rsidRPr="00BC3535">
        <w:rPr>
          <w:lang w:eastAsia="en-GB"/>
        </w:rPr>
        <w:t>“</w:t>
      </w:r>
      <w:r w:rsidR="00FA5E66" w:rsidRPr="00BC3535">
        <w:rPr>
          <w:i/>
          <w:lang w:eastAsia="en-GB"/>
        </w:rPr>
        <w:t>National-level household surveys are the main data sources used to collect data for skilled health personnel SBA. These surveys include Demographic and Health Surveys (DHS), Multiple Indicator Cluster Surveys (MICS), Reproductive Health Surveys (RHS) and national surveys based on similar methodologies. The surveys are undertaken every 3 to 5 years. For mainly industrialized countries (where the coverage is high), data sources include routine service statistics.</w:t>
      </w:r>
    </w:p>
    <w:p w14:paraId="267369F7" w14:textId="77777777" w:rsidR="00FA5E66" w:rsidRPr="00BC3535" w:rsidRDefault="00FA5E66" w:rsidP="00752CF3">
      <w:pPr>
        <w:ind w:left="360"/>
        <w:rPr>
          <w:i/>
          <w:lang w:eastAsia="en-GB"/>
        </w:rPr>
      </w:pPr>
      <w:r w:rsidRPr="00BC3535">
        <w:rPr>
          <w:i/>
          <w:lang w:eastAsia="en-GB"/>
        </w:rPr>
        <w:t>UNICEF and WHO maintain joint databases on skilled attendance at delivery (</w:t>
      </w:r>
      <w:proofErr w:type="gramStart"/>
      <w:r w:rsidRPr="00BC3535">
        <w:rPr>
          <w:i/>
          <w:lang w:eastAsia="en-GB"/>
        </w:rPr>
        <w:t>e.g.</w:t>
      </w:r>
      <w:proofErr w:type="gramEnd"/>
      <w:r w:rsidRPr="00BC3535">
        <w:rPr>
          <w:i/>
          <w:lang w:eastAsia="en-GB"/>
        </w:rPr>
        <w:t xml:space="preserve"> doctor, nurse or midwife or any additional qualified category) and both collaborate to ensure the consistency of data sources. These surveys include Demographic and Health Surveys (DHS), Multiple Indicator Cluster Surveys (MICS), Reproductive Health Surveys (RHS) and national surveys based on similar methodologies. The surveys are undertaken every 3 to 5 years. For mainly industrialized countries (where the coverage is high), data sources include routine service statistics.</w:t>
      </w:r>
    </w:p>
    <w:p w14:paraId="34B4E9D8" w14:textId="77777777" w:rsidR="00FA5E66" w:rsidRPr="00BC3535" w:rsidRDefault="00FA5E66" w:rsidP="00752CF3">
      <w:pPr>
        <w:ind w:left="360"/>
        <w:rPr>
          <w:i/>
          <w:lang w:eastAsia="en-GB"/>
        </w:rPr>
      </w:pPr>
      <w:r w:rsidRPr="00BC3535">
        <w:rPr>
          <w:i/>
          <w:lang w:eastAsia="en-GB"/>
        </w:rPr>
        <w:lastRenderedPageBreak/>
        <w:t>Before acceptance into the joint global databases, UNICEF and WHO undergo a country consultation that consists of an updating and verification process that includes correspondence with field offices to clarify any questions regarding estimates. During this process, the national categories of skilled health personnel are verified, and so the estimates for some countries may include additional categories of trained personnel beyond doctors, nurses, and midwives.</w:t>
      </w:r>
    </w:p>
    <w:p w14:paraId="1B7BD764" w14:textId="77777777" w:rsidR="00FA5E66" w:rsidRPr="00BC3535" w:rsidRDefault="00FA5E66" w:rsidP="00752CF3">
      <w:pPr>
        <w:ind w:left="360"/>
        <w:rPr>
          <w:i/>
          <w:lang w:eastAsia="en-GB"/>
        </w:rPr>
      </w:pPr>
      <w:r w:rsidRPr="00BC3535">
        <w:rPr>
          <w:i/>
          <w:lang w:eastAsia="en-GB"/>
        </w:rPr>
        <w:t>Data are available for over 170 countries.</w:t>
      </w:r>
    </w:p>
    <w:p w14:paraId="7902DB96" w14:textId="78D72856" w:rsidR="00FA5E66" w:rsidRPr="00BC3535" w:rsidRDefault="00FA5E66" w:rsidP="00752CF3">
      <w:pPr>
        <w:ind w:left="360"/>
        <w:rPr>
          <w:lang w:eastAsia="en-GB"/>
        </w:rPr>
      </w:pPr>
      <w:r w:rsidRPr="00BC3535">
        <w:rPr>
          <w:i/>
          <w:lang w:eastAsia="en-GB"/>
        </w:rPr>
        <w:t>The lag between the reference year and actual production of data series depends on the availability of the household survey for each country</w:t>
      </w:r>
      <w:r w:rsidRPr="00BC3535">
        <w:rPr>
          <w:lang w:eastAsia="en-GB"/>
        </w:rPr>
        <w:t>.</w:t>
      </w:r>
      <w:r w:rsidR="00280323" w:rsidRPr="00BC3535">
        <w:rPr>
          <w:lang w:eastAsia="en-GB"/>
        </w:rPr>
        <w:t>”</w:t>
      </w:r>
    </w:p>
    <w:p w14:paraId="3C0E8620" w14:textId="77777777" w:rsidR="00FA5E66" w:rsidRPr="00BC3535" w:rsidRDefault="00FA5E66" w:rsidP="00D850DC">
      <w:r w:rsidRPr="00BC3535">
        <w:t xml:space="preserve">As long as disability questions are included in the surveys used, this indicator can be easily disaggregated. Table 6 presents an example from the </w:t>
      </w:r>
      <w:hyperlink r:id="rId36" w:history="1">
        <w:r w:rsidRPr="00BC3535">
          <w:rPr>
            <w:rStyle w:val="Hyperlink"/>
            <w:rFonts w:cstheme="minorHAnsi"/>
          </w:rPr>
          <w:t>MICS in Bangladesh</w:t>
        </w:r>
      </w:hyperlink>
      <w:r w:rsidRPr="00BC3535">
        <w:t>.</w:t>
      </w:r>
    </w:p>
    <w:p w14:paraId="5FA5F2A6" w14:textId="394189BA" w:rsidR="00FA5E66" w:rsidRPr="00BC3535" w:rsidRDefault="00FA5E66" w:rsidP="00752CF3">
      <w:pPr>
        <w:pStyle w:val="TableHeader"/>
        <w:rPr>
          <w:rFonts w:eastAsiaTheme="majorEastAsia" w:cstheme="majorBidi"/>
        </w:rPr>
      </w:pPr>
      <w:r w:rsidRPr="00BC3535">
        <w:rPr>
          <w:rFonts w:eastAsiaTheme="majorEastAsia" w:cstheme="majorBidi"/>
          <w:b/>
          <w:bCs w:val="0"/>
        </w:rPr>
        <w:t>Table 6</w:t>
      </w:r>
      <w:r w:rsidR="007C2B91" w:rsidRPr="00BC3535">
        <w:rPr>
          <w:rFonts w:eastAsiaTheme="majorEastAsia" w:cstheme="majorBidi"/>
          <w:b/>
          <w:bCs w:val="0"/>
        </w:rPr>
        <w:t>:</w:t>
      </w:r>
      <w:r w:rsidR="007C2B91" w:rsidRPr="00BC3535">
        <w:rPr>
          <w:rFonts w:eastAsiaTheme="majorEastAsia" w:cstheme="majorBidi"/>
        </w:rPr>
        <w:t xml:space="preserve"> </w:t>
      </w:r>
      <w:r w:rsidRPr="00BC3535">
        <w:rPr>
          <w:rFonts w:eastAsiaTheme="majorEastAsia" w:cstheme="majorBidi"/>
        </w:rPr>
        <w:t>Per cent distribution of women age 15-49 years with a live birth in the last 2 years by person providing assistance at delivery of the most recent live birth, and percentage of most recent live births delivered by C-section, Bangladesh, 2019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6: Per cent distribution of women age 15-49 years with a live birth in the last 2 years by person providing assistance at delivery of the most recent live birth, and percentage of most recent live births delivered by C-section, Bangladesh, 2019"/>
      </w:tblPr>
      <w:tblGrid>
        <w:gridCol w:w="2180"/>
        <w:gridCol w:w="1193"/>
        <w:gridCol w:w="1061"/>
        <w:gridCol w:w="1154"/>
        <w:gridCol w:w="1109"/>
        <w:gridCol w:w="1116"/>
        <w:gridCol w:w="1187"/>
      </w:tblGrid>
      <w:tr w:rsidR="00FA5E66" w:rsidRPr="00BC3535" w14:paraId="77AA35C7" w14:textId="77777777" w:rsidTr="00752CF3">
        <w:trPr>
          <w:trHeight w:val="340"/>
          <w:tblHeader/>
        </w:trPr>
        <w:tc>
          <w:tcPr>
            <w:tcW w:w="1247" w:type="pct"/>
            <w:tcBorders>
              <w:top w:val="single" w:sz="12" w:space="0" w:color="auto"/>
            </w:tcBorders>
            <w:shd w:val="clear" w:color="auto" w:fill="F5F5F1"/>
            <w:hideMark/>
          </w:tcPr>
          <w:p w14:paraId="7C5AA929" w14:textId="77777777" w:rsidR="00FA5E66" w:rsidRPr="00BC3535" w:rsidRDefault="00FA5E66" w:rsidP="00D850DC">
            <w:pPr>
              <w:rPr>
                <w:rFonts w:asciiTheme="minorHAnsi" w:hAnsiTheme="minorHAnsi"/>
              </w:rPr>
            </w:pPr>
          </w:p>
        </w:tc>
        <w:tc>
          <w:tcPr>
            <w:tcW w:w="3097" w:type="pct"/>
            <w:gridSpan w:val="5"/>
            <w:tcBorders>
              <w:top w:val="single" w:sz="12" w:space="0" w:color="auto"/>
              <w:bottom w:val="single" w:sz="12" w:space="0" w:color="auto"/>
            </w:tcBorders>
            <w:shd w:val="clear" w:color="auto" w:fill="F5F5F1"/>
            <w:vAlign w:val="center"/>
            <w:hideMark/>
          </w:tcPr>
          <w:p w14:paraId="3D188873" w14:textId="77777777" w:rsidR="00FA5E66" w:rsidRPr="00BC3535" w:rsidRDefault="00FA5E66" w:rsidP="00752CF3">
            <w:pPr>
              <w:pStyle w:val="TableHeaderRow"/>
              <w:jc w:val="center"/>
              <w:rPr>
                <w:i/>
                <w:iCs/>
              </w:rPr>
            </w:pPr>
            <w:r w:rsidRPr="00BC3535">
              <w:rPr>
                <w:i/>
                <w:iCs/>
              </w:rPr>
              <w:t>Skilled Attendant</w:t>
            </w:r>
          </w:p>
        </w:tc>
        <w:tc>
          <w:tcPr>
            <w:tcW w:w="656" w:type="pct"/>
            <w:vMerge w:val="restart"/>
            <w:tcBorders>
              <w:top w:val="single" w:sz="12" w:space="0" w:color="auto"/>
            </w:tcBorders>
            <w:shd w:val="clear" w:color="auto" w:fill="F5F5F1"/>
            <w:textDirection w:val="btLr"/>
            <w:hideMark/>
          </w:tcPr>
          <w:p w14:paraId="713775AC" w14:textId="77777777" w:rsidR="00FA5E66" w:rsidRPr="00BC3535" w:rsidRDefault="00FA5E66" w:rsidP="00752CF3">
            <w:pPr>
              <w:pStyle w:val="TableHeaderRow"/>
              <w:spacing w:before="0" w:line="240" w:lineRule="auto"/>
              <w:ind w:left="72" w:right="72"/>
            </w:pPr>
            <w:r w:rsidRPr="00BC3535">
              <w:t>Delivery assisted by any skilled attendant</w:t>
            </w:r>
          </w:p>
        </w:tc>
      </w:tr>
      <w:tr w:rsidR="00752CF3" w:rsidRPr="00BC3535" w14:paraId="5874E0C9" w14:textId="77777777" w:rsidTr="00752CF3">
        <w:trPr>
          <w:trHeight w:val="2060"/>
          <w:tblHeader/>
        </w:trPr>
        <w:tc>
          <w:tcPr>
            <w:tcW w:w="1247" w:type="pct"/>
            <w:tcBorders>
              <w:bottom w:val="single" w:sz="12" w:space="0" w:color="auto"/>
            </w:tcBorders>
            <w:shd w:val="clear" w:color="auto" w:fill="F5F5F1"/>
            <w:hideMark/>
          </w:tcPr>
          <w:p w14:paraId="57DDFB84" w14:textId="77777777" w:rsidR="00FA5E66" w:rsidRPr="00BC3535" w:rsidRDefault="00FA5E66" w:rsidP="00D850DC">
            <w:pPr>
              <w:rPr>
                <w:rFonts w:asciiTheme="minorHAnsi" w:hAnsiTheme="minorHAnsi"/>
                <w:color w:val="000000"/>
              </w:rPr>
            </w:pPr>
          </w:p>
        </w:tc>
        <w:tc>
          <w:tcPr>
            <w:tcW w:w="659" w:type="pct"/>
            <w:tcBorders>
              <w:top w:val="single" w:sz="12" w:space="0" w:color="auto"/>
              <w:bottom w:val="single" w:sz="12" w:space="0" w:color="auto"/>
            </w:tcBorders>
            <w:shd w:val="clear" w:color="auto" w:fill="F5F5F1"/>
            <w:textDirection w:val="btLr"/>
            <w:hideMark/>
          </w:tcPr>
          <w:p w14:paraId="7A06EA44" w14:textId="77777777" w:rsidR="00FA5E66" w:rsidRPr="00BC3535" w:rsidRDefault="00FA5E66" w:rsidP="00752CF3">
            <w:pPr>
              <w:pStyle w:val="TableHeaderRow"/>
              <w:spacing w:before="0" w:line="240" w:lineRule="auto"/>
              <w:ind w:left="72" w:right="72"/>
            </w:pPr>
            <w:r w:rsidRPr="00BC3535">
              <w:t xml:space="preserve">Medical doctor </w:t>
            </w:r>
          </w:p>
        </w:tc>
        <w:tc>
          <w:tcPr>
            <w:tcW w:w="580" w:type="pct"/>
            <w:tcBorders>
              <w:top w:val="single" w:sz="12" w:space="0" w:color="auto"/>
              <w:bottom w:val="single" w:sz="12" w:space="0" w:color="auto"/>
            </w:tcBorders>
            <w:shd w:val="clear" w:color="auto" w:fill="F5F5F1"/>
            <w:textDirection w:val="btLr"/>
            <w:hideMark/>
          </w:tcPr>
          <w:p w14:paraId="76562172" w14:textId="37927CF2" w:rsidR="00FA5E66" w:rsidRPr="00BC3535" w:rsidRDefault="00FA5E66" w:rsidP="00752CF3">
            <w:pPr>
              <w:pStyle w:val="TableHeaderRow"/>
              <w:spacing w:before="0" w:line="240" w:lineRule="auto"/>
              <w:ind w:left="72" w:right="72"/>
            </w:pPr>
            <w:r w:rsidRPr="00BC3535">
              <w:t>Nurse/ Midwife</w:t>
            </w:r>
          </w:p>
        </w:tc>
        <w:tc>
          <w:tcPr>
            <w:tcW w:w="636" w:type="pct"/>
            <w:tcBorders>
              <w:top w:val="single" w:sz="12" w:space="0" w:color="auto"/>
              <w:bottom w:val="single" w:sz="12" w:space="0" w:color="auto"/>
            </w:tcBorders>
            <w:shd w:val="clear" w:color="auto" w:fill="F5F5F1"/>
            <w:textDirection w:val="btLr"/>
            <w:hideMark/>
          </w:tcPr>
          <w:p w14:paraId="614DFE16" w14:textId="77777777" w:rsidR="00FA5E66" w:rsidRPr="00BC3535" w:rsidRDefault="00FA5E66" w:rsidP="00752CF3">
            <w:pPr>
              <w:pStyle w:val="TableHeaderRow"/>
              <w:spacing w:before="0" w:line="240" w:lineRule="auto"/>
              <w:ind w:left="72" w:right="72"/>
            </w:pPr>
            <w:r w:rsidRPr="00BC3535">
              <w:t xml:space="preserve">Paramedic/ Medical assistant (MA)/ SACMO </w:t>
            </w:r>
          </w:p>
        </w:tc>
        <w:tc>
          <w:tcPr>
            <w:tcW w:w="609" w:type="pct"/>
            <w:tcBorders>
              <w:top w:val="single" w:sz="12" w:space="0" w:color="auto"/>
              <w:bottom w:val="single" w:sz="12" w:space="0" w:color="auto"/>
            </w:tcBorders>
            <w:shd w:val="clear" w:color="auto" w:fill="F5F5F1"/>
            <w:textDirection w:val="btLr"/>
            <w:hideMark/>
          </w:tcPr>
          <w:p w14:paraId="08196C96" w14:textId="68514583" w:rsidR="00FA5E66" w:rsidRPr="00BC3535" w:rsidRDefault="00FA5E66" w:rsidP="00752CF3">
            <w:pPr>
              <w:pStyle w:val="TableHeaderRow"/>
              <w:spacing w:before="0" w:line="240" w:lineRule="auto"/>
              <w:ind w:left="72" w:right="72"/>
            </w:pPr>
            <w:r w:rsidRPr="00BC3535">
              <w:t>Family Welfare Visitor (FWV)</w:t>
            </w:r>
          </w:p>
        </w:tc>
        <w:tc>
          <w:tcPr>
            <w:tcW w:w="613" w:type="pct"/>
            <w:tcBorders>
              <w:top w:val="single" w:sz="12" w:space="0" w:color="auto"/>
              <w:bottom w:val="single" w:sz="12" w:space="0" w:color="auto"/>
            </w:tcBorders>
            <w:shd w:val="clear" w:color="auto" w:fill="F5F5F1"/>
            <w:textDirection w:val="btLr"/>
            <w:hideMark/>
          </w:tcPr>
          <w:p w14:paraId="52675AC2" w14:textId="77777777" w:rsidR="00FA5E66" w:rsidRPr="00BC3535" w:rsidRDefault="00FA5E66" w:rsidP="00752CF3">
            <w:pPr>
              <w:pStyle w:val="TableHeaderRow"/>
              <w:spacing w:before="0" w:line="240" w:lineRule="auto"/>
              <w:ind w:left="72" w:right="72"/>
            </w:pPr>
            <w:r w:rsidRPr="00BC3535">
              <w:t xml:space="preserve">Community skilled birth attendant (CSBA/ PCSBA) </w:t>
            </w:r>
          </w:p>
        </w:tc>
        <w:tc>
          <w:tcPr>
            <w:tcW w:w="656" w:type="pct"/>
            <w:vMerge/>
            <w:tcBorders>
              <w:bottom w:val="single" w:sz="12" w:space="0" w:color="auto"/>
            </w:tcBorders>
            <w:shd w:val="clear" w:color="auto" w:fill="F5F5F1"/>
            <w:hideMark/>
          </w:tcPr>
          <w:p w14:paraId="62119B04" w14:textId="77777777" w:rsidR="00FA5E66" w:rsidRPr="00BC3535" w:rsidRDefault="00FA5E66" w:rsidP="00D850DC">
            <w:pPr>
              <w:rPr>
                <w:rFonts w:asciiTheme="minorHAnsi" w:hAnsiTheme="minorHAnsi"/>
                <w:color w:val="000000"/>
              </w:rPr>
            </w:pPr>
          </w:p>
        </w:tc>
      </w:tr>
      <w:tr w:rsidR="00752CF3" w:rsidRPr="00BC3535" w14:paraId="702C954E" w14:textId="77777777" w:rsidTr="00752CF3">
        <w:trPr>
          <w:trHeight w:val="320"/>
          <w:tblHeader/>
        </w:trPr>
        <w:tc>
          <w:tcPr>
            <w:tcW w:w="1247" w:type="pct"/>
            <w:tcBorders>
              <w:top w:val="single" w:sz="12" w:space="0" w:color="auto"/>
              <w:bottom w:val="single" w:sz="12" w:space="0" w:color="auto"/>
            </w:tcBorders>
            <w:shd w:val="clear" w:color="auto" w:fill="F5F5F1"/>
            <w:noWrap/>
            <w:hideMark/>
          </w:tcPr>
          <w:p w14:paraId="16E07449" w14:textId="77777777" w:rsidR="00FA5E66" w:rsidRPr="00BC3535" w:rsidRDefault="00FA5E66" w:rsidP="00D850DC">
            <w:pPr>
              <w:rPr>
                <w:color w:val="000000"/>
              </w:rPr>
            </w:pPr>
            <w:r w:rsidRPr="00BC3535">
              <w:rPr>
                <w:color w:val="000000"/>
              </w:rPr>
              <w:t>Total</w:t>
            </w:r>
          </w:p>
        </w:tc>
        <w:tc>
          <w:tcPr>
            <w:tcW w:w="659" w:type="pct"/>
            <w:tcBorders>
              <w:top w:val="single" w:sz="12" w:space="0" w:color="auto"/>
              <w:bottom w:val="single" w:sz="12" w:space="0" w:color="auto"/>
            </w:tcBorders>
            <w:shd w:val="clear" w:color="auto" w:fill="F5F5F1"/>
            <w:noWrap/>
            <w:hideMark/>
          </w:tcPr>
          <w:p w14:paraId="3BD9D243" w14:textId="77777777" w:rsidR="00FA5E66" w:rsidRPr="00BC3535" w:rsidRDefault="00FA5E66" w:rsidP="00D850DC">
            <w:pPr>
              <w:rPr>
                <w:color w:val="000000"/>
              </w:rPr>
            </w:pPr>
            <w:r w:rsidRPr="00BC3535">
              <w:rPr>
                <w:color w:val="000000"/>
              </w:rPr>
              <w:t>43.3</w:t>
            </w:r>
          </w:p>
        </w:tc>
        <w:tc>
          <w:tcPr>
            <w:tcW w:w="580" w:type="pct"/>
            <w:tcBorders>
              <w:top w:val="single" w:sz="12" w:space="0" w:color="auto"/>
              <w:bottom w:val="single" w:sz="12" w:space="0" w:color="auto"/>
            </w:tcBorders>
            <w:shd w:val="clear" w:color="auto" w:fill="F5F5F1"/>
            <w:noWrap/>
            <w:hideMark/>
          </w:tcPr>
          <w:p w14:paraId="2E642198" w14:textId="77777777" w:rsidR="00FA5E66" w:rsidRPr="00BC3535" w:rsidRDefault="00FA5E66" w:rsidP="00D850DC">
            <w:pPr>
              <w:rPr>
                <w:color w:val="000000"/>
              </w:rPr>
            </w:pPr>
            <w:r w:rsidRPr="00BC3535">
              <w:rPr>
                <w:color w:val="000000"/>
              </w:rPr>
              <w:t>11.4</w:t>
            </w:r>
          </w:p>
        </w:tc>
        <w:tc>
          <w:tcPr>
            <w:tcW w:w="636" w:type="pct"/>
            <w:tcBorders>
              <w:top w:val="single" w:sz="12" w:space="0" w:color="auto"/>
              <w:bottom w:val="single" w:sz="12" w:space="0" w:color="auto"/>
            </w:tcBorders>
            <w:shd w:val="clear" w:color="auto" w:fill="F5F5F1"/>
            <w:noWrap/>
            <w:hideMark/>
          </w:tcPr>
          <w:p w14:paraId="5269821C" w14:textId="77777777" w:rsidR="00FA5E66" w:rsidRPr="00BC3535" w:rsidRDefault="00FA5E66" w:rsidP="00D850DC">
            <w:pPr>
              <w:rPr>
                <w:color w:val="000000"/>
              </w:rPr>
            </w:pPr>
            <w:r w:rsidRPr="00BC3535">
              <w:rPr>
                <w:color w:val="000000"/>
              </w:rPr>
              <w:t>0.2</w:t>
            </w:r>
          </w:p>
        </w:tc>
        <w:tc>
          <w:tcPr>
            <w:tcW w:w="609" w:type="pct"/>
            <w:tcBorders>
              <w:top w:val="single" w:sz="12" w:space="0" w:color="auto"/>
              <w:bottom w:val="single" w:sz="12" w:space="0" w:color="auto"/>
            </w:tcBorders>
            <w:shd w:val="clear" w:color="auto" w:fill="F5F5F1"/>
            <w:noWrap/>
            <w:hideMark/>
          </w:tcPr>
          <w:p w14:paraId="34B1475C" w14:textId="77777777" w:rsidR="00FA5E66" w:rsidRPr="00BC3535" w:rsidRDefault="00FA5E66" w:rsidP="00D850DC">
            <w:pPr>
              <w:rPr>
                <w:color w:val="000000"/>
              </w:rPr>
            </w:pPr>
            <w:r w:rsidRPr="00BC3535">
              <w:rPr>
                <w:color w:val="000000"/>
              </w:rPr>
              <w:t>0.9</w:t>
            </w:r>
          </w:p>
        </w:tc>
        <w:tc>
          <w:tcPr>
            <w:tcW w:w="613" w:type="pct"/>
            <w:tcBorders>
              <w:top w:val="single" w:sz="12" w:space="0" w:color="auto"/>
              <w:bottom w:val="single" w:sz="12" w:space="0" w:color="auto"/>
            </w:tcBorders>
            <w:shd w:val="clear" w:color="auto" w:fill="F5F5F1"/>
            <w:noWrap/>
            <w:hideMark/>
          </w:tcPr>
          <w:p w14:paraId="100B7070" w14:textId="77777777" w:rsidR="00FA5E66" w:rsidRPr="00BC3535" w:rsidRDefault="00FA5E66" w:rsidP="00D850DC">
            <w:pPr>
              <w:rPr>
                <w:color w:val="000000"/>
              </w:rPr>
            </w:pPr>
            <w:r w:rsidRPr="00BC3535">
              <w:rPr>
                <w:color w:val="000000"/>
              </w:rPr>
              <w:t>3.1</w:t>
            </w:r>
          </w:p>
        </w:tc>
        <w:tc>
          <w:tcPr>
            <w:tcW w:w="656" w:type="pct"/>
            <w:tcBorders>
              <w:top w:val="single" w:sz="12" w:space="0" w:color="auto"/>
              <w:bottom w:val="single" w:sz="12" w:space="0" w:color="auto"/>
            </w:tcBorders>
            <w:shd w:val="clear" w:color="auto" w:fill="F5F5F1"/>
            <w:noWrap/>
            <w:hideMark/>
          </w:tcPr>
          <w:p w14:paraId="21E52E43" w14:textId="77777777" w:rsidR="00FA5E66" w:rsidRPr="00BC3535" w:rsidRDefault="00FA5E66" w:rsidP="00D850DC">
            <w:pPr>
              <w:rPr>
                <w:color w:val="000000"/>
              </w:rPr>
            </w:pPr>
            <w:r w:rsidRPr="00BC3535">
              <w:rPr>
                <w:color w:val="000000"/>
              </w:rPr>
              <w:t>59.0</w:t>
            </w:r>
          </w:p>
        </w:tc>
      </w:tr>
      <w:tr w:rsidR="00FA5E66" w:rsidRPr="00BC3535" w14:paraId="451EAE2C" w14:textId="77777777" w:rsidTr="00AC0682">
        <w:trPr>
          <w:trHeight w:val="320"/>
          <w:tblHeader/>
        </w:trPr>
        <w:tc>
          <w:tcPr>
            <w:tcW w:w="5000" w:type="pct"/>
            <w:gridSpan w:val="7"/>
            <w:tcBorders>
              <w:top w:val="single" w:sz="12" w:space="0" w:color="auto"/>
              <w:bottom w:val="single" w:sz="12" w:space="0" w:color="auto"/>
            </w:tcBorders>
            <w:shd w:val="clear" w:color="auto" w:fill="F5F5F1"/>
            <w:noWrap/>
            <w:hideMark/>
          </w:tcPr>
          <w:p w14:paraId="7968D0C9" w14:textId="77777777" w:rsidR="00FA5E66" w:rsidRPr="00BC3535" w:rsidRDefault="00FA5E66" w:rsidP="00D850DC">
            <w:pPr>
              <w:rPr>
                <w:b/>
                <w:bCs/>
                <w:i/>
                <w:iCs/>
              </w:rPr>
            </w:pPr>
            <w:r w:rsidRPr="00BC3535">
              <w:rPr>
                <w:b/>
                <w:bCs/>
                <w:i/>
                <w:iCs/>
                <w:color w:val="000000"/>
              </w:rPr>
              <w:t>Age at most recent live birth</w:t>
            </w:r>
          </w:p>
        </w:tc>
      </w:tr>
      <w:tr w:rsidR="00752CF3" w:rsidRPr="00BC3535" w14:paraId="7A10744B" w14:textId="77777777" w:rsidTr="00752CF3">
        <w:trPr>
          <w:trHeight w:val="320"/>
          <w:tblHeader/>
        </w:trPr>
        <w:tc>
          <w:tcPr>
            <w:tcW w:w="1247" w:type="pct"/>
            <w:tcBorders>
              <w:top w:val="single" w:sz="12" w:space="0" w:color="auto"/>
            </w:tcBorders>
            <w:shd w:val="clear" w:color="auto" w:fill="F5F5F1"/>
            <w:noWrap/>
            <w:hideMark/>
          </w:tcPr>
          <w:p w14:paraId="450CB144" w14:textId="77777777" w:rsidR="00FA5E66" w:rsidRPr="00BC3535" w:rsidRDefault="00FA5E66" w:rsidP="00D850DC">
            <w:pPr>
              <w:rPr>
                <w:color w:val="000000"/>
              </w:rPr>
            </w:pPr>
            <w:r w:rsidRPr="00BC3535">
              <w:rPr>
                <w:color w:val="000000"/>
              </w:rPr>
              <w:t>Less than 20</w:t>
            </w:r>
          </w:p>
        </w:tc>
        <w:tc>
          <w:tcPr>
            <w:tcW w:w="659" w:type="pct"/>
            <w:tcBorders>
              <w:top w:val="single" w:sz="12" w:space="0" w:color="auto"/>
            </w:tcBorders>
            <w:shd w:val="clear" w:color="auto" w:fill="F5F5F1"/>
            <w:noWrap/>
            <w:hideMark/>
          </w:tcPr>
          <w:p w14:paraId="12F94B08" w14:textId="77777777" w:rsidR="00FA5E66" w:rsidRPr="00BC3535" w:rsidRDefault="00FA5E66" w:rsidP="00D850DC">
            <w:pPr>
              <w:rPr>
                <w:color w:val="000000"/>
              </w:rPr>
            </w:pPr>
            <w:r w:rsidRPr="00BC3535">
              <w:rPr>
                <w:color w:val="000000"/>
              </w:rPr>
              <w:t>43.5</w:t>
            </w:r>
          </w:p>
        </w:tc>
        <w:tc>
          <w:tcPr>
            <w:tcW w:w="580" w:type="pct"/>
            <w:tcBorders>
              <w:top w:val="single" w:sz="12" w:space="0" w:color="auto"/>
            </w:tcBorders>
            <w:shd w:val="clear" w:color="auto" w:fill="F5F5F1"/>
            <w:noWrap/>
            <w:hideMark/>
          </w:tcPr>
          <w:p w14:paraId="00C036C5" w14:textId="77777777" w:rsidR="00FA5E66" w:rsidRPr="00BC3535" w:rsidRDefault="00FA5E66" w:rsidP="00D850DC">
            <w:pPr>
              <w:rPr>
                <w:color w:val="000000"/>
              </w:rPr>
            </w:pPr>
            <w:r w:rsidRPr="00BC3535">
              <w:rPr>
                <w:color w:val="000000"/>
              </w:rPr>
              <w:t>13.3</w:t>
            </w:r>
          </w:p>
        </w:tc>
        <w:tc>
          <w:tcPr>
            <w:tcW w:w="636" w:type="pct"/>
            <w:tcBorders>
              <w:top w:val="single" w:sz="12" w:space="0" w:color="auto"/>
            </w:tcBorders>
            <w:shd w:val="clear" w:color="auto" w:fill="F5F5F1"/>
            <w:noWrap/>
            <w:hideMark/>
          </w:tcPr>
          <w:p w14:paraId="6901D445" w14:textId="77777777" w:rsidR="00FA5E66" w:rsidRPr="00BC3535" w:rsidRDefault="00FA5E66" w:rsidP="00D850DC">
            <w:pPr>
              <w:rPr>
                <w:color w:val="000000"/>
              </w:rPr>
            </w:pPr>
            <w:r w:rsidRPr="00BC3535">
              <w:rPr>
                <w:color w:val="000000"/>
              </w:rPr>
              <w:t>0.4</w:t>
            </w:r>
          </w:p>
        </w:tc>
        <w:tc>
          <w:tcPr>
            <w:tcW w:w="609" w:type="pct"/>
            <w:tcBorders>
              <w:top w:val="single" w:sz="12" w:space="0" w:color="auto"/>
            </w:tcBorders>
            <w:shd w:val="clear" w:color="auto" w:fill="F5F5F1"/>
            <w:noWrap/>
            <w:hideMark/>
          </w:tcPr>
          <w:p w14:paraId="06393775" w14:textId="77777777" w:rsidR="00FA5E66" w:rsidRPr="00BC3535" w:rsidRDefault="00FA5E66" w:rsidP="00D850DC">
            <w:pPr>
              <w:rPr>
                <w:color w:val="000000"/>
              </w:rPr>
            </w:pPr>
            <w:r w:rsidRPr="00BC3535">
              <w:rPr>
                <w:color w:val="000000"/>
              </w:rPr>
              <w:t>1.2</w:t>
            </w:r>
          </w:p>
        </w:tc>
        <w:tc>
          <w:tcPr>
            <w:tcW w:w="613" w:type="pct"/>
            <w:tcBorders>
              <w:top w:val="single" w:sz="12" w:space="0" w:color="auto"/>
            </w:tcBorders>
            <w:shd w:val="clear" w:color="auto" w:fill="F5F5F1"/>
            <w:noWrap/>
            <w:hideMark/>
          </w:tcPr>
          <w:p w14:paraId="5C114105" w14:textId="77777777" w:rsidR="00FA5E66" w:rsidRPr="00BC3535" w:rsidRDefault="00FA5E66" w:rsidP="00D850DC">
            <w:pPr>
              <w:rPr>
                <w:color w:val="000000"/>
              </w:rPr>
            </w:pPr>
            <w:r w:rsidRPr="00BC3535">
              <w:rPr>
                <w:color w:val="000000"/>
              </w:rPr>
              <w:t>4</w:t>
            </w:r>
          </w:p>
        </w:tc>
        <w:tc>
          <w:tcPr>
            <w:tcW w:w="656" w:type="pct"/>
            <w:tcBorders>
              <w:top w:val="single" w:sz="12" w:space="0" w:color="auto"/>
            </w:tcBorders>
            <w:shd w:val="clear" w:color="auto" w:fill="F5F5F1"/>
            <w:noWrap/>
            <w:hideMark/>
          </w:tcPr>
          <w:p w14:paraId="1CF83B87" w14:textId="77777777" w:rsidR="00FA5E66" w:rsidRPr="00BC3535" w:rsidRDefault="00FA5E66" w:rsidP="00D850DC">
            <w:pPr>
              <w:rPr>
                <w:color w:val="000000"/>
              </w:rPr>
            </w:pPr>
            <w:r w:rsidRPr="00BC3535">
              <w:rPr>
                <w:color w:val="000000"/>
              </w:rPr>
              <w:t>62.3</w:t>
            </w:r>
          </w:p>
        </w:tc>
      </w:tr>
      <w:tr w:rsidR="00752CF3" w:rsidRPr="00BC3535" w14:paraId="0DCBAF9D" w14:textId="77777777" w:rsidTr="00752CF3">
        <w:trPr>
          <w:trHeight w:val="320"/>
          <w:tblHeader/>
        </w:trPr>
        <w:tc>
          <w:tcPr>
            <w:tcW w:w="1247" w:type="pct"/>
            <w:shd w:val="clear" w:color="auto" w:fill="F5F5F1"/>
            <w:noWrap/>
            <w:hideMark/>
          </w:tcPr>
          <w:p w14:paraId="644A61AC" w14:textId="77777777" w:rsidR="00FA5E66" w:rsidRPr="00BC3535" w:rsidRDefault="00FA5E66" w:rsidP="00D850DC">
            <w:pPr>
              <w:rPr>
                <w:color w:val="000000"/>
              </w:rPr>
            </w:pPr>
            <w:r w:rsidRPr="00BC3535">
              <w:rPr>
                <w:color w:val="000000"/>
              </w:rPr>
              <w:t>20-34</w:t>
            </w:r>
          </w:p>
        </w:tc>
        <w:tc>
          <w:tcPr>
            <w:tcW w:w="659" w:type="pct"/>
            <w:shd w:val="clear" w:color="auto" w:fill="F5F5F1"/>
            <w:noWrap/>
            <w:hideMark/>
          </w:tcPr>
          <w:p w14:paraId="1491EA10" w14:textId="77777777" w:rsidR="00FA5E66" w:rsidRPr="00BC3535" w:rsidRDefault="00FA5E66" w:rsidP="00D850DC">
            <w:pPr>
              <w:rPr>
                <w:color w:val="000000"/>
              </w:rPr>
            </w:pPr>
            <w:r w:rsidRPr="00BC3535">
              <w:rPr>
                <w:color w:val="000000"/>
              </w:rPr>
              <w:t>44.4</w:t>
            </w:r>
          </w:p>
        </w:tc>
        <w:tc>
          <w:tcPr>
            <w:tcW w:w="580" w:type="pct"/>
            <w:shd w:val="clear" w:color="auto" w:fill="F5F5F1"/>
            <w:noWrap/>
            <w:hideMark/>
          </w:tcPr>
          <w:p w14:paraId="3CCD34D7" w14:textId="77777777" w:rsidR="00FA5E66" w:rsidRPr="00BC3535" w:rsidRDefault="00FA5E66" w:rsidP="00D850DC">
            <w:pPr>
              <w:rPr>
                <w:color w:val="000000"/>
              </w:rPr>
            </w:pPr>
            <w:r w:rsidRPr="00BC3535">
              <w:rPr>
                <w:color w:val="000000"/>
              </w:rPr>
              <w:t>11.1</w:t>
            </w:r>
          </w:p>
        </w:tc>
        <w:tc>
          <w:tcPr>
            <w:tcW w:w="636" w:type="pct"/>
            <w:shd w:val="clear" w:color="auto" w:fill="F5F5F1"/>
            <w:noWrap/>
            <w:hideMark/>
          </w:tcPr>
          <w:p w14:paraId="2770EB75" w14:textId="77777777" w:rsidR="00FA5E66" w:rsidRPr="00BC3535" w:rsidRDefault="00FA5E66" w:rsidP="00D850DC">
            <w:pPr>
              <w:rPr>
                <w:color w:val="000000"/>
              </w:rPr>
            </w:pPr>
            <w:r w:rsidRPr="00BC3535">
              <w:rPr>
                <w:color w:val="000000"/>
              </w:rPr>
              <w:t>0.2</w:t>
            </w:r>
          </w:p>
        </w:tc>
        <w:tc>
          <w:tcPr>
            <w:tcW w:w="609" w:type="pct"/>
            <w:shd w:val="clear" w:color="auto" w:fill="F5F5F1"/>
            <w:noWrap/>
            <w:hideMark/>
          </w:tcPr>
          <w:p w14:paraId="3205A8B1" w14:textId="77777777" w:rsidR="00FA5E66" w:rsidRPr="00BC3535" w:rsidRDefault="00FA5E66" w:rsidP="00D850DC">
            <w:pPr>
              <w:rPr>
                <w:color w:val="000000"/>
              </w:rPr>
            </w:pPr>
            <w:r w:rsidRPr="00BC3535">
              <w:rPr>
                <w:color w:val="000000"/>
              </w:rPr>
              <w:t>0.8</w:t>
            </w:r>
          </w:p>
        </w:tc>
        <w:tc>
          <w:tcPr>
            <w:tcW w:w="613" w:type="pct"/>
            <w:shd w:val="clear" w:color="auto" w:fill="F5F5F1"/>
            <w:noWrap/>
            <w:hideMark/>
          </w:tcPr>
          <w:p w14:paraId="1E256931" w14:textId="77777777" w:rsidR="00FA5E66" w:rsidRPr="00BC3535" w:rsidRDefault="00FA5E66" w:rsidP="00D850DC">
            <w:pPr>
              <w:rPr>
                <w:color w:val="000000"/>
              </w:rPr>
            </w:pPr>
            <w:r w:rsidRPr="00BC3535">
              <w:rPr>
                <w:color w:val="000000"/>
              </w:rPr>
              <w:t>2.9</w:t>
            </w:r>
          </w:p>
        </w:tc>
        <w:tc>
          <w:tcPr>
            <w:tcW w:w="656" w:type="pct"/>
            <w:shd w:val="clear" w:color="auto" w:fill="F5F5F1"/>
            <w:noWrap/>
            <w:hideMark/>
          </w:tcPr>
          <w:p w14:paraId="1C413CF1" w14:textId="77777777" w:rsidR="00FA5E66" w:rsidRPr="00BC3535" w:rsidRDefault="00FA5E66" w:rsidP="00D850DC">
            <w:pPr>
              <w:rPr>
                <w:color w:val="000000"/>
              </w:rPr>
            </w:pPr>
            <w:r w:rsidRPr="00BC3535">
              <w:rPr>
                <w:color w:val="000000"/>
              </w:rPr>
              <w:t>59.4</w:t>
            </w:r>
          </w:p>
        </w:tc>
      </w:tr>
      <w:tr w:rsidR="00752CF3" w:rsidRPr="00BC3535" w14:paraId="72040BAF" w14:textId="77777777" w:rsidTr="00752CF3">
        <w:trPr>
          <w:trHeight w:val="320"/>
          <w:tblHeader/>
        </w:trPr>
        <w:tc>
          <w:tcPr>
            <w:tcW w:w="1247" w:type="pct"/>
            <w:tcBorders>
              <w:bottom w:val="single" w:sz="12" w:space="0" w:color="auto"/>
            </w:tcBorders>
            <w:shd w:val="clear" w:color="auto" w:fill="F5F5F1"/>
            <w:noWrap/>
            <w:hideMark/>
          </w:tcPr>
          <w:p w14:paraId="5A1CC724" w14:textId="77777777" w:rsidR="00FA5E66" w:rsidRPr="00BC3535" w:rsidRDefault="00FA5E66" w:rsidP="00D850DC">
            <w:pPr>
              <w:rPr>
                <w:color w:val="000000"/>
              </w:rPr>
            </w:pPr>
            <w:r w:rsidRPr="00BC3535">
              <w:rPr>
                <w:color w:val="000000"/>
              </w:rPr>
              <w:t>35-49</w:t>
            </w:r>
          </w:p>
        </w:tc>
        <w:tc>
          <w:tcPr>
            <w:tcW w:w="659" w:type="pct"/>
            <w:tcBorders>
              <w:bottom w:val="single" w:sz="12" w:space="0" w:color="auto"/>
            </w:tcBorders>
            <w:shd w:val="clear" w:color="auto" w:fill="F5F5F1"/>
            <w:noWrap/>
            <w:hideMark/>
          </w:tcPr>
          <w:p w14:paraId="1D109742" w14:textId="77777777" w:rsidR="00FA5E66" w:rsidRPr="00BC3535" w:rsidRDefault="00FA5E66" w:rsidP="00D850DC">
            <w:pPr>
              <w:rPr>
                <w:color w:val="000000"/>
              </w:rPr>
            </w:pPr>
            <w:r w:rsidRPr="00BC3535">
              <w:rPr>
                <w:color w:val="000000"/>
              </w:rPr>
              <w:t>32.5</w:t>
            </w:r>
          </w:p>
        </w:tc>
        <w:tc>
          <w:tcPr>
            <w:tcW w:w="580" w:type="pct"/>
            <w:tcBorders>
              <w:bottom w:val="single" w:sz="12" w:space="0" w:color="auto"/>
            </w:tcBorders>
            <w:shd w:val="clear" w:color="auto" w:fill="F5F5F1"/>
            <w:noWrap/>
            <w:hideMark/>
          </w:tcPr>
          <w:p w14:paraId="20877706" w14:textId="77777777" w:rsidR="00FA5E66" w:rsidRPr="00BC3535" w:rsidRDefault="00FA5E66" w:rsidP="00D850DC">
            <w:pPr>
              <w:rPr>
                <w:color w:val="000000"/>
              </w:rPr>
            </w:pPr>
            <w:r w:rsidRPr="00BC3535">
              <w:rPr>
                <w:color w:val="000000"/>
              </w:rPr>
              <w:t>9.0</w:t>
            </w:r>
          </w:p>
        </w:tc>
        <w:tc>
          <w:tcPr>
            <w:tcW w:w="636" w:type="pct"/>
            <w:tcBorders>
              <w:bottom w:val="single" w:sz="12" w:space="0" w:color="auto"/>
            </w:tcBorders>
            <w:shd w:val="clear" w:color="auto" w:fill="F5F5F1"/>
            <w:noWrap/>
            <w:hideMark/>
          </w:tcPr>
          <w:p w14:paraId="07EDF5ED" w14:textId="77777777" w:rsidR="00FA5E66" w:rsidRPr="00BC3535" w:rsidRDefault="00FA5E66" w:rsidP="00D850DC">
            <w:pPr>
              <w:rPr>
                <w:color w:val="000000"/>
              </w:rPr>
            </w:pPr>
            <w:r w:rsidRPr="00BC3535">
              <w:rPr>
                <w:color w:val="000000"/>
              </w:rPr>
              <w:t>0.2</w:t>
            </w:r>
          </w:p>
        </w:tc>
        <w:tc>
          <w:tcPr>
            <w:tcW w:w="609" w:type="pct"/>
            <w:tcBorders>
              <w:bottom w:val="single" w:sz="12" w:space="0" w:color="auto"/>
            </w:tcBorders>
            <w:shd w:val="clear" w:color="auto" w:fill="F5F5F1"/>
            <w:noWrap/>
            <w:hideMark/>
          </w:tcPr>
          <w:p w14:paraId="4F004948" w14:textId="77777777" w:rsidR="00FA5E66" w:rsidRPr="00BC3535" w:rsidRDefault="00FA5E66" w:rsidP="00D850DC">
            <w:pPr>
              <w:rPr>
                <w:color w:val="000000"/>
              </w:rPr>
            </w:pPr>
            <w:r w:rsidRPr="00BC3535">
              <w:rPr>
                <w:color w:val="000000"/>
              </w:rPr>
              <w:t>0.8</w:t>
            </w:r>
          </w:p>
        </w:tc>
        <w:tc>
          <w:tcPr>
            <w:tcW w:w="613" w:type="pct"/>
            <w:tcBorders>
              <w:bottom w:val="single" w:sz="12" w:space="0" w:color="auto"/>
            </w:tcBorders>
            <w:shd w:val="clear" w:color="auto" w:fill="F5F5F1"/>
            <w:noWrap/>
            <w:hideMark/>
          </w:tcPr>
          <w:p w14:paraId="5908343C" w14:textId="77777777" w:rsidR="00FA5E66" w:rsidRPr="00BC3535" w:rsidRDefault="00FA5E66" w:rsidP="00D850DC">
            <w:pPr>
              <w:rPr>
                <w:color w:val="000000"/>
              </w:rPr>
            </w:pPr>
            <w:r w:rsidRPr="00BC3535">
              <w:rPr>
                <w:color w:val="000000"/>
              </w:rPr>
              <w:t>2.5</w:t>
            </w:r>
          </w:p>
        </w:tc>
        <w:tc>
          <w:tcPr>
            <w:tcW w:w="656" w:type="pct"/>
            <w:tcBorders>
              <w:bottom w:val="single" w:sz="12" w:space="0" w:color="auto"/>
            </w:tcBorders>
            <w:shd w:val="clear" w:color="auto" w:fill="F5F5F1"/>
            <w:noWrap/>
            <w:hideMark/>
          </w:tcPr>
          <w:p w14:paraId="2AC8BCE9" w14:textId="77777777" w:rsidR="00FA5E66" w:rsidRPr="00BC3535" w:rsidRDefault="00FA5E66" w:rsidP="00D850DC">
            <w:pPr>
              <w:rPr>
                <w:color w:val="000000"/>
              </w:rPr>
            </w:pPr>
            <w:r w:rsidRPr="00BC3535">
              <w:rPr>
                <w:color w:val="000000"/>
              </w:rPr>
              <w:t>45.0</w:t>
            </w:r>
          </w:p>
        </w:tc>
      </w:tr>
      <w:tr w:rsidR="00FA5E66" w:rsidRPr="00BC3535" w14:paraId="021A913C" w14:textId="77777777" w:rsidTr="00093D0B">
        <w:trPr>
          <w:trHeight w:val="320"/>
          <w:tblHeader/>
        </w:trPr>
        <w:tc>
          <w:tcPr>
            <w:tcW w:w="5000" w:type="pct"/>
            <w:gridSpan w:val="7"/>
            <w:tcBorders>
              <w:top w:val="single" w:sz="12" w:space="0" w:color="auto"/>
              <w:bottom w:val="single" w:sz="12" w:space="0" w:color="auto"/>
            </w:tcBorders>
            <w:shd w:val="clear" w:color="auto" w:fill="F5F5F1"/>
            <w:noWrap/>
            <w:hideMark/>
          </w:tcPr>
          <w:p w14:paraId="20413EFF" w14:textId="77777777" w:rsidR="00FA5E66" w:rsidRPr="00BC3535" w:rsidRDefault="00FA5E66" w:rsidP="00D850DC">
            <w:pPr>
              <w:rPr>
                <w:b/>
                <w:bCs/>
                <w:i/>
                <w:iCs/>
              </w:rPr>
            </w:pPr>
            <w:r w:rsidRPr="00BC3535">
              <w:rPr>
                <w:b/>
                <w:bCs/>
                <w:i/>
                <w:iCs/>
                <w:color w:val="000000"/>
              </w:rPr>
              <w:t>Functional difficulties (age 18-49)</w:t>
            </w:r>
          </w:p>
        </w:tc>
      </w:tr>
      <w:tr w:rsidR="00752CF3" w:rsidRPr="00BC3535" w14:paraId="6F5FBD94" w14:textId="77777777" w:rsidTr="00752CF3">
        <w:trPr>
          <w:trHeight w:val="320"/>
          <w:tblHeader/>
        </w:trPr>
        <w:tc>
          <w:tcPr>
            <w:tcW w:w="1247" w:type="pct"/>
            <w:tcBorders>
              <w:top w:val="single" w:sz="12" w:space="0" w:color="auto"/>
              <w:bottom w:val="single" w:sz="12" w:space="0" w:color="auto"/>
            </w:tcBorders>
            <w:shd w:val="clear" w:color="auto" w:fill="F5F5F1"/>
            <w:noWrap/>
            <w:hideMark/>
          </w:tcPr>
          <w:p w14:paraId="5042610B" w14:textId="77777777" w:rsidR="00FA5E66" w:rsidRPr="00BC3535" w:rsidRDefault="00FA5E66" w:rsidP="00D850DC">
            <w:pPr>
              <w:rPr>
                <w:color w:val="000000"/>
              </w:rPr>
            </w:pPr>
            <w:r w:rsidRPr="00BC3535">
              <w:rPr>
                <w:color w:val="000000"/>
              </w:rPr>
              <w:t>Has functional difficulty</w:t>
            </w:r>
          </w:p>
        </w:tc>
        <w:tc>
          <w:tcPr>
            <w:tcW w:w="659" w:type="pct"/>
            <w:tcBorders>
              <w:top w:val="single" w:sz="12" w:space="0" w:color="auto"/>
              <w:bottom w:val="single" w:sz="12" w:space="0" w:color="auto"/>
            </w:tcBorders>
            <w:shd w:val="clear" w:color="auto" w:fill="F5F5F1"/>
            <w:noWrap/>
            <w:hideMark/>
          </w:tcPr>
          <w:p w14:paraId="1D91D052" w14:textId="77777777" w:rsidR="00FA5E66" w:rsidRPr="00BC3535" w:rsidRDefault="00FA5E66" w:rsidP="00D850DC">
            <w:pPr>
              <w:rPr>
                <w:color w:val="000000"/>
              </w:rPr>
            </w:pPr>
            <w:r w:rsidRPr="00BC3535">
              <w:rPr>
                <w:color w:val="000000"/>
              </w:rPr>
              <w:t>40.2</w:t>
            </w:r>
          </w:p>
        </w:tc>
        <w:tc>
          <w:tcPr>
            <w:tcW w:w="580" w:type="pct"/>
            <w:tcBorders>
              <w:top w:val="single" w:sz="12" w:space="0" w:color="auto"/>
              <w:bottom w:val="single" w:sz="12" w:space="0" w:color="auto"/>
            </w:tcBorders>
            <w:shd w:val="clear" w:color="auto" w:fill="F5F5F1"/>
            <w:noWrap/>
            <w:hideMark/>
          </w:tcPr>
          <w:p w14:paraId="7DF1A4CA" w14:textId="77777777" w:rsidR="00FA5E66" w:rsidRPr="00BC3535" w:rsidRDefault="00FA5E66" w:rsidP="00D850DC">
            <w:pPr>
              <w:rPr>
                <w:color w:val="000000"/>
              </w:rPr>
            </w:pPr>
            <w:r w:rsidRPr="00BC3535">
              <w:rPr>
                <w:color w:val="000000"/>
              </w:rPr>
              <w:t>7.7</w:t>
            </w:r>
          </w:p>
        </w:tc>
        <w:tc>
          <w:tcPr>
            <w:tcW w:w="636" w:type="pct"/>
            <w:tcBorders>
              <w:top w:val="single" w:sz="12" w:space="0" w:color="auto"/>
              <w:bottom w:val="single" w:sz="12" w:space="0" w:color="auto"/>
            </w:tcBorders>
            <w:shd w:val="clear" w:color="auto" w:fill="F5F5F1"/>
            <w:noWrap/>
            <w:hideMark/>
          </w:tcPr>
          <w:p w14:paraId="3A4BD2C4" w14:textId="77777777" w:rsidR="00FA5E66" w:rsidRPr="00BC3535" w:rsidRDefault="00FA5E66" w:rsidP="00D850DC">
            <w:pPr>
              <w:rPr>
                <w:color w:val="000000"/>
              </w:rPr>
            </w:pPr>
            <w:r w:rsidRPr="00BC3535">
              <w:rPr>
                <w:color w:val="000000"/>
              </w:rPr>
              <w:t>0.7</w:t>
            </w:r>
          </w:p>
        </w:tc>
        <w:tc>
          <w:tcPr>
            <w:tcW w:w="609" w:type="pct"/>
            <w:tcBorders>
              <w:top w:val="single" w:sz="12" w:space="0" w:color="auto"/>
              <w:bottom w:val="single" w:sz="12" w:space="0" w:color="auto"/>
            </w:tcBorders>
            <w:shd w:val="clear" w:color="auto" w:fill="F5F5F1"/>
            <w:noWrap/>
            <w:hideMark/>
          </w:tcPr>
          <w:p w14:paraId="09E18CF0" w14:textId="77777777" w:rsidR="00FA5E66" w:rsidRPr="00BC3535" w:rsidRDefault="00FA5E66" w:rsidP="00D850DC">
            <w:pPr>
              <w:rPr>
                <w:color w:val="000000"/>
              </w:rPr>
            </w:pPr>
            <w:r w:rsidRPr="00BC3535">
              <w:rPr>
                <w:color w:val="000000"/>
              </w:rPr>
              <w:t>1.9</w:t>
            </w:r>
          </w:p>
        </w:tc>
        <w:tc>
          <w:tcPr>
            <w:tcW w:w="613" w:type="pct"/>
            <w:tcBorders>
              <w:top w:val="single" w:sz="12" w:space="0" w:color="auto"/>
              <w:bottom w:val="single" w:sz="12" w:space="0" w:color="auto"/>
            </w:tcBorders>
            <w:shd w:val="clear" w:color="auto" w:fill="F5F5F1"/>
            <w:noWrap/>
            <w:hideMark/>
          </w:tcPr>
          <w:p w14:paraId="2CE87D99" w14:textId="77777777" w:rsidR="00FA5E66" w:rsidRPr="00BC3535" w:rsidRDefault="00FA5E66" w:rsidP="00D850DC">
            <w:pPr>
              <w:rPr>
                <w:color w:val="000000"/>
              </w:rPr>
            </w:pPr>
            <w:r w:rsidRPr="00BC3535">
              <w:rPr>
                <w:color w:val="000000"/>
              </w:rPr>
              <w:t>2.5</w:t>
            </w:r>
          </w:p>
        </w:tc>
        <w:tc>
          <w:tcPr>
            <w:tcW w:w="656" w:type="pct"/>
            <w:tcBorders>
              <w:top w:val="single" w:sz="12" w:space="0" w:color="auto"/>
              <w:bottom w:val="single" w:sz="12" w:space="0" w:color="auto"/>
            </w:tcBorders>
            <w:shd w:val="clear" w:color="auto" w:fill="F5F5F1"/>
            <w:noWrap/>
            <w:hideMark/>
          </w:tcPr>
          <w:p w14:paraId="6E272913" w14:textId="77777777" w:rsidR="00FA5E66" w:rsidRPr="00BC3535" w:rsidRDefault="00FA5E66" w:rsidP="00D850DC">
            <w:pPr>
              <w:rPr>
                <w:color w:val="000000"/>
              </w:rPr>
            </w:pPr>
            <w:r w:rsidRPr="00BC3535">
              <w:rPr>
                <w:color w:val="000000"/>
              </w:rPr>
              <w:t>53.1</w:t>
            </w:r>
          </w:p>
        </w:tc>
      </w:tr>
      <w:tr w:rsidR="00752CF3" w:rsidRPr="00BC3535" w14:paraId="6E9592F9" w14:textId="77777777" w:rsidTr="00752CF3">
        <w:trPr>
          <w:trHeight w:val="320"/>
          <w:tblHeader/>
        </w:trPr>
        <w:tc>
          <w:tcPr>
            <w:tcW w:w="1247" w:type="pct"/>
            <w:tcBorders>
              <w:top w:val="single" w:sz="12" w:space="0" w:color="auto"/>
              <w:bottom w:val="single" w:sz="12" w:space="0" w:color="auto"/>
            </w:tcBorders>
            <w:shd w:val="clear" w:color="auto" w:fill="F5F5F1"/>
            <w:noWrap/>
            <w:hideMark/>
          </w:tcPr>
          <w:p w14:paraId="46F8C463" w14:textId="77777777" w:rsidR="00FA5E66" w:rsidRPr="00BC3535" w:rsidRDefault="00FA5E66" w:rsidP="00D850DC">
            <w:pPr>
              <w:rPr>
                <w:color w:val="000000"/>
              </w:rPr>
            </w:pPr>
            <w:r w:rsidRPr="00BC3535">
              <w:rPr>
                <w:color w:val="000000"/>
              </w:rPr>
              <w:t>Has no functional difficulty</w:t>
            </w:r>
          </w:p>
        </w:tc>
        <w:tc>
          <w:tcPr>
            <w:tcW w:w="659" w:type="pct"/>
            <w:tcBorders>
              <w:top w:val="single" w:sz="12" w:space="0" w:color="auto"/>
              <w:bottom w:val="single" w:sz="12" w:space="0" w:color="auto"/>
            </w:tcBorders>
            <w:shd w:val="clear" w:color="auto" w:fill="F5F5F1"/>
            <w:noWrap/>
            <w:hideMark/>
          </w:tcPr>
          <w:p w14:paraId="5092D9EA" w14:textId="77777777" w:rsidR="00FA5E66" w:rsidRPr="00BC3535" w:rsidRDefault="00FA5E66" w:rsidP="00D850DC">
            <w:pPr>
              <w:rPr>
                <w:color w:val="000000"/>
              </w:rPr>
            </w:pPr>
            <w:r w:rsidRPr="00BC3535">
              <w:rPr>
                <w:color w:val="000000"/>
              </w:rPr>
              <w:t>43.3</w:t>
            </w:r>
          </w:p>
        </w:tc>
        <w:tc>
          <w:tcPr>
            <w:tcW w:w="580" w:type="pct"/>
            <w:tcBorders>
              <w:top w:val="single" w:sz="12" w:space="0" w:color="auto"/>
              <w:bottom w:val="single" w:sz="12" w:space="0" w:color="auto"/>
            </w:tcBorders>
            <w:shd w:val="clear" w:color="auto" w:fill="F5F5F1"/>
            <w:noWrap/>
            <w:hideMark/>
          </w:tcPr>
          <w:p w14:paraId="2CBEB895" w14:textId="77777777" w:rsidR="00FA5E66" w:rsidRPr="00BC3535" w:rsidRDefault="00FA5E66" w:rsidP="00D850DC">
            <w:pPr>
              <w:rPr>
                <w:color w:val="000000"/>
              </w:rPr>
            </w:pPr>
            <w:r w:rsidRPr="00BC3535">
              <w:rPr>
                <w:color w:val="000000"/>
              </w:rPr>
              <w:t>11.5</w:t>
            </w:r>
          </w:p>
        </w:tc>
        <w:tc>
          <w:tcPr>
            <w:tcW w:w="636" w:type="pct"/>
            <w:tcBorders>
              <w:top w:val="single" w:sz="12" w:space="0" w:color="auto"/>
              <w:bottom w:val="single" w:sz="12" w:space="0" w:color="auto"/>
            </w:tcBorders>
            <w:shd w:val="clear" w:color="auto" w:fill="F5F5F1"/>
            <w:noWrap/>
            <w:hideMark/>
          </w:tcPr>
          <w:p w14:paraId="2BBBE60D" w14:textId="77777777" w:rsidR="00FA5E66" w:rsidRPr="00BC3535" w:rsidRDefault="00FA5E66" w:rsidP="00D850DC">
            <w:pPr>
              <w:rPr>
                <w:color w:val="000000"/>
              </w:rPr>
            </w:pPr>
            <w:r w:rsidRPr="00BC3535">
              <w:rPr>
                <w:color w:val="000000"/>
              </w:rPr>
              <w:t>0.2</w:t>
            </w:r>
          </w:p>
        </w:tc>
        <w:tc>
          <w:tcPr>
            <w:tcW w:w="609" w:type="pct"/>
            <w:tcBorders>
              <w:top w:val="single" w:sz="12" w:space="0" w:color="auto"/>
              <w:bottom w:val="single" w:sz="12" w:space="0" w:color="auto"/>
            </w:tcBorders>
            <w:shd w:val="clear" w:color="auto" w:fill="F5F5F1"/>
            <w:noWrap/>
            <w:hideMark/>
          </w:tcPr>
          <w:p w14:paraId="627543DB" w14:textId="77777777" w:rsidR="00FA5E66" w:rsidRPr="00BC3535" w:rsidRDefault="00FA5E66" w:rsidP="00D850DC">
            <w:pPr>
              <w:rPr>
                <w:color w:val="000000"/>
              </w:rPr>
            </w:pPr>
            <w:r w:rsidRPr="00BC3535">
              <w:rPr>
                <w:color w:val="000000"/>
              </w:rPr>
              <w:t>0.8</w:t>
            </w:r>
          </w:p>
        </w:tc>
        <w:tc>
          <w:tcPr>
            <w:tcW w:w="613" w:type="pct"/>
            <w:tcBorders>
              <w:top w:val="single" w:sz="12" w:space="0" w:color="auto"/>
              <w:bottom w:val="single" w:sz="12" w:space="0" w:color="auto"/>
            </w:tcBorders>
            <w:shd w:val="clear" w:color="auto" w:fill="F5F5F1"/>
            <w:noWrap/>
            <w:hideMark/>
          </w:tcPr>
          <w:p w14:paraId="47B91F2C" w14:textId="77777777" w:rsidR="00FA5E66" w:rsidRPr="00BC3535" w:rsidRDefault="00FA5E66" w:rsidP="00D850DC">
            <w:pPr>
              <w:rPr>
                <w:color w:val="000000"/>
              </w:rPr>
            </w:pPr>
            <w:r w:rsidRPr="00BC3535">
              <w:rPr>
                <w:color w:val="000000"/>
              </w:rPr>
              <w:t>3.1</w:t>
            </w:r>
          </w:p>
        </w:tc>
        <w:tc>
          <w:tcPr>
            <w:tcW w:w="656" w:type="pct"/>
            <w:tcBorders>
              <w:top w:val="single" w:sz="12" w:space="0" w:color="auto"/>
              <w:bottom w:val="single" w:sz="12" w:space="0" w:color="auto"/>
            </w:tcBorders>
            <w:shd w:val="clear" w:color="auto" w:fill="F5F5F1"/>
            <w:noWrap/>
            <w:hideMark/>
          </w:tcPr>
          <w:p w14:paraId="23EDA311" w14:textId="77777777" w:rsidR="00FA5E66" w:rsidRPr="00BC3535" w:rsidRDefault="00FA5E66" w:rsidP="00D850DC">
            <w:pPr>
              <w:rPr>
                <w:color w:val="000000"/>
              </w:rPr>
            </w:pPr>
            <w:r w:rsidRPr="00BC3535">
              <w:rPr>
                <w:color w:val="000000"/>
              </w:rPr>
              <w:t>58.9</w:t>
            </w:r>
          </w:p>
        </w:tc>
      </w:tr>
      <w:tr w:rsidR="00FA5E66" w:rsidRPr="00BC3535" w14:paraId="1F595BAB" w14:textId="77777777" w:rsidTr="00AC0682">
        <w:trPr>
          <w:trHeight w:val="320"/>
          <w:tblHeader/>
        </w:trPr>
        <w:tc>
          <w:tcPr>
            <w:tcW w:w="5000" w:type="pct"/>
            <w:gridSpan w:val="7"/>
            <w:tcBorders>
              <w:top w:val="single" w:sz="12" w:space="0" w:color="auto"/>
            </w:tcBorders>
            <w:noWrap/>
          </w:tcPr>
          <w:p w14:paraId="7B344574" w14:textId="35417D6B" w:rsidR="00FA5E66" w:rsidRPr="00BC3535" w:rsidRDefault="00FA5E66" w:rsidP="00D850DC">
            <w:pPr>
              <w:rPr>
                <w:color w:val="000000"/>
                <w:sz w:val="18"/>
                <w:szCs w:val="18"/>
              </w:rPr>
            </w:pPr>
            <w:r w:rsidRPr="00BC3535">
              <w:rPr>
                <w:i/>
                <w:iCs/>
                <w:color w:val="000000"/>
                <w:sz w:val="18"/>
                <w:szCs w:val="18"/>
              </w:rPr>
              <w:t>Source</w:t>
            </w:r>
            <w:r w:rsidRPr="00BC3535">
              <w:rPr>
                <w:color w:val="000000"/>
                <w:sz w:val="18"/>
                <w:szCs w:val="18"/>
              </w:rPr>
              <w:t xml:space="preserve">: Bangladesh Bureau of Statistics and UNICEF Bangladesh, </w:t>
            </w:r>
            <w:proofErr w:type="spellStart"/>
            <w:r w:rsidRPr="00BC3535">
              <w:rPr>
                <w:i/>
                <w:iCs/>
                <w:color w:val="000000"/>
                <w:sz w:val="18"/>
                <w:szCs w:val="18"/>
              </w:rPr>
              <w:t>Progotir</w:t>
            </w:r>
            <w:proofErr w:type="spellEnd"/>
            <w:r w:rsidRPr="00BC3535">
              <w:rPr>
                <w:i/>
                <w:iCs/>
                <w:color w:val="000000"/>
                <w:sz w:val="18"/>
                <w:szCs w:val="18"/>
              </w:rPr>
              <w:t xml:space="preserve"> </w:t>
            </w:r>
            <w:proofErr w:type="spellStart"/>
            <w:r w:rsidRPr="00BC3535">
              <w:rPr>
                <w:i/>
                <w:iCs/>
                <w:color w:val="000000"/>
                <w:sz w:val="18"/>
                <w:szCs w:val="18"/>
              </w:rPr>
              <w:t>Pathey</w:t>
            </w:r>
            <w:proofErr w:type="spellEnd"/>
            <w:r w:rsidRPr="00BC3535">
              <w:rPr>
                <w:i/>
                <w:iCs/>
                <w:color w:val="000000"/>
                <w:sz w:val="18"/>
                <w:szCs w:val="18"/>
              </w:rPr>
              <w:t>, Bangladesh Multiple Indicator Cluster Survey 2019, Survey Findings Report</w:t>
            </w:r>
            <w:r w:rsidRPr="00BC3535">
              <w:rPr>
                <w:color w:val="000000"/>
                <w:sz w:val="18"/>
                <w:szCs w:val="18"/>
              </w:rPr>
              <w:t xml:space="preserve"> (Dhaka, Bangladesh, 2019), p. 115</w:t>
            </w:r>
          </w:p>
        </w:tc>
      </w:tr>
    </w:tbl>
    <w:p w14:paraId="421E7195" w14:textId="77777777" w:rsidR="00FA5E66" w:rsidRPr="00BC3535" w:rsidRDefault="00FA5E66" w:rsidP="00093D0B">
      <w:pPr>
        <w:pStyle w:val="Heading2"/>
        <w:rPr>
          <w:rFonts w:eastAsiaTheme="majorEastAsia"/>
        </w:rPr>
      </w:pPr>
      <w:r w:rsidRPr="00BC3535">
        <w:rPr>
          <w:rFonts w:eastAsiaTheme="majorEastAsia"/>
        </w:rPr>
        <w:lastRenderedPageBreak/>
        <w:t>25.29 Proportion of women and girls who make their own informed decisions regarding sexual relations, contraceptive use and reproductive health care (based on SDG indicator 5.6.1) by age and disability.</w:t>
      </w:r>
    </w:p>
    <w:p w14:paraId="62A4A622" w14:textId="77777777" w:rsidR="00FA5E66" w:rsidRPr="00BC3535" w:rsidRDefault="00FA5E66" w:rsidP="00093D0B">
      <w:pPr>
        <w:pStyle w:val="Heading4"/>
        <w:rPr>
          <w:rFonts w:eastAsiaTheme="majorEastAsia"/>
        </w:rPr>
      </w:pPr>
      <w:r w:rsidRPr="00BC3535">
        <w:rPr>
          <w:rFonts w:eastAsiaTheme="majorEastAsia"/>
        </w:rPr>
        <w:t>Level 1: Indicator for which data are already being produced and reported on in at least some countries.</w:t>
      </w:r>
    </w:p>
    <w:p w14:paraId="50C7DDF0" w14:textId="2F066F2A" w:rsidR="00FA5E66" w:rsidRPr="00BC3535" w:rsidRDefault="009F6205" w:rsidP="00D850DC">
      <w:pPr>
        <w:rPr>
          <w:iCs/>
          <w:color w:val="000000"/>
          <w:lang w:eastAsia="fr-FR"/>
        </w:rPr>
      </w:pPr>
      <w:hyperlink r:id="rId37" w:history="1">
        <w:r w:rsidR="007C2B91" w:rsidRPr="00BC3535">
          <w:rPr>
            <w:rStyle w:val="Hyperlink"/>
            <w:rFonts w:cstheme="minorHAnsi"/>
            <w:lang w:eastAsia="en-GB"/>
          </w:rPr>
          <w:t>Link to the metadata related to this SDG indicator</w:t>
        </w:r>
      </w:hyperlink>
    </w:p>
    <w:p w14:paraId="2BDDF18B" w14:textId="6324497C" w:rsidR="00280323" w:rsidRPr="00BC3535" w:rsidRDefault="00280323" w:rsidP="00280323">
      <w:pPr>
        <w:rPr>
          <w:lang w:eastAsia="en-GB"/>
        </w:rPr>
      </w:pPr>
      <w:r w:rsidRPr="00BC3535">
        <w:rPr>
          <w:lang w:eastAsia="en-GB"/>
        </w:rPr>
        <w:t>According to the metadata:</w:t>
      </w:r>
    </w:p>
    <w:p w14:paraId="1E9A1815" w14:textId="78653508" w:rsidR="00FA5E66" w:rsidRPr="00BC3535" w:rsidRDefault="00280323" w:rsidP="00752CF3">
      <w:pPr>
        <w:ind w:left="360"/>
        <w:rPr>
          <w:i/>
          <w:lang w:eastAsia="en-GB"/>
        </w:rPr>
      </w:pPr>
      <w:r w:rsidRPr="00BC3535">
        <w:rPr>
          <w:lang w:eastAsia="en-GB"/>
        </w:rPr>
        <w:t>“</w:t>
      </w:r>
      <w:r w:rsidR="00FA5E66" w:rsidRPr="00BC3535">
        <w:rPr>
          <w:i/>
          <w:lang w:eastAsia="en-GB"/>
        </w:rPr>
        <w:t>Current data on the indicator are mainly derived from nationally representative DHS. Data sources increasingly include MICS and GGS, and other country-specific surveys.</w:t>
      </w:r>
    </w:p>
    <w:p w14:paraId="189A9394" w14:textId="77777777" w:rsidR="00FA5E66" w:rsidRPr="00BC3535" w:rsidRDefault="00FA5E66" w:rsidP="00752CF3">
      <w:pPr>
        <w:ind w:left="360"/>
        <w:rPr>
          <w:i/>
          <w:lang w:eastAsia="en-GB"/>
        </w:rPr>
      </w:pPr>
      <w:r w:rsidRPr="00BC3535">
        <w:rPr>
          <w:i/>
          <w:lang w:eastAsia="en-GB"/>
        </w:rPr>
        <w:t>Data is collected in line with the methodology used for the relevant national survey.</w:t>
      </w:r>
    </w:p>
    <w:p w14:paraId="7D1C6636" w14:textId="77777777" w:rsidR="00FA5E66" w:rsidRPr="00BC3535" w:rsidRDefault="00FA5E66" w:rsidP="00752CF3">
      <w:pPr>
        <w:ind w:left="360"/>
        <w:rPr>
          <w:b/>
          <w:bCs/>
          <w:i/>
          <w:lang w:eastAsia="en-GB"/>
        </w:rPr>
      </w:pPr>
      <w:r w:rsidRPr="00BC3535">
        <w:rPr>
          <w:b/>
          <w:bCs/>
          <w:i/>
          <w:lang w:eastAsia="en-GB"/>
        </w:rPr>
        <w:t>Relevant country-specific surveys</w:t>
      </w:r>
    </w:p>
    <w:p w14:paraId="458A1077" w14:textId="77777777" w:rsidR="00FA5E66" w:rsidRPr="00BC3535" w:rsidRDefault="00FA5E66" w:rsidP="00752CF3">
      <w:pPr>
        <w:ind w:left="360"/>
        <w:rPr>
          <w:i/>
          <w:lang w:eastAsia="en-GB"/>
        </w:rPr>
      </w:pPr>
      <w:r w:rsidRPr="00BC3535">
        <w:rPr>
          <w:i/>
          <w:lang w:eastAsia="en-GB"/>
        </w:rPr>
        <w:t>Data for SDG indicator 5.6.1 may be collected through existing country-specific surveys. For existing national household surveys, it must be ascertained that the sampling design does not systematically exclude subgroups of the population that are important to SDG 5.6.1, specifically, women of reproductive age (15-49) that are currently married or in union. Surveys that cover only certain population subgroups, such as women who speak the dominant language or women from the main ethnic group, may exclude the experiences of a large number of women. Data on the ethnicity and religion of the survey participants should be collected whenever available. The survey should have a large sample size (usually between 5,000 and 30,000 households), be nationally-representative, and representative, at least, at one administrative level below the national level.</w:t>
      </w:r>
    </w:p>
    <w:p w14:paraId="5CA67FD1" w14:textId="77777777" w:rsidR="00FA5E66" w:rsidRPr="00BC3535" w:rsidRDefault="00FA5E66" w:rsidP="00752CF3">
      <w:pPr>
        <w:ind w:left="360"/>
        <w:rPr>
          <w:i/>
          <w:lang w:eastAsia="en-GB"/>
        </w:rPr>
      </w:pPr>
      <w:r w:rsidRPr="00BC3535">
        <w:rPr>
          <w:i/>
          <w:lang w:eastAsia="en-GB"/>
        </w:rPr>
        <w:t>Surveys on unrelated topics may not be good candidates for the incorporation of the SDG 5.6.1 questions. The sensitivity of the topics addressed in health surveys, in particular, those examining women’s health, making them a feasible instrument for incorporating questions on women’s experience of decision making in sex relations, use of contraceptive, and health care for themselves.</w:t>
      </w:r>
    </w:p>
    <w:p w14:paraId="7A8265EA" w14:textId="77777777" w:rsidR="00FA5E66" w:rsidRPr="00BC3535" w:rsidRDefault="00FA5E66" w:rsidP="00752CF3">
      <w:pPr>
        <w:ind w:left="360"/>
        <w:rPr>
          <w:i/>
          <w:lang w:eastAsia="en-GB"/>
        </w:rPr>
      </w:pPr>
      <w:r w:rsidRPr="00BC3535">
        <w:rPr>
          <w:i/>
          <w:lang w:eastAsia="en-GB"/>
        </w:rPr>
        <w:t>In order to generate data for SDG 5.6.1, all three questions must be included in the survey. The three questions in the Definition section provides generic questions that can be used in country-specific surveys. For the first and the second questions, these should include distinct categories for women making decisions herself, and women making decisions jointly with her husband/partner.</w:t>
      </w:r>
    </w:p>
    <w:p w14:paraId="778CBEE9" w14:textId="77777777" w:rsidR="00FA5E66" w:rsidRPr="00BC3535" w:rsidRDefault="00FA5E66" w:rsidP="00752CF3">
      <w:pPr>
        <w:ind w:left="360"/>
        <w:rPr>
          <w:i/>
        </w:rPr>
      </w:pPr>
      <w:r w:rsidRPr="00BC3535">
        <w:rPr>
          <w:i/>
        </w:rPr>
        <w:t>Currently, a total of 57 countries have at least one survey with data on all the 3 questions above which are necessary for calculating Indicator 5.6.1. The 57 countries with data are distributed as follows:</w:t>
      </w:r>
    </w:p>
    <w:p w14:paraId="6D84E90D" w14:textId="77777777" w:rsidR="00FA5E66" w:rsidRPr="00BC3535" w:rsidRDefault="00FA5E66" w:rsidP="00752CF3">
      <w:pPr>
        <w:pStyle w:val="ListParagraph"/>
        <w:numPr>
          <w:ilvl w:val="0"/>
          <w:numId w:val="47"/>
        </w:numPr>
        <w:rPr>
          <w:rFonts w:eastAsiaTheme="minorEastAsia"/>
          <w:i/>
        </w:rPr>
      </w:pPr>
      <w:r w:rsidRPr="00BC3535">
        <w:rPr>
          <w:rFonts w:eastAsiaTheme="minorEastAsia"/>
          <w:i/>
        </w:rPr>
        <w:t>Central Asia and Southern Asia (5)</w:t>
      </w:r>
    </w:p>
    <w:p w14:paraId="1EED9408" w14:textId="77777777" w:rsidR="00FA5E66" w:rsidRPr="00BC3535" w:rsidRDefault="00FA5E66" w:rsidP="00752CF3">
      <w:pPr>
        <w:pStyle w:val="ListParagraph"/>
        <w:numPr>
          <w:ilvl w:val="0"/>
          <w:numId w:val="47"/>
        </w:numPr>
        <w:rPr>
          <w:rFonts w:eastAsiaTheme="minorEastAsia"/>
          <w:i/>
        </w:rPr>
      </w:pPr>
      <w:r w:rsidRPr="00BC3535">
        <w:rPr>
          <w:rFonts w:eastAsiaTheme="minorEastAsia"/>
          <w:i/>
        </w:rPr>
        <w:t>Eastern Asia and South-eastern Asia (5)</w:t>
      </w:r>
    </w:p>
    <w:p w14:paraId="1B54B792" w14:textId="77777777" w:rsidR="00FA5E66" w:rsidRPr="00BC3535" w:rsidRDefault="00FA5E66" w:rsidP="00752CF3">
      <w:pPr>
        <w:pStyle w:val="ListParagraph"/>
        <w:numPr>
          <w:ilvl w:val="0"/>
          <w:numId w:val="47"/>
        </w:numPr>
        <w:rPr>
          <w:rFonts w:eastAsiaTheme="minorEastAsia"/>
          <w:i/>
        </w:rPr>
      </w:pPr>
      <w:r w:rsidRPr="00BC3535">
        <w:rPr>
          <w:rFonts w:eastAsiaTheme="minorEastAsia"/>
          <w:i/>
        </w:rPr>
        <w:lastRenderedPageBreak/>
        <w:t>Northern America and Europe (2)</w:t>
      </w:r>
    </w:p>
    <w:p w14:paraId="1C132C84" w14:textId="77777777" w:rsidR="00FA5E66" w:rsidRPr="00BC3535" w:rsidRDefault="00FA5E66" w:rsidP="00752CF3">
      <w:pPr>
        <w:pStyle w:val="ListParagraph"/>
        <w:numPr>
          <w:ilvl w:val="0"/>
          <w:numId w:val="47"/>
        </w:numPr>
        <w:rPr>
          <w:rFonts w:eastAsiaTheme="minorEastAsia"/>
          <w:i/>
        </w:rPr>
      </w:pPr>
      <w:r w:rsidRPr="00BC3535">
        <w:rPr>
          <w:rFonts w:eastAsiaTheme="minorEastAsia"/>
          <w:i/>
        </w:rPr>
        <w:t>Western Asia and Northern Africa (2)</w:t>
      </w:r>
    </w:p>
    <w:p w14:paraId="269F7A94" w14:textId="77777777" w:rsidR="00FA5E66" w:rsidRPr="00BC3535" w:rsidRDefault="00FA5E66" w:rsidP="00752CF3">
      <w:pPr>
        <w:pStyle w:val="ListParagraph"/>
        <w:numPr>
          <w:ilvl w:val="0"/>
          <w:numId w:val="47"/>
        </w:numPr>
        <w:rPr>
          <w:rFonts w:eastAsiaTheme="minorEastAsia"/>
          <w:i/>
        </w:rPr>
      </w:pPr>
      <w:r w:rsidRPr="00BC3535">
        <w:rPr>
          <w:rFonts w:eastAsiaTheme="minorEastAsia"/>
          <w:i/>
        </w:rPr>
        <w:t>Latin America and the Caribbean (7)</w:t>
      </w:r>
    </w:p>
    <w:p w14:paraId="4F2E4333" w14:textId="77777777" w:rsidR="00FA5E66" w:rsidRPr="00BC3535" w:rsidRDefault="00FA5E66" w:rsidP="00752CF3">
      <w:pPr>
        <w:pStyle w:val="ListParagraph"/>
        <w:numPr>
          <w:ilvl w:val="0"/>
          <w:numId w:val="47"/>
        </w:numPr>
        <w:rPr>
          <w:rFonts w:eastAsiaTheme="minorEastAsia"/>
          <w:i/>
        </w:rPr>
      </w:pPr>
      <w:r w:rsidRPr="00BC3535">
        <w:rPr>
          <w:rFonts w:eastAsiaTheme="minorEastAsia"/>
          <w:i/>
        </w:rPr>
        <w:t>Sub-Saharan Africa (36)</w:t>
      </w:r>
    </w:p>
    <w:p w14:paraId="3CD4E7A6" w14:textId="6EDB6EA1" w:rsidR="00FA5E66" w:rsidRPr="00BC3535" w:rsidRDefault="00FA5E66" w:rsidP="00752CF3">
      <w:pPr>
        <w:ind w:left="360"/>
      </w:pPr>
      <w:r w:rsidRPr="00BC3535">
        <w:rPr>
          <w:i/>
        </w:rPr>
        <w:t>Several other countries have only one or two of the three questions needed to calculate Indicator 5.6.1. UNFPA engages with major international and regional survey programmes, as well as national and international organizations and agencies to incorporate the questions in relevant household surveys with a view to covering all countries on a global scale.</w:t>
      </w:r>
      <w:r w:rsidR="00280323" w:rsidRPr="00BC3535">
        <w:t>”</w:t>
      </w:r>
    </w:p>
    <w:p w14:paraId="5CB56700" w14:textId="77777777" w:rsidR="00FA5E66" w:rsidRPr="00BC3535" w:rsidRDefault="00FA5E66" w:rsidP="00D850DC">
      <w:r w:rsidRPr="00BC3535">
        <w:t>As long as the optional DHS questions on disability are included, producing this indicator is straightforward. If the MICS is used, disability questions are part of the core questionnaire. Other surveys could also produce the indicator, as long as disability questions are included.</w:t>
      </w:r>
    </w:p>
    <w:p w14:paraId="67FC9879" w14:textId="77777777" w:rsidR="00FA5E66" w:rsidRPr="00BC3535" w:rsidRDefault="00FA5E66" w:rsidP="00D850DC">
      <w:r w:rsidRPr="00BC3535">
        <w:t xml:space="preserve">The 2018 </w:t>
      </w:r>
      <w:hyperlink r:id="rId38" w:history="1">
        <w:r w:rsidRPr="00BC3535">
          <w:rPr>
            <w:rStyle w:val="Hyperlink"/>
            <w:rFonts w:cstheme="minorHAnsi"/>
          </w:rPr>
          <w:t>DHS of Nigeria</w:t>
        </w:r>
      </w:hyperlink>
      <w:r w:rsidRPr="00BC3535">
        <w:t xml:space="preserve"> collected data on women’s abilities to negotiate sexual relations with their husband, contraceptive use and reproductive healthcare. However, even for countries that include disability modules in their surveys, such as the DHS of Nigeria, no reports were found that disaggregated information on this subject.</w:t>
      </w:r>
    </w:p>
    <w:p w14:paraId="1B95641E" w14:textId="77777777" w:rsidR="00FA5E66" w:rsidRPr="00BC3535" w:rsidRDefault="00FA5E66" w:rsidP="00093D0B">
      <w:pPr>
        <w:pStyle w:val="Heading2"/>
        <w:rPr>
          <w:rFonts w:eastAsiaTheme="majorEastAsia"/>
        </w:rPr>
      </w:pPr>
      <w:r w:rsidRPr="00BC3535">
        <w:rPr>
          <w:rFonts w:eastAsiaTheme="majorEastAsia"/>
        </w:rPr>
        <w:t>25.30 Annual rates of involuntary hospitalisation per 100</w:t>
      </w:r>
      <w:r w:rsidRPr="00BC3535">
        <w:rPr>
          <w:rFonts w:ascii="Arial" w:eastAsiaTheme="majorEastAsia" w:hAnsi="Arial" w:cs="Arial"/>
        </w:rPr>
        <w:t> </w:t>
      </w:r>
      <w:r w:rsidRPr="00BC3535">
        <w:rPr>
          <w:rFonts w:eastAsiaTheme="majorEastAsia"/>
        </w:rPr>
        <w:t>000 individuals in the general population.</w:t>
      </w:r>
    </w:p>
    <w:p w14:paraId="0C254B37" w14:textId="77777777" w:rsidR="00FA5E66" w:rsidRPr="00BC3535" w:rsidRDefault="00FA5E66" w:rsidP="00093D0B">
      <w:pPr>
        <w:pStyle w:val="Heading4"/>
        <w:rPr>
          <w:rFonts w:eastAsiaTheme="majorEastAsia"/>
        </w:rPr>
      </w:pPr>
      <w:r w:rsidRPr="00BC3535">
        <w:rPr>
          <w:rFonts w:eastAsiaTheme="majorEastAsia"/>
        </w:rPr>
        <w:t>Level 1: Indicator for which data are already being produced and reported on in at least some countries</w:t>
      </w:r>
    </w:p>
    <w:p w14:paraId="1537DDE5" w14:textId="77777777" w:rsidR="00FA5E66" w:rsidRPr="00BC3535" w:rsidRDefault="00FA5E66" w:rsidP="00D850DC">
      <w:pPr>
        <w:rPr>
          <w:rFonts w:cstheme="minorHAnsi"/>
        </w:rPr>
      </w:pPr>
      <w:r w:rsidRPr="00BC3535">
        <w:rPr>
          <w:rFonts w:cstheme="minorHAnsi"/>
        </w:rPr>
        <w:t>This indicator aims at tracking the rates of involuntary hospitalization over time and can contribute to the development of strategies to prevent and end coercion in mental health, in accordance with the CRPD. In the present case, the data collected will depend on what is considered and recorded as “voluntary” and “involuntary” hospitalisation.</w:t>
      </w:r>
    </w:p>
    <w:p w14:paraId="3E995926" w14:textId="77777777" w:rsidR="00FA5E66" w:rsidRPr="00BC3535" w:rsidRDefault="00FA5E66" w:rsidP="00D850DC">
      <w:pPr>
        <w:rPr>
          <w:rFonts w:cstheme="minorHAnsi"/>
        </w:rPr>
      </w:pPr>
      <w:r w:rsidRPr="00BC3535">
        <w:rPr>
          <w:rFonts w:cstheme="minorHAnsi"/>
        </w:rPr>
        <w:t>In some jurisdictions, “voluntary” admission may entail consent substituted by a third party, such as a guardian, which conflicts with CRPD standards of free and informed consent and the exercise of legal capacity. Third-party authorization should be registered but not counted as “voluntary”.</w:t>
      </w:r>
    </w:p>
    <w:p w14:paraId="751E916E" w14:textId="77777777" w:rsidR="00FA5E66" w:rsidRPr="00BC3535" w:rsidRDefault="00FA5E66" w:rsidP="00D850DC">
      <w:pPr>
        <w:rPr>
          <w:rFonts w:cstheme="minorHAnsi"/>
        </w:rPr>
      </w:pPr>
      <w:r w:rsidRPr="00BC3535">
        <w:rPr>
          <w:rFonts w:cstheme="minorHAnsi"/>
        </w:rPr>
        <w:t>Data on involuntary hospitalization is scarce and inconsistent across countries. To attain a fuller picture of the practices beyond the official statistics, it is important to use indicators, together with other monitoring tools, in consultation with persons with psychosocial disabilities and their representative organizations (see FAQ no. 3 of CRPD human rights indicators).</w:t>
      </w:r>
    </w:p>
    <w:p w14:paraId="2C51CC8E" w14:textId="77777777" w:rsidR="00752CF3" w:rsidRPr="00BC3535" w:rsidRDefault="00FA5E66" w:rsidP="00752CF3">
      <w:pPr>
        <w:rPr>
          <w:rFonts w:asciiTheme="minorHAnsi" w:hAnsiTheme="minorHAnsi" w:cstheme="minorHAnsi"/>
        </w:rPr>
      </w:pPr>
      <w:r w:rsidRPr="00BC3535">
        <w:t xml:space="preserve">Data can be collected from administrative records pertaining to the hospital intake of patients, where the numerator is involuntary </w:t>
      </w:r>
      <w:proofErr w:type="gramStart"/>
      <w:r w:rsidRPr="00BC3535">
        <w:t>admissions</w:t>
      </w:r>
      <w:proofErr w:type="gramEnd"/>
      <w:r w:rsidRPr="00BC3535">
        <w:t xml:space="preserve"> and the denominator is all admissions. The National Health Service of the United Kingdom of Great Britain and Northern Ireland produces </w:t>
      </w:r>
      <w:hyperlink r:id="rId39" w:history="1">
        <w:r w:rsidRPr="00BC3535">
          <w:rPr>
            <w:rStyle w:val="Hyperlink"/>
            <w:rFonts w:cstheme="minorHAnsi"/>
          </w:rPr>
          <w:t>annual statistics about application of the Mental Health Act</w:t>
        </w:r>
      </w:hyperlink>
      <w:r w:rsidRPr="00BC3535">
        <w:t xml:space="preserve"> in England, a sample of which is available in table 7, in particular concerning formal detentions in hospitals (also referred to as being “sectioned”).</w:t>
      </w:r>
    </w:p>
    <w:p w14:paraId="3D374169" w14:textId="5921316F" w:rsidR="00FA5E66" w:rsidRPr="00BC3535" w:rsidRDefault="00FA5E66" w:rsidP="00752CF3">
      <w:pPr>
        <w:pStyle w:val="TableHeader"/>
        <w:rPr>
          <w:rFonts w:eastAsiaTheme="majorEastAsia" w:cstheme="majorBidi"/>
        </w:rPr>
      </w:pPr>
      <w:r w:rsidRPr="00BC3535">
        <w:rPr>
          <w:rFonts w:eastAsiaTheme="majorEastAsia" w:cstheme="majorBidi"/>
          <w:b/>
          <w:bCs w:val="0"/>
        </w:rPr>
        <w:lastRenderedPageBreak/>
        <w:t>Table 7</w:t>
      </w:r>
      <w:r w:rsidR="007C2B91" w:rsidRPr="00BC3535">
        <w:rPr>
          <w:rFonts w:eastAsiaTheme="majorEastAsia" w:cstheme="majorBidi"/>
          <w:b/>
          <w:bCs w:val="0"/>
        </w:rPr>
        <w:t>:</w:t>
      </w:r>
      <w:r w:rsidR="007C2B91" w:rsidRPr="00BC3535">
        <w:rPr>
          <w:rFonts w:eastAsiaTheme="majorEastAsia" w:cstheme="majorBidi"/>
        </w:rPr>
        <w:t xml:space="preserve"> </w:t>
      </w:r>
      <w:r w:rsidRPr="00BC3535">
        <w:rPr>
          <w:rFonts w:eastAsiaTheme="majorEastAsia" w:cstheme="majorBidi"/>
        </w:rPr>
        <w:t>Detentions under the Mental Health Act of 1983, by age group and gender, 2018-19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7: Detentions under the Mental Health Act of 1983, by age group and gender, 2018-19"/>
      </w:tblPr>
      <w:tblGrid>
        <w:gridCol w:w="2250"/>
        <w:gridCol w:w="2250"/>
        <w:gridCol w:w="2250"/>
        <w:gridCol w:w="2250"/>
      </w:tblGrid>
      <w:tr w:rsidR="00FA5E66" w:rsidRPr="00BC3535" w14:paraId="2295AEEC" w14:textId="77777777" w:rsidTr="00D92C12">
        <w:trPr>
          <w:trHeight w:val="650"/>
          <w:tblHeader/>
        </w:trPr>
        <w:tc>
          <w:tcPr>
            <w:tcW w:w="1250" w:type="pct"/>
            <w:tcBorders>
              <w:top w:val="single" w:sz="12" w:space="0" w:color="auto"/>
              <w:bottom w:val="single" w:sz="12" w:space="0" w:color="auto"/>
            </w:tcBorders>
            <w:shd w:val="clear" w:color="auto" w:fill="F5F5F1"/>
            <w:hideMark/>
          </w:tcPr>
          <w:p w14:paraId="0BD52068" w14:textId="6922EF1B" w:rsidR="00FA5E66" w:rsidRPr="00BC3535" w:rsidRDefault="00FA5E66" w:rsidP="00D850DC">
            <w:pPr>
              <w:rPr>
                <w:rFonts w:asciiTheme="minorHAnsi" w:hAnsiTheme="minorHAnsi"/>
                <w:color w:val="000000"/>
              </w:rPr>
            </w:pPr>
          </w:p>
        </w:tc>
        <w:tc>
          <w:tcPr>
            <w:tcW w:w="1250" w:type="pct"/>
            <w:tcBorders>
              <w:top w:val="single" w:sz="12" w:space="0" w:color="auto"/>
              <w:bottom w:val="single" w:sz="12" w:space="0" w:color="auto"/>
            </w:tcBorders>
            <w:shd w:val="clear" w:color="auto" w:fill="F5F5F1"/>
            <w:vAlign w:val="center"/>
            <w:hideMark/>
          </w:tcPr>
          <w:p w14:paraId="0A48DF4C" w14:textId="77777777" w:rsidR="00FA5E66" w:rsidRPr="00BC3535" w:rsidRDefault="00FA5E66" w:rsidP="00D92C12">
            <w:pPr>
              <w:pStyle w:val="TableHeaderRow"/>
              <w:spacing w:before="420"/>
            </w:pPr>
            <w:r w:rsidRPr="00BC3535">
              <w:t>Number of detentions</w:t>
            </w:r>
          </w:p>
        </w:tc>
        <w:tc>
          <w:tcPr>
            <w:tcW w:w="1250" w:type="pct"/>
            <w:tcBorders>
              <w:top w:val="single" w:sz="12" w:space="0" w:color="auto"/>
              <w:bottom w:val="single" w:sz="12" w:space="0" w:color="auto"/>
            </w:tcBorders>
            <w:shd w:val="clear" w:color="auto" w:fill="F5F5F1"/>
            <w:noWrap/>
            <w:hideMark/>
          </w:tcPr>
          <w:p w14:paraId="28AB0BDA" w14:textId="77777777" w:rsidR="00FA5E66" w:rsidRPr="00BC3535" w:rsidRDefault="00FA5E66" w:rsidP="00093D0B">
            <w:pPr>
              <w:pStyle w:val="TableHeaderRow"/>
              <w:spacing w:before="420"/>
            </w:pPr>
            <w:r w:rsidRPr="00BC3535">
              <w:t>Base Population</w:t>
            </w:r>
          </w:p>
        </w:tc>
        <w:tc>
          <w:tcPr>
            <w:tcW w:w="1250" w:type="pct"/>
            <w:tcBorders>
              <w:top w:val="single" w:sz="12" w:space="0" w:color="auto"/>
              <w:bottom w:val="single" w:sz="12" w:space="0" w:color="auto"/>
            </w:tcBorders>
            <w:shd w:val="clear" w:color="auto" w:fill="F5F5F1"/>
            <w:vAlign w:val="center"/>
            <w:hideMark/>
          </w:tcPr>
          <w:p w14:paraId="44F2683C" w14:textId="77777777" w:rsidR="00FA5E66" w:rsidRPr="00BC3535" w:rsidRDefault="00FA5E66" w:rsidP="00093D0B">
            <w:pPr>
              <w:pStyle w:val="TableHeaderRow"/>
            </w:pPr>
            <w:r w:rsidRPr="00BC3535">
              <w:t>Crude rate per 100,000 population</w:t>
            </w:r>
          </w:p>
        </w:tc>
      </w:tr>
      <w:tr w:rsidR="00FA5E66" w:rsidRPr="00BC3535" w14:paraId="5863C3D2" w14:textId="77777777" w:rsidTr="00B153E6">
        <w:trPr>
          <w:trHeight w:val="300"/>
          <w:tblHeader/>
        </w:trPr>
        <w:tc>
          <w:tcPr>
            <w:tcW w:w="1250" w:type="pct"/>
            <w:tcBorders>
              <w:top w:val="single" w:sz="12" w:space="0" w:color="auto"/>
              <w:bottom w:val="single" w:sz="12" w:space="0" w:color="auto"/>
            </w:tcBorders>
            <w:shd w:val="clear" w:color="auto" w:fill="F5F5F1"/>
            <w:hideMark/>
          </w:tcPr>
          <w:p w14:paraId="63646781" w14:textId="77777777" w:rsidR="00FA5E66" w:rsidRPr="00BC3535" w:rsidRDefault="00FA5E66" w:rsidP="00D850DC">
            <w:pPr>
              <w:rPr>
                <w:color w:val="000000"/>
              </w:rPr>
            </w:pPr>
            <w:r w:rsidRPr="00BC3535">
              <w:rPr>
                <w:color w:val="000000"/>
              </w:rPr>
              <w:t>All</w:t>
            </w:r>
          </w:p>
        </w:tc>
        <w:tc>
          <w:tcPr>
            <w:tcW w:w="1250" w:type="pct"/>
            <w:tcBorders>
              <w:top w:val="single" w:sz="12" w:space="0" w:color="auto"/>
              <w:bottom w:val="single" w:sz="12" w:space="0" w:color="auto"/>
            </w:tcBorders>
            <w:shd w:val="clear" w:color="auto" w:fill="F5F5F1"/>
            <w:hideMark/>
          </w:tcPr>
          <w:p w14:paraId="1DE39C8D" w14:textId="77777777" w:rsidR="00FA5E66" w:rsidRPr="00BC3535" w:rsidRDefault="00FA5E66" w:rsidP="00D850DC">
            <w:pPr>
              <w:rPr>
                <w:color w:val="0F0F0F"/>
              </w:rPr>
            </w:pPr>
            <w:r w:rsidRPr="00BC3535">
              <w:rPr>
                <w:color w:val="0F0F0F"/>
              </w:rPr>
              <w:t>49,988</w:t>
            </w:r>
          </w:p>
        </w:tc>
        <w:tc>
          <w:tcPr>
            <w:tcW w:w="1250" w:type="pct"/>
            <w:tcBorders>
              <w:top w:val="single" w:sz="12" w:space="0" w:color="auto"/>
              <w:bottom w:val="single" w:sz="12" w:space="0" w:color="auto"/>
            </w:tcBorders>
            <w:shd w:val="clear" w:color="auto" w:fill="F5F5F1"/>
            <w:noWrap/>
            <w:hideMark/>
          </w:tcPr>
          <w:p w14:paraId="3FF99B26" w14:textId="77777777" w:rsidR="00FA5E66" w:rsidRPr="00BC3535" w:rsidRDefault="00FA5E66" w:rsidP="00D850DC">
            <w:pPr>
              <w:rPr>
                <w:color w:val="0F0F0F"/>
              </w:rPr>
            </w:pPr>
            <w:r w:rsidRPr="00BC3535">
              <w:rPr>
                <w:color w:val="0F0F0F"/>
              </w:rPr>
              <w:t>55,977,178</w:t>
            </w:r>
          </w:p>
        </w:tc>
        <w:tc>
          <w:tcPr>
            <w:tcW w:w="1250" w:type="pct"/>
            <w:tcBorders>
              <w:top w:val="single" w:sz="12" w:space="0" w:color="auto"/>
              <w:bottom w:val="single" w:sz="12" w:space="0" w:color="auto"/>
            </w:tcBorders>
            <w:shd w:val="clear" w:color="auto" w:fill="F5F5F1"/>
            <w:noWrap/>
            <w:hideMark/>
          </w:tcPr>
          <w:p w14:paraId="65C1D70C" w14:textId="77777777" w:rsidR="00FA5E66" w:rsidRPr="00BC3535" w:rsidRDefault="00FA5E66" w:rsidP="00D850DC">
            <w:r w:rsidRPr="00BC3535">
              <w:t>89.3</w:t>
            </w:r>
          </w:p>
        </w:tc>
      </w:tr>
      <w:tr w:rsidR="00FA5E66" w:rsidRPr="00BC3535" w14:paraId="1D3C6AF3" w14:textId="77777777" w:rsidTr="00B153E6">
        <w:trPr>
          <w:trHeight w:val="300"/>
          <w:tblHeader/>
        </w:trPr>
        <w:tc>
          <w:tcPr>
            <w:tcW w:w="1250" w:type="pct"/>
            <w:tcBorders>
              <w:top w:val="single" w:sz="12" w:space="0" w:color="auto"/>
            </w:tcBorders>
            <w:shd w:val="clear" w:color="auto" w:fill="F5F5F1"/>
            <w:hideMark/>
          </w:tcPr>
          <w:p w14:paraId="065C2EAD" w14:textId="77777777" w:rsidR="00FA5E66" w:rsidRPr="00BC3535" w:rsidRDefault="00FA5E66" w:rsidP="00D850DC">
            <w:pPr>
              <w:rPr>
                <w:color w:val="000000"/>
              </w:rPr>
            </w:pPr>
            <w:r w:rsidRPr="00BC3535">
              <w:rPr>
                <w:color w:val="000000"/>
              </w:rPr>
              <w:t>17 and under</w:t>
            </w:r>
          </w:p>
        </w:tc>
        <w:tc>
          <w:tcPr>
            <w:tcW w:w="1250" w:type="pct"/>
            <w:tcBorders>
              <w:top w:val="single" w:sz="12" w:space="0" w:color="auto"/>
            </w:tcBorders>
            <w:shd w:val="clear" w:color="auto" w:fill="F5F5F1"/>
            <w:hideMark/>
          </w:tcPr>
          <w:p w14:paraId="19775F18" w14:textId="77777777" w:rsidR="00FA5E66" w:rsidRPr="00BC3535" w:rsidRDefault="00FA5E66" w:rsidP="00D850DC">
            <w:pPr>
              <w:rPr>
                <w:color w:val="000000"/>
              </w:rPr>
            </w:pPr>
            <w:r w:rsidRPr="00BC3535">
              <w:rPr>
                <w:color w:val="000000"/>
              </w:rPr>
              <w:t>1,241</w:t>
            </w:r>
          </w:p>
        </w:tc>
        <w:tc>
          <w:tcPr>
            <w:tcW w:w="1250" w:type="pct"/>
            <w:tcBorders>
              <w:top w:val="single" w:sz="12" w:space="0" w:color="auto"/>
            </w:tcBorders>
            <w:shd w:val="clear" w:color="auto" w:fill="F5F5F1"/>
            <w:hideMark/>
          </w:tcPr>
          <w:p w14:paraId="1387D0B2" w14:textId="77777777" w:rsidR="00FA5E66" w:rsidRPr="00BC3535" w:rsidRDefault="00FA5E66" w:rsidP="00D850DC">
            <w:pPr>
              <w:rPr>
                <w:color w:val="000000"/>
              </w:rPr>
            </w:pPr>
            <w:r w:rsidRPr="00BC3535">
              <w:rPr>
                <w:color w:val="000000"/>
              </w:rPr>
              <w:t>11,954,618</w:t>
            </w:r>
          </w:p>
        </w:tc>
        <w:tc>
          <w:tcPr>
            <w:tcW w:w="1250" w:type="pct"/>
            <w:tcBorders>
              <w:top w:val="single" w:sz="12" w:space="0" w:color="auto"/>
            </w:tcBorders>
            <w:shd w:val="clear" w:color="auto" w:fill="F5F5F1"/>
            <w:noWrap/>
            <w:hideMark/>
          </w:tcPr>
          <w:p w14:paraId="5C5E003F" w14:textId="77777777" w:rsidR="00FA5E66" w:rsidRPr="00BC3535" w:rsidRDefault="00FA5E66" w:rsidP="00D850DC">
            <w:r w:rsidRPr="00BC3535">
              <w:t>10.4</w:t>
            </w:r>
          </w:p>
        </w:tc>
      </w:tr>
      <w:tr w:rsidR="00FA5E66" w:rsidRPr="00BC3535" w14:paraId="553E1CF8" w14:textId="77777777" w:rsidTr="00B153E6">
        <w:trPr>
          <w:trHeight w:val="300"/>
          <w:tblHeader/>
        </w:trPr>
        <w:tc>
          <w:tcPr>
            <w:tcW w:w="1250" w:type="pct"/>
            <w:shd w:val="clear" w:color="auto" w:fill="F5F5F1"/>
            <w:hideMark/>
          </w:tcPr>
          <w:p w14:paraId="31DF9BA2" w14:textId="77777777" w:rsidR="00FA5E66" w:rsidRPr="00BC3535" w:rsidRDefault="00FA5E66" w:rsidP="00D850DC">
            <w:pPr>
              <w:rPr>
                <w:color w:val="000000"/>
              </w:rPr>
            </w:pPr>
            <w:r w:rsidRPr="00BC3535">
              <w:rPr>
                <w:color w:val="000000"/>
              </w:rPr>
              <w:t>15 and under</w:t>
            </w:r>
          </w:p>
        </w:tc>
        <w:tc>
          <w:tcPr>
            <w:tcW w:w="1250" w:type="pct"/>
            <w:shd w:val="clear" w:color="auto" w:fill="F5F5F1"/>
            <w:hideMark/>
          </w:tcPr>
          <w:p w14:paraId="6A6267E5" w14:textId="77777777" w:rsidR="00FA5E66" w:rsidRPr="00BC3535" w:rsidRDefault="00FA5E66" w:rsidP="00D850DC">
            <w:pPr>
              <w:rPr>
                <w:color w:val="0F0F0F"/>
              </w:rPr>
            </w:pPr>
            <w:r w:rsidRPr="00BC3535">
              <w:rPr>
                <w:color w:val="0F0F0F"/>
              </w:rPr>
              <w:t>433</w:t>
            </w:r>
          </w:p>
        </w:tc>
        <w:tc>
          <w:tcPr>
            <w:tcW w:w="1250" w:type="pct"/>
            <w:shd w:val="clear" w:color="auto" w:fill="F5F5F1"/>
            <w:noWrap/>
            <w:hideMark/>
          </w:tcPr>
          <w:p w14:paraId="5C38B86C" w14:textId="77777777" w:rsidR="00FA5E66" w:rsidRPr="00BC3535" w:rsidRDefault="00FA5E66" w:rsidP="00D850DC">
            <w:pPr>
              <w:rPr>
                <w:color w:val="0F0F0F"/>
              </w:rPr>
            </w:pPr>
            <w:r w:rsidRPr="00BC3535">
              <w:rPr>
                <w:color w:val="0F0F0F"/>
              </w:rPr>
              <w:t>10,748,458</w:t>
            </w:r>
          </w:p>
        </w:tc>
        <w:tc>
          <w:tcPr>
            <w:tcW w:w="1250" w:type="pct"/>
            <w:shd w:val="clear" w:color="auto" w:fill="F5F5F1"/>
            <w:noWrap/>
            <w:hideMark/>
          </w:tcPr>
          <w:p w14:paraId="0707E739" w14:textId="77777777" w:rsidR="00FA5E66" w:rsidRPr="00BC3535" w:rsidRDefault="00FA5E66" w:rsidP="00D850DC">
            <w:r w:rsidRPr="00BC3535">
              <w:t>4.0</w:t>
            </w:r>
          </w:p>
        </w:tc>
      </w:tr>
      <w:tr w:rsidR="00FA5E66" w:rsidRPr="00BC3535" w14:paraId="41FBFFC4" w14:textId="77777777" w:rsidTr="00B153E6">
        <w:trPr>
          <w:trHeight w:val="300"/>
          <w:tblHeader/>
        </w:trPr>
        <w:tc>
          <w:tcPr>
            <w:tcW w:w="1250" w:type="pct"/>
            <w:shd w:val="clear" w:color="auto" w:fill="F5F5F1"/>
            <w:hideMark/>
          </w:tcPr>
          <w:p w14:paraId="4AEA36D3" w14:textId="77777777" w:rsidR="00FA5E66" w:rsidRPr="00BC3535" w:rsidRDefault="00FA5E66" w:rsidP="00D850DC">
            <w:pPr>
              <w:rPr>
                <w:color w:val="000000"/>
              </w:rPr>
            </w:pPr>
            <w:r w:rsidRPr="00BC3535">
              <w:rPr>
                <w:color w:val="000000"/>
              </w:rPr>
              <w:t>16 to 17</w:t>
            </w:r>
          </w:p>
        </w:tc>
        <w:tc>
          <w:tcPr>
            <w:tcW w:w="1250" w:type="pct"/>
            <w:shd w:val="clear" w:color="auto" w:fill="F5F5F1"/>
            <w:hideMark/>
          </w:tcPr>
          <w:p w14:paraId="1646299A" w14:textId="77777777" w:rsidR="00FA5E66" w:rsidRPr="00BC3535" w:rsidRDefault="00FA5E66" w:rsidP="00D850DC">
            <w:pPr>
              <w:rPr>
                <w:color w:val="0F0F0F"/>
              </w:rPr>
            </w:pPr>
            <w:r w:rsidRPr="00BC3535">
              <w:rPr>
                <w:color w:val="0F0F0F"/>
              </w:rPr>
              <w:t>808</w:t>
            </w:r>
          </w:p>
        </w:tc>
        <w:tc>
          <w:tcPr>
            <w:tcW w:w="1250" w:type="pct"/>
            <w:shd w:val="clear" w:color="auto" w:fill="F5F5F1"/>
            <w:noWrap/>
            <w:hideMark/>
          </w:tcPr>
          <w:p w14:paraId="1CB6B078" w14:textId="77777777" w:rsidR="00FA5E66" w:rsidRPr="00BC3535" w:rsidRDefault="00FA5E66" w:rsidP="00D850DC">
            <w:pPr>
              <w:rPr>
                <w:color w:val="0F0F0F"/>
              </w:rPr>
            </w:pPr>
            <w:r w:rsidRPr="00BC3535">
              <w:rPr>
                <w:color w:val="0F0F0F"/>
              </w:rPr>
              <w:t>1,206,160</w:t>
            </w:r>
          </w:p>
        </w:tc>
        <w:tc>
          <w:tcPr>
            <w:tcW w:w="1250" w:type="pct"/>
            <w:shd w:val="clear" w:color="auto" w:fill="F5F5F1"/>
            <w:noWrap/>
            <w:hideMark/>
          </w:tcPr>
          <w:p w14:paraId="279CB5ED" w14:textId="77777777" w:rsidR="00FA5E66" w:rsidRPr="00BC3535" w:rsidRDefault="00FA5E66" w:rsidP="00D850DC">
            <w:r w:rsidRPr="00BC3535">
              <w:t>67.0</w:t>
            </w:r>
          </w:p>
        </w:tc>
      </w:tr>
      <w:tr w:rsidR="00FA5E66" w:rsidRPr="00BC3535" w14:paraId="59B68A01" w14:textId="77777777" w:rsidTr="00B153E6">
        <w:trPr>
          <w:trHeight w:val="300"/>
          <w:tblHeader/>
        </w:trPr>
        <w:tc>
          <w:tcPr>
            <w:tcW w:w="1250" w:type="pct"/>
            <w:shd w:val="clear" w:color="auto" w:fill="F5F5F1"/>
            <w:hideMark/>
          </w:tcPr>
          <w:p w14:paraId="7B8FE4A8" w14:textId="77777777" w:rsidR="00FA5E66" w:rsidRPr="00BC3535" w:rsidRDefault="00FA5E66" w:rsidP="00D850DC">
            <w:pPr>
              <w:rPr>
                <w:color w:val="000000"/>
              </w:rPr>
            </w:pPr>
            <w:r w:rsidRPr="00BC3535">
              <w:rPr>
                <w:color w:val="000000"/>
              </w:rPr>
              <w:t>18 and over</w:t>
            </w:r>
          </w:p>
        </w:tc>
        <w:tc>
          <w:tcPr>
            <w:tcW w:w="1250" w:type="pct"/>
            <w:shd w:val="clear" w:color="auto" w:fill="F5F5F1"/>
            <w:hideMark/>
          </w:tcPr>
          <w:p w14:paraId="5A43F4CB" w14:textId="77777777" w:rsidR="00FA5E66" w:rsidRPr="00BC3535" w:rsidRDefault="00FA5E66" w:rsidP="00D850DC">
            <w:pPr>
              <w:rPr>
                <w:color w:val="000000"/>
              </w:rPr>
            </w:pPr>
            <w:r w:rsidRPr="00BC3535">
              <w:rPr>
                <w:color w:val="000000"/>
              </w:rPr>
              <w:t>47,624</w:t>
            </w:r>
          </w:p>
        </w:tc>
        <w:tc>
          <w:tcPr>
            <w:tcW w:w="1250" w:type="pct"/>
            <w:shd w:val="clear" w:color="auto" w:fill="F5F5F1"/>
            <w:hideMark/>
          </w:tcPr>
          <w:p w14:paraId="7C130202" w14:textId="77777777" w:rsidR="00FA5E66" w:rsidRPr="00BC3535" w:rsidRDefault="00FA5E66" w:rsidP="00D850DC">
            <w:pPr>
              <w:rPr>
                <w:color w:val="000000"/>
              </w:rPr>
            </w:pPr>
            <w:r w:rsidRPr="00BC3535">
              <w:rPr>
                <w:color w:val="000000"/>
              </w:rPr>
              <w:t>44,022,560</w:t>
            </w:r>
          </w:p>
        </w:tc>
        <w:tc>
          <w:tcPr>
            <w:tcW w:w="1250" w:type="pct"/>
            <w:shd w:val="clear" w:color="auto" w:fill="F5F5F1"/>
            <w:noWrap/>
            <w:hideMark/>
          </w:tcPr>
          <w:p w14:paraId="00410702" w14:textId="77777777" w:rsidR="00FA5E66" w:rsidRPr="00BC3535" w:rsidRDefault="00FA5E66" w:rsidP="00D850DC">
            <w:r w:rsidRPr="00BC3535">
              <w:t>108.2</w:t>
            </w:r>
          </w:p>
        </w:tc>
      </w:tr>
      <w:tr w:rsidR="00FA5E66" w:rsidRPr="00BC3535" w14:paraId="3DC4FC93" w14:textId="77777777" w:rsidTr="00B153E6">
        <w:trPr>
          <w:trHeight w:val="300"/>
          <w:tblHeader/>
        </w:trPr>
        <w:tc>
          <w:tcPr>
            <w:tcW w:w="1250" w:type="pct"/>
            <w:shd w:val="clear" w:color="auto" w:fill="F5F5F1"/>
            <w:hideMark/>
          </w:tcPr>
          <w:p w14:paraId="4AD91DA2" w14:textId="77777777" w:rsidR="00FA5E66" w:rsidRPr="00BC3535" w:rsidRDefault="00FA5E66" w:rsidP="00D850DC">
            <w:pPr>
              <w:rPr>
                <w:color w:val="000000"/>
              </w:rPr>
            </w:pPr>
            <w:r w:rsidRPr="00BC3535">
              <w:rPr>
                <w:color w:val="000000"/>
              </w:rPr>
              <w:t>18 to 34</w:t>
            </w:r>
          </w:p>
        </w:tc>
        <w:tc>
          <w:tcPr>
            <w:tcW w:w="1250" w:type="pct"/>
            <w:shd w:val="clear" w:color="auto" w:fill="F5F5F1"/>
            <w:hideMark/>
          </w:tcPr>
          <w:p w14:paraId="0652ACD7" w14:textId="77777777" w:rsidR="00FA5E66" w:rsidRPr="00BC3535" w:rsidRDefault="00FA5E66" w:rsidP="00D850DC">
            <w:pPr>
              <w:rPr>
                <w:color w:val="0F0F0F"/>
              </w:rPr>
            </w:pPr>
            <w:r w:rsidRPr="00BC3535">
              <w:rPr>
                <w:color w:val="0F0F0F"/>
              </w:rPr>
              <w:t>15,991</w:t>
            </w:r>
          </w:p>
        </w:tc>
        <w:tc>
          <w:tcPr>
            <w:tcW w:w="1250" w:type="pct"/>
            <w:shd w:val="clear" w:color="auto" w:fill="F5F5F1"/>
            <w:noWrap/>
            <w:hideMark/>
          </w:tcPr>
          <w:p w14:paraId="2CBD778B" w14:textId="77777777" w:rsidR="00FA5E66" w:rsidRPr="00BC3535" w:rsidRDefault="00FA5E66" w:rsidP="00D850DC">
            <w:pPr>
              <w:rPr>
                <w:color w:val="0F0F0F"/>
              </w:rPr>
            </w:pPr>
            <w:r w:rsidRPr="00BC3535">
              <w:rPr>
                <w:color w:val="0F0F0F"/>
              </w:rPr>
              <w:t>12,402,844</w:t>
            </w:r>
          </w:p>
        </w:tc>
        <w:tc>
          <w:tcPr>
            <w:tcW w:w="1250" w:type="pct"/>
            <w:shd w:val="clear" w:color="auto" w:fill="F5F5F1"/>
            <w:noWrap/>
            <w:hideMark/>
          </w:tcPr>
          <w:p w14:paraId="7B9FD540" w14:textId="77777777" w:rsidR="00FA5E66" w:rsidRPr="00BC3535" w:rsidRDefault="00FA5E66" w:rsidP="00D850DC">
            <w:r w:rsidRPr="00BC3535">
              <w:t>128.9</w:t>
            </w:r>
          </w:p>
        </w:tc>
      </w:tr>
      <w:tr w:rsidR="00FA5E66" w:rsidRPr="00BC3535" w14:paraId="13FB8841" w14:textId="77777777" w:rsidTr="00B153E6">
        <w:trPr>
          <w:trHeight w:val="300"/>
          <w:tblHeader/>
        </w:trPr>
        <w:tc>
          <w:tcPr>
            <w:tcW w:w="1250" w:type="pct"/>
            <w:shd w:val="clear" w:color="auto" w:fill="F5F5F1"/>
            <w:hideMark/>
          </w:tcPr>
          <w:p w14:paraId="491A64B3" w14:textId="77777777" w:rsidR="00FA5E66" w:rsidRPr="00BC3535" w:rsidRDefault="00FA5E66" w:rsidP="00D850DC">
            <w:pPr>
              <w:rPr>
                <w:color w:val="000000"/>
              </w:rPr>
            </w:pPr>
            <w:r w:rsidRPr="00BC3535">
              <w:rPr>
                <w:color w:val="000000"/>
              </w:rPr>
              <w:t>35 to 49</w:t>
            </w:r>
          </w:p>
        </w:tc>
        <w:tc>
          <w:tcPr>
            <w:tcW w:w="1250" w:type="pct"/>
            <w:shd w:val="clear" w:color="auto" w:fill="F5F5F1"/>
            <w:hideMark/>
          </w:tcPr>
          <w:p w14:paraId="149603F1" w14:textId="77777777" w:rsidR="00FA5E66" w:rsidRPr="00BC3535" w:rsidRDefault="00FA5E66" w:rsidP="00D850DC">
            <w:pPr>
              <w:rPr>
                <w:color w:val="0F0F0F"/>
              </w:rPr>
            </w:pPr>
            <w:r w:rsidRPr="00BC3535">
              <w:rPr>
                <w:color w:val="0F0F0F"/>
              </w:rPr>
              <w:t>12,270</w:t>
            </w:r>
          </w:p>
        </w:tc>
        <w:tc>
          <w:tcPr>
            <w:tcW w:w="1250" w:type="pct"/>
            <w:shd w:val="clear" w:color="auto" w:fill="F5F5F1"/>
            <w:noWrap/>
            <w:hideMark/>
          </w:tcPr>
          <w:p w14:paraId="5A21F104" w14:textId="77777777" w:rsidR="00FA5E66" w:rsidRPr="00BC3535" w:rsidRDefault="00FA5E66" w:rsidP="00D850DC">
            <w:pPr>
              <w:rPr>
                <w:color w:val="0F0F0F"/>
              </w:rPr>
            </w:pPr>
            <w:r w:rsidRPr="00BC3535">
              <w:rPr>
                <w:color w:val="0F0F0F"/>
              </w:rPr>
              <w:t>10,907,309</w:t>
            </w:r>
          </w:p>
        </w:tc>
        <w:tc>
          <w:tcPr>
            <w:tcW w:w="1250" w:type="pct"/>
            <w:shd w:val="clear" w:color="auto" w:fill="F5F5F1"/>
            <w:noWrap/>
            <w:hideMark/>
          </w:tcPr>
          <w:p w14:paraId="632816B2" w14:textId="77777777" w:rsidR="00FA5E66" w:rsidRPr="00BC3535" w:rsidRDefault="00FA5E66" w:rsidP="00D850DC">
            <w:r w:rsidRPr="00BC3535">
              <w:t>112.5</w:t>
            </w:r>
          </w:p>
        </w:tc>
      </w:tr>
      <w:tr w:rsidR="00FA5E66" w:rsidRPr="00BC3535" w14:paraId="072B6DC2" w14:textId="77777777" w:rsidTr="00B153E6">
        <w:trPr>
          <w:trHeight w:val="300"/>
          <w:tblHeader/>
        </w:trPr>
        <w:tc>
          <w:tcPr>
            <w:tcW w:w="1250" w:type="pct"/>
            <w:shd w:val="clear" w:color="auto" w:fill="F5F5F1"/>
            <w:hideMark/>
          </w:tcPr>
          <w:p w14:paraId="33A6D412" w14:textId="77777777" w:rsidR="00FA5E66" w:rsidRPr="00BC3535" w:rsidRDefault="00FA5E66" w:rsidP="00D850DC">
            <w:pPr>
              <w:rPr>
                <w:color w:val="000000"/>
              </w:rPr>
            </w:pPr>
            <w:r w:rsidRPr="00BC3535">
              <w:rPr>
                <w:color w:val="000000"/>
              </w:rPr>
              <w:t>50 to 64</w:t>
            </w:r>
          </w:p>
        </w:tc>
        <w:tc>
          <w:tcPr>
            <w:tcW w:w="1250" w:type="pct"/>
            <w:shd w:val="clear" w:color="auto" w:fill="F5F5F1"/>
            <w:hideMark/>
          </w:tcPr>
          <w:p w14:paraId="222281B2" w14:textId="77777777" w:rsidR="00FA5E66" w:rsidRPr="00BC3535" w:rsidRDefault="00FA5E66" w:rsidP="00D850DC">
            <w:pPr>
              <w:rPr>
                <w:color w:val="0F0F0F"/>
              </w:rPr>
            </w:pPr>
            <w:r w:rsidRPr="00BC3535">
              <w:rPr>
                <w:color w:val="0F0F0F"/>
              </w:rPr>
              <w:t>9,374</w:t>
            </w:r>
          </w:p>
        </w:tc>
        <w:tc>
          <w:tcPr>
            <w:tcW w:w="1250" w:type="pct"/>
            <w:shd w:val="clear" w:color="auto" w:fill="F5F5F1"/>
            <w:noWrap/>
            <w:hideMark/>
          </w:tcPr>
          <w:p w14:paraId="20D64443" w14:textId="77777777" w:rsidR="00FA5E66" w:rsidRPr="00BC3535" w:rsidRDefault="00FA5E66" w:rsidP="00D850DC">
            <w:pPr>
              <w:rPr>
                <w:color w:val="0F0F0F"/>
              </w:rPr>
            </w:pPr>
            <w:r w:rsidRPr="00BC3535">
              <w:rPr>
                <w:color w:val="0F0F0F"/>
              </w:rPr>
              <w:t>10,533,154</w:t>
            </w:r>
          </w:p>
        </w:tc>
        <w:tc>
          <w:tcPr>
            <w:tcW w:w="1250" w:type="pct"/>
            <w:shd w:val="clear" w:color="auto" w:fill="F5F5F1"/>
            <w:noWrap/>
            <w:hideMark/>
          </w:tcPr>
          <w:p w14:paraId="57057377" w14:textId="77777777" w:rsidR="00FA5E66" w:rsidRPr="00BC3535" w:rsidRDefault="00FA5E66" w:rsidP="00D850DC">
            <w:r w:rsidRPr="00BC3535">
              <w:t>89.0</w:t>
            </w:r>
          </w:p>
        </w:tc>
      </w:tr>
      <w:tr w:rsidR="00FA5E66" w:rsidRPr="00BC3535" w14:paraId="5932790D" w14:textId="77777777" w:rsidTr="00B153E6">
        <w:trPr>
          <w:trHeight w:val="300"/>
          <w:tblHeader/>
        </w:trPr>
        <w:tc>
          <w:tcPr>
            <w:tcW w:w="1250" w:type="pct"/>
            <w:tcBorders>
              <w:bottom w:val="single" w:sz="12" w:space="0" w:color="auto"/>
            </w:tcBorders>
            <w:shd w:val="clear" w:color="auto" w:fill="F5F5F1"/>
            <w:hideMark/>
          </w:tcPr>
          <w:p w14:paraId="281E5091" w14:textId="77777777" w:rsidR="00FA5E66" w:rsidRPr="00BC3535" w:rsidRDefault="00FA5E66" w:rsidP="00D850DC">
            <w:pPr>
              <w:rPr>
                <w:color w:val="000000"/>
              </w:rPr>
            </w:pPr>
            <w:r w:rsidRPr="00BC3535">
              <w:rPr>
                <w:color w:val="000000"/>
              </w:rPr>
              <w:t>65 and over</w:t>
            </w:r>
          </w:p>
        </w:tc>
        <w:tc>
          <w:tcPr>
            <w:tcW w:w="1250" w:type="pct"/>
            <w:tcBorders>
              <w:bottom w:val="single" w:sz="12" w:space="0" w:color="auto"/>
            </w:tcBorders>
            <w:shd w:val="clear" w:color="auto" w:fill="F5F5F1"/>
            <w:hideMark/>
          </w:tcPr>
          <w:p w14:paraId="2E05A125" w14:textId="77777777" w:rsidR="00FA5E66" w:rsidRPr="00BC3535" w:rsidRDefault="00FA5E66" w:rsidP="00D850DC">
            <w:pPr>
              <w:rPr>
                <w:color w:val="0F0F0F"/>
              </w:rPr>
            </w:pPr>
            <w:r w:rsidRPr="00BC3535">
              <w:rPr>
                <w:color w:val="0F0F0F"/>
              </w:rPr>
              <w:t>9,989</w:t>
            </w:r>
          </w:p>
        </w:tc>
        <w:tc>
          <w:tcPr>
            <w:tcW w:w="1250" w:type="pct"/>
            <w:tcBorders>
              <w:bottom w:val="single" w:sz="12" w:space="0" w:color="auto"/>
            </w:tcBorders>
            <w:shd w:val="clear" w:color="auto" w:fill="F5F5F1"/>
            <w:noWrap/>
            <w:hideMark/>
          </w:tcPr>
          <w:p w14:paraId="2903D372" w14:textId="77777777" w:rsidR="00FA5E66" w:rsidRPr="00BC3535" w:rsidRDefault="00FA5E66" w:rsidP="00D850DC">
            <w:pPr>
              <w:rPr>
                <w:color w:val="0F0F0F"/>
              </w:rPr>
            </w:pPr>
            <w:r w:rsidRPr="00BC3535">
              <w:rPr>
                <w:color w:val="0F0F0F"/>
              </w:rPr>
              <w:t>10,179,253</w:t>
            </w:r>
          </w:p>
        </w:tc>
        <w:tc>
          <w:tcPr>
            <w:tcW w:w="1250" w:type="pct"/>
            <w:tcBorders>
              <w:bottom w:val="single" w:sz="12" w:space="0" w:color="auto"/>
            </w:tcBorders>
            <w:shd w:val="clear" w:color="auto" w:fill="F5F5F1"/>
            <w:noWrap/>
            <w:hideMark/>
          </w:tcPr>
          <w:p w14:paraId="12D38F70" w14:textId="77777777" w:rsidR="00FA5E66" w:rsidRPr="00BC3535" w:rsidRDefault="00FA5E66" w:rsidP="00D850DC">
            <w:r w:rsidRPr="00BC3535">
              <w:t>98.1</w:t>
            </w:r>
          </w:p>
        </w:tc>
      </w:tr>
      <w:tr w:rsidR="00FA5E66" w:rsidRPr="00BC3535" w14:paraId="0A1E1DB6" w14:textId="77777777" w:rsidTr="00B153E6">
        <w:trPr>
          <w:trHeight w:val="300"/>
          <w:tblHeader/>
        </w:trPr>
        <w:tc>
          <w:tcPr>
            <w:tcW w:w="1250" w:type="pct"/>
            <w:tcBorders>
              <w:top w:val="single" w:sz="12" w:space="0" w:color="auto"/>
              <w:bottom w:val="single" w:sz="12" w:space="0" w:color="auto"/>
            </w:tcBorders>
            <w:shd w:val="clear" w:color="auto" w:fill="F5F5F1"/>
            <w:hideMark/>
          </w:tcPr>
          <w:p w14:paraId="005ADEDD" w14:textId="77777777" w:rsidR="00FA5E66" w:rsidRPr="00BC3535" w:rsidRDefault="00FA5E66" w:rsidP="00D850DC">
            <w:pPr>
              <w:rPr>
                <w:color w:val="000000"/>
              </w:rPr>
            </w:pPr>
            <w:r w:rsidRPr="00BC3535">
              <w:rPr>
                <w:color w:val="000000"/>
              </w:rPr>
              <w:t>All genders (where recorded)</w:t>
            </w:r>
          </w:p>
        </w:tc>
        <w:tc>
          <w:tcPr>
            <w:tcW w:w="1250" w:type="pct"/>
            <w:tcBorders>
              <w:top w:val="single" w:sz="12" w:space="0" w:color="auto"/>
              <w:bottom w:val="single" w:sz="12" w:space="0" w:color="auto"/>
            </w:tcBorders>
            <w:shd w:val="clear" w:color="auto" w:fill="F5F5F1"/>
            <w:hideMark/>
          </w:tcPr>
          <w:p w14:paraId="3924706B" w14:textId="77777777" w:rsidR="00FA5E66" w:rsidRPr="00BC3535" w:rsidRDefault="00FA5E66" w:rsidP="00D850DC">
            <w:pPr>
              <w:rPr>
                <w:color w:val="000000"/>
              </w:rPr>
            </w:pPr>
            <w:r w:rsidRPr="00BC3535">
              <w:rPr>
                <w:color w:val="000000"/>
              </w:rPr>
              <w:t>48,828</w:t>
            </w:r>
          </w:p>
        </w:tc>
        <w:tc>
          <w:tcPr>
            <w:tcW w:w="1250" w:type="pct"/>
            <w:tcBorders>
              <w:top w:val="single" w:sz="12" w:space="0" w:color="auto"/>
              <w:bottom w:val="single" w:sz="12" w:space="0" w:color="auto"/>
            </w:tcBorders>
            <w:shd w:val="clear" w:color="auto" w:fill="F5F5F1"/>
            <w:noWrap/>
            <w:hideMark/>
          </w:tcPr>
          <w:p w14:paraId="45F99230" w14:textId="77777777" w:rsidR="00FA5E66" w:rsidRPr="00BC3535" w:rsidRDefault="00FA5E66" w:rsidP="00D850DC">
            <w:pPr>
              <w:rPr>
                <w:color w:val="0F0F0F"/>
              </w:rPr>
            </w:pPr>
            <w:r w:rsidRPr="00BC3535">
              <w:rPr>
                <w:color w:val="0F0F0F"/>
              </w:rPr>
              <w:t>55,977,178</w:t>
            </w:r>
          </w:p>
        </w:tc>
        <w:tc>
          <w:tcPr>
            <w:tcW w:w="1250" w:type="pct"/>
            <w:tcBorders>
              <w:top w:val="single" w:sz="12" w:space="0" w:color="auto"/>
              <w:bottom w:val="single" w:sz="12" w:space="0" w:color="auto"/>
            </w:tcBorders>
            <w:shd w:val="clear" w:color="auto" w:fill="F5F5F1"/>
            <w:noWrap/>
            <w:hideMark/>
          </w:tcPr>
          <w:p w14:paraId="126A1115" w14:textId="77777777" w:rsidR="00FA5E66" w:rsidRPr="00BC3535" w:rsidRDefault="00FA5E66" w:rsidP="00D850DC">
            <w:r w:rsidRPr="00BC3535">
              <w:t>87.2</w:t>
            </w:r>
          </w:p>
        </w:tc>
      </w:tr>
      <w:tr w:rsidR="00FA5E66" w:rsidRPr="00BC3535" w14:paraId="5ED1C387" w14:textId="77777777" w:rsidTr="00B153E6">
        <w:trPr>
          <w:trHeight w:val="300"/>
          <w:tblHeader/>
        </w:trPr>
        <w:tc>
          <w:tcPr>
            <w:tcW w:w="1250" w:type="pct"/>
            <w:tcBorders>
              <w:top w:val="single" w:sz="12" w:space="0" w:color="auto"/>
            </w:tcBorders>
            <w:shd w:val="clear" w:color="auto" w:fill="F5F5F1"/>
            <w:hideMark/>
          </w:tcPr>
          <w:p w14:paraId="406682BE" w14:textId="77777777" w:rsidR="00FA5E66" w:rsidRPr="00BC3535" w:rsidRDefault="00FA5E66" w:rsidP="00D850DC">
            <w:pPr>
              <w:rPr>
                <w:color w:val="000000"/>
              </w:rPr>
            </w:pPr>
            <w:r w:rsidRPr="00BC3535">
              <w:rPr>
                <w:color w:val="000000"/>
              </w:rPr>
              <w:t>Male</w:t>
            </w:r>
          </w:p>
        </w:tc>
        <w:tc>
          <w:tcPr>
            <w:tcW w:w="1250" w:type="pct"/>
            <w:tcBorders>
              <w:top w:val="single" w:sz="12" w:space="0" w:color="auto"/>
            </w:tcBorders>
            <w:shd w:val="clear" w:color="auto" w:fill="F5F5F1"/>
            <w:hideMark/>
          </w:tcPr>
          <w:p w14:paraId="37B292A2" w14:textId="77777777" w:rsidR="00FA5E66" w:rsidRPr="00BC3535" w:rsidRDefault="00FA5E66" w:rsidP="00D850DC">
            <w:pPr>
              <w:rPr>
                <w:color w:val="0F0F0F"/>
              </w:rPr>
            </w:pPr>
            <w:r w:rsidRPr="00BC3535">
              <w:rPr>
                <w:color w:val="0F0F0F"/>
              </w:rPr>
              <w:t>25,285</w:t>
            </w:r>
          </w:p>
        </w:tc>
        <w:tc>
          <w:tcPr>
            <w:tcW w:w="1250" w:type="pct"/>
            <w:tcBorders>
              <w:top w:val="single" w:sz="12" w:space="0" w:color="auto"/>
            </w:tcBorders>
            <w:shd w:val="clear" w:color="auto" w:fill="F5F5F1"/>
            <w:noWrap/>
            <w:hideMark/>
          </w:tcPr>
          <w:p w14:paraId="58B021FF" w14:textId="77777777" w:rsidR="00FA5E66" w:rsidRPr="00BC3535" w:rsidRDefault="00FA5E66" w:rsidP="00D850DC">
            <w:pPr>
              <w:rPr>
                <w:color w:val="0F0F0F"/>
              </w:rPr>
            </w:pPr>
            <w:r w:rsidRPr="00BC3535">
              <w:rPr>
                <w:color w:val="0F0F0F"/>
              </w:rPr>
              <w:t>27,667,942</w:t>
            </w:r>
          </w:p>
        </w:tc>
        <w:tc>
          <w:tcPr>
            <w:tcW w:w="1250" w:type="pct"/>
            <w:tcBorders>
              <w:top w:val="single" w:sz="12" w:space="0" w:color="auto"/>
            </w:tcBorders>
            <w:shd w:val="clear" w:color="auto" w:fill="F5F5F1"/>
            <w:noWrap/>
            <w:hideMark/>
          </w:tcPr>
          <w:p w14:paraId="781528F9" w14:textId="77777777" w:rsidR="00FA5E66" w:rsidRPr="00BC3535" w:rsidRDefault="00FA5E66" w:rsidP="00D850DC">
            <w:r w:rsidRPr="00BC3535">
              <w:t>91.4</w:t>
            </w:r>
          </w:p>
        </w:tc>
      </w:tr>
      <w:tr w:rsidR="00FA5E66" w:rsidRPr="00BC3535" w14:paraId="3296C937" w14:textId="77777777" w:rsidTr="00B153E6">
        <w:trPr>
          <w:trHeight w:val="300"/>
          <w:tblHeader/>
        </w:trPr>
        <w:tc>
          <w:tcPr>
            <w:tcW w:w="1250" w:type="pct"/>
            <w:tcBorders>
              <w:bottom w:val="single" w:sz="12" w:space="0" w:color="auto"/>
            </w:tcBorders>
            <w:shd w:val="clear" w:color="auto" w:fill="F5F5F1"/>
            <w:hideMark/>
          </w:tcPr>
          <w:p w14:paraId="3047019D" w14:textId="77777777" w:rsidR="00FA5E66" w:rsidRPr="00BC3535" w:rsidRDefault="00FA5E66" w:rsidP="00D850DC">
            <w:pPr>
              <w:rPr>
                <w:color w:val="000000"/>
              </w:rPr>
            </w:pPr>
            <w:r w:rsidRPr="00BC3535">
              <w:rPr>
                <w:color w:val="000000"/>
              </w:rPr>
              <w:t>Female</w:t>
            </w:r>
          </w:p>
        </w:tc>
        <w:tc>
          <w:tcPr>
            <w:tcW w:w="1250" w:type="pct"/>
            <w:tcBorders>
              <w:bottom w:val="single" w:sz="12" w:space="0" w:color="auto"/>
            </w:tcBorders>
            <w:shd w:val="clear" w:color="auto" w:fill="F5F5F1"/>
            <w:hideMark/>
          </w:tcPr>
          <w:p w14:paraId="2F15A945" w14:textId="77777777" w:rsidR="00FA5E66" w:rsidRPr="00BC3535" w:rsidRDefault="00FA5E66" w:rsidP="00D850DC">
            <w:pPr>
              <w:rPr>
                <w:color w:val="0F0F0F"/>
              </w:rPr>
            </w:pPr>
            <w:r w:rsidRPr="00BC3535">
              <w:rPr>
                <w:color w:val="0F0F0F"/>
              </w:rPr>
              <w:t>23,543</w:t>
            </w:r>
          </w:p>
        </w:tc>
        <w:tc>
          <w:tcPr>
            <w:tcW w:w="1250" w:type="pct"/>
            <w:tcBorders>
              <w:bottom w:val="single" w:sz="12" w:space="0" w:color="auto"/>
            </w:tcBorders>
            <w:shd w:val="clear" w:color="auto" w:fill="F5F5F1"/>
            <w:noWrap/>
            <w:hideMark/>
          </w:tcPr>
          <w:p w14:paraId="6D0B8F9C" w14:textId="77777777" w:rsidR="00FA5E66" w:rsidRPr="00BC3535" w:rsidRDefault="00FA5E66" w:rsidP="00D850DC">
            <w:pPr>
              <w:rPr>
                <w:color w:val="0F0F0F"/>
              </w:rPr>
            </w:pPr>
            <w:r w:rsidRPr="00BC3535">
              <w:rPr>
                <w:color w:val="0F0F0F"/>
              </w:rPr>
              <w:t>28,309,236</w:t>
            </w:r>
          </w:p>
        </w:tc>
        <w:tc>
          <w:tcPr>
            <w:tcW w:w="1250" w:type="pct"/>
            <w:tcBorders>
              <w:bottom w:val="single" w:sz="12" w:space="0" w:color="auto"/>
            </w:tcBorders>
            <w:shd w:val="clear" w:color="auto" w:fill="F5F5F1"/>
            <w:noWrap/>
            <w:hideMark/>
          </w:tcPr>
          <w:p w14:paraId="6F9141D0" w14:textId="77777777" w:rsidR="00FA5E66" w:rsidRPr="00BC3535" w:rsidRDefault="00FA5E66" w:rsidP="00D850DC">
            <w:r w:rsidRPr="00BC3535">
              <w:t>83.2</w:t>
            </w:r>
          </w:p>
        </w:tc>
      </w:tr>
      <w:tr w:rsidR="00FA5E66" w:rsidRPr="00BC3535" w14:paraId="14563DFB" w14:textId="77777777" w:rsidTr="00B153E6">
        <w:trPr>
          <w:trHeight w:val="300"/>
          <w:tblHeader/>
        </w:trPr>
        <w:tc>
          <w:tcPr>
            <w:tcW w:w="5000" w:type="pct"/>
            <w:gridSpan w:val="4"/>
            <w:tcBorders>
              <w:top w:val="single" w:sz="12" w:space="0" w:color="auto"/>
            </w:tcBorders>
          </w:tcPr>
          <w:p w14:paraId="5DB2182C" w14:textId="72F1CBD5" w:rsidR="00FA5E66" w:rsidRPr="00BC3535" w:rsidRDefault="00FA5E66" w:rsidP="00D850DC">
            <w:pPr>
              <w:rPr>
                <w:sz w:val="18"/>
                <w:szCs w:val="18"/>
              </w:rPr>
            </w:pPr>
            <w:r w:rsidRPr="00BC3535">
              <w:rPr>
                <w:i/>
                <w:iCs/>
                <w:sz w:val="18"/>
                <w:szCs w:val="18"/>
              </w:rPr>
              <w:t>Source:</w:t>
            </w:r>
            <w:r w:rsidRPr="00BC3535">
              <w:rPr>
                <w:sz w:val="18"/>
                <w:szCs w:val="18"/>
              </w:rPr>
              <w:t xml:space="preserve"> NHS Digital, “</w:t>
            </w:r>
            <w:hyperlink r:id="rId40" w:history="1">
              <w:r w:rsidRPr="00BC3535">
                <w:rPr>
                  <w:rStyle w:val="Hyperlink"/>
                  <w:sz w:val="18"/>
                  <w:szCs w:val="18"/>
                </w:rPr>
                <w:t>Mental Health Act Statistics, Annual Figures 2018-19</w:t>
              </w:r>
            </w:hyperlink>
            <w:r w:rsidRPr="00BC3535">
              <w:rPr>
                <w:sz w:val="18"/>
                <w:szCs w:val="18"/>
              </w:rPr>
              <w:t>”, 29 October 2019, table 1b</w:t>
            </w:r>
          </w:p>
        </w:tc>
      </w:tr>
    </w:tbl>
    <w:p w14:paraId="5B7543FE" w14:textId="69B248C2" w:rsidR="00355C6D" w:rsidRPr="00BC3535" w:rsidRDefault="00355C6D" w:rsidP="005E1A55">
      <w:pPr>
        <w:spacing w:before="0" w:after="0" w:line="240" w:lineRule="auto"/>
        <w:rPr>
          <w:rFonts w:eastAsiaTheme="majorEastAsia" w:cstheme="minorHAnsi"/>
          <w:b/>
          <w:color w:val="0A59AB"/>
          <w:spacing w:val="4"/>
          <w:kern w:val="0"/>
          <w:sz w:val="30"/>
          <w:szCs w:val="30"/>
        </w:rPr>
      </w:pPr>
    </w:p>
    <w:sectPr w:rsidR="00355C6D" w:rsidRPr="00BC3535" w:rsidSect="009D5DDF">
      <w:footerReference w:type="even" r:id="rId41"/>
      <w:footerReference w:type="default" r:id="rId42"/>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004C7" w14:textId="77777777" w:rsidR="00675462" w:rsidRPr="00BC3535" w:rsidRDefault="00675462" w:rsidP="00461540">
      <w:r w:rsidRPr="00BC3535">
        <w:separator/>
      </w:r>
    </w:p>
  </w:endnote>
  <w:endnote w:type="continuationSeparator" w:id="0">
    <w:p w14:paraId="5422DFF4" w14:textId="77777777" w:rsidR="00675462" w:rsidRPr="00BC3535" w:rsidRDefault="00675462" w:rsidP="00461540">
      <w:r w:rsidRPr="00BC353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D81478" w:rsidRPr="00BC3535" w:rsidRDefault="00D81478" w:rsidP="005935AC">
        <w:pPr>
          <w:pStyle w:val="Footer"/>
          <w:framePr w:wrap="none" w:vAnchor="text" w:hAnchor="margin" w:xAlign="right" w:y="1"/>
          <w:rPr>
            <w:rStyle w:val="PageNumber"/>
          </w:rPr>
        </w:pPr>
        <w:r w:rsidRPr="00BC3535">
          <w:rPr>
            <w:rStyle w:val="PageNumber"/>
          </w:rPr>
          <w:fldChar w:fldCharType="begin"/>
        </w:r>
        <w:r w:rsidRPr="00BC3535">
          <w:rPr>
            <w:rStyle w:val="PageNumber"/>
          </w:rPr>
          <w:instrText xml:space="preserve"> PAGE </w:instrText>
        </w:r>
        <w:r w:rsidRPr="00BC3535">
          <w:rPr>
            <w:rStyle w:val="PageNumber"/>
          </w:rPr>
          <w:fldChar w:fldCharType="end"/>
        </w:r>
      </w:p>
    </w:sdtContent>
  </w:sdt>
  <w:p w14:paraId="143BCC80" w14:textId="77777777" w:rsidR="00D81478" w:rsidRPr="00BC3535" w:rsidRDefault="00D81478"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bCs/>
        <w:sz w:val="18"/>
        <w:szCs w:val="18"/>
      </w:rPr>
    </w:sdtEndPr>
    <w:sdtContent>
      <w:p w14:paraId="672B0C64" w14:textId="17B706B4" w:rsidR="00D81478" w:rsidRPr="00BC3535" w:rsidRDefault="00D81478" w:rsidP="00867838">
        <w:pPr>
          <w:pStyle w:val="Footer"/>
          <w:framePr w:wrap="none" w:vAnchor="text" w:hAnchor="margin" w:xAlign="right" w:y="1"/>
          <w:spacing w:before="0" w:after="0" w:line="240" w:lineRule="auto"/>
          <w:rPr>
            <w:rStyle w:val="PageNumber"/>
            <w:b/>
          </w:rPr>
        </w:pPr>
        <w:r w:rsidRPr="00BC3535">
          <w:rPr>
            <w:rStyle w:val="PageNumber"/>
            <w:rFonts w:cstheme="minorHAnsi"/>
            <w:b/>
            <w:bCs/>
          </w:rPr>
          <w:fldChar w:fldCharType="begin"/>
        </w:r>
        <w:r w:rsidRPr="00BC3535">
          <w:rPr>
            <w:rStyle w:val="PageNumber"/>
            <w:rFonts w:cstheme="minorHAnsi"/>
            <w:b/>
            <w:bCs/>
          </w:rPr>
          <w:instrText xml:space="preserve"> PAGE </w:instrText>
        </w:r>
        <w:r w:rsidRPr="00BC3535">
          <w:rPr>
            <w:rStyle w:val="PageNumber"/>
            <w:rFonts w:cstheme="minorHAnsi"/>
            <w:b/>
            <w:bCs/>
          </w:rPr>
          <w:fldChar w:fldCharType="separate"/>
        </w:r>
        <w:r w:rsidR="00345D66" w:rsidRPr="00BC3535">
          <w:rPr>
            <w:rStyle w:val="PageNumber"/>
            <w:rFonts w:cstheme="minorHAnsi"/>
            <w:b/>
            <w:bCs/>
            <w:noProof/>
          </w:rPr>
          <w:t>17</w:t>
        </w:r>
        <w:r w:rsidRPr="00BC3535">
          <w:rPr>
            <w:rStyle w:val="PageNumber"/>
            <w:rFonts w:cstheme="minorHAnsi"/>
            <w:b/>
            <w:bCs/>
          </w:rPr>
          <w:fldChar w:fldCharType="end"/>
        </w:r>
      </w:p>
    </w:sdtContent>
  </w:sdt>
  <w:p w14:paraId="4DD63F12" w14:textId="7601B626" w:rsidR="00D81478" w:rsidRPr="00BC3535" w:rsidRDefault="00D81478" w:rsidP="002C06FB">
    <w:pPr>
      <w:pStyle w:val="Footer"/>
      <w:tabs>
        <w:tab w:val="clear" w:pos="9360"/>
        <w:tab w:val="right" w:pos="8300"/>
      </w:tabs>
      <w:spacing w:before="0"/>
      <w:ind w:left="432" w:right="360"/>
      <w:rPr>
        <w:spacing w:val="-2"/>
        <w:sz w:val="18"/>
        <w:szCs w:val="18"/>
        <w:lang w:val="en-US"/>
      </w:rPr>
    </w:pPr>
    <w:r w:rsidRPr="00BC3535">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2F3E72FA" wp14:editId="63C3AC61">
              <wp:simplePos x="0" y="0"/>
              <wp:positionH relativeFrom="column">
                <wp:posOffset>5322318</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790A1" id="Rounded Rectangle 4" o:spid="_x0000_s1026" alt="&quot;&quot;" style="position:absolute;margin-left:419.1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" fillcolor="#ffc000" stroked="f" strokeweight="1pt">
              <v:stroke joinstyle="miter"/>
              <w10:wrap type="through"/>
            </v:roundrect>
          </w:pict>
        </mc:Fallback>
      </mc:AlternateContent>
    </w:r>
    <w:r w:rsidRPr="00BC3535">
      <w:rPr>
        <w:rFonts w:asciiTheme="minorHAnsi" w:hAnsiTheme="minorHAnsi"/>
        <w:noProof/>
        <w:sz w:val="18"/>
        <w:szCs w:val="18"/>
        <w:lang w:eastAsia="en-GB"/>
      </w:rPr>
      <w:drawing>
        <wp:anchor distT="0" distB="0" distL="114300" distR="114300" simplePos="0" relativeHeight="251659264" behindDoc="0" locked="0" layoutInCell="1" allowOverlap="1" wp14:anchorId="31A777C9" wp14:editId="00AB3A3B">
          <wp:simplePos x="0" y="0"/>
          <wp:positionH relativeFrom="column">
            <wp:posOffset>-3810</wp:posOffset>
          </wp:positionH>
          <wp:positionV relativeFrom="paragraph">
            <wp:posOffset>-6127</wp:posOffset>
          </wp:positionV>
          <wp:extent cx="287020" cy="148590"/>
          <wp:effectExtent l="0" t="0" r="0" b="3810"/>
          <wp:wrapNone/>
          <wp:docPr id="9" name="Picture 9"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535">
      <w:rPr>
        <w:rFonts w:asciiTheme="minorHAnsi" w:hAnsiTheme="minorHAnsi"/>
        <w:sz w:val="18"/>
        <w:szCs w:val="18"/>
        <w:lang w:val="en-US"/>
      </w:rPr>
      <w:t xml:space="preserve">  </w:t>
    </w:r>
    <w:r w:rsidRPr="00BC3535">
      <w:rPr>
        <w:color w:val="7F7F7F" w:themeColor="text1" w:themeTint="80"/>
        <w:sz w:val="18"/>
        <w:szCs w:val="18"/>
        <w:lang w:val="en-US"/>
      </w:rPr>
      <w:t>+</w:t>
    </w:r>
    <w:r w:rsidRPr="00BC3535">
      <w:rPr>
        <w:color w:val="7F7F7F" w:themeColor="text1" w:themeTint="80"/>
        <w:spacing w:val="-2"/>
        <w:sz w:val="18"/>
        <w:szCs w:val="18"/>
        <w:lang w:val="en-US"/>
      </w:rPr>
      <w:t xml:space="preserve"> Data Sources on Article 25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FE75E" w14:textId="77777777" w:rsidR="00675462" w:rsidRPr="00BC3535" w:rsidRDefault="00675462" w:rsidP="00461540">
      <w:r w:rsidRPr="00BC3535">
        <w:separator/>
      </w:r>
    </w:p>
  </w:footnote>
  <w:footnote w:type="continuationSeparator" w:id="0">
    <w:p w14:paraId="753DE83D" w14:textId="77777777" w:rsidR="00675462" w:rsidRPr="00BC3535" w:rsidRDefault="00675462" w:rsidP="00461540">
      <w:r w:rsidRPr="00BC353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A04348"/>
    <w:multiLevelType w:val="hybridMultilevel"/>
    <w:tmpl w:val="DF6A6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4"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4" w15:restartNumberingAfterBreak="0">
    <w:nsid w:val="31CE6900"/>
    <w:multiLevelType w:val="hybridMultilevel"/>
    <w:tmpl w:val="91BC4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31" w15:restartNumberingAfterBreak="0">
    <w:nsid w:val="495914FA"/>
    <w:multiLevelType w:val="hybridMultilevel"/>
    <w:tmpl w:val="F9446B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9F3B36"/>
    <w:multiLevelType w:val="hybridMultilevel"/>
    <w:tmpl w:val="8FDA4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869EB"/>
    <w:multiLevelType w:val="hybridMultilevel"/>
    <w:tmpl w:val="76D07CB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5D1D43"/>
    <w:multiLevelType w:val="hybridMultilevel"/>
    <w:tmpl w:val="A1687FCA"/>
    <w:lvl w:ilvl="0" w:tplc="7304F5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0"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437999"/>
    <w:multiLevelType w:val="hybridMultilevel"/>
    <w:tmpl w:val="572C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3"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35"/>
  </w:num>
  <w:num w:numId="4">
    <w:abstractNumId w:val="30"/>
  </w:num>
  <w:num w:numId="5">
    <w:abstractNumId w:val="21"/>
  </w:num>
  <w:num w:numId="6">
    <w:abstractNumId w:val="44"/>
  </w:num>
  <w:num w:numId="7">
    <w:abstractNumId w:val="26"/>
  </w:num>
  <w:num w:numId="8">
    <w:abstractNumId w:val="25"/>
  </w:num>
  <w:num w:numId="9">
    <w:abstractNumId w:val="32"/>
  </w:num>
  <w:num w:numId="10">
    <w:abstractNumId w:val="27"/>
  </w:num>
  <w:num w:numId="11">
    <w:abstractNumId w:val="16"/>
  </w:num>
  <w:num w:numId="12">
    <w:abstractNumId w:val="40"/>
  </w:num>
  <w:num w:numId="13">
    <w:abstractNumId w:val="23"/>
  </w:num>
  <w:num w:numId="14">
    <w:abstractNumId w:val="13"/>
  </w:num>
  <w:num w:numId="15">
    <w:abstractNumId w:val="36"/>
  </w:num>
  <w:num w:numId="16">
    <w:abstractNumId w:val="14"/>
  </w:num>
  <w:num w:numId="17">
    <w:abstractNumId w:val="10"/>
  </w:num>
  <w:num w:numId="18">
    <w:abstractNumId w:val="46"/>
  </w:num>
  <w:num w:numId="19">
    <w:abstractNumId w:val="17"/>
  </w:num>
  <w:num w:numId="20">
    <w:abstractNumId w:val="15"/>
  </w:num>
  <w:num w:numId="21">
    <w:abstractNumId w:val="29"/>
  </w:num>
  <w:num w:numId="22">
    <w:abstractNumId w:val="45"/>
  </w:num>
  <w:num w:numId="23">
    <w:abstractNumId w:val="22"/>
  </w:num>
  <w:num w:numId="24">
    <w:abstractNumId w:val="20"/>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19"/>
  </w:num>
  <w:num w:numId="36">
    <w:abstractNumId w:val="34"/>
  </w:num>
  <w:num w:numId="37">
    <w:abstractNumId w:val="28"/>
  </w:num>
  <w:num w:numId="38">
    <w:abstractNumId w:val="43"/>
  </w:num>
  <w:num w:numId="39">
    <w:abstractNumId w:val="11"/>
  </w:num>
  <w:num w:numId="40">
    <w:abstractNumId w:val="42"/>
  </w:num>
  <w:num w:numId="41">
    <w:abstractNumId w:val="38"/>
  </w:num>
  <w:num w:numId="42">
    <w:abstractNumId w:val="41"/>
  </w:num>
  <w:num w:numId="43">
    <w:abstractNumId w:val="12"/>
  </w:num>
  <w:num w:numId="44">
    <w:abstractNumId w:val="31"/>
  </w:num>
  <w:num w:numId="45">
    <w:abstractNumId w:val="33"/>
  </w:num>
  <w:num w:numId="46">
    <w:abstractNumId w:val="2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5BA0"/>
    <w:rsid w:val="000175F5"/>
    <w:rsid w:val="0002001C"/>
    <w:rsid w:val="000255F1"/>
    <w:rsid w:val="00026288"/>
    <w:rsid w:val="00062C31"/>
    <w:rsid w:val="000644C5"/>
    <w:rsid w:val="000764AF"/>
    <w:rsid w:val="00085AA9"/>
    <w:rsid w:val="00087BBD"/>
    <w:rsid w:val="0009093A"/>
    <w:rsid w:val="00093D0B"/>
    <w:rsid w:val="000A5924"/>
    <w:rsid w:val="000A661C"/>
    <w:rsid w:val="000B1186"/>
    <w:rsid w:val="000B13D8"/>
    <w:rsid w:val="000B1723"/>
    <w:rsid w:val="000D47E4"/>
    <w:rsid w:val="000E352D"/>
    <w:rsid w:val="000F5328"/>
    <w:rsid w:val="000F56DA"/>
    <w:rsid w:val="00101E46"/>
    <w:rsid w:val="00102434"/>
    <w:rsid w:val="00104C3F"/>
    <w:rsid w:val="0011247F"/>
    <w:rsid w:val="00113282"/>
    <w:rsid w:val="00113670"/>
    <w:rsid w:val="00116DE9"/>
    <w:rsid w:val="001243C1"/>
    <w:rsid w:val="00124491"/>
    <w:rsid w:val="00125983"/>
    <w:rsid w:val="00134C3A"/>
    <w:rsid w:val="001541E8"/>
    <w:rsid w:val="00163B0E"/>
    <w:rsid w:val="00166B8E"/>
    <w:rsid w:val="00173D86"/>
    <w:rsid w:val="00191D5C"/>
    <w:rsid w:val="00191DAC"/>
    <w:rsid w:val="001C2D74"/>
    <w:rsid w:val="001C65CC"/>
    <w:rsid w:val="001C76A8"/>
    <w:rsid w:val="001D54C9"/>
    <w:rsid w:val="001F4B1B"/>
    <w:rsid w:val="002004D2"/>
    <w:rsid w:val="0020421C"/>
    <w:rsid w:val="00213CD1"/>
    <w:rsid w:val="002148FC"/>
    <w:rsid w:val="0021621F"/>
    <w:rsid w:val="002218F7"/>
    <w:rsid w:val="0022275D"/>
    <w:rsid w:val="00222C7E"/>
    <w:rsid w:val="0022595A"/>
    <w:rsid w:val="002268B4"/>
    <w:rsid w:val="002273D6"/>
    <w:rsid w:val="00242D93"/>
    <w:rsid w:val="0026208F"/>
    <w:rsid w:val="0026364F"/>
    <w:rsid w:val="00270A8A"/>
    <w:rsid w:val="00270BD0"/>
    <w:rsid w:val="0027734E"/>
    <w:rsid w:val="00280323"/>
    <w:rsid w:val="00286968"/>
    <w:rsid w:val="002949A8"/>
    <w:rsid w:val="002C06FB"/>
    <w:rsid w:val="002C350A"/>
    <w:rsid w:val="002C4B00"/>
    <w:rsid w:val="002E12D5"/>
    <w:rsid w:val="002E25CA"/>
    <w:rsid w:val="002E4EB8"/>
    <w:rsid w:val="002E7C72"/>
    <w:rsid w:val="002F46CD"/>
    <w:rsid w:val="0031097C"/>
    <w:rsid w:val="00311B6B"/>
    <w:rsid w:val="003126C7"/>
    <w:rsid w:val="00313B63"/>
    <w:rsid w:val="00323FB0"/>
    <w:rsid w:val="00330FE4"/>
    <w:rsid w:val="0033262E"/>
    <w:rsid w:val="0034007F"/>
    <w:rsid w:val="00345D66"/>
    <w:rsid w:val="003478B1"/>
    <w:rsid w:val="00353776"/>
    <w:rsid w:val="00355C6D"/>
    <w:rsid w:val="003616BB"/>
    <w:rsid w:val="00382A3E"/>
    <w:rsid w:val="00384DAD"/>
    <w:rsid w:val="00390D12"/>
    <w:rsid w:val="00393AE6"/>
    <w:rsid w:val="00396691"/>
    <w:rsid w:val="00396C8F"/>
    <w:rsid w:val="003A223E"/>
    <w:rsid w:val="003A2ADC"/>
    <w:rsid w:val="003B2EBF"/>
    <w:rsid w:val="003B7A00"/>
    <w:rsid w:val="003F1867"/>
    <w:rsid w:val="0042304D"/>
    <w:rsid w:val="00432D6B"/>
    <w:rsid w:val="00435BA2"/>
    <w:rsid w:val="00435E14"/>
    <w:rsid w:val="00436405"/>
    <w:rsid w:val="00446E99"/>
    <w:rsid w:val="00450B91"/>
    <w:rsid w:val="00461540"/>
    <w:rsid w:val="0046655B"/>
    <w:rsid w:val="0046658B"/>
    <w:rsid w:val="00467602"/>
    <w:rsid w:val="00474244"/>
    <w:rsid w:val="004777C6"/>
    <w:rsid w:val="00484B33"/>
    <w:rsid w:val="004913CF"/>
    <w:rsid w:val="00494626"/>
    <w:rsid w:val="00494783"/>
    <w:rsid w:val="0049519C"/>
    <w:rsid w:val="004954C4"/>
    <w:rsid w:val="004A3269"/>
    <w:rsid w:val="004A6ACB"/>
    <w:rsid w:val="004B375B"/>
    <w:rsid w:val="004B6FD7"/>
    <w:rsid w:val="004D43D0"/>
    <w:rsid w:val="004D74F3"/>
    <w:rsid w:val="004E2537"/>
    <w:rsid w:val="004E35BC"/>
    <w:rsid w:val="004E6D50"/>
    <w:rsid w:val="004E73D8"/>
    <w:rsid w:val="004F049C"/>
    <w:rsid w:val="004F2D5E"/>
    <w:rsid w:val="004F337D"/>
    <w:rsid w:val="004F3BD9"/>
    <w:rsid w:val="004F3DE2"/>
    <w:rsid w:val="004F7196"/>
    <w:rsid w:val="00502559"/>
    <w:rsid w:val="00511D23"/>
    <w:rsid w:val="005148BD"/>
    <w:rsid w:val="00525F57"/>
    <w:rsid w:val="00527BE5"/>
    <w:rsid w:val="00527D96"/>
    <w:rsid w:val="00532347"/>
    <w:rsid w:val="005458FD"/>
    <w:rsid w:val="00551B15"/>
    <w:rsid w:val="00555658"/>
    <w:rsid w:val="005600A0"/>
    <w:rsid w:val="00567F31"/>
    <w:rsid w:val="00570364"/>
    <w:rsid w:val="00572828"/>
    <w:rsid w:val="005935AC"/>
    <w:rsid w:val="00595CBC"/>
    <w:rsid w:val="005A094A"/>
    <w:rsid w:val="005B5CFA"/>
    <w:rsid w:val="005C1458"/>
    <w:rsid w:val="005C72F3"/>
    <w:rsid w:val="005E0158"/>
    <w:rsid w:val="005E1A55"/>
    <w:rsid w:val="005E7B70"/>
    <w:rsid w:val="005F2806"/>
    <w:rsid w:val="005F281A"/>
    <w:rsid w:val="005F7463"/>
    <w:rsid w:val="00605A03"/>
    <w:rsid w:val="0062437F"/>
    <w:rsid w:val="006301F6"/>
    <w:rsid w:val="00632C09"/>
    <w:rsid w:val="00672636"/>
    <w:rsid w:val="00675462"/>
    <w:rsid w:val="00690066"/>
    <w:rsid w:val="00691370"/>
    <w:rsid w:val="00691D31"/>
    <w:rsid w:val="00694E7B"/>
    <w:rsid w:val="006A34E1"/>
    <w:rsid w:val="006A74CF"/>
    <w:rsid w:val="006B12B9"/>
    <w:rsid w:val="006B56A8"/>
    <w:rsid w:val="006C7551"/>
    <w:rsid w:val="006D0FAA"/>
    <w:rsid w:val="006D23EB"/>
    <w:rsid w:val="006D3CE0"/>
    <w:rsid w:val="006D6A11"/>
    <w:rsid w:val="006E20BC"/>
    <w:rsid w:val="006F0DD2"/>
    <w:rsid w:val="0070044F"/>
    <w:rsid w:val="00715858"/>
    <w:rsid w:val="00725275"/>
    <w:rsid w:val="00737923"/>
    <w:rsid w:val="0074088C"/>
    <w:rsid w:val="00747288"/>
    <w:rsid w:val="00752CF3"/>
    <w:rsid w:val="007573A5"/>
    <w:rsid w:val="00762B52"/>
    <w:rsid w:val="0076508E"/>
    <w:rsid w:val="0076693D"/>
    <w:rsid w:val="00770763"/>
    <w:rsid w:val="00770A1F"/>
    <w:rsid w:val="007710EB"/>
    <w:rsid w:val="00784F2D"/>
    <w:rsid w:val="007A1206"/>
    <w:rsid w:val="007A5C39"/>
    <w:rsid w:val="007B79E5"/>
    <w:rsid w:val="007C2B91"/>
    <w:rsid w:val="007C2FCE"/>
    <w:rsid w:val="007C4FC3"/>
    <w:rsid w:val="007D41E0"/>
    <w:rsid w:val="007D47A0"/>
    <w:rsid w:val="007E33D6"/>
    <w:rsid w:val="007E46EB"/>
    <w:rsid w:val="007E6363"/>
    <w:rsid w:val="0080218D"/>
    <w:rsid w:val="00811055"/>
    <w:rsid w:val="008153EF"/>
    <w:rsid w:val="00816E92"/>
    <w:rsid w:val="008649E4"/>
    <w:rsid w:val="00867838"/>
    <w:rsid w:val="00867F6C"/>
    <w:rsid w:val="008A1B56"/>
    <w:rsid w:val="008A44D4"/>
    <w:rsid w:val="008B4EDF"/>
    <w:rsid w:val="008B7B78"/>
    <w:rsid w:val="008D4556"/>
    <w:rsid w:val="008D5C3A"/>
    <w:rsid w:val="008D5E40"/>
    <w:rsid w:val="008F099C"/>
    <w:rsid w:val="008F441F"/>
    <w:rsid w:val="00904290"/>
    <w:rsid w:val="00904C4A"/>
    <w:rsid w:val="00906D01"/>
    <w:rsid w:val="0091019C"/>
    <w:rsid w:val="00911D78"/>
    <w:rsid w:val="00916A3E"/>
    <w:rsid w:val="00923EF7"/>
    <w:rsid w:val="009347C8"/>
    <w:rsid w:val="00936EB2"/>
    <w:rsid w:val="00941EC9"/>
    <w:rsid w:val="0095111A"/>
    <w:rsid w:val="00951389"/>
    <w:rsid w:val="00952E43"/>
    <w:rsid w:val="0096264B"/>
    <w:rsid w:val="00967DC8"/>
    <w:rsid w:val="00974C96"/>
    <w:rsid w:val="009842F6"/>
    <w:rsid w:val="009855D7"/>
    <w:rsid w:val="0098745D"/>
    <w:rsid w:val="00990B7E"/>
    <w:rsid w:val="0099485B"/>
    <w:rsid w:val="009A65EB"/>
    <w:rsid w:val="009B1276"/>
    <w:rsid w:val="009B25A1"/>
    <w:rsid w:val="009C097E"/>
    <w:rsid w:val="009D3457"/>
    <w:rsid w:val="009D5DDF"/>
    <w:rsid w:val="009E3CD9"/>
    <w:rsid w:val="009F6205"/>
    <w:rsid w:val="00A00BFC"/>
    <w:rsid w:val="00A0426C"/>
    <w:rsid w:val="00A072EA"/>
    <w:rsid w:val="00A17830"/>
    <w:rsid w:val="00A222FB"/>
    <w:rsid w:val="00A31BB2"/>
    <w:rsid w:val="00A32D52"/>
    <w:rsid w:val="00A469D3"/>
    <w:rsid w:val="00A501CE"/>
    <w:rsid w:val="00A51989"/>
    <w:rsid w:val="00A528DF"/>
    <w:rsid w:val="00A531F2"/>
    <w:rsid w:val="00A542D3"/>
    <w:rsid w:val="00A61065"/>
    <w:rsid w:val="00A62020"/>
    <w:rsid w:val="00A63BAF"/>
    <w:rsid w:val="00A659DF"/>
    <w:rsid w:val="00A700CD"/>
    <w:rsid w:val="00A73A9D"/>
    <w:rsid w:val="00AA1CB6"/>
    <w:rsid w:val="00AA7A6C"/>
    <w:rsid w:val="00AB34D2"/>
    <w:rsid w:val="00AC0682"/>
    <w:rsid w:val="00AC3449"/>
    <w:rsid w:val="00AC538E"/>
    <w:rsid w:val="00AF1E95"/>
    <w:rsid w:val="00AF48A4"/>
    <w:rsid w:val="00AF7866"/>
    <w:rsid w:val="00B00FDB"/>
    <w:rsid w:val="00B111CA"/>
    <w:rsid w:val="00B153E6"/>
    <w:rsid w:val="00B21303"/>
    <w:rsid w:val="00B2460D"/>
    <w:rsid w:val="00B24F18"/>
    <w:rsid w:val="00B33C39"/>
    <w:rsid w:val="00B33ECD"/>
    <w:rsid w:val="00B37E01"/>
    <w:rsid w:val="00B56341"/>
    <w:rsid w:val="00B563EB"/>
    <w:rsid w:val="00B56BBB"/>
    <w:rsid w:val="00B60FD1"/>
    <w:rsid w:val="00B628C6"/>
    <w:rsid w:val="00B62EC4"/>
    <w:rsid w:val="00B67975"/>
    <w:rsid w:val="00B90D1F"/>
    <w:rsid w:val="00B95136"/>
    <w:rsid w:val="00BA5172"/>
    <w:rsid w:val="00BA67CC"/>
    <w:rsid w:val="00BB0EFE"/>
    <w:rsid w:val="00BC3535"/>
    <w:rsid w:val="00BD3EEF"/>
    <w:rsid w:val="00BD4052"/>
    <w:rsid w:val="00BE1BF0"/>
    <w:rsid w:val="00BE2C1A"/>
    <w:rsid w:val="00BE5EE4"/>
    <w:rsid w:val="00BF7A4D"/>
    <w:rsid w:val="00C028D2"/>
    <w:rsid w:val="00C02B65"/>
    <w:rsid w:val="00C0511A"/>
    <w:rsid w:val="00C1724C"/>
    <w:rsid w:val="00C22620"/>
    <w:rsid w:val="00C36070"/>
    <w:rsid w:val="00C3673D"/>
    <w:rsid w:val="00C409D7"/>
    <w:rsid w:val="00C40D38"/>
    <w:rsid w:val="00C52338"/>
    <w:rsid w:val="00C5291A"/>
    <w:rsid w:val="00C7351A"/>
    <w:rsid w:val="00C74662"/>
    <w:rsid w:val="00C76959"/>
    <w:rsid w:val="00C77C48"/>
    <w:rsid w:val="00C81AF6"/>
    <w:rsid w:val="00C83B53"/>
    <w:rsid w:val="00C90A1D"/>
    <w:rsid w:val="00C91422"/>
    <w:rsid w:val="00CA12C3"/>
    <w:rsid w:val="00CA1344"/>
    <w:rsid w:val="00CA247C"/>
    <w:rsid w:val="00CA40B9"/>
    <w:rsid w:val="00CB0525"/>
    <w:rsid w:val="00CB0ADB"/>
    <w:rsid w:val="00CB0E58"/>
    <w:rsid w:val="00CD3E5C"/>
    <w:rsid w:val="00CD60C6"/>
    <w:rsid w:val="00CE4D5E"/>
    <w:rsid w:val="00CE4EBE"/>
    <w:rsid w:val="00CE55C8"/>
    <w:rsid w:val="00CE5E74"/>
    <w:rsid w:val="00CE6B34"/>
    <w:rsid w:val="00CF1DAA"/>
    <w:rsid w:val="00D115E7"/>
    <w:rsid w:val="00D177A9"/>
    <w:rsid w:val="00D5098B"/>
    <w:rsid w:val="00D57270"/>
    <w:rsid w:val="00D57DF3"/>
    <w:rsid w:val="00D60EEB"/>
    <w:rsid w:val="00D61786"/>
    <w:rsid w:val="00D63A37"/>
    <w:rsid w:val="00D72ED2"/>
    <w:rsid w:val="00D808B3"/>
    <w:rsid w:val="00D80A5D"/>
    <w:rsid w:val="00D81478"/>
    <w:rsid w:val="00D850DC"/>
    <w:rsid w:val="00D92C12"/>
    <w:rsid w:val="00D935C4"/>
    <w:rsid w:val="00DA5396"/>
    <w:rsid w:val="00DA62A0"/>
    <w:rsid w:val="00DB7C66"/>
    <w:rsid w:val="00DC17B0"/>
    <w:rsid w:val="00DC1AE4"/>
    <w:rsid w:val="00DC3A3E"/>
    <w:rsid w:val="00DC7751"/>
    <w:rsid w:val="00DE5C59"/>
    <w:rsid w:val="00DE79BC"/>
    <w:rsid w:val="00DF3B7D"/>
    <w:rsid w:val="00E04B4C"/>
    <w:rsid w:val="00E10CD2"/>
    <w:rsid w:val="00E12E8A"/>
    <w:rsid w:val="00E157C3"/>
    <w:rsid w:val="00E16405"/>
    <w:rsid w:val="00E21209"/>
    <w:rsid w:val="00E26357"/>
    <w:rsid w:val="00E42ED0"/>
    <w:rsid w:val="00E445A8"/>
    <w:rsid w:val="00E47893"/>
    <w:rsid w:val="00E47A39"/>
    <w:rsid w:val="00E5235D"/>
    <w:rsid w:val="00E564BE"/>
    <w:rsid w:val="00E606B1"/>
    <w:rsid w:val="00E6194F"/>
    <w:rsid w:val="00E71AA5"/>
    <w:rsid w:val="00EA0FEF"/>
    <w:rsid w:val="00EB35B7"/>
    <w:rsid w:val="00EB3CDC"/>
    <w:rsid w:val="00EB695E"/>
    <w:rsid w:val="00EC3B99"/>
    <w:rsid w:val="00EC6659"/>
    <w:rsid w:val="00ED30FC"/>
    <w:rsid w:val="00ED5E93"/>
    <w:rsid w:val="00ED779D"/>
    <w:rsid w:val="00EE344D"/>
    <w:rsid w:val="00EE3C72"/>
    <w:rsid w:val="00EE51F9"/>
    <w:rsid w:val="00EE55CD"/>
    <w:rsid w:val="00EE5EE5"/>
    <w:rsid w:val="00EE5F74"/>
    <w:rsid w:val="00EE7977"/>
    <w:rsid w:val="00EF586A"/>
    <w:rsid w:val="00EF5C91"/>
    <w:rsid w:val="00F02F9E"/>
    <w:rsid w:val="00F21128"/>
    <w:rsid w:val="00F25165"/>
    <w:rsid w:val="00F25654"/>
    <w:rsid w:val="00F35443"/>
    <w:rsid w:val="00F74F01"/>
    <w:rsid w:val="00F814CF"/>
    <w:rsid w:val="00F820BB"/>
    <w:rsid w:val="00F91C52"/>
    <w:rsid w:val="00FA3FE7"/>
    <w:rsid w:val="00FA4E53"/>
    <w:rsid w:val="00FA5E66"/>
    <w:rsid w:val="00FA77E9"/>
    <w:rsid w:val="00FB282A"/>
    <w:rsid w:val="00FB39CF"/>
    <w:rsid w:val="00FD2F83"/>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6CCC2AC4-D1A6-4C28-9ECC-24D923A2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78"/>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D81478"/>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7A1206"/>
    <w:pPr>
      <w:outlineLvl w:val="3"/>
    </w:pPr>
    <w:rPr>
      <w:rFonts w:cs="Calibri"/>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1"/>
      </w:numPr>
      <w:ind w:left="1080"/>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D81478"/>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7A1206"/>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D81478"/>
    <w:rPr>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D81478"/>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D81478"/>
    <w:pPr>
      <w:autoSpaceDE w:val="0"/>
      <w:autoSpaceDN w:val="0"/>
      <w:adjustRightInd w:val="0"/>
      <w:spacing w:before="120" w:after="120" w:line="276" w:lineRule="auto"/>
    </w:pPr>
    <w:rPr>
      <w:rFonts w:ascii="Calibri" w:hAnsi="Calibri" w:cs="Cambria"/>
      <w:color w:val="000000"/>
      <w:sz w:val="22"/>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UnresolvedMention4">
    <w:name w:val="Unresolved Mention4"/>
    <w:basedOn w:val="DefaultParagraphFont"/>
    <w:uiPriority w:val="99"/>
    <w:semiHidden/>
    <w:unhideWhenUsed/>
    <w:rsid w:val="00D81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un.org/en/development/desa/population/publications/dataset/contraception/wcu2020.asp" TargetMode="External"/><Relationship Id="rId26" Type="http://schemas.openxmlformats.org/officeDocument/2006/relationships/hyperlink" Target="https://arxiv.org/ftp/arxiv/papers/1603/1603.00278.pdf" TargetMode="External"/><Relationship Id="rId39" Type="http://schemas.openxmlformats.org/officeDocument/2006/relationships/hyperlink" Target="https://digital.nhs.uk/data-and-information/publications/statistical/mental-health-act-statistics-annual-figures/2018-19-annual-figures" TargetMode="External"/><Relationship Id="rId21" Type="http://schemas.openxmlformats.org/officeDocument/2006/relationships/hyperlink" Target="http://www.avenirhealth.org/" TargetMode="External"/><Relationship Id="rId34" Type="http://schemas.openxmlformats.org/officeDocument/2006/relationships/hyperlink" Target="https://mics-surveys-prod.s3.amazonaws.com/MICS6/West%20and%20Central%20Africa/Ghana/2017-2018/Survey%20findings/Ghana%202017-18%20MICS%20Survey%20Findings%20Report_English.pdf" TargetMode="External"/><Relationship Id="rId42" Type="http://schemas.openxmlformats.org/officeDocument/2006/relationships/footer" Target="footer2.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o.int/reproductivehealth/topics/monitoring/measuring_mmr.pdf" TargetMode="External"/><Relationship Id="rId29" Type="http://schemas.openxmlformats.org/officeDocument/2006/relationships/hyperlink" Target="https://www.cdc.gov/nchs/nhanes/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unaids.org/sites/default/files/media_asset/11_Peoplewithdisabilities.pdf" TargetMode="External"/><Relationship Id="rId32" Type="http://schemas.openxmlformats.org/officeDocument/2006/relationships/hyperlink" Target="http://faostat3.fao.org/download/FB/*/E" TargetMode="External"/><Relationship Id="rId37" Type="http://schemas.openxmlformats.org/officeDocument/2006/relationships/hyperlink" Target="https://unstats.un.org/sdgs/metadata?Text=&amp;Goal=&amp;Target=5.6" TargetMode="External"/><Relationship Id="rId40" Type="http://schemas.openxmlformats.org/officeDocument/2006/relationships/hyperlink" Target="https://files.digital.nhs.uk/7F/03FB82/ment-heal-act-stat-eng-2018-19-data-tab.xlsx"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who.int/data/gho/indicator-metadata-registry/imr-details/26" TargetMode="External"/><Relationship Id="rId23" Type="http://schemas.openxmlformats.org/officeDocument/2006/relationships/hyperlink" Target="http://www.epidem.org/" TargetMode="External"/><Relationship Id="rId28" Type="http://schemas.openxmlformats.org/officeDocument/2006/relationships/hyperlink" Target="https://dhsprogram.com/pubs/pdf/FR359/FR359.pdf" TargetMode="External"/><Relationship Id="rId36" Type="http://schemas.openxmlformats.org/officeDocument/2006/relationships/hyperlink" Target="https://mics-surveys-prod.s3.amazonaws.com/MICS6/South%20Asia/Bangladesh/2019/Survey%20findings/Bangladesh%202019%20MICS%20Survey%20Findings_English.pdf" TargetMode="External"/><Relationship Id="rId10" Type="http://schemas.openxmlformats.org/officeDocument/2006/relationships/image" Target="media/image3.png"/><Relationship Id="rId19" Type="http://schemas.openxmlformats.org/officeDocument/2006/relationships/hyperlink" Target="https://www.unaids.org/en/dataanalysis/datatools/spectrum-epp" TargetMode="External"/><Relationship Id="rId31" Type="http://schemas.openxmlformats.org/officeDocument/2006/relationships/hyperlink" Target="https://unstats.un.org/sdgs/metadata?Text=&amp;Goal=&amp;Target=2.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who.int/reproductivehealth/publications/maternal-mortality-2000-2017/en/" TargetMode="External"/><Relationship Id="rId22" Type="http://schemas.openxmlformats.org/officeDocument/2006/relationships/hyperlink" Target="http://www.eastwestcenter.org/" TargetMode="External"/><Relationship Id="rId27" Type="http://schemas.openxmlformats.org/officeDocument/2006/relationships/hyperlink" Target="mailto:statistics@un.org" TargetMode="External"/><Relationship Id="rId30" Type="http://schemas.openxmlformats.org/officeDocument/2006/relationships/hyperlink" Target="https://www.who.int/data/gho/indicator-metadata-registry/imr-details/64" TargetMode="External"/><Relationship Id="rId35" Type="http://schemas.openxmlformats.org/officeDocument/2006/relationships/hyperlink" Target="https://unstats.un.org/sdgs/metadata?Text=&amp;Goal=&amp;Target=3.1:"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dhsprogram.com/pubs/pdf/FR333/FR333.pdf" TargetMode="External"/><Relationship Id="rId25" Type="http://schemas.openxmlformats.org/officeDocument/2006/relationships/hyperlink" Target="https://unstats.un.org/sdgs/metadata?Text=&amp;Goal=&amp;Target=3.3." TargetMode="External"/><Relationship Id="rId33" Type="http://schemas.openxmlformats.org/officeDocument/2006/relationships/hyperlink" Target="https://unstats.un.org/sdgs/metadata?Text=&amp;Goal=&amp;Target=2.2" TargetMode="External"/><Relationship Id="rId38" Type="http://schemas.openxmlformats.org/officeDocument/2006/relationships/hyperlink" Target="https://dhsprogram.com/pubs/pdf/FR359/FR359.pdf" TargetMode="External"/><Relationship Id="rId46" Type="http://schemas.openxmlformats.org/officeDocument/2006/relationships/customXml" Target="../customXml/item3.xml"/><Relationship Id="rId20" Type="http://schemas.openxmlformats.org/officeDocument/2006/relationships/hyperlink" Target="https://unstats.un.org/sdgs/metadata?Text=&amp;Goal=&amp;Target=3.3"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4A42F4-2E7C-478A-8166-713806C6A7B1}">
  <ds:schemaRefs>
    <ds:schemaRef ds:uri="http://schemas.openxmlformats.org/officeDocument/2006/bibliography"/>
  </ds:schemaRefs>
</ds:datastoreItem>
</file>

<file path=customXml/itemProps2.xml><?xml version="1.0" encoding="utf-8"?>
<ds:datastoreItem xmlns:ds="http://schemas.openxmlformats.org/officeDocument/2006/customXml" ds:itemID="{2534A603-DCB3-42E5-A60C-A3096B78F8F5}"/>
</file>

<file path=customXml/itemProps3.xml><?xml version="1.0" encoding="utf-8"?>
<ds:datastoreItem xmlns:ds="http://schemas.openxmlformats.org/officeDocument/2006/customXml" ds:itemID="{26C4A990-C87F-4F5B-B533-8160DB654DF3}"/>
</file>

<file path=customXml/itemProps4.xml><?xml version="1.0" encoding="utf-8"?>
<ds:datastoreItem xmlns:ds="http://schemas.openxmlformats.org/officeDocument/2006/customXml" ds:itemID="{BF2C42AA-9D9C-460C-98F2-A45D219C277E}"/>
</file>

<file path=docProps/app.xml><?xml version="1.0" encoding="utf-8"?>
<Properties xmlns="http://schemas.openxmlformats.org/officeDocument/2006/extended-properties" xmlns:vt="http://schemas.openxmlformats.org/officeDocument/2006/docPropsVTypes">
  <Template>Normal</Template>
  <TotalTime>4</TotalTime>
  <Pages>17</Pages>
  <Words>5538</Words>
  <Characters>31573</Characters>
  <Application>Microsoft Office Word</Application>
  <DocSecurity>0</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25 (outcome indicators)</dc:title>
  <dc:subject/>
  <dc:creator>Nanette Goodman</dc:creator>
  <cp:keywords/>
  <dc:description/>
  <cp:lastModifiedBy>Elias Constantopedos</cp:lastModifiedBy>
  <cp:revision>6</cp:revision>
  <cp:lastPrinted>2020-11-19T04:53:00Z</cp:lastPrinted>
  <dcterms:created xsi:type="dcterms:W3CDTF">2020-12-20T13:11:00Z</dcterms:created>
  <dcterms:modified xsi:type="dcterms:W3CDTF">2020-12-20T21:20:00Z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