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262" w:type="dxa"/>
        <w:tblLook w:val="04A0" w:firstRow="1" w:lastRow="0" w:firstColumn="1" w:lastColumn="0" w:noHBand="0" w:noVBand="1"/>
      </w:tblPr>
      <w:tblGrid>
        <w:gridCol w:w="1148"/>
        <w:gridCol w:w="5226"/>
        <w:gridCol w:w="4536"/>
        <w:gridCol w:w="4352"/>
      </w:tblGrid>
      <w:tr w:rsidR="00AD3349" w:rsidRPr="003F7A5F" w14:paraId="67C66155" w14:textId="77777777" w:rsidTr="00BC4A75">
        <w:tc>
          <w:tcPr>
            <w:tcW w:w="15262" w:type="dxa"/>
            <w:gridSpan w:val="4"/>
            <w:shd w:val="clear" w:color="auto" w:fill="BFBFBF" w:themeFill="background1" w:themeFillShade="BF"/>
          </w:tcPr>
          <w:p w14:paraId="501F9C92" w14:textId="047E75C6" w:rsidR="0065051C" w:rsidRPr="003F7A5F" w:rsidRDefault="00517E90" w:rsidP="00294145">
            <w:pPr>
              <w:jc w:val="center"/>
              <w:rPr>
                <w:rFonts w:cstheme="minorHAnsi"/>
                <w:b/>
                <w:sz w:val="18"/>
                <w:szCs w:val="18"/>
              </w:rPr>
            </w:pPr>
            <w:r>
              <w:rPr>
                <w:b/>
                <w:sz w:val="18"/>
                <w:szCs w:val="18"/>
              </w:rPr>
              <w:t>Article 14 - Liste d'indicateurs illustratifs sur le droit à la liberté et à la sécurité de la personne</w:t>
            </w:r>
          </w:p>
        </w:tc>
      </w:tr>
      <w:tr w:rsidR="00AD3349" w:rsidRPr="003F7A5F" w14:paraId="1113D4A1" w14:textId="77777777" w:rsidTr="00BC4A75">
        <w:trPr>
          <w:trHeight w:val="280"/>
        </w:trPr>
        <w:tc>
          <w:tcPr>
            <w:tcW w:w="15262" w:type="dxa"/>
            <w:gridSpan w:val="4"/>
            <w:shd w:val="clear" w:color="auto" w:fill="auto"/>
          </w:tcPr>
          <w:p w14:paraId="4090E0FB" w14:textId="134BD4B9" w:rsidR="0065051C" w:rsidRPr="003F7A5F" w:rsidRDefault="00294145" w:rsidP="00294145">
            <w:pPr>
              <w:jc w:val="center"/>
              <w:rPr>
                <w:b/>
                <w:sz w:val="18"/>
                <w:szCs w:val="18"/>
              </w:rPr>
            </w:pPr>
            <w:r>
              <w:rPr>
                <w:b/>
                <w:sz w:val="18"/>
                <w:szCs w:val="18"/>
              </w:rPr>
              <w:t>Droit à la liberté et à la sécurité de la personne</w:t>
            </w:r>
            <w:r w:rsidR="006075F8">
              <w:rPr>
                <w:b/>
                <w:sz w:val="18"/>
                <w:szCs w:val="18"/>
              </w:rPr>
              <w:t>*</w:t>
            </w:r>
          </w:p>
        </w:tc>
      </w:tr>
      <w:tr w:rsidR="006573C9" w:rsidRPr="003F7A5F" w14:paraId="10FDE2E4" w14:textId="77777777" w:rsidTr="00F14519">
        <w:tc>
          <w:tcPr>
            <w:tcW w:w="1148" w:type="dxa"/>
            <w:shd w:val="clear" w:color="auto" w:fill="auto"/>
          </w:tcPr>
          <w:p w14:paraId="40D0D6FD" w14:textId="77777777" w:rsidR="0065051C" w:rsidRPr="003F7A5F" w:rsidRDefault="0065051C" w:rsidP="00294145">
            <w:pPr>
              <w:jc w:val="center"/>
              <w:rPr>
                <w:b/>
                <w:sz w:val="18"/>
                <w:szCs w:val="18"/>
              </w:rPr>
            </w:pPr>
            <w:r>
              <w:rPr>
                <w:b/>
                <w:sz w:val="18"/>
                <w:szCs w:val="18"/>
              </w:rPr>
              <w:t>Attributs/</w:t>
            </w:r>
          </w:p>
          <w:p w14:paraId="26D49216" w14:textId="77777777" w:rsidR="0065051C" w:rsidRPr="003F7A5F" w:rsidRDefault="0065051C" w:rsidP="00294145">
            <w:pPr>
              <w:jc w:val="center"/>
              <w:rPr>
                <w:b/>
                <w:sz w:val="18"/>
                <w:szCs w:val="18"/>
              </w:rPr>
            </w:pPr>
            <w:r>
              <w:rPr>
                <w:b/>
                <w:sz w:val="18"/>
                <w:szCs w:val="18"/>
              </w:rPr>
              <w:t>Indicateurs</w:t>
            </w:r>
          </w:p>
        </w:tc>
        <w:tc>
          <w:tcPr>
            <w:tcW w:w="5226" w:type="dxa"/>
            <w:shd w:val="clear" w:color="auto" w:fill="auto"/>
          </w:tcPr>
          <w:p w14:paraId="010AF61C" w14:textId="4682643A" w:rsidR="004828B0" w:rsidRPr="003F7A5F" w:rsidRDefault="004828B0" w:rsidP="00294145">
            <w:pPr>
              <w:jc w:val="center"/>
              <w:rPr>
                <w:b/>
                <w:sz w:val="18"/>
                <w:szCs w:val="18"/>
              </w:rPr>
            </w:pPr>
            <w:r>
              <w:rPr>
                <w:b/>
                <w:sz w:val="18"/>
                <w:szCs w:val="18"/>
              </w:rPr>
              <w:t>Privation de</w:t>
            </w:r>
            <w:r w:rsidR="00712A1A">
              <w:rPr>
                <w:b/>
                <w:sz w:val="18"/>
                <w:szCs w:val="18"/>
              </w:rPr>
              <w:t xml:space="preserve"> liberté spécifique au </w:t>
            </w:r>
            <w:proofErr w:type="gramStart"/>
            <w:r w:rsidR="00712A1A">
              <w:rPr>
                <w:b/>
                <w:sz w:val="18"/>
                <w:szCs w:val="18"/>
              </w:rPr>
              <w:t>handicap</w:t>
            </w:r>
            <w:r>
              <w:rPr>
                <w:b/>
                <w:sz w:val="18"/>
                <w:szCs w:val="18"/>
              </w:rPr>
              <w:t>:*</w:t>
            </w:r>
            <w:proofErr w:type="gramEnd"/>
            <w:r w:rsidR="006075F8">
              <w:rPr>
                <w:b/>
                <w:sz w:val="18"/>
                <w:szCs w:val="18"/>
              </w:rPr>
              <w:t>*</w:t>
            </w:r>
            <w:r>
              <w:rPr>
                <w:b/>
                <w:sz w:val="18"/>
                <w:szCs w:val="18"/>
              </w:rPr>
              <w:t xml:space="preserve"> </w:t>
            </w:r>
          </w:p>
          <w:p w14:paraId="43F5183B" w14:textId="790934EA" w:rsidR="00E467FB" w:rsidRPr="003F7A5F" w:rsidRDefault="003D4ADA" w:rsidP="00410FEF">
            <w:pPr>
              <w:jc w:val="center"/>
              <w:rPr>
                <w:b/>
                <w:sz w:val="18"/>
                <w:szCs w:val="18"/>
              </w:rPr>
            </w:pPr>
            <w:r>
              <w:rPr>
                <w:b/>
                <w:sz w:val="18"/>
                <w:szCs w:val="18"/>
              </w:rPr>
              <w:t xml:space="preserve">Interdiction absolue de la privation de liberté sur la base d'une </w:t>
            </w:r>
            <w:r w:rsidR="00410FEF">
              <w:rPr>
                <w:b/>
                <w:sz w:val="18"/>
                <w:szCs w:val="18"/>
              </w:rPr>
              <w:t xml:space="preserve">incapacité </w:t>
            </w:r>
            <w:r>
              <w:rPr>
                <w:b/>
                <w:sz w:val="18"/>
                <w:szCs w:val="18"/>
              </w:rPr>
              <w:t xml:space="preserve">réelle ou </w:t>
            </w:r>
            <w:r w:rsidR="00410FEF">
              <w:rPr>
                <w:b/>
                <w:sz w:val="18"/>
                <w:szCs w:val="18"/>
              </w:rPr>
              <w:t>supposé</w:t>
            </w:r>
            <w:r>
              <w:rPr>
                <w:b/>
                <w:sz w:val="18"/>
                <w:szCs w:val="18"/>
              </w:rPr>
              <w:t>e</w:t>
            </w:r>
          </w:p>
        </w:tc>
        <w:tc>
          <w:tcPr>
            <w:tcW w:w="4536" w:type="dxa"/>
            <w:shd w:val="clear" w:color="auto" w:fill="auto"/>
          </w:tcPr>
          <w:p w14:paraId="2CAF58CA" w14:textId="522F7786" w:rsidR="00E839D9" w:rsidRPr="003F7A5F" w:rsidRDefault="00E839D9" w:rsidP="004B52C1">
            <w:pPr>
              <w:jc w:val="center"/>
              <w:rPr>
                <w:b/>
                <w:sz w:val="18"/>
                <w:szCs w:val="18"/>
              </w:rPr>
            </w:pPr>
            <w:r>
              <w:rPr>
                <w:b/>
                <w:sz w:val="18"/>
                <w:szCs w:val="18"/>
              </w:rPr>
              <w:t xml:space="preserve">Formes de </w:t>
            </w:r>
            <w:r w:rsidR="006D37E6">
              <w:rPr>
                <w:b/>
                <w:sz w:val="18"/>
                <w:szCs w:val="18"/>
              </w:rPr>
              <w:t>privation de liberté</w:t>
            </w:r>
            <w:r>
              <w:rPr>
                <w:b/>
                <w:sz w:val="18"/>
                <w:szCs w:val="18"/>
              </w:rPr>
              <w:t xml:space="preserve"> non spécifiques au handicap :</w:t>
            </w:r>
            <w:r w:rsidR="004B52C1">
              <w:rPr>
                <w:b/>
                <w:sz w:val="18"/>
                <w:szCs w:val="18"/>
              </w:rPr>
              <w:t xml:space="preserve"> </w:t>
            </w:r>
            <w:r w:rsidR="007F739A">
              <w:rPr>
                <w:b/>
                <w:sz w:val="18"/>
                <w:szCs w:val="18"/>
              </w:rPr>
              <w:t>détention pénale et administrative</w:t>
            </w:r>
          </w:p>
        </w:tc>
        <w:tc>
          <w:tcPr>
            <w:tcW w:w="4352" w:type="dxa"/>
            <w:shd w:val="clear" w:color="auto" w:fill="auto"/>
          </w:tcPr>
          <w:p w14:paraId="5DEE108D" w14:textId="713FDF67" w:rsidR="0065051C" w:rsidRPr="003F7A5F" w:rsidRDefault="00C111C6" w:rsidP="004B52C1">
            <w:pPr>
              <w:jc w:val="center"/>
              <w:rPr>
                <w:b/>
                <w:sz w:val="18"/>
                <w:szCs w:val="18"/>
              </w:rPr>
            </w:pPr>
            <w:r>
              <w:rPr>
                <w:b/>
                <w:sz w:val="18"/>
                <w:szCs w:val="18"/>
              </w:rPr>
              <w:t xml:space="preserve">Sécurité de la personne et conditions de détention pour les </w:t>
            </w:r>
            <w:r w:rsidR="00410FEF">
              <w:rPr>
                <w:b/>
                <w:sz w:val="18"/>
                <w:szCs w:val="18"/>
              </w:rPr>
              <w:t>personnes handicapées</w:t>
            </w:r>
          </w:p>
        </w:tc>
      </w:tr>
      <w:tr w:rsidR="00247ACE" w:rsidRPr="003F7A5F" w14:paraId="1D44D276" w14:textId="77777777" w:rsidTr="00F14519">
        <w:trPr>
          <w:trHeight w:val="277"/>
        </w:trPr>
        <w:tc>
          <w:tcPr>
            <w:tcW w:w="1148" w:type="dxa"/>
            <w:vMerge w:val="restart"/>
            <w:shd w:val="clear" w:color="auto" w:fill="auto"/>
          </w:tcPr>
          <w:p w14:paraId="2ECFD977" w14:textId="546FF4F1" w:rsidR="00247ACE" w:rsidRPr="003F7A5F" w:rsidRDefault="00AB672C" w:rsidP="00294145">
            <w:pPr>
              <w:pStyle w:val="Paragraphedeliste"/>
              <w:ind w:left="0"/>
              <w:rPr>
                <w:rFonts w:cstheme="minorHAnsi"/>
                <w:b/>
                <w:sz w:val="18"/>
                <w:szCs w:val="18"/>
              </w:rPr>
            </w:pPr>
            <w:r>
              <w:rPr>
                <w:b/>
                <w:sz w:val="18"/>
                <w:szCs w:val="18"/>
              </w:rPr>
              <w:t>Structure</w:t>
            </w:r>
          </w:p>
        </w:tc>
        <w:tc>
          <w:tcPr>
            <w:tcW w:w="14114" w:type="dxa"/>
            <w:gridSpan w:val="3"/>
            <w:shd w:val="clear" w:color="auto" w:fill="auto"/>
          </w:tcPr>
          <w:p w14:paraId="7429E3A7" w14:textId="3A6A6FEC" w:rsidR="00247ACE" w:rsidRPr="003F7A5F" w:rsidRDefault="00247ACE" w:rsidP="00294145">
            <w:pPr>
              <w:rPr>
                <w:rFonts w:cstheme="minorHAnsi"/>
                <w:sz w:val="18"/>
                <w:szCs w:val="18"/>
              </w:rPr>
            </w:pPr>
            <w:r>
              <w:rPr>
                <w:sz w:val="18"/>
                <w:szCs w:val="18"/>
              </w:rPr>
              <w:t xml:space="preserve">14.1 Constitution et législation nationales qui reconnaissent le droit à la liberté et à la sécurité de la personne de toutes les </w:t>
            </w:r>
            <w:r w:rsidR="00410FEF">
              <w:rPr>
                <w:sz w:val="18"/>
                <w:szCs w:val="18"/>
              </w:rPr>
              <w:t>personnes handicapées</w:t>
            </w:r>
            <w:r>
              <w:rPr>
                <w:sz w:val="18"/>
                <w:szCs w:val="18"/>
              </w:rPr>
              <w:t xml:space="preserve"> sur la base de l'égalité avec les autres.</w:t>
            </w:r>
          </w:p>
          <w:p w14:paraId="5FBB1CA1" w14:textId="2054942B" w:rsidR="001236E2" w:rsidRPr="003F7A5F" w:rsidRDefault="00640342" w:rsidP="00294145">
            <w:pPr>
              <w:rPr>
                <w:rFonts w:cstheme="minorHAnsi"/>
                <w:sz w:val="18"/>
                <w:szCs w:val="18"/>
              </w:rPr>
            </w:pPr>
            <w:r>
              <w:rPr>
                <w:sz w:val="18"/>
                <w:szCs w:val="18"/>
              </w:rPr>
              <w:t xml:space="preserve">14.2 Obligation légale de collecter des données sur le nombre de </w:t>
            </w:r>
            <w:r w:rsidR="00410FEF">
              <w:rPr>
                <w:sz w:val="18"/>
                <w:szCs w:val="18"/>
              </w:rPr>
              <w:t>personnes handicapées</w:t>
            </w:r>
            <w:r>
              <w:rPr>
                <w:sz w:val="18"/>
                <w:szCs w:val="18"/>
              </w:rPr>
              <w:t xml:space="preserve"> privées de liberté, ventilées par sexe, âge, handicap, motif de détention et lieu de détention (par exemple, établissement psychiatrique, établissement résidentiel, prison, etc. ; public ou privé).</w:t>
            </w:r>
            <w:r w:rsidR="006B5DAB" w:rsidRPr="003F7A5F">
              <w:rPr>
                <w:rStyle w:val="Appeldenotedefin"/>
                <w:rFonts w:cstheme="minorHAnsi"/>
                <w:sz w:val="18"/>
                <w:szCs w:val="18"/>
              </w:rPr>
              <w:endnoteReference w:id="1"/>
            </w:r>
          </w:p>
          <w:p w14:paraId="00C4E9AA" w14:textId="50139DC6" w:rsidR="00030734" w:rsidRPr="003F7A5F" w:rsidRDefault="00D96AF2" w:rsidP="004A2491">
            <w:pPr>
              <w:rPr>
                <w:rFonts w:cstheme="minorHAnsi"/>
                <w:sz w:val="18"/>
                <w:szCs w:val="18"/>
              </w:rPr>
            </w:pPr>
            <w:r>
              <w:rPr>
                <w:sz w:val="18"/>
                <w:szCs w:val="18"/>
              </w:rPr>
              <w:t xml:space="preserve">14.3 Obligation légale d'établir un marqueur des dépenses liées à la garantie du droit à la liberté et à la sécurité des </w:t>
            </w:r>
            <w:r w:rsidR="00410FEF">
              <w:rPr>
                <w:sz w:val="18"/>
                <w:szCs w:val="18"/>
              </w:rPr>
              <w:t>personnes handicapées</w:t>
            </w:r>
            <w:r>
              <w:rPr>
                <w:sz w:val="18"/>
                <w:szCs w:val="18"/>
              </w:rPr>
              <w:t>.</w:t>
            </w:r>
            <w:r w:rsidR="0084107A" w:rsidRPr="003F7A5F">
              <w:rPr>
                <w:rStyle w:val="Appeldenotedefin"/>
                <w:rFonts w:cstheme="minorHAnsi"/>
                <w:sz w:val="18"/>
                <w:szCs w:val="18"/>
              </w:rPr>
              <w:endnoteReference w:id="2"/>
            </w:r>
          </w:p>
        </w:tc>
      </w:tr>
      <w:tr w:rsidR="006573C9" w:rsidRPr="003F7A5F" w14:paraId="4ECE9922" w14:textId="77777777" w:rsidTr="008A7A64">
        <w:trPr>
          <w:trHeight w:val="2730"/>
        </w:trPr>
        <w:tc>
          <w:tcPr>
            <w:tcW w:w="1148" w:type="dxa"/>
            <w:vMerge/>
            <w:shd w:val="clear" w:color="auto" w:fill="auto"/>
          </w:tcPr>
          <w:p w14:paraId="76F60D5B" w14:textId="14344C51" w:rsidR="00247ACE" w:rsidRPr="003F7A5F" w:rsidRDefault="00247ACE" w:rsidP="00294145">
            <w:pPr>
              <w:pStyle w:val="Paragraphedeliste"/>
              <w:ind w:left="0"/>
              <w:rPr>
                <w:rFonts w:cstheme="minorHAnsi"/>
                <w:b/>
                <w:sz w:val="18"/>
                <w:szCs w:val="18"/>
              </w:rPr>
            </w:pPr>
          </w:p>
        </w:tc>
        <w:tc>
          <w:tcPr>
            <w:tcW w:w="5226" w:type="dxa"/>
            <w:tcBorders>
              <w:bottom w:val="single" w:sz="4" w:space="0" w:color="auto"/>
            </w:tcBorders>
            <w:shd w:val="clear" w:color="auto" w:fill="auto"/>
          </w:tcPr>
          <w:p w14:paraId="0825EA55" w14:textId="46BB2C76" w:rsidR="00A9268B" w:rsidRPr="003F7A5F" w:rsidRDefault="00247ACE" w:rsidP="00294145">
            <w:pPr>
              <w:jc w:val="both"/>
              <w:rPr>
                <w:rFonts w:cstheme="minorHAnsi"/>
                <w:sz w:val="18"/>
                <w:szCs w:val="18"/>
              </w:rPr>
            </w:pPr>
            <w:r>
              <w:rPr>
                <w:sz w:val="18"/>
                <w:szCs w:val="18"/>
              </w:rPr>
              <w:t xml:space="preserve">14.4 Aucune disposition de la Constitution et/ou de la législation qui autorise, directement ou indirectement, toute forme de privation de liberté sur la base d'une </w:t>
            </w:r>
            <w:r w:rsidR="00410FEF">
              <w:rPr>
                <w:sz w:val="18"/>
                <w:szCs w:val="18"/>
              </w:rPr>
              <w:t xml:space="preserve">incapacité </w:t>
            </w:r>
            <w:r>
              <w:rPr>
                <w:sz w:val="18"/>
                <w:szCs w:val="18"/>
              </w:rPr>
              <w:t xml:space="preserve">réelle ou </w:t>
            </w:r>
            <w:r w:rsidR="00410FEF">
              <w:rPr>
                <w:sz w:val="18"/>
                <w:szCs w:val="18"/>
              </w:rPr>
              <w:t>supposée</w:t>
            </w:r>
            <w:r>
              <w:rPr>
                <w:sz w:val="18"/>
                <w:szCs w:val="18"/>
              </w:rPr>
              <w:t>, seule ou en combinaison avec d'autres motifs (par exemple soins, traitement, risque pour soi-même ou les autres, etc.) ou en raison d'obstacles liés à l'attitude, à l'environnement, à l'information ou à la communication.</w:t>
            </w:r>
            <w:r w:rsidR="003537BC" w:rsidRPr="003F7A5F">
              <w:rPr>
                <w:rStyle w:val="Appeldenotedefin"/>
                <w:rFonts w:cstheme="minorHAnsi"/>
                <w:sz w:val="18"/>
                <w:szCs w:val="18"/>
              </w:rPr>
              <w:endnoteReference w:id="3"/>
            </w:r>
            <w:r>
              <w:rPr>
                <w:sz w:val="18"/>
                <w:szCs w:val="18"/>
              </w:rPr>
              <w:t xml:space="preserve"> </w:t>
            </w:r>
          </w:p>
          <w:p w14:paraId="7A057E2B" w14:textId="64372CBE" w:rsidR="00A9268B" w:rsidRPr="003F7A5F" w:rsidRDefault="00A9268B" w:rsidP="00712A1A">
            <w:pPr>
              <w:jc w:val="both"/>
              <w:rPr>
                <w:rFonts w:cstheme="minorHAnsi"/>
                <w:sz w:val="18"/>
                <w:szCs w:val="18"/>
                <w:highlight w:val="green"/>
              </w:rPr>
            </w:pPr>
            <w:r>
              <w:rPr>
                <w:sz w:val="18"/>
                <w:szCs w:val="18"/>
              </w:rPr>
              <w:t xml:space="preserve">14.5 Adoption d'une législation transitoire, de politiques et/ou de plans pour assurer la libération immédiate des </w:t>
            </w:r>
            <w:r w:rsidR="00410FEF">
              <w:rPr>
                <w:sz w:val="18"/>
                <w:szCs w:val="18"/>
              </w:rPr>
              <w:t>personnes handicapées</w:t>
            </w:r>
            <w:r>
              <w:rPr>
                <w:sz w:val="18"/>
                <w:szCs w:val="18"/>
              </w:rPr>
              <w:t xml:space="preserve"> privées de liberté sur la base d'une </w:t>
            </w:r>
            <w:r w:rsidR="00410FEF">
              <w:rPr>
                <w:sz w:val="18"/>
                <w:szCs w:val="18"/>
              </w:rPr>
              <w:t xml:space="preserve">incapacité </w:t>
            </w:r>
            <w:r>
              <w:rPr>
                <w:sz w:val="18"/>
                <w:szCs w:val="18"/>
              </w:rPr>
              <w:t xml:space="preserve">réelle ou </w:t>
            </w:r>
            <w:r w:rsidR="00410FEF">
              <w:rPr>
                <w:sz w:val="18"/>
                <w:szCs w:val="18"/>
              </w:rPr>
              <w:t>supposée</w:t>
            </w:r>
            <w:r>
              <w:rPr>
                <w:sz w:val="18"/>
                <w:szCs w:val="18"/>
              </w:rPr>
              <w:t>, y compris celles privées de liberté en milieu de santé mentale pour patients hospitalisés, et la cessation immédiate des mesures restrictives et coercitives, y compris d’un traitement forcé.</w:t>
            </w:r>
          </w:p>
        </w:tc>
        <w:tc>
          <w:tcPr>
            <w:tcW w:w="4536" w:type="dxa"/>
            <w:shd w:val="clear" w:color="auto" w:fill="auto"/>
          </w:tcPr>
          <w:p w14:paraId="7E708ECF" w14:textId="33BC5ED3" w:rsidR="00AD3FF3" w:rsidRPr="003F7A5F" w:rsidRDefault="00291E44" w:rsidP="00294145">
            <w:pPr>
              <w:jc w:val="both"/>
              <w:rPr>
                <w:rFonts w:cstheme="minorHAnsi"/>
                <w:sz w:val="18"/>
                <w:szCs w:val="18"/>
              </w:rPr>
            </w:pPr>
            <w:r>
              <w:rPr>
                <w:sz w:val="18"/>
                <w:szCs w:val="18"/>
              </w:rPr>
              <w:t xml:space="preserve">14.6 Législation prévoyant un système pénal et pénitentiaire inclusifs des </w:t>
            </w:r>
            <w:r w:rsidR="00410FEF">
              <w:rPr>
                <w:sz w:val="18"/>
                <w:szCs w:val="18"/>
              </w:rPr>
              <w:t>personnes handicapées</w:t>
            </w:r>
            <w:r>
              <w:rPr>
                <w:sz w:val="18"/>
                <w:szCs w:val="18"/>
              </w:rPr>
              <w:t xml:space="preserve"> (par exemple, des procédures, des installations et des services accessibles et inclusifs en détention).</w:t>
            </w:r>
          </w:p>
          <w:p w14:paraId="27C5A6A9" w14:textId="5C8E8A69" w:rsidR="00247ACE" w:rsidRPr="003F7A5F" w:rsidRDefault="00291E44" w:rsidP="00294145">
            <w:pPr>
              <w:jc w:val="both"/>
              <w:rPr>
                <w:rFonts w:cstheme="minorHAnsi"/>
                <w:sz w:val="18"/>
                <w:szCs w:val="18"/>
              </w:rPr>
            </w:pPr>
            <w:r>
              <w:rPr>
                <w:sz w:val="18"/>
                <w:szCs w:val="18"/>
              </w:rPr>
              <w:t xml:space="preserve">14.7 Législation garantissant que tous les systèmes de détention administrative (par exemple, la détention pour immigrés) incluent les </w:t>
            </w:r>
            <w:r w:rsidR="00410FEF">
              <w:rPr>
                <w:sz w:val="18"/>
                <w:szCs w:val="18"/>
              </w:rPr>
              <w:t>personnes handicapées</w:t>
            </w:r>
            <w:r>
              <w:rPr>
                <w:sz w:val="18"/>
                <w:szCs w:val="18"/>
              </w:rPr>
              <w:t xml:space="preserve">, tiennent compte du sexe et de l'âge (par exemple, des procédures, des installations et des services accessibles et inclusifs en détention). </w:t>
            </w:r>
          </w:p>
          <w:p w14:paraId="4668BAF9" w14:textId="199BA03C" w:rsidR="00406A63" w:rsidRPr="003F7A5F" w:rsidRDefault="00B11211" w:rsidP="00294145">
            <w:pPr>
              <w:jc w:val="both"/>
              <w:rPr>
                <w:rFonts w:cstheme="minorHAnsi"/>
                <w:sz w:val="18"/>
                <w:szCs w:val="18"/>
              </w:rPr>
            </w:pPr>
            <w:r>
              <w:rPr>
                <w:sz w:val="18"/>
                <w:szCs w:val="18"/>
              </w:rPr>
              <w:t>14.8 Adoption d'une législation et de politiques visant à promouvoir l'utilisation de mécanismes de justice réparatrice et de mesures non privatives de liberté pour empêcher l'incarcération.</w:t>
            </w:r>
          </w:p>
        </w:tc>
        <w:tc>
          <w:tcPr>
            <w:tcW w:w="4352" w:type="dxa"/>
            <w:shd w:val="clear" w:color="auto" w:fill="auto"/>
          </w:tcPr>
          <w:p w14:paraId="1A936B67" w14:textId="4042A10F" w:rsidR="006835B8" w:rsidRPr="003F7A5F" w:rsidRDefault="00291E44" w:rsidP="00294145">
            <w:pPr>
              <w:jc w:val="both"/>
              <w:rPr>
                <w:rFonts w:cstheme="minorHAnsi"/>
                <w:sz w:val="18"/>
                <w:szCs w:val="18"/>
              </w:rPr>
            </w:pPr>
            <w:r>
              <w:rPr>
                <w:sz w:val="18"/>
                <w:szCs w:val="18"/>
              </w:rPr>
              <w:t>14.9 Adoption de normes d'accessibilité obligatoires appliquées aux prisons et autres centres de détention. (</w:t>
            </w:r>
            <w:proofErr w:type="gramStart"/>
            <w:r>
              <w:rPr>
                <w:sz w:val="18"/>
                <w:szCs w:val="18"/>
              </w:rPr>
              <w:t>idem</w:t>
            </w:r>
            <w:proofErr w:type="gramEnd"/>
            <w:r>
              <w:rPr>
                <w:sz w:val="18"/>
                <w:szCs w:val="18"/>
              </w:rPr>
              <w:t xml:space="preserve"> 15/17.10)</w:t>
            </w:r>
          </w:p>
          <w:p w14:paraId="51E72577" w14:textId="6360BC1A" w:rsidR="00102132" w:rsidRPr="003F7A5F" w:rsidRDefault="0089073E" w:rsidP="00294145">
            <w:pPr>
              <w:jc w:val="both"/>
              <w:rPr>
                <w:rFonts w:cstheme="minorHAnsi"/>
                <w:sz w:val="18"/>
                <w:szCs w:val="18"/>
              </w:rPr>
            </w:pPr>
            <w:r>
              <w:rPr>
                <w:sz w:val="18"/>
                <w:szCs w:val="18"/>
              </w:rPr>
              <w:t xml:space="preserve">14.10 Disposition dans la législation garantissant l'obligation de fournir des aménagements raisonnables aux </w:t>
            </w:r>
            <w:r w:rsidR="00410FEF">
              <w:rPr>
                <w:sz w:val="18"/>
                <w:szCs w:val="18"/>
              </w:rPr>
              <w:t>personnes handicapées</w:t>
            </w:r>
            <w:r>
              <w:rPr>
                <w:sz w:val="18"/>
                <w:szCs w:val="18"/>
              </w:rPr>
              <w:t xml:space="preserve"> privées de liberté. (</w:t>
            </w:r>
            <w:proofErr w:type="gramStart"/>
            <w:r>
              <w:rPr>
                <w:sz w:val="18"/>
                <w:szCs w:val="18"/>
              </w:rPr>
              <w:t>idem</w:t>
            </w:r>
            <w:proofErr w:type="gramEnd"/>
            <w:r>
              <w:rPr>
                <w:sz w:val="18"/>
                <w:szCs w:val="18"/>
              </w:rPr>
              <w:t xml:space="preserve"> 15/17.11)</w:t>
            </w:r>
          </w:p>
          <w:p w14:paraId="3AD9C104" w14:textId="26BECDB9" w:rsidR="00EA0BF6" w:rsidRPr="003F7A5F" w:rsidRDefault="00F14519" w:rsidP="00294145">
            <w:pPr>
              <w:jc w:val="both"/>
              <w:rPr>
                <w:rFonts w:cstheme="minorHAnsi"/>
                <w:sz w:val="18"/>
                <w:szCs w:val="18"/>
              </w:rPr>
            </w:pPr>
            <w:r>
              <w:rPr>
                <w:sz w:val="18"/>
                <w:szCs w:val="18"/>
              </w:rPr>
              <w:t>14.11 Disposition dans la législation interdisant le recours à l'isolement et à toute méthode de contention</w:t>
            </w:r>
            <w:r>
              <w:t xml:space="preserve"> </w:t>
            </w:r>
            <w:r>
              <w:rPr>
                <w:sz w:val="18"/>
                <w:szCs w:val="18"/>
              </w:rPr>
              <w:t xml:space="preserve">médicalement ordonnée (physique, chimique </w:t>
            </w:r>
            <w:r w:rsidR="00406A63" w:rsidRPr="003F7A5F">
              <w:rPr>
                <w:rStyle w:val="Appeldenotedefin"/>
                <w:rFonts w:cstheme="minorHAnsi"/>
                <w:sz w:val="18"/>
                <w:szCs w:val="18"/>
              </w:rPr>
              <w:endnoteReference w:id="4"/>
            </w:r>
            <w:r>
              <w:rPr>
                <w:sz w:val="18"/>
                <w:szCs w:val="18"/>
              </w:rPr>
              <w:t xml:space="preserve"> et mécanique, etc.) et l'utilisation de médicaments psychiatriques ou d'autres interventions sans le consentement libre et éclairé de la personne concernée, y compris sur les </w:t>
            </w:r>
            <w:r w:rsidR="00410FEF">
              <w:rPr>
                <w:sz w:val="18"/>
                <w:szCs w:val="18"/>
              </w:rPr>
              <w:t>personnes handicapées</w:t>
            </w:r>
            <w:r>
              <w:rPr>
                <w:sz w:val="18"/>
                <w:szCs w:val="18"/>
              </w:rPr>
              <w:t>.</w:t>
            </w:r>
          </w:p>
        </w:tc>
      </w:tr>
      <w:tr w:rsidR="004B2535" w:rsidRPr="003F7A5F" w14:paraId="47D1B907" w14:textId="77777777" w:rsidTr="00257396">
        <w:trPr>
          <w:trHeight w:val="1419"/>
        </w:trPr>
        <w:tc>
          <w:tcPr>
            <w:tcW w:w="1148" w:type="dxa"/>
            <w:vMerge w:val="restart"/>
            <w:tcBorders>
              <w:right w:val="single" w:sz="4" w:space="0" w:color="auto"/>
            </w:tcBorders>
          </w:tcPr>
          <w:p w14:paraId="01AB7567" w14:textId="3F23A3F2" w:rsidR="004B2535" w:rsidRPr="003F7A5F" w:rsidRDefault="004B2535" w:rsidP="00294145">
            <w:pPr>
              <w:rPr>
                <w:rFonts w:cstheme="minorHAnsi"/>
                <w:b/>
                <w:sz w:val="18"/>
                <w:szCs w:val="18"/>
              </w:rPr>
            </w:pPr>
            <w:r>
              <w:rPr>
                <w:b/>
                <w:sz w:val="18"/>
                <w:szCs w:val="18"/>
              </w:rPr>
              <w:t>Processus</w:t>
            </w:r>
          </w:p>
          <w:p w14:paraId="29C3A1CC" w14:textId="77777777" w:rsidR="004B2535" w:rsidRPr="003F7A5F" w:rsidRDefault="004B2535" w:rsidP="00294145">
            <w:pPr>
              <w:rPr>
                <w:rFonts w:cstheme="minorHAnsi"/>
                <w:sz w:val="18"/>
                <w:szCs w:val="18"/>
              </w:rPr>
            </w:pPr>
          </w:p>
        </w:tc>
        <w:tc>
          <w:tcPr>
            <w:tcW w:w="5226" w:type="dxa"/>
            <w:vMerge w:val="restart"/>
            <w:tcBorders>
              <w:top w:val="single" w:sz="4" w:space="0" w:color="auto"/>
              <w:left w:val="single" w:sz="4" w:space="0" w:color="auto"/>
              <w:bottom w:val="single" w:sz="4" w:space="0" w:color="auto"/>
              <w:right w:val="single" w:sz="4" w:space="0" w:color="auto"/>
            </w:tcBorders>
          </w:tcPr>
          <w:p w14:paraId="63E5030C" w14:textId="00E6EEAE" w:rsidR="00F1485B" w:rsidRPr="003F7A5F" w:rsidRDefault="00291E44" w:rsidP="00294145">
            <w:pPr>
              <w:jc w:val="both"/>
              <w:rPr>
                <w:rFonts w:cstheme="minorHAnsi"/>
                <w:sz w:val="18"/>
                <w:szCs w:val="18"/>
              </w:rPr>
            </w:pPr>
            <w:r>
              <w:rPr>
                <w:sz w:val="18"/>
                <w:szCs w:val="18"/>
              </w:rPr>
              <w:t xml:space="preserve">14.12 Nombre de </w:t>
            </w:r>
            <w:r w:rsidR="00410FEF">
              <w:rPr>
                <w:sz w:val="18"/>
                <w:szCs w:val="18"/>
              </w:rPr>
              <w:t>personnes handicapées</w:t>
            </w:r>
            <w:r>
              <w:rPr>
                <w:sz w:val="18"/>
                <w:szCs w:val="18"/>
              </w:rPr>
              <w:t xml:space="preserve"> privées de liberté en milieu hospitalier psychiatrique ou établissements similaires, et proportion d'entre elles qui ont été informées de leur droit de quitter la détention, d'accéder au logement, aux moyens de subsistance et aux autres formes de soutien économique et social.</w:t>
            </w:r>
            <w:r w:rsidR="00921739" w:rsidRPr="003F7A5F">
              <w:rPr>
                <w:rStyle w:val="Appeldenotedefin"/>
                <w:rFonts w:cstheme="minorHAnsi"/>
                <w:sz w:val="18"/>
                <w:szCs w:val="18"/>
              </w:rPr>
              <w:endnoteReference w:id="5"/>
            </w:r>
            <w:r>
              <w:rPr>
                <w:sz w:val="18"/>
                <w:szCs w:val="18"/>
              </w:rPr>
              <w:t xml:space="preserve"> </w:t>
            </w:r>
          </w:p>
          <w:p w14:paraId="4399C8B9" w14:textId="55BBFC23" w:rsidR="004B2535" w:rsidRPr="003F7A5F" w:rsidRDefault="00CD497A" w:rsidP="00294145">
            <w:pPr>
              <w:jc w:val="both"/>
              <w:rPr>
                <w:sz w:val="18"/>
                <w:szCs w:val="18"/>
              </w:rPr>
            </w:pPr>
            <w:r>
              <w:rPr>
                <w:sz w:val="18"/>
                <w:szCs w:val="18"/>
              </w:rPr>
              <w:t xml:space="preserve">14.13 Campagne de sensibilisation au droit à la liberté et à la sécurité des </w:t>
            </w:r>
            <w:r w:rsidR="00410FEF">
              <w:rPr>
                <w:sz w:val="18"/>
                <w:szCs w:val="18"/>
              </w:rPr>
              <w:t>personnes handicapées</w:t>
            </w:r>
            <w:r>
              <w:rPr>
                <w:sz w:val="18"/>
                <w:szCs w:val="18"/>
              </w:rPr>
              <w:t xml:space="preserve"> adressée au grand public et aux services de santé et sociaux sur l'interdiction absolue de la privation de liberté sur la base d'une </w:t>
            </w:r>
            <w:r w:rsidR="00410FEF">
              <w:rPr>
                <w:sz w:val="18"/>
                <w:szCs w:val="18"/>
              </w:rPr>
              <w:t xml:space="preserve">incapacité </w:t>
            </w:r>
            <w:r>
              <w:rPr>
                <w:sz w:val="18"/>
                <w:szCs w:val="18"/>
              </w:rPr>
              <w:t xml:space="preserve">réelle ou </w:t>
            </w:r>
            <w:r w:rsidR="00410FEF">
              <w:rPr>
                <w:sz w:val="18"/>
                <w:szCs w:val="18"/>
              </w:rPr>
              <w:t>supposé</w:t>
            </w:r>
            <w:r>
              <w:rPr>
                <w:sz w:val="18"/>
                <w:szCs w:val="18"/>
              </w:rPr>
              <w:t xml:space="preserve">e, y compris toute détention liée à la santé mentale et l’administration forcée de médicaments et autres interventions forcées, favorisant leur inclusion dans la communauté et fournissant des informations sur les soutiens connexes disponibles pour les </w:t>
            </w:r>
            <w:r w:rsidR="00410FEF">
              <w:rPr>
                <w:sz w:val="18"/>
                <w:szCs w:val="18"/>
              </w:rPr>
              <w:t>personnes handicapées</w:t>
            </w:r>
            <w:r>
              <w:rPr>
                <w:sz w:val="18"/>
                <w:szCs w:val="18"/>
              </w:rPr>
              <w:t xml:space="preserve"> et leurs familles. </w:t>
            </w:r>
          </w:p>
          <w:p w14:paraId="5122DD7C" w14:textId="4E874594" w:rsidR="004B2535" w:rsidRPr="003F7A5F" w:rsidRDefault="004B2535" w:rsidP="0070666C">
            <w:pPr>
              <w:jc w:val="both"/>
              <w:rPr>
                <w:rFonts w:cstheme="minorHAnsi"/>
                <w:sz w:val="18"/>
                <w:szCs w:val="18"/>
                <w:highlight w:val="yellow"/>
              </w:rPr>
            </w:pPr>
            <w:r>
              <w:rPr>
                <w:sz w:val="18"/>
                <w:szCs w:val="18"/>
              </w:rPr>
              <w:t>14.14 Proportion de plaintes reçues alléguant une privation de liberté sur la base d'un handicap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c>
          <w:tcPr>
            <w:tcW w:w="8888" w:type="dxa"/>
            <w:gridSpan w:val="2"/>
            <w:tcBorders>
              <w:left w:val="single" w:sz="4" w:space="0" w:color="auto"/>
            </w:tcBorders>
          </w:tcPr>
          <w:p w14:paraId="24A2D4E9" w14:textId="132E6B48" w:rsidR="00015D2F" w:rsidRPr="003F7A5F" w:rsidRDefault="00932D73" w:rsidP="00294145">
            <w:pPr>
              <w:jc w:val="both"/>
              <w:rPr>
                <w:rFonts w:cstheme="minorHAnsi"/>
                <w:sz w:val="18"/>
                <w:szCs w:val="18"/>
              </w:rPr>
            </w:pPr>
            <w:r>
              <w:rPr>
                <w:sz w:val="18"/>
                <w:szCs w:val="18"/>
              </w:rPr>
              <w:t xml:space="preserve">14.15 Nombre et proportion de personnels de justice, de police, de systèmes pénitentiaires, d'autres types de centres de détention, formés aux droits des </w:t>
            </w:r>
            <w:r w:rsidR="00410FEF">
              <w:rPr>
                <w:sz w:val="18"/>
                <w:szCs w:val="18"/>
              </w:rPr>
              <w:t>personnes handicapées</w:t>
            </w:r>
            <w:r>
              <w:rPr>
                <w:sz w:val="18"/>
                <w:szCs w:val="18"/>
              </w:rPr>
              <w:t xml:space="preserve">, y compris l'interdiction de l'isolement, des dispositifs de contention et de l'administration de médicaments psychiatriques ou d'autres interventions sans consentement libre et éclairé de la personne concernée ; accessibilité ; l'obligation de prévoir des aménagements raisonnables et procéduraux, notamment en ce qui concerne les informations et les communications dans le cadre des arrestations, des interrogatoires et des détentions de </w:t>
            </w:r>
            <w:r w:rsidR="00410FEF">
              <w:rPr>
                <w:sz w:val="18"/>
                <w:szCs w:val="18"/>
              </w:rPr>
              <w:t>personnes handicapées</w:t>
            </w:r>
            <w:r>
              <w:rPr>
                <w:sz w:val="18"/>
                <w:szCs w:val="18"/>
              </w:rPr>
              <w:t>.</w:t>
            </w:r>
          </w:p>
          <w:p w14:paraId="5BF7ADC1" w14:textId="76D656B6" w:rsidR="002C2D6E" w:rsidRPr="003F7A5F" w:rsidRDefault="00932D73" w:rsidP="00294145">
            <w:pPr>
              <w:jc w:val="both"/>
              <w:rPr>
                <w:rFonts w:cstheme="minorHAnsi"/>
                <w:sz w:val="18"/>
                <w:szCs w:val="18"/>
              </w:rPr>
            </w:pPr>
            <w:r>
              <w:rPr>
                <w:sz w:val="18"/>
                <w:szCs w:val="18"/>
              </w:rPr>
              <w:t xml:space="preserve">14.16 Nombre et proportion de </w:t>
            </w:r>
            <w:r w:rsidR="00410FEF">
              <w:rPr>
                <w:sz w:val="18"/>
                <w:szCs w:val="18"/>
              </w:rPr>
              <w:t>personnes handicapées</w:t>
            </w:r>
            <w:r>
              <w:rPr>
                <w:sz w:val="18"/>
                <w:szCs w:val="18"/>
              </w:rPr>
              <w:t xml:space="preserve"> privées de liberté dans les prisons et autres centres de détention, ventilées par sexe, âge, handicap, motif de détention,</w:t>
            </w:r>
            <w:r w:rsidR="00AD4FA2" w:rsidRPr="003F7A5F">
              <w:rPr>
                <w:rStyle w:val="Appeldenotedefin"/>
                <w:rFonts w:cstheme="minorHAnsi"/>
                <w:sz w:val="18"/>
                <w:szCs w:val="18"/>
              </w:rPr>
              <w:endnoteReference w:id="6"/>
            </w:r>
            <w:r>
              <w:rPr>
                <w:sz w:val="18"/>
                <w:szCs w:val="18"/>
              </w:rPr>
              <w:t xml:space="preserve"> type de centre de détention et situation géographique.</w:t>
            </w:r>
          </w:p>
        </w:tc>
      </w:tr>
      <w:tr w:rsidR="006573C9" w:rsidRPr="003F7A5F" w14:paraId="199CE255" w14:textId="77777777" w:rsidTr="00257396">
        <w:trPr>
          <w:trHeight w:val="1593"/>
        </w:trPr>
        <w:tc>
          <w:tcPr>
            <w:tcW w:w="1148" w:type="dxa"/>
            <w:vMerge/>
            <w:tcBorders>
              <w:bottom w:val="single" w:sz="4" w:space="0" w:color="auto"/>
              <w:right w:val="single" w:sz="4" w:space="0" w:color="auto"/>
            </w:tcBorders>
          </w:tcPr>
          <w:p w14:paraId="1522C3D2" w14:textId="77777777" w:rsidR="004B2535" w:rsidRPr="003F7A5F" w:rsidRDefault="004B2535" w:rsidP="00294145">
            <w:pPr>
              <w:rPr>
                <w:rFonts w:cstheme="minorHAnsi"/>
                <w:b/>
                <w:sz w:val="18"/>
                <w:szCs w:val="18"/>
              </w:rPr>
            </w:pPr>
          </w:p>
        </w:tc>
        <w:tc>
          <w:tcPr>
            <w:tcW w:w="5226" w:type="dxa"/>
            <w:vMerge/>
            <w:tcBorders>
              <w:top w:val="single" w:sz="4" w:space="0" w:color="auto"/>
              <w:left w:val="single" w:sz="4" w:space="0" w:color="auto"/>
              <w:bottom w:val="single" w:sz="4" w:space="0" w:color="auto"/>
              <w:right w:val="single" w:sz="4" w:space="0" w:color="auto"/>
            </w:tcBorders>
          </w:tcPr>
          <w:p w14:paraId="71BF0E14" w14:textId="77777777" w:rsidR="004B2535" w:rsidRPr="003F7A5F" w:rsidRDefault="004B2535" w:rsidP="00294145">
            <w:pPr>
              <w:jc w:val="both"/>
              <w:rPr>
                <w:rFonts w:cstheme="minorHAnsi"/>
                <w:sz w:val="18"/>
                <w:szCs w:val="18"/>
              </w:rPr>
            </w:pPr>
          </w:p>
        </w:tc>
        <w:tc>
          <w:tcPr>
            <w:tcW w:w="4536" w:type="dxa"/>
            <w:tcBorders>
              <w:left w:val="single" w:sz="4" w:space="0" w:color="auto"/>
              <w:bottom w:val="single" w:sz="4" w:space="0" w:color="auto"/>
            </w:tcBorders>
          </w:tcPr>
          <w:p w14:paraId="1B6CC380" w14:textId="17C96EBE" w:rsidR="000D5343" w:rsidRPr="003F7A5F" w:rsidRDefault="00932D73" w:rsidP="00294145">
            <w:pPr>
              <w:jc w:val="both"/>
              <w:rPr>
                <w:rFonts w:cstheme="minorHAnsi"/>
                <w:sz w:val="18"/>
                <w:szCs w:val="18"/>
              </w:rPr>
            </w:pPr>
            <w:r>
              <w:rPr>
                <w:sz w:val="18"/>
                <w:szCs w:val="18"/>
              </w:rPr>
              <w:t xml:space="preserve">14.17 Proportion de </w:t>
            </w:r>
            <w:r w:rsidR="00410FEF">
              <w:rPr>
                <w:sz w:val="18"/>
                <w:szCs w:val="18"/>
              </w:rPr>
              <w:t>personnes handicapées</w:t>
            </w:r>
            <w:r>
              <w:rPr>
                <w:sz w:val="18"/>
                <w:szCs w:val="18"/>
              </w:rPr>
              <w:t xml:space="preserve"> privées de liberté dans le système pénal ou en détention administrative accédant rapidement à l'aide juridique gratuite, ventilées par sexe, âge, handicap, lieu de détention et situation géographique.</w:t>
            </w:r>
            <w:r w:rsidR="00947890" w:rsidRPr="003F7A5F">
              <w:rPr>
                <w:rStyle w:val="Appeldenotedefin"/>
                <w:rFonts w:cstheme="minorHAnsi"/>
                <w:sz w:val="18"/>
                <w:szCs w:val="18"/>
              </w:rPr>
              <w:endnoteReference w:id="7"/>
            </w:r>
            <w:r>
              <w:rPr>
                <w:sz w:val="18"/>
                <w:szCs w:val="18"/>
              </w:rPr>
              <w:t xml:space="preserve"> </w:t>
            </w:r>
          </w:p>
          <w:p w14:paraId="59C37287" w14:textId="25AA34C9" w:rsidR="00030734" w:rsidRPr="003F7A5F" w:rsidRDefault="00F14519" w:rsidP="00294145">
            <w:pPr>
              <w:jc w:val="both"/>
              <w:rPr>
                <w:rFonts w:cstheme="minorHAnsi"/>
                <w:sz w:val="18"/>
                <w:szCs w:val="18"/>
              </w:rPr>
            </w:pPr>
            <w:r>
              <w:rPr>
                <w:sz w:val="18"/>
                <w:szCs w:val="18"/>
              </w:rPr>
              <w:t xml:space="preserve">14.18 Budget alloué pour fournir des services d'aide juridique aux </w:t>
            </w:r>
            <w:r w:rsidR="00410FEF">
              <w:rPr>
                <w:sz w:val="18"/>
                <w:szCs w:val="18"/>
              </w:rPr>
              <w:t>personnes handicapées</w:t>
            </w:r>
            <w:r>
              <w:rPr>
                <w:sz w:val="18"/>
                <w:szCs w:val="18"/>
              </w:rPr>
              <w:t xml:space="preserve"> privées de liberté dans le système pénal ou en détention administrative</w:t>
            </w:r>
          </w:p>
          <w:p w14:paraId="344269A9" w14:textId="5C7F10B2" w:rsidR="004B2535" w:rsidRPr="003F7A5F" w:rsidRDefault="00195FC1" w:rsidP="00294145">
            <w:pPr>
              <w:jc w:val="both"/>
              <w:rPr>
                <w:rFonts w:cstheme="minorHAnsi"/>
                <w:sz w:val="18"/>
                <w:szCs w:val="18"/>
              </w:rPr>
            </w:pPr>
            <w:r>
              <w:rPr>
                <w:sz w:val="18"/>
                <w:szCs w:val="18"/>
              </w:rPr>
              <w:t xml:space="preserve">14.19 Proportion de demandes d'aménagements procéduraux et adaptés à l'âge accordées aux </w:t>
            </w:r>
            <w:r w:rsidR="00410FEF">
              <w:rPr>
                <w:sz w:val="18"/>
                <w:szCs w:val="18"/>
              </w:rPr>
              <w:t>personnes handicapées</w:t>
            </w:r>
            <w:r>
              <w:rPr>
                <w:sz w:val="18"/>
                <w:szCs w:val="18"/>
              </w:rPr>
              <w:t xml:space="preserve"> dans les procédures liées à la privation de liberté.</w:t>
            </w:r>
          </w:p>
        </w:tc>
        <w:tc>
          <w:tcPr>
            <w:tcW w:w="4352" w:type="dxa"/>
            <w:tcBorders>
              <w:left w:val="single" w:sz="4" w:space="0" w:color="auto"/>
              <w:bottom w:val="single" w:sz="4" w:space="0" w:color="auto"/>
            </w:tcBorders>
          </w:tcPr>
          <w:p w14:paraId="4621CE50" w14:textId="11B05994" w:rsidR="00EA0BF6" w:rsidRPr="003F7A5F" w:rsidRDefault="003B22DB" w:rsidP="00EA0BF6">
            <w:pPr>
              <w:jc w:val="both"/>
              <w:rPr>
                <w:rFonts w:cstheme="minorHAnsi"/>
                <w:sz w:val="18"/>
                <w:szCs w:val="18"/>
              </w:rPr>
            </w:pPr>
            <w:r>
              <w:rPr>
                <w:sz w:val="18"/>
                <w:szCs w:val="18"/>
              </w:rPr>
              <w:t xml:space="preserve">14.20 Proportion de plaintes reçues par des </w:t>
            </w:r>
            <w:r w:rsidR="00410FEF">
              <w:rPr>
                <w:sz w:val="18"/>
                <w:szCs w:val="18"/>
              </w:rPr>
              <w:t>personnes handicapées</w:t>
            </w:r>
            <w:r>
              <w:rPr>
                <w:sz w:val="18"/>
                <w:szCs w:val="18"/>
              </w:rPr>
              <w:t xml:space="preserve"> ou en leur nom, alléguant un manque d'accessibilité, le refus d'aménagements raisonnables, la torture ou toute autre forme de mauvais traitement (y compris l'isolement, l’administration forcée de médicaments et les moyens de contrainte) dans </w:t>
            </w:r>
            <w:r>
              <w:rPr>
                <w:sz w:val="18"/>
                <w:szCs w:val="18"/>
                <w:u w:val="single"/>
              </w:rPr>
              <w:t>n'importe quel</w:t>
            </w:r>
            <w:r>
              <w:rPr>
                <w:sz w:val="18"/>
                <w:szCs w:val="18"/>
              </w:rPr>
              <w:t xml:space="preserve"> lieu de détention,</w:t>
            </w:r>
            <w:r w:rsidR="00BC4A75" w:rsidRPr="003F7A5F">
              <w:rPr>
                <w:rStyle w:val="Appeldenotedefin"/>
                <w:rFonts w:cstheme="minorHAnsi"/>
                <w:sz w:val="18"/>
                <w:szCs w:val="18"/>
              </w:rPr>
              <w:endnoteReference w:id="8"/>
            </w:r>
            <w:r>
              <w:rPr>
                <w:sz w:val="18"/>
                <w:szCs w:val="18"/>
              </w:rPr>
              <w:t xml:space="preserve">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498BF759" w14:textId="63ED9460" w:rsidR="00AD4FA2" w:rsidRPr="003F7A5F" w:rsidRDefault="00932D73" w:rsidP="00294145">
            <w:pPr>
              <w:jc w:val="both"/>
              <w:rPr>
                <w:rFonts w:cstheme="minorHAnsi"/>
                <w:sz w:val="18"/>
                <w:szCs w:val="18"/>
              </w:rPr>
            </w:pPr>
            <w:r>
              <w:rPr>
                <w:sz w:val="18"/>
                <w:szCs w:val="18"/>
              </w:rPr>
              <w:t>14.21 Budget alloué à l'amélioration des conditions de détention, y compris les mesures liées à l'accessibilité.</w:t>
            </w:r>
          </w:p>
        </w:tc>
      </w:tr>
      <w:tr w:rsidR="0096400A" w:rsidRPr="003F7A5F" w14:paraId="4FC5FC61" w14:textId="77777777" w:rsidTr="00257396">
        <w:tc>
          <w:tcPr>
            <w:tcW w:w="1148" w:type="dxa"/>
            <w:tcBorders>
              <w:top w:val="single" w:sz="4" w:space="0" w:color="auto"/>
              <w:bottom w:val="single" w:sz="4" w:space="0" w:color="auto"/>
              <w:right w:val="single" w:sz="4" w:space="0" w:color="auto"/>
            </w:tcBorders>
          </w:tcPr>
          <w:p w14:paraId="30CF68B6" w14:textId="77777777" w:rsidR="0096400A" w:rsidRPr="003F7A5F" w:rsidRDefault="0096400A" w:rsidP="00294145">
            <w:pPr>
              <w:rPr>
                <w:rFonts w:cstheme="minorHAnsi"/>
                <w:b/>
                <w:sz w:val="18"/>
                <w:szCs w:val="18"/>
              </w:rPr>
            </w:pPr>
          </w:p>
        </w:tc>
        <w:tc>
          <w:tcPr>
            <w:tcW w:w="14114" w:type="dxa"/>
            <w:gridSpan w:val="3"/>
            <w:tcBorders>
              <w:top w:val="single" w:sz="4" w:space="0" w:color="auto"/>
              <w:left w:val="single" w:sz="4" w:space="0" w:color="auto"/>
              <w:bottom w:val="single" w:sz="4" w:space="0" w:color="auto"/>
              <w:right w:val="single" w:sz="4" w:space="0" w:color="auto"/>
            </w:tcBorders>
          </w:tcPr>
          <w:p w14:paraId="1EC03BE1" w14:textId="62317D98" w:rsidR="0096400A" w:rsidRPr="003F7A5F" w:rsidRDefault="00291E44" w:rsidP="00712A1A">
            <w:pPr>
              <w:jc w:val="both"/>
              <w:rPr>
                <w:rFonts w:cstheme="minorHAnsi"/>
                <w:sz w:val="18"/>
                <w:szCs w:val="18"/>
              </w:rPr>
            </w:pPr>
            <w:r>
              <w:rPr>
                <w:sz w:val="18"/>
                <w:szCs w:val="18"/>
              </w:rPr>
              <w:t xml:space="preserve">14.22 Processus de consultation entrepris pour assurer la participation active des </w:t>
            </w:r>
            <w:r w:rsidR="00410FEF">
              <w:rPr>
                <w:sz w:val="18"/>
                <w:szCs w:val="18"/>
              </w:rPr>
              <w:t>personnes handicapées</w:t>
            </w:r>
            <w:r>
              <w:rPr>
                <w:sz w:val="18"/>
                <w:szCs w:val="18"/>
              </w:rPr>
              <w:t>, y compris par l</w:t>
            </w:r>
            <w:r w:rsidR="00410FEF">
              <w:rPr>
                <w:sz w:val="18"/>
                <w:szCs w:val="18"/>
              </w:rPr>
              <w:t xml:space="preserve">’intermédiaire </w:t>
            </w:r>
            <w:r>
              <w:rPr>
                <w:sz w:val="18"/>
                <w:szCs w:val="18"/>
              </w:rPr>
              <w:t>de</w:t>
            </w:r>
            <w:r w:rsidR="00410FEF">
              <w:rPr>
                <w:sz w:val="18"/>
                <w:szCs w:val="18"/>
              </w:rPr>
              <w:t>s</w:t>
            </w:r>
            <w:r>
              <w:rPr>
                <w:sz w:val="18"/>
                <w:szCs w:val="18"/>
              </w:rPr>
              <w:t xml:space="preserve"> organisations </w:t>
            </w:r>
            <w:r w:rsidR="00410FEF">
              <w:rPr>
                <w:sz w:val="18"/>
                <w:szCs w:val="18"/>
              </w:rPr>
              <w:t xml:space="preserve">qui les </w:t>
            </w:r>
            <w:r>
              <w:rPr>
                <w:sz w:val="18"/>
                <w:szCs w:val="18"/>
              </w:rPr>
              <w:t>représent</w:t>
            </w:r>
            <w:r w:rsidR="00410FEF">
              <w:rPr>
                <w:sz w:val="18"/>
                <w:szCs w:val="18"/>
              </w:rPr>
              <w:t>ent</w:t>
            </w:r>
            <w:r>
              <w:rPr>
                <w:sz w:val="18"/>
                <w:szCs w:val="18"/>
              </w:rPr>
              <w:t>, à la conception, à la mise en œuvre et au suivi des lois, règlements, politiques et programmes relatifs à leur droit à la liberté et à la sécurité.</w:t>
            </w:r>
            <w:r w:rsidR="0096400A" w:rsidRPr="003F7A5F">
              <w:rPr>
                <w:rStyle w:val="Appeldenotedefin"/>
                <w:rFonts w:cstheme="minorHAnsi"/>
                <w:sz w:val="18"/>
                <w:szCs w:val="18"/>
              </w:rPr>
              <w:endnoteReference w:id="9"/>
            </w:r>
          </w:p>
        </w:tc>
      </w:tr>
    </w:tbl>
    <w:p w14:paraId="2F7309FF" w14:textId="169E1956" w:rsidR="00A4703B" w:rsidRDefault="00A4703B"/>
    <w:tbl>
      <w:tblPr>
        <w:tblStyle w:val="Grilledutableau"/>
        <w:tblpPr w:leftFromText="180" w:rightFromText="180" w:vertAnchor="text" w:tblpY="-42"/>
        <w:tblW w:w="15262" w:type="dxa"/>
        <w:tblLook w:val="04A0" w:firstRow="1" w:lastRow="0" w:firstColumn="1" w:lastColumn="0" w:noHBand="0" w:noVBand="1"/>
      </w:tblPr>
      <w:tblGrid>
        <w:gridCol w:w="1148"/>
        <w:gridCol w:w="5226"/>
        <w:gridCol w:w="4536"/>
        <w:gridCol w:w="4352"/>
      </w:tblGrid>
      <w:tr w:rsidR="006573C9" w:rsidRPr="003F7A5F" w14:paraId="4B91F32E" w14:textId="77777777" w:rsidTr="0077621C">
        <w:tc>
          <w:tcPr>
            <w:tcW w:w="1148" w:type="dxa"/>
            <w:tcBorders>
              <w:top w:val="single" w:sz="4" w:space="0" w:color="auto"/>
              <w:right w:val="single" w:sz="4" w:space="0" w:color="auto"/>
            </w:tcBorders>
          </w:tcPr>
          <w:p w14:paraId="73C4FE8D" w14:textId="0742F9BA" w:rsidR="007B7C99" w:rsidRPr="003F7A5F" w:rsidRDefault="007B7C99" w:rsidP="00294145">
            <w:pPr>
              <w:rPr>
                <w:rFonts w:cstheme="minorHAnsi"/>
                <w:b/>
                <w:sz w:val="18"/>
                <w:szCs w:val="18"/>
              </w:rPr>
            </w:pPr>
            <w:r>
              <w:rPr>
                <w:b/>
                <w:sz w:val="18"/>
                <w:szCs w:val="18"/>
              </w:rPr>
              <w:t>Résultats</w:t>
            </w:r>
          </w:p>
        </w:tc>
        <w:tc>
          <w:tcPr>
            <w:tcW w:w="5226" w:type="dxa"/>
            <w:tcBorders>
              <w:top w:val="single" w:sz="4" w:space="0" w:color="auto"/>
              <w:left w:val="single" w:sz="4" w:space="0" w:color="auto"/>
              <w:bottom w:val="single" w:sz="4" w:space="0" w:color="auto"/>
              <w:right w:val="single" w:sz="4" w:space="0" w:color="auto"/>
            </w:tcBorders>
          </w:tcPr>
          <w:p w14:paraId="2F5AA4EA" w14:textId="1774360C" w:rsidR="004B00C7" w:rsidRPr="000C0CF4" w:rsidRDefault="007B7C99" w:rsidP="007F0AC2">
            <w:pPr>
              <w:jc w:val="both"/>
              <w:rPr>
                <w:sz w:val="18"/>
                <w:szCs w:val="18"/>
                <w:highlight w:val="magenta"/>
              </w:rPr>
            </w:pPr>
            <w:r>
              <w:rPr>
                <w:sz w:val="18"/>
                <w:szCs w:val="18"/>
              </w:rPr>
              <w:t xml:space="preserve">14.23 Nombre de </w:t>
            </w:r>
            <w:r w:rsidR="00410FEF">
              <w:rPr>
                <w:sz w:val="18"/>
                <w:szCs w:val="18"/>
              </w:rPr>
              <w:t>personnes handicapées</w:t>
            </w:r>
            <w:r>
              <w:rPr>
                <w:sz w:val="18"/>
                <w:szCs w:val="18"/>
              </w:rPr>
              <w:t xml:space="preserve"> </w:t>
            </w:r>
            <w:r>
              <w:rPr>
                <w:sz w:val="18"/>
                <w:szCs w:val="18"/>
                <w:u w:val="single"/>
              </w:rPr>
              <w:t>actuellement</w:t>
            </w:r>
            <w:r>
              <w:rPr>
                <w:sz w:val="18"/>
                <w:szCs w:val="18"/>
              </w:rPr>
              <w:t xml:space="preserve"> </w:t>
            </w:r>
            <w:r w:rsidR="00037ECF">
              <w:rPr>
                <w:sz w:val="18"/>
                <w:szCs w:val="18"/>
              </w:rPr>
              <w:t>privées de liberté</w:t>
            </w:r>
            <w:r>
              <w:rPr>
                <w:sz w:val="18"/>
                <w:szCs w:val="18"/>
              </w:rPr>
              <w:t xml:space="preserve"> sur la base d'une </w:t>
            </w:r>
            <w:r w:rsidR="00410FEF">
              <w:rPr>
                <w:sz w:val="18"/>
                <w:szCs w:val="18"/>
              </w:rPr>
              <w:t xml:space="preserve">incapacité </w:t>
            </w:r>
            <w:r>
              <w:rPr>
                <w:sz w:val="18"/>
                <w:szCs w:val="18"/>
              </w:rPr>
              <w:t xml:space="preserve">réelle ou </w:t>
            </w:r>
            <w:r w:rsidR="00410FEF">
              <w:rPr>
                <w:sz w:val="18"/>
                <w:szCs w:val="18"/>
              </w:rPr>
              <w:t>supposé</w:t>
            </w:r>
            <w:r>
              <w:rPr>
                <w:sz w:val="18"/>
                <w:szCs w:val="18"/>
              </w:rPr>
              <w:t xml:space="preserve">e, ventilées par sexe, âge et handicap, type d'établissement/lieu de détention (par exemple, établissement de santé mentale, établissement de soins sociaux ou résidentiel, résidences pour </w:t>
            </w:r>
            <w:r w:rsidR="00410FEF">
              <w:rPr>
                <w:sz w:val="18"/>
                <w:szCs w:val="18"/>
              </w:rPr>
              <w:t>personnes handicapées</w:t>
            </w:r>
            <w:r>
              <w:rPr>
                <w:sz w:val="18"/>
                <w:szCs w:val="18"/>
              </w:rPr>
              <w:t xml:space="preserve"> </w:t>
            </w:r>
            <w:r w:rsidR="00410FEF">
              <w:rPr>
                <w:sz w:val="18"/>
                <w:szCs w:val="18"/>
              </w:rPr>
              <w:t>intellectuelles</w:t>
            </w:r>
            <w:r>
              <w:rPr>
                <w:sz w:val="18"/>
                <w:szCs w:val="18"/>
              </w:rPr>
              <w:t>, etc.) et le fondement juridique de l'institutionnalisation ou de la détention.</w:t>
            </w:r>
            <w:r w:rsidR="00C96B3A" w:rsidRPr="000C0CF4">
              <w:rPr>
                <w:rStyle w:val="Appeldenotedefin"/>
                <w:sz w:val="18"/>
                <w:szCs w:val="18"/>
              </w:rPr>
              <w:endnoteReference w:id="10"/>
            </w:r>
            <w:r>
              <w:rPr>
                <w:sz w:val="18"/>
                <w:szCs w:val="18"/>
              </w:rPr>
              <w:t xml:space="preserve"> </w:t>
            </w:r>
          </w:p>
          <w:p w14:paraId="3ED42179" w14:textId="56C51D88" w:rsidR="00A4703B" w:rsidRPr="003F7A5F" w:rsidRDefault="007F0AC2" w:rsidP="00294145">
            <w:pPr>
              <w:jc w:val="both"/>
              <w:rPr>
                <w:sz w:val="18"/>
                <w:szCs w:val="18"/>
              </w:rPr>
            </w:pPr>
            <w:r>
              <w:rPr>
                <w:sz w:val="18"/>
                <w:szCs w:val="18"/>
              </w:rPr>
              <w:t xml:space="preserve">14.24 Nombre de </w:t>
            </w:r>
            <w:r w:rsidR="00410FEF">
              <w:rPr>
                <w:sz w:val="18"/>
                <w:szCs w:val="18"/>
              </w:rPr>
              <w:t>personnes handicapées</w:t>
            </w:r>
            <w:r>
              <w:rPr>
                <w:sz w:val="18"/>
                <w:szCs w:val="18"/>
              </w:rPr>
              <w:t xml:space="preserve"> </w:t>
            </w:r>
            <w:r>
              <w:rPr>
                <w:sz w:val="18"/>
                <w:szCs w:val="18"/>
                <w:u w:val="single"/>
              </w:rPr>
              <w:t>actuellement</w:t>
            </w:r>
            <w:r>
              <w:rPr>
                <w:sz w:val="18"/>
                <w:szCs w:val="18"/>
              </w:rPr>
              <w:t xml:space="preserve"> privées de liberté en raison d'une soustraction à des poursuites en raison d'une </w:t>
            </w:r>
            <w:r w:rsidR="00410FEF">
              <w:rPr>
                <w:sz w:val="18"/>
                <w:szCs w:val="18"/>
              </w:rPr>
              <w:t xml:space="preserve">incapacité </w:t>
            </w:r>
            <w:r>
              <w:rPr>
                <w:sz w:val="18"/>
                <w:szCs w:val="18"/>
              </w:rPr>
              <w:t xml:space="preserve">réelle ou </w:t>
            </w:r>
            <w:r w:rsidR="00410FEF">
              <w:rPr>
                <w:sz w:val="18"/>
                <w:szCs w:val="18"/>
              </w:rPr>
              <w:t>supposée</w:t>
            </w:r>
            <w:r>
              <w:rPr>
                <w:sz w:val="18"/>
                <w:szCs w:val="18"/>
              </w:rPr>
              <w:t xml:space="preserve"> (par exemple, « inaptitude à subir son procès » suivie de l'application d'une mesure de sécurité), ventilées par sexe, âge et handicap et type d'établissement/lieu de détention.</w:t>
            </w:r>
          </w:p>
          <w:p w14:paraId="67664DB9" w14:textId="512D0E95" w:rsidR="00272F2C" w:rsidRPr="009A6462" w:rsidRDefault="007B7C99" w:rsidP="00712A1A">
            <w:pPr>
              <w:jc w:val="both"/>
              <w:rPr>
                <w:rFonts w:cstheme="minorHAnsi"/>
                <w:sz w:val="18"/>
                <w:szCs w:val="18"/>
              </w:rPr>
            </w:pPr>
            <w:r>
              <w:rPr>
                <w:sz w:val="18"/>
                <w:szCs w:val="18"/>
              </w:rPr>
              <w:t xml:space="preserve">14.25 Nombre de </w:t>
            </w:r>
            <w:r w:rsidR="00410FEF">
              <w:rPr>
                <w:sz w:val="18"/>
                <w:szCs w:val="18"/>
              </w:rPr>
              <w:t>personnes handicapées</w:t>
            </w:r>
            <w:r>
              <w:rPr>
                <w:sz w:val="18"/>
                <w:szCs w:val="18"/>
              </w:rPr>
              <w:t xml:space="preserve"> libérées d'une privation de liberté spécifique au handicap, ventilées par sexe, âge et handicap, et lieu de détention (par exemple, établissements psychiatriques, résidences pour </w:t>
            </w:r>
            <w:r w:rsidR="00410FEF">
              <w:rPr>
                <w:sz w:val="18"/>
                <w:szCs w:val="18"/>
              </w:rPr>
              <w:t>personnes handicapées</w:t>
            </w:r>
            <w:r>
              <w:rPr>
                <w:sz w:val="18"/>
                <w:szCs w:val="18"/>
              </w:rPr>
              <w:t xml:space="preserve"> </w:t>
            </w:r>
            <w:r w:rsidR="00410FEF">
              <w:rPr>
                <w:sz w:val="18"/>
                <w:szCs w:val="18"/>
              </w:rPr>
              <w:t>intellectuelles</w:t>
            </w:r>
            <w:r>
              <w:rPr>
                <w:sz w:val="18"/>
                <w:szCs w:val="18"/>
              </w:rPr>
              <w:t>, etc.), et proportion de celles qui ont accès au logement, aux moyens de subsistance et à d'autres formes de soutien économique et social.</w:t>
            </w:r>
          </w:p>
        </w:tc>
        <w:tc>
          <w:tcPr>
            <w:tcW w:w="4536" w:type="dxa"/>
            <w:tcBorders>
              <w:top w:val="single" w:sz="4" w:space="0" w:color="auto"/>
              <w:left w:val="single" w:sz="4" w:space="0" w:color="auto"/>
              <w:bottom w:val="single" w:sz="4" w:space="0" w:color="auto"/>
            </w:tcBorders>
          </w:tcPr>
          <w:p w14:paraId="76356F1E" w14:textId="48954611" w:rsidR="00F14519" w:rsidRPr="003F7A5F" w:rsidRDefault="00932D73" w:rsidP="00294145">
            <w:pPr>
              <w:jc w:val="both"/>
              <w:rPr>
                <w:rFonts w:cstheme="minorHAnsi"/>
                <w:sz w:val="18"/>
                <w:szCs w:val="18"/>
              </w:rPr>
            </w:pPr>
            <w:r>
              <w:rPr>
                <w:sz w:val="18"/>
                <w:szCs w:val="18"/>
              </w:rPr>
              <w:t xml:space="preserve">14.26 Nombre de personnes privées de liberté dans les prisons et autres centres de détention (non liés à un handicap) et proportion d'entre elles qui sont des </w:t>
            </w:r>
            <w:r w:rsidR="00410FEF">
              <w:rPr>
                <w:sz w:val="18"/>
                <w:szCs w:val="18"/>
              </w:rPr>
              <w:t>personnes handicapées</w:t>
            </w:r>
            <w:r>
              <w:rPr>
                <w:sz w:val="18"/>
                <w:szCs w:val="18"/>
              </w:rPr>
              <w:t>, ventilées par sexe, handicap d'âge, motif de détention,</w:t>
            </w:r>
            <w:r w:rsidR="00AD4FA2" w:rsidRPr="003F7A5F">
              <w:rPr>
                <w:rStyle w:val="Appeldenotedefin"/>
                <w:rFonts w:cstheme="minorHAnsi"/>
                <w:sz w:val="18"/>
                <w:szCs w:val="18"/>
              </w:rPr>
              <w:endnoteReference w:id="11"/>
            </w:r>
            <w:r>
              <w:rPr>
                <w:sz w:val="18"/>
                <w:szCs w:val="18"/>
              </w:rPr>
              <w:t xml:space="preserve"> centre de détention et zone géographique.</w:t>
            </w:r>
          </w:p>
          <w:p w14:paraId="404313C0" w14:textId="21ADCF26" w:rsidR="00F14519" w:rsidRPr="003F7A5F" w:rsidRDefault="00932D73" w:rsidP="00294145">
            <w:pPr>
              <w:jc w:val="both"/>
              <w:rPr>
                <w:rFonts w:cstheme="minorHAnsi"/>
                <w:sz w:val="18"/>
                <w:szCs w:val="18"/>
              </w:rPr>
            </w:pPr>
            <w:r>
              <w:rPr>
                <w:sz w:val="18"/>
                <w:szCs w:val="18"/>
              </w:rPr>
              <w:t xml:space="preserve">14.27 Taux de condamnation des </w:t>
            </w:r>
            <w:r w:rsidR="00410FEF">
              <w:rPr>
                <w:sz w:val="18"/>
                <w:szCs w:val="18"/>
              </w:rPr>
              <w:t>personnes handicapées</w:t>
            </w:r>
            <w:r>
              <w:rPr>
                <w:sz w:val="18"/>
                <w:szCs w:val="18"/>
              </w:rPr>
              <w:t xml:space="preserve"> par rapport au taux de condamnation général, ventilé par âge, sexe, handicap, crime/motif et si elles ont eu accès à l'aide juridique ou à l'avocat de leur choix.</w:t>
            </w:r>
            <w:r w:rsidR="005F2FAB" w:rsidRPr="003F7A5F">
              <w:rPr>
                <w:rStyle w:val="Appeldenotedefin"/>
                <w:rFonts w:cstheme="minorHAnsi"/>
                <w:sz w:val="18"/>
                <w:szCs w:val="18"/>
              </w:rPr>
              <w:endnoteReference w:id="12"/>
            </w:r>
          </w:p>
          <w:p w14:paraId="5AC09EA1" w14:textId="55F642D3" w:rsidR="00AD4FA2" w:rsidRPr="003F7A5F" w:rsidRDefault="00932D73" w:rsidP="009F70EB">
            <w:pPr>
              <w:jc w:val="both"/>
              <w:rPr>
                <w:rFonts w:cstheme="minorHAnsi"/>
                <w:sz w:val="18"/>
                <w:szCs w:val="18"/>
              </w:rPr>
            </w:pPr>
            <w:r>
              <w:rPr>
                <w:sz w:val="18"/>
                <w:szCs w:val="18"/>
              </w:rPr>
              <w:t>14.28 Proportion de cas dans lesquels, après appel, une peine a été réduite ou une condamnation pénale annulée, ventilés par sexe, âge, handicap.</w:t>
            </w:r>
          </w:p>
        </w:tc>
        <w:tc>
          <w:tcPr>
            <w:tcW w:w="4352" w:type="dxa"/>
            <w:tcBorders>
              <w:top w:val="single" w:sz="4" w:space="0" w:color="auto"/>
            </w:tcBorders>
          </w:tcPr>
          <w:p w14:paraId="2A9259F6" w14:textId="2AB26DE2" w:rsidR="007B7C99" w:rsidRPr="003F7A5F" w:rsidRDefault="00932D73" w:rsidP="00294145">
            <w:pPr>
              <w:jc w:val="both"/>
              <w:rPr>
                <w:rFonts w:cstheme="minorHAnsi"/>
                <w:sz w:val="18"/>
                <w:szCs w:val="18"/>
              </w:rPr>
            </w:pPr>
            <w:r>
              <w:rPr>
                <w:sz w:val="18"/>
                <w:szCs w:val="18"/>
              </w:rPr>
              <w:t xml:space="preserve">14.29 Nombre et proportion de </w:t>
            </w:r>
            <w:r w:rsidR="00410FEF">
              <w:rPr>
                <w:sz w:val="18"/>
                <w:szCs w:val="18"/>
              </w:rPr>
              <w:t>personnes handicapées</w:t>
            </w:r>
            <w:r>
              <w:rPr>
                <w:sz w:val="18"/>
                <w:szCs w:val="18"/>
              </w:rPr>
              <w:t xml:space="preserve"> </w:t>
            </w:r>
            <w:r w:rsidR="00037ECF">
              <w:rPr>
                <w:sz w:val="18"/>
                <w:szCs w:val="18"/>
              </w:rPr>
              <w:t>privées de liberté</w:t>
            </w:r>
            <w:r>
              <w:rPr>
                <w:sz w:val="18"/>
                <w:szCs w:val="18"/>
              </w:rPr>
              <w:t xml:space="preserve"> dans tout lieu de détention bénéficiant d'aménagements raisonnables, ventilées par âge, sexe, handicap, motif de détention, </w:t>
            </w:r>
            <w:r w:rsidR="006E45FF" w:rsidRPr="003F7A5F">
              <w:rPr>
                <w:rStyle w:val="Appeldenotedefin"/>
                <w:rFonts w:cstheme="minorHAnsi"/>
                <w:sz w:val="18"/>
                <w:szCs w:val="18"/>
              </w:rPr>
              <w:endnoteReference w:id="13"/>
            </w:r>
            <w:r>
              <w:rPr>
                <w:sz w:val="18"/>
                <w:szCs w:val="18"/>
              </w:rPr>
              <w:t xml:space="preserve"> centre de détention et zone géographique.</w:t>
            </w:r>
          </w:p>
        </w:tc>
      </w:tr>
    </w:tbl>
    <w:p w14:paraId="4A3E579E" w14:textId="54B437BE" w:rsidR="002E05C7" w:rsidRPr="000F789C" w:rsidRDefault="002E05C7" w:rsidP="00A41459">
      <w:pPr>
        <w:jc w:val="center"/>
        <w:rPr>
          <w:rFonts w:cstheme="minorHAnsi"/>
          <w:b/>
          <w:sz w:val="18"/>
          <w:szCs w:val="18"/>
        </w:rPr>
      </w:pPr>
    </w:p>
    <w:p w14:paraId="2756E370" w14:textId="5D069B18" w:rsidR="006075F8" w:rsidRDefault="006075F8" w:rsidP="006075F8">
      <w:pPr>
        <w:jc w:val="both"/>
        <w:rPr>
          <w:sz w:val="18"/>
          <w:szCs w:val="18"/>
        </w:rPr>
      </w:pPr>
      <w:r>
        <w:rPr>
          <w:sz w:val="18"/>
          <w:szCs w:val="18"/>
        </w:rPr>
        <w:t>* Veuillez consulter les d</w:t>
      </w:r>
      <w:r w:rsidRPr="00603379">
        <w:rPr>
          <w:sz w:val="18"/>
          <w:szCs w:val="18"/>
        </w:rPr>
        <w:t>irectives relatives au droit à la liberté et à la sécurité des personnes handicapées</w:t>
      </w:r>
      <w:r>
        <w:rPr>
          <w:sz w:val="18"/>
          <w:szCs w:val="18"/>
        </w:rPr>
        <w:t xml:space="preserve"> du Comité CDPH, </w:t>
      </w:r>
      <w:hyperlink r:id="rId11" w:history="1">
        <w:r w:rsidRPr="00603379">
          <w:rPr>
            <w:rStyle w:val="Lienhypertexte"/>
            <w:sz w:val="18"/>
            <w:szCs w:val="18"/>
          </w:rPr>
          <w:t xml:space="preserve">en annexe au rapport </w:t>
        </w:r>
        <w:r w:rsidR="00F50F2B" w:rsidRPr="00603379">
          <w:rPr>
            <w:rStyle w:val="Lienhypertexte"/>
            <w:sz w:val="18"/>
            <w:szCs w:val="18"/>
          </w:rPr>
          <w:t>biannuel</w:t>
        </w:r>
        <w:r w:rsidRPr="00603379">
          <w:rPr>
            <w:rStyle w:val="Lienhypertexte"/>
            <w:sz w:val="18"/>
            <w:szCs w:val="18"/>
          </w:rPr>
          <w:t xml:space="preserve"> 2016, A/72/55</w:t>
        </w:r>
      </w:hyperlink>
    </w:p>
    <w:p w14:paraId="20CB4AB8" w14:textId="0C229FBE" w:rsidR="002E05C7" w:rsidRPr="000F789C" w:rsidRDefault="006075F8" w:rsidP="000F789C">
      <w:pPr>
        <w:rPr>
          <w:rFonts w:cstheme="minorHAnsi"/>
          <w:b/>
          <w:sz w:val="18"/>
          <w:szCs w:val="18"/>
        </w:rPr>
      </w:pPr>
      <w:r>
        <w:rPr>
          <w:sz w:val="18"/>
          <w:szCs w:val="18"/>
        </w:rPr>
        <w:t>*</w:t>
      </w:r>
      <w:r w:rsidR="002E05C7">
        <w:rPr>
          <w:sz w:val="18"/>
          <w:szCs w:val="18"/>
        </w:rPr>
        <w:t>* Pour plus d'informations sur la «privation de liberté spécifique au handicap», voir le rapport d</w:t>
      </w:r>
      <w:r w:rsidR="005B37E8">
        <w:rPr>
          <w:sz w:val="18"/>
          <w:szCs w:val="18"/>
        </w:rPr>
        <w:t>e la</w:t>
      </w:r>
      <w:r w:rsidR="002E05C7">
        <w:rPr>
          <w:sz w:val="18"/>
          <w:szCs w:val="18"/>
        </w:rPr>
        <w:t xml:space="preserve"> Rapporteu</w:t>
      </w:r>
      <w:r w:rsidR="005B37E8">
        <w:rPr>
          <w:sz w:val="18"/>
          <w:szCs w:val="18"/>
        </w:rPr>
        <w:t xml:space="preserve">se </w:t>
      </w:r>
      <w:r w:rsidR="002E05C7">
        <w:rPr>
          <w:sz w:val="18"/>
          <w:szCs w:val="18"/>
        </w:rPr>
        <w:t>spécial</w:t>
      </w:r>
      <w:r w:rsidR="005B37E8">
        <w:rPr>
          <w:sz w:val="18"/>
          <w:szCs w:val="18"/>
        </w:rPr>
        <w:t>e</w:t>
      </w:r>
      <w:r w:rsidR="002E05C7">
        <w:rPr>
          <w:sz w:val="18"/>
          <w:szCs w:val="18"/>
        </w:rPr>
        <w:t xml:space="preserve"> sur les droits des </w:t>
      </w:r>
      <w:r w:rsidR="00410FEF">
        <w:rPr>
          <w:sz w:val="18"/>
          <w:szCs w:val="18"/>
        </w:rPr>
        <w:t>personnes handicapées</w:t>
      </w:r>
      <w:r w:rsidR="002E05C7">
        <w:rPr>
          <w:sz w:val="18"/>
          <w:szCs w:val="18"/>
        </w:rPr>
        <w:t>,</w:t>
      </w:r>
      <w:r w:rsidR="002E05C7">
        <w:t xml:space="preserve"> </w:t>
      </w:r>
      <w:hyperlink r:id="rId12" w:history="1">
        <w:r w:rsidR="002E05C7">
          <w:rPr>
            <w:rStyle w:val="Lienhypertexte"/>
            <w:rFonts w:ascii="Segoe UI" w:hAnsi="Segoe UI"/>
            <w:sz w:val="18"/>
            <w:szCs w:val="18"/>
          </w:rPr>
          <w:t>A / HRC / 40/54</w:t>
        </w:r>
      </w:hyperlink>
      <w:r w:rsidR="002E05C7">
        <w:t xml:space="preserve"> </w:t>
      </w:r>
      <w:r w:rsidR="002E05C7">
        <w:rPr>
          <w:rFonts w:ascii="Segoe UI" w:hAnsi="Segoe UI"/>
          <w:color w:val="444444"/>
          <w:sz w:val="18"/>
          <w:szCs w:val="18"/>
        </w:rPr>
        <w:t xml:space="preserve">, par. </w:t>
      </w:r>
      <w:r w:rsidR="002E05C7">
        <w:rPr>
          <w:sz w:val="18"/>
          <w:szCs w:val="18"/>
        </w:rPr>
        <w:t>14-24. Voir également la note de fin de document iii, ci-dessous.</w:t>
      </w:r>
    </w:p>
    <w:sectPr w:rsidR="002E05C7" w:rsidRPr="000F789C" w:rsidSect="00BA22F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3265" w14:textId="77777777" w:rsidR="0094226A" w:rsidRDefault="0094226A" w:rsidP="00CA591E"/>
  </w:endnote>
  <w:endnote w:type="continuationSeparator" w:id="0">
    <w:p w14:paraId="400BF6F0" w14:textId="77777777" w:rsidR="0094226A" w:rsidRDefault="0094226A" w:rsidP="00CA591E">
      <w:r>
        <w:continuationSeparator/>
      </w:r>
    </w:p>
  </w:endnote>
  <w:endnote w:id="1">
    <w:p w14:paraId="4306E0C3" w14:textId="54AEC30E" w:rsidR="009D60FD" w:rsidRPr="000C0CF4" w:rsidRDefault="006B5DAB" w:rsidP="00D94B89">
      <w:pPr>
        <w:pStyle w:val="Notedefin"/>
        <w:jc w:val="both"/>
        <w:rPr>
          <w:sz w:val="18"/>
          <w:szCs w:val="18"/>
        </w:rPr>
      </w:pPr>
      <w:r>
        <w:rPr>
          <w:rStyle w:val="Appeldenotedefin"/>
          <w:sz w:val="18"/>
          <w:szCs w:val="18"/>
        </w:rPr>
        <w:endnoteRef/>
      </w:r>
      <w:r>
        <w:t xml:space="preserve"> </w:t>
      </w:r>
      <w:r>
        <w:rPr>
          <w:sz w:val="18"/>
          <w:szCs w:val="18"/>
        </w:rPr>
        <w:t xml:space="preserve">La privation de liberté comprend également le confinement à domicile des </w:t>
      </w:r>
      <w:r w:rsidR="00410FEF">
        <w:rPr>
          <w:sz w:val="18"/>
          <w:szCs w:val="18"/>
        </w:rPr>
        <w:t>personnes handicapées</w:t>
      </w:r>
      <w:r>
        <w:rPr>
          <w:sz w:val="18"/>
          <w:szCs w:val="18"/>
        </w:rPr>
        <w:t xml:space="preserve"> (voir indicateur 14.4, note iii), ce qui pose de sérieux problèmes pour la collecte de données par rapport aux données provenant de sources administratives liées à la </w:t>
      </w:r>
      <w:r w:rsidR="00037ECF">
        <w:rPr>
          <w:sz w:val="18"/>
          <w:szCs w:val="18"/>
        </w:rPr>
        <w:t>privation de liberté</w:t>
      </w:r>
      <w:r>
        <w:rPr>
          <w:sz w:val="18"/>
          <w:szCs w:val="18"/>
        </w:rPr>
        <w:t xml:space="preserve"> dans les prisons, les établissements psychiatriques, etc. Les États devraient viser à produire et soutenir la collecte de données pour résoudre ce problème par des moyens appropriés. </w:t>
      </w:r>
    </w:p>
  </w:endnote>
  <w:endnote w:id="2">
    <w:p w14:paraId="1B08577B" w14:textId="3B042400" w:rsidR="0084107A" w:rsidRPr="00D94B89" w:rsidRDefault="0084107A" w:rsidP="00D94B89">
      <w:pPr>
        <w:pStyle w:val="Notedefin"/>
        <w:jc w:val="both"/>
        <w:rPr>
          <w:sz w:val="18"/>
          <w:szCs w:val="18"/>
        </w:rPr>
      </w:pPr>
      <w:r>
        <w:rPr>
          <w:rStyle w:val="Appeldenotedefin"/>
          <w:sz w:val="18"/>
          <w:szCs w:val="18"/>
        </w:rPr>
        <w:endnoteRef/>
      </w:r>
      <w:r>
        <w:rPr>
          <w:sz w:val="18"/>
          <w:szCs w:val="18"/>
        </w:rPr>
        <w:t xml:space="preserve"> En particulier, les marqueurs sur les dépenses devraient contribuer à :</w:t>
      </w:r>
    </w:p>
    <w:p w14:paraId="063354E1" w14:textId="47DF3299" w:rsidR="0010600C" w:rsidRPr="008C46A7" w:rsidRDefault="00BF37A7" w:rsidP="00BF37A7">
      <w:pPr>
        <w:pStyle w:val="Notedefin"/>
        <w:ind w:left="284"/>
        <w:jc w:val="both"/>
        <w:rPr>
          <w:sz w:val="18"/>
          <w:szCs w:val="18"/>
        </w:rPr>
      </w:pPr>
      <w:r>
        <w:rPr>
          <w:sz w:val="18"/>
          <w:szCs w:val="18"/>
        </w:rPr>
        <w:t xml:space="preserve">- comparer le budget alloué aux services de soutien dans la communauté pour les </w:t>
      </w:r>
      <w:r w:rsidR="00410FEF">
        <w:rPr>
          <w:sz w:val="18"/>
          <w:szCs w:val="18"/>
        </w:rPr>
        <w:t>personnes handicapées</w:t>
      </w:r>
      <w:r>
        <w:rPr>
          <w:sz w:val="18"/>
          <w:szCs w:val="18"/>
        </w:rPr>
        <w:t xml:space="preserve"> libérées de la privation de liberté spécifique au handicap par rapport au budget investi dans les institutions (entretien, services, etc.) pour suivre et vérifier l'engagement politique en faveur du droit à la liberté et la sécurité des </w:t>
      </w:r>
      <w:r w:rsidR="00410FEF">
        <w:rPr>
          <w:sz w:val="18"/>
          <w:szCs w:val="18"/>
        </w:rPr>
        <w:t>personnes handicapées</w:t>
      </w:r>
      <w:r>
        <w:rPr>
          <w:sz w:val="18"/>
          <w:szCs w:val="18"/>
        </w:rPr>
        <w:t xml:space="preserve"> grâce à l'allocation des ressources. </w:t>
      </w:r>
    </w:p>
    <w:p w14:paraId="778F1ACD" w14:textId="58A4E5BB" w:rsidR="008C46A7" w:rsidRPr="008C46A7" w:rsidRDefault="00BF37A7" w:rsidP="008C46A7">
      <w:pPr>
        <w:pStyle w:val="Notedefin"/>
        <w:ind w:left="284"/>
        <w:jc w:val="both"/>
        <w:rPr>
          <w:sz w:val="18"/>
          <w:szCs w:val="18"/>
        </w:rPr>
      </w:pPr>
      <w:r>
        <w:rPr>
          <w:sz w:val="18"/>
          <w:szCs w:val="18"/>
        </w:rPr>
        <w:t xml:space="preserve">- déterminer annuellement le montant dépensé pour rendre les systèmes de détention non spécifiques au handicap inclusifs des </w:t>
      </w:r>
      <w:r w:rsidR="00410FEF">
        <w:rPr>
          <w:sz w:val="18"/>
          <w:szCs w:val="18"/>
        </w:rPr>
        <w:t>personnes handicapées</w:t>
      </w:r>
      <w:r>
        <w:rPr>
          <w:sz w:val="18"/>
          <w:szCs w:val="18"/>
        </w:rPr>
        <w:t>, y compris en spécifiant des fonds pour améliorer l'accessibilité et fournir des aménagements raisonnables.</w:t>
      </w:r>
    </w:p>
  </w:endnote>
  <w:endnote w:id="3">
    <w:p w14:paraId="69CE3067" w14:textId="77777777" w:rsidR="008C46A7" w:rsidRDefault="003537BC" w:rsidP="008C46A7">
      <w:pPr>
        <w:pStyle w:val="Notedefin"/>
        <w:ind w:left="-142"/>
        <w:jc w:val="both"/>
        <w:rPr>
          <w:sz w:val="18"/>
          <w:szCs w:val="18"/>
        </w:rPr>
      </w:pPr>
      <w:r>
        <w:rPr>
          <w:rStyle w:val="Appeldenotedefin"/>
          <w:sz w:val="18"/>
          <w:szCs w:val="18"/>
        </w:rPr>
        <w:endnoteRef/>
      </w:r>
      <w:r>
        <w:rPr>
          <w:sz w:val="18"/>
          <w:szCs w:val="18"/>
        </w:rPr>
        <w:t xml:space="preserve"> Cela comprend :</w:t>
      </w:r>
    </w:p>
    <w:p w14:paraId="2C56B365" w14:textId="2E360798" w:rsidR="00CB3C48" w:rsidRPr="00D5659D" w:rsidRDefault="00BC7AC2" w:rsidP="008C46A7">
      <w:pPr>
        <w:pStyle w:val="Notedefin"/>
        <w:ind w:left="-142" w:firstLine="426"/>
        <w:jc w:val="both"/>
        <w:rPr>
          <w:sz w:val="18"/>
          <w:szCs w:val="18"/>
        </w:rPr>
      </w:pPr>
      <w:r>
        <w:rPr>
          <w:sz w:val="18"/>
          <w:szCs w:val="18"/>
        </w:rPr>
        <w:t>- législation civile, administrative et des services sociaux autorisant l'institutionnalisation forcée, y compris sur autorisation d'un tiers.</w:t>
      </w:r>
    </w:p>
    <w:p w14:paraId="4C65CDE8" w14:textId="05EC1994" w:rsidR="003537BC" w:rsidRPr="00D5659D" w:rsidRDefault="003537BC" w:rsidP="00D94B89">
      <w:pPr>
        <w:pStyle w:val="Notedefin"/>
        <w:ind w:left="284"/>
        <w:jc w:val="both"/>
        <w:rPr>
          <w:sz w:val="18"/>
          <w:szCs w:val="18"/>
        </w:rPr>
      </w:pPr>
      <w:r>
        <w:rPr>
          <w:sz w:val="18"/>
          <w:szCs w:val="18"/>
        </w:rPr>
        <w:t>- législation en matière de santé générale ou de santé mentale spécifique autorisant l'hospitalisation ou le traitement involontaire, y compris sur autorisation d'un tiers, pour toute durée et pour toute fin.</w:t>
      </w:r>
    </w:p>
    <w:p w14:paraId="4DE570EC" w14:textId="50A305CB" w:rsidR="003537BC" w:rsidRDefault="003537BC" w:rsidP="00B160E6">
      <w:pPr>
        <w:pStyle w:val="Notedefin"/>
        <w:ind w:left="284"/>
        <w:jc w:val="both"/>
        <w:rPr>
          <w:sz w:val="18"/>
          <w:szCs w:val="18"/>
        </w:rPr>
      </w:pPr>
      <w:r>
        <w:rPr>
          <w:sz w:val="18"/>
          <w:szCs w:val="18"/>
        </w:rPr>
        <w:t>- droit pénal et procédure permettant de se soustraire aux poursuites pour être jugé « inapte à subir son procès » ou « non pénalement responsable » entraînant l'application de mesures de sécurité, notamment la privation de liberté et le traitement forcé.</w:t>
      </w:r>
    </w:p>
    <w:p w14:paraId="5F9A7CBE" w14:textId="490E2215" w:rsidR="00086613" w:rsidRPr="00D5659D" w:rsidRDefault="00086613" w:rsidP="00086613">
      <w:pPr>
        <w:pStyle w:val="Notedefin"/>
        <w:ind w:left="284"/>
        <w:jc w:val="both"/>
        <w:rPr>
          <w:sz w:val="18"/>
          <w:szCs w:val="18"/>
        </w:rPr>
      </w:pPr>
      <w:r>
        <w:rPr>
          <w:sz w:val="18"/>
          <w:szCs w:val="18"/>
        </w:rPr>
        <w:t xml:space="preserve">- droit de la famille ou législation connexe autorisant le confinement à domicile par une famille de </w:t>
      </w:r>
      <w:r w:rsidR="00410FEF">
        <w:rPr>
          <w:sz w:val="18"/>
          <w:szCs w:val="18"/>
        </w:rPr>
        <w:t>personnes handicapées</w:t>
      </w:r>
      <w:r>
        <w:rPr>
          <w:sz w:val="18"/>
          <w:szCs w:val="18"/>
        </w:rPr>
        <w:t>, ou permettant à la famille d'autoriser ou de demander l'institutionnalisation ou l'hospitalisation d'un adulte ou d'un enfant.</w:t>
      </w:r>
    </w:p>
    <w:p w14:paraId="296ADA1B" w14:textId="08B76D8C" w:rsidR="007630B0" w:rsidRPr="00BD0700" w:rsidRDefault="003537BC" w:rsidP="00D94B89">
      <w:pPr>
        <w:pStyle w:val="Notedefin"/>
        <w:ind w:left="284"/>
        <w:jc w:val="both"/>
        <w:rPr>
          <w:sz w:val="18"/>
          <w:szCs w:val="18"/>
        </w:rPr>
      </w:pPr>
      <w:r>
        <w:rPr>
          <w:sz w:val="18"/>
          <w:szCs w:val="18"/>
        </w:rPr>
        <w:t>- menace imminente pour la liberté et/ou la sécurité de la personne en cas de non-respect des régimes imposés tels que les traitements forcés par le biais d'ordonnances de traitement communautaire (CTO) ou par le pouvoir conféré au personnel de santé, de santé mentale ou de services sociaux ou aux autorités publiques de détenir des individus pour observation et évaluation.</w:t>
      </w:r>
    </w:p>
    <w:p w14:paraId="519E1138" w14:textId="3D5D75FA" w:rsidR="002B49CB" w:rsidRPr="00D94B89" w:rsidRDefault="007630B0" w:rsidP="00D94B89">
      <w:pPr>
        <w:pStyle w:val="Notedefin"/>
        <w:jc w:val="both"/>
        <w:rPr>
          <w:sz w:val="18"/>
          <w:szCs w:val="18"/>
        </w:rPr>
      </w:pPr>
      <w:r>
        <w:rPr>
          <w:sz w:val="18"/>
          <w:szCs w:val="18"/>
        </w:rPr>
        <w:t xml:space="preserve">En outre, la législation devrait être modifiée pour garantir la suppression des dispositions qui ont pour effet de criminaliser les « comportements atypiques » qui ont un impact négatif et disproportionné sur les </w:t>
      </w:r>
      <w:r w:rsidR="00410FEF">
        <w:rPr>
          <w:sz w:val="18"/>
          <w:szCs w:val="18"/>
        </w:rPr>
        <w:t>personnes handicapées</w:t>
      </w:r>
      <w:r>
        <w:rPr>
          <w:sz w:val="18"/>
          <w:szCs w:val="18"/>
        </w:rPr>
        <w:t xml:space="preserve">, à savoir les </w:t>
      </w:r>
      <w:r w:rsidR="00410FEF">
        <w:rPr>
          <w:sz w:val="18"/>
          <w:szCs w:val="18"/>
        </w:rPr>
        <w:t>personnes handicapées</w:t>
      </w:r>
      <w:r>
        <w:rPr>
          <w:sz w:val="18"/>
          <w:szCs w:val="18"/>
        </w:rPr>
        <w:t xml:space="preserve"> </w:t>
      </w:r>
      <w:r w:rsidR="00410FEF">
        <w:rPr>
          <w:sz w:val="18"/>
          <w:szCs w:val="18"/>
        </w:rPr>
        <w:t>intellectuelles</w:t>
      </w:r>
      <w:r>
        <w:rPr>
          <w:sz w:val="18"/>
          <w:szCs w:val="18"/>
        </w:rPr>
        <w:t xml:space="preserve">, les </w:t>
      </w:r>
      <w:r w:rsidR="00410FEF">
        <w:rPr>
          <w:sz w:val="18"/>
          <w:szCs w:val="18"/>
        </w:rPr>
        <w:t>personnes handicapées</w:t>
      </w:r>
      <w:r>
        <w:rPr>
          <w:sz w:val="18"/>
          <w:szCs w:val="18"/>
        </w:rPr>
        <w:t xml:space="preserve"> psychosocial</w:t>
      </w:r>
      <w:r w:rsidR="00410FEF">
        <w:rPr>
          <w:sz w:val="18"/>
          <w:szCs w:val="18"/>
        </w:rPr>
        <w:t>es</w:t>
      </w:r>
      <w:r>
        <w:rPr>
          <w:sz w:val="18"/>
          <w:szCs w:val="18"/>
        </w:rPr>
        <w:t xml:space="preserve">, les personnes </w:t>
      </w:r>
      <w:r w:rsidR="00410FEF">
        <w:rPr>
          <w:sz w:val="18"/>
          <w:szCs w:val="18"/>
        </w:rPr>
        <w:t>vivant avec la</w:t>
      </w:r>
      <w:r>
        <w:rPr>
          <w:sz w:val="18"/>
          <w:szCs w:val="18"/>
        </w:rPr>
        <w:t xml:space="preserve"> démence et les personnes autistes, et doit être éliminée comme étant contraire aux principes de non-discrimination et de droit pénal. Voir</w:t>
      </w:r>
      <w:hyperlink r:id="rId1" w:history="1">
        <w:r w:rsidRPr="00D96293">
          <w:rPr>
            <w:rStyle w:val="Lienhypertexte"/>
            <w:sz w:val="18"/>
            <w:szCs w:val="18"/>
          </w:rPr>
          <w:t xml:space="preserve"> A/HRC/40/54</w:t>
        </w:r>
      </w:hyperlink>
      <w:r>
        <w:rPr>
          <w:sz w:val="18"/>
          <w:szCs w:val="18"/>
        </w:rPr>
        <w:t>, par. 34.</w:t>
      </w:r>
    </w:p>
  </w:endnote>
  <w:endnote w:id="4">
    <w:p w14:paraId="6D4E7806" w14:textId="353A57F9" w:rsidR="00406A63" w:rsidRPr="00D94B89" w:rsidRDefault="00406A63" w:rsidP="00D94B89">
      <w:pPr>
        <w:pStyle w:val="Notedefin"/>
        <w:jc w:val="both"/>
        <w:rPr>
          <w:sz w:val="18"/>
          <w:szCs w:val="18"/>
        </w:rPr>
      </w:pPr>
      <w:r>
        <w:rPr>
          <w:rStyle w:val="Appeldenotedefin"/>
          <w:sz w:val="18"/>
          <w:szCs w:val="18"/>
        </w:rPr>
        <w:endnoteRef/>
      </w:r>
      <w:r>
        <w:t xml:space="preserve"> </w:t>
      </w:r>
      <w:r>
        <w:rPr>
          <w:sz w:val="18"/>
          <w:szCs w:val="18"/>
        </w:rPr>
        <w:t>La contention chimique comprend toute administration de médicaments neuroleptiques sans le consentement libre et éclairé de la personne concernée.</w:t>
      </w:r>
    </w:p>
  </w:endnote>
  <w:endnote w:id="5">
    <w:p w14:paraId="75237678" w14:textId="7B5F4F07" w:rsidR="00921739" w:rsidRPr="00D94B89" w:rsidRDefault="00921739"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Voir les lignes directrices du Comité CDPH sur l'article 14, paragraphe 24, citant « </w:t>
      </w:r>
      <w:r>
        <w:rPr>
          <w:color w:val="000000"/>
          <w:sz w:val="18"/>
          <w:szCs w:val="18"/>
        </w:rPr>
        <w:t>Principes de base et directives des Nations Unies sur les recours et procédures relatifs au droit de toute personne privée de sa liberté de saisir un tribunal », Ligne directrice 20,</w:t>
      </w:r>
      <w:r>
        <w:rPr>
          <w:sz w:val="18"/>
          <w:szCs w:val="18"/>
        </w:rPr>
        <w:t xml:space="preserve"> A/HRC/30/36, par. 126. </w:t>
      </w:r>
    </w:p>
  </w:endnote>
  <w:endnote w:id="6">
    <w:p w14:paraId="0AD27578" w14:textId="48520184" w:rsidR="00AD4FA2" w:rsidRPr="00D94B89" w:rsidRDefault="00AD4FA2"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Pour le « motif de détention », une distinction doit être établie entre les personnes condamnées et les personnes en détention provisoire, par exemple faisant face à des accusations pénales en détention provisoire.</w:t>
      </w:r>
    </w:p>
  </w:endnote>
  <w:endnote w:id="7">
    <w:p w14:paraId="71254EF4" w14:textId="30705CEE" w:rsidR="00947890" w:rsidRPr="00D94B89" w:rsidRDefault="00947890"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En ce qui concerne l'aide juridique dans le système pénal, voir</w:t>
      </w:r>
      <w:r>
        <w:t xml:space="preserve"> </w:t>
      </w:r>
      <w:hyperlink r:id="rId2" w:history="1">
        <w:r>
          <w:rPr>
            <w:rStyle w:val="Lienhypertexte"/>
            <w:sz w:val="18"/>
            <w:szCs w:val="18"/>
          </w:rPr>
          <w:t>Principes et directives des Nations Unies sur l'accès à l'aide juridique dans les systèmes de justice pénale</w:t>
        </w:r>
      </w:hyperlink>
      <w:r>
        <w:rPr>
          <w:sz w:val="18"/>
          <w:szCs w:val="18"/>
        </w:rPr>
        <w:t xml:space="preserve">. </w:t>
      </w:r>
    </w:p>
  </w:endnote>
  <w:endnote w:id="8">
    <w:p w14:paraId="61397E47" w14:textId="20ECD2DE" w:rsidR="00BC4A75" w:rsidRPr="009A6462" w:rsidRDefault="00BC4A75" w:rsidP="00D94B89">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Cela comprend à la fois les lieux de privation de liberté spécifiques au handicap, contraires à la CDPH lorsqu’ils continuent d'exister, et les autres lieux de détention (par exemple les prisons).</w:t>
      </w:r>
    </w:p>
  </w:endnote>
  <w:endnote w:id="9">
    <w:p w14:paraId="5B4E058D" w14:textId="23E4168B" w:rsidR="00A4703B" w:rsidRPr="00DD35DD" w:rsidRDefault="0096400A" w:rsidP="00A4703B">
      <w:pPr>
        <w:pStyle w:val="Notedefin"/>
        <w:jc w:val="both"/>
        <w:rPr>
          <w:sz w:val="18"/>
          <w:szCs w:val="18"/>
        </w:rPr>
      </w:pPr>
      <w:r>
        <w:rPr>
          <w:rStyle w:val="Appeldenotedefin"/>
          <w:rFonts w:cstheme="minorHAnsi"/>
          <w:sz w:val="18"/>
          <w:szCs w:val="18"/>
        </w:rPr>
        <w:endnoteRef/>
      </w:r>
      <w:r>
        <w:t xml:space="preserve"> </w:t>
      </w:r>
      <w:r>
        <w:rPr>
          <w:sz w:val="18"/>
          <w:szCs w:val="18"/>
        </w:rPr>
        <w:t xml:space="preserve">Cet indicateur nécessite de vérifier les activités concrètes entreprises par les autorités publiques pour </w:t>
      </w:r>
      <w:r w:rsidR="00410FEF">
        <w:rPr>
          <w:sz w:val="18"/>
          <w:szCs w:val="18"/>
        </w:rPr>
        <w:t xml:space="preserve">faire participer </w:t>
      </w:r>
      <w:r>
        <w:rPr>
          <w:sz w:val="18"/>
          <w:szCs w:val="18"/>
        </w:rPr>
        <w:t xml:space="preserve">les </w:t>
      </w:r>
      <w:r w:rsidR="00410FEF">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3" w:history="1">
        <w:r w:rsidRPr="000D5C9B">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B37E516" w14:textId="77777777" w:rsidR="00A4703B" w:rsidRPr="00DD35DD" w:rsidRDefault="00A4703B" w:rsidP="00A4703B">
      <w:pPr>
        <w:pStyle w:val="Notedefin"/>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0A5C684B" w14:textId="77777777" w:rsidR="00A4703B" w:rsidRPr="00DD35DD" w:rsidRDefault="00A4703B" w:rsidP="00A4703B">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1619BCEC" w14:textId="148FDD5D" w:rsidR="00A4703B" w:rsidRPr="00DD35DD" w:rsidRDefault="00A4703B" w:rsidP="00A4703B">
      <w:pPr>
        <w:pStyle w:val="Notedefin"/>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410FEF">
        <w:rPr>
          <w:sz w:val="18"/>
          <w:szCs w:val="18"/>
        </w:rPr>
        <w:t>personnes handicapées</w:t>
      </w:r>
      <w:r>
        <w:rPr>
          <w:sz w:val="18"/>
          <w:szCs w:val="18"/>
        </w:rPr>
        <w:t xml:space="preserve"> d'exprimer librement leurs opinions ;</w:t>
      </w:r>
    </w:p>
    <w:p w14:paraId="74715BA2" w14:textId="77777777" w:rsidR="00A4703B" w:rsidRPr="00DD35DD" w:rsidRDefault="00A4703B" w:rsidP="00A4703B">
      <w:pPr>
        <w:pStyle w:val="Notedefin"/>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6456804A" w14:textId="6E2BE4FE" w:rsidR="004B52C1" w:rsidRDefault="00A4703B" w:rsidP="004B52C1">
      <w:pPr>
        <w:pStyle w:val="Notedefin"/>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w:t>
      </w:r>
      <w:r w:rsidR="00410FEF">
        <w:rPr>
          <w:sz w:val="18"/>
          <w:szCs w:val="18"/>
        </w:rPr>
        <w:t xml:space="preserve">participation </w:t>
      </w:r>
      <w:r>
        <w:rPr>
          <w:sz w:val="18"/>
          <w:szCs w:val="18"/>
        </w:rPr>
        <w:t>précoce et continue ;</w:t>
      </w:r>
    </w:p>
    <w:p w14:paraId="59EA02C6" w14:textId="7D27362E" w:rsidR="0096400A" w:rsidRPr="004B52C1" w:rsidRDefault="00BF37A7" w:rsidP="004B52C1">
      <w:pPr>
        <w:pStyle w:val="Notedefin"/>
        <w:numPr>
          <w:ilvl w:val="0"/>
          <w:numId w:val="3"/>
        </w:numPr>
        <w:ind w:left="714" w:hanging="357"/>
        <w:contextualSpacing/>
        <w:rPr>
          <w:sz w:val="18"/>
          <w:szCs w:val="18"/>
        </w:rPr>
      </w:pPr>
      <w:proofErr w:type="gramStart"/>
      <w:r w:rsidRPr="004B52C1">
        <w:rPr>
          <w:sz w:val="18"/>
          <w:szCs w:val="18"/>
        </w:rPr>
        <w:t>couvrir</w:t>
      </w:r>
      <w:proofErr w:type="gramEnd"/>
      <w:r w:rsidRPr="004B52C1">
        <w:rPr>
          <w:sz w:val="18"/>
          <w:szCs w:val="18"/>
        </w:rPr>
        <w:t xml:space="preserve"> les dépenses connexes des participants.</w:t>
      </w:r>
    </w:p>
  </w:endnote>
  <w:endnote w:id="10">
    <w:p w14:paraId="424E192F" w14:textId="100D652A" w:rsidR="00C96B3A" w:rsidRPr="004E5852" w:rsidRDefault="00C96B3A" w:rsidP="00C96B3A">
      <w:pPr>
        <w:pStyle w:val="Notedefin"/>
      </w:pPr>
      <w:r>
        <w:rPr>
          <w:rStyle w:val="Appeldenotedefin"/>
          <w:sz w:val="18"/>
          <w:szCs w:val="18"/>
        </w:rPr>
        <w:endnoteRef/>
      </w:r>
      <w:r>
        <w:t xml:space="preserve"> </w:t>
      </w:r>
      <w:r>
        <w:rPr>
          <w:sz w:val="18"/>
          <w:szCs w:val="18"/>
        </w:rPr>
        <w:t>Pour les « motifs légaux de détention », voir la note de fin de document iii ci-dessus indiquant les différentes raisons qui sous-tendent les privations de liberté sur la base de l</w:t>
      </w:r>
      <w:r w:rsidR="00410FEF">
        <w:rPr>
          <w:sz w:val="18"/>
          <w:szCs w:val="18"/>
        </w:rPr>
        <w:t>’incapacité</w:t>
      </w:r>
      <w:r>
        <w:rPr>
          <w:sz w:val="18"/>
          <w:szCs w:val="18"/>
        </w:rPr>
        <w:t xml:space="preserve"> et la législation qui comprend généralement toujours des dispositions la légitimant, en contradiction avec l'article 14 de la CDPH.</w:t>
      </w:r>
      <w:r w:rsidR="004B52C1">
        <w:t xml:space="preserve"> </w:t>
      </w:r>
    </w:p>
  </w:endnote>
  <w:endnote w:id="11">
    <w:p w14:paraId="44AB37F2" w14:textId="67B79814" w:rsidR="00AD4FA2" w:rsidRPr="00D94B89" w:rsidRDefault="00AD4FA2" w:rsidP="00D94B89">
      <w:pPr>
        <w:pStyle w:val="Notedefin"/>
        <w:jc w:val="both"/>
        <w:rPr>
          <w:sz w:val="18"/>
          <w:szCs w:val="18"/>
        </w:rPr>
      </w:pPr>
      <w:r>
        <w:rPr>
          <w:rStyle w:val="Appeldenotedefin"/>
          <w:sz w:val="18"/>
          <w:szCs w:val="18"/>
        </w:rPr>
        <w:endnoteRef/>
      </w:r>
      <w:r>
        <w:t xml:space="preserve"> </w:t>
      </w:r>
      <w:r>
        <w:rPr>
          <w:sz w:val="18"/>
          <w:szCs w:val="18"/>
        </w:rPr>
        <w:t xml:space="preserve">Pour le « motif de détention », une distinction doit être établie entre les personnes en détention provisoire et celles qui ont été condamnées. </w:t>
      </w:r>
    </w:p>
  </w:endnote>
  <w:endnote w:id="12">
    <w:p w14:paraId="105BD261" w14:textId="1B73F57F" w:rsidR="005F2FAB" w:rsidRPr="00D94B89" w:rsidRDefault="005F2FAB" w:rsidP="00D94B89">
      <w:pPr>
        <w:pStyle w:val="Notedefin"/>
        <w:jc w:val="both"/>
        <w:rPr>
          <w:sz w:val="18"/>
          <w:szCs w:val="18"/>
        </w:rPr>
      </w:pPr>
      <w:r>
        <w:rPr>
          <w:rStyle w:val="Appeldenotedefin"/>
          <w:sz w:val="18"/>
          <w:szCs w:val="18"/>
        </w:rPr>
        <w:endnoteRef/>
      </w:r>
      <w:r>
        <w:t xml:space="preserve"> </w:t>
      </w:r>
      <w:r>
        <w:rPr>
          <w:sz w:val="18"/>
          <w:szCs w:val="18"/>
        </w:rPr>
        <w:t xml:space="preserve">Cet indicateur contribue à évaluer s'il existe une surreprésentation des </w:t>
      </w:r>
      <w:r w:rsidR="00410FEF">
        <w:rPr>
          <w:sz w:val="18"/>
          <w:szCs w:val="18"/>
        </w:rPr>
        <w:t>personnes handicapées</w:t>
      </w:r>
      <w:r>
        <w:rPr>
          <w:sz w:val="18"/>
          <w:szCs w:val="18"/>
        </w:rPr>
        <w:t xml:space="preserve"> dans la population condamnée. Dans de tels cas, de nouvelles enquêtes et études devraient être menées afin d'identifier les causes de la discrimination directe ou indirecte à l'égard des </w:t>
      </w:r>
      <w:r w:rsidR="00410FEF">
        <w:rPr>
          <w:sz w:val="18"/>
          <w:szCs w:val="18"/>
        </w:rPr>
        <w:t>personnes handicapées</w:t>
      </w:r>
      <w:r>
        <w:rPr>
          <w:sz w:val="18"/>
          <w:szCs w:val="18"/>
        </w:rPr>
        <w:t xml:space="preserve"> (par exemple en raison du manque d'accès à l'aide juridique, du manque d'accessibilité des communications, du manque d'aménagements procéduraux pendant les procédures judiciaires, etc.).</w:t>
      </w:r>
    </w:p>
  </w:endnote>
  <w:endnote w:id="13">
    <w:p w14:paraId="2F199411" w14:textId="771A9D11" w:rsidR="006E45FF" w:rsidRPr="00D94B89" w:rsidRDefault="006E45FF" w:rsidP="00D94B89">
      <w:pPr>
        <w:pStyle w:val="Notedefin"/>
        <w:jc w:val="both"/>
        <w:rPr>
          <w:sz w:val="18"/>
          <w:szCs w:val="18"/>
        </w:rPr>
      </w:pPr>
      <w:r>
        <w:rPr>
          <w:rStyle w:val="Appeldenotedefin"/>
          <w:sz w:val="18"/>
          <w:szCs w:val="18"/>
        </w:rPr>
        <w:endnoteRef/>
      </w:r>
      <w:r>
        <w:t xml:space="preserve"> </w:t>
      </w:r>
      <w:r>
        <w:rPr>
          <w:sz w:val="18"/>
          <w:szCs w:val="18"/>
        </w:rPr>
        <w:t>Pour le « motif de détention », une distinction doit être établie entre les personnes condamnées et les personnes en détention provisoire, par exemple faisant face à des accusations pénales en détention provisoire.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3F46" w14:textId="77777777" w:rsidR="004C30E5" w:rsidRDefault="004C30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C389" w14:textId="77777777" w:rsidR="004C30E5" w:rsidRDefault="004C30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CD40" w14:textId="77777777" w:rsidR="004C30E5" w:rsidRDefault="004C30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4753" w14:textId="77777777" w:rsidR="0094226A" w:rsidRDefault="0094226A" w:rsidP="00CA591E">
      <w:r>
        <w:separator/>
      </w:r>
    </w:p>
  </w:footnote>
  <w:footnote w:type="continuationSeparator" w:id="0">
    <w:p w14:paraId="0ED5307C" w14:textId="77777777" w:rsidR="0094226A" w:rsidRDefault="0094226A"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43BB" w14:textId="4D435283" w:rsidR="004C30E5" w:rsidRDefault="004C30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6D64" w14:textId="2AC13C70" w:rsidR="004C30E5" w:rsidRDefault="004C30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F928" w14:textId="64AC9E57" w:rsidR="004C30E5" w:rsidRDefault="004C30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9"/>
  </w:num>
  <w:num w:numId="6">
    <w:abstractNumId w:val="17"/>
  </w:num>
  <w:num w:numId="7">
    <w:abstractNumId w:val="14"/>
  </w:num>
  <w:num w:numId="8">
    <w:abstractNumId w:val="1"/>
  </w:num>
  <w:num w:numId="9">
    <w:abstractNumId w:val="2"/>
  </w:num>
  <w:num w:numId="10">
    <w:abstractNumId w:val="3"/>
  </w:num>
  <w:num w:numId="11">
    <w:abstractNumId w:val="15"/>
  </w:num>
  <w:num w:numId="12">
    <w:abstractNumId w:val="13"/>
  </w:num>
  <w:num w:numId="13">
    <w:abstractNumId w:val="8"/>
  </w:num>
  <w:num w:numId="14">
    <w:abstractNumId w:val="4"/>
  </w:num>
  <w:num w:numId="15">
    <w:abstractNumId w:val="16"/>
  </w:num>
  <w:num w:numId="16">
    <w:abstractNumId w:val="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134AA"/>
    <w:rsid w:val="00015D2F"/>
    <w:rsid w:val="00026CE2"/>
    <w:rsid w:val="00030734"/>
    <w:rsid w:val="00037ECF"/>
    <w:rsid w:val="00044E39"/>
    <w:rsid w:val="00050711"/>
    <w:rsid w:val="0005219A"/>
    <w:rsid w:val="0005400D"/>
    <w:rsid w:val="00057593"/>
    <w:rsid w:val="00061174"/>
    <w:rsid w:val="00063173"/>
    <w:rsid w:val="000634C4"/>
    <w:rsid w:val="00074F4F"/>
    <w:rsid w:val="00077C8F"/>
    <w:rsid w:val="0008153B"/>
    <w:rsid w:val="00086613"/>
    <w:rsid w:val="000925E1"/>
    <w:rsid w:val="000A25BC"/>
    <w:rsid w:val="000A76BA"/>
    <w:rsid w:val="000B3868"/>
    <w:rsid w:val="000C0CF4"/>
    <w:rsid w:val="000C3CB6"/>
    <w:rsid w:val="000D07B8"/>
    <w:rsid w:val="000D30DE"/>
    <w:rsid w:val="000D46F9"/>
    <w:rsid w:val="000D5343"/>
    <w:rsid w:val="000D5398"/>
    <w:rsid w:val="000D5C9B"/>
    <w:rsid w:val="000F0030"/>
    <w:rsid w:val="000F20CC"/>
    <w:rsid w:val="000F789C"/>
    <w:rsid w:val="00101BAD"/>
    <w:rsid w:val="00102132"/>
    <w:rsid w:val="001030AE"/>
    <w:rsid w:val="001046B4"/>
    <w:rsid w:val="0010600C"/>
    <w:rsid w:val="00107F3F"/>
    <w:rsid w:val="001143E6"/>
    <w:rsid w:val="00117D02"/>
    <w:rsid w:val="00117D09"/>
    <w:rsid w:val="00121ED4"/>
    <w:rsid w:val="00123051"/>
    <w:rsid w:val="001236E2"/>
    <w:rsid w:val="00140B3A"/>
    <w:rsid w:val="00142DCB"/>
    <w:rsid w:val="00145952"/>
    <w:rsid w:val="0014735B"/>
    <w:rsid w:val="0015073D"/>
    <w:rsid w:val="00157C13"/>
    <w:rsid w:val="00165E24"/>
    <w:rsid w:val="00167016"/>
    <w:rsid w:val="00167E3A"/>
    <w:rsid w:val="0017378D"/>
    <w:rsid w:val="0017443D"/>
    <w:rsid w:val="0017612D"/>
    <w:rsid w:val="00191251"/>
    <w:rsid w:val="00195062"/>
    <w:rsid w:val="00195FC1"/>
    <w:rsid w:val="001A41A0"/>
    <w:rsid w:val="001A463A"/>
    <w:rsid w:val="001A7DC0"/>
    <w:rsid w:val="001B7FDF"/>
    <w:rsid w:val="001E42B0"/>
    <w:rsid w:val="001E7EA3"/>
    <w:rsid w:val="001F1E51"/>
    <w:rsid w:val="00203E7D"/>
    <w:rsid w:val="002129A1"/>
    <w:rsid w:val="00212C6B"/>
    <w:rsid w:val="00227806"/>
    <w:rsid w:val="0023223C"/>
    <w:rsid w:val="00240F47"/>
    <w:rsid w:val="00247ACE"/>
    <w:rsid w:val="00253486"/>
    <w:rsid w:val="00257396"/>
    <w:rsid w:val="00264909"/>
    <w:rsid w:val="00265872"/>
    <w:rsid w:val="002671D8"/>
    <w:rsid w:val="00267423"/>
    <w:rsid w:val="0027118D"/>
    <w:rsid w:val="00272F2C"/>
    <w:rsid w:val="00276FD0"/>
    <w:rsid w:val="002773AC"/>
    <w:rsid w:val="002832D4"/>
    <w:rsid w:val="002836A9"/>
    <w:rsid w:val="00291E44"/>
    <w:rsid w:val="00294145"/>
    <w:rsid w:val="002A3CCA"/>
    <w:rsid w:val="002A3F50"/>
    <w:rsid w:val="002A5155"/>
    <w:rsid w:val="002B15C9"/>
    <w:rsid w:val="002B49CB"/>
    <w:rsid w:val="002C0CF3"/>
    <w:rsid w:val="002C0DAA"/>
    <w:rsid w:val="002C2D6E"/>
    <w:rsid w:val="002C3801"/>
    <w:rsid w:val="002C382A"/>
    <w:rsid w:val="002D34B3"/>
    <w:rsid w:val="002D3D29"/>
    <w:rsid w:val="002E05C7"/>
    <w:rsid w:val="002E34A0"/>
    <w:rsid w:val="002F0479"/>
    <w:rsid w:val="002F45D6"/>
    <w:rsid w:val="00304158"/>
    <w:rsid w:val="00304B0D"/>
    <w:rsid w:val="00307D2C"/>
    <w:rsid w:val="00307F27"/>
    <w:rsid w:val="00321266"/>
    <w:rsid w:val="00322EA5"/>
    <w:rsid w:val="003301F5"/>
    <w:rsid w:val="00335FE8"/>
    <w:rsid w:val="003410D4"/>
    <w:rsid w:val="00341586"/>
    <w:rsid w:val="00342FCC"/>
    <w:rsid w:val="00346DAD"/>
    <w:rsid w:val="003517F1"/>
    <w:rsid w:val="00351AD5"/>
    <w:rsid w:val="003537BC"/>
    <w:rsid w:val="003537E8"/>
    <w:rsid w:val="0036316A"/>
    <w:rsid w:val="00366F4C"/>
    <w:rsid w:val="003718CF"/>
    <w:rsid w:val="0037197C"/>
    <w:rsid w:val="003759C9"/>
    <w:rsid w:val="00386AB8"/>
    <w:rsid w:val="00390879"/>
    <w:rsid w:val="00397A61"/>
    <w:rsid w:val="003A0A7D"/>
    <w:rsid w:val="003A712F"/>
    <w:rsid w:val="003B20CB"/>
    <w:rsid w:val="003B22DB"/>
    <w:rsid w:val="003C24B1"/>
    <w:rsid w:val="003C76BB"/>
    <w:rsid w:val="003D2841"/>
    <w:rsid w:val="003D4ADA"/>
    <w:rsid w:val="003E1590"/>
    <w:rsid w:val="003E3F76"/>
    <w:rsid w:val="003E7407"/>
    <w:rsid w:val="003F0227"/>
    <w:rsid w:val="003F14FB"/>
    <w:rsid w:val="003F7A5F"/>
    <w:rsid w:val="00406A63"/>
    <w:rsid w:val="00410FEF"/>
    <w:rsid w:val="004149FE"/>
    <w:rsid w:val="004154BE"/>
    <w:rsid w:val="004224C8"/>
    <w:rsid w:val="0043212A"/>
    <w:rsid w:val="00461CF2"/>
    <w:rsid w:val="00481193"/>
    <w:rsid w:val="004828B0"/>
    <w:rsid w:val="00494FE3"/>
    <w:rsid w:val="0049767B"/>
    <w:rsid w:val="004A1134"/>
    <w:rsid w:val="004A22A0"/>
    <w:rsid w:val="004A2491"/>
    <w:rsid w:val="004A42A4"/>
    <w:rsid w:val="004B00C7"/>
    <w:rsid w:val="004B2535"/>
    <w:rsid w:val="004B41E4"/>
    <w:rsid w:val="004B52C1"/>
    <w:rsid w:val="004C30E5"/>
    <w:rsid w:val="004C3801"/>
    <w:rsid w:val="004D41AC"/>
    <w:rsid w:val="004D4FB3"/>
    <w:rsid w:val="004E002A"/>
    <w:rsid w:val="004E275B"/>
    <w:rsid w:val="004E4D86"/>
    <w:rsid w:val="004E6A41"/>
    <w:rsid w:val="00505308"/>
    <w:rsid w:val="0051360A"/>
    <w:rsid w:val="00517E90"/>
    <w:rsid w:val="00552CD4"/>
    <w:rsid w:val="005676AC"/>
    <w:rsid w:val="005817E5"/>
    <w:rsid w:val="00584C91"/>
    <w:rsid w:val="005929F6"/>
    <w:rsid w:val="00593622"/>
    <w:rsid w:val="005970C3"/>
    <w:rsid w:val="005B0200"/>
    <w:rsid w:val="005B3669"/>
    <w:rsid w:val="005B37E8"/>
    <w:rsid w:val="005E125A"/>
    <w:rsid w:val="005F153F"/>
    <w:rsid w:val="005F2535"/>
    <w:rsid w:val="005F266C"/>
    <w:rsid w:val="005F2FAB"/>
    <w:rsid w:val="005F4E58"/>
    <w:rsid w:val="005F5001"/>
    <w:rsid w:val="005F6FEA"/>
    <w:rsid w:val="00600667"/>
    <w:rsid w:val="00600690"/>
    <w:rsid w:val="00600805"/>
    <w:rsid w:val="0060363E"/>
    <w:rsid w:val="006075F8"/>
    <w:rsid w:val="0061153B"/>
    <w:rsid w:val="0061188B"/>
    <w:rsid w:val="00612E5A"/>
    <w:rsid w:val="00617100"/>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6F35"/>
    <w:rsid w:val="006B3FE4"/>
    <w:rsid w:val="006B5CDD"/>
    <w:rsid w:val="006B5DAB"/>
    <w:rsid w:val="006C3F82"/>
    <w:rsid w:val="006C4480"/>
    <w:rsid w:val="006C5832"/>
    <w:rsid w:val="006D0F40"/>
    <w:rsid w:val="006D37E6"/>
    <w:rsid w:val="006E1BB5"/>
    <w:rsid w:val="006E45FF"/>
    <w:rsid w:val="006E5FCA"/>
    <w:rsid w:val="006F0C29"/>
    <w:rsid w:val="006F2E79"/>
    <w:rsid w:val="006F7AAC"/>
    <w:rsid w:val="0070160D"/>
    <w:rsid w:val="00702448"/>
    <w:rsid w:val="00703E0B"/>
    <w:rsid w:val="00705361"/>
    <w:rsid w:val="0070666C"/>
    <w:rsid w:val="007070D2"/>
    <w:rsid w:val="00712A1A"/>
    <w:rsid w:val="0071397E"/>
    <w:rsid w:val="00717CF9"/>
    <w:rsid w:val="0072068D"/>
    <w:rsid w:val="007215B8"/>
    <w:rsid w:val="00725132"/>
    <w:rsid w:val="00736A44"/>
    <w:rsid w:val="007457D0"/>
    <w:rsid w:val="007472F1"/>
    <w:rsid w:val="00757919"/>
    <w:rsid w:val="00760620"/>
    <w:rsid w:val="007621DB"/>
    <w:rsid w:val="007630B0"/>
    <w:rsid w:val="00773555"/>
    <w:rsid w:val="0077621C"/>
    <w:rsid w:val="0078276A"/>
    <w:rsid w:val="00786903"/>
    <w:rsid w:val="00790AAC"/>
    <w:rsid w:val="00792C5D"/>
    <w:rsid w:val="007938DF"/>
    <w:rsid w:val="007A1134"/>
    <w:rsid w:val="007B7C99"/>
    <w:rsid w:val="007C2DCA"/>
    <w:rsid w:val="007C3D70"/>
    <w:rsid w:val="007C5B9A"/>
    <w:rsid w:val="007E489B"/>
    <w:rsid w:val="007F0AC2"/>
    <w:rsid w:val="007F739A"/>
    <w:rsid w:val="00800D86"/>
    <w:rsid w:val="008012A7"/>
    <w:rsid w:val="00805D5F"/>
    <w:rsid w:val="00813049"/>
    <w:rsid w:val="00822146"/>
    <w:rsid w:val="00823FA2"/>
    <w:rsid w:val="00825487"/>
    <w:rsid w:val="0084107A"/>
    <w:rsid w:val="00841566"/>
    <w:rsid w:val="00846481"/>
    <w:rsid w:val="00847871"/>
    <w:rsid w:val="0084793A"/>
    <w:rsid w:val="0085038B"/>
    <w:rsid w:val="00850DBD"/>
    <w:rsid w:val="00862798"/>
    <w:rsid w:val="008627B4"/>
    <w:rsid w:val="00866AA5"/>
    <w:rsid w:val="00866DD0"/>
    <w:rsid w:val="008810C4"/>
    <w:rsid w:val="00884F8C"/>
    <w:rsid w:val="008858A7"/>
    <w:rsid w:val="0089073E"/>
    <w:rsid w:val="0089318A"/>
    <w:rsid w:val="0089365A"/>
    <w:rsid w:val="00893A92"/>
    <w:rsid w:val="00896132"/>
    <w:rsid w:val="008A5E8E"/>
    <w:rsid w:val="008A7A64"/>
    <w:rsid w:val="008C076E"/>
    <w:rsid w:val="008C325E"/>
    <w:rsid w:val="008C46A7"/>
    <w:rsid w:val="008D1BE3"/>
    <w:rsid w:val="008D2892"/>
    <w:rsid w:val="008E15CB"/>
    <w:rsid w:val="008F3F48"/>
    <w:rsid w:val="008F76D2"/>
    <w:rsid w:val="009159FD"/>
    <w:rsid w:val="00916184"/>
    <w:rsid w:val="009178D0"/>
    <w:rsid w:val="0092036C"/>
    <w:rsid w:val="00920645"/>
    <w:rsid w:val="00921739"/>
    <w:rsid w:val="0092368C"/>
    <w:rsid w:val="0093227D"/>
    <w:rsid w:val="00932D73"/>
    <w:rsid w:val="0094226A"/>
    <w:rsid w:val="00942BDE"/>
    <w:rsid w:val="009461F9"/>
    <w:rsid w:val="00947890"/>
    <w:rsid w:val="00950499"/>
    <w:rsid w:val="0096400A"/>
    <w:rsid w:val="00964A5B"/>
    <w:rsid w:val="0096663D"/>
    <w:rsid w:val="0099154B"/>
    <w:rsid w:val="0099156B"/>
    <w:rsid w:val="009A4374"/>
    <w:rsid w:val="009A6462"/>
    <w:rsid w:val="009A6799"/>
    <w:rsid w:val="009B0C95"/>
    <w:rsid w:val="009C1EB5"/>
    <w:rsid w:val="009C3009"/>
    <w:rsid w:val="009D60FD"/>
    <w:rsid w:val="009D6367"/>
    <w:rsid w:val="009E1074"/>
    <w:rsid w:val="009F0D7D"/>
    <w:rsid w:val="009F413B"/>
    <w:rsid w:val="009F6E73"/>
    <w:rsid w:val="009F70EB"/>
    <w:rsid w:val="009F7D61"/>
    <w:rsid w:val="00A01D6F"/>
    <w:rsid w:val="00A03593"/>
    <w:rsid w:val="00A06917"/>
    <w:rsid w:val="00A11131"/>
    <w:rsid w:val="00A16C10"/>
    <w:rsid w:val="00A22B7C"/>
    <w:rsid w:val="00A354AF"/>
    <w:rsid w:val="00A37CE8"/>
    <w:rsid w:val="00A41459"/>
    <w:rsid w:val="00A42C44"/>
    <w:rsid w:val="00A4391C"/>
    <w:rsid w:val="00A4703B"/>
    <w:rsid w:val="00A523FD"/>
    <w:rsid w:val="00A551AB"/>
    <w:rsid w:val="00A57F81"/>
    <w:rsid w:val="00A65341"/>
    <w:rsid w:val="00A71E9A"/>
    <w:rsid w:val="00A72A10"/>
    <w:rsid w:val="00A81E24"/>
    <w:rsid w:val="00A84BC4"/>
    <w:rsid w:val="00A9268B"/>
    <w:rsid w:val="00A943A7"/>
    <w:rsid w:val="00AA42CC"/>
    <w:rsid w:val="00AB672C"/>
    <w:rsid w:val="00AC03AB"/>
    <w:rsid w:val="00AC36B4"/>
    <w:rsid w:val="00AC630B"/>
    <w:rsid w:val="00AD3349"/>
    <w:rsid w:val="00AD3FF3"/>
    <w:rsid w:val="00AD4FA2"/>
    <w:rsid w:val="00AE00B9"/>
    <w:rsid w:val="00AE386E"/>
    <w:rsid w:val="00AE7749"/>
    <w:rsid w:val="00AF1D13"/>
    <w:rsid w:val="00AF682E"/>
    <w:rsid w:val="00B03486"/>
    <w:rsid w:val="00B049FB"/>
    <w:rsid w:val="00B06EE0"/>
    <w:rsid w:val="00B11211"/>
    <w:rsid w:val="00B160E6"/>
    <w:rsid w:val="00B16DCA"/>
    <w:rsid w:val="00B20B9B"/>
    <w:rsid w:val="00B240A7"/>
    <w:rsid w:val="00B25BCF"/>
    <w:rsid w:val="00B357C7"/>
    <w:rsid w:val="00B4198C"/>
    <w:rsid w:val="00B45519"/>
    <w:rsid w:val="00B456F4"/>
    <w:rsid w:val="00B46612"/>
    <w:rsid w:val="00B475BB"/>
    <w:rsid w:val="00B5493B"/>
    <w:rsid w:val="00B57DC1"/>
    <w:rsid w:val="00B71748"/>
    <w:rsid w:val="00B73032"/>
    <w:rsid w:val="00B90347"/>
    <w:rsid w:val="00B90492"/>
    <w:rsid w:val="00B9171F"/>
    <w:rsid w:val="00B94275"/>
    <w:rsid w:val="00BA22F4"/>
    <w:rsid w:val="00BA2D9A"/>
    <w:rsid w:val="00BB0FA3"/>
    <w:rsid w:val="00BB4CB4"/>
    <w:rsid w:val="00BC022E"/>
    <w:rsid w:val="00BC0719"/>
    <w:rsid w:val="00BC4A75"/>
    <w:rsid w:val="00BC76BC"/>
    <w:rsid w:val="00BC7AC2"/>
    <w:rsid w:val="00BD0700"/>
    <w:rsid w:val="00BE2AF0"/>
    <w:rsid w:val="00BF37A7"/>
    <w:rsid w:val="00BF410E"/>
    <w:rsid w:val="00C00627"/>
    <w:rsid w:val="00C00F84"/>
    <w:rsid w:val="00C056D0"/>
    <w:rsid w:val="00C07AF7"/>
    <w:rsid w:val="00C111C6"/>
    <w:rsid w:val="00C24776"/>
    <w:rsid w:val="00C31EB6"/>
    <w:rsid w:val="00C32599"/>
    <w:rsid w:val="00C339A8"/>
    <w:rsid w:val="00C33A6A"/>
    <w:rsid w:val="00C45684"/>
    <w:rsid w:val="00C51F20"/>
    <w:rsid w:val="00C52E9C"/>
    <w:rsid w:val="00C53D6C"/>
    <w:rsid w:val="00C541CC"/>
    <w:rsid w:val="00C73A06"/>
    <w:rsid w:val="00C75255"/>
    <w:rsid w:val="00C81968"/>
    <w:rsid w:val="00C87E14"/>
    <w:rsid w:val="00C92A6B"/>
    <w:rsid w:val="00C956E4"/>
    <w:rsid w:val="00C96B3A"/>
    <w:rsid w:val="00CA0ACC"/>
    <w:rsid w:val="00CA5912"/>
    <w:rsid w:val="00CA591E"/>
    <w:rsid w:val="00CB3C48"/>
    <w:rsid w:val="00CB5016"/>
    <w:rsid w:val="00CC4CA5"/>
    <w:rsid w:val="00CC5A0C"/>
    <w:rsid w:val="00CD1DAB"/>
    <w:rsid w:val="00CD1EBD"/>
    <w:rsid w:val="00CD2A95"/>
    <w:rsid w:val="00CD497A"/>
    <w:rsid w:val="00CE022B"/>
    <w:rsid w:val="00CE23EC"/>
    <w:rsid w:val="00CE6622"/>
    <w:rsid w:val="00CE6A58"/>
    <w:rsid w:val="00CF20D7"/>
    <w:rsid w:val="00CF2981"/>
    <w:rsid w:val="00D01F95"/>
    <w:rsid w:val="00D048E8"/>
    <w:rsid w:val="00D07688"/>
    <w:rsid w:val="00D13F5B"/>
    <w:rsid w:val="00D167E3"/>
    <w:rsid w:val="00D2799F"/>
    <w:rsid w:val="00D34C45"/>
    <w:rsid w:val="00D3770B"/>
    <w:rsid w:val="00D51271"/>
    <w:rsid w:val="00D5659D"/>
    <w:rsid w:val="00D56E4B"/>
    <w:rsid w:val="00D5769F"/>
    <w:rsid w:val="00D65D8F"/>
    <w:rsid w:val="00D744E6"/>
    <w:rsid w:val="00D77E11"/>
    <w:rsid w:val="00D802FF"/>
    <w:rsid w:val="00D80803"/>
    <w:rsid w:val="00D81F04"/>
    <w:rsid w:val="00D911DD"/>
    <w:rsid w:val="00D94B89"/>
    <w:rsid w:val="00D96293"/>
    <w:rsid w:val="00D96AE7"/>
    <w:rsid w:val="00D96AF2"/>
    <w:rsid w:val="00DA1519"/>
    <w:rsid w:val="00DD2A83"/>
    <w:rsid w:val="00DE431B"/>
    <w:rsid w:val="00DE4B64"/>
    <w:rsid w:val="00E00D65"/>
    <w:rsid w:val="00E025CA"/>
    <w:rsid w:val="00E041FE"/>
    <w:rsid w:val="00E14FDF"/>
    <w:rsid w:val="00E232CB"/>
    <w:rsid w:val="00E27296"/>
    <w:rsid w:val="00E273A1"/>
    <w:rsid w:val="00E27806"/>
    <w:rsid w:val="00E313BC"/>
    <w:rsid w:val="00E31AF2"/>
    <w:rsid w:val="00E32612"/>
    <w:rsid w:val="00E373CD"/>
    <w:rsid w:val="00E4001E"/>
    <w:rsid w:val="00E417AC"/>
    <w:rsid w:val="00E46270"/>
    <w:rsid w:val="00E467FB"/>
    <w:rsid w:val="00E478A5"/>
    <w:rsid w:val="00E6004B"/>
    <w:rsid w:val="00E608B7"/>
    <w:rsid w:val="00E64E57"/>
    <w:rsid w:val="00E772B1"/>
    <w:rsid w:val="00E839D9"/>
    <w:rsid w:val="00E96C21"/>
    <w:rsid w:val="00EA0BF6"/>
    <w:rsid w:val="00EA3000"/>
    <w:rsid w:val="00EA3DA4"/>
    <w:rsid w:val="00EA50AE"/>
    <w:rsid w:val="00EB2FFF"/>
    <w:rsid w:val="00EB58DA"/>
    <w:rsid w:val="00EC06A2"/>
    <w:rsid w:val="00EC0D4A"/>
    <w:rsid w:val="00EC3579"/>
    <w:rsid w:val="00ED2C1C"/>
    <w:rsid w:val="00ED42B0"/>
    <w:rsid w:val="00EE4AB0"/>
    <w:rsid w:val="00EE5CFE"/>
    <w:rsid w:val="00EF1C80"/>
    <w:rsid w:val="00EF54C9"/>
    <w:rsid w:val="00F02F7E"/>
    <w:rsid w:val="00F05557"/>
    <w:rsid w:val="00F0797C"/>
    <w:rsid w:val="00F11F00"/>
    <w:rsid w:val="00F14519"/>
    <w:rsid w:val="00F1485B"/>
    <w:rsid w:val="00F21E9D"/>
    <w:rsid w:val="00F4159E"/>
    <w:rsid w:val="00F45E34"/>
    <w:rsid w:val="00F47E07"/>
    <w:rsid w:val="00F50F2B"/>
    <w:rsid w:val="00F63625"/>
    <w:rsid w:val="00F63CBD"/>
    <w:rsid w:val="00F77E96"/>
    <w:rsid w:val="00F87202"/>
    <w:rsid w:val="00F91010"/>
    <w:rsid w:val="00F92382"/>
    <w:rsid w:val="00F96704"/>
    <w:rsid w:val="00F97690"/>
    <w:rsid w:val="00FA53CF"/>
    <w:rsid w:val="00FA6C2E"/>
    <w:rsid w:val="00FB32C1"/>
    <w:rsid w:val="00FB33D1"/>
    <w:rsid w:val="00FB348C"/>
    <w:rsid w:val="00FB506F"/>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semiHidden/>
    <w:unhideWhenUsed/>
    <w:rsid w:val="00DE431B"/>
    <w:pPr>
      <w:spacing w:after="200"/>
    </w:pPr>
    <w:rPr>
      <w:sz w:val="20"/>
      <w:szCs w:val="20"/>
    </w:rPr>
  </w:style>
  <w:style w:type="character" w:customStyle="1" w:styleId="CommentaireCar">
    <w:name w:val="Commentaire Car"/>
    <w:basedOn w:val="Policepardfaut"/>
    <w:link w:val="Commentaire"/>
    <w:uiPriority w:val="99"/>
    <w:semiHidden/>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paragraph" w:styleId="En-tte">
    <w:name w:val="header"/>
    <w:basedOn w:val="Normal"/>
    <w:link w:val="En-tteCar"/>
    <w:uiPriority w:val="99"/>
    <w:unhideWhenUsed/>
    <w:rsid w:val="004C30E5"/>
    <w:pPr>
      <w:tabs>
        <w:tab w:val="center" w:pos="4513"/>
        <w:tab w:val="right" w:pos="9026"/>
      </w:tabs>
    </w:pPr>
  </w:style>
  <w:style w:type="character" w:customStyle="1" w:styleId="En-tteCar">
    <w:name w:val="En-tête Car"/>
    <w:basedOn w:val="Policepardfaut"/>
    <w:link w:val="En-tte"/>
    <w:uiPriority w:val="99"/>
    <w:rsid w:val="004C30E5"/>
  </w:style>
  <w:style w:type="paragraph" w:styleId="Pieddepage">
    <w:name w:val="footer"/>
    <w:basedOn w:val="Normal"/>
    <w:link w:val="PieddepageCar"/>
    <w:uiPriority w:val="99"/>
    <w:unhideWhenUsed/>
    <w:rsid w:val="004C30E5"/>
    <w:pPr>
      <w:tabs>
        <w:tab w:val="center" w:pos="4513"/>
        <w:tab w:val="right" w:pos="9026"/>
      </w:tabs>
    </w:pPr>
  </w:style>
  <w:style w:type="character" w:customStyle="1" w:styleId="PieddepageCar">
    <w:name w:val="Pied de page Car"/>
    <w:basedOn w:val="Policepardfaut"/>
    <w:link w:val="Pieddepage"/>
    <w:uiPriority w:val="99"/>
    <w:rsid w:val="004C30E5"/>
  </w:style>
  <w:style w:type="character" w:styleId="Lienhypertextesuivivisit">
    <w:name w:val="FollowedHyperlink"/>
    <w:basedOn w:val="Policepardfaut"/>
    <w:uiPriority w:val="99"/>
    <w:semiHidden/>
    <w:unhideWhenUsed/>
    <w:rsid w:val="00B049FB"/>
    <w:rPr>
      <w:color w:val="954F72" w:themeColor="followedHyperlink"/>
      <w:u w:val="single"/>
    </w:rPr>
  </w:style>
  <w:style w:type="character" w:customStyle="1" w:styleId="Mentionnonrsolue1">
    <w:name w:val="Mention non résolue1"/>
    <w:basedOn w:val="Policepardfaut"/>
    <w:uiPriority w:val="99"/>
    <w:semiHidden/>
    <w:unhideWhenUsed/>
    <w:rsid w:val="000D5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30203606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ga/search/view_doc.asp?symbol=A/HRC/40/54&amp;Lang=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A/72/55&amp;Lan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s://www.un.org/ga/search/view_doc.asp?symbol=A/HRC/40/54&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178F1-3C1F-4959-AD9B-6BE06F70B82A}">
  <ds:schemaRefs>
    <ds:schemaRef ds:uri="http://schemas.microsoft.com/sharepoint/v3/contenttype/forms"/>
  </ds:schemaRefs>
</ds:datastoreItem>
</file>

<file path=customXml/itemProps2.xml><?xml version="1.0" encoding="utf-8"?>
<ds:datastoreItem xmlns:ds="http://schemas.openxmlformats.org/officeDocument/2006/customXml" ds:itemID="{74E33684-B28D-4D11-B3E9-94810555933E}"/>
</file>

<file path=customXml/itemProps3.xml><?xml version="1.0" encoding="utf-8"?>
<ds:datastoreItem xmlns:ds="http://schemas.openxmlformats.org/officeDocument/2006/customXml" ds:itemID="{FE9BA172-9E91-49EB-851A-32FB530FAB25}">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37D984A1-4858-BB4C-931B-0B5C8633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1492</Words>
  <Characters>8210</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10</cp:revision>
  <cp:lastPrinted>2018-11-12T11:21:00Z</cp:lastPrinted>
  <dcterms:created xsi:type="dcterms:W3CDTF">2020-02-27T15:02:00Z</dcterms:created>
  <dcterms:modified xsi:type="dcterms:W3CDTF">2020-10-22T11:54:00Z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