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jc w:val="center"/>
        <w:tblLook w:val="04A0" w:firstRow="1" w:lastRow="0" w:firstColumn="1" w:lastColumn="0" w:noHBand="0" w:noVBand="1"/>
      </w:tblPr>
      <w:tblGrid>
        <w:gridCol w:w="1055"/>
        <w:gridCol w:w="3702"/>
        <w:gridCol w:w="3519"/>
        <w:gridCol w:w="3626"/>
        <w:gridCol w:w="3686"/>
      </w:tblGrid>
      <w:tr w:rsidR="003B1FB1" w:rsidRPr="00912AC9" w14:paraId="262B00AE" w14:textId="77777777" w:rsidTr="00DE129B">
        <w:trPr>
          <w:trHeight w:val="132"/>
          <w:jc w:val="center"/>
        </w:trPr>
        <w:tc>
          <w:tcPr>
            <w:tcW w:w="15588" w:type="dxa"/>
            <w:gridSpan w:val="5"/>
            <w:shd w:val="clear" w:color="auto" w:fill="BFBFBF" w:themeFill="background1" w:themeFillShade="BF"/>
          </w:tcPr>
          <w:p w14:paraId="4C63A7D9" w14:textId="01629DF9" w:rsidR="003B1FB1" w:rsidRPr="00934C29" w:rsidRDefault="002F6212" w:rsidP="00635717">
            <w:pPr>
              <w:spacing w:after="0" w:line="240" w:lineRule="auto"/>
              <w:jc w:val="center"/>
              <w:rPr>
                <w:rFonts w:cstheme="minorHAnsi"/>
                <w:b/>
                <w:sz w:val="18"/>
                <w:szCs w:val="18"/>
              </w:rPr>
            </w:pPr>
            <w:r>
              <w:rPr>
                <w:b/>
                <w:sz w:val="18"/>
                <w:szCs w:val="18"/>
              </w:rPr>
              <w:t>Article 18 - Liste d'indicateurs illustratifs sur la liberté de circulation et à la nationalité</w:t>
            </w:r>
          </w:p>
        </w:tc>
      </w:tr>
      <w:tr w:rsidR="00F96252" w:rsidRPr="00912AC9" w14:paraId="4E6567A6" w14:textId="77777777" w:rsidTr="00DE129B">
        <w:trPr>
          <w:trHeight w:val="135"/>
          <w:jc w:val="center"/>
        </w:trPr>
        <w:tc>
          <w:tcPr>
            <w:tcW w:w="15588" w:type="dxa"/>
            <w:gridSpan w:val="5"/>
            <w:shd w:val="clear" w:color="auto" w:fill="auto"/>
          </w:tcPr>
          <w:p w14:paraId="2A13A31D" w14:textId="6DDAE3D0" w:rsidR="00F96252" w:rsidRPr="00934C29" w:rsidRDefault="007442F1" w:rsidP="00635717">
            <w:pPr>
              <w:spacing w:after="0" w:line="240" w:lineRule="auto"/>
              <w:jc w:val="center"/>
              <w:rPr>
                <w:rFonts w:cstheme="minorHAnsi"/>
                <w:b/>
                <w:sz w:val="18"/>
                <w:szCs w:val="18"/>
              </w:rPr>
            </w:pPr>
            <w:r>
              <w:rPr>
                <w:b/>
                <w:sz w:val="18"/>
                <w:szCs w:val="18"/>
              </w:rPr>
              <w:t>Liberté de circulation, liberté de choisir sa résidence et à la nationalité sur un pied d'égalité avec les autres</w:t>
            </w:r>
          </w:p>
        </w:tc>
      </w:tr>
      <w:tr w:rsidR="00743EAA" w:rsidRPr="00912AC9" w14:paraId="761AFDBD" w14:textId="77777777" w:rsidTr="00635717">
        <w:trPr>
          <w:trHeight w:val="422"/>
          <w:jc w:val="center"/>
        </w:trPr>
        <w:tc>
          <w:tcPr>
            <w:tcW w:w="1055" w:type="dxa"/>
          </w:tcPr>
          <w:p w14:paraId="5AC5ECAD" w14:textId="77777777" w:rsidR="00743EAA" w:rsidRPr="00934C29" w:rsidRDefault="00743EAA" w:rsidP="00635717">
            <w:pPr>
              <w:spacing w:after="0" w:line="240" w:lineRule="auto"/>
              <w:rPr>
                <w:rFonts w:cstheme="minorHAnsi"/>
                <w:b/>
                <w:sz w:val="18"/>
                <w:szCs w:val="18"/>
              </w:rPr>
            </w:pPr>
            <w:r>
              <w:rPr>
                <w:b/>
                <w:sz w:val="18"/>
                <w:szCs w:val="18"/>
              </w:rPr>
              <w:t>Attributs/</w:t>
            </w:r>
          </w:p>
          <w:p w14:paraId="76157E0A" w14:textId="77777777" w:rsidR="00743EAA" w:rsidRPr="00934C29" w:rsidRDefault="00743EAA" w:rsidP="00635717">
            <w:pPr>
              <w:spacing w:after="0" w:line="240" w:lineRule="auto"/>
              <w:rPr>
                <w:rFonts w:cstheme="minorHAnsi"/>
                <w:b/>
                <w:sz w:val="18"/>
                <w:szCs w:val="18"/>
              </w:rPr>
            </w:pPr>
            <w:r>
              <w:rPr>
                <w:b/>
                <w:sz w:val="18"/>
                <w:szCs w:val="18"/>
              </w:rPr>
              <w:t>Indicateurs</w:t>
            </w:r>
          </w:p>
        </w:tc>
        <w:tc>
          <w:tcPr>
            <w:tcW w:w="3702" w:type="dxa"/>
          </w:tcPr>
          <w:p w14:paraId="319133A1" w14:textId="59CDE63F" w:rsidR="00512A40" w:rsidRPr="00934C29" w:rsidRDefault="00EB74AF" w:rsidP="00635717">
            <w:pPr>
              <w:spacing w:after="0" w:line="240" w:lineRule="auto"/>
              <w:jc w:val="center"/>
              <w:rPr>
                <w:rFonts w:cstheme="minorHAnsi"/>
                <w:b/>
                <w:color w:val="000000"/>
                <w:sz w:val="18"/>
                <w:szCs w:val="18"/>
              </w:rPr>
            </w:pPr>
            <w:r>
              <w:rPr>
                <w:b/>
                <w:color w:val="000000"/>
                <w:sz w:val="18"/>
                <w:szCs w:val="18"/>
              </w:rPr>
              <w:t>Liberté de circulation</w:t>
            </w:r>
          </w:p>
        </w:tc>
        <w:tc>
          <w:tcPr>
            <w:tcW w:w="3519" w:type="dxa"/>
          </w:tcPr>
          <w:p w14:paraId="2A7673D8" w14:textId="77777777" w:rsidR="00743EAA" w:rsidRPr="00934C29" w:rsidRDefault="00512A40" w:rsidP="00635717">
            <w:pPr>
              <w:spacing w:after="0" w:line="240" w:lineRule="auto"/>
              <w:jc w:val="center"/>
              <w:rPr>
                <w:rFonts w:cstheme="minorHAnsi"/>
                <w:b/>
                <w:color w:val="000000"/>
                <w:sz w:val="18"/>
                <w:szCs w:val="18"/>
              </w:rPr>
            </w:pPr>
            <w:r>
              <w:rPr>
                <w:b/>
                <w:sz w:val="18"/>
                <w:szCs w:val="18"/>
              </w:rPr>
              <w:t>Droit à la nationalité</w:t>
            </w:r>
          </w:p>
        </w:tc>
        <w:tc>
          <w:tcPr>
            <w:tcW w:w="3626" w:type="dxa"/>
          </w:tcPr>
          <w:p w14:paraId="1D46DC78" w14:textId="77777777" w:rsidR="00743EAA" w:rsidRPr="00934C29" w:rsidRDefault="00512A40" w:rsidP="00635717">
            <w:pPr>
              <w:spacing w:after="0" w:line="240" w:lineRule="auto"/>
              <w:jc w:val="center"/>
              <w:rPr>
                <w:rFonts w:cstheme="minorHAnsi"/>
                <w:b/>
                <w:sz w:val="18"/>
                <w:szCs w:val="18"/>
              </w:rPr>
            </w:pPr>
            <w:r>
              <w:rPr>
                <w:b/>
                <w:sz w:val="18"/>
                <w:szCs w:val="18"/>
              </w:rPr>
              <w:t>Identification et documentation</w:t>
            </w:r>
          </w:p>
        </w:tc>
        <w:tc>
          <w:tcPr>
            <w:tcW w:w="3686" w:type="dxa"/>
          </w:tcPr>
          <w:p w14:paraId="4284A782" w14:textId="138FCC58" w:rsidR="00743EAA" w:rsidRPr="00934C29" w:rsidRDefault="00512A40" w:rsidP="00635717">
            <w:pPr>
              <w:spacing w:after="0" w:line="240" w:lineRule="auto"/>
              <w:jc w:val="center"/>
              <w:rPr>
                <w:rFonts w:cstheme="minorHAnsi"/>
                <w:b/>
                <w:sz w:val="18"/>
                <w:szCs w:val="18"/>
              </w:rPr>
            </w:pPr>
            <w:r>
              <w:rPr>
                <w:b/>
                <w:sz w:val="18"/>
                <w:szCs w:val="18"/>
              </w:rPr>
              <w:t>Enregistrement des naissances</w:t>
            </w:r>
          </w:p>
        </w:tc>
      </w:tr>
      <w:tr w:rsidR="006832F3" w:rsidRPr="00912AC9" w14:paraId="19D2138A" w14:textId="77777777" w:rsidTr="00635717">
        <w:trPr>
          <w:trHeight w:val="2199"/>
          <w:jc w:val="center"/>
        </w:trPr>
        <w:tc>
          <w:tcPr>
            <w:tcW w:w="1055" w:type="dxa"/>
            <w:vMerge w:val="restart"/>
          </w:tcPr>
          <w:p w14:paraId="048541DC" w14:textId="77777777" w:rsidR="006832F3" w:rsidRPr="00934C29" w:rsidRDefault="006832F3" w:rsidP="00635717">
            <w:pPr>
              <w:spacing w:after="0" w:line="240" w:lineRule="auto"/>
              <w:rPr>
                <w:rFonts w:cstheme="minorHAnsi"/>
                <w:b/>
                <w:sz w:val="18"/>
                <w:szCs w:val="18"/>
              </w:rPr>
            </w:pPr>
            <w:r>
              <w:rPr>
                <w:b/>
                <w:sz w:val="18"/>
                <w:szCs w:val="18"/>
              </w:rPr>
              <w:t>Structure</w:t>
            </w:r>
          </w:p>
        </w:tc>
        <w:tc>
          <w:tcPr>
            <w:tcW w:w="3702" w:type="dxa"/>
          </w:tcPr>
          <w:p w14:paraId="70441213" w14:textId="1AFAA33A" w:rsidR="006832F3" w:rsidRPr="00934C29" w:rsidRDefault="006832F3" w:rsidP="00635717">
            <w:pPr>
              <w:spacing w:after="0" w:line="240" w:lineRule="auto"/>
              <w:jc w:val="both"/>
              <w:rPr>
                <w:rFonts w:cstheme="minorHAnsi"/>
                <w:sz w:val="18"/>
                <w:szCs w:val="18"/>
              </w:rPr>
            </w:pPr>
            <w:r>
              <w:rPr>
                <w:sz w:val="18"/>
                <w:szCs w:val="18"/>
              </w:rPr>
              <w:t>18.1 L</w:t>
            </w:r>
            <w:r w:rsidR="005E764D">
              <w:rPr>
                <w:sz w:val="18"/>
                <w:szCs w:val="18"/>
              </w:rPr>
              <w:t>égislation qui</w:t>
            </w:r>
            <w:r>
              <w:rPr>
                <w:sz w:val="18"/>
                <w:szCs w:val="18"/>
              </w:rPr>
              <w:t xml:space="preserve"> décr</w:t>
            </w:r>
            <w:r w:rsidR="005E764D">
              <w:rPr>
                <w:sz w:val="18"/>
                <w:szCs w:val="18"/>
              </w:rPr>
              <w:t>è</w:t>
            </w:r>
            <w:r>
              <w:rPr>
                <w:sz w:val="18"/>
                <w:szCs w:val="18"/>
              </w:rPr>
              <w:t>t</w:t>
            </w:r>
            <w:r w:rsidR="005E764D">
              <w:rPr>
                <w:sz w:val="18"/>
                <w:szCs w:val="18"/>
              </w:rPr>
              <w:t>e de</w:t>
            </w:r>
            <w:r>
              <w:rPr>
                <w:sz w:val="18"/>
                <w:szCs w:val="18"/>
              </w:rPr>
              <w:t> :</w:t>
            </w:r>
          </w:p>
          <w:p w14:paraId="1618AC19" w14:textId="1C54A943" w:rsidR="006832F3" w:rsidRPr="00934C29" w:rsidRDefault="006832F3" w:rsidP="00635717">
            <w:pPr>
              <w:pStyle w:val="ListParagraph"/>
              <w:numPr>
                <w:ilvl w:val="0"/>
                <w:numId w:val="10"/>
              </w:numPr>
              <w:tabs>
                <w:tab w:val="left" w:pos="154"/>
              </w:tabs>
              <w:spacing w:after="0" w:line="240" w:lineRule="auto"/>
              <w:ind w:left="12" w:hanging="12"/>
              <w:jc w:val="both"/>
              <w:rPr>
                <w:rFonts w:cstheme="minorHAnsi"/>
                <w:sz w:val="18"/>
                <w:szCs w:val="18"/>
              </w:rPr>
            </w:pPr>
            <w:proofErr w:type="gramStart"/>
            <w:r>
              <w:rPr>
                <w:sz w:val="18"/>
                <w:szCs w:val="18"/>
              </w:rPr>
              <w:t>garantir</w:t>
            </w:r>
            <w:proofErr w:type="gramEnd"/>
            <w:r>
              <w:rPr>
                <w:sz w:val="18"/>
                <w:szCs w:val="18"/>
              </w:rPr>
              <w:t xml:space="preserve"> le droit des </w:t>
            </w:r>
            <w:r w:rsidR="000B7673">
              <w:rPr>
                <w:sz w:val="18"/>
                <w:szCs w:val="18"/>
              </w:rPr>
              <w:t>personnes handicapées</w:t>
            </w:r>
            <w:r>
              <w:rPr>
                <w:sz w:val="18"/>
                <w:szCs w:val="18"/>
              </w:rPr>
              <w:t xml:space="preserve"> d'entrer ou de quitter le pays sur un pied d'égalité avec les autres ;</w:t>
            </w:r>
          </w:p>
          <w:p w14:paraId="37D0D9A7" w14:textId="1515B0CB" w:rsidR="006832F3" w:rsidRPr="00934C29" w:rsidRDefault="006832F3" w:rsidP="00635717">
            <w:pPr>
              <w:pStyle w:val="ListParagraph"/>
              <w:numPr>
                <w:ilvl w:val="0"/>
                <w:numId w:val="10"/>
              </w:numPr>
              <w:tabs>
                <w:tab w:val="left" w:pos="154"/>
              </w:tabs>
              <w:spacing w:after="0" w:line="240" w:lineRule="auto"/>
              <w:ind w:left="12" w:hanging="12"/>
              <w:jc w:val="both"/>
              <w:rPr>
                <w:rFonts w:cstheme="minorHAnsi"/>
                <w:sz w:val="18"/>
                <w:szCs w:val="18"/>
              </w:rPr>
            </w:pPr>
            <w:proofErr w:type="gramStart"/>
            <w:r>
              <w:rPr>
                <w:sz w:val="18"/>
                <w:szCs w:val="18"/>
              </w:rPr>
              <w:t>garantir</w:t>
            </w:r>
            <w:proofErr w:type="gramEnd"/>
            <w:r>
              <w:rPr>
                <w:sz w:val="18"/>
                <w:szCs w:val="18"/>
              </w:rPr>
              <w:t xml:space="preserve"> la non-discrimination fondée sur la déficience dans les critères d'éligibilité pour entrer ou sortir du pays ;</w:t>
            </w:r>
          </w:p>
          <w:p w14:paraId="2CD28908" w14:textId="5030A6AE" w:rsidR="006832F3" w:rsidRPr="00922C8E" w:rsidRDefault="006832F3" w:rsidP="00635717">
            <w:pPr>
              <w:pStyle w:val="ListParagraph"/>
              <w:numPr>
                <w:ilvl w:val="0"/>
                <w:numId w:val="10"/>
              </w:numPr>
              <w:tabs>
                <w:tab w:val="left" w:pos="154"/>
              </w:tabs>
              <w:spacing w:after="0" w:line="240" w:lineRule="auto"/>
              <w:ind w:left="12" w:hanging="12"/>
              <w:jc w:val="both"/>
              <w:rPr>
                <w:rFonts w:cstheme="minorHAnsi"/>
                <w:sz w:val="18"/>
                <w:szCs w:val="18"/>
              </w:rPr>
            </w:pPr>
            <w:r>
              <w:rPr>
                <w:sz w:val="18"/>
                <w:szCs w:val="18"/>
              </w:rPr>
              <w:t>assurer la fourniture d'aménagements raisonnables dans les procédures nationales d'entrée/sortie et les procédures connexes.</w:t>
            </w:r>
          </w:p>
        </w:tc>
        <w:tc>
          <w:tcPr>
            <w:tcW w:w="3519" w:type="dxa"/>
          </w:tcPr>
          <w:p w14:paraId="2A6E2F7B" w14:textId="76EE23DD" w:rsidR="006832F3" w:rsidRPr="00934C29" w:rsidRDefault="006832F3" w:rsidP="00635717">
            <w:pPr>
              <w:spacing w:after="0" w:line="240" w:lineRule="auto"/>
              <w:jc w:val="both"/>
              <w:rPr>
                <w:rFonts w:cstheme="minorHAnsi"/>
                <w:sz w:val="18"/>
                <w:szCs w:val="18"/>
              </w:rPr>
            </w:pPr>
            <w:r>
              <w:rPr>
                <w:sz w:val="18"/>
                <w:szCs w:val="18"/>
              </w:rPr>
              <w:t xml:space="preserve">18.2 </w:t>
            </w:r>
            <w:r w:rsidR="005E764D">
              <w:rPr>
                <w:sz w:val="18"/>
                <w:szCs w:val="18"/>
              </w:rPr>
              <w:t>Législation qui décrète de </w:t>
            </w:r>
            <w:r>
              <w:rPr>
                <w:sz w:val="18"/>
                <w:szCs w:val="18"/>
              </w:rPr>
              <w:t>:</w:t>
            </w:r>
          </w:p>
          <w:p w14:paraId="2586E30E" w14:textId="28E2BBCA" w:rsidR="006832F3" w:rsidRPr="00934C29" w:rsidRDefault="006832F3" w:rsidP="00635717">
            <w:pPr>
              <w:pStyle w:val="ListParagraph"/>
              <w:numPr>
                <w:ilvl w:val="0"/>
                <w:numId w:val="12"/>
              </w:numPr>
              <w:tabs>
                <w:tab w:val="left" w:pos="141"/>
              </w:tabs>
              <w:spacing w:after="0" w:line="240" w:lineRule="auto"/>
              <w:ind w:left="-1" w:hanging="6"/>
              <w:jc w:val="both"/>
              <w:rPr>
                <w:rFonts w:cstheme="minorHAnsi"/>
                <w:sz w:val="18"/>
                <w:szCs w:val="18"/>
              </w:rPr>
            </w:pPr>
            <w:proofErr w:type="gramStart"/>
            <w:r>
              <w:rPr>
                <w:sz w:val="18"/>
                <w:szCs w:val="18"/>
              </w:rPr>
              <w:t>garantir</w:t>
            </w:r>
            <w:proofErr w:type="gramEnd"/>
            <w:r>
              <w:rPr>
                <w:sz w:val="18"/>
                <w:szCs w:val="18"/>
              </w:rPr>
              <w:t xml:space="preserve"> le droit des </w:t>
            </w:r>
            <w:r w:rsidR="000B7673">
              <w:rPr>
                <w:sz w:val="18"/>
                <w:szCs w:val="18"/>
              </w:rPr>
              <w:t>personnes handicapées</w:t>
            </w:r>
            <w:r>
              <w:rPr>
                <w:sz w:val="18"/>
                <w:szCs w:val="18"/>
              </w:rPr>
              <w:t xml:space="preserve"> à acquérir la nationalité du pays sur un pied d'égalité avec les autres et à ne pas en être privé sur la base d'une déficience ;</w:t>
            </w:r>
          </w:p>
          <w:p w14:paraId="01AA21F1" w14:textId="1D4AFA71" w:rsidR="006832F3" w:rsidRPr="00934C29" w:rsidRDefault="006F3811" w:rsidP="00635717">
            <w:pPr>
              <w:pStyle w:val="ListParagraph"/>
              <w:numPr>
                <w:ilvl w:val="0"/>
                <w:numId w:val="12"/>
              </w:numPr>
              <w:tabs>
                <w:tab w:val="left" w:pos="141"/>
              </w:tabs>
              <w:spacing w:after="0" w:line="240" w:lineRule="auto"/>
              <w:ind w:left="-1" w:hanging="6"/>
              <w:jc w:val="both"/>
              <w:rPr>
                <w:rFonts w:cstheme="minorHAnsi"/>
                <w:color w:val="000000"/>
                <w:sz w:val="18"/>
                <w:szCs w:val="18"/>
              </w:rPr>
            </w:pPr>
            <w:proofErr w:type="gramStart"/>
            <w:r>
              <w:rPr>
                <w:sz w:val="18"/>
                <w:szCs w:val="18"/>
              </w:rPr>
              <w:t>veiller</w:t>
            </w:r>
            <w:proofErr w:type="gramEnd"/>
            <w:r>
              <w:rPr>
                <w:sz w:val="18"/>
                <w:szCs w:val="18"/>
              </w:rPr>
              <w:t xml:space="preserve"> à ce que les procédures de naturalisation soient accessibles aux </w:t>
            </w:r>
            <w:r w:rsidR="000B7673">
              <w:rPr>
                <w:sz w:val="18"/>
                <w:szCs w:val="18"/>
              </w:rPr>
              <w:t>personnes handicapées</w:t>
            </w:r>
            <w:r>
              <w:rPr>
                <w:sz w:val="18"/>
                <w:szCs w:val="18"/>
              </w:rPr>
              <w:t xml:space="preserve"> ; </w:t>
            </w:r>
          </w:p>
          <w:p w14:paraId="23DFB6D9" w14:textId="0E8239A3" w:rsidR="006832F3" w:rsidRPr="00934C29" w:rsidRDefault="006832F3" w:rsidP="00635717">
            <w:pPr>
              <w:pStyle w:val="ListParagraph"/>
              <w:numPr>
                <w:ilvl w:val="0"/>
                <w:numId w:val="12"/>
              </w:numPr>
              <w:tabs>
                <w:tab w:val="left" w:pos="141"/>
              </w:tabs>
              <w:spacing w:after="0" w:line="240" w:lineRule="auto"/>
              <w:ind w:left="-1" w:hanging="6"/>
              <w:jc w:val="both"/>
              <w:rPr>
                <w:rFonts w:cstheme="minorHAnsi"/>
                <w:color w:val="000000"/>
                <w:sz w:val="18"/>
                <w:szCs w:val="18"/>
              </w:rPr>
            </w:pPr>
            <w:proofErr w:type="gramStart"/>
            <w:r>
              <w:rPr>
                <w:sz w:val="18"/>
                <w:szCs w:val="18"/>
              </w:rPr>
              <w:t>assurer</w:t>
            </w:r>
            <w:proofErr w:type="gramEnd"/>
            <w:r>
              <w:rPr>
                <w:sz w:val="18"/>
                <w:szCs w:val="18"/>
              </w:rPr>
              <w:t xml:space="preserve"> la fourniture d'aménagements raisonnables dans toutes les procédures et mécanismes de naturalisation et de citoyenneté. </w:t>
            </w:r>
          </w:p>
        </w:tc>
        <w:tc>
          <w:tcPr>
            <w:tcW w:w="3626" w:type="dxa"/>
          </w:tcPr>
          <w:p w14:paraId="2E0A4C5F" w14:textId="60769485" w:rsidR="006832F3" w:rsidRPr="00934C29" w:rsidRDefault="006832F3" w:rsidP="00635717">
            <w:pPr>
              <w:spacing w:after="0" w:line="240" w:lineRule="auto"/>
              <w:jc w:val="both"/>
              <w:rPr>
                <w:rFonts w:cstheme="minorHAnsi"/>
                <w:color w:val="000000"/>
                <w:sz w:val="18"/>
                <w:szCs w:val="18"/>
              </w:rPr>
            </w:pPr>
            <w:r>
              <w:rPr>
                <w:color w:val="000000"/>
                <w:sz w:val="18"/>
                <w:szCs w:val="18"/>
              </w:rPr>
              <w:t xml:space="preserve">18.3 </w:t>
            </w:r>
            <w:r w:rsidR="005E764D">
              <w:rPr>
                <w:sz w:val="18"/>
                <w:szCs w:val="18"/>
              </w:rPr>
              <w:t>Législation qui décrète de </w:t>
            </w:r>
            <w:r>
              <w:rPr>
                <w:color w:val="000000"/>
                <w:sz w:val="18"/>
                <w:szCs w:val="18"/>
              </w:rPr>
              <w:t>:</w:t>
            </w:r>
          </w:p>
          <w:p w14:paraId="3657CA35" w14:textId="402C997E" w:rsidR="006832F3" w:rsidRPr="00934C29" w:rsidRDefault="006832F3" w:rsidP="00635717">
            <w:pPr>
              <w:pStyle w:val="ListParagraph"/>
              <w:numPr>
                <w:ilvl w:val="0"/>
                <w:numId w:val="13"/>
              </w:numPr>
              <w:tabs>
                <w:tab w:val="left" w:pos="154"/>
              </w:tabs>
              <w:spacing w:after="0" w:line="240" w:lineRule="auto"/>
              <w:ind w:left="13" w:firstLine="1"/>
              <w:jc w:val="both"/>
              <w:rPr>
                <w:rFonts w:cstheme="minorHAnsi"/>
                <w:color w:val="000000"/>
                <w:sz w:val="18"/>
                <w:szCs w:val="18"/>
              </w:rPr>
            </w:pPr>
            <w:r>
              <w:rPr>
                <w:color w:val="000000"/>
                <w:sz w:val="18"/>
                <w:szCs w:val="18"/>
              </w:rPr>
              <w:t xml:space="preserve">garantir le droit des </w:t>
            </w:r>
            <w:r w:rsidR="000B7673">
              <w:rPr>
                <w:color w:val="000000"/>
                <w:sz w:val="18"/>
                <w:szCs w:val="18"/>
              </w:rPr>
              <w:t>personnes handicapées</w:t>
            </w:r>
            <w:r>
              <w:rPr>
                <w:color w:val="000000"/>
                <w:sz w:val="18"/>
                <w:szCs w:val="18"/>
              </w:rPr>
              <w:t xml:space="preserve"> à des procédures accessibles et abordables pour obtenir des documents d'identité ;</w:t>
            </w:r>
            <w:r w:rsidRPr="00934C29">
              <w:rPr>
                <w:rStyle w:val="EndnoteReference"/>
                <w:rFonts w:cstheme="minorHAnsi"/>
                <w:color w:val="000000"/>
                <w:sz w:val="18"/>
                <w:szCs w:val="18"/>
              </w:rPr>
              <w:endnoteReference w:id="1"/>
            </w:r>
          </w:p>
          <w:p w14:paraId="58766C7C" w14:textId="659223E5" w:rsidR="006832F3" w:rsidRPr="00934C29" w:rsidRDefault="006832F3" w:rsidP="00635717">
            <w:pPr>
              <w:pStyle w:val="ListParagraph"/>
              <w:numPr>
                <w:ilvl w:val="0"/>
                <w:numId w:val="13"/>
              </w:numPr>
              <w:tabs>
                <w:tab w:val="left" w:pos="154"/>
              </w:tabs>
              <w:spacing w:after="0" w:line="240" w:lineRule="auto"/>
              <w:ind w:left="13" w:firstLine="1"/>
              <w:jc w:val="both"/>
              <w:rPr>
                <w:rFonts w:cstheme="minorHAnsi"/>
                <w:color w:val="000000"/>
                <w:sz w:val="18"/>
                <w:szCs w:val="18"/>
              </w:rPr>
            </w:pPr>
            <w:proofErr w:type="gramStart"/>
            <w:r>
              <w:rPr>
                <w:color w:val="000000"/>
                <w:sz w:val="18"/>
                <w:szCs w:val="18"/>
              </w:rPr>
              <w:t>assurer</w:t>
            </w:r>
            <w:proofErr w:type="gramEnd"/>
            <w:r>
              <w:rPr>
                <w:color w:val="000000"/>
                <w:sz w:val="18"/>
                <w:szCs w:val="18"/>
              </w:rPr>
              <w:t xml:space="preserve"> la fourniture d'aménagements raisonnables dans toutes les procédures pour obtenir des documents d'identification. </w:t>
            </w:r>
          </w:p>
        </w:tc>
        <w:tc>
          <w:tcPr>
            <w:tcW w:w="3686" w:type="dxa"/>
            <w:vMerge w:val="restart"/>
          </w:tcPr>
          <w:p w14:paraId="6F098D09" w14:textId="0F0DB398" w:rsidR="006832F3" w:rsidRPr="00934C29" w:rsidRDefault="006832F3" w:rsidP="00635717">
            <w:pPr>
              <w:spacing w:after="0" w:line="240" w:lineRule="auto"/>
              <w:jc w:val="both"/>
              <w:rPr>
                <w:rFonts w:cstheme="minorHAnsi"/>
                <w:sz w:val="18"/>
                <w:szCs w:val="18"/>
              </w:rPr>
            </w:pPr>
            <w:r>
              <w:rPr>
                <w:sz w:val="18"/>
                <w:szCs w:val="18"/>
              </w:rPr>
              <w:t xml:space="preserve">18.4 </w:t>
            </w:r>
            <w:r w:rsidR="005E764D">
              <w:rPr>
                <w:sz w:val="18"/>
                <w:szCs w:val="18"/>
              </w:rPr>
              <w:t>Législation décrétée </w:t>
            </w:r>
            <w:r>
              <w:rPr>
                <w:sz w:val="18"/>
                <w:szCs w:val="18"/>
              </w:rPr>
              <w:t xml:space="preserve">: </w:t>
            </w:r>
          </w:p>
          <w:p w14:paraId="20834884" w14:textId="2B69A496" w:rsidR="006832F3" w:rsidRPr="00934C29" w:rsidRDefault="005E764D" w:rsidP="00635717">
            <w:pPr>
              <w:pStyle w:val="ListParagraph"/>
              <w:numPr>
                <w:ilvl w:val="0"/>
                <w:numId w:val="14"/>
              </w:numPr>
              <w:tabs>
                <w:tab w:val="left" w:pos="180"/>
              </w:tabs>
              <w:spacing w:after="0" w:line="240" w:lineRule="auto"/>
              <w:ind w:left="0" w:firstLine="0"/>
              <w:jc w:val="both"/>
              <w:rPr>
                <w:rFonts w:cstheme="minorHAnsi"/>
                <w:sz w:val="18"/>
                <w:szCs w:val="18"/>
              </w:rPr>
            </w:pPr>
            <w:r>
              <w:rPr>
                <w:sz w:val="18"/>
                <w:szCs w:val="18"/>
              </w:rPr>
              <w:t xml:space="preserve">de </w:t>
            </w:r>
            <w:r w:rsidR="000371E6">
              <w:rPr>
                <w:sz w:val="18"/>
                <w:szCs w:val="18"/>
              </w:rPr>
              <w:t>garantir l'enregistrement universel et gratuit de tous les enfants immédiatement après la naissance ;</w:t>
            </w:r>
            <w:r w:rsidR="006832F3" w:rsidRPr="00934C29">
              <w:rPr>
                <w:rStyle w:val="EndnoteReference"/>
                <w:rFonts w:cstheme="minorHAnsi"/>
                <w:sz w:val="18"/>
                <w:szCs w:val="18"/>
              </w:rPr>
              <w:endnoteReference w:id="2"/>
            </w:r>
          </w:p>
          <w:p w14:paraId="06BA604F" w14:textId="2D02FAF0" w:rsidR="006832F3" w:rsidRPr="00934C29" w:rsidRDefault="005E764D" w:rsidP="00635717">
            <w:pPr>
              <w:pStyle w:val="ListParagraph"/>
              <w:numPr>
                <w:ilvl w:val="0"/>
                <w:numId w:val="14"/>
              </w:numPr>
              <w:tabs>
                <w:tab w:val="left" w:pos="180"/>
              </w:tabs>
              <w:spacing w:after="0" w:line="240" w:lineRule="auto"/>
              <w:ind w:left="0" w:firstLine="0"/>
              <w:jc w:val="both"/>
              <w:rPr>
                <w:rFonts w:cstheme="minorHAnsi"/>
                <w:sz w:val="18"/>
                <w:szCs w:val="18"/>
              </w:rPr>
            </w:pPr>
            <w:proofErr w:type="gramStart"/>
            <w:r>
              <w:rPr>
                <w:sz w:val="18"/>
                <w:szCs w:val="18"/>
              </w:rPr>
              <w:t>d’</w:t>
            </w:r>
            <w:r w:rsidR="006F3811">
              <w:rPr>
                <w:sz w:val="18"/>
                <w:szCs w:val="18"/>
              </w:rPr>
              <w:t>affecter</w:t>
            </w:r>
            <w:proofErr w:type="gramEnd"/>
            <w:r w:rsidR="006F3811">
              <w:rPr>
                <w:sz w:val="18"/>
                <w:szCs w:val="18"/>
              </w:rPr>
              <w:t xml:space="preserve"> des fonds pour garantir l'enregistrement universel, gratuit et rapide des naissances dans l'ensemble de la juridiction ;</w:t>
            </w:r>
          </w:p>
          <w:p w14:paraId="522CC017" w14:textId="5C0E7AF9" w:rsidR="006832F3" w:rsidRPr="00934C29" w:rsidRDefault="006F3811" w:rsidP="00112CC4">
            <w:pPr>
              <w:pStyle w:val="ListParagraph"/>
              <w:numPr>
                <w:ilvl w:val="0"/>
                <w:numId w:val="14"/>
              </w:numPr>
              <w:tabs>
                <w:tab w:val="left" w:pos="180"/>
              </w:tabs>
              <w:spacing w:after="0" w:line="240" w:lineRule="auto"/>
              <w:ind w:left="0" w:firstLine="0"/>
              <w:jc w:val="both"/>
              <w:rPr>
                <w:rFonts w:cstheme="minorHAnsi"/>
                <w:sz w:val="18"/>
                <w:szCs w:val="18"/>
              </w:rPr>
            </w:pPr>
            <w:r>
              <w:rPr>
                <w:sz w:val="18"/>
                <w:szCs w:val="18"/>
              </w:rPr>
              <w:t>avec une obligation légale de ventiler les données d'enregistrement des naissances par sexe, handicap, situation géographique et statut de migrant des parents.</w:t>
            </w:r>
          </w:p>
        </w:tc>
      </w:tr>
      <w:tr w:rsidR="006832F3" w:rsidRPr="00912AC9" w14:paraId="6C706235" w14:textId="77777777" w:rsidTr="00635717">
        <w:trPr>
          <w:trHeight w:val="476"/>
          <w:jc w:val="center"/>
        </w:trPr>
        <w:tc>
          <w:tcPr>
            <w:tcW w:w="1055" w:type="dxa"/>
            <w:vMerge/>
          </w:tcPr>
          <w:p w14:paraId="1CF4F07A" w14:textId="77777777" w:rsidR="006832F3" w:rsidRPr="00934C29" w:rsidRDefault="006832F3" w:rsidP="00635717">
            <w:pPr>
              <w:spacing w:after="0" w:line="240" w:lineRule="auto"/>
              <w:rPr>
                <w:rFonts w:cstheme="minorHAnsi"/>
                <w:sz w:val="18"/>
                <w:szCs w:val="18"/>
              </w:rPr>
            </w:pPr>
          </w:p>
        </w:tc>
        <w:tc>
          <w:tcPr>
            <w:tcW w:w="10847" w:type="dxa"/>
            <w:gridSpan w:val="3"/>
          </w:tcPr>
          <w:p w14:paraId="2BF2CD54" w14:textId="6FDC2850" w:rsidR="006832F3" w:rsidRPr="00934C29" w:rsidRDefault="006832F3" w:rsidP="00635717">
            <w:pPr>
              <w:spacing w:after="0" w:line="240" w:lineRule="auto"/>
              <w:contextualSpacing/>
              <w:jc w:val="both"/>
              <w:rPr>
                <w:rFonts w:cstheme="minorHAnsi"/>
                <w:color w:val="000000"/>
                <w:sz w:val="18"/>
                <w:szCs w:val="18"/>
              </w:rPr>
            </w:pPr>
            <w:r>
              <w:rPr>
                <w:sz w:val="18"/>
                <w:szCs w:val="18"/>
              </w:rPr>
              <w:t xml:space="preserve">18.5 Aucune disposition de la législation qui restreint le droit à la liberté de circulation, à l’acquisition de la nationalité et aux documents d’identification, ni ne limite le droit aux services aux migrants en raison de leur handicap. </w:t>
            </w:r>
          </w:p>
        </w:tc>
        <w:tc>
          <w:tcPr>
            <w:tcW w:w="3686" w:type="dxa"/>
            <w:vMerge/>
          </w:tcPr>
          <w:p w14:paraId="1CBBD1E8" w14:textId="14B4853E" w:rsidR="006832F3" w:rsidRPr="00934C29" w:rsidRDefault="006832F3" w:rsidP="00635717">
            <w:pPr>
              <w:spacing w:after="0" w:line="240" w:lineRule="auto"/>
              <w:jc w:val="both"/>
              <w:rPr>
                <w:rFonts w:cstheme="minorHAnsi"/>
                <w:sz w:val="18"/>
                <w:szCs w:val="18"/>
              </w:rPr>
            </w:pPr>
          </w:p>
        </w:tc>
      </w:tr>
      <w:tr w:rsidR="00507700" w:rsidRPr="00912AC9" w14:paraId="730772B8" w14:textId="77777777" w:rsidTr="00112CC4">
        <w:trPr>
          <w:trHeight w:val="2621"/>
          <w:jc w:val="center"/>
        </w:trPr>
        <w:tc>
          <w:tcPr>
            <w:tcW w:w="1055" w:type="dxa"/>
          </w:tcPr>
          <w:p w14:paraId="40FFBCD8" w14:textId="723D0679" w:rsidR="00507700" w:rsidRPr="00934C29" w:rsidRDefault="00507700" w:rsidP="00635717">
            <w:pPr>
              <w:spacing w:after="0" w:line="240" w:lineRule="auto"/>
              <w:rPr>
                <w:rFonts w:cstheme="minorHAnsi"/>
                <w:sz w:val="18"/>
                <w:szCs w:val="18"/>
              </w:rPr>
            </w:pPr>
            <w:r>
              <w:rPr>
                <w:b/>
                <w:sz w:val="18"/>
                <w:szCs w:val="18"/>
              </w:rPr>
              <w:t>Processus</w:t>
            </w:r>
          </w:p>
        </w:tc>
        <w:tc>
          <w:tcPr>
            <w:tcW w:w="10847" w:type="dxa"/>
            <w:gridSpan w:val="3"/>
          </w:tcPr>
          <w:p w14:paraId="492ECCDE" w14:textId="1BAF9A80" w:rsidR="00507700" w:rsidRPr="00934C29" w:rsidRDefault="00507700" w:rsidP="00635717">
            <w:pPr>
              <w:spacing w:after="0" w:line="240" w:lineRule="auto"/>
              <w:jc w:val="both"/>
              <w:rPr>
                <w:rFonts w:cstheme="minorHAnsi"/>
                <w:color w:val="000000"/>
                <w:sz w:val="18"/>
                <w:szCs w:val="18"/>
              </w:rPr>
            </w:pPr>
            <w:r>
              <w:rPr>
                <w:color w:val="000000"/>
                <w:sz w:val="18"/>
                <w:szCs w:val="18"/>
              </w:rPr>
              <w:t xml:space="preserve">18.6 Nombre de demandes d'aménagements raisonnables par des </w:t>
            </w:r>
            <w:r w:rsidR="000B7673">
              <w:rPr>
                <w:color w:val="000000"/>
                <w:sz w:val="18"/>
                <w:szCs w:val="18"/>
              </w:rPr>
              <w:t>personnes handicapées</w:t>
            </w:r>
            <w:r>
              <w:rPr>
                <w:color w:val="000000"/>
                <w:sz w:val="18"/>
                <w:szCs w:val="18"/>
              </w:rPr>
              <w:t xml:space="preserve"> et proportion accordée, concernant les procédures et mécanismes liés à : la résidence, la naturalisation/la citoyenneté et l'obtention de documents d'identification.</w:t>
            </w:r>
          </w:p>
          <w:p w14:paraId="237632FF" w14:textId="3AC6D088" w:rsidR="00507700" w:rsidRPr="00934C29" w:rsidRDefault="003512B5" w:rsidP="00635717">
            <w:pPr>
              <w:spacing w:after="0" w:line="240" w:lineRule="auto"/>
              <w:jc w:val="both"/>
              <w:rPr>
                <w:rFonts w:cstheme="minorHAnsi"/>
                <w:color w:val="000000"/>
                <w:sz w:val="18"/>
                <w:szCs w:val="18"/>
              </w:rPr>
            </w:pPr>
            <w:r>
              <w:rPr>
                <w:sz w:val="18"/>
                <w:szCs w:val="18"/>
              </w:rPr>
              <w:t>18.7 Nombre et proportion de professionnels et d'employés</w:t>
            </w:r>
            <w:r w:rsidR="00880AE9" w:rsidRPr="00934C29">
              <w:rPr>
                <w:rStyle w:val="EndnoteReference"/>
                <w:rFonts w:cstheme="minorHAnsi"/>
                <w:sz w:val="18"/>
                <w:szCs w:val="18"/>
              </w:rPr>
              <w:endnoteReference w:id="3"/>
            </w:r>
            <w:r>
              <w:rPr>
                <w:sz w:val="18"/>
                <w:szCs w:val="18"/>
              </w:rPr>
              <w:t xml:space="preserve"> formé aux droits de l'homme des </w:t>
            </w:r>
            <w:r w:rsidR="000B7673">
              <w:rPr>
                <w:sz w:val="18"/>
                <w:szCs w:val="18"/>
              </w:rPr>
              <w:t>personnes handicapées</w:t>
            </w:r>
            <w:r>
              <w:rPr>
                <w:sz w:val="18"/>
                <w:szCs w:val="18"/>
              </w:rPr>
              <w:t>.</w:t>
            </w:r>
            <w:r w:rsidR="00B04DCB">
              <w:rPr>
                <w:rStyle w:val="EndnoteReference"/>
                <w:rFonts w:cstheme="minorHAnsi"/>
                <w:sz w:val="18"/>
                <w:szCs w:val="18"/>
              </w:rPr>
              <w:endnoteReference w:id="4"/>
            </w:r>
            <w:r>
              <w:rPr>
                <w:sz w:val="18"/>
                <w:szCs w:val="18"/>
              </w:rPr>
              <w:t xml:space="preserve"> </w:t>
            </w:r>
          </w:p>
          <w:p w14:paraId="088F2C05" w14:textId="574D20C5" w:rsidR="00507700" w:rsidRPr="00934C29" w:rsidRDefault="003512B5" w:rsidP="00635717">
            <w:pPr>
              <w:spacing w:after="0" w:line="240" w:lineRule="auto"/>
              <w:jc w:val="both"/>
              <w:rPr>
                <w:rFonts w:cstheme="minorHAnsi"/>
                <w:color w:val="000000"/>
                <w:sz w:val="18"/>
                <w:szCs w:val="18"/>
              </w:rPr>
            </w:pPr>
            <w:r>
              <w:rPr>
                <w:color w:val="000000"/>
                <w:sz w:val="18"/>
                <w:szCs w:val="18"/>
              </w:rPr>
              <w:t>18.8</w:t>
            </w:r>
            <w:r>
              <w:rPr>
                <w:sz w:val="18"/>
                <w:szCs w:val="18"/>
              </w:rPr>
              <w:t xml:space="preserve"> Processus de consultation entrepris pour assurer la participation active des </w:t>
            </w:r>
            <w:r w:rsidR="000B7673">
              <w:rPr>
                <w:sz w:val="18"/>
                <w:szCs w:val="18"/>
              </w:rPr>
              <w:t>personnes handicapées</w:t>
            </w:r>
            <w:r>
              <w:rPr>
                <w:sz w:val="18"/>
                <w:szCs w:val="18"/>
              </w:rPr>
              <w:t>, y compris par l</w:t>
            </w:r>
            <w:r w:rsidR="000B7673">
              <w:rPr>
                <w:sz w:val="18"/>
                <w:szCs w:val="18"/>
              </w:rPr>
              <w:t xml:space="preserve">’intermédiaire </w:t>
            </w:r>
            <w:r>
              <w:rPr>
                <w:sz w:val="18"/>
                <w:szCs w:val="18"/>
              </w:rPr>
              <w:t xml:space="preserve">des organisations </w:t>
            </w:r>
            <w:r w:rsidR="000B7673">
              <w:rPr>
                <w:sz w:val="18"/>
                <w:szCs w:val="18"/>
              </w:rPr>
              <w:t xml:space="preserve">qui les </w:t>
            </w:r>
            <w:r>
              <w:rPr>
                <w:sz w:val="18"/>
                <w:szCs w:val="18"/>
              </w:rPr>
              <w:t>représent</w:t>
            </w:r>
            <w:r w:rsidR="000B7673">
              <w:rPr>
                <w:sz w:val="18"/>
                <w:szCs w:val="18"/>
              </w:rPr>
              <w:t>ent</w:t>
            </w:r>
            <w:r>
              <w:rPr>
                <w:sz w:val="18"/>
                <w:szCs w:val="18"/>
              </w:rPr>
              <w:t xml:space="preserve">, à la conception, à la mise en œuvre et au suivi des </w:t>
            </w:r>
            <w:r>
              <w:rPr>
                <w:color w:val="000000"/>
                <w:sz w:val="18"/>
                <w:szCs w:val="18"/>
              </w:rPr>
              <w:t>lois, politiques et procédures relatives à la migration, à la naturalisation/à la citoyenneté et à l'obtention des documents d'identification et des procédures connexes.</w:t>
            </w:r>
            <w:r>
              <w:rPr>
                <w:rStyle w:val="EndnoteReference"/>
                <w:sz w:val="18"/>
                <w:szCs w:val="18"/>
              </w:rPr>
              <w:t xml:space="preserve"> </w:t>
            </w:r>
            <w:r w:rsidR="002C4D4A" w:rsidRPr="00934C29">
              <w:rPr>
                <w:rStyle w:val="EndnoteReference"/>
                <w:rFonts w:cstheme="minorHAnsi"/>
                <w:sz w:val="18"/>
                <w:szCs w:val="18"/>
              </w:rPr>
              <w:endnoteReference w:id="5"/>
            </w:r>
            <w:r>
              <w:rPr>
                <w:color w:val="000000"/>
                <w:sz w:val="18"/>
                <w:szCs w:val="18"/>
              </w:rPr>
              <w:t xml:space="preserve"> </w:t>
            </w:r>
          </w:p>
          <w:p w14:paraId="583397A5" w14:textId="244FF9E0" w:rsidR="00D2619B" w:rsidRPr="00934C29" w:rsidRDefault="003512B5" w:rsidP="00635717">
            <w:pPr>
              <w:spacing w:after="0" w:line="240" w:lineRule="auto"/>
              <w:jc w:val="both"/>
              <w:rPr>
                <w:rFonts w:cstheme="minorHAnsi"/>
                <w:color w:val="000000"/>
                <w:sz w:val="18"/>
                <w:szCs w:val="18"/>
              </w:rPr>
            </w:pPr>
            <w:r>
              <w:rPr>
                <w:color w:val="000000"/>
                <w:sz w:val="18"/>
                <w:szCs w:val="18"/>
              </w:rPr>
              <w:t xml:space="preserve">18.9 Nombre et proportion de décisions accordant et refusant l'entrée, la sortie, la résidence, la nationalité, le statut d'asile ou de réfugié, ou la délivrance de documents d'identification, ventilées par sexe, âge, handicap, origine ethnique, pays d'origine et, le cas échéant, motif de </w:t>
            </w:r>
            <w:r w:rsidR="00932820">
              <w:rPr>
                <w:color w:val="000000"/>
                <w:sz w:val="18"/>
                <w:szCs w:val="18"/>
              </w:rPr>
              <w:t>refus.</w:t>
            </w:r>
          </w:p>
          <w:p w14:paraId="2DFC9432" w14:textId="44EF0F84" w:rsidR="00D2619B" w:rsidRPr="00635717" w:rsidRDefault="003512B5" w:rsidP="00635717">
            <w:pPr>
              <w:spacing w:after="0" w:line="240" w:lineRule="auto"/>
              <w:jc w:val="both"/>
              <w:rPr>
                <w:rFonts w:cstheme="minorHAnsi"/>
                <w:color w:val="000000"/>
                <w:sz w:val="18"/>
                <w:szCs w:val="18"/>
              </w:rPr>
            </w:pPr>
            <w:r>
              <w:rPr>
                <w:color w:val="000000"/>
                <w:sz w:val="18"/>
                <w:szCs w:val="18"/>
              </w:rPr>
              <w:t>18.10</w:t>
            </w:r>
            <w:r>
              <w:rPr>
                <w:sz w:val="18"/>
                <w:szCs w:val="18"/>
              </w:rPr>
              <w:t xml:space="preserve"> Proportion de plaintes reçues concernant le droit à la liberté de circulation ou le droit à la nationalité alléguant une discrimination fondée sur le handicap et/ou impliquant des </w:t>
            </w:r>
            <w:r w:rsidR="000B7673">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c>
          <w:tcPr>
            <w:tcW w:w="3686" w:type="dxa"/>
          </w:tcPr>
          <w:p w14:paraId="0AD56E64" w14:textId="7552B163" w:rsidR="00343360" w:rsidRPr="00B10D7B" w:rsidRDefault="00507700" w:rsidP="00635717">
            <w:pPr>
              <w:spacing w:after="0" w:line="240" w:lineRule="auto"/>
              <w:jc w:val="both"/>
              <w:rPr>
                <w:rFonts w:cstheme="minorHAnsi"/>
                <w:color w:val="000000"/>
                <w:sz w:val="18"/>
                <w:szCs w:val="18"/>
              </w:rPr>
            </w:pPr>
            <w:r>
              <w:rPr>
                <w:color w:val="000000"/>
                <w:sz w:val="18"/>
                <w:szCs w:val="18"/>
              </w:rPr>
              <w:t>18.11</w:t>
            </w:r>
            <w:r>
              <w:rPr>
                <w:sz w:val="18"/>
                <w:szCs w:val="18"/>
              </w:rPr>
              <w:t xml:space="preserve"> Proportion de la population de toutes les municipalités urbaines et rurales et des camps de réfugiés disposant de services d'enregistrement disponibles localement.</w:t>
            </w:r>
            <w:r w:rsidR="00A623CC" w:rsidRPr="00CD5977">
              <w:rPr>
                <w:rStyle w:val="EndnoteReference"/>
                <w:rFonts w:cstheme="minorHAnsi"/>
                <w:sz w:val="18"/>
                <w:szCs w:val="18"/>
              </w:rPr>
              <w:endnoteReference w:id="6"/>
            </w:r>
            <w:r>
              <w:rPr>
                <w:sz w:val="18"/>
                <w:szCs w:val="18"/>
              </w:rPr>
              <w:t xml:space="preserve"> </w:t>
            </w:r>
          </w:p>
          <w:p w14:paraId="4D1F14D0" w14:textId="22330EA6" w:rsidR="00507700" w:rsidRPr="00934C29" w:rsidRDefault="00EB74AF" w:rsidP="00635717">
            <w:pPr>
              <w:spacing w:after="0" w:line="240" w:lineRule="auto"/>
              <w:jc w:val="both"/>
              <w:rPr>
                <w:rFonts w:cstheme="minorHAnsi"/>
                <w:sz w:val="18"/>
                <w:szCs w:val="18"/>
              </w:rPr>
            </w:pPr>
            <w:r>
              <w:rPr>
                <w:sz w:val="18"/>
                <w:szCs w:val="18"/>
              </w:rPr>
              <w:t>18.12 Formation des officiers de l'état civil et du personnel des institutions publiques</w:t>
            </w:r>
            <w:r w:rsidR="00880AE9" w:rsidRPr="00934C29">
              <w:rPr>
                <w:rStyle w:val="EndnoteReference"/>
                <w:rFonts w:cstheme="minorHAnsi"/>
                <w:sz w:val="18"/>
                <w:szCs w:val="18"/>
              </w:rPr>
              <w:endnoteReference w:id="7"/>
            </w:r>
            <w:r>
              <w:rPr>
                <w:sz w:val="18"/>
                <w:szCs w:val="18"/>
              </w:rPr>
              <w:t xml:space="preserve"> sur l'enregistrement des naissances des </w:t>
            </w:r>
            <w:r w:rsidR="000B7673">
              <w:rPr>
                <w:sz w:val="18"/>
                <w:szCs w:val="18"/>
              </w:rPr>
              <w:t>personnes handicapées</w:t>
            </w:r>
            <w:r w:rsidR="00EC1B5D" w:rsidRPr="00934C29">
              <w:rPr>
                <w:rStyle w:val="EndnoteReference"/>
                <w:rFonts w:cstheme="minorHAnsi"/>
                <w:sz w:val="18"/>
                <w:szCs w:val="18"/>
              </w:rPr>
              <w:endnoteReference w:id="8"/>
            </w:r>
            <w:r>
              <w:rPr>
                <w:sz w:val="18"/>
                <w:szCs w:val="18"/>
              </w:rPr>
              <w:t xml:space="preserve"> et la proportion de personnel ayant reçu une telle formation.</w:t>
            </w:r>
          </w:p>
          <w:p w14:paraId="45395A38" w14:textId="1BC5CC06" w:rsidR="00507700" w:rsidRDefault="003512B5" w:rsidP="00635717">
            <w:pPr>
              <w:spacing w:after="0" w:line="240" w:lineRule="auto"/>
              <w:jc w:val="both"/>
              <w:rPr>
                <w:rFonts w:cstheme="minorHAnsi"/>
                <w:sz w:val="18"/>
                <w:szCs w:val="18"/>
              </w:rPr>
            </w:pPr>
            <w:r>
              <w:rPr>
                <w:sz w:val="18"/>
                <w:szCs w:val="18"/>
              </w:rPr>
              <w:t xml:space="preserve">18.13 Les campagnes nationales d'enregistrement des naissances sont conçues avec la participation active des organisations représentatives des </w:t>
            </w:r>
            <w:r w:rsidR="000B7673">
              <w:rPr>
                <w:sz w:val="18"/>
                <w:szCs w:val="18"/>
              </w:rPr>
              <w:t>personnes handicapées</w:t>
            </w:r>
            <w:r w:rsidR="00EC1B5D" w:rsidRPr="00934C29">
              <w:rPr>
                <w:rStyle w:val="EndnoteReference"/>
                <w:rFonts w:cstheme="minorHAnsi"/>
                <w:sz w:val="18"/>
                <w:szCs w:val="18"/>
              </w:rPr>
              <w:endnoteReference w:id="9"/>
            </w:r>
            <w:r>
              <w:rPr>
                <w:sz w:val="18"/>
                <w:szCs w:val="18"/>
              </w:rPr>
              <w:t xml:space="preserve"> ciblant les familles, les communautés, les groupes religieux et les organisations de la société civile.</w:t>
            </w:r>
          </w:p>
          <w:p w14:paraId="4DCE00F4" w14:textId="4C25123C" w:rsidR="00112CC4" w:rsidRPr="00934C29" w:rsidRDefault="00112CC4" w:rsidP="00635717">
            <w:pPr>
              <w:spacing w:after="0" w:line="240" w:lineRule="auto"/>
              <w:jc w:val="both"/>
              <w:rPr>
                <w:rFonts w:cstheme="minorHAnsi"/>
                <w:sz w:val="18"/>
                <w:szCs w:val="18"/>
              </w:rPr>
            </w:pPr>
          </w:p>
        </w:tc>
      </w:tr>
      <w:tr w:rsidR="00B65B82" w:rsidRPr="00912AC9" w14:paraId="4D5C3E9A" w14:textId="77777777" w:rsidTr="00635717">
        <w:trPr>
          <w:trHeight w:val="1560"/>
          <w:jc w:val="center"/>
        </w:trPr>
        <w:tc>
          <w:tcPr>
            <w:tcW w:w="1055" w:type="dxa"/>
          </w:tcPr>
          <w:p w14:paraId="57B66DD4" w14:textId="77777777" w:rsidR="00B65B82" w:rsidRPr="00934C29" w:rsidRDefault="00B65B82" w:rsidP="00635717">
            <w:pPr>
              <w:spacing w:after="0" w:line="240" w:lineRule="auto"/>
              <w:rPr>
                <w:rFonts w:cstheme="minorHAnsi"/>
                <w:b/>
                <w:sz w:val="18"/>
                <w:szCs w:val="18"/>
              </w:rPr>
            </w:pPr>
            <w:r>
              <w:rPr>
                <w:b/>
                <w:sz w:val="18"/>
                <w:szCs w:val="18"/>
              </w:rPr>
              <w:t>Résultats</w:t>
            </w:r>
          </w:p>
        </w:tc>
        <w:tc>
          <w:tcPr>
            <w:tcW w:w="3702" w:type="dxa"/>
          </w:tcPr>
          <w:p w14:paraId="0CA034DC" w14:textId="0E30D43B" w:rsidR="001D4182" w:rsidRPr="00934C29" w:rsidRDefault="003512B5" w:rsidP="00635717">
            <w:pPr>
              <w:spacing w:after="0" w:line="240" w:lineRule="auto"/>
              <w:jc w:val="both"/>
              <w:rPr>
                <w:rFonts w:cstheme="minorHAnsi"/>
                <w:color w:val="000000"/>
                <w:sz w:val="18"/>
                <w:szCs w:val="18"/>
              </w:rPr>
            </w:pPr>
            <w:r>
              <w:rPr>
                <w:color w:val="000000"/>
                <w:sz w:val="18"/>
                <w:szCs w:val="18"/>
              </w:rPr>
              <w:t>18.14</w:t>
            </w:r>
            <w:r>
              <w:rPr>
                <w:sz w:val="18"/>
                <w:szCs w:val="18"/>
              </w:rPr>
              <w:t xml:space="preserve"> Nombre et proportion de </w:t>
            </w:r>
            <w:r w:rsidR="000B7673">
              <w:rPr>
                <w:sz w:val="18"/>
                <w:szCs w:val="18"/>
              </w:rPr>
              <w:t>personnes handicapées</w:t>
            </w:r>
            <w:r>
              <w:rPr>
                <w:sz w:val="18"/>
                <w:szCs w:val="18"/>
              </w:rPr>
              <w:t xml:space="preserve"> qui ont demandé et obtenu le statut de résident par rapport aux autres personnes qui ont demandé et obtenu le statut de résident, </w:t>
            </w:r>
            <w:r>
              <w:rPr>
                <w:color w:val="000000"/>
                <w:sz w:val="18"/>
                <w:szCs w:val="18"/>
              </w:rPr>
              <w:t>par an</w:t>
            </w:r>
            <w:r>
              <w:rPr>
                <w:sz w:val="18"/>
                <w:szCs w:val="18"/>
              </w:rPr>
              <w:t>, ventilés par sexe, âge et handicap.</w:t>
            </w:r>
          </w:p>
        </w:tc>
        <w:tc>
          <w:tcPr>
            <w:tcW w:w="3519" w:type="dxa"/>
          </w:tcPr>
          <w:p w14:paraId="15BBB27A" w14:textId="024A8AF1" w:rsidR="001D4182" w:rsidRPr="00934C29" w:rsidRDefault="003512B5" w:rsidP="00635717">
            <w:pPr>
              <w:spacing w:after="0" w:line="240" w:lineRule="auto"/>
              <w:jc w:val="both"/>
              <w:rPr>
                <w:rFonts w:cstheme="minorHAnsi"/>
                <w:color w:val="000000"/>
                <w:sz w:val="18"/>
                <w:szCs w:val="18"/>
              </w:rPr>
            </w:pPr>
            <w:r>
              <w:rPr>
                <w:color w:val="000000"/>
                <w:sz w:val="18"/>
                <w:szCs w:val="18"/>
              </w:rPr>
              <w:t>18.15</w:t>
            </w:r>
            <w:r>
              <w:rPr>
                <w:sz w:val="18"/>
                <w:szCs w:val="18"/>
              </w:rPr>
              <w:t xml:space="preserve"> Nombre et proportion de </w:t>
            </w:r>
            <w:r w:rsidR="000B7673">
              <w:rPr>
                <w:sz w:val="18"/>
                <w:szCs w:val="18"/>
              </w:rPr>
              <w:t>personnes handicapées</w:t>
            </w:r>
            <w:r>
              <w:rPr>
                <w:sz w:val="18"/>
                <w:szCs w:val="18"/>
              </w:rPr>
              <w:t xml:space="preserve"> qui ont demandé et obtenu la nationalité de l'État par rapport aux autres personnes qui ont demandé et obtenu la nationalité, </w:t>
            </w:r>
            <w:r>
              <w:rPr>
                <w:color w:val="000000"/>
                <w:sz w:val="18"/>
                <w:szCs w:val="18"/>
              </w:rPr>
              <w:t>par an</w:t>
            </w:r>
            <w:r>
              <w:rPr>
                <w:sz w:val="18"/>
                <w:szCs w:val="18"/>
              </w:rPr>
              <w:t>, ventilés par âge, sexe et handicap.</w:t>
            </w:r>
          </w:p>
          <w:p w14:paraId="7918A366" w14:textId="00C0F92D" w:rsidR="001D4182" w:rsidRPr="00934C29" w:rsidRDefault="003512B5" w:rsidP="00635717">
            <w:pPr>
              <w:spacing w:after="0" w:line="240" w:lineRule="auto"/>
              <w:jc w:val="both"/>
              <w:rPr>
                <w:rFonts w:cstheme="minorHAnsi"/>
                <w:color w:val="000000"/>
                <w:sz w:val="18"/>
                <w:szCs w:val="18"/>
              </w:rPr>
            </w:pPr>
            <w:r>
              <w:rPr>
                <w:color w:val="000000"/>
                <w:sz w:val="18"/>
                <w:szCs w:val="18"/>
              </w:rPr>
              <w:t xml:space="preserve">18.16 Nombre et proportion de </w:t>
            </w:r>
            <w:r w:rsidR="000B7673">
              <w:rPr>
                <w:color w:val="000000"/>
                <w:sz w:val="18"/>
                <w:szCs w:val="18"/>
              </w:rPr>
              <w:t>personnes handicapées</w:t>
            </w:r>
            <w:r>
              <w:rPr>
                <w:color w:val="000000"/>
                <w:sz w:val="18"/>
                <w:szCs w:val="18"/>
              </w:rPr>
              <w:t xml:space="preserve"> apatrides par rapport au nombre total d'apatrides,</w:t>
            </w:r>
            <w:r>
              <w:rPr>
                <w:sz w:val="18"/>
                <w:szCs w:val="18"/>
              </w:rPr>
              <w:t xml:space="preserve"> ventilés par sexe, âge et handicap</w:t>
            </w:r>
            <w:r w:rsidR="00E45E3B">
              <w:rPr>
                <w:sz w:val="18"/>
                <w:szCs w:val="18"/>
              </w:rPr>
              <w:t>.</w:t>
            </w:r>
          </w:p>
        </w:tc>
        <w:tc>
          <w:tcPr>
            <w:tcW w:w="3626" w:type="dxa"/>
          </w:tcPr>
          <w:p w14:paraId="41418B32" w14:textId="5E17AA82" w:rsidR="00B65B82" w:rsidRPr="00934C29" w:rsidRDefault="000D5788" w:rsidP="00635717">
            <w:pPr>
              <w:spacing w:after="0" w:line="240" w:lineRule="auto"/>
              <w:jc w:val="both"/>
              <w:rPr>
                <w:rFonts w:cstheme="minorHAnsi"/>
                <w:color w:val="000000"/>
                <w:sz w:val="18"/>
                <w:szCs w:val="18"/>
              </w:rPr>
            </w:pPr>
            <w:r>
              <w:rPr>
                <w:color w:val="000000"/>
                <w:sz w:val="18"/>
                <w:szCs w:val="18"/>
              </w:rPr>
              <w:t>18.17 Proportion de personnes en possession d'au moins une pièce d'identité, ventilées par sexe, âge et handicap.</w:t>
            </w:r>
          </w:p>
        </w:tc>
        <w:tc>
          <w:tcPr>
            <w:tcW w:w="3686" w:type="dxa"/>
          </w:tcPr>
          <w:p w14:paraId="5AEBCFD2" w14:textId="6CEDA543" w:rsidR="00B65B82" w:rsidRPr="00934C29" w:rsidRDefault="000D5788" w:rsidP="00635717">
            <w:pPr>
              <w:spacing w:after="0" w:line="240" w:lineRule="auto"/>
              <w:jc w:val="both"/>
              <w:rPr>
                <w:rFonts w:cstheme="minorHAnsi"/>
                <w:color w:val="000000"/>
                <w:sz w:val="18"/>
                <w:szCs w:val="18"/>
              </w:rPr>
            </w:pPr>
            <w:r>
              <w:rPr>
                <w:color w:val="000000"/>
                <w:sz w:val="18"/>
                <w:szCs w:val="18"/>
              </w:rPr>
              <w:t>18.18 Proportion de personnes dont la naissance a été enregistrée, ventilées par sexe, âge et handicap.</w:t>
            </w:r>
            <w:r w:rsidR="00932820">
              <w:rPr>
                <w:color w:val="000000"/>
                <w:sz w:val="18"/>
                <w:szCs w:val="18"/>
              </w:rPr>
              <w:t xml:space="preserve">                   </w:t>
            </w:r>
            <w:r>
              <w:rPr>
                <w:color w:val="000000"/>
                <w:sz w:val="18"/>
                <w:szCs w:val="18"/>
              </w:rPr>
              <w:t xml:space="preserve"> </w:t>
            </w:r>
          </w:p>
          <w:p w14:paraId="0A85E2D8" w14:textId="0623DA9E" w:rsidR="00B65B82" w:rsidRPr="00934C29" w:rsidRDefault="000D5788" w:rsidP="00635717">
            <w:pPr>
              <w:spacing w:after="0" w:line="240" w:lineRule="auto"/>
              <w:jc w:val="both"/>
              <w:rPr>
                <w:rFonts w:cstheme="minorHAnsi"/>
                <w:sz w:val="18"/>
                <w:szCs w:val="18"/>
              </w:rPr>
            </w:pPr>
            <w:r>
              <w:rPr>
                <w:sz w:val="18"/>
                <w:szCs w:val="18"/>
              </w:rPr>
              <w:t xml:space="preserve">18.19 </w:t>
            </w:r>
            <w:r w:rsidR="00E45E3B">
              <w:rPr>
                <w:sz w:val="18"/>
                <w:szCs w:val="18"/>
              </w:rPr>
              <w:t>P</w:t>
            </w:r>
            <w:r w:rsidR="00E45E3B" w:rsidRPr="00E45E3B">
              <w:rPr>
                <w:sz w:val="18"/>
                <w:szCs w:val="18"/>
              </w:rPr>
              <w:t>roportion d’enfants de moins de 5 ans ayant été enregistrés par une autorité d’état civil, par âge</w:t>
            </w:r>
            <w:r w:rsidR="00E45E3B" w:rsidRPr="00E45E3B" w:rsidDel="00E45E3B">
              <w:rPr>
                <w:sz w:val="18"/>
                <w:szCs w:val="18"/>
              </w:rPr>
              <w:t xml:space="preserve"> </w:t>
            </w:r>
            <w:r>
              <w:rPr>
                <w:sz w:val="18"/>
                <w:szCs w:val="18"/>
              </w:rPr>
              <w:t xml:space="preserve">(indicateur ODD 16.9.1), sexe, handicap, lieu de résidence et quintile de richesse du ménage. </w:t>
            </w:r>
          </w:p>
        </w:tc>
      </w:tr>
    </w:tbl>
    <w:p w14:paraId="78C69564" w14:textId="0C1ECA5A" w:rsidR="00112CC4" w:rsidRDefault="00112CC4" w:rsidP="00DE129B">
      <w:pPr>
        <w:spacing w:after="120" w:line="240" w:lineRule="auto"/>
        <w:rPr>
          <w:rFonts w:cstheme="minorHAnsi"/>
          <w:b/>
          <w:sz w:val="18"/>
          <w:szCs w:val="18"/>
        </w:rPr>
      </w:pPr>
    </w:p>
    <w:p w14:paraId="14459300" w14:textId="77777777" w:rsidR="00112CC4" w:rsidRDefault="00112CC4">
      <w:pPr>
        <w:spacing w:after="0" w:line="240" w:lineRule="auto"/>
        <w:rPr>
          <w:rFonts w:cstheme="minorHAnsi"/>
          <w:b/>
          <w:sz w:val="18"/>
          <w:szCs w:val="18"/>
        </w:rPr>
      </w:pPr>
      <w:r>
        <w:br w:type="page"/>
      </w:r>
    </w:p>
    <w:sectPr w:rsidR="00112CC4" w:rsidSect="001C3EFC">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494FD" w14:textId="77777777" w:rsidR="00314A5C" w:rsidRDefault="00314A5C" w:rsidP="00880AE9">
      <w:pPr>
        <w:spacing w:after="0" w:line="240" w:lineRule="auto"/>
      </w:pPr>
      <w:r>
        <w:separator/>
      </w:r>
    </w:p>
  </w:endnote>
  <w:endnote w:type="continuationSeparator" w:id="0">
    <w:p w14:paraId="18AD16B7" w14:textId="77777777" w:rsidR="00314A5C" w:rsidRDefault="00314A5C" w:rsidP="00880AE9">
      <w:pPr>
        <w:spacing w:after="0" w:line="240" w:lineRule="auto"/>
      </w:pPr>
      <w:r>
        <w:continuationSeparator/>
      </w:r>
    </w:p>
  </w:endnote>
  <w:endnote w:id="1">
    <w:p w14:paraId="6B50CE48" w14:textId="28868A67" w:rsidR="006832F3" w:rsidRPr="00934C29" w:rsidRDefault="006832F3" w:rsidP="00A95EF4">
      <w:pPr>
        <w:pStyle w:val="EndnoteText"/>
        <w:rPr>
          <w:sz w:val="18"/>
          <w:szCs w:val="18"/>
        </w:rPr>
      </w:pPr>
      <w:r>
        <w:rPr>
          <w:rStyle w:val="EndnoteReference"/>
          <w:sz w:val="18"/>
          <w:szCs w:val="18"/>
        </w:rPr>
        <w:endnoteRef/>
      </w:r>
      <w:r>
        <w:t xml:space="preserve"> </w:t>
      </w:r>
      <w:r w:rsidR="00932820">
        <w:rPr>
          <w:color w:val="000000"/>
          <w:sz w:val="18"/>
          <w:szCs w:val="18"/>
        </w:rPr>
        <w:t>A</w:t>
      </w:r>
      <w:r>
        <w:rPr>
          <w:color w:val="000000"/>
          <w:sz w:val="18"/>
          <w:szCs w:val="18"/>
        </w:rPr>
        <w:t xml:space="preserve">vec un accent particulier sur les </w:t>
      </w:r>
      <w:r w:rsidR="000B7673">
        <w:rPr>
          <w:color w:val="000000"/>
          <w:sz w:val="18"/>
          <w:szCs w:val="18"/>
        </w:rPr>
        <w:t>personnes handicapées</w:t>
      </w:r>
      <w:r>
        <w:rPr>
          <w:color w:val="000000"/>
          <w:sz w:val="18"/>
          <w:szCs w:val="18"/>
        </w:rPr>
        <w:t xml:space="preserve"> issues de minorités, celles vivant dans les zones rurales et les personnes résidant en milieu institutionnel</w:t>
      </w:r>
      <w:r w:rsidR="00E45E3B">
        <w:rPr>
          <w:color w:val="000000"/>
          <w:sz w:val="18"/>
          <w:szCs w:val="18"/>
        </w:rPr>
        <w:t>.</w:t>
      </w:r>
    </w:p>
  </w:endnote>
  <w:endnote w:id="2">
    <w:p w14:paraId="60AB8431" w14:textId="3F0E5973" w:rsidR="006832F3" w:rsidRPr="00934C29" w:rsidRDefault="006832F3" w:rsidP="00A95EF4">
      <w:pPr>
        <w:pStyle w:val="EndnoteText"/>
        <w:rPr>
          <w:sz w:val="18"/>
          <w:szCs w:val="18"/>
        </w:rPr>
      </w:pPr>
      <w:r>
        <w:rPr>
          <w:rStyle w:val="EndnoteReference"/>
          <w:sz w:val="18"/>
          <w:szCs w:val="18"/>
        </w:rPr>
        <w:endnoteRef/>
      </w:r>
      <w:r>
        <w:t xml:space="preserve"> </w:t>
      </w:r>
      <w:r w:rsidR="00932820">
        <w:rPr>
          <w:sz w:val="18"/>
          <w:szCs w:val="18"/>
        </w:rPr>
        <w:t>Y</w:t>
      </w:r>
      <w:r>
        <w:rPr>
          <w:sz w:val="18"/>
          <w:szCs w:val="18"/>
        </w:rPr>
        <w:t xml:space="preserve"> compris les enfants nés dans les zones rurales et les camps de réfugiés</w:t>
      </w:r>
    </w:p>
  </w:endnote>
  <w:endnote w:id="3">
    <w:p w14:paraId="6F5958D2" w14:textId="6B5FF5A1" w:rsidR="00880AE9" w:rsidRPr="00B04DCB" w:rsidRDefault="00880AE9" w:rsidP="00A95EF4">
      <w:pPr>
        <w:pStyle w:val="EndnoteText"/>
        <w:rPr>
          <w:sz w:val="18"/>
          <w:szCs w:val="18"/>
        </w:rPr>
      </w:pPr>
      <w:r>
        <w:rPr>
          <w:rStyle w:val="EndnoteReference"/>
          <w:sz w:val="18"/>
          <w:szCs w:val="18"/>
        </w:rPr>
        <w:endnoteRef/>
      </w:r>
      <w:r>
        <w:t xml:space="preserve"> </w:t>
      </w:r>
      <w:r w:rsidR="00932820">
        <w:rPr>
          <w:sz w:val="18"/>
          <w:szCs w:val="18"/>
        </w:rPr>
        <w:t>E</w:t>
      </w:r>
      <w:r>
        <w:rPr>
          <w:sz w:val="18"/>
          <w:szCs w:val="18"/>
        </w:rPr>
        <w:t>n particulier, le personnel chargé de l'application des lois et du contrôle des frontières, les services judiciaires, sociaux et de santé et les acteurs humanitaires dans les camps de réfugiés et de personnes déplacées.</w:t>
      </w:r>
    </w:p>
  </w:endnote>
  <w:endnote w:id="4">
    <w:p w14:paraId="5A39E120" w14:textId="391673D6" w:rsidR="00B04DCB" w:rsidRPr="00B04DCB" w:rsidRDefault="00B04DCB">
      <w:pPr>
        <w:pStyle w:val="EndnoteText"/>
      </w:pPr>
      <w:r>
        <w:rPr>
          <w:rStyle w:val="EndnoteReference"/>
        </w:rPr>
        <w:endnoteRef/>
      </w:r>
      <w:r>
        <w:t xml:space="preserve"> </w:t>
      </w:r>
      <w:r>
        <w:rPr>
          <w:sz w:val="18"/>
          <w:szCs w:val="18"/>
        </w:rPr>
        <w:t>La formation devrait également comprendre : l'approche du handicap fondée sur les droits de l'homme, la non-discrimination et la fourniture d'aménagements raisonnables, la conception universelle, l'accessibilité (y compris les informations et communications accessibles).</w:t>
      </w:r>
    </w:p>
  </w:endnote>
  <w:endnote w:id="5">
    <w:p w14:paraId="6A4DD9D5" w14:textId="0F8ACD74" w:rsidR="00635717" w:rsidRPr="00DD35DD" w:rsidRDefault="002C4D4A" w:rsidP="00635717">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E45E3B">
        <w:rPr>
          <w:sz w:val="18"/>
          <w:szCs w:val="18"/>
        </w:rPr>
        <w:t>faire participer</w:t>
      </w:r>
      <w:r>
        <w:rPr>
          <w:sz w:val="18"/>
          <w:szCs w:val="18"/>
        </w:rPr>
        <w:t xml:space="preserve"> les </w:t>
      </w:r>
      <w:r w:rsidR="000B7673">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1" w:history="1">
        <w:r w:rsidRPr="0077679B">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47AAA0A9" w14:textId="77777777" w:rsidR="00635717" w:rsidRPr="00DD35DD" w:rsidRDefault="00635717" w:rsidP="00635717">
      <w:pPr>
        <w:pStyle w:val="EndnoteText"/>
        <w:numPr>
          <w:ilvl w:val="0"/>
          <w:numId w:val="15"/>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77E25CE4" w14:textId="77777777" w:rsidR="00635717" w:rsidRPr="00DD35DD" w:rsidRDefault="00635717" w:rsidP="00635717">
      <w:pPr>
        <w:pStyle w:val="EndnoteText"/>
        <w:numPr>
          <w:ilvl w:val="0"/>
          <w:numId w:val="15"/>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42128D71" w14:textId="536581C7" w:rsidR="00635717" w:rsidRPr="00DD35DD" w:rsidRDefault="00635717" w:rsidP="00635717">
      <w:pPr>
        <w:pStyle w:val="EndnoteText"/>
        <w:numPr>
          <w:ilvl w:val="0"/>
          <w:numId w:val="15"/>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0B7673">
        <w:rPr>
          <w:sz w:val="18"/>
          <w:szCs w:val="18"/>
        </w:rPr>
        <w:t>personnes handicapées</w:t>
      </w:r>
      <w:r>
        <w:rPr>
          <w:sz w:val="18"/>
          <w:szCs w:val="18"/>
        </w:rPr>
        <w:t xml:space="preserve"> d'exprimer librement leurs opinions ;</w:t>
      </w:r>
    </w:p>
    <w:p w14:paraId="5CC8F035" w14:textId="77777777" w:rsidR="00635717" w:rsidRPr="00DD35DD" w:rsidRDefault="00635717" w:rsidP="00635717">
      <w:pPr>
        <w:pStyle w:val="EndnoteText"/>
        <w:numPr>
          <w:ilvl w:val="0"/>
          <w:numId w:val="15"/>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33391B53" w14:textId="78308023" w:rsidR="00635717" w:rsidRDefault="00635717" w:rsidP="0087414F">
      <w:pPr>
        <w:pStyle w:val="EndnoteText"/>
        <w:numPr>
          <w:ilvl w:val="0"/>
          <w:numId w:val="15"/>
        </w:numPr>
        <w:ind w:left="714" w:hanging="357"/>
        <w:contextualSpacing/>
        <w:jc w:val="both"/>
        <w:rPr>
          <w:sz w:val="18"/>
          <w:szCs w:val="18"/>
        </w:rPr>
      </w:pPr>
      <w:proofErr w:type="gramStart"/>
      <w:r>
        <w:rPr>
          <w:sz w:val="18"/>
          <w:szCs w:val="18"/>
        </w:rPr>
        <w:t>assurer</w:t>
      </w:r>
      <w:proofErr w:type="gramEnd"/>
      <w:r>
        <w:rPr>
          <w:sz w:val="18"/>
          <w:szCs w:val="18"/>
        </w:rPr>
        <w:t xml:space="preserve"> une </w:t>
      </w:r>
      <w:r w:rsidR="00E45E3B">
        <w:rPr>
          <w:sz w:val="18"/>
          <w:szCs w:val="18"/>
        </w:rPr>
        <w:t xml:space="preserve">participation </w:t>
      </w:r>
      <w:r>
        <w:rPr>
          <w:sz w:val="18"/>
          <w:szCs w:val="18"/>
        </w:rPr>
        <w:t>précoce et continue ;</w:t>
      </w:r>
    </w:p>
    <w:p w14:paraId="6E9D2402" w14:textId="0C083DD7" w:rsidR="002C4D4A" w:rsidRPr="00635717" w:rsidRDefault="00635717" w:rsidP="0087414F">
      <w:pPr>
        <w:pStyle w:val="EndnoteText"/>
        <w:numPr>
          <w:ilvl w:val="0"/>
          <w:numId w:val="15"/>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6">
    <w:p w14:paraId="19BFF55B" w14:textId="1B5B1A47" w:rsidR="00A623CC" w:rsidRPr="00A623CC" w:rsidRDefault="00A623CC" w:rsidP="00A95EF4">
      <w:pPr>
        <w:spacing w:after="0" w:line="240" w:lineRule="auto"/>
        <w:jc w:val="both"/>
        <w:rPr>
          <w:rFonts w:cstheme="minorHAnsi"/>
          <w:color w:val="000000"/>
          <w:sz w:val="18"/>
          <w:szCs w:val="18"/>
        </w:rPr>
      </w:pPr>
      <w:r>
        <w:rPr>
          <w:rStyle w:val="EndnoteReference"/>
        </w:rPr>
        <w:endnoteRef/>
      </w:r>
      <w:r>
        <w:t xml:space="preserve"> </w:t>
      </w:r>
      <w:r>
        <w:rPr>
          <w:sz w:val="18"/>
          <w:szCs w:val="18"/>
        </w:rPr>
        <w:t>Les installations d'enregistrement peuvent être situées dans les hôpitaux, les écoles, etc., ou peuvent être déployées en tant qu'unités d'enregistrement mobiles. L'indicateur se concentre sur la population capable d'accéder à ces installations dans leur communauté.</w:t>
      </w:r>
      <w:r w:rsidR="00932820">
        <w:rPr>
          <w:sz w:val="18"/>
          <w:szCs w:val="18"/>
        </w:rPr>
        <w:t xml:space="preserve">  </w:t>
      </w:r>
    </w:p>
  </w:endnote>
  <w:endnote w:id="7">
    <w:p w14:paraId="13408978" w14:textId="7846A9FB" w:rsidR="00880AE9" w:rsidRPr="00934C29" w:rsidRDefault="00880AE9" w:rsidP="00A95EF4">
      <w:pPr>
        <w:pStyle w:val="EndnoteText"/>
        <w:rPr>
          <w:sz w:val="18"/>
          <w:szCs w:val="18"/>
        </w:rPr>
      </w:pPr>
      <w:r>
        <w:rPr>
          <w:rStyle w:val="EndnoteReference"/>
          <w:sz w:val="18"/>
          <w:szCs w:val="18"/>
        </w:rPr>
        <w:endnoteRef/>
      </w:r>
      <w:r>
        <w:t xml:space="preserve"> </w:t>
      </w:r>
      <w:r w:rsidR="00932820">
        <w:rPr>
          <w:sz w:val="18"/>
          <w:szCs w:val="18"/>
        </w:rPr>
        <w:t>D</w:t>
      </w:r>
      <w:r>
        <w:rPr>
          <w:sz w:val="18"/>
          <w:szCs w:val="18"/>
        </w:rPr>
        <w:t>u niveau national au niveau local, y compris les municipalités, les services sociaux, le personnel de l'éducation et de la santé.</w:t>
      </w:r>
    </w:p>
  </w:endnote>
  <w:endnote w:id="8">
    <w:p w14:paraId="5E5F6425" w14:textId="53AA5346" w:rsidR="00EC1B5D" w:rsidRPr="00934C29" w:rsidRDefault="00EC1B5D" w:rsidP="00A95EF4">
      <w:pPr>
        <w:pStyle w:val="EndnoteText"/>
        <w:rPr>
          <w:sz w:val="18"/>
          <w:szCs w:val="18"/>
        </w:rPr>
      </w:pPr>
      <w:r>
        <w:rPr>
          <w:rStyle w:val="EndnoteReference"/>
          <w:sz w:val="18"/>
          <w:szCs w:val="18"/>
        </w:rPr>
        <w:endnoteRef/>
      </w:r>
      <w:r>
        <w:t xml:space="preserve"> </w:t>
      </w:r>
      <w:r w:rsidR="00932820">
        <w:rPr>
          <w:sz w:val="18"/>
          <w:szCs w:val="18"/>
        </w:rPr>
        <w:t>E</w:t>
      </w:r>
      <w:r>
        <w:rPr>
          <w:sz w:val="18"/>
          <w:szCs w:val="18"/>
        </w:rPr>
        <w:t>n particulier dans les zones rurales et les communautés autochtones.</w:t>
      </w:r>
    </w:p>
  </w:endnote>
  <w:endnote w:id="9">
    <w:p w14:paraId="2E5AF128" w14:textId="77B0BE8A" w:rsidR="00EC1B5D" w:rsidRPr="00934C29" w:rsidRDefault="00EC1B5D" w:rsidP="00A95EF4">
      <w:pPr>
        <w:pStyle w:val="EndnoteText"/>
        <w:rPr>
          <w:sz w:val="18"/>
          <w:szCs w:val="18"/>
        </w:rPr>
      </w:pPr>
      <w:r>
        <w:rPr>
          <w:rStyle w:val="EndnoteReference"/>
          <w:sz w:val="18"/>
          <w:szCs w:val="18"/>
        </w:rPr>
        <w:endnoteRef/>
      </w:r>
      <w:r>
        <w:t xml:space="preserve"> </w:t>
      </w:r>
      <w:r w:rsidR="00932820">
        <w:rPr>
          <w:sz w:val="18"/>
          <w:szCs w:val="18"/>
        </w:rPr>
        <w:t>A</w:t>
      </w:r>
      <w:r>
        <w:rPr>
          <w:sz w:val="18"/>
          <w:szCs w:val="18"/>
        </w:rPr>
        <w:t>ccessible aux enfants handicap</w:t>
      </w:r>
      <w:r w:rsidR="000B7673">
        <w:rPr>
          <w:sz w:val="18"/>
          <w:szCs w:val="18"/>
        </w:rPr>
        <w:t>és</w:t>
      </w:r>
      <w:r>
        <w:rPr>
          <w:sz w:val="18"/>
          <w:szCs w:val="18"/>
        </w:rPr>
        <w:t xml:space="preserve"> et inclusif, disponible dans les langues locales et autochtones.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1E7A" w14:textId="77777777" w:rsidR="00314A5C" w:rsidRDefault="00314A5C" w:rsidP="00880AE9">
      <w:pPr>
        <w:spacing w:after="0" w:line="240" w:lineRule="auto"/>
      </w:pPr>
      <w:r>
        <w:separator/>
      </w:r>
    </w:p>
  </w:footnote>
  <w:footnote w:type="continuationSeparator" w:id="0">
    <w:p w14:paraId="004EF046" w14:textId="77777777" w:rsidR="00314A5C" w:rsidRDefault="00314A5C" w:rsidP="0088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4D3"/>
    <w:multiLevelType w:val="hybridMultilevel"/>
    <w:tmpl w:val="4D50724C"/>
    <w:lvl w:ilvl="0" w:tplc="A60213CE">
      <w:start w:val="1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1D86"/>
    <w:multiLevelType w:val="hybridMultilevel"/>
    <w:tmpl w:val="05ACE6A2"/>
    <w:lvl w:ilvl="0" w:tplc="8F0AE7A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D1D54"/>
    <w:multiLevelType w:val="hybridMultilevel"/>
    <w:tmpl w:val="273445D6"/>
    <w:lvl w:ilvl="0" w:tplc="5680DC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80963"/>
    <w:multiLevelType w:val="hybridMultilevel"/>
    <w:tmpl w:val="302097C2"/>
    <w:lvl w:ilvl="0" w:tplc="F780ABC4">
      <w:start w:val="1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C0366"/>
    <w:multiLevelType w:val="hybridMultilevel"/>
    <w:tmpl w:val="FB488FF6"/>
    <w:lvl w:ilvl="0" w:tplc="EC02C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E5FD8"/>
    <w:multiLevelType w:val="hybridMultilevel"/>
    <w:tmpl w:val="33603E2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4F78"/>
    <w:multiLevelType w:val="hybridMultilevel"/>
    <w:tmpl w:val="43B6EA68"/>
    <w:lvl w:ilvl="0" w:tplc="2174B5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16B9"/>
    <w:multiLevelType w:val="hybridMultilevel"/>
    <w:tmpl w:val="8ABE3152"/>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E423E"/>
    <w:multiLevelType w:val="hybridMultilevel"/>
    <w:tmpl w:val="116EF0B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F43839"/>
    <w:multiLevelType w:val="hybridMultilevel"/>
    <w:tmpl w:val="5E72CAF0"/>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317B1"/>
    <w:multiLevelType w:val="hybridMultilevel"/>
    <w:tmpl w:val="4852EA3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87293"/>
    <w:multiLevelType w:val="hybridMultilevel"/>
    <w:tmpl w:val="9E22E554"/>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9"/>
  </w:num>
  <w:num w:numId="5">
    <w:abstractNumId w:val="2"/>
  </w:num>
  <w:num w:numId="6">
    <w:abstractNumId w:val="13"/>
  </w:num>
  <w:num w:numId="7">
    <w:abstractNumId w:val="0"/>
  </w:num>
  <w:num w:numId="8">
    <w:abstractNumId w:val="3"/>
  </w:num>
  <w:num w:numId="9">
    <w:abstractNumId w:val="1"/>
  </w:num>
  <w:num w:numId="10">
    <w:abstractNumId w:val="15"/>
  </w:num>
  <w:num w:numId="11">
    <w:abstractNumId w:val="7"/>
  </w:num>
  <w:num w:numId="12">
    <w:abstractNumId w:val="11"/>
  </w:num>
  <w:num w:numId="13">
    <w:abstractNumId w:val="14"/>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48AB"/>
    <w:rsid w:val="0001186A"/>
    <w:rsid w:val="000207A9"/>
    <w:rsid w:val="000371E6"/>
    <w:rsid w:val="00056BA2"/>
    <w:rsid w:val="00072628"/>
    <w:rsid w:val="00072C80"/>
    <w:rsid w:val="000B3DEE"/>
    <w:rsid w:val="000B7673"/>
    <w:rsid w:val="000C66FA"/>
    <w:rsid w:val="000D5788"/>
    <w:rsid w:val="000E1D27"/>
    <w:rsid w:val="00112CC4"/>
    <w:rsid w:val="00144B17"/>
    <w:rsid w:val="001656D4"/>
    <w:rsid w:val="00174C97"/>
    <w:rsid w:val="00177284"/>
    <w:rsid w:val="00197ECF"/>
    <w:rsid w:val="001C3EFC"/>
    <w:rsid w:val="001C4C83"/>
    <w:rsid w:val="001D1F8D"/>
    <w:rsid w:val="001D4182"/>
    <w:rsid w:val="001F5E5A"/>
    <w:rsid w:val="0021689D"/>
    <w:rsid w:val="002478B5"/>
    <w:rsid w:val="002905FA"/>
    <w:rsid w:val="00295AD4"/>
    <w:rsid w:val="002C4D4A"/>
    <w:rsid w:val="002D2EC4"/>
    <w:rsid w:val="002F4F6A"/>
    <w:rsid w:val="002F6087"/>
    <w:rsid w:val="002F6212"/>
    <w:rsid w:val="002F65D4"/>
    <w:rsid w:val="0030116B"/>
    <w:rsid w:val="00301505"/>
    <w:rsid w:val="00314A5C"/>
    <w:rsid w:val="00343360"/>
    <w:rsid w:val="003506AB"/>
    <w:rsid w:val="003512B5"/>
    <w:rsid w:val="00370221"/>
    <w:rsid w:val="003759C9"/>
    <w:rsid w:val="003A4150"/>
    <w:rsid w:val="003A48A6"/>
    <w:rsid w:val="003B1FB1"/>
    <w:rsid w:val="003C5677"/>
    <w:rsid w:val="003D44A3"/>
    <w:rsid w:val="0040038A"/>
    <w:rsid w:val="00403858"/>
    <w:rsid w:val="00430326"/>
    <w:rsid w:val="004359A9"/>
    <w:rsid w:val="0044259F"/>
    <w:rsid w:val="00462708"/>
    <w:rsid w:val="004717AF"/>
    <w:rsid w:val="004936FD"/>
    <w:rsid w:val="004A0EDE"/>
    <w:rsid w:val="004B15F3"/>
    <w:rsid w:val="004E3B49"/>
    <w:rsid w:val="004F0B34"/>
    <w:rsid w:val="00507700"/>
    <w:rsid w:val="00512A40"/>
    <w:rsid w:val="0051706E"/>
    <w:rsid w:val="00526623"/>
    <w:rsid w:val="0056734E"/>
    <w:rsid w:val="005847AB"/>
    <w:rsid w:val="005A0741"/>
    <w:rsid w:val="005B5D23"/>
    <w:rsid w:val="005E764D"/>
    <w:rsid w:val="005F478D"/>
    <w:rsid w:val="006337E6"/>
    <w:rsid w:val="00635717"/>
    <w:rsid w:val="00637B50"/>
    <w:rsid w:val="00664A41"/>
    <w:rsid w:val="0067675E"/>
    <w:rsid w:val="006832F3"/>
    <w:rsid w:val="006B4733"/>
    <w:rsid w:val="006B5CDD"/>
    <w:rsid w:val="006F3811"/>
    <w:rsid w:val="00741193"/>
    <w:rsid w:val="00743EAA"/>
    <w:rsid w:val="007442F1"/>
    <w:rsid w:val="00746AD9"/>
    <w:rsid w:val="007663E6"/>
    <w:rsid w:val="0077679B"/>
    <w:rsid w:val="00786018"/>
    <w:rsid w:val="007960C9"/>
    <w:rsid w:val="007D03EA"/>
    <w:rsid w:val="00800A98"/>
    <w:rsid w:val="0081066A"/>
    <w:rsid w:val="008303EB"/>
    <w:rsid w:val="00833CED"/>
    <w:rsid w:val="008373ED"/>
    <w:rsid w:val="0088060C"/>
    <w:rsid w:val="00880AE9"/>
    <w:rsid w:val="00882769"/>
    <w:rsid w:val="0088630B"/>
    <w:rsid w:val="008C0B9B"/>
    <w:rsid w:val="008F23F4"/>
    <w:rsid w:val="008F5920"/>
    <w:rsid w:val="00912AC9"/>
    <w:rsid w:val="00922C8E"/>
    <w:rsid w:val="0092604E"/>
    <w:rsid w:val="00932820"/>
    <w:rsid w:val="00934C29"/>
    <w:rsid w:val="0095055B"/>
    <w:rsid w:val="0096438A"/>
    <w:rsid w:val="00965AF1"/>
    <w:rsid w:val="00970AE7"/>
    <w:rsid w:val="00992C47"/>
    <w:rsid w:val="009B312E"/>
    <w:rsid w:val="009B7182"/>
    <w:rsid w:val="009F6E73"/>
    <w:rsid w:val="00A24C6E"/>
    <w:rsid w:val="00A25D84"/>
    <w:rsid w:val="00A308D6"/>
    <w:rsid w:val="00A41018"/>
    <w:rsid w:val="00A623CC"/>
    <w:rsid w:val="00A733B2"/>
    <w:rsid w:val="00A85799"/>
    <w:rsid w:val="00A95EF4"/>
    <w:rsid w:val="00AA510C"/>
    <w:rsid w:val="00B03783"/>
    <w:rsid w:val="00B04DCB"/>
    <w:rsid w:val="00B10D7B"/>
    <w:rsid w:val="00B203A3"/>
    <w:rsid w:val="00B630A9"/>
    <w:rsid w:val="00B65B82"/>
    <w:rsid w:val="00B743BB"/>
    <w:rsid w:val="00BB53A9"/>
    <w:rsid w:val="00C0272B"/>
    <w:rsid w:val="00C21E28"/>
    <w:rsid w:val="00C308DF"/>
    <w:rsid w:val="00C5220A"/>
    <w:rsid w:val="00C63823"/>
    <w:rsid w:val="00C8433D"/>
    <w:rsid w:val="00CA7A26"/>
    <w:rsid w:val="00CB1F5F"/>
    <w:rsid w:val="00CD5977"/>
    <w:rsid w:val="00CE3A13"/>
    <w:rsid w:val="00D25E6D"/>
    <w:rsid w:val="00D2619B"/>
    <w:rsid w:val="00D45891"/>
    <w:rsid w:val="00D562F8"/>
    <w:rsid w:val="00D712E3"/>
    <w:rsid w:val="00DA3D45"/>
    <w:rsid w:val="00DB6FC9"/>
    <w:rsid w:val="00DB7383"/>
    <w:rsid w:val="00DE129B"/>
    <w:rsid w:val="00DE31E8"/>
    <w:rsid w:val="00DF40F6"/>
    <w:rsid w:val="00DF76EB"/>
    <w:rsid w:val="00E2076B"/>
    <w:rsid w:val="00E31CB7"/>
    <w:rsid w:val="00E348A7"/>
    <w:rsid w:val="00E45E3B"/>
    <w:rsid w:val="00E52106"/>
    <w:rsid w:val="00E61F73"/>
    <w:rsid w:val="00E72B46"/>
    <w:rsid w:val="00E82698"/>
    <w:rsid w:val="00E851DE"/>
    <w:rsid w:val="00EA3385"/>
    <w:rsid w:val="00EA514E"/>
    <w:rsid w:val="00EA73A8"/>
    <w:rsid w:val="00EB74AF"/>
    <w:rsid w:val="00EC1B5D"/>
    <w:rsid w:val="00F63625"/>
    <w:rsid w:val="00F6448C"/>
    <w:rsid w:val="00F911A3"/>
    <w:rsid w:val="00F96252"/>
    <w:rsid w:val="00FA1292"/>
    <w:rsid w:val="00FE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DAC2"/>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paragraph" w:styleId="Heading1">
    <w:name w:val="heading 1"/>
    <w:basedOn w:val="Normal"/>
    <w:next w:val="Normal"/>
    <w:link w:val="Heading1Char"/>
    <w:uiPriority w:val="9"/>
    <w:qFormat/>
    <w:rsid w:val="00400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40038A"/>
    <w:pPr>
      <w:keepNext w:val="0"/>
      <w:keepLines w:val="0"/>
      <w:spacing w:before="0" w:line="240" w:lineRule="auto"/>
      <w:outlineLvl w:val="1"/>
    </w:pPr>
    <w:rPr>
      <w:rFonts w:ascii="Calibri" w:eastAsia="Cambria" w:hAnsi="Calibri" w:cs="Times New Roman"/>
      <w:b/>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EAA"/>
    <w:rPr>
      <w:color w:val="0563C1" w:themeColor="hyperlink"/>
      <w:u w:val="single"/>
    </w:rPr>
  </w:style>
  <w:style w:type="paragraph" w:styleId="BalloonText">
    <w:name w:val="Balloon Text"/>
    <w:basedOn w:val="Normal"/>
    <w:link w:val="BalloonTextChar"/>
    <w:uiPriority w:val="99"/>
    <w:semiHidden/>
    <w:unhideWhenUsed/>
    <w:rsid w:val="00743EA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43EAA"/>
    <w:rPr>
      <w:rFonts w:ascii="Times New Roman" w:hAnsi="Times New Roman" w:cs="Times New Roman"/>
      <w:sz w:val="26"/>
      <w:szCs w:val="26"/>
      <w:lang w:val="fr-FR"/>
    </w:rPr>
  </w:style>
  <w:style w:type="character" w:styleId="CommentReference">
    <w:name w:val="annotation reference"/>
    <w:basedOn w:val="DefaultParagraphFont"/>
    <w:uiPriority w:val="99"/>
    <w:semiHidden/>
    <w:unhideWhenUsed/>
    <w:rsid w:val="002F6212"/>
    <w:rPr>
      <w:sz w:val="16"/>
      <w:szCs w:val="16"/>
    </w:rPr>
  </w:style>
  <w:style w:type="paragraph" w:styleId="CommentText">
    <w:name w:val="annotation text"/>
    <w:basedOn w:val="Normal"/>
    <w:link w:val="CommentTextChar"/>
    <w:uiPriority w:val="99"/>
    <w:semiHidden/>
    <w:unhideWhenUsed/>
    <w:rsid w:val="002F6212"/>
    <w:pPr>
      <w:spacing w:line="240" w:lineRule="auto"/>
    </w:pPr>
    <w:rPr>
      <w:sz w:val="20"/>
      <w:szCs w:val="20"/>
    </w:rPr>
  </w:style>
  <w:style w:type="character" w:customStyle="1" w:styleId="CommentTextChar">
    <w:name w:val="Comment Text Char"/>
    <w:basedOn w:val="DefaultParagraphFont"/>
    <w:link w:val="CommentText"/>
    <w:uiPriority w:val="99"/>
    <w:semiHidden/>
    <w:rsid w:val="002F6212"/>
    <w:rPr>
      <w:sz w:val="20"/>
      <w:szCs w:val="20"/>
      <w:lang w:val="fr-FR"/>
    </w:rPr>
  </w:style>
  <w:style w:type="paragraph" w:styleId="CommentSubject">
    <w:name w:val="annotation subject"/>
    <w:basedOn w:val="CommentText"/>
    <w:next w:val="CommentText"/>
    <w:link w:val="CommentSubjectChar"/>
    <w:uiPriority w:val="99"/>
    <w:semiHidden/>
    <w:unhideWhenUsed/>
    <w:rsid w:val="002F6212"/>
    <w:rPr>
      <w:b/>
      <w:bCs/>
    </w:rPr>
  </w:style>
  <w:style w:type="character" w:customStyle="1" w:styleId="CommentSubjectChar">
    <w:name w:val="Comment Subject Char"/>
    <w:basedOn w:val="CommentTextChar"/>
    <w:link w:val="CommentSubject"/>
    <w:uiPriority w:val="99"/>
    <w:semiHidden/>
    <w:rsid w:val="002F6212"/>
    <w:rPr>
      <w:b/>
      <w:bCs/>
      <w:sz w:val="20"/>
      <w:szCs w:val="20"/>
      <w:lang w:val="fr-FR"/>
    </w:rPr>
  </w:style>
  <w:style w:type="character" w:customStyle="1" w:styleId="name">
    <w:name w:val="name"/>
    <w:basedOn w:val="DefaultParagraphFont"/>
    <w:rsid w:val="00DB7383"/>
  </w:style>
  <w:style w:type="paragraph" w:styleId="Revision">
    <w:name w:val="Revision"/>
    <w:hidden/>
    <w:uiPriority w:val="99"/>
    <w:semiHidden/>
    <w:rsid w:val="00D25E6D"/>
    <w:rPr>
      <w:sz w:val="22"/>
      <w:szCs w:val="22"/>
    </w:rPr>
  </w:style>
  <w:style w:type="paragraph" w:styleId="EndnoteText">
    <w:name w:val="endnote text"/>
    <w:basedOn w:val="Normal"/>
    <w:link w:val="EndnoteTextChar"/>
    <w:uiPriority w:val="99"/>
    <w:unhideWhenUsed/>
    <w:rsid w:val="00880AE9"/>
    <w:pPr>
      <w:spacing w:after="0" w:line="240" w:lineRule="auto"/>
    </w:pPr>
    <w:rPr>
      <w:sz w:val="20"/>
      <w:szCs w:val="20"/>
    </w:rPr>
  </w:style>
  <w:style w:type="character" w:customStyle="1" w:styleId="EndnoteTextChar">
    <w:name w:val="Endnote Text Char"/>
    <w:basedOn w:val="DefaultParagraphFont"/>
    <w:link w:val="EndnoteText"/>
    <w:uiPriority w:val="99"/>
    <w:rsid w:val="00880AE9"/>
    <w:rPr>
      <w:sz w:val="20"/>
      <w:szCs w:val="20"/>
      <w:lang w:val="fr-FR"/>
    </w:rPr>
  </w:style>
  <w:style w:type="character" w:styleId="EndnoteReference">
    <w:name w:val="endnote reference"/>
    <w:basedOn w:val="DefaultParagraphFont"/>
    <w:uiPriority w:val="99"/>
    <w:unhideWhenUsed/>
    <w:rsid w:val="00880AE9"/>
    <w:rPr>
      <w:vertAlign w:val="superscript"/>
    </w:rPr>
  </w:style>
  <w:style w:type="character" w:customStyle="1" w:styleId="Heading2Char">
    <w:name w:val="Heading 2 Char"/>
    <w:basedOn w:val="DefaultParagraphFont"/>
    <w:link w:val="Heading2"/>
    <w:uiPriority w:val="9"/>
    <w:rsid w:val="0040038A"/>
    <w:rPr>
      <w:rFonts w:ascii="Calibri" w:eastAsia="Cambria" w:hAnsi="Calibri" w:cs="Times New Roman"/>
      <w:b/>
      <w:color w:val="C00000"/>
      <w:lang w:val="fr-FR"/>
    </w:rPr>
  </w:style>
  <w:style w:type="character" w:customStyle="1" w:styleId="Heading1Char">
    <w:name w:val="Heading 1 Char"/>
    <w:basedOn w:val="DefaultParagraphFont"/>
    <w:link w:val="Heading1"/>
    <w:uiPriority w:val="9"/>
    <w:rsid w:val="0040038A"/>
    <w:rPr>
      <w:rFonts w:asciiTheme="majorHAnsi" w:eastAsiaTheme="majorEastAsia" w:hAnsiTheme="majorHAnsi" w:cstheme="majorBidi"/>
      <w:color w:val="2F5496" w:themeColor="accent1" w:themeShade="BF"/>
      <w:sz w:val="32"/>
      <w:szCs w:val="32"/>
      <w:lang w:val="fr-FR"/>
    </w:rPr>
  </w:style>
  <w:style w:type="character" w:customStyle="1" w:styleId="Hyperlink13">
    <w:name w:val="Hyperlink.13"/>
    <w:rsid w:val="0088630B"/>
    <w:rPr>
      <w:color w:val="0432FF"/>
      <w:u w:val="single" w:color="0000FF"/>
    </w:rPr>
  </w:style>
  <w:style w:type="character" w:styleId="FollowedHyperlink">
    <w:name w:val="FollowedHyperlink"/>
    <w:basedOn w:val="DefaultParagraphFont"/>
    <w:uiPriority w:val="99"/>
    <w:semiHidden/>
    <w:unhideWhenUsed/>
    <w:rsid w:val="00B63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5656">
      <w:bodyDiv w:val="1"/>
      <w:marLeft w:val="0"/>
      <w:marRight w:val="0"/>
      <w:marTop w:val="0"/>
      <w:marBottom w:val="0"/>
      <w:divBdr>
        <w:top w:val="none" w:sz="0" w:space="0" w:color="auto"/>
        <w:left w:val="none" w:sz="0" w:space="0" w:color="auto"/>
        <w:bottom w:val="none" w:sz="0" w:space="0" w:color="auto"/>
        <w:right w:val="none" w:sz="0" w:space="0" w:color="auto"/>
      </w:divBdr>
    </w:div>
    <w:div w:id="1398241736">
      <w:bodyDiv w:val="1"/>
      <w:marLeft w:val="0"/>
      <w:marRight w:val="0"/>
      <w:marTop w:val="0"/>
      <w:marBottom w:val="0"/>
      <w:divBdr>
        <w:top w:val="none" w:sz="0" w:space="0" w:color="auto"/>
        <w:left w:val="none" w:sz="0" w:space="0" w:color="auto"/>
        <w:bottom w:val="none" w:sz="0" w:space="0" w:color="auto"/>
        <w:right w:val="none" w:sz="0" w:space="0" w:color="auto"/>
      </w:divBdr>
      <w:divsChild>
        <w:div w:id="1621256935">
          <w:marLeft w:val="0"/>
          <w:marRight w:val="0"/>
          <w:marTop w:val="0"/>
          <w:marBottom w:val="0"/>
          <w:divBdr>
            <w:top w:val="none" w:sz="0" w:space="0" w:color="auto"/>
            <w:left w:val="none" w:sz="0" w:space="0" w:color="auto"/>
            <w:bottom w:val="none" w:sz="0" w:space="0" w:color="auto"/>
            <w:right w:val="none" w:sz="0" w:space="0" w:color="auto"/>
          </w:divBdr>
        </w:div>
        <w:div w:id="1060591820">
          <w:marLeft w:val="0"/>
          <w:marRight w:val="0"/>
          <w:marTop w:val="0"/>
          <w:marBottom w:val="0"/>
          <w:divBdr>
            <w:top w:val="none" w:sz="0" w:space="0" w:color="auto"/>
            <w:left w:val="none" w:sz="0" w:space="0" w:color="auto"/>
            <w:bottom w:val="none" w:sz="0" w:space="0" w:color="auto"/>
            <w:right w:val="none" w:sz="0" w:space="0" w:color="auto"/>
          </w:divBdr>
        </w:div>
        <w:div w:id="1049457120">
          <w:marLeft w:val="0"/>
          <w:marRight w:val="0"/>
          <w:marTop w:val="0"/>
          <w:marBottom w:val="0"/>
          <w:divBdr>
            <w:top w:val="none" w:sz="0" w:space="0" w:color="auto"/>
            <w:left w:val="none" w:sz="0" w:space="0" w:color="auto"/>
            <w:bottom w:val="none" w:sz="0" w:space="0" w:color="auto"/>
            <w:right w:val="none" w:sz="0" w:space="0" w:color="auto"/>
          </w:divBdr>
        </w:div>
        <w:div w:id="1044912106">
          <w:marLeft w:val="0"/>
          <w:marRight w:val="0"/>
          <w:marTop w:val="0"/>
          <w:marBottom w:val="0"/>
          <w:divBdr>
            <w:top w:val="none" w:sz="0" w:space="0" w:color="auto"/>
            <w:left w:val="none" w:sz="0" w:space="0" w:color="auto"/>
            <w:bottom w:val="none" w:sz="0" w:space="0" w:color="auto"/>
            <w:right w:val="none" w:sz="0" w:space="0" w:color="auto"/>
          </w:divBdr>
        </w:div>
        <w:div w:id="19854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2A58-E2E4-46CD-A4B9-D04A9C19681D}"/>
</file>

<file path=customXml/itemProps2.xml><?xml version="1.0" encoding="utf-8"?>
<ds:datastoreItem xmlns:ds="http://schemas.openxmlformats.org/officeDocument/2006/customXml" ds:itemID="{6D1738C7-18DE-4270-B571-486683CB34A4}">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741AEBEA-9962-4116-91B5-0126C47BBE70}">
  <ds:schemaRefs>
    <ds:schemaRef ds:uri="http://schemas.microsoft.com/sharepoint/v3/contenttype/forms"/>
  </ds:schemaRefs>
</ds:datastoreItem>
</file>

<file path=customXml/itemProps4.xml><?xml version="1.0" encoding="utf-8"?>
<ds:datastoreItem xmlns:ds="http://schemas.openxmlformats.org/officeDocument/2006/customXml" ds:itemID="{2F906E25-537C-4122-9871-DA926486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2020-08-24T13:55:00Z</dcterms:created>
  <dcterms:modified xsi:type="dcterms:W3CDTF">2020-08-24T13:55:00Z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