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64636" w14:textId="77777777" w:rsidR="002758CD" w:rsidRPr="00923056" w:rsidRDefault="002758CD" w:rsidP="002758CD">
      <w:pPr>
        <w:jc w:val="center"/>
        <w:rPr>
          <w:rFonts w:cstheme="minorHAnsi"/>
          <w:b/>
          <w:sz w:val="18"/>
          <w:szCs w:val="18"/>
        </w:rPr>
      </w:pPr>
      <w:r>
        <w:rPr>
          <w:b/>
          <w:bCs/>
          <w:sz w:val="18"/>
          <w:szCs w:val="18"/>
        </w:rPr>
        <w:t>Artículo 27 - Indicadores sobre trabajo y el empleo</w:t>
      </w:r>
    </w:p>
    <w:p w14:paraId="60D047E4" w14:textId="77777777" w:rsidR="002758CD" w:rsidRPr="00923056" w:rsidRDefault="002758CD" w:rsidP="002758C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Derecho a ganarse la vida mediante un trabajo elegido libremente en un mercado y un entorno laboral abierto, inclusivo y accesible</w:t>
      </w:r>
    </w:p>
    <w:p w14:paraId="37B43A0F" w14:textId="75E48937" w:rsidR="002758CD" w:rsidRPr="00923056" w:rsidRDefault="002758CD" w:rsidP="002758CD">
      <w:pPr>
        <w:rPr>
          <w:b/>
          <w:sz w:val="18"/>
          <w:szCs w:val="18"/>
        </w:rPr>
      </w:pPr>
      <w:r>
        <w:rPr>
          <w:b/>
          <w:sz w:val="18"/>
          <w:szCs w:val="18"/>
        </w:rPr>
        <w:t>Atributos</w:t>
      </w:r>
    </w:p>
    <w:p w14:paraId="18242E10" w14:textId="77777777" w:rsidR="002758CD" w:rsidRPr="002758CD" w:rsidRDefault="002758CD" w:rsidP="002758CD">
      <w:pPr>
        <w:pStyle w:val="Paragraphedeliste"/>
        <w:numPr>
          <w:ilvl w:val="0"/>
          <w:numId w:val="19"/>
        </w:numPr>
        <w:rPr>
          <w:b/>
          <w:sz w:val="18"/>
          <w:szCs w:val="18"/>
        </w:rPr>
      </w:pPr>
      <w:r w:rsidRPr="002758CD">
        <w:rPr>
          <w:b/>
          <w:sz w:val="18"/>
          <w:szCs w:val="18"/>
        </w:rPr>
        <w:t>Acceso a empleo y trabajo decente</w:t>
      </w:r>
    </w:p>
    <w:p w14:paraId="3F07E2C5" w14:textId="77777777" w:rsidR="002758CD" w:rsidRPr="002758CD" w:rsidRDefault="002758CD" w:rsidP="002758CD">
      <w:pPr>
        <w:pStyle w:val="Paragraphedeliste"/>
        <w:numPr>
          <w:ilvl w:val="0"/>
          <w:numId w:val="19"/>
        </w:numPr>
        <w:rPr>
          <w:b/>
          <w:sz w:val="18"/>
          <w:szCs w:val="18"/>
        </w:rPr>
      </w:pPr>
      <w:r w:rsidRPr="002758CD">
        <w:rPr>
          <w:b/>
          <w:sz w:val="18"/>
          <w:szCs w:val="18"/>
        </w:rPr>
        <w:t>Igualdad de oportunidades en el lugar de trabajo</w:t>
      </w:r>
    </w:p>
    <w:p w14:paraId="2C9379EE" w14:textId="77777777" w:rsidR="002758CD" w:rsidRPr="002758CD" w:rsidRDefault="002758CD" w:rsidP="002758CD">
      <w:pPr>
        <w:pStyle w:val="Paragraphedeliste"/>
        <w:numPr>
          <w:ilvl w:val="0"/>
          <w:numId w:val="19"/>
        </w:numPr>
        <w:rPr>
          <w:b/>
          <w:sz w:val="18"/>
          <w:szCs w:val="18"/>
        </w:rPr>
      </w:pPr>
      <w:r w:rsidRPr="002758CD">
        <w:rPr>
          <w:b/>
          <w:sz w:val="18"/>
          <w:szCs w:val="18"/>
        </w:rPr>
        <w:t>Protección contra el trabajo forzoso u obligatorio</w:t>
      </w:r>
    </w:p>
    <w:p w14:paraId="0FEBCE9F" w14:textId="77777777" w:rsidR="002758CD" w:rsidRDefault="002758CD" w:rsidP="002758CD">
      <w:pPr>
        <w:pStyle w:val="Paragraphedeliste"/>
        <w:ind w:left="0"/>
        <w:rPr>
          <w:b/>
          <w:sz w:val="18"/>
          <w:szCs w:val="18"/>
        </w:rPr>
      </w:pPr>
    </w:p>
    <w:p w14:paraId="30B97B8D" w14:textId="2E1B2DC3" w:rsidR="002758CD" w:rsidRPr="00923056" w:rsidRDefault="002758CD" w:rsidP="002758CD">
      <w:pPr>
        <w:pStyle w:val="Paragraphedeliste"/>
        <w:ind w:left="0"/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Estructura</w:t>
      </w:r>
    </w:p>
    <w:p w14:paraId="56C58CC3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27.1 Legislación promulgada relativa a todos los aspectos del trabajo, empleo y formación y servicios de empleo que sean inclusivos de las personas con discapacidad</w:t>
      </w:r>
      <w:r w:rsidRPr="00923056">
        <w:rPr>
          <w:rStyle w:val="Appeldenotedefin"/>
          <w:rFonts w:cstheme="minorHAnsi"/>
          <w:sz w:val="18"/>
          <w:szCs w:val="18"/>
        </w:rPr>
        <w:endnoteReference w:id="1"/>
      </w:r>
      <w:r>
        <w:rPr>
          <w:sz w:val="18"/>
          <w:szCs w:val="18"/>
        </w:rPr>
        <w:t>.</w:t>
      </w:r>
    </w:p>
    <w:p w14:paraId="73B60C0C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27.2 Ausencia de disposiciones en la legislación o en los reglamentos que restrinjan directa o indirectamente el empleo por motivos de discapacidad</w:t>
      </w:r>
      <w:r w:rsidRPr="00923056">
        <w:rPr>
          <w:rStyle w:val="Appeldenotedefin"/>
          <w:rFonts w:cstheme="minorHAnsi"/>
          <w:sz w:val="18"/>
          <w:szCs w:val="18"/>
        </w:rPr>
        <w:endnoteReference w:id="2"/>
      </w:r>
      <w:r>
        <w:rPr>
          <w:sz w:val="18"/>
          <w:szCs w:val="18"/>
        </w:rPr>
        <w:t>.</w:t>
      </w:r>
    </w:p>
    <w:p w14:paraId="29F92830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27.3 Adopción de un plan nacional (general o específico para las personas con discapacidad) que promueva la formación vocacional inclusiva para las personas con discapacidad.</w:t>
      </w:r>
    </w:p>
    <w:p w14:paraId="56878EC8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27.4 Adopción de una estrategia o plan nacional integrales de empleo (general o específico para personas con discapacidad) para promover el empleo de las personas con discapacidad en el sector público y privado</w:t>
      </w:r>
      <w:r w:rsidRPr="00923056">
        <w:rPr>
          <w:rStyle w:val="Appeldenotedefin"/>
          <w:rFonts w:cstheme="minorHAnsi"/>
          <w:sz w:val="18"/>
          <w:szCs w:val="18"/>
        </w:rPr>
        <w:endnoteReference w:id="3"/>
      </w:r>
      <w:r>
        <w:rPr>
          <w:sz w:val="18"/>
          <w:szCs w:val="18"/>
        </w:rPr>
        <w:t>.</w:t>
      </w:r>
    </w:p>
    <w:p w14:paraId="297D643A" w14:textId="77777777" w:rsidR="002758CD" w:rsidRPr="00923056" w:rsidRDefault="002758CD" w:rsidP="002758CD">
      <w:pPr>
        <w:rPr>
          <w:rFonts w:eastAsia="Times New Roman" w:cstheme="minorHAnsi"/>
          <w:sz w:val="18"/>
          <w:szCs w:val="18"/>
        </w:rPr>
      </w:pPr>
      <w:r>
        <w:rPr>
          <w:sz w:val="18"/>
          <w:szCs w:val="18"/>
        </w:rPr>
        <w:t>27.5 Asistencia técnica y financiera para empleadores, empleados y sindicatos sobre la provisión de ajustes razonables en el lugar de trabajo y para hacer que los entornos y las comunicaciones en el trabajo sean accesibles</w:t>
      </w:r>
      <w:r w:rsidRPr="00923056">
        <w:rPr>
          <w:rStyle w:val="Appeldenotedefin"/>
          <w:rFonts w:eastAsia="Times New Roman" w:cstheme="minorHAnsi"/>
          <w:color w:val="000000"/>
          <w:sz w:val="18"/>
          <w:szCs w:val="18"/>
        </w:rPr>
        <w:endnoteReference w:id="4"/>
      </w:r>
      <w:r>
        <w:rPr>
          <w:sz w:val="18"/>
          <w:szCs w:val="18"/>
        </w:rPr>
        <w:t xml:space="preserve">. </w:t>
      </w:r>
    </w:p>
    <w:p w14:paraId="4A7AC92E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27.6 Los sistemas de protección social que brindan prestaciones a las personas con discapacidad no operan como desincentivos y son compatibles con el trabajo y el empleo</w:t>
      </w:r>
      <w:r>
        <w:rPr>
          <w:rStyle w:val="Appeldenotedefin"/>
          <w:rFonts w:cstheme="minorHAnsi"/>
          <w:sz w:val="18"/>
          <w:szCs w:val="18"/>
        </w:rPr>
        <w:endnoteReference w:id="5"/>
      </w:r>
      <w:r>
        <w:rPr>
          <w:sz w:val="18"/>
          <w:szCs w:val="18"/>
        </w:rPr>
        <w:t>.</w:t>
      </w:r>
    </w:p>
    <w:p w14:paraId="6384C7D2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27.7 Estándares nacionales de accesibilidad adoptadas y aplicadas a los lugares de trabajo.</w:t>
      </w:r>
    </w:p>
    <w:p w14:paraId="77F2A285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27.8 Las leyes y políticas nacionales de género relacionadas con el trabajo y el empleo incluyen a las mujeres con discapacidad.</w:t>
      </w:r>
    </w:p>
    <w:p w14:paraId="3251C35A" w14:textId="77777777" w:rsidR="002758CD" w:rsidRDefault="002758CD" w:rsidP="002758CD">
      <w:pPr>
        <w:rPr>
          <w:sz w:val="18"/>
          <w:szCs w:val="18"/>
        </w:rPr>
      </w:pPr>
      <w:r>
        <w:rPr>
          <w:sz w:val="18"/>
          <w:szCs w:val="18"/>
        </w:rPr>
        <w:t>27.9 Toda la legislación y las políticas promulgadas para combatir el trabajo forzoso u obligatorio es inclusivo de las personas con discapacidad.</w:t>
      </w:r>
    </w:p>
    <w:p w14:paraId="345B6396" w14:textId="0D91108F" w:rsidR="002758CD" w:rsidRPr="002758CD" w:rsidRDefault="002758CD" w:rsidP="002758CD">
      <w:pPr>
        <w:rPr>
          <w:rFonts w:cstheme="minorHAnsi"/>
          <w:sz w:val="18"/>
          <w:szCs w:val="18"/>
        </w:rPr>
      </w:pPr>
      <w:r w:rsidRPr="003B49B2">
        <w:rPr>
          <w:rFonts w:cstheme="minorHAnsi"/>
          <w:sz w:val="18"/>
          <w:szCs w:val="18"/>
        </w:rPr>
        <w:t xml:space="preserve">27.10 </w:t>
      </w:r>
      <w:r>
        <w:t xml:space="preserve"> </w:t>
      </w:r>
      <w:r w:rsidRPr="00DB576A">
        <w:rPr>
          <w:rFonts w:cstheme="minorHAnsi"/>
          <w:sz w:val="18"/>
          <w:szCs w:val="18"/>
        </w:rPr>
        <w:t xml:space="preserve">Toda la legislación promulgada y las políticas para prohibir y eliminar las peores formas de trabajo infantil </w:t>
      </w:r>
      <w:r>
        <w:rPr>
          <w:rFonts w:cstheme="minorHAnsi"/>
          <w:sz w:val="18"/>
          <w:szCs w:val="18"/>
        </w:rPr>
        <w:t>son inclusivas hacia los niños con discapacidad</w:t>
      </w:r>
      <w:r>
        <w:rPr>
          <w:rStyle w:val="Appeldenotedefin"/>
          <w:rFonts w:cstheme="minorHAnsi"/>
          <w:sz w:val="18"/>
          <w:szCs w:val="18"/>
        </w:rPr>
        <w:endnoteReference w:id="6"/>
      </w:r>
      <w:r>
        <w:rPr>
          <w:rFonts w:cstheme="minorHAnsi"/>
          <w:sz w:val="18"/>
          <w:szCs w:val="18"/>
        </w:rPr>
        <w:t>.</w:t>
      </w:r>
    </w:p>
    <w:p w14:paraId="310843FD" w14:textId="77777777" w:rsidR="002758CD" w:rsidRPr="00923056" w:rsidRDefault="002758CD" w:rsidP="002758CD">
      <w:pPr>
        <w:rPr>
          <w:rFonts w:cstheme="minorHAnsi"/>
          <w:strike/>
          <w:sz w:val="18"/>
          <w:szCs w:val="18"/>
        </w:rPr>
      </w:pPr>
      <w:r>
        <w:rPr>
          <w:sz w:val="18"/>
          <w:szCs w:val="18"/>
        </w:rPr>
        <w:t>27.11 Requisito legal de presentar informes periódicos sobre los resultados del empleo y el uso de servicios relativos, desagregados por discapacidad, sexo y edad.</w:t>
      </w:r>
    </w:p>
    <w:p w14:paraId="3A159221" w14:textId="77777777" w:rsidR="002758CD" w:rsidRDefault="002758CD" w:rsidP="002758CD">
      <w:pPr>
        <w:rPr>
          <w:b/>
          <w:sz w:val="18"/>
          <w:szCs w:val="18"/>
        </w:rPr>
      </w:pPr>
    </w:p>
    <w:p w14:paraId="1B6BEA54" w14:textId="1B368238" w:rsidR="002758CD" w:rsidRPr="002758CD" w:rsidRDefault="002758CD" w:rsidP="002758CD">
      <w:pPr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Proceso</w:t>
      </w:r>
    </w:p>
    <w:p w14:paraId="01F68FEF" w14:textId="2D78B1CA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27.12 Número y porcentaje de personas, desagregadas por edad, sexo y discapacidad, inscritas en: formación vocacional, servicios de empleo, programas de transición de la escuela al trabajo, aprendizaje permanente, programas de reincorporación al trabajo y/o programas de fomento del emprendimiento, creación de empresas, desarrollo de cooperativas, etc.</w:t>
      </w:r>
    </w:p>
    <w:p w14:paraId="6AFC81DD" w14:textId="77777777" w:rsidR="002758CD" w:rsidRPr="00923056" w:rsidRDefault="002758CD" w:rsidP="002758CD">
      <w:pPr>
        <w:rPr>
          <w:sz w:val="18"/>
          <w:szCs w:val="18"/>
        </w:rPr>
      </w:pPr>
      <w:r>
        <w:rPr>
          <w:sz w:val="18"/>
          <w:szCs w:val="18"/>
        </w:rPr>
        <w:t xml:space="preserve">27.13 Número y porcentaje de personas, desagregadas por edad, sexo y discapacidad, que se benefician de cada una de las siguientes medidas: capacitación laboral, prácticas y pasantías, </w:t>
      </w:r>
      <w:r w:rsidRPr="001F63A4">
        <w:rPr>
          <w:sz w:val="18"/>
          <w:szCs w:val="18"/>
        </w:rPr>
        <w:t>programas de reincorporación laboral</w:t>
      </w:r>
      <w:r>
        <w:rPr>
          <w:sz w:val="18"/>
          <w:szCs w:val="18"/>
        </w:rPr>
        <w:t xml:space="preserve">, proyectos y programas de </w:t>
      </w:r>
      <w:proofErr w:type="spellStart"/>
      <w:r>
        <w:rPr>
          <w:sz w:val="18"/>
          <w:szCs w:val="18"/>
        </w:rPr>
        <w:t>microfinanciación</w:t>
      </w:r>
      <w:proofErr w:type="spellEnd"/>
      <w:r>
        <w:rPr>
          <w:rStyle w:val="Appeldenotedefin"/>
          <w:rFonts w:cstheme="minorHAnsi"/>
          <w:sz w:val="18"/>
          <w:szCs w:val="18"/>
        </w:rPr>
        <w:endnoteReference w:id="7"/>
      </w:r>
      <w:r>
        <w:rPr>
          <w:sz w:val="18"/>
          <w:szCs w:val="18"/>
        </w:rPr>
        <w:t>, y empleo mediante medidas de acción afirmativa</w:t>
      </w:r>
      <w:r w:rsidRPr="00923056">
        <w:rPr>
          <w:rStyle w:val="Appeldenotedefin"/>
          <w:rFonts w:cstheme="minorHAnsi"/>
          <w:sz w:val="18"/>
          <w:szCs w:val="18"/>
        </w:rPr>
        <w:endnoteReference w:id="8"/>
      </w:r>
      <w:r>
        <w:rPr>
          <w:sz w:val="18"/>
          <w:szCs w:val="18"/>
        </w:rPr>
        <w:t xml:space="preserve"> tanto en el sector público como en el privado. </w:t>
      </w:r>
    </w:p>
    <w:p w14:paraId="740EE469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27.14 Proporción de tiempo dedicado al trabajo doméstico y de cuidado no remunerados, desagregado por sexo, edad y ubicación (Indicador 5.4.1 de los ODS) y por discapacidad.</w:t>
      </w:r>
    </w:p>
    <w:p w14:paraId="399C2AF8" w14:textId="3C036CD0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>27.15 Número y proporción del personal (público y privado) de los servicios de empleo, formación vocacional y micro financiamiento, con capacitación en derechos de las personas con discapacidad, incluyendo la provisión de ajustes razonables.</w:t>
      </w:r>
    </w:p>
    <w:p w14:paraId="3729452F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27.16 Campaña y actividades de toma de conciencia para promover la inclusión e informar a los empleadores y a los individuos sobre sus derechos y responsabilidades en tanto se relacionen con el empleo y los servicios de empleo. </w:t>
      </w:r>
    </w:p>
    <w:p w14:paraId="454FF4CA" w14:textId="77777777" w:rsidR="002758CD" w:rsidRPr="00923056" w:rsidRDefault="002758CD" w:rsidP="002758CD">
      <w:pPr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27.17 Procesos de consulta llevados a cabo para asegurar la participación activa de las personas con discapacidad, </w:t>
      </w:r>
      <w:r w:rsidRPr="001F63A4">
        <w:rPr>
          <w:color w:val="444444"/>
          <w:sz w:val="18"/>
          <w:szCs w:val="18"/>
        </w:rPr>
        <w:t>incluyendo a</w:t>
      </w:r>
      <w:r>
        <w:rPr>
          <w:sz w:val="18"/>
          <w:szCs w:val="18"/>
        </w:rPr>
        <w:t xml:space="preserve"> las organizaciones que las representan, en el diseño, la implementación y el monitoreo de leyes, reglamentos, políticas y programas, en relación a cualquier iniciativas de empleo</w:t>
      </w:r>
      <w:r w:rsidRPr="00923056">
        <w:rPr>
          <w:rStyle w:val="Appeldenotedefin"/>
          <w:rFonts w:cstheme="minorHAnsi"/>
          <w:sz w:val="18"/>
          <w:szCs w:val="18"/>
        </w:rPr>
        <w:endnoteReference w:id="9"/>
      </w:r>
      <w:r>
        <w:rPr>
          <w:color w:val="000000"/>
          <w:sz w:val="18"/>
          <w:szCs w:val="18"/>
        </w:rPr>
        <w:t>.</w:t>
      </w:r>
    </w:p>
    <w:p w14:paraId="276EC59F" w14:textId="752BABEE" w:rsidR="002758CD" w:rsidRDefault="002758CD" w:rsidP="002758CD">
      <w:pPr>
        <w:rPr>
          <w:sz w:val="18"/>
          <w:szCs w:val="18"/>
        </w:rPr>
      </w:pPr>
      <w:r>
        <w:rPr>
          <w:sz w:val="18"/>
          <w:szCs w:val="18"/>
        </w:rPr>
        <w:t xml:space="preserve">27.18 Proporción de denuncias recibidas sobre derecho al trabajo y al empleo en las que se alegue discriminación por motivos de discapacidad y/o en las que estén implicadas personas con discapacidad que han sido investigadas y resueltas; proporción de las mismas resueltas a favor del denunciante, y proporción de estas últimas cumplidas por el gobierno o el responsable; todas ellas desagregadas por tipo de mecanismo. </w:t>
      </w:r>
    </w:p>
    <w:p w14:paraId="276FB68F" w14:textId="77777777" w:rsidR="002758CD" w:rsidRPr="00923056" w:rsidRDefault="002758CD" w:rsidP="002758CD">
      <w:pPr>
        <w:rPr>
          <w:rFonts w:cstheme="minorHAnsi"/>
          <w:sz w:val="18"/>
          <w:szCs w:val="18"/>
        </w:rPr>
      </w:pPr>
    </w:p>
    <w:p w14:paraId="5FA02F3D" w14:textId="3C0A60AD" w:rsidR="002758CD" w:rsidRPr="00923056" w:rsidRDefault="002758CD" w:rsidP="002758CD">
      <w:pPr>
        <w:rPr>
          <w:rFonts w:cstheme="minorHAnsi"/>
          <w:b/>
          <w:sz w:val="18"/>
          <w:szCs w:val="18"/>
        </w:rPr>
      </w:pPr>
      <w:r>
        <w:rPr>
          <w:b/>
          <w:sz w:val="18"/>
          <w:szCs w:val="18"/>
        </w:rPr>
        <w:t>Indicadores de Resultado</w:t>
      </w:r>
    </w:p>
    <w:p w14:paraId="1F412622" w14:textId="77777777" w:rsidR="002758CD" w:rsidRPr="00923056" w:rsidRDefault="002758CD" w:rsidP="002758CD">
      <w:pPr>
        <w:rPr>
          <w:sz w:val="18"/>
          <w:szCs w:val="18"/>
        </w:rPr>
      </w:pPr>
      <w:r>
        <w:rPr>
          <w:sz w:val="18"/>
          <w:szCs w:val="18"/>
        </w:rPr>
        <w:t>27.19 Tasa de empleo de personas con discapacidad en comparación con otras personas y con la tasa de empleo general, desagregada por tipo de empleo (público, privado, independiente) y tipo de posición (por ejemplo, gerencial/administrativo), sexo, edad y discapacidad.</w:t>
      </w:r>
    </w:p>
    <w:p w14:paraId="21609A34" w14:textId="77777777" w:rsidR="002758CD" w:rsidRPr="00F0620D" w:rsidRDefault="002758CD" w:rsidP="002758CD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27.20 Tasa de desempleo de personas con discapacidad en comparación con otras personas y con la tasa de desempleo general, desagregado por edad, sexo y discapacidad (basado en el indicador ODS 8.5.2).</w:t>
      </w:r>
    </w:p>
    <w:p w14:paraId="12088B0B" w14:textId="77777777" w:rsidR="002758CD" w:rsidRDefault="002758CD" w:rsidP="002758CD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27.21 Tasa de personas con discapacidad económicamente inactivas en comparación con las demás personas y con la población económicamente inactiva en general, desagregado por edad, sexo y discapacidad.</w:t>
      </w:r>
    </w:p>
    <w:p w14:paraId="6CCAE9C7" w14:textId="77777777" w:rsidR="002758CD" w:rsidRPr="00923056" w:rsidRDefault="002758CD" w:rsidP="002758CD">
      <w:pPr>
        <w:jc w:val="both"/>
        <w:rPr>
          <w:sz w:val="18"/>
          <w:szCs w:val="18"/>
        </w:rPr>
      </w:pPr>
      <w:r>
        <w:rPr>
          <w:sz w:val="18"/>
          <w:szCs w:val="18"/>
        </w:rPr>
        <w:t>27.22 Proporción de mujeres en posiciones de dirección (indicador 5.5.2 de los ODS), desagregada por edad y discapacidad.</w:t>
      </w:r>
    </w:p>
    <w:p w14:paraId="3F776DC1" w14:textId="77777777" w:rsidR="002758CD" w:rsidRPr="00923056" w:rsidRDefault="002758CD" w:rsidP="002758CD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27.23 Porcentaje de personas con discapacidad que participan en la economía del sector informal en comparación con otras personas y con la tasa general, desagregadas por edad, sexo y discapacidad.</w:t>
      </w:r>
    </w:p>
    <w:p w14:paraId="63BA65B2" w14:textId="77777777" w:rsidR="002758CD" w:rsidRPr="00F0620D" w:rsidRDefault="002758CD" w:rsidP="002758CD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27.24 Porcentaje de personas con discapacidad en empleos a tiempo parcial y temporales en comparación con otras personas y con la tasa global, desglosadas por edad, sexo y discapacidad.</w:t>
      </w:r>
    </w:p>
    <w:p w14:paraId="00DC3CAD" w14:textId="77777777" w:rsidR="002758CD" w:rsidRPr="00923056" w:rsidRDefault="002758CD" w:rsidP="002758CD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27.25 Ingreso medio por hora de empleados mujeres y hombres, por ocupación, edad y personas con discapacidad (indicador ODS 8.5.1)</w:t>
      </w:r>
      <w:r w:rsidRPr="00177DB2">
        <w:rPr>
          <w:rStyle w:val="Appeldenotedefin"/>
          <w:rFonts w:cstheme="minorHAnsi"/>
          <w:sz w:val="18"/>
          <w:szCs w:val="18"/>
          <w:lang w:val="en-GB"/>
        </w:rPr>
        <w:endnoteReference w:id="10"/>
      </w:r>
      <w:r>
        <w:rPr>
          <w:sz w:val="18"/>
          <w:szCs w:val="18"/>
        </w:rPr>
        <w:t>.</w:t>
      </w:r>
    </w:p>
    <w:p w14:paraId="1C10789D" w14:textId="77777777" w:rsidR="002758CD" w:rsidRPr="00F0620D" w:rsidRDefault="002758CD" w:rsidP="002758CD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27.26 Número y porcentaje de personas en trabajo forzoso u obligatorio, desagregadas por edad, sexo y discapacidad.</w:t>
      </w:r>
    </w:p>
    <w:p w14:paraId="0225CEAA" w14:textId="442EEB3B" w:rsidR="002758CD" w:rsidRPr="00923056" w:rsidRDefault="002758CD" w:rsidP="002758CD">
      <w:p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27.27 Número y porcentaje de personas con discapacidad dentro de la población total de personas activas con discapacidad que trabajan fuera del mercado laboral abierto</w:t>
      </w:r>
      <w:r>
        <w:rPr>
          <w:rStyle w:val="Appeldenotedefin"/>
          <w:rFonts w:cstheme="minorHAnsi"/>
          <w:sz w:val="18"/>
          <w:szCs w:val="18"/>
        </w:rPr>
        <w:endnoteReference w:id="11"/>
      </w:r>
      <w:r>
        <w:rPr>
          <w:sz w:val="18"/>
          <w:szCs w:val="18"/>
        </w:rPr>
        <w:t>.</w:t>
      </w:r>
    </w:p>
    <w:p w14:paraId="2B6B6D14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0117274C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4947C40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055CD1A" w14:textId="77777777" w:rsidR="00862FC4" w:rsidRDefault="00862FC4" w:rsidP="00862FC4">
      <w:pPr>
        <w:jc w:val="center"/>
        <w:rPr>
          <w:rFonts w:cstheme="minorHAnsi"/>
          <w:b/>
          <w:sz w:val="18"/>
          <w:szCs w:val="18"/>
        </w:rPr>
      </w:pPr>
    </w:p>
    <w:p w14:paraId="1D8C4919" w14:textId="14C2F011" w:rsidR="00DE431B" w:rsidRPr="002047FC" w:rsidRDefault="0065051C" w:rsidP="00862FC4">
      <w:pPr>
        <w:jc w:val="center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ANEXO</w:t>
      </w:r>
    </w:p>
    <w:sectPr w:rsidR="00DE431B" w:rsidRPr="002047FC" w:rsidSect="0031075F">
      <w:footnotePr>
        <w:pos w:val="beneathText"/>
      </w:footnotePr>
      <w:pgSz w:w="15840" w:h="12240" w:orient="landscape"/>
      <w:pgMar w:top="284" w:right="284" w:bottom="284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B665B5" w14:textId="77777777" w:rsidR="008C48AE" w:rsidRDefault="008C48AE" w:rsidP="00CA591E"/>
  </w:endnote>
  <w:endnote w:type="continuationSeparator" w:id="0">
    <w:p w14:paraId="61158C8D" w14:textId="77777777" w:rsidR="008C48AE" w:rsidRDefault="008C48AE" w:rsidP="00CA591E">
      <w:r>
        <w:continuationSeparator/>
      </w:r>
    </w:p>
  </w:endnote>
  <w:endnote w:id="1">
    <w:p w14:paraId="7F760A20" w14:textId="77777777" w:rsidR="002758CD" w:rsidRPr="00E85F2A" w:rsidRDefault="002758CD" w:rsidP="00465138">
      <w:pPr>
        <w:jc w:val="both"/>
        <w:rPr>
          <w:rFonts w:cstheme="minorHAnsi"/>
          <w:color w:val="000000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</w:t>
      </w:r>
      <w:r w:rsidRPr="000124D4">
        <w:rPr>
          <w:sz w:val="18"/>
          <w:szCs w:val="18"/>
        </w:rPr>
        <w:t xml:space="preserve">Legislación relacionada con el trabajo y el empleo que abarque todos los aspectos y condiciones de la contratación y el reclutamiento, </w:t>
      </w:r>
      <w:r>
        <w:rPr>
          <w:sz w:val="18"/>
          <w:szCs w:val="18"/>
        </w:rPr>
        <w:t xml:space="preserve">la continuidad, </w:t>
      </w:r>
      <w:r w:rsidRPr="000124D4">
        <w:rPr>
          <w:sz w:val="18"/>
          <w:szCs w:val="18"/>
        </w:rPr>
        <w:t xml:space="preserve">la promoción </w:t>
      </w:r>
      <w:r>
        <w:rPr>
          <w:sz w:val="18"/>
          <w:szCs w:val="18"/>
        </w:rPr>
        <w:t>laboral</w:t>
      </w:r>
      <w:r w:rsidRPr="000124D4">
        <w:rPr>
          <w:sz w:val="18"/>
          <w:szCs w:val="18"/>
        </w:rPr>
        <w:t xml:space="preserve">, condiciones de trabajo seguras y saludables, el salario/la remuneración, el empleo por cuenta propia y </w:t>
      </w:r>
      <w:r>
        <w:rPr>
          <w:sz w:val="18"/>
          <w:szCs w:val="18"/>
        </w:rPr>
        <w:t>el emprendimiento</w:t>
      </w:r>
      <w:r w:rsidRPr="000124D4">
        <w:rPr>
          <w:sz w:val="18"/>
          <w:szCs w:val="18"/>
        </w:rPr>
        <w:t xml:space="preserve">, y debería </w:t>
      </w:r>
      <w:r>
        <w:rPr>
          <w:sz w:val="18"/>
          <w:szCs w:val="18"/>
        </w:rPr>
        <w:t>incluir</w:t>
      </w:r>
      <w:r>
        <w:rPr>
          <w:color w:val="000000"/>
          <w:sz w:val="18"/>
          <w:szCs w:val="18"/>
        </w:rPr>
        <w:t>:</w:t>
      </w:r>
    </w:p>
    <w:p w14:paraId="6E6F5A92" w14:textId="77777777" w:rsidR="002758CD" w:rsidRPr="00E85F2A" w:rsidRDefault="002758CD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la prohibición de la discriminación por motivos de discapacidad</w:t>
      </w:r>
      <w:r>
        <w:rPr>
          <w:sz w:val="18"/>
          <w:szCs w:val="18"/>
        </w:rPr>
        <w:t>, incluida la denegación de ajustes razonables;</w:t>
      </w:r>
    </w:p>
    <w:p w14:paraId="40F28801" w14:textId="77777777" w:rsidR="002758CD" w:rsidRPr="00E85F2A" w:rsidRDefault="002758CD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color w:val="000000"/>
          <w:sz w:val="18"/>
          <w:szCs w:val="18"/>
        </w:rPr>
        <w:t>la prohibición del trabajo forzoso, el acoso y la violencia contra las personas con discapacidad, así como la protección contra los mismos;</w:t>
      </w:r>
    </w:p>
    <w:p w14:paraId="335856AC" w14:textId="77777777" w:rsidR="002758CD" w:rsidRPr="00E85F2A" w:rsidRDefault="002758CD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promover el empleo de las personas con discapacidad mediante políticas y medidas apropiadas, que pueden incluir programas de acción afirmativa, exenciones fiscales y otros incentivos y medidas;</w:t>
      </w:r>
    </w:p>
    <w:p w14:paraId="5F01C2D3" w14:textId="77777777" w:rsidR="002758CD" w:rsidRPr="00E85F2A" w:rsidRDefault="002758CD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oportunidades para el empleo por cuenta propia, el emprendimiento, el desarrollo de cooperativas y la creación de negocios propios por parte de personas con discapacidad;</w:t>
      </w:r>
    </w:p>
    <w:p w14:paraId="619BF749" w14:textId="77777777" w:rsidR="002758CD" w:rsidRPr="00E85F2A" w:rsidRDefault="002758CD" w:rsidP="00465138">
      <w:pPr>
        <w:pStyle w:val="Paragraphedeliste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trato en lo que respecta a la afiliación sindical;</w:t>
      </w:r>
    </w:p>
    <w:p w14:paraId="376A952B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derechos de permiso por paternidad y maternidad, así como a los demás derechos de licencia;</w:t>
      </w:r>
    </w:p>
    <w:p w14:paraId="0EE970CF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igualdad de derechos a los servicios financieros proporcionados por los principales proveedores de servicios financieros (préstamos, ahorros, seguros, remesas, etc.), en particular para permitir el trabajo por cuenta propia, el emprendimiento y aquellos relativos.</w:t>
      </w:r>
    </w:p>
  </w:endnote>
  <w:endnote w:id="2">
    <w:p w14:paraId="2C99750A" w14:textId="77777777" w:rsidR="002758CD" w:rsidRPr="00E85F2A" w:rsidRDefault="002758CD" w:rsidP="00465138">
      <w:pPr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 que no haya:</w:t>
      </w:r>
    </w:p>
    <w:p w14:paraId="162BD12F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limitación del acceso al empleo o a la formación profesional relacionada con cualquier tipo de discapacidad;</w:t>
      </w:r>
    </w:p>
    <w:p w14:paraId="2A04B5AB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limitación del acceso al empleo o a la formación profesional relacionada con la capacidad jurídica;</w:t>
      </w:r>
    </w:p>
    <w:p w14:paraId="11BA2070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 xml:space="preserve">excepciones al salario mínimo basadas en deficiencias; </w:t>
      </w:r>
    </w:p>
    <w:p w14:paraId="2C7B2ED2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evaluaciones basadas en las deficiencias, como la capacidad o la aptitud para el trabajo;</w:t>
      </w:r>
    </w:p>
    <w:p w14:paraId="0CC008BB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b/>
          <w:sz w:val="18"/>
          <w:szCs w:val="18"/>
        </w:rPr>
      </w:pPr>
      <w:r>
        <w:rPr>
          <w:sz w:val="18"/>
          <w:szCs w:val="18"/>
        </w:rPr>
        <w:t>categorías restrictivas de empleo o formación profesional para personas con discapacidad;</w:t>
      </w:r>
    </w:p>
    <w:p w14:paraId="3E1BAAA0" w14:textId="77777777" w:rsidR="002758CD" w:rsidRPr="00E85F2A" w:rsidRDefault="002758CD" w:rsidP="00465138">
      <w:pPr>
        <w:pStyle w:val="Paragraphedeliste"/>
        <w:numPr>
          <w:ilvl w:val="0"/>
          <w:numId w:val="5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lugar(es) de trabajo limitado(s) para las personas con discapacidad o mantenimiento de entornos de trabajo segregados (por ejemplo, talleres protegidos).</w:t>
      </w:r>
    </w:p>
  </w:endnote>
  <w:endnote w:id="3">
    <w:p w14:paraId="466D9AE9" w14:textId="2CE780E5" w:rsidR="002758CD" w:rsidRPr="00E85F2A" w:rsidRDefault="002758CD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 w:rsidR="00D40CC2">
        <w:rPr>
          <w:sz w:val="18"/>
          <w:szCs w:val="18"/>
        </w:rPr>
        <w:t xml:space="preserve"> L</w:t>
      </w:r>
      <w:r>
        <w:rPr>
          <w:sz w:val="18"/>
          <w:szCs w:val="18"/>
        </w:rPr>
        <w:t xml:space="preserve">a estrategia o los planes nacionales de </w:t>
      </w:r>
      <w:r>
        <w:rPr>
          <w:sz w:val="18"/>
          <w:szCs w:val="18"/>
        </w:rPr>
        <w:t>empleo debería incluir disposiciones:</w:t>
      </w:r>
    </w:p>
    <w:p w14:paraId="75DCADDD" w14:textId="77777777" w:rsidR="002758CD" w:rsidRPr="00E85F2A" w:rsidRDefault="002758CD" w:rsidP="00465138">
      <w:pPr>
        <w:pStyle w:val="Paragraphedeliste"/>
        <w:numPr>
          <w:ilvl w:val="0"/>
          <w:numId w:val="13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para el acceso igualitario a los servicios de empleo, el trabajo por cuenta propia, el emprendimiento, el desarrollo de cooperativas y la creación de negocios propios;</w:t>
      </w:r>
    </w:p>
    <w:p w14:paraId="2E06F398" w14:textId="77777777" w:rsidR="002758CD" w:rsidRPr="00E85F2A" w:rsidRDefault="002758CD" w:rsidP="00465138">
      <w:pPr>
        <w:pStyle w:val="Paragraphedeliste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para promover el empleo, lo que puede incluir: programas de acción afirmativa, incentivos;</w:t>
      </w:r>
    </w:p>
    <w:p w14:paraId="5BBBCEE1" w14:textId="77777777" w:rsidR="002758CD" w:rsidRPr="00E85F2A" w:rsidRDefault="002758CD" w:rsidP="00465138">
      <w:pPr>
        <w:pStyle w:val="Paragraphedeliste"/>
        <w:numPr>
          <w:ilvl w:val="0"/>
          <w:numId w:val="13"/>
        </w:numPr>
        <w:ind w:left="714" w:hanging="357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sobre medidas específicas relativas a jóvenes y mujeres con discapacidad, a personas con necesidades específicas y múltiples de apoyo, etc.</w:t>
      </w:r>
    </w:p>
  </w:endnote>
  <w:endnote w:id="4">
    <w:p w14:paraId="4EFC8493" w14:textId="77777777" w:rsidR="002758CD" w:rsidRPr="00E85F2A" w:rsidRDefault="002758CD" w:rsidP="00465138">
      <w:pPr>
        <w:shd w:val="clear" w:color="auto" w:fill="FFFFFF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a través de </w:t>
      </w:r>
      <w:r>
        <w:rPr>
          <w:color w:val="000000"/>
          <w:sz w:val="18"/>
          <w:szCs w:val="18"/>
        </w:rPr>
        <w:t>mecanismos de orientación y apoyo: líneas telefónicas de ayuda, redes, etc.</w:t>
      </w:r>
    </w:p>
  </w:endnote>
  <w:endnote w:id="5">
    <w:p w14:paraId="4876D863" w14:textId="77777777" w:rsidR="002758CD" w:rsidRPr="00E85F2A" w:rsidRDefault="002758CD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Por ejemplo, estos planes no deben vincular la concesión de prestaciones a la declaración de inhabilidad/incapacidad para trabajar, ni impedir la búsqueda de trabajo/empleo o permitir el retiro arbitrario de prestaciones sobre la base del empleo sin tomar en cuenta los costes adicionales relacionados con la discapacidad, como los derivados de los desplazamientos hacia y desde el trabajo.  </w:t>
      </w:r>
    </w:p>
  </w:endnote>
  <w:endnote w:id="6">
    <w:p w14:paraId="125837C4" w14:textId="77777777" w:rsidR="002758CD" w:rsidRPr="00DB576A" w:rsidRDefault="002758CD" w:rsidP="003B49B2">
      <w:pPr>
        <w:pStyle w:val="Notedefin"/>
        <w:rPr>
          <w:sz w:val="18"/>
          <w:szCs w:val="18"/>
        </w:rPr>
      </w:pPr>
      <w:r>
        <w:rPr>
          <w:rStyle w:val="Appeldenotedefin"/>
        </w:rPr>
        <w:endnoteRef/>
      </w:r>
      <w:r w:rsidRPr="00877178">
        <w:t xml:space="preserve"> </w:t>
      </w:r>
      <w:r w:rsidRPr="00DB576A">
        <w:rPr>
          <w:sz w:val="18"/>
          <w:szCs w:val="18"/>
        </w:rPr>
        <w:t>Véase OIT, Convenio sobre las peores formas de t</w:t>
      </w:r>
      <w:r>
        <w:rPr>
          <w:sz w:val="18"/>
          <w:szCs w:val="18"/>
        </w:rPr>
        <w:t>rabajo infantil, 1999 (No. 182)</w:t>
      </w:r>
      <w:r w:rsidRPr="00DB576A">
        <w:rPr>
          <w:sz w:val="18"/>
          <w:szCs w:val="18"/>
        </w:rPr>
        <w:t>.</w:t>
      </w:r>
    </w:p>
  </w:endnote>
  <w:endnote w:id="7">
    <w:p w14:paraId="5D601FF6" w14:textId="77777777" w:rsidR="002758CD" w:rsidRPr="00E85F2A" w:rsidRDefault="002758CD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Esto incluye: tener acceso a los servicios financieros ofrecidos por los proveedores de servicios financieros (como el micro financiamiento) y empezar un negocio que obtenga ingresos después de haber estado inscrito en programas de micro financiamiento.</w:t>
      </w:r>
    </w:p>
  </w:endnote>
  <w:endnote w:id="8">
    <w:p w14:paraId="4BB6FE54" w14:textId="77777777" w:rsidR="002758CD" w:rsidRPr="00E85F2A" w:rsidRDefault="002758CD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Las medidas de acción afirmativa pueden </w:t>
      </w:r>
      <w:proofErr w:type="gramStart"/>
      <w:r>
        <w:rPr>
          <w:sz w:val="18"/>
          <w:szCs w:val="18"/>
        </w:rPr>
        <w:t>incluir</w:t>
      </w:r>
      <w:proofErr w:type="gramEnd"/>
      <w:r>
        <w:rPr>
          <w:sz w:val="18"/>
          <w:szCs w:val="18"/>
        </w:rPr>
        <w:t xml:space="preserve"> pero no estar limitadas por: cuotas, subsidios e incentivos para las empresas que contratan a personas con discapacidad, ayudas, programas de inserción en el mundo laboral/medios de subsistencia, etc.</w:t>
      </w:r>
    </w:p>
  </w:endnote>
  <w:endnote w:id="9">
    <w:p w14:paraId="4647ADD0" w14:textId="77777777" w:rsidR="002758CD" w:rsidRPr="00E85F2A" w:rsidRDefault="002758CD" w:rsidP="00465138">
      <w:pPr>
        <w:pStyle w:val="Notedefin"/>
        <w:jc w:val="both"/>
        <w:rPr>
          <w:rFonts w:cstheme="minorHAnsi"/>
          <w:sz w:val="18"/>
          <w:szCs w:val="18"/>
        </w:rPr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Este indicador requiere la verificación de las actividades concretas llevadas a cabo por las autoridades públicas para involucrar a las personas con discapacidad en los procesos de toma de decisiones relacionados con cuestiones que les afectan directa o indirectamente, de conformidad con el artículo 4.3 de la CDPD y la </w:t>
      </w:r>
      <w:hyperlink r:id="rId1" w:history="1">
        <w:r w:rsidRPr="006E6AC3">
          <w:rPr>
            <w:rStyle w:val="Lienhypertexte"/>
            <w:sz w:val="18"/>
            <w:szCs w:val="18"/>
          </w:rPr>
          <w:t>Observación general N.º 7</w:t>
        </w:r>
      </w:hyperlink>
      <w:r>
        <w:rPr>
          <w:sz w:val="18"/>
          <w:szCs w:val="18"/>
        </w:rPr>
        <w:t xml:space="preserve"> del Comité, incluidas reuniones de consulta, sesiones informativas técnicas, encuestas de consulta en línea, llamado a comentarios sobre proyectos de ley y políticas, entre otros métodos participativos. A este respecto, los Estados deben:</w:t>
      </w:r>
    </w:p>
    <w:p w14:paraId="46E3E179" w14:textId="77777777" w:rsidR="002758CD" w:rsidRPr="00E85F2A" w:rsidRDefault="002758CD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asegurar que los procesos de consulta sean transparentes y accesibles;</w:t>
      </w:r>
    </w:p>
    <w:p w14:paraId="2F4DC1CA" w14:textId="77777777" w:rsidR="002758CD" w:rsidRPr="00E85F2A" w:rsidRDefault="002758CD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asegurar el suministro de información adecuada y accesible;</w:t>
      </w:r>
    </w:p>
    <w:p w14:paraId="55102C43" w14:textId="77777777" w:rsidR="002758CD" w:rsidRPr="00E85F2A" w:rsidRDefault="002758CD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no retener información, condicionar o impedir que las organizaciones de personas con discapacidad expresen libremente sus opiniones;</w:t>
      </w:r>
    </w:p>
    <w:p w14:paraId="687EE3EC" w14:textId="77777777" w:rsidR="002758CD" w:rsidRPr="00E85F2A" w:rsidRDefault="002758CD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incluir tanto a las organizaciones registradas como a las no registradas;</w:t>
      </w:r>
    </w:p>
    <w:p w14:paraId="66FACFEA" w14:textId="77777777" w:rsidR="002758CD" w:rsidRPr="00E85F2A" w:rsidRDefault="002758CD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garantizar una participación temprana y continua; </w:t>
      </w:r>
    </w:p>
    <w:p w14:paraId="3F073586" w14:textId="77777777" w:rsidR="002758CD" w:rsidRPr="00E85F2A" w:rsidRDefault="002758CD" w:rsidP="00465138">
      <w:pPr>
        <w:pStyle w:val="Notedefin"/>
        <w:numPr>
          <w:ilvl w:val="0"/>
          <w:numId w:val="14"/>
        </w:numPr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cubrir los gastos relacionados de los participantes.</w:t>
      </w:r>
    </w:p>
  </w:endnote>
  <w:endnote w:id="10">
    <w:p w14:paraId="129D36A4" w14:textId="77777777" w:rsidR="002758CD" w:rsidRPr="00F0620D" w:rsidRDefault="002758CD" w:rsidP="00465138">
      <w:pPr>
        <w:pStyle w:val="Notedefin"/>
        <w:jc w:val="both"/>
      </w:pPr>
      <w:r>
        <w:rPr>
          <w:rStyle w:val="Appeldenotedefin"/>
          <w:rFonts w:cstheme="minorHAnsi"/>
          <w:sz w:val="18"/>
          <w:szCs w:val="18"/>
        </w:rPr>
        <w:endnoteRef/>
      </w:r>
      <w:r>
        <w:rPr>
          <w:sz w:val="18"/>
          <w:szCs w:val="18"/>
        </w:rPr>
        <w:t xml:space="preserve"> Para un debate sobre la metodología, véase el documento de la OIT "</w:t>
      </w:r>
      <w:hyperlink r:id="rId2" w:history="1">
        <w:r>
          <w:rPr>
            <w:rStyle w:val="Lienhypertexte"/>
            <w:sz w:val="18"/>
            <w:szCs w:val="18"/>
          </w:rPr>
          <w:t>Informe Mundial sobre Salarios 2018/2019:</w:t>
        </w:r>
      </w:hyperlink>
      <w:hyperlink r:id="rId3" w:history="1">
        <w:r>
          <w:rPr>
            <w:rStyle w:val="Lienhypertexte"/>
            <w:sz w:val="18"/>
            <w:szCs w:val="18"/>
          </w:rPr>
          <w:t xml:space="preserve"> Qué hay detrás de la brecha salarial de género</w:t>
        </w:r>
      </w:hyperlink>
      <w:r>
        <w:rPr>
          <w:sz w:val="18"/>
          <w:szCs w:val="18"/>
        </w:rPr>
        <w:t>” (2018), que promueve el uso de la brecha salarial ponderada por factores, en el contexto del derecho al empleo de las mujeres.</w:t>
      </w:r>
      <w:r>
        <w:t xml:space="preserve">  </w:t>
      </w:r>
    </w:p>
  </w:endnote>
  <w:endnote w:id="11">
    <w:p w14:paraId="3445E6B4" w14:textId="77777777" w:rsidR="002758CD" w:rsidRPr="006A7317" w:rsidRDefault="002758CD" w:rsidP="00465138">
      <w:pPr>
        <w:pStyle w:val="Notedefin"/>
        <w:jc w:val="both"/>
        <w:rPr>
          <w:sz w:val="18"/>
          <w:szCs w:val="18"/>
        </w:rPr>
      </w:pPr>
      <w:r>
        <w:rPr>
          <w:rStyle w:val="Appeldenotedefin"/>
        </w:rPr>
        <w:endnoteRef/>
      </w:r>
      <w:r>
        <w:t xml:space="preserve"> </w:t>
      </w:r>
      <w:r>
        <w:rPr>
          <w:sz w:val="18"/>
          <w:szCs w:val="18"/>
        </w:rPr>
        <w:t>Esto incluye personas con discapacidad envueltos en trabajos (formales o informales) en entornos segregados (por ejemplo, "</w:t>
      </w:r>
      <w:proofErr w:type="spellStart"/>
      <w:r w:rsidRPr="001257D1">
        <w:rPr>
          <w:i/>
          <w:sz w:val="18"/>
          <w:szCs w:val="18"/>
        </w:rPr>
        <w:t>sheltered</w:t>
      </w:r>
      <w:proofErr w:type="spellEnd"/>
      <w:r w:rsidRPr="001257D1">
        <w:rPr>
          <w:i/>
          <w:sz w:val="18"/>
          <w:szCs w:val="18"/>
        </w:rPr>
        <w:t xml:space="preserve"> workshops</w:t>
      </w:r>
      <w:r>
        <w:rPr>
          <w:sz w:val="18"/>
          <w:szCs w:val="18"/>
        </w:rPr>
        <w:t>", "</w:t>
      </w:r>
      <w:r w:rsidRPr="001257D1">
        <w:rPr>
          <w:i/>
          <w:sz w:val="18"/>
          <w:szCs w:val="18"/>
        </w:rPr>
        <w:t>atelier</w:t>
      </w:r>
      <w:r>
        <w:rPr>
          <w:sz w:val="18"/>
          <w:szCs w:val="18"/>
        </w:rPr>
        <w:t xml:space="preserve"> </w:t>
      </w:r>
      <w:proofErr w:type="spellStart"/>
      <w:r w:rsidRPr="001257D1">
        <w:rPr>
          <w:i/>
          <w:sz w:val="18"/>
          <w:szCs w:val="18"/>
        </w:rPr>
        <w:t>protégé</w:t>
      </w:r>
      <w:proofErr w:type="spellEnd"/>
      <w:r>
        <w:rPr>
          <w:sz w:val="18"/>
          <w:szCs w:val="18"/>
        </w:rPr>
        <w:t>", "trabajo protegido").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3F54" w14:textId="77777777" w:rsidR="008C48AE" w:rsidRDefault="008C48AE" w:rsidP="00CA591E">
      <w:r>
        <w:separator/>
      </w:r>
    </w:p>
  </w:footnote>
  <w:footnote w:type="continuationSeparator" w:id="0">
    <w:p w14:paraId="3B384DE9" w14:textId="77777777" w:rsidR="008C48AE" w:rsidRDefault="008C48AE" w:rsidP="00CA5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FA1"/>
    <w:multiLevelType w:val="hybridMultilevel"/>
    <w:tmpl w:val="7E5E69F4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color w:val="00000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2618"/>
    <w:multiLevelType w:val="hybridMultilevel"/>
    <w:tmpl w:val="2BCA6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414EF"/>
    <w:multiLevelType w:val="hybridMultilevel"/>
    <w:tmpl w:val="04F20C28"/>
    <w:lvl w:ilvl="0" w:tplc="7D6C2BB4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D525D"/>
    <w:multiLevelType w:val="hybridMultilevel"/>
    <w:tmpl w:val="E570990A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94FEB"/>
    <w:multiLevelType w:val="hybridMultilevel"/>
    <w:tmpl w:val="6F2EBB8A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90548"/>
    <w:multiLevelType w:val="hybridMultilevel"/>
    <w:tmpl w:val="9F589FE8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82D"/>
    <w:multiLevelType w:val="hybridMultilevel"/>
    <w:tmpl w:val="6F4E5EAC"/>
    <w:lvl w:ilvl="0" w:tplc="65666ED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B6020"/>
    <w:multiLevelType w:val="hybridMultilevel"/>
    <w:tmpl w:val="CE1A6BD4"/>
    <w:lvl w:ilvl="0" w:tplc="1B76CF2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B3F35"/>
    <w:multiLevelType w:val="hybridMultilevel"/>
    <w:tmpl w:val="032E4E72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B66BF"/>
    <w:multiLevelType w:val="hybridMultilevel"/>
    <w:tmpl w:val="C562F2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2916"/>
    <w:multiLevelType w:val="hybridMultilevel"/>
    <w:tmpl w:val="B84E17C6"/>
    <w:lvl w:ilvl="0" w:tplc="E09C83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b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34C07"/>
    <w:multiLevelType w:val="hybridMultilevel"/>
    <w:tmpl w:val="73863EFA"/>
    <w:lvl w:ilvl="0" w:tplc="8A8C9DA0">
      <w:start w:val="1"/>
      <w:numFmt w:val="bullet"/>
      <w:lvlText w:val=""/>
      <w:lvlJc w:val="left"/>
      <w:pPr>
        <w:ind w:left="11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5B70196E"/>
    <w:multiLevelType w:val="hybridMultilevel"/>
    <w:tmpl w:val="84D8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F03E30"/>
    <w:multiLevelType w:val="hybridMultilevel"/>
    <w:tmpl w:val="052EF36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5F6741"/>
    <w:multiLevelType w:val="hybridMultilevel"/>
    <w:tmpl w:val="12084090"/>
    <w:lvl w:ilvl="0" w:tplc="A05451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657C46"/>
    <w:multiLevelType w:val="hybridMultilevel"/>
    <w:tmpl w:val="DEFCEDEE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A2E20"/>
    <w:multiLevelType w:val="hybridMultilevel"/>
    <w:tmpl w:val="77DCA250"/>
    <w:lvl w:ilvl="0" w:tplc="9A042DCA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C4860"/>
    <w:multiLevelType w:val="hybridMultilevel"/>
    <w:tmpl w:val="444A4610"/>
    <w:lvl w:ilvl="0" w:tplc="C70E04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7"/>
  </w:num>
  <w:num w:numId="5">
    <w:abstractNumId w:val="8"/>
  </w:num>
  <w:num w:numId="6">
    <w:abstractNumId w:val="17"/>
  </w:num>
  <w:num w:numId="7">
    <w:abstractNumId w:val="3"/>
  </w:num>
  <w:num w:numId="8">
    <w:abstractNumId w:val="15"/>
  </w:num>
  <w:num w:numId="9">
    <w:abstractNumId w:val="5"/>
  </w:num>
  <w:num w:numId="10">
    <w:abstractNumId w:val="16"/>
  </w:num>
  <w:num w:numId="11">
    <w:abstractNumId w:val="6"/>
  </w:num>
  <w:num w:numId="12">
    <w:abstractNumId w:val="0"/>
  </w:num>
  <w:num w:numId="13">
    <w:abstractNumId w:val="4"/>
  </w:num>
  <w:num w:numId="14">
    <w:abstractNumId w:val="10"/>
  </w:num>
  <w:num w:numId="15">
    <w:abstractNumId w:val="2"/>
  </w:num>
  <w:num w:numId="16">
    <w:abstractNumId w:val="9"/>
  </w:num>
  <w:num w:numId="17">
    <w:abstractNumId w:val="14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5B"/>
    <w:rsid w:val="000124D4"/>
    <w:rsid w:val="000134AA"/>
    <w:rsid w:val="0001798C"/>
    <w:rsid w:val="000267EE"/>
    <w:rsid w:val="00026CE2"/>
    <w:rsid w:val="00050711"/>
    <w:rsid w:val="0005219A"/>
    <w:rsid w:val="00057593"/>
    <w:rsid w:val="00063173"/>
    <w:rsid w:val="00080904"/>
    <w:rsid w:val="0008152E"/>
    <w:rsid w:val="000A76BA"/>
    <w:rsid w:val="000B3868"/>
    <w:rsid w:val="000D48E2"/>
    <w:rsid w:val="000E72EB"/>
    <w:rsid w:val="00101BAD"/>
    <w:rsid w:val="001030AE"/>
    <w:rsid w:val="001143E6"/>
    <w:rsid w:val="00121ED4"/>
    <w:rsid w:val="00124360"/>
    <w:rsid w:val="001257D1"/>
    <w:rsid w:val="00127A37"/>
    <w:rsid w:val="00167016"/>
    <w:rsid w:val="00167E3A"/>
    <w:rsid w:val="0017378D"/>
    <w:rsid w:val="0017443D"/>
    <w:rsid w:val="001775A0"/>
    <w:rsid w:val="00177DB2"/>
    <w:rsid w:val="00193C6C"/>
    <w:rsid w:val="001964CA"/>
    <w:rsid w:val="001D14C8"/>
    <w:rsid w:val="001E3DF7"/>
    <w:rsid w:val="001E5C22"/>
    <w:rsid w:val="001E7EA3"/>
    <w:rsid w:val="001F63A4"/>
    <w:rsid w:val="00203E7D"/>
    <w:rsid w:val="002047FC"/>
    <w:rsid w:val="00240F47"/>
    <w:rsid w:val="00242A99"/>
    <w:rsid w:val="00264909"/>
    <w:rsid w:val="002671D8"/>
    <w:rsid w:val="002758CD"/>
    <w:rsid w:val="002773AC"/>
    <w:rsid w:val="002836A9"/>
    <w:rsid w:val="002A3E37"/>
    <w:rsid w:val="002A6969"/>
    <w:rsid w:val="002C3801"/>
    <w:rsid w:val="002D3D29"/>
    <w:rsid w:val="002F45D6"/>
    <w:rsid w:val="00307F27"/>
    <w:rsid w:val="0031075F"/>
    <w:rsid w:val="00311E49"/>
    <w:rsid w:val="003301F5"/>
    <w:rsid w:val="00335FE8"/>
    <w:rsid w:val="00346DAD"/>
    <w:rsid w:val="00357883"/>
    <w:rsid w:val="003718CF"/>
    <w:rsid w:val="003759C9"/>
    <w:rsid w:val="00387EF2"/>
    <w:rsid w:val="003A712F"/>
    <w:rsid w:val="003B0A9C"/>
    <w:rsid w:val="003B49B2"/>
    <w:rsid w:val="003D1F21"/>
    <w:rsid w:val="003E7407"/>
    <w:rsid w:val="004149FE"/>
    <w:rsid w:val="00461CF2"/>
    <w:rsid w:val="00465138"/>
    <w:rsid w:val="0049767B"/>
    <w:rsid w:val="004A22A0"/>
    <w:rsid w:val="004A42A4"/>
    <w:rsid w:val="004C2A81"/>
    <w:rsid w:val="004C3801"/>
    <w:rsid w:val="005075C1"/>
    <w:rsid w:val="0051360A"/>
    <w:rsid w:val="00522D92"/>
    <w:rsid w:val="00551F9E"/>
    <w:rsid w:val="005676AC"/>
    <w:rsid w:val="00571F6F"/>
    <w:rsid w:val="005970C3"/>
    <w:rsid w:val="005B0200"/>
    <w:rsid w:val="005B3669"/>
    <w:rsid w:val="005C6A02"/>
    <w:rsid w:val="005E59EF"/>
    <w:rsid w:val="005F266C"/>
    <w:rsid w:val="00613A5A"/>
    <w:rsid w:val="006146FD"/>
    <w:rsid w:val="006311D8"/>
    <w:rsid w:val="006362B7"/>
    <w:rsid w:val="00641928"/>
    <w:rsid w:val="0065051C"/>
    <w:rsid w:val="006563DC"/>
    <w:rsid w:val="00672036"/>
    <w:rsid w:val="00676120"/>
    <w:rsid w:val="0068399E"/>
    <w:rsid w:val="00685CF4"/>
    <w:rsid w:val="00696FC9"/>
    <w:rsid w:val="006A7317"/>
    <w:rsid w:val="006B3FE4"/>
    <w:rsid w:val="006B5CDD"/>
    <w:rsid w:val="006C5832"/>
    <w:rsid w:val="006E6AC3"/>
    <w:rsid w:val="006F7AAC"/>
    <w:rsid w:val="0070160D"/>
    <w:rsid w:val="00702448"/>
    <w:rsid w:val="00705361"/>
    <w:rsid w:val="007070D2"/>
    <w:rsid w:val="0072068D"/>
    <w:rsid w:val="00736A44"/>
    <w:rsid w:val="007457D0"/>
    <w:rsid w:val="007472F1"/>
    <w:rsid w:val="007508DB"/>
    <w:rsid w:val="00773555"/>
    <w:rsid w:val="007856B0"/>
    <w:rsid w:val="00792C5D"/>
    <w:rsid w:val="007C2DCA"/>
    <w:rsid w:val="00813049"/>
    <w:rsid w:val="008264E5"/>
    <w:rsid w:val="00841566"/>
    <w:rsid w:val="00862FC4"/>
    <w:rsid w:val="00877178"/>
    <w:rsid w:val="00884F8C"/>
    <w:rsid w:val="008858A7"/>
    <w:rsid w:val="0089365A"/>
    <w:rsid w:val="00893A92"/>
    <w:rsid w:val="008C48AE"/>
    <w:rsid w:val="008D2892"/>
    <w:rsid w:val="008E15CB"/>
    <w:rsid w:val="008F4A33"/>
    <w:rsid w:val="009159FD"/>
    <w:rsid w:val="00923056"/>
    <w:rsid w:val="0092368C"/>
    <w:rsid w:val="00964A5B"/>
    <w:rsid w:val="009651E6"/>
    <w:rsid w:val="0096663D"/>
    <w:rsid w:val="00981D26"/>
    <w:rsid w:val="009A4374"/>
    <w:rsid w:val="009A6799"/>
    <w:rsid w:val="009B0C95"/>
    <w:rsid w:val="009D6367"/>
    <w:rsid w:val="009E1074"/>
    <w:rsid w:val="009F6E73"/>
    <w:rsid w:val="009F7D61"/>
    <w:rsid w:val="00A125C5"/>
    <w:rsid w:val="00A42C44"/>
    <w:rsid w:val="00A56CC7"/>
    <w:rsid w:val="00A83D96"/>
    <w:rsid w:val="00A8786B"/>
    <w:rsid w:val="00AC03AB"/>
    <w:rsid w:val="00AC6B26"/>
    <w:rsid w:val="00AD3349"/>
    <w:rsid w:val="00AE00B9"/>
    <w:rsid w:val="00B03486"/>
    <w:rsid w:val="00B4198C"/>
    <w:rsid w:val="00B55C72"/>
    <w:rsid w:val="00B8716B"/>
    <w:rsid w:val="00BB4CB4"/>
    <w:rsid w:val="00BC022E"/>
    <w:rsid w:val="00BC0719"/>
    <w:rsid w:val="00BD6A46"/>
    <w:rsid w:val="00C00627"/>
    <w:rsid w:val="00C24776"/>
    <w:rsid w:val="00C50D3E"/>
    <w:rsid w:val="00C51F20"/>
    <w:rsid w:val="00C541CC"/>
    <w:rsid w:val="00C92A6B"/>
    <w:rsid w:val="00CA0ACC"/>
    <w:rsid w:val="00CA403F"/>
    <w:rsid w:val="00CA591E"/>
    <w:rsid w:val="00CC2C4C"/>
    <w:rsid w:val="00CD0CB1"/>
    <w:rsid w:val="00CF20D7"/>
    <w:rsid w:val="00D01F95"/>
    <w:rsid w:val="00D13F5B"/>
    <w:rsid w:val="00D167E3"/>
    <w:rsid w:val="00D168B4"/>
    <w:rsid w:val="00D3051E"/>
    <w:rsid w:val="00D40CC2"/>
    <w:rsid w:val="00D911DD"/>
    <w:rsid w:val="00DB576A"/>
    <w:rsid w:val="00DD2A83"/>
    <w:rsid w:val="00DD51DD"/>
    <w:rsid w:val="00DE431B"/>
    <w:rsid w:val="00DE4B64"/>
    <w:rsid w:val="00E232CB"/>
    <w:rsid w:val="00E27296"/>
    <w:rsid w:val="00E27806"/>
    <w:rsid w:val="00E31AF2"/>
    <w:rsid w:val="00E32612"/>
    <w:rsid w:val="00E43DFE"/>
    <w:rsid w:val="00E54419"/>
    <w:rsid w:val="00E608B7"/>
    <w:rsid w:val="00E64E57"/>
    <w:rsid w:val="00E6775B"/>
    <w:rsid w:val="00E85F2A"/>
    <w:rsid w:val="00E963A4"/>
    <w:rsid w:val="00E96C21"/>
    <w:rsid w:val="00EB1FCE"/>
    <w:rsid w:val="00EC0D4A"/>
    <w:rsid w:val="00ED2C1C"/>
    <w:rsid w:val="00ED42B0"/>
    <w:rsid w:val="00ED4517"/>
    <w:rsid w:val="00EE4AB0"/>
    <w:rsid w:val="00EE5CFE"/>
    <w:rsid w:val="00F05557"/>
    <w:rsid w:val="00F0620D"/>
    <w:rsid w:val="00F27ECD"/>
    <w:rsid w:val="00F553E5"/>
    <w:rsid w:val="00F63625"/>
    <w:rsid w:val="00F63CBD"/>
    <w:rsid w:val="00F779A5"/>
    <w:rsid w:val="00F77E96"/>
    <w:rsid w:val="00F97690"/>
    <w:rsid w:val="00FB1941"/>
    <w:rsid w:val="00FB33D1"/>
    <w:rsid w:val="00FC316F"/>
    <w:rsid w:val="00FE41A9"/>
    <w:rsid w:val="00FF0735"/>
    <w:rsid w:val="00FF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41D0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3F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C54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541CC"/>
    <w:rPr>
      <w:rFonts w:ascii="Times New Roman" w:hAnsi="Times New Roman" w:cs="Times New Roman"/>
      <w:sz w:val="26"/>
      <w:szCs w:val="2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1CC"/>
    <w:rPr>
      <w:rFonts w:ascii="Times New Roman" w:hAnsi="Times New Roman" w:cs="Times New Roman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91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91E"/>
    <w:rPr>
      <w:sz w:val="20"/>
      <w:szCs w:val="20"/>
    </w:rPr>
  </w:style>
  <w:style w:type="character" w:styleId="Appelnotedebasdep">
    <w:name w:val="footnote reference"/>
    <w:aliases w:val="Fn Ref,Footnote Refernece,callout,Footnotes refss,Footnote Reference Superscript,BVI fnr,Footnote Reference Number,Footnote Refernece + (Latein) Arial,10 pt,Blau,Fußnotenzeichen_Raxen,Footnote Refe,FR,...,4_G"/>
    <w:basedOn w:val="Policepardfaut"/>
    <w:uiPriority w:val="99"/>
    <w:unhideWhenUsed/>
    <w:qFormat/>
    <w:rsid w:val="00CA59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DE43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431B"/>
    <w:pPr>
      <w:spacing w:after="200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431B"/>
    <w:rPr>
      <w:sz w:val="20"/>
      <w:szCs w:val="20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A5B"/>
    <w:pPr>
      <w:spacing w:after="0"/>
    </w:pPr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A5B"/>
    <w:rPr>
      <w:b/>
      <w:bCs/>
      <w:sz w:val="20"/>
      <w:szCs w:val="20"/>
      <w:lang w:val="es-ES"/>
    </w:rPr>
  </w:style>
  <w:style w:type="paragraph" w:styleId="Rvision">
    <w:name w:val="Revision"/>
    <w:hidden/>
    <w:uiPriority w:val="99"/>
    <w:semiHidden/>
    <w:rsid w:val="000B3868"/>
  </w:style>
  <w:style w:type="paragraph" w:styleId="Notedefin">
    <w:name w:val="endnote text"/>
    <w:basedOn w:val="Normal"/>
    <w:link w:val="NotedefinCar"/>
    <w:uiPriority w:val="99"/>
    <w:semiHidden/>
    <w:unhideWhenUsed/>
    <w:rsid w:val="00461CF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61CF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461CF2"/>
    <w:rPr>
      <w:vertAlign w:val="superscript"/>
    </w:rPr>
  </w:style>
  <w:style w:type="character" w:customStyle="1" w:styleId="ilfuvd">
    <w:name w:val="ilfuvd"/>
    <w:basedOn w:val="Policepardfaut"/>
    <w:rsid w:val="00B8716B"/>
  </w:style>
  <w:style w:type="character" w:styleId="Lienhypertexte">
    <w:name w:val="Hyperlink"/>
    <w:basedOn w:val="Policepardfaut"/>
    <w:uiPriority w:val="99"/>
    <w:unhideWhenUsed/>
    <w:rsid w:val="009651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lo.org/wcmsp5/groups/public/---dgreports/---dcomm/---publ/documents/publication/wcms_650653.pdf" TargetMode="External"/><Relationship Id="rId2" Type="http://schemas.openxmlformats.org/officeDocument/2006/relationships/hyperlink" Target="https://www.ilo.org/wcmsp5/groups/public/---dgreports/---dcomm/---publ/documents/publication/wcms_650653.pdf" TargetMode="External"/><Relationship Id="rId1" Type="http://schemas.openxmlformats.org/officeDocument/2006/relationships/hyperlink" Target="https://tbinternet.ohchr.org/_layouts/treatybodyexternal/Download.aspx?symbolno=CRPD/C/GC/7&amp;Lang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588A1-D53B-4E9E-97A3-A51D433DA937}"/>
</file>

<file path=customXml/itemProps2.xml><?xml version="1.0" encoding="utf-8"?>
<ds:datastoreItem xmlns:ds="http://schemas.openxmlformats.org/officeDocument/2006/customXml" ds:itemID="{35E7D9BF-E0A2-4BCD-8D89-E892CE1187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EBD2F8-2029-408D-8ADD-080A7F20197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1C2125E-090B-D648-B937-5645A0F76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908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Mont</dc:creator>
  <cp:keywords/>
  <dc:description/>
  <cp:lastModifiedBy>victoria lee</cp:lastModifiedBy>
  <cp:revision>3</cp:revision>
  <cp:lastPrinted>2018-11-12T09:21:00Z</cp:lastPrinted>
  <dcterms:created xsi:type="dcterms:W3CDTF">2020-07-01T10:45:00Z</dcterms:created>
  <dcterms:modified xsi:type="dcterms:W3CDTF">2020-10-26T15:17:00Z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