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D9B5" w14:textId="1B741D67" w:rsidR="00B27EDE" w:rsidRDefault="00B27EDE" w:rsidP="00DD429D">
      <w:pPr>
        <w:jc w:val="center"/>
        <w:rPr>
          <w:rFonts w:ascii="MetaPro-Norm" w:eastAsia="Times New Roman" w:hAnsi="MetaPro-Norm" w:cs="Times New Roman"/>
          <w:b/>
        </w:rPr>
      </w:pPr>
    </w:p>
    <w:p w14:paraId="3CB386CD" w14:textId="6ADBB6BE" w:rsidR="00B27EDE" w:rsidRDefault="00B27EDE" w:rsidP="00DD429D">
      <w:pPr>
        <w:jc w:val="center"/>
        <w:rPr>
          <w:rFonts w:ascii="MetaPro-Norm" w:eastAsia="Times New Roman" w:hAnsi="MetaPro-Norm" w:cs="Times New Roman"/>
          <w:b/>
        </w:rPr>
      </w:pPr>
    </w:p>
    <w:p w14:paraId="09FE938F" w14:textId="066F843C" w:rsidR="00B27EDE" w:rsidRDefault="00B27EDE" w:rsidP="00DD429D">
      <w:pPr>
        <w:jc w:val="center"/>
        <w:rPr>
          <w:rFonts w:ascii="MetaPro-Norm" w:eastAsia="Times New Roman" w:hAnsi="MetaPro-Norm" w:cs="Times New Roman"/>
          <w:b/>
        </w:rPr>
      </w:pPr>
    </w:p>
    <w:p w14:paraId="7F309682" w14:textId="060AF995" w:rsidR="00B27EDE" w:rsidRDefault="00B27EDE" w:rsidP="00DD429D">
      <w:pPr>
        <w:jc w:val="center"/>
        <w:rPr>
          <w:rFonts w:ascii="MetaPro-Norm" w:eastAsia="Times New Roman" w:hAnsi="MetaPro-Norm" w:cs="Times New Roman"/>
          <w:b/>
        </w:rPr>
      </w:pPr>
    </w:p>
    <w:p w14:paraId="6E158272" w14:textId="4A3A4DE5" w:rsidR="00B27EDE" w:rsidRDefault="00B27EDE" w:rsidP="00DD429D">
      <w:pPr>
        <w:jc w:val="center"/>
        <w:rPr>
          <w:rFonts w:ascii="MetaPro-Norm" w:eastAsia="Times New Roman" w:hAnsi="MetaPro-Norm" w:cs="Times New Roman"/>
          <w:b/>
        </w:rPr>
      </w:pPr>
    </w:p>
    <w:p w14:paraId="1CAF236E" w14:textId="77777777" w:rsidR="00B27EDE" w:rsidRDefault="00B27EDE" w:rsidP="00B27EDE">
      <w:pPr>
        <w:rPr>
          <w:rFonts w:ascii="MetaPro-Norm" w:eastAsia="Times New Roman" w:hAnsi="MetaPro-Norm" w:cs="Times New Roman"/>
          <w:b/>
        </w:rPr>
      </w:pPr>
    </w:p>
    <w:p w14:paraId="60CA1725" w14:textId="4E473453" w:rsidR="000B4ED6" w:rsidRPr="00DD429D" w:rsidRDefault="00C62CAC" w:rsidP="00DD429D">
      <w:pPr>
        <w:jc w:val="center"/>
        <w:rPr>
          <w:rFonts w:ascii="MetaPro-Norm" w:eastAsia="Times New Roman" w:hAnsi="MetaPro-Norm" w:cs="Times New Roman"/>
          <w:b/>
        </w:rPr>
      </w:pPr>
      <w:r w:rsidRPr="00DD429D">
        <w:rPr>
          <w:rFonts w:ascii="MetaPro-Norm" w:eastAsia="Times New Roman" w:hAnsi="MetaPro-Norm" w:cs="Times New Roman"/>
          <w:b/>
        </w:rPr>
        <w:t>Submission to S</w:t>
      </w:r>
      <w:r w:rsidR="000B4ED6" w:rsidRPr="00DD429D">
        <w:rPr>
          <w:rFonts w:ascii="MetaPro-Norm" w:eastAsia="Times New Roman" w:hAnsi="MetaPro-Norm" w:cs="Times New Roman"/>
          <w:b/>
        </w:rPr>
        <w:t xml:space="preserve">pecial </w:t>
      </w:r>
      <w:r w:rsidRPr="00DD429D">
        <w:rPr>
          <w:rFonts w:ascii="MetaPro-Norm" w:eastAsia="Times New Roman" w:hAnsi="MetaPro-Norm" w:cs="Times New Roman"/>
          <w:b/>
        </w:rPr>
        <w:t>R</w:t>
      </w:r>
      <w:r w:rsidR="000B4ED6" w:rsidRPr="00DD429D">
        <w:rPr>
          <w:rFonts w:ascii="MetaPro-Norm" w:eastAsia="Times New Roman" w:hAnsi="MetaPro-Norm" w:cs="Times New Roman"/>
          <w:b/>
        </w:rPr>
        <w:t xml:space="preserve">apporteur on the Rights of Persons with </w:t>
      </w:r>
      <w:r w:rsidRPr="00DD429D">
        <w:rPr>
          <w:rFonts w:ascii="MetaPro-Norm" w:eastAsia="Times New Roman" w:hAnsi="MetaPro-Norm" w:cs="Times New Roman"/>
          <w:b/>
        </w:rPr>
        <w:t>Disabilit</w:t>
      </w:r>
      <w:r w:rsidR="000B4ED6" w:rsidRPr="00DD429D">
        <w:rPr>
          <w:rFonts w:ascii="MetaPro-Norm" w:eastAsia="Times New Roman" w:hAnsi="MetaPro-Norm" w:cs="Times New Roman"/>
          <w:b/>
        </w:rPr>
        <w:t>ies</w:t>
      </w:r>
    </w:p>
    <w:p w14:paraId="00000001" w14:textId="3C31E279" w:rsidR="00E063D8" w:rsidRPr="00DD429D" w:rsidRDefault="00C62CAC" w:rsidP="00DD429D">
      <w:pPr>
        <w:jc w:val="center"/>
        <w:rPr>
          <w:rFonts w:ascii="MetaPro-Norm" w:eastAsia="Times New Roman" w:hAnsi="MetaPro-Norm" w:cs="Times New Roman"/>
          <w:b/>
        </w:rPr>
      </w:pPr>
      <w:r w:rsidRPr="00DD429D">
        <w:rPr>
          <w:rFonts w:ascii="MetaPro-Norm" w:eastAsia="Times New Roman" w:hAnsi="MetaPro-Norm" w:cs="Times New Roman"/>
          <w:b/>
        </w:rPr>
        <w:t>on Informed Consent</w:t>
      </w:r>
    </w:p>
    <w:p w14:paraId="00000002" w14:textId="77777777" w:rsidR="00E063D8" w:rsidRPr="00DD429D" w:rsidRDefault="00E063D8">
      <w:pPr>
        <w:rPr>
          <w:rFonts w:ascii="MetaPro-Norm" w:eastAsia="Times New Roman" w:hAnsi="MetaPro-Norm" w:cs="Times New Roman"/>
        </w:rPr>
      </w:pPr>
    </w:p>
    <w:p w14:paraId="00000003" w14:textId="5902CD95" w:rsidR="00E063D8" w:rsidRPr="00DD429D" w:rsidRDefault="00E7769D">
      <w:pPr>
        <w:rPr>
          <w:rFonts w:ascii="MetaPro-Norm" w:eastAsia="Times New Roman" w:hAnsi="MetaPro-Norm" w:cs="Times New Roman"/>
        </w:rPr>
      </w:pPr>
      <w:r w:rsidRPr="00DD429D">
        <w:rPr>
          <w:rFonts w:ascii="MetaPro-Norm" w:eastAsia="Times New Roman" w:hAnsi="MetaPro-Norm" w:cs="Times New Roman"/>
        </w:rPr>
        <w:t xml:space="preserve">Human Rights </w:t>
      </w:r>
      <w:r w:rsidR="004711D6">
        <w:rPr>
          <w:rFonts w:ascii="MetaPro-Norm" w:eastAsia="Times New Roman" w:hAnsi="MetaPro-Norm" w:cs="Times New Roman"/>
        </w:rPr>
        <w:t>Watch</w:t>
      </w:r>
      <w:r w:rsidR="004711D6" w:rsidRPr="00DD429D">
        <w:rPr>
          <w:rFonts w:ascii="MetaPro-Norm" w:eastAsia="Times New Roman" w:hAnsi="MetaPro-Norm" w:cs="Times New Roman"/>
        </w:rPr>
        <w:t xml:space="preserve"> </w:t>
      </w:r>
      <w:r w:rsidRPr="00DD429D">
        <w:rPr>
          <w:rFonts w:ascii="MetaPro-Norm" w:eastAsia="Times New Roman" w:hAnsi="MetaPro-Norm" w:cs="Times New Roman"/>
        </w:rPr>
        <w:t xml:space="preserve">has found </w:t>
      </w:r>
      <w:r w:rsidR="00D64D58" w:rsidRPr="00DD429D">
        <w:rPr>
          <w:rFonts w:ascii="MetaPro-Norm" w:eastAsia="Times New Roman" w:hAnsi="MetaPro-Norm" w:cs="Times New Roman"/>
        </w:rPr>
        <w:t xml:space="preserve">in research on </w:t>
      </w:r>
      <w:r w:rsidR="00A841AC" w:rsidRPr="00DD429D">
        <w:rPr>
          <w:rFonts w:ascii="MetaPro-Norm" w:eastAsia="Times New Roman" w:hAnsi="MetaPro-Norm" w:cs="Times New Roman"/>
        </w:rPr>
        <w:t>Iran, Brazil, Australia, Serbia</w:t>
      </w:r>
      <w:r w:rsidR="00154652">
        <w:rPr>
          <w:rFonts w:ascii="MetaPro-Norm" w:eastAsia="Times New Roman" w:hAnsi="MetaPro-Norm" w:cs="Times New Roman"/>
        </w:rPr>
        <w:t>,</w:t>
      </w:r>
      <w:r w:rsidR="00A841AC" w:rsidRPr="00DD429D">
        <w:rPr>
          <w:rFonts w:ascii="MetaPro-Norm" w:eastAsia="Times New Roman" w:hAnsi="MetaPro-Norm" w:cs="Times New Roman"/>
        </w:rPr>
        <w:t xml:space="preserve"> and India </w:t>
      </w:r>
      <w:r w:rsidRPr="00DD429D">
        <w:rPr>
          <w:rFonts w:ascii="MetaPro-Norm" w:eastAsia="Times New Roman" w:hAnsi="MetaPro-Norm" w:cs="Times New Roman"/>
        </w:rPr>
        <w:t>that people with disabilities</w:t>
      </w:r>
      <w:r w:rsidR="00C62CAC" w:rsidRPr="00DD429D">
        <w:rPr>
          <w:rFonts w:ascii="MetaPro-Norm" w:eastAsia="Times New Roman" w:hAnsi="MetaPro-Norm" w:cs="Times New Roman"/>
        </w:rPr>
        <w:t xml:space="preserve"> </w:t>
      </w:r>
      <w:r w:rsidR="00D64D58" w:rsidRPr="00DD429D">
        <w:rPr>
          <w:rFonts w:ascii="MetaPro-Norm" w:eastAsia="Times New Roman" w:hAnsi="MetaPro-Norm" w:cs="Times New Roman"/>
        </w:rPr>
        <w:t xml:space="preserve">are being </w:t>
      </w:r>
      <w:r w:rsidRPr="00DD429D">
        <w:rPr>
          <w:rFonts w:ascii="MetaPro-Norm" w:eastAsia="Times New Roman" w:hAnsi="MetaPro-Norm" w:cs="Times New Roman"/>
        </w:rPr>
        <w:t>subjected to</w:t>
      </w:r>
      <w:r w:rsidR="00D64D58" w:rsidRPr="00DD429D">
        <w:rPr>
          <w:rFonts w:ascii="MetaPro-Norm" w:eastAsia="Times New Roman" w:hAnsi="MetaPro-Norm" w:cs="Times New Roman"/>
        </w:rPr>
        <w:t xml:space="preserve"> ostensible medical</w:t>
      </w:r>
      <w:r w:rsidR="00C62CAC" w:rsidRPr="00DD429D">
        <w:rPr>
          <w:rFonts w:ascii="MetaPro-Norm" w:eastAsia="Times New Roman" w:hAnsi="MetaPro-Norm" w:cs="Times New Roman"/>
        </w:rPr>
        <w:t xml:space="preserve"> treatment </w:t>
      </w:r>
      <w:r w:rsidRPr="00DD429D">
        <w:rPr>
          <w:rFonts w:ascii="MetaPro-Norm" w:eastAsia="Times New Roman" w:hAnsi="MetaPro-Norm" w:cs="Times New Roman"/>
        </w:rPr>
        <w:t xml:space="preserve">without their </w:t>
      </w:r>
      <w:r w:rsidR="00C62CAC" w:rsidRPr="00DD429D">
        <w:rPr>
          <w:rFonts w:ascii="MetaPro-Norm" w:eastAsia="Times New Roman" w:hAnsi="MetaPro-Norm" w:cs="Times New Roman"/>
        </w:rPr>
        <w:t xml:space="preserve">free and informed consent. </w:t>
      </w:r>
      <w:r w:rsidR="003371A0" w:rsidRPr="00DD429D">
        <w:rPr>
          <w:rFonts w:ascii="MetaPro-Norm" w:eastAsia="Times New Roman" w:hAnsi="MetaPro-Norm" w:cs="Times New Roman"/>
        </w:rPr>
        <w:t xml:space="preserve">This can be, but is not exclusively, linked to laws </w:t>
      </w:r>
      <w:r w:rsidR="00D64D58" w:rsidRPr="00DD429D">
        <w:rPr>
          <w:rFonts w:ascii="MetaPro-Norm" w:eastAsia="Times New Roman" w:hAnsi="MetaPro-Norm" w:cs="Times New Roman"/>
        </w:rPr>
        <w:t xml:space="preserve">and regulations </w:t>
      </w:r>
      <w:r w:rsidR="003371A0" w:rsidRPr="00DD429D">
        <w:rPr>
          <w:rFonts w:ascii="MetaPro-Norm" w:eastAsia="Times New Roman" w:hAnsi="MetaPro-Norm" w:cs="Times New Roman"/>
        </w:rPr>
        <w:t xml:space="preserve">that allow for the deprivation of legal capacity of people with disabilities, </w:t>
      </w:r>
      <w:r w:rsidR="00D64D58" w:rsidRPr="00DD429D">
        <w:rPr>
          <w:rFonts w:ascii="MetaPro-Norm" w:eastAsia="Times New Roman" w:hAnsi="MetaPro-Norm" w:cs="Times New Roman"/>
        </w:rPr>
        <w:t xml:space="preserve">in which </w:t>
      </w:r>
      <w:r w:rsidR="003371A0" w:rsidRPr="00DD429D">
        <w:rPr>
          <w:rFonts w:ascii="MetaPro-Norm" w:eastAsia="Times New Roman" w:hAnsi="MetaPro-Norm" w:cs="Times New Roman"/>
        </w:rPr>
        <w:t>they are denied the opportunity to make decisions for themselves. Even in situations where people with disabilities are not deprived of their legal capacity</w:t>
      </w:r>
      <w:r w:rsidR="003921C1" w:rsidRPr="00DD429D">
        <w:rPr>
          <w:rFonts w:ascii="MetaPro-Norm" w:eastAsia="Times New Roman" w:hAnsi="MetaPro-Norm" w:cs="Times New Roman"/>
        </w:rPr>
        <w:t>,</w:t>
      </w:r>
      <w:r w:rsidR="003371A0" w:rsidRPr="00DD429D">
        <w:rPr>
          <w:rFonts w:ascii="MetaPro-Norm" w:eastAsia="Times New Roman" w:hAnsi="MetaPro-Norm" w:cs="Times New Roman"/>
        </w:rPr>
        <w:t xml:space="preserve"> they can be given medical treatment without their informed consent. </w:t>
      </w:r>
    </w:p>
    <w:p w14:paraId="0000000D" w14:textId="77777777" w:rsidR="00E063D8" w:rsidRPr="00DD429D" w:rsidRDefault="00E063D8">
      <w:pPr>
        <w:rPr>
          <w:rFonts w:ascii="MetaPro-Norm" w:eastAsia="Times New Roman" w:hAnsi="MetaPro-Norm" w:cs="Times New Roman"/>
        </w:rPr>
      </w:pPr>
    </w:p>
    <w:p w14:paraId="0000000E" w14:textId="77777777" w:rsidR="00E063D8" w:rsidRPr="00DD429D" w:rsidRDefault="00C62CAC">
      <w:pPr>
        <w:rPr>
          <w:rFonts w:ascii="MetaPro-Norm" w:eastAsia="Times New Roman" w:hAnsi="MetaPro-Norm" w:cs="Times New Roman"/>
          <w:b/>
          <w:u w:val="single"/>
        </w:rPr>
      </w:pPr>
      <w:r w:rsidRPr="00DD429D">
        <w:rPr>
          <w:rFonts w:ascii="MetaPro-Norm" w:eastAsia="Times New Roman" w:hAnsi="MetaPro-Norm" w:cs="Times New Roman"/>
          <w:b/>
          <w:u w:val="single"/>
        </w:rPr>
        <w:t>Iran</w:t>
      </w:r>
    </w:p>
    <w:p w14:paraId="6295BCD5" w14:textId="2FFAF6FC" w:rsidR="00E7769D" w:rsidRDefault="003F45F1" w:rsidP="00DD429D">
      <w:pPr>
        <w:rPr>
          <w:rFonts w:ascii="MetaPro-Norm" w:eastAsia="Times New Roman" w:hAnsi="MetaPro-Norm" w:cs="Times New Roman"/>
        </w:rPr>
      </w:pPr>
      <w:r w:rsidRPr="00DD429D">
        <w:rPr>
          <w:rFonts w:ascii="MetaPro-Norm" w:eastAsia="Times New Roman" w:hAnsi="MetaPro-Norm" w:cs="Times New Roman"/>
        </w:rPr>
        <w:t>Iran allows for people with disabilities to be stripped of their legal capacity</w:t>
      </w:r>
      <w:r w:rsidRPr="00DD429D">
        <w:rPr>
          <w:rFonts w:ascii="MetaPro-Norm" w:hAnsi="MetaPro-Norm" w:cs="Times New Roman"/>
          <w:lang w:val="en-US" w:eastAsia="en-US"/>
        </w:rPr>
        <w:t>.</w:t>
      </w:r>
      <w:r w:rsidRPr="00DD429D">
        <w:rPr>
          <w:rStyle w:val="FootnoteReference"/>
          <w:rFonts w:ascii="MetaPro-Norm" w:hAnsi="MetaPro-Norm" w:cs="Times New Roman"/>
          <w:lang w:val="en-US" w:eastAsia="en-US"/>
        </w:rPr>
        <w:footnoteReference w:id="1"/>
      </w:r>
      <w:r w:rsidRPr="00DD429D">
        <w:rPr>
          <w:rFonts w:ascii="MetaPro-Norm" w:hAnsi="MetaPro-Norm" w:cs="Times New Roman"/>
          <w:lang w:val="en-US" w:eastAsia="en-US"/>
        </w:rPr>
        <w:t xml:space="preserve"> </w:t>
      </w:r>
      <w:r w:rsidR="00C62CAC" w:rsidRPr="00DD429D">
        <w:rPr>
          <w:rFonts w:ascii="MetaPro-Norm" w:eastAsia="Times New Roman" w:hAnsi="MetaPro-Norm" w:cs="Times New Roman"/>
        </w:rPr>
        <w:t>Human Rights Watch research</w:t>
      </w:r>
      <w:r w:rsidR="00E7769D" w:rsidRPr="00DD429D">
        <w:rPr>
          <w:rFonts w:ascii="MetaPro-Norm" w:eastAsia="Times New Roman" w:hAnsi="MetaPro-Norm" w:cs="Times New Roman"/>
        </w:rPr>
        <w:t xml:space="preserve"> on Iran</w:t>
      </w:r>
      <w:r w:rsidR="00C62CAC" w:rsidRPr="00DD429D">
        <w:rPr>
          <w:rFonts w:ascii="MetaPro-Norm" w:eastAsia="Times New Roman" w:hAnsi="MetaPro-Norm" w:cs="Times New Roman"/>
        </w:rPr>
        <w:t xml:space="preserve"> </w:t>
      </w:r>
      <w:r w:rsidR="00E7769D" w:rsidRPr="00DD429D">
        <w:rPr>
          <w:rFonts w:ascii="MetaPro-Norm" w:eastAsia="Times New Roman" w:hAnsi="MetaPro-Norm" w:cs="Times New Roman"/>
        </w:rPr>
        <w:t>in 2017 and 2018</w:t>
      </w:r>
      <w:r w:rsidR="00C62CAC" w:rsidRPr="00DD429D">
        <w:rPr>
          <w:rFonts w:ascii="MetaPro-Norm" w:eastAsia="Times New Roman" w:hAnsi="MetaPro-Norm" w:cs="Times New Roman"/>
        </w:rPr>
        <w:t xml:space="preserve"> documented cases in which</w:t>
      </w:r>
      <w:r w:rsidR="00E7769D" w:rsidRPr="00DD429D">
        <w:rPr>
          <w:rFonts w:ascii="MetaPro-Norm" w:eastAsia="Times New Roman" w:hAnsi="MetaPro-Norm" w:cs="Times New Roman"/>
        </w:rPr>
        <w:t xml:space="preserve"> doctors and </w:t>
      </w:r>
      <w:r w:rsidR="00C62CAC" w:rsidRPr="00DD429D">
        <w:rPr>
          <w:rFonts w:ascii="MetaPro-Norm" w:eastAsia="Times New Roman" w:hAnsi="MetaPro-Norm" w:cs="Times New Roman"/>
        </w:rPr>
        <w:t xml:space="preserve">other healthcare professionals did not seek or obtain informed consent of patients with disabilities </w:t>
      </w:r>
      <w:r w:rsidR="00E7769D" w:rsidRPr="00DD429D">
        <w:rPr>
          <w:rFonts w:ascii="MetaPro-Norm" w:eastAsia="Times New Roman" w:hAnsi="MetaPro-Norm" w:cs="Times New Roman"/>
        </w:rPr>
        <w:t>before administering medical treatment or medications. Doctors also</w:t>
      </w:r>
      <w:r w:rsidR="00C62CAC" w:rsidRPr="00DD429D">
        <w:rPr>
          <w:rFonts w:ascii="MetaPro-Norm" w:eastAsia="Times New Roman" w:hAnsi="MetaPro-Norm" w:cs="Times New Roman"/>
        </w:rPr>
        <w:t xml:space="preserve"> did not provide </w:t>
      </w:r>
      <w:r w:rsidR="00E7769D" w:rsidRPr="00DD429D">
        <w:rPr>
          <w:rFonts w:ascii="MetaPro-Norm" w:eastAsia="Times New Roman" w:hAnsi="MetaPro-Norm" w:cs="Times New Roman"/>
        </w:rPr>
        <w:t>individuals</w:t>
      </w:r>
      <w:r w:rsidR="00C62CAC" w:rsidRPr="00DD429D">
        <w:rPr>
          <w:rFonts w:ascii="MetaPro-Norm" w:eastAsia="Times New Roman" w:hAnsi="MetaPro-Norm" w:cs="Times New Roman"/>
        </w:rPr>
        <w:t xml:space="preserve"> with comprehensive information about the treatment and potential side-effects in a fully accessible and understandable format. In many cases, parents or other family members consented for their children or relatives to receive medical treatment,</w:t>
      </w:r>
      <w:r w:rsidR="00E7769D" w:rsidRPr="00DD429D">
        <w:rPr>
          <w:rFonts w:ascii="MetaPro-Norm" w:eastAsia="Times New Roman" w:hAnsi="MetaPro-Norm" w:cs="Times New Roman"/>
        </w:rPr>
        <w:t xml:space="preserve"> with</w:t>
      </w:r>
      <w:r w:rsidR="00C62CAC" w:rsidRPr="00DD429D">
        <w:rPr>
          <w:rFonts w:ascii="MetaPro-Norm" w:eastAsia="Times New Roman" w:hAnsi="MetaPro-Norm" w:cs="Times New Roman"/>
        </w:rPr>
        <w:t xml:space="preserve"> such consent typically obtained as part of the paperwork required for the treatment to start, also often without full information about the treatment. </w:t>
      </w:r>
      <w:r w:rsidRPr="00DD429D">
        <w:rPr>
          <w:rFonts w:ascii="MetaPro-Norm" w:eastAsia="Times New Roman" w:hAnsi="MetaPro-Norm" w:cs="Times New Roman"/>
        </w:rPr>
        <w:t xml:space="preserve">Human Rights Watch documented </w:t>
      </w:r>
      <w:r w:rsidR="00D64D58" w:rsidRPr="00DD429D">
        <w:rPr>
          <w:rFonts w:ascii="MetaPro-Norm" w:eastAsia="Times New Roman" w:hAnsi="MetaPro-Norm" w:cs="Times New Roman"/>
        </w:rPr>
        <w:t xml:space="preserve">that </w:t>
      </w:r>
      <w:r w:rsidRPr="00DD429D">
        <w:rPr>
          <w:rFonts w:ascii="MetaPro-Norm" w:eastAsia="Times New Roman" w:hAnsi="MetaPro-Norm" w:cs="Times New Roman"/>
        </w:rPr>
        <w:t>some</w:t>
      </w:r>
      <w:r w:rsidR="00E7769D" w:rsidRPr="00DD429D">
        <w:rPr>
          <w:rFonts w:ascii="MetaPro-Norm" w:eastAsia="Times New Roman" w:hAnsi="MetaPro-Norm" w:cs="Times New Roman"/>
        </w:rPr>
        <w:t xml:space="preserve"> people received Electroconvulsive Therapy (ECT) without their informed consent. </w:t>
      </w:r>
      <w:r w:rsidR="00D64D58" w:rsidRPr="00DD429D">
        <w:rPr>
          <w:rFonts w:ascii="MetaPro-Norm" w:eastAsia="Times New Roman" w:hAnsi="MetaPro-Norm" w:cs="Times New Roman"/>
        </w:rPr>
        <w:t>H</w:t>
      </w:r>
      <w:r w:rsidR="00E7769D" w:rsidRPr="00DD429D">
        <w:rPr>
          <w:rFonts w:ascii="MetaPro-Norm" w:eastAsia="Times New Roman" w:hAnsi="MetaPro-Norm" w:cs="Times New Roman"/>
        </w:rPr>
        <w:t xml:space="preserve">ealth professionals in Iran </w:t>
      </w:r>
      <w:r w:rsidR="00D64D58" w:rsidRPr="00DD429D">
        <w:rPr>
          <w:rFonts w:ascii="MetaPro-Norm" w:eastAsia="Times New Roman" w:hAnsi="MetaPro-Norm" w:cs="Times New Roman"/>
        </w:rPr>
        <w:t>told</w:t>
      </w:r>
      <w:r w:rsidR="00E7769D" w:rsidRPr="00DD429D">
        <w:rPr>
          <w:rFonts w:ascii="MetaPro-Norm" w:eastAsia="Times New Roman" w:hAnsi="MetaPro-Norm" w:cs="Times New Roman"/>
        </w:rPr>
        <w:t xml:space="preserve"> Human Rights Watch </w:t>
      </w:r>
      <w:r w:rsidR="00D64D58" w:rsidRPr="00DD429D">
        <w:rPr>
          <w:rFonts w:ascii="MetaPro-Norm" w:eastAsia="Times New Roman" w:hAnsi="MetaPro-Norm" w:cs="Times New Roman"/>
        </w:rPr>
        <w:t>that</w:t>
      </w:r>
      <w:r w:rsidR="00E7769D" w:rsidRPr="00DD429D">
        <w:rPr>
          <w:rFonts w:ascii="MetaPro-Norm" w:eastAsia="Times New Roman" w:hAnsi="MetaPro-Norm" w:cs="Times New Roman"/>
        </w:rPr>
        <w:t xml:space="preserve"> ECT is often carried out unnecessarily, or for conditions in which ECT is not likely to be helpful.</w:t>
      </w:r>
      <w:r w:rsidR="00E7769D" w:rsidRPr="00DD429D">
        <w:rPr>
          <w:rFonts w:ascii="MetaPro-Norm" w:eastAsia="Times New Roman" w:hAnsi="MetaPro-Norm" w:cs="Times New Roman"/>
          <w:vertAlign w:val="superscript"/>
        </w:rPr>
        <w:footnoteReference w:id="2"/>
      </w:r>
    </w:p>
    <w:p w14:paraId="49E1E129" w14:textId="77777777" w:rsidR="009875E9" w:rsidRPr="00DD429D" w:rsidRDefault="009875E9" w:rsidP="00DD429D">
      <w:pPr>
        <w:rPr>
          <w:rFonts w:ascii="MetaPro-Norm" w:eastAsia="Times New Roman" w:hAnsi="MetaPro-Norm" w:cs="Times New Roman"/>
        </w:rPr>
      </w:pPr>
      <w:bookmarkStart w:id="0" w:name="_GoBack"/>
      <w:bookmarkEnd w:id="0"/>
    </w:p>
    <w:p w14:paraId="00000015" w14:textId="77777777" w:rsidR="00E063D8" w:rsidRPr="00DD429D" w:rsidRDefault="00C62CAC">
      <w:pPr>
        <w:rPr>
          <w:rFonts w:ascii="MetaPro-Norm" w:eastAsia="Times New Roman" w:hAnsi="MetaPro-Norm" w:cs="Times New Roman"/>
          <w:b/>
          <w:u w:val="single"/>
        </w:rPr>
      </w:pPr>
      <w:r w:rsidRPr="00DD429D">
        <w:rPr>
          <w:rFonts w:ascii="MetaPro-Norm" w:eastAsia="Times New Roman" w:hAnsi="MetaPro-Norm" w:cs="Times New Roman"/>
          <w:b/>
          <w:u w:val="single"/>
        </w:rPr>
        <w:lastRenderedPageBreak/>
        <w:t>Brazil</w:t>
      </w:r>
    </w:p>
    <w:p w14:paraId="57DCA4BF" w14:textId="326C4D7F" w:rsidR="00E7769D" w:rsidRPr="00DD429D" w:rsidRDefault="00E7769D">
      <w:pPr>
        <w:rPr>
          <w:rFonts w:ascii="MetaPro-Norm" w:eastAsia="Times New Roman" w:hAnsi="MetaPro-Norm" w:cs="Times New Roman"/>
        </w:rPr>
      </w:pPr>
      <w:r w:rsidRPr="00DD429D">
        <w:rPr>
          <w:rFonts w:ascii="MetaPro-Norm" w:eastAsia="Times New Roman" w:hAnsi="MetaPro-Norm" w:cs="Times New Roman"/>
        </w:rPr>
        <w:t xml:space="preserve">Human Rights </w:t>
      </w:r>
      <w:r w:rsidR="003F45F1" w:rsidRPr="00DD429D">
        <w:rPr>
          <w:rFonts w:ascii="MetaPro-Norm" w:eastAsia="Times New Roman" w:hAnsi="MetaPro-Norm" w:cs="Times New Roman"/>
        </w:rPr>
        <w:t>Watch conducted r</w:t>
      </w:r>
      <w:r w:rsidRPr="00DD429D">
        <w:rPr>
          <w:rFonts w:ascii="MetaPro-Norm" w:eastAsia="Times New Roman" w:hAnsi="MetaPro-Norm" w:cs="Times New Roman"/>
        </w:rPr>
        <w:t xml:space="preserve">esearch in 2017 and 2018 in </w:t>
      </w:r>
      <w:r w:rsidR="00795329" w:rsidRPr="00DD429D">
        <w:rPr>
          <w:rFonts w:ascii="MetaPro-Norm" w:eastAsia="Times New Roman" w:hAnsi="MetaPro-Norm" w:cs="Times New Roman"/>
        </w:rPr>
        <w:t>19</w:t>
      </w:r>
      <w:r w:rsidR="003F45F1" w:rsidRPr="00DD429D">
        <w:rPr>
          <w:rFonts w:ascii="MetaPro-Norm" w:eastAsia="Times New Roman" w:hAnsi="MetaPro-Norm" w:cs="Times New Roman"/>
        </w:rPr>
        <w:t xml:space="preserve"> </w:t>
      </w:r>
      <w:r w:rsidRPr="00DD429D">
        <w:rPr>
          <w:rFonts w:ascii="MetaPro-Norm" w:eastAsia="Times New Roman" w:hAnsi="MetaPro-Norm" w:cs="Times New Roman"/>
        </w:rPr>
        <w:t>institutions</w:t>
      </w:r>
      <w:r w:rsidR="003F45F1" w:rsidRPr="00DD429D">
        <w:rPr>
          <w:rFonts w:ascii="MetaPro-Norm" w:eastAsia="Times New Roman" w:hAnsi="MetaPro-Norm" w:cs="Times New Roman"/>
        </w:rPr>
        <w:t xml:space="preserve"> for people with disabilities</w:t>
      </w:r>
      <w:r w:rsidRPr="00DD429D">
        <w:rPr>
          <w:rFonts w:ascii="MetaPro-Norm" w:eastAsia="Times New Roman" w:hAnsi="MetaPro-Norm" w:cs="Times New Roman"/>
        </w:rPr>
        <w:t xml:space="preserve"> in Brazil</w:t>
      </w:r>
      <w:r w:rsidR="003F45F1" w:rsidRPr="00DD429D">
        <w:rPr>
          <w:rFonts w:ascii="MetaPro-Norm" w:eastAsia="Times New Roman" w:hAnsi="MetaPro-Norm" w:cs="Times New Roman"/>
        </w:rPr>
        <w:t>. In all</w:t>
      </w:r>
      <w:r w:rsidR="00C62CAC" w:rsidRPr="00DD429D">
        <w:rPr>
          <w:rFonts w:ascii="MetaPro-Norm" w:eastAsia="Times New Roman" w:hAnsi="MetaPro-Norm" w:cs="Times New Roman"/>
        </w:rPr>
        <w:t xml:space="preserve"> institution</w:t>
      </w:r>
      <w:r w:rsidR="003F45F1" w:rsidRPr="00DD429D">
        <w:rPr>
          <w:rFonts w:ascii="MetaPro-Norm" w:eastAsia="Times New Roman" w:hAnsi="MetaPro-Norm" w:cs="Times New Roman"/>
        </w:rPr>
        <w:t xml:space="preserve">s visited, </w:t>
      </w:r>
      <w:r w:rsidR="00C62CAC" w:rsidRPr="00DD429D">
        <w:rPr>
          <w:rFonts w:ascii="MetaPro-Norm" w:eastAsia="Times New Roman" w:hAnsi="MetaPro-Norm" w:cs="Times New Roman"/>
        </w:rPr>
        <w:t>directors or staff members told Human Rights Watch that nearly all people living there had been stripped of their legal capacity, or the right to make decisions for themselves, and were under the guardianship of another person, either the institution director or a relative. Most people in institutions had been placed there by guardians and cannot leave, even for a short period, without the consent of the guardian.</w:t>
      </w:r>
      <w:r w:rsidR="00D64D58" w:rsidRPr="00DD429D">
        <w:rPr>
          <w:rStyle w:val="FootnoteReference"/>
          <w:rFonts w:ascii="MetaPro-Norm" w:eastAsia="Times New Roman" w:hAnsi="MetaPro-Norm" w:cs="Times New Roman"/>
        </w:rPr>
        <w:t xml:space="preserve"> </w:t>
      </w:r>
      <w:r w:rsidR="00D64D58" w:rsidRPr="00DD429D">
        <w:rPr>
          <w:rStyle w:val="FootnoteReference"/>
          <w:rFonts w:ascii="MetaPro-Norm" w:eastAsia="Times New Roman" w:hAnsi="MetaPro-Norm" w:cs="Times New Roman"/>
        </w:rPr>
        <w:footnoteReference w:id="3"/>
      </w:r>
      <w:r w:rsidR="00C62CAC" w:rsidRPr="00DD429D">
        <w:rPr>
          <w:rFonts w:ascii="MetaPro-Norm" w:eastAsia="Times New Roman" w:hAnsi="MetaPro-Norm" w:cs="Times New Roman"/>
        </w:rPr>
        <w:t xml:space="preserve"> </w:t>
      </w:r>
    </w:p>
    <w:p w14:paraId="60CBC074" w14:textId="77777777" w:rsidR="00E7769D" w:rsidRPr="00DD429D" w:rsidRDefault="00E7769D">
      <w:pPr>
        <w:rPr>
          <w:rFonts w:ascii="MetaPro-Norm" w:eastAsia="Times New Roman" w:hAnsi="MetaPro-Norm" w:cs="Times New Roman"/>
        </w:rPr>
      </w:pPr>
    </w:p>
    <w:p w14:paraId="00000018" w14:textId="76A770AD"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 xml:space="preserve">Staff in most institutions </w:t>
      </w:r>
      <w:r w:rsidR="00D64D58" w:rsidRPr="00DD429D">
        <w:rPr>
          <w:rFonts w:ascii="MetaPro-Norm" w:eastAsia="Times New Roman" w:hAnsi="MetaPro-Norm" w:cs="Times New Roman"/>
        </w:rPr>
        <w:t xml:space="preserve">said </w:t>
      </w:r>
      <w:r w:rsidRPr="00DD429D">
        <w:rPr>
          <w:rFonts w:ascii="MetaPro-Norm" w:eastAsia="Times New Roman" w:hAnsi="MetaPro-Norm" w:cs="Times New Roman"/>
        </w:rPr>
        <w:t xml:space="preserve">that they regularly gave medicines to adults without consent. Staff at several institutions confirmed that they put residents on psychoactive medications without seeking their consent </w:t>
      </w:r>
      <w:r w:rsidR="00D64D58" w:rsidRPr="00DD429D">
        <w:rPr>
          <w:rFonts w:ascii="MetaPro-Norm" w:eastAsia="Times New Roman" w:hAnsi="MetaPro-Norm" w:cs="Times New Roman"/>
        </w:rPr>
        <w:t xml:space="preserve">so that they could </w:t>
      </w:r>
      <w:r w:rsidRPr="00DD429D">
        <w:rPr>
          <w:rFonts w:ascii="MetaPro-Norm" w:eastAsia="Times New Roman" w:hAnsi="MetaPro-Norm" w:cs="Times New Roman"/>
        </w:rPr>
        <w:t>control residents’ behavior for staff convenience or as a punishment.</w:t>
      </w:r>
      <w:r w:rsidR="00D64D58" w:rsidRPr="00DD429D">
        <w:rPr>
          <w:rStyle w:val="FootnoteReference"/>
          <w:rFonts w:ascii="MetaPro-Norm" w:eastAsia="Times New Roman" w:hAnsi="MetaPro-Norm" w:cs="Times New Roman"/>
        </w:rPr>
        <w:footnoteReference w:id="4"/>
      </w:r>
    </w:p>
    <w:p w14:paraId="00000019" w14:textId="77777777" w:rsidR="00E063D8" w:rsidRPr="00DD429D" w:rsidRDefault="00E063D8">
      <w:pPr>
        <w:rPr>
          <w:rFonts w:ascii="MetaPro-Norm" w:eastAsia="Times New Roman" w:hAnsi="MetaPro-Norm" w:cs="Times New Roman"/>
        </w:rPr>
      </w:pPr>
    </w:p>
    <w:p w14:paraId="0000001A" w14:textId="77777777" w:rsidR="00E063D8" w:rsidRPr="00DD429D" w:rsidRDefault="00C62CAC">
      <w:pPr>
        <w:rPr>
          <w:rFonts w:ascii="MetaPro-Norm" w:eastAsia="Times New Roman" w:hAnsi="MetaPro-Norm" w:cs="Times New Roman"/>
          <w:b/>
          <w:u w:val="single"/>
        </w:rPr>
      </w:pPr>
      <w:r w:rsidRPr="00DD429D">
        <w:rPr>
          <w:rFonts w:ascii="MetaPro-Norm" w:eastAsia="Times New Roman" w:hAnsi="MetaPro-Norm" w:cs="Times New Roman"/>
          <w:b/>
          <w:u w:val="single"/>
        </w:rPr>
        <w:t xml:space="preserve">Australia </w:t>
      </w:r>
    </w:p>
    <w:p w14:paraId="0000001B" w14:textId="1664D4C0"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Human Rights Watch research</w:t>
      </w:r>
      <w:r w:rsidR="003F45F1" w:rsidRPr="00DD429D">
        <w:rPr>
          <w:rFonts w:ascii="MetaPro-Norm" w:eastAsia="Times New Roman" w:hAnsi="MetaPro-Norm" w:cs="Times New Roman"/>
        </w:rPr>
        <w:t xml:space="preserve"> </w:t>
      </w:r>
      <w:r w:rsidR="00795329" w:rsidRPr="00DD429D">
        <w:rPr>
          <w:rFonts w:ascii="MetaPro-Norm" w:eastAsia="Times New Roman" w:hAnsi="MetaPro-Norm" w:cs="Times New Roman"/>
        </w:rPr>
        <w:t xml:space="preserve">between September 2016 and January 2018 </w:t>
      </w:r>
      <w:r w:rsidR="003F45F1" w:rsidRPr="00DD429D">
        <w:rPr>
          <w:rFonts w:ascii="MetaPro-Norm" w:eastAsia="Times New Roman" w:hAnsi="MetaPro-Norm" w:cs="Times New Roman"/>
        </w:rPr>
        <w:t xml:space="preserve">on people with disabilities in </w:t>
      </w:r>
      <w:r w:rsidRPr="00DD429D">
        <w:rPr>
          <w:rFonts w:ascii="MetaPro-Norm" w:eastAsia="Times New Roman" w:hAnsi="MetaPro-Norm" w:cs="Times New Roman"/>
        </w:rPr>
        <w:t>14 prisons across Western Australia</w:t>
      </w:r>
      <w:r w:rsidR="00795329" w:rsidRPr="00DD429D">
        <w:rPr>
          <w:rFonts w:ascii="MetaPro-Norm" w:eastAsia="Times New Roman" w:hAnsi="MetaPro-Norm" w:cs="Times New Roman"/>
        </w:rPr>
        <w:t>,</w:t>
      </w:r>
      <w:r w:rsidRPr="00DD429D">
        <w:rPr>
          <w:rFonts w:ascii="MetaPro-Norm" w:eastAsia="Times New Roman" w:hAnsi="MetaPro-Norm" w:cs="Times New Roman"/>
        </w:rPr>
        <w:t xml:space="preserve"> </w:t>
      </w:r>
      <w:r w:rsidR="00795329" w:rsidRPr="00DD429D">
        <w:rPr>
          <w:rFonts w:ascii="MetaPro-Norm" w:eastAsia="Times New Roman" w:hAnsi="MetaPro-Norm" w:cs="Times New Roman"/>
        </w:rPr>
        <w:t>Queensland, New South Wales, and Victoria</w:t>
      </w:r>
      <w:r w:rsidRPr="00DD429D">
        <w:rPr>
          <w:rFonts w:ascii="MetaPro-Norm" w:eastAsia="Times New Roman" w:hAnsi="MetaPro-Norm" w:cs="Times New Roman"/>
        </w:rPr>
        <w:t xml:space="preserve"> found that prison staff, including mental health professionals, often fail to discuss with prisoners the nature, purpose, risks, and benefits of different types of treatment so that the prisoner is not in a position to make informed decisions </w:t>
      </w:r>
      <w:r w:rsidR="00D64D58" w:rsidRPr="00DD429D">
        <w:rPr>
          <w:rFonts w:ascii="MetaPro-Norm" w:eastAsia="Times New Roman" w:hAnsi="MetaPro-Norm" w:cs="Times New Roman"/>
        </w:rPr>
        <w:t xml:space="preserve">as to </w:t>
      </w:r>
      <w:r w:rsidRPr="00DD429D">
        <w:rPr>
          <w:rFonts w:ascii="MetaPro-Norm" w:eastAsia="Times New Roman" w:hAnsi="MetaPro-Norm" w:cs="Times New Roman"/>
        </w:rPr>
        <w:t>whether or not to consent to the treatment.</w:t>
      </w:r>
      <w:r w:rsidR="00795329" w:rsidRPr="00DD429D">
        <w:rPr>
          <w:rStyle w:val="FootnoteReference"/>
          <w:rFonts w:ascii="MetaPro-Norm" w:eastAsia="Times New Roman" w:hAnsi="MetaPro-Norm" w:cs="Times New Roman"/>
        </w:rPr>
        <w:footnoteReference w:id="5"/>
      </w:r>
      <w:r w:rsidRPr="00DD429D">
        <w:rPr>
          <w:rFonts w:ascii="MetaPro-Norm" w:eastAsia="Times New Roman" w:hAnsi="MetaPro-Norm" w:cs="Times New Roman"/>
        </w:rPr>
        <w:t xml:space="preserve"> </w:t>
      </w:r>
    </w:p>
    <w:p w14:paraId="0000001C" w14:textId="77777777" w:rsidR="00E063D8" w:rsidRPr="00DD429D" w:rsidRDefault="00E063D8">
      <w:pPr>
        <w:rPr>
          <w:rFonts w:ascii="MetaPro-Norm" w:eastAsia="Times New Roman" w:hAnsi="MetaPro-Norm" w:cs="Times New Roman"/>
        </w:rPr>
      </w:pPr>
    </w:p>
    <w:p w14:paraId="0000001D" w14:textId="23A23E15" w:rsidR="00E063D8" w:rsidRPr="00DD429D" w:rsidRDefault="00C62CAC" w:rsidP="00A64D93">
      <w:pPr>
        <w:rPr>
          <w:rFonts w:ascii="MetaPro-Norm" w:eastAsia="Times New Roman" w:hAnsi="MetaPro-Norm" w:cs="Times New Roman"/>
        </w:rPr>
      </w:pPr>
      <w:r w:rsidRPr="00DD429D">
        <w:rPr>
          <w:rFonts w:ascii="MetaPro-Norm" w:eastAsia="Times New Roman" w:hAnsi="MetaPro-Norm" w:cs="Times New Roman"/>
        </w:rPr>
        <w:t xml:space="preserve">Sterilization is another form of irreversible medical procedure </w:t>
      </w:r>
      <w:r w:rsidR="00467FB6" w:rsidRPr="00DD429D">
        <w:rPr>
          <w:rFonts w:ascii="MetaPro-Norm" w:eastAsia="Times New Roman" w:hAnsi="MetaPro-Norm" w:cs="Times New Roman"/>
        </w:rPr>
        <w:t xml:space="preserve">that has been repeatedly </w:t>
      </w:r>
      <w:r w:rsidRPr="00DD429D">
        <w:rPr>
          <w:rFonts w:ascii="MetaPro-Norm" w:eastAsia="Times New Roman" w:hAnsi="MetaPro-Norm" w:cs="Times New Roman"/>
        </w:rPr>
        <w:t xml:space="preserve">performed on </w:t>
      </w:r>
      <w:r w:rsidR="00A64D93" w:rsidRPr="00DD429D">
        <w:rPr>
          <w:rFonts w:ascii="MetaPro-Norm" w:eastAsia="Times New Roman" w:hAnsi="MetaPro-Norm" w:cs="Times New Roman"/>
        </w:rPr>
        <w:t xml:space="preserve">people with disabilities </w:t>
      </w:r>
      <w:r w:rsidRPr="00DD429D">
        <w:rPr>
          <w:rFonts w:ascii="MetaPro-Norm" w:eastAsia="Times New Roman" w:hAnsi="MetaPro-Norm" w:cs="Times New Roman"/>
        </w:rPr>
        <w:t xml:space="preserve">without appropriate regard for their free and informed consent. Under Australian law, sterilization of persons with disabilities without their free and informed consent is not a crime “if a family court or a guardianship tribunal determines that they </w:t>
      </w:r>
      <w:r w:rsidR="00467FB6" w:rsidRPr="00DD429D">
        <w:rPr>
          <w:rFonts w:ascii="MetaPro-Norm" w:eastAsia="Times New Roman" w:hAnsi="MetaPro-Norm" w:cs="Times New Roman"/>
        </w:rPr>
        <w:t>‘</w:t>
      </w:r>
      <w:r w:rsidRPr="00DD429D">
        <w:rPr>
          <w:rFonts w:ascii="MetaPro-Norm" w:eastAsia="Times New Roman" w:hAnsi="MetaPro-Norm" w:cs="Times New Roman"/>
        </w:rPr>
        <w:t>lack capacity</w:t>
      </w:r>
      <w:r w:rsidR="00467FB6" w:rsidRPr="00DD429D">
        <w:rPr>
          <w:rFonts w:ascii="MetaPro-Norm" w:eastAsia="Times New Roman" w:hAnsi="MetaPro-Norm" w:cs="Times New Roman"/>
        </w:rPr>
        <w:t>’</w:t>
      </w:r>
      <w:r w:rsidRPr="00DD429D">
        <w:rPr>
          <w:rFonts w:ascii="MetaPro-Norm" w:eastAsia="Times New Roman" w:hAnsi="MetaPro-Norm" w:cs="Times New Roman"/>
        </w:rPr>
        <w:t xml:space="preserve"> and the procedure is in their </w:t>
      </w:r>
      <w:r w:rsidR="00154652">
        <w:rPr>
          <w:rFonts w:ascii="MetaPro-Norm" w:eastAsia="Times New Roman" w:hAnsi="MetaPro-Norm" w:cs="Times New Roman"/>
        </w:rPr>
        <w:t>‘</w:t>
      </w:r>
      <w:r w:rsidRPr="00DD429D">
        <w:rPr>
          <w:rFonts w:ascii="MetaPro-Norm" w:eastAsia="Times New Roman" w:hAnsi="MetaPro-Norm" w:cs="Times New Roman"/>
        </w:rPr>
        <w:t>best interests.</w:t>
      </w:r>
      <w:r w:rsidR="00154652">
        <w:rPr>
          <w:rFonts w:ascii="MetaPro-Norm" w:eastAsia="Times New Roman" w:hAnsi="MetaPro-Norm" w:cs="Times New Roman"/>
        </w:rPr>
        <w:t>’</w:t>
      </w:r>
      <w:r w:rsidR="00A64D93" w:rsidRPr="00DD429D">
        <w:rPr>
          <w:rFonts w:ascii="MetaPro-Norm" w:eastAsia="Times New Roman" w:hAnsi="MetaPro-Norm" w:cs="Times New Roman"/>
        </w:rPr>
        <w:t>”</w:t>
      </w:r>
      <w:r w:rsidR="00A64D93" w:rsidRPr="00DD429D">
        <w:rPr>
          <w:rStyle w:val="FootnoteReference"/>
          <w:rFonts w:ascii="MetaPro-Norm" w:eastAsia="Times New Roman" w:hAnsi="MetaPro-Norm" w:cs="Times New Roman"/>
        </w:rPr>
        <w:footnoteReference w:id="6"/>
      </w:r>
      <w:r w:rsidR="00A64D93" w:rsidRPr="00DD429D">
        <w:rPr>
          <w:rFonts w:ascii="MetaPro-Norm" w:eastAsia="Times New Roman" w:hAnsi="MetaPro-Norm" w:cs="Times New Roman"/>
        </w:rPr>
        <w:t xml:space="preserve"> </w:t>
      </w:r>
    </w:p>
    <w:p w14:paraId="0000001E" w14:textId="77777777" w:rsidR="00E063D8" w:rsidRPr="00DD429D" w:rsidRDefault="00E063D8">
      <w:pPr>
        <w:rPr>
          <w:rFonts w:ascii="MetaPro-Norm" w:eastAsia="Times New Roman" w:hAnsi="MetaPro-Norm" w:cs="Times New Roman"/>
        </w:rPr>
      </w:pPr>
    </w:p>
    <w:p w14:paraId="0000001F" w14:textId="1A1F9877"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 xml:space="preserve">A </w:t>
      </w:r>
      <w:r w:rsidR="00A64D93" w:rsidRPr="00DD429D">
        <w:rPr>
          <w:rFonts w:ascii="MetaPro-Norm" w:eastAsia="Times New Roman" w:hAnsi="MetaPro-Norm" w:cs="Times New Roman"/>
        </w:rPr>
        <w:t xml:space="preserve">2013 </w:t>
      </w:r>
      <w:r w:rsidR="003F45F1" w:rsidRPr="00DD429D">
        <w:rPr>
          <w:rFonts w:ascii="MetaPro-Norm" w:eastAsia="Times New Roman" w:hAnsi="MetaPro-Norm" w:cs="Times New Roman"/>
        </w:rPr>
        <w:t xml:space="preserve">Australian </w:t>
      </w:r>
      <w:r w:rsidRPr="00DD429D">
        <w:rPr>
          <w:rFonts w:ascii="MetaPro-Norm" w:eastAsia="Times New Roman" w:hAnsi="MetaPro-Norm" w:cs="Times New Roman"/>
        </w:rPr>
        <w:t xml:space="preserve">Senate inquiry into involuntary or coerced sterilization of people with disabilities in Australia revealed that 59 requests for sterilization of women and girls with </w:t>
      </w:r>
      <w:r w:rsidRPr="00DD429D">
        <w:rPr>
          <w:rFonts w:ascii="MetaPro-Norm" w:eastAsia="Times New Roman" w:hAnsi="MetaPro-Norm" w:cs="Times New Roman"/>
        </w:rPr>
        <w:lastRenderedPageBreak/>
        <w:t>disabilities were approved by state and territory tribunals between 1992 and 2013 but noted that the data was incomplete due to variations across states and territories.</w:t>
      </w:r>
      <w:r w:rsidR="00467FB6" w:rsidRPr="00DD429D">
        <w:rPr>
          <w:rStyle w:val="FootnoteReference"/>
          <w:rFonts w:ascii="MetaPro-Norm" w:eastAsia="Times New Roman" w:hAnsi="MetaPro-Norm" w:cs="Times New Roman"/>
        </w:rPr>
        <w:footnoteReference w:id="7"/>
      </w:r>
      <w:r w:rsidRPr="00DD429D">
        <w:rPr>
          <w:rFonts w:ascii="MetaPro-Norm" w:eastAsia="Times New Roman" w:hAnsi="MetaPro-Norm" w:cs="Times New Roman"/>
        </w:rPr>
        <w:t xml:space="preserve"> </w:t>
      </w:r>
    </w:p>
    <w:p w14:paraId="00000020" w14:textId="77777777" w:rsidR="00E063D8" w:rsidRPr="00DD429D" w:rsidRDefault="00E063D8">
      <w:pPr>
        <w:rPr>
          <w:rFonts w:ascii="MetaPro-Norm" w:eastAsia="Times New Roman" w:hAnsi="MetaPro-Norm" w:cs="Times New Roman"/>
        </w:rPr>
      </w:pPr>
    </w:p>
    <w:p w14:paraId="00000021" w14:textId="4785DA88" w:rsidR="00E063D8" w:rsidRPr="00DD429D" w:rsidRDefault="00467FB6">
      <w:pPr>
        <w:rPr>
          <w:rFonts w:ascii="MetaPro-Norm" w:eastAsia="Times New Roman" w:hAnsi="MetaPro-Norm" w:cs="Times New Roman"/>
        </w:rPr>
      </w:pPr>
      <w:r w:rsidRPr="00DD429D">
        <w:rPr>
          <w:rFonts w:ascii="MetaPro-Norm" w:eastAsia="Times New Roman" w:hAnsi="MetaPro-Norm" w:cs="Times New Roman"/>
        </w:rPr>
        <w:t>S</w:t>
      </w:r>
      <w:r w:rsidR="00C62CAC" w:rsidRPr="00DD429D">
        <w:rPr>
          <w:rFonts w:ascii="MetaPro-Norm" w:eastAsia="Times New Roman" w:hAnsi="MetaPro-Norm" w:cs="Times New Roman"/>
        </w:rPr>
        <w:t xml:space="preserve">everal UN bodies including Human Rights Council, the Committee on the Elimination of Discrimination against Women, the Committee on the Rights of the Child, and the Committee on the Rights of Persons with Disabilities have repeatedly </w:t>
      </w:r>
      <w:r w:rsidR="00775CF2" w:rsidRPr="00DD429D">
        <w:rPr>
          <w:rFonts w:ascii="MetaPro-Norm" w:eastAsia="Times New Roman" w:hAnsi="MetaPro-Norm" w:cs="Times New Roman"/>
        </w:rPr>
        <w:t>condemned</w:t>
      </w:r>
      <w:r w:rsidR="00C62CAC" w:rsidRPr="00DD429D">
        <w:rPr>
          <w:rFonts w:ascii="MetaPro-Norm" w:eastAsia="Times New Roman" w:hAnsi="MetaPro-Norm" w:cs="Times New Roman"/>
        </w:rPr>
        <w:t xml:space="preserve"> </w:t>
      </w:r>
      <w:r w:rsidR="00775CF2" w:rsidRPr="00DD429D">
        <w:rPr>
          <w:rFonts w:ascii="MetaPro-Norm" w:eastAsia="Times New Roman" w:hAnsi="MetaPro-Norm" w:cs="Times New Roman"/>
        </w:rPr>
        <w:t>Australia</w:t>
      </w:r>
      <w:r w:rsidR="00C62CAC" w:rsidRPr="00DD429D">
        <w:rPr>
          <w:rFonts w:ascii="MetaPro-Norm" w:eastAsia="Times New Roman" w:hAnsi="MetaPro-Norm" w:cs="Times New Roman"/>
        </w:rPr>
        <w:t xml:space="preserve"> for the practice of forced sterilizations of children and adults with disabilities without their free and informed consent</w:t>
      </w:r>
      <w:r w:rsidRPr="00DD429D">
        <w:rPr>
          <w:rFonts w:ascii="MetaPro-Norm" w:eastAsia="Times New Roman" w:hAnsi="MetaPro-Norm" w:cs="Times New Roman"/>
        </w:rPr>
        <w:t>.</w:t>
      </w:r>
      <w:r w:rsidRPr="00DD429D">
        <w:rPr>
          <w:rStyle w:val="FootnoteReference"/>
          <w:rFonts w:ascii="MetaPro-Norm" w:eastAsia="Times New Roman" w:hAnsi="MetaPro-Norm" w:cs="Times New Roman"/>
        </w:rPr>
        <w:footnoteReference w:id="8"/>
      </w:r>
      <w:r w:rsidRPr="00DD429D">
        <w:rPr>
          <w:rFonts w:ascii="MetaPro-Norm" w:eastAsia="Times New Roman" w:hAnsi="MetaPro-Norm" w:cs="Times New Roman"/>
        </w:rPr>
        <w:t xml:space="preserve"> However,</w:t>
      </w:r>
      <w:r w:rsidR="00C62CAC" w:rsidRPr="00DD429D">
        <w:rPr>
          <w:rFonts w:ascii="MetaPro-Norm" w:eastAsia="Times New Roman" w:hAnsi="MetaPro-Norm" w:cs="Times New Roman"/>
        </w:rPr>
        <w:t xml:space="preserve"> the practice </w:t>
      </w:r>
      <w:r w:rsidR="003F45F1" w:rsidRPr="00DD429D">
        <w:rPr>
          <w:rFonts w:ascii="MetaPro-Norm" w:eastAsia="Times New Roman" w:hAnsi="MetaPro-Norm" w:cs="Times New Roman"/>
        </w:rPr>
        <w:t>continues</w:t>
      </w:r>
      <w:r w:rsidR="00737CAA" w:rsidRPr="00DD429D">
        <w:rPr>
          <w:rFonts w:ascii="MetaPro-Norm" w:eastAsia="Times New Roman" w:hAnsi="MetaPro-Norm" w:cs="Times New Roman"/>
        </w:rPr>
        <w:t xml:space="preserve"> as evidenced by a 2016 Family Court case where medical treatment was carried out without adequate evidence nor independent oversight</w:t>
      </w:r>
      <w:r w:rsidR="00C62CAC" w:rsidRPr="00DD429D">
        <w:rPr>
          <w:rFonts w:ascii="MetaPro-Norm" w:eastAsia="Times New Roman" w:hAnsi="MetaPro-Norm" w:cs="Times New Roman"/>
        </w:rPr>
        <w:t>.</w:t>
      </w:r>
      <w:r w:rsidRPr="00DD429D">
        <w:rPr>
          <w:rStyle w:val="FootnoteReference"/>
          <w:rFonts w:ascii="MetaPro-Norm" w:eastAsia="Times New Roman" w:hAnsi="MetaPro-Norm" w:cs="Times New Roman"/>
        </w:rPr>
        <w:footnoteReference w:id="9"/>
      </w:r>
      <w:r w:rsidR="00C62CAC" w:rsidRPr="00DD429D">
        <w:rPr>
          <w:rFonts w:ascii="MetaPro-Norm" w:eastAsia="Times New Roman" w:hAnsi="MetaPro-Norm" w:cs="Times New Roman"/>
        </w:rPr>
        <w:t xml:space="preserve"> </w:t>
      </w:r>
    </w:p>
    <w:p w14:paraId="00000022" w14:textId="77777777" w:rsidR="00E063D8" w:rsidRPr="00DD429D" w:rsidRDefault="00E063D8">
      <w:pPr>
        <w:rPr>
          <w:rFonts w:ascii="MetaPro-Norm" w:eastAsia="Times New Roman" w:hAnsi="MetaPro-Norm" w:cs="Times New Roman"/>
        </w:rPr>
      </w:pPr>
    </w:p>
    <w:p w14:paraId="00000023" w14:textId="77777777" w:rsidR="00E063D8" w:rsidRPr="00DD429D" w:rsidRDefault="00C62CAC">
      <w:pPr>
        <w:rPr>
          <w:rFonts w:ascii="MetaPro-Norm" w:eastAsia="Times New Roman" w:hAnsi="MetaPro-Norm" w:cs="Times New Roman"/>
          <w:b/>
          <w:u w:val="single"/>
        </w:rPr>
      </w:pPr>
      <w:r w:rsidRPr="00DD429D">
        <w:rPr>
          <w:rFonts w:ascii="MetaPro-Norm" w:eastAsia="Times New Roman" w:hAnsi="MetaPro-Norm" w:cs="Times New Roman"/>
          <w:b/>
          <w:u w:val="single"/>
        </w:rPr>
        <w:t>Serbia</w:t>
      </w:r>
    </w:p>
    <w:p w14:paraId="00000024" w14:textId="619242B4"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Under Serbia’s Law on the Rights of Patients, healthcare providers do not need to obtain consent for medical treatment or interventions of a person who has been deprived of legal capacity and placed under guardianship.</w:t>
      </w:r>
      <w:r w:rsidR="00467FB6" w:rsidRPr="00DD429D">
        <w:rPr>
          <w:rStyle w:val="FootnoteReference"/>
          <w:rFonts w:ascii="MetaPro-Norm" w:eastAsia="Times New Roman" w:hAnsi="MetaPro-Norm" w:cs="Times New Roman"/>
        </w:rPr>
        <w:footnoteReference w:id="10"/>
      </w:r>
      <w:r w:rsidRPr="00DD429D">
        <w:rPr>
          <w:rFonts w:ascii="MetaPro-Norm" w:eastAsia="Times New Roman" w:hAnsi="MetaPro-Norm" w:cs="Times New Roman"/>
        </w:rPr>
        <w:t xml:space="preserve"> The guardian’s consent alone is enough to carry out medical procedures. Most women and girls with intellectual disabilities are deprived of their legal capacity and placed under guardianship, which means that they cannot decide on their medical interventions, parenting, or reproductive rights.</w:t>
      </w:r>
    </w:p>
    <w:p w14:paraId="00000025" w14:textId="77777777" w:rsidR="00E063D8" w:rsidRPr="00DD429D" w:rsidRDefault="00E063D8">
      <w:pPr>
        <w:rPr>
          <w:rFonts w:ascii="MetaPro-Norm" w:eastAsia="Times New Roman" w:hAnsi="MetaPro-Norm" w:cs="Times New Roman"/>
        </w:rPr>
      </w:pPr>
    </w:p>
    <w:p w14:paraId="00000026" w14:textId="18B10189"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 xml:space="preserve">In 2015, Human Rights Watch </w:t>
      </w:r>
      <w:r w:rsidR="00467FB6" w:rsidRPr="00DD429D">
        <w:rPr>
          <w:rFonts w:ascii="MetaPro-Norm" w:eastAsia="Times New Roman" w:hAnsi="MetaPro-Norm" w:cs="Times New Roman"/>
        </w:rPr>
        <w:t xml:space="preserve">conducted </w:t>
      </w:r>
      <w:r w:rsidRPr="00DD429D">
        <w:rPr>
          <w:rFonts w:ascii="MetaPro-Norm" w:eastAsia="Times New Roman" w:hAnsi="MetaPro-Norm" w:cs="Times New Roman"/>
        </w:rPr>
        <w:t>118 in-depth interviews with children and adults with disabilities, disability advocates, staff of institutions, and government officials, and visits to five institutions for people with disabilities</w:t>
      </w:r>
      <w:r w:rsidR="00467FB6" w:rsidRPr="00DD429D">
        <w:rPr>
          <w:rFonts w:ascii="MetaPro-Norm" w:eastAsia="Times New Roman" w:hAnsi="MetaPro-Norm" w:cs="Times New Roman"/>
        </w:rPr>
        <w:t>.</w:t>
      </w:r>
      <w:r w:rsidRPr="00DD429D">
        <w:rPr>
          <w:rFonts w:ascii="MetaPro-Norm" w:eastAsia="Times New Roman" w:hAnsi="MetaPro-Norm" w:cs="Times New Roman"/>
        </w:rPr>
        <w:t xml:space="preserve"> </w:t>
      </w:r>
      <w:r w:rsidR="00A841AC" w:rsidRPr="00DD429D">
        <w:rPr>
          <w:rFonts w:ascii="MetaPro-Norm" w:eastAsia="Times New Roman" w:hAnsi="MetaPro-Norm" w:cs="Times New Roman"/>
        </w:rPr>
        <w:t xml:space="preserve">Human Rights Watch </w:t>
      </w:r>
      <w:r w:rsidRPr="00DD429D">
        <w:rPr>
          <w:rFonts w:ascii="MetaPro-Norm" w:eastAsia="Times New Roman" w:hAnsi="MetaPro-Norm" w:cs="Times New Roman"/>
        </w:rPr>
        <w:t>documented that some women living in institutions were subjected to invasive medical interventions without their consent.</w:t>
      </w:r>
      <w:r w:rsidRPr="00DD429D">
        <w:rPr>
          <w:rFonts w:ascii="MetaPro-Norm" w:eastAsia="Times New Roman" w:hAnsi="MetaPro-Norm" w:cs="Times New Roman"/>
          <w:vertAlign w:val="superscript"/>
        </w:rPr>
        <w:footnoteReference w:id="11"/>
      </w:r>
    </w:p>
    <w:p w14:paraId="00000027" w14:textId="77777777" w:rsidR="00E063D8" w:rsidRPr="00DD429D" w:rsidRDefault="00E063D8">
      <w:pPr>
        <w:rPr>
          <w:rFonts w:ascii="MetaPro-Norm" w:eastAsia="Times New Roman" w:hAnsi="MetaPro-Norm" w:cs="Times New Roman"/>
        </w:rPr>
      </w:pPr>
    </w:p>
    <w:p w14:paraId="00000029" w14:textId="68FB3FBA"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In its 2016 review of Serbia, the Committee on the Rights of Persons with Disabilities (CRPD Committee) recommended that Serbia investigate and prohibit “all medical interventions without the prior consent of persons with disabilities and provide sufficient remedies and compensation to those subjected to such procedures.”</w:t>
      </w:r>
      <w:r w:rsidRPr="00DD429D">
        <w:rPr>
          <w:rFonts w:ascii="MetaPro-Norm" w:eastAsia="Times New Roman" w:hAnsi="MetaPro-Norm" w:cs="Times New Roman"/>
          <w:vertAlign w:val="superscript"/>
        </w:rPr>
        <w:footnoteReference w:id="12"/>
      </w:r>
      <w:r w:rsidRPr="00DD429D">
        <w:rPr>
          <w:rFonts w:ascii="MetaPro-Norm" w:eastAsia="Times New Roman" w:hAnsi="MetaPro-Norm" w:cs="Times New Roman"/>
        </w:rPr>
        <w:t xml:space="preserve"> The CRPD Committee also expressed concern that persons with disabilities </w:t>
      </w:r>
      <w:r w:rsidR="00797AE1" w:rsidRPr="00DD429D">
        <w:rPr>
          <w:rFonts w:ascii="MetaPro-Norm" w:eastAsia="Times New Roman" w:hAnsi="MetaPro-Norm" w:cs="Times New Roman"/>
        </w:rPr>
        <w:t xml:space="preserve">were being </w:t>
      </w:r>
      <w:r w:rsidRPr="00DD429D">
        <w:rPr>
          <w:rFonts w:ascii="MetaPro-Norm" w:eastAsia="Times New Roman" w:hAnsi="MetaPro-Norm" w:cs="Times New Roman"/>
        </w:rPr>
        <w:t>subjected to contraceptive treatments, abortions and sterilization against their will,</w:t>
      </w:r>
      <w:r w:rsidRPr="00DD429D">
        <w:rPr>
          <w:rFonts w:ascii="MetaPro-Norm" w:eastAsia="Times New Roman" w:hAnsi="MetaPro-Norm" w:cs="Times New Roman"/>
          <w:vertAlign w:val="superscript"/>
        </w:rPr>
        <w:footnoteReference w:id="13"/>
      </w:r>
      <w:r w:rsidRPr="00DD429D">
        <w:rPr>
          <w:rFonts w:ascii="MetaPro-Norm" w:eastAsia="Times New Roman" w:hAnsi="MetaPro-Norm" w:cs="Times New Roman"/>
        </w:rPr>
        <w:t xml:space="preserve"> and urged Serbia to “take all necessary measures to ensure their right to free, prior and informed consent for any kind of treatment that may affect a person with a disability, regardless of her/his legal capacity.”</w:t>
      </w:r>
      <w:r w:rsidRPr="00DD429D">
        <w:rPr>
          <w:rFonts w:ascii="MetaPro-Norm" w:eastAsia="Times New Roman" w:hAnsi="MetaPro-Norm" w:cs="Times New Roman"/>
          <w:vertAlign w:val="superscript"/>
        </w:rPr>
        <w:footnoteReference w:id="14"/>
      </w:r>
    </w:p>
    <w:p w14:paraId="15C590EB" w14:textId="77777777" w:rsidR="003F45F1" w:rsidRPr="00DD429D" w:rsidRDefault="003F45F1">
      <w:pPr>
        <w:rPr>
          <w:rFonts w:ascii="MetaPro-Norm" w:eastAsia="Times New Roman" w:hAnsi="MetaPro-Norm" w:cs="Times New Roman"/>
        </w:rPr>
      </w:pPr>
    </w:p>
    <w:p w14:paraId="0000002A" w14:textId="7601B64E" w:rsidR="00E063D8" w:rsidRPr="00DD429D" w:rsidRDefault="00C62CAC">
      <w:pPr>
        <w:rPr>
          <w:rFonts w:ascii="MetaPro-Norm" w:eastAsia="Times New Roman" w:hAnsi="MetaPro-Norm" w:cs="Times New Roman"/>
        </w:rPr>
      </w:pPr>
      <w:r w:rsidRPr="00DD429D">
        <w:rPr>
          <w:rFonts w:ascii="MetaPro-Norm" w:eastAsia="Times New Roman" w:hAnsi="MetaPro-Norm" w:cs="Times New Roman"/>
        </w:rPr>
        <w:t xml:space="preserve">Human Rights Watch interviews with three local </w:t>
      </w:r>
      <w:r w:rsidR="00A841AC" w:rsidRPr="00DD429D">
        <w:rPr>
          <w:rFonts w:ascii="MetaPro-Norm" w:eastAsia="Times New Roman" w:hAnsi="MetaPro-Norm" w:cs="Times New Roman"/>
        </w:rPr>
        <w:t>nongovernmental organizations</w:t>
      </w:r>
      <w:r w:rsidRPr="00DD429D">
        <w:rPr>
          <w:rFonts w:ascii="MetaPro-Norm" w:eastAsia="Times New Roman" w:hAnsi="MetaPro-Norm" w:cs="Times New Roman"/>
        </w:rPr>
        <w:t xml:space="preserve"> in 2018 and 2019 found that these </w:t>
      </w:r>
      <w:r w:rsidR="003F45F1" w:rsidRPr="00DD429D">
        <w:rPr>
          <w:rFonts w:ascii="MetaPro-Norm" w:eastAsia="Times New Roman" w:hAnsi="MetaPro-Norm" w:cs="Times New Roman"/>
        </w:rPr>
        <w:t xml:space="preserve">coercive </w:t>
      </w:r>
      <w:r w:rsidRPr="00DD429D">
        <w:rPr>
          <w:rFonts w:ascii="MetaPro-Norm" w:eastAsia="Times New Roman" w:hAnsi="MetaPro-Norm" w:cs="Times New Roman"/>
        </w:rPr>
        <w:t xml:space="preserve">practices </w:t>
      </w:r>
      <w:r w:rsidR="003F45F1" w:rsidRPr="00DD429D">
        <w:rPr>
          <w:rFonts w:ascii="MetaPro-Norm" w:eastAsia="Times New Roman" w:hAnsi="MetaPro-Norm" w:cs="Times New Roman"/>
        </w:rPr>
        <w:t>continue</w:t>
      </w:r>
      <w:r w:rsidRPr="00DD429D">
        <w:rPr>
          <w:rFonts w:ascii="MetaPro-Norm" w:eastAsia="Times New Roman" w:hAnsi="MetaPro-Norm" w:cs="Times New Roman"/>
        </w:rPr>
        <w:t xml:space="preserve"> in institutions across Serbia.</w:t>
      </w:r>
      <w:r w:rsidRPr="00DD429D">
        <w:rPr>
          <w:rFonts w:ascii="MetaPro-Norm" w:eastAsia="Times New Roman" w:hAnsi="MetaPro-Norm" w:cs="Times New Roman"/>
          <w:vertAlign w:val="superscript"/>
        </w:rPr>
        <w:footnoteReference w:id="15"/>
      </w:r>
      <w:r w:rsidR="00A64D93" w:rsidRPr="00DD429D">
        <w:rPr>
          <w:rFonts w:ascii="MetaPro-Norm" w:eastAsia="Times New Roman" w:hAnsi="MetaPro-Norm" w:cs="Times New Roman"/>
        </w:rPr>
        <w:t xml:space="preserve"> H</w:t>
      </w:r>
      <w:r w:rsidRPr="00DD429D">
        <w:rPr>
          <w:rFonts w:ascii="MetaPro-Norm" w:eastAsia="Times New Roman" w:hAnsi="MetaPro-Norm" w:cs="Times New Roman"/>
        </w:rPr>
        <w:t xml:space="preserve">uman Rights Watch found that women with disabilities are deprived of legal capacity and that contraceptives are administered </w:t>
      </w:r>
      <w:r w:rsidR="00A841AC" w:rsidRPr="00DD429D">
        <w:rPr>
          <w:rFonts w:ascii="MetaPro-Norm" w:eastAsia="Times New Roman" w:hAnsi="MetaPro-Norm" w:cs="Times New Roman"/>
        </w:rPr>
        <w:t xml:space="preserve">at </w:t>
      </w:r>
      <w:r w:rsidRPr="00DD429D">
        <w:rPr>
          <w:rFonts w:ascii="MetaPro-Norm" w:eastAsia="Times New Roman" w:hAnsi="MetaPro-Norm" w:cs="Times New Roman"/>
        </w:rPr>
        <w:t>times even without consent from guardians.</w:t>
      </w:r>
      <w:r w:rsidRPr="00DD429D">
        <w:rPr>
          <w:rFonts w:ascii="MetaPro-Norm" w:eastAsia="Times New Roman" w:hAnsi="MetaPro-Norm" w:cs="Times New Roman"/>
          <w:vertAlign w:val="superscript"/>
        </w:rPr>
        <w:footnoteReference w:id="16"/>
      </w:r>
    </w:p>
    <w:p w14:paraId="0000002B" w14:textId="77777777" w:rsidR="00E063D8" w:rsidRPr="00DD429D" w:rsidRDefault="00E063D8">
      <w:pPr>
        <w:rPr>
          <w:rFonts w:ascii="MetaPro-Norm" w:eastAsia="Times New Roman" w:hAnsi="MetaPro-Norm" w:cs="Times New Roman"/>
        </w:rPr>
      </w:pPr>
    </w:p>
    <w:p w14:paraId="0000002C" w14:textId="77777777" w:rsidR="00E063D8" w:rsidRPr="00DD429D" w:rsidRDefault="00C62CAC">
      <w:pPr>
        <w:rPr>
          <w:rFonts w:ascii="MetaPro-Norm" w:eastAsia="Times New Roman" w:hAnsi="MetaPro-Norm" w:cs="Times New Roman"/>
          <w:b/>
          <w:u w:val="single"/>
        </w:rPr>
      </w:pPr>
      <w:r w:rsidRPr="00DD429D">
        <w:rPr>
          <w:rFonts w:ascii="MetaPro-Norm" w:eastAsia="Times New Roman" w:hAnsi="MetaPro-Norm" w:cs="Times New Roman"/>
          <w:b/>
          <w:u w:val="single"/>
        </w:rPr>
        <w:t>India</w:t>
      </w:r>
    </w:p>
    <w:p w14:paraId="00000035" w14:textId="458DFE24" w:rsidR="00E063D8" w:rsidRPr="00DD429D" w:rsidRDefault="00C62CAC" w:rsidP="00A64D93">
      <w:pPr>
        <w:rPr>
          <w:rFonts w:ascii="MetaPro-Norm" w:eastAsia="Times New Roman" w:hAnsi="MetaPro-Norm" w:cs="Times New Roman"/>
        </w:rPr>
      </w:pPr>
      <w:r w:rsidRPr="00DD429D">
        <w:rPr>
          <w:rFonts w:ascii="MetaPro-Norm" w:eastAsia="Times New Roman" w:hAnsi="MetaPro-Norm" w:cs="Times New Roman"/>
        </w:rPr>
        <w:t>Women and girls with intellectual disabilities continue to be sterilized without their consent in India. Sterilization often occurs for the purpose of ending menstruation or because of fear o</w:t>
      </w:r>
      <w:r w:rsidR="003F45F1" w:rsidRPr="00DD429D">
        <w:rPr>
          <w:rFonts w:ascii="MetaPro-Norm" w:eastAsia="Times New Roman" w:hAnsi="MetaPro-Norm" w:cs="Times New Roman"/>
        </w:rPr>
        <w:t>f</w:t>
      </w:r>
      <w:r w:rsidRPr="00DD429D">
        <w:rPr>
          <w:rFonts w:ascii="MetaPro-Norm" w:eastAsia="Times New Roman" w:hAnsi="MetaPro-Norm" w:cs="Times New Roman"/>
        </w:rPr>
        <w:t xml:space="preserve"> sexual assault or exploitation resulting in unwanted pregnancies. The government does not provide adequate health and social services for women and girls with psychosocial or intellectual disabilities primarily due to stigma, social exclusion and discrimination. In addition, the government does not recognize that women and girls with disabilities have legal capacity, or the right to make decisions for themselves, on an equal basis with others. </w:t>
      </w:r>
      <w:r w:rsidR="00C35FB6" w:rsidRPr="00DD429D">
        <w:rPr>
          <w:rFonts w:ascii="MetaPro-Norm" w:eastAsia="Times New Roman" w:hAnsi="MetaPro-Norm" w:cs="Times New Roman"/>
        </w:rPr>
        <w:t>In these cases,</w:t>
      </w:r>
      <w:r w:rsidR="003F45F1" w:rsidRPr="00DD429D">
        <w:rPr>
          <w:rFonts w:ascii="MetaPro-Norm" w:eastAsia="Times New Roman" w:hAnsi="MetaPro-Norm" w:cs="Times New Roman"/>
        </w:rPr>
        <w:t xml:space="preserve"> </w:t>
      </w:r>
      <w:r w:rsidR="00C35FB6" w:rsidRPr="00DD429D">
        <w:rPr>
          <w:rFonts w:ascii="MetaPro-Norm" w:eastAsia="Times New Roman" w:hAnsi="MetaPro-Norm" w:cs="Times New Roman"/>
        </w:rPr>
        <w:t>individuals</w:t>
      </w:r>
      <w:r w:rsidRPr="00DD429D">
        <w:rPr>
          <w:rFonts w:ascii="MetaPro-Norm" w:eastAsia="Times New Roman" w:hAnsi="MetaPro-Norm" w:cs="Times New Roman"/>
        </w:rPr>
        <w:t xml:space="preserve"> may consent to medical treatment including sterilization on women’s behalf.</w:t>
      </w:r>
      <w:r w:rsidR="00A841AC" w:rsidRPr="00DD429D">
        <w:rPr>
          <w:rStyle w:val="FootnoteReference"/>
          <w:rFonts w:ascii="MetaPro-Norm" w:eastAsia="Times New Roman" w:hAnsi="MetaPro-Norm" w:cs="Times New Roman"/>
        </w:rPr>
        <w:footnoteReference w:id="17"/>
      </w:r>
    </w:p>
    <w:sectPr w:rsidR="00E063D8" w:rsidRPr="00DD429D" w:rsidSect="00B27EDE">
      <w:foot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9199" w14:textId="77777777" w:rsidR="009F03C5" w:rsidRDefault="009F03C5">
      <w:pPr>
        <w:spacing w:line="240" w:lineRule="auto"/>
      </w:pPr>
      <w:r>
        <w:separator/>
      </w:r>
    </w:p>
  </w:endnote>
  <w:endnote w:type="continuationSeparator" w:id="0">
    <w:p w14:paraId="2634832C" w14:textId="77777777" w:rsidR="009F03C5" w:rsidRDefault="009F0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MetaNormal-Roman">
    <w:panose1 w:val="020B0502030000020004"/>
    <w:charset w:val="00"/>
    <w:family w:val="swiss"/>
    <w:pitch w:val="variable"/>
    <w:sig w:usb0="80000027"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275982"/>
      <w:docPartObj>
        <w:docPartGallery w:val="Page Numbers (Bottom of Page)"/>
        <w:docPartUnique/>
      </w:docPartObj>
    </w:sdtPr>
    <w:sdtEndPr>
      <w:rPr>
        <w:noProof/>
      </w:rPr>
    </w:sdtEndPr>
    <w:sdtContent>
      <w:p w14:paraId="2F58EA8C" w14:textId="630E279D" w:rsidR="00B27EDE" w:rsidRDefault="00B27E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5A473" w14:textId="77777777" w:rsidR="00B27EDE" w:rsidRDefault="00B2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A7D4" w14:textId="77777777" w:rsidR="009F03C5" w:rsidRDefault="009F03C5">
      <w:pPr>
        <w:spacing w:line="240" w:lineRule="auto"/>
      </w:pPr>
      <w:r>
        <w:separator/>
      </w:r>
    </w:p>
  </w:footnote>
  <w:footnote w:type="continuationSeparator" w:id="0">
    <w:p w14:paraId="2EEA1FF4" w14:textId="77777777" w:rsidR="009F03C5" w:rsidRDefault="009F03C5">
      <w:pPr>
        <w:spacing w:line="240" w:lineRule="auto"/>
      </w:pPr>
      <w:r>
        <w:continuationSeparator/>
      </w:r>
    </w:p>
  </w:footnote>
  <w:footnote w:id="1">
    <w:p w14:paraId="1E3773FA" w14:textId="0F1B3C1E" w:rsidR="003F45F1" w:rsidRPr="00DD429D" w:rsidRDefault="003F45F1" w:rsidP="00795329">
      <w:pPr>
        <w:rPr>
          <w:rFonts w:ascii="MetaPro-Norm" w:hAnsi="MetaPro-Norm" w:cs="Times New Roman"/>
          <w:sz w:val="16"/>
          <w:szCs w:val="16"/>
          <w:lang w:val="en-US"/>
        </w:rPr>
      </w:pPr>
      <w:r w:rsidRPr="00DD429D">
        <w:rPr>
          <w:rStyle w:val="FootnoteReference"/>
          <w:rFonts w:ascii="MetaPro-Norm" w:hAnsi="MetaPro-Norm" w:cs="Times New Roman"/>
          <w:sz w:val="16"/>
          <w:szCs w:val="16"/>
        </w:rPr>
        <w:footnoteRef/>
      </w:r>
      <w:r w:rsidR="00795329" w:rsidRPr="00DD429D">
        <w:rPr>
          <w:rFonts w:ascii="MetaPro-Norm" w:hAnsi="MetaPro-Norm" w:cs="Times New Roman"/>
          <w:sz w:val="16"/>
          <w:szCs w:val="16"/>
          <w:lang w:val="en-US"/>
        </w:rPr>
        <w:t>“‘I Am Equally Human’: Discrimination and Lack of Accessibility for People with Disabilities in Iran</w:t>
      </w:r>
      <w:r w:rsidR="00A841AC" w:rsidRPr="00DD429D">
        <w:rPr>
          <w:rFonts w:ascii="MetaPro-Norm" w:hAnsi="MetaPro-Norm" w:cs="Times New Roman"/>
          <w:sz w:val="16"/>
          <w:szCs w:val="16"/>
          <w:lang w:val="en-US"/>
        </w:rPr>
        <w:t>,</w:t>
      </w:r>
      <w:r w:rsidR="00795329" w:rsidRPr="00DD429D">
        <w:rPr>
          <w:rFonts w:ascii="MetaPro-Norm" w:hAnsi="MetaPro-Norm" w:cs="Times New Roman"/>
          <w:sz w:val="16"/>
          <w:szCs w:val="16"/>
          <w:lang w:val="en-US"/>
        </w:rPr>
        <w:t xml:space="preserve">” Human Rights Watch, </w:t>
      </w:r>
      <w:r w:rsidR="00DD429D" w:rsidRPr="00DD429D">
        <w:rPr>
          <w:rFonts w:ascii="MetaPro-Norm" w:hAnsi="MetaPro-Norm" w:cs="Times New Roman"/>
          <w:sz w:val="16"/>
          <w:szCs w:val="16"/>
          <w:lang w:val="en-US"/>
        </w:rPr>
        <w:t xml:space="preserve">June 26, 2018, </w:t>
      </w:r>
      <w:r w:rsidR="00795329" w:rsidRPr="00DD429D">
        <w:rPr>
          <w:rFonts w:ascii="MetaPro-Norm" w:hAnsi="MetaPro-Norm" w:cs="Times New Roman"/>
          <w:sz w:val="16"/>
          <w:szCs w:val="16"/>
          <w:lang w:val="en-US"/>
        </w:rPr>
        <w:t>www.hrw.org/report/2018/06/26/i-am-equally-human/discrimination-and-lack-accessibility-people-disabilities-iran.</w:t>
      </w:r>
    </w:p>
  </w:footnote>
  <w:footnote w:id="2">
    <w:p w14:paraId="57F61760" w14:textId="22DE10A9" w:rsidR="00E7769D" w:rsidRPr="00DD429D" w:rsidRDefault="00E7769D" w:rsidP="00E7769D">
      <w:pPr>
        <w:spacing w:line="240" w:lineRule="auto"/>
        <w:rPr>
          <w:rFonts w:ascii="MetaPro-Norm" w:eastAsia="Times New Roman" w:hAnsi="MetaPro-Norm" w:cs="Times New Roman"/>
          <w:sz w:val="16"/>
          <w:szCs w:val="16"/>
        </w:rPr>
      </w:pPr>
      <w:r w:rsidRPr="00DD429D">
        <w:rPr>
          <w:rFonts w:ascii="MetaPro-Norm" w:hAnsi="MetaPro-Norm"/>
          <w:sz w:val="16"/>
          <w:szCs w:val="16"/>
          <w:vertAlign w:val="superscript"/>
        </w:rPr>
        <w:footnoteRef/>
      </w:r>
      <w:r w:rsidRPr="00DD429D">
        <w:rPr>
          <w:rFonts w:ascii="MetaPro-Norm" w:eastAsia="Times New Roman" w:hAnsi="MetaPro-Norm" w:cs="Times New Roman"/>
          <w:sz w:val="16"/>
          <w:szCs w:val="16"/>
        </w:rPr>
        <w:t xml:space="preserve"> </w:t>
      </w:r>
      <w:r w:rsidR="00795329" w:rsidRPr="00DD429D">
        <w:rPr>
          <w:rFonts w:ascii="MetaPro-Norm" w:eastAsia="Times New Roman" w:hAnsi="MetaPro-Norm" w:cs="Times New Roman"/>
          <w:sz w:val="16"/>
          <w:szCs w:val="16"/>
        </w:rPr>
        <w:t>Ibid.,</w:t>
      </w:r>
      <w:r w:rsidRPr="00DD429D">
        <w:rPr>
          <w:rFonts w:ascii="MetaPro-Norm" w:eastAsia="Times New Roman" w:hAnsi="MetaPro-Norm" w:cs="Times New Roman"/>
          <w:sz w:val="16"/>
          <w:szCs w:val="16"/>
        </w:rPr>
        <w:t xml:space="preserve"> p. 60</w:t>
      </w:r>
      <w:r w:rsidR="00A841AC" w:rsidRPr="00DD429D">
        <w:rPr>
          <w:rFonts w:ascii="MetaPro-Norm" w:eastAsia="Times New Roman" w:hAnsi="MetaPro-Norm" w:cs="Times New Roman"/>
          <w:sz w:val="16"/>
          <w:szCs w:val="16"/>
        </w:rPr>
        <w:t>.</w:t>
      </w:r>
    </w:p>
  </w:footnote>
  <w:footnote w:id="3">
    <w:p w14:paraId="198F7D9C" w14:textId="5F4A451E" w:rsidR="00D64D58" w:rsidRPr="00DD429D" w:rsidRDefault="00D64D58" w:rsidP="00D64D58">
      <w:pPr>
        <w:pStyle w:val="FootnoteText"/>
        <w:rPr>
          <w:rFonts w:ascii="MetaPro-Norm" w:hAnsi="MetaPro-Norm" w:cstheme="majorBidi"/>
          <w:sz w:val="16"/>
          <w:szCs w:val="16"/>
          <w:lang w:val="en-US"/>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“‘They Stay until They Die’: A Lifetime of Isolation and Neglect in Institutions for People with Disabilities in Brazil</w:t>
      </w:r>
      <w:r w:rsidR="00154652">
        <w:rPr>
          <w:rFonts w:ascii="MetaPro-Norm" w:hAnsi="MetaPro-Norm" w:cstheme="majorBidi"/>
          <w:sz w:val="16"/>
          <w:szCs w:val="16"/>
        </w:rPr>
        <w:t>,</w:t>
      </w:r>
      <w:r w:rsidRPr="00DD429D">
        <w:rPr>
          <w:rFonts w:ascii="MetaPro-Norm" w:hAnsi="MetaPro-Norm" w:cstheme="majorBidi"/>
          <w:sz w:val="16"/>
          <w:szCs w:val="16"/>
        </w:rPr>
        <w:t xml:space="preserve">” Human Rights Watch, </w:t>
      </w:r>
      <w:proofErr w:type="gramStart"/>
      <w:r w:rsidR="00DD429D" w:rsidRPr="00DD429D">
        <w:rPr>
          <w:rFonts w:ascii="MetaPro-Norm" w:hAnsi="MetaPro-Norm" w:cstheme="majorBidi"/>
          <w:sz w:val="16"/>
          <w:szCs w:val="16"/>
        </w:rPr>
        <w:t>May,</w:t>
      </w:r>
      <w:proofErr w:type="gramEnd"/>
      <w:r w:rsidR="00DD429D" w:rsidRPr="00DD429D">
        <w:rPr>
          <w:rFonts w:ascii="MetaPro-Norm" w:hAnsi="MetaPro-Norm" w:cstheme="majorBidi"/>
          <w:sz w:val="16"/>
          <w:szCs w:val="16"/>
        </w:rPr>
        <w:t xml:space="preserve"> 23, 2018, </w:t>
      </w:r>
      <w:r w:rsidRPr="00DD429D">
        <w:rPr>
          <w:rFonts w:ascii="MetaPro-Norm" w:hAnsi="MetaPro-Norm" w:cstheme="majorBidi"/>
          <w:sz w:val="16"/>
          <w:szCs w:val="16"/>
        </w:rPr>
        <w:t>www.hrw.org/report/2018/05/23/they-stay-until-they-die/lifetime-isolation-and-neglect-institutions-people.</w:t>
      </w:r>
    </w:p>
  </w:footnote>
  <w:footnote w:id="4">
    <w:p w14:paraId="20EC0FBB" w14:textId="0E60511D" w:rsidR="00D64D58" w:rsidRPr="00DD429D" w:rsidRDefault="00D64D58">
      <w:pPr>
        <w:pStyle w:val="FootnoteText"/>
        <w:rPr>
          <w:rFonts w:ascii="MetaPro-Norm" w:hAnsi="MetaPro-Norm" w:cstheme="majorBidi"/>
          <w:sz w:val="16"/>
          <w:szCs w:val="16"/>
          <w:lang w:val="en-US"/>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Ibid. </w:t>
      </w:r>
    </w:p>
  </w:footnote>
  <w:footnote w:id="5">
    <w:p w14:paraId="71F84082" w14:textId="3ABBCB3E" w:rsidR="00795329" w:rsidRPr="00DD429D" w:rsidRDefault="00795329">
      <w:pPr>
        <w:pStyle w:val="FootnoteText"/>
        <w:rPr>
          <w:rFonts w:ascii="MetaPro-Norm" w:hAnsi="MetaPro-Norm" w:cstheme="majorBidi"/>
          <w:sz w:val="16"/>
          <w:szCs w:val="16"/>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“‘I Needed Help, Instead I Was Punished’: Abuse and Neglect of Prisoners with Disabilities in Australia</w:t>
      </w:r>
      <w:r w:rsidR="00A841AC" w:rsidRPr="00DD429D">
        <w:rPr>
          <w:rFonts w:ascii="MetaPro-Norm" w:hAnsi="MetaPro-Norm" w:cstheme="majorBidi"/>
          <w:sz w:val="16"/>
          <w:szCs w:val="16"/>
        </w:rPr>
        <w:t>,</w:t>
      </w:r>
      <w:r w:rsidRPr="00DD429D">
        <w:rPr>
          <w:rFonts w:ascii="MetaPro-Norm" w:hAnsi="MetaPro-Norm" w:cstheme="majorBidi"/>
          <w:sz w:val="16"/>
          <w:szCs w:val="16"/>
        </w:rPr>
        <w:t xml:space="preserve">” Human Rights Watch, </w:t>
      </w:r>
      <w:r w:rsidR="00DD429D" w:rsidRPr="00DD429D">
        <w:rPr>
          <w:rFonts w:ascii="MetaPro-Norm" w:hAnsi="MetaPro-Norm" w:cstheme="majorBidi"/>
          <w:sz w:val="16"/>
          <w:szCs w:val="16"/>
        </w:rPr>
        <w:t xml:space="preserve">February 6, 2018, </w:t>
      </w:r>
      <w:r w:rsidRPr="00DD429D">
        <w:rPr>
          <w:rFonts w:ascii="MetaPro-Norm" w:hAnsi="MetaPro-Norm" w:cstheme="majorBidi"/>
          <w:sz w:val="16"/>
          <w:szCs w:val="16"/>
        </w:rPr>
        <w:t>www.hrw.org/report/2018/02/06/i-needed-help-instead-i-was-punished/abuse-and-neglect-prisoners-disabilities.</w:t>
      </w:r>
    </w:p>
  </w:footnote>
  <w:footnote w:id="6">
    <w:p w14:paraId="33AC6AD0" w14:textId="09A8BA11" w:rsidR="00A64D93" w:rsidRPr="00DD429D" w:rsidRDefault="00A64D93">
      <w:pPr>
        <w:pStyle w:val="FootnoteText"/>
        <w:rPr>
          <w:rFonts w:ascii="MetaPro-Norm" w:hAnsi="MetaPro-Norm" w:cstheme="majorBidi"/>
          <w:sz w:val="16"/>
          <w:szCs w:val="16"/>
          <w:lang w:val="en-US"/>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w:t>
      </w:r>
      <w:r w:rsidR="0096253D" w:rsidRPr="00DD429D">
        <w:rPr>
          <w:rFonts w:ascii="MetaPro-Norm" w:hAnsi="MetaPro-Norm" w:cstheme="majorBidi"/>
          <w:sz w:val="16"/>
          <w:szCs w:val="16"/>
        </w:rPr>
        <w:t>Guardianship Act 1987 (NSW), ss. 33–34; Adult Guardianship Act (NT), s.21; Guardianship and Administration Act 2000 (QLD), s. 70; Guardianship and Administration Act 1995 (Tas); Guardianship and Administration Act 1986 (VIC), s. 36, s. 39.</w:t>
      </w:r>
      <w:r w:rsidR="0096253D" w:rsidRPr="00DD429D" w:rsidDel="0096253D">
        <w:rPr>
          <w:rFonts w:ascii="MetaPro-Norm" w:hAnsi="MetaPro-Norm" w:cstheme="majorBidi"/>
          <w:sz w:val="16"/>
          <w:szCs w:val="16"/>
        </w:rPr>
        <w:t xml:space="preserve"> </w:t>
      </w:r>
    </w:p>
  </w:footnote>
  <w:footnote w:id="7">
    <w:p w14:paraId="4928DCCE" w14:textId="3F4A76C7" w:rsidR="00467FB6" w:rsidRPr="00DD429D" w:rsidRDefault="00467FB6">
      <w:pPr>
        <w:pStyle w:val="FootnoteText"/>
        <w:rPr>
          <w:rFonts w:ascii="MetaPro-Norm" w:hAnsi="MetaPro-Norm" w:cstheme="majorBidi"/>
          <w:sz w:val="16"/>
          <w:szCs w:val="16"/>
          <w:lang w:val="en-US"/>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Senate Community Affairs References Committee, “Involuntary or coerced sterilization of people with disabilities in Australia,” July 2013, </w:t>
      </w:r>
      <w:r w:rsidR="00DD429D" w:rsidRPr="00DD429D">
        <w:rPr>
          <w:rFonts w:ascii="MetaPro-Norm" w:hAnsi="MetaPro-Norm" w:cstheme="majorBidi"/>
          <w:sz w:val="16"/>
          <w:szCs w:val="16"/>
        </w:rPr>
        <w:t>http://www.aph.gov.au/Parliamentary_Business/Committees/Senate/Community_Affairs/Involuntary_Sterilisation/First_Report</w:t>
      </w:r>
    </w:p>
  </w:footnote>
  <w:footnote w:id="8">
    <w:p w14:paraId="14A21841" w14:textId="3E6921CE" w:rsidR="00467FB6" w:rsidRPr="00DD429D" w:rsidRDefault="00467FB6" w:rsidP="00DD429D">
      <w:pPr>
        <w:rPr>
          <w:rFonts w:ascii="MetaPro-Norm" w:hAnsi="MetaPro-Norm"/>
          <w:sz w:val="16"/>
          <w:szCs w:val="16"/>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w:t>
      </w:r>
      <w:r w:rsidR="00C7220F">
        <w:rPr>
          <w:rFonts w:ascii="MetaPro-Norm" w:hAnsi="MetaPro-Norm" w:cstheme="majorBidi"/>
          <w:sz w:val="16"/>
          <w:szCs w:val="16"/>
        </w:rPr>
        <w:t>Committee</w:t>
      </w:r>
      <w:r w:rsidR="004B74F9">
        <w:rPr>
          <w:rFonts w:ascii="MetaPro-Norm" w:hAnsi="MetaPro-Norm" w:cstheme="majorBidi"/>
          <w:sz w:val="16"/>
          <w:szCs w:val="16"/>
        </w:rPr>
        <w:t xml:space="preserve"> on Civil and Political Rights, Concluding observations on the sixth periodic report of Australia, </w:t>
      </w:r>
      <w:r w:rsidR="0044527F" w:rsidRPr="00DD429D">
        <w:rPr>
          <w:rFonts w:ascii="MetaPro-Norm" w:hAnsi="MetaPro-Norm" w:cstheme="majorBidi"/>
          <w:color w:val="333333"/>
          <w:sz w:val="16"/>
          <w:szCs w:val="16"/>
          <w:shd w:val="clear" w:color="auto" w:fill="FFFFFF"/>
        </w:rPr>
        <w:t>CCPR/C/AUS/CO/6</w:t>
      </w:r>
      <w:r w:rsidR="0044527F" w:rsidRPr="00DD429D">
        <w:rPr>
          <w:rFonts w:ascii="MetaPro-Norm" w:hAnsi="MetaPro-Norm" w:cstheme="majorBidi"/>
          <w:sz w:val="16"/>
          <w:szCs w:val="16"/>
        </w:rPr>
        <w:t xml:space="preserve"> December </w:t>
      </w:r>
      <w:r w:rsidR="00154652">
        <w:rPr>
          <w:rFonts w:ascii="MetaPro-Norm" w:hAnsi="MetaPro-Norm" w:cstheme="majorBidi"/>
          <w:sz w:val="16"/>
          <w:szCs w:val="16"/>
        </w:rPr>
        <w:t xml:space="preserve">1, </w:t>
      </w:r>
      <w:r w:rsidR="0044527F" w:rsidRPr="00DD429D">
        <w:rPr>
          <w:rFonts w:ascii="MetaPro-Norm" w:hAnsi="MetaPro-Norm" w:cstheme="majorBidi"/>
          <w:sz w:val="16"/>
          <w:szCs w:val="16"/>
        </w:rPr>
        <w:t xml:space="preserve">2017; </w:t>
      </w:r>
      <w:r w:rsidR="00C7220F">
        <w:rPr>
          <w:rFonts w:ascii="MetaPro-Norm" w:hAnsi="MetaPro-Norm" w:cstheme="majorBidi"/>
          <w:sz w:val="16"/>
          <w:szCs w:val="16"/>
        </w:rPr>
        <w:t xml:space="preserve">Committee on the Elimination of All Forms of Discrimination Against Women, Concluding observations on the eighth periodic report of Australia, </w:t>
      </w:r>
      <w:r w:rsidR="0044527F" w:rsidRPr="00DD429D">
        <w:rPr>
          <w:rFonts w:ascii="MetaPro-Norm" w:hAnsi="MetaPro-Norm" w:cstheme="majorBidi"/>
          <w:sz w:val="16"/>
          <w:szCs w:val="16"/>
        </w:rPr>
        <w:t xml:space="preserve">CEDAW/C/AUS/CO/8 </w:t>
      </w:r>
      <w:r w:rsidR="00C7220F">
        <w:rPr>
          <w:rFonts w:ascii="MetaPro-Norm" w:hAnsi="MetaPro-Norm" w:cstheme="majorBidi"/>
          <w:sz w:val="16"/>
          <w:szCs w:val="16"/>
        </w:rPr>
        <w:t>July 25,</w:t>
      </w:r>
      <w:r w:rsidR="0044527F" w:rsidRPr="00DD429D">
        <w:rPr>
          <w:rFonts w:ascii="MetaPro-Norm" w:hAnsi="MetaPro-Norm" w:cstheme="majorBidi"/>
          <w:sz w:val="16"/>
          <w:szCs w:val="16"/>
        </w:rPr>
        <w:t xml:space="preserve"> 2018; </w:t>
      </w:r>
      <w:r w:rsidR="007F169F">
        <w:rPr>
          <w:rFonts w:ascii="MetaPro-Norm" w:hAnsi="MetaPro-Norm" w:cstheme="majorBidi"/>
          <w:color w:val="333333"/>
          <w:sz w:val="16"/>
          <w:szCs w:val="16"/>
          <w:shd w:val="clear" w:color="auto" w:fill="FFFFFF"/>
        </w:rPr>
        <w:t>Committee on the Rights of the Child, Concluding observations on the combined fifth and sixth periodic reports of Australia CRC/</w:t>
      </w:r>
      <w:r w:rsidR="000F6F36">
        <w:rPr>
          <w:rFonts w:ascii="MetaPro-Norm" w:hAnsi="MetaPro-Norm" w:cstheme="majorBidi"/>
          <w:color w:val="333333"/>
          <w:sz w:val="16"/>
          <w:szCs w:val="16"/>
          <w:shd w:val="clear" w:color="auto" w:fill="FFFFFF"/>
        </w:rPr>
        <w:t>C/</w:t>
      </w:r>
      <w:r w:rsidR="007F169F">
        <w:rPr>
          <w:rFonts w:ascii="MetaPro-Norm" w:hAnsi="MetaPro-Norm" w:cstheme="majorBidi"/>
          <w:color w:val="333333"/>
          <w:sz w:val="16"/>
          <w:szCs w:val="16"/>
          <w:shd w:val="clear" w:color="auto" w:fill="FFFFFF"/>
        </w:rPr>
        <w:t>AUS/CO/</w:t>
      </w:r>
      <w:r w:rsidR="004B74F9">
        <w:rPr>
          <w:rFonts w:ascii="MetaPro-Norm" w:hAnsi="MetaPro-Norm" w:cstheme="majorBidi"/>
          <w:color w:val="333333"/>
          <w:sz w:val="16"/>
          <w:szCs w:val="16"/>
          <w:shd w:val="clear" w:color="auto" w:fill="FFFFFF"/>
        </w:rPr>
        <w:t>5-6, September 31, 2019</w:t>
      </w:r>
      <w:r w:rsidR="0044527F" w:rsidRPr="00DD429D">
        <w:rPr>
          <w:rFonts w:ascii="MetaPro-Norm" w:hAnsi="MetaPro-Norm" w:cstheme="majorBidi"/>
          <w:color w:val="333333"/>
          <w:sz w:val="16"/>
          <w:szCs w:val="16"/>
          <w:shd w:val="clear" w:color="auto" w:fill="FFFFFF"/>
        </w:rPr>
        <w:t xml:space="preserve">; and </w:t>
      </w:r>
      <w:r w:rsidR="007F169F">
        <w:rPr>
          <w:rFonts w:ascii="MetaPro-Norm" w:hAnsi="MetaPro-Norm" w:cstheme="majorBidi"/>
          <w:color w:val="333333"/>
          <w:sz w:val="16"/>
          <w:szCs w:val="16"/>
          <w:shd w:val="clear" w:color="auto" w:fill="FFFFFF"/>
        </w:rPr>
        <w:t>Committee on the Rights of Persons with Disabilities, Concluding observations on the initial report of Australia, adopted by the Committee at its tenth session (2 – 13 September 2013)</w:t>
      </w:r>
      <w:r w:rsidR="004B74F9">
        <w:rPr>
          <w:rFonts w:ascii="MetaPro-Norm" w:hAnsi="MetaPro-Norm" w:cstheme="majorBidi"/>
          <w:color w:val="333333"/>
          <w:sz w:val="16"/>
          <w:szCs w:val="16"/>
          <w:shd w:val="clear" w:color="auto" w:fill="FFFFFF"/>
        </w:rPr>
        <w:t>,</w:t>
      </w:r>
      <w:r w:rsidR="000F6F36">
        <w:rPr>
          <w:rFonts w:ascii="MetaPro-Norm" w:hAnsi="MetaPro-Norm" w:cstheme="majorBidi"/>
          <w:color w:val="333333"/>
          <w:sz w:val="16"/>
          <w:szCs w:val="16"/>
          <w:shd w:val="clear" w:color="auto" w:fill="FFFFFF"/>
        </w:rPr>
        <w:t xml:space="preserve"> CRPD/C/AUS/CO/1, Octob</w:t>
      </w:r>
      <w:r w:rsidR="001D63A0">
        <w:rPr>
          <w:rFonts w:ascii="MetaPro-Norm" w:hAnsi="MetaPro-Norm" w:cstheme="majorBidi"/>
          <w:color w:val="333333"/>
          <w:sz w:val="16"/>
          <w:szCs w:val="16"/>
          <w:shd w:val="clear" w:color="auto" w:fill="FFFFFF"/>
        </w:rPr>
        <w:t>er</w:t>
      </w:r>
      <w:r w:rsidR="000F6F36">
        <w:rPr>
          <w:rFonts w:ascii="MetaPro-Norm" w:hAnsi="MetaPro-Norm" w:cstheme="majorBidi"/>
          <w:color w:val="333333"/>
          <w:sz w:val="16"/>
          <w:szCs w:val="16"/>
          <w:shd w:val="clear" w:color="auto" w:fill="FFFFFF"/>
        </w:rPr>
        <w:t xml:space="preserve"> 21, 2013.</w:t>
      </w:r>
    </w:p>
  </w:footnote>
  <w:footnote w:id="9">
    <w:p w14:paraId="12609669" w14:textId="7C68B51F" w:rsidR="00467FB6" w:rsidRPr="00DD429D" w:rsidRDefault="00467FB6">
      <w:pPr>
        <w:pStyle w:val="FootnoteText"/>
        <w:rPr>
          <w:rFonts w:ascii="MetaPro-Norm" w:hAnsi="MetaPro-Norm" w:cstheme="majorBidi"/>
          <w:sz w:val="16"/>
          <w:szCs w:val="16"/>
          <w:lang w:val="en-US"/>
        </w:rPr>
      </w:pPr>
      <w:r w:rsidRPr="00DD429D">
        <w:rPr>
          <w:rStyle w:val="FootnoteReference"/>
          <w:rFonts w:ascii="MetaPro-Norm" w:hAnsi="MetaPro-Norm" w:cstheme="majorBidi"/>
          <w:sz w:val="16"/>
          <w:szCs w:val="16"/>
        </w:rPr>
        <w:footnoteRef/>
      </w:r>
      <w:r w:rsidRPr="00B27EDE">
        <w:rPr>
          <w:rFonts w:ascii="MetaPro-Norm" w:hAnsi="MetaPro-Norm" w:cstheme="majorBidi"/>
          <w:sz w:val="16"/>
          <w:szCs w:val="16"/>
          <w:lang w:val="it-IT"/>
        </w:rPr>
        <w:t xml:space="preserve"> </w:t>
      </w:r>
      <w:r w:rsidR="00737CAA" w:rsidRPr="00B27EDE">
        <w:rPr>
          <w:rFonts w:ascii="MetaPro-Norm" w:hAnsi="MetaPro-Norm" w:cstheme="majorBidi"/>
          <w:sz w:val="16"/>
          <w:szCs w:val="16"/>
          <w:lang w:val="it-IT"/>
        </w:rPr>
        <w:t xml:space="preserve">Re Carla (Medical procedure) [2016] FamCA 7. </w:t>
      </w:r>
      <w:r w:rsidR="00737CAA" w:rsidRPr="00DD429D">
        <w:rPr>
          <w:rFonts w:ascii="MetaPro-Norm" w:hAnsi="MetaPro-Norm" w:cstheme="majorBidi"/>
          <w:sz w:val="16"/>
          <w:szCs w:val="16"/>
          <w:lang w:val="en-US"/>
        </w:rPr>
        <w:t xml:space="preserve">See also: Morgan Carpenter, The Family Court </w:t>
      </w:r>
      <w:proofErr w:type="gramStart"/>
      <w:r w:rsidR="00737CAA" w:rsidRPr="00DD429D">
        <w:rPr>
          <w:rFonts w:ascii="MetaPro-Norm" w:hAnsi="MetaPro-Norm" w:cstheme="majorBidi"/>
          <w:sz w:val="16"/>
          <w:szCs w:val="16"/>
          <w:lang w:val="en-US"/>
        </w:rPr>
        <w:t>case</w:t>
      </w:r>
      <w:proofErr w:type="gramEnd"/>
      <w:r w:rsidR="00737CAA" w:rsidRPr="00DD429D">
        <w:rPr>
          <w:rFonts w:ascii="MetaPro-Norm" w:hAnsi="MetaPro-Norm" w:cstheme="majorBidi"/>
          <w:sz w:val="16"/>
          <w:szCs w:val="16"/>
          <w:lang w:val="en-US"/>
        </w:rPr>
        <w:t xml:space="preserve"> Re: Carla (Medical procedure) [2016] </w:t>
      </w:r>
      <w:proofErr w:type="spellStart"/>
      <w:r w:rsidR="00737CAA" w:rsidRPr="00DD429D">
        <w:rPr>
          <w:rFonts w:ascii="MetaPro-Norm" w:hAnsi="MetaPro-Norm" w:cstheme="majorBidi"/>
          <w:sz w:val="16"/>
          <w:szCs w:val="16"/>
          <w:lang w:val="en-US"/>
        </w:rPr>
        <w:t>FamCA</w:t>
      </w:r>
      <w:proofErr w:type="spellEnd"/>
      <w:r w:rsidR="00737CAA" w:rsidRPr="00DD429D">
        <w:rPr>
          <w:rFonts w:ascii="MetaPro-Norm" w:hAnsi="MetaPro-Norm" w:cstheme="majorBidi"/>
          <w:sz w:val="16"/>
          <w:szCs w:val="16"/>
          <w:lang w:val="en-US"/>
        </w:rPr>
        <w:t xml:space="preserve"> 7, OII Australia, 2016, https://oii.org.au/31036/re-carla-family-court/</w:t>
      </w:r>
    </w:p>
  </w:footnote>
  <w:footnote w:id="10">
    <w:p w14:paraId="4315E488" w14:textId="57F96770" w:rsidR="00467FB6" w:rsidRPr="00DD429D" w:rsidRDefault="00467FB6">
      <w:pPr>
        <w:pStyle w:val="FootnoteText"/>
        <w:rPr>
          <w:rFonts w:ascii="MetaPro-Norm" w:hAnsi="MetaPro-Norm"/>
          <w:sz w:val="16"/>
          <w:szCs w:val="16"/>
          <w:lang w:val="en-US"/>
        </w:rPr>
      </w:pPr>
      <w:r w:rsidRPr="00DD429D">
        <w:rPr>
          <w:rStyle w:val="FootnoteReference"/>
          <w:rFonts w:ascii="MetaPro-Norm" w:hAnsi="MetaPro-Norm"/>
          <w:sz w:val="16"/>
          <w:szCs w:val="16"/>
        </w:rPr>
        <w:footnoteRef/>
      </w:r>
      <w:r w:rsidRPr="00DD429D">
        <w:rPr>
          <w:rFonts w:ascii="MetaPro-Norm" w:hAnsi="MetaPro-Norm"/>
          <w:sz w:val="16"/>
          <w:szCs w:val="16"/>
        </w:rPr>
        <w:t xml:space="preserve"> </w:t>
      </w:r>
      <w:r w:rsidR="0096253D" w:rsidRPr="00DD429D">
        <w:rPr>
          <w:rFonts w:ascii="MetaPro-Norm" w:hAnsi="MetaPro-Norm"/>
          <w:sz w:val="16"/>
          <w:szCs w:val="16"/>
          <w:lang w:val="en-US"/>
        </w:rPr>
        <w:t xml:space="preserve">Human Rights Watch interview with medical doctor in </w:t>
      </w:r>
      <w:proofErr w:type="spellStart"/>
      <w:r w:rsidR="0096253D" w:rsidRPr="00DD429D">
        <w:rPr>
          <w:rFonts w:ascii="MetaPro-Norm" w:hAnsi="MetaPro-Norm"/>
          <w:sz w:val="16"/>
          <w:szCs w:val="16"/>
          <w:lang w:val="en-US"/>
        </w:rPr>
        <w:t>Stamnica</w:t>
      </w:r>
      <w:proofErr w:type="spellEnd"/>
      <w:r w:rsidR="0096253D" w:rsidRPr="00DD429D">
        <w:rPr>
          <w:rFonts w:ascii="MetaPro-Norm" w:hAnsi="MetaPro-Norm"/>
          <w:sz w:val="16"/>
          <w:szCs w:val="16"/>
          <w:lang w:val="en-US"/>
        </w:rPr>
        <w:t xml:space="preserve"> Home for children and adults with disabilities, October 21, 2015; Human Rights Watch interview with medical doctor in the Institution for children and adults with disabilities in </w:t>
      </w:r>
      <w:proofErr w:type="spellStart"/>
      <w:r w:rsidR="0096253D" w:rsidRPr="00DD429D">
        <w:rPr>
          <w:rFonts w:ascii="MetaPro-Norm" w:hAnsi="MetaPro-Norm"/>
          <w:sz w:val="16"/>
          <w:szCs w:val="16"/>
          <w:lang w:val="en-US"/>
        </w:rPr>
        <w:t>Veternik</w:t>
      </w:r>
      <w:proofErr w:type="spellEnd"/>
      <w:r w:rsidR="0096253D" w:rsidRPr="00DD429D">
        <w:rPr>
          <w:rFonts w:ascii="MetaPro-Norm" w:hAnsi="MetaPro-Norm"/>
          <w:sz w:val="16"/>
          <w:szCs w:val="16"/>
          <w:lang w:val="en-US"/>
        </w:rPr>
        <w:t xml:space="preserve">, October 20, 2015, Human Rights Watch interview with a medical doctor, </w:t>
      </w:r>
      <w:proofErr w:type="spellStart"/>
      <w:r w:rsidR="0096253D" w:rsidRPr="00DD429D">
        <w:rPr>
          <w:rFonts w:ascii="MetaPro-Norm" w:hAnsi="MetaPro-Norm"/>
          <w:sz w:val="16"/>
          <w:szCs w:val="16"/>
          <w:lang w:val="en-US"/>
        </w:rPr>
        <w:t>Sremčica</w:t>
      </w:r>
      <w:proofErr w:type="spellEnd"/>
      <w:r w:rsidR="0096253D" w:rsidRPr="00DD429D">
        <w:rPr>
          <w:rFonts w:ascii="MetaPro-Norm" w:hAnsi="MetaPro-Norm"/>
          <w:sz w:val="16"/>
          <w:szCs w:val="16"/>
          <w:lang w:val="en-US"/>
        </w:rPr>
        <w:t xml:space="preserve"> Home for children and adults with disabilities, November 16, 2015. The staff in all three institutions did not provide Human Rights Watch with the exact number of young women who were subjected to these treatments.</w:t>
      </w:r>
    </w:p>
  </w:footnote>
  <w:footnote w:id="11">
    <w:p w14:paraId="0000003B" w14:textId="7A94DA53"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Pr="00DD429D">
        <w:rPr>
          <w:rFonts w:ascii="MetaPro-Norm" w:eastAsia="Times New Roman" w:hAnsi="MetaPro-Norm" w:cstheme="majorBidi"/>
          <w:sz w:val="16"/>
          <w:szCs w:val="16"/>
        </w:rPr>
        <w:t xml:space="preserve"> </w:t>
      </w:r>
      <w:r w:rsidR="00467FB6" w:rsidRPr="00DD429D">
        <w:rPr>
          <w:rFonts w:ascii="MetaPro-Norm" w:eastAsia="Times New Roman" w:hAnsi="MetaPro-Norm" w:cstheme="majorBidi"/>
          <w:sz w:val="16"/>
          <w:szCs w:val="16"/>
        </w:rPr>
        <w:t xml:space="preserve">These included forced insertion of intrauterine devices (IUDs), uninformed administration of contraceptive pills, forced or coerced termination of pregnancy, and non-consensual administration of pap smear tests (Papanicolaou test - a screening procedure for cervical cancer). </w:t>
      </w:r>
      <w:r w:rsidR="00154652">
        <w:rPr>
          <w:rFonts w:ascii="MetaPro-Norm" w:eastAsia="Times New Roman" w:hAnsi="MetaPro-Norm" w:cstheme="majorBidi"/>
          <w:sz w:val="16"/>
          <w:szCs w:val="16"/>
        </w:rPr>
        <w:t>“’</w:t>
      </w:r>
      <w:r w:rsidRPr="00DD429D">
        <w:rPr>
          <w:rFonts w:ascii="MetaPro-Norm" w:eastAsia="Times New Roman" w:hAnsi="MetaPro-Norm" w:cstheme="majorBidi"/>
          <w:sz w:val="16"/>
          <w:szCs w:val="16"/>
        </w:rPr>
        <w:t>It is My Dream to Leave This Place</w:t>
      </w:r>
      <w:r w:rsidR="00154652">
        <w:rPr>
          <w:rFonts w:ascii="MetaPro-Norm" w:eastAsia="Times New Roman" w:hAnsi="MetaPro-Norm" w:cstheme="majorBidi"/>
          <w:sz w:val="16"/>
          <w:szCs w:val="16"/>
        </w:rPr>
        <w:t>’</w:t>
      </w:r>
      <w:r w:rsidRPr="00DD429D">
        <w:rPr>
          <w:rFonts w:ascii="MetaPro-Norm" w:eastAsia="Times New Roman" w:hAnsi="MetaPro-Norm" w:cstheme="majorBidi"/>
          <w:sz w:val="16"/>
          <w:szCs w:val="16"/>
        </w:rPr>
        <w:t>: Children with Disabilities in Serbian Institutions,</w:t>
      </w:r>
      <w:r w:rsidR="00154652">
        <w:rPr>
          <w:rFonts w:ascii="MetaPro-Norm" w:eastAsia="Times New Roman" w:hAnsi="MetaPro-Norm" w:cstheme="majorBidi"/>
          <w:sz w:val="16"/>
          <w:szCs w:val="16"/>
        </w:rPr>
        <w:t>”</w:t>
      </w:r>
      <w:r w:rsidRPr="00DD429D">
        <w:rPr>
          <w:rFonts w:ascii="MetaPro-Norm" w:eastAsia="Times New Roman" w:hAnsi="MetaPro-Norm" w:cstheme="majorBidi"/>
          <w:sz w:val="16"/>
          <w:szCs w:val="16"/>
        </w:rPr>
        <w:t xml:space="preserve"> </w:t>
      </w:r>
      <w:r w:rsidR="00154652" w:rsidRPr="00DD429D">
        <w:rPr>
          <w:rFonts w:ascii="MetaPro-Norm" w:eastAsia="Times New Roman" w:hAnsi="MetaPro-Norm" w:cstheme="majorBidi"/>
          <w:sz w:val="16"/>
          <w:szCs w:val="16"/>
        </w:rPr>
        <w:t xml:space="preserve">Human Rights Watch, </w:t>
      </w:r>
      <w:r w:rsidRPr="00DD429D">
        <w:rPr>
          <w:rFonts w:ascii="MetaPro-Norm" w:eastAsia="Times New Roman" w:hAnsi="MetaPro-Norm" w:cstheme="majorBidi"/>
          <w:sz w:val="16"/>
          <w:szCs w:val="16"/>
        </w:rPr>
        <w:t xml:space="preserve">June 8, 2016, </w:t>
      </w:r>
      <w:r w:rsidRPr="00154652">
        <w:rPr>
          <w:rFonts w:ascii="MetaPro-Norm" w:eastAsia="Times New Roman" w:hAnsi="MetaPro-Norm" w:cstheme="majorBidi"/>
          <w:sz w:val="16"/>
          <w:szCs w:val="16"/>
        </w:rPr>
        <w:t>https://www.hrw.org/report/2016/06/08/it-my-dream-leave-place/children-disabilities-serbian-institutions</w:t>
      </w:r>
      <w:r w:rsidR="00154652">
        <w:rPr>
          <w:rFonts w:ascii="MetaPro-Norm" w:eastAsia="Times New Roman" w:hAnsi="MetaPro-Norm" w:cstheme="majorBidi"/>
          <w:sz w:val="16"/>
          <w:szCs w:val="16"/>
        </w:rPr>
        <w:t>.</w:t>
      </w:r>
    </w:p>
  </w:footnote>
  <w:footnote w:id="12">
    <w:p w14:paraId="0000003F" w14:textId="77777777"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Pr="00DD429D">
        <w:rPr>
          <w:rFonts w:ascii="MetaPro-Norm" w:eastAsia="Times New Roman" w:hAnsi="MetaPro-Norm" w:cstheme="majorBidi"/>
          <w:sz w:val="16"/>
          <w:szCs w:val="16"/>
        </w:rPr>
        <w:t xml:space="preserve"> Committee on the Rights of Persons with Disabilities, Concluding observation on the initial report of Serbia, CRPD/C/SRB/CO/1, April 21, 2016, para. 34. https://tbinternet.ohchr.org/_layouts/treatybodyexternal/Download.aspx?symbolno=CRPD/C/SRB/CO/1&amp;Lang=En.</w:t>
      </w:r>
    </w:p>
  </w:footnote>
  <w:footnote w:id="13">
    <w:p w14:paraId="00000040" w14:textId="7F929AF4"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Pr="00DD429D">
        <w:rPr>
          <w:rFonts w:ascii="MetaPro-Norm" w:eastAsia="Times New Roman" w:hAnsi="MetaPro-Norm" w:cstheme="majorBidi"/>
          <w:sz w:val="16"/>
          <w:szCs w:val="16"/>
        </w:rPr>
        <w:t xml:space="preserve"> Ibid</w:t>
      </w:r>
      <w:r w:rsidR="00A841AC" w:rsidRPr="00DD429D">
        <w:rPr>
          <w:rFonts w:ascii="MetaPro-Norm" w:eastAsia="Times New Roman" w:hAnsi="MetaPro-Norm" w:cstheme="majorBidi"/>
          <w:sz w:val="16"/>
          <w:szCs w:val="16"/>
        </w:rPr>
        <w:t>.,</w:t>
      </w:r>
      <w:r w:rsidRPr="00DD429D">
        <w:rPr>
          <w:rFonts w:ascii="MetaPro-Norm" w:eastAsia="Times New Roman" w:hAnsi="MetaPro-Norm" w:cstheme="majorBidi"/>
          <w:sz w:val="16"/>
          <w:szCs w:val="16"/>
        </w:rPr>
        <w:t xml:space="preserve"> para. 37</w:t>
      </w:r>
      <w:r w:rsidR="00A841AC" w:rsidRPr="00DD429D">
        <w:rPr>
          <w:rFonts w:ascii="MetaPro-Norm" w:eastAsia="Times New Roman" w:hAnsi="MetaPro-Norm" w:cstheme="majorBidi"/>
          <w:sz w:val="16"/>
          <w:szCs w:val="16"/>
        </w:rPr>
        <w:t>.</w:t>
      </w:r>
    </w:p>
  </w:footnote>
  <w:footnote w:id="14">
    <w:p w14:paraId="00000041" w14:textId="364F7BE0"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Pr="00DD429D">
        <w:rPr>
          <w:rFonts w:ascii="MetaPro-Norm" w:eastAsia="Times New Roman" w:hAnsi="MetaPro-Norm" w:cstheme="majorBidi"/>
          <w:sz w:val="16"/>
          <w:szCs w:val="16"/>
        </w:rPr>
        <w:t xml:space="preserve"> Ibid</w:t>
      </w:r>
      <w:r w:rsidR="00A841AC" w:rsidRPr="00DD429D">
        <w:rPr>
          <w:rFonts w:ascii="MetaPro-Norm" w:eastAsia="Times New Roman" w:hAnsi="MetaPro-Norm" w:cstheme="majorBidi"/>
          <w:sz w:val="16"/>
          <w:szCs w:val="16"/>
        </w:rPr>
        <w:t>.,</w:t>
      </w:r>
      <w:r w:rsidRPr="00DD429D">
        <w:rPr>
          <w:rFonts w:ascii="MetaPro-Norm" w:eastAsia="Times New Roman" w:hAnsi="MetaPro-Norm" w:cstheme="majorBidi"/>
          <w:sz w:val="16"/>
          <w:szCs w:val="16"/>
        </w:rPr>
        <w:t xml:space="preserve"> para. 38</w:t>
      </w:r>
      <w:r w:rsidR="00A841AC" w:rsidRPr="00DD429D">
        <w:rPr>
          <w:rFonts w:ascii="MetaPro-Norm" w:eastAsia="Times New Roman" w:hAnsi="MetaPro-Norm" w:cstheme="majorBidi"/>
          <w:sz w:val="16"/>
          <w:szCs w:val="16"/>
        </w:rPr>
        <w:t>.</w:t>
      </w:r>
    </w:p>
  </w:footnote>
  <w:footnote w:id="15">
    <w:p w14:paraId="0000003C" w14:textId="75750860"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00A64D93" w:rsidRPr="00DD429D">
        <w:rPr>
          <w:rFonts w:ascii="MetaPro-Norm" w:eastAsia="Times New Roman" w:hAnsi="MetaPro-Norm" w:cstheme="majorBidi"/>
          <w:sz w:val="16"/>
          <w:szCs w:val="16"/>
        </w:rPr>
        <w:t>Vikic, Elida. “Time for Serbia to Uphold Rights of Women with Disabilities.” Human Rights Watch, Apr</w:t>
      </w:r>
      <w:r w:rsidR="00A841AC" w:rsidRPr="00DD429D">
        <w:rPr>
          <w:rFonts w:ascii="MetaPro-Norm" w:eastAsia="Times New Roman" w:hAnsi="MetaPro-Norm" w:cstheme="majorBidi"/>
          <w:sz w:val="16"/>
          <w:szCs w:val="16"/>
        </w:rPr>
        <w:t>il 24,</w:t>
      </w:r>
      <w:r w:rsidR="00A64D93" w:rsidRPr="00DD429D">
        <w:rPr>
          <w:rFonts w:ascii="MetaPro-Norm" w:eastAsia="Times New Roman" w:hAnsi="MetaPro-Norm" w:cstheme="majorBidi"/>
          <w:sz w:val="16"/>
          <w:szCs w:val="16"/>
        </w:rPr>
        <w:t xml:space="preserve"> 2019, www.hrw.org/news/2019/04/23/time-serbia-uphold-rights-women-disabilities.</w:t>
      </w:r>
    </w:p>
  </w:footnote>
  <w:footnote w:id="16">
    <w:p w14:paraId="0000003D" w14:textId="4FD0623C" w:rsidR="00E063D8" w:rsidRPr="00DD429D" w:rsidRDefault="00C62CAC">
      <w:pPr>
        <w:spacing w:line="240" w:lineRule="auto"/>
        <w:rPr>
          <w:rFonts w:ascii="MetaPro-Norm" w:eastAsia="Times New Roman" w:hAnsi="MetaPro-Norm" w:cstheme="majorBidi"/>
          <w:sz w:val="16"/>
          <w:szCs w:val="16"/>
        </w:rPr>
      </w:pPr>
      <w:r w:rsidRPr="00DD429D">
        <w:rPr>
          <w:rFonts w:ascii="MetaPro-Norm" w:hAnsi="MetaPro-Norm" w:cstheme="majorBidi"/>
          <w:sz w:val="16"/>
          <w:szCs w:val="16"/>
          <w:vertAlign w:val="superscript"/>
        </w:rPr>
        <w:footnoteRef/>
      </w:r>
      <w:r w:rsidR="00A64D93" w:rsidRPr="00DD429D">
        <w:rPr>
          <w:rFonts w:ascii="MetaPro-Norm" w:eastAsia="Times New Roman" w:hAnsi="MetaPro-Norm" w:cstheme="majorBidi"/>
          <w:sz w:val="16"/>
          <w:szCs w:val="16"/>
        </w:rPr>
        <w:t>“Disability Rights International, Human Rights Watch, and Women Enabled International Submission to the United Nations Committee on the Elimination of Discrimination Against Women</w:t>
      </w:r>
      <w:r w:rsidR="00347773">
        <w:rPr>
          <w:rFonts w:ascii="MetaPro-Norm" w:eastAsia="Times New Roman" w:hAnsi="MetaPro-Norm" w:cstheme="majorBidi"/>
          <w:sz w:val="16"/>
          <w:szCs w:val="16"/>
        </w:rPr>
        <w:t>,</w:t>
      </w:r>
      <w:r w:rsidR="00A64D93" w:rsidRPr="00DD429D">
        <w:rPr>
          <w:rFonts w:ascii="MetaPro-Norm" w:eastAsia="Times New Roman" w:hAnsi="MetaPro-Norm" w:cstheme="majorBidi"/>
          <w:sz w:val="16"/>
          <w:szCs w:val="16"/>
        </w:rPr>
        <w:t>” Human Rights Watch, Feb</w:t>
      </w:r>
      <w:r w:rsidR="00A841AC" w:rsidRPr="00DD429D">
        <w:rPr>
          <w:rFonts w:ascii="MetaPro-Norm" w:eastAsia="Times New Roman" w:hAnsi="MetaPro-Norm" w:cstheme="majorBidi"/>
          <w:sz w:val="16"/>
          <w:szCs w:val="16"/>
        </w:rPr>
        <w:t>ruary 14,</w:t>
      </w:r>
      <w:r w:rsidR="00A64D93" w:rsidRPr="00DD429D">
        <w:rPr>
          <w:rFonts w:ascii="MetaPro-Norm" w:eastAsia="Times New Roman" w:hAnsi="MetaPro-Norm" w:cstheme="majorBidi"/>
          <w:sz w:val="16"/>
          <w:szCs w:val="16"/>
        </w:rPr>
        <w:t xml:space="preserve"> 2019, www.hrw.org/news/2019/01/28/disability-rights-international-human-rights-watch-and-women-enabled-international. </w:t>
      </w:r>
    </w:p>
  </w:footnote>
  <w:footnote w:id="17">
    <w:p w14:paraId="735B8F68" w14:textId="0FFCF749" w:rsidR="00A841AC" w:rsidRPr="00DD429D" w:rsidRDefault="00A841AC">
      <w:pPr>
        <w:pStyle w:val="FootnoteText"/>
        <w:rPr>
          <w:rFonts w:ascii="MetaPro-Norm" w:hAnsi="MetaPro-Norm"/>
          <w:sz w:val="16"/>
          <w:szCs w:val="16"/>
          <w:lang w:val="en-US"/>
        </w:rPr>
      </w:pPr>
      <w:r w:rsidRPr="00DD429D">
        <w:rPr>
          <w:rStyle w:val="FootnoteReference"/>
          <w:rFonts w:ascii="MetaPro-Norm" w:hAnsi="MetaPro-Norm" w:cstheme="majorBidi"/>
          <w:sz w:val="16"/>
          <w:szCs w:val="16"/>
        </w:rPr>
        <w:footnoteRef/>
      </w:r>
      <w:r w:rsidRPr="00DD429D">
        <w:rPr>
          <w:rFonts w:ascii="MetaPro-Norm" w:hAnsi="MetaPro-Norm" w:cstheme="majorBidi"/>
          <w:sz w:val="16"/>
          <w:szCs w:val="16"/>
        </w:rPr>
        <w:t xml:space="preserve"> </w:t>
      </w:r>
      <w:r w:rsidR="0096253D" w:rsidRPr="00DD429D">
        <w:rPr>
          <w:rFonts w:ascii="MetaPro-Norm" w:hAnsi="MetaPro-Norm" w:cstheme="majorBidi"/>
          <w:sz w:val="16"/>
          <w:szCs w:val="16"/>
          <w:lang w:val="en-US"/>
        </w:rPr>
        <w:t>CEDAW Committee, General Recommendation No. 35 on gender-based violence against women, updating general recommendation No. 19, para. 31(c), U.N. Doc. CEDAW/C/GC/35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9D2C" w14:textId="4056C4C4" w:rsidR="00B27EDE" w:rsidRDefault="00B27EDE">
    <w:pPr>
      <w:pStyle w:val="Header"/>
    </w:pPr>
    <w:r>
      <w:rPr>
        <w:rFonts w:ascii="MetaNormal-Roman" w:hAnsi="MetaNormal-Roman"/>
        <w:noProof/>
        <w:lang w:val="fr-BE" w:eastAsia="fr-BE"/>
      </w:rPr>
      <w:drawing>
        <wp:anchor distT="0" distB="0" distL="114300" distR="114300" simplePos="0" relativeHeight="251659264" behindDoc="1" locked="0" layoutInCell="1" allowOverlap="1" wp14:anchorId="5BC7773B" wp14:editId="3F97791F">
          <wp:simplePos x="0" y="0"/>
          <wp:positionH relativeFrom="column">
            <wp:posOffset>2349909</wp:posOffset>
          </wp:positionH>
          <wp:positionV relativeFrom="paragraph">
            <wp:posOffset>-168275</wp:posOffset>
          </wp:positionV>
          <wp:extent cx="1209600" cy="1573200"/>
          <wp:effectExtent l="0" t="0" r="0" b="8255"/>
          <wp:wrapTight wrapText="bothSides">
            <wp:wrapPolygon edited="0">
              <wp:start x="0" y="0"/>
              <wp:lineTo x="0" y="21452"/>
              <wp:lineTo x="21101" y="21452"/>
              <wp:lineTo x="21101" y="0"/>
              <wp:lineTo x="0" y="0"/>
            </wp:wrapPolygon>
          </wp:wrapTight>
          <wp:docPr id="2" name="Picture 2"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URL_CMYK_update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00" cy="15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D8"/>
    <w:rsid w:val="00051090"/>
    <w:rsid w:val="000B4ED6"/>
    <w:rsid w:val="000F6F36"/>
    <w:rsid w:val="00154652"/>
    <w:rsid w:val="00194997"/>
    <w:rsid w:val="001D63A0"/>
    <w:rsid w:val="003371A0"/>
    <w:rsid w:val="00347773"/>
    <w:rsid w:val="003921C1"/>
    <w:rsid w:val="003F45F1"/>
    <w:rsid w:val="0044527F"/>
    <w:rsid w:val="00467FB6"/>
    <w:rsid w:val="004711D6"/>
    <w:rsid w:val="004B74F9"/>
    <w:rsid w:val="004D6D6D"/>
    <w:rsid w:val="00593495"/>
    <w:rsid w:val="00721B3C"/>
    <w:rsid w:val="00737CAA"/>
    <w:rsid w:val="00775CF2"/>
    <w:rsid w:val="00795329"/>
    <w:rsid w:val="00797AE1"/>
    <w:rsid w:val="007A0651"/>
    <w:rsid w:val="007B179B"/>
    <w:rsid w:val="007F169F"/>
    <w:rsid w:val="00936634"/>
    <w:rsid w:val="0096253D"/>
    <w:rsid w:val="009875E9"/>
    <w:rsid w:val="009F03C5"/>
    <w:rsid w:val="00A00085"/>
    <w:rsid w:val="00A04FFC"/>
    <w:rsid w:val="00A1656B"/>
    <w:rsid w:val="00A42CFE"/>
    <w:rsid w:val="00A64D93"/>
    <w:rsid w:val="00A841AC"/>
    <w:rsid w:val="00A86108"/>
    <w:rsid w:val="00B27EDE"/>
    <w:rsid w:val="00C35FB6"/>
    <w:rsid w:val="00C62CAC"/>
    <w:rsid w:val="00C7220F"/>
    <w:rsid w:val="00CE7ED3"/>
    <w:rsid w:val="00D64D58"/>
    <w:rsid w:val="00DD429D"/>
    <w:rsid w:val="00E063D8"/>
    <w:rsid w:val="00E7769D"/>
    <w:rsid w:val="00EF26C7"/>
    <w:rsid w:val="00F775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5F3F"/>
  <w15:docId w15:val="{9FC7676D-BF26-2142-BFC2-A01919C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E7769D"/>
    <w:pPr>
      <w:spacing w:line="240" w:lineRule="auto"/>
    </w:pPr>
    <w:rPr>
      <w:sz w:val="20"/>
      <w:szCs w:val="20"/>
    </w:rPr>
  </w:style>
  <w:style w:type="character" w:customStyle="1" w:styleId="FootnoteTextChar">
    <w:name w:val="Footnote Text Char"/>
    <w:basedOn w:val="DefaultParagraphFont"/>
    <w:link w:val="FootnoteText"/>
    <w:uiPriority w:val="99"/>
    <w:semiHidden/>
    <w:rsid w:val="00E7769D"/>
    <w:rPr>
      <w:sz w:val="20"/>
      <w:szCs w:val="20"/>
    </w:rPr>
  </w:style>
  <w:style w:type="character" w:styleId="FootnoteReference">
    <w:name w:val="footnote reference"/>
    <w:basedOn w:val="DefaultParagraphFont"/>
    <w:uiPriority w:val="99"/>
    <w:semiHidden/>
    <w:unhideWhenUsed/>
    <w:rsid w:val="00E7769D"/>
    <w:rPr>
      <w:vertAlign w:val="superscript"/>
    </w:rPr>
  </w:style>
  <w:style w:type="character" w:styleId="Hyperlink">
    <w:name w:val="Hyperlink"/>
    <w:basedOn w:val="DefaultParagraphFont"/>
    <w:uiPriority w:val="99"/>
    <w:semiHidden/>
    <w:unhideWhenUsed/>
    <w:rsid w:val="003F45F1"/>
    <w:rPr>
      <w:color w:val="0000FF" w:themeColor="hyperlink"/>
      <w:u w:val="single"/>
    </w:rPr>
  </w:style>
  <w:style w:type="character" w:styleId="CommentReference">
    <w:name w:val="annotation reference"/>
    <w:basedOn w:val="DefaultParagraphFont"/>
    <w:uiPriority w:val="99"/>
    <w:semiHidden/>
    <w:unhideWhenUsed/>
    <w:rsid w:val="003F45F1"/>
    <w:rPr>
      <w:sz w:val="16"/>
      <w:szCs w:val="16"/>
    </w:rPr>
  </w:style>
  <w:style w:type="paragraph" w:styleId="CommentText">
    <w:name w:val="annotation text"/>
    <w:basedOn w:val="Normal"/>
    <w:link w:val="CommentTextChar"/>
    <w:uiPriority w:val="99"/>
    <w:semiHidden/>
    <w:unhideWhenUsed/>
    <w:rsid w:val="003F45F1"/>
    <w:pPr>
      <w:spacing w:line="240" w:lineRule="auto"/>
    </w:pPr>
    <w:rPr>
      <w:sz w:val="20"/>
      <w:szCs w:val="20"/>
    </w:rPr>
  </w:style>
  <w:style w:type="character" w:customStyle="1" w:styleId="CommentTextChar">
    <w:name w:val="Comment Text Char"/>
    <w:basedOn w:val="DefaultParagraphFont"/>
    <w:link w:val="CommentText"/>
    <w:uiPriority w:val="99"/>
    <w:semiHidden/>
    <w:rsid w:val="003F45F1"/>
    <w:rPr>
      <w:sz w:val="20"/>
      <w:szCs w:val="20"/>
    </w:rPr>
  </w:style>
  <w:style w:type="paragraph" w:styleId="CommentSubject">
    <w:name w:val="annotation subject"/>
    <w:basedOn w:val="CommentText"/>
    <w:next w:val="CommentText"/>
    <w:link w:val="CommentSubjectChar"/>
    <w:uiPriority w:val="99"/>
    <w:semiHidden/>
    <w:unhideWhenUsed/>
    <w:rsid w:val="003F45F1"/>
    <w:rPr>
      <w:b/>
      <w:bCs/>
    </w:rPr>
  </w:style>
  <w:style w:type="character" w:customStyle="1" w:styleId="CommentSubjectChar">
    <w:name w:val="Comment Subject Char"/>
    <w:basedOn w:val="CommentTextChar"/>
    <w:link w:val="CommentSubject"/>
    <w:uiPriority w:val="99"/>
    <w:semiHidden/>
    <w:rsid w:val="003F45F1"/>
    <w:rPr>
      <w:b/>
      <w:bCs/>
      <w:sz w:val="20"/>
      <w:szCs w:val="20"/>
    </w:rPr>
  </w:style>
  <w:style w:type="paragraph" w:styleId="BalloonText">
    <w:name w:val="Balloon Text"/>
    <w:basedOn w:val="Normal"/>
    <w:link w:val="BalloonTextChar"/>
    <w:uiPriority w:val="99"/>
    <w:semiHidden/>
    <w:unhideWhenUsed/>
    <w:rsid w:val="003F45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1"/>
    <w:rPr>
      <w:rFonts w:ascii="Segoe UI" w:hAnsi="Segoe UI" w:cs="Segoe UI"/>
      <w:sz w:val="18"/>
      <w:szCs w:val="18"/>
    </w:rPr>
  </w:style>
  <w:style w:type="paragraph" w:styleId="Header">
    <w:name w:val="header"/>
    <w:basedOn w:val="Normal"/>
    <w:link w:val="HeaderChar"/>
    <w:uiPriority w:val="99"/>
    <w:unhideWhenUsed/>
    <w:rsid w:val="00B27EDE"/>
    <w:pPr>
      <w:tabs>
        <w:tab w:val="center" w:pos="4513"/>
        <w:tab w:val="right" w:pos="9026"/>
      </w:tabs>
      <w:spacing w:line="240" w:lineRule="auto"/>
    </w:pPr>
  </w:style>
  <w:style w:type="character" w:customStyle="1" w:styleId="HeaderChar">
    <w:name w:val="Header Char"/>
    <w:basedOn w:val="DefaultParagraphFont"/>
    <w:link w:val="Header"/>
    <w:uiPriority w:val="99"/>
    <w:rsid w:val="00B27EDE"/>
  </w:style>
  <w:style w:type="paragraph" w:styleId="Footer">
    <w:name w:val="footer"/>
    <w:basedOn w:val="Normal"/>
    <w:link w:val="FooterChar"/>
    <w:uiPriority w:val="99"/>
    <w:unhideWhenUsed/>
    <w:rsid w:val="00B27EDE"/>
    <w:pPr>
      <w:tabs>
        <w:tab w:val="center" w:pos="4513"/>
        <w:tab w:val="right" w:pos="9026"/>
      </w:tabs>
      <w:spacing w:line="240" w:lineRule="auto"/>
    </w:pPr>
  </w:style>
  <w:style w:type="character" w:customStyle="1" w:styleId="FooterChar">
    <w:name w:val="Footer Char"/>
    <w:basedOn w:val="DefaultParagraphFont"/>
    <w:link w:val="Footer"/>
    <w:uiPriority w:val="99"/>
    <w:rsid w:val="00B2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127">
      <w:bodyDiv w:val="1"/>
      <w:marLeft w:val="0"/>
      <w:marRight w:val="0"/>
      <w:marTop w:val="0"/>
      <w:marBottom w:val="0"/>
      <w:divBdr>
        <w:top w:val="none" w:sz="0" w:space="0" w:color="auto"/>
        <w:left w:val="none" w:sz="0" w:space="0" w:color="auto"/>
        <w:bottom w:val="none" w:sz="0" w:space="0" w:color="auto"/>
        <w:right w:val="none" w:sz="0" w:space="0" w:color="auto"/>
      </w:divBdr>
    </w:div>
    <w:div w:id="49962094">
      <w:bodyDiv w:val="1"/>
      <w:marLeft w:val="0"/>
      <w:marRight w:val="0"/>
      <w:marTop w:val="0"/>
      <w:marBottom w:val="0"/>
      <w:divBdr>
        <w:top w:val="none" w:sz="0" w:space="0" w:color="auto"/>
        <w:left w:val="none" w:sz="0" w:space="0" w:color="auto"/>
        <w:bottom w:val="none" w:sz="0" w:space="0" w:color="auto"/>
        <w:right w:val="none" w:sz="0" w:space="0" w:color="auto"/>
      </w:divBdr>
      <w:divsChild>
        <w:div w:id="805051604">
          <w:marLeft w:val="0"/>
          <w:marRight w:val="0"/>
          <w:marTop w:val="0"/>
          <w:marBottom w:val="0"/>
          <w:divBdr>
            <w:top w:val="none" w:sz="0" w:space="0" w:color="auto"/>
            <w:left w:val="none" w:sz="0" w:space="0" w:color="auto"/>
            <w:bottom w:val="none" w:sz="0" w:space="0" w:color="auto"/>
            <w:right w:val="none" w:sz="0" w:space="0" w:color="auto"/>
          </w:divBdr>
          <w:divsChild>
            <w:div w:id="56823980">
              <w:marLeft w:val="0"/>
              <w:marRight w:val="0"/>
              <w:marTop w:val="0"/>
              <w:marBottom w:val="0"/>
              <w:divBdr>
                <w:top w:val="none" w:sz="0" w:space="0" w:color="auto"/>
                <w:left w:val="none" w:sz="0" w:space="0" w:color="auto"/>
                <w:bottom w:val="none" w:sz="0" w:space="0" w:color="auto"/>
                <w:right w:val="none" w:sz="0" w:space="0" w:color="auto"/>
              </w:divBdr>
              <w:divsChild>
                <w:div w:id="14581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97220">
      <w:bodyDiv w:val="1"/>
      <w:marLeft w:val="0"/>
      <w:marRight w:val="0"/>
      <w:marTop w:val="0"/>
      <w:marBottom w:val="0"/>
      <w:divBdr>
        <w:top w:val="none" w:sz="0" w:space="0" w:color="auto"/>
        <w:left w:val="none" w:sz="0" w:space="0" w:color="auto"/>
        <w:bottom w:val="none" w:sz="0" w:space="0" w:color="auto"/>
        <w:right w:val="none" w:sz="0" w:space="0" w:color="auto"/>
      </w:divBdr>
    </w:div>
    <w:div w:id="359819113">
      <w:bodyDiv w:val="1"/>
      <w:marLeft w:val="0"/>
      <w:marRight w:val="0"/>
      <w:marTop w:val="0"/>
      <w:marBottom w:val="0"/>
      <w:divBdr>
        <w:top w:val="none" w:sz="0" w:space="0" w:color="auto"/>
        <w:left w:val="none" w:sz="0" w:space="0" w:color="auto"/>
        <w:bottom w:val="none" w:sz="0" w:space="0" w:color="auto"/>
        <w:right w:val="none" w:sz="0" w:space="0" w:color="auto"/>
      </w:divBdr>
    </w:div>
    <w:div w:id="1141967179">
      <w:bodyDiv w:val="1"/>
      <w:marLeft w:val="0"/>
      <w:marRight w:val="0"/>
      <w:marTop w:val="0"/>
      <w:marBottom w:val="0"/>
      <w:divBdr>
        <w:top w:val="none" w:sz="0" w:space="0" w:color="auto"/>
        <w:left w:val="none" w:sz="0" w:space="0" w:color="auto"/>
        <w:bottom w:val="none" w:sz="0" w:space="0" w:color="auto"/>
        <w:right w:val="none" w:sz="0" w:space="0" w:color="auto"/>
      </w:divBdr>
    </w:div>
    <w:div w:id="1579056758">
      <w:bodyDiv w:val="1"/>
      <w:marLeft w:val="0"/>
      <w:marRight w:val="0"/>
      <w:marTop w:val="0"/>
      <w:marBottom w:val="0"/>
      <w:divBdr>
        <w:top w:val="none" w:sz="0" w:space="0" w:color="auto"/>
        <w:left w:val="none" w:sz="0" w:space="0" w:color="auto"/>
        <w:bottom w:val="none" w:sz="0" w:space="0" w:color="auto"/>
        <w:right w:val="none" w:sz="0" w:space="0" w:color="auto"/>
      </w:divBdr>
    </w:div>
    <w:div w:id="1850948272">
      <w:bodyDiv w:val="1"/>
      <w:marLeft w:val="0"/>
      <w:marRight w:val="0"/>
      <w:marTop w:val="0"/>
      <w:marBottom w:val="0"/>
      <w:divBdr>
        <w:top w:val="none" w:sz="0" w:space="0" w:color="auto"/>
        <w:left w:val="none" w:sz="0" w:space="0" w:color="auto"/>
        <w:bottom w:val="none" w:sz="0" w:space="0" w:color="auto"/>
        <w:right w:val="none" w:sz="0" w:space="0" w:color="auto"/>
      </w:divBdr>
    </w:div>
    <w:div w:id="210024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3408-DDC8-4AB1-9FAC-8A0D0442A5D1}">
  <ds:schemaRefs>
    <ds:schemaRef ds:uri="http://schemas.microsoft.com/sharepoint/v3/contenttype/forms"/>
  </ds:schemaRefs>
</ds:datastoreItem>
</file>

<file path=customXml/itemProps2.xml><?xml version="1.0" encoding="utf-8"?>
<ds:datastoreItem xmlns:ds="http://schemas.openxmlformats.org/officeDocument/2006/customXml" ds:itemID="{E15EE7C7-7555-4F69-965D-83731772CE48}"/>
</file>

<file path=customXml/itemProps3.xml><?xml version="1.0" encoding="utf-8"?>
<ds:datastoreItem xmlns:ds="http://schemas.openxmlformats.org/officeDocument/2006/customXml" ds:itemID="{E3829F6C-421B-45B5-A34E-275933C5EB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8AF7FC-0801-4EBF-9D91-1C47F8E1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Buchanan</dc:creator>
  <cp:lastModifiedBy>Karolina Kozik</cp:lastModifiedBy>
  <cp:revision>7</cp:revision>
  <dcterms:created xsi:type="dcterms:W3CDTF">2019-10-14T15:21:00Z</dcterms:created>
  <dcterms:modified xsi:type="dcterms:W3CDTF">2019-10-14T15:58:00Z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