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4E0B91">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bookmarkStart w:id="0" w:name="_GoBack"/>
            <w:bookmarkEnd w:id="0"/>
          </w:p>
        </w:tc>
        <w:tc>
          <w:tcPr>
            <w:tcW w:w="2273" w:type="dxa"/>
            <w:tcBorders>
              <w:bottom w:val="single" w:sz="4" w:space="0" w:color="auto"/>
            </w:tcBorders>
            <w:vAlign w:val="bottom"/>
          </w:tcPr>
          <w:p w:rsidR="00A1364C" w:rsidRPr="006428AB" w:rsidRDefault="00A1364C" w:rsidP="004E0B91">
            <w:pPr>
              <w:spacing w:after="80" w:line="300" w:lineRule="exact"/>
              <w:rPr>
                <w:rFonts w:ascii="Time New Roman" w:eastAsia="SimHei" w:hAnsi="Time New Roman" w:hint="eastAsia"/>
                <w:sz w:val="28"/>
              </w:rPr>
            </w:pPr>
            <w:r w:rsidRPr="006428AB">
              <w:rPr>
                <w:rFonts w:ascii="SimSun" w:eastAsia="SimHei" w:hAnsi="SimSun" w:cs="SimSun" w:hint="eastAsia"/>
                <w:sz w:val="28"/>
              </w:rPr>
              <w:t>联</w:t>
            </w:r>
            <w:r w:rsidRPr="006428AB">
              <w:rPr>
                <w:rFonts w:ascii="Time New Roman" w:eastAsia="SimHei" w:hAnsi="Time New Roman" w:hint="eastAsia"/>
                <w:sz w:val="28"/>
              </w:rPr>
              <w:t xml:space="preserve"> </w:t>
            </w:r>
            <w:r w:rsidRPr="006428AB">
              <w:rPr>
                <w:rFonts w:ascii="SimSun" w:eastAsia="SimHei" w:hAnsi="SimSun" w:cs="SimSun" w:hint="eastAsia"/>
                <w:sz w:val="28"/>
              </w:rPr>
              <w:t>合</w:t>
            </w:r>
            <w:r w:rsidRPr="006428AB">
              <w:rPr>
                <w:rFonts w:ascii="Time New Roman" w:eastAsia="SimHei" w:hAnsi="Time New Roman" w:hint="eastAsia"/>
                <w:sz w:val="28"/>
              </w:rPr>
              <w:t xml:space="preserve"> </w:t>
            </w:r>
            <w:r w:rsidRPr="006428AB">
              <w:rPr>
                <w:rFonts w:ascii="SimSun" w:eastAsia="SimHei" w:hAnsi="SimSun" w:cs="SimSun" w:hint="eastAsia"/>
                <w:sz w:val="28"/>
              </w:rPr>
              <w:t>国</w:t>
            </w:r>
          </w:p>
        </w:tc>
        <w:tc>
          <w:tcPr>
            <w:tcW w:w="6086" w:type="dxa"/>
            <w:gridSpan w:val="2"/>
            <w:tcBorders>
              <w:bottom w:val="single" w:sz="4" w:space="0" w:color="auto"/>
            </w:tcBorders>
            <w:vAlign w:val="bottom"/>
          </w:tcPr>
          <w:p w:rsidR="00A1364C" w:rsidRPr="00681711" w:rsidRDefault="00BC4B0A" w:rsidP="004E0B91">
            <w:pPr>
              <w:spacing w:line="240" w:lineRule="atLeast"/>
              <w:jc w:val="right"/>
              <w:rPr>
                <w:sz w:val="20"/>
                <w:szCs w:val="21"/>
              </w:rPr>
            </w:pPr>
            <w:r>
              <w:rPr>
                <w:sz w:val="40"/>
                <w:szCs w:val="21"/>
              </w:rPr>
              <w:t>A</w:t>
            </w:r>
            <w:r w:rsidR="00C54AFA">
              <w:rPr>
                <w:sz w:val="20"/>
                <w:szCs w:val="21"/>
              </w:rPr>
              <w:t>/</w:t>
            </w:r>
            <w:r>
              <w:rPr>
                <w:sz w:val="20"/>
                <w:szCs w:val="21"/>
              </w:rPr>
              <w:t>HRC</w:t>
            </w:r>
            <w:r w:rsidR="00C54AFA">
              <w:rPr>
                <w:sz w:val="20"/>
                <w:szCs w:val="21"/>
              </w:rPr>
              <w:t>/</w:t>
            </w:r>
            <w:r>
              <w:rPr>
                <w:sz w:val="20"/>
                <w:szCs w:val="21"/>
              </w:rPr>
              <w:t>WGEID</w:t>
            </w:r>
            <w:r w:rsidR="00C54AFA">
              <w:rPr>
                <w:sz w:val="20"/>
                <w:szCs w:val="21"/>
              </w:rPr>
              <w:t>/</w:t>
            </w:r>
            <w:r>
              <w:rPr>
                <w:sz w:val="20"/>
                <w:szCs w:val="21"/>
              </w:rPr>
              <w:t>1</w:t>
            </w:r>
            <w:r w:rsidR="00681711">
              <w:rPr>
                <w:sz w:val="20"/>
                <w:szCs w:val="21"/>
              </w:rPr>
              <w:t>0</w:t>
            </w:r>
            <w:r>
              <w:rPr>
                <w:sz w:val="20"/>
                <w:szCs w:val="21"/>
              </w:rPr>
              <w:t>5</w:t>
            </w:r>
            <w:r w:rsidR="00C54AFA">
              <w:rPr>
                <w:sz w:val="20"/>
                <w:szCs w:val="21"/>
              </w:rPr>
              <w:t>/</w:t>
            </w:r>
            <w:r>
              <w:rPr>
                <w:sz w:val="20"/>
                <w:szCs w:val="21"/>
              </w:rPr>
              <w:t>1</w:t>
            </w:r>
          </w:p>
        </w:tc>
      </w:tr>
      <w:tr w:rsidR="00A1364C" w:rsidRPr="00F124C6" w:rsidTr="004E0B91">
        <w:trPr>
          <w:trHeight w:hRule="exact" w:val="2835"/>
        </w:trPr>
        <w:tc>
          <w:tcPr>
            <w:tcW w:w="1280" w:type="dxa"/>
            <w:tcBorders>
              <w:top w:val="single" w:sz="4" w:space="0" w:color="auto"/>
              <w:bottom w:val="single" w:sz="12" w:space="0" w:color="auto"/>
            </w:tcBorders>
          </w:tcPr>
          <w:p w:rsidR="00A1364C" w:rsidRPr="00F124C6" w:rsidRDefault="00A1364C" w:rsidP="004E0B91">
            <w:pPr>
              <w:spacing w:line="120" w:lineRule="atLeast"/>
              <w:rPr>
                <w:sz w:val="10"/>
                <w:szCs w:val="10"/>
              </w:rPr>
            </w:pPr>
          </w:p>
          <w:p w:rsidR="00A1364C" w:rsidRPr="00F124C6" w:rsidRDefault="00A1364C" w:rsidP="004E0B91">
            <w:pPr>
              <w:spacing w:line="120" w:lineRule="atLeast"/>
              <w:rPr>
                <w:sz w:val="10"/>
                <w:szCs w:val="10"/>
              </w:rPr>
            </w:pPr>
            <w:r>
              <w:rPr>
                <w:rFonts w:hint="eastAsia"/>
                <w:noProof/>
                <w:snapToGrid/>
                <w:lang w:val="en-GB" w:eastAsia="en-GB"/>
              </w:rPr>
              <w:drawing>
                <wp:inline distT="0" distB="0" distL="0" distR="0" wp14:anchorId="384B5430" wp14:editId="3CE98AEE">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4E0B91">
            <w:pPr>
              <w:spacing w:before="240" w:line="420" w:lineRule="exact"/>
              <w:rPr>
                <w:rFonts w:ascii="Time New Roman" w:eastAsia="SimHei" w:hAnsi="Time New Roman" w:hint="eastAsia"/>
                <w:sz w:val="40"/>
                <w:szCs w:val="40"/>
              </w:rPr>
            </w:pPr>
            <w:r w:rsidRPr="006428AB">
              <w:rPr>
                <w:rFonts w:ascii="SimSun" w:eastAsia="SimHei" w:hAnsi="SimSun" w:cs="SimSun" w:hint="eastAsia"/>
                <w:sz w:val="40"/>
                <w:szCs w:val="40"/>
              </w:rPr>
              <w:t>大</w:t>
            </w:r>
            <w:r w:rsidRPr="006428AB">
              <w:rPr>
                <w:rFonts w:ascii="Time New Roman" w:eastAsia="SimHei" w:hAnsi="Time New Roman" w:hint="eastAsia"/>
                <w:sz w:val="40"/>
                <w:szCs w:val="40"/>
              </w:rPr>
              <w:t xml:space="preserve">  </w:t>
            </w:r>
            <w:r w:rsidRPr="006428AB">
              <w:rPr>
                <w:rFonts w:ascii="SimSun" w:eastAsia="SimHei" w:hAnsi="SimSun" w:cs="SimSun" w:hint="eastAsia"/>
                <w:sz w:val="40"/>
                <w:szCs w:val="40"/>
              </w:rPr>
              <w:t>会</w:t>
            </w:r>
          </w:p>
        </w:tc>
        <w:tc>
          <w:tcPr>
            <w:tcW w:w="2819" w:type="dxa"/>
            <w:tcBorders>
              <w:top w:val="single" w:sz="4" w:space="0" w:color="auto"/>
              <w:bottom w:val="single" w:sz="12" w:space="0" w:color="auto"/>
            </w:tcBorders>
          </w:tcPr>
          <w:p w:rsidR="00A1364C" w:rsidRPr="00F124C6" w:rsidRDefault="00C54AFA" w:rsidP="004E0B91">
            <w:pPr>
              <w:spacing w:before="240" w:line="240" w:lineRule="atLeast"/>
              <w:rPr>
                <w:sz w:val="20"/>
              </w:rPr>
            </w:pPr>
            <w:r>
              <w:rPr>
                <w:sz w:val="20"/>
              </w:rPr>
              <w:t xml:space="preserve">Distr.: </w:t>
            </w:r>
            <w:r w:rsidR="00BC4B0A">
              <w:rPr>
                <w:sz w:val="20"/>
              </w:rPr>
              <w:t>General</w:t>
            </w:r>
          </w:p>
          <w:p w:rsidR="00A1364C" w:rsidRPr="00F124C6" w:rsidRDefault="00BC4B0A" w:rsidP="004E0B91">
            <w:pPr>
              <w:spacing w:line="240" w:lineRule="atLeast"/>
              <w:rPr>
                <w:sz w:val="20"/>
              </w:rPr>
            </w:pPr>
            <w:r>
              <w:t>15</w:t>
            </w:r>
            <w:r w:rsidR="00681711">
              <w:t xml:space="preserve"> </w:t>
            </w:r>
            <w:r>
              <w:t>May</w:t>
            </w:r>
            <w:r w:rsidR="00681711">
              <w:t xml:space="preserve"> </w:t>
            </w:r>
            <w:r>
              <w:t>2</w:t>
            </w:r>
            <w:r w:rsidR="00681711">
              <w:t>0</w:t>
            </w:r>
            <w:r>
              <w:t>15</w:t>
            </w:r>
          </w:p>
          <w:p w:rsidR="00A1364C" w:rsidRPr="00F124C6" w:rsidRDefault="00BC4B0A" w:rsidP="004E0B91">
            <w:pPr>
              <w:spacing w:line="240" w:lineRule="atLeast"/>
              <w:rPr>
                <w:sz w:val="20"/>
              </w:rPr>
            </w:pPr>
            <w:r>
              <w:rPr>
                <w:sz w:val="20"/>
              </w:rPr>
              <w:t>Chinese</w:t>
            </w:r>
            <w:r w:rsidR="00681711">
              <w:rPr>
                <w:sz w:val="20"/>
              </w:rPr>
              <w:t>-</w:t>
            </w:r>
          </w:p>
          <w:p w:rsidR="00A1364C" w:rsidRPr="00F124C6" w:rsidRDefault="00C54AFA" w:rsidP="004E0B91">
            <w:pPr>
              <w:spacing w:line="240" w:lineRule="atLeast"/>
            </w:pPr>
            <w:r>
              <w:rPr>
                <w:sz w:val="20"/>
              </w:rPr>
              <w:t xml:space="preserve">Original: </w:t>
            </w:r>
            <w:r w:rsidR="00BC4B0A">
              <w:rPr>
                <w:sz w:val="20"/>
              </w:rPr>
              <w:t>English</w:t>
            </w:r>
          </w:p>
        </w:tc>
      </w:tr>
    </w:tbl>
    <w:p w:rsidR="00681711" w:rsidRPr="00C54AFA" w:rsidRDefault="00681711" w:rsidP="00681711">
      <w:pPr>
        <w:tabs>
          <w:tab w:val="clear" w:pos="431"/>
        </w:tabs>
        <w:suppressAutoHyphens/>
        <w:overflowPunct/>
        <w:adjustRightInd/>
        <w:spacing w:before="120"/>
        <w:jc w:val="left"/>
        <w:rPr>
          <w:rFonts w:asciiTheme="majorBidi" w:eastAsia="SimHei" w:hAnsiTheme="majorBidi" w:cstheme="majorBidi"/>
          <w:bCs/>
          <w:snapToGrid/>
          <w:sz w:val="24"/>
          <w:szCs w:val="24"/>
          <w:lang w:val="zh-CN" w:bidi="zh-CN"/>
        </w:rPr>
      </w:pPr>
      <w:r w:rsidRPr="00C54AFA">
        <w:rPr>
          <w:rFonts w:asciiTheme="majorBidi" w:eastAsia="SimHei" w:hAnsiTheme="majorBidi" w:cstheme="majorBidi"/>
          <w:bCs/>
          <w:snapToGrid/>
          <w:sz w:val="24"/>
          <w:lang w:val="zh-CN" w:bidi="zh-CN"/>
        </w:rPr>
        <w:t>人权理事会</w:t>
      </w:r>
    </w:p>
    <w:p w:rsidR="00681711" w:rsidRPr="00C54AFA" w:rsidRDefault="00681711" w:rsidP="00681711">
      <w:pPr>
        <w:tabs>
          <w:tab w:val="clear" w:pos="431"/>
        </w:tabs>
        <w:suppressAutoHyphens/>
        <w:overflowPunct/>
        <w:adjustRightInd/>
        <w:snapToGrid/>
        <w:jc w:val="left"/>
        <w:rPr>
          <w:rFonts w:asciiTheme="majorBidi" w:eastAsia="SimHei" w:hAnsiTheme="majorBidi" w:cstheme="majorBidi"/>
          <w:bCs/>
          <w:snapToGrid/>
          <w:szCs w:val="21"/>
          <w:lang w:val="zh-CN" w:bidi="zh-CN"/>
        </w:rPr>
      </w:pPr>
      <w:r w:rsidRPr="00C54AFA">
        <w:rPr>
          <w:rFonts w:asciiTheme="majorBidi" w:eastAsia="SimHei" w:hAnsiTheme="majorBidi" w:cstheme="majorBidi"/>
          <w:bCs/>
          <w:snapToGrid/>
          <w:szCs w:val="21"/>
          <w:lang w:val="zh-CN" w:bidi="zh-CN"/>
        </w:rPr>
        <w:t>强迫或非自愿失踪问题工作组</w:t>
      </w:r>
    </w:p>
    <w:p w:rsidR="00681711" w:rsidRPr="00C54AFA" w:rsidRDefault="00681711" w:rsidP="009D210C">
      <w:pPr>
        <w:pStyle w:val="HChGC"/>
        <w:rPr>
          <w:rFonts w:asciiTheme="majorBidi" w:hAnsiTheme="majorBidi" w:cstheme="majorBidi"/>
          <w:snapToGrid/>
        </w:rPr>
      </w:pPr>
      <w:r w:rsidRPr="00C54AFA">
        <w:rPr>
          <w:rFonts w:asciiTheme="majorBidi" w:hAnsiTheme="majorBidi" w:cstheme="majorBidi"/>
          <w:snapToGrid/>
        </w:rPr>
        <w:tab/>
      </w:r>
      <w:r w:rsidRPr="00C54AFA">
        <w:rPr>
          <w:rFonts w:asciiTheme="majorBidi" w:hAnsiTheme="majorBidi" w:cstheme="majorBidi"/>
          <w:snapToGrid/>
        </w:rPr>
        <w:tab/>
      </w:r>
      <w:r w:rsidRPr="00C54AFA">
        <w:rPr>
          <w:rFonts w:asciiTheme="majorBidi" w:hAnsiTheme="majorBidi" w:cstheme="majorBidi"/>
          <w:snapToGrid/>
          <w:spacing w:val="6"/>
        </w:rPr>
        <w:t>函件、审查的案件、意见和强迫或非自愿失踪问题工作组</w:t>
      </w:r>
      <w:r w:rsidRPr="00C54AFA">
        <w:rPr>
          <w:rFonts w:asciiTheme="majorBidi" w:hAnsiTheme="majorBidi" w:cstheme="majorBidi"/>
          <w:snapToGrid/>
        </w:rPr>
        <w:br/>
      </w:r>
      <w:r w:rsidRPr="00C54AFA">
        <w:rPr>
          <w:rFonts w:asciiTheme="majorBidi" w:hAnsiTheme="majorBidi" w:cstheme="majorBidi"/>
          <w:snapToGrid/>
        </w:rPr>
        <w:t>开展的其他活动</w:t>
      </w:r>
      <w:r w:rsidR="009D210C" w:rsidRPr="00C54AFA">
        <w:rPr>
          <w:rFonts w:asciiTheme="majorBidi" w:hAnsiTheme="majorBidi" w:cstheme="majorBidi"/>
          <w:snapToGrid/>
        </w:rPr>
        <w:t>*</w:t>
      </w:r>
    </w:p>
    <w:p w:rsidR="00681711" w:rsidRPr="00C54AFA" w:rsidRDefault="00681711" w:rsidP="00681711">
      <w:pPr>
        <w:pStyle w:val="H1GC"/>
        <w:rPr>
          <w:rFonts w:asciiTheme="majorBidi" w:hAnsiTheme="majorBidi" w:cstheme="majorBidi"/>
          <w:snapToGrid/>
          <w:lang w:val="zh-CN" w:bidi="zh-CN"/>
        </w:rPr>
      </w:pPr>
      <w:r w:rsidRPr="00C54AFA">
        <w:rPr>
          <w:rFonts w:asciiTheme="majorBidi" w:hAnsiTheme="majorBidi" w:cstheme="majorBidi"/>
          <w:snapToGrid/>
          <w:lang w:val="zh-CN" w:bidi="zh-CN"/>
        </w:rPr>
        <w:footnoteReference w:customMarkFollows="1" w:id="2"/>
        <w:tab/>
      </w:r>
      <w:r w:rsidRPr="00C54AFA">
        <w:rPr>
          <w:rFonts w:asciiTheme="majorBidi" w:hAnsiTheme="majorBidi" w:cstheme="majorBidi"/>
          <w:snapToGrid/>
          <w:lang w:val="zh-CN" w:bidi="zh-CN"/>
        </w:rPr>
        <w:tab/>
      </w:r>
      <w:r w:rsidRPr="00C54AFA">
        <w:rPr>
          <w:rFonts w:asciiTheme="majorBidi" w:hAnsiTheme="majorBidi" w:cstheme="majorBidi"/>
          <w:snapToGrid/>
          <w:lang w:val="zh-CN" w:bidi="zh-CN"/>
        </w:rPr>
        <w:t>第</w:t>
      </w:r>
      <w:r w:rsidR="00BC4B0A" w:rsidRPr="00C54AFA">
        <w:rPr>
          <w:rFonts w:asciiTheme="majorBidi" w:hAnsiTheme="majorBidi" w:cstheme="majorBidi"/>
          <w:snapToGrid/>
          <w:lang w:val="zh-CN" w:bidi="zh-CN"/>
        </w:rPr>
        <w:t>1</w:t>
      </w:r>
      <w:r w:rsidRPr="00C54AFA">
        <w:rPr>
          <w:rFonts w:asciiTheme="majorBidi" w:hAnsiTheme="majorBidi" w:cstheme="majorBidi"/>
          <w:snapToGrid/>
          <w:lang w:val="zh-CN" w:bidi="zh-CN"/>
        </w:rPr>
        <w:t>0</w:t>
      </w:r>
      <w:r w:rsidR="00BC4B0A" w:rsidRPr="00C54AFA">
        <w:rPr>
          <w:rFonts w:asciiTheme="majorBidi" w:hAnsiTheme="majorBidi" w:cstheme="majorBidi"/>
          <w:snapToGrid/>
          <w:lang w:val="zh-CN" w:bidi="zh-CN"/>
        </w:rPr>
        <w:t>5</w:t>
      </w:r>
      <w:r w:rsidRPr="00C54AFA">
        <w:rPr>
          <w:rFonts w:asciiTheme="majorBidi" w:hAnsiTheme="majorBidi" w:cstheme="majorBidi"/>
          <w:snapToGrid/>
          <w:lang w:val="zh-CN" w:bidi="zh-CN"/>
        </w:rPr>
        <w:t>届会议</w:t>
      </w:r>
      <w:r w:rsidR="00C54AFA" w:rsidRPr="00C54AFA">
        <w:rPr>
          <w:rFonts w:asciiTheme="majorBidi" w:hAnsiTheme="majorBidi" w:cstheme="majorBidi"/>
          <w:snapToGrid/>
          <w:lang w:val="zh-CN" w:bidi="zh-CN"/>
        </w:rPr>
        <w:t>(</w:t>
      </w:r>
      <w:r w:rsidR="00BC4B0A" w:rsidRPr="00C54AFA">
        <w:rPr>
          <w:rFonts w:asciiTheme="majorBidi" w:hAnsiTheme="majorBidi" w:cstheme="majorBidi"/>
          <w:snapToGrid/>
          <w:lang w:val="zh-CN" w:bidi="zh-CN"/>
        </w:rPr>
        <w:t>2</w:t>
      </w:r>
      <w:r w:rsidRPr="00C54AFA">
        <w:rPr>
          <w:rFonts w:asciiTheme="majorBidi" w:hAnsiTheme="majorBidi" w:cstheme="majorBidi"/>
          <w:snapToGrid/>
          <w:lang w:val="zh-CN" w:bidi="zh-CN"/>
        </w:rPr>
        <w:t>0</w:t>
      </w:r>
      <w:r w:rsidR="00BC4B0A" w:rsidRPr="00C54AFA">
        <w:rPr>
          <w:rFonts w:asciiTheme="majorBidi" w:hAnsiTheme="majorBidi" w:cstheme="majorBidi"/>
          <w:snapToGrid/>
          <w:lang w:val="zh-CN" w:bidi="zh-CN"/>
        </w:rPr>
        <w:t>15</w:t>
      </w:r>
      <w:r w:rsidRPr="00C54AFA">
        <w:rPr>
          <w:rFonts w:asciiTheme="majorBidi" w:hAnsiTheme="majorBidi" w:cstheme="majorBidi"/>
          <w:snapToGrid/>
          <w:lang w:val="zh-CN" w:bidi="zh-CN"/>
        </w:rPr>
        <w:t>年</w:t>
      </w:r>
      <w:r w:rsidR="00BC4B0A" w:rsidRPr="00C54AFA">
        <w:rPr>
          <w:rFonts w:asciiTheme="majorBidi" w:hAnsiTheme="majorBidi" w:cstheme="majorBidi"/>
          <w:snapToGrid/>
          <w:lang w:val="zh-CN" w:bidi="zh-CN"/>
        </w:rPr>
        <w:t>3</w:t>
      </w:r>
      <w:r w:rsidRPr="00C54AFA">
        <w:rPr>
          <w:rFonts w:asciiTheme="majorBidi" w:hAnsiTheme="majorBidi" w:cstheme="majorBidi"/>
          <w:snapToGrid/>
          <w:lang w:val="zh-CN" w:bidi="zh-CN"/>
        </w:rPr>
        <w:t>月</w:t>
      </w:r>
      <w:r w:rsidR="00BC4B0A" w:rsidRPr="00C54AFA">
        <w:rPr>
          <w:rFonts w:asciiTheme="majorBidi" w:hAnsiTheme="majorBidi" w:cstheme="majorBidi"/>
          <w:snapToGrid/>
          <w:lang w:val="zh-CN" w:bidi="zh-CN"/>
        </w:rPr>
        <w:t>2</w:t>
      </w:r>
      <w:r w:rsidRPr="00C54AFA">
        <w:rPr>
          <w:rFonts w:asciiTheme="majorBidi" w:hAnsiTheme="majorBidi" w:cstheme="majorBidi"/>
          <w:snapToGrid/>
          <w:lang w:val="zh-CN" w:bidi="zh-CN"/>
        </w:rPr>
        <w:t>日至</w:t>
      </w:r>
      <w:r w:rsidR="00BC4B0A" w:rsidRPr="00C54AFA">
        <w:rPr>
          <w:rFonts w:asciiTheme="majorBidi" w:hAnsiTheme="majorBidi" w:cstheme="majorBidi"/>
          <w:snapToGrid/>
          <w:lang w:val="zh-CN" w:bidi="zh-CN"/>
        </w:rPr>
        <w:t>6</w:t>
      </w:r>
      <w:r w:rsidRPr="00C54AFA">
        <w:rPr>
          <w:rFonts w:asciiTheme="majorBidi" w:hAnsiTheme="majorBidi" w:cstheme="majorBidi"/>
          <w:snapToGrid/>
          <w:lang w:val="zh-CN" w:bidi="zh-CN"/>
        </w:rPr>
        <w:t>日</w:t>
      </w:r>
      <w:r w:rsidR="00C54AFA" w:rsidRPr="00C54AFA">
        <w:rPr>
          <w:rFonts w:asciiTheme="majorBidi" w:hAnsiTheme="majorBidi" w:cstheme="majorBidi"/>
          <w:snapToGrid/>
          <w:lang w:val="zh-CN" w:bidi="zh-CN"/>
        </w:rPr>
        <w:t>)</w:t>
      </w:r>
    </w:p>
    <w:p w:rsidR="00A63A71" w:rsidRPr="00C54AFA" w:rsidRDefault="00A63A71" w:rsidP="00EA12E9">
      <w:pPr>
        <w:pStyle w:val="HChGC"/>
      </w:pPr>
      <w:r w:rsidRPr="00C54AFA">
        <w:tab/>
      </w:r>
      <w:r w:rsidRPr="00C54AFA">
        <w:t>一</w:t>
      </w:r>
      <w:r w:rsidRPr="00C54AFA">
        <w:t>.</w:t>
      </w:r>
      <w:r w:rsidRPr="00C54AFA">
        <w:tab/>
      </w:r>
      <w:r w:rsidRPr="00C54AFA">
        <w:t>导言</w:t>
      </w:r>
    </w:p>
    <w:p w:rsidR="00A63A71" w:rsidRPr="00C54AFA" w:rsidRDefault="00C54AFA" w:rsidP="00D421AE">
      <w:pPr>
        <w:pStyle w:val="SingleTxtGC"/>
        <w:rPr>
          <w:rFonts w:asciiTheme="majorBidi" w:hAnsiTheme="majorBidi" w:cstheme="majorBidi"/>
        </w:rPr>
      </w:pPr>
      <w:r w:rsidRPr="00C54AFA">
        <w:rPr>
          <w:rFonts w:asciiTheme="majorBidi" w:hAnsiTheme="majorBidi" w:cstheme="majorBidi"/>
        </w:rPr>
        <w:t>1.</w:t>
      </w:r>
      <w:r w:rsidR="00D421AE" w:rsidRPr="00C54AFA">
        <w:rPr>
          <w:rFonts w:asciiTheme="majorBidi" w:hAnsiTheme="majorBidi" w:cstheme="majorBidi"/>
        </w:rPr>
        <w:t xml:space="preserve">  </w:t>
      </w:r>
      <w:r w:rsidR="00A63A71" w:rsidRPr="00C54AFA">
        <w:rPr>
          <w:rFonts w:asciiTheme="majorBidi" w:hAnsiTheme="majorBidi" w:cstheme="majorBidi"/>
        </w:rPr>
        <w:t>本文件反映强迫或非自愿失踪问题工作组</w:t>
      </w:r>
      <w:r w:rsidR="00BC4B0A" w:rsidRPr="00C54AFA">
        <w:rPr>
          <w:rFonts w:asciiTheme="majorBidi" w:hAnsiTheme="majorBidi" w:cstheme="majorBidi"/>
        </w:rPr>
        <w:t>2</w:t>
      </w:r>
      <w:r w:rsidR="00A63A71" w:rsidRPr="00C54AFA">
        <w:rPr>
          <w:rFonts w:asciiTheme="majorBidi" w:hAnsiTheme="majorBidi" w:cstheme="majorBidi"/>
        </w:rPr>
        <w:t>0</w:t>
      </w:r>
      <w:r w:rsidR="00BC4B0A" w:rsidRPr="00C54AFA">
        <w:rPr>
          <w:rFonts w:asciiTheme="majorBidi" w:hAnsiTheme="majorBidi" w:cstheme="majorBidi"/>
        </w:rPr>
        <w:t>15</w:t>
      </w:r>
      <w:r w:rsidR="00A63A71" w:rsidRPr="00C54AFA">
        <w:rPr>
          <w:rFonts w:asciiTheme="majorBidi" w:hAnsiTheme="majorBidi" w:cstheme="majorBidi"/>
        </w:rPr>
        <w:t>年</w:t>
      </w:r>
      <w:r w:rsidR="00BC4B0A" w:rsidRPr="00C54AFA">
        <w:rPr>
          <w:rFonts w:asciiTheme="majorBidi" w:hAnsiTheme="majorBidi" w:cstheme="majorBidi"/>
        </w:rPr>
        <w:t>3</w:t>
      </w:r>
      <w:r w:rsidR="00A63A71" w:rsidRPr="00C54AFA">
        <w:rPr>
          <w:rFonts w:asciiTheme="majorBidi" w:hAnsiTheme="majorBidi" w:cstheme="majorBidi"/>
        </w:rPr>
        <w:t>月</w:t>
      </w:r>
      <w:r w:rsidR="00BC4B0A" w:rsidRPr="00C54AFA">
        <w:rPr>
          <w:rFonts w:asciiTheme="majorBidi" w:hAnsiTheme="majorBidi" w:cstheme="majorBidi"/>
        </w:rPr>
        <w:t>2</w:t>
      </w:r>
      <w:r w:rsidR="00A63A71" w:rsidRPr="00C54AFA">
        <w:rPr>
          <w:rFonts w:asciiTheme="majorBidi" w:hAnsiTheme="majorBidi" w:cstheme="majorBidi"/>
        </w:rPr>
        <w:t>日至</w:t>
      </w:r>
      <w:r w:rsidR="00BC4B0A" w:rsidRPr="00C54AFA">
        <w:rPr>
          <w:rFonts w:asciiTheme="majorBidi" w:hAnsiTheme="majorBidi" w:cstheme="majorBidi"/>
        </w:rPr>
        <w:t>6</w:t>
      </w:r>
      <w:r w:rsidR="00A63A71" w:rsidRPr="00C54AFA">
        <w:rPr>
          <w:rFonts w:asciiTheme="majorBidi" w:hAnsiTheme="majorBidi" w:cstheme="majorBidi"/>
        </w:rPr>
        <w:t>日</w:t>
      </w:r>
      <w:r w:rsidRPr="00C54AFA">
        <w:rPr>
          <w:rFonts w:asciiTheme="majorBidi" w:hAnsiTheme="majorBidi" w:cstheme="majorBidi"/>
        </w:rPr>
        <w:t>(</w:t>
      </w:r>
      <w:r w:rsidR="00A63A71" w:rsidRPr="00C54AFA">
        <w:rPr>
          <w:rFonts w:asciiTheme="majorBidi" w:hAnsiTheme="majorBidi" w:cstheme="majorBidi"/>
        </w:rPr>
        <w:t>值工作组第</w:t>
      </w:r>
      <w:r w:rsidR="00BC4B0A" w:rsidRPr="00C54AFA">
        <w:rPr>
          <w:rFonts w:asciiTheme="majorBidi" w:hAnsiTheme="majorBidi" w:cstheme="majorBidi"/>
        </w:rPr>
        <w:t>35</w:t>
      </w:r>
      <w:r w:rsidR="00A63A71" w:rsidRPr="00C54AFA">
        <w:rPr>
          <w:rFonts w:asciiTheme="majorBidi" w:hAnsiTheme="majorBidi" w:cstheme="majorBidi"/>
        </w:rPr>
        <w:t>周年之际</w:t>
      </w:r>
      <w:r w:rsidRPr="00C54AFA">
        <w:rPr>
          <w:rFonts w:asciiTheme="majorBidi" w:hAnsiTheme="majorBidi" w:cstheme="majorBidi"/>
        </w:rPr>
        <w:t>)</w:t>
      </w:r>
      <w:r w:rsidR="00A63A71" w:rsidRPr="00C54AFA">
        <w:rPr>
          <w:rFonts w:asciiTheme="majorBidi" w:hAnsiTheme="majorBidi" w:cstheme="majorBidi"/>
        </w:rPr>
        <w:t>在阿根廷政府的邀请下在布宜诺斯艾利斯举行的第</w:t>
      </w:r>
      <w:r w:rsidR="00BC4B0A" w:rsidRPr="00C54AFA">
        <w:rPr>
          <w:rFonts w:asciiTheme="majorBidi" w:hAnsiTheme="majorBidi" w:cstheme="majorBidi"/>
        </w:rPr>
        <w:t>1</w:t>
      </w:r>
      <w:r w:rsidR="00A63A71" w:rsidRPr="00C54AFA">
        <w:rPr>
          <w:rFonts w:asciiTheme="majorBidi" w:hAnsiTheme="majorBidi" w:cstheme="majorBidi"/>
        </w:rPr>
        <w:t>0</w:t>
      </w:r>
      <w:r w:rsidR="00BC4B0A" w:rsidRPr="00C54AFA">
        <w:rPr>
          <w:rFonts w:asciiTheme="majorBidi" w:hAnsiTheme="majorBidi" w:cstheme="majorBidi"/>
        </w:rPr>
        <w:t>5</w:t>
      </w:r>
      <w:r w:rsidR="00A63A71" w:rsidRPr="00C54AFA">
        <w:rPr>
          <w:rFonts w:asciiTheme="majorBidi" w:hAnsiTheme="majorBidi" w:cstheme="majorBidi"/>
        </w:rPr>
        <w:t>届会议上审查的函件和案件以及开展的其他活动。</w:t>
      </w:r>
    </w:p>
    <w:p w:rsidR="00A63A71" w:rsidRPr="00C54AFA" w:rsidRDefault="00A63A71" w:rsidP="00EA12E9">
      <w:pPr>
        <w:pStyle w:val="HChGC"/>
      </w:pPr>
      <w:r w:rsidRPr="00C54AFA">
        <w:tab/>
      </w:r>
      <w:r w:rsidRPr="00C54AFA">
        <w:t>二</w:t>
      </w:r>
      <w:r w:rsidR="00EA12E9">
        <w:t>.</w:t>
      </w:r>
      <w:r w:rsidRPr="00C54AFA">
        <w:tab/>
      </w:r>
      <w:r w:rsidRPr="00C54AFA">
        <w:t>来文</w:t>
      </w:r>
    </w:p>
    <w:p w:rsidR="00A63A71" w:rsidRPr="00C54AFA" w:rsidRDefault="00C54AFA" w:rsidP="00D421AE">
      <w:pPr>
        <w:pStyle w:val="SingleTxtGC"/>
        <w:rPr>
          <w:rFonts w:asciiTheme="majorBidi" w:hAnsiTheme="majorBidi" w:cstheme="majorBidi"/>
        </w:rPr>
      </w:pPr>
      <w:r w:rsidRPr="00C54AFA">
        <w:rPr>
          <w:rFonts w:asciiTheme="majorBidi" w:hAnsiTheme="majorBidi" w:cstheme="majorBidi"/>
        </w:rPr>
        <w:t>2.</w:t>
      </w:r>
      <w:r w:rsidR="00D421AE" w:rsidRPr="00C54AFA">
        <w:rPr>
          <w:rFonts w:asciiTheme="majorBidi" w:hAnsiTheme="majorBidi" w:cstheme="majorBidi"/>
        </w:rPr>
        <w:t xml:space="preserve">  </w:t>
      </w:r>
      <w:r w:rsidR="00A63A71" w:rsidRPr="00C54AFA">
        <w:rPr>
          <w:rFonts w:asciiTheme="majorBidi" w:hAnsiTheme="majorBidi" w:cstheme="majorBidi"/>
        </w:rPr>
        <w:t>在第</w:t>
      </w:r>
      <w:r w:rsidR="00BC4B0A" w:rsidRPr="00C54AFA">
        <w:rPr>
          <w:rFonts w:asciiTheme="majorBidi" w:hAnsiTheme="majorBidi" w:cstheme="majorBidi"/>
        </w:rPr>
        <w:t>1</w:t>
      </w:r>
      <w:r w:rsidR="00A63A71" w:rsidRPr="00C54AFA">
        <w:rPr>
          <w:rFonts w:asciiTheme="majorBidi" w:hAnsiTheme="majorBidi" w:cstheme="majorBidi"/>
        </w:rPr>
        <w:t>0</w:t>
      </w:r>
      <w:r w:rsidR="00BC4B0A" w:rsidRPr="00C54AFA">
        <w:rPr>
          <w:rFonts w:asciiTheme="majorBidi" w:hAnsiTheme="majorBidi" w:cstheme="majorBidi"/>
        </w:rPr>
        <w:t>4</w:t>
      </w:r>
      <w:r w:rsidR="00A63A71" w:rsidRPr="00C54AFA">
        <w:rPr>
          <w:rFonts w:asciiTheme="majorBidi" w:hAnsiTheme="majorBidi" w:cstheme="majorBidi"/>
        </w:rPr>
        <w:t>至</w:t>
      </w:r>
      <w:r w:rsidR="00BC4B0A" w:rsidRPr="00C54AFA">
        <w:rPr>
          <w:rFonts w:asciiTheme="majorBidi" w:hAnsiTheme="majorBidi" w:cstheme="majorBidi"/>
        </w:rPr>
        <w:t>1</w:t>
      </w:r>
      <w:r w:rsidR="00A63A71" w:rsidRPr="00C54AFA">
        <w:rPr>
          <w:rFonts w:asciiTheme="majorBidi" w:hAnsiTheme="majorBidi" w:cstheme="majorBidi"/>
        </w:rPr>
        <w:t>0</w:t>
      </w:r>
      <w:r w:rsidR="00BC4B0A" w:rsidRPr="00C54AFA">
        <w:rPr>
          <w:rFonts w:asciiTheme="majorBidi" w:hAnsiTheme="majorBidi" w:cstheme="majorBidi"/>
        </w:rPr>
        <w:t>5</w:t>
      </w:r>
      <w:r w:rsidR="00A63A71" w:rsidRPr="00C54AFA">
        <w:rPr>
          <w:rFonts w:asciiTheme="majorBidi" w:hAnsiTheme="majorBidi" w:cstheme="majorBidi"/>
        </w:rPr>
        <w:t>届会议之间</w:t>
      </w:r>
      <w:r w:rsidRPr="00C54AFA">
        <w:rPr>
          <w:rFonts w:asciiTheme="majorBidi" w:hAnsiTheme="majorBidi" w:cstheme="majorBidi"/>
        </w:rPr>
        <w:t>，</w:t>
      </w:r>
      <w:r w:rsidR="00A63A71" w:rsidRPr="00C54AFA">
        <w:rPr>
          <w:rFonts w:asciiTheme="majorBidi" w:hAnsiTheme="majorBidi" w:cstheme="majorBidi"/>
        </w:rPr>
        <w:t>工作组在紧急行动程序下向以下国家转交了</w:t>
      </w:r>
      <w:r w:rsidR="00BC4B0A" w:rsidRPr="00C54AFA">
        <w:rPr>
          <w:rFonts w:asciiTheme="majorBidi" w:hAnsiTheme="majorBidi" w:cstheme="majorBidi"/>
        </w:rPr>
        <w:t>92</w:t>
      </w:r>
      <w:r w:rsidR="00A63A71" w:rsidRPr="00C54AFA">
        <w:rPr>
          <w:rFonts w:asciiTheme="majorBidi" w:hAnsiTheme="majorBidi" w:cstheme="majorBidi"/>
        </w:rPr>
        <w:t>起案件</w:t>
      </w:r>
      <w:r w:rsidRPr="00C54AFA">
        <w:rPr>
          <w:rFonts w:asciiTheme="majorBidi" w:hAnsiTheme="majorBidi" w:cstheme="majorBidi"/>
        </w:rPr>
        <w:t>：</w:t>
      </w:r>
      <w:r w:rsidR="00A63A71" w:rsidRPr="00C54AFA">
        <w:rPr>
          <w:rFonts w:asciiTheme="majorBidi" w:hAnsiTheme="majorBidi" w:cstheme="majorBidi"/>
        </w:rPr>
        <w:t>孟加拉国</w:t>
      </w:r>
      <w:r w:rsidRPr="00C54AFA">
        <w:rPr>
          <w:rFonts w:asciiTheme="majorBidi" w:hAnsiTheme="majorBidi" w:cstheme="majorBidi"/>
        </w:rPr>
        <w:t>(</w:t>
      </w:r>
      <w:r w:rsidR="00BC4B0A" w:rsidRPr="00C54AFA">
        <w:rPr>
          <w:rFonts w:asciiTheme="majorBidi" w:hAnsiTheme="majorBidi" w:cstheme="majorBidi"/>
        </w:rPr>
        <w:t>1</w:t>
      </w:r>
      <w:r w:rsidRPr="00C54AFA">
        <w:rPr>
          <w:rFonts w:asciiTheme="majorBidi" w:hAnsiTheme="majorBidi" w:cstheme="majorBidi"/>
        </w:rPr>
        <w:t>)</w:t>
      </w:r>
      <w:r w:rsidR="00A63A71" w:rsidRPr="00C54AFA">
        <w:rPr>
          <w:rFonts w:asciiTheme="majorBidi" w:hAnsiTheme="majorBidi" w:cstheme="majorBidi"/>
        </w:rPr>
        <w:t>、刚果民主共和国</w:t>
      </w:r>
      <w:r w:rsidRPr="00C54AFA">
        <w:rPr>
          <w:rFonts w:asciiTheme="majorBidi" w:hAnsiTheme="majorBidi" w:cstheme="majorBidi"/>
        </w:rPr>
        <w:t>(</w:t>
      </w:r>
      <w:r w:rsidR="00BC4B0A" w:rsidRPr="00C54AFA">
        <w:rPr>
          <w:rFonts w:asciiTheme="majorBidi" w:hAnsiTheme="majorBidi" w:cstheme="majorBidi"/>
        </w:rPr>
        <w:t>1</w:t>
      </w:r>
      <w:r w:rsidRPr="00C54AFA">
        <w:rPr>
          <w:rFonts w:asciiTheme="majorBidi" w:hAnsiTheme="majorBidi" w:cstheme="majorBidi"/>
        </w:rPr>
        <w:t>)</w:t>
      </w:r>
      <w:r w:rsidR="00A63A71" w:rsidRPr="00C54AFA">
        <w:rPr>
          <w:rFonts w:asciiTheme="majorBidi" w:hAnsiTheme="majorBidi" w:cstheme="majorBidi"/>
        </w:rPr>
        <w:t>、埃及</w:t>
      </w:r>
      <w:r w:rsidRPr="00C54AFA">
        <w:rPr>
          <w:rFonts w:asciiTheme="majorBidi" w:hAnsiTheme="majorBidi" w:cstheme="majorBidi"/>
        </w:rPr>
        <w:t>(</w:t>
      </w:r>
      <w:r w:rsidR="00BC4B0A" w:rsidRPr="00C54AFA">
        <w:rPr>
          <w:rFonts w:asciiTheme="majorBidi" w:hAnsiTheme="majorBidi" w:cstheme="majorBidi"/>
        </w:rPr>
        <w:t>41</w:t>
      </w:r>
      <w:r w:rsidRPr="00C54AFA">
        <w:rPr>
          <w:rFonts w:asciiTheme="majorBidi" w:hAnsiTheme="majorBidi" w:cstheme="majorBidi"/>
        </w:rPr>
        <w:t>)</w:t>
      </w:r>
      <w:r w:rsidR="00A63A71" w:rsidRPr="00C54AFA">
        <w:rPr>
          <w:rFonts w:asciiTheme="majorBidi" w:hAnsiTheme="majorBidi" w:cstheme="majorBidi"/>
        </w:rPr>
        <w:t>、冈比亚</w:t>
      </w:r>
      <w:r w:rsidRPr="00C54AFA">
        <w:rPr>
          <w:rFonts w:asciiTheme="majorBidi" w:hAnsiTheme="majorBidi" w:cstheme="majorBidi"/>
        </w:rPr>
        <w:t>(</w:t>
      </w:r>
      <w:r w:rsidR="00BC4B0A" w:rsidRPr="00C54AFA">
        <w:rPr>
          <w:rFonts w:asciiTheme="majorBidi" w:hAnsiTheme="majorBidi" w:cstheme="majorBidi"/>
        </w:rPr>
        <w:t>7</w:t>
      </w:r>
      <w:r w:rsidRPr="00C54AFA">
        <w:rPr>
          <w:rFonts w:asciiTheme="majorBidi" w:hAnsiTheme="majorBidi" w:cstheme="majorBidi"/>
        </w:rPr>
        <w:t>)</w:t>
      </w:r>
      <w:r w:rsidR="00A63A71" w:rsidRPr="00C54AFA">
        <w:rPr>
          <w:rFonts w:asciiTheme="majorBidi" w:hAnsiTheme="majorBidi" w:cstheme="majorBidi"/>
        </w:rPr>
        <w:t>、墨西哥</w:t>
      </w:r>
      <w:r w:rsidRPr="00C54AFA">
        <w:rPr>
          <w:rFonts w:asciiTheme="majorBidi" w:hAnsiTheme="majorBidi" w:cstheme="majorBidi"/>
        </w:rPr>
        <w:t>(</w:t>
      </w:r>
      <w:r w:rsidR="00BC4B0A" w:rsidRPr="00C54AFA">
        <w:rPr>
          <w:rFonts w:asciiTheme="majorBidi" w:hAnsiTheme="majorBidi" w:cstheme="majorBidi"/>
        </w:rPr>
        <w:t>1</w:t>
      </w:r>
      <w:r w:rsidRPr="00C54AFA">
        <w:rPr>
          <w:rFonts w:asciiTheme="majorBidi" w:hAnsiTheme="majorBidi" w:cstheme="majorBidi"/>
        </w:rPr>
        <w:t>)</w:t>
      </w:r>
      <w:r w:rsidR="00A63A71" w:rsidRPr="00C54AFA">
        <w:rPr>
          <w:rFonts w:asciiTheme="majorBidi" w:hAnsiTheme="majorBidi" w:cstheme="majorBidi"/>
        </w:rPr>
        <w:t>、阿曼</w:t>
      </w:r>
      <w:r w:rsidRPr="00C54AFA">
        <w:rPr>
          <w:rFonts w:asciiTheme="majorBidi" w:hAnsiTheme="majorBidi" w:cstheme="majorBidi"/>
        </w:rPr>
        <w:t>(</w:t>
      </w:r>
      <w:r w:rsidR="00BC4B0A" w:rsidRPr="00C54AFA">
        <w:rPr>
          <w:rFonts w:asciiTheme="majorBidi" w:hAnsiTheme="majorBidi" w:cstheme="majorBidi"/>
        </w:rPr>
        <w:t>1</w:t>
      </w:r>
      <w:r w:rsidRPr="00C54AFA">
        <w:rPr>
          <w:rFonts w:asciiTheme="majorBidi" w:hAnsiTheme="majorBidi" w:cstheme="majorBidi"/>
        </w:rPr>
        <w:t>)</w:t>
      </w:r>
      <w:r w:rsidR="00A63A71" w:rsidRPr="00C54AFA">
        <w:rPr>
          <w:rFonts w:asciiTheme="majorBidi" w:hAnsiTheme="majorBidi" w:cstheme="majorBidi"/>
        </w:rPr>
        <w:t>、巴基斯坦</w:t>
      </w:r>
      <w:r w:rsidRPr="00C54AFA">
        <w:rPr>
          <w:rFonts w:asciiTheme="majorBidi" w:hAnsiTheme="majorBidi" w:cstheme="majorBidi"/>
        </w:rPr>
        <w:t>(</w:t>
      </w:r>
      <w:r w:rsidR="00BC4B0A" w:rsidRPr="00C54AFA">
        <w:rPr>
          <w:rFonts w:asciiTheme="majorBidi" w:hAnsiTheme="majorBidi" w:cstheme="majorBidi"/>
        </w:rPr>
        <w:t>35</w:t>
      </w:r>
      <w:r w:rsidRPr="00C54AFA">
        <w:rPr>
          <w:rFonts w:asciiTheme="majorBidi" w:hAnsiTheme="majorBidi" w:cstheme="majorBidi"/>
        </w:rPr>
        <w:t>)</w:t>
      </w:r>
      <w:r w:rsidR="00A63A71" w:rsidRPr="00C54AFA">
        <w:rPr>
          <w:rFonts w:asciiTheme="majorBidi" w:hAnsiTheme="majorBidi" w:cstheme="majorBidi"/>
        </w:rPr>
        <w:t>和阿拉伯联合酋长国</w:t>
      </w:r>
      <w:r w:rsidRPr="00C54AFA">
        <w:rPr>
          <w:rFonts w:asciiTheme="majorBidi" w:hAnsiTheme="majorBidi" w:cstheme="majorBidi"/>
        </w:rPr>
        <w:t>(</w:t>
      </w:r>
      <w:r w:rsidR="00BC4B0A" w:rsidRPr="00C54AFA">
        <w:rPr>
          <w:rFonts w:asciiTheme="majorBidi" w:hAnsiTheme="majorBidi" w:cstheme="majorBidi"/>
        </w:rPr>
        <w:t>5</w:t>
      </w:r>
      <w:r w:rsidRPr="00C54AFA">
        <w:rPr>
          <w:rFonts w:asciiTheme="majorBidi" w:hAnsiTheme="majorBidi" w:cstheme="majorBidi"/>
        </w:rPr>
        <w:t>)</w:t>
      </w:r>
      <w:r w:rsidR="00A63A71" w:rsidRPr="00C54AFA">
        <w:rPr>
          <w:rFonts w:asciiTheme="majorBidi" w:hAnsiTheme="majorBidi" w:cstheme="majorBidi"/>
        </w:rPr>
        <w:t>。</w:t>
      </w:r>
    </w:p>
    <w:p w:rsidR="00A63A71" w:rsidRPr="00C54AFA" w:rsidRDefault="00C54AFA" w:rsidP="00D421AE">
      <w:pPr>
        <w:pStyle w:val="SingleTxtGC"/>
        <w:rPr>
          <w:rFonts w:asciiTheme="majorBidi" w:hAnsiTheme="majorBidi" w:cstheme="majorBidi"/>
        </w:rPr>
      </w:pPr>
      <w:r w:rsidRPr="00C54AFA">
        <w:rPr>
          <w:rFonts w:asciiTheme="majorBidi" w:hAnsiTheme="majorBidi" w:cstheme="majorBidi"/>
        </w:rPr>
        <w:t>3.</w:t>
      </w:r>
      <w:r w:rsidR="00D421AE" w:rsidRPr="00C54AFA">
        <w:rPr>
          <w:rFonts w:asciiTheme="majorBidi" w:hAnsiTheme="majorBidi" w:cstheme="majorBidi"/>
        </w:rPr>
        <w:t xml:space="preserve">  </w:t>
      </w:r>
      <w:r w:rsidR="00A63A71" w:rsidRPr="00C54AFA">
        <w:rPr>
          <w:rFonts w:asciiTheme="majorBidi" w:hAnsiTheme="majorBidi" w:cstheme="majorBidi"/>
        </w:rPr>
        <w:t>在第</w:t>
      </w:r>
      <w:r w:rsidR="00BC4B0A" w:rsidRPr="00C54AFA">
        <w:rPr>
          <w:rFonts w:asciiTheme="majorBidi" w:hAnsiTheme="majorBidi" w:cstheme="majorBidi"/>
        </w:rPr>
        <w:t>1</w:t>
      </w:r>
      <w:r w:rsidR="00A63A71" w:rsidRPr="00C54AFA">
        <w:rPr>
          <w:rFonts w:asciiTheme="majorBidi" w:hAnsiTheme="majorBidi" w:cstheme="majorBidi"/>
        </w:rPr>
        <w:t>0</w:t>
      </w:r>
      <w:r w:rsidR="00BC4B0A" w:rsidRPr="00C54AFA">
        <w:rPr>
          <w:rFonts w:asciiTheme="majorBidi" w:hAnsiTheme="majorBidi" w:cstheme="majorBidi"/>
        </w:rPr>
        <w:t>5</w:t>
      </w:r>
      <w:r w:rsidR="00A63A71" w:rsidRPr="00C54AFA">
        <w:rPr>
          <w:rFonts w:asciiTheme="majorBidi" w:hAnsiTheme="majorBidi" w:cstheme="majorBidi"/>
        </w:rPr>
        <w:t>届会议上</w:t>
      </w:r>
      <w:r w:rsidRPr="00C54AFA">
        <w:rPr>
          <w:rFonts w:asciiTheme="majorBidi" w:hAnsiTheme="majorBidi" w:cstheme="majorBidi"/>
        </w:rPr>
        <w:t>，</w:t>
      </w:r>
      <w:r w:rsidR="00A63A71" w:rsidRPr="00C54AFA">
        <w:rPr>
          <w:rFonts w:asciiTheme="majorBidi" w:hAnsiTheme="majorBidi" w:cstheme="majorBidi"/>
        </w:rPr>
        <w:t>工作组决定向</w:t>
      </w:r>
      <w:r w:rsidR="00BC4B0A" w:rsidRPr="00C54AFA">
        <w:rPr>
          <w:rFonts w:asciiTheme="majorBidi" w:hAnsiTheme="majorBidi" w:cstheme="majorBidi"/>
        </w:rPr>
        <w:t>15</w:t>
      </w:r>
      <w:r w:rsidR="00A63A71" w:rsidRPr="00C54AFA">
        <w:rPr>
          <w:rFonts w:asciiTheme="majorBidi" w:hAnsiTheme="majorBidi" w:cstheme="majorBidi"/>
        </w:rPr>
        <w:t>个国家转交</w:t>
      </w:r>
      <w:r w:rsidR="00BC4B0A" w:rsidRPr="00C54AFA">
        <w:rPr>
          <w:rFonts w:asciiTheme="majorBidi" w:hAnsiTheme="majorBidi" w:cstheme="majorBidi"/>
        </w:rPr>
        <w:t>95</w:t>
      </w:r>
      <w:r w:rsidR="00A63A71" w:rsidRPr="00C54AFA">
        <w:rPr>
          <w:rFonts w:asciiTheme="majorBidi" w:hAnsiTheme="majorBidi" w:cstheme="majorBidi"/>
        </w:rPr>
        <w:t>起新报告的强迫失踪案件。工作组还澄清了</w:t>
      </w:r>
      <w:r w:rsidR="00BC4B0A" w:rsidRPr="00C54AFA">
        <w:rPr>
          <w:rFonts w:asciiTheme="majorBidi" w:hAnsiTheme="majorBidi" w:cstheme="majorBidi"/>
        </w:rPr>
        <w:t>19</w:t>
      </w:r>
      <w:r w:rsidR="00A63A71" w:rsidRPr="00C54AFA">
        <w:rPr>
          <w:rFonts w:asciiTheme="majorBidi" w:hAnsiTheme="majorBidi" w:cstheme="majorBidi"/>
        </w:rPr>
        <w:t>起案件</w:t>
      </w:r>
      <w:r w:rsidRPr="00C54AFA">
        <w:rPr>
          <w:rFonts w:asciiTheme="majorBidi" w:hAnsiTheme="majorBidi" w:cstheme="majorBidi"/>
        </w:rPr>
        <w:t>：</w:t>
      </w:r>
      <w:r w:rsidR="00A63A71" w:rsidRPr="00C54AFA">
        <w:rPr>
          <w:rFonts w:asciiTheme="majorBidi" w:hAnsiTheme="majorBidi" w:cstheme="majorBidi"/>
        </w:rPr>
        <w:t>阿尔及利亚</w:t>
      </w:r>
      <w:r w:rsidRPr="00C54AFA">
        <w:rPr>
          <w:rFonts w:asciiTheme="majorBidi" w:hAnsiTheme="majorBidi" w:cstheme="majorBidi"/>
        </w:rPr>
        <w:t>(</w:t>
      </w:r>
      <w:r w:rsidR="00BC4B0A" w:rsidRPr="00C54AFA">
        <w:rPr>
          <w:rFonts w:asciiTheme="majorBidi" w:hAnsiTheme="majorBidi" w:cstheme="majorBidi"/>
        </w:rPr>
        <w:t>1</w:t>
      </w:r>
      <w:r w:rsidRPr="00C54AFA">
        <w:rPr>
          <w:rFonts w:asciiTheme="majorBidi" w:hAnsiTheme="majorBidi" w:cstheme="majorBidi"/>
        </w:rPr>
        <w:t>)</w:t>
      </w:r>
      <w:r w:rsidR="00A63A71" w:rsidRPr="00C54AFA">
        <w:rPr>
          <w:rFonts w:asciiTheme="majorBidi" w:hAnsiTheme="majorBidi" w:cstheme="majorBidi"/>
        </w:rPr>
        <w:t>、巴林</w:t>
      </w:r>
      <w:r w:rsidRPr="00C54AFA">
        <w:rPr>
          <w:rFonts w:asciiTheme="majorBidi" w:hAnsiTheme="majorBidi" w:cstheme="majorBidi"/>
        </w:rPr>
        <w:t>(</w:t>
      </w:r>
      <w:r w:rsidR="00BC4B0A" w:rsidRPr="00C54AFA">
        <w:rPr>
          <w:rFonts w:asciiTheme="majorBidi" w:hAnsiTheme="majorBidi" w:cstheme="majorBidi"/>
        </w:rPr>
        <w:t>1</w:t>
      </w:r>
      <w:r w:rsidRPr="00C54AFA">
        <w:rPr>
          <w:rFonts w:asciiTheme="majorBidi" w:hAnsiTheme="majorBidi" w:cstheme="majorBidi"/>
        </w:rPr>
        <w:t>)</w:t>
      </w:r>
      <w:r w:rsidR="00A63A71" w:rsidRPr="00C54AFA">
        <w:rPr>
          <w:rFonts w:asciiTheme="majorBidi" w:hAnsiTheme="majorBidi" w:cstheme="majorBidi"/>
        </w:rPr>
        <w:t>、埃及</w:t>
      </w:r>
      <w:r w:rsidRPr="00C54AFA">
        <w:rPr>
          <w:rFonts w:asciiTheme="majorBidi" w:hAnsiTheme="majorBidi" w:cstheme="majorBidi"/>
        </w:rPr>
        <w:t>(</w:t>
      </w:r>
      <w:r w:rsidR="00BC4B0A" w:rsidRPr="00C54AFA">
        <w:rPr>
          <w:rFonts w:asciiTheme="majorBidi" w:hAnsiTheme="majorBidi" w:cstheme="majorBidi"/>
        </w:rPr>
        <w:t>2</w:t>
      </w:r>
      <w:r w:rsidRPr="00C54AFA">
        <w:rPr>
          <w:rFonts w:asciiTheme="majorBidi" w:hAnsiTheme="majorBidi" w:cstheme="majorBidi"/>
        </w:rPr>
        <w:t>)</w:t>
      </w:r>
      <w:r w:rsidR="00A63A71" w:rsidRPr="00C54AFA">
        <w:rPr>
          <w:rFonts w:asciiTheme="majorBidi" w:hAnsiTheme="majorBidi" w:cstheme="majorBidi"/>
        </w:rPr>
        <w:t>、冈比亚</w:t>
      </w:r>
      <w:r w:rsidRPr="00C54AFA">
        <w:rPr>
          <w:rFonts w:asciiTheme="majorBidi" w:hAnsiTheme="majorBidi" w:cstheme="majorBidi"/>
        </w:rPr>
        <w:t>(</w:t>
      </w:r>
      <w:r w:rsidR="00BC4B0A" w:rsidRPr="00C54AFA">
        <w:rPr>
          <w:rFonts w:asciiTheme="majorBidi" w:hAnsiTheme="majorBidi" w:cstheme="majorBidi"/>
        </w:rPr>
        <w:t>3</w:t>
      </w:r>
      <w:r w:rsidRPr="00C54AFA">
        <w:rPr>
          <w:rFonts w:asciiTheme="majorBidi" w:hAnsiTheme="majorBidi" w:cstheme="majorBidi"/>
        </w:rPr>
        <w:t>)</w:t>
      </w:r>
      <w:r w:rsidR="00A63A71" w:rsidRPr="00C54AFA">
        <w:rPr>
          <w:rFonts w:asciiTheme="majorBidi" w:hAnsiTheme="majorBidi" w:cstheme="majorBidi"/>
        </w:rPr>
        <w:t>、阿曼</w:t>
      </w:r>
      <w:r w:rsidRPr="00C54AFA">
        <w:rPr>
          <w:rFonts w:asciiTheme="majorBidi" w:hAnsiTheme="majorBidi" w:cstheme="majorBidi"/>
        </w:rPr>
        <w:t>(</w:t>
      </w:r>
      <w:r w:rsidR="00BC4B0A" w:rsidRPr="00C54AFA">
        <w:rPr>
          <w:rFonts w:asciiTheme="majorBidi" w:hAnsiTheme="majorBidi" w:cstheme="majorBidi"/>
        </w:rPr>
        <w:t>1</w:t>
      </w:r>
      <w:r w:rsidRPr="00C54AFA">
        <w:rPr>
          <w:rFonts w:asciiTheme="majorBidi" w:hAnsiTheme="majorBidi" w:cstheme="majorBidi"/>
        </w:rPr>
        <w:t>)</w:t>
      </w:r>
      <w:r w:rsidR="00A63A71" w:rsidRPr="00C54AFA">
        <w:rPr>
          <w:rFonts w:asciiTheme="majorBidi" w:hAnsiTheme="majorBidi" w:cstheme="majorBidi"/>
        </w:rPr>
        <w:t>、巴基斯坦</w:t>
      </w:r>
      <w:r w:rsidRPr="00C54AFA">
        <w:rPr>
          <w:rFonts w:asciiTheme="majorBidi" w:hAnsiTheme="majorBidi" w:cstheme="majorBidi"/>
        </w:rPr>
        <w:t>(</w:t>
      </w:r>
      <w:r w:rsidR="00BC4B0A" w:rsidRPr="00C54AFA">
        <w:rPr>
          <w:rFonts w:asciiTheme="majorBidi" w:hAnsiTheme="majorBidi" w:cstheme="majorBidi"/>
        </w:rPr>
        <w:t>5</w:t>
      </w:r>
      <w:r w:rsidRPr="00C54AFA">
        <w:rPr>
          <w:rFonts w:asciiTheme="majorBidi" w:hAnsiTheme="majorBidi" w:cstheme="majorBidi"/>
        </w:rPr>
        <w:t>)</w:t>
      </w:r>
      <w:r w:rsidR="00A63A71" w:rsidRPr="00C54AFA">
        <w:rPr>
          <w:rFonts w:asciiTheme="majorBidi" w:hAnsiTheme="majorBidi" w:cstheme="majorBidi"/>
        </w:rPr>
        <w:t>、沙特阿拉伯</w:t>
      </w:r>
      <w:r w:rsidRPr="00C54AFA">
        <w:rPr>
          <w:rFonts w:asciiTheme="majorBidi" w:hAnsiTheme="majorBidi" w:cstheme="majorBidi"/>
        </w:rPr>
        <w:t>(</w:t>
      </w:r>
      <w:r w:rsidR="00BC4B0A" w:rsidRPr="00C54AFA">
        <w:rPr>
          <w:rFonts w:asciiTheme="majorBidi" w:hAnsiTheme="majorBidi" w:cstheme="majorBidi"/>
        </w:rPr>
        <w:t>1</w:t>
      </w:r>
      <w:r w:rsidRPr="00C54AFA">
        <w:rPr>
          <w:rFonts w:asciiTheme="majorBidi" w:hAnsiTheme="majorBidi" w:cstheme="majorBidi"/>
        </w:rPr>
        <w:t>)</w:t>
      </w:r>
      <w:r w:rsidR="00A63A71" w:rsidRPr="00C54AFA">
        <w:rPr>
          <w:rFonts w:asciiTheme="majorBidi" w:hAnsiTheme="majorBidi" w:cstheme="majorBidi"/>
        </w:rPr>
        <w:t>、斯里兰卡</w:t>
      </w:r>
      <w:r w:rsidRPr="00C54AFA">
        <w:rPr>
          <w:rFonts w:asciiTheme="majorBidi" w:hAnsiTheme="majorBidi" w:cstheme="majorBidi"/>
        </w:rPr>
        <w:t>(</w:t>
      </w:r>
      <w:r w:rsidR="00BC4B0A" w:rsidRPr="00C54AFA">
        <w:rPr>
          <w:rFonts w:asciiTheme="majorBidi" w:hAnsiTheme="majorBidi" w:cstheme="majorBidi"/>
        </w:rPr>
        <w:t>1</w:t>
      </w:r>
      <w:r w:rsidRPr="00C54AFA">
        <w:rPr>
          <w:rFonts w:asciiTheme="majorBidi" w:hAnsiTheme="majorBidi" w:cstheme="majorBidi"/>
        </w:rPr>
        <w:t>)</w:t>
      </w:r>
      <w:r w:rsidR="00A63A71" w:rsidRPr="00C54AFA">
        <w:rPr>
          <w:rFonts w:asciiTheme="majorBidi" w:hAnsiTheme="majorBidi" w:cstheme="majorBidi"/>
        </w:rPr>
        <w:t>、阿拉伯叙利亚共和国</w:t>
      </w:r>
      <w:r w:rsidRPr="00C54AFA">
        <w:rPr>
          <w:rFonts w:asciiTheme="majorBidi" w:hAnsiTheme="majorBidi" w:cstheme="majorBidi"/>
        </w:rPr>
        <w:t>(</w:t>
      </w:r>
      <w:r w:rsidR="00BC4B0A" w:rsidRPr="00C54AFA">
        <w:rPr>
          <w:rFonts w:asciiTheme="majorBidi" w:hAnsiTheme="majorBidi" w:cstheme="majorBidi"/>
        </w:rPr>
        <w:t>1</w:t>
      </w:r>
      <w:r w:rsidRPr="00C54AFA">
        <w:rPr>
          <w:rFonts w:asciiTheme="majorBidi" w:hAnsiTheme="majorBidi" w:cstheme="majorBidi"/>
        </w:rPr>
        <w:t>)</w:t>
      </w:r>
      <w:r w:rsidR="00A63A71" w:rsidRPr="00C54AFA">
        <w:rPr>
          <w:rFonts w:asciiTheme="majorBidi" w:hAnsiTheme="majorBidi" w:cstheme="majorBidi"/>
        </w:rPr>
        <w:t>、土耳其</w:t>
      </w:r>
      <w:r w:rsidRPr="00C54AFA">
        <w:rPr>
          <w:rFonts w:asciiTheme="majorBidi" w:hAnsiTheme="majorBidi" w:cstheme="majorBidi"/>
        </w:rPr>
        <w:t>(</w:t>
      </w:r>
      <w:r w:rsidR="00BC4B0A" w:rsidRPr="00C54AFA">
        <w:rPr>
          <w:rFonts w:asciiTheme="majorBidi" w:hAnsiTheme="majorBidi" w:cstheme="majorBidi"/>
        </w:rPr>
        <w:t>1</w:t>
      </w:r>
      <w:r w:rsidRPr="00C54AFA">
        <w:rPr>
          <w:rFonts w:asciiTheme="majorBidi" w:hAnsiTheme="majorBidi" w:cstheme="majorBidi"/>
        </w:rPr>
        <w:t>)</w:t>
      </w:r>
      <w:r w:rsidR="00A63A71" w:rsidRPr="00C54AFA">
        <w:rPr>
          <w:rFonts w:asciiTheme="majorBidi" w:hAnsiTheme="majorBidi" w:cstheme="majorBidi"/>
        </w:rPr>
        <w:t>、阿拉伯联合酋长国</w:t>
      </w:r>
      <w:r w:rsidRPr="00C54AFA">
        <w:rPr>
          <w:rFonts w:asciiTheme="majorBidi" w:hAnsiTheme="majorBidi" w:cstheme="majorBidi"/>
        </w:rPr>
        <w:t>(</w:t>
      </w:r>
      <w:r w:rsidR="00BC4B0A" w:rsidRPr="00C54AFA">
        <w:rPr>
          <w:rFonts w:asciiTheme="majorBidi" w:hAnsiTheme="majorBidi" w:cstheme="majorBidi"/>
        </w:rPr>
        <w:t>1</w:t>
      </w:r>
      <w:r w:rsidRPr="00C54AFA">
        <w:rPr>
          <w:rFonts w:asciiTheme="majorBidi" w:hAnsiTheme="majorBidi" w:cstheme="majorBidi"/>
        </w:rPr>
        <w:t>)</w:t>
      </w:r>
      <w:r w:rsidR="00A63A71" w:rsidRPr="00C54AFA">
        <w:rPr>
          <w:rFonts w:asciiTheme="majorBidi" w:hAnsiTheme="majorBidi" w:cstheme="majorBidi"/>
        </w:rPr>
        <w:t>、乌拉圭</w:t>
      </w:r>
      <w:r w:rsidRPr="00C54AFA">
        <w:rPr>
          <w:rFonts w:asciiTheme="majorBidi" w:hAnsiTheme="majorBidi" w:cstheme="majorBidi"/>
        </w:rPr>
        <w:t>(</w:t>
      </w:r>
      <w:r w:rsidR="00BC4B0A" w:rsidRPr="00C54AFA">
        <w:rPr>
          <w:rFonts w:asciiTheme="majorBidi" w:hAnsiTheme="majorBidi" w:cstheme="majorBidi"/>
        </w:rPr>
        <w:t>1</w:t>
      </w:r>
      <w:r w:rsidRPr="00C54AFA">
        <w:rPr>
          <w:rFonts w:asciiTheme="majorBidi" w:hAnsiTheme="majorBidi" w:cstheme="majorBidi"/>
        </w:rPr>
        <w:t>)</w:t>
      </w:r>
      <w:r w:rsidR="00A63A71" w:rsidRPr="00C54AFA">
        <w:rPr>
          <w:rFonts w:asciiTheme="majorBidi" w:hAnsiTheme="majorBidi" w:cstheme="majorBidi"/>
        </w:rPr>
        <w:t>。在有关政府提供的资料基础上</w:t>
      </w:r>
      <w:r w:rsidRPr="00C54AFA">
        <w:rPr>
          <w:rFonts w:asciiTheme="majorBidi" w:hAnsiTheme="majorBidi" w:cstheme="majorBidi"/>
        </w:rPr>
        <w:t>，</w:t>
      </w:r>
      <w:r w:rsidR="00A63A71" w:rsidRPr="00C54AFA">
        <w:rPr>
          <w:rFonts w:asciiTheme="majorBidi" w:hAnsiTheme="majorBidi" w:cstheme="majorBidi"/>
        </w:rPr>
        <w:t>澄清了</w:t>
      </w:r>
      <w:r w:rsidR="00BC4B0A" w:rsidRPr="00C54AFA">
        <w:rPr>
          <w:rFonts w:asciiTheme="majorBidi" w:hAnsiTheme="majorBidi" w:cstheme="majorBidi"/>
        </w:rPr>
        <w:t>4</w:t>
      </w:r>
      <w:r w:rsidR="00A63A71" w:rsidRPr="00C54AFA">
        <w:rPr>
          <w:rFonts w:asciiTheme="majorBidi" w:hAnsiTheme="majorBidi" w:cstheme="majorBidi"/>
        </w:rPr>
        <w:t>起案件</w:t>
      </w:r>
      <w:r w:rsidRPr="00C54AFA">
        <w:rPr>
          <w:rFonts w:asciiTheme="majorBidi" w:hAnsiTheme="majorBidi" w:cstheme="majorBidi"/>
        </w:rPr>
        <w:t>；</w:t>
      </w:r>
      <w:r w:rsidR="00A63A71" w:rsidRPr="00C54AFA">
        <w:rPr>
          <w:rFonts w:asciiTheme="majorBidi" w:hAnsiTheme="majorBidi" w:cstheme="majorBidi"/>
        </w:rPr>
        <w:t>在来文方提供的资料基础上</w:t>
      </w:r>
      <w:r w:rsidRPr="00C54AFA">
        <w:rPr>
          <w:rFonts w:asciiTheme="majorBidi" w:hAnsiTheme="majorBidi" w:cstheme="majorBidi"/>
        </w:rPr>
        <w:t>，</w:t>
      </w:r>
      <w:r w:rsidR="00A63A71" w:rsidRPr="00C54AFA">
        <w:rPr>
          <w:rFonts w:asciiTheme="majorBidi" w:hAnsiTheme="majorBidi" w:cstheme="majorBidi"/>
        </w:rPr>
        <w:t>澄清了</w:t>
      </w:r>
      <w:r w:rsidR="00BC4B0A" w:rsidRPr="00C54AFA">
        <w:rPr>
          <w:rFonts w:asciiTheme="majorBidi" w:hAnsiTheme="majorBidi" w:cstheme="majorBidi"/>
        </w:rPr>
        <w:t>15</w:t>
      </w:r>
      <w:r w:rsidR="00A63A71" w:rsidRPr="00C54AFA">
        <w:rPr>
          <w:rFonts w:asciiTheme="majorBidi" w:hAnsiTheme="majorBidi" w:cstheme="majorBidi"/>
        </w:rPr>
        <w:t>起案件。</w:t>
      </w:r>
    </w:p>
    <w:p w:rsidR="00A63A71" w:rsidRPr="00C54AFA" w:rsidRDefault="00C54AFA" w:rsidP="00EA12E9">
      <w:pPr>
        <w:pStyle w:val="SingleTxtGC"/>
      </w:pPr>
      <w:r w:rsidRPr="00C54AFA">
        <w:lastRenderedPageBreak/>
        <w:t>4.</w:t>
      </w:r>
      <w:r w:rsidR="00D421AE" w:rsidRPr="00C54AFA">
        <w:t xml:space="preserve">  </w:t>
      </w:r>
      <w:r w:rsidR="00A63A71" w:rsidRPr="00C54AFA">
        <w:t>在第</w:t>
      </w:r>
      <w:r w:rsidR="00BC4B0A" w:rsidRPr="00C54AFA">
        <w:t>1</w:t>
      </w:r>
      <w:r w:rsidR="00A63A71" w:rsidRPr="00C54AFA">
        <w:t>0</w:t>
      </w:r>
      <w:r w:rsidR="00BC4B0A" w:rsidRPr="00C54AFA">
        <w:t>4</w:t>
      </w:r>
      <w:r w:rsidR="00A63A71" w:rsidRPr="00C54AFA">
        <w:t>至</w:t>
      </w:r>
      <w:r w:rsidR="00BC4B0A" w:rsidRPr="00C54AFA">
        <w:t>1</w:t>
      </w:r>
      <w:r w:rsidR="00A63A71" w:rsidRPr="00C54AFA">
        <w:t>0</w:t>
      </w:r>
      <w:r w:rsidR="00BC4B0A" w:rsidRPr="00C54AFA">
        <w:t>5</w:t>
      </w:r>
      <w:r w:rsidR="00A63A71" w:rsidRPr="00C54AFA">
        <w:t>届会议之间</w:t>
      </w:r>
      <w:r w:rsidRPr="00C54AFA">
        <w:t>，</w:t>
      </w:r>
      <w:r w:rsidR="00A63A71" w:rsidRPr="00C54AFA">
        <w:t>工作组按照其迅速干预程序</w:t>
      </w:r>
      <w:r w:rsidRPr="00C54AFA">
        <w:t>，</w:t>
      </w:r>
      <w:r w:rsidR="00A63A71" w:rsidRPr="00C54AFA">
        <w:t>与其他特别程序机制一起</w:t>
      </w:r>
      <w:r w:rsidRPr="00C54AFA">
        <w:t>，</w:t>
      </w:r>
      <w:r w:rsidR="00A63A71" w:rsidRPr="00C54AFA">
        <w:t>向以下国家转交了</w:t>
      </w:r>
      <w:r w:rsidR="00BC4B0A" w:rsidRPr="00C54AFA">
        <w:t>6</w:t>
      </w:r>
      <w:r w:rsidR="00A63A71" w:rsidRPr="00C54AFA">
        <w:t>份来文</w:t>
      </w:r>
      <w:r w:rsidRPr="00C54AFA">
        <w:t>：</w:t>
      </w:r>
      <w:r w:rsidR="00A63A71" w:rsidRPr="00C54AFA">
        <w:t>哥伦比亚</w:t>
      </w:r>
      <w:r w:rsidRPr="00C54AFA">
        <w:t>(</w:t>
      </w:r>
      <w:r w:rsidR="00BC4B0A" w:rsidRPr="00C54AFA">
        <w:t>1</w:t>
      </w:r>
      <w:r w:rsidRPr="00C54AFA">
        <w:t>)</w:t>
      </w:r>
      <w:r w:rsidR="00A63A71" w:rsidRPr="00C54AFA">
        <w:t>、墨西哥</w:t>
      </w:r>
      <w:r w:rsidRPr="00C54AFA">
        <w:t>(</w:t>
      </w:r>
      <w:r w:rsidR="00BC4B0A" w:rsidRPr="00C54AFA">
        <w:t>2</w:t>
      </w:r>
      <w:r w:rsidRPr="00C54AFA">
        <w:t>)</w:t>
      </w:r>
      <w:r w:rsidR="00A63A71" w:rsidRPr="00C54AFA">
        <w:t>、俄罗斯联邦</w:t>
      </w:r>
      <w:r w:rsidRPr="00C54AFA">
        <w:t>(</w:t>
      </w:r>
      <w:r w:rsidR="00BC4B0A" w:rsidRPr="00C54AFA">
        <w:t>1</w:t>
      </w:r>
      <w:r w:rsidRPr="00C54AFA">
        <w:t>)</w:t>
      </w:r>
      <w:r w:rsidR="00A63A71" w:rsidRPr="00C54AFA">
        <w:t>、斯里兰卡</w:t>
      </w:r>
      <w:r w:rsidRPr="00C54AFA">
        <w:t>(</w:t>
      </w:r>
      <w:r w:rsidR="00BC4B0A" w:rsidRPr="00C54AFA">
        <w:t>2</w:t>
      </w:r>
      <w:r w:rsidRPr="00C54AFA">
        <w:t>)</w:t>
      </w:r>
      <w:r w:rsidR="00A63A71" w:rsidRPr="00C54AFA">
        <w:t>。工作组还与其他特别程序一起转交了</w:t>
      </w:r>
      <w:r w:rsidR="00BC4B0A" w:rsidRPr="00C54AFA">
        <w:t>14</w:t>
      </w:r>
      <w:r w:rsidR="00A63A71" w:rsidRPr="00C54AFA">
        <w:t>份紧急呼吁和</w:t>
      </w:r>
      <w:r w:rsidR="00BC4B0A" w:rsidRPr="00C54AFA">
        <w:t>3</w:t>
      </w:r>
      <w:r w:rsidR="00A63A71" w:rsidRPr="00C54AFA">
        <w:t>封其他信函</w:t>
      </w:r>
      <w:r w:rsidRPr="00C54AFA">
        <w:t>，</w:t>
      </w:r>
      <w:r w:rsidR="00A63A71" w:rsidRPr="00C54AFA">
        <w:t>涉及在以下国家被捕、被拘留、被绑架或被剥夺自由或被强迫失踪或面临失踪风险的人</w:t>
      </w:r>
      <w:r w:rsidRPr="00C54AFA">
        <w:t>：</w:t>
      </w:r>
      <w:r w:rsidR="00A63A71" w:rsidRPr="00C54AFA">
        <w:t>布隆迪</w:t>
      </w:r>
      <w:r w:rsidRPr="00C54AFA">
        <w:t>(</w:t>
      </w:r>
      <w:r w:rsidR="00BC4B0A" w:rsidRPr="00C54AFA">
        <w:t>1</w:t>
      </w:r>
      <w:r w:rsidRPr="00C54AFA">
        <w:t>)</w:t>
      </w:r>
      <w:r w:rsidR="00A63A71" w:rsidRPr="00C54AFA">
        <w:t>、中国</w:t>
      </w:r>
      <w:r w:rsidRPr="00C54AFA">
        <w:t>(</w:t>
      </w:r>
      <w:r w:rsidR="00BC4B0A" w:rsidRPr="00C54AFA">
        <w:t>2</w:t>
      </w:r>
      <w:r w:rsidRPr="00C54AFA">
        <w:t>)</w:t>
      </w:r>
      <w:r w:rsidR="00A63A71" w:rsidRPr="00C54AFA">
        <w:t>、危地马拉</w:t>
      </w:r>
      <w:r w:rsidRPr="00C54AFA">
        <w:t>(</w:t>
      </w:r>
      <w:r w:rsidR="00A63A71" w:rsidRPr="00C54AFA">
        <w:t>其他信函</w:t>
      </w:r>
      <w:r w:rsidRPr="00C54AFA">
        <w:t>)</w:t>
      </w:r>
      <w:r w:rsidR="00A63A71" w:rsidRPr="00C54AFA">
        <w:t>、印度</w:t>
      </w:r>
      <w:r w:rsidRPr="00C54AFA">
        <w:t>(</w:t>
      </w:r>
      <w:r w:rsidR="00A63A71" w:rsidRPr="00C54AFA">
        <w:t>其他信函</w:t>
      </w:r>
      <w:r w:rsidRPr="00C54AFA">
        <w:t>)</w:t>
      </w:r>
      <w:r w:rsidR="00A63A71" w:rsidRPr="00C54AFA">
        <w:t>、马尔代夫</w:t>
      </w:r>
      <w:r w:rsidRPr="00C54AFA">
        <w:t>(</w:t>
      </w:r>
      <w:r w:rsidR="00BC4B0A" w:rsidRPr="00C54AFA">
        <w:t>1</w:t>
      </w:r>
      <w:r w:rsidRPr="00C54AFA">
        <w:t>)</w:t>
      </w:r>
      <w:r w:rsidR="00A63A71" w:rsidRPr="00C54AFA">
        <w:t>、墨西哥</w:t>
      </w:r>
      <w:r w:rsidRPr="00C54AFA">
        <w:t>(</w:t>
      </w:r>
      <w:r w:rsidR="00BC4B0A" w:rsidRPr="00C54AFA">
        <w:t>2</w:t>
      </w:r>
      <w:r w:rsidRPr="00C54AFA">
        <w:t>)</w:t>
      </w:r>
      <w:r w:rsidR="00A63A71" w:rsidRPr="00C54AFA">
        <w:t>、阿曼</w:t>
      </w:r>
      <w:r w:rsidRPr="00C54AFA">
        <w:t>(</w:t>
      </w:r>
      <w:r w:rsidR="00BC4B0A" w:rsidRPr="00C54AFA">
        <w:t>1</w:t>
      </w:r>
      <w:r w:rsidRPr="00C54AFA">
        <w:t>)</w:t>
      </w:r>
      <w:r w:rsidR="00A63A71" w:rsidRPr="00C54AFA">
        <w:t>、卢旺达</w:t>
      </w:r>
      <w:r w:rsidRPr="00C54AFA">
        <w:t>(</w:t>
      </w:r>
      <w:r w:rsidR="00BC4B0A" w:rsidRPr="00C54AFA">
        <w:t>1</w:t>
      </w:r>
      <w:r w:rsidRPr="00C54AFA">
        <w:t>)</w:t>
      </w:r>
      <w:r w:rsidR="00A63A71" w:rsidRPr="00C54AFA">
        <w:t>、西班牙</w:t>
      </w:r>
      <w:r w:rsidRPr="00C54AFA">
        <w:t>(</w:t>
      </w:r>
      <w:r w:rsidR="00A63A71" w:rsidRPr="00C54AFA">
        <w:t>其他信函</w:t>
      </w:r>
      <w:r w:rsidRPr="00C54AFA">
        <w:t>)</w:t>
      </w:r>
      <w:r w:rsidR="00A63A71" w:rsidRPr="00C54AFA">
        <w:t>、苏丹</w:t>
      </w:r>
      <w:r w:rsidRPr="00C54AFA">
        <w:t>(</w:t>
      </w:r>
      <w:r w:rsidR="00BC4B0A" w:rsidRPr="00C54AFA">
        <w:t>1</w:t>
      </w:r>
      <w:r w:rsidRPr="00C54AFA">
        <w:t>)</w:t>
      </w:r>
      <w:r w:rsidR="00A63A71" w:rsidRPr="00C54AFA">
        <w:t>、阿拉伯叙利亚共和国</w:t>
      </w:r>
      <w:r w:rsidRPr="00C54AFA">
        <w:t>(</w:t>
      </w:r>
      <w:r w:rsidR="00BC4B0A" w:rsidRPr="00C54AFA">
        <w:t>1</w:t>
      </w:r>
      <w:r w:rsidRPr="00C54AFA">
        <w:t>)</w:t>
      </w:r>
      <w:r w:rsidR="00A63A71" w:rsidRPr="00C54AFA">
        <w:t>、土耳其</w:t>
      </w:r>
      <w:r w:rsidRPr="00C54AFA">
        <w:t>(</w:t>
      </w:r>
      <w:r w:rsidR="00BC4B0A" w:rsidRPr="00C54AFA">
        <w:t>1</w:t>
      </w:r>
      <w:r w:rsidRPr="00C54AFA">
        <w:t>)</w:t>
      </w:r>
      <w:r w:rsidR="00A63A71" w:rsidRPr="00C54AFA">
        <w:t>、阿拉伯联合酋长国</w:t>
      </w:r>
      <w:r w:rsidRPr="00C54AFA">
        <w:t>(</w:t>
      </w:r>
      <w:r w:rsidR="00BC4B0A" w:rsidRPr="00C54AFA">
        <w:t>2</w:t>
      </w:r>
      <w:r w:rsidRPr="00C54AFA">
        <w:t>)</w:t>
      </w:r>
      <w:r w:rsidR="00A63A71" w:rsidRPr="00C54AFA">
        <w:t>、乌克兰</w:t>
      </w:r>
      <w:r w:rsidRPr="00C54AFA">
        <w:t>(</w:t>
      </w:r>
      <w:r w:rsidR="00BC4B0A" w:rsidRPr="00C54AFA">
        <w:t>1</w:t>
      </w:r>
      <w:r w:rsidRPr="00C54AFA">
        <w:t>)</w:t>
      </w:r>
      <w:r w:rsidR="00A63A71" w:rsidRPr="00C54AFA">
        <w:t>。</w:t>
      </w:r>
    </w:p>
    <w:p w:rsidR="00A63A71" w:rsidRPr="00C54AFA" w:rsidRDefault="00C54AFA" w:rsidP="00EA12E9">
      <w:pPr>
        <w:pStyle w:val="SingleTxtGC"/>
      </w:pPr>
      <w:r w:rsidRPr="00C54AFA">
        <w:t>5.</w:t>
      </w:r>
      <w:r w:rsidR="00D421AE" w:rsidRPr="00C54AFA">
        <w:t xml:space="preserve">  </w:t>
      </w:r>
      <w:r w:rsidR="00A63A71" w:rsidRPr="00C54AFA">
        <w:t>在第</w:t>
      </w:r>
      <w:r w:rsidR="00BC4B0A" w:rsidRPr="00C54AFA">
        <w:t>1</w:t>
      </w:r>
      <w:r w:rsidR="00A63A71" w:rsidRPr="00C54AFA">
        <w:t>0</w:t>
      </w:r>
      <w:r w:rsidR="00BC4B0A" w:rsidRPr="00C54AFA">
        <w:t>5</w:t>
      </w:r>
      <w:r w:rsidR="00A63A71" w:rsidRPr="00C54AFA">
        <w:t>届会议上</w:t>
      </w:r>
      <w:r w:rsidRPr="00C54AFA">
        <w:t>，</w:t>
      </w:r>
      <w:r w:rsidR="00A63A71" w:rsidRPr="00C54AFA">
        <w:t>工作组审查了关于哥伦比亚、刚果民主共和国、萨尔瓦多和巴基斯坦的四份一般性指控。</w:t>
      </w:r>
    </w:p>
    <w:p w:rsidR="00A63A71" w:rsidRPr="00C54AFA" w:rsidRDefault="00A63A71" w:rsidP="00D421AE">
      <w:pPr>
        <w:pStyle w:val="HChGC"/>
        <w:rPr>
          <w:rFonts w:asciiTheme="majorBidi" w:hAnsiTheme="majorBidi" w:cstheme="majorBidi"/>
        </w:rPr>
      </w:pPr>
      <w:r w:rsidRPr="00C54AFA">
        <w:rPr>
          <w:rFonts w:asciiTheme="majorBidi" w:hAnsiTheme="majorBidi" w:cstheme="majorBidi"/>
        </w:rPr>
        <w:tab/>
      </w:r>
      <w:r w:rsidR="00D421AE" w:rsidRPr="00C54AFA">
        <w:rPr>
          <w:rFonts w:asciiTheme="majorBidi" w:hAnsiTheme="majorBidi" w:cstheme="majorBidi"/>
        </w:rPr>
        <w:t>三</w:t>
      </w:r>
      <w:r w:rsidR="00EA12E9">
        <w:rPr>
          <w:rFonts w:asciiTheme="majorBidi" w:hAnsiTheme="majorBidi" w:cstheme="majorBidi"/>
        </w:rPr>
        <w:t>.</w:t>
      </w:r>
      <w:r w:rsidRPr="00C54AFA">
        <w:rPr>
          <w:rFonts w:asciiTheme="majorBidi" w:hAnsiTheme="majorBidi" w:cstheme="majorBidi"/>
        </w:rPr>
        <w:tab/>
      </w:r>
      <w:r w:rsidRPr="00C54AFA">
        <w:rPr>
          <w:rFonts w:asciiTheme="majorBidi" w:hAnsiTheme="majorBidi" w:cstheme="majorBidi"/>
        </w:rPr>
        <w:t>其他活动</w:t>
      </w:r>
    </w:p>
    <w:p w:rsidR="00A63A71" w:rsidRPr="00C54AFA" w:rsidRDefault="00C54AFA" w:rsidP="00D421AE">
      <w:pPr>
        <w:pStyle w:val="SingleTxtGC"/>
        <w:rPr>
          <w:rFonts w:asciiTheme="majorBidi" w:hAnsiTheme="majorBidi" w:cstheme="majorBidi"/>
        </w:rPr>
      </w:pPr>
      <w:r w:rsidRPr="00C54AFA">
        <w:rPr>
          <w:rFonts w:asciiTheme="majorBidi" w:hAnsiTheme="majorBidi" w:cstheme="majorBidi"/>
        </w:rPr>
        <w:t>6.</w:t>
      </w:r>
      <w:r w:rsidR="00D421AE" w:rsidRPr="00C54AFA">
        <w:rPr>
          <w:rFonts w:asciiTheme="majorBidi" w:hAnsiTheme="majorBidi" w:cstheme="majorBidi"/>
        </w:rPr>
        <w:t xml:space="preserve">  </w:t>
      </w:r>
      <w:r w:rsidR="00A63A71" w:rsidRPr="00C54AFA">
        <w:rPr>
          <w:rFonts w:asciiTheme="majorBidi" w:hAnsiTheme="majorBidi" w:cstheme="majorBidi"/>
        </w:rPr>
        <w:t>在第</w:t>
      </w:r>
      <w:r w:rsidR="00BC4B0A" w:rsidRPr="00C54AFA">
        <w:rPr>
          <w:rFonts w:asciiTheme="majorBidi" w:hAnsiTheme="majorBidi" w:cstheme="majorBidi"/>
        </w:rPr>
        <w:t>1</w:t>
      </w:r>
      <w:r w:rsidR="00A63A71" w:rsidRPr="00C54AFA">
        <w:rPr>
          <w:rFonts w:asciiTheme="majorBidi" w:hAnsiTheme="majorBidi" w:cstheme="majorBidi"/>
        </w:rPr>
        <w:t>0</w:t>
      </w:r>
      <w:r w:rsidR="00BC4B0A" w:rsidRPr="00C54AFA">
        <w:rPr>
          <w:rFonts w:asciiTheme="majorBidi" w:hAnsiTheme="majorBidi" w:cstheme="majorBidi"/>
        </w:rPr>
        <w:t>5</w:t>
      </w:r>
      <w:r w:rsidR="00A63A71" w:rsidRPr="00C54AFA">
        <w:rPr>
          <w:rFonts w:asciiTheme="majorBidi" w:hAnsiTheme="majorBidi" w:cstheme="majorBidi"/>
        </w:rPr>
        <w:t>届会议上</w:t>
      </w:r>
      <w:r w:rsidRPr="00C54AFA">
        <w:rPr>
          <w:rFonts w:asciiTheme="majorBidi" w:hAnsiTheme="majorBidi" w:cstheme="majorBidi"/>
        </w:rPr>
        <w:t>，</w:t>
      </w:r>
      <w:r w:rsidR="00A63A71" w:rsidRPr="00C54AFA">
        <w:rPr>
          <w:rFonts w:asciiTheme="majorBidi" w:hAnsiTheme="majorBidi" w:cstheme="majorBidi"/>
        </w:rPr>
        <w:t>工作组通过了关于强迫失踪和经济、社会、文化权利问题的专题研究。</w:t>
      </w:r>
    </w:p>
    <w:p w:rsidR="00A63A71" w:rsidRPr="00C54AFA" w:rsidRDefault="00A63A71" w:rsidP="00EA12E9">
      <w:pPr>
        <w:pStyle w:val="HChGC"/>
      </w:pPr>
      <w:r w:rsidRPr="00C54AFA">
        <w:tab/>
      </w:r>
      <w:r w:rsidRPr="00C54AFA">
        <w:t>四</w:t>
      </w:r>
      <w:r w:rsidRPr="00C54AFA">
        <w:t>.</w:t>
      </w:r>
      <w:r w:rsidRPr="00C54AFA">
        <w:tab/>
      </w:r>
      <w:r w:rsidRPr="00EA12E9">
        <w:rPr>
          <w:spacing w:val="-4"/>
        </w:rPr>
        <w:t>关于工作组在本届会议期间审议的国家中发生的强迫或非自愿</w:t>
      </w:r>
      <w:r w:rsidRPr="00C54AFA">
        <w:t>失踪的资料</w:t>
      </w:r>
    </w:p>
    <w:p w:rsidR="00A63A71" w:rsidRPr="00C54AFA" w:rsidRDefault="00A63A71" w:rsidP="00116230">
      <w:pPr>
        <w:pStyle w:val="H1GC"/>
      </w:pPr>
      <w:r w:rsidRPr="00C54AFA">
        <w:tab/>
      </w:r>
      <w:r w:rsidRPr="00C54AFA">
        <w:tab/>
      </w:r>
      <w:r w:rsidRPr="00C54AFA">
        <w:t>阿尔巴尼亚</w:t>
      </w:r>
    </w:p>
    <w:p w:rsidR="00A63A71" w:rsidRPr="00C54AFA" w:rsidRDefault="00A63A71" w:rsidP="00116230">
      <w:pPr>
        <w:pStyle w:val="H23GC"/>
      </w:pPr>
      <w:r w:rsidRPr="00C54AFA">
        <w:tab/>
      </w:r>
      <w:r w:rsidRPr="00C54AFA">
        <w:tab/>
      </w:r>
      <w:r w:rsidRPr="00C54AFA">
        <w:t>政府提供的资料</w:t>
      </w:r>
    </w:p>
    <w:p w:rsidR="00A63A71" w:rsidRPr="00C54AFA" w:rsidRDefault="00C54AFA" w:rsidP="00D421AE">
      <w:pPr>
        <w:pStyle w:val="SingleTxtGC"/>
        <w:rPr>
          <w:rFonts w:asciiTheme="majorBidi" w:hAnsiTheme="majorBidi" w:cstheme="majorBidi"/>
        </w:rPr>
      </w:pPr>
      <w:r w:rsidRPr="00C54AFA">
        <w:rPr>
          <w:rFonts w:asciiTheme="majorBidi" w:hAnsiTheme="majorBidi" w:cstheme="majorBidi"/>
        </w:rPr>
        <w:t>7.</w:t>
      </w:r>
      <w:r w:rsidR="00D421AE" w:rsidRPr="00C54AFA">
        <w:rPr>
          <w:rFonts w:asciiTheme="majorBidi" w:hAnsiTheme="majorBidi" w:cstheme="majorBidi"/>
        </w:rPr>
        <w:t xml:space="preserve">  </w:t>
      </w:r>
      <w:r w:rsidR="00BC4B0A" w:rsidRPr="00C54AFA">
        <w:rPr>
          <w:rFonts w:asciiTheme="majorBidi" w:hAnsiTheme="majorBidi" w:cstheme="majorBidi"/>
        </w:rPr>
        <w:t>2</w:t>
      </w:r>
      <w:r w:rsidR="00A63A71" w:rsidRPr="00C54AFA">
        <w:rPr>
          <w:rFonts w:asciiTheme="majorBidi" w:hAnsiTheme="majorBidi" w:cstheme="majorBidi"/>
        </w:rPr>
        <w:t>0</w:t>
      </w:r>
      <w:r w:rsidR="00BC4B0A" w:rsidRPr="00C54AFA">
        <w:rPr>
          <w:rFonts w:asciiTheme="majorBidi" w:hAnsiTheme="majorBidi" w:cstheme="majorBidi"/>
        </w:rPr>
        <w:t>14</w:t>
      </w:r>
      <w:r w:rsidR="00A63A71" w:rsidRPr="00C54AFA">
        <w:rPr>
          <w:rFonts w:asciiTheme="majorBidi" w:hAnsiTheme="majorBidi" w:cstheme="majorBidi"/>
        </w:rPr>
        <w:t>年</w:t>
      </w:r>
      <w:r w:rsidR="00BC4B0A" w:rsidRPr="00C54AFA">
        <w:rPr>
          <w:rFonts w:asciiTheme="majorBidi" w:hAnsiTheme="majorBidi" w:cstheme="majorBidi"/>
        </w:rPr>
        <w:t>9</w:t>
      </w:r>
      <w:r w:rsidR="00A63A71" w:rsidRPr="00C54AFA">
        <w:rPr>
          <w:rFonts w:asciiTheme="majorBidi" w:hAnsiTheme="majorBidi" w:cstheme="majorBidi"/>
        </w:rPr>
        <w:t>月</w:t>
      </w:r>
      <w:r w:rsidR="00BC4B0A" w:rsidRPr="00C54AFA">
        <w:rPr>
          <w:rFonts w:asciiTheme="majorBidi" w:hAnsiTheme="majorBidi" w:cstheme="majorBidi"/>
        </w:rPr>
        <w:t>9</w:t>
      </w:r>
      <w:r w:rsidR="00A63A71" w:rsidRPr="00C54AFA">
        <w:rPr>
          <w:rFonts w:asciiTheme="majorBidi" w:hAnsiTheme="majorBidi" w:cstheme="majorBidi"/>
        </w:rPr>
        <w:t>日</w:t>
      </w:r>
      <w:r w:rsidRPr="00C54AFA">
        <w:rPr>
          <w:rFonts w:asciiTheme="majorBidi" w:hAnsiTheme="majorBidi" w:cstheme="majorBidi"/>
        </w:rPr>
        <w:t>，</w:t>
      </w:r>
      <w:r w:rsidR="00A63A71" w:rsidRPr="00C54AFA">
        <w:rPr>
          <w:rFonts w:asciiTheme="majorBidi" w:hAnsiTheme="majorBidi" w:cstheme="majorBidi"/>
        </w:rPr>
        <w:t>该国政府提供了关于一起未决案件的资料。</w:t>
      </w:r>
    </w:p>
    <w:p w:rsidR="00A63A71" w:rsidRPr="00C54AFA" w:rsidRDefault="00D421AE" w:rsidP="00116230">
      <w:pPr>
        <w:pStyle w:val="H1GC"/>
      </w:pPr>
      <w:r w:rsidRPr="00C54AFA">
        <w:tab/>
      </w:r>
      <w:r w:rsidRPr="00C54AFA">
        <w:tab/>
      </w:r>
      <w:r w:rsidR="00A63A71" w:rsidRPr="00C54AFA">
        <w:t>阿尔及利亚</w:t>
      </w:r>
    </w:p>
    <w:p w:rsidR="00A63A71" w:rsidRPr="00C54AFA" w:rsidRDefault="00A63A71" w:rsidP="00116230">
      <w:pPr>
        <w:pStyle w:val="H23GC"/>
      </w:pPr>
      <w:r w:rsidRPr="00C54AFA">
        <w:tab/>
      </w:r>
      <w:r w:rsidRPr="00C54AFA">
        <w:tab/>
      </w:r>
      <w:r w:rsidRPr="00C54AFA">
        <w:t>标准程序</w:t>
      </w:r>
    </w:p>
    <w:p w:rsidR="00A63A71" w:rsidRPr="00C54AFA" w:rsidRDefault="00C54AFA" w:rsidP="00D421AE">
      <w:pPr>
        <w:pStyle w:val="SingleTxtGC"/>
        <w:rPr>
          <w:rFonts w:asciiTheme="majorBidi" w:hAnsiTheme="majorBidi" w:cstheme="majorBidi"/>
        </w:rPr>
      </w:pPr>
      <w:r w:rsidRPr="00C54AFA">
        <w:rPr>
          <w:rFonts w:asciiTheme="majorBidi" w:hAnsiTheme="majorBidi" w:cstheme="majorBidi"/>
        </w:rPr>
        <w:t>8.</w:t>
      </w:r>
      <w:r w:rsidR="00D421AE" w:rsidRPr="00C54AFA">
        <w:rPr>
          <w:rFonts w:asciiTheme="majorBidi" w:hAnsiTheme="majorBidi" w:cstheme="majorBidi"/>
        </w:rPr>
        <w:t xml:space="preserve">  </w:t>
      </w:r>
      <w:r w:rsidR="00A63A71" w:rsidRPr="00C54AFA">
        <w:rPr>
          <w:rFonts w:asciiTheme="majorBidi" w:hAnsiTheme="majorBidi" w:cstheme="majorBidi"/>
        </w:rPr>
        <w:t>工作组向该国政府转交了关于以下人士的</w:t>
      </w:r>
      <w:r w:rsidR="00BC4B0A" w:rsidRPr="00C54AFA">
        <w:rPr>
          <w:rFonts w:asciiTheme="majorBidi" w:hAnsiTheme="majorBidi" w:cstheme="majorBidi"/>
        </w:rPr>
        <w:t>18</w:t>
      </w:r>
      <w:r w:rsidR="00A63A71" w:rsidRPr="00C54AFA">
        <w:rPr>
          <w:rFonts w:asciiTheme="majorBidi" w:hAnsiTheme="majorBidi" w:cstheme="majorBidi"/>
        </w:rPr>
        <w:t>起案件</w:t>
      </w:r>
      <w:r w:rsidRPr="00C54AFA">
        <w:rPr>
          <w:rFonts w:asciiTheme="majorBidi" w:hAnsiTheme="majorBidi" w:cstheme="majorBidi"/>
        </w:rPr>
        <w:t>：</w:t>
      </w:r>
    </w:p>
    <w:p w:rsidR="00A63A71" w:rsidRPr="00C54AFA" w:rsidRDefault="00BC4B0A" w:rsidP="00D421AE">
      <w:pPr>
        <w:pStyle w:val="SingleTxtGC"/>
        <w:numPr>
          <w:ilvl w:val="0"/>
          <w:numId w:val="7"/>
        </w:numPr>
        <w:rPr>
          <w:rFonts w:asciiTheme="majorBidi" w:hAnsiTheme="majorBidi" w:cstheme="majorBidi"/>
        </w:rPr>
      </w:pP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Sadaoui</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据称于</w:t>
      </w:r>
      <w:r w:rsidRPr="00C54AFA">
        <w:rPr>
          <w:rFonts w:asciiTheme="majorBidi" w:hAnsiTheme="majorBidi" w:cstheme="majorBidi"/>
        </w:rPr>
        <w:t>1995</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w:t>
      </w:r>
      <w:r w:rsidRPr="00C54AFA">
        <w:rPr>
          <w:rFonts w:asciiTheme="majorBidi" w:hAnsiTheme="majorBidi" w:cstheme="majorBidi"/>
        </w:rPr>
        <w:t>7</w:t>
      </w:r>
      <w:r w:rsidR="00A63A71" w:rsidRPr="00C54AFA">
        <w:rPr>
          <w:rFonts w:asciiTheme="majorBidi" w:hAnsiTheme="majorBidi" w:cstheme="majorBidi"/>
        </w:rPr>
        <w:t>日在提帕萨省</w:t>
      </w:r>
      <w:r w:rsidRPr="00C54AFA">
        <w:rPr>
          <w:rFonts w:asciiTheme="majorBidi" w:hAnsiTheme="majorBidi" w:cstheme="majorBidi"/>
        </w:rPr>
        <w:t>Messelmoune</w:t>
      </w:r>
      <w:r w:rsidR="00A63A71" w:rsidRPr="00C54AFA">
        <w:rPr>
          <w:rFonts w:asciiTheme="majorBidi" w:hAnsiTheme="majorBidi" w:cstheme="majorBidi"/>
        </w:rPr>
        <w:t>被捕</w:t>
      </w:r>
      <w:r w:rsidR="00C54AFA" w:rsidRPr="00C54AFA">
        <w:rPr>
          <w:rFonts w:asciiTheme="majorBidi" w:hAnsiTheme="majorBidi" w:cstheme="majorBidi"/>
        </w:rPr>
        <w:t>；</w:t>
      </w:r>
    </w:p>
    <w:p w:rsidR="00A63A71" w:rsidRPr="00C54AFA" w:rsidRDefault="00BC4B0A" w:rsidP="00D421AE">
      <w:pPr>
        <w:pStyle w:val="SingleTxtGC"/>
        <w:numPr>
          <w:ilvl w:val="0"/>
          <w:numId w:val="7"/>
        </w:numPr>
        <w:rPr>
          <w:rFonts w:asciiTheme="majorBidi" w:hAnsiTheme="majorBidi" w:cstheme="majorBidi"/>
        </w:rPr>
      </w:pPr>
      <w:r w:rsidRPr="00C54AFA">
        <w:rPr>
          <w:rFonts w:asciiTheme="majorBidi" w:hAnsiTheme="majorBidi" w:cstheme="majorBidi"/>
        </w:rPr>
        <w:t>Abdelmadjid</w:t>
      </w:r>
      <w:r w:rsidR="00A63A71" w:rsidRPr="00C54AFA">
        <w:rPr>
          <w:rFonts w:asciiTheme="majorBidi" w:hAnsiTheme="majorBidi" w:cstheme="majorBidi"/>
        </w:rPr>
        <w:t xml:space="preserve"> </w:t>
      </w:r>
      <w:r w:rsidRPr="00C54AFA">
        <w:rPr>
          <w:rFonts w:asciiTheme="majorBidi" w:hAnsiTheme="majorBidi" w:cstheme="majorBidi"/>
        </w:rPr>
        <w:t>Chibane</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据称于</w:t>
      </w:r>
      <w:r w:rsidRPr="00C54AFA">
        <w:rPr>
          <w:rFonts w:asciiTheme="majorBidi" w:hAnsiTheme="majorBidi" w:cstheme="majorBidi"/>
        </w:rPr>
        <w:t>1994</w:t>
      </w:r>
      <w:r w:rsidR="00A63A71" w:rsidRPr="00C54AFA">
        <w:rPr>
          <w:rFonts w:asciiTheme="majorBidi" w:hAnsiTheme="majorBidi" w:cstheme="majorBidi"/>
        </w:rPr>
        <w:t>年</w:t>
      </w:r>
      <w:r w:rsidRPr="00C54AFA">
        <w:rPr>
          <w:rFonts w:asciiTheme="majorBidi" w:hAnsiTheme="majorBidi" w:cstheme="majorBidi"/>
        </w:rPr>
        <w:t>4</w:t>
      </w:r>
      <w:r w:rsidR="00A63A71" w:rsidRPr="00C54AFA">
        <w:rPr>
          <w:rFonts w:asciiTheme="majorBidi" w:hAnsiTheme="majorBidi" w:cstheme="majorBidi"/>
        </w:rPr>
        <w:t>月</w:t>
      </w:r>
      <w:r w:rsidRPr="00C54AFA">
        <w:rPr>
          <w:rFonts w:asciiTheme="majorBidi" w:hAnsiTheme="majorBidi" w:cstheme="majorBidi"/>
        </w:rPr>
        <w:t>25</w:t>
      </w:r>
      <w:r w:rsidR="00A63A71" w:rsidRPr="00C54AFA">
        <w:rPr>
          <w:rFonts w:asciiTheme="majorBidi" w:hAnsiTheme="majorBidi" w:cstheme="majorBidi"/>
        </w:rPr>
        <w:t>日在乌姆布瓦吉省被便衣警察逮捕</w:t>
      </w:r>
      <w:r w:rsidR="00C54AFA" w:rsidRPr="00C54AFA">
        <w:rPr>
          <w:rFonts w:asciiTheme="majorBidi" w:hAnsiTheme="majorBidi" w:cstheme="majorBidi"/>
        </w:rPr>
        <w:t>；</w:t>
      </w:r>
    </w:p>
    <w:p w:rsidR="00A63A71" w:rsidRPr="00C54AFA" w:rsidRDefault="00BC4B0A" w:rsidP="00D421AE">
      <w:pPr>
        <w:pStyle w:val="SingleTxtGC"/>
        <w:numPr>
          <w:ilvl w:val="0"/>
          <w:numId w:val="7"/>
        </w:numPr>
        <w:rPr>
          <w:rFonts w:asciiTheme="majorBidi" w:hAnsiTheme="majorBidi" w:cstheme="majorBidi"/>
        </w:rPr>
      </w:pPr>
      <w:r w:rsidRPr="00C54AFA">
        <w:rPr>
          <w:rFonts w:asciiTheme="majorBidi" w:hAnsiTheme="majorBidi" w:cstheme="majorBidi"/>
        </w:rPr>
        <w:t>Djamel</w:t>
      </w:r>
      <w:r w:rsidR="00A63A71" w:rsidRPr="00C54AFA">
        <w:rPr>
          <w:rFonts w:asciiTheme="majorBidi" w:hAnsiTheme="majorBidi" w:cstheme="majorBidi"/>
        </w:rPr>
        <w:t xml:space="preserve"> </w:t>
      </w:r>
      <w:r w:rsidRPr="00C54AFA">
        <w:rPr>
          <w:rFonts w:asciiTheme="majorBidi" w:hAnsiTheme="majorBidi" w:cstheme="majorBidi"/>
        </w:rPr>
        <w:t>Abdenasser</w:t>
      </w:r>
      <w:r w:rsidR="00A63A71" w:rsidRPr="00C54AFA">
        <w:rPr>
          <w:rFonts w:asciiTheme="majorBidi" w:hAnsiTheme="majorBidi" w:cstheme="majorBidi"/>
        </w:rPr>
        <w:t xml:space="preserve"> </w:t>
      </w:r>
      <w:r w:rsidRPr="00C54AFA">
        <w:rPr>
          <w:rFonts w:asciiTheme="majorBidi" w:hAnsiTheme="majorBidi" w:cstheme="majorBidi"/>
        </w:rPr>
        <w:t>Hadri</w:t>
      </w:r>
      <w:r w:rsidR="00A63A71" w:rsidRPr="00C54AFA">
        <w:rPr>
          <w:rFonts w:asciiTheme="majorBidi" w:hAnsiTheme="majorBidi" w:cstheme="majorBidi"/>
        </w:rPr>
        <w:t>先生据称于</w:t>
      </w:r>
      <w:r w:rsidRPr="00C54AFA">
        <w:rPr>
          <w:rFonts w:asciiTheme="majorBidi" w:hAnsiTheme="majorBidi" w:cstheme="majorBidi"/>
        </w:rPr>
        <w:t>1994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24</w:t>
      </w:r>
      <w:r w:rsidR="00A63A71" w:rsidRPr="00C54AFA">
        <w:rPr>
          <w:rFonts w:asciiTheme="majorBidi" w:hAnsiTheme="majorBidi" w:cstheme="majorBidi"/>
        </w:rPr>
        <w:t>日被穆阿斯凯尔省西格地区的秘密警察逮捕</w:t>
      </w:r>
      <w:r w:rsidR="00C54AFA" w:rsidRPr="00C54AFA">
        <w:rPr>
          <w:rFonts w:asciiTheme="majorBidi" w:hAnsiTheme="majorBidi" w:cstheme="majorBidi"/>
        </w:rPr>
        <w:t>；</w:t>
      </w:r>
    </w:p>
    <w:p w:rsidR="00A63A71" w:rsidRPr="00C54AFA" w:rsidRDefault="00BC4B0A" w:rsidP="00D421AE">
      <w:pPr>
        <w:pStyle w:val="SingleTxtGC"/>
        <w:numPr>
          <w:ilvl w:val="0"/>
          <w:numId w:val="7"/>
        </w:numPr>
        <w:rPr>
          <w:rFonts w:asciiTheme="majorBidi" w:hAnsiTheme="majorBidi" w:cstheme="majorBidi"/>
        </w:rPr>
      </w:pPr>
      <w:r w:rsidRPr="00C54AFA">
        <w:rPr>
          <w:rFonts w:asciiTheme="majorBidi" w:hAnsiTheme="majorBidi" w:cstheme="majorBidi"/>
        </w:rPr>
        <w:t>Ali</w:t>
      </w:r>
      <w:r w:rsidR="00A63A71" w:rsidRPr="00C54AFA">
        <w:rPr>
          <w:rFonts w:asciiTheme="majorBidi" w:hAnsiTheme="majorBidi" w:cstheme="majorBidi"/>
        </w:rPr>
        <w:t xml:space="preserve"> </w:t>
      </w:r>
      <w:r w:rsidRPr="00C54AFA">
        <w:rPr>
          <w:rFonts w:asciiTheme="majorBidi" w:hAnsiTheme="majorBidi" w:cstheme="majorBidi"/>
        </w:rPr>
        <w:t>Bouchala</w:t>
      </w:r>
      <w:r w:rsidR="00A63A71" w:rsidRPr="00C54AFA">
        <w:rPr>
          <w:rFonts w:asciiTheme="majorBidi" w:hAnsiTheme="majorBidi" w:cstheme="majorBidi"/>
        </w:rPr>
        <w:t>先生据称于</w:t>
      </w:r>
      <w:r w:rsidRPr="00C54AFA">
        <w:rPr>
          <w:rFonts w:asciiTheme="majorBidi" w:hAnsiTheme="majorBidi" w:cstheme="majorBidi"/>
        </w:rPr>
        <w:t>1994</w:t>
      </w:r>
      <w:r w:rsidR="00A63A71" w:rsidRPr="00C54AFA">
        <w:rPr>
          <w:rFonts w:asciiTheme="majorBidi" w:hAnsiTheme="majorBidi" w:cstheme="majorBidi"/>
        </w:rPr>
        <w:t>年</w:t>
      </w:r>
      <w:r w:rsidRPr="00C54AFA">
        <w:rPr>
          <w:rFonts w:asciiTheme="majorBidi" w:hAnsiTheme="majorBidi" w:cstheme="majorBidi"/>
        </w:rPr>
        <w:t>7</w:t>
      </w:r>
      <w:r w:rsidR="00A63A71" w:rsidRPr="00C54AFA">
        <w:rPr>
          <w:rFonts w:asciiTheme="majorBidi" w:hAnsiTheme="majorBidi" w:cstheme="majorBidi"/>
        </w:rPr>
        <w:t>月</w:t>
      </w:r>
      <w:r w:rsidRPr="00C54AFA">
        <w:rPr>
          <w:rFonts w:asciiTheme="majorBidi" w:hAnsiTheme="majorBidi" w:cstheme="majorBidi"/>
        </w:rPr>
        <w:t>16</w:t>
      </w:r>
      <w:r w:rsidR="00A63A71" w:rsidRPr="00C54AFA">
        <w:rPr>
          <w:rFonts w:asciiTheme="majorBidi" w:hAnsiTheme="majorBidi" w:cstheme="majorBidi"/>
        </w:rPr>
        <w:t>日在贝贾亚省</w:t>
      </w:r>
      <w:r w:rsidRPr="00C54AFA">
        <w:rPr>
          <w:rFonts w:asciiTheme="majorBidi" w:hAnsiTheme="majorBidi" w:cstheme="majorBidi"/>
        </w:rPr>
        <w:t>Taskiout</w:t>
      </w:r>
      <w:r w:rsidR="00A63A71" w:rsidRPr="00C54AFA">
        <w:rPr>
          <w:rFonts w:asciiTheme="majorBidi" w:hAnsiTheme="majorBidi" w:cstheme="majorBidi"/>
        </w:rPr>
        <w:t>被宪兵队逮捕</w:t>
      </w:r>
      <w:r w:rsidR="00C54AFA" w:rsidRPr="00C54AFA">
        <w:rPr>
          <w:rFonts w:asciiTheme="majorBidi" w:hAnsiTheme="majorBidi" w:cstheme="majorBidi"/>
        </w:rPr>
        <w:t>；</w:t>
      </w:r>
    </w:p>
    <w:p w:rsidR="00A63A71" w:rsidRPr="00C54AFA" w:rsidRDefault="00BC4B0A" w:rsidP="00D421AE">
      <w:pPr>
        <w:pStyle w:val="SingleTxtGC"/>
        <w:numPr>
          <w:ilvl w:val="0"/>
          <w:numId w:val="7"/>
        </w:numPr>
        <w:rPr>
          <w:rFonts w:asciiTheme="majorBidi" w:hAnsiTheme="majorBidi" w:cstheme="majorBidi"/>
        </w:rPr>
      </w:pPr>
      <w:r w:rsidRPr="00C54AFA">
        <w:rPr>
          <w:rFonts w:asciiTheme="majorBidi" w:hAnsiTheme="majorBidi" w:cstheme="majorBidi"/>
        </w:rPr>
        <w:lastRenderedPageBreak/>
        <w:t>Belkheir</w:t>
      </w:r>
      <w:r w:rsidR="00A63A71" w:rsidRPr="00C54AFA">
        <w:rPr>
          <w:rFonts w:asciiTheme="majorBidi" w:hAnsiTheme="majorBidi" w:cstheme="majorBidi"/>
        </w:rPr>
        <w:t xml:space="preserve"> </w:t>
      </w:r>
      <w:r w:rsidRPr="00C54AFA">
        <w:rPr>
          <w:rFonts w:asciiTheme="majorBidi" w:hAnsiTheme="majorBidi" w:cstheme="majorBidi"/>
        </w:rPr>
        <w:t>Belaouinat</w:t>
      </w:r>
      <w:r w:rsidR="00A63A71" w:rsidRPr="00C54AFA">
        <w:rPr>
          <w:rFonts w:asciiTheme="majorBidi" w:hAnsiTheme="majorBidi" w:cstheme="majorBidi"/>
        </w:rPr>
        <w:t>先生据称于</w:t>
      </w:r>
      <w:r w:rsidRPr="00C54AFA">
        <w:rPr>
          <w:rFonts w:asciiTheme="majorBidi" w:hAnsiTheme="majorBidi" w:cstheme="majorBidi"/>
        </w:rPr>
        <w:t>1995</w:t>
      </w:r>
      <w:r w:rsidR="00A63A71" w:rsidRPr="00C54AFA">
        <w:rPr>
          <w:rFonts w:asciiTheme="majorBidi" w:hAnsiTheme="majorBidi" w:cstheme="majorBidi"/>
        </w:rPr>
        <w:t>年</w:t>
      </w:r>
      <w:r w:rsidRPr="00C54AFA">
        <w:rPr>
          <w:rFonts w:asciiTheme="majorBidi" w:hAnsiTheme="majorBidi" w:cstheme="majorBidi"/>
        </w:rPr>
        <w:t>6</w:t>
      </w:r>
      <w:r w:rsidR="00A63A71" w:rsidRPr="00C54AFA">
        <w:rPr>
          <w:rFonts w:asciiTheme="majorBidi" w:hAnsiTheme="majorBidi" w:cstheme="majorBidi"/>
        </w:rPr>
        <w:t>月</w:t>
      </w:r>
      <w:r w:rsidRPr="00C54AFA">
        <w:rPr>
          <w:rFonts w:asciiTheme="majorBidi" w:hAnsiTheme="majorBidi" w:cstheme="majorBidi"/>
        </w:rPr>
        <w:t>6</w:t>
      </w:r>
      <w:r w:rsidR="00A63A71" w:rsidRPr="00C54AFA">
        <w:rPr>
          <w:rFonts w:asciiTheme="majorBidi" w:hAnsiTheme="majorBidi" w:cstheme="majorBidi"/>
        </w:rPr>
        <w:t>日被穆阿斯凯尔省西格市宪兵队绑架</w:t>
      </w:r>
      <w:r w:rsidR="00C54AFA" w:rsidRPr="00C54AFA">
        <w:rPr>
          <w:rFonts w:asciiTheme="majorBidi" w:hAnsiTheme="majorBidi" w:cstheme="majorBidi"/>
        </w:rPr>
        <w:t>；</w:t>
      </w:r>
    </w:p>
    <w:p w:rsidR="00A63A71" w:rsidRPr="00C54AFA" w:rsidRDefault="00BC4B0A" w:rsidP="00D421AE">
      <w:pPr>
        <w:pStyle w:val="SingleTxtGC"/>
        <w:numPr>
          <w:ilvl w:val="0"/>
          <w:numId w:val="7"/>
        </w:numPr>
        <w:rPr>
          <w:rFonts w:asciiTheme="majorBidi" w:hAnsiTheme="majorBidi" w:cstheme="majorBidi"/>
        </w:rPr>
      </w:pPr>
      <w:r w:rsidRPr="00C54AFA">
        <w:rPr>
          <w:rFonts w:asciiTheme="majorBidi" w:hAnsiTheme="majorBidi" w:cstheme="majorBidi"/>
        </w:rPr>
        <w:t>Amar</w:t>
      </w:r>
      <w:r w:rsidR="00A63A71" w:rsidRPr="00C54AFA">
        <w:rPr>
          <w:rFonts w:asciiTheme="majorBidi" w:hAnsiTheme="majorBidi" w:cstheme="majorBidi"/>
        </w:rPr>
        <w:t xml:space="preserve"> </w:t>
      </w:r>
      <w:r w:rsidRPr="00C54AFA">
        <w:rPr>
          <w:rFonts w:asciiTheme="majorBidi" w:hAnsiTheme="majorBidi" w:cstheme="majorBidi"/>
        </w:rPr>
        <w:t>Boughecha</w:t>
      </w:r>
      <w:r w:rsidR="00A63A71" w:rsidRPr="00C54AFA">
        <w:rPr>
          <w:rFonts w:asciiTheme="majorBidi" w:hAnsiTheme="majorBidi" w:cstheme="majorBidi"/>
        </w:rPr>
        <w:t>先生据称于</w:t>
      </w:r>
      <w:r w:rsidRPr="00C54AFA">
        <w:rPr>
          <w:rFonts w:asciiTheme="majorBidi" w:hAnsiTheme="majorBidi" w:cstheme="majorBidi"/>
        </w:rPr>
        <w:t>1994</w:t>
      </w:r>
      <w:r w:rsidR="00A63A71" w:rsidRPr="00C54AFA">
        <w:rPr>
          <w:rFonts w:asciiTheme="majorBidi" w:hAnsiTheme="majorBidi" w:cstheme="majorBidi"/>
        </w:rPr>
        <w:t>年</w:t>
      </w:r>
      <w:r w:rsidRPr="00C54AFA">
        <w:rPr>
          <w:rFonts w:asciiTheme="majorBidi" w:hAnsiTheme="majorBidi" w:cstheme="majorBidi"/>
        </w:rPr>
        <w:t>4</w:t>
      </w:r>
      <w:r w:rsidR="00A63A71" w:rsidRPr="00C54AFA">
        <w:rPr>
          <w:rFonts w:asciiTheme="majorBidi" w:hAnsiTheme="majorBidi" w:cstheme="majorBidi"/>
        </w:rPr>
        <w:t>月</w:t>
      </w:r>
      <w:r w:rsidRPr="00C54AFA">
        <w:rPr>
          <w:rFonts w:asciiTheme="majorBidi" w:hAnsiTheme="majorBidi" w:cstheme="majorBidi"/>
        </w:rPr>
        <w:t>29</w:t>
      </w:r>
      <w:r w:rsidR="00A63A71" w:rsidRPr="00C54AFA">
        <w:rPr>
          <w:rFonts w:asciiTheme="majorBidi" w:hAnsiTheme="majorBidi" w:cstheme="majorBidi"/>
        </w:rPr>
        <w:t>日在吉杰勒被军方和宪兵队绑架</w:t>
      </w:r>
      <w:r w:rsidR="00C54AFA" w:rsidRPr="00C54AFA">
        <w:rPr>
          <w:rFonts w:asciiTheme="majorBidi" w:hAnsiTheme="majorBidi" w:cstheme="majorBidi"/>
        </w:rPr>
        <w:t>；</w:t>
      </w:r>
    </w:p>
    <w:p w:rsidR="00A63A71" w:rsidRPr="00C54AFA" w:rsidRDefault="00BC4B0A" w:rsidP="00D421AE">
      <w:pPr>
        <w:pStyle w:val="SingleTxtGC"/>
        <w:numPr>
          <w:ilvl w:val="0"/>
          <w:numId w:val="7"/>
        </w:numPr>
        <w:rPr>
          <w:rFonts w:asciiTheme="majorBidi" w:hAnsiTheme="majorBidi" w:cstheme="majorBidi"/>
        </w:rPr>
      </w:pPr>
      <w:r w:rsidRPr="00C54AFA">
        <w:rPr>
          <w:rFonts w:asciiTheme="majorBidi" w:hAnsiTheme="majorBidi" w:cstheme="majorBidi"/>
        </w:rPr>
        <w:t>Khatir</w:t>
      </w:r>
      <w:r w:rsidR="00A63A71" w:rsidRPr="00C54AFA">
        <w:rPr>
          <w:rFonts w:asciiTheme="majorBidi" w:hAnsiTheme="majorBidi" w:cstheme="majorBidi"/>
        </w:rPr>
        <w:t xml:space="preserve"> </w:t>
      </w:r>
      <w:r w:rsidRPr="00C54AFA">
        <w:rPr>
          <w:rFonts w:asciiTheme="majorBidi" w:hAnsiTheme="majorBidi" w:cstheme="majorBidi"/>
        </w:rPr>
        <w:t>Haimed</w:t>
      </w:r>
      <w:r w:rsidR="00A63A71" w:rsidRPr="00C54AFA">
        <w:rPr>
          <w:rFonts w:asciiTheme="majorBidi" w:hAnsiTheme="majorBidi" w:cstheme="majorBidi"/>
        </w:rPr>
        <w:t>先生据称于</w:t>
      </w:r>
      <w:r w:rsidRPr="00C54AFA">
        <w:rPr>
          <w:rFonts w:asciiTheme="majorBidi" w:hAnsiTheme="majorBidi" w:cstheme="majorBidi"/>
        </w:rPr>
        <w:t>1991</w:t>
      </w:r>
      <w:r w:rsidR="00A63A71" w:rsidRPr="00C54AFA">
        <w:rPr>
          <w:rFonts w:asciiTheme="majorBidi" w:hAnsiTheme="majorBidi" w:cstheme="majorBidi"/>
        </w:rPr>
        <w:t>年</w:t>
      </w:r>
      <w:r w:rsidRPr="00C54AFA">
        <w:rPr>
          <w:rFonts w:asciiTheme="majorBidi" w:hAnsiTheme="majorBidi" w:cstheme="majorBidi"/>
        </w:rPr>
        <w:t>3</w:t>
      </w:r>
      <w:r w:rsidR="00A63A71" w:rsidRPr="00C54AFA">
        <w:rPr>
          <w:rFonts w:asciiTheme="majorBidi" w:hAnsiTheme="majorBidi" w:cstheme="majorBidi"/>
        </w:rPr>
        <w:t>月在梅地亚省</w:t>
      </w:r>
      <w:r w:rsidRPr="00C54AFA">
        <w:rPr>
          <w:rFonts w:asciiTheme="majorBidi" w:hAnsiTheme="majorBidi" w:cstheme="majorBidi"/>
        </w:rPr>
        <w:t>Rebaia</w:t>
      </w:r>
      <w:r w:rsidR="00A63A71" w:rsidRPr="00C54AFA">
        <w:rPr>
          <w:rFonts w:asciiTheme="majorBidi" w:hAnsiTheme="majorBidi" w:cstheme="majorBidi"/>
        </w:rPr>
        <w:t>被军方绑架</w:t>
      </w:r>
      <w:r w:rsidR="00C54AFA" w:rsidRPr="00C54AFA">
        <w:rPr>
          <w:rFonts w:asciiTheme="majorBidi" w:hAnsiTheme="majorBidi" w:cstheme="majorBidi"/>
        </w:rPr>
        <w:t>；</w:t>
      </w:r>
    </w:p>
    <w:p w:rsidR="00A63A71" w:rsidRPr="00C54AFA" w:rsidRDefault="00A63A71" w:rsidP="00D421AE">
      <w:pPr>
        <w:pStyle w:val="SingleTxtGC"/>
        <w:numPr>
          <w:ilvl w:val="0"/>
          <w:numId w:val="7"/>
        </w:numPr>
        <w:rPr>
          <w:rFonts w:asciiTheme="majorBidi" w:hAnsiTheme="majorBidi" w:cstheme="majorBidi"/>
        </w:rPr>
      </w:pPr>
      <w:r w:rsidRPr="00C54AFA">
        <w:rPr>
          <w:rFonts w:asciiTheme="majorBidi" w:hAnsiTheme="majorBidi" w:cstheme="majorBidi"/>
        </w:rPr>
        <w:t>一个</w:t>
      </w:r>
      <w:r w:rsidR="00BC4B0A" w:rsidRPr="00C54AFA">
        <w:rPr>
          <w:rFonts w:asciiTheme="majorBidi" w:hAnsiTheme="majorBidi" w:cstheme="majorBidi"/>
        </w:rPr>
        <w:t>18</w:t>
      </w:r>
      <w:r w:rsidRPr="00C54AFA">
        <w:rPr>
          <w:rFonts w:asciiTheme="majorBidi" w:hAnsiTheme="majorBidi" w:cstheme="majorBidi"/>
        </w:rPr>
        <w:t>岁以下的人</w:t>
      </w:r>
      <w:r w:rsidR="00C54AFA" w:rsidRPr="00C54AFA">
        <w:rPr>
          <w:rFonts w:asciiTheme="majorBidi" w:hAnsiTheme="majorBidi" w:cstheme="majorBidi"/>
        </w:rPr>
        <w:t>，</w:t>
      </w:r>
      <w:r w:rsidRPr="00C54AFA">
        <w:rPr>
          <w:rFonts w:asciiTheme="majorBidi" w:hAnsiTheme="majorBidi" w:cstheme="majorBidi"/>
        </w:rPr>
        <w:t>据称最后一次见到此人是</w:t>
      </w:r>
      <w:r w:rsidR="00BC4B0A" w:rsidRPr="00C54AFA">
        <w:rPr>
          <w:rFonts w:asciiTheme="majorBidi" w:hAnsiTheme="majorBidi" w:cstheme="majorBidi"/>
        </w:rPr>
        <w:t>198</w:t>
      </w:r>
      <w:r w:rsidRPr="00C54AFA">
        <w:rPr>
          <w:rFonts w:asciiTheme="majorBidi" w:hAnsiTheme="majorBidi" w:cstheme="majorBidi"/>
        </w:rPr>
        <w:t>0</w:t>
      </w:r>
      <w:r w:rsidRPr="00C54AFA">
        <w:rPr>
          <w:rFonts w:asciiTheme="majorBidi" w:hAnsiTheme="majorBidi" w:cstheme="majorBidi"/>
        </w:rPr>
        <w:t>年</w:t>
      </w:r>
      <w:r w:rsidR="00BC4B0A" w:rsidRPr="00C54AFA">
        <w:rPr>
          <w:rFonts w:asciiTheme="majorBidi" w:hAnsiTheme="majorBidi" w:cstheme="majorBidi"/>
        </w:rPr>
        <w:t>3</w:t>
      </w:r>
      <w:r w:rsidRPr="00C54AFA">
        <w:rPr>
          <w:rFonts w:asciiTheme="majorBidi" w:hAnsiTheme="majorBidi" w:cstheme="majorBidi"/>
        </w:rPr>
        <w:t>月</w:t>
      </w:r>
      <w:r w:rsidR="00BC4B0A" w:rsidRPr="00C54AFA">
        <w:rPr>
          <w:rFonts w:asciiTheme="majorBidi" w:hAnsiTheme="majorBidi" w:cstheme="majorBidi"/>
        </w:rPr>
        <w:t>25</w:t>
      </w:r>
      <w:r w:rsidRPr="00C54AFA">
        <w:rPr>
          <w:rFonts w:asciiTheme="majorBidi" w:hAnsiTheme="majorBidi" w:cstheme="majorBidi"/>
        </w:rPr>
        <w:t>日</w:t>
      </w:r>
      <w:r w:rsidR="00C54AFA" w:rsidRPr="00C54AFA">
        <w:rPr>
          <w:rFonts w:asciiTheme="majorBidi" w:hAnsiTheme="majorBidi" w:cstheme="majorBidi"/>
        </w:rPr>
        <w:t>，</w:t>
      </w:r>
      <w:r w:rsidRPr="00C54AFA">
        <w:rPr>
          <w:rFonts w:asciiTheme="majorBidi" w:hAnsiTheme="majorBidi" w:cstheme="majorBidi"/>
        </w:rPr>
        <w:t>在梅地亚省通往阿尔及尔的路上</w:t>
      </w:r>
      <w:r w:rsidR="00C54AFA" w:rsidRPr="00C54AFA">
        <w:rPr>
          <w:rFonts w:asciiTheme="majorBidi" w:hAnsiTheme="majorBidi" w:cstheme="majorBidi"/>
        </w:rPr>
        <w:t>；</w:t>
      </w:r>
    </w:p>
    <w:p w:rsidR="00A63A71" w:rsidRPr="00C54AFA" w:rsidRDefault="00BC4B0A" w:rsidP="00D421AE">
      <w:pPr>
        <w:pStyle w:val="SingleTxtGC"/>
        <w:numPr>
          <w:ilvl w:val="0"/>
          <w:numId w:val="7"/>
        </w:numPr>
        <w:rPr>
          <w:rFonts w:asciiTheme="majorBidi" w:hAnsiTheme="majorBidi" w:cstheme="majorBidi"/>
        </w:rPr>
      </w:pPr>
      <w:r w:rsidRPr="00C54AFA">
        <w:rPr>
          <w:rFonts w:asciiTheme="majorBidi" w:hAnsiTheme="majorBidi" w:cstheme="majorBidi"/>
        </w:rPr>
        <w:t>Ahc</w:t>
      </w:r>
      <w:r w:rsidR="00A63A71" w:rsidRPr="00C54AFA">
        <w:rPr>
          <w:rFonts w:asciiTheme="majorBidi" w:hAnsiTheme="majorBidi" w:cstheme="majorBidi"/>
        </w:rPr>
        <w:t>è</w:t>
      </w:r>
      <w:r w:rsidRPr="00C54AFA">
        <w:rPr>
          <w:rFonts w:asciiTheme="majorBidi" w:hAnsiTheme="majorBidi" w:cstheme="majorBidi"/>
        </w:rPr>
        <w:t>ne</w:t>
      </w:r>
      <w:r w:rsidR="00A63A71" w:rsidRPr="00C54AFA">
        <w:rPr>
          <w:rFonts w:asciiTheme="majorBidi" w:hAnsiTheme="majorBidi" w:cstheme="majorBidi"/>
        </w:rPr>
        <w:t xml:space="preserve"> </w:t>
      </w:r>
      <w:r w:rsidRPr="00C54AFA">
        <w:rPr>
          <w:rFonts w:asciiTheme="majorBidi" w:hAnsiTheme="majorBidi" w:cstheme="majorBidi"/>
        </w:rPr>
        <w:t>Zeraoulia</w:t>
      </w:r>
      <w:r w:rsidR="00A63A71" w:rsidRPr="00C54AFA">
        <w:rPr>
          <w:rFonts w:asciiTheme="majorBidi" w:hAnsiTheme="majorBidi" w:cstheme="majorBidi"/>
        </w:rPr>
        <w:t>先生据称于</w:t>
      </w:r>
      <w:r w:rsidRPr="00C54AFA">
        <w:rPr>
          <w:rFonts w:asciiTheme="majorBidi" w:hAnsiTheme="majorBidi" w:cstheme="majorBidi"/>
        </w:rPr>
        <w:t>1996</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22</w:t>
      </w:r>
      <w:r w:rsidR="00A63A71" w:rsidRPr="00C54AFA">
        <w:rPr>
          <w:rFonts w:asciiTheme="majorBidi" w:hAnsiTheme="majorBidi" w:cstheme="majorBidi"/>
        </w:rPr>
        <w:t>日在吉杰勒省</w:t>
      </w:r>
      <w:r w:rsidRPr="00C54AFA">
        <w:rPr>
          <w:rFonts w:asciiTheme="majorBidi" w:hAnsiTheme="majorBidi" w:cstheme="majorBidi"/>
        </w:rPr>
        <w:t>Emir</w:t>
      </w:r>
      <w:r w:rsidR="00A63A71" w:rsidRPr="00C54AFA">
        <w:rPr>
          <w:rFonts w:asciiTheme="majorBidi" w:hAnsiTheme="majorBidi" w:cstheme="majorBidi"/>
        </w:rPr>
        <w:t xml:space="preserve"> </w:t>
      </w:r>
      <w:r w:rsidRPr="00C54AFA">
        <w:rPr>
          <w:rFonts w:asciiTheme="majorBidi" w:hAnsiTheme="majorBidi" w:cstheme="majorBidi"/>
        </w:rPr>
        <w:t>Abdelkader</w:t>
      </w:r>
      <w:r w:rsidR="00A63A71" w:rsidRPr="00C54AFA">
        <w:rPr>
          <w:rFonts w:asciiTheme="majorBidi" w:hAnsiTheme="majorBidi" w:cstheme="majorBidi"/>
        </w:rPr>
        <w:t>被军方和乡镇警卫队逮捕</w:t>
      </w:r>
      <w:r w:rsidR="00C54AFA" w:rsidRPr="00C54AFA">
        <w:rPr>
          <w:rFonts w:asciiTheme="majorBidi" w:hAnsiTheme="majorBidi" w:cstheme="majorBidi"/>
        </w:rPr>
        <w:t>；</w:t>
      </w:r>
    </w:p>
    <w:p w:rsidR="00A63A71" w:rsidRPr="00C54AFA" w:rsidRDefault="00BC4B0A" w:rsidP="00D421AE">
      <w:pPr>
        <w:pStyle w:val="SingleTxtGC"/>
        <w:numPr>
          <w:ilvl w:val="0"/>
          <w:numId w:val="7"/>
        </w:numPr>
        <w:rPr>
          <w:rFonts w:asciiTheme="majorBidi" w:hAnsiTheme="majorBidi" w:cstheme="majorBidi"/>
        </w:rPr>
      </w:pPr>
      <w:r w:rsidRPr="00C54AFA">
        <w:rPr>
          <w:rFonts w:asciiTheme="majorBidi" w:hAnsiTheme="majorBidi" w:cstheme="majorBidi"/>
        </w:rPr>
        <w:t>Mahmoud</w:t>
      </w:r>
      <w:r w:rsidR="00A63A71" w:rsidRPr="00C54AFA">
        <w:rPr>
          <w:rFonts w:asciiTheme="majorBidi" w:hAnsiTheme="majorBidi" w:cstheme="majorBidi"/>
        </w:rPr>
        <w:t xml:space="preserve"> </w:t>
      </w:r>
      <w:r w:rsidRPr="00C54AFA">
        <w:rPr>
          <w:rFonts w:asciiTheme="majorBidi" w:hAnsiTheme="majorBidi" w:cstheme="majorBidi"/>
        </w:rPr>
        <w:t>Bendadou</w:t>
      </w:r>
      <w:r w:rsidR="00A63A71" w:rsidRPr="00C54AFA">
        <w:rPr>
          <w:rFonts w:asciiTheme="majorBidi" w:hAnsiTheme="majorBidi" w:cstheme="majorBidi"/>
        </w:rPr>
        <w:t>先生据称于</w:t>
      </w:r>
      <w:r w:rsidRPr="00C54AFA">
        <w:rPr>
          <w:rFonts w:asciiTheme="majorBidi" w:hAnsiTheme="majorBidi" w:cstheme="majorBidi"/>
        </w:rPr>
        <w:t>1994</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17</w:t>
      </w:r>
      <w:r w:rsidR="00A63A71" w:rsidRPr="00C54AFA">
        <w:rPr>
          <w:rFonts w:asciiTheme="majorBidi" w:hAnsiTheme="majorBidi" w:cstheme="majorBidi"/>
        </w:rPr>
        <w:t>日在梅地亚省</w:t>
      </w:r>
      <w:r w:rsidRPr="00C54AFA">
        <w:rPr>
          <w:rFonts w:asciiTheme="majorBidi" w:hAnsiTheme="majorBidi" w:cstheme="majorBidi"/>
        </w:rPr>
        <w:t>Quartier</w:t>
      </w:r>
      <w:r w:rsidR="00A63A71" w:rsidRPr="00C54AFA">
        <w:rPr>
          <w:rFonts w:asciiTheme="majorBidi" w:hAnsiTheme="majorBidi" w:cstheme="majorBidi"/>
        </w:rPr>
        <w:t xml:space="preserve"> </w:t>
      </w:r>
      <w:r w:rsidRPr="00C54AFA">
        <w:rPr>
          <w:rFonts w:asciiTheme="majorBidi" w:hAnsiTheme="majorBidi" w:cstheme="majorBidi"/>
        </w:rPr>
        <w:t>Koutiten</w:t>
      </w:r>
      <w:r w:rsidR="00A63A71" w:rsidRPr="00C54AFA">
        <w:rPr>
          <w:rFonts w:asciiTheme="majorBidi" w:hAnsiTheme="majorBidi" w:cstheme="majorBidi"/>
        </w:rPr>
        <w:t>被警方和军方人员绑架</w:t>
      </w:r>
      <w:r w:rsidR="00C54AFA" w:rsidRPr="00C54AFA">
        <w:rPr>
          <w:rFonts w:asciiTheme="majorBidi" w:hAnsiTheme="majorBidi" w:cstheme="majorBidi"/>
        </w:rPr>
        <w:t>；</w:t>
      </w:r>
    </w:p>
    <w:p w:rsidR="00A63A71" w:rsidRPr="00C54AFA" w:rsidRDefault="00BC4B0A" w:rsidP="00D421AE">
      <w:pPr>
        <w:pStyle w:val="SingleTxtGC"/>
        <w:numPr>
          <w:ilvl w:val="0"/>
          <w:numId w:val="7"/>
        </w:numPr>
        <w:rPr>
          <w:rFonts w:asciiTheme="majorBidi" w:hAnsiTheme="majorBidi" w:cstheme="majorBidi"/>
        </w:rPr>
      </w:pPr>
      <w:r w:rsidRPr="00C54AFA">
        <w:rPr>
          <w:rFonts w:asciiTheme="majorBidi" w:hAnsiTheme="majorBidi" w:cstheme="majorBidi"/>
        </w:rPr>
        <w:t>Sebti</w:t>
      </w:r>
      <w:r w:rsidR="00A63A71" w:rsidRPr="00C54AFA">
        <w:rPr>
          <w:rFonts w:asciiTheme="majorBidi" w:hAnsiTheme="majorBidi" w:cstheme="majorBidi"/>
        </w:rPr>
        <w:t xml:space="preserve"> </w:t>
      </w:r>
      <w:r w:rsidRPr="00C54AFA">
        <w:rPr>
          <w:rFonts w:asciiTheme="majorBidi" w:hAnsiTheme="majorBidi" w:cstheme="majorBidi"/>
        </w:rPr>
        <w:t>Amdjoudj</w:t>
      </w:r>
      <w:r w:rsidR="00A63A71" w:rsidRPr="00C54AFA">
        <w:rPr>
          <w:rFonts w:asciiTheme="majorBidi" w:hAnsiTheme="majorBidi" w:cstheme="majorBidi"/>
        </w:rPr>
        <w:t>先生据称于</w:t>
      </w:r>
      <w:r w:rsidRPr="00C54AFA">
        <w:rPr>
          <w:rFonts w:asciiTheme="majorBidi" w:hAnsiTheme="majorBidi" w:cstheme="majorBidi"/>
        </w:rPr>
        <w:t>1994</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16</w:t>
      </w:r>
      <w:r w:rsidR="00A63A71" w:rsidRPr="00C54AFA">
        <w:rPr>
          <w:rFonts w:asciiTheme="majorBidi" w:hAnsiTheme="majorBidi" w:cstheme="majorBidi"/>
        </w:rPr>
        <w:t>日在乌姆布瓦吉省</w:t>
      </w:r>
      <w:r w:rsidRPr="00C54AFA">
        <w:rPr>
          <w:rFonts w:asciiTheme="majorBidi" w:hAnsiTheme="majorBidi" w:cstheme="majorBidi"/>
        </w:rPr>
        <w:t>Ain</w:t>
      </w:r>
      <w:r w:rsidR="00A63A71" w:rsidRPr="00C54AFA">
        <w:rPr>
          <w:rFonts w:asciiTheme="majorBidi" w:hAnsiTheme="majorBidi" w:cstheme="majorBidi"/>
        </w:rPr>
        <w:t xml:space="preserve"> </w:t>
      </w:r>
      <w:r w:rsidRPr="00C54AFA">
        <w:rPr>
          <w:rFonts w:asciiTheme="majorBidi" w:hAnsiTheme="majorBidi" w:cstheme="majorBidi"/>
        </w:rPr>
        <w:t>El</w:t>
      </w:r>
      <w:r w:rsidR="00A63A71" w:rsidRPr="00C54AFA">
        <w:rPr>
          <w:rFonts w:asciiTheme="majorBidi" w:hAnsiTheme="majorBidi" w:cstheme="majorBidi"/>
        </w:rPr>
        <w:t xml:space="preserve"> </w:t>
      </w:r>
      <w:r w:rsidRPr="00C54AFA">
        <w:rPr>
          <w:rFonts w:asciiTheme="majorBidi" w:hAnsiTheme="majorBidi" w:cstheme="majorBidi"/>
        </w:rPr>
        <w:t>Kercha</w:t>
      </w:r>
      <w:r w:rsidR="00A63A71" w:rsidRPr="00C54AFA">
        <w:rPr>
          <w:rFonts w:asciiTheme="majorBidi" w:hAnsiTheme="majorBidi" w:cstheme="majorBidi"/>
        </w:rPr>
        <w:t>被警察绑架</w:t>
      </w:r>
      <w:r w:rsidR="00C54AFA" w:rsidRPr="00C54AFA">
        <w:rPr>
          <w:rFonts w:asciiTheme="majorBidi" w:hAnsiTheme="majorBidi" w:cstheme="majorBidi"/>
        </w:rPr>
        <w:t>；</w:t>
      </w:r>
    </w:p>
    <w:p w:rsidR="00A63A71" w:rsidRPr="00C54AFA" w:rsidRDefault="00BC4B0A" w:rsidP="00D421AE">
      <w:pPr>
        <w:pStyle w:val="SingleTxtGC"/>
        <w:numPr>
          <w:ilvl w:val="0"/>
          <w:numId w:val="7"/>
        </w:numPr>
        <w:rPr>
          <w:rFonts w:asciiTheme="majorBidi" w:hAnsiTheme="majorBidi" w:cstheme="majorBidi"/>
        </w:rPr>
      </w:pPr>
      <w:r w:rsidRPr="00C54AFA">
        <w:rPr>
          <w:rFonts w:asciiTheme="majorBidi" w:hAnsiTheme="majorBidi" w:cstheme="majorBidi"/>
        </w:rPr>
        <w:t>Sadek</w:t>
      </w:r>
      <w:r w:rsidR="00A63A71" w:rsidRPr="00C54AFA">
        <w:rPr>
          <w:rFonts w:asciiTheme="majorBidi" w:hAnsiTheme="majorBidi" w:cstheme="majorBidi"/>
        </w:rPr>
        <w:t xml:space="preserve"> </w:t>
      </w:r>
      <w:r w:rsidRPr="00C54AFA">
        <w:rPr>
          <w:rFonts w:asciiTheme="majorBidi" w:hAnsiTheme="majorBidi" w:cstheme="majorBidi"/>
        </w:rPr>
        <w:t>Benarab</w:t>
      </w:r>
      <w:r w:rsidR="00A63A71" w:rsidRPr="00C54AFA">
        <w:rPr>
          <w:rFonts w:asciiTheme="majorBidi" w:hAnsiTheme="majorBidi" w:cstheme="majorBidi"/>
        </w:rPr>
        <w:t>先生据称于</w:t>
      </w:r>
      <w:r w:rsidRPr="00C54AFA">
        <w:rPr>
          <w:rFonts w:asciiTheme="majorBidi" w:hAnsiTheme="majorBidi" w:cstheme="majorBidi"/>
        </w:rPr>
        <w:t>1994</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26</w:t>
      </w:r>
      <w:r w:rsidR="00A63A71" w:rsidRPr="00C54AFA">
        <w:rPr>
          <w:rFonts w:asciiTheme="majorBidi" w:hAnsiTheme="majorBidi" w:cstheme="majorBidi"/>
        </w:rPr>
        <w:t>日在乌姆布瓦吉省</w:t>
      </w:r>
      <w:r w:rsidRPr="00C54AFA">
        <w:rPr>
          <w:rFonts w:asciiTheme="majorBidi" w:hAnsiTheme="majorBidi" w:cstheme="majorBidi"/>
        </w:rPr>
        <w:t>Souk</w:t>
      </w:r>
      <w:r w:rsidR="00A63A71" w:rsidRPr="00C54AFA">
        <w:rPr>
          <w:rFonts w:asciiTheme="majorBidi" w:hAnsiTheme="majorBidi" w:cstheme="majorBidi"/>
        </w:rPr>
        <w:t xml:space="preserve"> </w:t>
      </w:r>
      <w:r w:rsidRPr="00C54AFA">
        <w:rPr>
          <w:rFonts w:asciiTheme="majorBidi" w:hAnsiTheme="majorBidi" w:cstheme="majorBidi"/>
        </w:rPr>
        <w:t>Naamane</w:t>
      </w:r>
      <w:r w:rsidR="00A63A71" w:rsidRPr="00C54AFA">
        <w:rPr>
          <w:rFonts w:asciiTheme="majorBidi" w:hAnsiTheme="majorBidi" w:cstheme="majorBidi"/>
        </w:rPr>
        <w:t>被司法警察逮捕</w:t>
      </w:r>
      <w:r w:rsidR="00C54AFA" w:rsidRPr="00C54AFA">
        <w:rPr>
          <w:rFonts w:asciiTheme="majorBidi" w:hAnsiTheme="majorBidi" w:cstheme="majorBidi"/>
        </w:rPr>
        <w:t>；</w:t>
      </w:r>
    </w:p>
    <w:p w:rsidR="00A63A71" w:rsidRPr="00C54AFA" w:rsidRDefault="00BC4B0A" w:rsidP="00D421AE">
      <w:pPr>
        <w:pStyle w:val="SingleTxtGC"/>
        <w:numPr>
          <w:ilvl w:val="0"/>
          <w:numId w:val="7"/>
        </w:numPr>
        <w:rPr>
          <w:rFonts w:asciiTheme="majorBidi" w:hAnsiTheme="majorBidi" w:cstheme="majorBidi"/>
        </w:rPr>
      </w:pPr>
      <w:r w:rsidRPr="00C54AFA">
        <w:rPr>
          <w:rFonts w:asciiTheme="majorBidi" w:hAnsiTheme="majorBidi" w:cstheme="majorBidi"/>
        </w:rPr>
        <w:t>Benyoucef</w:t>
      </w:r>
      <w:r w:rsidR="00A63A71" w:rsidRPr="00C54AFA">
        <w:rPr>
          <w:rFonts w:asciiTheme="majorBidi" w:hAnsiTheme="majorBidi" w:cstheme="majorBidi"/>
        </w:rPr>
        <w:t xml:space="preserve"> </w:t>
      </w:r>
      <w:r w:rsidRPr="00C54AFA">
        <w:rPr>
          <w:rFonts w:asciiTheme="majorBidi" w:hAnsiTheme="majorBidi" w:cstheme="majorBidi"/>
        </w:rPr>
        <w:t>Bekkai</w:t>
      </w:r>
      <w:r w:rsidR="00A63A71" w:rsidRPr="00C54AFA">
        <w:rPr>
          <w:rFonts w:asciiTheme="majorBidi" w:hAnsiTheme="majorBidi" w:cstheme="majorBidi"/>
        </w:rPr>
        <w:t>先生据称于</w:t>
      </w:r>
      <w:r w:rsidRPr="00C54AFA">
        <w:rPr>
          <w:rFonts w:asciiTheme="majorBidi" w:hAnsiTheme="majorBidi" w:cstheme="majorBidi"/>
        </w:rPr>
        <w:t>1995</w:t>
      </w:r>
      <w:r w:rsidR="00A63A71" w:rsidRPr="00C54AFA">
        <w:rPr>
          <w:rFonts w:asciiTheme="majorBidi" w:hAnsiTheme="majorBidi" w:cstheme="majorBidi"/>
        </w:rPr>
        <w:t>年</w:t>
      </w:r>
      <w:r w:rsidRPr="00C54AFA">
        <w:rPr>
          <w:rFonts w:asciiTheme="majorBidi" w:hAnsiTheme="majorBidi" w:cstheme="majorBidi"/>
        </w:rPr>
        <w:t>3</w:t>
      </w:r>
      <w:r w:rsidR="00A63A71" w:rsidRPr="00C54AFA">
        <w:rPr>
          <w:rFonts w:asciiTheme="majorBidi" w:hAnsiTheme="majorBidi" w:cstheme="majorBidi"/>
        </w:rPr>
        <w:t>月在梅地亚</w:t>
      </w:r>
      <w:r w:rsidRPr="00C54AFA">
        <w:rPr>
          <w:rFonts w:asciiTheme="majorBidi" w:hAnsiTheme="majorBidi" w:cstheme="majorBidi"/>
        </w:rPr>
        <w:t>Kherbet</w:t>
      </w:r>
      <w:r w:rsidR="00A63A71" w:rsidRPr="00C54AFA">
        <w:rPr>
          <w:rFonts w:asciiTheme="majorBidi" w:hAnsiTheme="majorBidi" w:cstheme="majorBidi"/>
        </w:rPr>
        <w:t xml:space="preserve"> </w:t>
      </w:r>
      <w:r w:rsidRPr="00C54AFA">
        <w:rPr>
          <w:rFonts w:asciiTheme="majorBidi" w:hAnsiTheme="majorBidi" w:cstheme="majorBidi"/>
        </w:rPr>
        <w:t>Esyouf</w:t>
      </w:r>
      <w:r w:rsidR="00A63A71" w:rsidRPr="00C54AFA">
        <w:rPr>
          <w:rFonts w:asciiTheme="majorBidi" w:hAnsiTheme="majorBidi" w:cstheme="majorBidi"/>
        </w:rPr>
        <w:t>被国家人民军绑架</w:t>
      </w:r>
      <w:r w:rsidR="00C54AFA" w:rsidRPr="00C54AFA">
        <w:rPr>
          <w:rFonts w:asciiTheme="majorBidi" w:hAnsiTheme="majorBidi" w:cstheme="majorBidi"/>
        </w:rPr>
        <w:t>；</w:t>
      </w:r>
    </w:p>
    <w:p w:rsidR="00A63A71" w:rsidRPr="00C54AFA" w:rsidRDefault="00BC4B0A" w:rsidP="00D421AE">
      <w:pPr>
        <w:pStyle w:val="SingleTxtGC"/>
        <w:numPr>
          <w:ilvl w:val="0"/>
          <w:numId w:val="7"/>
        </w:numPr>
        <w:rPr>
          <w:rFonts w:asciiTheme="majorBidi" w:hAnsiTheme="majorBidi" w:cstheme="majorBidi"/>
        </w:rPr>
      </w:pP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Habib</w:t>
      </w:r>
      <w:r w:rsidR="00A63A71" w:rsidRPr="00C54AFA">
        <w:rPr>
          <w:rFonts w:asciiTheme="majorBidi" w:hAnsiTheme="majorBidi" w:cstheme="majorBidi"/>
        </w:rPr>
        <w:t>据称于</w:t>
      </w:r>
      <w:r w:rsidRPr="00C54AFA">
        <w:rPr>
          <w:rFonts w:asciiTheme="majorBidi" w:hAnsiTheme="majorBidi" w:cstheme="majorBidi"/>
        </w:rPr>
        <w:t>1994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13</w:t>
      </w:r>
      <w:r w:rsidR="00A63A71" w:rsidRPr="00C54AFA">
        <w:rPr>
          <w:rFonts w:asciiTheme="majorBidi" w:hAnsiTheme="majorBidi" w:cstheme="majorBidi"/>
        </w:rPr>
        <w:t>日在梅地亚省</w:t>
      </w:r>
      <w:r w:rsidRPr="00C54AFA">
        <w:rPr>
          <w:rFonts w:asciiTheme="majorBidi" w:hAnsiTheme="majorBidi" w:cstheme="majorBidi"/>
        </w:rPr>
        <w:t>Medjeber</w:t>
      </w:r>
      <w:r w:rsidR="00A63A71" w:rsidRPr="00C54AFA">
        <w:rPr>
          <w:rFonts w:asciiTheme="majorBidi" w:hAnsiTheme="majorBidi" w:cstheme="majorBidi"/>
        </w:rPr>
        <w:t>地区的</w:t>
      </w:r>
      <w:r w:rsidRPr="00C54AFA">
        <w:rPr>
          <w:rFonts w:asciiTheme="majorBidi" w:hAnsiTheme="majorBidi" w:cstheme="majorBidi"/>
        </w:rPr>
        <w:t>Medjeber</w:t>
      </w:r>
      <w:r w:rsidR="00A63A71" w:rsidRPr="00C54AFA">
        <w:rPr>
          <w:rFonts w:asciiTheme="majorBidi" w:hAnsiTheme="majorBidi" w:cstheme="majorBidi"/>
        </w:rPr>
        <w:t>被军方人员逮捕</w:t>
      </w:r>
      <w:r w:rsidR="00C54AFA" w:rsidRPr="00C54AFA">
        <w:rPr>
          <w:rFonts w:asciiTheme="majorBidi" w:hAnsiTheme="majorBidi" w:cstheme="majorBidi"/>
        </w:rPr>
        <w:t>；</w:t>
      </w:r>
    </w:p>
    <w:p w:rsidR="00A63A71" w:rsidRPr="00C54AFA" w:rsidRDefault="00BC4B0A" w:rsidP="00D421AE">
      <w:pPr>
        <w:pStyle w:val="SingleTxtGC"/>
        <w:numPr>
          <w:ilvl w:val="0"/>
          <w:numId w:val="7"/>
        </w:numPr>
        <w:rPr>
          <w:rFonts w:asciiTheme="majorBidi" w:hAnsiTheme="majorBidi" w:cstheme="majorBidi"/>
        </w:rPr>
      </w:pPr>
      <w:r w:rsidRPr="00C54AFA">
        <w:rPr>
          <w:rFonts w:asciiTheme="majorBidi" w:hAnsiTheme="majorBidi" w:cstheme="majorBidi"/>
        </w:rPr>
        <w:t>Rabah</w:t>
      </w:r>
      <w:r w:rsidR="00A63A71" w:rsidRPr="00C54AFA">
        <w:rPr>
          <w:rFonts w:asciiTheme="majorBidi" w:hAnsiTheme="majorBidi" w:cstheme="majorBidi"/>
        </w:rPr>
        <w:t xml:space="preserve"> </w:t>
      </w:r>
      <w:r w:rsidRPr="00C54AFA">
        <w:rPr>
          <w:rFonts w:asciiTheme="majorBidi" w:hAnsiTheme="majorBidi" w:cstheme="majorBidi"/>
        </w:rPr>
        <w:t>Recham</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据称于</w:t>
      </w:r>
      <w:r w:rsidRPr="00C54AFA">
        <w:rPr>
          <w:rFonts w:asciiTheme="majorBidi" w:hAnsiTheme="majorBidi" w:cstheme="majorBidi"/>
        </w:rPr>
        <w:t>1995</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月从</w:t>
      </w:r>
      <w:r w:rsidRPr="00C54AFA">
        <w:rPr>
          <w:rFonts w:asciiTheme="majorBidi" w:hAnsiTheme="majorBidi" w:cstheme="majorBidi"/>
        </w:rPr>
        <w:t>Bilda</w:t>
      </w:r>
      <w:r w:rsidR="00A63A71" w:rsidRPr="00C54AFA">
        <w:rPr>
          <w:rFonts w:asciiTheme="majorBidi" w:hAnsiTheme="majorBidi" w:cstheme="majorBidi"/>
        </w:rPr>
        <w:t>的军营中失踪</w:t>
      </w:r>
      <w:r w:rsidR="00C54AFA" w:rsidRPr="00C54AFA">
        <w:rPr>
          <w:rFonts w:asciiTheme="majorBidi" w:hAnsiTheme="majorBidi" w:cstheme="majorBidi"/>
        </w:rPr>
        <w:t>；</w:t>
      </w:r>
    </w:p>
    <w:p w:rsidR="00A63A71" w:rsidRPr="00C54AFA" w:rsidRDefault="00BC4B0A" w:rsidP="00D421AE">
      <w:pPr>
        <w:pStyle w:val="SingleTxtGC"/>
        <w:numPr>
          <w:ilvl w:val="0"/>
          <w:numId w:val="7"/>
        </w:numPr>
        <w:rPr>
          <w:rFonts w:asciiTheme="majorBidi" w:hAnsiTheme="majorBidi" w:cstheme="majorBidi"/>
        </w:rPr>
      </w:pPr>
      <w:r w:rsidRPr="00C54AFA">
        <w:rPr>
          <w:rFonts w:asciiTheme="majorBidi" w:hAnsiTheme="majorBidi" w:cstheme="majorBidi"/>
        </w:rPr>
        <w:t>Mokrane</w:t>
      </w:r>
      <w:r w:rsidR="00A63A71" w:rsidRPr="00C54AFA">
        <w:rPr>
          <w:rFonts w:asciiTheme="majorBidi" w:hAnsiTheme="majorBidi" w:cstheme="majorBidi"/>
        </w:rPr>
        <w:t xml:space="preserve"> </w:t>
      </w:r>
      <w:r w:rsidRPr="00C54AFA">
        <w:rPr>
          <w:rFonts w:asciiTheme="majorBidi" w:hAnsiTheme="majorBidi" w:cstheme="majorBidi"/>
        </w:rPr>
        <w:t>Si</w:t>
      </w:r>
      <w:r w:rsidR="00A63A71" w:rsidRPr="00C54AFA">
        <w:rPr>
          <w:rFonts w:asciiTheme="majorBidi" w:hAnsiTheme="majorBidi" w:cstheme="majorBidi"/>
        </w:rPr>
        <w:t xml:space="preserve"> </w:t>
      </w:r>
      <w:r w:rsidRPr="00C54AFA">
        <w:rPr>
          <w:rFonts w:asciiTheme="majorBidi" w:hAnsiTheme="majorBidi" w:cstheme="majorBidi"/>
        </w:rPr>
        <w:t>Nacer</w:t>
      </w:r>
      <w:r w:rsidR="00A63A71" w:rsidRPr="00C54AFA">
        <w:rPr>
          <w:rFonts w:asciiTheme="majorBidi" w:hAnsiTheme="majorBidi" w:cstheme="majorBidi"/>
        </w:rPr>
        <w:t>据称于</w:t>
      </w:r>
      <w:r w:rsidRPr="00C54AFA">
        <w:rPr>
          <w:rFonts w:asciiTheme="majorBidi" w:hAnsiTheme="majorBidi" w:cstheme="majorBidi"/>
        </w:rPr>
        <w:t>1994</w:t>
      </w:r>
      <w:r w:rsidR="00A63A71" w:rsidRPr="00C54AFA">
        <w:rPr>
          <w:rFonts w:asciiTheme="majorBidi" w:hAnsiTheme="majorBidi" w:cstheme="majorBidi"/>
        </w:rPr>
        <w:t>年</w:t>
      </w:r>
      <w:r w:rsidRPr="00C54AFA">
        <w:rPr>
          <w:rFonts w:asciiTheme="majorBidi" w:hAnsiTheme="majorBidi" w:cstheme="majorBidi"/>
        </w:rPr>
        <w:t>6</w:t>
      </w:r>
      <w:r w:rsidR="00A63A71" w:rsidRPr="00C54AFA">
        <w:rPr>
          <w:rFonts w:asciiTheme="majorBidi" w:hAnsiTheme="majorBidi" w:cstheme="majorBidi"/>
        </w:rPr>
        <w:t>月</w:t>
      </w:r>
      <w:r w:rsidRPr="00C54AFA">
        <w:rPr>
          <w:rFonts w:asciiTheme="majorBidi" w:hAnsiTheme="majorBidi" w:cstheme="majorBidi"/>
        </w:rPr>
        <w:t>16</w:t>
      </w:r>
      <w:r w:rsidR="00A63A71" w:rsidRPr="00C54AFA">
        <w:rPr>
          <w:rFonts w:asciiTheme="majorBidi" w:hAnsiTheme="majorBidi" w:cstheme="majorBidi"/>
        </w:rPr>
        <w:t>日被塞提夫省</w:t>
      </w:r>
      <w:r w:rsidRPr="00C54AFA">
        <w:rPr>
          <w:rFonts w:asciiTheme="majorBidi" w:hAnsiTheme="majorBidi" w:cstheme="majorBidi"/>
        </w:rPr>
        <w:t>Mechta</w:t>
      </w:r>
      <w:r w:rsidR="00A63A71" w:rsidRPr="00C54AFA">
        <w:rPr>
          <w:rFonts w:asciiTheme="majorBidi" w:hAnsiTheme="majorBidi" w:cstheme="majorBidi"/>
        </w:rPr>
        <w:t xml:space="preserve"> </w:t>
      </w:r>
      <w:r w:rsidRPr="00C54AFA">
        <w:rPr>
          <w:rFonts w:asciiTheme="majorBidi" w:hAnsiTheme="majorBidi" w:cstheme="majorBidi"/>
        </w:rPr>
        <w:t>Sidi</w:t>
      </w:r>
      <w:r w:rsidR="00A63A71" w:rsidRPr="00C54AFA">
        <w:rPr>
          <w:rFonts w:asciiTheme="majorBidi" w:hAnsiTheme="majorBidi" w:cstheme="majorBidi"/>
        </w:rPr>
        <w:t xml:space="preserve"> </w:t>
      </w:r>
      <w:r w:rsidRPr="00C54AFA">
        <w:rPr>
          <w:rFonts w:asciiTheme="majorBidi" w:hAnsiTheme="majorBidi" w:cstheme="majorBidi"/>
        </w:rPr>
        <w:t>Nacer</w:t>
      </w:r>
      <w:r w:rsidR="00A63A71" w:rsidRPr="00C54AFA">
        <w:rPr>
          <w:rFonts w:asciiTheme="majorBidi" w:hAnsiTheme="majorBidi" w:cstheme="majorBidi"/>
        </w:rPr>
        <w:t>被宪兵队逮捕</w:t>
      </w:r>
      <w:r w:rsidR="00C54AFA" w:rsidRPr="00C54AFA">
        <w:rPr>
          <w:rFonts w:asciiTheme="majorBidi" w:hAnsiTheme="majorBidi" w:cstheme="majorBidi"/>
        </w:rPr>
        <w:t>；</w:t>
      </w:r>
    </w:p>
    <w:p w:rsidR="00A63A71" w:rsidRPr="00C54AFA" w:rsidRDefault="00BC4B0A" w:rsidP="00D421AE">
      <w:pPr>
        <w:pStyle w:val="SingleTxtGC"/>
        <w:numPr>
          <w:ilvl w:val="0"/>
          <w:numId w:val="7"/>
        </w:numPr>
        <w:rPr>
          <w:rFonts w:asciiTheme="majorBidi" w:hAnsiTheme="majorBidi" w:cstheme="majorBidi"/>
        </w:rPr>
      </w:pPr>
      <w:r w:rsidRPr="00C54AFA">
        <w:rPr>
          <w:rFonts w:asciiTheme="majorBidi" w:hAnsiTheme="majorBidi" w:cstheme="majorBidi"/>
        </w:rPr>
        <w:t>Abdelaziz</w:t>
      </w:r>
      <w:r w:rsidR="00A63A71" w:rsidRPr="00C54AFA">
        <w:rPr>
          <w:rFonts w:asciiTheme="majorBidi" w:hAnsiTheme="majorBidi" w:cstheme="majorBidi"/>
        </w:rPr>
        <w:t xml:space="preserve"> </w:t>
      </w:r>
      <w:r w:rsidRPr="00C54AFA">
        <w:rPr>
          <w:rFonts w:asciiTheme="majorBidi" w:hAnsiTheme="majorBidi" w:cstheme="majorBidi"/>
        </w:rPr>
        <w:t>Tamaoucht</w:t>
      </w:r>
      <w:r w:rsidR="00A63A71" w:rsidRPr="00C54AFA">
        <w:rPr>
          <w:rFonts w:asciiTheme="majorBidi" w:hAnsiTheme="majorBidi" w:cstheme="majorBidi"/>
        </w:rPr>
        <w:t>先生据称于</w:t>
      </w:r>
      <w:r w:rsidRPr="00C54AFA">
        <w:rPr>
          <w:rFonts w:asciiTheme="majorBidi" w:hAnsiTheme="majorBidi" w:cstheme="majorBidi"/>
        </w:rPr>
        <w:t>1994</w:t>
      </w:r>
      <w:r w:rsidR="00A63A71" w:rsidRPr="00C54AFA">
        <w:rPr>
          <w:rFonts w:asciiTheme="majorBidi" w:hAnsiTheme="majorBidi" w:cstheme="majorBidi"/>
        </w:rPr>
        <w:t>年</w:t>
      </w:r>
      <w:r w:rsidRPr="00C54AFA">
        <w:rPr>
          <w:rFonts w:asciiTheme="majorBidi" w:hAnsiTheme="majorBidi" w:cstheme="majorBidi"/>
        </w:rPr>
        <w:t>3</w:t>
      </w:r>
      <w:r w:rsidR="00A63A71" w:rsidRPr="00C54AFA">
        <w:rPr>
          <w:rFonts w:asciiTheme="majorBidi" w:hAnsiTheme="majorBidi" w:cstheme="majorBidi"/>
        </w:rPr>
        <w:t>月</w:t>
      </w:r>
      <w:r w:rsidRPr="00C54AFA">
        <w:rPr>
          <w:rFonts w:asciiTheme="majorBidi" w:hAnsiTheme="majorBidi" w:cstheme="majorBidi"/>
        </w:rPr>
        <w:t>31</w:t>
      </w:r>
      <w:r w:rsidR="00A63A71" w:rsidRPr="00C54AFA">
        <w:rPr>
          <w:rFonts w:asciiTheme="majorBidi" w:hAnsiTheme="majorBidi" w:cstheme="majorBidi"/>
        </w:rPr>
        <w:t>日在从</w:t>
      </w:r>
      <w:r w:rsidRPr="00C54AFA">
        <w:rPr>
          <w:rFonts w:asciiTheme="majorBidi" w:hAnsiTheme="majorBidi" w:cstheme="majorBidi"/>
        </w:rPr>
        <w:t>Amroussa</w:t>
      </w:r>
      <w:r w:rsidR="00A63A71" w:rsidRPr="00C54AFA">
        <w:rPr>
          <w:rFonts w:asciiTheme="majorBidi" w:hAnsiTheme="majorBidi" w:cstheme="majorBidi"/>
        </w:rPr>
        <w:t>通往</w:t>
      </w:r>
      <w:r w:rsidRPr="00C54AFA">
        <w:rPr>
          <w:rFonts w:asciiTheme="majorBidi" w:hAnsiTheme="majorBidi" w:cstheme="majorBidi"/>
        </w:rPr>
        <w:t>Chreaa</w:t>
      </w:r>
      <w:r w:rsidR="00C54AFA" w:rsidRPr="00C54AFA">
        <w:rPr>
          <w:rFonts w:asciiTheme="majorBidi" w:hAnsiTheme="majorBidi" w:cstheme="majorBidi"/>
        </w:rPr>
        <w:t>(</w:t>
      </w:r>
      <w:r w:rsidR="00A63A71" w:rsidRPr="00C54AFA">
        <w:rPr>
          <w:rFonts w:asciiTheme="majorBidi" w:hAnsiTheme="majorBidi" w:cstheme="majorBidi"/>
        </w:rPr>
        <w:t>卜利达省</w:t>
      </w:r>
      <w:r w:rsidR="00C54AFA" w:rsidRPr="00C54AFA">
        <w:rPr>
          <w:rFonts w:asciiTheme="majorBidi" w:hAnsiTheme="majorBidi" w:cstheme="majorBidi"/>
        </w:rPr>
        <w:t>)</w:t>
      </w:r>
      <w:r w:rsidR="00A63A71" w:rsidRPr="00C54AFA">
        <w:rPr>
          <w:rFonts w:asciiTheme="majorBidi" w:hAnsiTheme="majorBidi" w:cstheme="majorBidi"/>
        </w:rPr>
        <w:t>的道路上被军方人员逮捕</w:t>
      </w:r>
      <w:r w:rsidR="00C54AFA" w:rsidRPr="00C54AFA">
        <w:rPr>
          <w:rFonts w:asciiTheme="majorBidi" w:hAnsiTheme="majorBidi" w:cstheme="majorBidi"/>
        </w:rPr>
        <w:t>；</w:t>
      </w:r>
    </w:p>
    <w:p w:rsidR="00A63A71" w:rsidRPr="00C54AFA" w:rsidRDefault="00BC4B0A" w:rsidP="00D421AE">
      <w:pPr>
        <w:pStyle w:val="SingleTxtGC"/>
        <w:numPr>
          <w:ilvl w:val="0"/>
          <w:numId w:val="7"/>
        </w:numPr>
        <w:rPr>
          <w:rFonts w:asciiTheme="majorBidi" w:hAnsiTheme="majorBidi" w:cstheme="majorBidi"/>
        </w:rPr>
      </w:pPr>
      <w:r w:rsidRPr="00C54AFA">
        <w:rPr>
          <w:rFonts w:asciiTheme="majorBidi" w:hAnsiTheme="majorBidi" w:cstheme="majorBidi"/>
        </w:rPr>
        <w:t>Mounir</w:t>
      </w:r>
      <w:r w:rsidR="00A63A71" w:rsidRPr="00C54AFA">
        <w:rPr>
          <w:rFonts w:asciiTheme="majorBidi" w:hAnsiTheme="majorBidi" w:cstheme="majorBidi"/>
        </w:rPr>
        <w:t xml:space="preserve"> </w:t>
      </w:r>
      <w:r w:rsidRPr="00C54AFA">
        <w:rPr>
          <w:rFonts w:asciiTheme="majorBidi" w:hAnsiTheme="majorBidi" w:cstheme="majorBidi"/>
        </w:rPr>
        <w:t>Bouchaib</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据称于</w:t>
      </w:r>
      <w:r w:rsidRPr="00C54AFA">
        <w:rPr>
          <w:rFonts w:asciiTheme="majorBidi" w:hAnsiTheme="majorBidi" w:cstheme="majorBidi"/>
        </w:rPr>
        <w:t>1995</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w:t>
      </w:r>
      <w:r w:rsidRPr="00C54AFA">
        <w:rPr>
          <w:rFonts w:asciiTheme="majorBidi" w:hAnsiTheme="majorBidi" w:cstheme="majorBidi"/>
        </w:rPr>
        <w:t>19</w:t>
      </w:r>
      <w:r w:rsidR="00A63A71" w:rsidRPr="00C54AFA">
        <w:rPr>
          <w:rFonts w:asciiTheme="majorBidi" w:hAnsiTheme="majorBidi" w:cstheme="majorBidi"/>
        </w:rPr>
        <w:t>日至</w:t>
      </w:r>
      <w:r w:rsidRPr="00C54AFA">
        <w:rPr>
          <w:rFonts w:asciiTheme="majorBidi" w:hAnsiTheme="majorBidi" w:cstheme="majorBidi"/>
        </w:rPr>
        <w:t>2</w:t>
      </w:r>
      <w:r w:rsidR="00A63A71" w:rsidRPr="00C54AFA">
        <w:rPr>
          <w:rFonts w:asciiTheme="majorBidi" w:hAnsiTheme="majorBidi" w:cstheme="majorBidi"/>
        </w:rPr>
        <w:t>0</w:t>
      </w:r>
      <w:r w:rsidR="00A63A71" w:rsidRPr="00C54AFA">
        <w:rPr>
          <w:rFonts w:asciiTheme="majorBidi" w:hAnsiTheme="majorBidi" w:cstheme="majorBidi"/>
        </w:rPr>
        <w:t>日夜间在阿尔及尔</w:t>
      </w:r>
      <w:r w:rsidRPr="00C54AFA">
        <w:rPr>
          <w:rFonts w:asciiTheme="majorBidi" w:hAnsiTheme="majorBidi" w:cstheme="majorBidi"/>
        </w:rPr>
        <w:t>Kouba</w:t>
      </w:r>
      <w:r w:rsidR="00A63A71" w:rsidRPr="00C54AFA">
        <w:rPr>
          <w:rFonts w:asciiTheme="majorBidi" w:hAnsiTheme="majorBidi" w:cstheme="majorBidi"/>
        </w:rPr>
        <w:t>被武装军队、宪兵和警察逮捕。</w:t>
      </w:r>
    </w:p>
    <w:p w:rsidR="00A63A71" w:rsidRPr="00C54AFA" w:rsidRDefault="00A63A71" w:rsidP="00116230">
      <w:pPr>
        <w:pStyle w:val="H23GC"/>
      </w:pPr>
      <w:r w:rsidRPr="00C54AFA">
        <w:tab/>
      </w:r>
      <w:r w:rsidRPr="00C54AFA">
        <w:tab/>
      </w:r>
      <w:r w:rsidRPr="00C54AFA">
        <w:t>根据来文方的资料作出的澄清</w:t>
      </w:r>
    </w:p>
    <w:p w:rsidR="00A63A71" w:rsidRPr="00C54AFA" w:rsidRDefault="00C54AFA" w:rsidP="00D421AE">
      <w:pPr>
        <w:pStyle w:val="SingleTxtGC"/>
        <w:rPr>
          <w:rFonts w:asciiTheme="majorBidi" w:hAnsiTheme="majorBidi" w:cstheme="majorBidi"/>
        </w:rPr>
      </w:pPr>
      <w:r w:rsidRPr="00C54AFA">
        <w:rPr>
          <w:rFonts w:asciiTheme="majorBidi" w:hAnsiTheme="majorBidi" w:cstheme="majorBidi"/>
        </w:rPr>
        <w:t>9.</w:t>
      </w:r>
      <w:r w:rsidR="00D421AE" w:rsidRPr="00C54AFA">
        <w:rPr>
          <w:rFonts w:asciiTheme="majorBidi" w:hAnsiTheme="majorBidi" w:cstheme="majorBidi"/>
        </w:rPr>
        <w:t xml:space="preserve">  </w:t>
      </w:r>
      <w:r w:rsidR="00A63A71" w:rsidRPr="00C54AFA">
        <w:rPr>
          <w:rFonts w:asciiTheme="majorBidi" w:hAnsiTheme="majorBidi" w:cstheme="majorBidi"/>
        </w:rPr>
        <w:t>来文方就</w:t>
      </w:r>
      <w:r w:rsidR="00BC4B0A" w:rsidRPr="00C54AFA">
        <w:rPr>
          <w:rFonts w:asciiTheme="majorBidi" w:hAnsiTheme="majorBidi" w:cstheme="majorBidi"/>
        </w:rPr>
        <w:t>21</w:t>
      </w:r>
      <w:r w:rsidR="00A63A71" w:rsidRPr="00C54AFA">
        <w:rPr>
          <w:rFonts w:asciiTheme="majorBidi" w:hAnsiTheme="majorBidi" w:cstheme="majorBidi"/>
        </w:rPr>
        <w:t>起未决案件提供了资料。根据收到的资料</w:t>
      </w:r>
      <w:r w:rsidRPr="00C54AFA">
        <w:rPr>
          <w:rFonts w:asciiTheme="majorBidi" w:hAnsiTheme="majorBidi" w:cstheme="majorBidi"/>
        </w:rPr>
        <w:t>，</w:t>
      </w:r>
      <w:r w:rsidR="00A63A71" w:rsidRPr="00C54AFA">
        <w:rPr>
          <w:rFonts w:asciiTheme="majorBidi" w:hAnsiTheme="majorBidi" w:cstheme="majorBidi"/>
        </w:rPr>
        <w:t>工作组决定澄清一起案例。</w:t>
      </w:r>
    </w:p>
    <w:p w:rsidR="00A63A71" w:rsidRPr="00C54AFA" w:rsidRDefault="00A63A71" w:rsidP="00116230">
      <w:pPr>
        <w:pStyle w:val="H1GC"/>
      </w:pPr>
      <w:r w:rsidRPr="00C54AFA">
        <w:lastRenderedPageBreak/>
        <w:tab/>
      </w:r>
      <w:r w:rsidRPr="00C54AFA">
        <w:tab/>
      </w:r>
      <w:r w:rsidRPr="00C54AFA">
        <w:t>阿根廷</w:t>
      </w:r>
    </w:p>
    <w:p w:rsidR="00A63A71" w:rsidRPr="00C54AFA" w:rsidRDefault="00D421AE" w:rsidP="00116230">
      <w:pPr>
        <w:pStyle w:val="H23GC"/>
      </w:pPr>
      <w:r w:rsidRPr="00C54AFA">
        <w:tab/>
      </w:r>
      <w:r w:rsidRPr="00C54AFA">
        <w:tab/>
      </w:r>
      <w:r w:rsidR="00A63A71" w:rsidRPr="00C54AFA">
        <w:t>政府提供的资料</w:t>
      </w:r>
    </w:p>
    <w:p w:rsidR="00A63A71" w:rsidRPr="00C54AFA" w:rsidRDefault="00BC4B0A" w:rsidP="00D421AE">
      <w:pPr>
        <w:pStyle w:val="SingleTxtGC"/>
        <w:rPr>
          <w:rFonts w:asciiTheme="majorBidi" w:hAnsiTheme="majorBidi" w:cstheme="majorBidi"/>
        </w:rPr>
      </w:pPr>
      <w:r w:rsidRPr="00C54AFA">
        <w:rPr>
          <w:rFonts w:asciiTheme="majorBidi" w:hAnsiTheme="majorBidi" w:cstheme="majorBidi"/>
        </w:rPr>
        <w:t>1</w:t>
      </w:r>
      <w:r w:rsidR="00C54AFA" w:rsidRPr="00C54AFA">
        <w:rPr>
          <w:rFonts w:asciiTheme="majorBidi" w:hAnsiTheme="majorBidi" w:cstheme="majorBidi"/>
        </w:rPr>
        <w:t>0.</w:t>
      </w:r>
      <w:r w:rsidR="00D421AE"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3</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该国政府就两起未决案件提供了资料。</w:t>
      </w:r>
    </w:p>
    <w:p w:rsidR="00A63A71" w:rsidRPr="00C54AFA" w:rsidRDefault="00A63A71" w:rsidP="00116230">
      <w:pPr>
        <w:pStyle w:val="H23GC"/>
      </w:pPr>
      <w:r w:rsidRPr="00C54AFA">
        <w:tab/>
      </w:r>
      <w:r w:rsidRPr="00C54AFA">
        <w:tab/>
      </w:r>
      <w:r w:rsidRPr="00C54AFA">
        <w:t>来文方提供的资料</w:t>
      </w:r>
    </w:p>
    <w:p w:rsidR="00A63A71" w:rsidRPr="00C54AFA" w:rsidRDefault="00BC4B0A" w:rsidP="00D421AE">
      <w:pPr>
        <w:pStyle w:val="SingleTxtGC"/>
        <w:rPr>
          <w:rFonts w:asciiTheme="majorBidi" w:hAnsiTheme="majorBidi" w:cstheme="majorBidi"/>
        </w:rPr>
      </w:pPr>
      <w:r w:rsidRPr="00C54AFA">
        <w:rPr>
          <w:rFonts w:asciiTheme="majorBidi" w:hAnsiTheme="majorBidi" w:cstheme="majorBidi"/>
        </w:rPr>
        <w:t>1</w:t>
      </w:r>
      <w:r w:rsidR="00C54AFA" w:rsidRPr="00C54AFA">
        <w:rPr>
          <w:rFonts w:asciiTheme="majorBidi" w:hAnsiTheme="majorBidi" w:cstheme="majorBidi"/>
        </w:rPr>
        <w:t>1.</w:t>
      </w:r>
      <w:r w:rsidR="00D421AE"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25</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来文方就一起未决案件提供了资料。</w:t>
      </w:r>
    </w:p>
    <w:p w:rsidR="00A63A71" w:rsidRPr="00C54AFA" w:rsidRDefault="00A63A71" w:rsidP="00116230">
      <w:pPr>
        <w:pStyle w:val="H1GC"/>
      </w:pPr>
      <w:r w:rsidRPr="00C54AFA">
        <w:tab/>
      </w:r>
      <w:r w:rsidRPr="00C54AFA">
        <w:tab/>
      </w:r>
      <w:r w:rsidRPr="00C54AFA">
        <w:t>巴林</w:t>
      </w:r>
    </w:p>
    <w:p w:rsidR="00A63A71" w:rsidRPr="00C54AFA" w:rsidRDefault="00A63A71" w:rsidP="00116230">
      <w:pPr>
        <w:pStyle w:val="H23GC"/>
      </w:pPr>
      <w:r w:rsidRPr="00C54AFA">
        <w:tab/>
      </w:r>
      <w:r w:rsidRPr="00C54AFA">
        <w:tab/>
      </w:r>
      <w:r w:rsidRPr="00C54AFA">
        <w:t>政府提供的资料</w:t>
      </w:r>
    </w:p>
    <w:p w:rsidR="00A63A71" w:rsidRPr="00C54AFA" w:rsidRDefault="00BC4B0A" w:rsidP="00D421AE">
      <w:pPr>
        <w:pStyle w:val="SingleTxtGC"/>
        <w:rPr>
          <w:rFonts w:asciiTheme="majorBidi" w:hAnsiTheme="majorBidi" w:cstheme="majorBidi"/>
        </w:rPr>
      </w:pPr>
      <w:r w:rsidRPr="00C54AFA">
        <w:rPr>
          <w:rFonts w:asciiTheme="majorBidi" w:hAnsiTheme="majorBidi" w:cstheme="majorBidi"/>
        </w:rPr>
        <w:t>1</w:t>
      </w:r>
      <w:r w:rsidR="00C54AFA" w:rsidRPr="00C54AFA">
        <w:rPr>
          <w:rFonts w:asciiTheme="majorBidi" w:hAnsiTheme="majorBidi" w:cstheme="majorBidi"/>
        </w:rPr>
        <w:t>2.</w:t>
      </w:r>
      <w:r w:rsidR="00D421AE"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21</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该国政府提供了关于一起未决案件的资料。</w:t>
      </w:r>
    </w:p>
    <w:p w:rsidR="00A63A71" w:rsidRPr="00C54AFA" w:rsidRDefault="00BC4B0A" w:rsidP="00D421AE">
      <w:pPr>
        <w:pStyle w:val="SingleTxtGC"/>
        <w:rPr>
          <w:rFonts w:asciiTheme="majorBidi" w:hAnsiTheme="majorBidi" w:cstheme="majorBidi"/>
        </w:rPr>
      </w:pPr>
      <w:r w:rsidRPr="00C54AFA">
        <w:rPr>
          <w:rFonts w:asciiTheme="majorBidi" w:hAnsiTheme="majorBidi" w:cstheme="majorBidi"/>
        </w:rPr>
        <w:t>1</w:t>
      </w:r>
      <w:r w:rsidR="00C54AFA" w:rsidRPr="00C54AFA">
        <w:rPr>
          <w:rFonts w:asciiTheme="majorBidi" w:hAnsiTheme="majorBidi" w:cstheme="majorBidi"/>
        </w:rPr>
        <w:t>3.</w:t>
      </w:r>
      <w:r w:rsidR="00D421AE"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9</w:t>
      </w:r>
      <w:r w:rsidR="00A63A71" w:rsidRPr="00C54AFA">
        <w:rPr>
          <w:rFonts w:asciiTheme="majorBidi" w:hAnsiTheme="majorBidi" w:cstheme="majorBidi"/>
        </w:rPr>
        <w:t>月</w:t>
      </w:r>
      <w:r w:rsidRPr="00C54AFA">
        <w:rPr>
          <w:rFonts w:asciiTheme="majorBidi" w:hAnsiTheme="majorBidi" w:cstheme="majorBidi"/>
        </w:rPr>
        <w:t>23</w:t>
      </w:r>
      <w:r w:rsidR="00A63A71" w:rsidRPr="00C54AFA">
        <w:rPr>
          <w:rFonts w:asciiTheme="majorBidi" w:hAnsiTheme="majorBidi" w:cstheme="majorBidi"/>
        </w:rPr>
        <w:t>日曾发出关于据称短期失踪现象的一般性指控</w:t>
      </w:r>
      <w:r w:rsidR="00C54AFA" w:rsidRPr="00C54AFA">
        <w:rPr>
          <w:rFonts w:asciiTheme="majorBidi" w:hAnsiTheme="majorBidi" w:cstheme="majorBidi"/>
        </w:rPr>
        <w:t>；</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18</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该国政府就此作出答复。在其函件中</w:t>
      </w:r>
      <w:r w:rsidR="00C54AFA" w:rsidRPr="00C54AFA">
        <w:rPr>
          <w:rFonts w:asciiTheme="majorBidi" w:hAnsiTheme="majorBidi" w:cstheme="majorBidi"/>
        </w:rPr>
        <w:t>，</w:t>
      </w:r>
      <w:r w:rsidR="00A63A71" w:rsidRPr="00C54AFA">
        <w:rPr>
          <w:rFonts w:asciiTheme="majorBidi" w:hAnsiTheme="majorBidi" w:cstheme="majorBidi"/>
        </w:rPr>
        <w:t>该国政府就一般性指控中提到的个人案件提供了关于逮捕、起诉和审判的资料</w:t>
      </w:r>
      <w:r w:rsidR="00C54AFA" w:rsidRPr="00C54AFA">
        <w:rPr>
          <w:rFonts w:asciiTheme="majorBidi" w:hAnsiTheme="majorBidi" w:cstheme="majorBidi"/>
        </w:rPr>
        <w:t>(</w:t>
      </w:r>
      <w:r w:rsidR="00A63A71" w:rsidRPr="00C54AFA">
        <w:rPr>
          <w:rFonts w:asciiTheme="majorBidi" w:hAnsiTheme="majorBidi" w:cstheme="majorBidi"/>
        </w:rPr>
        <w:t>政府答复见附件一</w:t>
      </w:r>
      <w:r w:rsidR="00C54AFA" w:rsidRPr="00C54AFA">
        <w:rPr>
          <w:rFonts w:asciiTheme="majorBidi" w:hAnsiTheme="majorBidi" w:cstheme="majorBidi"/>
        </w:rPr>
        <w:t>)</w:t>
      </w:r>
      <w:r w:rsidR="00A63A71" w:rsidRPr="00C54AFA">
        <w:rPr>
          <w:rFonts w:asciiTheme="majorBidi" w:hAnsiTheme="majorBidi" w:cstheme="majorBidi"/>
        </w:rPr>
        <w:t>。</w:t>
      </w:r>
    </w:p>
    <w:p w:rsidR="00A63A71" w:rsidRPr="00C54AFA" w:rsidRDefault="00A63A71" w:rsidP="00116230">
      <w:pPr>
        <w:pStyle w:val="H23GC"/>
      </w:pPr>
      <w:r w:rsidRPr="00C54AFA">
        <w:tab/>
      </w:r>
      <w:r w:rsidRPr="00C54AFA">
        <w:tab/>
      </w:r>
      <w:r w:rsidRPr="00C54AFA">
        <w:t>澄清</w:t>
      </w:r>
    </w:p>
    <w:p w:rsidR="00A63A71" w:rsidRPr="00C54AFA" w:rsidRDefault="00BC4B0A" w:rsidP="00D421AE">
      <w:pPr>
        <w:pStyle w:val="SingleTxtGC"/>
        <w:rPr>
          <w:rFonts w:asciiTheme="majorBidi" w:hAnsiTheme="majorBidi" w:cstheme="majorBidi"/>
        </w:rPr>
      </w:pPr>
      <w:r w:rsidRPr="00C54AFA">
        <w:rPr>
          <w:rFonts w:asciiTheme="majorBidi" w:hAnsiTheme="majorBidi" w:cstheme="majorBidi"/>
        </w:rPr>
        <w:t>1</w:t>
      </w:r>
      <w:r w:rsidR="00C54AFA" w:rsidRPr="00C54AFA">
        <w:rPr>
          <w:rFonts w:asciiTheme="majorBidi" w:hAnsiTheme="majorBidi" w:cstheme="majorBidi"/>
        </w:rPr>
        <w:t>4.</w:t>
      </w:r>
      <w:r w:rsidR="00D421AE" w:rsidRPr="00C54AFA">
        <w:rPr>
          <w:rFonts w:asciiTheme="majorBidi" w:hAnsiTheme="majorBidi" w:cstheme="majorBidi"/>
        </w:rPr>
        <w:t xml:space="preserve">  </w:t>
      </w:r>
      <w:r w:rsidR="00A63A71" w:rsidRPr="00C54AFA">
        <w:rPr>
          <w:rFonts w:asciiTheme="majorBidi" w:hAnsiTheme="majorBidi" w:cstheme="majorBidi"/>
        </w:rPr>
        <w:t>基于该国政府提供的资料</w:t>
      </w:r>
      <w:r w:rsidR="00C54AFA" w:rsidRPr="00C54AFA">
        <w:rPr>
          <w:rFonts w:asciiTheme="majorBidi" w:hAnsiTheme="majorBidi" w:cstheme="majorBidi"/>
        </w:rPr>
        <w:t>，</w:t>
      </w:r>
      <w:r w:rsidR="00A63A71" w:rsidRPr="00C54AFA">
        <w:rPr>
          <w:rFonts w:asciiTheme="majorBidi" w:hAnsiTheme="majorBidi" w:cstheme="majorBidi"/>
        </w:rPr>
        <w:t>工作组决定</w:t>
      </w:r>
      <w:r w:rsidR="00C54AFA" w:rsidRPr="00C54AFA">
        <w:rPr>
          <w:rFonts w:asciiTheme="majorBidi" w:hAnsiTheme="majorBidi" w:cstheme="majorBidi"/>
        </w:rPr>
        <w:t>，</w:t>
      </w:r>
      <w:r w:rsidR="00A63A71" w:rsidRPr="00C54AFA">
        <w:rPr>
          <w:rFonts w:asciiTheme="majorBidi" w:hAnsiTheme="majorBidi" w:cstheme="majorBidi"/>
        </w:rPr>
        <w:t>在六个月规则</w:t>
      </w:r>
      <w:r w:rsidR="00C54AFA" w:rsidRPr="00C54AFA">
        <w:rPr>
          <w:rFonts w:asciiTheme="majorBidi" w:hAnsiTheme="majorBidi" w:cstheme="majorBidi"/>
        </w:rPr>
        <w:t>(</w:t>
      </w:r>
      <w:r w:rsidR="00A63A71" w:rsidRPr="00C54AFA">
        <w:rPr>
          <w:rFonts w:asciiTheme="majorBidi" w:hAnsiTheme="majorBidi" w:cstheme="majorBidi"/>
        </w:rPr>
        <w:t>见</w:t>
      </w:r>
      <w:r w:rsidRPr="00C54AFA">
        <w:rPr>
          <w:rFonts w:asciiTheme="majorBidi" w:hAnsiTheme="majorBidi" w:cstheme="majorBidi"/>
        </w:rPr>
        <w:t>A</w:t>
      </w:r>
      <w:r w:rsidR="00C54AFA" w:rsidRPr="00C54AFA">
        <w:rPr>
          <w:rFonts w:asciiTheme="majorBidi" w:hAnsiTheme="majorBidi" w:cstheme="majorBidi"/>
        </w:rPr>
        <w:t>/</w:t>
      </w:r>
      <w:r w:rsidRPr="00C54AFA">
        <w:rPr>
          <w:rFonts w:asciiTheme="majorBidi" w:hAnsiTheme="majorBidi" w:cstheme="majorBidi"/>
        </w:rPr>
        <w:t>HRC</w:t>
      </w:r>
      <w:r w:rsidR="00C54AFA" w:rsidRPr="00C54AFA">
        <w:rPr>
          <w:rFonts w:asciiTheme="majorBidi" w:hAnsiTheme="majorBidi" w:cstheme="majorBidi"/>
        </w:rPr>
        <w:t>/</w:t>
      </w:r>
      <w:r w:rsidRPr="00C54AFA">
        <w:rPr>
          <w:rFonts w:asciiTheme="majorBidi" w:hAnsiTheme="majorBidi" w:cstheme="majorBidi"/>
        </w:rPr>
        <w:t>WGEID</w:t>
      </w:r>
      <w:r w:rsidR="00C54AFA" w:rsidRPr="00C54AFA">
        <w:rPr>
          <w:rFonts w:asciiTheme="majorBidi" w:hAnsiTheme="majorBidi" w:cstheme="majorBidi"/>
        </w:rPr>
        <w:t>/</w:t>
      </w:r>
      <w:r w:rsidR="00D421AE" w:rsidRPr="00C54AFA">
        <w:rPr>
          <w:rFonts w:asciiTheme="majorBidi" w:hAnsiTheme="majorBidi" w:cstheme="majorBidi"/>
        </w:rPr>
        <w:t xml:space="preserve"> </w:t>
      </w:r>
      <w:r w:rsidRPr="00C54AFA">
        <w:rPr>
          <w:rFonts w:asciiTheme="majorBidi" w:hAnsiTheme="majorBidi" w:cstheme="majorBidi"/>
        </w:rPr>
        <w:t>1</w:t>
      </w:r>
      <w:r w:rsidR="00A63A71" w:rsidRPr="00C54AFA">
        <w:rPr>
          <w:rFonts w:asciiTheme="majorBidi" w:hAnsiTheme="majorBidi" w:cstheme="majorBidi"/>
        </w:rPr>
        <w:t>0</w:t>
      </w:r>
      <w:r w:rsidRPr="00C54AFA">
        <w:rPr>
          <w:rFonts w:asciiTheme="majorBidi" w:hAnsiTheme="majorBidi" w:cstheme="majorBidi"/>
        </w:rPr>
        <w:t>3</w:t>
      </w:r>
      <w:r w:rsidR="00C54AFA" w:rsidRPr="00C54AFA">
        <w:rPr>
          <w:rFonts w:asciiTheme="majorBidi" w:hAnsiTheme="majorBidi" w:cstheme="majorBidi"/>
        </w:rPr>
        <w:t>/1,</w:t>
      </w:r>
      <w:r w:rsidR="00A63A71" w:rsidRPr="00C54AFA">
        <w:rPr>
          <w:rFonts w:asciiTheme="majorBidi" w:hAnsiTheme="majorBidi" w:cstheme="majorBidi"/>
        </w:rPr>
        <w:t>第</w:t>
      </w:r>
      <w:r w:rsidRPr="00C54AFA">
        <w:rPr>
          <w:rFonts w:asciiTheme="majorBidi" w:hAnsiTheme="majorBidi" w:cstheme="majorBidi"/>
        </w:rPr>
        <w:t>38</w:t>
      </w:r>
      <w:r w:rsidR="00A63A71" w:rsidRPr="00C54AFA">
        <w:rPr>
          <w:rFonts w:asciiTheme="majorBidi" w:hAnsiTheme="majorBidi" w:cstheme="majorBidi"/>
        </w:rPr>
        <w:t>段</w:t>
      </w:r>
      <w:r w:rsidR="00C54AFA" w:rsidRPr="00C54AFA">
        <w:rPr>
          <w:rFonts w:asciiTheme="majorBidi" w:hAnsiTheme="majorBidi" w:cstheme="majorBidi"/>
        </w:rPr>
        <w:t>)</w:t>
      </w:r>
      <w:r w:rsidR="00A63A71" w:rsidRPr="00C54AFA">
        <w:rPr>
          <w:rFonts w:asciiTheme="majorBidi" w:hAnsiTheme="majorBidi" w:cstheme="majorBidi"/>
        </w:rPr>
        <w:t>期限到期后</w:t>
      </w:r>
      <w:r w:rsidR="00C54AFA" w:rsidRPr="00C54AFA">
        <w:rPr>
          <w:rFonts w:asciiTheme="majorBidi" w:hAnsiTheme="majorBidi" w:cstheme="majorBidi"/>
        </w:rPr>
        <w:t>，</w:t>
      </w:r>
      <w:r w:rsidR="00A63A71" w:rsidRPr="00C54AFA">
        <w:rPr>
          <w:rFonts w:asciiTheme="majorBidi" w:hAnsiTheme="majorBidi" w:cstheme="majorBidi"/>
        </w:rPr>
        <w:t>澄清一起未决案件。</w:t>
      </w:r>
    </w:p>
    <w:p w:rsidR="00A63A71" w:rsidRPr="00C54AFA" w:rsidRDefault="00A63A71" w:rsidP="00116230">
      <w:pPr>
        <w:pStyle w:val="H23GC"/>
      </w:pPr>
      <w:r w:rsidRPr="00C54AFA">
        <w:tab/>
      </w:r>
      <w:r w:rsidRPr="00C54AFA">
        <w:tab/>
      </w:r>
      <w:r w:rsidRPr="00C54AFA">
        <w:t>意见</w:t>
      </w:r>
    </w:p>
    <w:p w:rsidR="00A63A71" w:rsidRPr="00C54AFA" w:rsidRDefault="00BC4B0A" w:rsidP="00D421AE">
      <w:pPr>
        <w:pStyle w:val="SingleTxtGC"/>
        <w:rPr>
          <w:rFonts w:asciiTheme="majorBidi" w:hAnsiTheme="majorBidi" w:cstheme="majorBidi"/>
        </w:rPr>
      </w:pPr>
      <w:r w:rsidRPr="00C54AFA">
        <w:rPr>
          <w:rFonts w:asciiTheme="majorBidi" w:hAnsiTheme="majorBidi" w:cstheme="majorBidi"/>
        </w:rPr>
        <w:t>1</w:t>
      </w:r>
      <w:r w:rsidR="00C54AFA" w:rsidRPr="00C54AFA">
        <w:rPr>
          <w:rFonts w:asciiTheme="majorBidi" w:hAnsiTheme="majorBidi" w:cstheme="majorBidi"/>
        </w:rPr>
        <w:t>5.</w:t>
      </w:r>
      <w:r w:rsidR="00D421AE" w:rsidRPr="00C54AFA">
        <w:rPr>
          <w:rFonts w:asciiTheme="majorBidi" w:hAnsiTheme="majorBidi" w:cstheme="majorBidi"/>
        </w:rPr>
        <w:t xml:space="preserve">  </w:t>
      </w:r>
      <w:r w:rsidR="00A63A71" w:rsidRPr="00C54AFA">
        <w:rPr>
          <w:rFonts w:asciiTheme="majorBidi" w:hAnsiTheme="majorBidi" w:cstheme="majorBidi"/>
        </w:rPr>
        <w:t>工作组感谢该国政府的答复。它希望收到补充资料</w:t>
      </w:r>
      <w:r w:rsidR="00C54AFA" w:rsidRPr="00C54AFA">
        <w:rPr>
          <w:rFonts w:asciiTheme="majorBidi" w:hAnsiTheme="majorBidi" w:cstheme="majorBidi"/>
        </w:rPr>
        <w:t>，</w:t>
      </w:r>
      <w:r w:rsidR="00A63A71" w:rsidRPr="00C54AFA">
        <w:rPr>
          <w:rFonts w:asciiTheme="majorBidi" w:hAnsiTheme="majorBidi" w:cstheme="majorBidi"/>
        </w:rPr>
        <w:t>说明该国政府为防止和终止强迫失踪案件所采取的具体步骤以及按照《保护所有人不遭受强迫失踪宣言》第</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条第</w:t>
      </w:r>
      <w:r w:rsidRPr="00C54AFA">
        <w:rPr>
          <w:rFonts w:asciiTheme="majorBidi" w:hAnsiTheme="majorBidi" w:cstheme="majorBidi"/>
        </w:rPr>
        <w:t>2</w:t>
      </w:r>
      <w:r w:rsidR="00A63A71" w:rsidRPr="00C54AFA">
        <w:rPr>
          <w:rFonts w:asciiTheme="majorBidi" w:hAnsiTheme="majorBidi" w:cstheme="majorBidi"/>
        </w:rPr>
        <w:t>款</w:t>
      </w:r>
      <w:r w:rsidR="00C54AFA" w:rsidRPr="00C54AFA">
        <w:rPr>
          <w:rFonts w:asciiTheme="majorBidi" w:hAnsiTheme="majorBidi" w:cstheme="majorBidi"/>
        </w:rPr>
        <w:t>，</w:t>
      </w:r>
      <w:r w:rsidR="00A63A71" w:rsidRPr="00C54AFA">
        <w:rPr>
          <w:rFonts w:asciiTheme="majorBidi" w:hAnsiTheme="majorBidi" w:cstheme="majorBidi"/>
        </w:rPr>
        <w:t>为确保被剥夺自由者的亲属得到关于他们被拘留情况的准确和及时通知所采取的措施。</w:t>
      </w:r>
    </w:p>
    <w:p w:rsidR="00A63A71" w:rsidRPr="00C54AFA" w:rsidRDefault="00A63A71" w:rsidP="00116230">
      <w:pPr>
        <w:pStyle w:val="H1GC"/>
      </w:pPr>
      <w:r w:rsidRPr="00C54AFA">
        <w:tab/>
      </w:r>
      <w:r w:rsidRPr="00C54AFA">
        <w:tab/>
      </w:r>
      <w:r w:rsidRPr="00C54AFA">
        <w:t>孟加拉国</w:t>
      </w:r>
    </w:p>
    <w:p w:rsidR="00A63A71" w:rsidRPr="00C54AFA" w:rsidRDefault="00A63A71" w:rsidP="00116230">
      <w:pPr>
        <w:pStyle w:val="H23GC"/>
      </w:pPr>
      <w:r w:rsidRPr="00C54AFA">
        <w:tab/>
      </w:r>
      <w:r w:rsidRPr="00C54AFA">
        <w:tab/>
      </w:r>
      <w:r w:rsidRPr="00C54AFA">
        <w:t>紧急行动</w:t>
      </w:r>
    </w:p>
    <w:p w:rsidR="00A63A71" w:rsidRPr="00C54AFA" w:rsidRDefault="00BC4B0A" w:rsidP="00D421AE">
      <w:pPr>
        <w:pStyle w:val="SingleTxtGC"/>
        <w:rPr>
          <w:rFonts w:asciiTheme="majorBidi" w:hAnsiTheme="majorBidi" w:cstheme="majorBidi"/>
        </w:rPr>
      </w:pPr>
      <w:r w:rsidRPr="00C54AFA">
        <w:rPr>
          <w:rFonts w:asciiTheme="majorBidi" w:hAnsiTheme="majorBidi" w:cstheme="majorBidi"/>
        </w:rPr>
        <w:t>1</w:t>
      </w:r>
      <w:r w:rsidR="00C54AFA" w:rsidRPr="00C54AFA">
        <w:rPr>
          <w:rFonts w:asciiTheme="majorBidi" w:hAnsiTheme="majorBidi" w:cstheme="majorBidi"/>
        </w:rPr>
        <w:t>6.</w:t>
      </w:r>
      <w:r w:rsidR="00D421AE"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3</w:t>
      </w:r>
      <w:r w:rsidR="00A63A71" w:rsidRPr="00C54AFA">
        <w:rPr>
          <w:rFonts w:asciiTheme="majorBidi" w:hAnsiTheme="majorBidi" w:cstheme="majorBidi"/>
        </w:rPr>
        <w:t>月</w:t>
      </w:r>
      <w:r w:rsidRPr="00C54AFA">
        <w:rPr>
          <w:rFonts w:asciiTheme="majorBidi" w:hAnsiTheme="majorBidi" w:cstheme="majorBidi"/>
        </w:rPr>
        <w:t>5</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工作组向该国政府转达了关于</w:t>
      </w:r>
      <w:r w:rsidRPr="00C54AFA">
        <w:rPr>
          <w:rFonts w:asciiTheme="majorBidi" w:hAnsiTheme="majorBidi" w:cstheme="majorBidi"/>
        </w:rPr>
        <w:t>Keithellakpam</w:t>
      </w:r>
      <w:r w:rsidR="00A63A71" w:rsidRPr="00C54AFA">
        <w:rPr>
          <w:rFonts w:asciiTheme="majorBidi" w:hAnsiTheme="majorBidi" w:cstheme="majorBidi"/>
        </w:rPr>
        <w:t xml:space="preserve"> </w:t>
      </w:r>
      <w:r w:rsidRPr="00C54AFA">
        <w:rPr>
          <w:rFonts w:asciiTheme="majorBidi" w:hAnsiTheme="majorBidi" w:cstheme="majorBidi"/>
        </w:rPr>
        <w:t>Nabachandra</w:t>
      </w:r>
      <w:r w:rsidR="00A63A71" w:rsidRPr="00C54AFA">
        <w:rPr>
          <w:rFonts w:asciiTheme="majorBidi" w:hAnsiTheme="majorBidi" w:cstheme="majorBidi"/>
        </w:rPr>
        <w:t>先生的一起案件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w:t>
      </w:r>
      <w:r w:rsidRPr="00C54AFA">
        <w:rPr>
          <w:rFonts w:asciiTheme="majorBidi" w:hAnsiTheme="majorBidi" w:cstheme="majorBidi"/>
        </w:rPr>
        <w:t>11</w:t>
      </w:r>
      <w:r w:rsidR="00A63A71" w:rsidRPr="00C54AFA">
        <w:rPr>
          <w:rFonts w:asciiTheme="majorBidi" w:hAnsiTheme="majorBidi" w:cstheme="majorBidi"/>
        </w:rPr>
        <w:t>日在达卡被印度情报调查员和孟加拉国便衣警察逮捕。按照工作组的工作方法</w:t>
      </w:r>
      <w:r w:rsidR="00C54AFA" w:rsidRPr="00C54AFA">
        <w:rPr>
          <w:rFonts w:asciiTheme="majorBidi" w:hAnsiTheme="majorBidi" w:cstheme="majorBidi"/>
        </w:rPr>
        <w:t>，</w:t>
      </w:r>
      <w:r w:rsidR="00A63A71" w:rsidRPr="00C54AFA">
        <w:rPr>
          <w:rFonts w:asciiTheme="majorBidi" w:hAnsiTheme="majorBidi" w:cstheme="majorBidi"/>
        </w:rPr>
        <w:t>印度政府也收到了该案件的副本。</w:t>
      </w:r>
    </w:p>
    <w:p w:rsidR="00A63A71" w:rsidRPr="00C54AFA" w:rsidRDefault="00A63A71" w:rsidP="00116230">
      <w:pPr>
        <w:pStyle w:val="H23GC"/>
      </w:pPr>
      <w:r w:rsidRPr="00C54AFA">
        <w:tab/>
      </w:r>
      <w:r w:rsidRPr="00C54AFA">
        <w:tab/>
      </w:r>
      <w:r w:rsidRPr="00C54AFA">
        <w:t>标准程序</w:t>
      </w:r>
    </w:p>
    <w:p w:rsidR="00A63A71" w:rsidRPr="00C54AFA" w:rsidRDefault="00BC4B0A" w:rsidP="00D421AE">
      <w:pPr>
        <w:pStyle w:val="SingleTxtGC"/>
        <w:rPr>
          <w:rFonts w:asciiTheme="majorBidi" w:hAnsiTheme="majorBidi" w:cstheme="majorBidi"/>
        </w:rPr>
      </w:pPr>
      <w:r w:rsidRPr="00C54AFA">
        <w:rPr>
          <w:rFonts w:asciiTheme="majorBidi" w:hAnsiTheme="majorBidi" w:cstheme="majorBidi"/>
        </w:rPr>
        <w:t>1</w:t>
      </w:r>
      <w:r w:rsidR="00C54AFA" w:rsidRPr="00C54AFA">
        <w:rPr>
          <w:rFonts w:asciiTheme="majorBidi" w:hAnsiTheme="majorBidi" w:cstheme="majorBidi"/>
        </w:rPr>
        <w:t>7.</w:t>
      </w:r>
      <w:r w:rsidR="00D421AE" w:rsidRPr="00C54AFA">
        <w:rPr>
          <w:rFonts w:asciiTheme="majorBidi" w:hAnsiTheme="majorBidi" w:cstheme="majorBidi"/>
        </w:rPr>
        <w:t xml:space="preserve">  </w:t>
      </w:r>
      <w:r w:rsidR="00A63A71" w:rsidRPr="00C54AFA">
        <w:rPr>
          <w:rFonts w:asciiTheme="majorBidi" w:hAnsiTheme="majorBidi" w:cstheme="majorBidi"/>
        </w:rPr>
        <w:t>工作组向政府转交了关于</w:t>
      </w:r>
      <w:r w:rsidRPr="00C54AFA">
        <w:rPr>
          <w:rFonts w:asciiTheme="majorBidi" w:hAnsiTheme="majorBidi" w:cstheme="majorBidi"/>
        </w:rPr>
        <w:t>Mohammad</w:t>
      </w:r>
      <w:r w:rsidR="00A63A71" w:rsidRPr="00C54AFA">
        <w:rPr>
          <w:rFonts w:asciiTheme="majorBidi" w:hAnsiTheme="majorBidi" w:cstheme="majorBidi"/>
        </w:rPr>
        <w:t xml:space="preserve"> </w:t>
      </w:r>
      <w:r w:rsidRPr="00C54AFA">
        <w:rPr>
          <w:rFonts w:asciiTheme="majorBidi" w:hAnsiTheme="majorBidi" w:cstheme="majorBidi"/>
        </w:rPr>
        <w:t>Tayyab</w:t>
      </w:r>
      <w:r w:rsidR="00A63A71" w:rsidRPr="00C54AFA">
        <w:rPr>
          <w:rFonts w:asciiTheme="majorBidi" w:hAnsiTheme="majorBidi" w:cstheme="majorBidi"/>
        </w:rPr>
        <w:t xml:space="preserve"> </w:t>
      </w:r>
      <w:r w:rsidRPr="00C54AFA">
        <w:rPr>
          <w:rFonts w:asciiTheme="majorBidi" w:hAnsiTheme="majorBidi" w:cstheme="majorBidi"/>
        </w:rPr>
        <w:t>Pramanik</w:t>
      </w:r>
      <w:r w:rsidR="00A63A71" w:rsidRPr="00C54AFA">
        <w:rPr>
          <w:rFonts w:asciiTheme="majorBidi" w:hAnsiTheme="majorBidi" w:cstheme="majorBidi"/>
        </w:rPr>
        <w:t>先生、</w:t>
      </w:r>
      <w:r w:rsidRPr="00C54AFA">
        <w:rPr>
          <w:rFonts w:asciiTheme="majorBidi" w:hAnsiTheme="majorBidi" w:cstheme="majorBidi"/>
        </w:rPr>
        <w:t>Mohammad</w:t>
      </w:r>
      <w:r w:rsidR="00A63A71" w:rsidRPr="00C54AFA">
        <w:rPr>
          <w:rFonts w:asciiTheme="majorBidi" w:hAnsiTheme="majorBidi" w:cstheme="majorBidi"/>
        </w:rPr>
        <w:t xml:space="preserve"> </w:t>
      </w:r>
      <w:r w:rsidRPr="00C54AFA">
        <w:rPr>
          <w:rFonts w:asciiTheme="majorBidi" w:hAnsiTheme="majorBidi" w:cstheme="majorBidi"/>
        </w:rPr>
        <w:t>Kamal</w:t>
      </w:r>
      <w:r w:rsidR="00A63A71" w:rsidRPr="00C54AFA">
        <w:rPr>
          <w:rFonts w:asciiTheme="majorBidi" w:hAnsiTheme="majorBidi" w:cstheme="majorBidi"/>
        </w:rPr>
        <w:t xml:space="preserve"> </w:t>
      </w:r>
      <w:r w:rsidRPr="00C54AFA">
        <w:rPr>
          <w:rFonts w:asciiTheme="majorBidi" w:hAnsiTheme="majorBidi" w:cstheme="majorBidi"/>
        </w:rPr>
        <w:t>Hossain</w:t>
      </w:r>
      <w:r w:rsidR="00A63A71" w:rsidRPr="00C54AFA">
        <w:rPr>
          <w:rFonts w:asciiTheme="majorBidi" w:hAnsiTheme="majorBidi" w:cstheme="majorBidi"/>
        </w:rPr>
        <w:t xml:space="preserve"> </w:t>
      </w:r>
      <w:r w:rsidRPr="00C54AFA">
        <w:rPr>
          <w:rFonts w:asciiTheme="majorBidi" w:hAnsiTheme="majorBidi" w:cstheme="majorBidi"/>
        </w:rPr>
        <w:t>Patwary</w:t>
      </w:r>
      <w:r w:rsidR="00A63A71" w:rsidRPr="00C54AFA">
        <w:rPr>
          <w:rFonts w:asciiTheme="majorBidi" w:hAnsiTheme="majorBidi" w:cstheme="majorBidi"/>
        </w:rPr>
        <w:t>先生和</w:t>
      </w:r>
      <w:r w:rsidRPr="00C54AFA">
        <w:rPr>
          <w:rFonts w:asciiTheme="majorBidi" w:hAnsiTheme="majorBidi" w:cstheme="majorBidi"/>
        </w:rPr>
        <w:t>Mohammad</w:t>
      </w:r>
      <w:r w:rsidR="00A63A71" w:rsidRPr="00C54AFA">
        <w:rPr>
          <w:rFonts w:asciiTheme="majorBidi" w:hAnsiTheme="majorBidi" w:cstheme="majorBidi"/>
        </w:rPr>
        <w:t xml:space="preserve"> </w:t>
      </w:r>
      <w:r w:rsidRPr="00C54AFA">
        <w:rPr>
          <w:rFonts w:asciiTheme="majorBidi" w:hAnsiTheme="majorBidi" w:cstheme="majorBidi"/>
        </w:rPr>
        <w:t>Ibrahim</w:t>
      </w:r>
      <w:r w:rsidR="00A63A71" w:rsidRPr="00C54AFA">
        <w:rPr>
          <w:rFonts w:asciiTheme="majorBidi" w:hAnsiTheme="majorBidi" w:cstheme="majorBidi"/>
        </w:rPr>
        <w:t xml:space="preserve"> </w:t>
      </w:r>
      <w:r w:rsidRPr="00C54AFA">
        <w:rPr>
          <w:rFonts w:asciiTheme="majorBidi" w:hAnsiTheme="majorBidi" w:cstheme="majorBidi"/>
        </w:rPr>
        <w:t>Khalil</w:t>
      </w:r>
      <w:r w:rsidR="00A63A71" w:rsidRPr="00C54AFA">
        <w:rPr>
          <w:rFonts w:asciiTheme="majorBidi" w:hAnsiTheme="majorBidi" w:cstheme="majorBidi"/>
        </w:rPr>
        <w:t>先生的三起案件</w:t>
      </w:r>
      <w:r w:rsidR="00C54AFA" w:rsidRPr="00C54AFA">
        <w:rPr>
          <w:rFonts w:asciiTheme="majorBidi" w:hAnsiTheme="majorBidi" w:cstheme="majorBidi"/>
        </w:rPr>
        <w:t>，</w:t>
      </w:r>
      <w:r w:rsidR="00A63A71" w:rsidRPr="00C54AFA">
        <w:rPr>
          <w:rFonts w:asciiTheme="majorBidi" w:hAnsiTheme="majorBidi" w:cstheme="majorBidi"/>
        </w:rPr>
        <w:t>据称他们于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5</w:t>
      </w:r>
      <w:r w:rsidR="00A63A71" w:rsidRPr="00C54AFA">
        <w:rPr>
          <w:rFonts w:asciiTheme="majorBidi" w:hAnsiTheme="majorBidi" w:cstheme="majorBidi"/>
        </w:rPr>
        <w:t>月</w:t>
      </w:r>
      <w:r w:rsidRPr="00C54AFA">
        <w:rPr>
          <w:rFonts w:asciiTheme="majorBidi" w:hAnsiTheme="majorBidi" w:cstheme="majorBidi"/>
        </w:rPr>
        <w:t>19</w:t>
      </w:r>
      <w:r w:rsidR="00A63A71" w:rsidRPr="00C54AFA">
        <w:rPr>
          <w:rFonts w:asciiTheme="majorBidi" w:hAnsiTheme="majorBidi" w:cstheme="majorBidi"/>
        </w:rPr>
        <w:t>日在</w:t>
      </w:r>
      <w:r w:rsidRPr="00C54AFA">
        <w:rPr>
          <w:rFonts w:asciiTheme="majorBidi" w:hAnsiTheme="majorBidi" w:cstheme="majorBidi"/>
        </w:rPr>
        <w:t>Mohish</w:t>
      </w:r>
      <w:r w:rsidR="00A63A71" w:rsidRPr="00C54AFA">
        <w:rPr>
          <w:rFonts w:asciiTheme="majorBidi" w:hAnsiTheme="majorBidi" w:cstheme="majorBidi"/>
        </w:rPr>
        <w:t xml:space="preserve"> </w:t>
      </w:r>
      <w:r w:rsidRPr="00C54AFA">
        <w:rPr>
          <w:rFonts w:asciiTheme="majorBidi" w:hAnsiTheme="majorBidi" w:cstheme="majorBidi"/>
        </w:rPr>
        <w:t>Bhanga</w:t>
      </w:r>
      <w:r w:rsidR="00A63A71" w:rsidRPr="00C54AFA">
        <w:rPr>
          <w:rFonts w:asciiTheme="majorBidi" w:hAnsiTheme="majorBidi" w:cstheme="majorBidi"/>
        </w:rPr>
        <w:t>村被快速行动营绑架。</w:t>
      </w:r>
    </w:p>
    <w:p w:rsidR="00A63A71" w:rsidRPr="00C54AFA" w:rsidRDefault="00A63A71" w:rsidP="00116230">
      <w:pPr>
        <w:pStyle w:val="H1GC"/>
      </w:pPr>
      <w:r w:rsidRPr="00C54AFA">
        <w:lastRenderedPageBreak/>
        <w:tab/>
      </w:r>
      <w:r w:rsidRPr="00C54AFA">
        <w:tab/>
      </w:r>
      <w:r w:rsidRPr="00C54AFA">
        <w:t>波斯尼亚和黑塞哥维那</w:t>
      </w:r>
    </w:p>
    <w:p w:rsidR="00A63A71" w:rsidRPr="00C54AFA" w:rsidRDefault="00A63A71" w:rsidP="00116230">
      <w:pPr>
        <w:pStyle w:val="H23GC"/>
      </w:pPr>
      <w:r w:rsidRPr="00C54AFA">
        <w:tab/>
      </w:r>
      <w:r w:rsidRPr="00C54AFA">
        <w:tab/>
      </w:r>
      <w:r w:rsidRPr="00C54AFA">
        <w:t>新闻稿</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1</w:t>
      </w:r>
      <w:r w:rsidR="00C54AFA" w:rsidRPr="00C54AFA">
        <w:rPr>
          <w:rFonts w:asciiTheme="majorBidi" w:hAnsiTheme="majorBidi" w:cstheme="majorBidi"/>
        </w:rPr>
        <w:t>8.</w:t>
      </w:r>
      <w:r w:rsidR="00C01AB8"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19</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工作组与其他三个特别程序机制联合发布了关于</w:t>
      </w:r>
      <w:r w:rsidRPr="00C54AFA">
        <w:rPr>
          <w:rFonts w:asciiTheme="majorBidi" w:hAnsiTheme="majorBidi" w:cstheme="majorBidi"/>
        </w:rPr>
        <w:t>Milorad</w:t>
      </w:r>
      <w:r w:rsidR="00A63A71" w:rsidRPr="00C54AFA">
        <w:rPr>
          <w:rFonts w:asciiTheme="majorBidi" w:hAnsiTheme="majorBidi" w:cstheme="majorBidi"/>
        </w:rPr>
        <w:t xml:space="preserve"> </w:t>
      </w:r>
      <w:r w:rsidRPr="00C54AFA">
        <w:rPr>
          <w:rFonts w:asciiTheme="majorBidi" w:hAnsiTheme="majorBidi" w:cstheme="majorBidi"/>
        </w:rPr>
        <w:t>Trbic</w:t>
      </w:r>
      <w:r w:rsidR="00A63A71" w:rsidRPr="00C54AFA">
        <w:rPr>
          <w:rFonts w:asciiTheme="majorBidi" w:hAnsiTheme="majorBidi" w:cstheme="majorBidi"/>
        </w:rPr>
        <w:t>先生可能即将被释放的新闻稿</w:t>
      </w:r>
      <w:r w:rsidR="00C54AFA" w:rsidRPr="00C54AFA">
        <w:rPr>
          <w:rFonts w:asciiTheme="majorBidi" w:hAnsiTheme="majorBidi" w:cstheme="majorBidi"/>
        </w:rPr>
        <w:t>，</w:t>
      </w:r>
      <w:r w:rsidRPr="00C54AFA">
        <w:rPr>
          <w:rFonts w:asciiTheme="majorBidi" w:hAnsiTheme="majorBidi" w:cstheme="majorBidi"/>
        </w:rPr>
        <w:t>2</w:t>
      </w:r>
      <w:r w:rsidR="00A63A71" w:rsidRPr="00C54AFA">
        <w:rPr>
          <w:rFonts w:asciiTheme="majorBidi" w:hAnsiTheme="majorBidi" w:cstheme="majorBidi"/>
        </w:rPr>
        <w:t>00</w:t>
      </w:r>
      <w:r w:rsidRPr="00C54AFA">
        <w:rPr>
          <w:rFonts w:asciiTheme="majorBidi" w:hAnsiTheme="majorBidi" w:cstheme="majorBidi"/>
        </w:rPr>
        <w:t>9</w:t>
      </w:r>
      <w:r w:rsidR="00A63A71" w:rsidRPr="00C54AFA">
        <w:rPr>
          <w:rFonts w:asciiTheme="majorBidi" w:hAnsiTheme="majorBidi" w:cstheme="majorBidi"/>
        </w:rPr>
        <w:t>年</w:t>
      </w:r>
      <w:r w:rsidR="00C54AFA" w:rsidRPr="00C54AFA">
        <w:rPr>
          <w:rFonts w:asciiTheme="majorBidi" w:hAnsiTheme="majorBidi" w:cstheme="majorBidi"/>
        </w:rPr>
        <w:t>，</w:t>
      </w:r>
      <w:r w:rsidR="00A63A71" w:rsidRPr="00C54AFA">
        <w:rPr>
          <w:rFonts w:asciiTheme="majorBidi" w:hAnsiTheme="majorBidi" w:cstheme="majorBidi"/>
        </w:rPr>
        <w:t>他被波斯尼亚和黑塞哥维那法院判定在斯雷布雷尼察犯有种族灭绝罪并被判</w:t>
      </w:r>
      <w:r w:rsidRPr="00C54AFA">
        <w:rPr>
          <w:rFonts w:asciiTheme="majorBidi" w:hAnsiTheme="majorBidi" w:cstheme="majorBidi"/>
        </w:rPr>
        <w:t>3</w:t>
      </w:r>
      <w:r w:rsidR="00A63A71" w:rsidRPr="00C54AFA">
        <w:rPr>
          <w:rFonts w:asciiTheme="majorBidi" w:hAnsiTheme="majorBidi" w:cstheme="majorBidi"/>
        </w:rPr>
        <w:t>0</w:t>
      </w:r>
      <w:r w:rsidR="00A63A71" w:rsidRPr="00C54AFA">
        <w:rPr>
          <w:rFonts w:asciiTheme="majorBidi" w:hAnsiTheme="majorBidi" w:cstheme="majorBidi"/>
        </w:rPr>
        <w:t>年徒刑。它指出</w:t>
      </w:r>
      <w:r w:rsidR="00C54AFA" w:rsidRPr="00C54AFA">
        <w:rPr>
          <w:rFonts w:asciiTheme="majorBidi" w:hAnsiTheme="majorBidi" w:cstheme="majorBidi"/>
        </w:rPr>
        <w:t>，</w:t>
      </w:r>
      <w:r w:rsidR="00A63A71" w:rsidRPr="00C54AFA">
        <w:rPr>
          <w:rFonts w:asciiTheme="majorBidi" w:hAnsiTheme="majorBidi" w:cstheme="majorBidi"/>
        </w:rPr>
        <w:t>司法利益要求</w:t>
      </w:r>
      <w:r w:rsidR="00C54AFA" w:rsidRPr="00C54AFA">
        <w:rPr>
          <w:rFonts w:asciiTheme="majorBidi" w:hAnsiTheme="majorBidi" w:cstheme="majorBidi"/>
        </w:rPr>
        <w:t>，</w:t>
      </w:r>
      <w:r w:rsidR="00A63A71" w:rsidRPr="00C54AFA">
        <w:rPr>
          <w:rFonts w:asciiTheme="majorBidi" w:hAnsiTheme="majorBidi" w:cstheme="majorBidi"/>
        </w:rPr>
        <w:t>被判定犯有种族灭绝罪、危害人类罪、战争罪和其他严重罪行</w:t>
      </w:r>
      <w:r w:rsidR="00C54AFA" w:rsidRPr="00C54AFA">
        <w:rPr>
          <w:rFonts w:asciiTheme="majorBidi" w:hAnsiTheme="majorBidi" w:cstheme="majorBidi"/>
        </w:rPr>
        <w:t>(</w:t>
      </w:r>
      <w:r w:rsidR="00A63A71" w:rsidRPr="00C54AFA">
        <w:rPr>
          <w:rFonts w:asciiTheme="majorBidi" w:hAnsiTheme="majorBidi" w:cstheme="majorBidi"/>
        </w:rPr>
        <w:t>包括酷刑和强迫失踪</w:t>
      </w:r>
      <w:r w:rsidR="00C54AFA" w:rsidRPr="00C54AFA">
        <w:rPr>
          <w:rFonts w:asciiTheme="majorBidi" w:hAnsiTheme="majorBidi" w:cstheme="majorBidi"/>
        </w:rPr>
        <w:t>)</w:t>
      </w:r>
      <w:r w:rsidR="00A63A71" w:rsidRPr="00C54AFA">
        <w:rPr>
          <w:rFonts w:asciiTheme="majorBidi" w:hAnsiTheme="majorBidi" w:cstheme="majorBidi"/>
        </w:rPr>
        <w:t>的人</w:t>
      </w:r>
      <w:r w:rsidR="00C54AFA" w:rsidRPr="00C54AFA">
        <w:rPr>
          <w:rFonts w:asciiTheme="majorBidi" w:hAnsiTheme="majorBidi" w:cstheme="majorBidi"/>
        </w:rPr>
        <w:t>，</w:t>
      </w:r>
      <w:r w:rsidR="00A63A71" w:rsidRPr="00C54AFA">
        <w:rPr>
          <w:rFonts w:asciiTheme="majorBidi" w:hAnsiTheme="majorBidi" w:cstheme="majorBidi"/>
        </w:rPr>
        <w:t>其有罪是没有疑问的</w:t>
      </w:r>
      <w:r w:rsidR="00C54AFA" w:rsidRPr="00C54AFA">
        <w:rPr>
          <w:rFonts w:asciiTheme="majorBidi" w:hAnsiTheme="majorBidi" w:cstheme="majorBidi"/>
        </w:rPr>
        <w:t>，</w:t>
      </w:r>
      <w:r w:rsidR="00A63A71" w:rsidRPr="00C54AFA">
        <w:rPr>
          <w:rFonts w:asciiTheme="majorBidi" w:hAnsiTheme="majorBidi" w:cstheme="majorBidi"/>
        </w:rPr>
        <w:t>在重审前不应被释放</w:t>
      </w:r>
      <w:r w:rsidR="00C54AFA" w:rsidRPr="00C54AFA">
        <w:rPr>
          <w:rFonts w:asciiTheme="majorBidi" w:hAnsiTheme="majorBidi" w:cstheme="majorBidi"/>
        </w:rPr>
        <w:t>，</w:t>
      </w:r>
      <w:r w:rsidR="00A63A71" w:rsidRPr="00C54AFA">
        <w:rPr>
          <w:rFonts w:asciiTheme="majorBidi" w:hAnsiTheme="majorBidi" w:cstheme="majorBidi"/>
        </w:rPr>
        <w:t>而且</w:t>
      </w:r>
      <w:r w:rsidR="00C54AFA" w:rsidRPr="00C54AFA">
        <w:rPr>
          <w:rFonts w:asciiTheme="majorBidi" w:hAnsiTheme="majorBidi" w:cstheme="majorBidi"/>
        </w:rPr>
        <w:t>，</w:t>
      </w:r>
      <w:r w:rsidR="00A63A71" w:rsidRPr="00C54AFA">
        <w:rPr>
          <w:rFonts w:asciiTheme="majorBidi" w:hAnsiTheme="majorBidi" w:cstheme="majorBidi"/>
        </w:rPr>
        <w:t>刑罚应与罪行严重程度相一致。</w:t>
      </w:r>
    </w:p>
    <w:p w:rsidR="00A63A71" w:rsidRPr="00C54AFA" w:rsidRDefault="00A63A71" w:rsidP="00116230">
      <w:pPr>
        <w:pStyle w:val="H23GC"/>
        <w:rPr>
          <w:rFonts w:eastAsia="SimSun"/>
        </w:rPr>
      </w:pPr>
      <w:r w:rsidRPr="00C54AFA">
        <w:tab/>
      </w:r>
      <w:r w:rsidRPr="00C54AFA">
        <w:tab/>
      </w:r>
      <w:r w:rsidRPr="00C54AFA">
        <w:t>意见</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1</w:t>
      </w:r>
      <w:r w:rsidR="00C54AFA" w:rsidRPr="00C54AFA">
        <w:rPr>
          <w:rFonts w:asciiTheme="majorBidi" w:hAnsiTheme="majorBidi" w:cstheme="majorBidi"/>
        </w:rPr>
        <w:t>9.</w:t>
      </w:r>
      <w:r w:rsidR="00C01AB8" w:rsidRPr="00C54AFA">
        <w:rPr>
          <w:rFonts w:asciiTheme="majorBidi" w:hAnsiTheme="majorBidi" w:cstheme="majorBidi"/>
        </w:rPr>
        <w:t xml:space="preserve">  </w:t>
      </w:r>
      <w:r w:rsidR="00A63A71" w:rsidRPr="00C54AFA">
        <w:rPr>
          <w:rFonts w:asciiTheme="majorBidi" w:hAnsiTheme="majorBidi" w:cstheme="majorBidi"/>
        </w:rPr>
        <w:t>工作组提醒该国政府</w:t>
      </w:r>
      <w:r w:rsidR="00C54AFA" w:rsidRPr="00C54AFA">
        <w:rPr>
          <w:rFonts w:asciiTheme="majorBidi" w:hAnsiTheme="majorBidi" w:cstheme="majorBidi"/>
        </w:rPr>
        <w:t>，</w:t>
      </w:r>
      <w:r w:rsidR="00A63A71" w:rsidRPr="00C54AFA">
        <w:rPr>
          <w:rFonts w:asciiTheme="majorBidi" w:hAnsiTheme="majorBidi" w:cstheme="majorBidi"/>
        </w:rPr>
        <w:t>根据《宣言》</w:t>
      </w:r>
      <w:r w:rsidR="00C54AFA" w:rsidRPr="00C54AFA">
        <w:rPr>
          <w:rFonts w:asciiTheme="majorBidi" w:hAnsiTheme="majorBidi" w:cstheme="majorBidi"/>
        </w:rPr>
        <w:t>，</w:t>
      </w:r>
      <w:r w:rsidR="00A63A71" w:rsidRPr="00C54AFA">
        <w:rPr>
          <w:rFonts w:asciiTheme="majorBidi" w:hAnsiTheme="majorBidi" w:cstheme="majorBidi"/>
        </w:rPr>
        <w:t>被控犯有强迫失踪行为的人应受到起诉、审判</w:t>
      </w:r>
      <w:r w:rsidR="00C54AFA" w:rsidRPr="00C54AFA">
        <w:rPr>
          <w:rFonts w:asciiTheme="majorBidi" w:hAnsiTheme="majorBidi" w:cstheme="majorBidi"/>
        </w:rPr>
        <w:t>，</w:t>
      </w:r>
      <w:r w:rsidR="00A63A71" w:rsidRPr="00C54AFA">
        <w:rPr>
          <w:rFonts w:asciiTheme="majorBidi" w:hAnsiTheme="majorBidi" w:cstheme="majorBidi"/>
        </w:rPr>
        <w:t>如果被判有罪</w:t>
      </w:r>
      <w:r w:rsidR="00C54AFA" w:rsidRPr="00C54AFA">
        <w:rPr>
          <w:rFonts w:asciiTheme="majorBidi" w:hAnsiTheme="majorBidi" w:cstheme="majorBidi"/>
        </w:rPr>
        <w:t>，</w:t>
      </w:r>
      <w:r w:rsidR="00A63A71" w:rsidRPr="00C54AFA">
        <w:rPr>
          <w:rFonts w:asciiTheme="majorBidi" w:hAnsiTheme="majorBidi" w:cstheme="majorBidi"/>
        </w:rPr>
        <w:t>应受到惩罚。鉴于该罪行的严重性</w:t>
      </w:r>
      <w:r w:rsidR="00C54AFA" w:rsidRPr="00C54AFA">
        <w:rPr>
          <w:rFonts w:asciiTheme="majorBidi" w:hAnsiTheme="majorBidi" w:cstheme="majorBidi"/>
        </w:rPr>
        <w:t>，</w:t>
      </w:r>
      <w:r w:rsidR="00A63A71" w:rsidRPr="00C54AFA">
        <w:rPr>
          <w:rFonts w:asciiTheme="majorBidi" w:hAnsiTheme="majorBidi" w:cstheme="majorBidi"/>
        </w:rPr>
        <w:t>应适用各种保障</w:t>
      </w:r>
      <w:r w:rsidR="00C54AFA" w:rsidRPr="00C54AFA">
        <w:rPr>
          <w:rFonts w:asciiTheme="majorBidi" w:hAnsiTheme="majorBidi" w:cstheme="majorBidi"/>
        </w:rPr>
        <w:t>，</w:t>
      </w:r>
      <w:r w:rsidR="00A63A71" w:rsidRPr="00C54AFA">
        <w:rPr>
          <w:rFonts w:asciiTheme="majorBidi" w:hAnsiTheme="majorBidi" w:cstheme="majorBidi"/>
        </w:rPr>
        <w:t>以不影响司法公正权。</w:t>
      </w:r>
    </w:p>
    <w:p w:rsidR="00A63A71" w:rsidRPr="00C54AFA" w:rsidRDefault="00A63A71" w:rsidP="00116230">
      <w:pPr>
        <w:pStyle w:val="H1GC"/>
      </w:pPr>
      <w:r w:rsidRPr="00C54AFA">
        <w:tab/>
      </w:r>
      <w:r w:rsidRPr="00C54AFA">
        <w:tab/>
      </w:r>
      <w:r w:rsidRPr="00C54AFA">
        <w:t>巴西</w:t>
      </w:r>
    </w:p>
    <w:p w:rsidR="00A63A71" w:rsidRPr="00C54AFA" w:rsidRDefault="00A63A71" w:rsidP="00116230">
      <w:pPr>
        <w:pStyle w:val="H23GC"/>
      </w:pPr>
      <w:r w:rsidRPr="00C54AFA">
        <w:tab/>
      </w:r>
      <w:r w:rsidRPr="00C54AFA">
        <w:tab/>
      </w:r>
      <w:r w:rsidRPr="00C54AFA">
        <w:t>政府提供的资料</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2</w:t>
      </w:r>
      <w:r w:rsidR="00C54AFA" w:rsidRPr="00C54AFA">
        <w:rPr>
          <w:rFonts w:asciiTheme="majorBidi" w:hAnsiTheme="majorBidi" w:cstheme="majorBidi"/>
        </w:rPr>
        <w:t>0.</w:t>
      </w:r>
      <w:r w:rsidR="00C01AB8"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9</w:t>
      </w:r>
      <w:r w:rsidR="00A63A71" w:rsidRPr="00C54AFA">
        <w:rPr>
          <w:rFonts w:asciiTheme="majorBidi" w:hAnsiTheme="majorBidi" w:cstheme="majorBidi"/>
        </w:rPr>
        <w:t>月</w:t>
      </w:r>
      <w:r w:rsidRPr="00C54AFA">
        <w:rPr>
          <w:rFonts w:asciiTheme="majorBidi" w:hAnsiTheme="majorBidi" w:cstheme="majorBidi"/>
        </w:rPr>
        <w:t>16</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该国政府转交了关于</w:t>
      </w:r>
      <w:r w:rsidRPr="00C54AFA">
        <w:rPr>
          <w:rFonts w:asciiTheme="majorBidi" w:hAnsiTheme="majorBidi" w:cstheme="majorBidi"/>
        </w:rPr>
        <w:t>13</w:t>
      </w:r>
      <w:r w:rsidR="00A63A71" w:rsidRPr="00C54AFA">
        <w:rPr>
          <w:rFonts w:asciiTheme="majorBidi" w:hAnsiTheme="majorBidi" w:cstheme="majorBidi"/>
        </w:rPr>
        <w:t>起未决案件的一封函件。</w:t>
      </w:r>
    </w:p>
    <w:p w:rsidR="00A63A71" w:rsidRPr="00C54AFA" w:rsidRDefault="00A63A71" w:rsidP="00116230">
      <w:pPr>
        <w:pStyle w:val="H1GC"/>
      </w:pPr>
      <w:r w:rsidRPr="00C54AFA">
        <w:tab/>
      </w:r>
      <w:r w:rsidRPr="00C54AFA">
        <w:tab/>
      </w:r>
      <w:r w:rsidRPr="00C54AFA">
        <w:t>布隆迪</w:t>
      </w:r>
    </w:p>
    <w:p w:rsidR="00A63A71" w:rsidRPr="00C54AFA" w:rsidRDefault="00A63A71" w:rsidP="00116230">
      <w:pPr>
        <w:pStyle w:val="H23GC"/>
      </w:pPr>
      <w:r w:rsidRPr="00C54AFA">
        <w:tab/>
      </w:r>
      <w:r w:rsidRPr="00C54AFA">
        <w:tab/>
      </w:r>
      <w:r w:rsidRPr="00C54AFA">
        <w:t>紧急呼吁</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2</w:t>
      </w:r>
      <w:r w:rsidR="00C54AFA" w:rsidRPr="00C54AFA">
        <w:rPr>
          <w:rFonts w:asciiTheme="majorBidi" w:hAnsiTheme="majorBidi" w:cstheme="majorBidi"/>
        </w:rPr>
        <w:t>1.</w:t>
      </w:r>
      <w:r w:rsidR="00C01AB8"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2</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工作组与另一个特别程序机制向该国政府转交了关于以下指控的紧急呼吁</w:t>
      </w:r>
      <w:r w:rsidR="00C54AFA" w:rsidRPr="00C54AFA">
        <w:rPr>
          <w:rFonts w:asciiTheme="majorBidi" w:hAnsiTheme="majorBidi" w:cstheme="majorBidi"/>
        </w:rPr>
        <w:t>：</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7</w:t>
      </w:r>
      <w:r w:rsidR="00A63A71" w:rsidRPr="00C54AFA">
        <w:rPr>
          <w:rFonts w:asciiTheme="majorBidi" w:hAnsiTheme="majorBidi" w:cstheme="majorBidi"/>
        </w:rPr>
        <w:t>月中旬以来</w:t>
      </w:r>
      <w:r w:rsidR="00C54AFA" w:rsidRPr="00C54AFA">
        <w:rPr>
          <w:rFonts w:asciiTheme="majorBidi" w:hAnsiTheme="majorBidi" w:cstheme="majorBidi"/>
        </w:rPr>
        <w:t>，</w:t>
      </w:r>
      <w:r w:rsidR="00A63A71" w:rsidRPr="00C54AFA">
        <w:rPr>
          <w:rFonts w:asciiTheme="majorBidi" w:hAnsiTheme="majorBidi" w:cstheme="majorBidi"/>
        </w:rPr>
        <w:t>在瑞鲁湖和喀格拉河漂浮着</w:t>
      </w:r>
      <w:r w:rsidR="00C54AFA" w:rsidRPr="00C54AFA">
        <w:rPr>
          <w:rFonts w:asciiTheme="majorBidi" w:hAnsiTheme="majorBidi" w:cstheme="majorBidi"/>
        </w:rPr>
        <w:t>，</w:t>
      </w:r>
      <w:r w:rsidR="00A63A71" w:rsidRPr="00C54AFA">
        <w:rPr>
          <w:rFonts w:asciiTheme="majorBidi" w:hAnsiTheme="majorBidi" w:cstheme="majorBidi"/>
        </w:rPr>
        <w:t>从卢旺达流过来的多达</w:t>
      </w:r>
      <w:r w:rsidRPr="00C54AFA">
        <w:rPr>
          <w:rFonts w:asciiTheme="majorBidi" w:hAnsiTheme="majorBidi" w:cstheme="majorBidi"/>
        </w:rPr>
        <w:t>4</w:t>
      </w:r>
      <w:r w:rsidR="00A63A71" w:rsidRPr="00C54AFA">
        <w:rPr>
          <w:rFonts w:asciiTheme="majorBidi" w:hAnsiTheme="majorBidi" w:cstheme="majorBidi"/>
        </w:rPr>
        <w:t>0</w:t>
      </w:r>
      <w:r w:rsidR="00A63A71" w:rsidRPr="00C54AFA">
        <w:rPr>
          <w:rFonts w:asciiTheme="majorBidi" w:hAnsiTheme="majorBidi" w:cstheme="majorBidi"/>
        </w:rPr>
        <w:t>具尸体。向卢旺达政府发出了类似紧急呼吁。</w:t>
      </w:r>
    </w:p>
    <w:p w:rsidR="00A63A71" w:rsidRPr="00C54AFA" w:rsidRDefault="00A63A71" w:rsidP="00116230">
      <w:pPr>
        <w:pStyle w:val="H23GC"/>
      </w:pPr>
      <w:r w:rsidRPr="00C54AFA">
        <w:tab/>
      </w:r>
      <w:r w:rsidRPr="00C54AFA">
        <w:tab/>
      </w:r>
      <w:r w:rsidRPr="00C54AFA">
        <w:t>意见</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2</w:t>
      </w:r>
      <w:r w:rsidR="00C54AFA" w:rsidRPr="00C54AFA">
        <w:rPr>
          <w:rFonts w:asciiTheme="majorBidi" w:hAnsiTheme="majorBidi" w:cstheme="majorBidi"/>
        </w:rPr>
        <w:t>2.</w:t>
      </w:r>
      <w:r w:rsidR="00C01AB8" w:rsidRPr="00C54AFA">
        <w:rPr>
          <w:rFonts w:asciiTheme="majorBidi" w:hAnsiTheme="majorBidi" w:cstheme="majorBidi"/>
        </w:rPr>
        <w:t xml:space="preserve">  </w:t>
      </w:r>
      <w:r w:rsidR="00A63A71" w:rsidRPr="00C54AFA">
        <w:rPr>
          <w:rFonts w:asciiTheme="majorBidi" w:hAnsiTheme="majorBidi" w:cstheme="majorBidi"/>
        </w:rPr>
        <w:t>工作组吁请该国政府全面调查这些指控</w:t>
      </w:r>
      <w:r w:rsidR="00C54AFA" w:rsidRPr="00C54AFA">
        <w:rPr>
          <w:rFonts w:asciiTheme="majorBidi" w:hAnsiTheme="majorBidi" w:cstheme="majorBidi"/>
        </w:rPr>
        <w:t>，</w:t>
      </w:r>
      <w:r w:rsidR="00A63A71" w:rsidRPr="00C54AFA">
        <w:rPr>
          <w:rFonts w:asciiTheme="majorBidi" w:hAnsiTheme="majorBidi" w:cstheme="majorBidi"/>
        </w:rPr>
        <w:t>并请求向其通报有关结果。</w:t>
      </w:r>
    </w:p>
    <w:p w:rsidR="00A63A71" w:rsidRPr="00C54AFA" w:rsidRDefault="00A63A71" w:rsidP="00116230">
      <w:pPr>
        <w:pStyle w:val="H1GC"/>
      </w:pPr>
      <w:r w:rsidRPr="00C54AFA">
        <w:tab/>
      </w:r>
      <w:r w:rsidRPr="00C54AFA">
        <w:tab/>
      </w:r>
      <w:r w:rsidRPr="00C54AFA">
        <w:t>中国</w:t>
      </w:r>
    </w:p>
    <w:p w:rsidR="00A63A71" w:rsidRPr="00C54AFA" w:rsidRDefault="00A63A71" w:rsidP="00116230">
      <w:pPr>
        <w:pStyle w:val="H23GC"/>
      </w:pPr>
      <w:r w:rsidRPr="00C54AFA">
        <w:tab/>
      </w:r>
      <w:r w:rsidRPr="00C54AFA">
        <w:tab/>
      </w:r>
      <w:r w:rsidRPr="00C54AFA">
        <w:t>来文方提供的资料</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2</w:t>
      </w:r>
      <w:r w:rsidR="00C54AFA" w:rsidRPr="00C54AFA">
        <w:rPr>
          <w:rFonts w:asciiTheme="majorBidi" w:hAnsiTheme="majorBidi" w:cstheme="majorBidi"/>
        </w:rPr>
        <w:t>3.</w:t>
      </w:r>
      <w:r w:rsidR="00C01AB8" w:rsidRPr="00C54AFA">
        <w:rPr>
          <w:rFonts w:asciiTheme="majorBidi" w:hAnsiTheme="majorBidi" w:cstheme="majorBidi"/>
        </w:rPr>
        <w:t xml:space="preserve">  </w:t>
      </w:r>
      <w:r w:rsidR="00A63A71" w:rsidRPr="00C54AFA">
        <w:rPr>
          <w:rFonts w:asciiTheme="majorBidi" w:hAnsiTheme="majorBidi" w:cstheme="majorBidi"/>
        </w:rPr>
        <w:t>来文方就一起未决案件提供了资料。</w:t>
      </w:r>
    </w:p>
    <w:p w:rsidR="00A63A71" w:rsidRPr="00C54AFA" w:rsidRDefault="00A63A71" w:rsidP="00116230">
      <w:pPr>
        <w:pStyle w:val="H23GC"/>
        <w:rPr>
          <w:rFonts w:eastAsia="SimSun"/>
        </w:rPr>
      </w:pPr>
      <w:r w:rsidRPr="00C54AFA">
        <w:tab/>
      </w:r>
      <w:r w:rsidRPr="00C54AFA">
        <w:tab/>
      </w:r>
      <w:r w:rsidRPr="00C54AFA">
        <w:t>紧急呼吁</w:t>
      </w:r>
    </w:p>
    <w:p w:rsidR="00A63A71" w:rsidRPr="00C54AFA" w:rsidRDefault="00BC4B0A" w:rsidP="00D84950">
      <w:pPr>
        <w:pStyle w:val="SingleTxtGC"/>
        <w:rPr>
          <w:rFonts w:asciiTheme="majorBidi" w:hAnsiTheme="majorBidi" w:cstheme="majorBidi"/>
        </w:rPr>
      </w:pPr>
      <w:r w:rsidRPr="00C54AFA">
        <w:rPr>
          <w:rFonts w:asciiTheme="majorBidi" w:hAnsiTheme="majorBidi" w:cstheme="majorBidi"/>
        </w:rPr>
        <w:t>2</w:t>
      </w:r>
      <w:r w:rsidR="00C54AFA" w:rsidRPr="00C54AFA">
        <w:rPr>
          <w:rFonts w:asciiTheme="majorBidi" w:hAnsiTheme="majorBidi" w:cstheme="majorBidi"/>
        </w:rPr>
        <w:t>4.</w:t>
      </w:r>
      <w:r w:rsidR="00C01AB8"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23</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工作组与其他两个特别程序机制一起</w:t>
      </w:r>
      <w:r w:rsidR="00C54AFA" w:rsidRPr="00C54AFA">
        <w:rPr>
          <w:rFonts w:asciiTheme="majorBidi" w:hAnsiTheme="majorBidi" w:cstheme="majorBidi"/>
        </w:rPr>
        <w:t>，</w:t>
      </w:r>
      <w:r w:rsidR="00A63A71" w:rsidRPr="00C54AFA">
        <w:rPr>
          <w:rFonts w:asciiTheme="majorBidi" w:hAnsiTheme="majorBidi" w:cstheme="majorBidi"/>
        </w:rPr>
        <w:t>向该国政府转达了一项紧急呼吁</w:t>
      </w:r>
      <w:r w:rsidR="00C54AFA" w:rsidRPr="00C54AFA">
        <w:rPr>
          <w:rFonts w:asciiTheme="majorBidi" w:hAnsiTheme="majorBidi" w:cstheme="majorBidi"/>
        </w:rPr>
        <w:t>，</w:t>
      </w:r>
      <w:r w:rsidR="00A63A71" w:rsidRPr="00C54AFA">
        <w:rPr>
          <w:rFonts w:asciiTheme="majorBidi" w:hAnsiTheme="majorBidi" w:cstheme="majorBidi"/>
        </w:rPr>
        <w:t>涉及对人权维护者</w:t>
      </w:r>
      <w:r w:rsidRPr="00C54AFA">
        <w:rPr>
          <w:rFonts w:asciiTheme="majorBidi" w:hAnsiTheme="majorBidi" w:cstheme="majorBidi"/>
        </w:rPr>
        <w:t>Liu</w:t>
      </w:r>
      <w:r w:rsidR="00A63A71" w:rsidRPr="00C54AFA">
        <w:rPr>
          <w:rFonts w:asciiTheme="majorBidi" w:hAnsiTheme="majorBidi" w:cstheme="majorBidi"/>
        </w:rPr>
        <w:t xml:space="preserve"> </w:t>
      </w:r>
      <w:r w:rsidRPr="00C54AFA">
        <w:rPr>
          <w:rFonts w:asciiTheme="majorBidi" w:hAnsiTheme="majorBidi" w:cstheme="majorBidi"/>
        </w:rPr>
        <w:t>Xizhen</w:t>
      </w:r>
      <w:r w:rsidR="00A63A71" w:rsidRPr="00C54AFA">
        <w:rPr>
          <w:rFonts w:asciiTheme="majorBidi" w:hAnsiTheme="majorBidi" w:cstheme="majorBidi"/>
        </w:rPr>
        <w:t>女士的任意和单独监禁和致其</w:t>
      </w:r>
      <w:r w:rsidR="00A63A71" w:rsidRPr="00C54AFA">
        <w:rPr>
          <w:rFonts w:asciiTheme="majorBidi" w:hAnsiTheme="majorBidi" w:cstheme="majorBidi"/>
        </w:rPr>
        <w:lastRenderedPageBreak/>
        <w:t>失踪。据称</w:t>
      </w:r>
      <w:r w:rsidR="00C54AFA" w:rsidRPr="00C54AFA">
        <w:rPr>
          <w:rFonts w:asciiTheme="majorBidi" w:hAnsiTheme="majorBidi" w:cstheme="majorBidi"/>
        </w:rPr>
        <w:t>，</w:t>
      </w:r>
      <w:r w:rsidR="00A63A71" w:rsidRPr="00C54AFA">
        <w:rPr>
          <w:rFonts w:asciiTheme="majorBidi" w:hAnsiTheme="majorBidi" w:cstheme="majorBidi"/>
        </w:rPr>
        <w:t>她是由于维护人权的和平工作而被捕的</w:t>
      </w:r>
      <w:r w:rsidR="00C54AFA" w:rsidRPr="00C54AFA">
        <w:rPr>
          <w:rFonts w:asciiTheme="majorBidi" w:hAnsiTheme="majorBidi" w:cstheme="majorBidi"/>
        </w:rPr>
        <w:t>，</w:t>
      </w:r>
      <w:r w:rsidR="00A63A71" w:rsidRPr="00C54AFA">
        <w:rPr>
          <w:rFonts w:asciiTheme="majorBidi" w:hAnsiTheme="majorBidi" w:cstheme="majorBidi"/>
        </w:rPr>
        <w:t>并被关押在江西省新余市的一个非正式</w:t>
      </w:r>
      <w:r w:rsidR="00D84950">
        <w:rPr>
          <w:rFonts w:asciiTheme="majorBidi" w:hAnsiTheme="majorBidi" w:cstheme="majorBidi" w:hint="eastAsia"/>
        </w:rPr>
        <w:t>拘留所</w:t>
      </w:r>
      <w:r w:rsidR="00A63A71" w:rsidRPr="00C54AFA">
        <w:rPr>
          <w:rFonts w:asciiTheme="majorBidi" w:hAnsiTheme="majorBidi" w:cstheme="majorBidi"/>
        </w:rPr>
        <w:t>。</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2</w:t>
      </w:r>
      <w:r w:rsidR="00C54AFA" w:rsidRPr="00C54AFA">
        <w:rPr>
          <w:rFonts w:asciiTheme="majorBidi" w:hAnsiTheme="majorBidi" w:cstheme="majorBidi"/>
        </w:rPr>
        <w:t>5.</w:t>
      </w:r>
      <w:r w:rsidR="00C01AB8"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27</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工作组与另一个特别程序机制向该国政府联合转达了一项紧急呼吁</w:t>
      </w:r>
      <w:r w:rsidR="00C54AFA" w:rsidRPr="00C54AFA">
        <w:rPr>
          <w:rFonts w:asciiTheme="majorBidi" w:hAnsiTheme="majorBidi" w:cstheme="majorBidi"/>
        </w:rPr>
        <w:t>，</w:t>
      </w:r>
      <w:r w:rsidR="00A63A71" w:rsidRPr="00C54AFA">
        <w:rPr>
          <w:rFonts w:asciiTheme="majorBidi" w:hAnsiTheme="majorBidi" w:cstheme="majorBidi"/>
        </w:rPr>
        <w:t>涉及对</w:t>
      </w:r>
      <w:r w:rsidRPr="00C54AFA">
        <w:rPr>
          <w:rFonts w:asciiTheme="majorBidi" w:hAnsiTheme="majorBidi" w:cstheme="majorBidi"/>
        </w:rPr>
        <w:t>Huang</w:t>
      </w:r>
      <w:r w:rsidR="00A63A71" w:rsidRPr="00C54AFA">
        <w:rPr>
          <w:rFonts w:asciiTheme="majorBidi" w:hAnsiTheme="majorBidi" w:cstheme="majorBidi"/>
        </w:rPr>
        <w:t xml:space="preserve"> </w:t>
      </w:r>
      <w:r w:rsidRPr="00C54AFA">
        <w:rPr>
          <w:rFonts w:asciiTheme="majorBidi" w:hAnsiTheme="majorBidi" w:cstheme="majorBidi"/>
        </w:rPr>
        <w:t>Kaiping</w:t>
      </w:r>
      <w:r w:rsidR="00A63A71" w:rsidRPr="00C54AFA">
        <w:rPr>
          <w:rFonts w:asciiTheme="majorBidi" w:hAnsiTheme="majorBidi" w:cstheme="majorBidi"/>
        </w:rPr>
        <w:t>、</w:t>
      </w:r>
      <w:r w:rsidRPr="00C54AFA">
        <w:rPr>
          <w:rFonts w:asciiTheme="majorBidi" w:hAnsiTheme="majorBidi" w:cstheme="majorBidi"/>
        </w:rPr>
        <w:t>Xia</w:t>
      </w:r>
      <w:r w:rsidR="00A63A71" w:rsidRPr="00C54AFA">
        <w:rPr>
          <w:rFonts w:asciiTheme="majorBidi" w:hAnsiTheme="majorBidi" w:cstheme="majorBidi"/>
        </w:rPr>
        <w:t xml:space="preserve"> </w:t>
      </w:r>
      <w:r w:rsidRPr="00C54AFA">
        <w:rPr>
          <w:rFonts w:asciiTheme="majorBidi" w:hAnsiTheme="majorBidi" w:cstheme="majorBidi"/>
        </w:rPr>
        <w:t>Lin</w:t>
      </w:r>
      <w:r w:rsidR="00A63A71" w:rsidRPr="00C54AFA">
        <w:rPr>
          <w:rFonts w:asciiTheme="majorBidi" w:hAnsiTheme="majorBidi" w:cstheme="majorBidi"/>
        </w:rPr>
        <w:t>、</w:t>
      </w:r>
      <w:r w:rsidRPr="00C54AFA">
        <w:rPr>
          <w:rFonts w:asciiTheme="majorBidi" w:hAnsiTheme="majorBidi" w:cstheme="majorBidi"/>
        </w:rPr>
        <w:t>He</w:t>
      </w:r>
      <w:r w:rsidR="00A63A71" w:rsidRPr="00C54AFA">
        <w:rPr>
          <w:rFonts w:asciiTheme="majorBidi" w:hAnsiTheme="majorBidi" w:cstheme="majorBidi"/>
        </w:rPr>
        <w:t xml:space="preserve"> </w:t>
      </w:r>
      <w:r w:rsidRPr="00C54AFA">
        <w:rPr>
          <w:rFonts w:asciiTheme="majorBidi" w:hAnsiTheme="majorBidi" w:cstheme="majorBidi"/>
        </w:rPr>
        <w:t>Zhengjun</w:t>
      </w:r>
      <w:r w:rsidR="00A63A71" w:rsidRPr="00C54AFA">
        <w:rPr>
          <w:rFonts w:asciiTheme="majorBidi" w:hAnsiTheme="majorBidi" w:cstheme="majorBidi"/>
        </w:rPr>
        <w:t>、</w:t>
      </w:r>
      <w:r w:rsidRPr="00C54AFA">
        <w:rPr>
          <w:rFonts w:asciiTheme="majorBidi" w:hAnsiTheme="majorBidi" w:cstheme="majorBidi"/>
        </w:rPr>
        <w:t>Liu</w:t>
      </w:r>
      <w:r w:rsidR="00A63A71" w:rsidRPr="00C54AFA">
        <w:rPr>
          <w:rFonts w:asciiTheme="majorBidi" w:hAnsiTheme="majorBidi" w:cstheme="majorBidi"/>
        </w:rPr>
        <w:t xml:space="preserve"> </w:t>
      </w:r>
      <w:r w:rsidRPr="00C54AFA">
        <w:rPr>
          <w:rFonts w:asciiTheme="majorBidi" w:hAnsiTheme="majorBidi" w:cstheme="majorBidi"/>
        </w:rPr>
        <w:t>Jianshu</w:t>
      </w:r>
      <w:r w:rsidR="00A63A71" w:rsidRPr="00C54AFA">
        <w:rPr>
          <w:rFonts w:asciiTheme="majorBidi" w:hAnsiTheme="majorBidi" w:cstheme="majorBidi"/>
        </w:rPr>
        <w:t>、</w:t>
      </w:r>
      <w:r w:rsidRPr="00C54AFA">
        <w:rPr>
          <w:rFonts w:asciiTheme="majorBidi" w:hAnsiTheme="majorBidi" w:cstheme="majorBidi"/>
        </w:rPr>
        <w:t>Guo</w:t>
      </w:r>
      <w:r w:rsidR="00A63A71" w:rsidRPr="00C54AFA">
        <w:rPr>
          <w:rFonts w:asciiTheme="majorBidi" w:hAnsiTheme="majorBidi" w:cstheme="majorBidi"/>
        </w:rPr>
        <w:t xml:space="preserve"> </w:t>
      </w:r>
      <w:r w:rsidRPr="00C54AFA">
        <w:rPr>
          <w:rFonts w:asciiTheme="majorBidi" w:hAnsiTheme="majorBidi" w:cstheme="majorBidi"/>
        </w:rPr>
        <w:t>Yushan</w:t>
      </w:r>
      <w:r w:rsidR="00A63A71" w:rsidRPr="00C54AFA">
        <w:rPr>
          <w:rFonts w:asciiTheme="majorBidi" w:hAnsiTheme="majorBidi" w:cstheme="majorBidi"/>
        </w:rPr>
        <w:t>、</w:t>
      </w:r>
      <w:r w:rsidRPr="00C54AFA">
        <w:rPr>
          <w:rFonts w:asciiTheme="majorBidi" w:hAnsiTheme="majorBidi" w:cstheme="majorBidi"/>
        </w:rPr>
        <w:t>Kou</w:t>
      </w:r>
      <w:r w:rsidR="00A63A71" w:rsidRPr="00C54AFA">
        <w:rPr>
          <w:rFonts w:asciiTheme="majorBidi" w:hAnsiTheme="majorBidi" w:cstheme="majorBidi"/>
        </w:rPr>
        <w:t xml:space="preserve"> </w:t>
      </w:r>
      <w:r w:rsidRPr="00C54AFA">
        <w:rPr>
          <w:rFonts w:asciiTheme="majorBidi" w:hAnsiTheme="majorBidi" w:cstheme="majorBidi"/>
        </w:rPr>
        <w:t>Yanding</w:t>
      </w:r>
      <w:r w:rsidR="00A63A71" w:rsidRPr="00C54AFA">
        <w:rPr>
          <w:rFonts w:asciiTheme="majorBidi" w:hAnsiTheme="majorBidi" w:cstheme="majorBidi"/>
        </w:rPr>
        <w:t>女士和</w:t>
      </w:r>
      <w:r w:rsidRPr="00C54AFA">
        <w:rPr>
          <w:rFonts w:asciiTheme="majorBidi" w:hAnsiTheme="majorBidi" w:cstheme="majorBidi"/>
        </w:rPr>
        <w:t>Su</w:t>
      </w:r>
      <w:r w:rsidR="00A63A71" w:rsidRPr="00C54AFA">
        <w:rPr>
          <w:rFonts w:asciiTheme="majorBidi" w:hAnsiTheme="majorBidi" w:cstheme="majorBidi"/>
        </w:rPr>
        <w:t xml:space="preserve"> </w:t>
      </w:r>
      <w:r w:rsidRPr="00C54AFA">
        <w:rPr>
          <w:rFonts w:asciiTheme="majorBidi" w:hAnsiTheme="majorBidi" w:cstheme="majorBidi"/>
        </w:rPr>
        <w:t>Changlan</w:t>
      </w:r>
      <w:r w:rsidR="00A63A71" w:rsidRPr="00C54AFA">
        <w:rPr>
          <w:rFonts w:asciiTheme="majorBidi" w:hAnsiTheme="majorBidi" w:cstheme="majorBidi"/>
        </w:rPr>
        <w:t>女士的据称任意逮捕、单独关押和致其失踪</w:t>
      </w:r>
      <w:r w:rsidR="00C54AFA" w:rsidRPr="00C54AFA">
        <w:rPr>
          <w:rFonts w:asciiTheme="majorBidi" w:hAnsiTheme="majorBidi" w:cstheme="majorBidi"/>
        </w:rPr>
        <w:t>，</w:t>
      </w:r>
      <w:r w:rsidR="00A63A71" w:rsidRPr="00C54AFA">
        <w:rPr>
          <w:rFonts w:asciiTheme="majorBidi" w:hAnsiTheme="majorBidi" w:cstheme="majorBidi"/>
        </w:rPr>
        <w:t>据报告是由于他们开展了人权工作。</w:t>
      </w:r>
    </w:p>
    <w:p w:rsidR="00A63A71" w:rsidRPr="00C54AFA" w:rsidRDefault="00A63A71" w:rsidP="00116230">
      <w:pPr>
        <w:pStyle w:val="H23GC"/>
      </w:pPr>
      <w:r w:rsidRPr="00C54AFA">
        <w:tab/>
      </w:r>
      <w:r w:rsidRPr="00C54AFA">
        <w:tab/>
      </w:r>
      <w:r w:rsidRPr="00C54AFA">
        <w:t>意见</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2</w:t>
      </w:r>
      <w:r w:rsidR="00C54AFA" w:rsidRPr="00C54AFA">
        <w:rPr>
          <w:rFonts w:asciiTheme="majorBidi" w:hAnsiTheme="majorBidi" w:cstheme="majorBidi"/>
        </w:rPr>
        <w:t>6.</w:t>
      </w:r>
      <w:r w:rsidR="00C01AB8" w:rsidRPr="00C54AFA">
        <w:rPr>
          <w:rFonts w:asciiTheme="majorBidi" w:hAnsiTheme="majorBidi" w:cstheme="majorBidi"/>
        </w:rPr>
        <w:t xml:space="preserve">  </w:t>
      </w:r>
      <w:r w:rsidR="00A63A71" w:rsidRPr="00C54AFA">
        <w:rPr>
          <w:rFonts w:asciiTheme="majorBidi" w:hAnsiTheme="majorBidi" w:cstheme="majorBidi"/>
        </w:rPr>
        <w:t>工作组重申《宣言》第</w:t>
      </w:r>
      <w:r w:rsidRPr="00C54AFA">
        <w:rPr>
          <w:rFonts w:asciiTheme="majorBidi" w:hAnsiTheme="majorBidi" w:cstheme="majorBidi"/>
        </w:rPr>
        <w:t>2</w:t>
      </w:r>
      <w:r w:rsidR="00A63A71" w:rsidRPr="00C54AFA">
        <w:rPr>
          <w:rFonts w:asciiTheme="majorBidi" w:hAnsiTheme="majorBidi" w:cstheme="majorBidi"/>
        </w:rPr>
        <w:t>和第</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条</w:t>
      </w:r>
      <w:r w:rsidR="00C54AFA" w:rsidRPr="00C54AFA">
        <w:rPr>
          <w:rFonts w:asciiTheme="majorBidi" w:hAnsiTheme="majorBidi" w:cstheme="majorBidi"/>
        </w:rPr>
        <w:t>，</w:t>
      </w:r>
      <w:r w:rsidR="00A63A71" w:rsidRPr="00C54AFA">
        <w:rPr>
          <w:rFonts w:asciiTheme="majorBidi" w:hAnsiTheme="majorBidi" w:cstheme="majorBidi"/>
        </w:rPr>
        <w:t>这些条款规定</w:t>
      </w:r>
      <w:r w:rsidR="00C54AFA" w:rsidRPr="00C54AFA">
        <w:rPr>
          <w:rFonts w:asciiTheme="majorBidi" w:hAnsiTheme="majorBidi" w:cstheme="majorBidi"/>
        </w:rPr>
        <w:t>，</w:t>
      </w:r>
      <w:r w:rsidRPr="00C54AFA">
        <w:rPr>
          <w:rFonts w:asciiTheme="majorBidi" w:hAnsiTheme="majorBidi" w:cstheme="majorBidi"/>
        </w:rPr>
        <w:t>“</w:t>
      </w:r>
      <w:r w:rsidR="00A63A71" w:rsidRPr="00C54AFA">
        <w:rPr>
          <w:rFonts w:asciiTheme="majorBidi" w:hAnsiTheme="majorBidi" w:cstheme="majorBidi"/>
        </w:rPr>
        <w:t>任何国家均不得进行、允许或容忍造成被强迫失踪的行为</w:t>
      </w:r>
      <w:r w:rsidRPr="00C54AFA">
        <w:rPr>
          <w:rFonts w:asciiTheme="majorBidi" w:hAnsiTheme="majorBidi" w:cstheme="majorBidi"/>
        </w:rPr>
        <w:t>”</w:t>
      </w:r>
      <w:r w:rsidR="00C54AFA" w:rsidRPr="00C54AFA">
        <w:rPr>
          <w:rFonts w:asciiTheme="majorBidi" w:hAnsiTheme="majorBidi" w:cstheme="majorBidi"/>
        </w:rPr>
        <w:t>，</w:t>
      </w:r>
      <w:r w:rsidR="00A63A71" w:rsidRPr="00C54AFA">
        <w:rPr>
          <w:rFonts w:asciiTheme="majorBidi" w:hAnsiTheme="majorBidi" w:cstheme="majorBidi"/>
        </w:rPr>
        <w:t>并且</w:t>
      </w:r>
      <w:r w:rsidRPr="00C54AFA">
        <w:rPr>
          <w:rFonts w:asciiTheme="majorBidi" w:hAnsiTheme="majorBidi" w:cstheme="majorBidi"/>
        </w:rPr>
        <w:t>“</w:t>
      </w:r>
      <w:r w:rsidR="00A63A71" w:rsidRPr="00C54AFA">
        <w:rPr>
          <w:rFonts w:asciiTheme="majorBidi" w:hAnsiTheme="majorBidi" w:cstheme="majorBidi"/>
        </w:rPr>
        <w:t>应将</w:t>
      </w:r>
      <w:r w:rsidR="00C54AFA" w:rsidRPr="00C54AFA">
        <w:rPr>
          <w:rFonts w:asciiTheme="majorBidi" w:hAnsiTheme="majorBidi" w:cstheme="majorBidi"/>
        </w:rPr>
        <w:t>[</w:t>
      </w:r>
      <w:r w:rsidR="00A63A71" w:rsidRPr="00C54AFA">
        <w:rPr>
          <w:rFonts w:asciiTheme="majorBidi" w:hAnsiTheme="majorBidi" w:cstheme="majorBidi"/>
        </w:rPr>
        <w:t>任何人</w:t>
      </w:r>
      <w:r w:rsidR="00C54AFA" w:rsidRPr="00C54AFA">
        <w:rPr>
          <w:rFonts w:asciiTheme="majorBidi" w:hAnsiTheme="majorBidi" w:cstheme="majorBidi"/>
        </w:rPr>
        <w:t>]</w:t>
      </w:r>
      <w:r w:rsidR="00A63A71" w:rsidRPr="00C54AFA">
        <w:rPr>
          <w:rFonts w:asciiTheme="majorBidi" w:hAnsiTheme="majorBidi" w:cstheme="majorBidi"/>
        </w:rPr>
        <w:t>遭到拘留一事以及他们的拘留地点</w:t>
      </w:r>
      <w:r w:rsidR="00C54AFA" w:rsidRPr="00C54AFA">
        <w:rPr>
          <w:rFonts w:asciiTheme="majorBidi" w:hAnsiTheme="majorBidi" w:cstheme="majorBidi"/>
        </w:rPr>
        <w:t>[</w:t>
      </w:r>
      <w:r w:rsidR="00A63A71" w:rsidRPr="00C54AFA">
        <w:rPr>
          <w:rFonts w:asciiTheme="majorBidi" w:hAnsiTheme="majorBidi" w:cstheme="majorBidi"/>
        </w:rPr>
        <w:t>……</w:t>
      </w:r>
      <w:r w:rsidR="00C54AFA" w:rsidRPr="00C54AFA">
        <w:rPr>
          <w:rFonts w:asciiTheme="majorBidi" w:hAnsiTheme="majorBidi" w:cstheme="majorBidi"/>
        </w:rPr>
        <w:t>]</w:t>
      </w:r>
      <w:r w:rsidR="00A63A71" w:rsidRPr="00C54AFA">
        <w:rPr>
          <w:rFonts w:asciiTheme="majorBidi" w:hAnsiTheme="majorBidi" w:cstheme="majorBidi"/>
        </w:rPr>
        <w:t>立即通知</w:t>
      </w:r>
      <w:r w:rsidR="00C54AFA" w:rsidRPr="00C54AFA">
        <w:rPr>
          <w:rFonts w:asciiTheme="majorBidi" w:hAnsiTheme="majorBidi" w:cstheme="majorBidi"/>
        </w:rPr>
        <w:t>[</w:t>
      </w:r>
      <w:r w:rsidR="00C54AFA" w:rsidRPr="00C54AFA">
        <w:rPr>
          <w:rFonts w:asciiTheme="majorBidi" w:hAnsiTheme="majorBidi" w:cstheme="majorBidi"/>
        </w:rPr>
        <w:t>，</w:t>
      </w:r>
      <w:r w:rsidR="00A63A71" w:rsidRPr="00C54AFA">
        <w:rPr>
          <w:rFonts w:asciiTheme="majorBidi" w:hAnsiTheme="majorBidi" w:cstheme="majorBidi"/>
        </w:rPr>
        <w:t>除其他方外</w:t>
      </w:r>
      <w:r w:rsidR="00C54AFA" w:rsidRPr="00C54AFA">
        <w:rPr>
          <w:rFonts w:asciiTheme="majorBidi" w:hAnsiTheme="majorBidi" w:cstheme="majorBidi"/>
        </w:rPr>
        <w:t>，</w:t>
      </w:r>
      <w:r w:rsidR="00C54AFA" w:rsidRPr="00C54AFA">
        <w:rPr>
          <w:rFonts w:asciiTheme="majorBidi" w:hAnsiTheme="majorBidi" w:cstheme="majorBidi"/>
        </w:rPr>
        <w:t>]</w:t>
      </w:r>
      <w:r w:rsidR="00A63A71" w:rsidRPr="00C54AFA">
        <w:rPr>
          <w:rFonts w:asciiTheme="majorBidi" w:hAnsiTheme="majorBidi" w:cstheme="majorBidi"/>
        </w:rPr>
        <w:t>其家属</w:t>
      </w:r>
      <w:r w:rsidR="00C54AFA" w:rsidRPr="00C54AFA">
        <w:rPr>
          <w:rFonts w:asciiTheme="majorBidi" w:hAnsiTheme="majorBidi" w:cstheme="majorBidi"/>
        </w:rPr>
        <w:t>[</w:t>
      </w:r>
      <w:r w:rsidR="00A63A71" w:rsidRPr="00C54AFA">
        <w:rPr>
          <w:rFonts w:asciiTheme="majorBidi" w:hAnsiTheme="majorBidi" w:cstheme="majorBidi"/>
        </w:rPr>
        <w:t>和</w:t>
      </w:r>
      <w:r w:rsidR="00C54AFA" w:rsidRPr="00C54AFA">
        <w:rPr>
          <w:rFonts w:asciiTheme="majorBidi" w:hAnsiTheme="majorBidi" w:cstheme="majorBidi"/>
        </w:rPr>
        <w:t>]</w:t>
      </w:r>
      <w:r w:rsidR="00A63A71" w:rsidRPr="00C54AFA">
        <w:rPr>
          <w:rFonts w:asciiTheme="majorBidi" w:hAnsiTheme="majorBidi" w:cstheme="majorBidi"/>
        </w:rPr>
        <w:t>律师</w:t>
      </w:r>
      <w:r w:rsidRPr="00C54AFA">
        <w:rPr>
          <w:rFonts w:asciiTheme="majorBidi" w:hAnsiTheme="majorBidi" w:cstheme="majorBidi"/>
        </w:rPr>
        <w:t>”</w:t>
      </w:r>
      <w:r w:rsidR="00A63A71" w:rsidRPr="00C54AFA">
        <w:rPr>
          <w:rFonts w:asciiTheme="majorBidi" w:hAnsiTheme="majorBidi" w:cstheme="majorBidi"/>
        </w:rPr>
        <w:t>。</w:t>
      </w:r>
    </w:p>
    <w:p w:rsidR="00A63A71" w:rsidRPr="00C54AFA" w:rsidRDefault="00A63A71" w:rsidP="00116230">
      <w:pPr>
        <w:pStyle w:val="H1GC"/>
      </w:pPr>
      <w:r w:rsidRPr="00C54AFA">
        <w:tab/>
      </w:r>
      <w:r w:rsidRPr="00C54AFA">
        <w:tab/>
      </w:r>
      <w:r w:rsidRPr="00C54AFA">
        <w:t>哥伦比亚</w:t>
      </w:r>
    </w:p>
    <w:p w:rsidR="00A63A71" w:rsidRPr="00C54AFA" w:rsidRDefault="00A63A71" w:rsidP="00116230">
      <w:pPr>
        <w:pStyle w:val="H23GC"/>
      </w:pPr>
      <w:r w:rsidRPr="00C54AFA">
        <w:tab/>
      </w:r>
      <w:r w:rsidRPr="00C54AFA">
        <w:tab/>
      </w:r>
      <w:r w:rsidRPr="00C54AFA">
        <w:t>来文方提供的资料</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2</w:t>
      </w:r>
      <w:r w:rsidR="00C54AFA" w:rsidRPr="00C54AFA">
        <w:rPr>
          <w:rFonts w:asciiTheme="majorBidi" w:hAnsiTheme="majorBidi" w:cstheme="majorBidi"/>
        </w:rPr>
        <w:t>7.</w:t>
      </w:r>
      <w:r w:rsidR="00C01AB8"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来文方就</w:t>
      </w:r>
      <w:r w:rsidRPr="00C54AFA">
        <w:rPr>
          <w:rFonts w:asciiTheme="majorBidi" w:hAnsiTheme="majorBidi" w:cstheme="majorBidi"/>
        </w:rPr>
        <w:t>12</w:t>
      </w:r>
      <w:r w:rsidR="00A63A71" w:rsidRPr="00C54AFA">
        <w:rPr>
          <w:rFonts w:asciiTheme="majorBidi" w:hAnsiTheme="majorBidi" w:cstheme="majorBidi"/>
        </w:rPr>
        <w:t>起未决案件提供了资料。</w:t>
      </w:r>
    </w:p>
    <w:p w:rsidR="00A63A71" w:rsidRPr="00C54AFA" w:rsidRDefault="00A63A71" w:rsidP="00116230">
      <w:pPr>
        <w:pStyle w:val="H23GC"/>
      </w:pPr>
      <w:r w:rsidRPr="00C54AFA">
        <w:tab/>
      </w:r>
      <w:r w:rsidRPr="00C54AFA">
        <w:tab/>
      </w:r>
      <w:r w:rsidRPr="00C54AFA">
        <w:t>一般指称</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2</w:t>
      </w:r>
      <w:r w:rsidR="00C54AFA" w:rsidRPr="00C54AFA">
        <w:rPr>
          <w:rFonts w:asciiTheme="majorBidi" w:hAnsiTheme="majorBidi" w:cstheme="majorBidi"/>
        </w:rPr>
        <w:t>8.</w:t>
      </w:r>
      <w:r w:rsidR="00C01AB8"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3</w:t>
      </w:r>
      <w:r w:rsidR="00A63A71" w:rsidRPr="00C54AFA">
        <w:rPr>
          <w:rFonts w:asciiTheme="majorBidi" w:hAnsiTheme="majorBidi" w:cstheme="majorBidi"/>
        </w:rPr>
        <w:t>月</w:t>
      </w:r>
      <w:r w:rsidRPr="00C54AFA">
        <w:rPr>
          <w:rFonts w:asciiTheme="majorBidi" w:hAnsiTheme="majorBidi" w:cstheme="majorBidi"/>
        </w:rPr>
        <w:t>3</w:t>
      </w:r>
      <w:r w:rsidR="00A63A71" w:rsidRPr="00C54AFA">
        <w:rPr>
          <w:rFonts w:asciiTheme="majorBidi" w:hAnsiTheme="majorBidi" w:cstheme="majorBidi"/>
        </w:rPr>
        <w:t>0</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工作组转交了可靠来源寄来的关于在实施《宣言》过程中遇到的障碍问题的资料。</w:t>
      </w:r>
    </w:p>
    <w:p w:rsidR="00A63A71" w:rsidRPr="00C54AFA" w:rsidRDefault="00BC4B0A" w:rsidP="008675CF">
      <w:pPr>
        <w:pStyle w:val="SingleTxtGC"/>
        <w:rPr>
          <w:rFonts w:asciiTheme="majorBidi" w:hAnsiTheme="majorBidi" w:cstheme="majorBidi"/>
        </w:rPr>
      </w:pPr>
      <w:r w:rsidRPr="00C54AFA">
        <w:rPr>
          <w:rFonts w:asciiTheme="majorBidi" w:hAnsiTheme="majorBidi" w:cstheme="majorBidi"/>
        </w:rPr>
        <w:t>2</w:t>
      </w:r>
      <w:r w:rsidR="00C54AFA" w:rsidRPr="00C54AFA">
        <w:rPr>
          <w:rFonts w:asciiTheme="majorBidi" w:hAnsiTheme="majorBidi" w:cstheme="majorBidi"/>
        </w:rPr>
        <w:t>9.</w:t>
      </w:r>
      <w:r w:rsidR="00C01AB8" w:rsidRPr="00C54AFA">
        <w:rPr>
          <w:rFonts w:asciiTheme="majorBidi" w:hAnsiTheme="majorBidi" w:cstheme="majorBidi"/>
        </w:rPr>
        <w:t xml:space="preserve">  </w:t>
      </w:r>
      <w:r w:rsidR="00A63A71" w:rsidRPr="00C54AFA">
        <w:rPr>
          <w:rFonts w:asciiTheme="majorBidi" w:hAnsiTheme="majorBidi" w:cstheme="majorBidi"/>
        </w:rPr>
        <w:t>来文方</w:t>
      </w:r>
      <w:r w:rsidR="00D84950">
        <w:rPr>
          <w:rFonts w:asciiTheme="majorBidi" w:hAnsiTheme="majorBidi" w:cstheme="majorBidi" w:hint="eastAsia"/>
        </w:rPr>
        <w:t>称</w:t>
      </w:r>
      <w:r w:rsidR="00C54AFA" w:rsidRPr="00C54AFA">
        <w:rPr>
          <w:rFonts w:asciiTheme="majorBidi" w:hAnsiTheme="majorBidi" w:cstheme="majorBidi"/>
        </w:rPr>
        <w:t>，</w:t>
      </w:r>
      <w:r w:rsidR="00A63A71" w:rsidRPr="00C54AFA">
        <w:rPr>
          <w:rFonts w:asciiTheme="majorBidi" w:hAnsiTheme="majorBidi" w:cstheme="majorBidi"/>
        </w:rPr>
        <w:t>在布埃纳文图拉</w:t>
      </w:r>
      <w:r w:rsidR="00C54AFA" w:rsidRPr="00C54AFA">
        <w:rPr>
          <w:rFonts w:asciiTheme="majorBidi" w:hAnsiTheme="majorBidi" w:cstheme="majorBidi"/>
        </w:rPr>
        <w:t>，</w:t>
      </w:r>
      <w:r w:rsidR="00A63A71" w:rsidRPr="00C54AFA">
        <w:rPr>
          <w:rFonts w:asciiTheme="majorBidi" w:hAnsiTheme="majorBidi" w:cstheme="majorBidi"/>
        </w:rPr>
        <w:t>强大的准军事组织继承团体控制着几个主要是非裔哥伦比亚人居住的街区。据称</w:t>
      </w:r>
      <w:r w:rsidR="00C54AFA" w:rsidRPr="00C54AFA">
        <w:rPr>
          <w:rFonts w:asciiTheme="majorBidi" w:hAnsiTheme="majorBidi" w:cstheme="majorBidi"/>
        </w:rPr>
        <w:t>，</w:t>
      </w:r>
      <w:r w:rsidR="00A63A71" w:rsidRPr="00C54AFA">
        <w:rPr>
          <w:rFonts w:asciiTheme="majorBidi" w:hAnsiTheme="majorBidi" w:cstheme="majorBidi"/>
        </w:rPr>
        <w:t>他们对近年来数百居民被强迫失踪负有责任。据报告</w:t>
      </w:r>
      <w:r w:rsidR="00C54AFA" w:rsidRPr="00C54AFA">
        <w:rPr>
          <w:rFonts w:asciiTheme="majorBidi" w:hAnsiTheme="majorBidi" w:cstheme="majorBidi"/>
        </w:rPr>
        <w:t>，</w:t>
      </w:r>
      <w:r w:rsidR="00A63A71" w:rsidRPr="00C54AFA">
        <w:rPr>
          <w:rFonts w:asciiTheme="majorBidi" w:hAnsiTheme="majorBidi" w:cstheme="majorBidi"/>
        </w:rPr>
        <w:t>这些团体在</w:t>
      </w:r>
      <w:r w:rsidRPr="00C54AFA">
        <w:rPr>
          <w:rFonts w:asciiTheme="majorBidi" w:hAnsiTheme="majorBidi" w:cstheme="majorBidi"/>
        </w:rPr>
        <w:t>“</w:t>
      </w:r>
      <w:r w:rsidR="00A63A71" w:rsidRPr="00C54AFA">
        <w:rPr>
          <w:rFonts w:asciiTheme="majorBidi" w:hAnsiTheme="majorBidi" w:cstheme="majorBidi"/>
        </w:rPr>
        <w:t>剁尸房</w:t>
      </w:r>
      <w:r w:rsidRPr="00C54AFA">
        <w:rPr>
          <w:rFonts w:asciiTheme="majorBidi" w:hAnsiTheme="majorBidi" w:cstheme="majorBidi"/>
        </w:rPr>
        <w:t>”</w:t>
      </w:r>
      <w:r w:rsidR="00A63A71" w:rsidRPr="00C54AFA">
        <w:rPr>
          <w:rFonts w:asciiTheme="majorBidi" w:hAnsiTheme="majorBidi" w:cstheme="majorBidi"/>
        </w:rPr>
        <w:t>中肢解受害人并将尸体碎块倾倒在海湾中或有红树林植被的海岸边或埋在隐秘坟墓。据报告</w:t>
      </w:r>
      <w:r w:rsidR="00C54AFA" w:rsidRPr="00C54AFA">
        <w:rPr>
          <w:rFonts w:asciiTheme="majorBidi" w:hAnsiTheme="majorBidi" w:cstheme="majorBidi"/>
        </w:rPr>
        <w:t>，</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3</w:t>
      </w:r>
      <w:r w:rsidR="00A63A71" w:rsidRPr="00C54AFA">
        <w:rPr>
          <w:rFonts w:asciiTheme="majorBidi" w:hAnsiTheme="majorBidi" w:cstheme="majorBidi"/>
        </w:rPr>
        <w:t>月</w:t>
      </w:r>
      <w:r w:rsidR="00C54AFA" w:rsidRPr="00C54AFA">
        <w:rPr>
          <w:rFonts w:asciiTheme="majorBidi" w:hAnsiTheme="majorBidi" w:cstheme="majorBidi"/>
        </w:rPr>
        <w:t>，</w:t>
      </w:r>
      <w:r w:rsidR="00A63A71" w:rsidRPr="00C54AFA">
        <w:rPr>
          <w:rFonts w:asciiTheme="majorBidi" w:hAnsiTheme="majorBidi" w:cstheme="majorBidi"/>
        </w:rPr>
        <w:t>刑事调查人员在两个疑似</w:t>
      </w:r>
      <w:r w:rsidRPr="00C54AFA">
        <w:rPr>
          <w:rFonts w:asciiTheme="majorBidi" w:hAnsiTheme="majorBidi" w:cstheme="majorBidi"/>
        </w:rPr>
        <w:t>“</w:t>
      </w:r>
      <w:r w:rsidR="00A63A71" w:rsidRPr="00C54AFA">
        <w:rPr>
          <w:rFonts w:asciiTheme="majorBidi" w:hAnsiTheme="majorBidi" w:cstheme="majorBidi"/>
        </w:rPr>
        <w:t>剁尸房</w:t>
      </w:r>
      <w:r w:rsidRPr="00C54AFA">
        <w:rPr>
          <w:rFonts w:asciiTheme="majorBidi" w:hAnsiTheme="majorBidi" w:cstheme="majorBidi"/>
        </w:rPr>
        <w:t>”</w:t>
      </w:r>
      <w:r w:rsidR="00A63A71" w:rsidRPr="00C54AFA">
        <w:rPr>
          <w:rFonts w:asciiTheme="majorBidi" w:hAnsiTheme="majorBidi" w:cstheme="majorBidi"/>
        </w:rPr>
        <w:t>发现了血迹。</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至</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00C54AFA" w:rsidRPr="00C54AFA">
        <w:rPr>
          <w:rFonts w:asciiTheme="majorBidi" w:hAnsiTheme="majorBidi" w:cstheme="majorBidi"/>
        </w:rPr>
        <w:t>，</w:t>
      </w:r>
      <w:r w:rsidR="00A63A71" w:rsidRPr="00C54AFA">
        <w:rPr>
          <w:rFonts w:asciiTheme="majorBidi" w:hAnsiTheme="majorBidi" w:cstheme="majorBidi"/>
        </w:rPr>
        <w:t>在布埃纳文图拉市</w:t>
      </w:r>
      <w:r w:rsidR="00C54AFA" w:rsidRPr="00C54AFA">
        <w:rPr>
          <w:rFonts w:asciiTheme="majorBidi" w:hAnsiTheme="majorBidi" w:cstheme="majorBidi"/>
        </w:rPr>
        <w:t>，</w:t>
      </w:r>
      <w:r w:rsidR="00A63A71" w:rsidRPr="00C54AFA">
        <w:rPr>
          <w:rFonts w:asciiTheme="majorBidi" w:hAnsiTheme="majorBidi" w:cstheme="majorBidi"/>
        </w:rPr>
        <w:t>有</w:t>
      </w:r>
      <w:r w:rsidRPr="00C54AFA">
        <w:rPr>
          <w:rFonts w:asciiTheme="majorBidi" w:hAnsiTheme="majorBidi" w:cstheme="majorBidi"/>
        </w:rPr>
        <w:t>15</w:t>
      </w:r>
      <w:r w:rsidR="00A63A71" w:rsidRPr="00C54AFA">
        <w:rPr>
          <w:rFonts w:asciiTheme="majorBidi" w:hAnsiTheme="majorBidi" w:cstheme="majorBidi"/>
        </w:rPr>
        <w:t>0</w:t>
      </w:r>
      <w:r w:rsidR="00A63A71" w:rsidRPr="00C54AFA">
        <w:rPr>
          <w:rFonts w:asciiTheme="majorBidi" w:hAnsiTheme="majorBidi" w:cstheme="majorBidi"/>
        </w:rPr>
        <w:t>多人被官员绑架</w:t>
      </w:r>
      <w:r w:rsidR="008675CF" w:rsidRPr="008675CF">
        <w:rPr>
          <w:rFonts w:asciiTheme="majorBidi" w:hAnsiTheme="majorBidi" w:cstheme="majorBidi" w:hint="eastAsia"/>
          <w:spacing w:val="-50"/>
        </w:rPr>
        <w:t>――</w:t>
      </w:r>
      <w:r w:rsidR="00A63A71" w:rsidRPr="00C54AFA">
        <w:rPr>
          <w:rFonts w:asciiTheme="majorBidi" w:hAnsiTheme="majorBidi" w:cstheme="majorBidi"/>
        </w:rPr>
        <w:t>是哥伦比亚任何其他城市的两倍。来文方</w:t>
      </w:r>
      <w:r w:rsidR="00D84950">
        <w:rPr>
          <w:rFonts w:asciiTheme="majorBidi" w:hAnsiTheme="majorBidi" w:cstheme="majorBidi" w:hint="eastAsia"/>
        </w:rPr>
        <w:t>表示</w:t>
      </w:r>
      <w:r w:rsidR="00C54AFA" w:rsidRPr="00C54AFA">
        <w:rPr>
          <w:rFonts w:asciiTheme="majorBidi" w:hAnsiTheme="majorBidi" w:cstheme="majorBidi"/>
        </w:rPr>
        <w:t>，</w:t>
      </w:r>
      <w:r w:rsidR="00A63A71" w:rsidRPr="00C54AFA">
        <w:rPr>
          <w:rFonts w:asciiTheme="majorBidi" w:hAnsiTheme="majorBidi" w:cstheme="majorBidi"/>
        </w:rPr>
        <w:t>鉴于担心遭到报复导致少报</w:t>
      </w:r>
      <w:r w:rsidR="00C54AFA" w:rsidRPr="00C54AFA">
        <w:rPr>
          <w:rFonts w:asciiTheme="majorBidi" w:hAnsiTheme="majorBidi" w:cstheme="majorBidi"/>
        </w:rPr>
        <w:t>，</w:t>
      </w:r>
      <w:r w:rsidR="00A63A71" w:rsidRPr="00C54AFA">
        <w:rPr>
          <w:rFonts w:asciiTheme="majorBidi" w:hAnsiTheme="majorBidi" w:cstheme="majorBidi"/>
        </w:rPr>
        <w:t>实际数字可能高出很多。</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3</w:t>
      </w:r>
      <w:r w:rsidR="00C54AFA" w:rsidRPr="00C54AFA">
        <w:rPr>
          <w:rFonts w:asciiTheme="majorBidi" w:hAnsiTheme="majorBidi" w:cstheme="majorBidi"/>
        </w:rPr>
        <w:t>0.</w:t>
      </w:r>
      <w:r w:rsidR="00C01AB8" w:rsidRPr="00C54AFA">
        <w:rPr>
          <w:rFonts w:asciiTheme="majorBidi" w:hAnsiTheme="majorBidi" w:cstheme="majorBidi"/>
        </w:rPr>
        <w:t xml:space="preserve">  </w:t>
      </w:r>
      <w:r w:rsidR="00A63A71" w:rsidRPr="00C54AFA">
        <w:rPr>
          <w:rFonts w:asciiTheme="majorBidi" w:hAnsiTheme="majorBidi" w:cstheme="majorBidi"/>
        </w:rPr>
        <w:t>根据收到的资料</w:t>
      </w:r>
      <w:r w:rsidR="00C54AFA" w:rsidRPr="00C54AFA">
        <w:rPr>
          <w:rFonts w:asciiTheme="majorBidi" w:hAnsiTheme="majorBidi" w:cstheme="majorBidi"/>
        </w:rPr>
        <w:t>，</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12</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月以来</w:t>
      </w:r>
      <w:r w:rsidR="00C54AFA" w:rsidRPr="00C54AFA">
        <w:rPr>
          <w:rFonts w:asciiTheme="majorBidi" w:hAnsiTheme="majorBidi" w:cstheme="majorBidi"/>
        </w:rPr>
        <w:t>，</w:t>
      </w:r>
      <w:r w:rsidR="00A63A71" w:rsidRPr="00C54AFA">
        <w:rPr>
          <w:rFonts w:asciiTheme="majorBidi" w:hAnsiTheme="majorBidi" w:cstheme="majorBidi"/>
        </w:rPr>
        <w:t>一个准军事组织继承团体的</w:t>
      </w:r>
      <w:r w:rsidRPr="00C54AFA">
        <w:rPr>
          <w:rFonts w:asciiTheme="majorBidi" w:hAnsiTheme="majorBidi" w:cstheme="majorBidi"/>
        </w:rPr>
        <w:t>25</w:t>
      </w:r>
      <w:r w:rsidR="00A63A71" w:rsidRPr="00C54AFA">
        <w:rPr>
          <w:rFonts w:asciiTheme="majorBidi" w:hAnsiTheme="majorBidi" w:cstheme="majorBidi"/>
        </w:rPr>
        <w:t>0</w:t>
      </w:r>
      <w:r w:rsidR="00A63A71" w:rsidRPr="00C54AFA">
        <w:rPr>
          <w:rFonts w:asciiTheme="majorBidi" w:hAnsiTheme="majorBidi" w:cstheme="majorBidi"/>
        </w:rPr>
        <w:t>多名据称成员被捕</w:t>
      </w:r>
      <w:r w:rsidR="00C54AFA" w:rsidRPr="00C54AFA">
        <w:rPr>
          <w:rFonts w:asciiTheme="majorBidi" w:hAnsiTheme="majorBidi" w:cstheme="majorBidi"/>
        </w:rPr>
        <w:t>，</w:t>
      </w:r>
      <w:r w:rsidR="00A63A71" w:rsidRPr="00C54AFA">
        <w:rPr>
          <w:rFonts w:asciiTheme="majorBidi" w:hAnsiTheme="majorBidi" w:cstheme="majorBidi"/>
        </w:rPr>
        <w:t>检察机关对强迫失踪和强迫流离失所案件进行了</w:t>
      </w:r>
      <w:r w:rsidRPr="00C54AFA">
        <w:rPr>
          <w:rFonts w:asciiTheme="majorBidi" w:hAnsiTheme="majorBidi" w:cstheme="majorBidi"/>
        </w:rPr>
        <w:t>2</w:t>
      </w:r>
      <w:r w:rsidR="00A63A71" w:rsidRPr="00C54AFA">
        <w:rPr>
          <w:rFonts w:asciiTheme="majorBidi" w:hAnsiTheme="majorBidi" w:cstheme="majorBidi"/>
        </w:rPr>
        <w:t>000</w:t>
      </w:r>
      <w:r w:rsidR="00A63A71" w:rsidRPr="00C54AFA">
        <w:rPr>
          <w:rFonts w:asciiTheme="majorBidi" w:hAnsiTheme="majorBidi" w:cstheme="majorBidi"/>
        </w:rPr>
        <w:t>多项调查。然而</w:t>
      </w:r>
      <w:r w:rsidR="00C54AFA" w:rsidRPr="00C54AFA">
        <w:rPr>
          <w:rFonts w:asciiTheme="majorBidi" w:hAnsiTheme="majorBidi" w:cstheme="majorBidi"/>
        </w:rPr>
        <w:t>，</w:t>
      </w:r>
      <w:r w:rsidR="00A63A71" w:rsidRPr="00C54AFA">
        <w:rPr>
          <w:rFonts w:asciiTheme="majorBidi" w:hAnsiTheme="majorBidi" w:cstheme="majorBidi"/>
        </w:rPr>
        <w:t>没有一项调查导致定罪。来文方指称</w:t>
      </w:r>
      <w:r w:rsidR="00C54AFA" w:rsidRPr="00C54AFA">
        <w:rPr>
          <w:rFonts w:asciiTheme="majorBidi" w:hAnsiTheme="majorBidi" w:cstheme="majorBidi"/>
        </w:rPr>
        <w:t>，</w:t>
      </w:r>
      <w:r w:rsidR="00A63A71" w:rsidRPr="00C54AFA">
        <w:rPr>
          <w:rFonts w:asciiTheme="majorBidi" w:hAnsiTheme="majorBidi" w:cstheme="majorBidi"/>
        </w:rPr>
        <w:t>当局未能保护民众免遭准军事继承团体控制</w:t>
      </w:r>
      <w:r w:rsidR="00C54AFA" w:rsidRPr="00C54AFA">
        <w:rPr>
          <w:rFonts w:asciiTheme="majorBidi" w:hAnsiTheme="majorBidi" w:cstheme="majorBidi"/>
        </w:rPr>
        <w:t>，</w:t>
      </w:r>
      <w:r w:rsidR="00A63A71" w:rsidRPr="00C54AFA">
        <w:rPr>
          <w:rFonts w:asciiTheme="majorBidi" w:hAnsiTheme="majorBidi" w:cstheme="majorBidi"/>
        </w:rPr>
        <w:t>警方一些成员还与这种团体保持联系。这极大破坏了对当局的信任</w:t>
      </w:r>
      <w:r w:rsidR="00C54AFA" w:rsidRPr="00C54AFA">
        <w:rPr>
          <w:rFonts w:asciiTheme="majorBidi" w:hAnsiTheme="majorBidi" w:cstheme="majorBidi"/>
        </w:rPr>
        <w:t>，</w:t>
      </w:r>
      <w:r w:rsidR="00A63A71" w:rsidRPr="00C54AFA">
        <w:rPr>
          <w:rFonts w:asciiTheme="majorBidi" w:hAnsiTheme="majorBidi" w:cstheme="majorBidi"/>
        </w:rPr>
        <w:t>导致在面临这些团体不断侵权的情况下普遍存在着无助感。</w:t>
      </w:r>
    </w:p>
    <w:p w:rsidR="00A63A71" w:rsidRPr="00C54AFA" w:rsidRDefault="00A63A71" w:rsidP="00116230">
      <w:pPr>
        <w:pStyle w:val="H23GC"/>
        <w:rPr>
          <w:rFonts w:eastAsia="SimSun"/>
        </w:rPr>
      </w:pPr>
      <w:r w:rsidRPr="00C54AFA">
        <w:tab/>
      </w:r>
      <w:r w:rsidRPr="00C54AFA">
        <w:tab/>
      </w:r>
      <w:r w:rsidRPr="00C54AFA">
        <w:t>迅速干预函</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3</w:t>
      </w:r>
      <w:r w:rsidR="00C54AFA" w:rsidRPr="00C54AFA">
        <w:rPr>
          <w:rFonts w:asciiTheme="majorBidi" w:hAnsiTheme="majorBidi" w:cstheme="majorBidi"/>
        </w:rPr>
        <w:t>1.</w:t>
      </w:r>
      <w:r w:rsidR="00C01AB8"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21</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工作组与另一个特别程序机制联合向该国政府转交了一封迅速干预函</w:t>
      </w:r>
      <w:r w:rsidR="00C54AFA" w:rsidRPr="00C54AFA">
        <w:rPr>
          <w:rFonts w:asciiTheme="majorBidi" w:hAnsiTheme="majorBidi" w:cstheme="majorBidi"/>
        </w:rPr>
        <w:t>，</w:t>
      </w:r>
      <w:r w:rsidR="00A63A71" w:rsidRPr="00C54AFA">
        <w:rPr>
          <w:rFonts w:asciiTheme="majorBidi" w:hAnsiTheme="majorBidi" w:cstheme="majorBidi"/>
        </w:rPr>
        <w:t>涉及</w:t>
      </w:r>
      <w:r w:rsidRPr="00C54AFA">
        <w:rPr>
          <w:rFonts w:asciiTheme="majorBidi" w:hAnsiTheme="majorBidi" w:cstheme="majorBidi"/>
        </w:rPr>
        <w:t>Yanette</w:t>
      </w:r>
      <w:r w:rsidR="00A63A71" w:rsidRPr="00C54AFA">
        <w:rPr>
          <w:rFonts w:asciiTheme="majorBidi" w:hAnsiTheme="majorBidi" w:cstheme="majorBidi"/>
        </w:rPr>
        <w:t xml:space="preserve"> </w:t>
      </w:r>
      <w:r w:rsidRPr="00C54AFA">
        <w:rPr>
          <w:rFonts w:asciiTheme="majorBidi" w:hAnsiTheme="majorBidi" w:cstheme="majorBidi"/>
        </w:rPr>
        <w:t>Bautista</w:t>
      </w:r>
      <w:r w:rsidR="00A63A71" w:rsidRPr="00C54AFA">
        <w:rPr>
          <w:rFonts w:asciiTheme="majorBidi" w:hAnsiTheme="majorBidi" w:cstheme="majorBidi"/>
        </w:rPr>
        <w:t>女士的情况</w:t>
      </w:r>
      <w:r w:rsidR="00C54AFA" w:rsidRPr="00C54AFA">
        <w:rPr>
          <w:rFonts w:asciiTheme="majorBidi" w:hAnsiTheme="majorBidi" w:cstheme="majorBidi"/>
        </w:rPr>
        <w:t>，</w:t>
      </w:r>
      <w:r w:rsidR="00A63A71" w:rsidRPr="00C54AFA">
        <w:rPr>
          <w:rFonts w:asciiTheme="majorBidi" w:hAnsiTheme="majorBidi" w:cstheme="majorBidi"/>
        </w:rPr>
        <w:t>她是</w:t>
      </w:r>
      <w:r w:rsidRPr="00C54AFA">
        <w:rPr>
          <w:rFonts w:asciiTheme="majorBidi" w:hAnsiTheme="majorBidi" w:cstheme="majorBidi"/>
        </w:rPr>
        <w:t>Nydia</w:t>
      </w:r>
      <w:r w:rsidR="00A63A71" w:rsidRPr="00C54AFA">
        <w:rPr>
          <w:rFonts w:asciiTheme="majorBidi" w:hAnsiTheme="majorBidi" w:cstheme="majorBidi"/>
        </w:rPr>
        <w:t xml:space="preserve"> </w:t>
      </w:r>
      <w:r w:rsidRPr="00C54AFA">
        <w:rPr>
          <w:rFonts w:asciiTheme="majorBidi" w:hAnsiTheme="majorBidi" w:cstheme="majorBidi"/>
        </w:rPr>
        <w:t>Erika</w:t>
      </w:r>
      <w:r w:rsidR="00A63A71" w:rsidRPr="00C54AFA">
        <w:rPr>
          <w:rFonts w:asciiTheme="majorBidi" w:hAnsiTheme="majorBidi" w:cstheme="majorBidi"/>
        </w:rPr>
        <w:t xml:space="preserve"> </w:t>
      </w:r>
      <w:r w:rsidRPr="00C54AFA">
        <w:rPr>
          <w:rFonts w:asciiTheme="majorBidi" w:hAnsiTheme="majorBidi" w:cstheme="majorBidi"/>
        </w:rPr>
        <w:t>Bautista</w:t>
      </w:r>
      <w:r w:rsidR="00A63A71" w:rsidRPr="00C54AFA">
        <w:rPr>
          <w:rFonts w:asciiTheme="majorBidi" w:hAnsiTheme="majorBidi" w:cstheme="majorBidi"/>
        </w:rPr>
        <w:t>基金会的负责人</w:t>
      </w:r>
      <w:r w:rsidR="00C54AFA" w:rsidRPr="00C54AFA">
        <w:rPr>
          <w:rFonts w:asciiTheme="majorBidi" w:hAnsiTheme="majorBidi" w:cstheme="majorBidi"/>
        </w:rPr>
        <w:t>，</w:t>
      </w:r>
      <w:r w:rsidR="00A63A71" w:rsidRPr="00C54AFA">
        <w:rPr>
          <w:rFonts w:asciiTheme="majorBidi" w:hAnsiTheme="majorBidi" w:cstheme="majorBidi"/>
        </w:rPr>
        <w:t>该基金会是致力于保护被强迫失踪受害人权利的一个非政府组织。</w:t>
      </w:r>
    </w:p>
    <w:p w:rsidR="00A63A71" w:rsidRPr="00C54AFA" w:rsidRDefault="00A63A71" w:rsidP="00116230">
      <w:pPr>
        <w:pStyle w:val="H23GC"/>
      </w:pPr>
      <w:r w:rsidRPr="00C54AFA">
        <w:lastRenderedPageBreak/>
        <w:tab/>
      </w:r>
      <w:r w:rsidRPr="00C54AFA">
        <w:tab/>
      </w:r>
      <w:r w:rsidRPr="00C54AFA">
        <w:t>新闻稿</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3</w:t>
      </w:r>
      <w:r w:rsidR="00C54AFA" w:rsidRPr="00C54AFA">
        <w:rPr>
          <w:rFonts w:asciiTheme="majorBidi" w:hAnsiTheme="majorBidi" w:cstheme="majorBidi"/>
        </w:rPr>
        <w:t>2.</w:t>
      </w:r>
      <w:r w:rsidR="00C01AB8"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9</w:t>
      </w:r>
      <w:r w:rsidR="00A63A71" w:rsidRPr="00C54AFA">
        <w:rPr>
          <w:rFonts w:asciiTheme="majorBidi" w:hAnsiTheme="majorBidi" w:cstheme="majorBidi"/>
        </w:rPr>
        <w:t>月</w:t>
      </w:r>
      <w:r w:rsidRPr="00C54AFA">
        <w:rPr>
          <w:rFonts w:asciiTheme="majorBidi" w:hAnsiTheme="majorBidi" w:cstheme="majorBidi"/>
        </w:rPr>
        <w:t>29</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工作组与</w:t>
      </w:r>
      <w:r w:rsidRPr="00C54AFA">
        <w:rPr>
          <w:rFonts w:asciiTheme="majorBidi" w:hAnsiTheme="majorBidi" w:cstheme="majorBidi"/>
        </w:rPr>
        <w:t>11</w:t>
      </w:r>
      <w:r w:rsidR="00A63A71" w:rsidRPr="00C54AFA">
        <w:rPr>
          <w:rFonts w:asciiTheme="majorBidi" w:hAnsiTheme="majorBidi" w:cstheme="majorBidi"/>
        </w:rPr>
        <w:t>个其他特别程序机制联合发出了一封公开信和新闻稿</w:t>
      </w:r>
      <w:r w:rsidR="00C54AFA" w:rsidRPr="00C54AFA">
        <w:rPr>
          <w:rFonts w:asciiTheme="majorBidi" w:hAnsiTheme="majorBidi" w:cstheme="majorBidi"/>
        </w:rPr>
        <w:t>，</w:t>
      </w:r>
      <w:r w:rsidR="00A63A71" w:rsidRPr="00C54AFA">
        <w:rPr>
          <w:rFonts w:asciiTheme="majorBidi" w:hAnsiTheme="majorBidi" w:cstheme="majorBidi"/>
        </w:rPr>
        <w:t>工作组在公开信和新闻稿中对哥伦比亚国会可能通过一项提案表示关切</w:t>
      </w:r>
      <w:r w:rsidR="00C54AFA" w:rsidRPr="00C54AFA">
        <w:rPr>
          <w:rFonts w:asciiTheme="majorBidi" w:hAnsiTheme="majorBidi" w:cstheme="majorBidi"/>
        </w:rPr>
        <w:t>，</w:t>
      </w:r>
      <w:r w:rsidR="00A63A71" w:rsidRPr="00C54AFA">
        <w:rPr>
          <w:rFonts w:asciiTheme="majorBidi" w:hAnsiTheme="majorBidi" w:cstheme="majorBidi"/>
        </w:rPr>
        <w:t>该提案不合理地将军事和警方法庭的管辖权扩大到应由普通法庭管辖的罪行。在该国为遵守国际人权和人道主义法义务所作的努力方面</w:t>
      </w:r>
      <w:r w:rsidR="00C54AFA" w:rsidRPr="00C54AFA">
        <w:rPr>
          <w:rFonts w:asciiTheme="majorBidi" w:hAnsiTheme="majorBidi" w:cstheme="majorBidi"/>
        </w:rPr>
        <w:t>，</w:t>
      </w:r>
      <w:r w:rsidR="00A63A71" w:rsidRPr="00C54AFA">
        <w:rPr>
          <w:rFonts w:asciiTheme="majorBidi" w:hAnsiTheme="majorBidi" w:cstheme="majorBidi"/>
        </w:rPr>
        <w:t>通过提议的法律将是一个重大倒退。</w:t>
      </w:r>
    </w:p>
    <w:p w:rsidR="00A63A71" w:rsidRPr="00C54AFA" w:rsidRDefault="00A63A71" w:rsidP="00116230">
      <w:pPr>
        <w:pStyle w:val="H23GC"/>
      </w:pPr>
      <w:r w:rsidRPr="00C54AFA">
        <w:tab/>
      </w:r>
      <w:r w:rsidRPr="00C54AFA">
        <w:tab/>
      </w:r>
      <w:r w:rsidRPr="00C54AFA">
        <w:t>政府提供的资料</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3</w:t>
      </w:r>
      <w:r w:rsidR="00C54AFA" w:rsidRPr="00C54AFA">
        <w:rPr>
          <w:rFonts w:asciiTheme="majorBidi" w:hAnsiTheme="majorBidi" w:cstheme="majorBidi"/>
        </w:rPr>
        <w:t>3.</w:t>
      </w:r>
      <w:r w:rsidR="00C01AB8"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9</w:t>
      </w:r>
      <w:r w:rsidR="00A63A71" w:rsidRPr="00C54AFA">
        <w:rPr>
          <w:rFonts w:asciiTheme="majorBidi" w:hAnsiTheme="majorBidi" w:cstheme="majorBidi"/>
        </w:rPr>
        <w:t>月</w:t>
      </w:r>
      <w:r w:rsidRPr="00C54AFA">
        <w:rPr>
          <w:rFonts w:asciiTheme="majorBidi" w:hAnsiTheme="majorBidi" w:cstheme="majorBidi"/>
        </w:rPr>
        <w:t>5</w:t>
      </w:r>
      <w:r w:rsidR="00A63A71" w:rsidRPr="00C54AFA">
        <w:rPr>
          <w:rFonts w:asciiTheme="majorBidi" w:hAnsiTheme="majorBidi" w:cstheme="majorBidi"/>
        </w:rPr>
        <w:t>日和</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26</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该国政府就三起未决案件提供了资料。</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3</w:t>
      </w:r>
      <w:r w:rsidR="00C54AFA" w:rsidRPr="00C54AFA">
        <w:rPr>
          <w:rFonts w:asciiTheme="majorBidi" w:hAnsiTheme="majorBidi" w:cstheme="majorBidi"/>
        </w:rPr>
        <w:t>4.</w:t>
      </w:r>
      <w:r w:rsidR="00C01AB8"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21</w:t>
      </w:r>
      <w:r w:rsidR="00A63A71" w:rsidRPr="00C54AFA">
        <w:rPr>
          <w:rFonts w:asciiTheme="majorBidi" w:hAnsiTheme="majorBidi" w:cstheme="majorBidi"/>
        </w:rPr>
        <w:t>日曾发出一封迅速干预函</w:t>
      </w:r>
      <w:r w:rsidR="00C54AFA" w:rsidRPr="00C54AFA">
        <w:rPr>
          <w:rFonts w:asciiTheme="majorBidi" w:hAnsiTheme="majorBidi" w:cstheme="majorBidi"/>
        </w:rPr>
        <w:t>；</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13</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该国政府就此作出答复。在答复中</w:t>
      </w:r>
      <w:r w:rsidR="00C54AFA" w:rsidRPr="00C54AFA">
        <w:rPr>
          <w:rFonts w:asciiTheme="majorBidi" w:hAnsiTheme="majorBidi" w:cstheme="majorBidi"/>
        </w:rPr>
        <w:t>，</w:t>
      </w:r>
      <w:r w:rsidR="00A63A71" w:rsidRPr="00C54AFA">
        <w:rPr>
          <w:rFonts w:asciiTheme="majorBidi" w:hAnsiTheme="majorBidi" w:cstheme="majorBidi"/>
        </w:rPr>
        <w:t>该国政府称</w:t>
      </w:r>
      <w:r w:rsidR="00C54AFA" w:rsidRPr="00C54AFA">
        <w:rPr>
          <w:rFonts w:asciiTheme="majorBidi" w:hAnsiTheme="majorBidi" w:cstheme="majorBidi"/>
        </w:rPr>
        <w:t>，</w:t>
      </w:r>
      <w:r w:rsidRPr="00C54AFA">
        <w:rPr>
          <w:rFonts w:asciiTheme="majorBidi" w:hAnsiTheme="majorBidi" w:cstheme="majorBidi"/>
        </w:rPr>
        <w:t>Bautista</w:t>
      </w:r>
      <w:r w:rsidR="00A63A71" w:rsidRPr="00C54AFA">
        <w:rPr>
          <w:rFonts w:asciiTheme="majorBidi" w:hAnsiTheme="majorBidi" w:cstheme="majorBidi"/>
        </w:rPr>
        <w:t>女士是美洲人权委员会授予的预防性措施的受益者</w:t>
      </w:r>
      <w:r w:rsidR="00C54AFA" w:rsidRPr="00C54AFA">
        <w:rPr>
          <w:rFonts w:asciiTheme="majorBidi" w:hAnsiTheme="majorBidi" w:cstheme="majorBidi"/>
        </w:rPr>
        <w:t>，</w:t>
      </w:r>
      <w:r w:rsidR="00A63A71" w:rsidRPr="00C54AFA">
        <w:rPr>
          <w:rFonts w:asciiTheme="majorBidi" w:hAnsiTheme="majorBidi" w:cstheme="majorBidi"/>
        </w:rPr>
        <w:t>也是国家保护机构提供的人身安全措施的受益者。</w:t>
      </w:r>
      <w:r w:rsidRPr="00C54AFA">
        <w:rPr>
          <w:rFonts w:asciiTheme="majorBidi" w:hAnsiTheme="majorBidi" w:cstheme="majorBidi"/>
        </w:rPr>
        <w:t>Bautista</w:t>
      </w:r>
      <w:r w:rsidR="00A63A71" w:rsidRPr="00C54AFA">
        <w:rPr>
          <w:rFonts w:asciiTheme="majorBidi" w:hAnsiTheme="majorBidi" w:cstheme="majorBidi"/>
        </w:rPr>
        <w:t>女士也是搜寻失踪人员委员会的成员</w:t>
      </w:r>
      <w:r w:rsidR="00C54AFA" w:rsidRPr="00C54AFA">
        <w:rPr>
          <w:rFonts w:asciiTheme="majorBidi" w:hAnsiTheme="majorBidi" w:cstheme="majorBidi"/>
        </w:rPr>
        <w:t>，</w:t>
      </w:r>
      <w:r w:rsidR="00A63A71" w:rsidRPr="00C54AFA">
        <w:rPr>
          <w:rFonts w:asciiTheme="majorBidi" w:hAnsiTheme="majorBidi" w:cstheme="majorBidi"/>
        </w:rPr>
        <w:t>在该委员会</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9</w:t>
      </w:r>
      <w:r w:rsidR="00A63A71" w:rsidRPr="00C54AFA">
        <w:rPr>
          <w:rFonts w:asciiTheme="majorBidi" w:hAnsiTheme="majorBidi" w:cstheme="majorBidi"/>
        </w:rPr>
        <w:t>月</w:t>
      </w:r>
      <w:r w:rsidRPr="00C54AFA">
        <w:rPr>
          <w:rFonts w:asciiTheme="majorBidi" w:hAnsiTheme="majorBidi" w:cstheme="majorBidi"/>
        </w:rPr>
        <w:t>9</w:t>
      </w:r>
      <w:r w:rsidR="00A63A71" w:rsidRPr="00C54AFA">
        <w:rPr>
          <w:rFonts w:asciiTheme="majorBidi" w:hAnsiTheme="majorBidi" w:cstheme="majorBidi"/>
        </w:rPr>
        <w:t>日的会议期间讨论了她的案件。在该会议上</w:t>
      </w:r>
      <w:r w:rsidR="00C54AFA" w:rsidRPr="00C54AFA">
        <w:rPr>
          <w:rFonts w:asciiTheme="majorBidi" w:hAnsiTheme="majorBidi" w:cstheme="majorBidi"/>
        </w:rPr>
        <w:t>，</w:t>
      </w:r>
      <w:r w:rsidR="00A63A71" w:rsidRPr="00C54AFA">
        <w:rPr>
          <w:rFonts w:asciiTheme="majorBidi" w:hAnsiTheme="majorBidi" w:cstheme="majorBidi"/>
        </w:rPr>
        <w:t>委员会同意</w:t>
      </w:r>
      <w:r w:rsidR="00C54AFA" w:rsidRPr="00C54AFA">
        <w:rPr>
          <w:rFonts w:asciiTheme="majorBidi" w:hAnsiTheme="majorBidi" w:cstheme="majorBidi"/>
        </w:rPr>
        <w:t>，</w:t>
      </w:r>
      <w:r w:rsidR="00A63A71" w:rsidRPr="00C54AFA">
        <w:rPr>
          <w:rFonts w:asciiTheme="majorBidi" w:hAnsiTheme="majorBidi" w:cstheme="majorBidi"/>
        </w:rPr>
        <w:t>应请求总检察长办公室提供情况</w:t>
      </w:r>
      <w:r w:rsidR="00C54AFA" w:rsidRPr="00C54AFA">
        <w:rPr>
          <w:rFonts w:asciiTheme="majorBidi" w:hAnsiTheme="majorBidi" w:cstheme="majorBidi"/>
        </w:rPr>
        <w:t>，</w:t>
      </w:r>
      <w:r w:rsidR="00A63A71" w:rsidRPr="00C54AFA">
        <w:rPr>
          <w:rFonts w:asciiTheme="majorBidi" w:hAnsiTheme="majorBidi" w:cstheme="majorBidi"/>
        </w:rPr>
        <w:t>说明是否存在刑事调查和已采取的行动。</w:t>
      </w:r>
    </w:p>
    <w:p w:rsidR="00A63A71" w:rsidRPr="00C54AFA" w:rsidRDefault="00A63A71" w:rsidP="00116230">
      <w:pPr>
        <w:pStyle w:val="H23GC"/>
      </w:pPr>
      <w:r w:rsidRPr="00C54AFA">
        <w:tab/>
      </w:r>
      <w:r w:rsidRPr="00C54AFA">
        <w:tab/>
      </w:r>
      <w:r w:rsidRPr="00C54AFA">
        <w:t>意见</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3</w:t>
      </w:r>
      <w:r w:rsidR="00C54AFA" w:rsidRPr="00C54AFA">
        <w:rPr>
          <w:rFonts w:asciiTheme="majorBidi" w:hAnsiTheme="majorBidi" w:cstheme="majorBidi"/>
        </w:rPr>
        <w:t>5.</w:t>
      </w:r>
      <w:r w:rsidR="00C01AB8" w:rsidRPr="00C54AFA">
        <w:rPr>
          <w:rFonts w:asciiTheme="majorBidi" w:hAnsiTheme="majorBidi" w:cstheme="majorBidi"/>
        </w:rPr>
        <w:t xml:space="preserve">  </w:t>
      </w:r>
      <w:r w:rsidR="00A63A71" w:rsidRPr="00C54AFA">
        <w:rPr>
          <w:rFonts w:asciiTheme="majorBidi" w:hAnsiTheme="majorBidi" w:cstheme="majorBidi"/>
        </w:rPr>
        <w:t>工作组忆及《宣言》第十六条</w:t>
      </w:r>
      <w:r w:rsidR="00C54AFA" w:rsidRPr="00C54AFA">
        <w:rPr>
          <w:rFonts w:asciiTheme="majorBidi" w:hAnsiTheme="majorBidi" w:cstheme="majorBidi"/>
        </w:rPr>
        <w:t>，</w:t>
      </w:r>
      <w:r w:rsidR="00A63A71" w:rsidRPr="00C54AFA">
        <w:rPr>
          <w:rFonts w:asciiTheme="majorBidi" w:hAnsiTheme="majorBidi" w:cstheme="majorBidi"/>
        </w:rPr>
        <w:t>该条规定</w:t>
      </w:r>
      <w:r w:rsidR="00C54AFA" w:rsidRPr="00C54AFA">
        <w:rPr>
          <w:rFonts w:asciiTheme="majorBidi" w:hAnsiTheme="majorBidi" w:cstheme="majorBidi"/>
        </w:rPr>
        <w:t>，</w:t>
      </w:r>
      <w:r w:rsidR="00A63A71" w:rsidRPr="00C54AFA">
        <w:rPr>
          <w:rFonts w:asciiTheme="majorBidi" w:hAnsiTheme="majorBidi" w:cstheme="majorBidi"/>
        </w:rPr>
        <w:t>据称犯有强迫失踪行为的所有人</w:t>
      </w:r>
      <w:r w:rsidRPr="00C54AFA">
        <w:rPr>
          <w:rFonts w:asciiTheme="majorBidi" w:hAnsiTheme="majorBidi" w:cstheme="majorBidi"/>
        </w:rPr>
        <w:t>“</w:t>
      </w:r>
      <w:r w:rsidR="00A63A71" w:rsidRPr="00C54AFA">
        <w:rPr>
          <w:rFonts w:asciiTheme="majorBidi" w:hAnsiTheme="majorBidi" w:cstheme="majorBidi"/>
        </w:rPr>
        <w:t>只应在各国普通主管法院受审</w:t>
      </w:r>
      <w:r w:rsidR="00C54AFA" w:rsidRPr="00C54AFA">
        <w:rPr>
          <w:rFonts w:asciiTheme="majorBidi" w:hAnsiTheme="majorBidi" w:cstheme="majorBidi"/>
        </w:rPr>
        <w:t>，</w:t>
      </w:r>
      <w:r w:rsidR="00A63A71" w:rsidRPr="00C54AFA">
        <w:rPr>
          <w:rFonts w:asciiTheme="majorBidi" w:hAnsiTheme="majorBidi" w:cstheme="majorBidi"/>
        </w:rPr>
        <w:t>不应在任何其他特别法庭特别是军事法庭受审</w:t>
      </w:r>
      <w:r w:rsidRPr="00C54AFA">
        <w:rPr>
          <w:rFonts w:asciiTheme="majorBidi" w:hAnsiTheme="majorBidi" w:cstheme="majorBidi"/>
        </w:rPr>
        <w:t>”</w:t>
      </w:r>
      <w:r w:rsidR="00A63A71" w:rsidRPr="00C54AFA">
        <w:rPr>
          <w:rFonts w:asciiTheme="majorBidi" w:hAnsiTheme="majorBidi" w:cstheme="majorBidi"/>
        </w:rPr>
        <w:t>。</w:t>
      </w:r>
    </w:p>
    <w:p w:rsidR="00A63A71" w:rsidRPr="00C54AFA" w:rsidRDefault="00A63A71" w:rsidP="00116230">
      <w:pPr>
        <w:pStyle w:val="H1GC"/>
      </w:pPr>
      <w:r w:rsidRPr="00C54AFA">
        <w:tab/>
      </w:r>
      <w:r w:rsidRPr="00C54AFA">
        <w:tab/>
      </w:r>
      <w:r w:rsidRPr="00C54AFA">
        <w:t>朝鲜民主主义人民共和国</w:t>
      </w:r>
    </w:p>
    <w:p w:rsidR="00A63A71" w:rsidRPr="00C54AFA" w:rsidRDefault="00A63A71" w:rsidP="00116230">
      <w:pPr>
        <w:pStyle w:val="H23GC"/>
      </w:pPr>
      <w:r w:rsidRPr="00C54AFA">
        <w:tab/>
      </w:r>
      <w:r w:rsidRPr="00C54AFA">
        <w:tab/>
      </w:r>
      <w:r w:rsidRPr="00C54AFA">
        <w:t>标准程序</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3</w:t>
      </w:r>
      <w:r w:rsidR="00C54AFA" w:rsidRPr="00C54AFA">
        <w:rPr>
          <w:rFonts w:asciiTheme="majorBidi" w:hAnsiTheme="majorBidi" w:cstheme="majorBidi"/>
        </w:rPr>
        <w:t>6.</w:t>
      </w:r>
      <w:r w:rsidR="00C01AB8" w:rsidRPr="00C54AFA">
        <w:rPr>
          <w:rFonts w:asciiTheme="majorBidi" w:hAnsiTheme="majorBidi" w:cstheme="majorBidi"/>
        </w:rPr>
        <w:t xml:space="preserve">  </w:t>
      </w:r>
      <w:r w:rsidR="00A63A71" w:rsidRPr="00C54AFA">
        <w:rPr>
          <w:rFonts w:asciiTheme="majorBidi" w:hAnsiTheme="majorBidi" w:cstheme="majorBidi"/>
        </w:rPr>
        <w:t>工作组向该国政府转交了四起案件</w:t>
      </w:r>
      <w:r w:rsidR="00C54AFA" w:rsidRPr="00C54AFA">
        <w:rPr>
          <w:rFonts w:asciiTheme="majorBidi" w:hAnsiTheme="majorBidi" w:cstheme="majorBidi"/>
        </w:rPr>
        <w:t>，</w:t>
      </w:r>
      <w:r w:rsidR="00A63A71" w:rsidRPr="00C54AFA">
        <w:rPr>
          <w:rFonts w:asciiTheme="majorBidi" w:hAnsiTheme="majorBidi" w:cstheme="majorBidi"/>
        </w:rPr>
        <w:t>涉及</w:t>
      </w:r>
      <w:r w:rsidRPr="00C54AFA">
        <w:rPr>
          <w:rFonts w:asciiTheme="majorBidi" w:hAnsiTheme="majorBidi" w:cstheme="majorBidi"/>
        </w:rPr>
        <w:t>Kim</w:t>
      </w:r>
      <w:r w:rsidR="00A63A71" w:rsidRPr="00C54AFA">
        <w:rPr>
          <w:rFonts w:asciiTheme="majorBidi" w:hAnsiTheme="majorBidi" w:cstheme="majorBidi"/>
        </w:rPr>
        <w:t xml:space="preserve"> </w:t>
      </w:r>
      <w:r w:rsidRPr="00C54AFA">
        <w:rPr>
          <w:rFonts w:asciiTheme="majorBidi" w:hAnsiTheme="majorBidi" w:cstheme="majorBidi"/>
        </w:rPr>
        <w:t>Hyun</w:t>
      </w:r>
      <w:r w:rsidR="00A63A71" w:rsidRPr="00C54AFA">
        <w:rPr>
          <w:rFonts w:asciiTheme="majorBidi" w:hAnsiTheme="majorBidi" w:cstheme="majorBidi"/>
        </w:rPr>
        <w:t xml:space="preserve"> </w:t>
      </w:r>
      <w:r w:rsidRPr="00C54AFA">
        <w:rPr>
          <w:rFonts w:asciiTheme="majorBidi" w:hAnsiTheme="majorBidi" w:cstheme="majorBidi"/>
        </w:rPr>
        <w:t>Chul</w:t>
      </w:r>
      <w:r w:rsidR="00A63A71" w:rsidRPr="00C54AFA">
        <w:rPr>
          <w:rFonts w:asciiTheme="majorBidi" w:hAnsiTheme="majorBidi" w:cstheme="majorBidi"/>
        </w:rPr>
        <w:t>先生、</w:t>
      </w:r>
      <w:r w:rsidRPr="00C54AFA">
        <w:rPr>
          <w:rFonts w:asciiTheme="majorBidi" w:hAnsiTheme="majorBidi" w:cstheme="majorBidi"/>
        </w:rPr>
        <w:t>Kim</w:t>
      </w:r>
      <w:r w:rsidR="00A63A71" w:rsidRPr="00C54AFA">
        <w:rPr>
          <w:rFonts w:asciiTheme="majorBidi" w:hAnsiTheme="majorBidi" w:cstheme="majorBidi"/>
        </w:rPr>
        <w:t xml:space="preserve"> </w:t>
      </w:r>
      <w:r w:rsidRPr="00C54AFA">
        <w:rPr>
          <w:rFonts w:asciiTheme="majorBidi" w:hAnsiTheme="majorBidi" w:cstheme="majorBidi"/>
        </w:rPr>
        <w:t>Hyun</w:t>
      </w:r>
      <w:r w:rsidR="00A63A71" w:rsidRPr="00C54AFA">
        <w:rPr>
          <w:rFonts w:asciiTheme="majorBidi" w:hAnsiTheme="majorBidi" w:cstheme="majorBidi"/>
        </w:rPr>
        <w:t xml:space="preserve"> </w:t>
      </w:r>
      <w:r w:rsidRPr="00C54AFA">
        <w:rPr>
          <w:rFonts w:asciiTheme="majorBidi" w:hAnsiTheme="majorBidi" w:cstheme="majorBidi"/>
        </w:rPr>
        <w:t>II</w:t>
      </w:r>
      <w:r w:rsidR="00A63A71" w:rsidRPr="00C54AFA">
        <w:rPr>
          <w:rFonts w:asciiTheme="majorBidi" w:hAnsiTheme="majorBidi" w:cstheme="majorBidi"/>
        </w:rPr>
        <w:t>先生、</w:t>
      </w:r>
      <w:r w:rsidRPr="00C54AFA">
        <w:rPr>
          <w:rFonts w:asciiTheme="majorBidi" w:hAnsiTheme="majorBidi" w:cstheme="majorBidi"/>
        </w:rPr>
        <w:t>Kim</w:t>
      </w:r>
      <w:r w:rsidR="00A63A71" w:rsidRPr="00C54AFA">
        <w:rPr>
          <w:rFonts w:asciiTheme="majorBidi" w:hAnsiTheme="majorBidi" w:cstheme="majorBidi"/>
        </w:rPr>
        <w:t xml:space="preserve"> </w:t>
      </w:r>
      <w:r w:rsidRPr="00C54AFA">
        <w:rPr>
          <w:rFonts w:asciiTheme="majorBidi" w:hAnsiTheme="majorBidi" w:cstheme="majorBidi"/>
        </w:rPr>
        <w:t>Hyun</w:t>
      </w:r>
      <w:r w:rsidR="00A63A71" w:rsidRPr="00C54AFA">
        <w:rPr>
          <w:rFonts w:asciiTheme="majorBidi" w:hAnsiTheme="majorBidi" w:cstheme="majorBidi"/>
        </w:rPr>
        <w:t xml:space="preserve"> </w:t>
      </w:r>
      <w:r w:rsidRPr="00C54AFA">
        <w:rPr>
          <w:rFonts w:asciiTheme="majorBidi" w:hAnsiTheme="majorBidi" w:cstheme="majorBidi"/>
        </w:rPr>
        <w:t>Ran</w:t>
      </w:r>
      <w:r w:rsidR="00A63A71" w:rsidRPr="00C54AFA">
        <w:rPr>
          <w:rFonts w:asciiTheme="majorBidi" w:hAnsiTheme="majorBidi" w:cstheme="majorBidi"/>
        </w:rPr>
        <w:t>女士和</w:t>
      </w:r>
      <w:r w:rsidRPr="00C54AFA">
        <w:rPr>
          <w:rFonts w:asciiTheme="majorBidi" w:hAnsiTheme="majorBidi" w:cstheme="majorBidi"/>
        </w:rPr>
        <w:t>Kim</w:t>
      </w:r>
      <w:r w:rsidR="00A63A71" w:rsidRPr="00C54AFA">
        <w:rPr>
          <w:rFonts w:asciiTheme="majorBidi" w:hAnsiTheme="majorBidi" w:cstheme="majorBidi"/>
        </w:rPr>
        <w:t xml:space="preserve"> </w:t>
      </w:r>
      <w:r w:rsidRPr="00C54AFA">
        <w:rPr>
          <w:rFonts w:asciiTheme="majorBidi" w:hAnsiTheme="majorBidi" w:cstheme="majorBidi"/>
        </w:rPr>
        <w:t>II</w:t>
      </w:r>
      <w:r w:rsidR="00A63A71" w:rsidRPr="00C54AFA">
        <w:rPr>
          <w:rFonts w:asciiTheme="majorBidi" w:hAnsiTheme="majorBidi" w:cstheme="majorBidi"/>
        </w:rPr>
        <w:t xml:space="preserve"> </w:t>
      </w:r>
      <w:r w:rsidRPr="00C54AFA">
        <w:rPr>
          <w:rFonts w:asciiTheme="majorBidi" w:hAnsiTheme="majorBidi" w:cstheme="majorBidi"/>
        </w:rPr>
        <w:t>Hyun</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据称这些人最后被见到是</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11</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月在咸镜北道清津的</w:t>
      </w:r>
      <w:r w:rsidRPr="00C54AFA">
        <w:rPr>
          <w:rFonts w:asciiTheme="majorBidi" w:hAnsiTheme="majorBidi" w:cstheme="majorBidi"/>
        </w:rPr>
        <w:t>Ranam</w:t>
      </w:r>
      <w:r w:rsidR="00A63A71" w:rsidRPr="00C54AFA">
        <w:rPr>
          <w:rFonts w:asciiTheme="majorBidi" w:hAnsiTheme="majorBidi" w:cstheme="majorBidi"/>
        </w:rPr>
        <w:t>-</w:t>
      </w:r>
      <w:r w:rsidRPr="00C54AFA">
        <w:rPr>
          <w:rFonts w:asciiTheme="majorBidi" w:hAnsiTheme="majorBidi" w:cstheme="majorBidi"/>
        </w:rPr>
        <w:t>guyok</w:t>
      </w:r>
      <w:r w:rsidR="00A63A71" w:rsidRPr="00C54AFA">
        <w:rPr>
          <w:rFonts w:asciiTheme="majorBidi" w:hAnsiTheme="majorBidi" w:cstheme="majorBidi"/>
        </w:rPr>
        <w:t>安全机构。</w:t>
      </w:r>
    </w:p>
    <w:p w:rsidR="00A63A71" w:rsidRPr="00C54AFA" w:rsidRDefault="00A63A71" w:rsidP="00116230">
      <w:pPr>
        <w:pStyle w:val="H1GC"/>
      </w:pPr>
      <w:r w:rsidRPr="00C54AFA">
        <w:tab/>
      </w:r>
      <w:r w:rsidRPr="00C54AFA">
        <w:tab/>
      </w:r>
      <w:r w:rsidRPr="00C54AFA">
        <w:t>刚果民主共和国</w:t>
      </w:r>
    </w:p>
    <w:p w:rsidR="00A63A71" w:rsidRPr="00C54AFA" w:rsidRDefault="00A63A71" w:rsidP="00116230">
      <w:pPr>
        <w:pStyle w:val="H23GC"/>
      </w:pPr>
      <w:r w:rsidRPr="00C54AFA">
        <w:tab/>
      </w:r>
      <w:r w:rsidRPr="00C54AFA">
        <w:tab/>
      </w:r>
      <w:r w:rsidRPr="00C54AFA">
        <w:t>紧急行动</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3</w:t>
      </w:r>
      <w:r w:rsidR="00C54AFA" w:rsidRPr="00C54AFA">
        <w:rPr>
          <w:rFonts w:asciiTheme="majorBidi" w:hAnsiTheme="majorBidi" w:cstheme="majorBidi"/>
        </w:rPr>
        <w:t>7.</w:t>
      </w:r>
      <w:r w:rsidR="00C01AB8"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18</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工作组按照紧急行动程序向该国政府转交了一起案件</w:t>
      </w:r>
      <w:r w:rsidR="00C54AFA" w:rsidRPr="00C54AFA">
        <w:rPr>
          <w:rFonts w:asciiTheme="majorBidi" w:hAnsiTheme="majorBidi" w:cstheme="majorBidi"/>
        </w:rPr>
        <w:t>，</w:t>
      </w:r>
      <w:r w:rsidR="00A63A71" w:rsidRPr="00C54AFA">
        <w:rPr>
          <w:rFonts w:asciiTheme="majorBidi" w:hAnsiTheme="majorBidi" w:cstheme="majorBidi"/>
        </w:rPr>
        <w:t>涉及</w:t>
      </w:r>
      <w:r w:rsidRPr="00C54AFA">
        <w:rPr>
          <w:rFonts w:asciiTheme="majorBidi" w:hAnsiTheme="majorBidi" w:cstheme="majorBidi"/>
        </w:rPr>
        <w:t>Anders</w:t>
      </w:r>
      <w:r w:rsidR="00A63A71" w:rsidRPr="00C54AFA">
        <w:rPr>
          <w:rFonts w:asciiTheme="majorBidi" w:hAnsiTheme="majorBidi" w:cstheme="majorBidi"/>
        </w:rPr>
        <w:t xml:space="preserve"> </w:t>
      </w:r>
      <w:r w:rsidRPr="00C54AFA">
        <w:rPr>
          <w:rFonts w:asciiTheme="majorBidi" w:hAnsiTheme="majorBidi" w:cstheme="majorBidi"/>
        </w:rPr>
        <w:t>Kalemwanda</w:t>
      </w:r>
      <w:r w:rsidR="00A63A71" w:rsidRPr="00C54AFA">
        <w:rPr>
          <w:rFonts w:asciiTheme="majorBidi" w:hAnsiTheme="majorBidi" w:cstheme="majorBidi"/>
        </w:rPr>
        <w:t xml:space="preserve"> </w:t>
      </w:r>
      <w:r w:rsidRPr="00C54AFA">
        <w:rPr>
          <w:rFonts w:asciiTheme="majorBidi" w:hAnsiTheme="majorBidi" w:cstheme="majorBidi"/>
        </w:rPr>
        <w:t>Ilunga</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月初在金沙萨被国家情报机构逮捕。按照工作组的工作方法</w:t>
      </w:r>
      <w:r w:rsidR="00C54AFA" w:rsidRPr="00C54AFA">
        <w:rPr>
          <w:rFonts w:asciiTheme="majorBidi" w:hAnsiTheme="majorBidi" w:cstheme="majorBidi"/>
        </w:rPr>
        <w:t>，</w:t>
      </w:r>
      <w:r w:rsidR="00A63A71" w:rsidRPr="00C54AFA">
        <w:rPr>
          <w:rFonts w:asciiTheme="majorBidi" w:hAnsiTheme="majorBidi" w:cstheme="majorBidi"/>
        </w:rPr>
        <w:t>也向比利时政府还提供了案件副本。</w:t>
      </w:r>
    </w:p>
    <w:p w:rsidR="00A63A71" w:rsidRPr="00C54AFA" w:rsidRDefault="00A63A71" w:rsidP="00116230">
      <w:pPr>
        <w:pStyle w:val="H23GC"/>
      </w:pPr>
      <w:r w:rsidRPr="00C54AFA">
        <w:lastRenderedPageBreak/>
        <w:tab/>
      </w:r>
      <w:r w:rsidRPr="00C54AFA">
        <w:tab/>
      </w:r>
      <w:r w:rsidRPr="00C54AFA">
        <w:t>一般指称</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3</w:t>
      </w:r>
      <w:r w:rsidR="00C54AFA" w:rsidRPr="00C54AFA">
        <w:rPr>
          <w:rFonts w:asciiTheme="majorBidi" w:hAnsiTheme="majorBidi" w:cstheme="majorBidi"/>
        </w:rPr>
        <w:t>8.</w:t>
      </w:r>
      <w:r w:rsidR="00C01AB8"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3</w:t>
      </w:r>
      <w:r w:rsidR="00A63A71" w:rsidRPr="00C54AFA">
        <w:rPr>
          <w:rFonts w:asciiTheme="majorBidi" w:hAnsiTheme="majorBidi" w:cstheme="majorBidi"/>
        </w:rPr>
        <w:t>月</w:t>
      </w:r>
      <w:r w:rsidRPr="00C54AFA">
        <w:rPr>
          <w:rFonts w:asciiTheme="majorBidi" w:hAnsiTheme="majorBidi" w:cstheme="majorBidi"/>
        </w:rPr>
        <w:t>26</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工作组转交了可靠来源寄来的关于在实施《宣言》过程中遇到的障碍问题的资料。</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3</w:t>
      </w:r>
      <w:r w:rsidR="00C54AFA" w:rsidRPr="00C54AFA">
        <w:rPr>
          <w:rFonts w:asciiTheme="majorBidi" w:hAnsiTheme="majorBidi" w:cstheme="majorBidi"/>
        </w:rPr>
        <w:t>9.</w:t>
      </w:r>
      <w:r w:rsidR="00C01AB8" w:rsidRPr="00C54AFA">
        <w:rPr>
          <w:rFonts w:asciiTheme="majorBidi" w:hAnsiTheme="majorBidi" w:cstheme="majorBidi"/>
        </w:rPr>
        <w:t xml:space="preserve">  </w:t>
      </w:r>
      <w:r w:rsidR="00A63A71" w:rsidRPr="00C54AFA">
        <w:rPr>
          <w:rFonts w:asciiTheme="majorBidi" w:hAnsiTheme="majorBidi" w:cstheme="majorBidi"/>
        </w:rPr>
        <w:t>工作组收到的报告指出</w:t>
      </w:r>
      <w:r w:rsidR="00C54AFA" w:rsidRPr="00C54AFA">
        <w:rPr>
          <w:rFonts w:asciiTheme="majorBidi" w:hAnsiTheme="majorBidi" w:cstheme="majorBidi"/>
        </w:rPr>
        <w:t>，</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15</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内政、安全、权力下放和习俗事务部启动了一项名为</w:t>
      </w:r>
      <w:r w:rsidRPr="00C54AFA">
        <w:rPr>
          <w:rFonts w:asciiTheme="majorBidi" w:hAnsiTheme="majorBidi" w:cstheme="majorBidi"/>
        </w:rPr>
        <w:t>“Likofi”</w:t>
      </w:r>
      <w:r w:rsidR="00A63A71" w:rsidRPr="00C54AFA">
        <w:rPr>
          <w:rFonts w:asciiTheme="majorBidi" w:hAnsiTheme="majorBidi" w:cstheme="majorBidi"/>
        </w:rPr>
        <w:t>的行动</w:t>
      </w:r>
      <w:r w:rsidR="00C54AFA" w:rsidRPr="00C54AFA">
        <w:rPr>
          <w:rFonts w:asciiTheme="majorBidi" w:hAnsiTheme="majorBidi" w:cstheme="majorBidi"/>
        </w:rPr>
        <w:t>，</w:t>
      </w:r>
      <w:r w:rsidR="00A63A71" w:rsidRPr="00C54AFA">
        <w:rPr>
          <w:rFonts w:asciiTheme="majorBidi" w:hAnsiTheme="majorBidi" w:cstheme="majorBidi"/>
        </w:rPr>
        <w:t>目的是消灭金沙萨的犯罪团伙成员。在</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月至</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月开展的行动期间</w:t>
      </w:r>
      <w:r w:rsidR="00C54AFA" w:rsidRPr="00C54AFA">
        <w:rPr>
          <w:rFonts w:asciiTheme="majorBidi" w:hAnsiTheme="majorBidi" w:cstheme="majorBidi"/>
        </w:rPr>
        <w:t>，</w:t>
      </w:r>
      <w:r w:rsidR="00A63A71" w:rsidRPr="00C54AFA">
        <w:rPr>
          <w:rFonts w:asciiTheme="majorBidi" w:hAnsiTheme="majorBidi" w:cstheme="majorBidi"/>
        </w:rPr>
        <w:t>穿制服的蒙面警察据称在夜间突袭了嫌疑犯罪团伙成员的住宅并在枪口之下逮捕了他们</w:t>
      </w:r>
      <w:r w:rsidR="00C54AFA" w:rsidRPr="00C54AFA">
        <w:rPr>
          <w:rFonts w:asciiTheme="majorBidi" w:hAnsiTheme="majorBidi" w:cstheme="majorBidi"/>
        </w:rPr>
        <w:t>，</w:t>
      </w:r>
      <w:r w:rsidR="00A63A71" w:rsidRPr="00C54AFA">
        <w:rPr>
          <w:rFonts w:asciiTheme="majorBidi" w:hAnsiTheme="majorBidi" w:cstheme="majorBidi"/>
        </w:rPr>
        <w:t>据称未出示拘捕令。</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4</w:t>
      </w:r>
      <w:r w:rsidR="00C54AFA" w:rsidRPr="00C54AFA">
        <w:rPr>
          <w:rFonts w:asciiTheme="majorBidi" w:hAnsiTheme="majorBidi" w:cstheme="majorBidi"/>
        </w:rPr>
        <w:t>0.</w:t>
      </w:r>
      <w:r w:rsidR="00C01AB8" w:rsidRPr="00C54AFA">
        <w:rPr>
          <w:rFonts w:asciiTheme="majorBidi" w:hAnsiTheme="majorBidi" w:cstheme="majorBidi"/>
        </w:rPr>
        <w:t xml:space="preserve">  </w:t>
      </w:r>
      <w:r w:rsidR="00A63A71" w:rsidRPr="00C54AFA">
        <w:rPr>
          <w:rFonts w:asciiTheme="majorBidi" w:hAnsiTheme="majorBidi" w:cstheme="majorBidi"/>
        </w:rPr>
        <w:t>根据收到的资料</w:t>
      </w:r>
      <w:r w:rsidR="00C54AFA" w:rsidRPr="00C54AFA">
        <w:rPr>
          <w:rFonts w:asciiTheme="majorBidi" w:hAnsiTheme="majorBidi" w:cstheme="majorBidi"/>
        </w:rPr>
        <w:t>，</w:t>
      </w:r>
      <w:r w:rsidR="00A63A71" w:rsidRPr="00C54AFA">
        <w:rPr>
          <w:rFonts w:asciiTheme="majorBidi" w:hAnsiTheme="majorBidi" w:cstheme="majorBidi"/>
        </w:rPr>
        <w:t>大约</w:t>
      </w:r>
      <w:r w:rsidRPr="00C54AFA">
        <w:rPr>
          <w:rFonts w:asciiTheme="majorBidi" w:hAnsiTheme="majorBidi" w:cstheme="majorBidi"/>
        </w:rPr>
        <w:t>35</w:t>
      </w:r>
      <w:r w:rsidR="00A63A71" w:rsidRPr="00C54AFA">
        <w:rPr>
          <w:rFonts w:asciiTheme="majorBidi" w:hAnsiTheme="majorBidi" w:cstheme="majorBidi"/>
        </w:rPr>
        <w:t>0</w:t>
      </w:r>
      <w:r w:rsidR="00A63A71" w:rsidRPr="00C54AFA">
        <w:rPr>
          <w:rFonts w:asciiTheme="majorBidi" w:hAnsiTheme="majorBidi" w:cstheme="majorBidi"/>
        </w:rPr>
        <w:t>名警察</w:t>
      </w:r>
      <w:r w:rsidR="00C54AFA" w:rsidRPr="00C54AFA">
        <w:rPr>
          <w:rFonts w:asciiTheme="majorBidi" w:hAnsiTheme="majorBidi" w:cstheme="majorBidi"/>
        </w:rPr>
        <w:t>，</w:t>
      </w:r>
      <w:r w:rsidR="00A63A71" w:rsidRPr="00C54AFA">
        <w:rPr>
          <w:rFonts w:asciiTheme="majorBidi" w:hAnsiTheme="majorBidi" w:cstheme="majorBidi"/>
        </w:rPr>
        <w:t>包括来自刚果国家警察、国家应对军团和流动干预小组的人员参与了行动。据称</w:t>
      </w:r>
      <w:r w:rsidR="00C54AFA" w:rsidRPr="00C54AFA">
        <w:rPr>
          <w:rFonts w:asciiTheme="majorBidi" w:hAnsiTheme="majorBidi" w:cstheme="majorBidi"/>
        </w:rPr>
        <w:t>，</w:t>
      </w:r>
      <w:r w:rsidR="00A63A71" w:rsidRPr="00C54AFA">
        <w:rPr>
          <w:rFonts w:asciiTheme="majorBidi" w:hAnsiTheme="majorBidi" w:cstheme="majorBidi"/>
        </w:rPr>
        <w:t>他们犯下了大规模侵犯人权行为</w:t>
      </w:r>
      <w:r w:rsidR="00C54AFA" w:rsidRPr="00C54AFA">
        <w:rPr>
          <w:rFonts w:asciiTheme="majorBidi" w:hAnsiTheme="majorBidi" w:cstheme="majorBidi"/>
        </w:rPr>
        <w:t>，</w:t>
      </w:r>
      <w:r w:rsidR="00A63A71" w:rsidRPr="00C54AFA">
        <w:rPr>
          <w:rFonts w:asciiTheme="majorBidi" w:hAnsiTheme="majorBidi" w:cstheme="majorBidi"/>
        </w:rPr>
        <w:t>包括强迫失踪。据称</w:t>
      </w:r>
      <w:r w:rsidR="00C54AFA" w:rsidRPr="00C54AFA">
        <w:rPr>
          <w:rFonts w:asciiTheme="majorBidi" w:hAnsiTheme="majorBidi" w:cstheme="majorBidi"/>
        </w:rPr>
        <w:t>，</w:t>
      </w:r>
      <w:r w:rsidR="00A63A71" w:rsidRPr="00C54AFA">
        <w:rPr>
          <w:rFonts w:asciiTheme="majorBidi" w:hAnsiTheme="majorBidi" w:cstheme="majorBidi"/>
        </w:rPr>
        <w:t>受害者还包括</w:t>
      </w:r>
      <w:r w:rsidRPr="00C54AFA">
        <w:rPr>
          <w:rFonts w:asciiTheme="majorBidi" w:hAnsiTheme="majorBidi" w:cstheme="majorBidi"/>
        </w:rPr>
        <w:t>18</w:t>
      </w:r>
      <w:r w:rsidR="00A63A71" w:rsidRPr="00C54AFA">
        <w:rPr>
          <w:rFonts w:asciiTheme="majorBidi" w:hAnsiTheme="majorBidi" w:cstheme="majorBidi"/>
        </w:rPr>
        <w:t>岁以下的人以及被指控是当地团伙成员的人</w:t>
      </w:r>
      <w:r w:rsidR="00C54AFA" w:rsidRPr="00C54AFA">
        <w:rPr>
          <w:rFonts w:asciiTheme="majorBidi" w:hAnsiTheme="majorBidi" w:cstheme="majorBidi"/>
        </w:rPr>
        <w:t>，</w:t>
      </w:r>
      <w:r w:rsidR="00A63A71" w:rsidRPr="00C54AFA">
        <w:rPr>
          <w:rFonts w:asciiTheme="majorBidi" w:hAnsiTheme="majorBidi" w:cstheme="majorBidi"/>
        </w:rPr>
        <w:t>这种指控经常是为了报复私人性质的冲突。</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4</w:t>
      </w:r>
      <w:r w:rsidR="00C54AFA" w:rsidRPr="00C54AFA">
        <w:rPr>
          <w:rFonts w:asciiTheme="majorBidi" w:hAnsiTheme="majorBidi" w:cstheme="majorBidi"/>
        </w:rPr>
        <w:t>1.</w:t>
      </w:r>
      <w:r w:rsidR="00C01AB8" w:rsidRPr="00C54AFA">
        <w:rPr>
          <w:rFonts w:asciiTheme="majorBidi" w:hAnsiTheme="majorBidi" w:cstheme="majorBidi"/>
        </w:rPr>
        <w:t xml:space="preserve">  </w:t>
      </w:r>
      <w:r w:rsidR="00A63A71" w:rsidRPr="00C54AFA">
        <w:rPr>
          <w:rFonts w:asciiTheme="majorBidi" w:hAnsiTheme="majorBidi" w:cstheme="majorBidi"/>
        </w:rPr>
        <w:t>来文方提供的记录表明</w:t>
      </w:r>
      <w:r w:rsidR="00C54AFA" w:rsidRPr="00C54AFA">
        <w:rPr>
          <w:rFonts w:asciiTheme="majorBidi" w:hAnsiTheme="majorBidi" w:cstheme="majorBidi"/>
        </w:rPr>
        <w:t>，</w:t>
      </w:r>
      <w:r w:rsidR="00A63A71" w:rsidRPr="00C54AFA">
        <w:rPr>
          <w:rFonts w:asciiTheme="majorBidi" w:hAnsiTheme="majorBidi" w:cstheme="majorBidi"/>
        </w:rPr>
        <w:t>大多数强迫失踪案件是在</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月底和</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月发生的。据报告</w:t>
      </w:r>
      <w:r w:rsidR="00C54AFA" w:rsidRPr="00C54AFA">
        <w:rPr>
          <w:rFonts w:asciiTheme="majorBidi" w:hAnsiTheme="majorBidi" w:cstheme="majorBidi"/>
        </w:rPr>
        <w:t>，</w:t>
      </w:r>
      <w:r w:rsidR="00A63A71" w:rsidRPr="00C54AFA">
        <w:rPr>
          <w:rFonts w:asciiTheme="majorBidi" w:hAnsiTheme="majorBidi" w:cstheme="majorBidi"/>
        </w:rPr>
        <w:t>这是由于</w:t>
      </w:r>
      <w:r w:rsidR="00C54AFA" w:rsidRPr="00C54AFA">
        <w:rPr>
          <w:rFonts w:asciiTheme="majorBidi" w:hAnsiTheme="majorBidi" w:cstheme="majorBidi"/>
        </w:rPr>
        <w:t>，</w:t>
      </w:r>
      <w:r w:rsidR="00A63A71" w:rsidRPr="00C54AFA">
        <w:rPr>
          <w:rFonts w:asciiTheme="majorBidi" w:hAnsiTheme="majorBidi" w:cstheme="majorBidi"/>
        </w:rPr>
        <w:t>在联合国和当地人权组织对数周前发生的即审即决提出了关切之后</w:t>
      </w:r>
      <w:r w:rsidR="00C54AFA" w:rsidRPr="00C54AFA">
        <w:rPr>
          <w:rFonts w:asciiTheme="majorBidi" w:hAnsiTheme="majorBidi" w:cstheme="majorBidi"/>
        </w:rPr>
        <w:t>，</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00C54AFA" w:rsidRPr="00C54AFA">
        <w:rPr>
          <w:rFonts w:asciiTheme="majorBidi" w:hAnsiTheme="majorBidi" w:cstheme="majorBidi"/>
        </w:rPr>
        <w:t>，</w:t>
      </w:r>
      <w:r w:rsidR="00A63A71" w:rsidRPr="00C54AFA">
        <w:rPr>
          <w:rFonts w:asciiTheme="majorBidi" w:hAnsiTheme="majorBidi" w:cstheme="majorBidi"/>
        </w:rPr>
        <w:t>改变了策略。根据收到的资料</w:t>
      </w:r>
      <w:r w:rsidR="00C54AFA" w:rsidRPr="00C54AFA">
        <w:rPr>
          <w:rFonts w:asciiTheme="majorBidi" w:hAnsiTheme="majorBidi" w:cstheme="majorBidi"/>
        </w:rPr>
        <w:t>，</w:t>
      </w:r>
      <w:r w:rsidR="00A63A71" w:rsidRPr="00C54AFA">
        <w:rPr>
          <w:rFonts w:asciiTheme="majorBidi" w:hAnsiTheme="majorBidi" w:cstheme="majorBidi"/>
        </w:rPr>
        <w:t>未对嫌疑犯罪团伙成员进行公开处决</w:t>
      </w:r>
      <w:r w:rsidR="00C54AFA" w:rsidRPr="00C54AFA">
        <w:rPr>
          <w:rFonts w:asciiTheme="majorBidi" w:hAnsiTheme="majorBidi" w:cstheme="majorBidi"/>
        </w:rPr>
        <w:t>，</w:t>
      </w:r>
      <w:r w:rsidR="00A63A71" w:rsidRPr="00C54AFA">
        <w:rPr>
          <w:rFonts w:asciiTheme="majorBidi" w:hAnsiTheme="majorBidi" w:cstheme="majorBidi"/>
        </w:rPr>
        <w:t>他们被带到金沙萨郊区的一个不明地点</w:t>
      </w:r>
      <w:r w:rsidR="00C54AFA" w:rsidRPr="00C54AFA">
        <w:rPr>
          <w:rFonts w:asciiTheme="majorBidi" w:hAnsiTheme="majorBidi" w:cstheme="majorBidi"/>
        </w:rPr>
        <w:t>，</w:t>
      </w:r>
      <w:r w:rsidR="00A63A71" w:rsidRPr="00C54AFA">
        <w:rPr>
          <w:rFonts w:asciiTheme="majorBidi" w:hAnsiTheme="majorBidi" w:cstheme="majorBidi"/>
        </w:rPr>
        <w:t>据称在一些人后来被秘密杀害</w:t>
      </w:r>
      <w:r w:rsidR="00C54AFA" w:rsidRPr="00C54AFA">
        <w:rPr>
          <w:rFonts w:asciiTheme="majorBidi" w:hAnsiTheme="majorBidi" w:cstheme="majorBidi"/>
        </w:rPr>
        <w:t>，</w:t>
      </w:r>
      <w:r w:rsidR="00A63A71" w:rsidRPr="00C54AFA">
        <w:rPr>
          <w:rFonts w:asciiTheme="majorBidi" w:hAnsiTheme="majorBidi" w:cstheme="majorBidi"/>
        </w:rPr>
        <w:t>尸体被扔进刚果河或埋在群葬墓。</w:t>
      </w:r>
      <w:r w:rsidRPr="00C54AFA">
        <w:rPr>
          <w:rFonts w:asciiTheme="majorBidi" w:hAnsiTheme="majorBidi" w:cstheme="majorBidi"/>
        </w:rPr>
        <w:t>3</w:t>
      </w:r>
      <w:r w:rsidR="00A63A71" w:rsidRPr="00C54AFA">
        <w:rPr>
          <w:rFonts w:asciiTheme="majorBidi" w:hAnsiTheme="majorBidi" w:cstheme="majorBidi"/>
        </w:rPr>
        <w:t>0</w:t>
      </w:r>
      <w:r w:rsidR="00A63A71" w:rsidRPr="00C54AFA">
        <w:rPr>
          <w:rFonts w:asciiTheme="majorBidi" w:hAnsiTheme="majorBidi" w:cstheme="majorBidi"/>
        </w:rPr>
        <w:t>多人</w:t>
      </w:r>
      <w:r w:rsidR="00C54AFA" w:rsidRPr="00C54AFA">
        <w:rPr>
          <w:rFonts w:asciiTheme="majorBidi" w:hAnsiTheme="majorBidi" w:cstheme="majorBidi"/>
        </w:rPr>
        <w:t>，</w:t>
      </w:r>
      <w:r w:rsidR="00A63A71" w:rsidRPr="00C54AFA">
        <w:rPr>
          <w:rFonts w:asciiTheme="majorBidi" w:hAnsiTheme="majorBidi" w:cstheme="majorBidi"/>
        </w:rPr>
        <w:t>包括</w:t>
      </w:r>
      <w:r w:rsidRPr="00C54AFA">
        <w:rPr>
          <w:rFonts w:asciiTheme="majorBidi" w:hAnsiTheme="majorBidi" w:cstheme="majorBidi"/>
        </w:rPr>
        <w:t>18</w:t>
      </w:r>
      <w:r w:rsidR="00A63A71" w:rsidRPr="00C54AFA">
        <w:rPr>
          <w:rFonts w:asciiTheme="majorBidi" w:hAnsiTheme="majorBidi" w:cstheme="majorBidi"/>
        </w:rPr>
        <w:t>岁以下的四名男童</w:t>
      </w:r>
      <w:r w:rsidR="00C54AFA" w:rsidRPr="00C54AFA">
        <w:rPr>
          <w:rFonts w:asciiTheme="majorBidi" w:hAnsiTheme="majorBidi" w:cstheme="majorBidi"/>
        </w:rPr>
        <w:t>，</w:t>
      </w:r>
      <w:r w:rsidR="00A63A71" w:rsidRPr="00C54AFA">
        <w:rPr>
          <w:rFonts w:asciiTheme="majorBidi" w:hAnsiTheme="majorBidi" w:cstheme="majorBidi"/>
        </w:rPr>
        <w:t>在</w:t>
      </w:r>
      <w:r w:rsidRPr="00C54AFA">
        <w:rPr>
          <w:rFonts w:asciiTheme="majorBidi" w:hAnsiTheme="majorBidi" w:cstheme="majorBidi"/>
        </w:rPr>
        <w:t>“Likofi”</w:t>
      </w:r>
      <w:r w:rsidR="00A63A71" w:rsidRPr="00C54AFA">
        <w:rPr>
          <w:rFonts w:asciiTheme="majorBidi" w:hAnsiTheme="majorBidi" w:cstheme="majorBidi"/>
        </w:rPr>
        <w:t>行动中失踪。</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4</w:t>
      </w:r>
      <w:r w:rsidR="00C54AFA" w:rsidRPr="00C54AFA">
        <w:rPr>
          <w:rFonts w:asciiTheme="majorBidi" w:hAnsiTheme="majorBidi" w:cstheme="majorBidi"/>
        </w:rPr>
        <w:t>2.</w:t>
      </w:r>
      <w:r w:rsidR="00C01AB8" w:rsidRPr="00C54AFA">
        <w:rPr>
          <w:rFonts w:asciiTheme="majorBidi" w:hAnsiTheme="majorBidi" w:cstheme="majorBidi"/>
        </w:rPr>
        <w:t xml:space="preserve">  </w:t>
      </w:r>
      <w:r w:rsidR="00D84950">
        <w:rPr>
          <w:rFonts w:asciiTheme="majorBidi" w:hAnsiTheme="majorBidi" w:cstheme="majorBidi"/>
        </w:rPr>
        <w:t>失踪者家庭成员试图通过遍访金沙萨的监狱、拘留</w:t>
      </w:r>
      <w:r w:rsidR="00D84950">
        <w:rPr>
          <w:rFonts w:asciiTheme="majorBidi" w:hAnsiTheme="majorBidi" w:cstheme="majorBidi" w:hint="eastAsia"/>
        </w:rPr>
        <w:t>所</w:t>
      </w:r>
      <w:r w:rsidR="00A63A71" w:rsidRPr="00C54AFA">
        <w:rPr>
          <w:rFonts w:asciiTheme="majorBidi" w:hAnsiTheme="majorBidi" w:cstheme="majorBidi"/>
        </w:rPr>
        <w:t>、停尸房和医院确定亲属的命运或下落</w:t>
      </w:r>
      <w:r w:rsidR="00C54AFA" w:rsidRPr="00C54AFA">
        <w:rPr>
          <w:rFonts w:asciiTheme="majorBidi" w:hAnsiTheme="majorBidi" w:cstheme="majorBidi"/>
        </w:rPr>
        <w:t>，</w:t>
      </w:r>
      <w:r w:rsidR="00A63A71" w:rsidRPr="00C54AFA">
        <w:rPr>
          <w:rFonts w:asciiTheme="majorBidi" w:hAnsiTheme="majorBidi" w:cstheme="majorBidi"/>
        </w:rPr>
        <w:t>但徒劳无功。来文方称</w:t>
      </w:r>
      <w:r w:rsidR="00C54AFA" w:rsidRPr="00C54AFA">
        <w:rPr>
          <w:rFonts w:asciiTheme="majorBidi" w:hAnsiTheme="majorBidi" w:cstheme="majorBidi"/>
        </w:rPr>
        <w:t>，</w:t>
      </w:r>
      <w:r w:rsidR="00A63A71" w:rsidRPr="00C54AFA">
        <w:rPr>
          <w:rFonts w:asciiTheme="majorBidi" w:hAnsiTheme="majorBidi" w:cstheme="majorBidi"/>
        </w:rPr>
        <w:t>他们要求政府当局提供信息的请求基本上都被置之不理。几名亲属向军事检察官投诉</w:t>
      </w:r>
      <w:r w:rsidR="00C54AFA" w:rsidRPr="00C54AFA">
        <w:rPr>
          <w:rFonts w:asciiTheme="majorBidi" w:hAnsiTheme="majorBidi" w:cstheme="majorBidi"/>
        </w:rPr>
        <w:t>，</w:t>
      </w:r>
      <w:r w:rsidR="00A63A71" w:rsidRPr="00C54AFA">
        <w:rPr>
          <w:rFonts w:asciiTheme="majorBidi" w:hAnsiTheme="majorBidi" w:cstheme="majorBidi"/>
        </w:rPr>
        <w:t>大部分都未成功。警方或政府其他人员警告记者、医生、太平间工作人员、受害者家庭成员和人权活动分子</w:t>
      </w:r>
      <w:r w:rsidR="00C54AFA" w:rsidRPr="00C54AFA">
        <w:rPr>
          <w:rFonts w:asciiTheme="majorBidi" w:hAnsiTheme="majorBidi" w:cstheme="majorBidi"/>
        </w:rPr>
        <w:t>，</w:t>
      </w:r>
      <w:r w:rsidR="00A63A71" w:rsidRPr="00C54AFA">
        <w:rPr>
          <w:rFonts w:asciiTheme="majorBidi" w:hAnsiTheme="majorBidi" w:cstheme="majorBidi"/>
        </w:rPr>
        <w:t>不得传播在行动期间所犯的侵权行为信息。由于担心报复</w:t>
      </w:r>
      <w:r w:rsidR="00C54AFA" w:rsidRPr="00C54AFA">
        <w:rPr>
          <w:rFonts w:asciiTheme="majorBidi" w:hAnsiTheme="majorBidi" w:cstheme="majorBidi"/>
        </w:rPr>
        <w:t>，</w:t>
      </w:r>
      <w:r w:rsidR="00A63A71" w:rsidRPr="00C54AFA">
        <w:rPr>
          <w:rFonts w:asciiTheme="majorBidi" w:hAnsiTheme="majorBidi" w:cstheme="majorBidi"/>
        </w:rPr>
        <w:t>失踪者的一些亲属因此未提出任何投诉。</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4</w:t>
      </w:r>
      <w:r w:rsidR="00C54AFA" w:rsidRPr="00C54AFA">
        <w:rPr>
          <w:rFonts w:asciiTheme="majorBidi" w:hAnsiTheme="majorBidi" w:cstheme="majorBidi"/>
        </w:rPr>
        <w:t>3.</w:t>
      </w:r>
      <w:r w:rsidR="00C01AB8"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9</w:t>
      </w:r>
      <w:r w:rsidR="00A63A71" w:rsidRPr="00C54AFA">
        <w:rPr>
          <w:rFonts w:asciiTheme="majorBidi" w:hAnsiTheme="majorBidi" w:cstheme="majorBidi"/>
        </w:rPr>
        <w:t>月</w:t>
      </w:r>
      <w:r w:rsidR="00C54AFA" w:rsidRPr="00C54AFA">
        <w:rPr>
          <w:rFonts w:asciiTheme="majorBidi" w:hAnsiTheme="majorBidi" w:cstheme="majorBidi"/>
        </w:rPr>
        <w:t>，</w:t>
      </w:r>
      <w:r w:rsidR="00A63A71" w:rsidRPr="00C54AFA">
        <w:rPr>
          <w:rFonts w:asciiTheme="majorBidi" w:hAnsiTheme="majorBidi" w:cstheme="majorBidi"/>
        </w:rPr>
        <w:t>成立了由警察组成的一个调查委员会</w:t>
      </w:r>
      <w:r w:rsidR="00C54AFA" w:rsidRPr="00C54AFA">
        <w:rPr>
          <w:rFonts w:asciiTheme="majorBidi" w:hAnsiTheme="majorBidi" w:cstheme="majorBidi"/>
        </w:rPr>
        <w:t>，</w:t>
      </w:r>
      <w:r w:rsidR="00A63A71" w:rsidRPr="00C54AFA">
        <w:rPr>
          <w:rFonts w:asciiTheme="majorBidi" w:hAnsiTheme="majorBidi" w:cstheme="majorBidi"/>
        </w:rPr>
        <w:t>以调查指称虐待案件。该委员会的任务是</w:t>
      </w:r>
      <w:r w:rsidR="00C54AFA" w:rsidRPr="00C54AFA">
        <w:rPr>
          <w:rFonts w:asciiTheme="majorBidi" w:hAnsiTheme="majorBidi" w:cstheme="majorBidi"/>
        </w:rPr>
        <w:t>，</w:t>
      </w:r>
      <w:r w:rsidR="00A63A71" w:rsidRPr="00C54AFA">
        <w:rPr>
          <w:rFonts w:asciiTheme="majorBidi" w:hAnsiTheme="majorBidi" w:cstheme="majorBidi"/>
        </w:rPr>
        <w:t>查明被处决者的埋葬地点</w:t>
      </w:r>
      <w:r w:rsidR="00C54AFA" w:rsidRPr="00C54AFA">
        <w:rPr>
          <w:rFonts w:asciiTheme="majorBidi" w:hAnsiTheme="majorBidi" w:cstheme="majorBidi"/>
        </w:rPr>
        <w:t>，</w:t>
      </w:r>
      <w:r w:rsidR="00A63A71" w:rsidRPr="00C54AFA">
        <w:rPr>
          <w:rFonts w:asciiTheme="majorBidi" w:hAnsiTheme="majorBidi" w:cstheme="majorBidi"/>
        </w:rPr>
        <w:t>提供关于失踪者命运或下落的信息</w:t>
      </w:r>
      <w:r w:rsidR="00C54AFA" w:rsidRPr="00C54AFA">
        <w:rPr>
          <w:rFonts w:asciiTheme="majorBidi" w:hAnsiTheme="majorBidi" w:cstheme="majorBidi"/>
        </w:rPr>
        <w:t>，</w:t>
      </w:r>
      <w:r w:rsidR="00A63A71" w:rsidRPr="00C54AFA">
        <w:rPr>
          <w:rFonts w:asciiTheme="majorBidi" w:hAnsiTheme="majorBidi" w:cstheme="majorBidi"/>
        </w:rPr>
        <w:t>向受害者家属通报情况</w:t>
      </w:r>
      <w:r w:rsidR="00C54AFA" w:rsidRPr="00C54AFA">
        <w:rPr>
          <w:rFonts w:asciiTheme="majorBidi" w:hAnsiTheme="majorBidi" w:cstheme="majorBidi"/>
        </w:rPr>
        <w:t>，</w:t>
      </w:r>
      <w:r w:rsidR="00A63A71" w:rsidRPr="00C54AFA">
        <w:rPr>
          <w:rFonts w:asciiTheme="majorBidi" w:hAnsiTheme="majorBidi" w:cstheme="majorBidi"/>
        </w:rPr>
        <w:t>并提出建议</w:t>
      </w:r>
      <w:r w:rsidR="00C54AFA" w:rsidRPr="00C54AFA">
        <w:rPr>
          <w:rFonts w:asciiTheme="majorBidi" w:hAnsiTheme="majorBidi" w:cstheme="majorBidi"/>
        </w:rPr>
        <w:t>，</w:t>
      </w:r>
      <w:r w:rsidR="00A63A71" w:rsidRPr="00C54AFA">
        <w:rPr>
          <w:rFonts w:asciiTheme="majorBidi" w:hAnsiTheme="majorBidi" w:cstheme="majorBidi"/>
        </w:rPr>
        <w:t>对侵权犯罪人采取法律行动。委员会没有司法权力</w:t>
      </w:r>
      <w:r w:rsidR="00C54AFA" w:rsidRPr="00C54AFA">
        <w:rPr>
          <w:rFonts w:asciiTheme="majorBidi" w:hAnsiTheme="majorBidi" w:cstheme="majorBidi"/>
        </w:rPr>
        <w:t>，</w:t>
      </w:r>
      <w:r w:rsidR="00A63A71" w:rsidRPr="00C54AFA">
        <w:rPr>
          <w:rFonts w:asciiTheme="majorBidi" w:hAnsiTheme="majorBidi" w:cstheme="majorBidi"/>
        </w:rPr>
        <w:t>而且</w:t>
      </w:r>
      <w:r w:rsidR="00C54AFA" w:rsidRPr="00C54AFA">
        <w:rPr>
          <w:rFonts w:asciiTheme="majorBidi" w:hAnsiTheme="majorBidi" w:cstheme="majorBidi"/>
        </w:rPr>
        <w:t>，</w:t>
      </w:r>
      <w:r w:rsidR="00A63A71" w:rsidRPr="00C54AFA">
        <w:rPr>
          <w:rFonts w:asciiTheme="majorBidi" w:hAnsiTheme="majorBidi" w:cstheme="majorBidi"/>
        </w:rPr>
        <w:t>据称缺乏公正性</w:t>
      </w:r>
      <w:r w:rsidR="00C54AFA" w:rsidRPr="00C54AFA">
        <w:rPr>
          <w:rFonts w:asciiTheme="majorBidi" w:hAnsiTheme="majorBidi" w:cstheme="majorBidi"/>
        </w:rPr>
        <w:t>，</w:t>
      </w:r>
      <w:r w:rsidR="00A63A71" w:rsidRPr="00C54AFA">
        <w:rPr>
          <w:rFonts w:asciiTheme="majorBidi" w:hAnsiTheme="majorBidi" w:cstheme="majorBidi"/>
        </w:rPr>
        <w:t>因为它仅包括警察队伍的成员</w:t>
      </w:r>
      <w:r w:rsidR="00C54AFA" w:rsidRPr="00C54AFA">
        <w:rPr>
          <w:rFonts w:asciiTheme="majorBidi" w:hAnsiTheme="majorBidi" w:cstheme="majorBidi"/>
        </w:rPr>
        <w:t>，</w:t>
      </w:r>
      <w:r w:rsidR="00A63A71" w:rsidRPr="00C54AFA">
        <w:rPr>
          <w:rFonts w:asciiTheme="majorBidi" w:hAnsiTheme="majorBidi" w:cstheme="majorBidi"/>
        </w:rPr>
        <w:t>而这正是对据称侵权和对家庭成员和据称侵权行为的证人进行的威胁负有责任的机构。据报告</w:t>
      </w:r>
      <w:r w:rsidR="00C54AFA" w:rsidRPr="00C54AFA">
        <w:rPr>
          <w:rFonts w:asciiTheme="majorBidi" w:hAnsiTheme="majorBidi" w:cstheme="majorBidi"/>
        </w:rPr>
        <w:t>，</w:t>
      </w:r>
      <w:r w:rsidR="00A63A71" w:rsidRPr="00C54AFA">
        <w:rPr>
          <w:rFonts w:asciiTheme="majorBidi" w:hAnsiTheme="majorBidi" w:cstheme="majorBidi"/>
        </w:rPr>
        <w:t>该项行动的推定负责人众所周知</w:t>
      </w:r>
      <w:r w:rsidR="00C54AFA" w:rsidRPr="00C54AFA">
        <w:rPr>
          <w:rFonts w:asciiTheme="majorBidi" w:hAnsiTheme="majorBidi" w:cstheme="majorBidi"/>
        </w:rPr>
        <w:t>，</w:t>
      </w:r>
      <w:r w:rsidR="00A63A71" w:rsidRPr="00C54AFA">
        <w:rPr>
          <w:rFonts w:asciiTheme="majorBidi" w:hAnsiTheme="majorBidi" w:cstheme="majorBidi"/>
        </w:rPr>
        <w:t>但未对他们提起诉讼。</w:t>
      </w:r>
    </w:p>
    <w:p w:rsidR="00A63A71" w:rsidRPr="00C54AFA" w:rsidRDefault="00A63A71" w:rsidP="00116230">
      <w:pPr>
        <w:pStyle w:val="H1GC"/>
      </w:pPr>
      <w:r w:rsidRPr="00C54AFA">
        <w:tab/>
      </w:r>
      <w:r w:rsidRPr="00C54AFA">
        <w:tab/>
      </w:r>
      <w:r w:rsidRPr="00C54AFA">
        <w:t>多米尼加共和国</w:t>
      </w:r>
      <w:r w:rsidRPr="00C54AFA">
        <w:tab/>
      </w:r>
    </w:p>
    <w:p w:rsidR="00A63A71" w:rsidRPr="00C54AFA" w:rsidRDefault="00A63A71" w:rsidP="00116230">
      <w:pPr>
        <w:pStyle w:val="H23GC"/>
      </w:pPr>
      <w:r w:rsidRPr="00C54AFA">
        <w:tab/>
      </w:r>
      <w:r w:rsidRPr="00C54AFA">
        <w:tab/>
      </w:r>
      <w:r w:rsidRPr="00C54AFA">
        <w:t>政府提供的资料</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4</w:t>
      </w:r>
      <w:r w:rsidR="00C54AFA" w:rsidRPr="00C54AFA">
        <w:rPr>
          <w:rFonts w:asciiTheme="majorBidi" w:hAnsiTheme="majorBidi" w:cstheme="majorBidi"/>
        </w:rPr>
        <w:t>4.</w:t>
      </w:r>
      <w:r w:rsidR="00C01AB8"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2</w:t>
      </w:r>
      <w:r w:rsidR="00A63A71" w:rsidRPr="00C54AFA">
        <w:rPr>
          <w:rFonts w:asciiTheme="majorBidi" w:hAnsiTheme="majorBidi" w:cstheme="majorBidi"/>
        </w:rPr>
        <w:t>日和</w:t>
      </w:r>
      <w:r w:rsidRPr="00C54AFA">
        <w:rPr>
          <w:rFonts w:asciiTheme="majorBidi" w:hAnsiTheme="majorBidi" w:cstheme="majorBidi"/>
        </w:rPr>
        <w:t>7</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该国政府就两起未决案件提供了资料。</w:t>
      </w:r>
    </w:p>
    <w:p w:rsidR="00A63A71" w:rsidRPr="00C54AFA" w:rsidRDefault="00A63A71" w:rsidP="00116230">
      <w:pPr>
        <w:pStyle w:val="H1GC"/>
      </w:pPr>
      <w:r w:rsidRPr="00C54AFA">
        <w:lastRenderedPageBreak/>
        <w:tab/>
      </w:r>
      <w:r w:rsidRPr="00C54AFA">
        <w:tab/>
      </w:r>
      <w:r w:rsidRPr="00C54AFA">
        <w:t>埃及</w:t>
      </w:r>
    </w:p>
    <w:p w:rsidR="00A63A71" w:rsidRPr="00C54AFA" w:rsidRDefault="00A63A71" w:rsidP="00116230">
      <w:pPr>
        <w:pStyle w:val="H23GC"/>
      </w:pPr>
      <w:r w:rsidRPr="00C54AFA">
        <w:tab/>
      </w:r>
      <w:r w:rsidRPr="00C54AFA">
        <w:tab/>
      </w:r>
      <w:r w:rsidRPr="00C54AFA">
        <w:t>紧急行动</w:t>
      </w:r>
    </w:p>
    <w:p w:rsidR="00A63A71" w:rsidRPr="00C54AFA" w:rsidRDefault="00BC4B0A" w:rsidP="00C01AB8">
      <w:pPr>
        <w:pStyle w:val="SingleTxtGC"/>
        <w:rPr>
          <w:rFonts w:asciiTheme="majorBidi" w:hAnsiTheme="majorBidi" w:cstheme="majorBidi"/>
        </w:rPr>
      </w:pPr>
      <w:r w:rsidRPr="00C54AFA">
        <w:rPr>
          <w:rFonts w:asciiTheme="majorBidi" w:hAnsiTheme="majorBidi" w:cstheme="majorBidi"/>
        </w:rPr>
        <w:t>4</w:t>
      </w:r>
      <w:r w:rsidR="00C54AFA" w:rsidRPr="00C54AFA">
        <w:rPr>
          <w:rFonts w:asciiTheme="majorBidi" w:hAnsiTheme="majorBidi" w:cstheme="majorBidi"/>
        </w:rPr>
        <w:t>5.</w:t>
      </w:r>
      <w:r w:rsidR="00C01AB8" w:rsidRPr="00C54AFA">
        <w:rPr>
          <w:rFonts w:asciiTheme="majorBidi" w:hAnsiTheme="majorBidi" w:cstheme="majorBidi"/>
        </w:rPr>
        <w:t xml:space="preserve">  </w:t>
      </w:r>
      <w:r w:rsidR="00A63A71" w:rsidRPr="00C54AFA">
        <w:rPr>
          <w:rFonts w:asciiTheme="majorBidi" w:hAnsiTheme="majorBidi" w:cstheme="majorBidi"/>
        </w:rPr>
        <w:t>工作组依照紧急行动程序向该国政府转交了以下</w:t>
      </w:r>
      <w:r w:rsidRPr="00C54AFA">
        <w:rPr>
          <w:rFonts w:asciiTheme="majorBidi" w:hAnsiTheme="majorBidi" w:cstheme="majorBidi"/>
        </w:rPr>
        <w:t>41</w:t>
      </w:r>
      <w:r w:rsidR="00A63A71" w:rsidRPr="00C54AFA">
        <w:rPr>
          <w:rFonts w:asciiTheme="majorBidi" w:hAnsiTheme="majorBidi" w:cstheme="majorBidi"/>
        </w:rPr>
        <w:t>起案件</w:t>
      </w:r>
      <w:r w:rsidR="00C54AFA" w:rsidRPr="00C54AFA">
        <w:rPr>
          <w:rFonts w:asciiTheme="majorBidi" w:hAnsiTheme="majorBidi" w:cstheme="majorBidi"/>
        </w:rPr>
        <w:t>：</w:t>
      </w:r>
    </w:p>
    <w:p w:rsidR="00A63A71" w:rsidRPr="00C54AFA" w:rsidRDefault="00BC4B0A" w:rsidP="00C01AB8">
      <w:pPr>
        <w:pStyle w:val="SingleTxtGC"/>
        <w:numPr>
          <w:ilvl w:val="0"/>
          <w:numId w:val="9"/>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9</w:t>
      </w:r>
      <w:r w:rsidR="00A63A71" w:rsidRPr="00C54AFA">
        <w:rPr>
          <w:rFonts w:asciiTheme="majorBidi" w:hAnsiTheme="majorBidi" w:cstheme="majorBidi"/>
        </w:rPr>
        <w:t>月</w:t>
      </w:r>
      <w:r w:rsidRPr="00C54AFA">
        <w:rPr>
          <w:rFonts w:asciiTheme="majorBidi" w:hAnsiTheme="majorBidi" w:cstheme="majorBidi"/>
        </w:rPr>
        <w:t>25</w:t>
      </w:r>
      <w:r w:rsidR="00A63A71" w:rsidRPr="00C54AFA">
        <w:rPr>
          <w:rFonts w:asciiTheme="majorBidi" w:hAnsiTheme="majorBidi" w:cstheme="majorBidi"/>
        </w:rPr>
        <w:t>日转交了</w:t>
      </w:r>
      <w:r w:rsidRPr="00C54AFA">
        <w:rPr>
          <w:rFonts w:asciiTheme="majorBidi" w:hAnsiTheme="majorBidi" w:cstheme="majorBidi"/>
        </w:rPr>
        <w:t>Amr</w:t>
      </w:r>
      <w:r w:rsidR="00A63A71" w:rsidRPr="00C54AFA">
        <w:rPr>
          <w:rFonts w:asciiTheme="majorBidi" w:hAnsiTheme="majorBidi" w:cstheme="majorBidi"/>
        </w:rPr>
        <w:t xml:space="preserve"> </w:t>
      </w:r>
      <w:r w:rsidRPr="00C54AFA">
        <w:rPr>
          <w:rFonts w:asciiTheme="majorBidi" w:hAnsiTheme="majorBidi" w:cstheme="majorBidi"/>
        </w:rPr>
        <w:t>Mahmoud</w:t>
      </w:r>
      <w:r w:rsidR="00A63A71" w:rsidRPr="00C54AFA">
        <w:rPr>
          <w:rFonts w:asciiTheme="majorBidi" w:hAnsiTheme="majorBidi" w:cstheme="majorBidi"/>
        </w:rPr>
        <w:t xml:space="preserve"> </w:t>
      </w:r>
      <w:r w:rsidRPr="00C54AFA">
        <w:rPr>
          <w:rFonts w:asciiTheme="majorBidi" w:hAnsiTheme="majorBidi" w:cstheme="majorBidi"/>
        </w:rPr>
        <w:t>Othman</w:t>
      </w:r>
      <w:r w:rsidR="00A63A71" w:rsidRPr="00C54AFA">
        <w:rPr>
          <w:rFonts w:asciiTheme="majorBidi" w:hAnsiTheme="majorBidi" w:cstheme="majorBidi"/>
        </w:rPr>
        <w:t xml:space="preserve"> </w:t>
      </w:r>
      <w:r w:rsidRPr="00C54AFA">
        <w:rPr>
          <w:rFonts w:asciiTheme="majorBidi" w:hAnsiTheme="majorBidi" w:cstheme="majorBidi"/>
        </w:rPr>
        <w:t>Mahmoud</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25</w:t>
      </w:r>
      <w:r w:rsidR="00A63A71" w:rsidRPr="00C54AFA">
        <w:rPr>
          <w:rFonts w:asciiTheme="majorBidi" w:hAnsiTheme="majorBidi" w:cstheme="majorBidi"/>
        </w:rPr>
        <w:t>日在亚历山大</w:t>
      </w:r>
      <w:r w:rsidRPr="00C54AFA">
        <w:rPr>
          <w:rFonts w:asciiTheme="majorBidi" w:hAnsiTheme="majorBidi" w:cstheme="majorBidi"/>
        </w:rPr>
        <w:t>Bakoos</w:t>
      </w:r>
      <w:r w:rsidR="00A63A71" w:rsidRPr="00C54AFA">
        <w:rPr>
          <w:rFonts w:asciiTheme="majorBidi" w:hAnsiTheme="majorBidi" w:cstheme="majorBidi"/>
        </w:rPr>
        <w:t>被蒙面保安部逮捕队</w:t>
      </w:r>
      <w:r w:rsidR="00C54AFA" w:rsidRPr="00C54AFA">
        <w:rPr>
          <w:rFonts w:asciiTheme="majorBidi" w:hAnsiTheme="majorBidi" w:cstheme="majorBidi"/>
        </w:rPr>
        <w:t>；</w:t>
      </w:r>
    </w:p>
    <w:p w:rsidR="00A63A71" w:rsidRPr="00C54AFA" w:rsidRDefault="00BC4B0A" w:rsidP="00C01AB8">
      <w:pPr>
        <w:pStyle w:val="SingleTxtGC"/>
        <w:numPr>
          <w:ilvl w:val="0"/>
          <w:numId w:val="9"/>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23</w:t>
      </w:r>
      <w:r w:rsidR="00A63A71" w:rsidRPr="00C54AFA">
        <w:rPr>
          <w:rFonts w:asciiTheme="majorBidi" w:hAnsiTheme="majorBidi" w:cstheme="majorBidi"/>
        </w:rPr>
        <w:t>日转交了</w:t>
      </w:r>
      <w:r w:rsidRPr="00C54AFA">
        <w:rPr>
          <w:rFonts w:asciiTheme="majorBidi" w:hAnsiTheme="majorBidi" w:cstheme="majorBidi"/>
        </w:rPr>
        <w:t>Ali</w:t>
      </w:r>
      <w:r w:rsidR="00A63A71" w:rsidRPr="00C54AFA">
        <w:rPr>
          <w:rFonts w:asciiTheme="majorBidi" w:hAnsiTheme="majorBidi" w:cstheme="majorBidi"/>
        </w:rPr>
        <w:t xml:space="preserve"> </w:t>
      </w: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Abdulhamid</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9</w:t>
      </w:r>
      <w:r w:rsidR="00A63A71" w:rsidRPr="00C54AFA">
        <w:rPr>
          <w:rFonts w:asciiTheme="majorBidi" w:hAnsiTheme="majorBidi" w:cstheme="majorBidi"/>
        </w:rPr>
        <w:t>月</w:t>
      </w:r>
      <w:r w:rsidRPr="00C54AFA">
        <w:rPr>
          <w:rFonts w:asciiTheme="majorBidi" w:hAnsiTheme="majorBidi" w:cstheme="majorBidi"/>
        </w:rPr>
        <w:t>24</w:t>
      </w:r>
      <w:r w:rsidR="00A63A71" w:rsidRPr="00C54AFA">
        <w:rPr>
          <w:rFonts w:asciiTheme="majorBidi" w:hAnsiTheme="majorBidi" w:cstheme="majorBidi"/>
        </w:rPr>
        <w:t>日在十月六日城</w:t>
      </w:r>
      <w:r w:rsidR="00C54AFA" w:rsidRPr="00C54AFA">
        <w:rPr>
          <w:rFonts w:asciiTheme="majorBidi" w:hAnsiTheme="majorBidi" w:cstheme="majorBidi"/>
        </w:rPr>
        <w:t>(</w:t>
      </w:r>
      <w:r w:rsidR="00A63A71" w:rsidRPr="00C54AFA">
        <w:rPr>
          <w:rFonts w:asciiTheme="majorBidi" w:hAnsiTheme="majorBidi" w:cstheme="majorBidi"/>
        </w:rPr>
        <w:t>开罗</w:t>
      </w:r>
      <w:r w:rsidR="00C54AFA" w:rsidRPr="00C54AFA">
        <w:rPr>
          <w:rFonts w:asciiTheme="majorBidi" w:hAnsiTheme="majorBidi" w:cstheme="majorBidi"/>
        </w:rPr>
        <w:t>)</w:t>
      </w:r>
      <w:r w:rsidR="00A63A71" w:rsidRPr="00C54AFA">
        <w:rPr>
          <w:rFonts w:asciiTheme="majorBidi" w:hAnsiTheme="majorBidi" w:cstheme="majorBidi"/>
        </w:rPr>
        <w:t>被国家安全局成员绑架</w:t>
      </w:r>
      <w:r w:rsidR="00C54AFA" w:rsidRPr="00C54AFA">
        <w:rPr>
          <w:rFonts w:asciiTheme="majorBidi" w:hAnsiTheme="majorBidi" w:cstheme="majorBidi"/>
        </w:rPr>
        <w:t>；</w:t>
      </w:r>
    </w:p>
    <w:p w:rsidR="00A63A71" w:rsidRPr="00C54AFA" w:rsidRDefault="00BC4B0A" w:rsidP="00C01AB8">
      <w:pPr>
        <w:pStyle w:val="SingleTxtGC"/>
        <w:numPr>
          <w:ilvl w:val="0"/>
          <w:numId w:val="9"/>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31</w:t>
      </w:r>
      <w:r w:rsidR="00A63A71" w:rsidRPr="00C54AFA">
        <w:rPr>
          <w:rFonts w:asciiTheme="majorBidi" w:hAnsiTheme="majorBidi" w:cstheme="majorBidi"/>
        </w:rPr>
        <w:t>日转交了</w:t>
      </w:r>
      <w:r w:rsidRPr="00C54AFA">
        <w:rPr>
          <w:rFonts w:asciiTheme="majorBidi" w:hAnsiTheme="majorBidi" w:cstheme="majorBidi"/>
        </w:rPr>
        <w:t>Aliaa</w:t>
      </w:r>
      <w:r w:rsidR="00A63A71" w:rsidRPr="00C54AFA">
        <w:rPr>
          <w:rFonts w:asciiTheme="majorBidi" w:hAnsiTheme="majorBidi" w:cstheme="majorBidi"/>
        </w:rPr>
        <w:t xml:space="preserve"> </w:t>
      </w:r>
      <w:r w:rsidRPr="00C54AFA">
        <w:rPr>
          <w:rFonts w:asciiTheme="majorBidi" w:hAnsiTheme="majorBidi" w:cstheme="majorBidi"/>
        </w:rPr>
        <w:t>Tarek</w:t>
      </w:r>
      <w:r w:rsidR="00A63A71" w:rsidRPr="00C54AFA">
        <w:rPr>
          <w:rFonts w:asciiTheme="majorBidi" w:hAnsiTheme="majorBidi" w:cstheme="majorBidi"/>
        </w:rPr>
        <w:t xml:space="preserve"> </w:t>
      </w: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El</w:t>
      </w:r>
      <w:r w:rsidR="00A63A71" w:rsidRPr="00C54AFA">
        <w:rPr>
          <w:rFonts w:asciiTheme="majorBidi" w:hAnsiTheme="majorBidi" w:cstheme="majorBidi"/>
        </w:rPr>
        <w:t>-</w:t>
      </w:r>
      <w:r w:rsidRPr="00C54AFA">
        <w:rPr>
          <w:rFonts w:asciiTheme="majorBidi" w:hAnsiTheme="majorBidi" w:cstheme="majorBidi"/>
        </w:rPr>
        <w:t>Sayed</w:t>
      </w:r>
      <w:r w:rsidR="00A63A71" w:rsidRPr="00C54AFA">
        <w:rPr>
          <w:rFonts w:asciiTheme="majorBidi" w:hAnsiTheme="majorBidi" w:cstheme="majorBidi"/>
        </w:rPr>
        <w:t>女士的案件</w:t>
      </w:r>
      <w:r w:rsidR="00C54AFA" w:rsidRPr="00C54AFA">
        <w:rPr>
          <w:rFonts w:asciiTheme="majorBidi" w:hAnsiTheme="majorBidi" w:cstheme="majorBidi"/>
        </w:rPr>
        <w:t>，</w:t>
      </w:r>
      <w:r w:rsidR="00A63A71" w:rsidRPr="00C54AFA">
        <w:rPr>
          <w:rFonts w:asciiTheme="majorBidi" w:hAnsiTheme="majorBidi" w:cstheme="majorBidi"/>
        </w:rPr>
        <w:t>据称她于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2</w:t>
      </w:r>
      <w:r w:rsidR="00A63A71" w:rsidRPr="00C54AFA">
        <w:rPr>
          <w:rFonts w:asciiTheme="majorBidi" w:hAnsiTheme="majorBidi" w:cstheme="majorBidi"/>
        </w:rPr>
        <w:t>0</w:t>
      </w:r>
      <w:r w:rsidR="00A63A71" w:rsidRPr="00C54AFA">
        <w:rPr>
          <w:rFonts w:asciiTheme="majorBidi" w:hAnsiTheme="majorBidi" w:cstheme="majorBidi"/>
        </w:rPr>
        <w:t>日在她在开罗就读的大学前被安全部队逮捕</w:t>
      </w:r>
      <w:r w:rsidR="00C54AFA" w:rsidRPr="00C54AFA">
        <w:rPr>
          <w:rFonts w:asciiTheme="majorBidi" w:hAnsiTheme="majorBidi" w:cstheme="majorBidi"/>
        </w:rPr>
        <w:t>；</w:t>
      </w:r>
    </w:p>
    <w:p w:rsidR="00A63A71" w:rsidRPr="00C54AFA" w:rsidRDefault="00BC4B0A" w:rsidP="00C01AB8">
      <w:pPr>
        <w:pStyle w:val="SingleTxtGC"/>
        <w:numPr>
          <w:ilvl w:val="0"/>
          <w:numId w:val="9"/>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8</w:t>
      </w:r>
      <w:r w:rsidR="00A63A71" w:rsidRPr="00C54AFA">
        <w:rPr>
          <w:rFonts w:asciiTheme="majorBidi" w:hAnsiTheme="majorBidi" w:cstheme="majorBidi"/>
        </w:rPr>
        <w:t>日转交了</w:t>
      </w:r>
      <w:r w:rsidRPr="00C54AFA">
        <w:rPr>
          <w:rFonts w:asciiTheme="majorBidi" w:hAnsiTheme="majorBidi" w:cstheme="majorBidi"/>
        </w:rPr>
        <w:t>Asad</w:t>
      </w:r>
      <w:r w:rsidR="00A63A71" w:rsidRPr="00C54AFA">
        <w:rPr>
          <w:rFonts w:asciiTheme="majorBidi" w:hAnsiTheme="majorBidi" w:cstheme="majorBidi"/>
        </w:rPr>
        <w:t xml:space="preserve"> </w:t>
      </w:r>
      <w:r w:rsidRPr="00C54AFA">
        <w:rPr>
          <w:rFonts w:asciiTheme="majorBidi" w:hAnsiTheme="majorBidi" w:cstheme="majorBidi"/>
        </w:rPr>
        <w:t>Shehata</w:t>
      </w:r>
      <w:r w:rsidR="00A63A71" w:rsidRPr="00C54AFA">
        <w:rPr>
          <w:rFonts w:asciiTheme="majorBidi" w:hAnsiTheme="majorBidi" w:cstheme="majorBidi"/>
        </w:rPr>
        <w:t xml:space="preserve"> </w:t>
      </w:r>
      <w:r w:rsidRPr="00C54AFA">
        <w:rPr>
          <w:rFonts w:asciiTheme="majorBidi" w:hAnsiTheme="majorBidi" w:cstheme="majorBidi"/>
        </w:rPr>
        <w:t>Abdou</w:t>
      </w:r>
      <w:r w:rsidR="00A63A71" w:rsidRPr="00C54AFA">
        <w:rPr>
          <w:rFonts w:asciiTheme="majorBidi" w:hAnsiTheme="majorBidi" w:cstheme="majorBidi"/>
        </w:rPr>
        <w:t xml:space="preserve"> </w:t>
      </w:r>
      <w:r w:rsidRPr="00C54AFA">
        <w:rPr>
          <w:rFonts w:asciiTheme="majorBidi" w:hAnsiTheme="majorBidi" w:cstheme="majorBidi"/>
        </w:rPr>
        <w:t>Shehata</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28</w:t>
      </w:r>
      <w:r w:rsidR="00A63A71" w:rsidRPr="00C54AFA">
        <w:rPr>
          <w:rFonts w:asciiTheme="majorBidi" w:hAnsiTheme="majorBidi" w:cstheme="majorBidi"/>
        </w:rPr>
        <w:t>日在圣地区</w:t>
      </w:r>
      <w:r w:rsidRPr="00C54AFA">
        <w:rPr>
          <w:rFonts w:asciiTheme="majorBidi" w:hAnsiTheme="majorBidi" w:cstheme="majorBidi"/>
        </w:rPr>
        <w:t>Hamza</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Batran</w:t>
      </w:r>
      <w:r w:rsidR="00A63A71" w:rsidRPr="00C54AFA">
        <w:rPr>
          <w:rFonts w:asciiTheme="majorBidi" w:hAnsiTheme="majorBidi" w:cstheme="majorBidi"/>
        </w:rPr>
        <w:t>大街被警方逮捕</w:t>
      </w:r>
      <w:r w:rsidR="00C54AFA" w:rsidRPr="00C54AFA">
        <w:rPr>
          <w:rFonts w:asciiTheme="majorBidi" w:hAnsiTheme="majorBidi" w:cstheme="majorBidi"/>
        </w:rPr>
        <w:t>；</w:t>
      </w:r>
    </w:p>
    <w:p w:rsidR="00A63A71" w:rsidRPr="00C54AFA" w:rsidRDefault="00BC4B0A" w:rsidP="00C01AB8">
      <w:pPr>
        <w:pStyle w:val="SingleTxtGC"/>
        <w:numPr>
          <w:ilvl w:val="0"/>
          <w:numId w:val="9"/>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21</w:t>
      </w:r>
      <w:r w:rsidR="00A63A71" w:rsidRPr="00C54AFA">
        <w:rPr>
          <w:rFonts w:asciiTheme="majorBidi" w:hAnsiTheme="majorBidi" w:cstheme="majorBidi"/>
        </w:rPr>
        <w:t>日转交了以下案件</w:t>
      </w:r>
      <w:r w:rsidR="00C54AFA" w:rsidRPr="00C54AFA">
        <w:rPr>
          <w:rFonts w:asciiTheme="majorBidi" w:hAnsiTheme="majorBidi" w:cstheme="majorBidi"/>
        </w:rPr>
        <w:t>：</w:t>
      </w:r>
      <w:r w:rsidRPr="00C54AFA">
        <w:rPr>
          <w:rFonts w:asciiTheme="majorBidi" w:hAnsiTheme="majorBidi" w:cstheme="majorBidi"/>
        </w:rPr>
        <w:t>Yasser</w:t>
      </w:r>
      <w:r w:rsidR="00A63A71" w:rsidRPr="00C54AFA">
        <w:rPr>
          <w:rFonts w:asciiTheme="majorBidi" w:hAnsiTheme="majorBidi" w:cstheme="majorBidi"/>
        </w:rPr>
        <w:t xml:space="preserve"> </w:t>
      </w:r>
      <w:r w:rsidRPr="00C54AFA">
        <w:rPr>
          <w:rFonts w:asciiTheme="majorBidi" w:hAnsiTheme="majorBidi" w:cstheme="majorBidi"/>
        </w:rPr>
        <w:t>Ahmed</w:t>
      </w:r>
      <w:r w:rsidR="00A63A71" w:rsidRPr="00C54AFA">
        <w:rPr>
          <w:rFonts w:asciiTheme="majorBidi" w:hAnsiTheme="majorBidi" w:cstheme="majorBidi"/>
        </w:rPr>
        <w:t xml:space="preserve"> </w:t>
      </w:r>
      <w:r w:rsidRPr="00C54AFA">
        <w:rPr>
          <w:rFonts w:asciiTheme="majorBidi" w:hAnsiTheme="majorBidi" w:cstheme="majorBidi"/>
        </w:rPr>
        <w:t>Ahmed</w:t>
      </w:r>
      <w:r w:rsidR="00A63A71" w:rsidRPr="00C54AFA">
        <w:rPr>
          <w:rFonts w:asciiTheme="majorBidi" w:hAnsiTheme="majorBidi" w:cstheme="majorBidi"/>
        </w:rPr>
        <w:t xml:space="preserve"> </w:t>
      </w:r>
      <w:r w:rsidRPr="00C54AFA">
        <w:rPr>
          <w:rFonts w:asciiTheme="majorBidi" w:hAnsiTheme="majorBidi" w:cstheme="majorBidi"/>
        </w:rPr>
        <w:t>Abu</w:t>
      </w:r>
      <w:r w:rsidR="00A63A71" w:rsidRPr="00C54AFA">
        <w:rPr>
          <w:rFonts w:asciiTheme="majorBidi" w:hAnsiTheme="majorBidi" w:cstheme="majorBidi"/>
        </w:rPr>
        <w:t xml:space="preserve"> </w:t>
      </w:r>
      <w:r w:rsidRPr="00C54AFA">
        <w:rPr>
          <w:rFonts w:asciiTheme="majorBidi" w:hAnsiTheme="majorBidi" w:cstheme="majorBidi"/>
        </w:rPr>
        <w:t>Eita</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2</w:t>
      </w:r>
      <w:r w:rsidR="00A63A71" w:rsidRPr="00C54AFA">
        <w:rPr>
          <w:rFonts w:asciiTheme="majorBidi" w:hAnsiTheme="majorBidi" w:cstheme="majorBidi"/>
        </w:rPr>
        <w:t>日在达米埃塔被警察和士兵逮捕</w:t>
      </w:r>
      <w:r w:rsidR="00C54AFA" w:rsidRPr="00C54AFA">
        <w:rPr>
          <w:rFonts w:asciiTheme="majorBidi" w:hAnsiTheme="majorBidi" w:cstheme="majorBidi"/>
        </w:rPr>
        <w:t>；</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Sayed</w:t>
      </w:r>
      <w:r w:rsidR="00A63A71" w:rsidRPr="00C54AFA">
        <w:rPr>
          <w:rFonts w:asciiTheme="majorBidi" w:hAnsiTheme="majorBidi" w:cstheme="majorBidi"/>
        </w:rPr>
        <w:t xml:space="preserve"> </w:t>
      </w:r>
      <w:r w:rsidRPr="00C54AFA">
        <w:rPr>
          <w:rFonts w:asciiTheme="majorBidi" w:hAnsiTheme="majorBidi" w:cstheme="majorBidi"/>
        </w:rPr>
        <w:t>Saad</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Deen</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Saadani</w:t>
      </w:r>
      <w:r w:rsidR="00A63A71" w:rsidRPr="00C54AFA">
        <w:rPr>
          <w:rFonts w:asciiTheme="majorBidi" w:hAnsiTheme="majorBidi" w:cstheme="majorBidi"/>
        </w:rPr>
        <w:t>先生和</w:t>
      </w:r>
      <w:r w:rsidRPr="00C54AFA">
        <w:rPr>
          <w:rFonts w:asciiTheme="majorBidi" w:hAnsiTheme="majorBidi" w:cstheme="majorBidi"/>
        </w:rPr>
        <w:t>Samir</w:t>
      </w:r>
      <w:r w:rsidR="00A63A71" w:rsidRPr="00C54AFA">
        <w:rPr>
          <w:rFonts w:asciiTheme="majorBidi" w:hAnsiTheme="majorBidi" w:cstheme="majorBidi"/>
        </w:rPr>
        <w:t xml:space="preserve"> </w:t>
      </w:r>
      <w:r w:rsidRPr="00C54AFA">
        <w:rPr>
          <w:rFonts w:asciiTheme="majorBidi" w:hAnsiTheme="majorBidi" w:cstheme="majorBidi"/>
        </w:rPr>
        <w:t>Mostafa</w:t>
      </w:r>
      <w:r w:rsidR="00A63A71" w:rsidRPr="00C54AFA">
        <w:rPr>
          <w:rFonts w:asciiTheme="majorBidi" w:hAnsiTheme="majorBidi" w:cstheme="majorBidi"/>
        </w:rPr>
        <w:t xml:space="preserve"> </w:t>
      </w:r>
      <w:r w:rsidRPr="00C54AFA">
        <w:rPr>
          <w:rFonts w:asciiTheme="majorBidi" w:hAnsiTheme="majorBidi" w:cstheme="majorBidi"/>
        </w:rPr>
        <w:t>Ibrahim</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据称他们于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日下午在</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Mahala</w:t>
      </w:r>
      <w:r w:rsidR="00A63A71" w:rsidRPr="00C54AFA">
        <w:rPr>
          <w:rFonts w:asciiTheme="majorBidi" w:hAnsiTheme="majorBidi" w:cstheme="majorBidi"/>
        </w:rPr>
        <w:t>区被警察绑架</w:t>
      </w:r>
      <w:r w:rsidR="00C54AFA" w:rsidRPr="00C54AFA">
        <w:rPr>
          <w:rFonts w:asciiTheme="majorBidi" w:hAnsiTheme="majorBidi" w:cstheme="majorBidi"/>
        </w:rPr>
        <w:t>；</w:t>
      </w:r>
    </w:p>
    <w:p w:rsidR="00A63A71" w:rsidRPr="00C54AFA" w:rsidRDefault="00BC4B0A" w:rsidP="00C01AB8">
      <w:pPr>
        <w:pStyle w:val="SingleTxtGC"/>
        <w:numPr>
          <w:ilvl w:val="0"/>
          <w:numId w:val="9"/>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15</w:t>
      </w:r>
      <w:r w:rsidR="00A63A71" w:rsidRPr="00C54AFA">
        <w:rPr>
          <w:rFonts w:asciiTheme="majorBidi" w:hAnsiTheme="majorBidi" w:cstheme="majorBidi"/>
        </w:rPr>
        <w:t>日</w:t>
      </w:r>
      <w:r w:rsidR="00C54AFA" w:rsidRPr="00C54AFA">
        <w:rPr>
          <w:rFonts w:asciiTheme="majorBidi" w:hAnsiTheme="majorBidi" w:cstheme="majorBidi"/>
        </w:rPr>
        <w:t>，</w:t>
      </w:r>
      <w:r w:rsidRPr="00C54AFA">
        <w:rPr>
          <w:rFonts w:asciiTheme="majorBidi" w:hAnsiTheme="majorBidi" w:cstheme="majorBidi"/>
        </w:rPr>
        <w:t>Mahmoud</w:t>
      </w:r>
      <w:r w:rsidR="00A63A71" w:rsidRPr="00C54AFA">
        <w:rPr>
          <w:rFonts w:asciiTheme="majorBidi" w:hAnsiTheme="majorBidi" w:cstheme="majorBidi"/>
        </w:rPr>
        <w:t xml:space="preserve"> </w:t>
      </w: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Youssef</w:t>
      </w:r>
      <w:r w:rsidR="00A63A71" w:rsidRPr="00C54AFA">
        <w:rPr>
          <w:rFonts w:asciiTheme="majorBidi" w:hAnsiTheme="majorBidi" w:cstheme="majorBidi"/>
        </w:rPr>
        <w:t xml:space="preserve"> </w:t>
      </w:r>
      <w:r w:rsidRPr="00C54AFA">
        <w:rPr>
          <w:rFonts w:asciiTheme="majorBidi" w:hAnsiTheme="majorBidi" w:cstheme="majorBidi"/>
        </w:rPr>
        <w:t>Abu</w:t>
      </w:r>
      <w:r w:rsidR="00A63A71" w:rsidRPr="00C54AFA">
        <w:rPr>
          <w:rFonts w:asciiTheme="majorBidi" w:hAnsiTheme="majorBidi" w:cstheme="majorBidi"/>
        </w:rPr>
        <w:t xml:space="preserve"> </w:t>
      </w:r>
      <w:r w:rsidRPr="00C54AFA">
        <w:rPr>
          <w:rFonts w:asciiTheme="majorBidi" w:hAnsiTheme="majorBidi" w:cstheme="majorBidi"/>
        </w:rPr>
        <w:t>Salma</w:t>
      </w:r>
      <w:r w:rsidR="00A63A71" w:rsidRPr="00C54AFA">
        <w:rPr>
          <w:rFonts w:asciiTheme="majorBidi" w:hAnsiTheme="majorBidi" w:cstheme="majorBidi"/>
        </w:rPr>
        <w:t>据称于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7</w:t>
      </w:r>
      <w:r w:rsidR="00A63A71" w:rsidRPr="00C54AFA">
        <w:rPr>
          <w:rFonts w:asciiTheme="majorBidi" w:hAnsiTheme="majorBidi" w:cstheme="majorBidi"/>
        </w:rPr>
        <w:t>日在</w:t>
      </w:r>
      <w:r w:rsidRPr="00C54AFA">
        <w:rPr>
          <w:rFonts w:asciiTheme="majorBidi" w:hAnsiTheme="majorBidi" w:cstheme="majorBidi"/>
        </w:rPr>
        <w:t>Mataria</w:t>
      </w:r>
      <w:r w:rsidR="00C54AFA" w:rsidRPr="00C54AFA">
        <w:rPr>
          <w:rFonts w:asciiTheme="majorBidi" w:hAnsiTheme="majorBidi" w:cstheme="majorBidi"/>
        </w:rPr>
        <w:t>(</w:t>
      </w:r>
      <w:r w:rsidR="00A63A71" w:rsidRPr="00C54AFA">
        <w:rPr>
          <w:rFonts w:asciiTheme="majorBidi" w:hAnsiTheme="majorBidi" w:cstheme="majorBidi"/>
        </w:rPr>
        <w:t>开罗</w:t>
      </w:r>
      <w:r w:rsidR="00C54AFA" w:rsidRPr="00C54AFA">
        <w:rPr>
          <w:rFonts w:asciiTheme="majorBidi" w:hAnsiTheme="majorBidi" w:cstheme="majorBidi"/>
        </w:rPr>
        <w:t>)</w:t>
      </w:r>
      <w:r w:rsidR="00A63A71" w:rsidRPr="00C54AFA">
        <w:rPr>
          <w:rFonts w:asciiTheme="majorBidi" w:hAnsiTheme="majorBidi" w:cstheme="majorBidi"/>
        </w:rPr>
        <w:t>被警察和军方人员逮捕</w:t>
      </w:r>
      <w:r w:rsidR="00C54AFA" w:rsidRPr="00C54AFA">
        <w:rPr>
          <w:rFonts w:asciiTheme="majorBidi" w:hAnsiTheme="majorBidi" w:cstheme="majorBidi"/>
        </w:rPr>
        <w:t>；</w:t>
      </w:r>
    </w:p>
    <w:p w:rsidR="00A63A71" w:rsidRPr="00C54AFA" w:rsidRDefault="00BC4B0A" w:rsidP="00C01AB8">
      <w:pPr>
        <w:pStyle w:val="SingleTxtGC"/>
        <w:numPr>
          <w:ilvl w:val="0"/>
          <w:numId w:val="9"/>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29</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转达了</w:t>
      </w:r>
      <w:r w:rsidRPr="00C54AFA">
        <w:rPr>
          <w:rFonts w:asciiTheme="majorBidi" w:hAnsiTheme="majorBidi" w:cstheme="majorBidi"/>
        </w:rPr>
        <w:t>Abdelrahman</w:t>
      </w:r>
      <w:r w:rsidR="00A63A71" w:rsidRPr="00C54AFA">
        <w:rPr>
          <w:rFonts w:asciiTheme="majorBidi" w:hAnsiTheme="majorBidi" w:cstheme="majorBidi"/>
        </w:rPr>
        <w:t xml:space="preserve"> </w:t>
      </w:r>
      <w:r w:rsidRPr="00C54AFA">
        <w:rPr>
          <w:rFonts w:asciiTheme="majorBidi" w:hAnsiTheme="majorBidi" w:cstheme="majorBidi"/>
        </w:rPr>
        <w:t>Kamal</w:t>
      </w:r>
      <w:r w:rsidR="00A63A71" w:rsidRPr="00C54AFA">
        <w:rPr>
          <w:rFonts w:asciiTheme="majorBidi" w:hAnsiTheme="majorBidi" w:cstheme="majorBidi"/>
        </w:rPr>
        <w:t xml:space="preserve"> </w:t>
      </w:r>
      <w:r w:rsidRPr="00C54AFA">
        <w:rPr>
          <w:rFonts w:asciiTheme="majorBidi" w:hAnsiTheme="majorBidi" w:cstheme="majorBidi"/>
        </w:rPr>
        <w:t>Omar</w:t>
      </w:r>
      <w:r w:rsidR="00A63A71" w:rsidRPr="00C54AFA">
        <w:rPr>
          <w:rFonts w:asciiTheme="majorBidi" w:hAnsiTheme="majorBidi" w:cstheme="majorBidi"/>
        </w:rPr>
        <w:t xml:space="preserve"> </w:t>
      </w:r>
      <w:r w:rsidRPr="00C54AFA">
        <w:rPr>
          <w:rFonts w:asciiTheme="majorBidi" w:hAnsiTheme="majorBidi" w:cstheme="majorBidi"/>
        </w:rPr>
        <w:t>Mahmoud</w:t>
      </w:r>
      <w:r w:rsidR="00A63A71" w:rsidRPr="00C54AFA">
        <w:rPr>
          <w:rFonts w:asciiTheme="majorBidi" w:hAnsiTheme="majorBidi" w:cstheme="majorBidi"/>
        </w:rPr>
        <w:t>先生一案</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9</w:t>
      </w:r>
      <w:r w:rsidR="00A63A71" w:rsidRPr="00C54AFA">
        <w:rPr>
          <w:rFonts w:asciiTheme="majorBidi" w:hAnsiTheme="majorBidi" w:cstheme="majorBidi"/>
        </w:rPr>
        <w:t>月</w:t>
      </w:r>
      <w:r w:rsidRPr="00C54AFA">
        <w:rPr>
          <w:rFonts w:asciiTheme="majorBidi" w:hAnsiTheme="majorBidi" w:cstheme="majorBidi"/>
        </w:rPr>
        <w:t>22</w:t>
      </w:r>
      <w:r w:rsidR="00A63A71" w:rsidRPr="00C54AFA">
        <w:rPr>
          <w:rFonts w:asciiTheme="majorBidi" w:hAnsiTheme="majorBidi" w:cstheme="majorBidi"/>
        </w:rPr>
        <w:t>日在</w:t>
      </w:r>
      <w:r w:rsidRPr="00C54AFA">
        <w:rPr>
          <w:rFonts w:asciiTheme="majorBidi" w:hAnsiTheme="majorBidi" w:cstheme="majorBidi"/>
        </w:rPr>
        <w:t>Giza</w:t>
      </w:r>
      <w:r w:rsidR="00A63A71" w:rsidRPr="00C54AFA">
        <w:rPr>
          <w:rFonts w:asciiTheme="majorBidi" w:hAnsiTheme="majorBidi" w:cstheme="majorBidi"/>
        </w:rPr>
        <w:t>被安全部队逮捕</w:t>
      </w:r>
      <w:r w:rsidR="00C54AFA" w:rsidRPr="00C54AFA">
        <w:rPr>
          <w:rFonts w:asciiTheme="majorBidi" w:hAnsiTheme="majorBidi" w:cstheme="majorBidi"/>
        </w:rPr>
        <w:t>；</w:t>
      </w:r>
    </w:p>
    <w:p w:rsidR="00A63A71" w:rsidRPr="00C54AFA" w:rsidRDefault="00BC4B0A" w:rsidP="00C01AB8">
      <w:pPr>
        <w:pStyle w:val="SingleTxtGC"/>
        <w:numPr>
          <w:ilvl w:val="0"/>
          <w:numId w:val="9"/>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3</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转达了</w:t>
      </w:r>
      <w:r w:rsidRPr="00C54AFA">
        <w:rPr>
          <w:rFonts w:asciiTheme="majorBidi" w:hAnsiTheme="majorBidi" w:cstheme="majorBidi"/>
        </w:rPr>
        <w:t>Mahmoud</w:t>
      </w:r>
      <w:r w:rsidR="00A63A71" w:rsidRPr="00C54AFA">
        <w:rPr>
          <w:rFonts w:asciiTheme="majorBidi" w:hAnsiTheme="majorBidi" w:cstheme="majorBidi"/>
        </w:rPr>
        <w:t xml:space="preserve"> </w:t>
      </w:r>
      <w:r w:rsidRPr="00C54AFA">
        <w:rPr>
          <w:rFonts w:asciiTheme="majorBidi" w:hAnsiTheme="majorBidi" w:cstheme="majorBidi"/>
        </w:rPr>
        <w:t>Nafee</w:t>
      </w:r>
      <w:r w:rsidR="00A63A71" w:rsidRPr="00C54AFA">
        <w:rPr>
          <w:rFonts w:asciiTheme="majorBidi" w:hAnsiTheme="majorBidi" w:cstheme="majorBidi"/>
        </w:rPr>
        <w:t xml:space="preserve"> </w:t>
      </w:r>
      <w:r w:rsidRPr="00C54AFA">
        <w:rPr>
          <w:rFonts w:asciiTheme="majorBidi" w:hAnsiTheme="majorBidi" w:cstheme="majorBidi"/>
        </w:rPr>
        <w:t>Ashour</w:t>
      </w:r>
      <w:r w:rsidR="00A63A71" w:rsidRPr="00C54AFA">
        <w:rPr>
          <w:rFonts w:asciiTheme="majorBidi" w:hAnsiTheme="majorBidi" w:cstheme="majorBidi"/>
        </w:rPr>
        <w:t>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28</w:t>
      </w:r>
      <w:r w:rsidR="00A63A71" w:rsidRPr="00C54AFA">
        <w:rPr>
          <w:rFonts w:asciiTheme="majorBidi" w:hAnsiTheme="majorBidi" w:cstheme="majorBidi"/>
        </w:rPr>
        <w:t>日在曼苏拉市被警察逮捕</w:t>
      </w:r>
      <w:r w:rsidR="00C54AFA" w:rsidRPr="00C54AFA">
        <w:rPr>
          <w:rFonts w:asciiTheme="majorBidi" w:hAnsiTheme="majorBidi" w:cstheme="majorBidi"/>
        </w:rPr>
        <w:t>；</w:t>
      </w:r>
    </w:p>
    <w:p w:rsidR="00A63A71" w:rsidRPr="00C54AFA" w:rsidRDefault="00BC4B0A" w:rsidP="00C01AB8">
      <w:pPr>
        <w:pStyle w:val="SingleTxtGC"/>
        <w:numPr>
          <w:ilvl w:val="0"/>
          <w:numId w:val="9"/>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7</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转达了</w:t>
      </w: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Abdullah</w:t>
      </w:r>
      <w:r w:rsidR="00A63A71" w:rsidRPr="00C54AFA">
        <w:rPr>
          <w:rFonts w:asciiTheme="majorBidi" w:hAnsiTheme="majorBidi" w:cstheme="majorBidi"/>
        </w:rPr>
        <w:t xml:space="preserve"> </w:t>
      </w: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Abdullah</w:t>
      </w:r>
      <w:r w:rsidR="00A63A71" w:rsidRPr="00C54AFA">
        <w:rPr>
          <w:rFonts w:asciiTheme="majorBidi" w:hAnsiTheme="majorBidi" w:cstheme="majorBidi"/>
        </w:rPr>
        <w:t>先生一案</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1</w:t>
      </w:r>
      <w:r w:rsidR="00A63A71" w:rsidRPr="00C54AFA">
        <w:rPr>
          <w:rFonts w:asciiTheme="majorBidi" w:hAnsiTheme="majorBidi" w:cstheme="majorBidi"/>
        </w:rPr>
        <w:t>日在开罗机场被安全部队逮捕</w:t>
      </w:r>
      <w:r w:rsidR="00C54AFA" w:rsidRPr="00C54AFA">
        <w:rPr>
          <w:rFonts w:asciiTheme="majorBidi" w:hAnsiTheme="majorBidi" w:cstheme="majorBidi"/>
        </w:rPr>
        <w:t>；</w:t>
      </w:r>
    </w:p>
    <w:p w:rsidR="00A63A71" w:rsidRPr="00C54AFA" w:rsidRDefault="00BC4B0A" w:rsidP="00C01AB8">
      <w:pPr>
        <w:pStyle w:val="SingleTxtGC"/>
        <w:numPr>
          <w:ilvl w:val="0"/>
          <w:numId w:val="9"/>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13</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转达了</w:t>
      </w:r>
      <w:r w:rsidRPr="00C54AFA">
        <w:rPr>
          <w:rFonts w:asciiTheme="majorBidi" w:hAnsiTheme="majorBidi" w:cstheme="majorBidi"/>
        </w:rPr>
        <w:t>Abdul</w:t>
      </w:r>
      <w:r w:rsidR="00A63A71" w:rsidRPr="00C54AFA">
        <w:rPr>
          <w:rFonts w:asciiTheme="majorBidi" w:hAnsiTheme="majorBidi" w:cstheme="majorBidi"/>
        </w:rPr>
        <w:t xml:space="preserve"> </w:t>
      </w:r>
      <w:r w:rsidRPr="00C54AFA">
        <w:rPr>
          <w:rFonts w:asciiTheme="majorBidi" w:hAnsiTheme="majorBidi" w:cstheme="majorBidi"/>
        </w:rPr>
        <w:t>Rahman</w:t>
      </w:r>
      <w:r w:rsidR="00A63A71" w:rsidRPr="00C54AFA">
        <w:rPr>
          <w:rFonts w:asciiTheme="majorBidi" w:hAnsiTheme="majorBidi" w:cstheme="majorBidi"/>
        </w:rPr>
        <w:t xml:space="preserve"> </w:t>
      </w:r>
      <w:r w:rsidRPr="00C54AFA">
        <w:rPr>
          <w:rFonts w:asciiTheme="majorBidi" w:hAnsiTheme="majorBidi" w:cstheme="majorBidi"/>
        </w:rPr>
        <w:t>Sherif</w:t>
      </w:r>
      <w:r w:rsidR="00A63A71" w:rsidRPr="00C54AFA">
        <w:rPr>
          <w:rFonts w:asciiTheme="majorBidi" w:hAnsiTheme="majorBidi" w:cstheme="majorBidi"/>
        </w:rPr>
        <w:t xml:space="preserve"> </w:t>
      </w:r>
      <w:r w:rsidRPr="00C54AFA">
        <w:rPr>
          <w:rFonts w:asciiTheme="majorBidi" w:hAnsiTheme="majorBidi" w:cstheme="majorBidi"/>
        </w:rPr>
        <w:t>Sayed</w:t>
      </w:r>
      <w:r w:rsidR="00A63A71" w:rsidRPr="00C54AFA">
        <w:rPr>
          <w:rFonts w:asciiTheme="majorBidi" w:hAnsiTheme="majorBidi" w:cstheme="majorBidi"/>
        </w:rPr>
        <w:t xml:space="preserve"> </w:t>
      </w: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Abdul</w:t>
      </w:r>
      <w:r w:rsidR="00A63A71" w:rsidRPr="00C54AFA">
        <w:rPr>
          <w:rFonts w:asciiTheme="majorBidi" w:hAnsiTheme="majorBidi" w:cstheme="majorBidi"/>
        </w:rPr>
        <w:t xml:space="preserve"> </w:t>
      </w:r>
      <w:r w:rsidRPr="00C54AFA">
        <w:rPr>
          <w:rFonts w:asciiTheme="majorBidi" w:hAnsiTheme="majorBidi" w:cstheme="majorBidi"/>
        </w:rPr>
        <w:t>Wahab</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据称最后一次见到此人是</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6</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在开罗机场</w:t>
      </w:r>
      <w:r w:rsidR="00C54AFA" w:rsidRPr="00C54AFA">
        <w:rPr>
          <w:rFonts w:asciiTheme="majorBidi" w:hAnsiTheme="majorBidi" w:cstheme="majorBidi"/>
        </w:rPr>
        <w:t>；</w:t>
      </w:r>
    </w:p>
    <w:p w:rsidR="00A63A71" w:rsidRPr="00C54AFA" w:rsidRDefault="00BC4B0A" w:rsidP="00C01AB8">
      <w:pPr>
        <w:pStyle w:val="SingleTxtGC"/>
        <w:numPr>
          <w:ilvl w:val="0"/>
          <w:numId w:val="9"/>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23</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转达了</w:t>
      </w:r>
      <w:r w:rsidRPr="00C54AFA">
        <w:rPr>
          <w:rFonts w:asciiTheme="majorBidi" w:hAnsiTheme="majorBidi" w:cstheme="majorBidi"/>
        </w:rPr>
        <w:t>Abdullah</w:t>
      </w:r>
      <w:r w:rsidR="00A63A71" w:rsidRPr="00C54AFA">
        <w:rPr>
          <w:rFonts w:asciiTheme="majorBidi" w:hAnsiTheme="majorBidi" w:cstheme="majorBidi"/>
        </w:rPr>
        <w:t xml:space="preserve"> </w:t>
      </w:r>
      <w:r w:rsidRPr="00C54AFA">
        <w:rPr>
          <w:rFonts w:asciiTheme="majorBidi" w:hAnsiTheme="majorBidi" w:cstheme="majorBidi"/>
        </w:rPr>
        <w:t>Abdulhaleem</w:t>
      </w:r>
      <w:r w:rsidR="00A63A71" w:rsidRPr="00C54AFA">
        <w:rPr>
          <w:rFonts w:asciiTheme="majorBidi" w:hAnsiTheme="majorBidi" w:cstheme="majorBidi"/>
        </w:rPr>
        <w:t xml:space="preserve"> </w:t>
      </w:r>
      <w:r w:rsidRPr="00C54AFA">
        <w:rPr>
          <w:rFonts w:asciiTheme="majorBidi" w:hAnsiTheme="majorBidi" w:cstheme="majorBidi"/>
        </w:rPr>
        <w:t>Abdulhaleem</w:t>
      </w:r>
      <w:r w:rsidR="00A63A71" w:rsidRPr="00C54AFA">
        <w:rPr>
          <w:rFonts w:asciiTheme="majorBidi" w:hAnsiTheme="majorBidi" w:cstheme="majorBidi"/>
        </w:rPr>
        <w:t xml:space="preserve"> </w:t>
      </w:r>
      <w:r w:rsidRPr="00C54AFA">
        <w:rPr>
          <w:rFonts w:asciiTheme="majorBidi" w:hAnsiTheme="majorBidi" w:cstheme="majorBidi"/>
        </w:rPr>
        <w:t>Zalat</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16</w:t>
      </w:r>
      <w:r w:rsidR="00A63A71" w:rsidRPr="00C54AFA">
        <w:rPr>
          <w:rFonts w:asciiTheme="majorBidi" w:hAnsiTheme="majorBidi" w:cstheme="majorBidi"/>
        </w:rPr>
        <w:t>日在西部省</w:t>
      </w:r>
      <w:r w:rsidRPr="00C54AFA">
        <w:rPr>
          <w:rFonts w:asciiTheme="majorBidi" w:hAnsiTheme="majorBidi" w:cstheme="majorBidi"/>
        </w:rPr>
        <w:t>Tanta</w:t>
      </w:r>
      <w:r w:rsidR="00A63A71" w:rsidRPr="00C54AFA">
        <w:rPr>
          <w:rFonts w:asciiTheme="majorBidi" w:hAnsiTheme="majorBidi" w:cstheme="majorBidi"/>
        </w:rPr>
        <w:t>被绑架</w:t>
      </w:r>
      <w:r w:rsidR="00C54AFA" w:rsidRPr="00C54AFA">
        <w:rPr>
          <w:rFonts w:asciiTheme="majorBidi" w:hAnsiTheme="majorBidi" w:cstheme="majorBidi"/>
        </w:rPr>
        <w:t>；</w:t>
      </w:r>
    </w:p>
    <w:p w:rsidR="00A63A71" w:rsidRPr="00C54AFA" w:rsidRDefault="00BC4B0A" w:rsidP="00C01AB8">
      <w:pPr>
        <w:pStyle w:val="SingleTxtGC"/>
        <w:numPr>
          <w:ilvl w:val="0"/>
          <w:numId w:val="9"/>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转达了以下案件</w:t>
      </w:r>
      <w:r w:rsidR="00C54AFA" w:rsidRPr="00C54AFA">
        <w:rPr>
          <w:rFonts w:asciiTheme="majorBidi" w:hAnsiTheme="majorBidi" w:cstheme="majorBidi"/>
        </w:rPr>
        <w:t>：</w:t>
      </w:r>
      <w:r w:rsidRPr="00C54AFA">
        <w:rPr>
          <w:rFonts w:asciiTheme="majorBidi" w:hAnsiTheme="majorBidi" w:cstheme="majorBidi"/>
        </w:rPr>
        <w:t>Magdy</w:t>
      </w:r>
      <w:r w:rsidR="00A63A71" w:rsidRPr="00C54AFA">
        <w:rPr>
          <w:rFonts w:asciiTheme="majorBidi" w:hAnsiTheme="majorBidi" w:cstheme="majorBidi"/>
        </w:rPr>
        <w:t xml:space="preserve"> </w:t>
      </w:r>
      <w:r w:rsidRPr="00C54AFA">
        <w:rPr>
          <w:rFonts w:asciiTheme="majorBidi" w:hAnsiTheme="majorBidi" w:cstheme="majorBidi"/>
        </w:rPr>
        <w:t>Khidr</w:t>
      </w:r>
      <w:r w:rsidR="00A63A71" w:rsidRPr="00C54AFA">
        <w:rPr>
          <w:rFonts w:asciiTheme="majorBidi" w:hAnsiTheme="majorBidi" w:cstheme="majorBidi"/>
        </w:rPr>
        <w:t xml:space="preserve"> </w:t>
      </w:r>
      <w:r w:rsidRPr="00C54AFA">
        <w:rPr>
          <w:rFonts w:asciiTheme="majorBidi" w:hAnsiTheme="majorBidi" w:cstheme="majorBidi"/>
        </w:rPr>
        <w:t>Abdul</w:t>
      </w:r>
      <w:r w:rsidR="00A63A71" w:rsidRPr="00C54AFA">
        <w:rPr>
          <w:rFonts w:asciiTheme="majorBidi" w:hAnsiTheme="majorBidi" w:cstheme="majorBidi"/>
        </w:rPr>
        <w:t xml:space="preserve"> </w:t>
      </w:r>
      <w:r w:rsidRPr="00C54AFA">
        <w:rPr>
          <w:rFonts w:asciiTheme="majorBidi" w:hAnsiTheme="majorBidi" w:cstheme="majorBidi"/>
        </w:rPr>
        <w:t>Ghaffar</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Qommy</w:t>
      </w:r>
      <w:r w:rsidR="00A63A71" w:rsidRPr="00C54AFA">
        <w:rPr>
          <w:rFonts w:asciiTheme="majorBidi" w:hAnsiTheme="majorBidi" w:cstheme="majorBidi"/>
        </w:rPr>
        <w:t>先生和</w:t>
      </w:r>
      <w:r w:rsidRPr="00C54AFA">
        <w:rPr>
          <w:rFonts w:asciiTheme="majorBidi" w:hAnsiTheme="majorBidi" w:cstheme="majorBidi"/>
        </w:rPr>
        <w:t>Ahmed</w:t>
      </w:r>
      <w:r w:rsidR="00A63A71" w:rsidRPr="00C54AFA">
        <w:rPr>
          <w:rFonts w:asciiTheme="majorBidi" w:hAnsiTheme="majorBidi" w:cstheme="majorBidi"/>
        </w:rPr>
        <w:t xml:space="preserve"> </w:t>
      </w:r>
      <w:r w:rsidRPr="00C54AFA">
        <w:rPr>
          <w:rFonts w:asciiTheme="majorBidi" w:hAnsiTheme="majorBidi" w:cstheme="majorBidi"/>
        </w:rPr>
        <w:t>Abdul</w:t>
      </w:r>
      <w:r w:rsidR="00A63A71" w:rsidRPr="00C54AFA">
        <w:rPr>
          <w:rFonts w:asciiTheme="majorBidi" w:hAnsiTheme="majorBidi" w:cstheme="majorBidi"/>
        </w:rPr>
        <w:t xml:space="preserve"> </w:t>
      </w:r>
      <w:r w:rsidRPr="00C54AFA">
        <w:rPr>
          <w:rFonts w:asciiTheme="majorBidi" w:hAnsiTheme="majorBidi" w:cstheme="majorBidi"/>
        </w:rPr>
        <w:t>Kareem</w:t>
      </w:r>
      <w:r w:rsidR="00A63A71" w:rsidRPr="00C54AFA">
        <w:rPr>
          <w:rFonts w:asciiTheme="majorBidi" w:hAnsiTheme="majorBidi" w:cstheme="majorBidi"/>
        </w:rPr>
        <w:t xml:space="preserve"> </w:t>
      </w: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Bassiuony</w:t>
      </w:r>
      <w:r w:rsidR="00A63A71" w:rsidRPr="00C54AFA">
        <w:rPr>
          <w:rFonts w:asciiTheme="majorBidi" w:hAnsiTheme="majorBidi" w:cstheme="majorBidi"/>
        </w:rPr>
        <w:t xml:space="preserve"> </w:t>
      </w:r>
      <w:r w:rsidRPr="00C54AFA">
        <w:rPr>
          <w:rFonts w:asciiTheme="majorBidi" w:hAnsiTheme="majorBidi" w:cstheme="majorBidi"/>
        </w:rPr>
        <w:t>Abdul</w:t>
      </w:r>
      <w:r w:rsidR="00A63A71" w:rsidRPr="00C54AFA">
        <w:rPr>
          <w:rFonts w:asciiTheme="majorBidi" w:hAnsiTheme="majorBidi" w:cstheme="majorBidi"/>
        </w:rPr>
        <w:t xml:space="preserve"> </w:t>
      </w:r>
      <w:r w:rsidRPr="00C54AFA">
        <w:rPr>
          <w:rFonts w:asciiTheme="majorBidi" w:hAnsiTheme="majorBidi" w:cstheme="majorBidi"/>
        </w:rPr>
        <w:t>Kareem</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据称他们于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3</w:t>
      </w:r>
      <w:r w:rsidR="00A63A71" w:rsidRPr="00C54AFA">
        <w:rPr>
          <w:rFonts w:asciiTheme="majorBidi" w:hAnsiTheme="majorBidi" w:cstheme="majorBidi"/>
        </w:rPr>
        <w:t>0</w:t>
      </w:r>
      <w:r w:rsidR="00A63A71" w:rsidRPr="00C54AFA">
        <w:rPr>
          <w:rFonts w:asciiTheme="majorBidi" w:hAnsiTheme="majorBidi" w:cstheme="majorBidi"/>
        </w:rPr>
        <w:t>日在西部省被警方逮捕</w:t>
      </w:r>
      <w:r w:rsidR="00C54AFA" w:rsidRPr="00C54AFA">
        <w:rPr>
          <w:rFonts w:asciiTheme="majorBidi" w:hAnsiTheme="majorBidi" w:cstheme="majorBidi"/>
        </w:rPr>
        <w:t>；</w:t>
      </w:r>
      <w:r w:rsidR="00A63A71" w:rsidRPr="00C54AFA">
        <w:rPr>
          <w:rFonts w:asciiTheme="majorBidi" w:hAnsiTheme="majorBidi" w:cstheme="majorBidi"/>
        </w:rPr>
        <w:t>一名</w:t>
      </w:r>
      <w:r w:rsidRPr="00C54AFA">
        <w:rPr>
          <w:rFonts w:asciiTheme="majorBidi" w:hAnsiTheme="majorBidi" w:cstheme="majorBidi"/>
        </w:rPr>
        <w:t>18</w:t>
      </w:r>
      <w:r w:rsidR="00A63A71" w:rsidRPr="00C54AFA">
        <w:rPr>
          <w:rFonts w:asciiTheme="majorBidi" w:hAnsiTheme="majorBidi" w:cstheme="majorBidi"/>
        </w:rPr>
        <w:t>岁以下的人的案件</w:t>
      </w:r>
      <w:r w:rsidR="00C54AFA" w:rsidRPr="00C54AFA">
        <w:rPr>
          <w:rFonts w:asciiTheme="majorBidi" w:hAnsiTheme="majorBidi" w:cstheme="majorBidi"/>
        </w:rPr>
        <w:t>，</w:t>
      </w:r>
      <w:r w:rsidR="00A63A71" w:rsidRPr="00C54AFA">
        <w:rPr>
          <w:rFonts w:asciiTheme="majorBidi" w:hAnsiTheme="majorBidi" w:cstheme="majorBidi"/>
        </w:rPr>
        <w:t>据称于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26</w:t>
      </w:r>
      <w:r w:rsidR="00A63A71" w:rsidRPr="00C54AFA">
        <w:rPr>
          <w:rFonts w:asciiTheme="majorBidi" w:hAnsiTheme="majorBidi" w:cstheme="majorBidi"/>
        </w:rPr>
        <w:t>日在</w:t>
      </w:r>
      <w:r w:rsidRPr="00C54AFA">
        <w:rPr>
          <w:rFonts w:asciiTheme="majorBidi" w:hAnsiTheme="majorBidi" w:cstheme="majorBidi"/>
        </w:rPr>
        <w:t>Shubra</w:t>
      </w:r>
      <w:r w:rsidR="00A63A71" w:rsidRPr="00C54AFA">
        <w:rPr>
          <w:rFonts w:asciiTheme="majorBidi" w:hAnsiTheme="majorBidi" w:cstheme="majorBidi"/>
        </w:rPr>
        <w:t>被安全部队逮捕</w:t>
      </w:r>
      <w:r w:rsidR="00C54AFA" w:rsidRPr="00C54AFA">
        <w:rPr>
          <w:rFonts w:asciiTheme="majorBidi" w:hAnsiTheme="majorBidi" w:cstheme="majorBidi"/>
        </w:rPr>
        <w:t>；</w:t>
      </w:r>
      <w:r w:rsidR="00A63A71" w:rsidRPr="00C54AFA">
        <w:rPr>
          <w:rFonts w:asciiTheme="majorBidi" w:hAnsiTheme="majorBidi" w:cstheme="majorBidi"/>
        </w:rPr>
        <w:t>一名</w:t>
      </w:r>
      <w:r w:rsidRPr="00C54AFA">
        <w:rPr>
          <w:rFonts w:asciiTheme="majorBidi" w:hAnsiTheme="majorBidi" w:cstheme="majorBidi"/>
        </w:rPr>
        <w:t>18</w:t>
      </w:r>
      <w:r w:rsidR="00A63A71" w:rsidRPr="00C54AFA">
        <w:rPr>
          <w:rFonts w:asciiTheme="majorBidi" w:hAnsiTheme="majorBidi" w:cstheme="majorBidi"/>
        </w:rPr>
        <w:t>岁以下的人的案件</w:t>
      </w:r>
      <w:r w:rsidR="00C54AFA" w:rsidRPr="00C54AFA">
        <w:rPr>
          <w:rFonts w:asciiTheme="majorBidi" w:hAnsiTheme="majorBidi" w:cstheme="majorBidi"/>
        </w:rPr>
        <w:t>，</w:t>
      </w:r>
      <w:r w:rsidR="00A63A71" w:rsidRPr="00C54AFA">
        <w:rPr>
          <w:rFonts w:asciiTheme="majorBidi" w:hAnsiTheme="majorBidi" w:cstheme="majorBidi"/>
        </w:rPr>
        <w:t>据称最后一次见到此人是</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28</w:t>
      </w:r>
      <w:r w:rsidR="00A63A71" w:rsidRPr="00C54AFA">
        <w:rPr>
          <w:rFonts w:asciiTheme="majorBidi" w:hAnsiTheme="majorBidi" w:cstheme="majorBidi"/>
        </w:rPr>
        <w:t>日</w:t>
      </w:r>
      <w:r w:rsidR="00C54AFA" w:rsidRPr="00C54AFA">
        <w:rPr>
          <w:rFonts w:asciiTheme="majorBidi" w:hAnsiTheme="majorBidi" w:cstheme="majorBidi"/>
        </w:rPr>
        <w:t>，</w:t>
      </w:r>
      <w:r w:rsidRPr="00C54AFA">
        <w:rPr>
          <w:rFonts w:asciiTheme="majorBidi" w:hAnsiTheme="majorBidi" w:cstheme="majorBidi"/>
        </w:rPr>
        <w:t>Kafr</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Zayat</w:t>
      </w:r>
      <w:r w:rsidR="00C54AFA" w:rsidRPr="00C54AFA">
        <w:rPr>
          <w:rFonts w:asciiTheme="majorBidi" w:hAnsiTheme="majorBidi" w:cstheme="majorBidi"/>
        </w:rPr>
        <w:t>；</w:t>
      </w: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Ibrahim</w:t>
      </w:r>
      <w:r w:rsidR="00A63A71" w:rsidRPr="00C54AFA">
        <w:rPr>
          <w:rFonts w:asciiTheme="majorBidi" w:hAnsiTheme="majorBidi" w:cstheme="majorBidi"/>
        </w:rPr>
        <w:t xml:space="preserve"> </w:t>
      </w:r>
      <w:r w:rsidRPr="00C54AFA">
        <w:rPr>
          <w:rFonts w:asciiTheme="majorBidi" w:hAnsiTheme="majorBidi" w:cstheme="majorBidi"/>
        </w:rPr>
        <w:t>Fathi</w:t>
      </w:r>
      <w:r w:rsidR="00A63A71" w:rsidRPr="00C54AFA">
        <w:rPr>
          <w:rFonts w:asciiTheme="majorBidi" w:hAnsiTheme="majorBidi" w:cstheme="majorBidi"/>
        </w:rPr>
        <w:t xml:space="preserve"> </w:t>
      </w:r>
      <w:r w:rsidRPr="00C54AFA">
        <w:rPr>
          <w:rFonts w:asciiTheme="majorBidi" w:hAnsiTheme="majorBidi" w:cstheme="majorBidi"/>
        </w:rPr>
        <w:t>Ali</w:t>
      </w:r>
      <w:r w:rsidR="00A63A71" w:rsidRPr="00C54AFA">
        <w:rPr>
          <w:rFonts w:asciiTheme="majorBidi" w:hAnsiTheme="majorBidi" w:cstheme="majorBidi"/>
        </w:rPr>
        <w:t xml:space="preserve"> </w:t>
      </w:r>
      <w:r w:rsidRPr="00C54AFA">
        <w:rPr>
          <w:rFonts w:asciiTheme="majorBidi" w:hAnsiTheme="majorBidi" w:cstheme="majorBidi"/>
        </w:rPr>
        <w:t>Ibrahim</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Mubarak</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据报告</w:t>
      </w:r>
      <w:r w:rsidR="00C54AFA" w:rsidRPr="00C54AFA">
        <w:rPr>
          <w:rFonts w:asciiTheme="majorBidi" w:hAnsiTheme="majorBidi" w:cstheme="majorBidi"/>
        </w:rPr>
        <w:t>，</w:t>
      </w:r>
      <w:r w:rsidR="00A63A71" w:rsidRPr="00C54AFA">
        <w:rPr>
          <w:rFonts w:asciiTheme="majorBidi" w:hAnsiTheme="majorBidi" w:cstheme="majorBidi"/>
        </w:rPr>
        <w:t>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31</w:t>
      </w:r>
      <w:r w:rsidR="00A63A71" w:rsidRPr="00C54AFA">
        <w:rPr>
          <w:rFonts w:asciiTheme="majorBidi" w:hAnsiTheme="majorBidi" w:cstheme="majorBidi"/>
        </w:rPr>
        <w:t>日在曼苏拉市被安全部队逮捕</w:t>
      </w:r>
      <w:r w:rsidR="00C54AFA" w:rsidRPr="00C54AFA">
        <w:rPr>
          <w:rFonts w:asciiTheme="majorBidi" w:hAnsiTheme="majorBidi" w:cstheme="majorBidi"/>
        </w:rPr>
        <w:t>；</w:t>
      </w:r>
      <w:r w:rsidRPr="00C54AFA">
        <w:rPr>
          <w:rFonts w:asciiTheme="majorBidi" w:hAnsiTheme="majorBidi" w:cstheme="majorBidi"/>
        </w:rPr>
        <w:t>Belal</w:t>
      </w:r>
      <w:r w:rsidR="00A63A71" w:rsidRPr="00C54AFA">
        <w:rPr>
          <w:rFonts w:asciiTheme="majorBidi" w:hAnsiTheme="majorBidi" w:cstheme="majorBidi"/>
        </w:rPr>
        <w:t xml:space="preserve"> </w:t>
      </w:r>
      <w:r w:rsidRPr="00C54AFA">
        <w:rPr>
          <w:rFonts w:asciiTheme="majorBidi" w:hAnsiTheme="majorBidi" w:cstheme="majorBidi"/>
        </w:rPr>
        <w:t>Ashraf</w:t>
      </w:r>
      <w:r w:rsidR="00A63A71" w:rsidRPr="00C54AFA">
        <w:rPr>
          <w:rFonts w:asciiTheme="majorBidi" w:hAnsiTheme="majorBidi" w:cstheme="majorBidi"/>
        </w:rPr>
        <w:t xml:space="preserve"> </w:t>
      </w:r>
      <w:r w:rsidRPr="00C54AFA">
        <w:rPr>
          <w:rFonts w:asciiTheme="majorBidi" w:hAnsiTheme="majorBidi" w:cstheme="majorBidi"/>
        </w:rPr>
        <w:t>Abdul</w:t>
      </w:r>
      <w:r w:rsidR="00A63A71" w:rsidRPr="00C54AFA">
        <w:rPr>
          <w:rFonts w:asciiTheme="majorBidi" w:hAnsiTheme="majorBidi" w:cstheme="majorBidi"/>
        </w:rPr>
        <w:t xml:space="preserve"> </w:t>
      </w:r>
      <w:r w:rsidRPr="00C54AFA">
        <w:rPr>
          <w:rFonts w:asciiTheme="majorBidi" w:hAnsiTheme="majorBidi" w:cstheme="majorBidi"/>
        </w:rPr>
        <w:t>Hadi</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Dossouky</w:t>
      </w:r>
      <w:r w:rsidR="00A63A71" w:rsidRPr="00C54AFA">
        <w:rPr>
          <w:rFonts w:asciiTheme="majorBidi" w:hAnsiTheme="majorBidi" w:cstheme="majorBidi"/>
        </w:rPr>
        <w:t xml:space="preserve"> </w:t>
      </w:r>
      <w:r w:rsidR="00A63A71" w:rsidRPr="00C54AFA">
        <w:rPr>
          <w:rFonts w:asciiTheme="majorBidi" w:hAnsiTheme="majorBidi" w:cstheme="majorBidi"/>
        </w:rPr>
        <w:t>先生和</w:t>
      </w:r>
      <w:r w:rsidRPr="00C54AFA">
        <w:rPr>
          <w:rFonts w:asciiTheme="majorBidi" w:hAnsiTheme="majorBidi" w:cstheme="majorBidi"/>
        </w:rPr>
        <w:lastRenderedPageBreak/>
        <w:t>Ahmed</w:t>
      </w:r>
      <w:r w:rsidR="00A63A71" w:rsidRPr="00C54AFA">
        <w:rPr>
          <w:rFonts w:asciiTheme="majorBidi" w:hAnsiTheme="majorBidi" w:cstheme="majorBidi"/>
        </w:rPr>
        <w:t xml:space="preserve"> </w:t>
      </w:r>
      <w:r w:rsidRPr="00C54AFA">
        <w:rPr>
          <w:rFonts w:asciiTheme="majorBidi" w:hAnsiTheme="majorBidi" w:cstheme="majorBidi"/>
        </w:rPr>
        <w:t>Gomaa</w:t>
      </w:r>
      <w:r w:rsidR="00A63A71" w:rsidRPr="00C54AFA">
        <w:rPr>
          <w:rFonts w:asciiTheme="majorBidi" w:hAnsiTheme="majorBidi" w:cstheme="majorBidi"/>
        </w:rPr>
        <w:t xml:space="preserve"> </w:t>
      </w:r>
      <w:r w:rsidRPr="00C54AFA">
        <w:rPr>
          <w:rFonts w:asciiTheme="majorBidi" w:hAnsiTheme="majorBidi" w:cstheme="majorBidi"/>
        </w:rPr>
        <w:t>Shehata</w:t>
      </w:r>
      <w:r w:rsidR="00A63A71" w:rsidRPr="00C54AFA">
        <w:rPr>
          <w:rFonts w:asciiTheme="majorBidi" w:hAnsiTheme="majorBidi" w:cstheme="majorBidi"/>
        </w:rPr>
        <w:t xml:space="preserve"> </w:t>
      </w:r>
      <w:r w:rsidRPr="00C54AFA">
        <w:rPr>
          <w:rFonts w:asciiTheme="majorBidi" w:hAnsiTheme="majorBidi" w:cstheme="majorBidi"/>
        </w:rPr>
        <w:t>Abdul</w:t>
      </w:r>
      <w:r w:rsidR="00A63A71" w:rsidRPr="00C54AFA">
        <w:rPr>
          <w:rFonts w:asciiTheme="majorBidi" w:hAnsiTheme="majorBidi" w:cstheme="majorBidi"/>
        </w:rPr>
        <w:t xml:space="preserve"> </w:t>
      </w:r>
      <w:r w:rsidRPr="00C54AFA">
        <w:rPr>
          <w:rFonts w:asciiTheme="majorBidi" w:hAnsiTheme="majorBidi" w:cstheme="majorBidi"/>
        </w:rPr>
        <w:t>Raouf</w:t>
      </w:r>
      <w:r w:rsidR="00A63A71" w:rsidRPr="00C54AFA">
        <w:rPr>
          <w:rFonts w:asciiTheme="majorBidi" w:hAnsiTheme="majorBidi" w:cstheme="majorBidi"/>
        </w:rPr>
        <w:t xml:space="preserve"> </w:t>
      </w:r>
      <w:r w:rsidRPr="00C54AFA">
        <w:rPr>
          <w:rFonts w:asciiTheme="majorBidi" w:hAnsiTheme="majorBidi" w:cstheme="majorBidi"/>
        </w:rPr>
        <w:t>Baklawy</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据称他们于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31</w:t>
      </w:r>
      <w:r w:rsidR="00A63A71" w:rsidRPr="00C54AFA">
        <w:rPr>
          <w:rFonts w:asciiTheme="majorBidi" w:hAnsiTheme="majorBidi" w:cstheme="majorBidi"/>
        </w:rPr>
        <w:t>日在曼苏拉市被安全部队逮捕</w:t>
      </w:r>
      <w:r w:rsidR="00C54AFA" w:rsidRPr="00C54AFA">
        <w:rPr>
          <w:rFonts w:asciiTheme="majorBidi" w:hAnsiTheme="majorBidi" w:cstheme="majorBidi"/>
        </w:rPr>
        <w:t>；</w:t>
      </w:r>
      <w:r w:rsidRPr="00C54AFA">
        <w:rPr>
          <w:rFonts w:asciiTheme="majorBidi" w:hAnsiTheme="majorBidi" w:cstheme="majorBidi"/>
        </w:rPr>
        <w:t>Jalal</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Deen</w:t>
      </w:r>
      <w:r w:rsidR="00A63A71" w:rsidRPr="00C54AFA">
        <w:rPr>
          <w:rFonts w:asciiTheme="majorBidi" w:hAnsiTheme="majorBidi" w:cstheme="majorBidi"/>
        </w:rPr>
        <w:t xml:space="preserve"> </w:t>
      </w:r>
      <w:r w:rsidRPr="00C54AFA">
        <w:rPr>
          <w:rFonts w:asciiTheme="majorBidi" w:hAnsiTheme="majorBidi" w:cstheme="majorBidi"/>
        </w:rPr>
        <w:t>Mahmoud</w:t>
      </w:r>
      <w:r w:rsidR="00A63A71" w:rsidRPr="00C54AFA">
        <w:rPr>
          <w:rFonts w:asciiTheme="majorBidi" w:hAnsiTheme="majorBidi" w:cstheme="majorBidi"/>
        </w:rPr>
        <w:t xml:space="preserve"> </w:t>
      </w:r>
      <w:r w:rsidRPr="00C54AFA">
        <w:rPr>
          <w:rFonts w:asciiTheme="majorBidi" w:hAnsiTheme="majorBidi" w:cstheme="majorBidi"/>
        </w:rPr>
        <w:t>Mahmoud</w:t>
      </w:r>
      <w:r w:rsidR="00A63A71" w:rsidRPr="00C54AFA">
        <w:rPr>
          <w:rFonts w:asciiTheme="majorBidi" w:hAnsiTheme="majorBidi" w:cstheme="majorBidi"/>
        </w:rPr>
        <w:t xml:space="preserve"> </w:t>
      </w:r>
      <w:r w:rsidRPr="00C54AFA">
        <w:rPr>
          <w:rFonts w:asciiTheme="majorBidi" w:hAnsiTheme="majorBidi" w:cstheme="majorBidi"/>
        </w:rPr>
        <w:t>Jalal</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据称最后一次被人见到是</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w:t>
      </w:r>
      <w:r w:rsidRPr="00C54AFA">
        <w:rPr>
          <w:rFonts w:asciiTheme="majorBidi" w:hAnsiTheme="majorBidi" w:cstheme="majorBidi"/>
        </w:rPr>
        <w:t>1</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在曼苏拉第</w:t>
      </w:r>
      <w:r w:rsidRPr="00C54AFA">
        <w:rPr>
          <w:rFonts w:asciiTheme="majorBidi" w:hAnsiTheme="majorBidi" w:cstheme="majorBidi"/>
        </w:rPr>
        <w:t>1</w:t>
      </w:r>
      <w:r w:rsidR="00A63A71" w:rsidRPr="00C54AFA">
        <w:rPr>
          <w:rFonts w:asciiTheme="majorBidi" w:hAnsiTheme="majorBidi" w:cstheme="majorBidi"/>
        </w:rPr>
        <w:t>警察局</w:t>
      </w:r>
      <w:r w:rsidR="00C54AFA" w:rsidRPr="00C54AFA">
        <w:rPr>
          <w:rFonts w:asciiTheme="majorBidi" w:hAnsiTheme="majorBidi" w:cstheme="majorBidi"/>
        </w:rPr>
        <w:t>；</w:t>
      </w:r>
      <w:r w:rsidRPr="00C54AFA">
        <w:rPr>
          <w:rFonts w:asciiTheme="majorBidi" w:hAnsiTheme="majorBidi" w:cstheme="majorBidi"/>
        </w:rPr>
        <w:t>Abdul</w:t>
      </w:r>
      <w:r w:rsidR="00A63A71" w:rsidRPr="00C54AFA">
        <w:rPr>
          <w:rFonts w:asciiTheme="majorBidi" w:hAnsiTheme="majorBidi" w:cstheme="majorBidi"/>
        </w:rPr>
        <w:t xml:space="preserve"> </w:t>
      </w:r>
      <w:r w:rsidRPr="00C54AFA">
        <w:rPr>
          <w:rFonts w:asciiTheme="majorBidi" w:hAnsiTheme="majorBidi" w:cstheme="majorBidi"/>
        </w:rPr>
        <w:t>Rahman</w:t>
      </w:r>
      <w:r w:rsidR="00A63A71" w:rsidRPr="00C54AFA">
        <w:rPr>
          <w:rFonts w:asciiTheme="majorBidi" w:hAnsiTheme="majorBidi" w:cstheme="majorBidi"/>
        </w:rPr>
        <w:t xml:space="preserve"> </w:t>
      </w:r>
      <w:r w:rsidRPr="00C54AFA">
        <w:rPr>
          <w:rFonts w:asciiTheme="majorBidi" w:hAnsiTheme="majorBidi" w:cstheme="majorBidi"/>
        </w:rPr>
        <w:t>Ali</w:t>
      </w:r>
      <w:r w:rsidR="00A63A71" w:rsidRPr="00C54AFA">
        <w:rPr>
          <w:rFonts w:asciiTheme="majorBidi" w:hAnsiTheme="majorBidi" w:cstheme="majorBidi"/>
        </w:rPr>
        <w:t xml:space="preserve"> </w:t>
      </w:r>
      <w:r w:rsidRPr="00C54AFA">
        <w:rPr>
          <w:rFonts w:asciiTheme="majorBidi" w:hAnsiTheme="majorBidi" w:cstheme="majorBidi"/>
        </w:rPr>
        <w:t>Ahmed</w:t>
      </w:r>
      <w:r w:rsidR="00A63A71" w:rsidRPr="00C54AFA">
        <w:rPr>
          <w:rFonts w:asciiTheme="majorBidi" w:hAnsiTheme="majorBidi" w:cstheme="majorBidi"/>
        </w:rPr>
        <w:t xml:space="preserve"> </w:t>
      </w:r>
      <w:r w:rsidRPr="00C54AFA">
        <w:rPr>
          <w:rFonts w:asciiTheme="majorBidi" w:hAnsiTheme="majorBidi" w:cstheme="majorBidi"/>
        </w:rPr>
        <w:t>Ibrahim</w:t>
      </w:r>
      <w:r w:rsidR="00A63A71" w:rsidRPr="00C54AFA">
        <w:rPr>
          <w:rFonts w:asciiTheme="majorBidi" w:hAnsiTheme="majorBidi" w:cstheme="majorBidi"/>
        </w:rPr>
        <w:t xml:space="preserve"> </w:t>
      </w:r>
      <w:r w:rsidRPr="00C54AFA">
        <w:rPr>
          <w:rFonts w:asciiTheme="majorBidi" w:hAnsiTheme="majorBidi" w:cstheme="majorBidi"/>
        </w:rPr>
        <w:t>Gallady</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1</w:t>
      </w:r>
      <w:r w:rsidR="00A63A71" w:rsidRPr="00C54AFA">
        <w:rPr>
          <w:rFonts w:asciiTheme="majorBidi" w:hAnsiTheme="majorBidi" w:cstheme="majorBidi"/>
        </w:rPr>
        <w:t>日在曼苏拉市</w:t>
      </w:r>
      <w:r w:rsidRPr="00C54AFA">
        <w:rPr>
          <w:rFonts w:asciiTheme="majorBidi" w:hAnsiTheme="majorBidi" w:cstheme="majorBidi"/>
        </w:rPr>
        <w:t>Badaway</w:t>
      </w:r>
      <w:r w:rsidR="00A63A71" w:rsidRPr="00C54AFA">
        <w:rPr>
          <w:rFonts w:asciiTheme="majorBidi" w:hAnsiTheme="majorBidi" w:cstheme="majorBidi"/>
        </w:rPr>
        <w:t>村被安全部队逮捕</w:t>
      </w:r>
      <w:r w:rsidR="00C54AFA" w:rsidRPr="00C54AFA">
        <w:rPr>
          <w:rFonts w:asciiTheme="majorBidi" w:hAnsiTheme="majorBidi" w:cstheme="majorBidi"/>
        </w:rPr>
        <w:t>；</w:t>
      </w:r>
      <w:r w:rsidRPr="00C54AFA">
        <w:rPr>
          <w:rFonts w:asciiTheme="majorBidi" w:hAnsiTheme="majorBidi" w:cstheme="majorBidi"/>
        </w:rPr>
        <w:t>Mahmoud</w:t>
      </w:r>
      <w:r w:rsidR="00A63A71" w:rsidRPr="00C54AFA">
        <w:rPr>
          <w:rFonts w:asciiTheme="majorBidi" w:hAnsiTheme="majorBidi" w:cstheme="majorBidi"/>
        </w:rPr>
        <w:t xml:space="preserve"> </w:t>
      </w:r>
      <w:r w:rsidRPr="00C54AFA">
        <w:rPr>
          <w:rFonts w:asciiTheme="majorBidi" w:hAnsiTheme="majorBidi" w:cstheme="majorBidi"/>
        </w:rPr>
        <w:t>Nafee</w:t>
      </w:r>
      <w:r w:rsidR="00A63A71" w:rsidRPr="00C54AFA">
        <w:rPr>
          <w:rFonts w:asciiTheme="majorBidi" w:hAnsiTheme="majorBidi" w:cstheme="majorBidi"/>
        </w:rPr>
        <w:t xml:space="preserve"> </w:t>
      </w:r>
      <w:r w:rsidRPr="00C54AFA">
        <w:rPr>
          <w:rFonts w:asciiTheme="majorBidi" w:hAnsiTheme="majorBidi" w:cstheme="majorBidi"/>
        </w:rPr>
        <w:t>Ashour</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28</w:t>
      </w:r>
      <w:r w:rsidR="00A63A71" w:rsidRPr="00C54AFA">
        <w:rPr>
          <w:rFonts w:asciiTheme="majorBidi" w:hAnsiTheme="majorBidi" w:cstheme="majorBidi"/>
        </w:rPr>
        <w:t>日在曼苏拉市被警方逮捕</w:t>
      </w:r>
      <w:r w:rsidR="00C54AFA" w:rsidRPr="00C54AFA">
        <w:rPr>
          <w:rFonts w:asciiTheme="majorBidi" w:hAnsiTheme="majorBidi" w:cstheme="majorBidi"/>
        </w:rPr>
        <w:t>；</w:t>
      </w:r>
    </w:p>
    <w:p w:rsidR="00A63A71" w:rsidRPr="00C54AFA" w:rsidRDefault="00BC4B0A" w:rsidP="009C4385">
      <w:pPr>
        <w:pStyle w:val="SingleTxtGC"/>
        <w:numPr>
          <w:ilvl w:val="0"/>
          <w:numId w:val="9"/>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w:t>
      </w:r>
      <w:r w:rsidRPr="00C54AFA">
        <w:rPr>
          <w:rFonts w:asciiTheme="majorBidi" w:hAnsiTheme="majorBidi" w:cstheme="majorBidi"/>
        </w:rPr>
        <w:t>2</w:t>
      </w:r>
      <w:r w:rsidR="00A63A71" w:rsidRPr="00C54AFA">
        <w:rPr>
          <w:rFonts w:asciiTheme="majorBidi" w:hAnsiTheme="majorBidi" w:cstheme="majorBidi"/>
        </w:rPr>
        <w:t>0</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转达了以下案件</w:t>
      </w:r>
      <w:r w:rsidR="00C54AFA" w:rsidRPr="00C54AFA">
        <w:rPr>
          <w:rFonts w:asciiTheme="majorBidi" w:hAnsiTheme="majorBidi" w:cstheme="majorBidi"/>
        </w:rPr>
        <w:t>：</w:t>
      </w:r>
      <w:r w:rsidRPr="00C54AFA">
        <w:rPr>
          <w:rFonts w:asciiTheme="majorBidi" w:hAnsiTheme="majorBidi" w:cstheme="majorBidi"/>
        </w:rPr>
        <w:t>Ahmed</w:t>
      </w:r>
      <w:r w:rsidR="00A63A71" w:rsidRPr="00C54AFA">
        <w:rPr>
          <w:rFonts w:asciiTheme="majorBidi" w:hAnsiTheme="majorBidi" w:cstheme="majorBidi"/>
        </w:rPr>
        <w:t xml:space="preserve"> </w:t>
      </w:r>
      <w:r w:rsidRPr="00C54AFA">
        <w:rPr>
          <w:rFonts w:asciiTheme="majorBidi" w:hAnsiTheme="majorBidi" w:cstheme="majorBidi"/>
        </w:rPr>
        <w:t>Youssef</w:t>
      </w:r>
      <w:r w:rsidR="00A63A71" w:rsidRPr="00C54AFA">
        <w:rPr>
          <w:rFonts w:asciiTheme="majorBidi" w:hAnsiTheme="majorBidi" w:cstheme="majorBidi"/>
        </w:rPr>
        <w:t xml:space="preserve"> </w:t>
      </w:r>
      <w:r w:rsidRPr="00C54AFA">
        <w:rPr>
          <w:rFonts w:asciiTheme="majorBidi" w:hAnsiTheme="majorBidi" w:cstheme="majorBidi"/>
        </w:rPr>
        <w:t>Khalil</w:t>
      </w:r>
      <w:r w:rsidR="00A63A71" w:rsidRPr="00C54AFA">
        <w:rPr>
          <w:rFonts w:asciiTheme="majorBidi" w:hAnsiTheme="majorBidi" w:cstheme="majorBidi"/>
        </w:rPr>
        <w:t xml:space="preserve"> </w:t>
      </w:r>
      <w:r w:rsidRPr="00C54AFA">
        <w:rPr>
          <w:rFonts w:asciiTheme="majorBidi" w:hAnsiTheme="majorBidi" w:cstheme="majorBidi"/>
        </w:rPr>
        <w:t>Youssef</w:t>
      </w:r>
      <w:r w:rsidR="00A63A71" w:rsidRPr="00C54AFA">
        <w:rPr>
          <w:rFonts w:asciiTheme="majorBidi" w:hAnsiTheme="majorBidi" w:cstheme="majorBidi"/>
        </w:rPr>
        <w:t xml:space="preserve"> </w:t>
      </w:r>
      <w:r w:rsidRPr="00C54AFA">
        <w:rPr>
          <w:rFonts w:asciiTheme="majorBidi" w:hAnsiTheme="majorBidi" w:cstheme="majorBidi"/>
        </w:rPr>
        <w:t>Mohamed</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21</w:t>
      </w:r>
      <w:r w:rsidR="00A63A71" w:rsidRPr="00C54AFA">
        <w:rPr>
          <w:rFonts w:asciiTheme="majorBidi" w:hAnsiTheme="majorBidi" w:cstheme="majorBidi"/>
        </w:rPr>
        <w:t>日在亚历山大</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Rammel</w:t>
      </w:r>
      <w:r w:rsidR="00A63A71" w:rsidRPr="00C54AFA">
        <w:rPr>
          <w:rFonts w:asciiTheme="majorBidi" w:hAnsiTheme="majorBidi" w:cstheme="majorBidi"/>
        </w:rPr>
        <w:t>火车站被特别部队逮捕</w:t>
      </w:r>
      <w:r w:rsidR="00C54AFA" w:rsidRPr="00C54AFA">
        <w:rPr>
          <w:rFonts w:asciiTheme="majorBidi" w:hAnsiTheme="majorBidi" w:cstheme="majorBidi"/>
        </w:rPr>
        <w:t>；</w:t>
      </w:r>
      <w:r w:rsidRPr="00C54AFA">
        <w:rPr>
          <w:rFonts w:asciiTheme="majorBidi" w:hAnsiTheme="majorBidi" w:cstheme="majorBidi"/>
        </w:rPr>
        <w:t>Ahmed</w:t>
      </w:r>
      <w:r w:rsidR="00A63A71" w:rsidRPr="00C54AFA">
        <w:rPr>
          <w:rFonts w:asciiTheme="majorBidi" w:hAnsiTheme="majorBidi" w:cstheme="majorBidi"/>
        </w:rPr>
        <w:t xml:space="preserve"> </w:t>
      </w: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Fahmy</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Wateedy</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w:t>
      </w:r>
      <w:r w:rsidRPr="00C54AFA">
        <w:rPr>
          <w:rFonts w:asciiTheme="majorBidi" w:hAnsiTheme="majorBidi" w:cstheme="majorBidi"/>
        </w:rPr>
        <w:t>2</w:t>
      </w:r>
      <w:r w:rsidR="00A63A71" w:rsidRPr="00C54AFA">
        <w:rPr>
          <w:rFonts w:asciiTheme="majorBidi" w:hAnsiTheme="majorBidi" w:cstheme="majorBidi"/>
        </w:rPr>
        <w:t>日在亚历山大</w:t>
      </w:r>
      <w:r w:rsidRPr="00C54AFA">
        <w:rPr>
          <w:rFonts w:asciiTheme="majorBidi" w:hAnsiTheme="majorBidi" w:cstheme="majorBidi"/>
        </w:rPr>
        <w:t>Borg</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Arab</w:t>
      </w:r>
      <w:r w:rsidR="00A63A71" w:rsidRPr="00C54AFA">
        <w:rPr>
          <w:rFonts w:asciiTheme="majorBidi" w:hAnsiTheme="majorBidi" w:cstheme="majorBidi"/>
        </w:rPr>
        <w:t>机场被机场保安警察逮捕</w:t>
      </w:r>
      <w:r w:rsidR="00C54AFA" w:rsidRPr="00C54AFA">
        <w:rPr>
          <w:rFonts w:asciiTheme="majorBidi" w:hAnsiTheme="majorBidi" w:cstheme="majorBidi"/>
        </w:rPr>
        <w:t>；</w:t>
      </w:r>
      <w:r w:rsidRPr="00C54AFA">
        <w:rPr>
          <w:rFonts w:asciiTheme="majorBidi" w:hAnsiTheme="majorBidi" w:cstheme="majorBidi"/>
        </w:rPr>
        <w:t>Rashad</w:t>
      </w:r>
      <w:r w:rsidR="00A63A71" w:rsidRPr="00C54AFA">
        <w:rPr>
          <w:rFonts w:asciiTheme="majorBidi" w:hAnsiTheme="majorBidi" w:cstheme="majorBidi"/>
        </w:rPr>
        <w:t xml:space="preserve"> </w:t>
      </w:r>
      <w:r w:rsidRPr="00C54AFA">
        <w:rPr>
          <w:rFonts w:asciiTheme="majorBidi" w:hAnsiTheme="majorBidi" w:cstheme="majorBidi"/>
        </w:rPr>
        <w:t>Aly</w:t>
      </w:r>
      <w:r w:rsidR="00A63A71" w:rsidRPr="00C54AFA">
        <w:rPr>
          <w:rFonts w:asciiTheme="majorBidi" w:hAnsiTheme="majorBidi" w:cstheme="majorBidi"/>
        </w:rPr>
        <w:t xml:space="preserve"> </w:t>
      </w:r>
      <w:r w:rsidRPr="00C54AFA">
        <w:rPr>
          <w:rFonts w:asciiTheme="majorBidi" w:hAnsiTheme="majorBidi" w:cstheme="majorBidi"/>
        </w:rPr>
        <w:t>Ahmed</w:t>
      </w:r>
      <w:r w:rsidR="00A63A71" w:rsidRPr="00C54AFA">
        <w:rPr>
          <w:rFonts w:asciiTheme="majorBidi" w:hAnsiTheme="majorBidi" w:cstheme="majorBidi"/>
        </w:rPr>
        <w:t xml:space="preserve"> </w:t>
      </w:r>
      <w:r w:rsidRPr="00C54AFA">
        <w:rPr>
          <w:rFonts w:asciiTheme="majorBidi" w:hAnsiTheme="majorBidi" w:cstheme="majorBidi"/>
        </w:rPr>
        <w:t>Berkawy</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27</w:t>
      </w:r>
      <w:r w:rsidR="00A63A71" w:rsidRPr="00C54AFA">
        <w:rPr>
          <w:rFonts w:asciiTheme="majorBidi" w:hAnsiTheme="majorBidi" w:cstheme="majorBidi"/>
        </w:rPr>
        <w:t>日在伊斯梅利亚省被一名穿便衣的男子逮捕</w:t>
      </w:r>
      <w:r w:rsidR="00C54AFA" w:rsidRPr="00C54AFA">
        <w:rPr>
          <w:rFonts w:asciiTheme="majorBidi" w:hAnsiTheme="majorBidi" w:cstheme="majorBidi"/>
        </w:rPr>
        <w:t>；</w:t>
      </w:r>
      <w:r w:rsidRPr="00C54AFA">
        <w:rPr>
          <w:rFonts w:asciiTheme="majorBidi" w:hAnsiTheme="majorBidi" w:cstheme="majorBidi"/>
        </w:rPr>
        <w:t>Gamal</w:t>
      </w:r>
      <w:r w:rsidR="00A63A71" w:rsidRPr="00C54AFA">
        <w:rPr>
          <w:rFonts w:asciiTheme="majorBidi" w:hAnsiTheme="majorBidi" w:cstheme="majorBidi"/>
        </w:rPr>
        <w:t xml:space="preserve"> </w:t>
      </w:r>
      <w:r w:rsidRPr="00C54AFA">
        <w:rPr>
          <w:rFonts w:asciiTheme="majorBidi" w:hAnsiTheme="majorBidi" w:cstheme="majorBidi"/>
        </w:rPr>
        <w:t>Ali</w:t>
      </w:r>
      <w:r w:rsidR="00A63A71" w:rsidRPr="00C54AFA">
        <w:rPr>
          <w:rFonts w:asciiTheme="majorBidi" w:hAnsiTheme="majorBidi" w:cstheme="majorBidi"/>
        </w:rPr>
        <w:t xml:space="preserve"> </w:t>
      </w:r>
      <w:r w:rsidRPr="00C54AFA">
        <w:rPr>
          <w:rFonts w:asciiTheme="majorBidi" w:hAnsiTheme="majorBidi" w:cstheme="majorBidi"/>
        </w:rPr>
        <w:t>Abd</w:t>
      </w:r>
      <w:r w:rsidR="00A63A71" w:rsidRPr="00C54AFA">
        <w:rPr>
          <w:rFonts w:asciiTheme="majorBidi" w:hAnsiTheme="majorBidi" w:cstheme="majorBidi"/>
        </w:rPr>
        <w:t xml:space="preserve"> </w:t>
      </w:r>
      <w:r w:rsidRPr="00C54AFA">
        <w:rPr>
          <w:rFonts w:asciiTheme="majorBidi" w:hAnsiTheme="majorBidi" w:cstheme="majorBidi"/>
        </w:rPr>
        <w:t>Almoqtader</w:t>
      </w:r>
      <w:r w:rsidR="00A63A71" w:rsidRPr="00C54AFA">
        <w:rPr>
          <w:rFonts w:asciiTheme="majorBidi" w:hAnsiTheme="majorBidi" w:cstheme="majorBidi"/>
        </w:rPr>
        <w:t xml:space="preserve"> </w:t>
      </w:r>
      <w:r w:rsidRPr="00C54AFA">
        <w:rPr>
          <w:rFonts w:asciiTheme="majorBidi" w:hAnsiTheme="majorBidi" w:cstheme="majorBidi"/>
        </w:rPr>
        <w:t>Abd</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Razeq</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21</w:t>
      </w:r>
      <w:r w:rsidR="00A63A71" w:rsidRPr="00C54AFA">
        <w:rPr>
          <w:rFonts w:asciiTheme="majorBidi" w:hAnsiTheme="majorBidi" w:cstheme="majorBidi"/>
        </w:rPr>
        <w:t>日在</w:t>
      </w:r>
      <w:r w:rsidRPr="00C54AFA">
        <w:rPr>
          <w:rFonts w:asciiTheme="majorBidi" w:hAnsiTheme="majorBidi" w:cstheme="majorBidi"/>
        </w:rPr>
        <w:t>Kafr</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w:t>
      </w:r>
      <w:r w:rsidRPr="00C54AFA">
        <w:rPr>
          <w:rFonts w:asciiTheme="majorBidi" w:hAnsiTheme="majorBidi" w:cstheme="majorBidi"/>
        </w:rPr>
        <w:t>Sheikh</w:t>
      </w:r>
      <w:r w:rsidR="00A63A71" w:rsidRPr="00C54AFA">
        <w:rPr>
          <w:rFonts w:asciiTheme="majorBidi" w:hAnsiTheme="majorBidi" w:cstheme="majorBidi"/>
        </w:rPr>
        <w:t>被穿便衣的武装保安警察力量逮捕</w:t>
      </w:r>
      <w:r w:rsidR="00C54AFA" w:rsidRPr="00C54AFA">
        <w:rPr>
          <w:rFonts w:asciiTheme="majorBidi" w:hAnsiTheme="majorBidi" w:cstheme="majorBidi"/>
        </w:rPr>
        <w:t>；</w:t>
      </w:r>
      <w:r w:rsidR="00A63A71" w:rsidRPr="00C54AFA">
        <w:rPr>
          <w:rFonts w:asciiTheme="majorBidi" w:hAnsiTheme="majorBidi" w:cstheme="majorBidi"/>
        </w:rPr>
        <w:t>一名</w:t>
      </w:r>
      <w:r w:rsidRPr="00C54AFA">
        <w:rPr>
          <w:rFonts w:asciiTheme="majorBidi" w:hAnsiTheme="majorBidi" w:cstheme="majorBidi"/>
        </w:rPr>
        <w:t>18</w:t>
      </w:r>
      <w:r w:rsidR="00A63A71" w:rsidRPr="00C54AFA">
        <w:rPr>
          <w:rFonts w:asciiTheme="majorBidi" w:hAnsiTheme="majorBidi" w:cstheme="majorBidi"/>
        </w:rPr>
        <w:t>岁以下的人的案件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w:t>
      </w:r>
      <w:r w:rsidRPr="00C54AFA">
        <w:rPr>
          <w:rFonts w:asciiTheme="majorBidi" w:hAnsiTheme="majorBidi" w:cstheme="majorBidi"/>
        </w:rPr>
        <w:t>3</w:t>
      </w:r>
      <w:r w:rsidR="00A63A71" w:rsidRPr="00C54AFA">
        <w:rPr>
          <w:rFonts w:asciiTheme="majorBidi" w:hAnsiTheme="majorBidi" w:cstheme="majorBidi"/>
        </w:rPr>
        <w:t>日在</w:t>
      </w:r>
      <w:r w:rsidRPr="00C54AFA">
        <w:rPr>
          <w:rFonts w:asciiTheme="majorBidi" w:hAnsiTheme="majorBidi" w:cstheme="majorBidi"/>
        </w:rPr>
        <w:t>Dakahliyia</w:t>
      </w:r>
      <w:r w:rsidR="00A63A71" w:rsidRPr="00C54AFA">
        <w:rPr>
          <w:rFonts w:asciiTheme="majorBidi" w:hAnsiTheme="majorBidi" w:cstheme="majorBidi"/>
        </w:rPr>
        <w:t>省</w:t>
      </w:r>
      <w:r w:rsidRPr="00C54AFA">
        <w:rPr>
          <w:rFonts w:asciiTheme="majorBidi" w:hAnsiTheme="majorBidi" w:cstheme="majorBidi"/>
        </w:rPr>
        <w:t>Menyat</w:t>
      </w:r>
      <w:r w:rsidR="00A63A71" w:rsidRPr="00C54AFA">
        <w:rPr>
          <w:rFonts w:asciiTheme="majorBidi" w:hAnsiTheme="majorBidi" w:cstheme="majorBidi"/>
        </w:rPr>
        <w:t xml:space="preserve"> </w:t>
      </w:r>
      <w:r w:rsidRPr="00C54AFA">
        <w:rPr>
          <w:rFonts w:asciiTheme="majorBidi" w:hAnsiTheme="majorBidi" w:cstheme="majorBidi"/>
        </w:rPr>
        <w:t>Taher</w:t>
      </w:r>
      <w:r w:rsidR="00A63A71" w:rsidRPr="00C54AFA">
        <w:rPr>
          <w:rFonts w:asciiTheme="majorBidi" w:hAnsiTheme="majorBidi" w:cstheme="majorBidi"/>
        </w:rPr>
        <w:t>村被警察逮捕</w:t>
      </w:r>
      <w:r w:rsidR="00C54AFA" w:rsidRPr="00C54AFA">
        <w:rPr>
          <w:rFonts w:asciiTheme="majorBidi" w:hAnsiTheme="majorBidi" w:cstheme="majorBidi"/>
        </w:rPr>
        <w:t>；</w:t>
      </w:r>
      <w:r w:rsidR="00A63A71" w:rsidRPr="00C54AFA">
        <w:rPr>
          <w:rFonts w:asciiTheme="majorBidi" w:hAnsiTheme="majorBidi" w:cstheme="majorBidi"/>
        </w:rPr>
        <w:t>一名</w:t>
      </w:r>
      <w:r w:rsidRPr="00C54AFA">
        <w:rPr>
          <w:rFonts w:asciiTheme="majorBidi" w:hAnsiTheme="majorBidi" w:cstheme="majorBidi"/>
        </w:rPr>
        <w:t>18</w:t>
      </w:r>
      <w:r w:rsidR="00A63A71" w:rsidRPr="00C54AFA">
        <w:rPr>
          <w:rFonts w:asciiTheme="majorBidi" w:hAnsiTheme="majorBidi" w:cstheme="majorBidi"/>
        </w:rPr>
        <w:t>岁以下的人的案件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w:t>
      </w:r>
      <w:r w:rsidRPr="00C54AFA">
        <w:rPr>
          <w:rFonts w:asciiTheme="majorBidi" w:hAnsiTheme="majorBidi" w:cstheme="majorBidi"/>
        </w:rPr>
        <w:t>8</w:t>
      </w:r>
      <w:r w:rsidR="00A63A71" w:rsidRPr="00C54AFA">
        <w:rPr>
          <w:rFonts w:asciiTheme="majorBidi" w:hAnsiTheme="majorBidi" w:cstheme="majorBidi"/>
        </w:rPr>
        <w:t>日在</w:t>
      </w:r>
      <w:r w:rsidRPr="00C54AFA">
        <w:rPr>
          <w:rFonts w:asciiTheme="majorBidi" w:hAnsiTheme="majorBidi" w:cstheme="majorBidi"/>
        </w:rPr>
        <w:t>Domyat</w:t>
      </w:r>
      <w:r w:rsidR="00A63A71" w:rsidRPr="00C54AFA">
        <w:rPr>
          <w:rFonts w:asciiTheme="majorBidi" w:hAnsiTheme="majorBidi" w:cstheme="majorBidi"/>
        </w:rPr>
        <w:t>省被国家安全警察力量逮捕</w:t>
      </w:r>
      <w:r w:rsidR="00C54AFA" w:rsidRPr="00C54AFA">
        <w:rPr>
          <w:rFonts w:asciiTheme="majorBidi" w:hAnsiTheme="majorBidi" w:cstheme="majorBidi"/>
        </w:rPr>
        <w:t>；</w:t>
      </w:r>
      <w:r w:rsidRPr="00C54AFA">
        <w:rPr>
          <w:rFonts w:asciiTheme="majorBidi" w:hAnsiTheme="majorBidi" w:cstheme="majorBidi"/>
        </w:rPr>
        <w:t>Salim</w:t>
      </w:r>
      <w:r w:rsidR="00A63A71" w:rsidRPr="00C54AFA">
        <w:rPr>
          <w:rFonts w:asciiTheme="majorBidi" w:hAnsiTheme="majorBidi" w:cstheme="majorBidi"/>
        </w:rPr>
        <w:t xml:space="preserve"> </w:t>
      </w:r>
      <w:r w:rsidRPr="00C54AFA">
        <w:rPr>
          <w:rFonts w:asciiTheme="majorBidi" w:hAnsiTheme="majorBidi" w:cstheme="majorBidi"/>
        </w:rPr>
        <w:t>Ezzat</w:t>
      </w:r>
      <w:r w:rsidR="00A63A71" w:rsidRPr="00C54AFA">
        <w:rPr>
          <w:rFonts w:asciiTheme="majorBidi" w:hAnsiTheme="majorBidi" w:cstheme="majorBidi"/>
        </w:rPr>
        <w:t xml:space="preserve"> </w:t>
      </w:r>
      <w:r w:rsidRPr="00C54AFA">
        <w:rPr>
          <w:rFonts w:asciiTheme="majorBidi" w:hAnsiTheme="majorBidi" w:cstheme="majorBidi"/>
        </w:rPr>
        <w:t>Salim</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Gohary</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4</w:t>
      </w:r>
      <w:r w:rsidR="00A63A71" w:rsidRPr="00C54AFA">
        <w:rPr>
          <w:rFonts w:asciiTheme="majorBidi" w:hAnsiTheme="majorBidi" w:cstheme="majorBidi"/>
        </w:rPr>
        <w:t>日在</w:t>
      </w:r>
      <w:r w:rsidRPr="00C54AFA">
        <w:rPr>
          <w:rFonts w:asciiTheme="majorBidi" w:hAnsiTheme="majorBidi" w:cstheme="majorBidi"/>
        </w:rPr>
        <w:t>Mahala</w:t>
      </w:r>
      <w:r w:rsidR="00A63A71" w:rsidRPr="00C54AFA">
        <w:rPr>
          <w:rFonts w:asciiTheme="majorBidi" w:hAnsiTheme="majorBidi" w:cstheme="majorBidi"/>
        </w:rPr>
        <w:t>被身穿制服的警察在</w:t>
      </w:r>
      <w:r w:rsidRPr="00C54AFA">
        <w:rPr>
          <w:rFonts w:asciiTheme="majorBidi" w:hAnsiTheme="majorBidi" w:cstheme="majorBidi"/>
        </w:rPr>
        <w:t>Kobra</w:t>
      </w:r>
      <w:r w:rsidR="00A63A71" w:rsidRPr="00C54AFA">
        <w:rPr>
          <w:rFonts w:asciiTheme="majorBidi" w:hAnsiTheme="majorBidi" w:cstheme="majorBidi"/>
        </w:rPr>
        <w:t>城</w:t>
      </w:r>
      <w:r w:rsidRPr="00C54AFA">
        <w:rPr>
          <w:rFonts w:asciiTheme="majorBidi" w:hAnsiTheme="majorBidi" w:cstheme="majorBidi"/>
        </w:rPr>
        <w:t>Mahala</w:t>
      </w:r>
      <w:r w:rsidR="00A63A71" w:rsidRPr="00C54AFA">
        <w:rPr>
          <w:rFonts w:asciiTheme="majorBidi" w:hAnsiTheme="majorBidi" w:cstheme="majorBidi"/>
        </w:rPr>
        <w:t>逮捕</w:t>
      </w:r>
      <w:r w:rsidR="00C54AFA" w:rsidRPr="00C54AFA">
        <w:rPr>
          <w:rFonts w:asciiTheme="majorBidi" w:hAnsiTheme="majorBidi" w:cstheme="majorBidi"/>
        </w:rPr>
        <w:t>；</w:t>
      </w:r>
      <w:r w:rsidRPr="00C54AFA">
        <w:rPr>
          <w:rFonts w:asciiTheme="majorBidi" w:hAnsiTheme="majorBidi" w:cstheme="majorBidi"/>
        </w:rPr>
        <w:t>Reda</w:t>
      </w:r>
      <w:r w:rsidR="00A63A71" w:rsidRPr="00C54AFA">
        <w:rPr>
          <w:rFonts w:asciiTheme="majorBidi" w:hAnsiTheme="majorBidi" w:cstheme="majorBidi"/>
        </w:rPr>
        <w:t xml:space="preserve"> </w:t>
      </w:r>
      <w:r w:rsidRPr="00C54AFA">
        <w:rPr>
          <w:rFonts w:asciiTheme="majorBidi" w:hAnsiTheme="majorBidi" w:cstheme="majorBidi"/>
        </w:rPr>
        <w:t>Radwan</w:t>
      </w:r>
      <w:r w:rsidR="00A63A71" w:rsidRPr="00C54AFA">
        <w:rPr>
          <w:rFonts w:asciiTheme="majorBidi" w:hAnsiTheme="majorBidi" w:cstheme="majorBidi"/>
        </w:rPr>
        <w:t xml:space="preserve"> </w:t>
      </w:r>
      <w:r w:rsidRPr="00C54AFA">
        <w:rPr>
          <w:rFonts w:asciiTheme="majorBidi" w:hAnsiTheme="majorBidi" w:cstheme="majorBidi"/>
        </w:rPr>
        <w:t>Morsi</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w:t>
      </w:r>
      <w:r w:rsidRPr="00C54AFA">
        <w:rPr>
          <w:rFonts w:asciiTheme="majorBidi" w:hAnsiTheme="majorBidi" w:cstheme="majorBidi"/>
        </w:rPr>
        <w:t>7</w:t>
      </w:r>
      <w:r w:rsidR="00A63A71" w:rsidRPr="00C54AFA">
        <w:rPr>
          <w:rFonts w:asciiTheme="majorBidi" w:hAnsiTheme="majorBidi" w:cstheme="majorBidi"/>
        </w:rPr>
        <w:t>日在开罗</w:t>
      </w:r>
      <w:r w:rsidRPr="00C54AFA">
        <w:rPr>
          <w:rFonts w:asciiTheme="majorBidi" w:hAnsiTheme="majorBidi" w:cstheme="majorBidi"/>
        </w:rPr>
        <w:t>Nasr</w:t>
      </w:r>
      <w:r w:rsidR="00A63A71" w:rsidRPr="00C54AFA">
        <w:rPr>
          <w:rFonts w:asciiTheme="majorBidi" w:hAnsiTheme="majorBidi" w:cstheme="majorBidi"/>
        </w:rPr>
        <w:t>市被穿制服的安全人员和四名穿便衣的人逮捕</w:t>
      </w:r>
      <w:r w:rsidR="00C54AFA" w:rsidRPr="00C54AFA">
        <w:rPr>
          <w:rFonts w:asciiTheme="majorBidi" w:hAnsiTheme="majorBidi" w:cstheme="majorBidi"/>
        </w:rPr>
        <w:t>；</w:t>
      </w:r>
      <w:r w:rsidR="00A63A71" w:rsidRPr="00C54AFA">
        <w:rPr>
          <w:rFonts w:asciiTheme="majorBidi" w:hAnsiTheme="majorBidi" w:cstheme="majorBidi"/>
        </w:rPr>
        <w:t>一名</w:t>
      </w:r>
      <w:r w:rsidRPr="00C54AFA">
        <w:rPr>
          <w:rFonts w:asciiTheme="majorBidi" w:hAnsiTheme="majorBidi" w:cstheme="majorBidi"/>
        </w:rPr>
        <w:t>18</w:t>
      </w:r>
      <w:r w:rsidR="00A63A71" w:rsidRPr="00C54AFA">
        <w:rPr>
          <w:rFonts w:asciiTheme="majorBidi" w:hAnsiTheme="majorBidi" w:cstheme="majorBidi"/>
        </w:rPr>
        <w:t>岁以下的人的案件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31</w:t>
      </w:r>
      <w:r w:rsidR="00A63A71" w:rsidRPr="00C54AFA">
        <w:rPr>
          <w:rFonts w:asciiTheme="majorBidi" w:hAnsiTheme="majorBidi" w:cstheme="majorBidi"/>
        </w:rPr>
        <w:t>日在</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Hadra</w:t>
      </w:r>
      <w:r w:rsidR="00A63A71" w:rsidRPr="00C54AFA">
        <w:rPr>
          <w:rFonts w:asciiTheme="majorBidi" w:hAnsiTheme="majorBidi" w:cstheme="majorBidi"/>
        </w:rPr>
        <w:t>区被安全部队逮捕</w:t>
      </w:r>
      <w:r w:rsidR="00C54AFA" w:rsidRPr="00C54AFA">
        <w:rPr>
          <w:rFonts w:asciiTheme="majorBidi" w:hAnsiTheme="majorBidi" w:cstheme="majorBidi"/>
        </w:rPr>
        <w:t>；</w:t>
      </w:r>
      <w:r w:rsidRPr="00C54AFA">
        <w:rPr>
          <w:rFonts w:asciiTheme="majorBidi" w:hAnsiTheme="majorBidi" w:cstheme="majorBidi"/>
        </w:rPr>
        <w:t>Mahmoud</w:t>
      </w:r>
      <w:r w:rsidR="00A63A71" w:rsidRPr="00C54AFA">
        <w:rPr>
          <w:rFonts w:asciiTheme="majorBidi" w:hAnsiTheme="majorBidi" w:cstheme="majorBidi"/>
        </w:rPr>
        <w:t xml:space="preserve"> </w:t>
      </w:r>
      <w:r w:rsidRPr="00C54AFA">
        <w:rPr>
          <w:rFonts w:asciiTheme="majorBidi" w:hAnsiTheme="majorBidi" w:cstheme="majorBidi"/>
        </w:rPr>
        <w:t>Ibrahim</w:t>
      </w:r>
      <w:r w:rsidR="00A63A71" w:rsidRPr="00C54AFA">
        <w:rPr>
          <w:rFonts w:asciiTheme="majorBidi" w:hAnsiTheme="majorBidi" w:cstheme="majorBidi"/>
        </w:rPr>
        <w:t xml:space="preserve"> </w:t>
      </w: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Abu</w:t>
      </w:r>
      <w:r w:rsidR="00A63A71" w:rsidRPr="00C54AFA">
        <w:rPr>
          <w:rFonts w:asciiTheme="majorBidi" w:hAnsiTheme="majorBidi" w:cstheme="majorBidi"/>
        </w:rPr>
        <w:t xml:space="preserve"> </w:t>
      </w:r>
      <w:r w:rsidRPr="00C54AFA">
        <w:rPr>
          <w:rFonts w:asciiTheme="majorBidi" w:hAnsiTheme="majorBidi" w:cstheme="majorBidi"/>
        </w:rPr>
        <w:t>Saeeda</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31</w:t>
      </w:r>
      <w:r w:rsidR="00A63A71" w:rsidRPr="00C54AFA">
        <w:rPr>
          <w:rFonts w:asciiTheme="majorBidi" w:hAnsiTheme="majorBidi" w:cstheme="majorBidi"/>
        </w:rPr>
        <w:t>日在亚历山大省</w:t>
      </w:r>
      <w:r w:rsidRPr="00C54AFA">
        <w:rPr>
          <w:rFonts w:asciiTheme="majorBidi" w:hAnsiTheme="majorBidi" w:cstheme="majorBidi"/>
        </w:rPr>
        <w:t>Sidi</w:t>
      </w:r>
      <w:r w:rsidR="00A63A71" w:rsidRPr="00C54AFA">
        <w:rPr>
          <w:rFonts w:asciiTheme="majorBidi" w:hAnsiTheme="majorBidi" w:cstheme="majorBidi"/>
        </w:rPr>
        <w:t xml:space="preserve"> </w:t>
      </w:r>
      <w:r w:rsidRPr="00C54AFA">
        <w:rPr>
          <w:rFonts w:asciiTheme="majorBidi" w:hAnsiTheme="majorBidi" w:cstheme="majorBidi"/>
        </w:rPr>
        <w:t>Bishr</w:t>
      </w:r>
      <w:r w:rsidR="00A63A71" w:rsidRPr="00C54AFA">
        <w:rPr>
          <w:rFonts w:asciiTheme="majorBidi" w:hAnsiTheme="majorBidi" w:cstheme="majorBidi"/>
        </w:rPr>
        <w:t>区被特别部队逮捕</w:t>
      </w:r>
      <w:r w:rsidR="00C54AFA" w:rsidRPr="00C54AFA">
        <w:rPr>
          <w:rFonts w:asciiTheme="majorBidi" w:hAnsiTheme="majorBidi" w:cstheme="majorBidi"/>
        </w:rPr>
        <w:t>；</w:t>
      </w:r>
      <w:r w:rsidRPr="00C54AFA">
        <w:rPr>
          <w:rFonts w:asciiTheme="majorBidi" w:hAnsiTheme="majorBidi" w:cstheme="majorBidi"/>
        </w:rPr>
        <w:t>Ahmed</w:t>
      </w:r>
      <w:r w:rsidR="00A63A71" w:rsidRPr="00C54AFA">
        <w:rPr>
          <w:rFonts w:asciiTheme="majorBidi" w:hAnsiTheme="majorBidi" w:cstheme="majorBidi"/>
        </w:rPr>
        <w:t xml:space="preserve"> </w:t>
      </w:r>
      <w:r w:rsidRPr="00C54AFA">
        <w:rPr>
          <w:rFonts w:asciiTheme="majorBidi" w:hAnsiTheme="majorBidi" w:cstheme="majorBidi"/>
        </w:rPr>
        <w:t>Mohammed</w:t>
      </w:r>
      <w:r w:rsidR="00A63A71" w:rsidRPr="00C54AFA">
        <w:rPr>
          <w:rFonts w:asciiTheme="majorBidi" w:hAnsiTheme="majorBidi" w:cstheme="majorBidi"/>
        </w:rPr>
        <w:t xml:space="preserve"> </w:t>
      </w:r>
      <w:r w:rsidRPr="00C54AFA">
        <w:rPr>
          <w:rFonts w:asciiTheme="majorBidi" w:hAnsiTheme="majorBidi" w:cstheme="majorBidi"/>
        </w:rPr>
        <w:t>Mahmoud</w:t>
      </w:r>
      <w:r w:rsidR="00A63A71" w:rsidRPr="00C54AFA">
        <w:rPr>
          <w:rFonts w:asciiTheme="majorBidi" w:hAnsiTheme="majorBidi" w:cstheme="majorBidi"/>
        </w:rPr>
        <w:t xml:space="preserve"> </w:t>
      </w:r>
      <w:r w:rsidRPr="00C54AFA">
        <w:rPr>
          <w:rFonts w:asciiTheme="majorBidi" w:hAnsiTheme="majorBidi" w:cstheme="majorBidi"/>
        </w:rPr>
        <w:t>Keshta</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1</w:t>
      </w:r>
      <w:r w:rsidR="00A63A71" w:rsidRPr="00C54AFA">
        <w:rPr>
          <w:rFonts w:asciiTheme="majorBidi" w:hAnsiTheme="majorBidi" w:cstheme="majorBidi"/>
        </w:rPr>
        <w:t>日在</w:t>
      </w:r>
      <w:r w:rsidRPr="00C54AFA">
        <w:rPr>
          <w:rFonts w:asciiTheme="majorBidi" w:hAnsiTheme="majorBidi" w:cstheme="majorBidi"/>
        </w:rPr>
        <w:t>El</w:t>
      </w:r>
      <w:r w:rsidR="00A63A71" w:rsidRPr="00C54AFA">
        <w:rPr>
          <w:rFonts w:asciiTheme="majorBidi" w:hAnsiTheme="majorBidi" w:cstheme="majorBidi"/>
        </w:rPr>
        <w:t xml:space="preserve"> </w:t>
      </w:r>
      <w:r w:rsidRPr="00C54AFA">
        <w:rPr>
          <w:rFonts w:asciiTheme="majorBidi" w:hAnsiTheme="majorBidi" w:cstheme="majorBidi"/>
        </w:rPr>
        <w:t>Mahalla</w:t>
      </w:r>
      <w:r w:rsidR="00A63A71" w:rsidRPr="00C54AFA">
        <w:rPr>
          <w:rFonts w:asciiTheme="majorBidi" w:hAnsiTheme="majorBidi" w:cstheme="majorBidi"/>
        </w:rPr>
        <w:t xml:space="preserve"> </w:t>
      </w:r>
      <w:r w:rsidRPr="00C54AFA">
        <w:rPr>
          <w:rFonts w:asciiTheme="majorBidi" w:hAnsiTheme="majorBidi" w:cstheme="majorBidi"/>
        </w:rPr>
        <w:t>El</w:t>
      </w:r>
      <w:r w:rsidR="00A63A71" w:rsidRPr="00C54AFA">
        <w:rPr>
          <w:rFonts w:asciiTheme="majorBidi" w:hAnsiTheme="majorBidi" w:cstheme="majorBidi"/>
        </w:rPr>
        <w:t xml:space="preserve"> </w:t>
      </w:r>
      <w:r w:rsidRPr="00C54AFA">
        <w:rPr>
          <w:rFonts w:asciiTheme="majorBidi" w:hAnsiTheme="majorBidi" w:cstheme="majorBidi"/>
        </w:rPr>
        <w:t>Kubra</w:t>
      </w:r>
      <w:r w:rsidR="00A63A71" w:rsidRPr="00C54AFA">
        <w:rPr>
          <w:rFonts w:asciiTheme="majorBidi" w:hAnsiTheme="majorBidi" w:cstheme="majorBidi"/>
        </w:rPr>
        <w:t>市</w:t>
      </w:r>
      <w:r w:rsidRPr="00C54AFA">
        <w:rPr>
          <w:rFonts w:asciiTheme="majorBidi" w:hAnsiTheme="majorBidi" w:cstheme="majorBidi"/>
        </w:rPr>
        <w:t>El</w:t>
      </w:r>
      <w:r w:rsidR="00A63A71" w:rsidRPr="00C54AFA">
        <w:rPr>
          <w:rFonts w:asciiTheme="majorBidi" w:hAnsiTheme="majorBidi" w:cstheme="majorBidi"/>
        </w:rPr>
        <w:t xml:space="preserve"> </w:t>
      </w:r>
      <w:r w:rsidRPr="00C54AFA">
        <w:rPr>
          <w:rFonts w:asciiTheme="majorBidi" w:hAnsiTheme="majorBidi" w:cstheme="majorBidi"/>
        </w:rPr>
        <w:t>Elw</w:t>
      </w:r>
      <w:r w:rsidR="00A63A71" w:rsidRPr="00C54AFA">
        <w:rPr>
          <w:rFonts w:asciiTheme="majorBidi" w:hAnsiTheme="majorBidi" w:cstheme="majorBidi"/>
        </w:rPr>
        <w:t>检查站被安全部队逮捕</w:t>
      </w:r>
      <w:r w:rsidR="00C54AFA" w:rsidRPr="00C54AFA">
        <w:rPr>
          <w:rFonts w:asciiTheme="majorBidi" w:hAnsiTheme="majorBidi" w:cstheme="majorBidi"/>
        </w:rPr>
        <w:t>；</w:t>
      </w:r>
      <w:r w:rsidRPr="00C54AFA">
        <w:rPr>
          <w:rFonts w:asciiTheme="majorBidi" w:hAnsiTheme="majorBidi" w:cstheme="majorBidi"/>
        </w:rPr>
        <w:t>Walaa</w:t>
      </w:r>
      <w:r w:rsidR="00A63A71" w:rsidRPr="00C54AFA">
        <w:rPr>
          <w:rFonts w:asciiTheme="majorBidi" w:hAnsiTheme="majorBidi" w:cstheme="majorBidi"/>
        </w:rPr>
        <w:t xml:space="preserve"> </w:t>
      </w:r>
      <w:r w:rsidRPr="00C54AFA">
        <w:rPr>
          <w:rFonts w:asciiTheme="majorBidi" w:hAnsiTheme="majorBidi" w:cstheme="majorBidi"/>
        </w:rPr>
        <w:t>Ahmed</w:t>
      </w:r>
      <w:r w:rsidR="00A63A71" w:rsidRPr="00C54AFA">
        <w:rPr>
          <w:rFonts w:asciiTheme="majorBidi" w:hAnsiTheme="majorBidi" w:cstheme="majorBidi"/>
        </w:rPr>
        <w:t xml:space="preserve"> </w:t>
      </w:r>
      <w:r w:rsidRPr="00C54AFA">
        <w:rPr>
          <w:rFonts w:asciiTheme="majorBidi" w:hAnsiTheme="majorBidi" w:cstheme="majorBidi"/>
        </w:rPr>
        <w:t>Ali</w:t>
      </w:r>
      <w:r w:rsidR="00A63A71" w:rsidRPr="00C54AFA">
        <w:rPr>
          <w:rFonts w:asciiTheme="majorBidi" w:hAnsiTheme="majorBidi" w:cstheme="majorBidi"/>
        </w:rPr>
        <w:t xml:space="preserve"> </w:t>
      </w:r>
      <w:r w:rsidRPr="00C54AFA">
        <w:rPr>
          <w:rFonts w:asciiTheme="majorBidi" w:hAnsiTheme="majorBidi" w:cstheme="majorBidi"/>
        </w:rPr>
        <w:t>Ali</w:t>
      </w:r>
      <w:r w:rsidR="00A63A71" w:rsidRPr="00C54AFA">
        <w:rPr>
          <w:rFonts w:asciiTheme="majorBidi" w:hAnsiTheme="majorBidi" w:cstheme="majorBidi"/>
        </w:rPr>
        <w:t xml:space="preserve"> </w:t>
      </w:r>
      <w:r w:rsidRPr="00C54AFA">
        <w:rPr>
          <w:rFonts w:asciiTheme="majorBidi" w:hAnsiTheme="majorBidi" w:cstheme="majorBidi"/>
        </w:rPr>
        <w:t>El</w:t>
      </w:r>
      <w:r w:rsidR="00A63A71" w:rsidRPr="00C54AFA">
        <w:rPr>
          <w:rFonts w:asciiTheme="majorBidi" w:hAnsiTheme="majorBidi" w:cstheme="majorBidi"/>
        </w:rPr>
        <w:t xml:space="preserve"> </w:t>
      </w:r>
      <w:r w:rsidRPr="00C54AFA">
        <w:rPr>
          <w:rFonts w:asciiTheme="majorBidi" w:hAnsiTheme="majorBidi" w:cstheme="majorBidi"/>
        </w:rPr>
        <w:t>Gamasy</w:t>
      </w:r>
      <w:r w:rsidR="00A63A71" w:rsidRPr="00C54AFA">
        <w:rPr>
          <w:rFonts w:asciiTheme="majorBidi" w:hAnsiTheme="majorBidi" w:cstheme="majorBidi"/>
        </w:rPr>
        <w:t>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19</w:t>
      </w:r>
      <w:r w:rsidR="00A63A71" w:rsidRPr="00C54AFA">
        <w:rPr>
          <w:rFonts w:asciiTheme="majorBidi" w:hAnsiTheme="majorBidi" w:cstheme="majorBidi"/>
        </w:rPr>
        <w:t>日在</w:t>
      </w:r>
      <w:r w:rsidRPr="00C54AFA">
        <w:rPr>
          <w:rFonts w:asciiTheme="majorBidi" w:hAnsiTheme="majorBidi" w:cstheme="majorBidi"/>
        </w:rPr>
        <w:t>Gharbiyah</w:t>
      </w:r>
      <w:r w:rsidR="00A63A71" w:rsidRPr="00C54AFA">
        <w:rPr>
          <w:rFonts w:asciiTheme="majorBidi" w:hAnsiTheme="majorBidi" w:cstheme="majorBidi"/>
        </w:rPr>
        <w:t>省</w:t>
      </w:r>
      <w:r w:rsidRPr="00C54AFA">
        <w:rPr>
          <w:rFonts w:asciiTheme="majorBidi" w:hAnsiTheme="majorBidi" w:cstheme="majorBidi"/>
        </w:rPr>
        <w:t>Bassyion</w:t>
      </w:r>
      <w:r w:rsidR="00A63A71" w:rsidRPr="00C54AFA">
        <w:rPr>
          <w:rFonts w:asciiTheme="majorBidi" w:hAnsiTheme="majorBidi" w:cstheme="majorBidi"/>
        </w:rPr>
        <w:t>被警察逮捕</w:t>
      </w:r>
      <w:r w:rsidR="00C54AFA" w:rsidRPr="00C54AFA">
        <w:rPr>
          <w:rFonts w:asciiTheme="majorBidi" w:hAnsiTheme="majorBidi" w:cstheme="majorBidi"/>
        </w:rPr>
        <w:t>；</w:t>
      </w:r>
      <w:r w:rsidR="00A63A71" w:rsidRPr="00C54AFA">
        <w:rPr>
          <w:rFonts w:asciiTheme="majorBidi" w:hAnsiTheme="majorBidi" w:cstheme="majorBidi"/>
        </w:rPr>
        <w:t>一名十八岁以下的人的案件</w:t>
      </w:r>
      <w:r w:rsidR="00C54AFA" w:rsidRPr="00C54AFA">
        <w:rPr>
          <w:rFonts w:asciiTheme="majorBidi" w:hAnsiTheme="majorBidi" w:cstheme="majorBidi"/>
        </w:rPr>
        <w:t>，</w:t>
      </w:r>
      <w:r w:rsidR="00A63A71" w:rsidRPr="00C54AFA">
        <w:rPr>
          <w:rFonts w:asciiTheme="majorBidi" w:hAnsiTheme="majorBidi" w:cstheme="majorBidi"/>
        </w:rPr>
        <w:t>据称最后一次见到此人是</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2</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在</w:t>
      </w:r>
      <w:r w:rsidRPr="00C54AFA">
        <w:rPr>
          <w:rFonts w:asciiTheme="majorBidi" w:hAnsiTheme="majorBidi" w:cstheme="majorBidi"/>
        </w:rPr>
        <w:t>Gharbiyah</w:t>
      </w:r>
      <w:r w:rsidR="00A63A71" w:rsidRPr="00C54AFA">
        <w:rPr>
          <w:rFonts w:asciiTheme="majorBidi" w:hAnsiTheme="majorBidi" w:cstheme="majorBidi"/>
        </w:rPr>
        <w:t>省</w:t>
      </w:r>
      <w:r w:rsidRPr="00C54AFA">
        <w:rPr>
          <w:rFonts w:asciiTheme="majorBidi" w:hAnsiTheme="majorBidi" w:cstheme="majorBidi"/>
        </w:rPr>
        <w:t>Mahala</w:t>
      </w:r>
      <w:r w:rsidR="00A63A71" w:rsidRPr="00C54AFA">
        <w:rPr>
          <w:rFonts w:asciiTheme="majorBidi" w:hAnsiTheme="majorBidi" w:cstheme="majorBidi"/>
        </w:rPr>
        <w:t xml:space="preserve"> </w:t>
      </w:r>
      <w:r w:rsidRPr="00C54AFA">
        <w:rPr>
          <w:rFonts w:asciiTheme="majorBidi" w:hAnsiTheme="majorBidi" w:cstheme="majorBidi"/>
        </w:rPr>
        <w:t>Kobra</w:t>
      </w:r>
      <w:r w:rsidR="00A63A71" w:rsidRPr="00C54AFA">
        <w:rPr>
          <w:rFonts w:asciiTheme="majorBidi" w:hAnsiTheme="majorBidi" w:cstheme="majorBidi"/>
        </w:rPr>
        <w:t>区</w:t>
      </w:r>
      <w:r w:rsidRPr="00C54AFA">
        <w:rPr>
          <w:rFonts w:asciiTheme="majorBidi" w:hAnsiTheme="majorBidi" w:cstheme="majorBidi"/>
        </w:rPr>
        <w:t>Mahala</w:t>
      </w:r>
      <w:r w:rsidR="00A63A71" w:rsidRPr="00C54AFA">
        <w:rPr>
          <w:rFonts w:asciiTheme="majorBidi" w:hAnsiTheme="majorBidi" w:cstheme="majorBidi"/>
        </w:rPr>
        <w:t>第</w:t>
      </w:r>
      <w:r w:rsidRPr="00C54AFA">
        <w:rPr>
          <w:rFonts w:asciiTheme="majorBidi" w:hAnsiTheme="majorBidi" w:cstheme="majorBidi"/>
        </w:rPr>
        <w:t>2</w:t>
      </w:r>
      <w:r w:rsidR="00A63A71" w:rsidRPr="00C54AFA">
        <w:rPr>
          <w:rFonts w:asciiTheme="majorBidi" w:hAnsiTheme="majorBidi" w:cstheme="majorBidi"/>
        </w:rPr>
        <w:t>警察局</w:t>
      </w:r>
      <w:r w:rsidR="00C54AFA" w:rsidRPr="00C54AFA">
        <w:rPr>
          <w:rFonts w:asciiTheme="majorBidi" w:hAnsiTheme="majorBidi" w:cstheme="majorBidi"/>
        </w:rPr>
        <w:t>；</w:t>
      </w:r>
      <w:r w:rsidRPr="00C54AFA">
        <w:rPr>
          <w:rFonts w:asciiTheme="majorBidi" w:hAnsiTheme="majorBidi" w:cstheme="majorBidi"/>
        </w:rPr>
        <w:t>Emad</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Zoghby</w:t>
      </w:r>
      <w:r w:rsidR="00A63A71" w:rsidRPr="00C54AFA">
        <w:rPr>
          <w:rFonts w:asciiTheme="majorBidi" w:hAnsiTheme="majorBidi" w:cstheme="majorBidi"/>
        </w:rPr>
        <w:t xml:space="preserve"> </w:t>
      </w:r>
      <w:r w:rsidRPr="00C54AFA">
        <w:rPr>
          <w:rFonts w:asciiTheme="majorBidi" w:hAnsiTheme="majorBidi" w:cstheme="majorBidi"/>
        </w:rPr>
        <w:t>Atta</w:t>
      </w:r>
      <w:r w:rsidR="00A63A71" w:rsidRPr="00C54AFA">
        <w:rPr>
          <w:rFonts w:asciiTheme="majorBidi" w:hAnsiTheme="majorBidi" w:cstheme="majorBidi"/>
        </w:rPr>
        <w:t xml:space="preserve"> </w:t>
      </w:r>
      <w:r w:rsidRPr="00C54AFA">
        <w:rPr>
          <w:rFonts w:asciiTheme="majorBidi" w:hAnsiTheme="majorBidi" w:cstheme="majorBidi"/>
        </w:rPr>
        <w:t>Allah</w:t>
      </w:r>
      <w:r w:rsidR="00A63A71" w:rsidRPr="00C54AFA">
        <w:rPr>
          <w:rFonts w:asciiTheme="majorBidi" w:hAnsiTheme="majorBidi" w:cstheme="majorBidi"/>
        </w:rPr>
        <w:t xml:space="preserve"> </w:t>
      </w:r>
      <w:r w:rsidRPr="00C54AFA">
        <w:rPr>
          <w:rFonts w:asciiTheme="majorBidi" w:hAnsiTheme="majorBidi" w:cstheme="majorBidi"/>
        </w:rPr>
        <w:t>Sanad</w:t>
      </w:r>
      <w:r w:rsidR="00A63A71" w:rsidRPr="00C54AFA">
        <w:rPr>
          <w:rFonts w:asciiTheme="majorBidi" w:hAnsiTheme="majorBidi" w:cstheme="majorBidi"/>
        </w:rPr>
        <w:t>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27</w:t>
      </w:r>
      <w:r w:rsidR="00A63A71" w:rsidRPr="00C54AFA">
        <w:rPr>
          <w:rFonts w:asciiTheme="majorBidi" w:hAnsiTheme="majorBidi" w:cstheme="majorBidi"/>
        </w:rPr>
        <w:t>日在</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Kobra</w:t>
      </w:r>
      <w:r w:rsidR="00A63A71" w:rsidRPr="00C54AFA">
        <w:rPr>
          <w:rFonts w:asciiTheme="majorBidi" w:hAnsiTheme="majorBidi" w:cstheme="majorBidi"/>
        </w:rPr>
        <w:t>市</w:t>
      </w:r>
      <w:r w:rsidRPr="00C54AFA">
        <w:rPr>
          <w:rFonts w:asciiTheme="majorBidi" w:hAnsiTheme="majorBidi" w:cstheme="majorBidi"/>
        </w:rPr>
        <w:t>Mahallah</w:t>
      </w:r>
      <w:r w:rsidR="00A63A71" w:rsidRPr="00C54AFA">
        <w:rPr>
          <w:rFonts w:asciiTheme="majorBidi" w:hAnsiTheme="majorBidi" w:cstheme="majorBidi"/>
        </w:rPr>
        <w:t>的一个检查站被警察逮捕</w:t>
      </w:r>
      <w:r w:rsidR="00C54AFA" w:rsidRPr="00C54AFA">
        <w:rPr>
          <w:rFonts w:asciiTheme="majorBidi" w:hAnsiTheme="majorBidi" w:cstheme="majorBidi"/>
        </w:rPr>
        <w:t>；</w:t>
      </w:r>
      <w:r w:rsidRPr="00C54AFA">
        <w:rPr>
          <w:rFonts w:asciiTheme="majorBidi" w:hAnsiTheme="majorBidi" w:cstheme="majorBidi"/>
        </w:rPr>
        <w:t>Hassan</w:t>
      </w:r>
      <w:r w:rsidR="00A63A71" w:rsidRPr="00C54AFA">
        <w:rPr>
          <w:rFonts w:asciiTheme="majorBidi" w:hAnsiTheme="majorBidi" w:cstheme="majorBidi"/>
        </w:rPr>
        <w:t xml:space="preserve"> </w:t>
      </w:r>
      <w:r w:rsidRPr="00C54AFA">
        <w:rPr>
          <w:rFonts w:asciiTheme="majorBidi" w:hAnsiTheme="majorBidi" w:cstheme="majorBidi"/>
        </w:rPr>
        <w:t>Mahmoud</w:t>
      </w:r>
      <w:r w:rsidR="00A63A71" w:rsidRPr="00C54AFA">
        <w:rPr>
          <w:rFonts w:asciiTheme="majorBidi" w:hAnsiTheme="majorBidi" w:cstheme="majorBidi"/>
        </w:rPr>
        <w:t xml:space="preserve"> </w:t>
      </w:r>
      <w:r w:rsidRPr="00C54AFA">
        <w:rPr>
          <w:rFonts w:asciiTheme="majorBidi" w:hAnsiTheme="majorBidi" w:cstheme="majorBidi"/>
        </w:rPr>
        <w:t>Abdul</w:t>
      </w:r>
      <w:r w:rsidR="00A63A71" w:rsidRPr="00C54AFA">
        <w:rPr>
          <w:rFonts w:asciiTheme="majorBidi" w:hAnsiTheme="majorBidi" w:cstheme="majorBidi"/>
        </w:rPr>
        <w:t xml:space="preserve"> </w:t>
      </w:r>
      <w:r w:rsidRPr="00C54AFA">
        <w:rPr>
          <w:rFonts w:asciiTheme="majorBidi" w:hAnsiTheme="majorBidi" w:cstheme="majorBidi"/>
        </w:rPr>
        <w:t>Hameed</w:t>
      </w:r>
      <w:r w:rsidR="00A63A71" w:rsidRPr="00C54AFA">
        <w:rPr>
          <w:rFonts w:asciiTheme="majorBidi" w:hAnsiTheme="majorBidi" w:cstheme="majorBidi"/>
        </w:rPr>
        <w:t xml:space="preserve"> </w:t>
      </w:r>
      <w:r w:rsidRPr="00C54AFA">
        <w:rPr>
          <w:rFonts w:asciiTheme="majorBidi" w:hAnsiTheme="majorBidi" w:cstheme="majorBidi"/>
        </w:rPr>
        <w:t>Bakeer</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w:t>
      </w:r>
      <w:r w:rsidRPr="00C54AFA">
        <w:rPr>
          <w:rFonts w:asciiTheme="majorBidi" w:hAnsiTheme="majorBidi" w:cstheme="majorBidi"/>
        </w:rPr>
        <w:t>16</w:t>
      </w:r>
      <w:r w:rsidR="00A63A71" w:rsidRPr="00C54AFA">
        <w:rPr>
          <w:rFonts w:asciiTheme="majorBidi" w:hAnsiTheme="majorBidi" w:cstheme="majorBidi"/>
        </w:rPr>
        <w:t>日在</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Sadat</w:t>
      </w:r>
      <w:r w:rsidR="00A63A71" w:rsidRPr="00C54AFA">
        <w:rPr>
          <w:rFonts w:asciiTheme="majorBidi" w:hAnsiTheme="majorBidi" w:cstheme="majorBidi"/>
        </w:rPr>
        <w:t>市被警察逮捕</w:t>
      </w:r>
      <w:r w:rsidR="00C54AFA" w:rsidRPr="00C54AFA">
        <w:rPr>
          <w:rFonts w:asciiTheme="majorBidi" w:hAnsiTheme="majorBidi" w:cstheme="majorBidi"/>
        </w:rPr>
        <w:t>；</w:t>
      </w:r>
    </w:p>
    <w:p w:rsidR="00A63A71" w:rsidRPr="00C54AFA" w:rsidRDefault="00BC4B0A" w:rsidP="009C4385">
      <w:pPr>
        <w:pStyle w:val="SingleTxtGC"/>
        <w:numPr>
          <w:ilvl w:val="0"/>
          <w:numId w:val="9"/>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3</w:t>
      </w:r>
      <w:r w:rsidR="00A63A71" w:rsidRPr="00C54AFA">
        <w:rPr>
          <w:rFonts w:asciiTheme="majorBidi" w:hAnsiTheme="majorBidi" w:cstheme="majorBidi"/>
        </w:rPr>
        <w:t>月</w:t>
      </w:r>
      <w:r w:rsidRPr="00C54AFA">
        <w:rPr>
          <w:rFonts w:asciiTheme="majorBidi" w:hAnsiTheme="majorBidi" w:cstheme="majorBidi"/>
        </w:rPr>
        <w:t>2</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转达了以下案件</w:t>
      </w:r>
      <w:r w:rsidR="00C54AFA" w:rsidRPr="00C54AFA">
        <w:rPr>
          <w:rFonts w:asciiTheme="majorBidi" w:hAnsiTheme="majorBidi" w:cstheme="majorBidi"/>
        </w:rPr>
        <w:t>：</w:t>
      </w:r>
      <w:r w:rsidRPr="00C54AFA">
        <w:rPr>
          <w:rFonts w:asciiTheme="majorBidi" w:hAnsiTheme="majorBidi" w:cstheme="majorBidi"/>
        </w:rPr>
        <w:t>El</w:t>
      </w:r>
      <w:r w:rsidR="00A63A71" w:rsidRPr="00C54AFA">
        <w:rPr>
          <w:rFonts w:asciiTheme="majorBidi" w:hAnsiTheme="majorBidi" w:cstheme="majorBidi"/>
        </w:rPr>
        <w:t xml:space="preserve"> </w:t>
      </w:r>
      <w:r w:rsidRPr="00C54AFA">
        <w:rPr>
          <w:rFonts w:asciiTheme="majorBidi" w:hAnsiTheme="majorBidi" w:cstheme="majorBidi"/>
        </w:rPr>
        <w:t>Sayed</w:t>
      </w:r>
      <w:r w:rsidR="00A63A71" w:rsidRPr="00C54AFA">
        <w:rPr>
          <w:rFonts w:asciiTheme="majorBidi" w:hAnsiTheme="majorBidi" w:cstheme="majorBidi"/>
        </w:rPr>
        <w:t xml:space="preserve"> </w:t>
      </w:r>
      <w:r w:rsidRPr="00C54AFA">
        <w:rPr>
          <w:rFonts w:asciiTheme="majorBidi" w:hAnsiTheme="majorBidi" w:cstheme="majorBidi"/>
        </w:rPr>
        <w:t>Abdu</w:t>
      </w:r>
      <w:r w:rsidR="00A63A71" w:rsidRPr="00C54AFA">
        <w:rPr>
          <w:rFonts w:asciiTheme="majorBidi" w:hAnsiTheme="majorBidi" w:cstheme="majorBidi"/>
        </w:rPr>
        <w:t xml:space="preserve"> </w:t>
      </w:r>
      <w:r w:rsidRPr="00C54AFA">
        <w:rPr>
          <w:rFonts w:asciiTheme="majorBidi" w:hAnsiTheme="majorBidi" w:cstheme="majorBidi"/>
        </w:rPr>
        <w:t>Allah</w:t>
      </w:r>
      <w:r w:rsidR="00A63A71" w:rsidRPr="00C54AFA">
        <w:rPr>
          <w:rFonts w:asciiTheme="majorBidi" w:hAnsiTheme="majorBidi" w:cstheme="majorBidi"/>
        </w:rPr>
        <w:t xml:space="preserve"> </w:t>
      </w:r>
      <w:r w:rsidRPr="00C54AFA">
        <w:rPr>
          <w:rFonts w:asciiTheme="majorBidi" w:hAnsiTheme="majorBidi" w:cstheme="majorBidi"/>
        </w:rPr>
        <w:t>El</w:t>
      </w:r>
      <w:r w:rsidR="00A63A71" w:rsidRPr="00C54AFA">
        <w:rPr>
          <w:rFonts w:asciiTheme="majorBidi" w:hAnsiTheme="majorBidi" w:cstheme="majorBidi"/>
        </w:rPr>
        <w:t>-</w:t>
      </w:r>
      <w:r w:rsidRPr="00C54AFA">
        <w:rPr>
          <w:rFonts w:asciiTheme="majorBidi" w:hAnsiTheme="majorBidi" w:cstheme="majorBidi"/>
        </w:rPr>
        <w:t>Gharib</w:t>
      </w:r>
      <w:r w:rsidR="00A63A71" w:rsidRPr="00C54AFA">
        <w:rPr>
          <w:rFonts w:asciiTheme="majorBidi" w:hAnsiTheme="majorBidi" w:cstheme="majorBidi"/>
        </w:rPr>
        <w:t xml:space="preserve"> </w:t>
      </w:r>
      <w:r w:rsidRPr="00C54AFA">
        <w:rPr>
          <w:rFonts w:asciiTheme="majorBidi" w:hAnsiTheme="majorBidi" w:cstheme="majorBidi"/>
        </w:rPr>
        <w:t>Ali</w:t>
      </w:r>
      <w:r w:rsidR="00A63A71" w:rsidRPr="00C54AFA">
        <w:rPr>
          <w:rFonts w:asciiTheme="majorBidi" w:hAnsiTheme="majorBidi" w:cstheme="majorBidi"/>
        </w:rPr>
        <w:t xml:space="preserve"> </w:t>
      </w:r>
      <w:r w:rsidRPr="00C54AFA">
        <w:rPr>
          <w:rFonts w:asciiTheme="majorBidi" w:hAnsiTheme="majorBidi" w:cstheme="majorBidi"/>
        </w:rPr>
        <w:t>El</w:t>
      </w:r>
      <w:r w:rsidR="00A63A71" w:rsidRPr="00C54AFA">
        <w:rPr>
          <w:rFonts w:asciiTheme="majorBidi" w:hAnsiTheme="majorBidi" w:cstheme="majorBidi"/>
        </w:rPr>
        <w:t>-</w:t>
      </w:r>
      <w:r w:rsidRPr="00C54AFA">
        <w:rPr>
          <w:rFonts w:asciiTheme="majorBidi" w:hAnsiTheme="majorBidi" w:cstheme="majorBidi"/>
        </w:rPr>
        <w:t>Mallawany</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15</w:t>
      </w:r>
      <w:r w:rsidR="00A63A71" w:rsidRPr="00C54AFA">
        <w:rPr>
          <w:rFonts w:asciiTheme="majorBidi" w:hAnsiTheme="majorBidi" w:cstheme="majorBidi"/>
        </w:rPr>
        <w:t>日在</w:t>
      </w:r>
      <w:r w:rsidRPr="00C54AFA">
        <w:rPr>
          <w:rFonts w:asciiTheme="majorBidi" w:hAnsiTheme="majorBidi" w:cstheme="majorBidi"/>
        </w:rPr>
        <w:t>Gharbiyah</w:t>
      </w:r>
      <w:r w:rsidR="00A63A71" w:rsidRPr="00C54AFA">
        <w:rPr>
          <w:rFonts w:asciiTheme="majorBidi" w:hAnsiTheme="majorBidi" w:cstheme="majorBidi"/>
        </w:rPr>
        <w:t>省被国家安全警察逮捕</w:t>
      </w:r>
      <w:r w:rsidR="00C54AFA" w:rsidRPr="00C54AFA">
        <w:rPr>
          <w:rFonts w:asciiTheme="majorBidi" w:hAnsiTheme="majorBidi" w:cstheme="majorBidi"/>
        </w:rPr>
        <w:t>；</w:t>
      </w:r>
      <w:r w:rsidRPr="00C54AFA">
        <w:rPr>
          <w:rFonts w:asciiTheme="majorBidi" w:hAnsiTheme="majorBidi" w:cstheme="majorBidi"/>
        </w:rPr>
        <w:t>Abdu</w:t>
      </w:r>
      <w:r w:rsidR="00A63A71" w:rsidRPr="00C54AFA">
        <w:rPr>
          <w:rFonts w:asciiTheme="majorBidi" w:hAnsiTheme="majorBidi" w:cstheme="majorBidi"/>
        </w:rPr>
        <w:t xml:space="preserve"> </w:t>
      </w:r>
      <w:r w:rsidRPr="00C54AFA">
        <w:rPr>
          <w:rFonts w:asciiTheme="majorBidi" w:hAnsiTheme="majorBidi" w:cstheme="majorBidi"/>
        </w:rPr>
        <w:t>Allah</w:t>
      </w:r>
      <w:r w:rsidR="00A63A71" w:rsidRPr="00C54AFA">
        <w:rPr>
          <w:rFonts w:asciiTheme="majorBidi" w:hAnsiTheme="majorBidi" w:cstheme="majorBidi"/>
        </w:rPr>
        <w:t xml:space="preserve"> </w:t>
      </w:r>
      <w:r w:rsidRPr="00C54AFA">
        <w:rPr>
          <w:rFonts w:asciiTheme="majorBidi" w:hAnsiTheme="majorBidi" w:cstheme="majorBidi"/>
        </w:rPr>
        <w:t>Muhammed</w:t>
      </w:r>
      <w:r w:rsidR="00A63A71" w:rsidRPr="00C54AFA">
        <w:rPr>
          <w:rFonts w:asciiTheme="majorBidi" w:hAnsiTheme="majorBidi" w:cstheme="majorBidi"/>
        </w:rPr>
        <w:t xml:space="preserve"> </w:t>
      </w:r>
      <w:r w:rsidRPr="00C54AFA">
        <w:rPr>
          <w:rFonts w:asciiTheme="majorBidi" w:hAnsiTheme="majorBidi" w:cstheme="majorBidi"/>
        </w:rPr>
        <w:t>Abdu</w:t>
      </w:r>
      <w:r w:rsidR="00A63A71" w:rsidRPr="00C54AFA">
        <w:rPr>
          <w:rFonts w:asciiTheme="majorBidi" w:hAnsiTheme="majorBidi" w:cstheme="majorBidi"/>
        </w:rPr>
        <w:t xml:space="preserve"> </w:t>
      </w:r>
      <w:r w:rsidRPr="00C54AFA">
        <w:rPr>
          <w:rFonts w:asciiTheme="majorBidi" w:hAnsiTheme="majorBidi" w:cstheme="majorBidi"/>
        </w:rPr>
        <w:t>Allah</w:t>
      </w:r>
      <w:r w:rsidR="00A63A71" w:rsidRPr="00C54AFA">
        <w:rPr>
          <w:rFonts w:asciiTheme="majorBidi" w:hAnsiTheme="majorBidi" w:cstheme="majorBidi"/>
        </w:rPr>
        <w:t xml:space="preserve"> </w:t>
      </w:r>
      <w:r w:rsidRPr="00C54AFA">
        <w:rPr>
          <w:rFonts w:asciiTheme="majorBidi" w:hAnsiTheme="majorBidi" w:cstheme="majorBidi"/>
        </w:rPr>
        <w:t>Ahmed</w:t>
      </w:r>
      <w:r w:rsidR="00A63A71" w:rsidRPr="00C54AFA">
        <w:rPr>
          <w:rFonts w:asciiTheme="majorBidi" w:hAnsiTheme="majorBidi" w:cstheme="majorBidi"/>
        </w:rPr>
        <w:t xml:space="preserve"> </w:t>
      </w:r>
      <w:r w:rsidRPr="00C54AFA">
        <w:rPr>
          <w:rFonts w:asciiTheme="majorBidi" w:hAnsiTheme="majorBidi" w:cstheme="majorBidi"/>
        </w:rPr>
        <w:t>El</w:t>
      </w:r>
      <w:r w:rsidR="00A63A71" w:rsidRPr="00C54AFA">
        <w:rPr>
          <w:rFonts w:asciiTheme="majorBidi" w:hAnsiTheme="majorBidi" w:cstheme="majorBidi"/>
        </w:rPr>
        <w:t xml:space="preserve"> </w:t>
      </w:r>
      <w:r w:rsidRPr="00C54AFA">
        <w:rPr>
          <w:rFonts w:asciiTheme="majorBidi" w:hAnsiTheme="majorBidi" w:cstheme="majorBidi"/>
        </w:rPr>
        <w:t>Abeet</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w:t>
      </w:r>
      <w:r w:rsidRPr="00C54AFA">
        <w:rPr>
          <w:rFonts w:asciiTheme="majorBidi" w:hAnsiTheme="majorBidi" w:cstheme="majorBidi"/>
        </w:rPr>
        <w:t>14</w:t>
      </w:r>
      <w:r w:rsidR="00A63A71" w:rsidRPr="00C54AFA">
        <w:rPr>
          <w:rFonts w:asciiTheme="majorBidi" w:hAnsiTheme="majorBidi" w:cstheme="majorBidi"/>
        </w:rPr>
        <w:t>日在</w:t>
      </w:r>
      <w:r w:rsidRPr="00C54AFA">
        <w:rPr>
          <w:rFonts w:asciiTheme="majorBidi" w:hAnsiTheme="majorBidi" w:cstheme="majorBidi"/>
        </w:rPr>
        <w:t>Gharbiyah</w:t>
      </w:r>
      <w:r w:rsidR="00A63A71" w:rsidRPr="00C54AFA">
        <w:rPr>
          <w:rFonts w:asciiTheme="majorBidi" w:hAnsiTheme="majorBidi" w:cstheme="majorBidi"/>
        </w:rPr>
        <w:t>省</w:t>
      </w:r>
      <w:r w:rsidRPr="00C54AFA">
        <w:rPr>
          <w:rFonts w:asciiTheme="majorBidi" w:hAnsiTheme="majorBidi" w:cstheme="majorBidi"/>
        </w:rPr>
        <w:t>El</w:t>
      </w:r>
      <w:r w:rsidR="00A63A71" w:rsidRPr="00C54AFA">
        <w:rPr>
          <w:rFonts w:asciiTheme="majorBidi" w:hAnsiTheme="majorBidi" w:cstheme="majorBidi"/>
        </w:rPr>
        <w:t>-</w:t>
      </w:r>
      <w:r w:rsidRPr="00C54AFA">
        <w:rPr>
          <w:rFonts w:asciiTheme="majorBidi" w:hAnsiTheme="majorBidi" w:cstheme="majorBidi"/>
        </w:rPr>
        <w:t>Santa</w:t>
      </w:r>
      <w:r w:rsidR="00A63A71" w:rsidRPr="00C54AFA">
        <w:rPr>
          <w:rFonts w:asciiTheme="majorBidi" w:hAnsiTheme="majorBidi" w:cstheme="majorBidi"/>
        </w:rPr>
        <w:t>市通往</w:t>
      </w:r>
      <w:r w:rsidRPr="00C54AFA">
        <w:rPr>
          <w:rFonts w:asciiTheme="majorBidi" w:hAnsiTheme="majorBidi" w:cstheme="majorBidi"/>
        </w:rPr>
        <w:t>Kafr</w:t>
      </w:r>
      <w:r w:rsidR="00A63A71" w:rsidRPr="00C54AFA">
        <w:rPr>
          <w:rFonts w:asciiTheme="majorBidi" w:hAnsiTheme="majorBidi" w:cstheme="majorBidi"/>
        </w:rPr>
        <w:t xml:space="preserve"> </w:t>
      </w:r>
      <w:r w:rsidRPr="00C54AFA">
        <w:rPr>
          <w:rFonts w:asciiTheme="majorBidi" w:hAnsiTheme="majorBidi" w:cstheme="majorBidi"/>
        </w:rPr>
        <w:t>El</w:t>
      </w:r>
      <w:r w:rsidR="00A63A71" w:rsidRPr="00C54AFA">
        <w:rPr>
          <w:rFonts w:asciiTheme="majorBidi" w:hAnsiTheme="majorBidi" w:cstheme="majorBidi"/>
        </w:rPr>
        <w:t>-</w:t>
      </w:r>
      <w:r w:rsidRPr="00C54AFA">
        <w:rPr>
          <w:rFonts w:asciiTheme="majorBidi" w:hAnsiTheme="majorBidi" w:cstheme="majorBidi"/>
        </w:rPr>
        <w:t>Zayat</w:t>
      </w:r>
      <w:r w:rsidR="00A63A71" w:rsidRPr="00C54AFA">
        <w:rPr>
          <w:rFonts w:asciiTheme="majorBidi" w:hAnsiTheme="majorBidi" w:cstheme="majorBidi"/>
        </w:rPr>
        <w:t>市的道路上被捕</w:t>
      </w:r>
      <w:r w:rsidR="00C54AFA" w:rsidRPr="00C54AFA">
        <w:rPr>
          <w:rFonts w:asciiTheme="majorBidi" w:hAnsiTheme="majorBidi" w:cstheme="majorBidi"/>
        </w:rPr>
        <w:t>；</w:t>
      </w:r>
      <w:r w:rsidRPr="00C54AFA">
        <w:rPr>
          <w:rFonts w:asciiTheme="majorBidi" w:hAnsiTheme="majorBidi" w:cstheme="majorBidi"/>
        </w:rPr>
        <w:t>Sameer</w:t>
      </w:r>
      <w:r w:rsidR="00A63A71" w:rsidRPr="00C54AFA">
        <w:rPr>
          <w:rFonts w:asciiTheme="majorBidi" w:hAnsiTheme="majorBidi" w:cstheme="majorBidi"/>
        </w:rPr>
        <w:t xml:space="preserve"> </w:t>
      </w: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Abbass</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Heety</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9</w:t>
      </w:r>
      <w:r w:rsidR="00A63A71" w:rsidRPr="00C54AFA">
        <w:rPr>
          <w:rFonts w:asciiTheme="majorBidi" w:hAnsiTheme="majorBidi" w:cstheme="majorBidi"/>
        </w:rPr>
        <w:t>日在</w:t>
      </w:r>
      <w:r w:rsidRPr="00C54AFA">
        <w:rPr>
          <w:rFonts w:asciiTheme="majorBidi" w:hAnsiTheme="majorBidi" w:cstheme="majorBidi"/>
        </w:rPr>
        <w:t>Gharbiya</w:t>
      </w:r>
      <w:r w:rsidR="00A63A71" w:rsidRPr="00C54AFA">
        <w:rPr>
          <w:rFonts w:asciiTheme="majorBidi" w:hAnsiTheme="majorBidi" w:cstheme="majorBidi"/>
        </w:rPr>
        <w:t>省被国家安全警察逮捕</w:t>
      </w:r>
      <w:r w:rsidR="00C54AFA" w:rsidRPr="00C54AFA">
        <w:rPr>
          <w:rFonts w:asciiTheme="majorBidi" w:hAnsiTheme="majorBidi" w:cstheme="majorBidi"/>
        </w:rPr>
        <w:t>；</w:t>
      </w:r>
      <w:r w:rsidRPr="00C54AFA">
        <w:rPr>
          <w:rFonts w:asciiTheme="majorBidi" w:hAnsiTheme="majorBidi" w:cstheme="majorBidi"/>
        </w:rPr>
        <w:t>Muhammed</w:t>
      </w:r>
      <w:r w:rsidR="00A63A71" w:rsidRPr="00C54AFA">
        <w:rPr>
          <w:rFonts w:asciiTheme="majorBidi" w:hAnsiTheme="majorBidi" w:cstheme="majorBidi"/>
        </w:rPr>
        <w:t xml:space="preserve"> </w:t>
      </w:r>
      <w:r w:rsidRPr="00C54AFA">
        <w:rPr>
          <w:rFonts w:asciiTheme="majorBidi" w:hAnsiTheme="majorBidi" w:cstheme="majorBidi"/>
        </w:rPr>
        <w:t>Abdelsalam</w:t>
      </w:r>
      <w:r w:rsidR="00A63A71" w:rsidRPr="00C54AFA">
        <w:rPr>
          <w:rFonts w:asciiTheme="majorBidi" w:hAnsiTheme="majorBidi" w:cstheme="majorBidi"/>
        </w:rPr>
        <w:t xml:space="preserve"> </w:t>
      </w:r>
      <w:r w:rsidRPr="00C54AFA">
        <w:rPr>
          <w:rFonts w:asciiTheme="majorBidi" w:hAnsiTheme="majorBidi" w:cstheme="majorBidi"/>
        </w:rPr>
        <w:t>Ali</w:t>
      </w:r>
      <w:r w:rsidR="00A63A71" w:rsidRPr="00C54AFA">
        <w:rPr>
          <w:rFonts w:asciiTheme="majorBidi" w:hAnsiTheme="majorBidi" w:cstheme="majorBidi"/>
        </w:rPr>
        <w:t xml:space="preserve"> </w:t>
      </w:r>
      <w:r w:rsidRPr="00C54AFA">
        <w:rPr>
          <w:rFonts w:asciiTheme="majorBidi" w:hAnsiTheme="majorBidi" w:cstheme="majorBidi"/>
        </w:rPr>
        <w:t>El</w:t>
      </w:r>
      <w:r w:rsidR="00A63A71" w:rsidRPr="00C54AFA">
        <w:rPr>
          <w:rFonts w:asciiTheme="majorBidi" w:hAnsiTheme="majorBidi" w:cstheme="majorBidi"/>
        </w:rPr>
        <w:t>-</w:t>
      </w:r>
      <w:r w:rsidRPr="00C54AFA">
        <w:rPr>
          <w:rFonts w:asciiTheme="majorBidi" w:hAnsiTheme="majorBidi" w:cstheme="majorBidi"/>
        </w:rPr>
        <w:t>Desouky</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29</w:t>
      </w:r>
      <w:r w:rsidR="00A63A71" w:rsidRPr="00C54AFA">
        <w:rPr>
          <w:rFonts w:asciiTheme="majorBidi" w:hAnsiTheme="majorBidi" w:cstheme="majorBidi"/>
        </w:rPr>
        <w:t>日在</w:t>
      </w:r>
      <w:r w:rsidRPr="00C54AFA">
        <w:rPr>
          <w:rFonts w:asciiTheme="majorBidi" w:hAnsiTheme="majorBidi" w:cstheme="majorBidi"/>
        </w:rPr>
        <w:t>El</w:t>
      </w:r>
      <w:r w:rsidR="00A63A71" w:rsidRPr="00C54AFA">
        <w:rPr>
          <w:rFonts w:asciiTheme="majorBidi" w:hAnsiTheme="majorBidi" w:cstheme="majorBidi"/>
        </w:rPr>
        <w:t xml:space="preserve"> </w:t>
      </w:r>
      <w:r w:rsidRPr="00C54AFA">
        <w:rPr>
          <w:rFonts w:asciiTheme="majorBidi" w:hAnsiTheme="majorBidi" w:cstheme="majorBidi"/>
        </w:rPr>
        <w:t>Mahalla</w:t>
      </w:r>
      <w:r w:rsidR="00A63A71" w:rsidRPr="00C54AFA">
        <w:rPr>
          <w:rFonts w:asciiTheme="majorBidi" w:hAnsiTheme="majorBidi" w:cstheme="majorBidi"/>
        </w:rPr>
        <w:t xml:space="preserve"> </w:t>
      </w:r>
      <w:r w:rsidRPr="00C54AFA">
        <w:rPr>
          <w:rFonts w:asciiTheme="majorBidi" w:hAnsiTheme="majorBidi" w:cstheme="majorBidi"/>
        </w:rPr>
        <w:t>El</w:t>
      </w:r>
      <w:r w:rsidR="00A63A71" w:rsidRPr="00C54AFA">
        <w:rPr>
          <w:rFonts w:asciiTheme="majorBidi" w:hAnsiTheme="majorBidi" w:cstheme="majorBidi"/>
        </w:rPr>
        <w:t xml:space="preserve"> </w:t>
      </w:r>
      <w:r w:rsidRPr="00C54AFA">
        <w:rPr>
          <w:rFonts w:asciiTheme="majorBidi" w:hAnsiTheme="majorBidi" w:cstheme="majorBidi"/>
        </w:rPr>
        <w:t>Kubra</w:t>
      </w:r>
      <w:r w:rsidR="00A63A71" w:rsidRPr="00C54AFA">
        <w:rPr>
          <w:rFonts w:asciiTheme="majorBidi" w:hAnsiTheme="majorBidi" w:cstheme="majorBidi"/>
        </w:rPr>
        <w:t>市和</w:t>
      </w:r>
      <w:r w:rsidRPr="00C54AFA">
        <w:rPr>
          <w:rFonts w:asciiTheme="majorBidi" w:hAnsiTheme="majorBidi" w:cstheme="majorBidi"/>
        </w:rPr>
        <w:t>El</w:t>
      </w:r>
      <w:r w:rsidR="00A63A71" w:rsidRPr="00C54AFA">
        <w:rPr>
          <w:rFonts w:asciiTheme="majorBidi" w:hAnsiTheme="majorBidi" w:cstheme="majorBidi"/>
        </w:rPr>
        <w:t>-</w:t>
      </w:r>
      <w:r w:rsidRPr="00C54AFA">
        <w:rPr>
          <w:rFonts w:asciiTheme="majorBidi" w:hAnsiTheme="majorBidi" w:cstheme="majorBidi"/>
        </w:rPr>
        <w:t>Mansoura</w:t>
      </w:r>
      <w:r w:rsidR="00A63A71" w:rsidRPr="00C54AFA">
        <w:rPr>
          <w:rFonts w:asciiTheme="majorBidi" w:hAnsiTheme="majorBidi" w:cstheme="majorBidi"/>
        </w:rPr>
        <w:t>市之间高速公路上的一个检查站被警察逮捕。</w:t>
      </w:r>
    </w:p>
    <w:p w:rsidR="00A63A71" w:rsidRPr="00C54AFA" w:rsidRDefault="00A63A71" w:rsidP="00116230">
      <w:pPr>
        <w:pStyle w:val="H23GC"/>
      </w:pPr>
      <w:r w:rsidRPr="00C54AFA">
        <w:lastRenderedPageBreak/>
        <w:tab/>
      </w:r>
      <w:r w:rsidRPr="00C54AFA">
        <w:tab/>
      </w:r>
      <w:r w:rsidRPr="00C54AFA">
        <w:t>标准程序</w:t>
      </w:r>
    </w:p>
    <w:p w:rsidR="00A63A71" w:rsidRPr="00C54AFA" w:rsidRDefault="00BC4B0A" w:rsidP="009C4385">
      <w:pPr>
        <w:pStyle w:val="SingleTxtGC"/>
        <w:rPr>
          <w:rFonts w:asciiTheme="majorBidi" w:hAnsiTheme="majorBidi" w:cstheme="majorBidi"/>
        </w:rPr>
      </w:pPr>
      <w:r w:rsidRPr="00C54AFA">
        <w:rPr>
          <w:rFonts w:asciiTheme="majorBidi" w:hAnsiTheme="majorBidi" w:cstheme="majorBidi"/>
        </w:rPr>
        <w:t>4</w:t>
      </w:r>
      <w:r w:rsidR="00C54AFA" w:rsidRPr="00C54AFA">
        <w:rPr>
          <w:rFonts w:asciiTheme="majorBidi" w:hAnsiTheme="majorBidi" w:cstheme="majorBidi"/>
        </w:rPr>
        <w:t>6.</w:t>
      </w:r>
      <w:r w:rsidR="009C4385" w:rsidRPr="00C54AFA">
        <w:rPr>
          <w:rFonts w:asciiTheme="majorBidi" w:hAnsiTheme="majorBidi" w:cstheme="majorBidi"/>
        </w:rPr>
        <w:t xml:space="preserve">  </w:t>
      </w:r>
      <w:r w:rsidR="00A63A71" w:rsidRPr="00C54AFA">
        <w:rPr>
          <w:rFonts w:asciiTheme="majorBidi" w:hAnsiTheme="majorBidi" w:cstheme="majorBidi"/>
        </w:rPr>
        <w:t>工作组向该国政府转交了关于以下人员的</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起案件</w:t>
      </w:r>
      <w:r w:rsidR="00C54AFA" w:rsidRPr="00C54AFA">
        <w:rPr>
          <w:rFonts w:asciiTheme="majorBidi" w:hAnsiTheme="majorBidi" w:cstheme="majorBidi"/>
        </w:rPr>
        <w:t>：</w:t>
      </w:r>
    </w:p>
    <w:p w:rsidR="00A63A71" w:rsidRPr="00C54AFA" w:rsidRDefault="00BC4B0A" w:rsidP="009C4385">
      <w:pPr>
        <w:pStyle w:val="SingleTxtGC"/>
        <w:numPr>
          <w:ilvl w:val="0"/>
          <w:numId w:val="10"/>
        </w:numPr>
        <w:rPr>
          <w:rFonts w:asciiTheme="majorBidi" w:hAnsiTheme="majorBidi" w:cstheme="majorBidi"/>
        </w:rPr>
      </w:pPr>
      <w:r w:rsidRPr="00C54AFA">
        <w:rPr>
          <w:rFonts w:asciiTheme="majorBidi" w:hAnsiTheme="majorBidi" w:cstheme="majorBidi"/>
        </w:rPr>
        <w:t>Abdu</w:t>
      </w:r>
      <w:r w:rsidR="00A63A71" w:rsidRPr="00C54AFA">
        <w:rPr>
          <w:rFonts w:asciiTheme="majorBidi" w:hAnsiTheme="majorBidi" w:cstheme="majorBidi"/>
        </w:rPr>
        <w:t xml:space="preserve"> </w:t>
      </w:r>
      <w:r w:rsidRPr="00C54AFA">
        <w:rPr>
          <w:rFonts w:asciiTheme="majorBidi" w:hAnsiTheme="majorBidi" w:cstheme="majorBidi"/>
        </w:rPr>
        <w:t>El</w:t>
      </w:r>
      <w:r w:rsidR="00A63A71" w:rsidRPr="00C54AFA">
        <w:rPr>
          <w:rFonts w:asciiTheme="majorBidi" w:hAnsiTheme="majorBidi" w:cstheme="majorBidi"/>
        </w:rPr>
        <w:t xml:space="preserve"> </w:t>
      </w:r>
      <w:r w:rsidRPr="00C54AFA">
        <w:rPr>
          <w:rFonts w:asciiTheme="majorBidi" w:hAnsiTheme="majorBidi" w:cstheme="majorBidi"/>
        </w:rPr>
        <w:t>Hameed</w:t>
      </w:r>
      <w:r w:rsidR="00A63A71" w:rsidRPr="00C54AFA">
        <w:rPr>
          <w:rFonts w:asciiTheme="majorBidi" w:hAnsiTheme="majorBidi" w:cstheme="majorBidi"/>
        </w:rPr>
        <w:t xml:space="preserve"> </w:t>
      </w:r>
      <w:r w:rsidRPr="00C54AFA">
        <w:rPr>
          <w:rFonts w:asciiTheme="majorBidi" w:hAnsiTheme="majorBidi" w:cstheme="majorBidi"/>
        </w:rPr>
        <w:t>Muhammed</w:t>
      </w:r>
      <w:r w:rsidR="00A63A71" w:rsidRPr="00C54AFA">
        <w:rPr>
          <w:rFonts w:asciiTheme="majorBidi" w:hAnsiTheme="majorBidi" w:cstheme="majorBidi"/>
        </w:rPr>
        <w:t xml:space="preserve"> </w:t>
      </w:r>
      <w:r w:rsidRPr="00C54AFA">
        <w:rPr>
          <w:rFonts w:asciiTheme="majorBidi" w:hAnsiTheme="majorBidi" w:cstheme="majorBidi"/>
        </w:rPr>
        <w:t>Muhammed</w:t>
      </w:r>
      <w:r w:rsidR="00A63A71" w:rsidRPr="00C54AFA">
        <w:rPr>
          <w:rFonts w:asciiTheme="majorBidi" w:hAnsiTheme="majorBidi" w:cstheme="majorBidi"/>
        </w:rPr>
        <w:t xml:space="preserve"> </w:t>
      </w:r>
      <w:r w:rsidRPr="00C54AFA">
        <w:rPr>
          <w:rFonts w:asciiTheme="majorBidi" w:hAnsiTheme="majorBidi" w:cstheme="majorBidi"/>
        </w:rPr>
        <w:t>Abd</w:t>
      </w:r>
      <w:r w:rsidR="00A63A71" w:rsidRPr="00C54AFA">
        <w:rPr>
          <w:rFonts w:asciiTheme="majorBidi" w:hAnsiTheme="majorBidi" w:cstheme="majorBidi"/>
        </w:rPr>
        <w:t xml:space="preserve"> </w:t>
      </w:r>
      <w:r w:rsidRPr="00C54AFA">
        <w:rPr>
          <w:rFonts w:asciiTheme="majorBidi" w:hAnsiTheme="majorBidi" w:cstheme="majorBidi"/>
        </w:rPr>
        <w:t>El</w:t>
      </w:r>
      <w:r w:rsidR="00A63A71" w:rsidRPr="00C54AFA">
        <w:rPr>
          <w:rFonts w:asciiTheme="majorBidi" w:hAnsiTheme="majorBidi" w:cstheme="majorBidi"/>
        </w:rPr>
        <w:t xml:space="preserve"> </w:t>
      </w:r>
      <w:r w:rsidRPr="00C54AFA">
        <w:rPr>
          <w:rFonts w:asciiTheme="majorBidi" w:hAnsiTheme="majorBidi" w:cstheme="majorBidi"/>
        </w:rPr>
        <w:t>Salam</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据称他于</w:t>
      </w:r>
      <w:r w:rsidR="00A63A71"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14</w:t>
      </w:r>
      <w:r w:rsidR="00A63A71" w:rsidRPr="00C54AFA">
        <w:rPr>
          <w:rFonts w:asciiTheme="majorBidi" w:hAnsiTheme="majorBidi" w:cstheme="majorBidi"/>
        </w:rPr>
        <w:t>日在开罗区</w:t>
      </w:r>
      <w:r w:rsidRPr="00C54AFA">
        <w:rPr>
          <w:rFonts w:asciiTheme="majorBidi" w:hAnsiTheme="majorBidi" w:cstheme="majorBidi"/>
        </w:rPr>
        <w:t>Nasr</w:t>
      </w:r>
      <w:r w:rsidR="00A63A71" w:rsidRPr="00C54AFA">
        <w:rPr>
          <w:rFonts w:asciiTheme="majorBidi" w:hAnsiTheme="majorBidi" w:cstheme="majorBidi"/>
        </w:rPr>
        <w:t>市被军队和警察逮捕</w:t>
      </w:r>
      <w:r w:rsidR="00C54AFA" w:rsidRPr="00C54AFA">
        <w:rPr>
          <w:rFonts w:asciiTheme="majorBidi" w:hAnsiTheme="majorBidi" w:cstheme="majorBidi"/>
        </w:rPr>
        <w:t>；</w:t>
      </w:r>
    </w:p>
    <w:p w:rsidR="00A63A71" w:rsidRPr="00C54AFA" w:rsidRDefault="00BC4B0A" w:rsidP="009C4385">
      <w:pPr>
        <w:pStyle w:val="SingleTxtGC"/>
        <w:numPr>
          <w:ilvl w:val="0"/>
          <w:numId w:val="10"/>
        </w:numPr>
        <w:rPr>
          <w:rFonts w:asciiTheme="majorBidi" w:hAnsiTheme="majorBidi" w:cstheme="majorBidi"/>
        </w:rPr>
      </w:pP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Abdulsalam</w:t>
      </w:r>
      <w:r w:rsidR="00A63A71" w:rsidRPr="00C54AFA">
        <w:rPr>
          <w:rFonts w:asciiTheme="majorBidi" w:hAnsiTheme="majorBidi" w:cstheme="majorBidi"/>
        </w:rPr>
        <w:t xml:space="preserve"> </w:t>
      </w:r>
      <w:r w:rsidRPr="00C54AFA">
        <w:rPr>
          <w:rFonts w:asciiTheme="majorBidi" w:hAnsiTheme="majorBidi" w:cstheme="majorBidi"/>
        </w:rPr>
        <w:t>Abdulhamid</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14</w:t>
      </w:r>
      <w:r w:rsidR="00A63A71" w:rsidRPr="00C54AFA">
        <w:rPr>
          <w:rFonts w:asciiTheme="majorBidi" w:hAnsiTheme="majorBidi" w:cstheme="majorBidi"/>
        </w:rPr>
        <w:t>日被开罗</w:t>
      </w:r>
      <w:r w:rsidRPr="00C54AFA">
        <w:rPr>
          <w:rFonts w:asciiTheme="majorBidi" w:hAnsiTheme="majorBidi" w:cstheme="majorBidi"/>
        </w:rPr>
        <w:t>Nasr</w:t>
      </w:r>
      <w:r w:rsidR="00A63A71" w:rsidRPr="00C54AFA">
        <w:rPr>
          <w:rFonts w:asciiTheme="majorBidi" w:hAnsiTheme="majorBidi" w:cstheme="majorBidi"/>
        </w:rPr>
        <w:t>城航空街的警察和士兵逮捕</w:t>
      </w:r>
      <w:r w:rsidR="00C54AFA" w:rsidRPr="00C54AFA">
        <w:rPr>
          <w:rFonts w:asciiTheme="majorBidi" w:hAnsiTheme="majorBidi" w:cstheme="majorBidi"/>
        </w:rPr>
        <w:t>；</w:t>
      </w:r>
    </w:p>
    <w:p w:rsidR="00A63A71" w:rsidRPr="00C54AFA" w:rsidRDefault="00BC4B0A" w:rsidP="009C4385">
      <w:pPr>
        <w:pStyle w:val="SingleTxtGC"/>
        <w:numPr>
          <w:ilvl w:val="0"/>
          <w:numId w:val="10"/>
        </w:numPr>
        <w:rPr>
          <w:rFonts w:asciiTheme="majorBidi" w:hAnsiTheme="majorBidi" w:cstheme="majorBidi"/>
        </w:rPr>
      </w:pPr>
      <w:r w:rsidRPr="00C54AFA">
        <w:rPr>
          <w:rFonts w:asciiTheme="majorBidi" w:hAnsiTheme="majorBidi" w:cstheme="majorBidi"/>
        </w:rPr>
        <w:t>Adel</w:t>
      </w:r>
      <w:r w:rsidR="00A63A71" w:rsidRPr="00C54AFA">
        <w:rPr>
          <w:rFonts w:asciiTheme="majorBidi" w:hAnsiTheme="majorBidi" w:cstheme="majorBidi"/>
        </w:rPr>
        <w:t xml:space="preserve"> </w:t>
      </w:r>
      <w:r w:rsidRPr="00C54AFA">
        <w:rPr>
          <w:rFonts w:asciiTheme="majorBidi" w:hAnsiTheme="majorBidi" w:cstheme="majorBidi"/>
        </w:rPr>
        <w:t>Dardiri</w:t>
      </w:r>
      <w:r w:rsidR="00A63A71" w:rsidRPr="00C54AFA">
        <w:rPr>
          <w:rFonts w:asciiTheme="majorBidi" w:hAnsiTheme="majorBidi" w:cstheme="majorBidi"/>
        </w:rPr>
        <w:t xml:space="preserve"> </w:t>
      </w:r>
      <w:r w:rsidRPr="00C54AFA">
        <w:rPr>
          <w:rFonts w:asciiTheme="majorBidi" w:hAnsiTheme="majorBidi" w:cstheme="majorBidi"/>
        </w:rPr>
        <w:t>Abd</w:t>
      </w:r>
      <w:r w:rsidR="00A63A71" w:rsidRPr="00C54AFA">
        <w:rPr>
          <w:rFonts w:asciiTheme="majorBidi" w:hAnsiTheme="majorBidi" w:cstheme="majorBidi"/>
        </w:rPr>
        <w:t>-</w:t>
      </w:r>
      <w:r w:rsidRPr="00C54AFA">
        <w:rPr>
          <w:rFonts w:asciiTheme="majorBidi" w:hAnsiTheme="majorBidi" w:cstheme="majorBidi"/>
        </w:rPr>
        <w:t>Aljawad</w:t>
      </w:r>
      <w:r w:rsidR="00A63A71" w:rsidRPr="00C54AFA">
        <w:rPr>
          <w:rFonts w:asciiTheme="majorBidi" w:hAnsiTheme="majorBidi" w:cstheme="majorBidi"/>
        </w:rPr>
        <w:t xml:space="preserve"> </w:t>
      </w:r>
      <w:r w:rsidRPr="00C54AFA">
        <w:rPr>
          <w:rFonts w:asciiTheme="majorBidi" w:hAnsiTheme="majorBidi" w:cstheme="majorBidi"/>
        </w:rPr>
        <w:t>Mahmoud</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14</w:t>
      </w:r>
      <w:r w:rsidR="00A63A71" w:rsidRPr="00C54AFA">
        <w:rPr>
          <w:rFonts w:asciiTheme="majorBidi" w:hAnsiTheme="majorBidi" w:cstheme="majorBidi"/>
        </w:rPr>
        <w:t>日在开罗区</w:t>
      </w:r>
      <w:r w:rsidRPr="00C54AFA">
        <w:rPr>
          <w:rFonts w:asciiTheme="majorBidi" w:hAnsiTheme="majorBidi" w:cstheme="majorBidi"/>
        </w:rPr>
        <w:t>Nasr</w:t>
      </w:r>
      <w:r w:rsidR="00A63A71" w:rsidRPr="00C54AFA">
        <w:rPr>
          <w:rFonts w:asciiTheme="majorBidi" w:hAnsiTheme="majorBidi" w:cstheme="majorBidi"/>
        </w:rPr>
        <w:t>市被军队和警察绑架</w:t>
      </w:r>
      <w:r w:rsidR="00C54AFA" w:rsidRPr="00C54AFA">
        <w:rPr>
          <w:rFonts w:asciiTheme="majorBidi" w:hAnsiTheme="majorBidi" w:cstheme="majorBidi"/>
        </w:rPr>
        <w:t>；</w:t>
      </w:r>
    </w:p>
    <w:p w:rsidR="00A63A71" w:rsidRPr="00C54AFA" w:rsidRDefault="00BC4B0A" w:rsidP="009C4385">
      <w:pPr>
        <w:pStyle w:val="SingleTxtGC"/>
        <w:numPr>
          <w:ilvl w:val="0"/>
          <w:numId w:val="10"/>
        </w:numPr>
        <w:rPr>
          <w:rFonts w:asciiTheme="majorBidi" w:hAnsiTheme="majorBidi" w:cstheme="majorBidi"/>
        </w:rPr>
      </w:pPr>
      <w:r w:rsidRPr="00C54AFA">
        <w:rPr>
          <w:rFonts w:asciiTheme="majorBidi" w:hAnsiTheme="majorBidi" w:cstheme="majorBidi"/>
        </w:rPr>
        <w:t>Mahmoud</w:t>
      </w:r>
      <w:r w:rsidR="00A63A71" w:rsidRPr="00C54AFA">
        <w:rPr>
          <w:rFonts w:asciiTheme="majorBidi" w:hAnsiTheme="majorBidi" w:cstheme="majorBidi"/>
        </w:rPr>
        <w:t xml:space="preserve"> </w:t>
      </w:r>
      <w:r w:rsidRPr="00C54AFA">
        <w:rPr>
          <w:rFonts w:asciiTheme="majorBidi" w:hAnsiTheme="majorBidi" w:cstheme="majorBidi"/>
        </w:rPr>
        <w:t>Ibrahim</w:t>
      </w:r>
      <w:r w:rsidR="00A63A71" w:rsidRPr="00C54AFA">
        <w:rPr>
          <w:rFonts w:asciiTheme="majorBidi" w:hAnsiTheme="majorBidi" w:cstheme="majorBidi"/>
        </w:rPr>
        <w:t xml:space="preserve"> </w:t>
      </w:r>
      <w:r w:rsidRPr="00C54AFA">
        <w:rPr>
          <w:rFonts w:asciiTheme="majorBidi" w:hAnsiTheme="majorBidi" w:cstheme="majorBidi"/>
        </w:rPr>
        <w:t>Mostafa</w:t>
      </w:r>
      <w:r w:rsidR="00A63A71" w:rsidRPr="00C54AFA">
        <w:rPr>
          <w:rFonts w:asciiTheme="majorBidi" w:hAnsiTheme="majorBidi" w:cstheme="majorBidi"/>
        </w:rPr>
        <w:t xml:space="preserve"> </w:t>
      </w:r>
      <w:r w:rsidRPr="00C54AFA">
        <w:rPr>
          <w:rFonts w:asciiTheme="majorBidi" w:hAnsiTheme="majorBidi" w:cstheme="majorBidi"/>
        </w:rPr>
        <w:t>Ahmed</w:t>
      </w:r>
      <w:r w:rsidR="00A63A71" w:rsidRPr="00C54AFA">
        <w:rPr>
          <w:rFonts w:asciiTheme="majorBidi" w:hAnsiTheme="majorBidi" w:cstheme="majorBidi"/>
        </w:rPr>
        <w:t xml:space="preserve"> </w:t>
      </w:r>
      <w:r w:rsidRPr="00C54AFA">
        <w:rPr>
          <w:rFonts w:asciiTheme="majorBidi" w:hAnsiTheme="majorBidi" w:cstheme="majorBidi"/>
        </w:rPr>
        <w:t>Atya</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据称他</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14</w:t>
      </w:r>
      <w:r w:rsidR="00A63A71" w:rsidRPr="00C54AFA">
        <w:rPr>
          <w:rFonts w:asciiTheme="majorBidi" w:hAnsiTheme="majorBidi" w:cstheme="majorBidi"/>
        </w:rPr>
        <w:t>日在奈斯尔城</w:t>
      </w:r>
      <w:r w:rsidR="00C54AFA" w:rsidRPr="00C54AFA">
        <w:rPr>
          <w:rFonts w:asciiTheme="majorBidi" w:hAnsiTheme="majorBidi" w:cstheme="majorBidi"/>
        </w:rPr>
        <w:t>(</w:t>
      </w:r>
      <w:r w:rsidR="00A63A71" w:rsidRPr="00C54AFA">
        <w:rPr>
          <w:rFonts w:asciiTheme="majorBidi" w:hAnsiTheme="majorBidi" w:cstheme="majorBidi"/>
        </w:rPr>
        <w:t>开罗</w:t>
      </w:r>
      <w:r w:rsidR="00C54AFA" w:rsidRPr="00C54AFA">
        <w:rPr>
          <w:rFonts w:asciiTheme="majorBidi" w:hAnsiTheme="majorBidi" w:cstheme="majorBidi"/>
        </w:rPr>
        <w:t>)</w:t>
      </w:r>
      <w:r w:rsidR="00A63A71" w:rsidRPr="00C54AFA">
        <w:rPr>
          <w:rFonts w:asciiTheme="majorBidi" w:hAnsiTheme="majorBidi" w:cstheme="majorBidi"/>
        </w:rPr>
        <w:t>被军事和中央安全部队绑架</w:t>
      </w:r>
      <w:r w:rsidR="00C54AFA" w:rsidRPr="00C54AFA">
        <w:rPr>
          <w:rFonts w:asciiTheme="majorBidi" w:hAnsiTheme="majorBidi" w:cstheme="majorBidi"/>
        </w:rPr>
        <w:t>；</w:t>
      </w:r>
    </w:p>
    <w:p w:rsidR="00A63A71" w:rsidRPr="00C54AFA" w:rsidRDefault="00BC4B0A" w:rsidP="009C4385">
      <w:pPr>
        <w:pStyle w:val="SingleTxtGC"/>
        <w:numPr>
          <w:ilvl w:val="0"/>
          <w:numId w:val="10"/>
        </w:numPr>
        <w:rPr>
          <w:rFonts w:asciiTheme="majorBidi" w:hAnsiTheme="majorBidi" w:cstheme="majorBidi"/>
        </w:rPr>
      </w:pPr>
      <w:r w:rsidRPr="00C54AFA">
        <w:rPr>
          <w:rFonts w:asciiTheme="majorBidi" w:hAnsiTheme="majorBidi" w:cstheme="majorBidi"/>
        </w:rPr>
        <w:t>Izzat</w:t>
      </w:r>
      <w:r w:rsidR="00A63A71" w:rsidRPr="00C54AFA">
        <w:rPr>
          <w:rFonts w:asciiTheme="majorBidi" w:hAnsiTheme="majorBidi" w:cstheme="majorBidi"/>
        </w:rPr>
        <w:t xml:space="preserve"> </w:t>
      </w:r>
      <w:r w:rsidRPr="00C54AFA">
        <w:rPr>
          <w:rFonts w:asciiTheme="majorBidi" w:hAnsiTheme="majorBidi" w:cstheme="majorBidi"/>
        </w:rPr>
        <w:t>Said</w:t>
      </w:r>
      <w:r w:rsidR="00A63A71" w:rsidRPr="00C54AFA">
        <w:rPr>
          <w:rFonts w:asciiTheme="majorBidi" w:hAnsiTheme="majorBidi" w:cstheme="majorBidi"/>
        </w:rPr>
        <w:t xml:space="preserve"> </w:t>
      </w:r>
      <w:r w:rsidRPr="00C54AFA">
        <w:rPr>
          <w:rFonts w:asciiTheme="majorBidi" w:hAnsiTheme="majorBidi" w:cstheme="majorBidi"/>
        </w:rPr>
        <w:t>Foud</w:t>
      </w:r>
      <w:r w:rsidR="00A63A71" w:rsidRPr="00C54AFA">
        <w:rPr>
          <w:rFonts w:asciiTheme="majorBidi" w:hAnsiTheme="majorBidi" w:cstheme="majorBidi"/>
        </w:rPr>
        <w:t xml:space="preserve"> </w:t>
      </w:r>
      <w:r w:rsidRPr="00C54AFA">
        <w:rPr>
          <w:rFonts w:asciiTheme="majorBidi" w:hAnsiTheme="majorBidi" w:cstheme="majorBidi"/>
        </w:rPr>
        <w:t>Murad</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16</w:t>
      </w:r>
      <w:r w:rsidR="00A63A71" w:rsidRPr="00C54AFA">
        <w:rPr>
          <w:rFonts w:asciiTheme="majorBidi" w:hAnsiTheme="majorBidi" w:cstheme="majorBidi"/>
        </w:rPr>
        <w:t>日在开罗区法特赫清真寺被军队和警察绑架</w:t>
      </w:r>
      <w:r w:rsidR="00C54AFA" w:rsidRPr="00C54AFA">
        <w:rPr>
          <w:rFonts w:asciiTheme="majorBidi" w:hAnsiTheme="majorBidi" w:cstheme="majorBidi"/>
        </w:rPr>
        <w:t>；</w:t>
      </w:r>
    </w:p>
    <w:p w:rsidR="00A63A71" w:rsidRPr="00C54AFA" w:rsidRDefault="00BC4B0A" w:rsidP="009C4385">
      <w:pPr>
        <w:pStyle w:val="SingleTxtGC"/>
        <w:numPr>
          <w:ilvl w:val="0"/>
          <w:numId w:val="10"/>
        </w:numPr>
        <w:rPr>
          <w:rFonts w:asciiTheme="majorBidi" w:hAnsiTheme="majorBidi" w:cstheme="majorBidi"/>
        </w:rPr>
      </w:pPr>
      <w:r w:rsidRPr="00C54AFA">
        <w:rPr>
          <w:rFonts w:asciiTheme="majorBidi" w:hAnsiTheme="majorBidi" w:cstheme="majorBidi"/>
        </w:rPr>
        <w:t>Khader</w:t>
      </w:r>
      <w:r w:rsidR="00A63A71" w:rsidRPr="00C54AFA">
        <w:rPr>
          <w:rFonts w:asciiTheme="majorBidi" w:hAnsiTheme="majorBidi" w:cstheme="majorBidi"/>
        </w:rPr>
        <w:t xml:space="preserve"> </w:t>
      </w:r>
      <w:r w:rsidRPr="00C54AFA">
        <w:rPr>
          <w:rFonts w:asciiTheme="majorBidi" w:hAnsiTheme="majorBidi" w:cstheme="majorBidi"/>
        </w:rPr>
        <w:t>Ali</w:t>
      </w:r>
      <w:r w:rsidR="00A63A71" w:rsidRPr="00C54AFA">
        <w:rPr>
          <w:rFonts w:asciiTheme="majorBidi" w:hAnsiTheme="majorBidi" w:cstheme="majorBidi"/>
        </w:rPr>
        <w:t xml:space="preserve"> </w:t>
      </w:r>
      <w:r w:rsidRPr="00C54AFA">
        <w:rPr>
          <w:rFonts w:asciiTheme="majorBidi" w:hAnsiTheme="majorBidi" w:cstheme="majorBidi"/>
        </w:rPr>
        <w:t>Mohammed</w:t>
      </w:r>
      <w:r w:rsidR="00A63A71" w:rsidRPr="00C54AFA">
        <w:rPr>
          <w:rFonts w:asciiTheme="majorBidi" w:hAnsiTheme="majorBidi" w:cstheme="majorBidi"/>
        </w:rPr>
        <w:t xml:space="preserve"> </w:t>
      </w:r>
      <w:r w:rsidRPr="00C54AFA">
        <w:rPr>
          <w:rFonts w:asciiTheme="majorBidi" w:hAnsiTheme="majorBidi" w:cstheme="majorBidi"/>
        </w:rPr>
        <w:t>Mohamed</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14</w:t>
      </w:r>
      <w:r w:rsidR="00A63A71" w:rsidRPr="00C54AFA">
        <w:rPr>
          <w:rFonts w:asciiTheme="majorBidi" w:hAnsiTheme="majorBidi" w:cstheme="majorBidi"/>
        </w:rPr>
        <w:t>日在开罗奈斯尔城被警察和军方人员逮捕</w:t>
      </w:r>
      <w:r w:rsidR="00C54AFA" w:rsidRPr="00C54AFA">
        <w:rPr>
          <w:rFonts w:asciiTheme="majorBidi" w:hAnsiTheme="majorBidi" w:cstheme="majorBidi"/>
        </w:rPr>
        <w:t>；</w:t>
      </w:r>
    </w:p>
    <w:p w:rsidR="00A63A71" w:rsidRPr="00C54AFA" w:rsidRDefault="00BC4B0A" w:rsidP="009C4385">
      <w:pPr>
        <w:pStyle w:val="SingleTxtGC"/>
        <w:numPr>
          <w:ilvl w:val="0"/>
          <w:numId w:val="10"/>
        </w:numPr>
        <w:rPr>
          <w:rFonts w:asciiTheme="majorBidi" w:hAnsiTheme="majorBidi" w:cstheme="majorBidi"/>
        </w:rPr>
      </w:pPr>
      <w:r w:rsidRPr="00C54AFA">
        <w:rPr>
          <w:rFonts w:asciiTheme="majorBidi" w:hAnsiTheme="majorBidi" w:cstheme="majorBidi"/>
        </w:rPr>
        <w:t>Mahmoud</w:t>
      </w:r>
      <w:r w:rsidR="00A63A71" w:rsidRPr="00C54AFA">
        <w:rPr>
          <w:rFonts w:asciiTheme="majorBidi" w:hAnsiTheme="majorBidi" w:cstheme="majorBidi"/>
        </w:rPr>
        <w:t xml:space="preserve"> </w:t>
      </w:r>
      <w:r w:rsidRPr="00C54AFA">
        <w:rPr>
          <w:rFonts w:asciiTheme="majorBidi" w:hAnsiTheme="majorBidi" w:cstheme="majorBidi"/>
        </w:rPr>
        <w:t>Ahmed</w:t>
      </w:r>
      <w:r w:rsidR="00A63A71" w:rsidRPr="00C54AFA">
        <w:rPr>
          <w:rFonts w:asciiTheme="majorBidi" w:hAnsiTheme="majorBidi" w:cstheme="majorBidi"/>
        </w:rPr>
        <w:t xml:space="preserve"> </w:t>
      </w:r>
      <w:r w:rsidRPr="00C54AFA">
        <w:rPr>
          <w:rFonts w:asciiTheme="majorBidi" w:hAnsiTheme="majorBidi" w:cstheme="majorBidi"/>
        </w:rPr>
        <w:t>Muhammed</w:t>
      </w:r>
      <w:r w:rsidR="00A63A71" w:rsidRPr="00C54AFA">
        <w:rPr>
          <w:rFonts w:asciiTheme="majorBidi" w:hAnsiTheme="majorBidi" w:cstheme="majorBidi"/>
        </w:rPr>
        <w:t xml:space="preserve"> </w:t>
      </w:r>
      <w:r w:rsidRPr="00C54AFA">
        <w:rPr>
          <w:rFonts w:asciiTheme="majorBidi" w:hAnsiTheme="majorBidi" w:cstheme="majorBidi"/>
        </w:rPr>
        <w:t>Ali</w:t>
      </w:r>
      <w:r w:rsidR="00A63A71" w:rsidRPr="00C54AFA">
        <w:rPr>
          <w:rFonts w:asciiTheme="majorBidi" w:hAnsiTheme="majorBidi" w:cstheme="majorBidi"/>
        </w:rPr>
        <w:t xml:space="preserve"> </w:t>
      </w:r>
      <w:r w:rsidRPr="00C54AFA">
        <w:rPr>
          <w:rFonts w:asciiTheme="majorBidi" w:hAnsiTheme="majorBidi" w:cstheme="majorBidi"/>
        </w:rPr>
        <w:t>Badawi</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14</w:t>
      </w:r>
      <w:r w:rsidR="00A63A71" w:rsidRPr="00C54AFA">
        <w:rPr>
          <w:rFonts w:asciiTheme="majorBidi" w:hAnsiTheme="majorBidi" w:cstheme="majorBidi"/>
        </w:rPr>
        <w:t>日在开罗区奈斯尔城被军队和警察部队逮捕</w:t>
      </w:r>
      <w:r w:rsidR="00C54AFA" w:rsidRPr="00C54AFA">
        <w:rPr>
          <w:rFonts w:asciiTheme="majorBidi" w:hAnsiTheme="majorBidi" w:cstheme="majorBidi"/>
        </w:rPr>
        <w:t>；</w:t>
      </w:r>
    </w:p>
    <w:p w:rsidR="00A63A71" w:rsidRPr="00C54AFA" w:rsidRDefault="00BC4B0A" w:rsidP="009C4385">
      <w:pPr>
        <w:pStyle w:val="SingleTxtGC"/>
        <w:numPr>
          <w:ilvl w:val="0"/>
          <w:numId w:val="10"/>
        </w:numPr>
        <w:rPr>
          <w:rFonts w:asciiTheme="majorBidi" w:hAnsiTheme="majorBidi" w:cstheme="majorBidi"/>
        </w:rPr>
      </w:pPr>
      <w:r w:rsidRPr="00C54AFA">
        <w:rPr>
          <w:rFonts w:asciiTheme="majorBidi" w:hAnsiTheme="majorBidi" w:cstheme="majorBidi"/>
        </w:rPr>
        <w:t>Mahmoud</w:t>
      </w:r>
      <w:r w:rsidR="00A63A71" w:rsidRPr="00C54AFA">
        <w:rPr>
          <w:rFonts w:asciiTheme="majorBidi" w:hAnsiTheme="majorBidi" w:cstheme="majorBidi"/>
        </w:rPr>
        <w:t xml:space="preserve"> </w:t>
      </w: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Abd</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w:t>
      </w:r>
      <w:r w:rsidRPr="00C54AFA">
        <w:rPr>
          <w:rFonts w:asciiTheme="majorBidi" w:hAnsiTheme="majorBidi" w:cstheme="majorBidi"/>
        </w:rPr>
        <w:t>Samee</w:t>
      </w:r>
      <w:r w:rsidR="00A63A71" w:rsidRPr="00C54AFA">
        <w:rPr>
          <w:rFonts w:asciiTheme="majorBidi" w:hAnsiTheme="majorBidi" w:cstheme="majorBidi"/>
        </w:rPr>
        <w:t xml:space="preserve"> </w:t>
      </w:r>
      <w:r w:rsidRPr="00C54AFA">
        <w:rPr>
          <w:rFonts w:asciiTheme="majorBidi" w:hAnsiTheme="majorBidi" w:cstheme="majorBidi"/>
        </w:rPr>
        <w:t>Ahmed</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据称最后一次见到此人是</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14</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在开罗区奈斯尔城</w:t>
      </w:r>
      <w:r w:rsidR="00C54AFA" w:rsidRPr="00C54AFA">
        <w:rPr>
          <w:rFonts w:asciiTheme="majorBidi" w:hAnsiTheme="majorBidi" w:cstheme="majorBidi"/>
        </w:rPr>
        <w:t>；</w:t>
      </w:r>
    </w:p>
    <w:p w:rsidR="00A63A71" w:rsidRPr="00C54AFA" w:rsidRDefault="00BC4B0A" w:rsidP="009C4385">
      <w:pPr>
        <w:pStyle w:val="SingleTxtGC"/>
        <w:numPr>
          <w:ilvl w:val="0"/>
          <w:numId w:val="10"/>
        </w:numPr>
        <w:rPr>
          <w:rFonts w:asciiTheme="majorBidi" w:hAnsiTheme="majorBidi" w:cstheme="majorBidi"/>
        </w:rPr>
      </w:pP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Hussin</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Sayed</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Saman</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14</w:t>
      </w:r>
      <w:r w:rsidR="00A63A71" w:rsidRPr="00C54AFA">
        <w:rPr>
          <w:rFonts w:asciiTheme="majorBidi" w:hAnsiTheme="majorBidi" w:cstheme="majorBidi"/>
        </w:rPr>
        <w:t>日在开罗区奈斯尔城被军队和警察绑架</w:t>
      </w:r>
      <w:r w:rsidR="00C54AFA" w:rsidRPr="00C54AFA">
        <w:rPr>
          <w:rFonts w:asciiTheme="majorBidi" w:hAnsiTheme="majorBidi" w:cstheme="majorBidi"/>
        </w:rPr>
        <w:t>；</w:t>
      </w:r>
    </w:p>
    <w:p w:rsidR="00A63A71" w:rsidRPr="00C54AFA" w:rsidRDefault="00BC4B0A" w:rsidP="009C4385">
      <w:pPr>
        <w:pStyle w:val="SingleTxtGC"/>
        <w:numPr>
          <w:ilvl w:val="0"/>
          <w:numId w:val="10"/>
        </w:numPr>
        <w:rPr>
          <w:rFonts w:asciiTheme="majorBidi" w:hAnsiTheme="majorBidi" w:cstheme="majorBidi"/>
        </w:rPr>
      </w:pP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Ali</w:t>
      </w:r>
      <w:r w:rsidR="00A63A71" w:rsidRPr="00C54AFA">
        <w:rPr>
          <w:rFonts w:asciiTheme="majorBidi" w:hAnsiTheme="majorBidi" w:cstheme="majorBidi"/>
        </w:rPr>
        <w:t xml:space="preserve"> </w:t>
      </w:r>
      <w:r w:rsidRPr="00C54AFA">
        <w:rPr>
          <w:rFonts w:asciiTheme="majorBidi" w:hAnsiTheme="majorBidi" w:cstheme="majorBidi"/>
        </w:rPr>
        <w:t>Hammad</w:t>
      </w:r>
      <w:r w:rsidR="00A63A71" w:rsidRPr="00C54AFA">
        <w:rPr>
          <w:rFonts w:asciiTheme="majorBidi" w:hAnsiTheme="majorBidi" w:cstheme="majorBidi"/>
        </w:rPr>
        <w:t xml:space="preserve"> </w:t>
      </w:r>
      <w:r w:rsidRPr="00C54AFA">
        <w:rPr>
          <w:rFonts w:asciiTheme="majorBidi" w:hAnsiTheme="majorBidi" w:cstheme="majorBidi"/>
        </w:rPr>
        <w:t>Omar</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14</w:t>
      </w:r>
      <w:r w:rsidR="00A63A71" w:rsidRPr="00C54AFA">
        <w:rPr>
          <w:rFonts w:asciiTheme="majorBidi" w:hAnsiTheme="majorBidi" w:cstheme="majorBidi"/>
        </w:rPr>
        <w:t>日在开罗纳斯尔路阿兹哈尔大学前被警方逮捕。</w:t>
      </w:r>
    </w:p>
    <w:p w:rsidR="00A63A71" w:rsidRPr="00C54AFA" w:rsidRDefault="00A63A71" w:rsidP="00116230">
      <w:pPr>
        <w:pStyle w:val="H23GC"/>
      </w:pPr>
      <w:r w:rsidRPr="00C54AFA">
        <w:tab/>
      </w:r>
      <w:r w:rsidRPr="00C54AFA">
        <w:tab/>
      </w:r>
      <w:r w:rsidRPr="00C54AFA">
        <w:t>政府提供的资料</w:t>
      </w:r>
    </w:p>
    <w:p w:rsidR="00A63A71" w:rsidRPr="00C54AFA" w:rsidRDefault="00BC4B0A" w:rsidP="009C4385">
      <w:pPr>
        <w:pStyle w:val="SingleTxtGC"/>
        <w:rPr>
          <w:rFonts w:asciiTheme="majorBidi" w:hAnsiTheme="majorBidi" w:cstheme="majorBidi"/>
        </w:rPr>
      </w:pPr>
      <w:r w:rsidRPr="00C54AFA">
        <w:rPr>
          <w:rFonts w:asciiTheme="majorBidi" w:hAnsiTheme="majorBidi" w:cstheme="majorBidi"/>
        </w:rPr>
        <w:t>4</w:t>
      </w:r>
      <w:r w:rsidR="00C54AFA" w:rsidRPr="00C54AFA">
        <w:rPr>
          <w:rFonts w:asciiTheme="majorBidi" w:hAnsiTheme="majorBidi" w:cstheme="majorBidi"/>
        </w:rPr>
        <w:t>7.</w:t>
      </w:r>
      <w:r w:rsidR="009C4385"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14</w:t>
      </w:r>
      <w:r w:rsidR="00A63A71" w:rsidRPr="00C54AFA">
        <w:rPr>
          <w:rFonts w:asciiTheme="majorBidi" w:hAnsiTheme="majorBidi" w:cstheme="majorBidi"/>
        </w:rPr>
        <w:t>日、</w:t>
      </w:r>
      <w:r w:rsidRPr="00C54AFA">
        <w:rPr>
          <w:rFonts w:asciiTheme="majorBidi" w:hAnsiTheme="majorBidi" w:cstheme="majorBidi"/>
        </w:rPr>
        <w:t>9</w:t>
      </w:r>
      <w:r w:rsidR="00A63A71" w:rsidRPr="00C54AFA">
        <w:rPr>
          <w:rFonts w:asciiTheme="majorBidi" w:hAnsiTheme="majorBidi" w:cstheme="majorBidi"/>
        </w:rPr>
        <w:t>月</w:t>
      </w:r>
      <w:r w:rsidRPr="00C54AFA">
        <w:rPr>
          <w:rFonts w:asciiTheme="majorBidi" w:hAnsiTheme="majorBidi" w:cstheme="majorBidi"/>
        </w:rPr>
        <w:t>29</w:t>
      </w:r>
      <w:r w:rsidR="00A63A71" w:rsidRPr="00C54AFA">
        <w:rPr>
          <w:rFonts w:asciiTheme="majorBidi" w:hAnsiTheme="majorBidi" w:cstheme="majorBidi"/>
        </w:rPr>
        <w:t>日和</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28</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该国政府转达了关于</w:t>
      </w:r>
      <w:r w:rsidRPr="00C54AFA">
        <w:rPr>
          <w:rFonts w:asciiTheme="majorBidi" w:hAnsiTheme="majorBidi" w:cstheme="majorBidi"/>
        </w:rPr>
        <w:t>8</w:t>
      </w:r>
      <w:r w:rsidR="00A63A71" w:rsidRPr="00C54AFA">
        <w:rPr>
          <w:rFonts w:asciiTheme="majorBidi" w:hAnsiTheme="majorBidi" w:cstheme="majorBidi"/>
        </w:rPr>
        <w:t>起未决案件的资料。基于这些资料</w:t>
      </w:r>
      <w:r w:rsidR="00C54AFA" w:rsidRPr="00C54AFA">
        <w:rPr>
          <w:rFonts w:asciiTheme="majorBidi" w:hAnsiTheme="majorBidi" w:cstheme="majorBidi"/>
        </w:rPr>
        <w:t>，</w:t>
      </w:r>
      <w:r w:rsidR="00A63A71" w:rsidRPr="00C54AFA">
        <w:rPr>
          <w:rFonts w:asciiTheme="majorBidi" w:hAnsiTheme="majorBidi" w:cstheme="majorBidi"/>
        </w:rPr>
        <w:t>工作组决定对其中四起案件适用六个月规则。</w:t>
      </w:r>
    </w:p>
    <w:p w:rsidR="00A63A71" w:rsidRPr="00C54AFA" w:rsidRDefault="00BC4B0A" w:rsidP="009C4385">
      <w:pPr>
        <w:pStyle w:val="SingleTxtGC"/>
        <w:rPr>
          <w:rFonts w:asciiTheme="majorBidi" w:hAnsiTheme="majorBidi" w:cstheme="majorBidi"/>
        </w:rPr>
      </w:pPr>
      <w:r w:rsidRPr="00C54AFA">
        <w:rPr>
          <w:rFonts w:asciiTheme="majorBidi" w:hAnsiTheme="majorBidi" w:cstheme="majorBidi"/>
        </w:rPr>
        <w:t>4</w:t>
      </w:r>
      <w:r w:rsidR="00C54AFA" w:rsidRPr="00C54AFA">
        <w:rPr>
          <w:rFonts w:asciiTheme="majorBidi" w:hAnsiTheme="majorBidi" w:cstheme="majorBidi"/>
        </w:rPr>
        <w:t>8.</w:t>
      </w:r>
      <w:r w:rsidR="009C4385"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27</w:t>
      </w:r>
      <w:r w:rsidR="00A63A71" w:rsidRPr="00C54AFA">
        <w:rPr>
          <w:rFonts w:asciiTheme="majorBidi" w:hAnsiTheme="majorBidi" w:cstheme="majorBidi"/>
        </w:rPr>
        <w:t>日曾发出关于四名人员的一份联合紧急呼吁</w:t>
      </w:r>
      <w:r w:rsidR="00C54AFA" w:rsidRPr="00C54AFA">
        <w:rPr>
          <w:rFonts w:asciiTheme="majorBidi" w:hAnsiTheme="majorBidi" w:cstheme="majorBidi"/>
        </w:rPr>
        <w:t>；</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该国政府就此作出答复。</w:t>
      </w:r>
    </w:p>
    <w:p w:rsidR="00A63A71" w:rsidRPr="00C54AFA" w:rsidRDefault="009C4385" w:rsidP="00116230">
      <w:pPr>
        <w:pStyle w:val="H23GC"/>
      </w:pPr>
      <w:r w:rsidRPr="00C54AFA">
        <w:tab/>
      </w:r>
      <w:r w:rsidRPr="00C54AFA">
        <w:tab/>
      </w:r>
      <w:r w:rsidR="00A63A71" w:rsidRPr="00C54AFA">
        <w:t>根据来文方的资料作出的澄清</w:t>
      </w:r>
    </w:p>
    <w:p w:rsidR="00A63A71" w:rsidRPr="00C54AFA" w:rsidRDefault="00BC4B0A" w:rsidP="009C4385">
      <w:pPr>
        <w:pStyle w:val="SingleTxtGC"/>
        <w:rPr>
          <w:rFonts w:asciiTheme="majorBidi" w:hAnsiTheme="majorBidi" w:cstheme="majorBidi"/>
        </w:rPr>
      </w:pPr>
      <w:r w:rsidRPr="00C54AFA">
        <w:rPr>
          <w:rFonts w:asciiTheme="majorBidi" w:hAnsiTheme="majorBidi" w:cstheme="majorBidi"/>
        </w:rPr>
        <w:t>4</w:t>
      </w:r>
      <w:r w:rsidR="00C54AFA" w:rsidRPr="00C54AFA">
        <w:rPr>
          <w:rFonts w:asciiTheme="majorBidi" w:hAnsiTheme="majorBidi" w:cstheme="majorBidi"/>
        </w:rPr>
        <w:t>9.</w:t>
      </w:r>
      <w:r w:rsidR="009C4385" w:rsidRPr="00C54AFA">
        <w:rPr>
          <w:rFonts w:asciiTheme="majorBidi" w:hAnsiTheme="majorBidi" w:cstheme="majorBidi"/>
        </w:rPr>
        <w:t xml:space="preserve">  </w:t>
      </w:r>
      <w:r w:rsidR="00A63A71" w:rsidRPr="00C54AFA">
        <w:rPr>
          <w:rFonts w:asciiTheme="majorBidi" w:hAnsiTheme="majorBidi" w:cstheme="majorBidi"/>
        </w:rPr>
        <w:t>来文方就三起案件提供了资料</w:t>
      </w:r>
      <w:r w:rsidR="00C54AFA" w:rsidRPr="00C54AFA">
        <w:rPr>
          <w:rFonts w:asciiTheme="majorBidi" w:hAnsiTheme="majorBidi" w:cstheme="majorBidi"/>
        </w:rPr>
        <w:t>，</w:t>
      </w:r>
      <w:r w:rsidR="00A63A71" w:rsidRPr="00C54AFA">
        <w:rPr>
          <w:rFonts w:asciiTheme="majorBidi" w:hAnsiTheme="majorBidi" w:cstheme="majorBidi"/>
        </w:rPr>
        <w:t>在这些资料的基础上</w:t>
      </w:r>
      <w:r w:rsidR="00C54AFA" w:rsidRPr="00C54AFA">
        <w:rPr>
          <w:rFonts w:asciiTheme="majorBidi" w:hAnsiTheme="majorBidi" w:cstheme="majorBidi"/>
        </w:rPr>
        <w:t>，</w:t>
      </w:r>
      <w:r w:rsidR="00A63A71" w:rsidRPr="00C54AFA">
        <w:rPr>
          <w:rFonts w:asciiTheme="majorBidi" w:hAnsiTheme="majorBidi" w:cstheme="majorBidi"/>
        </w:rPr>
        <w:t>工作组决定澄清两起案件。</w:t>
      </w:r>
    </w:p>
    <w:p w:rsidR="00A63A71" w:rsidRPr="00C54AFA" w:rsidRDefault="00A63A71" w:rsidP="00116230">
      <w:pPr>
        <w:pStyle w:val="H23GC"/>
      </w:pPr>
      <w:r w:rsidRPr="00C54AFA">
        <w:lastRenderedPageBreak/>
        <w:tab/>
      </w:r>
      <w:r w:rsidRPr="00C54AFA">
        <w:tab/>
      </w:r>
      <w:r w:rsidRPr="00C54AFA">
        <w:t>意见</w:t>
      </w:r>
    </w:p>
    <w:p w:rsidR="00A63A71" w:rsidRPr="00C54AFA" w:rsidRDefault="00BC4B0A" w:rsidP="009C4385">
      <w:pPr>
        <w:pStyle w:val="SingleTxtGC"/>
        <w:rPr>
          <w:rFonts w:asciiTheme="majorBidi" w:hAnsiTheme="majorBidi" w:cstheme="majorBidi"/>
        </w:rPr>
      </w:pPr>
      <w:r w:rsidRPr="00C54AFA">
        <w:rPr>
          <w:rFonts w:asciiTheme="majorBidi" w:hAnsiTheme="majorBidi" w:cstheme="majorBidi"/>
        </w:rPr>
        <w:t>5</w:t>
      </w:r>
      <w:r w:rsidR="00C54AFA" w:rsidRPr="00C54AFA">
        <w:rPr>
          <w:rFonts w:asciiTheme="majorBidi" w:hAnsiTheme="majorBidi" w:cstheme="majorBidi"/>
        </w:rPr>
        <w:t>0.</w:t>
      </w:r>
      <w:r w:rsidR="009C4385" w:rsidRPr="00C54AFA">
        <w:rPr>
          <w:rFonts w:asciiTheme="majorBidi" w:hAnsiTheme="majorBidi" w:cstheme="majorBidi"/>
        </w:rPr>
        <w:t xml:space="preserve">  </w:t>
      </w:r>
      <w:r w:rsidR="00A63A71" w:rsidRPr="00C54AFA">
        <w:rPr>
          <w:rFonts w:asciiTheme="majorBidi" w:hAnsiTheme="majorBidi" w:cstheme="majorBidi"/>
        </w:rPr>
        <w:t>工作组感谢该国政府的答复。然而</w:t>
      </w:r>
      <w:r w:rsidR="00C54AFA" w:rsidRPr="00C54AFA">
        <w:rPr>
          <w:rFonts w:asciiTheme="majorBidi" w:hAnsiTheme="majorBidi" w:cstheme="majorBidi"/>
        </w:rPr>
        <w:t>，</w:t>
      </w:r>
      <w:r w:rsidR="00A63A71" w:rsidRPr="00C54AFA">
        <w:rPr>
          <w:rFonts w:asciiTheme="majorBidi" w:hAnsiTheme="majorBidi" w:cstheme="majorBidi"/>
        </w:rPr>
        <w:t>鉴于在第</w:t>
      </w:r>
      <w:r w:rsidRPr="00C54AFA">
        <w:rPr>
          <w:rFonts w:asciiTheme="majorBidi" w:hAnsiTheme="majorBidi" w:cstheme="majorBidi"/>
        </w:rPr>
        <w:t>1</w:t>
      </w:r>
      <w:r w:rsidR="00A63A71" w:rsidRPr="00C54AFA">
        <w:rPr>
          <w:rFonts w:asciiTheme="majorBidi" w:hAnsiTheme="majorBidi" w:cstheme="majorBidi"/>
        </w:rPr>
        <w:t>0</w:t>
      </w:r>
      <w:r w:rsidRPr="00C54AFA">
        <w:rPr>
          <w:rFonts w:asciiTheme="majorBidi" w:hAnsiTheme="majorBidi" w:cstheme="majorBidi"/>
        </w:rPr>
        <w:t>4</w:t>
      </w:r>
      <w:r w:rsidR="00A63A71" w:rsidRPr="00C54AFA">
        <w:rPr>
          <w:rFonts w:asciiTheme="majorBidi" w:hAnsiTheme="majorBidi" w:cstheme="majorBidi"/>
        </w:rPr>
        <w:t>和</w:t>
      </w:r>
      <w:r w:rsidRPr="00C54AFA">
        <w:rPr>
          <w:rFonts w:asciiTheme="majorBidi" w:hAnsiTheme="majorBidi" w:cstheme="majorBidi"/>
        </w:rPr>
        <w:t>1</w:t>
      </w:r>
      <w:r w:rsidR="00A63A71" w:rsidRPr="00C54AFA">
        <w:rPr>
          <w:rFonts w:asciiTheme="majorBidi" w:hAnsiTheme="majorBidi" w:cstheme="majorBidi"/>
        </w:rPr>
        <w:t>0</w:t>
      </w:r>
      <w:r w:rsidRPr="00C54AFA">
        <w:rPr>
          <w:rFonts w:asciiTheme="majorBidi" w:hAnsiTheme="majorBidi" w:cstheme="majorBidi"/>
        </w:rPr>
        <w:t>5</w:t>
      </w:r>
      <w:r w:rsidR="00A63A71" w:rsidRPr="00C54AFA">
        <w:rPr>
          <w:rFonts w:asciiTheme="majorBidi" w:hAnsiTheme="majorBidi" w:cstheme="majorBidi"/>
        </w:rPr>
        <w:t>届会议期间</w:t>
      </w:r>
      <w:r w:rsidR="00C54AFA" w:rsidRPr="00C54AFA">
        <w:rPr>
          <w:rFonts w:asciiTheme="majorBidi" w:hAnsiTheme="majorBidi" w:cstheme="majorBidi"/>
        </w:rPr>
        <w:t>，</w:t>
      </w:r>
      <w:r w:rsidR="00A63A71" w:rsidRPr="00C54AFA">
        <w:rPr>
          <w:rFonts w:asciiTheme="majorBidi" w:hAnsiTheme="majorBidi" w:cstheme="majorBidi"/>
        </w:rPr>
        <w:t>它在紧急行动程序下向该国政府转达了</w:t>
      </w:r>
      <w:r w:rsidRPr="00C54AFA">
        <w:rPr>
          <w:rFonts w:asciiTheme="majorBidi" w:hAnsiTheme="majorBidi" w:cstheme="majorBidi"/>
        </w:rPr>
        <w:t>41</w:t>
      </w:r>
      <w:r w:rsidR="00A63A71" w:rsidRPr="00C54AFA">
        <w:rPr>
          <w:rFonts w:asciiTheme="majorBidi" w:hAnsiTheme="majorBidi" w:cstheme="majorBidi"/>
        </w:rPr>
        <w:t>起案件</w:t>
      </w:r>
      <w:r w:rsidR="00C54AFA" w:rsidRPr="00C54AFA">
        <w:rPr>
          <w:rFonts w:asciiTheme="majorBidi" w:hAnsiTheme="majorBidi" w:cstheme="majorBidi"/>
        </w:rPr>
        <w:t>，</w:t>
      </w:r>
      <w:r w:rsidR="00A63A71" w:rsidRPr="00C54AFA">
        <w:rPr>
          <w:rFonts w:asciiTheme="majorBidi" w:hAnsiTheme="majorBidi" w:cstheme="majorBidi"/>
        </w:rPr>
        <w:t>它感到极为关切。工作组提醒该国政府</w:t>
      </w:r>
      <w:r w:rsidR="00C54AFA" w:rsidRPr="00C54AFA">
        <w:rPr>
          <w:rFonts w:asciiTheme="majorBidi" w:hAnsiTheme="majorBidi" w:cstheme="majorBidi"/>
        </w:rPr>
        <w:t>，</w:t>
      </w:r>
      <w:r w:rsidR="00A63A71" w:rsidRPr="00C54AFA">
        <w:rPr>
          <w:rFonts w:asciiTheme="majorBidi" w:hAnsiTheme="majorBidi" w:cstheme="majorBidi"/>
        </w:rPr>
        <w:t>根据《宣言》第</w:t>
      </w:r>
      <w:r w:rsidRPr="00C54AFA">
        <w:rPr>
          <w:rFonts w:asciiTheme="majorBidi" w:hAnsiTheme="majorBidi" w:cstheme="majorBidi"/>
        </w:rPr>
        <w:t>2</w:t>
      </w:r>
      <w:r w:rsidR="00A63A71" w:rsidRPr="00C54AFA">
        <w:rPr>
          <w:rFonts w:asciiTheme="majorBidi" w:hAnsiTheme="majorBidi" w:cstheme="majorBidi"/>
        </w:rPr>
        <w:t>条</w:t>
      </w:r>
      <w:r w:rsidR="00C54AFA" w:rsidRPr="00C54AFA">
        <w:rPr>
          <w:rFonts w:asciiTheme="majorBidi" w:hAnsiTheme="majorBidi" w:cstheme="majorBidi"/>
        </w:rPr>
        <w:t>，</w:t>
      </w:r>
      <w:r w:rsidR="00A63A71" w:rsidRPr="00C54AFA">
        <w:rPr>
          <w:rFonts w:asciiTheme="majorBidi" w:hAnsiTheme="majorBidi" w:cstheme="majorBidi"/>
        </w:rPr>
        <w:t>任何国家都不应进行、允许或容忍强迫失踪。</w:t>
      </w:r>
    </w:p>
    <w:p w:rsidR="00A63A71" w:rsidRPr="00C54AFA" w:rsidRDefault="00A63A71" w:rsidP="00116230">
      <w:pPr>
        <w:pStyle w:val="H1GC"/>
      </w:pPr>
      <w:r w:rsidRPr="00C54AFA">
        <w:tab/>
      </w:r>
      <w:r w:rsidRPr="00C54AFA">
        <w:tab/>
      </w:r>
      <w:r w:rsidRPr="00C54AFA">
        <w:t>萨尔瓦多</w:t>
      </w:r>
    </w:p>
    <w:p w:rsidR="00A63A71" w:rsidRPr="00C54AFA" w:rsidRDefault="00A63A71" w:rsidP="00116230">
      <w:pPr>
        <w:pStyle w:val="H23GC"/>
      </w:pPr>
      <w:r w:rsidRPr="00C54AFA">
        <w:tab/>
      </w:r>
      <w:r w:rsidRPr="00C54AFA">
        <w:tab/>
      </w:r>
      <w:r w:rsidRPr="00C54AFA">
        <w:t>标准程序</w:t>
      </w:r>
    </w:p>
    <w:p w:rsidR="00A63A71" w:rsidRPr="00B9215E" w:rsidRDefault="00BC4B0A" w:rsidP="00BC770C">
      <w:pPr>
        <w:pStyle w:val="SingleTxtGC"/>
        <w:rPr>
          <w:rFonts w:asciiTheme="majorBidi" w:hAnsiTheme="majorBidi" w:cstheme="majorBidi"/>
          <w:spacing w:val="-4"/>
        </w:rPr>
      </w:pPr>
      <w:r w:rsidRPr="00C54AFA">
        <w:rPr>
          <w:rFonts w:asciiTheme="majorBidi" w:hAnsiTheme="majorBidi" w:cstheme="majorBidi"/>
        </w:rPr>
        <w:t>5</w:t>
      </w:r>
      <w:r w:rsidR="00C54AFA" w:rsidRPr="00C54AFA">
        <w:rPr>
          <w:rFonts w:asciiTheme="majorBidi" w:hAnsiTheme="majorBidi" w:cstheme="majorBidi"/>
        </w:rPr>
        <w:t>1.</w:t>
      </w:r>
      <w:r w:rsidR="00BC770C" w:rsidRPr="00C54AFA">
        <w:rPr>
          <w:rFonts w:asciiTheme="majorBidi" w:hAnsiTheme="majorBidi" w:cstheme="majorBidi"/>
        </w:rPr>
        <w:t xml:space="preserve">  </w:t>
      </w:r>
      <w:r w:rsidR="00A63A71" w:rsidRPr="00B9215E">
        <w:rPr>
          <w:rFonts w:asciiTheme="majorBidi" w:hAnsiTheme="majorBidi" w:cstheme="majorBidi"/>
          <w:spacing w:val="-4"/>
        </w:rPr>
        <w:t>工作组向该国政府转达了关于</w:t>
      </w:r>
      <w:r w:rsidRPr="00B9215E">
        <w:rPr>
          <w:rFonts w:asciiTheme="majorBidi" w:hAnsiTheme="majorBidi" w:cstheme="majorBidi"/>
          <w:spacing w:val="-4"/>
        </w:rPr>
        <w:t>Oscar</w:t>
      </w:r>
      <w:r w:rsidR="00A63A71" w:rsidRPr="00B9215E">
        <w:rPr>
          <w:rFonts w:asciiTheme="majorBidi" w:hAnsiTheme="majorBidi" w:cstheme="majorBidi"/>
          <w:spacing w:val="-4"/>
        </w:rPr>
        <w:t xml:space="preserve"> </w:t>
      </w:r>
      <w:r w:rsidRPr="00B9215E">
        <w:rPr>
          <w:rFonts w:asciiTheme="majorBidi" w:hAnsiTheme="majorBidi" w:cstheme="majorBidi"/>
          <w:spacing w:val="-4"/>
        </w:rPr>
        <w:t>Oswaldo</w:t>
      </w:r>
      <w:r w:rsidR="00A63A71" w:rsidRPr="00B9215E">
        <w:rPr>
          <w:rFonts w:asciiTheme="majorBidi" w:hAnsiTheme="majorBidi" w:cstheme="majorBidi"/>
          <w:spacing w:val="-4"/>
        </w:rPr>
        <w:t xml:space="preserve"> </w:t>
      </w:r>
      <w:r w:rsidRPr="00B9215E">
        <w:rPr>
          <w:rFonts w:asciiTheme="majorBidi" w:hAnsiTheme="majorBidi" w:cstheme="majorBidi"/>
          <w:spacing w:val="-4"/>
        </w:rPr>
        <w:t>Leyva</w:t>
      </w:r>
      <w:r w:rsidR="00A63A71" w:rsidRPr="00B9215E">
        <w:rPr>
          <w:rFonts w:asciiTheme="majorBidi" w:hAnsiTheme="majorBidi" w:cstheme="majorBidi"/>
          <w:spacing w:val="-4"/>
        </w:rPr>
        <w:t xml:space="preserve"> </w:t>
      </w:r>
      <w:r w:rsidRPr="00B9215E">
        <w:rPr>
          <w:rFonts w:asciiTheme="majorBidi" w:hAnsiTheme="majorBidi" w:cstheme="majorBidi"/>
          <w:spacing w:val="-4"/>
        </w:rPr>
        <w:t>Mej</w:t>
      </w:r>
      <w:r w:rsidR="00A63A71" w:rsidRPr="00B9215E">
        <w:rPr>
          <w:rFonts w:asciiTheme="majorBidi" w:hAnsiTheme="majorBidi" w:cstheme="majorBidi"/>
          <w:spacing w:val="-4"/>
        </w:rPr>
        <w:t>í</w:t>
      </w:r>
      <w:r w:rsidRPr="00B9215E">
        <w:rPr>
          <w:rFonts w:asciiTheme="majorBidi" w:hAnsiTheme="majorBidi" w:cstheme="majorBidi"/>
          <w:spacing w:val="-4"/>
        </w:rPr>
        <w:t>a</w:t>
      </w:r>
      <w:r w:rsidR="00A63A71" w:rsidRPr="00B9215E">
        <w:rPr>
          <w:rFonts w:asciiTheme="majorBidi" w:hAnsiTheme="majorBidi" w:cstheme="majorBidi"/>
          <w:spacing w:val="-4"/>
        </w:rPr>
        <w:t>先生、</w:t>
      </w:r>
      <w:r w:rsidRPr="00B9215E">
        <w:rPr>
          <w:rFonts w:asciiTheme="majorBidi" w:hAnsiTheme="majorBidi" w:cstheme="majorBidi"/>
          <w:spacing w:val="-4"/>
        </w:rPr>
        <w:t>Francisco</w:t>
      </w:r>
      <w:r w:rsidR="00A63A71" w:rsidRPr="00B9215E">
        <w:rPr>
          <w:rFonts w:asciiTheme="majorBidi" w:hAnsiTheme="majorBidi" w:cstheme="majorBidi"/>
          <w:spacing w:val="-4"/>
        </w:rPr>
        <w:t xml:space="preserve"> </w:t>
      </w:r>
      <w:r w:rsidRPr="00B9215E">
        <w:rPr>
          <w:rFonts w:asciiTheme="majorBidi" w:hAnsiTheme="majorBidi" w:cstheme="majorBidi"/>
          <w:spacing w:val="-4"/>
        </w:rPr>
        <w:t>Javier</w:t>
      </w:r>
      <w:r w:rsidR="00A63A71" w:rsidRPr="00B9215E">
        <w:rPr>
          <w:rFonts w:asciiTheme="majorBidi" w:hAnsiTheme="majorBidi" w:cstheme="majorBidi"/>
          <w:spacing w:val="-4"/>
        </w:rPr>
        <w:t xml:space="preserve"> </w:t>
      </w:r>
      <w:r w:rsidRPr="00B9215E">
        <w:rPr>
          <w:rFonts w:asciiTheme="majorBidi" w:hAnsiTheme="majorBidi" w:cstheme="majorBidi"/>
          <w:spacing w:val="-4"/>
        </w:rPr>
        <w:t>Hern</w:t>
      </w:r>
      <w:r w:rsidR="00A63A71" w:rsidRPr="00B9215E">
        <w:rPr>
          <w:rFonts w:asciiTheme="majorBidi" w:hAnsiTheme="majorBidi" w:cstheme="majorBidi"/>
          <w:spacing w:val="-4"/>
        </w:rPr>
        <w:t>á</w:t>
      </w:r>
      <w:r w:rsidRPr="00B9215E">
        <w:rPr>
          <w:rFonts w:asciiTheme="majorBidi" w:hAnsiTheme="majorBidi" w:cstheme="majorBidi"/>
          <w:spacing w:val="-4"/>
        </w:rPr>
        <w:t>ndez</w:t>
      </w:r>
      <w:r w:rsidR="00A63A71" w:rsidRPr="00B9215E">
        <w:rPr>
          <w:rFonts w:asciiTheme="majorBidi" w:hAnsiTheme="majorBidi" w:cstheme="majorBidi"/>
          <w:spacing w:val="-4"/>
        </w:rPr>
        <w:t xml:space="preserve"> </w:t>
      </w:r>
      <w:r w:rsidRPr="00B9215E">
        <w:rPr>
          <w:rFonts w:asciiTheme="majorBidi" w:hAnsiTheme="majorBidi" w:cstheme="majorBidi"/>
          <w:spacing w:val="-4"/>
        </w:rPr>
        <w:t>G</w:t>
      </w:r>
      <w:r w:rsidR="00A63A71" w:rsidRPr="00B9215E">
        <w:rPr>
          <w:rFonts w:asciiTheme="majorBidi" w:hAnsiTheme="majorBidi" w:cstheme="majorBidi"/>
          <w:spacing w:val="-4"/>
        </w:rPr>
        <w:t>ó</w:t>
      </w:r>
      <w:r w:rsidRPr="00B9215E">
        <w:rPr>
          <w:rFonts w:asciiTheme="majorBidi" w:hAnsiTheme="majorBidi" w:cstheme="majorBidi"/>
          <w:spacing w:val="-4"/>
        </w:rPr>
        <w:t>mez</w:t>
      </w:r>
      <w:r w:rsidR="00A63A71" w:rsidRPr="00B9215E">
        <w:rPr>
          <w:rFonts w:asciiTheme="majorBidi" w:hAnsiTheme="majorBidi" w:cstheme="majorBidi"/>
          <w:spacing w:val="-4"/>
        </w:rPr>
        <w:t>先生和</w:t>
      </w:r>
      <w:r w:rsidRPr="00B9215E">
        <w:rPr>
          <w:rFonts w:asciiTheme="majorBidi" w:hAnsiTheme="majorBidi" w:cstheme="majorBidi"/>
          <w:spacing w:val="-4"/>
        </w:rPr>
        <w:t>Jos</w:t>
      </w:r>
      <w:r w:rsidR="00A63A71" w:rsidRPr="00B9215E">
        <w:rPr>
          <w:rFonts w:asciiTheme="majorBidi" w:hAnsiTheme="majorBidi" w:cstheme="majorBidi"/>
          <w:spacing w:val="-4"/>
        </w:rPr>
        <w:t xml:space="preserve">é </w:t>
      </w:r>
      <w:r w:rsidRPr="00B9215E">
        <w:rPr>
          <w:rFonts w:asciiTheme="majorBidi" w:hAnsiTheme="majorBidi" w:cstheme="majorBidi"/>
          <w:spacing w:val="-4"/>
        </w:rPr>
        <w:t>Fernando</w:t>
      </w:r>
      <w:r w:rsidR="00A63A71" w:rsidRPr="00B9215E">
        <w:rPr>
          <w:rFonts w:asciiTheme="majorBidi" w:hAnsiTheme="majorBidi" w:cstheme="majorBidi"/>
          <w:spacing w:val="-4"/>
        </w:rPr>
        <w:t xml:space="preserve"> </w:t>
      </w:r>
      <w:r w:rsidRPr="00B9215E">
        <w:rPr>
          <w:rFonts w:asciiTheme="majorBidi" w:hAnsiTheme="majorBidi" w:cstheme="majorBidi"/>
          <w:spacing w:val="-4"/>
        </w:rPr>
        <w:t>Choto</w:t>
      </w:r>
      <w:r w:rsidR="00A63A71" w:rsidRPr="00B9215E">
        <w:rPr>
          <w:rFonts w:asciiTheme="majorBidi" w:hAnsiTheme="majorBidi" w:cstheme="majorBidi"/>
          <w:spacing w:val="-4"/>
        </w:rPr>
        <w:t xml:space="preserve"> </w:t>
      </w:r>
      <w:r w:rsidRPr="00B9215E">
        <w:rPr>
          <w:rFonts w:asciiTheme="majorBidi" w:hAnsiTheme="majorBidi" w:cstheme="majorBidi"/>
          <w:spacing w:val="-4"/>
        </w:rPr>
        <w:t>Choto</w:t>
      </w:r>
      <w:r w:rsidR="00A63A71" w:rsidRPr="00B9215E">
        <w:rPr>
          <w:rFonts w:asciiTheme="majorBidi" w:hAnsiTheme="majorBidi" w:cstheme="majorBidi"/>
          <w:spacing w:val="-4"/>
        </w:rPr>
        <w:t>先生的三起案件</w:t>
      </w:r>
      <w:r w:rsidR="00C54AFA" w:rsidRPr="00B9215E">
        <w:rPr>
          <w:rFonts w:asciiTheme="majorBidi" w:hAnsiTheme="majorBidi" w:cstheme="majorBidi"/>
          <w:spacing w:val="-4"/>
        </w:rPr>
        <w:t>，</w:t>
      </w:r>
      <w:r w:rsidR="00A63A71" w:rsidRPr="00B9215E">
        <w:rPr>
          <w:rFonts w:asciiTheme="majorBidi" w:hAnsiTheme="majorBidi" w:cstheme="majorBidi"/>
          <w:spacing w:val="-4"/>
        </w:rPr>
        <w:t>据称他们于</w:t>
      </w:r>
      <w:r w:rsidRPr="00B9215E">
        <w:rPr>
          <w:rFonts w:asciiTheme="majorBidi" w:hAnsiTheme="majorBidi" w:cstheme="majorBidi"/>
          <w:spacing w:val="-4"/>
        </w:rPr>
        <w:t>2</w:t>
      </w:r>
      <w:r w:rsidR="00A63A71" w:rsidRPr="00B9215E">
        <w:rPr>
          <w:rFonts w:asciiTheme="majorBidi" w:hAnsiTheme="majorBidi" w:cstheme="majorBidi"/>
          <w:spacing w:val="-4"/>
        </w:rPr>
        <w:t>0</w:t>
      </w:r>
      <w:r w:rsidRPr="00B9215E">
        <w:rPr>
          <w:rFonts w:asciiTheme="majorBidi" w:hAnsiTheme="majorBidi" w:cstheme="majorBidi"/>
          <w:spacing w:val="-4"/>
        </w:rPr>
        <w:t>14</w:t>
      </w:r>
      <w:r w:rsidR="00A63A71" w:rsidRPr="00B9215E">
        <w:rPr>
          <w:rFonts w:asciiTheme="majorBidi" w:hAnsiTheme="majorBidi" w:cstheme="majorBidi"/>
          <w:spacing w:val="-4"/>
        </w:rPr>
        <w:t>年</w:t>
      </w:r>
      <w:r w:rsidRPr="00B9215E">
        <w:rPr>
          <w:rFonts w:asciiTheme="majorBidi" w:hAnsiTheme="majorBidi" w:cstheme="majorBidi"/>
          <w:spacing w:val="-4"/>
        </w:rPr>
        <w:t>2</w:t>
      </w:r>
      <w:r w:rsidR="00A63A71" w:rsidRPr="00B9215E">
        <w:rPr>
          <w:rFonts w:asciiTheme="majorBidi" w:hAnsiTheme="majorBidi" w:cstheme="majorBidi"/>
          <w:spacing w:val="-4"/>
        </w:rPr>
        <w:t>月</w:t>
      </w:r>
      <w:r w:rsidRPr="00B9215E">
        <w:rPr>
          <w:rFonts w:asciiTheme="majorBidi" w:hAnsiTheme="majorBidi" w:cstheme="majorBidi"/>
          <w:spacing w:val="-4"/>
        </w:rPr>
        <w:t>18</w:t>
      </w:r>
      <w:r w:rsidR="00A63A71" w:rsidRPr="00B9215E">
        <w:rPr>
          <w:rFonts w:asciiTheme="majorBidi" w:hAnsiTheme="majorBidi" w:cstheme="majorBidi"/>
          <w:spacing w:val="-4"/>
        </w:rPr>
        <w:t>日在亚美尼亚松索纳特被军事安全特别行动对的成员逮捕。</w:t>
      </w:r>
    </w:p>
    <w:p w:rsidR="00A63A71" w:rsidRPr="00C54AFA" w:rsidRDefault="00A63A71" w:rsidP="00116230">
      <w:pPr>
        <w:pStyle w:val="H23GC"/>
      </w:pPr>
      <w:r w:rsidRPr="00C54AFA">
        <w:tab/>
      </w:r>
      <w:r w:rsidRPr="00C54AFA">
        <w:tab/>
      </w:r>
      <w:r w:rsidRPr="00C54AFA">
        <w:t>一般指称</w:t>
      </w:r>
    </w:p>
    <w:p w:rsidR="00A63A71" w:rsidRPr="00C54AFA" w:rsidRDefault="00BC4B0A" w:rsidP="00B9215E">
      <w:pPr>
        <w:pStyle w:val="SingleTxtGC"/>
        <w:spacing w:after="100" w:line="300" w:lineRule="exact"/>
        <w:rPr>
          <w:rFonts w:asciiTheme="majorBidi" w:hAnsiTheme="majorBidi" w:cstheme="majorBidi"/>
        </w:rPr>
      </w:pPr>
      <w:r w:rsidRPr="00C54AFA">
        <w:rPr>
          <w:rFonts w:asciiTheme="majorBidi" w:hAnsiTheme="majorBidi" w:cstheme="majorBidi"/>
        </w:rPr>
        <w:t>5</w:t>
      </w:r>
      <w:r w:rsidR="00C54AFA" w:rsidRPr="00C54AFA">
        <w:rPr>
          <w:rFonts w:asciiTheme="majorBidi" w:hAnsiTheme="majorBidi" w:cstheme="majorBidi"/>
        </w:rPr>
        <w:t>2.</w:t>
      </w:r>
      <w:r w:rsidR="00BC770C"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3</w:t>
      </w:r>
      <w:r w:rsidR="00A63A71" w:rsidRPr="00C54AFA">
        <w:rPr>
          <w:rFonts w:asciiTheme="majorBidi" w:hAnsiTheme="majorBidi" w:cstheme="majorBidi"/>
        </w:rPr>
        <w:t>月</w:t>
      </w:r>
      <w:r w:rsidRPr="00C54AFA">
        <w:rPr>
          <w:rFonts w:asciiTheme="majorBidi" w:hAnsiTheme="majorBidi" w:cstheme="majorBidi"/>
        </w:rPr>
        <w:t>3</w:t>
      </w:r>
      <w:r w:rsidR="00A63A71" w:rsidRPr="00C54AFA">
        <w:rPr>
          <w:rFonts w:asciiTheme="majorBidi" w:hAnsiTheme="majorBidi" w:cstheme="majorBidi"/>
        </w:rPr>
        <w:t>0</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工作组转达了从可靠来源收到的关于在执行《宣言》过程中遇到的障碍的资料</w:t>
      </w:r>
      <w:r w:rsidR="00C54AFA" w:rsidRPr="00C54AFA">
        <w:rPr>
          <w:rFonts w:asciiTheme="majorBidi" w:hAnsiTheme="majorBidi" w:cstheme="majorBidi"/>
        </w:rPr>
        <w:t>，</w:t>
      </w:r>
      <w:r w:rsidR="00A63A71" w:rsidRPr="00C54AFA">
        <w:rPr>
          <w:rFonts w:asciiTheme="majorBidi" w:hAnsiTheme="majorBidi" w:cstheme="majorBidi"/>
        </w:rPr>
        <w:t>特别是关于失踪者家属在试图弄清亲属命运或下落时所面临障碍的资料。</w:t>
      </w:r>
    </w:p>
    <w:p w:rsidR="00A63A71" w:rsidRPr="00C54AFA" w:rsidRDefault="00BC4B0A" w:rsidP="00B9215E">
      <w:pPr>
        <w:pStyle w:val="SingleTxtGC"/>
        <w:spacing w:after="100" w:line="300" w:lineRule="exact"/>
        <w:rPr>
          <w:rFonts w:asciiTheme="majorBidi" w:hAnsiTheme="majorBidi" w:cstheme="majorBidi"/>
        </w:rPr>
      </w:pPr>
      <w:r w:rsidRPr="00C54AFA">
        <w:rPr>
          <w:rFonts w:asciiTheme="majorBidi" w:hAnsiTheme="majorBidi" w:cstheme="majorBidi"/>
        </w:rPr>
        <w:t>5</w:t>
      </w:r>
      <w:r w:rsidR="00C54AFA" w:rsidRPr="00C54AFA">
        <w:rPr>
          <w:rFonts w:asciiTheme="majorBidi" w:hAnsiTheme="majorBidi" w:cstheme="majorBidi"/>
        </w:rPr>
        <w:t>3.</w:t>
      </w:r>
      <w:r w:rsidR="00BC770C" w:rsidRPr="00C54AFA">
        <w:rPr>
          <w:rFonts w:asciiTheme="majorBidi" w:hAnsiTheme="majorBidi" w:cstheme="majorBidi"/>
        </w:rPr>
        <w:t xml:space="preserve">  </w:t>
      </w:r>
      <w:r w:rsidR="00A63A71" w:rsidRPr="00C54AFA">
        <w:rPr>
          <w:rFonts w:asciiTheme="majorBidi" w:hAnsiTheme="majorBidi" w:cstheme="majorBidi"/>
        </w:rPr>
        <w:t>来文方表示关切的是</w:t>
      </w:r>
      <w:r w:rsidR="00C54AFA" w:rsidRPr="00C54AFA">
        <w:rPr>
          <w:rFonts w:asciiTheme="majorBidi" w:hAnsiTheme="majorBidi" w:cstheme="majorBidi"/>
        </w:rPr>
        <w:t>，</w:t>
      </w:r>
      <w:r w:rsidR="00A63A71" w:rsidRPr="00C54AFA">
        <w:rPr>
          <w:rFonts w:asciiTheme="majorBidi" w:hAnsiTheme="majorBidi" w:cstheme="majorBidi"/>
        </w:rPr>
        <w:t>《大赦法》仍然有效</w:t>
      </w:r>
      <w:r w:rsidR="00C54AFA" w:rsidRPr="00C54AFA">
        <w:rPr>
          <w:rFonts w:asciiTheme="majorBidi" w:hAnsiTheme="majorBidi" w:cstheme="majorBidi"/>
        </w:rPr>
        <w:t>，</w:t>
      </w:r>
      <w:r w:rsidR="00A63A71" w:rsidRPr="00C54AFA">
        <w:rPr>
          <w:rFonts w:asciiTheme="majorBidi" w:hAnsiTheme="majorBidi" w:cstheme="majorBidi"/>
        </w:rPr>
        <w:t>《刑法》对强迫失踪罪行的定义允许非故意实施酷刑的可能性。根据来文方</w:t>
      </w:r>
      <w:r w:rsidR="00C54AFA" w:rsidRPr="00C54AFA">
        <w:rPr>
          <w:rFonts w:asciiTheme="majorBidi" w:hAnsiTheme="majorBidi" w:cstheme="majorBidi"/>
        </w:rPr>
        <w:t>，</w:t>
      </w:r>
      <w:r w:rsidR="00A63A71" w:rsidRPr="00C54AFA">
        <w:rPr>
          <w:rFonts w:asciiTheme="majorBidi" w:hAnsiTheme="majorBidi" w:cstheme="majorBidi"/>
        </w:rPr>
        <w:t>关于获取信息的法律的实施未产生有效的结果。</w:t>
      </w:r>
    </w:p>
    <w:p w:rsidR="00A63A71" w:rsidRPr="00C54AFA" w:rsidRDefault="00BC4B0A" w:rsidP="00B9215E">
      <w:pPr>
        <w:pStyle w:val="SingleTxtGC"/>
        <w:spacing w:after="100" w:line="300" w:lineRule="exact"/>
        <w:rPr>
          <w:rFonts w:asciiTheme="majorBidi" w:hAnsiTheme="majorBidi" w:cstheme="majorBidi"/>
        </w:rPr>
      </w:pPr>
      <w:r w:rsidRPr="00C54AFA">
        <w:rPr>
          <w:rFonts w:asciiTheme="majorBidi" w:hAnsiTheme="majorBidi" w:cstheme="majorBidi"/>
        </w:rPr>
        <w:t>5</w:t>
      </w:r>
      <w:r w:rsidR="00C54AFA" w:rsidRPr="00C54AFA">
        <w:rPr>
          <w:rFonts w:asciiTheme="majorBidi" w:hAnsiTheme="majorBidi" w:cstheme="majorBidi"/>
        </w:rPr>
        <w:t>4.</w:t>
      </w:r>
      <w:r w:rsidR="00BC770C" w:rsidRPr="00C54AFA">
        <w:rPr>
          <w:rFonts w:asciiTheme="majorBidi" w:hAnsiTheme="majorBidi" w:cstheme="majorBidi"/>
        </w:rPr>
        <w:t xml:space="preserve">  </w:t>
      </w:r>
      <w:r w:rsidR="00A63A71" w:rsidRPr="00C54AFA">
        <w:rPr>
          <w:rFonts w:asciiTheme="majorBidi" w:hAnsiTheme="majorBidi" w:cstheme="majorBidi"/>
        </w:rPr>
        <w:t>来文方指出</w:t>
      </w:r>
      <w:r w:rsidR="00C54AFA" w:rsidRPr="00C54AFA">
        <w:rPr>
          <w:rFonts w:asciiTheme="majorBidi" w:hAnsiTheme="majorBidi" w:cstheme="majorBidi"/>
        </w:rPr>
        <w:t>，</w:t>
      </w:r>
      <w:r w:rsidR="00A63A71" w:rsidRPr="00C54AFA">
        <w:rPr>
          <w:rFonts w:asciiTheme="majorBidi" w:hAnsiTheme="majorBidi" w:cstheme="majorBidi"/>
        </w:rPr>
        <w:t>向公共检察官提交的关于严重侵犯人权行为、战争罪和危害人类罪的的大多数投诉未能导致澄清案件事实的有效调查或司法诉讼。</w:t>
      </w:r>
    </w:p>
    <w:p w:rsidR="00A63A71" w:rsidRPr="00C54AFA" w:rsidRDefault="00BC4B0A" w:rsidP="00B9215E">
      <w:pPr>
        <w:pStyle w:val="SingleTxtGC"/>
        <w:spacing w:after="100" w:line="300" w:lineRule="exact"/>
        <w:rPr>
          <w:rFonts w:asciiTheme="majorBidi" w:hAnsiTheme="majorBidi" w:cstheme="majorBidi"/>
        </w:rPr>
      </w:pPr>
      <w:r w:rsidRPr="00C54AFA">
        <w:rPr>
          <w:rFonts w:asciiTheme="majorBidi" w:hAnsiTheme="majorBidi" w:cstheme="majorBidi"/>
        </w:rPr>
        <w:t>5</w:t>
      </w:r>
      <w:r w:rsidR="00C54AFA" w:rsidRPr="00C54AFA">
        <w:rPr>
          <w:rFonts w:asciiTheme="majorBidi" w:hAnsiTheme="majorBidi" w:cstheme="majorBidi"/>
        </w:rPr>
        <w:t>5.</w:t>
      </w:r>
      <w:r w:rsidR="00BC770C" w:rsidRPr="00C54AFA">
        <w:rPr>
          <w:rFonts w:asciiTheme="majorBidi" w:hAnsiTheme="majorBidi" w:cstheme="majorBidi"/>
        </w:rPr>
        <w:t xml:space="preserve">  </w:t>
      </w:r>
      <w:r w:rsidR="00A63A71" w:rsidRPr="00C54AFA">
        <w:rPr>
          <w:rFonts w:asciiTheme="majorBidi" w:hAnsiTheme="majorBidi" w:cstheme="majorBidi"/>
        </w:rPr>
        <w:t>来文方欢迎检察官办公室内部人权检察官特别股得到了加强</w:t>
      </w:r>
      <w:r w:rsidR="00C54AFA" w:rsidRPr="00C54AFA">
        <w:rPr>
          <w:rFonts w:asciiTheme="majorBidi" w:hAnsiTheme="majorBidi" w:cstheme="majorBidi"/>
        </w:rPr>
        <w:t>，</w:t>
      </w:r>
      <w:r w:rsidR="00A63A71" w:rsidRPr="00C54AFA">
        <w:rPr>
          <w:rFonts w:asciiTheme="majorBidi" w:hAnsiTheme="majorBidi" w:cstheme="majorBidi"/>
        </w:rPr>
        <w:t>该股可通过调查和尸体发掘获得证据。工作组希望</w:t>
      </w:r>
      <w:r w:rsidR="00C54AFA" w:rsidRPr="00C54AFA">
        <w:rPr>
          <w:rFonts w:asciiTheme="majorBidi" w:hAnsiTheme="majorBidi" w:cstheme="majorBidi"/>
        </w:rPr>
        <w:t>，</w:t>
      </w:r>
      <w:r w:rsidR="00A63A71" w:rsidRPr="00C54AFA">
        <w:rPr>
          <w:rFonts w:asciiTheme="majorBidi" w:hAnsiTheme="majorBidi" w:cstheme="majorBidi"/>
        </w:rPr>
        <w:t>这可导致对武装冲突期间发生的强迫失踪和其他国际罪行的责任人的起诉和处罚。来文方还欢迎宪法审判庭关于一个保护程序的一项决定</w:t>
      </w:r>
      <w:r w:rsidR="00C54AFA" w:rsidRPr="00C54AFA">
        <w:rPr>
          <w:rFonts w:asciiTheme="majorBidi" w:hAnsiTheme="majorBidi" w:cstheme="majorBidi"/>
        </w:rPr>
        <w:t>，</w:t>
      </w:r>
      <w:r w:rsidR="00A63A71" w:rsidRPr="00C54AFA">
        <w:rPr>
          <w:rFonts w:asciiTheme="majorBidi" w:hAnsiTheme="majorBidi" w:cstheme="majorBidi"/>
        </w:rPr>
        <w:t>承认在圣维森特特科卢卡</w:t>
      </w:r>
      <w:r w:rsidRPr="00C54AFA">
        <w:rPr>
          <w:rFonts w:asciiTheme="majorBidi" w:hAnsiTheme="majorBidi" w:cstheme="majorBidi"/>
        </w:rPr>
        <w:t>San</w:t>
      </w:r>
      <w:r w:rsidR="00A63A71" w:rsidRPr="00C54AFA">
        <w:rPr>
          <w:rFonts w:asciiTheme="majorBidi" w:hAnsiTheme="majorBidi" w:cstheme="majorBidi"/>
        </w:rPr>
        <w:t xml:space="preserve"> </w:t>
      </w:r>
      <w:r w:rsidRPr="00C54AFA">
        <w:rPr>
          <w:rFonts w:asciiTheme="majorBidi" w:hAnsiTheme="majorBidi" w:cstheme="majorBidi"/>
        </w:rPr>
        <w:t>Francisco</w:t>
      </w:r>
      <w:r w:rsidR="00A63A71" w:rsidRPr="00C54AFA">
        <w:rPr>
          <w:rFonts w:asciiTheme="majorBidi" w:hAnsiTheme="majorBidi" w:cstheme="majorBidi"/>
        </w:rPr>
        <w:t xml:space="preserve"> </w:t>
      </w:r>
      <w:r w:rsidRPr="00C54AFA">
        <w:rPr>
          <w:rFonts w:asciiTheme="majorBidi" w:hAnsiTheme="majorBidi" w:cstheme="majorBidi"/>
        </w:rPr>
        <w:t>Angulo</w:t>
      </w:r>
      <w:r w:rsidR="00A63A71" w:rsidRPr="00C54AFA">
        <w:rPr>
          <w:rFonts w:asciiTheme="majorBidi" w:hAnsiTheme="majorBidi" w:cstheme="majorBidi"/>
        </w:rPr>
        <w:t>村落屠杀案的受害者的诉诸司法权和了解真相的权利遭到侵犯。</w:t>
      </w:r>
    </w:p>
    <w:p w:rsidR="00A63A71" w:rsidRPr="00C54AFA" w:rsidRDefault="00BC4B0A" w:rsidP="00B9215E">
      <w:pPr>
        <w:pStyle w:val="SingleTxtGC"/>
        <w:spacing w:after="100" w:line="300" w:lineRule="exact"/>
        <w:rPr>
          <w:rFonts w:asciiTheme="majorBidi" w:hAnsiTheme="majorBidi" w:cstheme="majorBidi"/>
        </w:rPr>
      </w:pPr>
      <w:r w:rsidRPr="00C54AFA">
        <w:rPr>
          <w:rFonts w:asciiTheme="majorBidi" w:hAnsiTheme="majorBidi" w:cstheme="majorBidi"/>
        </w:rPr>
        <w:t>5</w:t>
      </w:r>
      <w:r w:rsidR="00C54AFA" w:rsidRPr="00C54AFA">
        <w:rPr>
          <w:rFonts w:asciiTheme="majorBidi" w:hAnsiTheme="majorBidi" w:cstheme="majorBidi"/>
        </w:rPr>
        <w:t>6.</w:t>
      </w:r>
      <w:r w:rsidR="00BC770C" w:rsidRPr="00C54AFA">
        <w:rPr>
          <w:rFonts w:asciiTheme="majorBidi" w:hAnsiTheme="majorBidi" w:cstheme="majorBidi"/>
        </w:rPr>
        <w:t xml:space="preserve">  </w:t>
      </w:r>
      <w:r w:rsidR="00A63A71" w:rsidRPr="00C54AFA">
        <w:rPr>
          <w:rFonts w:asciiTheme="majorBidi" w:hAnsiTheme="majorBidi" w:cstheme="majorBidi"/>
        </w:rPr>
        <w:t>据指称</w:t>
      </w:r>
      <w:r w:rsidR="00C54AFA" w:rsidRPr="00C54AFA">
        <w:rPr>
          <w:rFonts w:asciiTheme="majorBidi" w:hAnsiTheme="majorBidi" w:cstheme="majorBidi"/>
        </w:rPr>
        <w:t>，</w:t>
      </w:r>
      <w:r w:rsidR="00A63A71" w:rsidRPr="00C54AFA">
        <w:rPr>
          <w:rFonts w:asciiTheme="majorBidi" w:hAnsiTheme="majorBidi" w:cstheme="majorBidi"/>
        </w:rPr>
        <w:t>缺乏一项充分赔偿政策</w:t>
      </w:r>
      <w:r w:rsidR="00C54AFA" w:rsidRPr="00C54AFA">
        <w:rPr>
          <w:rFonts w:asciiTheme="majorBidi" w:hAnsiTheme="majorBidi" w:cstheme="majorBidi"/>
        </w:rPr>
        <w:t>，</w:t>
      </w:r>
      <w:r w:rsidR="00A63A71" w:rsidRPr="00C54AFA">
        <w:rPr>
          <w:rFonts w:asciiTheme="majorBidi" w:hAnsiTheme="majorBidi" w:cstheme="majorBidi"/>
        </w:rPr>
        <w:t>而且</w:t>
      </w:r>
      <w:r w:rsidR="00C54AFA" w:rsidRPr="00C54AFA">
        <w:rPr>
          <w:rFonts w:asciiTheme="majorBidi" w:hAnsiTheme="majorBidi" w:cstheme="majorBidi"/>
        </w:rPr>
        <w:t>，</w:t>
      </w:r>
      <w:r w:rsidR="00A63A71" w:rsidRPr="00C54AFA">
        <w:rPr>
          <w:rFonts w:asciiTheme="majorBidi" w:hAnsiTheme="majorBidi" w:cstheme="majorBidi"/>
        </w:rPr>
        <w:t>该领域的机构在没有充足预算的情况下运作。</w:t>
      </w:r>
    </w:p>
    <w:p w:rsidR="00A63A71" w:rsidRPr="00C54AFA" w:rsidRDefault="00BC4B0A" w:rsidP="00B9215E">
      <w:pPr>
        <w:pStyle w:val="SingleTxtGC"/>
        <w:spacing w:after="100" w:line="300" w:lineRule="exact"/>
        <w:rPr>
          <w:rFonts w:asciiTheme="majorBidi" w:hAnsiTheme="majorBidi" w:cstheme="majorBidi"/>
        </w:rPr>
      </w:pPr>
      <w:r w:rsidRPr="00C54AFA">
        <w:rPr>
          <w:rFonts w:asciiTheme="majorBidi" w:hAnsiTheme="majorBidi" w:cstheme="majorBidi"/>
        </w:rPr>
        <w:t>5</w:t>
      </w:r>
      <w:r w:rsidR="00C54AFA" w:rsidRPr="00C54AFA">
        <w:rPr>
          <w:rFonts w:asciiTheme="majorBidi" w:hAnsiTheme="majorBidi" w:cstheme="majorBidi"/>
        </w:rPr>
        <w:t>7.</w:t>
      </w:r>
      <w:r w:rsidR="00BC770C" w:rsidRPr="00C54AFA">
        <w:rPr>
          <w:rFonts w:asciiTheme="majorBidi" w:hAnsiTheme="majorBidi" w:cstheme="majorBidi"/>
        </w:rPr>
        <w:t xml:space="preserve">  </w:t>
      </w:r>
      <w:r w:rsidR="00A63A71" w:rsidRPr="00C54AFA">
        <w:rPr>
          <w:rFonts w:asciiTheme="majorBidi" w:hAnsiTheme="majorBidi" w:cstheme="majorBidi"/>
        </w:rPr>
        <w:t>来文方称</w:t>
      </w:r>
      <w:r w:rsidR="00C54AFA" w:rsidRPr="00C54AFA">
        <w:rPr>
          <w:rFonts w:asciiTheme="majorBidi" w:hAnsiTheme="majorBidi" w:cstheme="majorBidi"/>
        </w:rPr>
        <w:t>，</w:t>
      </w:r>
      <w:r w:rsidR="00A63A71" w:rsidRPr="00C54AFA">
        <w:rPr>
          <w:rFonts w:asciiTheme="majorBidi" w:hAnsiTheme="majorBidi" w:cstheme="majorBidi"/>
        </w:rPr>
        <w:t>即使在法拉本多</w:t>
      </w:r>
      <w:r w:rsidR="00A63A71" w:rsidRPr="00C54AFA">
        <w:rPr>
          <w:rFonts w:asciiTheme="majorBidi" w:hAnsiTheme="majorBidi" w:cstheme="majorBidi"/>
        </w:rPr>
        <w:t>·</w:t>
      </w:r>
      <w:r w:rsidR="00A63A71" w:rsidRPr="00C54AFA">
        <w:rPr>
          <w:rFonts w:asciiTheme="majorBidi" w:hAnsiTheme="majorBidi" w:cstheme="majorBidi"/>
        </w:rPr>
        <w:t>马蒂民族解放阵线获选后</w:t>
      </w:r>
      <w:r w:rsidR="00C54AFA" w:rsidRPr="00C54AFA">
        <w:rPr>
          <w:rFonts w:asciiTheme="majorBidi" w:hAnsiTheme="majorBidi" w:cstheme="majorBidi"/>
        </w:rPr>
        <w:t>，</w:t>
      </w:r>
      <w:r w:rsidR="00A63A71" w:rsidRPr="00C54AFA">
        <w:rPr>
          <w:rFonts w:asciiTheme="majorBidi" w:hAnsiTheme="majorBidi" w:cstheme="majorBidi"/>
        </w:rPr>
        <w:t>在政府与民间社会的对话方面未发现任何实质性变化</w:t>
      </w:r>
      <w:r w:rsidR="00C54AFA" w:rsidRPr="00C54AFA">
        <w:rPr>
          <w:rFonts w:asciiTheme="majorBidi" w:hAnsiTheme="majorBidi" w:cstheme="majorBidi"/>
        </w:rPr>
        <w:t>，</w:t>
      </w:r>
      <w:r w:rsidR="00A63A71" w:rsidRPr="00C54AFA">
        <w:rPr>
          <w:rFonts w:asciiTheme="majorBidi" w:hAnsiTheme="majorBidi" w:cstheme="majorBidi"/>
        </w:rPr>
        <w:t>当局未解决任何强迫失踪案件。</w:t>
      </w:r>
    </w:p>
    <w:p w:rsidR="00A63A71" w:rsidRPr="00C54AFA" w:rsidRDefault="00A63A71" w:rsidP="00116230">
      <w:pPr>
        <w:pStyle w:val="H1GC"/>
      </w:pPr>
      <w:r w:rsidRPr="00C54AFA">
        <w:tab/>
      </w:r>
      <w:r w:rsidRPr="00C54AFA">
        <w:tab/>
      </w:r>
      <w:r w:rsidRPr="00C54AFA">
        <w:t>冈比亚</w:t>
      </w:r>
    </w:p>
    <w:p w:rsidR="00A63A71" w:rsidRPr="00C54AFA" w:rsidRDefault="00A63A71" w:rsidP="00116230">
      <w:pPr>
        <w:pStyle w:val="H23GC"/>
      </w:pPr>
      <w:r w:rsidRPr="00C54AFA">
        <w:tab/>
      </w:r>
      <w:r w:rsidRPr="00C54AFA">
        <w:tab/>
      </w:r>
      <w:r w:rsidRPr="00C54AFA">
        <w:t>紧急行动</w:t>
      </w:r>
    </w:p>
    <w:p w:rsidR="00A63A71" w:rsidRPr="00C54AFA" w:rsidRDefault="00BC4B0A" w:rsidP="00BC770C">
      <w:pPr>
        <w:pStyle w:val="SingleTxtGC"/>
        <w:rPr>
          <w:rFonts w:asciiTheme="majorBidi" w:hAnsiTheme="majorBidi" w:cstheme="majorBidi"/>
        </w:rPr>
      </w:pPr>
      <w:r w:rsidRPr="00C54AFA">
        <w:rPr>
          <w:rFonts w:asciiTheme="majorBidi" w:hAnsiTheme="majorBidi" w:cstheme="majorBidi"/>
        </w:rPr>
        <w:t>5</w:t>
      </w:r>
      <w:r w:rsidR="00C54AFA" w:rsidRPr="00C54AFA">
        <w:rPr>
          <w:rFonts w:asciiTheme="majorBidi" w:hAnsiTheme="majorBidi" w:cstheme="majorBidi"/>
        </w:rPr>
        <w:t>8.</w:t>
      </w:r>
      <w:r w:rsidR="00BC770C" w:rsidRPr="00C54AFA">
        <w:rPr>
          <w:rFonts w:asciiTheme="majorBidi" w:hAnsiTheme="majorBidi" w:cstheme="majorBidi"/>
        </w:rPr>
        <w:t xml:space="preserve">  </w:t>
      </w:r>
      <w:r w:rsidR="00A63A71" w:rsidRPr="00C54AFA">
        <w:rPr>
          <w:rFonts w:asciiTheme="majorBidi" w:hAnsiTheme="majorBidi" w:cstheme="majorBidi"/>
        </w:rPr>
        <w:t>工作组依照紧急行动程序将七起案件转交给该国政府。</w:t>
      </w:r>
    </w:p>
    <w:p w:rsidR="00A63A71" w:rsidRPr="00C54AFA" w:rsidRDefault="00BC4B0A" w:rsidP="00BC770C">
      <w:pPr>
        <w:pStyle w:val="SingleTxtGC"/>
        <w:numPr>
          <w:ilvl w:val="0"/>
          <w:numId w:val="12"/>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w:t>
      </w:r>
      <w:r w:rsidRPr="00C54AFA">
        <w:rPr>
          <w:rFonts w:asciiTheme="majorBidi" w:hAnsiTheme="majorBidi" w:cstheme="majorBidi"/>
        </w:rPr>
        <w:t>2</w:t>
      </w:r>
      <w:r w:rsidR="00A63A71" w:rsidRPr="00C54AFA">
        <w:rPr>
          <w:rFonts w:asciiTheme="majorBidi" w:hAnsiTheme="majorBidi" w:cstheme="majorBidi"/>
        </w:rPr>
        <w:t>日转交了以下案件</w:t>
      </w:r>
      <w:r w:rsidR="00C54AFA" w:rsidRPr="00C54AFA">
        <w:rPr>
          <w:rFonts w:asciiTheme="majorBidi" w:hAnsiTheme="majorBidi" w:cstheme="majorBidi"/>
        </w:rPr>
        <w:t>：</w:t>
      </w:r>
      <w:r w:rsidRPr="00C54AFA">
        <w:rPr>
          <w:rFonts w:asciiTheme="majorBidi" w:hAnsiTheme="majorBidi" w:cstheme="majorBidi"/>
        </w:rPr>
        <w:t>Jagne</w:t>
      </w:r>
      <w:r w:rsidR="00A63A71" w:rsidRPr="00C54AFA">
        <w:rPr>
          <w:rFonts w:asciiTheme="majorBidi" w:hAnsiTheme="majorBidi" w:cstheme="majorBidi"/>
        </w:rPr>
        <w:t xml:space="preserve"> </w:t>
      </w:r>
      <w:r w:rsidRPr="00C54AFA">
        <w:rPr>
          <w:rFonts w:asciiTheme="majorBidi" w:hAnsiTheme="majorBidi" w:cstheme="majorBidi"/>
        </w:rPr>
        <w:t>Omar</w:t>
      </w:r>
      <w:r w:rsidR="00A63A71" w:rsidRPr="00C54AFA">
        <w:rPr>
          <w:rFonts w:asciiTheme="majorBidi" w:hAnsiTheme="majorBidi" w:cstheme="majorBidi"/>
        </w:rPr>
        <w:t xml:space="preserve"> </w:t>
      </w:r>
      <w:r w:rsidRPr="00C54AFA">
        <w:rPr>
          <w:rFonts w:asciiTheme="majorBidi" w:hAnsiTheme="majorBidi" w:cstheme="majorBidi"/>
        </w:rPr>
        <w:t>Malleh</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据报告他于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1</w:t>
      </w:r>
      <w:r w:rsidR="00A63A71" w:rsidRPr="00C54AFA">
        <w:rPr>
          <w:rFonts w:asciiTheme="majorBidi" w:hAnsiTheme="majorBidi" w:cstheme="majorBidi"/>
        </w:rPr>
        <w:t>日在</w:t>
      </w:r>
      <w:r w:rsidRPr="00C54AFA">
        <w:rPr>
          <w:rFonts w:asciiTheme="majorBidi" w:hAnsiTheme="majorBidi" w:cstheme="majorBidi"/>
        </w:rPr>
        <w:t>Bakau</w:t>
      </w:r>
      <w:r w:rsidR="00A63A71" w:rsidRPr="00C54AFA">
        <w:rPr>
          <w:rFonts w:asciiTheme="majorBidi" w:hAnsiTheme="majorBidi" w:cstheme="majorBidi"/>
        </w:rPr>
        <w:t>被据信冈比亚国家情报局人员绑架</w:t>
      </w:r>
      <w:r w:rsidR="00C54AFA" w:rsidRPr="00C54AFA">
        <w:rPr>
          <w:rFonts w:asciiTheme="majorBidi" w:hAnsiTheme="majorBidi" w:cstheme="majorBidi"/>
        </w:rPr>
        <w:t>；</w:t>
      </w:r>
      <w:r w:rsidRPr="00C54AFA">
        <w:rPr>
          <w:rFonts w:asciiTheme="majorBidi" w:hAnsiTheme="majorBidi" w:cstheme="majorBidi"/>
        </w:rPr>
        <w:t>Corr</w:t>
      </w:r>
      <w:r w:rsidR="00A63A71" w:rsidRPr="00C54AFA">
        <w:rPr>
          <w:rFonts w:asciiTheme="majorBidi" w:hAnsiTheme="majorBidi" w:cstheme="majorBidi"/>
        </w:rPr>
        <w:t xml:space="preserve"> </w:t>
      </w:r>
      <w:r w:rsidRPr="00C54AFA">
        <w:rPr>
          <w:rFonts w:asciiTheme="majorBidi" w:hAnsiTheme="majorBidi" w:cstheme="majorBidi"/>
        </w:rPr>
        <w:t>Olimatou</w:t>
      </w:r>
      <w:r w:rsidR="00A63A71" w:rsidRPr="00C54AFA">
        <w:rPr>
          <w:rFonts w:asciiTheme="majorBidi" w:hAnsiTheme="majorBidi" w:cstheme="majorBidi"/>
        </w:rPr>
        <w:t>女士的案件</w:t>
      </w:r>
      <w:r w:rsidR="00C54AFA" w:rsidRPr="00C54AFA">
        <w:rPr>
          <w:rFonts w:asciiTheme="majorBidi" w:hAnsiTheme="majorBidi" w:cstheme="majorBidi"/>
        </w:rPr>
        <w:t>，</w:t>
      </w:r>
      <w:r w:rsidR="00A63A71" w:rsidRPr="00C54AFA">
        <w:rPr>
          <w:rFonts w:asciiTheme="majorBidi" w:hAnsiTheme="majorBidi" w:cstheme="majorBidi"/>
        </w:rPr>
        <w:t>据报告她于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1</w:t>
      </w:r>
      <w:r w:rsidR="00A63A71" w:rsidRPr="00C54AFA">
        <w:rPr>
          <w:rFonts w:asciiTheme="majorBidi" w:hAnsiTheme="majorBidi" w:cstheme="majorBidi"/>
        </w:rPr>
        <w:t>日在北岸</w:t>
      </w:r>
      <w:r w:rsidRPr="00C54AFA">
        <w:rPr>
          <w:rFonts w:asciiTheme="majorBidi" w:hAnsiTheme="majorBidi" w:cstheme="majorBidi"/>
        </w:rPr>
        <w:t>Mbollet</w:t>
      </w:r>
      <w:r w:rsidR="00A63A71" w:rsidRPr="00C54AFA">
        <w:rPr>
          <w:rFonts w:asciiTheme="majorBidi" w:hAnsiTheme="majorBidi" w:cstheme="majorBidi"/>
        </w:rPr>
        <w:t xml:space="preserve"> </w:t>
      </w:r>
      <w:r w:rsidRPr="00C54AFA">
        <w:rPr>
          <w:rFonts w:asciiTheme="majorBidi" w:hAnsiTheme="majorBidi" w:cstheme="majorBidi"/>
        </w:rPr>
        <w:t>Ba</w:t>
      </w:r>
      <w:r w:rsidR="00A63A71" w:rsidRPr="00C54AFA">
        <w:rPr>
          <w:rFonts w:asciiTheme="majorBidi" w:hAnsiTheme="majorBidi" w:cstheme="majorBidi"/>
        </w:rPr>
        <w:t>被冈比亚</w:t>
      </w:r>
      <w:r w:rsidR="00A63A71" w:rsidRPr="00C54AFA">
        <w:rPr>
          <w:rFonts w:asciiTheme="majorBidi" w:hAnsiTheme="majorBidi" w:cstheme="majorBidi"/>
        </w:rPr>
        <w:lastRenderedPageBreak/>
        <w:t>军队绑架</w:t>
      </w:r>
      <w:r w:rsidR="00C54AFA" w:rsidRPr="00C54AFA">
        <w:rPr>
          <w:rFonts w:asciiTheme="majorBidi" w:hAnsiTheme="majorBidi" w:cstheme="majorBidi"/>
        </w:rPr>
        <w:t>，</w:t>
      </w:r>
      <w:r w:rsidR="00A63A71" w:rsidRPr="00C54AFA">
        <w:rPr>
          <w:rFonts w:asciiTheme="majorBidi" w:hAnsiTheme="majorBidi" w:cstheme="majorBidi"/>
        </w:rPr>
        <w:t>据推测</w:t>
      </w:r>
      <w:r w:rsidR="00C54AFA" w:rsidRPr="00C54AFA">
        <w:rPr>
          <w:rFonts w:asciiTheme="majorBidi" w:hAnsiTheme="majorBidi" w:cstheme="majorBidi"/>
        </w:rPr>
        <w:t>，</w:t>
      </w:r>
      <w:r w:rsidR="00A63A71" w:rsidRPr="00C54AFA">
        <w:rPr>
          <w:rFonts w:asciiTheme="majorBidi" w:hAnsiTheme="majorBidi" w:cstheme="majorBidi"/>
        </w:rPr>
        <w:t>也有国家情报机构参与绑架</w:t>
      </w:r>
      <w:r w:rsidR="00C54AFA" w:rsidRPr="00C54AFA">
        <w:rPr>
          <w:rFonts w:asciiTheme="majorBidi" w:hAnsiTheme="majorBidi" w:cstheme="majorBidi"/>
        </w:rPr>
        <w:t>；</w:t>
      </w:r>
      <w:r w:rsidRPr="00C54AFA">
        <w:rPr>
          <w:rFonts w:asciiTheme="majorBidi" w:hAnsiTheme="majorBidi" w:cstheme="majorBidi"/>
        </w:rPr>
        <w:t>Touray</w:t>
      </w:r>
      <w:r w:rsidR="00A63A71" w:rsidRPr="00C54AFA">
        <w:rPr>
          <w:rFonts w:asciiTheme="majorBidi" w:hAnsiTheme="majorBidi" w:cstheme="majorBidi"/>
        </w:rPr>
        <w:t xml:space="preserve"> </w:t>
      </w:r>
      <w:r w:rsidRPr="00C54AFA">
        <w:rPr>
          <w:rFonts w:asciiTheme="majorBidi" w:hAnsiTheme="majorBidi" w:cstheme="majorBidi"/>
        </w:rPr>
        <w:t>Doudou</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4</w:t>
      </w:r>
      <w:r w:rsidR="00A63A71" w:rsidRPr="00C54AFA">
        <w:rPr>
          <w:rFonts w:asciiTheme="majorBidi" w:hAnsiTheme="majorBidi" w:cstheme="majorBidi"/>
        </w:rPr>
        <w:t>日在</w:t>
      </w:r>
      <w:r w:rsidRPr="00C54AFA">
        <w:rPr>
          <w:rFonts w:asciiTheme="majorBidi" w:hAnsiTheme="majorBidi" w:cstheme="majorBidi"/>
        </w:rPr>
        <w:t>Latrikunda</w:t>
      </w:r>
      <w:r w:rsidR="00A63A71" w:rsidRPr="00C54AFA">
        <w:rPr>
          <w:rFonts w:asciiTheme="majorBidi" w:hAnsiTheme="majorBidi" w:cstheme="majorBidi"/>
        </w:rPr>
        <w:t xml:space="preserve"> </w:t>
      </w:r>
      <w:r w:rsidRPr="00C54AFA">
        <w:rPr>
          <w:rFonts w:asciiTheme="majorBidi" w:hAnsiTheme="majorBidi" w:cstheme="majorBidi"/>
        </w:rPr>
        <w:t>Sabiji</w:t>
      </w:r>
      <w:r w:rsidR="00A63A71" w:rsidRPr="00C54AFA">
        <w:rPr>
          <w:rFonts w:asciiTheme="majorBidi" w:hAnsiTheme="majorBidi" w:cstheme="majorBidi"/>
        </w:rPr>
        <w:t>被特别部队绑架。</w:t>
      </w:r>
    </w:p>
    <w:p w:rsidR="00A63A71" w:rsidRPr="00C54AFA" w:rsidRDefault="00BC4B0A" w:rsidP="00BC770C">
      <w:pPr>
        <w:pStyle w:val="SingleTxtGC"/>
        <w:numPr>
          <w:ilvl w:val="0"/>
          <w:numId w:val="12"/>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3</w:t>
      </w:r>
      <w:r w:rsidR="00A63A71" w:rsidRPr="00C54AFA">
        <w:rPr>
          <w:rFonts w:asciiTheme="majorBidi" w:hAnsiTheme="majorBidi" w:cstheme="majorBidi"/>
        </w:rPr>
        <w:t>月</w:t>
      </w:r>
      <w:r w:rsidRPr="00C54AFA">
        <w:rPr>
          <w:rFonts w:asciiTheme="majorBidi" w:hAnsiTheme="majorBidi" w:cstheme="majorBidi"/>
        </w:rPr>
        <w:t>26</w:t>
      </w:r>
      <w:r w:rsidR="00A63A71" w:rsidRPr="00C54AFA">
        <w:rPr>
          <w:rFonts w:asciiTheme="majorBidi" w:hAnsiTheme="majorBidi" w:cstheme="majorBidi"/>
        </w:rPr>
        <w:t>日转交了以下案件</w:t>
      </w:r>
      <w:r w:rsidR="00C54AFA" w:rsidRPr="00C54AFA">
        <w:rPr>
          <w:rFonts w:asciiTheme="majorBidi" w:hAnsiTheme="majorBidi" w:cstheme="majorBidi"/>
        </w:rPr>
        <w:t>：</w:t>
      </w:r>
      <w:r w:rsidRPr="00C54AFA">
        <w:rPr>
          <w:rFonts w:asciiTheme="majorBidi" w:hAnsiTheme="majorBidi" w:cstheme="majorBidi"/>
        </w:rPr>
        <w:t>Jarieatou</w:t>
      </w:r>
      <w:r w:rsidR="00A63A71" w:rsidRPr="00C54AFA">
        <w:rPr>
          <w:rFonts w:asciiTheme="majorBidi" w:hAnsiTheme="majorBidi" w:cstheme="majorBidi"/>
        </w:rPr>
        <w:t xml:space="preserve"> </w:t>
      </w:r>
      <w:r w:rsidRPr="00C54AFA">
        <w:rPr>
          <w:rFonts w:asciiTheme="majorBidi" w:hAnsiTheme="majorBidi" w:cstheme="majorBidi"/>
        </w:rPr>
        <w:t>Lowe</w:t>
      </w:r>
      <w:r w:rsidR="00A63A71" w:rsidRPr="00C54AFA">
        <w:rPr>
          <w:rFonts w:asciiTheme="majorBidi" w:hAnsiTheme="majorBidi" w:cstheme="majorBidi"/>
        </w:rPr>
        <w:t>女士、</w:t>
      </w:r>
      <w:r w:rsidRPr="00C54AFA">
        <w:rPr>
          <w:rFonts w:asciiTheme="majorBidi" w:hAnsiTheme="majorBidi" w:cstheme="majorBidi"/>
        </w:rPr>
        <w:t>Pa</w:t>
      </w:r>
      <w:r w:rsidR="00A63A71" w:rsidRPr="00C54AFA">
        <w:rPr>
          <w:rFonts w:asciiTheme="majorBidi" w:hAnsiTheme="majorBidi" w:cstheme="majorBidi"/>
        </w:rPr>
        <w:t xml:space="preserve"> </w:t>
      </w:r>
      <w:r w:rsidRPr="00C54AFA">
        <w:rPr>
          <w:rFonts w:asciiTheme="majorBidi" w:hAnsiTheme="majorBidi" w:cstheme="majorBidi"/>
        </w:rPr>
        <w:t>Alieu</w:t>
      </w:r>
      <w:r w:rsidR="00A63A71" w:rsidRPr="00C54AFA">
        <w:rPr>
          <w:rFonts w:asciiTheme="majorBidi" w:hAnsiTheme="majorBidi" w:cstheme="majorBidi"/>
        </w:rPr>
        <w:t xml:space="preserve"> </w:t>
      </w:r>
      <w:r w:rsidRPr="00C54AFA">
        <w:rPr>
          <w:rFonts w:asciiTheme="majorBidi" w:hAnsiTheme="majorBidi" w:cstheme="majorBidi"/>
        </w:rPr>
        <w:t>Lowe</w:t>
      </w:r>
      <w:r w:rsidR="00A63A71" w:rsidRPr="00C54AFA">
        <w:rPr>
          <w:rFonts w:asciiTheme="majorBidi" w:hAnsiTheme="majorBidi" w:cstheme="majorBidi"/>
        </w:rPr>
        <w:t>先生和一名</w:t>
      </w:r>
      <w:r w:rsidRPr="00C54AFA">
        <w:rPr>
          <w:rFonts w:asciiTheme="majorBidi" w:hAnsiTheme="majorBidi" w:cstheme="majorBidi"/>
        </w:rPr>
        <w:t>18</w:t>
      </w:r>
      <w:r w:rsidR="00A63A71" w:rsidRPr="00C54AFA">
        <w:rPr>
          <w:rFonts w:asciiTheme="majorBidi" w:hAnsiTheme="majorBidi" w:cstheme="majorBidi"/>
        </w:rPr>
        <w:t>岁以下的人的案件</w:t>
      </w:r>
      <w:r w:rsidR="00C54AFA" w:rsidRPr="00C54AFA">
        <w:rPr>
          <w:rFonts w:asciiTheme="majorBidi" w:hAnsiTheme="majorBidi" w:cstheme="majorBidi"/>
        </w:rPr>
        <w:t>，</w:t>
      </w:r>
      <w:r w:rsidR="00A63A71" w:rsidRPr="00C54AFA">
        <w:rPr>
          <w:rFonts w:asciiTheme="majorBidi" w:hAnsiTheme="majorBidi" w:cstheme="majorBidi"/>
        </w:rPr>
        <w:t>据称他们于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1</w:t>
      </w:r>
      <w:r w:rsidR="00A63A71" w:rsidRPr="00C54AFA">
        <w:rPr>
          <w:rFonts w:asciiTheme="majorBidi" w:hAnsiTheme="majorBidi" w:cstheme="majorBidi"/>
        </w:rPr>
        <w:t>日在萨拉昆达被据信来自冈比亚国家情报机构的男子绑架</w:t>
      </w:r>
      <w:r w:rsidR="00C54AFA" w:rsidRPr="00C54AFA">
        <w:rPr>
          <w:rFonts w:asciiTheme="majorBidi" w:hAnsiTheme="majorBidi" w:cstheme="majorBidi"/>
        </w:rPr>
        <w:t>；</w:t>
      </w:r>
      <w:r w:rsidRPr="00C54AFA">
        <w:rPr>
          <w:rFonts w:asciiTheme="majorBidi" w:hAnsiTheme="majorBidi" w:cstheme="majorBidi"/>
        </w:rPr>
        <w:t>Ebou</w:t>
      </w:r>
      <w:r w:rsidR="00A63A71" w:rsidRPr="00C54AFA">
        <w:rPr>
          <w:rFonts w:asciiTheme="majorBidi" w:hAnsiTheme="majorBidi" w:cstheme="majorBidi"/>
        </w:rPr>
        <w:t xml:space="preserve"> </w:t>
      </w:r>
      <w:r w:rsidRPr="00C54AFA">
        <w:rPr>
          <w:rFonts w:asciiTheme="majorBidi" w:hAnsiTheme="majorBidi" w:cstheme="majorBidi"/>
        </w:rPr>
        <w:t>Lowe</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据报告他们于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9</w:t>
      </w:r>
      <w:r w:rsidR="00A63A71" w:rsidRPr="00C54AFA">
        <w:rPr>
          <w:rFonts w:asciiTheme="majorBidi" w:hAnsiTheme="majorBidi" w:cstheme="majorBidi"/>
        </w:rPr>
        <w:t>日或</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日在一个不明地点被冈比亚国家情报机构逮捕。</w:t>
      </w:r>
    </w:p>
    <w:p w:rsidR="00A63A71" w:rsidRPr="00C54AFA" w:rsidRDefault="00A63A71" w:rsidP="00116230">
      <w:pPr>
        <w:pStyle w:val="H23GC"/>
      </w:pPr>
      <w:r w:rsidRPr="00C54AFA">
        <w:tab/>
      </w:r>
      <w:r w:rsidRPr="00C54AFA">
        <w:tab/>
      </w:r>
      <w:r w:rsidRPr="00C54AFA">
        <w:t>根据来文方的资料作出的澄清</w:t>
      </w:r>
    </w:p>
    <w:p w:rsidR="00A63A71" w:rsidRPr="00C54AFA" w:rsidRDefault="00BC4B0A" w:rsidP="00BC770C">
      <w:pPr>
        <w:pStyle w:val="SingleTxtGC"/>
        <w:rPr>
          <w:rFonts w:asciiTheme="majorBidi" w:hAnsiTheme="majorBidi" w:cstheme="majorBidi"/>
        </w:rPr>
      </w:pPr>
      <w:r w:rsidRPr="00C54AFA">
        <w:rPr>
          <w:rFonts w:asciiTheme="majorBidi" w:hAnsiTheme="majorBidi" w:cstheme="majorBidi"/>
        </w:rPr>
        <w:t>5</w:t>
      </w:r>
      <w:r w:rsidR="00C54AFA" w:rsidRPr="00C54AFA">
        <w:rPr>
          <w:rFonts w:asciiTheme="majorBidi" w:hAnsiTheme="majorBidi" w:cstheme="majorBidi"/>
        </w:rPr>
        <w:t>9.</w:t>
      </w:r>
      <w:r w:rsidR="00BC770C" w:rsidRPr="00C54AFA">
        <w:rPr>
          <w:rFonts w:asciiTheme="majorBidi" w:hAnsiTheme="majorBidi" w:cstheme="majorBidi"/>
        </w:rPr>
        <w:t xml:space="preserve">  </w:t>
      </w:r>
      <w:r w:rsidR="00A63A71" w:rsidRPr="00C54AFA">
        <w:rPr>
          <w:rFonts w:asciiTheme="majorBidi" w:hAnsiTheme="majorBidi" w:cstheme="majorBidi"/>
        </w:rPr>
        <w:t>一个来文方提供了关于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23</w:t>
      </w:r>
      <w:r w:rsidR="00A63A71" w:rsidRPr="00C54AFA">
        <w:rPr>
          <w:rFonts w:asciiTheme="majorBidi" w:hAnsiTheme="majorBidi" w:cstheme="majorBidi"/>
        </w:rPr>
        <w:t>日和</w:t>
      </w:r>
      <w:r w:rsidRPr="00C54AFA">
        <w:rPr>
          <w:rFonts w:asciiTheme="majorBidi" w:hAnsiTheme="majorBidi" w:cstheme="majorBidi"/>
        </w:rPr>
        <w:t>2</w:t>
      </w:r>
      <w:r w:rsidR="00A63A71" w:rsidRPr="00C54AFA">
        <w:rPr>
          <w:rFonts w:asciiTheme="majorBidi" w:hAnsiTheme="majorBidi" w:cstheme="majorBidi"/>
        </w:rPr>
        <w:t>月</w:t>
      </w:r>
      <w:r w:rsidRPr="00C54AFA">
        <w:rPr>
          <w:rFonts w:asciiTheme="majorBidi" w:hAnsiTheme="majorBidi" w:cstheme="majorBidi"/>
        </w:rPr>
        <w:t>2</w:t>
      </w:r>
      <w:r w:rsidR="00A63A71" w:rsidRPr="00C54AFA">
        <w:rPr>
          <w:rFonts w:asciiTheme="majorBidi" w:hAnsiTheme="majorBidi" w:cstheme="majorBidi"/>
        </w:rPr>
        <w:t>日通过紧急行动程序转交的其中四起案件的资料。工作组决定因此澄清其中的三起。</w:t>
      </w:r>
    </w:p>
    <w:p w:rsidR="00A63A71" w:rsidRPr="00C54AFA" w:rsidRDefault="00A63A71" w:rsidP="00116230">
      <w:pPr>
        <w:pStyle w:val="H1GC"/>
      </w:pPr>
      <w:r w:rsidRPr="00C54AFA">
        <w:tab/>
      </w:r>
      <w:r w:rsidRPr="00C54AFA">
        <w:tab/>
      </w:r>
      <w:r w:rsidRPr="00C54AFA">
        <w:t>希腊</w:t>
      </w:r>
    </w:p>
    <w:p w:rsidR="00A63A71" w:rsidRPr="00C54AFA" w:rsidRDefault="00A63A71" w:rsidP="00116230">
      <w:pPr>
        <w:pStyle w:val="H23GC"/>
      </w:pPr>
      <w:r w:rsidRPr="00C54AFA">
        <w:tab/>
      </w:r>
      <w:r w:rsidRPr="00C54AFA">
        <w:tab/>
      </w:r>
      <w:r w:rsidRPr="00C54AFA">
        <w:t>政府提供的资料</w:t>
      </w:r>
    </w:p>
    <w:p w:rsidR="00A63A71" w:rsidRPr="00C54AFA" w:rsidRDefault="00BC4B0A" w:rsidP="00BC770C">
      <w:pPr>
        <w:pStyle w:val="SingleTxtGC"/>
        <w:rPr>
          <w:rFonts w:asciiTheme="majorBidi" w:hAnsiTheme="majorBidi" w:cstheme="majorBidi"/>
        </w:rPr>
      </w:pPr>
      <w:r w:rsidRPr="00C54AFA">
        <w:rPr>
          <w:rFonts w:asciiTheme="majorBidi" w:hAnsiTheme="majorBidi" w:cstheme="majorBidi"/>
        </w:rPr>
        <w:t>6</w:t>
      </w:r>
      <w:r w:rsidR="00C54AFA" w:rsidRPr="00C54AFA">
        <w:rPr>
          <w:rFonts w:asciiTheme="majorBidi" w:hAnsiTheme="majorBidi" w:cstheme="majorBidi"/>
        </w:rPr>
        <w:t>0.</w:t>
      </w:r>
      <w:r w:rsidR="00BC770C"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月和</w:t>
      </w:r>
      <w:r w:rsidRPr="00C54AFA">
        <w:rPr>
          <w:rFonts w:asciiTheme="majorBidi" w:hAnsiTheme="majorBidi" w:cstheme="majorBidi"/>
        </w:rPr>
        <w:t>2</w:t>
      </w:r>
      <w:r w:rsidR="00A63A71" w:rsidRPr="00C54AFA">
        <w:rPr>
          <w:rFonts w:asciiTheme="majorBidi" w:hAnsiTheme="majorBidi" w:cstheme="majorBidi"/>
        </w:rPr>
        <w:t>月</w:t>
      </w:r>
      <w:r w:rsidR="00C54AFA" w:rsidRPr="00C54AFA">
        <w:rPr>
          <w:rFonts w:asciiTheme="majorBidi" w:hAnsiTheme="majorBidi" w:cstheme="majorBidi"/>
        </w:rPr>
        <w:t>，</w:t>
      </w:r>
      <w:r w:rsidR="00A63A71" w:rsidRPr="00C54AFA">
        <w:rPr>
          <w:rFonts w:asciiTheme="majorBidi" w:hAnsiTheme="majorBidi" w:cstheme="majorBidi"/>
        </w:rPr>
        <w:t>匈牙利、瑞士、美利坚合众国和希腊转交了关于一起未决案件的信函</w:t>
      </w:r>
      <w:r w:rsidR="00C54AFA" w:rsidRPr="00C54AFA">
        <w:rPr>
          <w:rFonts w:asciiTheme="majorBidi" w:hAnsiTheme="majorBidi" w:cstheme="majorBidi"/>
        </w:rPr>
        <w:t>，</w:t>
      </w:r>
      <w:r w:rsidR="00A63A71" w:rsidRPr="00C54AFA">
        <w:rPr>
          <w:rFonts w:asciiTheme="majorBidi" w:hAnsiTheme="majorBidi" w:cstheme="majorBidi"/>
        </w:rPr>
        <w:t>该起案件的副本是按照工作组工作方法向这些国家提供的。</w:t>
      </w:r>
    </w:p>
    <w:p w:rsidR="00A63A71" w:rsidRPr="00C54AFA" w:rsidRDefault="00A63A71" w:rsidP="00116230">
      <w:pPr>
        <w:pStyle w:val="H1GC"/>
      </w:pPr>
      <w:r w:rsidRPr="00C54AFA">
        <w:tab/>
      </w:r>
      <w:r w:rsidRPr="00C54AFA">
        <w:tab/>
      </w:r>
      <w:r w:rsidRPr="00C54AFA">
        <w:t>危地马拉</w:t>
      </w:r>
    </w:p>
    <w:p w:rsidR="00A63A71" w:rsidRPr="00C54AFA" w:rsidRDefault="00A63A71" w:rsidP="00116230">
      <w:pPr>
        <w:pStyle w:val="H23GC"/>
      </w:pPr>
      <w:r w:rsidRPr="00C54AFA">
        <w:tab/>
      </w:r>
      <w:r w:rsidRPr="00C54AFA">
        <w:tab/>
      </w:r>
      <w:r w:rsidRPr="00C54AFA">
        <w:t>其他信函</w:t>
      </w:r>
    </w:p>
    <w:p w:rsidR="00A63A71" w:rsidRPr="00C54AFA" w:rsidRDefault="00BC4B0A" w:rsidP="00BC770C">
      <w:pPr>
        <w:pStyle w:val="SingleTxtGC"/>
        <w:rPr>
          <w:rFonts w:asciiTheme="majorBidi" w:hAnsiTheme="majorBidi" w:cstheme="majorBidi"/>
        </w:rPr>
      </w:pPr>
      <w:r w:rsidRPr="00C54AFA">
        <w:rPr>
          <w:rFonts w:asciiTheme="majorBidi" w:hAnsiTheme="majorBidi" w:cstheme="majorBidi"/>
        </w:rPr>
        <w:t>6</w:t>
      </w:r>
      <w:r w:rsidR="00C54AFA" w:rsidRPr="00C54AFA">
        <w:rPr>
          <w:rFonts w:asciiTheme="majorBidi" w:hAnsiTheme="majorBidi" w:cstheme="majorBidi"/>
        </w:rPr>
        <w:t>1.</w:t>
      </w:r>
      <w:r w:rsidR="00BC770C"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22</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工作组与另一个特别程序机制联合转交了一封信函</w:t>
      </w:r>
      <w:r w:rsidR="00C54AFA" w:rsidRPr="00C54AFA">
        <w:rPr>
          <w:rFonts w:asciiTheme="majorBidi" w:hAnsiTheme="majorBidi" w:cstheme="majorBidi"/>
        </w:rPr>
        <w:t>，</w:t>
      </w:r>
      <w:r w:rsidR="00A63A71" w:rsidRPr="00C54AFA">
        <w:rPr>
          <w:rFonts w:asciiTheme="majorBidi" w:hAnsiTheme="majorBidi" w:cstheme="majorBidi"/>
        </w:rPr>
        <w:t>涉及可能向面临种族灭绝罪和危害人类罪的前国家元首何塞</w:t>
      </w:r>
      <w:r w:rsidR="00A63A71" w:rsidRPr="00C54AFA">
        <w:rPr>
          <w:rFonts w:asciiTheme="majorBidi" w:hAnsiTheme="majorBidi" w:cstheme="majorBidi"/>
        </w:rPr>
        <w:t>·</w:t>
      </w:r>
      <w:r w:rsidR="00A63A71" w:rsidRPr="00C54AFA">
        <w:rPr>
          <w:rFonts w:asciiTheme="majorBidi" w:hAnsiTheme="majorBidi" w:cstheme="majorBidi"/>
        </w:rPr>
        <w:t>埃弗拉因</w:t>
      </w:r>
      <w:r w:rsidR="00A63A71" w:rsidRPr="00C54AFA">
        <w:rPr>
          <w:rFonts w:asciiTheme="majorBidi" w:hAnsiTheme="majorBidi" w:cstheme="majorBidi"/>
        </w:rPr>
        <w:t>·</w:t>
      </w:r>
      <w:r w:rsidR="00A63A71" w:rsidRPr="00C54AFA">
        <w:rPr>
          <w:rFonts w:asciiTheme="majorBidi" w:hAnsiTheme="majorBidi" w:cstheme="majorBidi"/>
        </w:rPr>
        <w:t>里奥斯</w:t>
      </w:r>
      <w:r w:rsidR="00A63A71" w:rsidRPr="00C54AFA">
        <w:rPr>
          <w:rFonts w:asciiTheme="majorBidi" w:hAnsiTheme="majorBidi" w:cstheme="majorBidi"/>
        </w:rPr>
        <w:t>·</w:t>
      </w:r>
      <w:r w:rsidR="00A63A71" w:rsidRPr="00C54AFA">
        <w:rPr>
          <w:rFonts w:asciiTheme="majorBidi" w:hAnsiTheme="majorBidi" w:cstheme="majorBidi"/>
        </w:rPr>
        <w:t>蒙特适用大赦的指控。</w:t>
      </w:r>
    </w:p>
    <w:p w:rsidR="00A63A71" w:rsidRPr="00C54AFA" w:rsidRDefault="00A63A71" w:rsidP="00116230">
      <w:pPr>
        <w:pStyle w:val="H23GC"/>
      </w:pPr>
      <w:r w:rsidRPr="00C54AFA">
        <w:tab/>
      </w:r>
      <w:r w:rsidRPr="00C54AFA">
        <w:tab/>
      </w:r>
      <w:r w:rsidRPr="00C54AFA">
        <w:t>政府提供的资料</w:t>
      </w:r>
    </w:p>
    <w:p w:rsidR="00A63A71" w:rsidRPr="00C54AFA" w:rsidRDefault="00BC4B0A" w:rsidP="00BC770C">
      <w:pPr>
        <w:pStyle w:val="SingleTxtGC"/>
        <w:rPr>
          <w:rFonts w:asciiTheme="majorBidi" w:hAnsiTheme="majorBidi" w:cstheme="majorBidi"/>
        </w:rPr>
      </w:pPr>
      <w:r w:rsidRPr="00C54AFA">
        <w:rPr>
          <w:rFonts w:asciiTheme="majorBidi" w:hAnsiTheme="majorBidi" w:cstheme="majorBidi"/>
        </w:rPr>
        <w:t>6</w:t>
      </w:r>
      <w:r w:rsidR="00C54AFA" w:rsidRPr="00C54AFA">
        <w:rPr>
          <w:rFonts w:asciiTheme="majorBidi" w:hAnsiTheme="majorBidi" w:cstheme="majorBidi"/>
        </w:rPr>
        <w:t>2.</w:t>
      </w:r>
      <w:r w:rsidR="00BC770C"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16</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该国政府就</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22</w:t>
      </w:r>
      <w:r w:rsidR="00A63A71" w:rsidRPr="00C54AFA">
        <w:rPr>
          <w:rFonts w:asciiTheme="majorBidi" w:hAnsiTheme="majorBidi" w:cstheme="majorBidi"/>
        </w:rPr>
        <w:t>日发送的信函提交了答复</w:t>
      </w:r>
      <w:r w:rsidR="00C54AFA" w:rsidRPr="00C54AFA">
        <w:rPr>
          <w:rFonts w:asciiTheme="majorBidi" w:hAnsiTheme="majorBidi" w:cstheme="majorBidi"/>
        </w:rPr>
        <w:t>(</w:t>
      </w:r>
      <w:r w:rsidR="00A63A71" w:rsidRPr="00C54AFA">
        <w:rPr>
          <w:rFonts w:asciiTheme="majorBidi" w:hAnsiTheme="majorBidi" w:cstheme="majorBidi"/>
        </w:rPr>
        <w:t>见附件二</w:t>
      </w:r>
      <w:r w:rsidR="00C54AFA" w:rsidRPr="00C54AFA">
        <w:rPr>
          <w:rFonts w:asciiTheme="majorBidi" w:hAnsiTheme="majorBidi" w:cstheme="majorBidi"/>
        </w:rPr>
        <w:t>)</w:t>
      </w:r>
      <w:r w:rsidR="00A63A71" w:rsidRPr="00C54AFA">
        <w:rPr>
          <w:rFonts w:asciiTheme="majorBidi" w:hAnsiTheme="majorBidi" w:cstheme="majorBidi"/>
        </w:rPr>
        <w:t>。</w:t>
      </w:r>
    </w:p>
    <w:p w:rsidR="00A63A71" w:rsidRPr="00C54AFA" w:rsidRDefault="00A63A71" w:rsidP="00116230">
      <w:pPr>
        <w:pStyle w:val="H23GC"/>
      </w:pPr>
      <w:r w:rsidRPr="00C54AFA">
        <w:tab/>
      </w:r>
      <w:r w:rsidRPr="00C54AFA">
        <w:tab/>
      </w:r>
      <w:r w:rsidRPr="00C54AFA">
        <w:t>意见</w:t>
      </w:r>
    </w:p>
    <w:p w:rsidR="00A63A71" w:rsidRPr="00C54AFA" w:rsidRDefault="00BC4B0A" w:rsidP="00BC770C">
      <w:pPr>
        <w:pStyle w:val="SingleTxtGC"/>
        <w:rPr>
          <w:rFonts w:asciiTheme="majorBidi" w:hAnsiTheme="majorBidi" w:cstheme="majorBidi"/>
        </w:rPr>
      </w:pPr>
      <w:r w:rsidRPr="00C54AFA">
        <w:rPr>
          <w:rFonts w:asciiTheme="majorBidi" w:hAnsiTheme="majorBidi" w:cstheme="majorBidi"/>
        </w:rPr>
        <w:t>6</w:t>
      </w:r>
      <w:r w:rsidR="00C54AFA" w:rsidRPr="00C54AFA">
        <w:rPr>
          <w:rFonts w:asciiTheme="majorBidi" w:hAnsiTheme="majorBidi" w:cstheme="majorBidi"/>
        </w:rPr>
        <w:t>3.</w:t>
      </w:r>
      <w:r w:rsidR="00BC770C" w:rsidRPr="00C54AFA">
        <w:rPr>
          <w:rFonts w:asciiTheme="majorBidi" w:hAnsiTheme="majorBidi" w:cstheme="majorBidi"/>
        </w:rPr>
        <w:t xml:space="preserve">  </w:t>
      </w:r>
      <w:r w:rsidR="00A63A71" w:rsidRPr="00C54AFA">
        <w:rPr>
          <w:rFonts w:asciiTheme="majorBidi" w:hAnsiTheme="majorBidi" w:cstheme="majorBidi"/>
        </w:rPr>
        <w:t>工作组感谢该国政府的答复</w:t>
      </w:r>
      <w:r w:rsidR="00C54AFA" w:rsidRPr="00C54AFA">
        <w:rPr>
          <w:rFonts w:asciiTheme="majorBidi" w:hAnsiTheme="majorBidi" w:cstheme="majorBidi"/>
        </w:rPr>
        <w:t>，</w:t>
      </w:r>
      <w:r w:rsidR="00A63A71" w:rsidRPr="00C54AFA">
        <w:rPr>
          <w:rFonts w:asciiTheme="majorBidi" w:hAnsiTheme="majorBidi" w:cstheme="majorBidi"/>
        </w:rPr>
        <w:t>同时</w:t>
      </w:r>
      <w:r w:rsidR="00C54AFA" w:rsidRPr="00C54AFA">
        <w:rPr>
          <w:rFonts w:asciiTheme="majorBidi" w:hAnsiTheme="majorBidi" w:cstheme="majorBidi"/>
        </w:rPr>
        <w:t>，</w:t>
      </w:r>
      <w:r w:rsidR="00A63A71" w:rsidRPr="00C54AFA">
        <w:rPr>
          <w:rFonts w:asciiTheme="majorBidi" w:hAnsiTheme="majorBidi" w:cstheme="majorBidi"/>
        </w:rPr>
        <w:t>它回顾《宣言》第</w:t>
      </w:r>
      <w:r w:rsidRPr="00C54AFA">
        <w:rPr>
          <w:rFonts w:asciiTheme="majorBidi" w:hAnsiTheme="majorBidi" w:cstheme="majorBidi"/>
        </w:rPr>
        <w:t>18</w:t>
      </w:r>
      <w:r w:rsidR="00A63A71" w:rsidRPr="00C54AFA">
        <w:rPr>
          <w:rFonts w:asciiTheme="majorBidi" w:hAnsiTheme="majorBidi" w:cstheme="majorBidi"/>
        </w:rPr>
        <w:t>条</w:t>
      </w:r>
      <w:r w:rsidR="00C54AFA" w:rsidRPr="00C54AFA">
        <w:rPr>
          <w:rFonts w:asciiTheme="majorBidi" w:hAnsiTheme="majorBidi" w:cstheme="majorBidi"/>
        </w:rPr>
        <w:t>，</w:t>
      </w:r>
      <w:r w:rsidR="00A63A71" w:rsidRPr="00C54AFA">
        <w:rPr>
          <w:rFonts w:asciiTheme="majorBidi" w:hAnsiTheme="majorBidi" w:cstheme="majorBidi"/>
        </w:rPr>
        <w:t>该条规定</w:t>
      </w:r>
      <w:r w:rsidR="00C54AFA" w:rsidRPr="00C54AFA">
        <w:rPr>
          <w:rFonts w:asciiTheme="majorBidi" w:hAnsiTheme="majorBidi" w:cstheme="majorBidi"/>
        </w:rPr>
        <w:t>，</w:t>
      </w:r>
      <w:r w:rsidR="00A63A71" w:rsidRPr="00C54AFA">
        <w:rPr>
          <w:rFonts w:asciiTheme="majorBidi" w:hAnsiTheme="majorBidi" w:cstheme="majorBidi"/>
        </w:rPr>
        <w:t>被指控犯有强迫失踪的人不应受益于任何特别赦免法律或可能使他们免受任何刑事诉讼或制裁的类似措施</w:t>
      </w:r>
      <w:r w:rsidR="00C54AFA" w:rsidRPr="00C54AFA">
        <w:rPr>
          <w:rFonts w:asciiTheme="majorBidi" w:hAnsiTheme="majorBidi" w:cstheme="majorBidi"/>
        </w:rPr>
        <w:t>，</w:t>
      </w:r>
      <w:r w:rsidR="00A63A71" w:rsidRPr="00C54AFA">
        <w:rPr>
          <w:rFonts w:asciiTheme="majorBidi" w:hAnsiTheme="majorBidi" w:cstheme="majorBidi"/>
        </w:rPr>
        <w:t>而且</w:t>
      </w:r>
      <w:r w:rsidR="00C54AFA" w:rsidRPr="00C54AFA">
        <w:rPr>
          <w:rFonts w:asciiTheme="majorBidi" w:hAnsiTheme="majorBidi" w:cstheme="majorBidi"/>
        </w:rPr>
        <w:t>，</w:t>
      </w:r>
      <w:r w:rsidR="00A63A71" w:rsidRPr="00C54AFA">
        <w:rPr>
          <w:rFonts w:asciiTheme="majorBidi" w:hAnsiTheme="majorBidi" w:cstheme="majorBidi"/>
        </w:rPr>
        <w:t>在行使赦免权时</w:t>
      </w:r>
      <w:r w:rsidR="00C54AFA" w:rsidRPr="00C54AFA">
        <w:rPr>
          <w:rFonts w:asciiTheme="majorBidi" w:hAnsiTheme="majorBidi" w:cstheme="majorBidi"/>
        </w:rPr>
        <w:t>，</w:t>
      </w:r>
      <w:r w:rsidR="00A63A71" w:rsidRPr="00C54AFA">
        <w:rPr>
          <w:rFonts w:asciiTheme="majorBidi" w:hAnsiTheme="majorBidi" w:cstheme="majorBidi"/>
        </w:rPr>
        <w:t>应考虑到强迫失踪行为的极其严重性质。</w:t>
      </w:r>
    </w:p>
    <w:p w:rsidR="00A63A71" w:rsidRPr="00C54AFA" w:rsidRDefault="00A63A71" w:rsidP="00116230">
      <w:pPr>
        <w:pStyle w:val="H1GC"/>
      </w:pPr>
      <w:r w:rsidRPr="00C54AFA">
        <w:lastRenderedPageBreak/>
        <w:tab/>
      </w:r>
      <w:r w:rsidRPr="00C54AFA">
        <w:tab/>
      </w:r>
      <w:r w:rsidRPr="00C54AFA">
        <w:t>洪都拉斯</w:t>
      </w:r>
    </w:p>
    <w:p w:rsidR="00A63A71" w:rsidRPr="00C54AFA" w:rsidRDefault="00A63A71" w:rsidP="00116230">
      <w:pPr>
        <w:pStyle w:val="H23GC"/>
      </w:pPr>
      <w:r w:rsidRPr="00C54AFA">
        <w:tab/>
      </w:r>
      <w:r w:rsidRPr="00C54AFA">
        <w:tab/>
      </w:r>
      <w:r w:rsidRPr="00C54AFA">
        <w:t>政府提供的资料</w:t>
      </w:r>
    </w:p>
    <w:p w:rsidR="00A63A71" w:rsidRPr="00C54AFA" w:rsidRDefault="00BC4B0A" w:rsidP="00B9215E">
      <w:pPr>
        <w:pStyle w:val="SingleTxtGC"/>
      </w:pPr>
      <w:r w:rsidRPr="00C54AFA">
        <w:t>6</w:t>
      </w:r>
      <w:r w:rsidR="00C54AFA" w:rsidRPr="00C54AFA">
        <w:t>4.</w:t>
      </w:r>
      <w:r w:rsidR="00BC770C" w:rsidRPr="00C54AFA">
        <w:t xml:space="preserve">  </w:t>
      </w:r>
      <w:r w:rsidRPr="00C54AFA">
        <w:t>2</w:t>
      </w:r>
      <w:r w:rsidR="00A63A71" w:rsidRPr="00C54AFA">
        <w:t>0</w:t>
      </w:r>
      <w:r w:rsidRPr="00C54AFA">
        <w:t>14</w:t>
      </w:r>
      <w:r w:rsidR="00A63A71" w:rsidRPr="00C54AFA">
        <w:t>年</w:t>
      </w:r>
      <w:r w:rsidRPr="00C54AFA">
        <w:t>8</w:t>
      </w:r>
      <w:r w:rsidR="00A63A71" w:rsidRPr="00C54AFA">
        <w:t>月</w:t>
      </w:r>
      <w:r w:rsidRPr="00C54AFA">
        <w:t>28</w:t>
      </w:r>
      <w:r w:rsidR="00A63A71" w:rsidRPr="00C54AFA">
        <w:t>日</w:t>
      </w:r>
      <w:r w:rsidR="00C54AFA" w:rsidRPr="00C54AFA">
        <w:t>，</w:t>
      </w:r>
      <w:r w:rsidR="00A63A71" w:rsidRPr="00C54AFA">
        <w:t>该国政府转交了关于</w:t>
      </w:r>
      <w:r w:rsidRPr="00C54AFA">
        <w:t>125</w:t>
      </w:r>
      <w:r w:rsidR="00A63A71" w:rsidRPr="00C54AFA">
        <w:t>起未决案件的资料。工作组认为</w:t>
      </w:r>
      <w:r w:rsidR="00C54AFA" w:rsidRPr="00C54AFA">
        <w:t>，</w:t>
      </w:r>
      <w:r w:rsidR="00A63A71" w:rsidRPr="00C54AFA">
        <w:t>这些资料不足以导致对这些案件作出澄清。</w:t>
      </w:r>
    </w:p>
    <w:p w:rsidR="00A63A71" w:rsidRPr="00C54AFA" w:rsidRDefault="00A63A71" w:rsidP="00116230">
      <w:pPr>
        <w:pStyle w:val="H23GC"/>
      </w:pPr>
      <w:r w:rsidRPr="00C54AFA">
        <w:tab/>
      </w:r>
      <w:r w:rsidRPr="00C54AFA">
        <w:tab/>
      </w:r>
      <w:r w:rsidRPr="00C54AFA">
        <w:t>意见</w:t>
      </w:r>
    </w:p>
    <w:p w:rsidR="00A63A71" w:rsidRPr="00C54AFA" w:rsidRDefault="00BC4B0A" w:rsidP="00BC770C">
      <w:pPr>
        <w:pStyle w:val="SingleTxtGC"/>
        <w:rPr>
          <w:rFonts w:asciiTheme="majorBidi" w:hAnsiTheme="majorBidi" w:cstheme="majorBidi"/>
        </w:rPr>
      </w:pPr>
      <w:r w:rsidRPr="00C54AFA">
        <w:rPr>
          <w:rFonts w:asciiTheme="majorBidi" w:hAnsiTheme="majorBidi" w:cstheme="majorBidi"/>
        </w:rPr>
        <w:t>6</w:t>
      </w:r>
      <w:r w:rsidR="00C54AFA" w:rsidRPr="00C54AFA">
        <w:rPr>
          <w:rFonts w:asciiTheme="majorBidi" w:hAnsiTheme="majorBidi" w:cstheme="majorBidi"/>
        </w:rPr>
        <w:t>5.</w:t>
      </w:r>
      <w:r w:rsidR="00BC770C" w:rsidRPr="00C54AFA">
        <w:rPr>
          <w:rFonts w:asciiTheme="majorBidi" w:hAnsiTheme="majorBidi" w:cstheme="majorBidi"/>
        </w:rPr>
        <w:t xml:space="preserve">  </w:t>
      </w:r>
      <w:r w:rsidR="00A63A71" w:rsidRPr="00C54AFA">
        <w:rPr>
          <w:rFonts w:asciiTheme="majorBidi" w:hAnsiTheme="majorBidi" w:cstheme="majorBidi"/>
        </w:rPr>
        <w:t>工作组感谢该国政府的答复</w:t>
      </w:r>
      <w:r w:rsidR="00C54AFA" w:rsidRPr="00C54AFA">
        <w:rPr>
          <w:rFonts w:asciiTheme="majorBidi" w:hAnsiTheme="majorBidi" w:cstheme="majorBidi"/>
        </w:rPr>
        <w:t>，</w:t>
      </w:r>
      <w:r w:rsidR="00A63A71" w:rsidRPr="00C54AFA">
        <w:rPr>
          <w:rFonts w:asciiTheme="majorBidi" w:hAnsiTheme="majorBidi" w:cstheme="majorBidi"/>
        </w:rPr>
        <w:t>它重申</w:t>
      </w:r>
      <w:r w:rsidR="00C54AFA" w:rsidRPr="00C54AFA">
        <w:rPr>
          <w:rFonts w:asciiTheme="majorBidi" w:hAnsiTheme="majorBidi" w:cstheme="majorBidi"/>
        </w:rPr>
        <w:t>，</w:t>
      </w:r>
      <w:r w:rsidR="00A63A71" w:rsidRPr="00C54AFA">
        <w:rPr>
          <w:rFonts w:asciiTheme="majorBidi" w:hAnsiTheme="majorBidi" w:cstheme="majorBidi"/>
        </w:rPr>
        <w:t>按照工作组的工作方法</w:t>
      </w:r>
      <w:r w:rsidR="00C54AFA" w:rsidRPr="00C54AFA">
        <w:rPr>
          <w:rFonts w:asciiTheme="majorBidi" w:hAnsiTheme="majorBidi" w:cstheme="majorBidi"/>
        </w:rPr>
        <w:t>，</w:t>
      </w:r>
      <w:r w:rsidR="00A63A71" w:rsidRPr="00C54AFA">
        <w:rPr>
          <w:rFonts w:asciiTheme="majorBidi" w:hAnsiTheme="majorBidi" w:cstheme="majorBidi"/>
        </w:rPr>
        <w:t>它在失踪人员的命运或下落已经明确确定而且已经转交了详细资料的情况下才澄清一起案件。</w:t>
      </w:r>
    </w:p>
    <w:p w:rsidR="00A63A71" w:rsidRPr="00C54AFA" w:rsidRDefault="00A63A71" w:rsidP="00116230">
      <w:pPr>
        <w:pStyle w:val="H23GC"/>
      </w:pPr>
      <w:r w:rsidRPr="00C54AFA">
        <w:tab/>
      </w:r>
      <w:r w:rsidRPr="00C54AFA">
        <w:tab/>
      </w:r>
      <w:r w:rsidRPr="00C54AFA">
        <w:t>印度</w:t>
      </w:r>
    </w:p>
    <w:p w:rsidR="00A63A71" w:rsidRPr="00C54AFA" w:rsidRDefault="00A63A71" w:rsidP="00BC770C">
      <w:pPr>
        <w:pStyle w:val="H23GC"/>
        <w:rPr>
          <w:rFonts w:asciiTheme="majorBidi" w:hAnsiTheme="majorBidi" w:cstheme="majorBidi"/>
        </w:rPr>
      </w:pPr>
      <w:r w:rsidRPr="00C54AFA">
        <w:rPr>
          <w:rFonts w:asciiTheme="majorBidi" w:hAnsiTheme="majorBidi" w:cstheme="majorBidi"/>
        </w:rPr>
        <w:tab/>
      </w:r>
      <w:r w:rsidRPr="00C54AFA">
        <w:rPr>
          <w:rFonts w:asciiTheme="majorBidi" w:hAnsiTheme="majorBidi" w:cstheme="majorBidi"/>
        </w:rPr>
        <w:tab/>
      </w:r>
      <w:r w:rsidRPr="00C54AFA">
        <w:rPr>
          <w:rFonts w:asciiTheme="majorBidi" w:hAnsiTheme="majorBidi" w:cstheme="majorBidi"/>
        </w:rPr>
        <w:t>其他信函</w:t>
      </w:r>
    </w:p>
    <w:p w:rsidR="00A63A71" w:rsidRPr="00C54AFA" w:rsidRDefault="00BC4B0A" w:rsidP="00BC770C">
      <w:pPr>
        <w:pStyle w:val="SingleTxtGC"/>
        <w:rPr>
          <w:rFonts w:asciiTheme="majorBidi" w:hAnsiTheme="majorBidi" w:cstheme="majorBidi"/>
        </w:rPr>
      </w:pPr>
      <w:r w:rsidRPr="00C54AFA">
        <w:rPr>
          <w:rFonts w:asciiTheme="majorBidi" w:hAnsiTheme="majorBidi" w:cstheme="majorBidi"/>
        </w:rPr>
        <w:t>6</w:t>
      </w:r>
      <w:r w:rsidR="00C54AFA" w:rsidRPr="00C54AFA">
        <w:rPr>
          <w:rFonts w:asciiTheme="majorBidi" w:hAnsiTheme="majorBidi" w:cstheme="majorBidi"/>
        </w:rPr>
        <w:t>6.</w:t>
      </w:r>
      <w:r w:rsidR="00BC770C"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23</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工作组与其他两个特别程序机制联合转交了一封信函</w:t>
      </w:r>
      <w:r w:rsidR="00C54AFA" w:rsidRPr="00C54AFA">
        <w:rPr>
          <w:rFonts w:asciiTheme="majorBidi" w:hAnsiTheme="majorBidi" w:cstheme="majorBidi"/>
        </w:rPr>
        <w:t>，</w:t>
      </w:r>
      <w:r w:rsidR="00A63A71" w:rsidRPr="00C54AFA">
        <w:rPr>
          <w:rFonts w:asciiTheme="majorBidi" w:hAnsiTheme="majorBidi" w:cstheme="majorBidi"/>
        </w:rPr>
        <w:t>涉及对在一个新发现的群葬墓地点继续进行建筑工作的指控</w:t>
      </w:r>
      <w:r w:rsidR="00C54AFA" w:rsidRPr="00C54AFA">
        <w:rPr>
          <w:rFonts w:asciiTheme="majorBidi" w:hAnsiTheme="majorBidi" w:cstheme="majorBidi"/>
        </w:rPr>
        <w:t>，</w:t>
      </w:r>
      <w:r w:rsidR="00A63A71" w:rsidRPr="00C54AFA">
        <w:rPr>
          <w:rFonts w:asciiTheme="majorBidi" w:hAnsiTheme="majorBidi" w:cstheme="majorBidi"/>
        </w:rPr>
        <w:t>而且这可能对有效进行刑事和法医调查以及受害者获知真相和伸张正义权利产生不利影响。</w:t>
      </w:r>
    </w:p>
    <w:p w:rsidR="00A63A71" w:rsidRPr="00C54AFA" w:rsidRDefault="00A63A71" w:rsidP="00116230">
      <w:pPr>
        <w:pStyle w:val="H1GC"/>
      </w:pPr>
      <w:r w:rsidRPr="00C54AFA">
        <w:tab/>
      </w:r>
      <w:r w:rsidRPr="00C54AFA">
        <w:tab/>
      </w:r>
      <w:r w:rsidRPr="00C54AFA">
        <w:t>印度尼西亚</w:t>
      </w:r>
    </w:p>
    <w:p w:rsidR="00A63A71" w:rsidRPr="00C54AFA" w:rsidRDefault="00A63A71" w:rsidP="00116230">
      <w:pPr>
        <w:pStyle w:val="H23GC"/>
      </w:pPr>
      <w:r w:rsidRPr="00C54AFA">
        <w:tab/>
      </w:r>
      <w:r w:rsidRPr="00C54AFA">
        <w:tab/>
      </w:r>
      <w:r w:rsidRPr="00C54AFA">
        <w:t>来文方提供的资料</w:t>
      </w:r>
      <w:r w:rsidRPr="00C54AFA">
        <w:tab/>
      </w:r>
    </w:p>
    <w:p w:rsidR="00A63A71" w:rsidRPr="00C54AFA" w:rsidRDefault="00BC4B0A" w:rsidP="00BC770C">
      <w:pPr>
        <w:pStyle w:val="SingleTxtGC"/>
        <w:rPr>
          <w:rFonts w:asciiTheme="majorBidi" w:hAnsiTheme="majorBidi" w:cstheme="majorBidi"/>
        </w:rPr>
      </w:pPr>
      <w:r w:rsidRPr="00C54AFA">
        <w:rPr>
          <w:rFonts w:asciiTheme="majorBidi" w:hAnsiTheme="majorBidi" w:cstheme="majorBidi"/>
        </w:rPr>
        <w:t>6</w:t>
      </w:r>
      <w:r w:rsidR="00C54AFA" w:rsidRPr="00C54AFA">
        <w:rPr>
          <w:rFonts w:asciiTheme="majorBidi" w:hAnsiTheme="majorBidi" w:cstheme="majorBidi"/>
        </w:rPr>
        <w:t>7.</w:t>
      </w:r>
      <w:r w:rsidR="00BC770C" w:rsidRPr="00C54AFA">
        <w:rPr>
          <w:rFonts w:asciiTheme="majorBidi" w:hAnsiTheme="majorBidi" w:cstheme="majorBidi"/>
        </w:rPr>
        <w:t xml:space="preserve">  </w:t>
      </w:r>
      <w:r w:rsidR="00A63A71" w:rsidRPr="00C54AFA">
        <w:rPr>
          <w:rFonts w:asciiTheme="majorBidi" w:hAnsiTheme="majorBidi" w:cstheme="majorBidi"/>
        </w:rPr>
        <w:t>来文方就一起未决案件提供了资料。</w:t>
      </w:r>
    </w:p>
    <w:p w:rsidR="00A63A71" w:rsidRPr="00C54AFA" w:rsidRDefault="00A63A71" w:rsidP="00116230">
      <w:pPr>
        <w:pStyle w:val="H1GC"/>
      </w:pPr>
      <w:r w:rsidRPr="00C54AFA">
        <w:tab/>
      </w:r>
      <w:r w:rsidRPr="00C54AFA">
        <w:tab/>
      </w:r>
      <w:r w:rsidRPr="00C54AFA">
        <w:t>伊朗</w:t>
      </w:r>
      <w:r w:rsidR="00C54AFA" w:rsidRPr="00C54AFA">
        <w:t>(</w:t>
      </w:r>
      <w:r w:rsidRPr="00C54AFA">
        <w:t>伊斯兰共和国</w:t>
      </w:r>
      <w:r w:rsidR="00C54AFA" w:rsidRPr="00C54AFA">
        <w:t>)</w:t>
      </w:r>
    </w:p>
    <w:p w:rsidR="00A63A71" w:rsidRPr="00C54AFA" w:rsidRDefault="00A63A71" w:rsidP="00116230">
      <w:pPr>
        <w:pStyle w:val="H23GC"/>
      </w:pPr>
      <w:r w:rsidRPr="00C54AFA">
        <w:tab/>
      </w:r>
      <w:r w:rsidRPr="00C54AFA">
        <w:tab/>
      </w:r>
      <w:r w:rsidRPr="00C54AFA">
        <w:t>来文方提供的资料</w:t>
      </w:r>
      <w:r w:rsidRPr="00C54AFA">
        <w:tab/>
      </w:r>
    </w:p>
    <w:p w:rsidR="00A63A71" w:rsidRPr="00C54AFA" w:rsidRDefault="00BC4B0A" w:rsidP="00BC770C">
      <w:pPr>
        <w:pStyle w:val="SingleTxtGC"/>
        <w:rPr>
          <w:rFonts w:asciiTheme="majorBidi" w:hAnsiTheme="majorBidi" w:cstheme="majorBidi"/>
        </w:rPr>
      </w:pPr>
      <w:r w:rsidRPr="00C54AFA">
        <w:rPr>
          <w:rFonts w:asciiTheme="majorBidi" w:hAnsiTheme="majorBidi" w:cstheme="majorBidi"/>
        </w:rPr>
        <w:t>6</w:t>
      </w:r>
      <w:r w:rsidR="00C54AFA" w:rsidRPr="00C54AFA">
        <w:rPr>
          <w:rFonts w:asciiTheme="majorBidi" w:hAnsiTheme="majorBidi" w:cstheme="majorBidi"/>
        </w:rPr>
        <w:t>8.</w:t>
      </w:r>
      <w:r w:rsidR="00BC770C" w:rsidRPr="00C54AFA">
        <w:rPr>
          <w:rFonts w:asciiTheme="majorBidi" w:hAnsiTheme="majorBidi" w:cstheme="majorBidi"/>
        </w:rPr>
        <w:t xml:space="preserve">  </w:t>
      </w:r>
      <w:r w:rsidR="00A63A71" w:rsidRPr="00C54AFA">
        <w:rPr>
          <w:rFonts w:asciiTheme="majorBidi" w:hAnsiTheme="majorBidi" w:cstheme="majorBidi"/>
        </w:rPr>
        <w:t>来文方就一起未决案件提供了资料。</w:t>
      </w:r>
    </w:p>
    <w:p w:rsidR="00A63A71" w:rsidRPr="00C54AFA" w:rsidRDefault="00A63A71" w:rsidP="00116230">
      <w:pPr>
        <w:pStyle w:val="H23GC"/>
      </w:pPr>
      <w:r w:rsidRPr="00C54AFA">
        <w:tab/>
      </w:r>
      <w:r w:rsidRPr="00C54AFA">
        <w:tab/>
      </w:r>
      <w:r w:rsidRPr="00C54AFA">
        <w:t>政府提供的资料</w:t>
      </w:r>
    </w:p>
    <w:p w:rsidR="00A63A71" w:rsidRPr="00C54AFA" w:rsidRDefault="00BC4B0A" w:rsidP="00BC770C">
      <w:pPr>
        <w:pStyle w:val="SingleTxtGC"/>
        <w:rPr>
          <w:rFonts w:asciiTheme="majorBidi" w:hAnsiTheme="majorBidi" w:cstheme="majorBidi"/>
        </w:rPr>
      </w:pPr>
      <w:r w:rsidRPr="00C54AFA">
        <w:rPr>
          <w:rFonts w:asciiTheme="majorBidi" w:hAnsiTheme="majorBidi" w:cstheme="majorBidi"/>
        </w:rPr>
        <w:t>6</w:t>
      </w:r>
      <w:r w:rsidR="00C54AFA" w:rsidRPr="00C54AFA">
        <w:rPr>
          <w:rFonts w:asciiTheme="majorBidi" w:hAnsiTheme="majorBidi" w:cstheme="majorBidi"/>
        </w:rPr>
        <w:t>9.</w:t>
      </w:r>
      <w:r w:rsidR="00BC770C"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15</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该国政府转达了关于两起未决案件的资料</w:t>
      </w:r>
      <w:r w:rsidR="00C54AFA" w:rsidRPr="00C54AFA">
        <w:rPr>
          <w:rFonts w:asciiTheme="majorBidi" w:hAnsiTheme="majorBidi" w:cstheme="majorBidi"/>
        </w:rPr>
        <w:t>，</w:t>
      </w:r>
      <w:r w:rsidR="00A63A71" w:rsidRPr="00C54AFA">
        <w:rPr>
          <w:rFonts w:asciiTheme="majorBidi" w:hAnsiTheme="majorBidi" w:cstheme="majorBidi"/>
        </w:rPr>
        <w:t>基于这些资料</w:t>
      </w:r>
      <w:r w:rsidR="00C54AFA" w:rsidRPr="00C54AFA">
        <w:rPr>
          <w:rFonts w:asciiTheme="majorBidi" w:hAnsiTheme="majorBidi" w:cstheme="majorBidi"/>
        </w:rPr>
        <w:t>，</w:t>
      </w:r>
      <w:r w:rsidR="00A63A71" w:rsidRPr="00C54AFA">
        <w:rPr>
          <w:rFonts w:asciiTheme="majorBidi" w:hAnsiTheme="majorBidi" w:cstheme="majorBidi"/>
        </w:rPr>
        <w:t>工作组决定适用六个月规则。</w:t>
      </w:r>
      <w:r w:rsidR="00A63A71" w:rsidRPr="00C54AFA">
        <w:rPr>
          <w:rFonts w:asciiTheme="majorBidi" w:hAnsiTheme="majorBidi" w:cstheme="majorBidi"/>
        </w:rPr>
        <w:tab/>
      </w:r>
    </w:p>
    <w:p w:rsidR="00A63A71" w:rsidRPr="00C54AFA" w:rsidRDefault="00A63A71" w:rsidP="00116230">
      <w:pPr>
        <w:pStyle w:val="H1GC"/>
      </w:pPr>
      <w:r w:rsidRPr="00C54AFA">
        <w:tab/>
      </w:r>
      <w:r w:rsidRPr="00C54AFA">
        <w:tab/>
      </w:r>
      <w:r w:rsidRPr="00C54AFA">
        <w:t>科威特</w:t>
      </w:r>
    </w:p>
    <w:p w:rsidR="00A63A71" w:rsidRPr="00C54AFA" w:rsidRDefault="00A63A71" w:rsidP="00116230">
      <w:pPr>
        <w:pStyle w:val="H23GC"/>
      </w:pPr>
      <w:r w:rsidRPr="00C54AFA">
        <w:tab/>
      </w:r>
      <w:r w:rsidRPr="00C54AFA">
        <w:tab/>
      </w:r>
      <w:r w:rsidRPr="00C54AFA">
        <w:t>政府提供的资料</w:t>
      </w:r>
    </w:p>
    <w:p w:rsidR="00A63A71" w:rsidRPr="00C54AFA" w:rsidRDefault="00BC4B0A" w:rsidP="00BC770C">
      <w:pPr>
        <w:pStyle w:val="SingleTxtGC"/>
        <w:rPr>
          <w:rFonts w:asciiTheme="majorBidi" w:hAnsiTheme="majorBidi" w:cstheme="majorBidi"/>
        </w:rPr>
      </w:pPr>
      <w:r w:rsidRPr="00C54AFA">
        <w:rPr>
          <w:rFonts w:asciiTheme="majorBidi" w:hAnsiTheme="majorBidi" w:cstheme="majorBidi"/>
        </w:rPr>
        <w:t>7</w:t>
      </w:r>
      <w:r w:rsidR="00C54AFA" w:rsidRPr="00C54AFA">
        <w:rPr>
          <w:rFonts w:asciiTheme="majorBidi" w:hAnsiTheme="majorBidi" w:cstheme="majorBidi"/>
        </w:rPr>
        <w:t>0.</w:t>
      </w:r>
      <w:r w:rsidR="00BC770C"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9</w:t>
      </w:r>
      <w:r w:rsidR="00A63A71" w:rsidRPr="00C54AFA">
        <w:rPr>
          <w:rFonts w:asciiTheme="majorBidi" w:hAnsiTheme="majorBidi" w:cstheme="majorBidi"/>
        </w:rPr>
        <w:t>月</w:t>
      </w:r>
      <w:r w:rsidRPr="00C54AFA">
        <w:rPr>
          <w:rFonts w:asciiTheme="majorBidi" w:hAnsiTheme="majorBidi" w:cstheme="majorBidi"/>
        </w:rPr>
        <w:t>5</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该国政府转交了关于</w:t>
      </w:r>
      <w:r w:rsidRPr="00C54AFA">
        <w:rPr>
          <w:rFonts w:asciiTheme="majorBidi" w:hAnsiTheme="majorBidi" w:cstheme="majorBidi"/>
        </w:rPr>
        <w:t>1</w:t>
      </w:r>
      <w:r w:rsidR="00A63A71" w:rsidRPr="00C54AFA">
        <w:rPr>
          <w:rFonts w:asciiTheme="majorBidi" w:hAnsiTheme="majorBidi" w:cstheme="majorBidi"/>
        </w:rPr>
        <w:t>起未决案件的一封信函。</w:t>
      </w:r>
    </w:p>
    <w:p w:rsidR="00A63A71" w:rsidRPr="00C54AFA" w:rsidRDefault="00A63A71" w:rsidP="00116230">
      <w:pPr>
        <w:pStyle w:val="H1GC"/>
      </w:pPr>
      <w:r w:rsidRPr="00C54AFA">
        <w:lastRenderedPageBreak/>
        <w:tab/>
      </w:r>
      <w:r w:rsidRPr="00C54AFA">
        <w:tab/>
      </w:r>
      <w:r w:rsidRPr="00C54AFA">
        <w:t>老挝人民民主共和国</w:t>
      </w:r>
    </w:p>
    <w:p w:rsidR="00A63A71" w:rsidRPr="00C54AFA" w:rsidRDefault="00A63A71" w:rsidP="00116230">
      <w:pPr>
        <w:pStyle w:val="H23GC"/>
      </w:pPr>
      <w:r w:rsidRPr="00C54AFA">
        <w:tab/>
      </w:r>
      <w:r w:rsidRPr="00C54AFA">
        <w:tab/>
      </w:r>
      <w:r w:rsidRPr="00C54AFA">
        <w:t>来文方提供的资料</w:t>
      </w:r>
    </w:p>
    <w:p w:rsidR="00A63A71" w:rsidRPr="00C54AFA" w:rsidRDefault="00BC4B0A" w:rsidP="00BC770C">
      <w:pPr>
        <w:pStyle w:val="SingleTxtGC"/>
        <w:rPr>
          <w:rFonts w:asciiTheme="majorBidi" w:hAnsiTheme="majorBidi" w:cstheme="majorBidi"/>
        </w:rPr>
      </w:pPr>
      <w:r w:rsidRPr="00C54AFA">
        <w:rPr>
          <w:rFonts w:asciiTheme="majorBidi" w:hAnsiTheme="majorBidi" w:cstheme="majorBidi"/>
        </w:rPr>
        <w:t>7</w:t>
      </w:r>
      <w:r w:rsidR="00C54AFA" w:rsidRPr="00C54AFA">
        <w:rPr>
          <w:rFonts w:asciiTheme="majorBidi" w:hAnsiTheme="majorBidi" w:cstheme="majorBidi"/>
        </w:rPr>
        <w:t>1.</w:t>
      </w:r>
      <w:r w:rsidR="00BC770C" w:rsidRPr="00C54AFA">
        <w:rPr>
          <w:rFonts w:asciiTheme="majorBidi" w:hAnsiTheme="majorBidi" w:cstheme="majorBidi"/>
        </w:rPr>
        <w:t xml:space="preserve">  </w:t>
      </w:r>
      <w:r w:rsidR="00A63A71" w:rsidRPr="00C54AFA">
        <w:rPr>
          <w:rFonts w:asciiTheme="majorBidi" w:hAnsiTheme="majorBidi" w:cstheme="majorBidi"/>
        </w:rPr>
        <w:t>来文方就一起未决案件提供了资料。</w:t>
      </w:r>
    </w:p>
    <w:p w:rsidR="00A63A71" w:rsidRPr="00C54AFA" w:rsidRDefault="00A63A71" w:rsidP="00116230">
      <w:pPr>
        <w:pStyle w:val="H1GC"/>
      </w:pPr>
      <w:r w:rsidRPr="00C54AFA">
        <w:tab/>
      </w:r>
      <w:r w:rsidRPr="00C54AFA">
        <w:tab/>
      </w:r>
      <w:r w:rsidRPr="00C54AFA">
        <w:t>黎巴嫩</w:t>
      </w:r>
    </w:p>
    <w:p w:rsidR="00A63A71" w:rsidRPr="00C54AFA" w:rsidRDefault="00A63A71" w:rsidP="00116230">
      <w:pPr>
        <w:pStyle w:val="H23GC"/>
      </w:pPr>
      <w:r w:rsidRPr="00C54AFA">
        <w:tab/>
      </w:r>
      <w:r w:rsidRPr="00C54AFA">
        <w:tab/>
      </w:r>
      <w:r w:rsidRPr="00C54AFA">
        <w:t>政府提供的资料</w:t>
      </w:r>
    </w:p>
    <w:p w:rsidR="00A63A71" w:rsidRPr="00C54AFA" w:rsidRDefault="00BC4B0A" w:rsidP="00BC770C">
      <w:pPr>
        <w:pStyle w:val="SingleTxtGC"/>
        <w:rPr>
          <w:rFonts w:asciiTheme="majorBidi" w:hAnsiTheme="majorBidi" w:cstheme="majorBidi"/>
        </w:rPr>
      </w:pPr>
      <w:r w:rsidRPr="00C54AFA">
        <w:rPr>
          <w:rFonts w:asciiTheme="majorBidi" w:hAnsiTheme="majorBidi" w:cstheme="majorBidi"/>
        </w:rPr>
        <w:t>7</w:t>
      </w:r>
      <w:r w:rsidR="00C54AFA" w:rsidRPr="00C54AFA">
        <w:rPr>
          <w:rFonts w:asciiTheme="majorBidi" w:hAnsiTheme="majorBidi" w:cstheme="majorBidi"/>
        </w:rPr>
        <w:t>2.</w:t>
      </w:r>
      <w:r w:rsidR="00BC770C"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9</w:t>
      </w:r>
      <w:r w:rsidR="00A63A71" w:rsidRPr="00C54AFA">
        <w:rPr>
          <w:rFonts w:asciiTheme="majorBidi" w:hAnsiTheme="majorBidi" w:cstheme="majorBidi"/>
        </w:rPr>
        <w:t>月</w:t>
      </w:r>
      <w:r w:rsidRPr="00C54AFA">
        <w:rPr>
          <w:rFonts w:asciiTheme="majorBidi" w:hAnsiTheme="majorBidi" w:cstheme="majorBidi"/>
        </w:rPr>
        <w:t>22</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该国政府转交了关于</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起未决案件的一封函件。</w:t>
      </w:r>
    </w:p>
    <w:p w:rsidR="00A63A71" w:rsidRPr="00C54AFA" w:rsidRDefault="00A63A71" w:rsidP="00116230">
      <w:pPr>
        <w:pStyle w:val="H1GC"/>
      </w:pPr>
      <w:r w:rsidRPr="00C54AFA">
        <w:tab/>
      </w:r>
      <w:r w:rsidRPr="00C54AFA">
        <w:tab/>
      </w:r>
      <w:r w:rsidRPr="00C54AFA">
        <w:t>马尔代夫</w:t>
      </w:r>
    </w:p>
    <w:p w:rsidR="00A63A71" w:rsidRPr="00C54AFA" w:rsidRDefault="00A63A71" w:rsidP="00116230">
      <w:pPr>
        <w:pStyle w:val="H23GC"/>
      </w:pPr>
      <w:r w:rsidRPr="00C54AFA">
        <w:tab/>
      </w:r>
      <w:r w:rsidRPr="00C54AFA">
        <w:tab/>
      </w:r>
      <w:r w:rsidRPr="00C54AFA">
        <w:t>紧急呼吁</w:t>
      </w:r>
    </w:p>
    <w:p w:rsidR="00A63A71" w:rsidRPr="00C54AFA" w:rsidRDefault="00BC4B0A" w:rsidP="00BC770C">
      <w:pPr>
        <w:pStyle w:val="SingleTxtGC"/>
        <w:rPr>
          <w:rFonts w:asciiTheme="majorBidi" w:hAnsiTheme="majorBidi" w:cstheme="majorBidi"/>
        </w:rPr>
      </w:pPr>
      <w:r w:rsidRPr="00C54AFA">
        <w:rPr>
          <w:rFonts w:asciiTheme="majorBidi" w:hAnsiTheme="majorBidi" w:cstheme="majorBidi"/>
        </w:rPr>
        <w:t>7</w:t>
      </w:r>
      <w:r w:rsidR="00C54AFA" w:rsidRPr="00C54AFA">
        <w:rPr>
          <w:rFonts w:asciiTheme="majorBidi" w:hAnsiTheme="majorBidi" w:cstheme="majorBidi"/>
        </w:rPr>
        <w:t>3.</w:t>
      </w:r>
      <w:r w:rsidR="00BC770C"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7</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工作组与另一个特别程序机制向该国政府联合转发了一项紧急呼吁</w:t>
      </w:r>
      <w:r w:rsidR="00C54AFA" w:rsidRPr="00C54AFA">
        <w:rPr>
          <w:rFonts w:asciiTheme="majorBidi" w:hAnsiTheme="majorBidi" w:cstheme="majorBidi"/>
        </w:rPr>
        <w:t>，</w:t>
      </w:r>
      <w:r w:rsidR="00A63A71" w:rsidRPr="00C54AFA">
        <w:rPr>
          <w:rFonts w:asciiTheme="majorBidi" w:hAnsiTheme="majorBidi" w:cstheme="majorBidi"/>
        </w:rPr>
        <w:t>涉及</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8</w:t>
      </w:r>
      <w:r w:rsidR="00A63A71" w:rsidRPr="00C54AFA">
        <w:rPr>
          <w:rFonts w:asciiTheme="majorBidi" w:hAnsiTheme="majorBidi" w:cstheme="majorBidi"/>
        </w:rPr>
        <w:t>日在</w:t>
      </w:r>
      <w:r w:rsidRPr="00C54AFA">
        <w:rPr>
          <w:rFonts w:asciiTheme="majorBidi" w:hAnsiTheme="majorBidi" w:cstheme="majorBidi"/>
        </w:rPr>
        <w:t>Male</w:t>
      </w:r>
      <w:r w:rsidR="00A63A71" w:rsidRPr="00C54AFA">
        <w:rPr>
          <w:rFonts w:asciiTheme="majorBidi" w:hAnsiTheme="majorBidi" w:cstheme="majorBidi"/>
        </w:rPr>
        <w:t>对一名新闻记者</w:t>
      </w:r>
      <w:r w:rsidRPr="00C54AFA">
        <w:rPr>
          <w:rFonts w:asciiTheme="majorBidi" w:hAnsiTheme="majorBidi" w:cstheme="majorBidi"/>
        </w:rPr>
        <w:t>Ahmed</w:t>
      </w:r>
      <w:r w:rsidR="00A63A71" w:rsidRPr="00C54AFA">
        <w:rPr>
          <w:rFonts w:asciiTheme="majorBidi" w:hAnsiTheme="majorBidi" w:cstheme="majorBidi"/>
        </w:rPr>
        <w:t xml:space="preserve"> </w:t>
      </w:r>
      <w:r w:rsidRPr="00C54AFA">
        <w:rPr>
          <w:rFonts w:asciiTheme="majorBidi" w:hAnsiTheme="majorBidi" w:cstheme="majorBidi"/>
        </w:rPr>
        <w:t>Rilwan</w:t>
      </w:r>
      <w:r w:rsidR="00A63A71" w:rsidRPr="00C54AFA">
        <w:rPr>
          <w:rFonts w:asciiTheme="majorBidi" w:hAnsiTheme="majorBidi" w:cstheme="majorBidi"/>
        </w:rPr>
        <w:t xml:space="preserve"> </w:t>
      </w:r>
      <w:r w:rsidRPr="00C54AFA">
        <w:rPr>
          <w:rFonts w:asciiTheme="majorBidi" w:hAnsiTheme="majorBidi" w:cstheme="majorBidi"/>
        </w:rPr>
        <w:t>Abdulla</w:t>
      </w:r>
      <w:r w:rsidR="00A63A71" w:rsidRPr="00C54AFA">
        <w:rPr>
          <w:rFonts w:asciiTheme="majorBidi" w:hAnsiTheme="majorBidi" w:cstheme="majorBidi"/>
        </w:rPr>
        <w:t>先生的据称绑架</w:t>
      </w:r>
      <w:r w:rsidR="00C54AFA" w:rsidRPr="00C54AFA">
        <w:rPr>
          <w:rFonts w:asciiTheme="majorBidi" w:hAnsiTheme="majorBidi" w:cstheme="majorBidi"/>
        </w:rPr>
        <w:t>，</w:t>
      </w:r>
      <w:r w:rsidR="00A63A71" w:rsidRPr="00C54AFA">
        <w:rPr>
          <w:rFonts w:asciiTheme="majorBidi" w:hAnsiTheme="majorBidi" w:cstheme="majorBidi"/>
        </w:rPr>
        <w:t>可能是由于他的人权活动而遭绑架。</w:t>
      </w:r>
    </w:p>
    <w:p w:rsidR="00A63A71" w:rsidRPr="00C54AFA" w:rsidRDefault="00A63A71" w:rsidP="00116230">
      <w:pPr>
        <w:pStyle w:val="H23GC"/>
      </w:pPr>
      <w:r w:rsidRPr="00C54AFA">
        <w:tab/>
      </w:r>
      <w:r w:rsidRPr="00C54AFA">
        <w:tab/>
      </w:r>
      <w:r w:rsidRPr="00C54AFA">
        <w:t>意见</w:t>
      </w:r>
    </w:p>
    <w:p w:rsidR="00A63A71" w:rsidRPr="00C54AFA" w:rsidRDefault="00BC4B0A" w:rsidP="00BC770C">
      <w:pPr>
        <w:pStyle w:val="SingleTxtGC"/>
        <w:rPr>
          <w:rFonts w:asciiTheme="majorBidi" w:hAnsiTheme="majorBidi" w:cstheme="majorBidi"/>
        </w:rPr>
      </w:pPr>
      <w:r w:rsidRPr="00C54AFA">
        <w:rPr>
          <w:rFonts w:asciiTheme="majorBidi" w:hAnsiTheme="majorBidi" w:cstheme="majorBidi"/>
        </w:rPr>
        <w:t>7</w:t>
      </w:r>
      <w:r w:rsidR="00C54AFA" w:rsidRPr="00C54AFA">
        <w:rPr>
          <w:rFonts w:asciiTheme="majorBidi" w:hAnsiTheme="majorBidi" w:cstheme="majorBidi"/>
        </w:rPr>
        <w:t>4.</w:t>
      </w:r>
      <w:r w:rsidR="00BC770C" w:rsidRPr="00C54AFA">
        <w:rPr>
          <w:rFonts w:asciiTheme="majorBidi" w:hAnsiTheme="majorBidi" w:cstheme="majorBidi"/>
        </w:rPr>
        <w:t xml:space="preserve">  </w:t>
      </w:r>
      <w:r w:rsidR="00A63A71" w:rsidRPr="00C54AFA">
        <w:rPr>
          <w:rFonts w:asciiTheme="majorBidi" w:hAnsiTheme="majorBidi" w:cstheme="majorBidi"/>
        </w:rPr>
        <w:t>工作组提醒该国政府</w:t>
      </w:r>
      <w:r w:rsidR="00C54AFA" w:rsidRPr="00C54AFA">
        <w:rPr>
          <w:rFonts w:asciiTheme="majorBidi" w:hAnsiTheme="majorBidi" w:cstheme="majorBidi"/>
        </w:rPr>
        <w:t>，</w:t>
      </w:r>
      <w:r w:rsidR="00A63A71" w:rsidRPr="00C54AFA">
        <w:rPr>
          <w:rFonts w:asciiTheme="majorBidi" w:hAnsiTheme="majorBidi" w:cstheme="majorBidi"/>
        </w:rPr>
        <w:t>根据《宣言》第</w:t>
      </w:r>
      <w:r w:rsidRPr="00C54AFA">
        <w:rPr>
          <w:rFonts w:asciiTheme="majorBidi" w:hAnsiTheme="majorBidi" w:cstheme="majorBidi"/>
        </w:rPr>
        <w:t>2</w:t>
      </w:r>
      <w:r w:rsidR="00A63A71" w:rsidRPr="00C54AFA">
        <w:rPr>
          <w:rFonts w:asciiTheme="majorBidi" w:hAnsiTheme="majorBidi" w:cstheme="majorBidi"/>
        </w:rPr>
        <w:t>条</w:t>
      </w:r>
      <w:r w:rsidR="00C54AFA" w:rsidRPr="00C54AFA">
        <w:rPr>
          <w:rFonts w:asciiTheme="majorBidi" w:hAnsiTheme="majorBidi" w:cstheme="majorBidi"/>
        </w:rPr>
        <w:t>，</w:t>
      </w:r>
      <w:r w:rsidR="00A63A71" w:rsidRPr="00C54AFA">
        <w:rPr>
          <w:rFonts w:asciiTheme="majorBidi" w:hAnsiTheme="majorBidi" w:cstheme="majorBidi"/>
        </w:rPr>
        <w:t>任何国家都不应进行、允许或容忍强迫失踪。</w:t>
      </w:r>
    </w:p>
    <w:p w:rsidR="00A63A71" w:rsidRPr="00C54AFA" w:rsidRDefault="00A63A71" w:rsidP="00116230">
      <w:pPr>
        <w:pStyle w:val="H1GC"/>
      </w:pPr>
      <w:r w:rsidRPr="00C54AFA">
        <w:tab/>
      </w:r>
      <w:r w:rsidRPr="00C54AFA">
        <w:tab/>
      </w:r>
      <w:r w:rsidRPr="00C54AFA">
        <w:t>墨西哥</w:t>
      </w:r>
    </w:p>
    <w:p w:rsidR="00A63A71" w:rsidRPr="00C54AFA" w:rsidRDefault="00A63A71" w:rsidP="00116230">
      <w:pPr>
        <w:pStyle w:val="H23GC"/>
      </w:pPr>
      <w:r w:rsidRPr="00C54AFA">
        <w:tab/>
      </w:r>
      <w:r w:rsidRPr="00C54AFA">
        <w:tab/>
      </w:r>
      <w:r w:rsidRPr="00C54AFA">
        <w:t>紧急行动</w:t>
      </w:r>
    </w:p>
    <w:p w:rsidR="00A63A71" w:rsidRPr="00C54AFA" w:rsidRDefault="00BC4B0A" w:rsidP="00BC770C">
      <w:pPr>
        <w:pStyle w:val="SingleTxtGC"/>
        <w:rPr>
          <w:rFonts w:asciiTheme="majorBidi" w:hAnsiTheme="majorBidi" w:cstheme="majorBidi"/>
        </w:rPr>
      </w:pPr>
      <w:r w:rsidRPr="00C54AFA">
        <w:rPr>
          <w:rFonts w:asciiTheme="majorBidi" w:hAnsiTheme="majorBidi" w:cstheme="majorBidi"/>
        </w:rPr>
        <w:t>7</w:t>
      </w:r>
      <w:r w:rsidR="00C54AFA" w:rsidRPr="00C54AFA">
        <w:rPr>
          <w:rFonts w:asciiTheme="majorBidi" w:hAnsiTheme="majorBidi" w:cstheme="majorBidi"/>
        </w:rPr>
        <w:t>5.</w:t>
      </w:r>
      <w:r w:rsidR="00BC770C"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8</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工作组按照紧急行动程序向该国政府转交了关于</w:t>
      </w:r>
      <w:r w:rsidRPr="00C54AFA">
        <w:rPr>
          <w:rFonts w:asciiTheme="majorBidi" w:hAnsiTheme="majorBidi" w:cstheme="majorBidi"/>
        </w:rPr>
        <w:t>Jos</w:t>
      </w:r>
      <w:r w:rsidR="00A63A71" w:rsidRPr="00C54AFA">
        <w:rPr>
          <w:rFonts w:asciiTheme="majorBidi" w:hAnsiTheme="majorBidi" w:cstheme="majorBidi"/>
        </w:rPr>
        <w:t xml:space="preserve">é </w:t>
      </w:r>
      <w:r w:rsidRPr="00C54AFA">
        <w:rPr>
          <w:rFonts w:asciiTheme="majorBidi" w:hAnsiTheme="majorBidi" w:cstheme="majorBidi"/>
        </w:rPr>
        <w:t>Moises</w:t>
      </w:r>
      <w:r w:rsidR="00A63A71" w:rsidRPr="00C54AFA">
        <w:rPr>
          <w:rFonts w:asciiTheme="majorBidi" w:hAnsiTheme="majorBidi" w:cstheme="majorBidi"/>
        </w:rPr>
        <w:t xml:space="preserve"> </w:t>
      </w:r>
      <w:r w:rsidRPr="00C54AFA">
        <w:rPr>
          <w:rFonts w:asciiTheme="majorBidi" w:hAnsiTheme="majorBidi" w:cstheme="majorBidi"/>
        </w:rPr>
        <w:t>Sanchez</w:t>
      </w:r>
      <w:r w:rsidR="00A63A71" w:rsidRPr="00C54AFA">
        <w:rPr>
          <w:rFonts w:asciiTheme="majorBidi" w:hAnsiTheme="majorBidi" w:cstheme="majorBidi"/>
        </w:rPr>
        <w:t xml:space="preserve"> </w:t>
      </w:r>
      <w:r w:rsidRPr="00C54AFA">
        <w:rPr>
          <w:rFonts w:asciiTheme="majorBidi" w:hAnsiTheme="majorBidi" w:cstheme="majorBidi"/>
        </w:rPr>
        <w:t>Cerezo</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据称他在韦拉克鲁斯</w:t>
      </w:r>
      <w:r w:rsidRPr="00C54AFA">
        <w:rPr>
          <w:rFonts w:asciiTheme="majorBidi" w:hAnsiTheme="majorBidi" w:cstheme="majorBidi"/>
        </w:rPr>
        <w:t>Medell</w:t>
      </w:r>
      <w:r w:rsidR="00A63A71" w:rsidRPr="00C54AFA">
        <w:rPr>
          <w:rFonts w:asciiTheme="majorBidi" w:hAnsiTheme="majorBidi" w:cstheme="majorBidi"/>
        </w:rPr>
        <w:t>í</w:t>
      </w:r>
      <w:r w:rsidRPr="00C54AFA">
        <w:rPr>
          <w:rFonts w:asciiTheme="majorBidi" w:hAnsiTheme="majorBidi" w:cstheme="majorBidi"/>
        </w:rPr>
        <w:t>n</w:t>
      </w:r>
      <w:r w:rsidR="00A63A71" w:rsidRPr="00C54AFA">
        <w:rPr>
          <w:rFonts w:asciiTheme="majorBidi" w:hAnsiTheme="majorBidi" w:cstheme="majorBidi"/>
        </w:rPr>
        <w:t xml:space="preserve"> </w:t>
      </w:r>
      <w:r w:rsidRPr="00C54AFA">
        <w:rPr>
          <w:rFonts w:asciiTheme="majorBidi" w:hAnsiTheme="majorBidi" w:cstheme="majorBidi"/>
        </w:rPr>
        <w:t>de</w:t>
      </w:r>
      <w:r w:rsidR="00A63A71" w:rsidRPr="00C54AFA">
        <w:rPr>
          <w:rFonts w:asciiTheme="majorBidi" w:hAnsiTheme="majorBidi" w:cstheme="majorBidi"/>
        </w:rPr>
        <w:t xml:space="preserve"> </w:t>
      </w:r>
      <w:r w:rsidRPr="00C54AFA">
        <w:rPr>
          <w:rFonts w:asciiTheme="majorBidi" w:hAnsiTheme="majorBidi" w:cstheme="majorBidi"/>
        </w:rPr>
        <w:t>Bravo</w:t>
      </w:r>
      <w:r w:rsidR="00A63A71" w:rsidRPr="00C54AFA">
        <w:rPr>
          <w:rFonts w:asciiTheme="majorBidi" w:hAnsiTheme="majorBidi" w:cstheme="majorBidi"/>
        </w:rPr>
        <w:t>被据报与该市市长有关的武装人员逮捕。</w:t>
      </w:r>
    </w:p>
    <w:p w:rsidR="00A63A71" w:rsidRPr="00C54AFA" w:rsidRDefault="00A63A71" w:rsidP="00116230">
      <w:pPr>
        <w:pStyle w:val="H23GC"/>
      </w:pPr>
      <w:r w:rsidRPr="00C54AFA">
        <w:tab/>
      </w:r>
      <w:r w:rsidRPr="00C54AFA">
        <w:tab/>
      </w:r>
      <w:r w:rsidRPr="00C54AFA">
        <w:t>标准程序</w:t>
      </w:r>
    </w:p>
    <w:p w:rsidR="00A63A71" w:rsidRPr="00C54AFA" w:rsidRDefault="00BC4B0A" w:rsidP="00BC770C">
      <w:pPr>
        <w:pStyle w:val="SingleTxtGC"/>
        <w:rPr>
          <w:rFonts w:asciiTheme="majorBidi" w:hAnsiTheme="majorBidi" w:cstheme="majorBidi"/>
        </w:rPr>
      </w:pPr>
      <w:r w:rsidRPr="00C54AFA">
        <w:rPr>
          <w:rFonts w:asciiTheme="majorBidi" w:hAnsiTheme="majorBidi" w:cstheme="majorBidi"/>
        </w:rPr>
        <w:t>7</w:t>
      </w:r>
      <w:r w:rsidR="00C54AFA" w:rsidRPr="00C54AFA">
        <w:rPr>
          <w:rFonts w:asciiTheme="majorBidi" w:hAnsiTheme="majorBidi" w:cstheme="majorBidi"/>
        </w:rPr>
        <w:t>6.</w:t>
      </w:r>
      <w:r w:rsidR="00BC770C" w:rsidRPr="00C54AFA">
        <w:rPr>
          <w:rFonts w:asciiTheme="majorBidi" w:hAnsiTheme="majorBidi" w:cstheme="majorBidi"/>
        </w:rPr>
        <w:t xml:space="preserve">  </w:t>
      </w:r>
      <w:r w:rsidR="00A63A71" w:rsidRPr="00C54AFA">
        <w:rPr>
          <w:rFonts w:asciiTheme="majorBidi" w:hAnsiTheme="majorBidi" w:cstheme="majorBidi"/>
        </w:rPr>
        <w:t>工作组向该国政府转交了关于以下人员的</w:t>
      </w:r>
      <w:r w:rsidRPr="00C54AFA">
        <w:rPr>
          <w:rFonts w:asciiTheme="majorBidi" w:hAnsiTheme="majorBidi" w:cstheme="majorBidi"/>
        </w:rPr>
        <w:t>3</w:t>
      </w:r>
      <w:r w:rsidR="00A63A71" w:rsidRPr="00C54AFA">
        <w:rPr>
          <w:rFonts w:asciiTheme="majorBidi" w:hAnsiTheme="majorBidi" w:cstheme="majorBidi"/>
        </w:rPr>
        <w:t>起案件</w:t>
      </w:r>
      <w:r w:rsidR="00C54AFA" w:rsidRPr="00C54AFA">
        <w:rPr>
          <w:rFonts w:asciiTheme="majorBidi" w:hAnsiTheme="majorBidi" w:cstheme="majorBidi"/>
        </w:rPr>
        <w:t>：</w:t>
      </w:r>
    </w:p>
    <w:p w:rsidR="00A63A71" w:rsidRPr="00C54AFA" w:rsidRDefault="00BC4B0A" w:rsidP="00BC770C">
      <w:pPr>
        <w:pStyle w:val="SingleTxtGC"/>
        <w:numPr>
          <w:ilvl w:val="0"/>
          <w:numId w:val="13"/>
        </w:numPr>
        <w:rPr>
          <w:rFonts w:asciiTheme="majorBidi" w:hAnsiTheme="majorBidi" w:cstheme="majorBidi"/>
        </w:rPr>
      </w:pPr>
      <w:r w:rsidRPr="00C54AFA">
        <w:rPr>
          <w:rFonts w:asciiTheme="majorBidi" w:hAnsiTheme="majorBidi" w:cstheme="majorBidi"/>
        </w:rPr>
        <w:t>Erick</w:t>
      </w:r>
      <w:r w:rsidR="00A63A71" w:rsidRPr="00C54AFA">
        <w:rPr>
          <w:rFonts w:asciiTheme="majorBidi" w:hAnsiTheme="majorBidi" w:cstheme="majorBidi"/>
        </w:rPr>
        <w:t xml:space="preserve"> </w:t>
      </w:r>
      <w:r w:rsidRPr="00C54AFA">
        <w:rPr>
          <w:rFonts w:asciiTheme="majorBidi" w:hAnsiTheme="majorBidi" w:cstheme="majorBidi"/>
        </w:rPr>
        <w:t>Aguirre</w:t>
      </w:r>
      <w:r w:rsidR="00A63A71" w:rsidRPr="00C54AFA">
        <w:rPr>
          <w:rFonts w:asciiTheme="majorBidi" w:hAnsiTheme="majorBidi" w:cstheme="majorBidi"/>
        </w:rPr>
        <w:t xml:space="preserve"> </w:t>
      </w:r>
      <w:r w:rsidRPr="00C54AFA">
        <w:rPr>
          <w:rFonts w:asciiTheme="majorBidi" w:hAnsiTheme="majorBidi" w:cstheme="majorBidi"/>
        </w:rPr>
        <w:t>Balbuena</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12</w:t>
      </w:r>
      <w:r w:rsidR="00A63A71" w:rsidRPr="00C54AFA">
        <w:rPr>
          <w:rFonts w:asciiTheme="majorBidi" w:hAnsiTheme="majorBidi" w:cstheme="majorBidi"/>
        </w:rPr>
        <w:t>年</w:t>
      </w:r>
      <w:r w:rsidRPr="00C54AFA">
        <w:rPr>
          <w:rFonts w:asciiTheme="majorBidi" w:hAnsiTheme="majorBidi" w:cstheme="majorBidi"/>
        </w:rPr>
        <w:t>9</w:t>
      </w:r>
      <w:r w:rsidR="00A63A71" w:rsidRPr="00C54AFA">
        <w:rPr>
          <w:rFonts w:asciiTheme="majorBidi" w:hAnsiTheme="majorBidi" w:cstheme="majorBidi"/>
        </w:rPr>
        <w:t>月</w:t>
      </w:r>
      <w:r w:rsidRPr="00C54AFA">
        <w:rPr>
          <w:rFonts w:asciiTheme="majorBidi" w:hAnsiTheme="majorBidi" w:cstheme="majorBidi"/>
        </w:rPr>
        <w:t>24</w:t>
      </w:r>
      <w:r w:rsidR="00A63A71" w:rsidRPr="00C54AFA">
        <w:rPr>
          <w:rFonts w:asciiTheme="majorBidi" w:hAnsiTheme="majorBidi" w:cstheme="majorBidi"/>
        </w:rPr>
        <w:t>日被奇瓦瓦州华雷斯市的执行官员逮捕</w:t>
      </w:r>
      <w:r w:rsidR="00C54AFA" w:rsidRPr="00C54AFA">
        <w:rPr>
          <w:rFonts w:asciiTheme="majorBidi" w:hAnsiTheme="majorBidi" w:cstheme="majorBidi"/>
        </w:rPr>
        <w:t>；</w:t>
      </w:r>
    </w:p>
    <w:p w:rsidR="00A63A71" w:rsidRPr="00C54AFA" w:rsidRDefault="00BC4B0A" w:rsidP="00BC770C">
      <w:pPr>
        <w:pStyle w:val="SingleTxtGC"/>
        <w:numPr>
          <w:ilvl w:val="0"/>
          <w:numId w:val="13"/>
        </w:numPr>
        <w:rPr>
          <w:rFonts w:asciiTheme="majorBidi" w:hAnsiTheme="majorBidi" w:cstheme="majorBidi"/>
        </w:rPr>
      </w:pPr>
      <w:r w:rsidRPr="00C54AFA">
        <w:rPr>
          <w:rFonts w:asciiTheme="majorBidi" w:hAnsiTheme="majorBidi" w:cstheme="majorBidi"/>
        </w:rPr>
        <w:t>Javier</w:t>
      </w:r>
      <w:r w:rsidR="00A63A71" w:rsidRPr="00C54AFA">
        <w:rPr>
          <w:rFonts w:asciiTheme="majorBidi" w:hAnsiTheme="majorBidi" w:cstheme="majorBidi"/>
        </w:rPr>
        <w:t xml:space="preserve"> </w:t>
      </w:r>
      <w:r w:rsidRPr="00C54AFA">
        <w:rPr>
          <w:rFonts w:asciiTheme="majorBidi" w:hAnsiTheme="majorBidi" w:cstheme="majorBidi"/>
        </w:rPr>
        <w:t>Bahena</w:t>
      </w:r>
      <w:r w:rsidR="00A63A71" w:rsidRPr="00C54AFA">
        <w:rPr>
          <w:rFonts w:asciiTheme="majorBidi" w:hAnsiTheme="majorBidi" w:cstheme="majorBidi"/>
        </w:rPr>
        <w:t xml:space="preserve"> </w:t>
      </w:r>
      <w:r w:rsidRPr="00C54AFA">
        <w:rPr>
          <w:rFonts w:asciiTheme="majorBidi" w:hAnsiTheme="majorBidi" w:cstheme="majorBidi"/>
        </w:rPr>
        <w:t>Ambriz</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3</w:t>
      </w:r>
      <w:r w:rsidR="00A63A71" w:rsidRPr="00C54AFA">
        <w:rPr>
          <w:rFonts w:asciiTheme="majorBidi" w:hAnsiTheme="majorBidi" w:cstheme="majorBidi"/>
        </w:rPr>
        <w:t>月</w:t>
      </w:r>
      <w:r w:rsidRPr="00C54AFA">
        <w:rPr>
          <w:rFonts w:asciiTheme="majorBidi" w:hAnsiTheme="majorBidi" w:cstheme="majorBidi"/>
        </w:rPr>
        <w:t>2</w:t>
      </w:r>
      <w:r w:rsidR="00A63A71" w:rsidRPr="00C54AFA">
        <w:rPr>
          <w:rFonts w:asciiTheme="majorBidi" w:hAnsiTheme="majorBidi" w:cstheme="majorBidi"/>
        </w:rPr>
        <w:t>0</w:t>
      </w:r>
      <w:r w:rsidR="00A63A71" w:rsidRPr="00C54AFA">
        <w:rPr>
          <w:rFonts w:asciiTheme="majorBidi" w:hAnsiTheme="majorBidi" w:cstheme="majorBidi"/>
        </w:rPr>
        <w:t>日被科库拉警察绑架。按照工作组的工作方法</w:t>
      </w:r>
      <w:r w:rsidR="00C54AFA" w:rsidRPr="00C54AFA">
        <w:rPr>
          <w:rFonts w:asciiTheme="majorBidi" w:hAnsiTheme="majorBidi" w:cstheme="majorBidi"/>
        </w:rPr>
        <w:t>，</w:t>
      </w:r>
      <w:r w:rsidR="00A63A71" w:rsidRPr="00C54AFA">
        <w:rPr>
          <w:rFonts w:asciiTheme="majorBidi" w:hAnsiTheme="majorBidi" w:cstheme="majorBidi"/>
        </w:rPr>
        <w:t>美利坚合众国政府收到了该案件的一份副本</w:t>
      </w:r>
      <w:r w:rsidR="00C54AFA" w:rsidRPr="00C54AFA">
        <w:rPr>
          <w:rFonts w:asciiTheme="majorBidi" w:hAnsiTheme="majorBidi" w:cstheme="majorBidi"/>
        </w:rPr>
        <w:t>；</w:t>
      </w:r>
    </w:p>
    <w:p w:rsidR="00A63A71" w:rsidRPr="00C54AFA" w:rsidRDefault="00BC4B0A" w:rsidP="00BC770C">
      <w:pPr>
        <w:pStyle w:val="SingleTxtGC"/>
        <w:numPr>
          <w:ilvl w:val="0"/>
          <w:numId w:val="13"/>
        </w:numPr>
        <w:rPr>
          <w:rFonts w:asciiTheme="majorBidi" w:hAnsiTheme="majorBidi" w:cstheme="majorBidi"/>
        </w:rPr>
      </w:pPr>
      <w:r w:rsidRPr="00C54AFA">
        <w:rPr>
          <w:rFonts w:asciiTheme="majorBidi" w:hAnsiTheme="majorBidi" w:cstheme="majorBidi"/>
        </w:rPr>
        <w:t>Salvador</w:t>
      </w:r>
      <w:r w:rsidR="00A63A71" w:rsidRPr="00C54AFA">
        <w:rPr>
          <w:rFonts w:asciiTheme="majorBidi" w:hAnsiTheme="majorBidi" w:cstheme="majorBidi"/>
        </w:rPr>
        <w:t xml:space="preserve"> </w:t>
      </w:r>
      <w:r w:rsidRPr="00C54AFA">
        <w:rPr>
          <w:rFonts w:asciiTheme="majorBidi" w:hAnsiTheme="majorBidi" w:cstheme="majorBidi"/>
        </w:rPr>
        <w:t>Mac</w:t>
      </w:r>
      <w:r w:rsidR="00A63A71" w:rsidRPr="00C54AFA">
        <w:rPr>
          <w:rFonts w:asciiTheme="majorBidi" w:hAnsiTheme="majorBidi" w:cstheme="majorBidi"/>
        </w:rPr>
        <w:t>í</w:t>
      </w:r>
      <w:r w:rsidRPr="00C54AFA">
        <w:rPr>
          <w:rFonts w:asciiTheme="majorBidi" w:hAnsiTheme="majorBidi" w:cstheme="majorBidi"/>
        </w:rPr>
        <w:t>as</w:t>
      </w:r>
      <w:r w:rsidR="00A63A71" w:rsidRPr="00C54AFA">
        <w:rPr>
          <w:rFonts w:asciiTheme="majorBidi" w:hAnsiTheme="majorBidi" w:cstheme="majorBidi"/>
        </w:rPr>
        <w:t xml:space="preserve"> </w:t>
      </w:r>
      <w:r w:rsidRPr="00C54AFA">
        <w:rPr>
          <w:rFonts w:asciiTheme="majorBidi" w:hAnsiTheme="majorBidi" w:cstheme="majorBidi"/>
        </w:rPr>
        <w:t>Moreno</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3</w:t>
      </w:r>
      <w:r w:rsidR="00A63A71" w:rsidRPr="00C54AFA">
        <w:rPr>
          <w:rFonts w:asciiTheme="majorBidi" w:hAnsiTheme="majorBidi" w:cstheme="majorBidi"/>
        </w:rPr>
        <w:t>日被米却肯州阿帕钦甘市警察绑架。</w:t>
      </w:r>
    </w:p>
    <w:p w:rsidR="00A63A71" w:rsidRPr="00C54AFA" w:rsidRDefault="00A63A71" w:rsidP="00116230">
      <w:pPr>
        <w:pStyle w:val="H23GC"/>
      </w:pPr>
      <w:r w:rsidRPr="00C54AFA">
        <w:lastRenderedPageBreak/>
        <w:tab/>
      </w:r>
      <w:r w:rsidRPr="00C54AFA">
        <w:tab/>
      </w:r>
      <w:r w:rsidRPr="00C54AFA">
        <w:t>紧急呼吁</w:t>
      </w:r>
    </w:p>
    <w:p w:rsidR="00A63A71" w:rsidRPr="00C54AFA" w:rsidRDefault="00BC4B0A" w:rsidP="00BC770C">
      <w:pPr>
        <w:pStyle w:val="SingleTxtGC"/>
        <w:rPr>
          <w:rFonts w:asciiTheme="majorBidi" w:hAnsiTheme="majorBidi" w:cstheme="majorBidi"/>
        </w:rPr>
      </w:pPr>
      <w:r w:rsidRPr="00C54AFA">
        <w:rPr>
          <w:rFonts w:asciiTheme="majorBidi" w:hAnsiTheme="majorBidi" w:cstheme="majorBidi"/>
        </w:rPr>
        <w:t>7</w:t>
      </w:r>
      <w:r w:rsidR="00C54AFA" w:rsidRPr="00C54AFA">
        <w:rPr>
          <w:rFonts w:asciiTheme="majorBidi" w:hAnsiTheme="majorBidi" w:cstheme="majorBidi"/>
        </w:rPr>
        <w:t>7.</w:t>
      </w:r>
      <w:r w:rsidR="00BC770C"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3</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工作组与其他两个特别程序机制向该国政府联合转发了一份紧急呼吁</w:t>
      </w:r>
      <w:r w:rsidR="00C54AFA" w:rsidRPr="00C54AFA">
        <w:rPr>
          <w:rFonts w:asciiTheme="majorBidi" w:hAnsiTheme="majorBidi" w:cstheme="majorBidi"/>
        </w:rPr>
        <w:t>，</w:t>
      </w:r>
      <w:r w:rsidR="00A63A71" w:rsidRPr="00C54AFA">
        <w:rPr>
          <w:rFonts w:asciiTheme="majorBidi" w:hAnsiTheme="majorBidi" w:cstheme="majorBidi"/>
        </w:rPr>
        <w:t>涉及一项关于法外处决和将学生从格雷罗州伊瓜拉强迫失踪的指控。据报告</w:t>
      </w:r>
      <w:r w:rsidR="00C54AFA" w:rsidRPr="00C54AFA">
        <w:rPr>
          <w:rFonts w:asciiTheme="majorBidi" w:hAnsiTheme="majorBidi" w:cstheme="majorBidi"/>
        </w:rPr>
        <w:t>，</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9</w:t>
      </w:r>
      <w:r w:rsidR="00A63A71" w:rsidRPr="00C54AFA">
        <w:rPr>
          <w:rFonts w:asciiTheme="majorBidi" w:hAnsiTheme="majorBidi" w:cstheme="majorBidi"/>
        </w:rPr>
        <w:t>月</w:t>
      </w:r>
      <w:r w:rsidRPr="00C54AFA">
        <w:rPr>
          <w:rFonts w:asciiTheme="majorBidi" w:hAnsiTheme="majorBidi" w:cstheme="majorBidi"/>
        </w:rPr>
        <w:t>26</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载有大约</w:t>
      </w:r>
      <w:r w:rsidRPr="00C54AFA">
        <w:rPr>
          <w:rFonts w:asciiTheme="majorBidi" w:hAnsiTheme="majorBidi" w:cstheme="majorBidi"/>
        </w:rPr>
        <w:t>8</w:t>
      </w:r>
      <w:r w:rsidR="00A63A71" w:rsidRPr="00C54AFA">
        <w:rPr>
          <w:rFonts w:asciiTheme="majorBidi" w:hAnsiTheme="majorBidi" w:cstheme="majorBidi"/>
        </w:rPr>
        <w:t>0</w:t>
      </w:r>
      <w:r w:rsidR="00A63A71" w:rsidRPr="00C54AFA">
        <w:rPr>
          <w:rFonts w:asciiTheme="majorBidi" w:hAnsiTheme="majorBidi" w:cstheme="majorBidi"/>
        </w:rPr>
        <w:t>名学生将其从伊瓜拉运往奇尔潘辛戈的大巴车被警察巡逻队拦截并遭到枪击。</w:t>
      </w:r>
      <w:r w:rsidRPr="00C54AFA">
        <w:rPr>
          <w:rFonts w:asciiTheme="majorBidi" w:hAnsiTheme="majorBidi" w:cstheme="majorBidi"/>
        </w:rPr>
        <w:t>43</w:t>
      </w:r>
      <w:r w:rsidR="00A63A71" w:rsidRPr="00C54AFA">
        <w:rPr>
          <w:rFonts w:asciiTheme="majorBidi" w:hAnsiTheme="majorBidi" w:cstheme="majorBidi"/>
        </w:rPr>
        <w:t>名学生的命运和下落仍然未知。</w:t>
      </w:r>
    </w:p>
    <w:p w:rsidR="00A63A71" w:rsidRPr="00C54AFA" w:rsidRDefault="00BC4B0A" w:rsidP="00BC770C">
      <w:pPr>
        <w:pStyle w:val="SingleTxtGC"/>
        <w:rPr>
          <w:rFonts w:asciiTheme="majorBidi" w:hAnsiTheme="majorBidi" w:cstheme="majorBidi"/>
        </w:rPr>
      </w:pPr>
      <w:r w:rsidRPr="00C54AFA">
        <w:rPr>
          <w:rFonts w:asciiTheme="majorBidi" w:hAnsiTheme="majorBidi" w:cstheme="majorBidi"/>
        </w:rPr>
        <w:t>7</w:t>
      </w:r>
      <w:r w:rsidR="00C54AFA" w:rsidRPr="00C54AFA">
        <w:rPr>
          <w:rFonts w:asciiTheme="majorBidi" w:hAnsiTheme="majorBidi" w:cstheme="majorBidi"/>
        </w:rPr>
        <w:t>8.</w:t>
      </w:r>
      <w:r w:rsidR="00BC770C"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w:t>
      </w:r>
      <w:r w:rsidRPr="00C54AFA">
        <w:rPr>
          <w:rFonts w:asciiTheme="majorBidi" w:hAnsiTheme="majorBidi" w:cstheme="majorBidi"/>
        </w:rPr>
        <w:t>23</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工作组与其他四个特别程序机制向该国政府联合转发了一份紧急呼吁</w:t>
      </w:r>
      <w:r w:rsidR="00C54AFA" w:rsidRPr="00C54AFA">
        <w:rPr>
          <w:rFonts w:asciiTheme="majorBidi" w:hAnsiTheme="majorBidi" w:cstheme="majorBidi"/>
        </w:rPr>
        <w:t>，</w:t>
      </w:r>
      <w:r w:rsidR="00A63A71" w:rsidRPr="00C54AFA">
        <w:rPr>
          <w:rFonts w:asciiTheme="majorBidi" w:hAnsiTheme="majorBidi" w:cstheme="majorBidi"/>
        </w:rPr>
        <w:t>涉及一项关于任意拘留、酷刑和限制辩护权的指控。据报告</w:t>
      </w:r>
      <w:r w:rsidR="00C54AFA" w:rsidRPr="00C54AFA">
        <w:rPr>
          <w:rFonts w:asciiTheme="majorBidi" w:hAnsiTheme="majorBidi" w:cstheme="majorBidi"/>
        </w:rPr>
        <w:t>，</w:t>
      </w:r>
      <w:r w:rsidRPr="00C54AFA">
        <w:rPr>
          <w:rFonts w:asciiTheme="majorBidi" w:hAnsiTheme="majorBidi" w:cstheme="majorBidi"/>
        </w:rPr>
        <w:t>Salgado</w:t>
      </w:r>
      <w:r w:rsidR="00A63A71" w:rsidRPr="00C54AFA">
        <w:rPr>
          <w:rFonts w:asciiTheme="majorBidi" w:hAnsiTheme="majorBidi" w:cstheme="majorBidi"/>
        </w:rPr>
        <w:t>先生于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15</w:t>
      </w:r>
      <w:r w:rsidR="00A63A71" w:rsidRPr="00C54AFA">
        <w:rPr>
          <w:rFonts w:asciiTheme="majorBidi" w:hAnsiTheme="majorBidi" w:cstheme="majorBidi"/>
        </w:rPr>
        <w:t>日在墨西哥州托卢卡被联邦执行警察逮捕</w:t>
      </w:r>
      <w:r w:rsidR="00C54AFA" w:rsidRPr="00C54AFA">
        <w:rPr>
          <w:rFonts w:asciiTheme="majorBidi" w:hAnsiTheme="majorBidi" w:cstheme="majorBidi"/>
        </w:rPr>
        <w:t>，</w:t>
      </w:r>
      <w:r w:rsidR="00A63A71" w:rsidRPr="00C54AFA">
        <w:rPr>
          <w:rFonts w:asciiTheme="majorBidi" w:hAnsiTheme="majorBidi" w:cstheme="majorBidi"/>
        </w:rPr>
        <w:t>据称多日受到酷刑</w:t>
      </w:r>
      <w:r w:rsidR="00C54AFA" w:rsidRPr="00C54AFA">
        <w:rPr>
          <w:rFonts w:asciiTheme="majorBidi" w:hAnsiTheme="majorBidi" w:cstheme="majorBidi"/>
        </w:rPr>
        <w:t>，</w:t>
      </w:r>
      <w:r w:rsidR="00A63A71" w:rsidRPr="00C54AFA">
        <w:rPr>
          <w:rFonts w:asciiTheme="majorBidi" w:hAnsiTheme="majorBidi" w:cstheme="majorBidi"/>
        </w:rPr>
        <w:t>以迫使他签署一份执行声明。</w:t>
      </w:r>
    </w:p>
    <w:p w:rsidR="00A63A71" w:rsidRPr="00C54AFA" w:rsidRDefault="00132061" w:rsidP="00116230">
      <w:pPr>
        <w:pStyle w:val="H23GC"/>
      </w:pPr>
      <w:r>
        <w:tab/>
      </w:r>
      <w:r>
        <w:tab/>
      </w:r>
      <w:r w:rsidR="00A63A71" w:rsidRPr="00C54AFA">
        <w:t>迅速干预函</w:t>
      </w:r>
    </w:p>
    <w:p w:rsidR="00A63A71" w:rsidRPr="00C54AFA" w:rsidRDefault="00BC4B0A" w:rsidP="00BC770C">
      <w:pPr>
        <w:pStyle w:val="SingleTxtGC"/>
        <w:rPr>
          <w:rFonts w:asciiTheme="majorBidi" w:hAnsiTheme="majorBidi" w:cstheme="majorBidi"/>
          <w:spacing w:val="-2"/>
        </w:rPr>
      </w:pPr>
      <w:r w:rsidRPr="00C54AFA">
        <w:rPr>
          <w:rFonts w:asciiTheme="majorBidi" w:hAnsiTheme="majorBidi" w:cstheme="majorBidi"/>
        </w:rPr>
        <w:t>7</w:t>
      </w:r>
      <w:r w:rsidR="00C54AFA" w:rsidRPr="00C54AFA">
        <w:rPr>
          <w:rFonts w:asciiTheme="majorBidi" w:hAnsiTheme="majorBidi" w:cstheme="majorBidi"/>
        </w:rPr>
        <w:t>9.</w:t>
      </w:r>
      <w:r w:rsidR="00BC770C" w:rsidRPr="00C54AFA">
        <w:rPr>
          <w:rFonts w:asciiTheme="majorBidi" w:hAnsiTheme="majorBidi" w:cstheme="majorBidi"/>
        </w:rPr>
        <w:t xml:space="preserve">  </w:t>
      </w:r>
      <w:r w:rsidRPr="00C54AFA">
        <w:rPr>
          <w:rFonts w:asciiTheme="majorBidi" w:hAnsiTheme="majorBidi" w:cstheme="majorBidi"/>
          <w:spacing w:val="-2"/>
        </w:rPr>
        <w:t>2</w:t>
      </w:r>
      <w:r w:rsidR="00A63A71" w:rsidRPr="00C54AFA">
        <w:rPr>
          <w:rFonts w:asciiTheme="majorBidi" w:hAnsiTheme="majorBidi" w:cstheme="majorBidi"/>
          <w:spacing w:val="-2"/>
        </w:rPr>
        <w:t>0</w:t>
      </w:r>
      <w:r w:rsidRPr="00C54AFA">
        <w:rPr>
          <w:rFonts w:asciiTheme="majorBidi" w:hAnsiTheme="majorBidi" w:cstheme="majorBidi"/>
          <w:spacing w:val="-2"/>
        </w:rPr>
        <w:t>14</w:t>
      </w:r>
      <w:r w:rsidR="00A63A71" w:rsidRPr="00C54AFA">
        <w:rPr>
          <w:rFonts w:asciiTheme="majorBidi" w:hAnsiTheme="majorBidi" w:cstheme="majorBidi"/>
          <w:spacing w:val="-2"/>
        </w:rPr>
        <w:t>年</w:t>
      </w:r>
      <w:r w:rsidRPr="00C54AFA">
        <w:rPr>
          <w:rFonts w:asciiTheme="majorBidi" w:hAnsiTheme="majorBidi" w:cstheme="majorBidi"/>
          <w:spacing w:val="-2"/>
        </w:rPr>
        <w:t>11</w:t>
      </w:r>
      <w:r w:rsidR="00A63A71" w:rsidRPr="00C54AFA">
        <w:rPr>
          <w:rFonts w:asciiTheme="majorBidi" w:hAnsiTheme="majorBidi" w:cstheme="majorBidi"/>
          <w:spacing w:val="-2"/>
        </w:rPr>
        <w:t>月</w:t>
      </w:r>
      <w:r w:rsidRPr="00C54AFA">
        <w:rPr>
          <w:rFonts w:asciiTheme="majorBidi" w:hAnsiTheme="majorBidi" w:cstheme="majorBidi"/>
          <w:spacing w:val="-2"/>
        </w:rPr>
        <w:t>12</w:t>
      </w:r>
      <w:r w:rsidR="00A63A71" w:rsidRPr="00C54AFA">
        <w:rPr>
          <w:rFonts w:asciiTheme="majorBidi" w:hAnsiTheme="majorBidi" w:cstheme="majorBidi"/>
          <w:spacing w:val="-2"/>
        </w:rPr>
        <w:t>日</w:t>
      </w:r>
      <w:r w:rsidR="00C54AFA" w:rsidRPr="00C54AFA">
        <w:rPr>
          <w:rFonts w:asciiTheme="majorBidi" w:hAnsiTheme="majorBidi" w:cstheme="majorBidi"/>
          <w:spacing w:val="-2"/>
        </w:rPr>
        <w:t>，</w:t>
      </w:r>
      <w:r w:rsidR="00A63A71" w:rsidRPr="00C54AFA">
        <w:rPr>
          <w:rFonts w:asciiTheme="majorBidi" w:hAnsiTheme="majorBidi" w:cstheme="majorBidi"/>
          <w:spacing w:val="-2"/>
        </w:rPr>
        <w:t>工作组向该国政府转交了一封关于对</w:t>
      </w:r>
      <w:r w:rsidRPr="00C54AFA">
        <w:rPr>
          <w:rFonts w:asciiTheme="majorBidi" w:hAnsiTheme="majorBidi" w:cstheme="majorBidi"/>
          <w:spacing w:val="-2"/>
        </w:rPr>
        <w:t>Nicomedes</w:t>
      </w:r>
      <w:r w:rsidR="00A63A71" w:rsidRPr="00C54AFA">
        <w:rPr>
          <w:rFonts w:asciiTheme="majorBidi" w:hAnsiTheme="majorBidi" w:cstheme="majorBidi"/>
          <w:spacing w:val="-2"/>
        </w:rPr>
        <w:t xml:space="preserve"> </w:t>
      </w:r>
      <w:r w:rsidRPr="00C54AFA">
        <w:rPr>
          <w:rFonts w:asciiTheme="majorBidi" w:hAnsiTheme="majorBidi" w:cstheme="majorBidi"/>
          <w:spacing w:val="-2"/>
        </w:rPr>
        <w:t>Garc</w:t>
      </w:r>
      <w:r w:rsidR="00A63A71" w:rsidRPr="00C54AFA">
        <w:rPr>
          <w:rFonts w:asciiTheme="majorBidi" w:hAnsiTheme="majorBidi" w:cstheme="majorBidi"/>
          <w:spacing w:val="-2"/>
        </w:rPr>
        <w:t>í</w:t>
      </w:r>
      <w:r w:rsidRPr="00C54AFA">
        <w:rPr>
          <w:rFonts w:asciiTheme="majorBidi" w:hAnsiTheme="majorBidi" w:cstheme="majorBidi"/>
          <w:spacing w:val="-2"/>
        </w:rPr>
        <w:t>a</w:t>
      </w:r>
      <w:r w:rsidR="00A63A71" w:rsidRPr="00C54AFA">
        <w:rPr>
          <w:rFonts w:asciiTheme="majorBidi" w:hAnsiTheme="majorBidi" w:cstheme="majorBidi"/>
          <w:spacing w:val="-2"/>
        </w:rPr>
        <w:t xml:space="preserve"> </w:t>
      </w:r>
      <w:r w:rsidRPr="00C54AFA">
        <w:rPr>
          <w:rFonts w:asciiTheme="majorBidi" w:hAnsiTheme="majorBidi" w:cstheme="majorBidi"/>
          <w:spacing w:val="-2"/>
        </w:rPr>
        <w:t>Fuentes</w:t>
      </w:r>
      <w:r w:rsidR="00A63A71" w:rsidRPr="00C54AFA">
        <w:rPr>
          <w:rFonts w:asciiTheme="majorBidi" w:hAnsiTheme="majorBidi" w:cstheme="majorBidi"/>
          <w:spacing w:val="-2"/>
        </w:rPr>
        <w:t>先生及其家人的据称恐吓行为的迅速干预函</w:t>
      </w:r>
      <w:r w:rsidR="00C54AFA" w:rsidRPr="00C54AFA">
        <w:rPr>
          <w:rFonts w:asciiTheme="majorBidi" w:hAnsiTheme="majorBidi" w:cstheme="majorBidi"/>
          <w:spacing w:val="-2"/>
        </w:rPr>
        <w:t>，</w:t>
      </w:r>
      <w:r w:rsidRPr="00C54AFA">
        <w:rPr>
          <w:rFonts w:asciiTheme="majorBidi" w:hAnsiTheme="majorBidi" w:cstheme="majorBidi"/>
          <w:spacing w:val="-2"/>
        </w:rPr>
        <w:t>Fuentes</w:t>
      </w:r>
      <w:r w:rsidR="00A63A71" w:rsidRPr="00C54AFA">
        <w:rPr>
          <w:rFonts w:asciiTheme="majorBidi" w:hAnsiTheme="majorBidi" w:cstheme="majorBidi"/>
          <w:spacing w:val="-2"/>
        </w:rPr>
        <w:t>先生是六十年代和七十年代格雷罗州肮脏战争期间发生的侵犯人权行为真相调查委员会的一名成员。</w:t>
      </w:r>
    </w:p>
    <w:p w:rsidR="00A63A71" w:rsidRPr="00C54AFA" w:rsidRDefault="00BC4B0A" w:rsidP="00BC770C">
      <w:pPr>
        <w:pStyle w:val="SingleTxtGC"/>
        <w:rPr>
          <w:rFonts w:asciiTheme="majorBidi" w:hAnsiTheme="majorBidi" w:cstheme="majorBidi"/>
        </w:rPr>
      </w:pPr>
      <w:r w:rsidRPr="00C54AFA">
        <w:rPr>
          <w:rFonts w:asciiTheme="majorBidi" w:hAnsiTheme="majorBidi" w:cstheme="majorBidi"/>
        </w:rPr>
        <w:t>8</w:t>
      </w:r>
      <w:r w:rsidR="00C54AFA" w:rsidRPr="00C54AFA">
        <w:rPr>
          <w:rFonts w:asciiTheme="majorBidi" w:hAnsiTheme="majorBidi" w:cstheme="majorBidi"/>
        </w:rPr>
        <w:t>0.</w:t>
      </w:r>
      <w:r w:rsidR="00BC770C"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16</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工作组与其他两个特别程序机制项该国政府联合转交了一封迅速干预函</w:t>
      </w:r>
      <w:r w:rsidR="00C54AFA" w:rsidRPr="00C54AFA">
        <w:rPr>
          <w:rFonts w:asciiTheme="majorBidi" w:hAnsiTheme="majorBidi" w:cstheme="majorBidi"/>
        </w:rPr>
        <w:t>，</w:t>
      </w:r>
      <w:r w:rsidR="00A63A71" w:rsidRPr="00C54AFA">
        <w:rPr>
          <w:rFonts w:asciiTheme="majorBidi" w:hAnsiTheme="majorBidi" w:cstheme="majorBidi"/>
        </w:rPr>
        <w:t>涉及墨西哥政府当局据称污辱一个支持伊瓜拉</w:t>
      </w:r>
      <w:r w:rsidRPr="00C54AFA">
        <w:rPr>
          <w:rFonts w:asciiTheme="majorBidi" w:hAnsiTheme="majorBidi" w:cstheme="majorBidi"/>
        </w:rPr>
        <w:t>43</w:t>
      </w:r>
      <w:r w:rsidR="00A63A71" w:rsidRPr="00C54AFA">
        <w:rPr>
          <w:rFonts w:asciiTheme="majorBidi" w:hAnsiTheme="majorBidi" w:cstheme="majorBidi"/>
        </w:rPr>
        <w:t>名失踪学生家庭的非政府人权组织并损害其合法性。</w:t>
      </w:r>
    </w:p>
    <w:p w:rsidR="00A63A71" w:rsidRPr="00C54AFA" w:rsidRDefault="00A63A71" w:rsidP="00116230">
      <w:pPr>
        <w:pStyle w:val="H23GC"/>
      </w:pPr>
      <w:r w:rsidRPr="00C54AFA">
        <w:tab/>
      </w:r>
      <w:r w:rsidRPr="00C54AFA">
        <w:tab/>
      </w:r>
      <w:r w:rsidRPr="00C54AFA">
        <w:t>新闻稿</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8</w:t>
      </w:r>
      <w:r w:rsidR="00C54AFA" w:rsidRPr="00C54AFA">
        <w:rPr>
          <w:rFonts w:asciiTheme="majorBidi" w:hAnsiTheme="majorBidi" w:cstheme="majorBidi"/>
        </w:rPr>
        <w:t>1.</w:t>
      </w:r>
      <w:r w:rsidR="00527952"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工作组与其他两个特别程序机制联合发出了一份新闻稿</w:t>
      </w:r>
      <w:r w:rsidR="00C54AFA" w:rsidRPr="00C54AFA">
        <w:rPr>
          <w:rFonts w:asciiTheme="majorBidi" w:hAnsiTheme="majorBidi" w:cstheme="majorBidi"/>
        </w:rPr>
        <w:t>，</w:t>
      </w:r>
      <w:r w:rsidR="00A63A71" w:rsidRPr="00C54AFA">
        <w:rPr>
          <w:rFonts w:asciiTheme="majorBidi" w:hAnsiTheme="majorBidi" w:cstheme="majorBidi"/>
        </w:rPr>
        <w:t>促请该国政府将其努力侧重于寻找</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9</w:t>
      </w:r>
      <w:r w:rsidR="00A63A71" w:rsidRPr="00C54AFA">
        <w:rPr>
          <w:rFonts w:asciiTheme="majorBidi" w:hAnsiTheme="majorBidi" w:cstheme="majorBidi"/>
        </w:rPr>
        <w:t>月</w:t>
      </w:r>
      <w:r w:rsidRPr="00C54AFA">
        <w:rPr>
          <w:rFonts w:asciiTheme="majorBidi" w:hAnsiTheme="majorBidi" w:cstheme="majorBidi"/>
        </w:rPr>
        <w:t>26</w:t>
      </w:r>
      <w:r w:rsidR="00A63A71" w:rsidRPr="00C54AFA">
        <w:rPr>
          <w:rFonts w:asciiTheme="majorBidi" w:hAnsiTheme="majorBidi" w:cstheme="majorBidi"/>
        </w:rPr>
        <w:t>日从伊瓜拉消失的学生并彻查这些事件的真相。它呼吁惩罚做恶人和保护受害者家属和那些调查受害人命运和下落的人或支持为确定其命运和下落所作努力的人。</w:t>
      </w:r>
    </w:p>
    <w:p w:rsidR="00A63A71" w:rsidRPr="00C54AFA" w:rsidRDefault="00A63A71" w:rsidP="00116230">
      <w:pPr>
        <w:pStyle w:val="H23GC"/>
      </w:pPr>
      <w:r w:rsidRPr="00C54AFA">
        <w:tab/>
      </w:r>
      <w:r w:rsidRPr="00C54AFA">
        <w:tab/>
      </w:r>
      <w:r w:rsidRPr="00C54AFA">
        <w:t>政府提供的资料</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8</w:t>
      </w:r>
      <w:r w:rsidR="00C54AFA" w:rsidRPr="00C54AFA">
        <w:rPr>
          <w:rFonts w:asciiTheme="majorBidi" w:hAnsiTheme="majorBidi" w:cstheme="majorBidi"/>
        </w:rPr>
        <w:t>2.</w:t>
      </w:r>
      <w:r w:rsidR="00527952"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7</w:t>
      </w:r>
      <w:r w:rsidR="00A63A71" w:rsidRPr="00C54AFA">
        <w:rPr>
          <w:rFonts w:asciiTheme="majorBidi" w:hAnsiTheme="majorBidi" w:cstheme="majorBidi"/>
        </w:rPr>
        <w:t>日和</w:t>
      </w:r>
      <w:r w:rsidRPr="00C54AFA">
        <w:rPr>
          <w:rFonts w:asciiTheme="majorBidi" w:hAnsiTheme="majorBidi" w:cstheme="majorBidi"/>
        </w:rPr>
        <w:t>13</w:t>
      </w:r>
      <w:r w:rsidR="00A63A71" w:rsidRPr="00C54AFA">
        <w:rPr>
          <w:rFonts w:asciiTheme="majorBidi" w:hAnsiTheme="majorBidi" w:cstheme="majorBidi"/>
        </w:rPr>
        <w:t>日、</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3</w:t>
      </w:r>
      <w:r w:rsidR="00A63A71" w:rsidRPr="00C54AFA">
        <w:rPr>
          <w:rFonts w:asciiTheme="majorBidi" w:hAnsiTheme="majorBidi" w:cstheme="majorBidi"/>
        </w:rPr>
        <w:t>日和</w:t>
      </w:r>
      <w:r w:rsidRPr="00C54AFA">
        <w:rPr>
          <w:rFonts w:asciiTheme="majorBidi" w:hAnsiTheme="majorBidi" w:cstheme="majorBidi"/>
        </w:rPr>
        <w:t>24</w:t>
      </w:r>
      <w:r w:rsidR="00A63A71" w:rsidRPr="00C54AFA">
        <w:rPr>
          <w:rFonts w:asciiTheme="majorBidi" w:hAnsiTheme="majorBidi" w:cstheme="majorBidi"/>
        </w:rPr>
        <w:t>日以及</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21</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该国政府转达了关于</w:t>
      </w:r>
      <w:r w:rsidRPr="00C54AFA">
        <w:rPr>
          <w:rFonts w:asciiTheme="majorBidi" w:hAnsiTheme="majorBidi" w:cstheme="majorBidi"/>
        </w:rPr>
        <w:t>12</w:t>
      </w:r>
      <w:r w:rsidR="00A63A71" w:rsidRPr="00C54AFA">
        <w:rPr>
          <w:rFonts w:asciiTheme="majorBidi" w:hAnsiTheme="majorBidi" w:cstheme="majorBidi"/>
        </w:rPr>
        <w:t>起未决案件的信函。</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8</w:t>
      </w:r>
      <w:r w:rsidR="00C54AFA" w:rsidRPr="00C54AFA">
        <w:rPr>
          <w:rFonts w:asciiTheme="majorBidi" w:hAnsiTheme="majorBidi" w:cstheme="majorBidi"/>
        </w:rPr>
        <w:t>3.</w:t>
      </w:r>
      <w:r w:rsidR="00527952"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3</w:t>
      </w:r>
      <w:r w:rsidR="00A63A71" w:rsidRPr="00C54AFA">
        <w:rPr>
          <w:rFonts w:asciiTheme="majorBidi" w:hAnsiTheme="majorBidi" w:cstheme="majorBidi"/>
        </w:rPr>
        <w:t>日曾发出关于</w:t>
      </w:r>
      <w:r w:rsidRPr="00C54AFA">
        <w:rPr>
          <w:rFonts w:asciiTheme="majorBidi" w:hAnsiTheme="majorBidi" w:cstheme="majorBidi"/>
        </w:rPr>
        <w:t>43</w:t>
      </w:r>
      <w:r w:rsidR="00A63A71" w:rsidRPr="00C54AFA">
        <w:rPr>
          <w:rFonts w:asciiTheme="majorBidi" w:hAnsiTheme="majorBidi" w:cstheme="majorBidi"/>
        </w:rPr>
        <w:t>名学生在伊瓜拉被强迫失踪事件的联合紧急呼吁</w:t>
      </w:r>
      <w:r w:rsidR="00C54AFA" w:rsidRPr="00C54AFA">
        <w:rPr>
          <w:rFonts w:asciiTheme="majorBidi" w:hAnsiTheme="majorBidi" w:cstheme="majorBidi"/>
        </w:rPr>
        <w:t>；</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11</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该国政府就此作出答复。在答复中</w:t>
      </w:r>
      <w:r w:rsidR="00C54AFA" w:rsidRPr="00C54AFA">
        <w:rPr>
          <w:rFonts w:asciiTheme="majorBidi" w:hAnsiTheme="majorBidi" w:cstheme="majorBidi"/>
        </w:rPr>
        <w:t>，</w:t>
      </w:r>
      <w:r w:rsidR="00A63A71" w:rsidRPr="00C54AFA">
        <w:rPr>
          <w:rFonts w:asciiTheme="majorBidi" w:hAnsiTheme="majorBidi" w:cstheme="majorBidi"/>
        </w:rPr>
        <w:t>该国政府提供了关于调查、寻找失踪学生和确定据称责任方等情况的资料。它还介绍了为受害者采取的措施和美洲人权委员会所提供援助的情况。</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8</w:t>
      </w:r>
      <w:r w:rsidR="00C54AFA" w:rsidRPr="00C54AFA">
        <w:rPr>
          <w:rFonts w:asciiTheme="majorBidi" w:hAnsiTheme="majorBidi" w:cstheme="majorBidi"/>
        </w:rPr>
        <w:t>4.</w:t>
      </w:r>
      <w:r w:rsidR="00527952"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14</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就据称对</w:t>
      </w:r>
      <w:r w:rsidRPr="00C54AFA">
        <w:rPr>
          <w:rFonts w:asciiTheme="majorBidi" w:hAnsiTheme="majorBidi" w:cstheme="majorBidi"/>
        </w:rPr>
        <w:t>Hector</w:t>
      </w:r>
      <w:r w:rsidR="00A63A71" w:rsidRPr="00C54AFA">
        <w:rPr>
          <w:rFonts w:asciiTheme="majorBidi" w:hAnsiTheme="majorBidi" w:cstheme="majorBidi"/>
        </w:rPr>
        <w:t xml:space="preserve"> </w:t>
      </w:r>
      <w:r w:rsidRPr="00C54AFA">
        <w:rPr>
          <w:rFonts w:asciiTheme="majorBidi" w:hAnsiTheme="majorBidi" w:cstheme="majorBidi"/>
        </w:rPr>
        <w:t>Rangel</w:t>
      </w:r>
      <w:r w:rsidR="00A63A71" w:rsidRPr="00C54AFA">
        <w:rPr>
          <w:rFonts w:asciiTheme="majorBidi" w:hAnsiTheme="majorBidi" w:cstheme="majorBidi"/>
        </w:rPr>
        <w:t xml:space="preserve"> </w:t>
      </w:r>
      <w:r w:rsidRPr="00C54AFA">
        <w:rPr>
          <w:rFonts w:asciiTheme="majorBidi" w:hAnsiTheme="majorBidi" w:cstheme="majorBidi"/>
        </w:rPr>
        <w:t>Ortiz</w:t>
      </w:r>
      <w:r w:rsidR="00A63A71" w:rsidRPr="00C54AFA">
        <w:rPr>
          <w:rFonts w:asciiTheme="majorBidi" w:hAnsiTheme="majorBidi" w:cstheme="majorBidi"/>
        </w:rPr>
        <w:t>先生亲属的据称恐吓和威胁行为</w:t>
      </w:r>
      <w:r w:rsidR="00C54AFA" w:rsidRPr="00C54AFA">
        <w:rPr>
          <w:rFonts w:asciiTheme="majorBidi" w:hAnsiTheme="majorBidi" w:cstheme="majorBidi"/>
        </w:rPr>
        <w:t>，</w:t>
      </w:r>
      <w:r w:rsidR="00A63A71" w:rsidRPr="00C54AFA">
        <w:rPr>
          <w:rFonts w:asciiTheme="majorBidi" w:hAnsiTheme="majorBidi" w:cstheme="majorBidi"/>
        </w:rPr>
        <w:t>曾发出一封迅速干预函</w:t>
      </w:r>
      <w:r w:rsidR="00C54AFA" w:rsidRPr="00C54AFA">
        <w:rPr>
          <w:rFonts w:asciiTheme="majorBidi" w:hAnsiTheme="majorBidi" w:cstheme="majorBidi"/>
        </w:rPr>
        <w:t>；</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13</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该国政府就此作出答复。在答复中</w:t>
      </w:r>
      <w:r w:rsidR="00C54AFA" w:rsidRPr="00C54AFA">
        <w:rPr>
          <w:rFonts w:asciiTheme="majorBidi" w:hAnsiTheme="majorBidi" w:cstheme="majorBidi"/>
        </w:rPr>
        <w:t>，</w:t>
      </w:r>
      <w:r w:rsidR="00A63A71" w:rsidRPr="00C54AFA">
        <w:rPr>
          <w:rFonts w:asciiTheme="majorBidi" w:hAnsiTheme="majorBidi" w:cstheme="majorBidi"/>
        </w:rPr>
        <w:t>该国政府介绍了总检察官办公室和人身安全和保护特别服务总局所采取的措施。该国政府还指出</w:t>
      </w:r>
      <w:r w:rsidR="00C54AFA" w:rsidRPr="00C54AFA">
        <w:rPr>
          <w:rFonts w:asciiTheme="majorBidi" w:hAnsiTheme="majorBidi" w:cstheme="majorBidi"/>
        </w:rPr>
        <w:t>，</w:t>
      </w:r>
      <w:r w:rsidR="00A63A71" w:rsidRPr="00C54AFA">
        <w:rPr>
          <w:rFonts w:asciiTheme="majorBidi" w:hAnsiTheme="majorBidi" w:cstheme="majorBidi"/>
        </w:rPr>
        <w:t>它正在协助</w:t>
      </w:r>
      <w:r w:rsidRPr="00C54AFA">
        <w:rPr>
          <w:rFonts w:asciiTheme="majorBidi" w:hAnsiTheme="majorBidi" w:cstheme="majorBidi"/>
        </w:rPr>
        <w:t>Rangel</w:t>
      </w:r>
      <w:r w:rsidR="00A63A71" w:rsidRPr="00C54AFA">
        <w:rPr>
          <w:rFonts w:asciiTheme="majorBidi" w:hAnsiTheme="majorBidi" w:cstheme="majorBidi"/>
        </w:rPr>
        <w:t xml:space="preserve"> </w:t>
      </w:r>
      <w:r w:rsidRPr="00C54AFA">
        <w:rPr>
          <w:rFonts w:asciiTheme="majorBidi" w:hAnsiTheme="majorBidi" w:cstheme="majorBidi"/>
        </w:rPr>
        <w:t>Ortiz</w:t>
      </w:r>
      <w:r w:rsidR="00A63A71" w:rsidRPr="00C54AFA">
        <w:rPr>
          <w:rFonts w:asciiTheme="majorBidi" w:hAnsiTheme="majorBidi" w:cstheme="majorBidi"/>
        </w:rPr>
        <w:t>先生的亲属进行调查</w:t>
      </w:r>
      <w:r w:rsidR="00C54AFA" w:rsidRPr="00C54AFA">
        <w:rPr>
          <w:rFonts w:asciiTheme="majorBidi" w:hAnsiTheme="majorBidi" w:cstheme="majorBidi"/>
        </w:rPr>
        <w:t>，</w:t>
      </w:r>
      <w:r w:rsidR="00A63A71" w:rsidRPr="00C54AFA">
        <w:rPr>
          <w:rFonts w:asciiTheme="majorBidi" w:hAnsiTheme="majorBidi" w:cstheme="majorBidi"/>
        </w:rPr>
        <w:t>并正在提供必要的安全措施。</w:t>
      </w:r>
    </w:p>
    <w:p w:rsidR="00A63A71" w:rsidRPr="00C54AFA" w:rsidRDefault="00A63A71" w:rsidP="00116230">
      <w:pPr>
        <w:pStyle w:val="H23GC"/>
      </w:pPr>
      <w:r w:rsidRPr="00C54AFA">
        <w:lastRenderedPageBreak/>
        <w:tab/>
      </w:r>
      <w:r w:rsidRPr="00C54AFA">
        <w:tab/>
      </w:r>
      <w:r w:rsidRPr="00C54AFA">
        <w:t>来文方提供的资料</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8</w:t>
      </w:r>
      <w:r w:rsidR="00C54AFA" w:rsidRPr="00C54AFA">
        <w:rPr>
          <w:rFonts w:asciiTheme="majorBidi" w:hAnsiTheme="majorBidi" w:cstheme="majorBidi"/>
        </w:rPr>
        <w:t>5.</w:t>
      </w:r>
      <w:r w:rsidR="00527952" w:rsidRPr="00C54AFA">
        <w:rPr>
          <w:rFonts w:asciiTheme="majorBidi" w:hAnsiTheme="majorBidi" w:cstheme="majorBidi"/>
        </w:rPr>
        <w:t xml:space="preserve">  </w:t>
      </w:r>
      <w:r w:rsidR="00A63A71" w:rsidRPr="00C54AFA">
        <w:rPr>
          <w:rFonts w:asciiTheme="majorBidi" w:hAnsiTheme="majorBidi" w:cstheme="majorBidi"/>
        </w:rPr>
        <w:t>来文方就</w:t>
      </w:r>
      <w:r w:rsidRPr="00C54AFA">
        <w:rPr>
          <w:rFonts w:asciiTheme="majorBidi" w:hAnsiTheme="majorBidi" w:cstheme="majorBidi"/>
        </w:rPr>
        <w:t>24</w:t>
      </w:r>
      <w:r w:rsidR="00A63A71" w:rsidRPr="00C54AFA">
        <w:rPr>
          <w:rFonts w:asciiTheme="majorBidi" w:hAnsiTheme="majorBidi" w:cstheme="majorBidi"/>
        </w:rPr>
        <w:t>起未决案件提供了资料。</w:t>
      </w:r>
    </w:p>
    <w:p w:rsidR="00A63A71" w:rsidRPr="00C54AFA" w:rsidRDefault="00A63A71" w:rsidP="00116230">
      <w:pPr>
        <w:pStyle w:val="H23GC"/>
      </w:pPr>
      <w:r w:rsidRPr="00C54AFA">
        <w:tab/>
      </w:r>
      <w:r w:rsidRPr="00C54AFA">
        <w:tab/>
      </w:r>
      <w:r w:rsidRPr="00C54AFA">
        <w:t>意见</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8</w:t>
      </w:r>
      <w:r w:rsidR="00C54AFA" w:rsidRPr="00C54AFA">
        <w:rPr>
          <w:rFonts w:asciiTheme="majorBidi" w:hAnsiTheme="majorBidi" w:cstheme="majorBidi"/>
        </w:rPr>
        <w:t>6.</w:t>
      </w:r>
      <w:r w:rsidR="00527952" w:rsidRPr="00C54AFA">
        <w:rPr>
          <w:rFonts w:asciiTheme="majorBidi" w:hAnsiTheme="majorBidi" w:cstheme="majorBidi"/>
        </w:rPr>
        <w:t xml:space="preserve">  </w:t>
      </w:r>
      <w:r w:rsidR="00A63A71" w:rsidRPr="00C54AFA">
        <w:rPr>
          <w:rFonts w:asciiTheme="majorBidi" w:hAnsiTheme="majorBidi" w:cstheme="majorBidi"/>
        </w:rPr>
        <w:t>工作组仍对</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9</w:t>
      </w:r>
      <w:r w:rsidR="00A63A71" w:rsidRPr="00C54AFA">
        <w:rPr>
          <w:rFonts w:asciiTheme="majorBidi" w:hAnsiTheme="majorBidi" w:cstheme="majorBidi"/>
        </w:rPr>
        <w:t>月</w:t>
      </w:r>
      <w:r w:rsidRPr="00C54AFA">
        <w:rPr>
          <w:rFonts w:asciiTheme="majorBidi" w:hAnsiTheme="majorBidi" w:cstheme="majorBidi"/>
        </w:rPr>
        <w:t>26</w:t>
      </w:r>
      <w:r w:rsidR="00A63A71" w:rsidRPr="00C54AFA">
        <w:rPr>
          <w:rFonts w:asciiTheme="majorBidi" w:hAnsiTheme="majorBidi" w:cstheme="majorBidi"/>
        </w:rPr>
        <w:t>日</w:t>
      </w:r>
      <w:r w:rsidRPr="00C54AFA">
        <w:rPr>
          <w:rFonts w:asciiTheme="majorBidi" w:hAnsiTheme="majorBidi" w:cstheme="majorBidi"/>
        </w:rPr>
        <w:t>43</w:t>
      </w:r>
      <w:r w:rsidR="00A63A71" w:rsidRPr="00C54AFA">
        <w:rPr>
          <w:rFonts w:asciiTheme="majorBidi" w:hAnsiTheme="majorBidi" w:cstheme="majorBidi"/>
        </w:rPr>
        <w:t>名学生在伊瓜拉被强迫失踪事件保持高度关切。它吁请该国政府继续调查</w:t>
      </w:r>
      <w:r w:rsidR="00C54AFA" w:rsidRPr="00C54AFA">
        <w:rPr>
          <w:rFonts w:asciiTheme="majorBidi" w:hAnsiTheme="majorBidi" w:cstheme="majorBidi"/>
        </w:rPr>
        <w:t>，</w:t>
      </w:r>
      <w:r w:rsidR="00A63A71" w:rsidRPr="00C54AFA">
        <w:rPr>
          <w:rFonts w:asciiTheme="majorBidi" w:hAnsiTheme="majorBidi" w:cstheme="majorBidi"/>
        </w:rPr>
        <w:t>以澄清这些学生的命运和下落</w:t>
      </w:r>
      <w:r w:rsidR="00C54AFA" w:rsidRPr="00C54AFA">
        <w:rPr>
          <w:rFonts w:asciiTheme="majorBidi" w:hAnsiTheme="majorBidi" w:cstheme="majorBidi"/>
        </w:rPr>
        <w:t>，</w:t>
      </w:r>
      <w:r w:rsidR="00A63A71" w:rsidRPr="00C54AFA">
        <w:rPr>
          <w:rFonts w:asciiTheme="majorBidi" w:hAnsiTheme="majorBidi" w:cstheme="majorBidi"/>
        </w:rPr>
        <w:t>并惩处该罪行的责任人。</w:t>
      </w:r>
    </w:p>
    <w:p w:rsidR="00A63A71" w:rsidRPr="00C54AFA" w:rsidRDefault="00A63A71" w:rsidP="00116230">
      <w:pPr>
        <w:pStyle w:val="H1GC"/>
      </w:pPr>
      <w:r w:rsidRPr="00C54AFA">
        <w:tab/>
      </w:r>
      <w:r w:rsidRPr="00C54AFA">
        <w:tab/>
      </w:r>
      <w:r w:rsidRPr="00C54AFA">
        <w:t>摩洛哥</w:t>
      </w:r>
    </w:p>
    <w:p w:rsidR="00A63A71" w:rsidRPr="00C54AFA" w:rsidRDefault="00A63A71" w:rsidP="00116230">
      <w:pPr>
        <w:pStyle w:val="H23GC"/>
      </w:pPr>
      <w:r w:rsidRPr="00C54AFA">
        <w:tab/>
      </w:r>
      <w:r w:rsidRPr="00C54AFA">
        <w:tab/>
      </w:r>
      <w:r w:rsidRPr="00C54AFA">
        <w:t>标准程序</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8</w:t>
      </w:r>
      <w:r w:rsidR="00C54AFA" w:rsidRPr="00C54AFA">
        <w:rPr>
          <w:rFonts w:asciiTheme="majorBidi" w:hAnsiTheme="majorBidi" w:cstheme="majorBidi"/>
        </w:rPr>
        <w:t>7.</w:t>
      </w:r>
      <w:r w:rsidR="00527952" w:rsidRPr="00C54AFA">
        <w:rPr>
          <w:rFonts w:asciiTheme="majorBidi" w:hAnsiTheme="majorBidi" w:cstheme="majorBidi"/>
        </w:rPr>
        <w:t xml:space="preserve">  </w:t>
      </w:r>
      <w:r w:rsidR="00A63A71" w:rsidRPr="00C54AFA">
        <w:rPr>
          <w:rFonts w:asciiTheme="majorBidi" w:hAnsiTheme="majorBidi" w:cstheme="majorBidi"/>
        </w:rPr>
        <w:t>工作组向该国政府转交了关于以下人员的</w:t>
      </w:r>
      <w:r w:rsidRPr="00C54AFA">
        <w:rPr>
          <w:rFonts w:asciiTheme="majorBidi" w:hAnsiTheme="majorBidi" w:cstheme="majorBidi"/>
        </w:rPr>
        <w:t>18</w:t>
      </w:r>
      <w:r w:rsidR="00A63A71" w:rsidRPr="00C54AFA">
        <w:rPr>
          <w:rFonts w:asciiTheme="majorBidi" w:hAnsiTheme="majorBidi" w:cstheme="majorBidi"/>
        </w:rPr>
        <w:t>起案件</w:t>
      </w:r>
      <w:r w:rsidR="00C54AFA" w:rsidRPr="00C54AFA">
        <w:rPr>
          <w:rFonts w:asciiTheme="majorBidi" w:hAnsiTheme="majorBidi" w:cstheme="majorBidi"/>
        </w:rPr>
        <w:t>：</w:t>
      </w:r>
    </w:p>
    <w:p w:rsidR="00A63A71" w:rsidRPr="00C54AFA" w:rsidRDefault="00BC4B0A" w:rsidP="00527952">
      <w:pPr>
        <w:pStyle w:val="SingleTxtGC"/>
        <w:numPr>
          <w:ilvl w:val="0"/>
          <w:numId w:val="15"/>
        </w:numPr>
        <w:rPr>
          <w:rFonts w:asciiTheme="majorBidi" w:hAnsiTheme="majorBidi" w:cstheme="majorBidi"/>
        </w:rPr>
      </w:pPr>
      <w:r w:rsidRPr="00C54AFA">
        <w:rPr>
          <w:rFonts w:asciiTheme="majorBidi" w:hAnsiTheme="majorBidi" w:cstheme="majorBidi"/>
        </w:rPr>
        <w:t>Hamudi</w:t>
      </w:r>
      <w:r w:rsidR="00A63A71" w:rsidRPr="00C54AFA">
        <w:rPr>
          <w:rFonts w:asciiTheme="majorBidi" w:hAnsiTheme="majorBidi" w:cstheme="majorBidi"/>
        </w:rPr>
        <w:t xml:space="preserve"> </w:t>
      </w: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Lehbib</w:t>
      </w:r>
      <w:r w:rsidR="00A63A71" w:rsidRPr="00C54AFA">
        <w:rPr>
          <w:rFonts w:asciiTheme="majorBidi" w:hAnsiTheme="majorBidi" w:cstheme="majorBidi"/>
        </w:rPr>
        <w:t xml:space="preserve"> </w:t>
      </w:r>
      <w:r w:rsidRPr="00C54AFA">
        <w:rPr>
          <w:rFonts w:asciiTheme="majorBidi" w:hAnsiTheme="majorBidi" w:cstheme="majorBidi"/>
        </w:rPr>
        <w:t>Baba</w:t>
      </w:r>
      <w:r w:rsidR="00A63A71" w:rsidRPr="00C54AFA">
        <w:rPr>
          <w:rFonts w:asciiTheme="majorBidi" w:hAnsiTheme="majorBidi" w:cstheme="majorBidi"/>
        </w:rPr>
        <w:t xml:space="preserve"> </w:t>
      </w:r>
      <w:r w:rsidR="00C54AFA" w:rsidRPr="00C54AFA">
        <w:rPr>
          <w:rFonts w:asciiTheme="majorBidi" w:hAnsiTheme="majorBidi" w:cstheme="majorBidi"/>
        </w:rPr>
        <w:t>(</w:t>
      </w:r>
      <w:r w:rsidRPr="00C54AFA">
        <w:rPr>
          <w:rFonts w:asciiTheme="majorBidi" w:hAnsiTheme="majorBidi" w:cstheme="majorBidi"/>
        </w:rPr>
        <w:t>Nouaini</w:t>
      </w:r>
      <w:r w:rsidR="00C54AFA" w:rsidRPr="00C54AFA">
        <w:rPr>
          <w:rFonts w:asciiTheme="majorBidi" w:hAnsiTheme="majorBidi" w:cstheme="majorBidi"/>
        </w:rPr>
        <w:t>)</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他于</w:t>
      </w:r>
      <w:r w:rsidRPr="00C54AFA">
        <w:rPr>
          <w:rFonts w:asciiTheme="majorBidi" w:hAnsiTheme="majorBidi" w:cstheme="majorBidi"/>
        </w:rPr>
        <w:t>1976</w:t>
      </w:r>
      <w:r w:rsidR="00A63A71" w:rsidRPr="00C54AFA">
        <w:rPr>
          <w:rFonts w:asciiTheme="majorBidi" w:hAnsiTheme="majorBidi" w:cstheme="majorBidi"/>
        </w:rPr>
        <w:t>年</w:t>
      </w:r>
      <w:r w:rsidRPr="00C54AFA">
        <w:rPr>
          <w:rFonts w:asciiTheme="majorBidi" w:hAnsiTheme="majorBidi" w:cstheme="majorBidi"/>
        </w:rPr>
        <w:t>7</w:t>
      </w:r>
      <w:r w:rsidR="00A63A71" w:rsidRPr="00C54AFA">
        <w:rPr>
          <w:rFonts w:asciiTheme="majorBidi" w:hAnsiTheme="majorBidi" w:cstheme="majorBidi"/>
        </w:rPr>
        <w:t>月</w:t>
      </w:r>
      <w:r w:rsidRPr="00C54AFA">
        <w:rPr>
          <w:rFonts w:asciiTheme="majorBidi" w:hAnsiTheme="majorBidi" w:cstheme="majorBidi"/>
        </w:rPr>
        <w:t>7</w:t>
      </w:r>
      <w:r w:rsidR="00A63A71" w:rsidRPr="00C54AFA">
        <w:rPr>
          <w:rFonts w:asciiTheme="majorBidi" w:hAnsiTheme="majorBidi" w:cstheme="majorBidi"/>
        </w:rPr>
        <w:t>日在斯马拉</w:t>
      </w:r>
      <w:r w:rsidRPr="00C54AFA">
        <w:rPr>
          <w:rFonts w:asciiTheme="majorBidi" w:hAnsiTheme="majorBidi" w:cstheme="majorBidi"/>
        </w:rPr>
        <w:t>Erbaeib</w:t>
      </w:r>
      <w:r w:rsidR="00A63A71" w:rsidRPr="00C54AFA">
        <w:rPr>
          <w:rFonts w:asciiTheme="majorBidi" w:hAnsiTheme="majorBidi" w:cstheme="majorBidi"/>
        </w:rPr>
        <w:t>被皇家宪兵队的人员绑架</w:t>
      </w:r>
      <w:r w:rsidR="00C54AFA" w:rsidRPr="00C54AFA">
        <w:rPr>
          <w:rFonts w:asciiTheme="majorBidi" w:hAnsiTheme="majorBidi" w:cstheme="majorBidi"/>
        </w:rPr>
        <w:t>；</w:t>
      </w:r>
    </w:p>
    <w:p w:rsidR="00A63A71" w:rsidRPr="00C54AFA" w:rsidRDefault="00BC4B0A" w:rsidP="00527952">
      <w:pPr>
        <w:pStyle w:val="SingleTxtGC"/>
        <w:numPr>
          <w:ilvl w:val="0"/>
          <w:numId w:val="15"/>
        </w:numPr>
        <w:rPr>
          <w:rFonts w:asciiTheme="majorBidi" w:hAnsiTheme="majorBidi" w:cstheme="majorBidi"/>
        </w:rPr>
      </w:pPr>
      <w:r w:rsidRPr="00C54AFA">
        <w:rPr>
          <w:rFonts w:asciiTheme="majorBidi" w:hAnsiTheme="majorBidi" w:cstheme="majorBidi"/>
        </w:rPr>
        <w:t>Hamdi</w:t>
      </w:r>
      <w:r w:rsidR="00A63A71" w:rsidRPr="00C54AFA">
        <w:rPr>
          <w:rFonts w:asciiTheme="majorBidi" w:hAnsiTheme="majorBidi" w:cstheme="majorBidi"/>
        </w:rPr>
        <w:t xml:space="preserve"> </w:t>
      </w:r>
      <w:r w:rsidRPr="00C54AFA">
        <w:rPr>
          <w:rFonts w:asciiTheme="majorBidi" w:hAnsiTheme="majorBidi" w:cstheme="majorBidi"/>
        </w:rPr>
        <w:t>Brahim</w:t>
      </w:r>
      <w:r w:rsidR="00A63A71" w:rsidRPr="00C54AFA">
        <w:rPr>
          <w:rFonts w:asciiTheme="majorBidi" w:hAnsiTheme="majorBidi" w:cstheme="majorBidi"/>
        </w:rPr>
        <w:t xml:space="preserve"> </w:t>
      </w:r>
      <w:r w:rsidRPr="00C54AFA">
        <w:rPr>
          <w:rFonts w:asciiTheme="majorBidi" w:hAnsiTheme="majorBidi" w:cstheme="majorBidi"/>
        </w:rPr>
        <w:t>Salem</w:t>
      </w:r>
      <w:r w:rsidR="00A63A71" w:rsidRPr="00C54AFA">
        <w:rPr>
          <w:rFonts w:asciiTheme="majorBidi" w:hAnsiTheme="majorBidi" w:cstheme="majorBidi"/>
        </w:rPr>
        <w:t xml:space="preserve"> </w:t>
      </w:r>
      <w:r w:rsidRPr="00C54AFA">
        <w:rPr>
          <w:rFonts w:asciiTheme="majorBidi" w:hAnsiTheme="majorBidi" w:cstheme="majorBidi"/>
        </w:rPr>
        <w:t>Mulay</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他于</w:t>
      </w:r>
      <w:r w:rsidRPr="00C54AFA">
        <w:rPr>
          <w:rFonts w:asciiTheme="majorBidi" w:hAnsiTheme="majorBidi" w:cstheme="majorBidi"/>
        </w:rPr>
        <w:t>1975</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11</w:t>
      </w:r>
      <w:r w:rsidR="00A63A71" w:rsidRPr="00C54AFA">
        <w:rPr>
          <w:rFonts w:asciiTheme="majorBidi" w:hAnsiTheme="majorBidi" w:cstheme="majorBidi"/>
        </w:rPr>
        <w:t>日在</w:t>
      </w:r>
      <w:r w:rsidRPr="00C54AFA">
        <w:rPr>
          <w:rFonts w:asciiTheme="majorBidi" w:hAnsiTheme="majorBidi" w:cstheme="majorBidi"/>
        </w:rPr>
        <w:t>Amakid</w:t>
      </w:r>
      <w:r w:rsidR="00A63A71" w:rsidRPr="00C54AFA">
        <w:rPr>
          <w:rFonts w:asciiTheme="majorBidi" w:hAnsiTheme="majorBidi" w:cstheme="majorBidi"/>
        </w:rPr>
        <w:t>被军队人员绑架</w:t>
      </w:r>
      <w:r w:rsidR="00C54AFA" w:rsidRPr="00C54AFA">
        <w:rPr>
          <w:rFonts w:asciiTheme="majorBidi" w:hAnsiTheme="majorBidi" w:cstheme="majorBidi"/>
        </w:rPr>
        <w:t>；</w:t>
      </w:r>
    </w:p>
    <w:p w:rsidR="00A63A71" w:rsidRPr="00C54AFA" w:rsidRDefault="00BC4B0A" w:rsidP="00527952">
      <w:pPr>
        <w:pStyle w:val="SingleTxtGC"/>
        <w:numPr>
          <w:ilvl w:val="0"/>
          <w:numId w:val="15"/>
        </w:numPr>
        <w:rPr>
          <w:rFonts w:asciiTheme="majorBidi" w:hAnsiTheme="majorBidi" w:cstheme="majorBidi"/>
        </w:rPr>
      </w:pPr>
      <w:r w:rsidRPr="00C54AFA">
        <w:rPr>
          <w:rFonts w:asciiTheme="majorBidi" w:hAnsiTheme="majorBidi" w:cstheme="majorBidi"/>
        </w:rPr>
        <w:t>Lehbib</w:t>
      </w:r>
      <w:r w:rsidR="00A63A71" w:rsidRPr="00C54AFA">
        <w:rPr>
          <w:rFonts w:asciiTheme="majorBidi" w:hAnsiTheme="majorBidi" w:cstheme="majorBidi"/>
        </w:rPr>
        <w:t xml:space="preserve"> </w:t>
      </w:r>
      <w:r w:rsidRPr="00C54AFA">
        <w:rPr>
          <w:rFonts w:asciiTheme="majorBidi" w:hAnsiTheme="majorBidi" w:cstheme="majorBidi"/>
        </w:rPr>
        <w:t>Abdala</w:t>
      </w:r>
      <w:r w:rsidR="00A63A71" w:rsidRPr="00C54AFA">
        <w:rPr>
          <w:rFonts w:asciiTheme="majorBidi" w:hAnsiTheme="majorBidi" w:cstheme="majorBidi"/>
        </w:rPr>
        <w:t xml:space="preserve"> </w:t>
      </w: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Amnaisir</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他于</w:t>
      </w:r>
      <w:r w:rsidRPr="00C54AFA">
        <w:rPr>
          <w:rFonts w:asciiTheme="majorBidi" w:hAnsiTheme="majorBidi" w:cstheme="majorBidi"/>
        </w:rPr>
        <w:t>1976</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月在</w:t>
      </w:r>
      <w:r w:rsidRPr="00C54AFA">
        <w:rPr>
          <w:rFonts w:asciiTheme="majorBidi" w:hAnsiTheme="majorBidi" w:cstheme="majorBidi"/>
        </w:rPr>
        <w:t>Ouad</w:t>
      </w:r>
      <w:r w:rsidR="00A63A71" w:rsidRPr="00C54AFA">
        <w:rPr>
          <w:rFonts w:asciiTheme="majorBidi" w:hAnsiTheme="majorBidi" w:cstheme="majorBidi"/>
        </w:rPr>
        <w:t xml:space="preserve"> </w:t>
      </w:r>
      <w:r w:rsidRPr="00C54AFA">
        <w:rPr>
          <w:rFonts w:asciiTheme="majorBidi" w:hAnsiTheme="majorBidi" w:cstheme="majorBidi"/>
        </w:rPr>
        <w:t>Draa</w:t>
      </w:r>
      <w:r w:rsidR="00A63A71" w:rsidRPr="00C54AFA">
        <w:rPr>
          <w:rFonts w:asciiTheme="majorBidi" w:hAnsiTheme="majorBidi" w:cstheme="majorBidi"/>
        </w:rPr>
        <w:t>被军队人员绑架</w:t>
      </w:r>
      <w:r w:rsidR="00C54AFA" w:rsidRPr="00C54AFA">
        <w:rPr>
          <w:rFonts w:asciiTheme="majorBidi" w:hAnsiTheme="majorBidi" w:cstheme="majorBidi"/>
        </w:rPr>
        <w:t>；</w:t>
      </w:r>
    </w:p>
    <w:p w:rsidR="00A63A71" w:rsidRPr="00C54AFA" w:rsidRDefault="00BC4B0A" w:rsidP="00527952">
      <w:pPr>
        <w:pStyle w:val="SingleTxtGC"/>
        <w:numPr>
          <w:ilvl w:val="0"/>
          <w:numId w:val="15"/>
        </w:numPr>
        <w:rPr>
          <w:rFonts w:asciiTheme="majorBidi" w:hAnsiTheme="majorBidi" w:cstheme="majorBidi"/>
        </w:rPr>
      </w:pP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Salem</w:t>
      </w:r>
      <w:r w:rsidR="00A63A71" w:rsidRPr="00C54AFA">
        <w:rPr>
          <w:rFonts w:asciiTheme="majorBidi" w:hAnsiTheme="majorBidi" w:cstheme="majorBidi"/>
        </w:rPr>
        <w:t xml:space="preserve"> </w:t>
      </w:r>
      <w:r w:rsidRPr="00C54AFA">
        <w:rPr>
          <w:rFonts w:asciiTheme="majorBidi" w:hAnsiTheme="majorBidi" w:cstheme="majorBidi"/>
        </w:rPr>
        <w:t>Embarec</w:t>
      </w:r>
      <w:r w:rsidR="00A63A71" w:rsidRPr="00C54AFA">
        <w:rPr>
          <w:rFonts w:asciiTheme="majorBidi" w:hAnsiTheme="majorBidi" w:cstheme="majorBidi"/>
        </w:rPr>
        <w:t xml:space="preserve"> </w:t>
      </w:r>
      <w:r w:rsidRPr="00C54AFA">
        <w:rPr>
          <w:rFonts w:asciiTheme="majorBidi" w:hAnsiTheme="majorBidi" w:cstheme="majorBidi"/>
        </w:rPr>
        <w:t>Aali</w:t>
      </w:r>
      <w:r w:rsidR="00A63A71" w:rsidRPr="00C54AFA">
        <w:rPr>
          <w:rFonts w:asciiTheme="majorBidi" w:hAnsiTheme="majorBidi" w:cstheme="majorBidi"/>
        </w:rPr>
        <w:t xml:space="preserve"> </w:t>
      </w:r>
      <w:r w:rsidRPr="00C54AFA">
        <w:rPr>
          <w:rFonts w:asciiTheme="majorBidi" w:hAnsiTheme="majorBidi" w:cstheme="majorBidi"/>
        </w:rPr>
        <w:t>Buhem</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他于</w:t>
      </w:r>
      <w:r w:rsidRPr="00C54AFA">
        <w:rPr>
          <w:rFonts w:asciiTheme="majorBidi" w:hAnsiTheme="majorBidi" w:cstheme="majorBidi"/>
        </w:rPr>
        <w:t>1976</w:t>
      </w:r>
      <w:r w:rsidR="00A63A71" w:rsidRPr="00C54AFA">
        <w:rPr>
          <w:rFonts w:asciiTheme="majorBidi" w:hAnsiTheme="majorBidi" w:cstheme="majorBidi"/>
        </w:rPr>
        <w:t>年</w:t>
      </w:r>
      <w:r w:rsidRPr="00C54AFA">
        <w:rPr>
          <w:rFonts w:asciiTheme="majorBidi" w:hAnsiTheme="majorBidi" w:cstheme="majorBidi"/>
        </w:rPr>
        <w:t>7</w:t>
      </w:r>
      <w:r w:rsidR="00A63A71" w:rsidRPr="00C54AFA">
        <w:rPr>
          <w:rFonts w:asciiTheme="majorBidi" w:hAnsiTheme="majorBidi" w:cstheme="majorBidi"/>
        </w:rPr>
        <w:t>月</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日在斯马拉被宪兵逮捕</w:t>
      </w:r>
      <w:r w:rsidR="00C54AFA" w:rsidRPr="00C54AFA">
        <w:rPr>
          <w:rFonts w:asciiTheme="majorBidi" w:hAnsiTheme="majorBidi" w:cstheme="majorBidi"/>
        </w:rPr>
        <w:t>；</w:t>
      </w:r>
    </w:p>
    <w:p w:rsidR="00A63A71" w:rsidRPr="00C54AFA" w:rsidRDefault="00BC4B0A" w:rsidP="00527952">
      <w:pPr>
        <w:pStyle w:val="SingleTxtGC"/>
        <w:numPr>
          <w:ilvl w:val="0"/>
          <w:numId w:val="15"/>
        </w:numPr>
        <w:rPr>
          <w:rFonts w:asciiTheme="majorBidi" w:hAnsiTheme="majorBidi" w:cstheme="majorBidi"/>
        </w:rPr>
      </w:pPr>
      <w:r w:rsidRPr="00C54AFA">
        <w:rPr>
          <w:rFonts w:asciiTheme="majorBidi" w:hAnsiTheme="majorBidi" w:cstheme="majorBidi"/>
        </w:rPr>
        <w:t>Larosi</w:t>
      </w:r>
      <w:r w:rsidR="00A63A71" w:rsidRPr="00C54AFA">
        <w:rPr>
          <w:rFonts w:asciiTheme="majorBidi" w:hAnsiTheme="majorBidi" w:cstheme="majorBidi"/>
        </w:rPr>
        <w:t xml:space="preserve"> </w:t>
      </w:r>
      <w:r w:rsidRPr="00C54AFA">
        <w:rPr>
          <w:rFonts w:asciiTheme="majorBidi" w:hAnsiTheme="majorBidi" w:cstheme="majorBidi"/>
        </w:rPr>
        <w:t>Alisalem</w:t>
      </w:r>
      <w:r w:rsidR="00A63A71" w:rsidRPr="00C54AFA">
        <w:rPr>
          <w:rFonts w:asciiTheme="majorBidi" w:hAnsiTheme="majorBidi" w:cstheme="majorBidi"/>
        </w:rPr>
        <w:t xml:space="preserve"> </w:t>
      </w:r>
      <w:r w:rsidRPr="00C54AFA">
        <w:rPr>
          <w:rFonts w:asciiTheme="majorBidi" w:hAnsiTheme="majorBidi" w:cstheme="majorBidi"/>
        </w:rPr>
        <w:t>Balla</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他于</w:t>
      </w:r>
      <w:r w:rsidRPr="00C54AFA">
        <w:rPr>
          <w:rFonts w:asciiTheme="majorBidi" w:hAnsiTheme="majorBidi" w:cstheme="majorBidi"/>
        </w:rPr>
        <w:t>1975</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11</w:t>
      </w:r>
      <w:r w:rsidR="00A63A71" w:rsidRPr="00C54AFA">
        <w:rPr>
          <w:rFonts w:asciiTheme="majorBidi" w:hAnsiTheme="majorBidi" w:cstheme="majorBidi"/>
        </w:rPr>
        <w:t>日在</w:t>
      </w:r>
      <w:r w:rsidRPr="00C54AFA">
        <w:rPr>
          <w:rFonts w:asciiTheme="majorBidi" w:hAnsiTheme="majorBidi" w:cstheme="majorBidi"/>
        </w:rPr>
        <w:t>Echderyria</w:t>
      </w:r>
      <w:r w:rsidR="00A63A71" w:rsidRPr="00C54AFA">
        <w:rPr>
          <w:rFonts w:asciiTheme="majorBidi" w:hAnsiTheme="majorBidi" w:cstheme="majorBidi"/>
        </w:rPr>
        <w:t>附近的</w:t>
      </w:r>
      <w:r w:rsidRPr="00C54AFA">
        <w:rPr>
          <w:rFonts w:asciiTheme="majorBidi" w:hAnsiTheme="majorBidi" w:cstheme="majorBidi"/>
        </w:rPr>
        <w:t>Echaab</w:t>
      </w:r>
      <w:r w:rsidR="00A63A71" w:rsidRPr="00C54AFA">
        <w:rPr>
          <w:rFonts w:asciiTheme="majorBidi" w:hAnsiTheme="majorBidi" w:cstheme="majorBidi"/>
        </w:rPr>
        <w:t>被军方人员绑架</w:t>
      </w:r>
      <w:r w:rsidR="00C54AFA" w:rsidRPr="00C54AFA">
        <w:rPr>
          <w:rFonts w:asciiTheme="majorBidi" w:hAnsiTheme="majorBidi" w:cstheme="majorBidi"/>
        </w:rPr>
        <w:t>；</w:t>
      </w:r>
    </w:p>
    <w:p w:rsidR="00A63A71" w:rsidRPr="00C54AFA" w:rsidRDefault="00BC4B0A" w:rsidP="00527952">
      <w:pPr>
        <w:pStyle w:val="SingleTxtGC"/>
        <w:numPr>
          <w:ilvl w:val="0"/>
          <w:numId w:val="15"/>
        </w:numPr>
        <w:rPr>
          <w:rFonts w:asciiTheme="majorBidi" w:hAnsiTheme="majorBidi" w:cstheme="majorBidi"/>
        </w:rPr>
      </w:pP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Cheij</w:t>
      </w:r>
      <w:r w:rsidR="00A63A71" w:rsidRPr="00C54AFA">
        <w:rPr>
          <w:rFonts w:asciiTheme="majorBidi" w:hAnsiTheme="majorBidi" w:cstheme="majorBidi"/>
        </w:rPr>
        <w:t xml:space="preserve"> </w:t>
      </w: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Salem</w:t>
      </w:r>
      <w:r w:rsidR="00A63A71" w:rsidRPr="00C54AFA">
        <w:rPr>
          <w:rFonts w:asciiTheme="majorBidi" w:hAnsiTheme="majorBidi" w:cstheme="majorBidi"/>
        </w:rPr>
        <w:t xml:space="preserve"> </w:t>
      </w:r>
      <w:r w:rsidRPr="00C54AFA">
        <w:rPr>
          <w:rFonts w:asciiTheme="majorBidi" w:hAnsiTheme="majorBidi" w:cstheme="majorBidi"/>
        </w:rPr>
        <w:t>Bujari</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他于</w:t>
      </w:r>
      <w:r w:rsidRPr="00C54AFA">
        <w:rPr>
          <w:rFonts w:asciiTheme="majorBidi" w:hAnsiTheme="majorBidi" w:cstheme="majorBidi"/>
        </w:rPr>
        <w:t>1976</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月在</w:t>
      </w:r>
      <w:r w:rsidRPr="00C54AFA">
        <w:rPr>
          <w:rFonts w:asciiTheme="majorBidi" w:hAnsiTheme="majorBidi" w:cstheme="majorBidi"/>
        </w:rPr>
        <w:t>Leboirat</w:t>
      </w:r>
      <w:r w:rsidR="00A63A71" w:rsidRPr="00C54AFA">
        <w:rPr>
          <w:rFonts w:asciiTheme="majorBidi" w:hAnsiTheme="majorBidi" w:cstheme="majorBidi"/>
        </w:rPr>
        <w:t>被摩洛哥军队人员绑架</w:t>
      </w:r>
      <w:r w:rsidR="00C54AFA" w:rsidRPr="00C54AFA">
        <w:rPr>
          <w:rFonts w:asciiTheme="majorBidi" w:hAnsiTheme="majorBidi" w:cstheme="majorBidi"/>
        </w:rPr>
        <w:t>；</w:t>
      </w:r>
    </w:p>
    <w:p w:rsidR="00A63A71" w:rsidRPr="00C54AFA" w:rsidRDefault="00BC4B0A" w:rsidP="00527952">
      <w:pPr>
        <w:pStyle w:val="SingleTxtGC"/>
        <w:numPr>
          <w:ilvl w:val="0"/>
          <w:numId w:val="15"/>
        </w:numPr>
        <w:rPr>
          <w:rFonts w:asciiTheme="majorBidi" w:hAnsiTheme="majorBidi" w:cstheme="majorBidi"/>
        </w:rPr>
      </w:pPr>
      <w:r w:rsidRPr="00C54AFA">
        <w:rPr>
          <w:rFonts w:asciiTheme="majorBidi" w:hAnsiTheme="majorBidi" w:cstheme="majorBidi"/>
        </w:rPr>
        <w:t>Ballal</w:t>
      </w:r>
      <w:r w:rsidR="00A63A71" w:rsidRPr="00C54AFA">
        <w:rPr>
          <w:rFonts w:asciiTheme="majorBidi" w:hAnsiTheme="majorBidi" w:cstheme="majorBidi"/>
        </w:rPr>
        <w:t xml:space="preserve"> </w:t>
      </w:r>
      <w:r w:rsidRPr="00C54AFA">
        <w:rPr>
          <w:rFonts w:asciiTheme="majorBidi" w:hAnsiTheme="majorBidi" w:cstheme="majorBidi"/>
        </w:rPr>
        <w:t>Lehbib</w:t>
      </w:r>
      <w:r w:rsidR="00A63A71" w:rsidRPr="00C54AFA">
        <w:rPr>
          <w:rFonts w:asciiTheme="majorBidi" w:hAnsiTheme="majorBidi" w:cstheme="majorBidi"/>
        </w:rPr>
        <w:t xml:space="preserve"> </w:t>
      </w:r>
      <w:r w:rsidRPr="00C54AFA">
        <w:rPr>
          <w:rFonts w:asciiTheme="majorBidi" w:hAnsiTheme="majorBidi" w:cstheme="majorBidi"/>
        </w:rPr>
        <w:t>Ballal</w:t>
      </w:r>
      <w:r w:rsidR="00A63A71" w:rsidRPr="00C54AFA">
        <w:rPr>
          <w:rFonts w:asciiTheme="majorBidi" w:hAnsiTheme="majorBidi" w:cstheme="majorBidi"/>
        </w:rPr>
        <w:t xml:space="preserve"> </w:t>
      </w:r>
      <w:r w:rsidRPr="00C54AFA">
        <w:rPr>
          <w:rFonts w:asciiTheme="majorBidi" w:hAnsiTheme="majorBidi" w:cstheme="majorBidi"/>
        </w:rPr>
        <w:t>Ahmed</w:t>
      </w:r>
      <w:r w:rsidR="00A63A71" w:rsidRPr="00C54AFA">
        <w:rPr>
          <w:rFonts w:asciiTheme="majorBidi" w:hAnsiTheme="majorBidi" w:cstheme="majorBidi"/>
        </w:rPr>
        <w:t xml:space="preserve"> </w:t>
      </w:r>
      <w:r w:rsidRPr="00C54AFA">
        <w:rPr>
          <w:rFonts w:asciiTheme="majorBidi" w:hAnsiTheme="majorBidi" w:cstheme="majorBidi"/>
        </w:rPr>
        <w:t>Keihel</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他于</w:t>
      </w:r>
      <w:r w:rsidRPr="00C54AFA">
        <w:rPr>
          <w:rFonts w:asciiTheme="majorBidi" w:hAnsiTheme="majorBidi" w:cstheme="majorBidi"/>
        </w:rPr>
        <w:t>1976</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月在</w:t>
      </w:r>
      <w:r w:rsidRPr="00C54AFA">
        <w:rPr>
          <w:rFonts w:asciiTheme="majorBidi" w:hAnsiTheme="majorBidi" w:cstheme="majorBidi"/>
        </w:rPr>
        <w:t>Tan</w:t>
      </w:r>
      <w:r w:rsidR="00A63A71" w:rsidRPr="00C54AFA">
        <w:rPr>
          <w:rFonts w:asciiTheme="majorBidi" w:hAnsiTheme="majorBidi" w:cstheme="majorBidi"/>
        </w:rPr>
        <w:t xml:space="preserve"> </w:t>
      </w:r>
      <w:r w:rsidRPr="00C54AFA">
        <w:rPr>
          <w:rFonts w:asciiTheme="majorBidi" w:hAnsiTheme="majorBidi" w:cstheme="majorBidi"/>
        </w:rPr>
        <w:t>Tan</w:t>
      </w:r>
      <w:r w:rsidR="00A63A71" w:rsidRPr="00C54AFA">
        <w:rPr>
          <w:rFonts w:asciiTheme="majorBidi" w:hAnsiTheme="majorBidi" w:cstheme="majorBidi"/>
        </w:rPr>
        <w:t>被内政部流动干预队的人员绑架</w:t>
      </w:r>
      <w:r w:rsidR="00C54AFA" w:rsidRPr="00C54AFA">
        <w:rPr>
          <w:rFonts w:asciiTheme="majorBidi" w:hAnsiTheme="majorBidi" w:cstheme="majorBidi"/>
        </w:rPr>
        <w:t>；</w:t>
      </w:r>
    </w:p>
    <w:p w:rsidR="00A63A71" w:rsidRPr="00C54AFA" w:rsidRDefault="00BC4B0A" w:rsidP="00527952">
      <w:pPr>
        <w:pStyle w:val="SingleTxtGC"/>
        <w:numPr>
          <w:ilvl w:val="0"/>
          <w:numId w:val="15"/>
        </w:numPr>
        <w:rPr>
          <w:rFonts w:asciiTheme="majorBidi" w:hAnsiTheme="majorBidi" w:cstheme="majorBidi"/>
        </w:rPr>
      </w:pPr>
      <w:r w:rsidRPr="00C54AFA">
        <w:rPr>
          <w:rFonts w:asciiTheme="majorBidi" w:hAnsiTheme="majorBidi" w:cstheme="majorBidi"/>
        </w:rPr>
        <w:t>Driss</w:t>
      </w:r>
      <w:r w:rsidR="00A63A71" w:rsidRPr="00C54AFA">
        <w:rPr>
          <w:rFonts w:asciiTheme="majorBidi" w:hAnsiTheme="majorBidi" w:cstheme="majorBidi"/>
        </w:rPr>
        <w:t xml:space="preserve"> </w:t>
      </w:r>
      <w:r w:rsidRPr="00C54AFA">
        <w:rPr>
          <w:rFonts w:asciiTheme="majorBidi" w:hAnsiTheme="majorBidi" w:cstheme="majorBidi"/>
        </w:rPr>
        <w:t>Bahbah</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最后一次被人见到是在</w:t>
      </w:r>
      <w:r w:rsidRPr="00C54AFA">
        <w:rPr>
          <w:rFonts w:asciiTheme="majorBidi" w:hAnsiTheme="majorBidi" w:cstheme="majorBidi"/>
        </w:rPr>
        <w:t>1973</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7</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在盖尼特拉中央监狱</w:t>
      </w:r>
      <w:r w:rsidR="00C54AFA" w:rsidRPr="00C54AFA">
        <w:rPr>
          <w:rFonts w:asciiTheme="majorBidi" w:hAnsiTheme="majorBidi" w:cstheme="majorBidi"/>
        </w:rPr>
        <w:t>；</w:t>
      </w:r>
    </w:p>
    <w:p w:rsidR="00A63A71" w:rsidRPr="00C54AFA" w:rsidRDefault="00BC4B0A" w:rsidP="00527952">
      <w:pPr>
        <w:pStyle w:val="SingleTxtGC"/>
        <w:numPr>
          <w:ilvl w:val="0"/>
          <w:numId w:val="15"/>
        </w:numPr>
        <w:rPr>
          <w:rFonts w:asciiTheme="majorBidi" w:hAnsiTheme="majorBidi" w:cstheme="majorBidi"/>
        </w:rPr>
      </w:pPr>
      <w:r w:rsidRPr="00C54AFA">
        <w:rPr>
          <w:rFonts w:asciiTheme="majorBidi" w:hAnsiTheme="majorBidi" w:cstheme="majorBidi"/>
        </w:rPr>
        <w:t>M</w:t>
      </w:r>
      <w:r w:rsidR="00A63A71" w:rsidRPr="00C54AFA">
        <w:rPr>
          <w:rFonts w:asciiTheme="majorBidi" w:hAnsiTheme="majorBidi" w:cstheme="majorBidi"/>
        </w:rPr>
        <w:t>’</w:t>
      </w:r>
      <w:r w:rsidRPr="00C54AFA">
        <w:rPr>
          <w:rFonts w:asciiTheme="majorBidi" w:hAnsiTheme="majorBidi" w:cstheme="majorBidi"/>
        </w:rPr>
        <w:t>hamed</w:t>
      </w:r>
      <w:r w:rsidR="00A63A71" w:rsidRPr="00C54AFA">
        <w:rPr>
          <w:rFonts w:asciiTheme="majorBidi" w:hAnsiTheme="majorBidi" w:cstheme="majorBidi"/>
        </w:rPr>
        <w:t xml:space="preserve"> </w:t>
      </w:r>
      <w:r w:rsidRPr="00C54AFA">
        <w:rPr>
          <w:rFonts w:asciiTheme="majorBidi" w:hAnsiTheme="majorBidi" w:cstheme="majorBidi"/>
        </w:rPr>
        <w:t>Chellat</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他于</w:t>
      </w:r>
      <w:r w:rsidRPr="00C54AFA">
        <w:rPr>
          <w:rFonts w:asciiTheme="majorBidi" w:hAnsiTheme="majorBidi" w:cstheme="majorBidi"/>
        </w:rPr>
        <w:t>1973</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7</w:t>
      </w:r>
      <w:r w:rsidR="00A63A71" w:rsidRPr="00C54AFA">
        <w:rPr>
          <w:rFonts w:asciiTheme="majorBidi" w:hAnsiTheme="majorBidi" w:cstheme="majorBidi"/>
        </w:rPr>
        <w:t>日被警方、宪兵队和皇家武装部队的人员绑架</w:t>
      </w:r>
      <w:r w:rsidR="00C54AFA" w:rsidRPr="00C54AFA">
        <w:rPr>
          <w:rFonts w:asciiTheme="majorBidi" w:hAnsiTheme="majorBidi" w:cstheme="majorBidi"/>
        </w:rPr>
        <w:t>；</w:t>
      </w:r>
    </w:p>
    <w:p w:rsidR="00A63A71" w:rsidRPr="00C54AFA" w:rsidRDefault="00BC4B0A" w:rsidP="00527952">
      <w:pPr>
        <w:pStyle w:val="SingleTxtGC"/>
        <w:numPr>
          <w:ilvl w:val="0"/>
          <w:numId w:val="15"/>
        </w:numPr>
        <w:rPr>
          <w:rFonts w:asciiTheme="majorBidi" w:hAnsiTheme="majorBidi" w:cstheme="majorBidi"/>
        </w:rPr>
      </w:pPr>
      <w:r w:rsidRPr="00C54AFA">
        <w:rPr>
          <w:rFonts w:asciiTheme="majorBidi" w:hAnsiTheme="majorBidi" w:cstheme="majorBidi"/>
        </w:rPr>
        <w:t>Miloud</w:t>
      </w:r>
      <w:r w:rsidR="00A63A71" w:rsidRPr="00C54AFA">
        <w:rPr>
          <w:rFonts w:asciiTheme="majorBidi" w:hAnsiTheme="majorBidi" w:cstheme="majorBidi"/>
        </w:rPr>
        <w:t xml:space="preserve"> </w:t>
      </w:r>
      <w:r w:rsidRPr="00C54AFA">
        <w:rPr>
          <w:rFonts w:asciiTheme="majorBidi" w:hAnsiTheme="majorBidi" w:cstheme="majorBidi"/>
        </w:rPr>
        <w:t>Abdellaoui</w:t>
      </w:r>
      <w:r w:rsidR="00A63A71" w:rsidRPr="00C54AFA">
        <w:rPr>
          <w:rFonts w:asciiTheme="majorBidi" w:hAnsiTheme="majorBidi" w:cstheme="majorBidi"/>
        </w:rPr>
        <w:t>先生</w:t>
      </w:r>
      <w:r w:rsidR="00C54AFA" w:rsidRPr="00C54AFA">
        <w:rPr>
          <w:rFonts w:asciiTheme="majorBidi" w:hAnsiTheme="majorBidi" w:cstheme="majorBidi"/>
        </w:rPr>
        <w:t>，</w:t>
      </w:r>
      <w:r w:rsidRPr="00C54AFA">
        <w:rPr>
          <w:rFonts w:asciiTheme="majorBidi" w:hAnsiTheme="majorBidi" w:cstheme="majorBidi"/>
        </w:rPr>
        <w:t>1976</w:t>
      </w:r>
      <w:r w:rsidR="00A63A71" w:rsidRPr="00C54AFA">
        <w:rPr>
          <w:rFonts w:asciiTheme="majorBidi" w:hAnsiTheme="majorBidi" w:cstheme="majorBidi"/>
        </w:rPr>
        <w:t>年</w:t>
      </w:r>
      <w:r w:rsidRPr="00C54AFA">
        <w:rPr>
          <w:rFonts w:asciiTheme="majorBidi" w:hAnsiTheme="majorBidi" w:cstheme="majorBidi"/>
        </w:rPr>
        <w:t>3</w:t>
      </w:r>
      <w:r w:rsidR="00A63A71" w:rsidRPr="00C54AFA">
        <w:rPr>
          <w:rFonts w:asciiTheme="majorBidi" w:hAnsiTheme="majorBidi" w:cstheme="majorBidi"/>
        </w:rPr>
        <w:t>月</w:t>
      </w:r>
      <w:r w:rsidRPr="00C54AFA">
        <w:rPr>
          <w:rFonts w:asciiTheme="majorBidi" w:hAnsiTheme="majorBidi" w:cstheme="majorBidi"/>
        </w:rPr>
        <w:t>4</w:t>
      </w:r>
      <w:r w:rsidR="00A63A71" w:rsidRPr="00C54AFA">
        <w:rPr>
          <w:rFonts w:asciiTheme="majorBidi" w:hAnsiTheme="majorBidi" w:cstheme="majorBidi"/>
        </w:rPr>
        <w:t>日在</w:t>
      </w:r>
      <w:r w:rsidRPr="00C54AFA">
        <w:rPr>
          <w:rFonts w:asciiTheme="majorBidi" w:hAnsiTheme="majorBidi" w:cstheme="majorBidi"/>
        </w:rPr>
        <w:t>Douar</w:t>
      </w:r>
      <w:r w:rsidR="00A63A71" w:rsidRPr="00C54AFA">
        <w:rPr>
          <w:rFonts w:asciiTheme="majorBidi" w:hAnsiTheme="majorBidi" w:cstheme="majorBidi"/>
        </w:rPr>
        <w:t xml:space="preserve"> </w:t>
      </w:r>
      <w:r w:rsidRPr="00C54AFA">
        <w:rPr>
          <w:rFonts w:asciiTheme="majorBidi" w:hAnsiTheme="majorBidi" w:cstheme="majorBidi"/>
        </w:rPr>
        <w:t>Ouled</w:t>
      </w:r>
      <w:r w:rsidR="00A63A71" w:rsidRPr="00C54AFA">
        <w:rPr>
          <w:rFonts w:asciiTheme="majorBidi" w:hAnsiTheme="majorBidi" w:cstheme="majorBidi"/>
        </w:rPr>
        <w:t xml:space="preserve"> </w:t>
      </w:r>
      <w:r w:rsidRPr="00C54AFA">
        <w:rPr>
          <w:rFonts w:asciiTheme="majorBidi" w:hAnsiTheme="majorBidi" w:cstheme="majorBidi"/>
        </w:rPr>
        <w:t>Moussa</w:t>
      </w:r>
      <w:r w:rsidR="00A63A71" w:rsidRPr="00C54AFA">
        <w:rPr>
          <w:rFonts w:asciiTheme="majorBidi" w:hAnsiTheme="majorBidi" w:cstheme="majorBidi"/>
        </w:rPr>
        <w:t>被警察和皇家武装部队人员逮捕</w:t>
      </w:r>
      <w:r w:rsidR="00C54AFA" w:rsidRPr="00C54AFA">
        <w:rPr>
          <w:rFonts w:asciiTheme="majorBidi" w:hAnsiTheme="majorBidi" w:cstheme="majorBidi"/>
        </w:rPr>
        <w:t>；</w:t>
      </w:r>
    </w:p>
    <w:p w:rsidR="00A63A71" w:rsidRPr="00C54AFA" w:rsidRDefault="00BC4B0A" w:rsidP="00527952">
      <w:pPr>
        <w:pStyle w:val="SingleTxtGC"/>
        <w:numPr>
          <w:ilvl w:val="0"/>
          <w:numId w:val="15"/>
        </w:numPr>
        <w:rPr>
          <w:rFonts w:asciiTheme="majorBidi" w:hAnsiTheme="majorBidi" w:cstheme="majorBidi"/>
        </w:rPr>
      </w:pPr>
      <w:r w:rsidRPr="00C54AFA">
        <w:rPr>
          <w:rFonts w:asciiTheme="majorBidi" w:hAnsiTheme="majorBidi" w:cstheme="majorBidi"/>
        </w:rPr>
        <w:t>Moha</w:t>
      </w:r>
      <w:r w:rsidR="00A63A71" w:rsidRPr="00C54AFA">
        <w:rPr>
          <w:rFonts w:asciiTheme="majorBidi" w:hAnsiTheme="majorBidi" w:cstheme="majorBidi"/>
        </w:rPr>
        <w:t xml:space="preserve"> </w:t>
      </w:r>
      <w:r w:rsidRPr="00C54AFA">
        <w:rPr>
          <w:rFonts w:asciiTheme="majorBidi" w:hAnsiTheme="majorBidi" w:cstheme="majorBidi"/>
        </w:rPr>
        <w:t>Ou</w:t>
      </w:r>
      <w:r w:rsidR="00A63A71" w:rsidRPr="00C54AFA">
        <w:rPr>
          <w:rFonts w:asciiTheme="majorBidi" w:hAnsiTheme="majorBidi" w:cstheme="majorBidi"/>
        </w:rPr>
        <w:t xml:space="preserve"> </w:t>
      </w:r>
      <w:r w:rsidRPr="00C54AFA">
        <w:rPr>
          <w:rFonts w:asciiTheme="majorBidi" w:hAnsiTheme="majorBidi" w:cstheme="majorBidi"/>
        </w:rPr>
        <w:t>Haddou</w:t>
      </w:r>
      <w:r w:rsidR="00A63A71" w:rsidRPr="00C54AFA">
        <w:rPr>
          <w:rFonts w:asciiTheme="majorBidi" w:hAnsiTheme="majorBidi" w:cstheme="majorBidi"/>
        </w:rPr>
        <w:t xml:space="preserve"> </w:t>
      </w:r>
      <w:r w:rsidRPr="00C54AFA">
        <w:rPr>
          <w:rFonts w:asciiTheme="majorBidi" w:hAnsiTheme="majorBidi" w:cstheme="majorBidi"/>
        </w:rPr>
        <w:t>Ait</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他于</w:t>
      </w:r>
      <w:r w:rsidRPr="00C54AFA">
        <w:rPr>
          <w:rFonts w:asciiTheme="majorBidi" w:hAnsiTheme="majorBidi" w:cstheme="majorBidi"/>
        </w:rPr>
        <w:t>1973</w:t>
      </w:r>
      <w:r w:rsidR="00A63A71" w:rsidRPr="00C54AFA">
        <w:rPr>
          <w:rFonts w:asciiTheme="majorBidi" w:hAnsiTheme="majorBidi" w:cstheme="majorBidi"/>
        </w:rPr>
        <w:t>年</w:t>
      </w:r>
      <w:r w:rsidRPr="00C54AFA">
        <w:rPr>
          <w:rFonts w:asciiTheme="majorBidi" w:hAnsiTheme="majorBidi" w:cstheme="majorBidi"/>
        </w:rPr>
        <w:t>3</w:t>
      </w:r>
      <w:r w:rsidR="00A63A71" w:rsidRPr="00C54AFA">
        <w:rPr>
          <w:rFonts w:asciiTheme="majorBidi" w:hAnsiTheme="majorBidi" w:cstheme="majorBidi"/>
        </w:rPr>
        <w:t>月在</w:t>
      </w:r>
      <w:r w:rsidRPr="00C54AFA">
        <w:rPr>
          <w:rFonts w:asciiTheme="majorBidi" w:hAnsiTheme="majorBidi" w:cstheme="majorBidi"/>
        </w:rPr>
        <w:t>Ksar</w:t>
      </w:r>
      <w:r w:rsidR="00A63A71" w:rsidRPr="00C54AFA">
        <w:rPr>
          <w:rFonts w:asciiTheme="majorBidi" w:hAnsiTheme="majorBidi" w:cstheme="majorBidi"/>
        </w:rPr>
        <w:t xml:space="preserve"> </w:t>
      </w:r>
      <w:r w:rsidRPr="00C54AFA">
        <w:rPr>
          <w:rFonts w:asciiTheme="majorBidi" w:hAnsiTheme="majorBidi" w:cstheme="majorBidi"/>
        </w:rPr>
        <w:t>Sountate</w:t>
      </w:r>
      <w:r w:rsidR="00A63A71" w:rsidRPr="00C54AFA">
        <w:rPr>
          <w:rFonts w:asciiTheme="majorBidi" w:hAnsiTheme="majorBidi" w:cstheme="majorBidi"/>
        </w:rPr>
        <w:t>被宪兵逮捕</w:t>
      </w:r>
      <w:r w:rsidR="00C54AFA" w:rsidRPr="00C54AFA">
        <w:rPr>
          <w:rFonts w:asciiTheme="majorBidi" w:hAnsiTheme="majorBidi" w:cstheme="majorBidi"/>
        </w:rPr>
        <w:t>；</w:t>
      </w:r>
    </w:p>
    <w:p w:rsidR="00A63A71" w:rsidRPr="00C54AFA" w:rsidRDefault="00BC4B0A" w:rsidP="00527952">
      <w:pPr>
        <w:pStyle w:val="SingleTxtGC"/>
        <w:numPr>
          <w:ilvl w:val="0"/>
          <w:numId w:val="15"/>
        </w:numPr>
        <w:rPr>
          <w:rFonts w:asciiTheme="majorBidi" w:hAnsiTheme="majorBidi" w:cstheme="majorBidi"/>
        </w:rPr>
      </w:pPr>
      <w:r w:rsidRPr="00C54AFA">
        <w:rPr>
          <w:rFonts w:asciiTheme="majorBidi" w:hAnsiTheme="majorBidi" w:cstheme="majorBidi"/>
        </w:rPr>
        <w:lastRenderedPageBreak/>
        <w:t>Lahrach</w:t>
      </w:r>
      <w:r w:rsidR="00A63A71" w:rsidRPr="00C54AFA">
        <w:rPr>
          <w:rFonts w:asciiTheme="majorBidi" w:hAnsiTheme="majorBidi" w:cstheme="majorBidi"/>
        </w:rPr>
        <w:t xml:space="preserve"> </w:t>
      </w:r>
      <w:r w:rsidRPr="00C54AFA">
        <w:rPr>
          <w:rFonts w:asciiTheme="majorBidi" w:hAnsiTheme="majorBidi" w:cstheme="majorBidi"/>
        </w:rPr>
        <w:t>Eladlani</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他于</w:t>
      </w:r>
      <w:r w:rsidRPr="00C54AFA">
        <w:rPr>
          <w:rFonts w:asciiTheme="majorBidi" w:hAnsiTheme="majorBidi" w:cstheme="majorBidi"/>
        </w:rPr>
        <w:t>1973</w:t>
      </w:r>
      <w:r w:rsidR="00A63A71" w:rsidRPr="00C54AFA">
        <w:rPr>
          <w:rFonts w:asciiTheme="majorBidi" w:hAnsiTheme="majorBidi" w:cstheme="majorBidi"/>
        </w:rPr>
        <w:t>年</w:t>
      </w:r>
      <w:r w:rsidRPr="00C54AFA">
        <w:rPr>
          <w:rFonts w:asciiTheme="majorBidi" w:hAnsiTheme="majorBidi" w:cstheme="majorBidi"/>
        </w:rPr>
        <w:t>7</w:t>
      </w:r>
      <w:r w:rsidR="00A63A71" w:rsidRPr="00C54AFA">
        <w:rPr>
          <w:rFonts w:asciiTheme="majorBidi" w:hAnsiTheme="majorBidi" w:cstheme="majorBidi"/>
        </w:rPr>
        <w:t>月在</w:t>
      </w:r>
      <w:r w:rsidRPr="00C54AFA">
        <w:rPr>
          <w:rFonts w:asciiTheme="majorBidi" w:hAnsiTheme="majorBidi" w:cstheme="majorBidi"/>
        </w:rPr>
        <w:t>Ksar</w:t>
      </w:r>
      <w:r w:rsidR="00A63A71" w:rsidRPr="00C54AFA">
        <w:rPr>
          <w:rFonts w:asciiTheme="majorBidi" w:hAnsiTheme="majorBidi" w:cstheme="majorBidi"/>
        </w:rPr>
        <w:t xml:space="preserve"> </w:t>
      </w:r>
      <w:r w:rsidRPr="00C54AFA">
        <w:rPr>
          <w:rFonts w:asciiTheme="majorBidi" w:hAnsiTheme="majorBidi" w:cstheme="majorBidi"/>
        </w:rPr>
        <w:t>Sountate</w:t>
      </w:r>
      <w:r w:rsidR="00A63A71" w:rsidRPr="00C54AFA">
        <w:rPr>
          <w:rFonts w:asciiTheme="majorBidi" w:hAnsiTheme="majorBidi" w:cstheme="majorBidi"/>
        </w:rPr>
        <w:t>被警察和国家安全局人员逮捕</w:t>
      </w:r>
      <w:r w:rsidR="00C54AFA" w:rsidRPr="00C54AFA">
        <w:rPr>
          <w:rFonts w:asciiTheme="majorBidi" w:hAnsiTheme="majorBidi" w:cstheme="majorBidi"/>
        </w:rPr>
        <w:t>；</w:t>
      </w:r>
    </w:p>
    <w:p w:rsidR="00A63A71" w:rsidRPr="00C54AFA" w:rsidRDefault="00BC4B0A" w:rsidP="00527952">
      <w:pPr>
        <w:pStyle w:val="SingleTxtGC"/>
        <w:numPr>
          <w:ilvl w:val="0"/>
          <w:numId w:val="15"/>
        </w:numPr>
        <w:rPr>
          <w:rFonts w:asciiTheme="majorBidi" w:hAnsiTheme="majorBidi" w:cstheme="majorBidi"/>
        </w:rPr>
      </w:pPr>
      <w:r w:rsidRPr="00C54AFA">
        <w:rPr>
          <w:rFonts w:asciiTheme="majorBidi" w:hAnsiTheme="majorBidi" w:cstheme="majorBidi"/>
        </w:rPr>
        <w:t>Mimoune</w:t>
      </w:r>
      <w:r w:rsidR="00A63A71" w:rsidRPr="00C54AFA">
        <w:rPr>
          <w:rFonts w:asciiTheme="majorBidi" w:hAnsiTheme="majorBidi" w:cstheme="majorBidi"/>
        </w:rPr>
        <w:t xml:space="preserve"> </w:t>
      </w:r>
      <w:r w:rsidRPr="00C54AFA">
        <w:rPr>
          <w:rFonts w:asciiTheme="majorBidi" w:hAnsiTheme="majorBidi" w:cstheme="majorBidi"/>
        </w:rPr>
        <w:t>Fagouri</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最后一次被人见到是</w:t>
      </w:r>
      <w:r w:rsidRPr="00C54AFA">
        <w:rPr>
          <w:rFonts w:asciiTheme="majorBidi" w:hAnsiTheme="majorBidi" w:cstheme="majorBidi"/>
        </w:rPr>
        <w:t>1973</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7</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在盖尼特拉中央监狱</w:t>
      </w:r>
      <w:r w:rsidR="00C54AFA" w:rsidRPr="00C54AFA">
        <w:rPr>
          <w:rFonts w:asciiTheme="majorBidi" w:hAnsiTheme="majorBidi" w:cstheme="majorBidi"/>
        </w:rPr>
        <w:t>；</w:t>
      </w:r>
    </w:p>
    <w:p w:rsidR="00A63A71" w:rsidRPr="00C54AFA" w:rsidRDefault="00BC4B0A" w:rsidP="00527952">
      <w:pPr>
        <w:pStyle w:val="SingleTxtGC"/>
        <w:numPr>
          <w:ilvl w:val="0"/>
          <w:numId w:val="15"/>
        </w:numPr>
        <w:rPr>
          <w:rFonts w:asciiTheme="majorBidi" w:hAnsiTheme="majorBidi" w:cstheme="majorBidi"/>
        </w:rPr>
      </w:pPr>
      <w:r w:rsidRPr="00C54AFA">
        <w:rPr>
          <w:rFonts w:asciiTheme="majorBidi" w:hAnsiTheme="majorBidi" w:cstheme="majorBidi"/>
        </w:rPr>
        <w:t>Abdelaziz</w:t>
      </w:r>
      <w:r w:rsidR="00A63A71" w:rsidRPr="00C54AFA">
        <w:rPr>
          <w:rFonts w:asciiTheme="majorBidi" w:hAnsiTheme="majorBidi" w:cstheme="majorBidi"/>
        </w:rPr>
        <w:t xml:space="preserve"> </w:t>
      </w:r>
      <w:r w:rsidRPr="00C54AFA">
        <w:rPr>
          <w:rFonts w:asciiTheme="majorBidi" w:hAnsiTheme="majorBidi" w:cstheme="majorBidi"/>
        </w:rPr>
        <w:t>Bikri</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他于</w:t>
      </w:r>
      <w:r w:rsidRPr="00C54AFA">
        <w:rPr>
          <w:rFonts w:asciiTheme="majorBidi" w:hAnsiTheme="majorBidi" w:cstheme="majorBidi"/>
        </w:rPr>
        <w:t>2</w:t>
      </w:r>
      <w:r w:rsidR="00A63A71" w:rsidRPr="00C54AFA">
        <w:rPr>
          <w:rFonts w:asciiTheme="majorBidi" w:hAnsiTheme="majorBidi" w:cstheme="majorBidi"/>
        </w:rPr>
        <w:t>00</w:t>
      </w:r>
      <w:r w:rsidRPr="00C54AFA">
        <w:rPr>
          <w:rFonts w:asciiTheme="majorBidi" w:hAnsiTheme="majorBidi" w:cstheme="majorBidi"/>
        </w:rPr>
        <w:t>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26</w:t>
      </w:r>
      <w:r w:rsidR="00A63A71" w:rsidRPr="00C54AFA">
        <w:rPr>
          <w:rFonts w:asciiTheme="majorBidi" w:hAnsiTheme="majorBidi" w:cstheme="majorBidi"/>
        </w:rPr>
        <w:t>日在萨菲地区</w:t>
      </w:r>
      <w:r w:rsidRPr="00C54AFA">
        <w:rPr>
          <w:rFonts w:asciiTheme="majorBidi" w:hAnsiTheme="majorBidi" w:cstheme="majorBidi"/>
        </w:rPr>
        <w:t>Bedouza</w:t>
      </w:r>
      <w:r w:rsidR="00A63A71" w:rsidRPr="00C54AFA">
        <w:rPr>
          <w:rFonts w:asciiTheme="majorBidi" w:hAnsiTheme="majorBidi" w:cstheme="majorBidi"/>
        </w:rPr>
        <w:t>被萨菲司法警察逮捕</w:t>
      </w:r>
      <w:r w:rsidR="00C54AFA" w:rsidRPr="00C54AFA">
        <w:rPr>
          <w:rFonts w:asciiTheme="majorBidi" w:hAnsiTheme="majorBidi" w:cstheme="majorBidi"/>
        </w:rPr>
        <w:t>；</w:t>
      </w:r>
    </w:p>
    <w:p w:rsidR="00A63A71" w:rsidRPr="00C54AFA" w:rsidRDefault="00BC4B0A" w:rsidP="00527952">
      <w:pPr>
        <w:pStyle w:val="SingleTxtGC"/>
        <w:numPr>
          <w:ilvl w:val="0"/>
          <w:numId w:val="15"/>
        </w:numPr>
        <w:rPr>
          <w:rFonts w:asciiTheme="majorBidi" w:hAnsiTheme="majorBidi" w:cstheme="majorBidi"/>
        </w:rPr>
      </w:pPr>
      <w:r w:rsidRPr="00C54AFA">
        <w:rPr>
          <w:rFonts w:asciiTheme="majorBidi" w:hAnsiTheme="majorBidi" w:cstheme="majorBidi"/>
        </w:rPr>
        <w:t>Amar</w:t>
      </w:r>
      <w:r w:rsidR="00A63A71" w:rsidRPr="00C54AFA">
        <w:rPr>
          <w:rFonts w:asciiTheme="majorBidi" w:hAnsiTheme="majorBidi" w:cstheme="majorBidi"/>
        </w:rPr>
        <w:t xml:space="preserve"> </w:t>
      </w:r>
      <w:r w:rsidRPr="00C54AFA">
        <w:rPr>
          <w:rFonts w:asciiTheme="majorBidi" w:hAnsiTheme="majorBidi" w:cstheme="majorBidi"/>
        </w:rPr>
        <w:t>Ben</w:t>
      </w:r>
      <w:r w:rsidR="00A63A71" w:rsidRPr="00C54AFA">
        <w:rPr>
          <w:rFonts w:asciiTheme="majorBidi" w:hAnsiTheme="majorBidi" w:cstheme="majorBidi"/>
        </w:rPr>
        <w:t xml:space="preserve"> </w:t>
      </w:r>
      <w:r w:rsidRPr="00C54AFA">
        <w:rPr>
          <w:rFonts w:asciiTheme="majorBidi" w:hAnsiTheme="majorBidi" w:cstheme="majorBidi"/>
        </w:rPr>
        <w:t>Abderrahmane</w:t>
      </w:r>
      <w:r w:rsidR="00A63A71" w:rsidRPr="00C54AFA">
        <w:rPr>
          <w:rFonts w:asciiTheme="majorBidi" w:hAnsiTheme="majorBidi" w:cstheme="majorBidi"/>
        </w:rPr>
        <w:t xml:space="preserve"> </w:t>
      </w:r>
      <w:r w:rsidRPr="00C54AFA">
        <w:rPr>
          <w:rFonts w:asciiTheme="majorBidi" w:hAnsiTheme="majorBidi" w:cstheme="majorBidi"/>
        </w:rPr>
        <w:t>Ksissar</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最后一次被人见到是</w:t>
      </w:r>
      <w:r w:rsidRPr="00C54AFA">
        <w:rPr>
          <w:rFonts w:asciiTheme="majorBidi" w:hAnsiTheme="majorBidi" w:cstheme="majorBidi"/>
        </w:rPr>
        <w:t>1973</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3</w:t>
      </w:r>
      <w:r w:rsidR="00A63A71" w:rsidRPr="00C54AFA">
        <w:rPr>
          <w:rFonts w:asciiTheme="majorBidi" w:hAnsiTheme="majorBidi" w:cstheme="majorBidi"/>
        </w:rPr>
        <w:t>0</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在盖尼特拉中央监狱</w:t>
      </w:r>
      <w:r w:rsidR="00C54AFA" w:rsidRPr="00C54AFA">
        <w:rPr>
          <w:rFonts w:asciiTheme="majorBidi" w:hAnsiTheme="majorBidi" w:cstheme="majorBidi"/>
        </w:rPr>
        <w:t>；</w:t>
      </w:r>
    </w:p>
    <w:p w:rsidR="00A63A71" w:rsidRPr="00C54AFA" w:rsidRDefault="00BC4B0A" w:rsidP="00527952">
      <w:pPr>
        <w:pStyle w:val="SingleTxtGC"/>
        <w:numPr>
          <w:ilvl w:val="0"/>
          <w:numId w:val="15"/>
        </w:numPr>
        <w:rPr>
          <w:rFonts w:asciiTheme="majorBidi" w:hAnsiTheme="majorBidi" w:cstheme="majorBidi"/>
        </w:rPr>
      </w:pPr>
      <w:r w:rsidRPr="00C54AFA">
        <w:rPr>
          <w:rFonts w:asciiTheme="majorBidi" w:hAnsiTheme="majorBidi" w:cstheme="majorBidi"/>
        </w:rPr>
        <w:t>Boucha</w:t>
      </w:r>
      <w:r w:rsidR="00A63A71" w:rsidRPr="00C54AFA">
        <w:rPr>
          <w:rFonts w:asciiTheme="majorBidi" w:hAnsiTheme="majorBidi" w:cstheme="majorBidi"/>
        </w:rPr>
        <w:t>ï</w:t>
      </w:r>
      <w:r w:rsidRPr="00C54AFA">
        <w:rPr>
          <w:rFonts w:asciiTheme="majorBidi" w:hAnsiTheme="majorBidi" w:cstheme="majorBidi"/>
        </w:rPr>
        <w:t>b</w:t>
      </w:r>
      <w:r w:rsidR="00A63A71" w:rsidRPr="00C54AFA">
        <w:rPr>
          <w:rFonts w:asciiTheme="majorBidi" w:hAnsiTheme="majorBidi" w:cstheme="majorBidi"/>
        </w:rPr>
        <w:t xml:space="preserve"> </w:t>
      </w:r>
      <w:r w:rsidRPr="00C54AFA">
        <w:rPr>
          <w:rFonts w:asciiTheme="majorBidi" w:hAnsiTheme="majorBidi" w:cstheme="majorBidi"/>
        </w:rPr>
        <w:t>Hachmaoui</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他于</w:t>
      </w:r>
      <w:r w:rsidRPr="00C54AFA">
        <w:rPr>
          <w:rFonts w:asciiTheme="majorBidi" w:hAnsiTheme="majorBidi" w:cstheme="majorBidi"/>
        </w:rPr>
        <w:t>1971</w:t>
      </w:r>
      <w:r w:rsidR="00A63A71" w:rsidRPr="00C54AFA">
        <w:rPr>
          <w:rFonts w:asciiTheme="majorBidi" w:hAnsiTheme="majorBidi" w:cstheme="majorBidi"/>
        </w:rPr>
        <w:t>年</w:t>
      </w:r>
      <w:r w:rsidRPr="00C54AFA">
        <w:rPr>
          <w:rFonts w:asciiTheme="majorBidi" w:hAnsiTheme="majorBidi" w:cstheme="majorBidi"/>
        </w:rPr>
        <w:t>7</w:t>
      </w:r>
      <w:r w:rsidR="00A63A71" w:rsidRPr="00C54AFA">
        <w:rPr>
          <w:rFonts w:asciiTheme="majorBidi" w:hAnsiTheme="majorBidi" w:cstheme="majorBidi"/>
        </w:rPr>
        <w:t>月</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日在拉巴特被警察和宪兵绑架</w:t>
      </w:r>
      <w:r w:rsidR="00C54AFA" w:rsidRPr="00C54AFA">
        <w:rPr>
          <w:rFonts w:asciiTheme="majorBidi" w:hAnsiTheme="majorBidi" w:cstheme="majorBidi"/>
        </w:rPr>
        <w:t>；</w:t>
      </w:r>
    </w:p>
    <w:p w:rsidR="00A63A71" w:rsidRPr="00C54AFA" w:rsidRDefault="00BC4B0A" w:rsidP="00527952">
      <w:pPr>
        <w:pStyle w:val="SingleTxtGC"/>
        <w:numPr>
          <w:ilvl w:val="0"/>
          <w:numId w:val="15"/>
        </w:numPr>
        <w:rPr>
          <w:rFonts w:asciiTheme="majorBidi" w:hAnsiTheme="majorBidi" w:cstheme="majorBidi"/>
        </w:rPr>
      </w:pPr>
      <w:r w:rsidRPr="00C54AFA">
        <w:rPr>
          <w:rFonts w:asciiTheme="majorBidi" w:hAnsiTheme="majorBidi" w:cstheme="majorBidi"/>
        </w:rPr>
        <w:t>El</w:t>
      </w:r>
      <w:r w:rsidR="00A63A71" w:rsidRPr="00C54AFA">
        <w:rPr>
          <w:rFonts w:asciiTheme="majorBidi" w:hAnsiTheme="majorBidi" w:cstheme="majorBidi"/>
        </w:rPr>
        <w:t xml:space="preserve"> </w:t>
      </w:r>
      <w:r w:rsidRPr="00C54AFA">
        <w:rPr>
          <w:rFonts w:asciiTheme="majorBidi" w:hAnsiTheme="majorBidi" w:cstheme="majorBidi"/>
        </w:rPr>
        <w:t>Houcine</w:t>
      </w:r>
      <w:r w:rsidR="00A63A71" w:rsidRPr="00C54AFA">
        <w:rPr>
          <w:rFonts w:asciiTheme="majorBidi" w:hAnsiTheme="majorBidi" w:cstheme="majorBidi"/>
        </w:rPr>
        <w:t xml:space="preserve"> </w:t>
      </w:r>
      <w:r w:rsidRPr="00C54AFA">
        <w:rPr>
          <w:rFonts w:asciiTheme="majorBidi" w:hAnsiTheme="majorBidi" w:cstheme="majorBidi"/>
        </w:rPr>
        <w:t>Oukachih</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他于</w:t>
      </w:r>
      <w:r w:rsidRPr="00C54AFA">
        <w:rPr>
          <w:rFonts w:asciiTheme="majorBidi" w:hAnsiTheme="majorBidi" w:cstheme="majorBidi"/>
        </w:rPr>
        <w:t>1971</w:t>
      </w:r>
      <w:r w:rsidR="00A63A71" w:rsidRPr="00C54AFA">
        <w:rPr>
          <w:rFonts w:asciiTheme="majorBidi" w:hAnsiTheme="majorBidi" w:cstheme="majorBidi"/>
        </w:rPr>
        <w:t>年</w:t>
      </w:r>
      <w:r w:rsidRPr="00C54AFA">
        <w:rPr>
          <w:rFonts w:asciiTheme="majorBidi" w:hAnsiTheme="majorBidi" w:cstheme="majorBidi"/>
        </w:rPr>
        <w:t>7</w:t>
      </w:r>
      <w:r w:rsidR="00A63A71" w:rsidRPr="00C54AFA">
        <w:rPr>
          <w:rFonts w:asciiTheme="majorBidi" w:hAnsiTheme="majorBidi" w:cstheme="majorBidi"/>
        </w:rPr>
        <w:t>月</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日在拉巴特被宪兵队和皇家武装部队绑架</w:t>
      </w:r>
      <w:r w:rsidR="00C54AFA" w:rsidRPr="00C54AFA">
        <w:rPr>
          <w:rFonts w:asciiTheme="majorBidi" w:hAnsiTheme="majorBidi" w:cstheme="majorBidi"/>
        </w:rPr>
        <w:t>；</w:t>
      </w:r>
    </w:p>
    <w:p w:rsidR="00A63A71" w:rsidRPr="00C54AFA" w:rsidRDefault="00BC4B0A" w:rsidP="00527952">
      <w:pPr>
        <w:pStyle w:val="SingleTxtGC"/>
        <w:numPr>
          <w:ilvl w:val="0"/>
          <w:numId w:val="15"/>
        </w:numPr>
        <w:rPr>
          <w:rFonts w:asciiTheme="majorBidi" w:hAnsiTheme="majorBidi" w:cstheme="majorBidi"/>
        </w:rPr>
      </w:pP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Ben</w:t>
      </w:r>
      <w:r w:rsidR="00A63A71" w:rsidRPr="00C54AFA">
        <w:rPr>
          <w:rFonts w:asciiTheme="majorBidi" w:hAnsiTheme="majorBidi" w:cstheme="majorBidi"/>
        </w:rPr>
        <w:t xml:space="preserve"> </w:t>
      </w:r>
      <w:r w:rsidRPr="00C54AFA">
        <w:rPr>
          <w:rFonts w:asciiTheme="majorBidi" w:hAnsiTheme="majorBidi" w:cstheme="majorBidi"/>
        </w:rPr>
        <w:t>Kaci</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他于</w:t>
      </w:r>
      <w:r w:rsidRPr="00C54AFA">
        <w:rPr>
          <w:rFonts w:asciiTheme="majorBidi" w:hAnsiTheme="majorBidi" w:cstheme="majorBidi"/>
        </w:rPr>
        <w:t>1971</w:t>
      </w:r>
      <w:r w:rsidR="00A63A71" w:rsidRPr="00C54AFA">
        <w:rPr>
          <w:rFonts w:asciiTheme="majorBidi" w:hAnsiTheme="majorBidi" w:cstheme="majorBidi"/>
        </w:rPr>
        <w:t>年</w:t>
      </w:r>
      <w:r w:rsidRPr="00C54AFA">
        <w:rPr>
          <w:rFonts w:asciiTheme="majorBidi" w:hAnsiTheme="majorBidi" w:cstheme="majorBidi"/>
        </w:rPr>
        <w:t>7</w:t>
      </w:r>
      <w:r w:rsidR="00A63A71" w:rsidRPr="00C54AFA">
        <w:rPr>
          <w:rFonts w:asciiTheme="majorBidi" w:hAnsiTheme="majorBidi" w:cstheme="majorBidi"/>
        </w:rPr>
        <w:t>月</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日在拉巴特被宪兵队和皇家武装部队绑架。</w:t>
      </w:r>
    </w:p>
    <w:p w:rsidR="00A63A71" w:rsidRPr="00C54AFA" w:rsidRDefault="00A63A71" w:rsidP="00116230">
      <w:pPr>
        <w:pStyle w:val="H1GC"/>
      </w:pPr>
      <w:r w:rsidRPr="00C54AFA">
        <w:tab/>
      </w:r>
      <w:r w:rsidRPr="00C54AFA">
        <w:tab/>
      </w:r>
      <w:r w:rsidRPr="00C54AFA">
        <w:t>尼泊尔</w:t>
      </w:r>
    </w:p>
    <w:p w:rsidR="00A63A71" w:rsidRPr="00C54AFA" w:rsidRDefault="00A63A71" w:rsidP="00116230">
      <w:pPr>
        <w:pStyle w:val="H23GC"/>
      </w:pPr>
      <w:r w:rsidRPr="00C54AFA">
        <w:tab/>
      </w:r>
      <w:r w:rsidRPr="00C54AFA">
        <w:tab/>
      </w:r>
      <w:r w:rsidRPr="00C54AFA">
        <w:t>政府提供的资料</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8</w:t>
      </w:r>
      <w:r w:rsidR="00C54AFA" w:rsidRPr="00C54AFA">
        <w:rPr>
          <w:rFonts w:asciiTheme="majorBidi" w:hAnsiTheme="majorBidi" w:cstheme="majorBidi"/>
        </w:rPr>
        <w:t>8.</w:t>
      </w:r>
      <w:r w:rsidR="00527952" w:rsidRPr="00C54AFA">
        <w:rPr>
          <w:rFonts w:asciiTheme="majorBidi" w:hAnsiTheme="majorBidi" w:cstheme="majorBidi"/>
        </w:rPr>
        <w:t xml:space="preserve">  </w:t>
      </w:r>
      <w:r w:rsidR="00A63A71" w:rsidRPr="00C54AFA">
        <w:rPr>
          <w:rFonts w:asciiTheme="majorBidi" w:hAnsiTheme="majorBidi" w:cstheme="majorBidi"/>
        </w:rPr>
        <w:t>工作组曾与其他特别程序任务负责人一起向该国政府转交了一封关于《</w:t>
      </w:r>
      <w:proofErr w:type="gramStart"/>
      <w:r w:rsidR="00A63A71" w:rsidRPr="00C54AFA">
        <w:rPr>
          <w:rFonts w:asciiTheme="majorBidi" w:hAnsiTheme="majorBidi" w:cstheme="majorBidi"/>
        </w:rPr>
        <w:t>尼泊尔</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71</w:t>
      </w:r>
      <w:r w:rsidR="00A63A71" w:rsidRPr="00C54AFA">
        <w:rPr>
          <w:rFonts w:asciiTheme="majorBidi" w:hAnsiTheme="majorBidi" w:cstheme="majorBidi"/>
        </w:rPr>
        <w:t>号</w:t>
      </w:r>
      <w:r w:rsidR="00C54AFA" w:rsidRPr="00C54AFA">
        <w:rPr>
          <w:rFonts w:asciiTheme="majorBidi" w:hAnsiTheme="majorBidi" w:cstheme="majorBidi"/>
        </w:rPr>
        <w:t>(</w:t>
      </w:r>
      <w:proofErr w:type="gramEnd"/>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00C54AFA" w:rsidRPr="00C54AFA">
        <w:rPr>
          <w:rFonts w:asciiTheme="majorBidi" w:hAnsiTheme="majorBidi" w:cstheme="majorBidi"/>
        </w:rPr>
        <w:t>)</w:t>
      </w:r>
      <w:r w:rsidR="00A63A71" w:rsidRPr="00C54AFA">
        <w:rPr>
          <w:rFonts w:asciiTheme="majorBidi" w:hAnsiTheme="majorBidi" w:cstheme="majorBidi"/>
        </w:rPr>
        <w:t>失踪人员调查、真相与和解委员会法》的一封联合信函</w:t>
      </w:r>
      <w:r w:rsidR="00C54AFA" w:rsidRPr="00C54AFA">
        <w:rPr>
          <w:rFonts w:asciiTheme="majorBidi" w:hAnsiTheme="majorBidi" w:cstheme="majorBidi"/>
        </w:rPr>
        <w:t>；</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12</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该国政府就此作出答复。该国政府称</w:t>
      </w:r>
      <w:r w:rsidR="00C54AFA" w:rsidRPr="00C54AFA">
        <w:rPr>
          <w:rFonts w:asciiTheme="majorBidi" w:hAnsiTheme="majorBidi" w:cstheme="majorBidi"/>
        </w:rPr>
        <w:t>，</w:t>
      </w:r>
      <w:r w:rsidR="00A63A71" w:rsidRPr="00C54AFA">
        <w:rPr>
          <w:rFonts w:asciiTheme="majorBidi" w:hAnsiTheme="majorBidi" w:cstheme="majorBidi"/>
        </w:rPr>
        <w:t>该法不包含普遍大赦</w:t>
      </w:r>
      <w:r w:rsidR="00C54AFA" w:rsidRPr="00C54AFA">
        <w:rPr>
          <w:rFonts w:asciiTheme="majorBidi" w:hAnsiTheme="majorBidi" w:cstheme="majorBidi"/>
        </w:rPr>
        <w:t>；</w:t>
      </w:r>
      <w:r w:rsidR="00A63A71" w:rsidRPr="00C54AFA">
        <w:rPr>
          <w:rFonts w:asciiTheme="majorBidi" w:hAnsiTheme="majorBidi" w:cstheme="majorBidi"/>
        </w:rPr>
        <w:t>大赦取决于罪行的严重性、参与程度和犯罪性质。该国政府强调</w:t>
      </w:r>
      <w:r w:rsidR="00C54AFA" w:rsidRPr="00C54AFA">
        <w:rPr>
          <w:rFonts w:asciiTheme="majorBidi" w:hAnsiTheme="majorBidi" w:cstheme="majorBidi"/>
        </w:rPr>
        <w:t>，</w:t>
      </w:r>
      <w:r w:rsidR="00A63A71" w:rsidRPr="00C54AFA">
        <w:rPr>
          <w:rFonts w:asciiTheme="majorBidi" w:hAnsiTheme="majorBidi" w:cstheme="majorBidi"/>
        </w:rPr>
        <w:t>起诉参与严重侵犯人权</w:t>
      </w:r>
      <w:r w:rsidR="00C54AFA" w:rsidRPr="00C54AFA">
        <w:rPr>
          <w:rFonts w:asciiTheme="majorBidi" w:hAnsiTheme="majorBidi" w:cstheme="majorBidi"/>
        </w:rPr>
        <w:t>(</w:t>
      </w:r>
      <w:r w:rsidR="00A63A71" w:rsidRPr="00C54AFA">
        <w:rPr>
          <w:rFonts w:asciiTheme="majorBidi" w:hAnsiTheme="majorBidi" w:cstheme="majorBidi"/>
        </w:rPr>
        <w:t>包括人员失踪</w:t>
      </w:r>
      <w:r w:rsidR="00C54AFA" w:rsidRPr="00C54AFA">
        <w:rPr>
          <w:rFonts w:asciiTheme="majorBidi" w:hAnsiTheme="majorBidi" w:cstheme="majorBidi"/>
        </w:rPr>
        <w:t>)</w:t>
      </w:r>
      <w:r w:rsidR="00A63A71" w:rsidRPr="00C54AFA">
        <w:rPr>
          <w:rFonts w:asciiTheme="majorBidi" w:hAnsiTheme="majorBidi" w:cstheme="majorBidi"/>
        </w:rPr>
        <w:t>的人</w:t>
      </w:r>
      <w:r w:rsidR="00C54AFA" w:rsidRPr="00C54AFA">
        <w:rPr>
          <w:rFonts w:asciiTheme="majorBidi" w:hAnsiTheme="majorBidi" w:cstheme="majorBidi"/>
        </w:rPr>
        <w:t>，</w:t>
      </w:r>
      <w:r w:rsidR="00A63A71" w:rsidRPr="00C54AFA">
        <w:rPr>
          <w:rFonts w:asciiTheme="majorBidi" w:hAnsiTheme="majorBidi" w:cstheme="majorBidi"/>
        </w:rPr>
        <w:t>是该法的一个目标。此外</w:t>
      </w:r>
      <w:r w:rsidR="00C54AFA" w:rsidRPr="00C54AFA">
        <w:rPr>
          <w:rFonts w:asciiTheme="majorBidi" w:hAnsiTheme="majorBidi" w:cstheme="majorBidi"/>
        </w:rPr>
        <w:t>，</w:t>
      </w:r>
      <w:r w:rsidR="00A63A71" w:rsidRPr="00C54AFA">
        <w:rPr>
          <w:rFonts w:asciiTheme="majorBidi" w:hAnsiTheme="majorBidi" w:cstheme="majorBidi"/>
        </w:rPr>
        <w:t>在作出特赦建议前</w:t>
      </w:r>
      <w:r w:rsidR="00C54AFA" w:rsidRPr="00C54AFA">
        <w:rPr>
          <w:rFonts w:asciiTheme="majorBidi" w:hAnsiTheme="majorBidi" w:cstheme="majorBidi"/>
        </w:rPr>
        <w:t>，</w:t>
      </w:r>
      <w:r w:rsidR="00A63A71" w:rsidRPr="00C54AFA">
        <w:rPr>
          <w:rFonts w:asciiTheme="majorBidi" w:hAnsiTheme="majorBidi" w:cstheme="majorBidi"/>
        </w:rPr>
        <w:t>真相与和解委员会必须与受害人密切磋商</w:t>
      </w:r>
      <w:r w:rsidR="00C54AFA" w:rsidRPr="00C54AFA">
        <w:rPr>
          <w:rFonts w:asciiTheme="majorBidi" w:hAnsiTheme="majorBidi" w:cstheme="majorBidi"/>
        </w:rPr>
        <w:t>，</w:t>
      </w:r>
      <w:r w:rsidR="00A63A71" w:rsidRPr="00C54AFA">
        <w:rPr>
          <w:rFonts w:asciiTheme="majorBidi" w:hAnsiTheme="majorBidi" w:cstheme="majorBidi"/>
        </w:rPr>
        <w:t>征求他们的同意。</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8</w:t>
      </w:r>
      <w:r w:rsidR="00C54AFA" w:rsidRPr="00C54AFA">
        <w:rPr>
          <w:rFonts w:asciiTheme="majorBidi" w:hAnsiTheme="majorBidi" w:cstheme="majorBidi"/>
        </w:rPr>
        <w:t>9.</w:t>
      </w:r>
      <w:r w:rsidR="00527952" w:rsidRPr="00C54AFA">
        <w:rPr>
          <w:rFonts w:asciiTheme="majorBidi" w:hAnsiTheme="majorBidi" w:cstheme="majorBidi"/>
        </w:rPr>
        <w:t xml:space="preserve">  </w:t>
      </w:r>
      <w:r w:rsidR="00A63A71" w:rsidRPr="00C54AFA">
        <w:rPr>
          <w:rFonts w:asciiTheme="majorBidi" w:hAnsiTheme="majorBidi" w:cstheme="majorBidi"/>
        </w:rPr>
        <w:t>该国政府明确指出</w:t>
      </w:r>
      <w:r w:rsidR="00C54AFA" w:rsidRPr="00C54AFA">
        <w:rPr>
          <w:rFonts w:asciiTheme="majorBidi" w:hAnsiTheme="majorBidi" w:cstheme="majorBidi"/>
        </w:rPr>
        <w:t>，</w:t>
      </w:r>
      <w:r w:rsidR="00A63A71" w:rsidRPr="00C54AFA">
        <w:rPr>
          <w:rFonts w:asciiTheme="majorBidi" w:hAnsiTheme="majorBidi" w:cstheme="majorBidi"/>
        </w:rPr>
        <w:t>该委员会并不取代现有刑事司法机制</w:t>
      </w:r>
      <w:r w:rsidR="00C54AFA" w:rsidRPr="00C54AFA">
        <w:rPr>
          <w:rFonts w:asciiTheme="majorBidi" w:hAnsiTheme="majorBidi" w:cstheme="majorBidi"/>
        </w:rPr>
        <w:t>，</w:t>
      </w:r>
      <w:r w:rsidR="00A63A71" w:rsidRPr="00C54AFA">
        <w:rPr>
          <w:rFonts w:asciiTheme="majorBidi" w:hAnsiTheme="majorBidi" w:cstheme="majorBidi"/>
        </w:rPr>
        <w:t>它与有关法院或机构就它正在审议的案件进行磋商。该法并不将目前与冲突相关的所有案件从刑事司法进程转移</w:t>
      </w:r>
      <w:r w:rsidR="00C54AFA" w:rsidRPr="00C54AFA">
        <w:rPr>
          <w:rFonts w:asciiTheme="majorBidi" w:hAnsiTheme="majorBidi" w:cstheme="majorBidi"/>
        </w:rPr>
        <w:t>；</w:t>
      </w:r>
      <w:r w:rsidR="00A63A71" w:rsidRPr="00C54AFA">
        <w:rPr>
          <w:rFonts w:asciiTheme="majorBidi" w:hAnsiTheme="majorBidi" w:cstheme="majorBidi"/>
        </w:rPr>
        <w:t>如果受害人和做恶人之间有相互自由同意</w:t>
      </w:r>
      <w:r w:rsidR="00C54AFA" w:rsidRPr="00C54AFA">
        <w:rPr>
          <w:rFonts w:asciiTheme="majorBidi" w:hAnsiTheme="majorBidi" w:cstheme="majorBidi"/>
        </w:rPr>
        <w:t>，</w:t>
      </w:r>
      <w:r w:rsidR="00A63A71" w:rsidRPr="00C54AFA">
        <w:rPr>
          <w:rFonts w:asciiTheme="majorBidi" w:hAnsiTheme="majorBidi" w:cstheme="majorBidi"/>
        </w:rPr>
        <w:t>该法有助于和解。该国政府强调</w:t>
      </w:r>
      <w:r w:rsidR="00C54AFA" w:rsidRPr="00C54AFA">
        <w:rPr>
          <w:rFonts w:asciiTheme="majorBidi" w:hAnsiTheme="majorBidi" w:cstheme="majorBidi"/>
        </w:rPr>
        <w:t>，</w:t>
      </w:r>
      <w:r w:rsidR="00A63A71" w:rsidRPr="00C54AFA">
        <w:rPr>
          <w:rFonts w:asciiTheme="majorBidi" w:hAnsiTheme="majorBidi" w:cstheme="majorBidi"/>
        </w:rPr>
        <w:t>委员会的结构和职能独立性及其公正性和自主性得到该法的保障。</w:t>
      </w:r>
    </w:p>
    <w:p w:rsidR="00A63A71" w:rsidRPr="00C54AFA" w:rsidRDefault="00A63A71" w:rsidP="00116230">
      <w:pPr>
        <w:pStyle w:val="H23GC"/>
      </w:pPr>
      <w:r w:rsidRPr="00C54AFA">
        <w:tab/>
      </w:r>
      <w:r w:rsidRPr="00C54AFA">
        <w:tab/>
      </w:r>
      <w:r w:rsidRPr="00C54AFA">
        <w:t>意见</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9</w:t>
      </w:r>
      <w:r w:rsidR="00C54AFA" w:rsidRPr="00C54AFA">
        <w:rPr>
          <w:rFonts w:asciiTheme="majorBidi" w:hAnsiTheme="majorBidi" w:cstheme="majorBidi"/>
        </w:rPr>
        <w:t>0.</w:t>
      </w:r>
      <w:r w:rsidR="00527952" w:rsidRPr="00C54AFA">
        <w:rPr>
          <w:rFonts w:asciiTheme="majorBidi" w:hAnsiTheme="majorBidi" w:cstheme="majorBidi"/>
        </w:rPr>
        <w:t xml:space="preserve">  </w:t>
      </w:r>
      <w:r w:rsidR="00A63A71" w:rsidRPr="00C54AFA">
        <w:rPr>
          <w:rFonts w:asciiTheme="majorBidi" w:hAnsiTheme="majorBidi" w:cstheme="majorBidi"/>
        </w:rPr>
        <w:t>工作组感谢政府的答复</w:t>
      </w:r>
      <w:r w:rsidR="00C54AFA" w:rsidRPr="00C54AFA">
        <w:rPr>
          <w:rFonts w:asciiTheme="majorBidi" w:hAnsiTheme="majorBidi" w:cstheme="majorBidi"/>
        </w:rPr>
        <w:t>，</w:t>
      </w:r>
      <w:r w:rsidR="00A63A71" w:rsidRPr="00C54AFA">
        <w:rPr>
          <w:rFonts w:asciiTheme="majorBidi" w:hAnsiTheme="majorBidi" w:cstheme="majorBidi"/>
        </w:rPr>
        <w:t>它欢迎最高法院</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w:t>
      </w:r>
      <w:r w:rsidRPr="00C54AFA">
        <w:rPr>
          <w:rFonts w:asciiTheme="majorBidi" w:hAnsiTheme="majorBidi" w:cstheme="majorBidi"/>
        </w:rPr>
        <w:t>26</w:t>
      </w:r>
      <w:r w:rsidR="00A63A71" w:rsidRPr="00C54AFA">
        <w:rPr>
          <w:rFonts w:asciiTheme="majorBidi" w:hAnsiTheme="majorBidi" w:cstheme="majorBidi"/>
        </w:rPr>
        <w:t>日作出的关于修订过渡时期司法法有关条款的决定</w:t>
      </w:r>
      <w:r w:rsidR="00C54AFA" w:rsidRPr="00C54AFA">
        <w:rPr>
          <w:rFonts w:asciiTheme="majorBidi" w:hAnsiTheme="majorBidi" w:cstheme="majorBidi"/>
        </w:rPr>
        <w:t>，</w:t>
      </w:r>
      <w:r w:rsidR="00A63A71" w:rsidRPr="00C54AFA">
        <w:rPr>
          <w:rFonts w:asciiTheme="majorBidi" w:hAnsiTheme="majorBidi" w:cstheme="majorBidi"/>
        </w:rPr>
        <w:t>该条款规定</w:t>
      </w:r>
      <w:r w:rsidR="00C54AFA" w:rsidRPr="00C54AFA">
        <w:rPr>
          <w:rFonts w:asciiTheme="majorBidi" w:hAnsiTheme="majorBidi" w:cstheme="majorBidi"/>
        </w:rPr>
        <w:t>，</w:t>
      </w:r>
      <w:r w:rsidR="00A63A71" w:rsidRPr="00C54AFA">
        <w:rPr>
          <w:rFonts w:asciiTheme="majorBidi" w:hAnsiTheme="majorBidi" w:cstheme="majorBidi"/>
        </w:rPr>
        <w:t>真相与和解委员会和失踪人员调查委员会有权自行决定提出大赦建议</w:t>
      </w:r>
      <w:r w:rsidR="00C54AFA" w:rsidRPr="00C54AFA">
        <w:rPr>
          <w:rFonts w:asciiTheme="majorBidi" w:hAnsiTheme="majorBidi" w:cstheme="majorBidi"/>
        </w:rPr>
        <w:t>，</w:t>
      </w:r>
      <w:r w:rsidR="00A63A71" w:rsidRPr="00C54AFA">
        <w:rPr>
          <w:rFonts w:asciiTheme="majorBidi" w:hAnsiTheme="majorBidi" w:cstheme="majorBidi"/>
        </w:rPr>
        <w:t>和平与重建部可决定是否起诉严重罪行的犯罪人。</w:t>
      </w:r>
    </w:p>
    <w:p w:rsidR="00A63A71" w:rsidRPr="00C54AFA" w:rsidRDefault="00A63A71" w:rsidP="00116230">
      <w:pPr>
        <w:pStyle w:val="H1GC"/>
      </w:pPr>
      <w:r w:rsidRPr="00C54AFA">
        <w:lastRenderedPageBreak/>
        <w:tab/>
      </w:r>
      <w:r w:rsidRPr="00C54AFA">
        <w:tab/>
      </w:r>
      <w:r w:rsidRPr="00C54AFA">
        <w:t>阿曼</w:t>
      </w:r>
    </w:p>
    <w:p w:rsidR="00A63A71" w:rsidRPr="00C54AFA" w:rsidRDefault="00A63A71" w:rsidP="00116230">
      <w:pPr>
        <w:pStyle w:val="H23GC"/>
      </w:pPr>
      <w:r w:rsidRPr="00C54AFA">
        <w:tab/>
      </w:r>
      <w:r w:rsidRPr="00C54AFA">
        <w:tab/>
      </w:r>
      <w:r w:rsidRPr="00C54AFA">
        <w:t>紧急行动</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9</w:t>
      </w:r>
      <w:r w:rsidR="00C54AFA" w:rsidRPr="00C54AFA">
        <w:rPr>
          <w:rFonts w:asciiTheme="majorBidi" w:hAnsiTheme="majorBidi" w:cstheme="majorBidi"/>
        </w:rPr>
        <w:t>1.</w:t>
      </w:r>
      <w:r w:rsidR="00527952"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19</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工作组按照紧急行动程序向该国政府转交了关于</w:t>
      </w:r>
      <w:r w:rsidRPr="00C54AFA">
        <w:rPr>
          <w:rFonts w:asciiTheme="majorBidi" w:hAnsiTheme="majorBidi" w:cstheme="majorBidi"/>
        </w:rPr>
        <w:t>Said</w:t>
      </w:r>
      <w:r w:rsidR="00A63A71" w:rsidRPr="00C54AFA">
        <w:rPr>
          <w:rFonts w:asciiTheme="majorBidi" w:hAnsiTheme="majorBidi" w:cstheme="majorBidi"/>
        </w:rPr>
        <w:t xml:space="preserve"> </w:t>
      </w:r>
      <w:r w:rsidRPr="00C54AFA">
        <w:rPr>
          <w:rFonts w:asciiTheme="majorBidi" w:hAnsiTheme="majorBidi" w:cstheme="majorBidi"/>
        </w:rPr>
        <w:t>Ali</w:t>
      </w:r>
      <w:r w:rsidR="00A63A71" w:rsidRPr="00C54AFA">
        <w:rPr>
          <w:rFonts w:asciiTheme="majorBidi" w:hAnsiTheme="majorBidi" w:cstheme="majorBidi"/>
        </w:rPr>
        <w:t xml:space="preserve"> </w:t>
      </w:r>
      <w:r w:rsidRPr="00C54AFA">
        <w:rPr>
          <w:rFonts w:asciiTheme="majorBidi" w:hAnsiTheme="majorBidi" w:cstheme="majorBidi"/>
        </w:rPr>
        <w:t>Said</w:t>
      </w:r>
      <w:r w:rsidR="00A63A71" w:rsidRPr="00C54AFA">
        <w:rPr>
          <w:rFonts w:asciiTheme="majorBidi" w:hAnsiTheme="majorBidi" w:cstheme="majorBidi"/>
        </w:rPr>
        <w:t xml:space="preserve"> </w:t>
      </w:r>
      <w:r w:rsidRPr="00C54AFA">
        <w:rPr>
          <w:rFonts w:asciiTheme="majorBidi" w:hAnsiTheme="majorBidi" w:cstheme="majorBidi"/>
        </w:rPr>
        <w:t>Jadad</w:t>
      </w:r>
      <w:r w:rsidR="00A63A71" w:rsidRPr="00C54AFA">
        <w:rPr>
          <w:rFonts w:asciiTheme="majorBidi" w:hAnsiTheme="majorBidi" w:cstheme="majorBidi"/>
        </w:rPr>
        <w:t>先生的一起案件</w:t>
      </w:r>
      <w:r w:rsidR="00C54AFA" w:rsidRPr="00C54AFA">
        <w:rPr>
          <w:rFonts w:asciiTheme="majorBidi" w:hAnsiTheme="majorBidi" w:cstheme="majorBidi"/>
        </w:rPr>
        <w:t>，</w:t>
      </w:r>
      <w:r w:rsidR="00A63A71" w:rsidRPr="00C54AFA">
        <w:rPr>
          <w:rFonts w:asciiTheme="majorBidi" w:hAnsiTheme="majorBidi" w:cstheme="majorBidi"/>
        </w:rPr>
        <w:t>据称他是在</w:t>
      </w:r>
      <w:r w:rsidRPr="00C54AFA">
        <w:rPr>
          <w:rFonts w:asciiTheme="majorBidi" w:hAnsiTheme="majorBidi" w:cstheme="majorBidi"/>
        </w:rPr>
        <w:t>Awqad</w:t>
      </w:r>
      <w:r w:rsidR="00A63A71" w:rsidRPr="00C54AFA">
        <w:rPr>
          <w:rFonts w:asciiTheme="majorBidi" w:hAnsiTheme="majorBidi" w:cstheme="majorBidi"/>
        </w:rPr>
        <w:t>被阿曼皇家警察和塞拉莱内部安全部队成员逮捕。</w:t>
      </w:r>
    </w:p>
    <w:p w:rsidR="00A63A71" w:rsidRPr="00C54AFA" w:rsidRDefault="00A63A71" w:rsidP="00116230">
      <w:pPr>
        <w:pStyle w:val="H23GC"/>
      </w:pPr>
      <w:r w:rsidRPr="00C54AFA">
        <w:tab/>
      </w:r>
      <w:r w:rsidRPr="00C54AFA">
        <w:tab/>
      </w:r>
      <w:r w:rsidRPr="00C54AFA">
        <w:t>紧急呼吁</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9</w:t>
      </w:r>
      <w:r w:rsidR="00C54AFA" w:rsidRPr="00C54AFA">
        <w:rPr>
          <w:rFonts w:asciiTheme="majorBidi" w:hAnsiTheme="majorBidi" w:cstheme="majorBidi"/>
        </w:rPr>
        <w:t>2.</w:t>
      </w:r>
      <w:r w:rsidR="00527952"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12</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工作组与另一个特别程序机制共同转交了关于同一起案件的一个联合紧急呼吁。</w:t>
      </w:r>
    </w:p>
    <w:p w:rsidR="00A63A71" w:rsidRPr="00C54AFA" w:rsidRDefault="00A63A71" w:rsidP="00116230">
      <w:pPr>
        <w:pStyle w:val="H23GC"/>
      </w:pPr>
      <w:r w:rsidRPr="00C54AFA">
        <w:tab/>
      </w:r>
      <w:r w:rsidRPr="00C54AFA">
        <w:tab/>
      </w:r>
      <w:r w:rsidRPr="00C54AFA">
        <w:t>政府提供的资料</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9</w:t>
      </w:r>
      <w:r w:rsidR="00C54AFA" w:rsidRPr="00C54AFA">
        <w:rPr>
          <w:rFonts w:asciiTheme="majorBidi" w:hAnsiTheme="majorBidi" w:cstheme="majorBidi"/>
        </w:rPr>
        <w:t>3.</w:t>
      </w:r>
      <w:r w:rsidR="00527952"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18</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该国政府发来了关于</w:t>
      </w:r>
      <w:r w:rsidRPr="00C54AFA">
        <w:rPr>
          <w:rFonts w:asciiTheme="majorBidi" w:hAnsiTheme="majorBidi" w:cstheme="majorBidi"/>
        </w:rPr>
        <w:t>1</w:t>
      </w:r>
      <w:r w:rsidR="00A63A71" w:rsidRPr="00C54AFA">
        <w:rPr>
          <w:rFonts w:asciiTheme="majorBidi" w:hAnsiTheme="majorBidi" w:cstheme="majorBidi"/>
        </w:rPr>
        <w:t>起未决案件的一封信函。</w:t>
      </w:r>
    </w:p>
    <w:p w:rsidR="00A63A71" w:rsidRPr="00C54AFA" w:rsidRDefault="00A63A71" w:rsidP="00116230">
      <w:pPr>
        <w:pStyle w:val="H23GC"/>
      </w:pPr>
      <w:r w:rsidRPr="00C54AFA">
        <w:tab/>
      </w:r>
      <w:r w:rsidRPr="00C54AFA">
        <w:tab/>
      </w:r>
      <w:r w:rsidRPr="00C54AFA">
        <w:t>来文方提供的资料</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9</w:t>
      </w:r>
      <w:r w:rsidR="00C54AFA" w:rsidRPr="00C54AFA">
        <w:rPr>
          <w:rFonts w:asciiTheme="majorBidi" w:hAnsiTheme="majorBidi" w:cstheme="majorBidi"/>
        </w:rPr>
        <w:t>4.</w:t>
      </w:r>
      <w:r w:rsidR="00527952" w:rsidRPr="00C54AFA">
        <w:rPr>
          <w:rFonts w:asciiTheme="majorBidi" w:hAnsiTheme="majorBidi" w:cstheme="majorBidi"/>
        </w:rPr>
        <w:t xml:space="preserve">  </w:t>
      </w:r>
      <w:r w:rsidR="00A63A71" w:rsidRPr="00C54AFA">
        <w:rPr>
          <w:rFonts w:asciiTheme="majorBidi" w:hAnsiTheme="majorBidi" w:cstheme="majorBidi"/>
        </w:rPr>
        <w:t>一个来文方就工作组</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19</w:t>
      </w:r>
      <w:r w:rsidR="00A63A71" w:rsidRPr="00C54AFA">
        <w:rPr>
          <w:rFonts w:asciiTheme="majorBidi" w:hAnsiTheme="majorBidi" w:cstheme="majorBidi"/>
        </w:rPr>
        <w:t>日通过紧急行动程序转交的一起案件提供了资料。</w:t>
      </w:r>
    </w:p>
    <w:p w:rsidR="00A63A71" w:rsidRPr="00C54AFA" w:rsidRDefault="00A63A71" w:rsidP="00116230">
      <w:pPr>
        <w:pStyle w:val="H23GC"/>
      </w:pPr>
      <w:r w:rsidRPr="00C54AFA">
        <w:tab/>
      </w:r>
      <w:r w:rsidRPr="00C54AFA">
        <w:tab/>
      </w:r>
      <w:r w:rsidRPr="00C54AFA">
        <w:t>澄清</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9</w:t>
      </w:r>
      <w:r w:rsidR="00C54AFA" w:rsidRPr="00C54AFA">
        <w:rPr>
          <w:rFonts w:asciiTheme="majorBidi" w:hAnsiTheme="majorBidi" w:cstheme="majorBidi"/>
        </w:rPr>
        <w:t>5.</w:t>
      </w:r>
      <w:r w:rsidR="00527952" w:rsidRPr="00C54AFA">
        <w:rPr>
          <w:rFonts w:asciiTheme="majorBidi" w:hAnsiTheme="majorBidi" w:cstheme="majorBidi"/>
        </w:rPr>
        <w:t xml:space="preserve">  </w:t>
      </w:r>
      <w:r w:rsidR="00A63A71" w:rsidRPr="00C54AFA">
        <w:rPr>
          <w:rFonts w:asciiTheme="majorBidi" w:hAnsiTheme="majorBidi" w:cstheme="majorBidi"/>
        </w:rPr>
        <w:t>基于来文方提供的资料</w:t>
      </w:r>
      <w:r w:rsidR="00C54AFA" w:rsidRPr="00C54AFA">
        <w:rPr>
          <w:rFonts w:asciiTheme="majorBidi" w:hAnsiTheme="majorBidi" w:cstheme="majorBidi"/>
        </w:rPr>
        <w:t>，</w:t>
      </w:r>
      <w:r w:rsidR="00A63A71" w:rsidRPr="00C54AFA">
        <w:rPr>
          <w:rFonts w:asciiTheme="majorBidi" w:hAnsiTheme="majorBidi" w:cstheme="majorBidi"/>
        </w:rPr>
        <w:t>工作组决定澄清</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19</w:t>
      </w:r>
      <w:r w:rsidR="00A63A71" w:rsidRPr="00C54AFA">
        <w:rPr>
          <w:rFonts w:asciiTheme="majorBidi" w:hAnsiTheme="majorBidi" w:cstheme="majorBidi"/>
        </w:rPr>
        <w:t>日通过紧急行动程序转交的一起案件。</w:t>
      </w:r>
    </w:p>
    <w:p w:rsidR="00A63A71" w:rsidRPr="00C54AFA" w:rsidRDefault="00A63A71" w:rsidP="00116230">
      <w:pPr>
        <w:pStyle w:val="H1GC"/>
      </w:pPr>
      <w:r w:rsidRPr="00C54AFA">
        <w:tab/>
      </w:r>
      <w:r w:rsidRPr="00C54AFA">
        <w:tab/>
      </w:r>
      <w:r w:rsidRPr="00C54AFA">
        <w:t>巴基斯坦</w:t>
      </w:r>
    </w:p>
    <w:p w:rsidR="00A63A71" w:rsidRPr="00C54AFA" w:rsidRDefault="00A63A71" w:rsidP="00116230">
      <w:pPr>
        <w:pStyle w:val="H23GC"/>
      </w:pPr>
      <w:r w:rsidRPr="00C54AFA">
        <w:tab/>
      </w:r>
      <w:r w:rsidRPr="00C54AFA">
        <w:tab/>
      </w:r>
      <w:r w:rsidRPr="00C54AFA">
        <w:t>紧急行动</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9</w:t>
      </w:r>
      <w:r w:rsidR="00C54AFA" w:rsidRPr="00C54AFA">
        <w:rPr>
          <w:rFonts w:asciiTheme="majorBidi" w:hAnsiTheme="majorBidi" w:cstheme="majorBidi"/>
        </w:rPr>
        <w:t>6.</w:t>
      </w:r>
      <w:r w:rsidR="00527952" w:rsidRPr="00C54AFA">
        <w:rPr>
          <w:rFonts w:asciiTheme="majorBidi" w:hAnsiTheme="majorBidi" w:cstheme="majorBidi"/>
        </w:rPr>
        <w:t xml:space="preserve">  </w:t>
      </w:r>
      <w:r w:rsidR="00A63A71" w:rsidRPr="00C54AFA">
        <w:rPr>
          <w:rFonts w:asciiTheme="majorBidi" w:hAnsiTheme="majorBidi" w:cstheme="majorBidi"/>
        </w:rPr>
        <w:t>工作组依照紧急行动程序将</w:t>
      </w:r>
      <w:r w:rsidRPr="00C54AFA">
        <w:rPr>
          <w:rFonts w:asciiTheme="majorBidi" w:hAnsiTheme="majorBidi" w:cstheme="majorBidi"/>
        </w:rPr>
        <w:t>35</w:t>
      </w:r>
      <w:r w:rsidR="00A63A71" w:rsidRPr="00C54AFA">
        <w:rPr>
          <w:rFonts w:asciiTheme="majorBidi" w:hAnsiTheme="majorBidi" w:cstheme="majorBidi"/>
        </w:rPr>
        <w:t>起案件转交给该国政府</w:t>
      </w:r>
      <w:r w:rsidR="00C54AFA" w:rsidRPr="00C54AFA">
        <w:rPr>
          <w:rFonts w:asciiTheme="majorBidi" w:hAnsiTheme="majorBidi" w:cstheme="majorBidi"/>
        </w:rPr>
        <w:t>：</w:t>
      </w:r>
    </w:p>
    <w:p w:rsidR="00A63A71" w:rsidRPr="00C54AFA" w:rsidRDefault="00BC4B0A" w:rsidP="00527952">
      <w:pPr>
        <w:pStyle w:val="SingleTxtGC"/>
        <w:numPr>
          <w:ilvl w:val="0"/>
          <w:numId w:val="17"/>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3</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转交了关于以下人员</w:t>
      </w:r>
      <w:r w:rsidR="00C54AFA" w:rsidRPr="00C54AFA">
        <w:rPr>
          <w:rFonts w:asciiTheme="majorBidi" w:hAnsiTheme="majorBidi" w:cstheme="majorBidi"/>
        </w:rPr>
        <w:t>(</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的案件</w:t>
      </w:r>
      <w:r w:rsidR="00C54AFA" w:rsidRPr="00C54AFA">
        <w:rPr>
          <w:rFonts w:asciiTheme="majorBidi" w:hAnsiTheme="majorBidi" w:cstheme="majorBidi"/>
        </w:rPr>
        <w:t>：</w:t>
      </w:r>
      <w:r w:rsidRPr="00C54AFA">
        <w:rPr>
          <w:rFonts w:asciiTheme="majorBidi" w:hAnsiTheme="majorBidi" w:cstheme="majorBidi"/>
        </w:rPr>
        <w:t>Aqeel</w:t>
      </w:r>
      <w:r w:rsidR="00A63A71" w:rsidRPr="00C54AFA">
        <w:rPr>
          <w:rFonts w:asciiTheme="majorBidi" w:hAnsiTheme="majorBidi" w:cstheme="majorBidi"/>
        </w:rPr>
        <w:t xml:space="preserve"> </w:t>
      </w:r>
      <w:r w:rsidRPr="00C54AFA">
        <w:rPr>
          <w:rFonts w:asciiTheme="majorBidi" w:hAnsiTheme="majorBidi" w:cstheme="majorBidi"/>
        </w:rPr>
        <w:t>Abbas</w:t>
      </w:r>
      <w:r w:rsidR="00A63A71" w:rsidRPr="00C54AFA">
        <w:rPr>
          <w:rFonts w:asciiTheme="majorBidi" w:hAnsiTheme="majorBidi" w:cstheme="majorBidi"/>
        </w:rPr>
        <w:t xml:space="preserve"> </w:t>
      </w:r>
      <w:r w:rsidRPr="00C54AFA">
        <w:rPr>
          <w:rFonts w:asciiTheme="majorBidi" w:hAnsiTheme="majorBidi" w:cstheme="majorBidi"/>
        </w:rPr>
        <w:t>Ghulam</w:t>
      </w:r>
      <w:r w:rsidR="00A63A71" w:rsidRPr="00C54AFA">
        <w:rPr>
          <w:rFonts w:asciiTheme="majorBidi" w:hAnsiTheme="majorBidi" w:cstheme="majorBidi"/>
        </w:rPr>
        <w:t xml:space="preserve"> </w:t>
      </w:r>
      <w:r w:rsidRPr="00C54AFA">
        <w:rPr>
          <w:rFonts w:asciiTheme="majorBidi" w:hAnsiTheme="majorBidi" w:cstheme="majorBidi"/>
        </w:rPr>
        <w:t>Abbas</w:t>
      </w:r>
      <w:r w:rsidR="00A63A71" w:rsidRPr="00C54AFA">
        <w:rPr>
          <w:rFonts w:asciiTheme="majorBidi" w:hAnsiTheme="majorBidi" w:cstheme="majorBidi"/>
        </w:rPr>
        <w:t>、</w:t>
      </w:r>
      <w:r w:rsidRPr="00C54AFA">
        <w:rPr>
          <w:rFonts w:asciiTheme="majorBidi" w:hAnsiTheme="majorBidi" w:cstheme="majorBidi"/>
        </w:rPr>
        <w:t>Noshad</w:t>
      </w:r>
      <w:r w:rsidR="00A63A71" w:rsidRPr="00C54AFA">
        <w:rPr>
          <w:rFonts w:asciiTheme="majorBidi" w:hAnsiTheme="majorBidi" w:cstheme="majorBidi"/>
        </w:rPr>
        <w:t xml:space="preserve"> </w:t>
      </w:r>
      <w:r w:rsidRPr="00C54AFA">
        <w:rPr>
          <w:rFonts w:asciiTheme="majorBidi" w:hAnsiTheme="majorBidi" w:cstheme="majorBidi"/>
        </w:rPr>
        <w:t>Khan</w:t>
      </w:r>
      <w:r w:rsidR="00A63A71" w:rsidRPr="00C54AFA">
        <w:rPr>
          <w:rFonts w:asciiTheme="majorBidi" w:hAnsiTheme="majorBidi" w:cstheme="majorBidi"/>
        </w:rPr>
        <w:t xml:space="preserve"> </w:t>
      </w:r>
      <w:r w:rsidRPr="00C54AFA">
        <w:rPr>
          <w:rFonts w:asciiTheme="majorBidi" w:hAnsiTheme="majorBidi" w:cstheme="majorBidi"/>
        </w:rPr>
        <w:t>Shabbir</w:t>
      </w:r>
      <w:r w:rsidR="00A63A71" w:rsidRPr="00C54AFA">
        <w:rPr>
          <w:rFonts w:asciiTheme="majorBidi" w:hAnsiTheme="majorBidi" w:cstheme="majorBidi"/>
        </w:rPr>
        <w:t xml:space="preserve"> </w:t>
      </w:r>
      <w:r w:rsidRPr="00C54AFA">
        <w:rPr>
          <w:rFonts w:asciiTheme="majorBidi" w:hAnsiTheme="majorBidi" w:cstheme="majorBidi"/>
        </w:rPr>
        <w:t>Ahmed</w:t>
      </w:r>
      <w:r w:rsidR="00A63A71" w:rsidRPr="00C54AFA">
        <w:rPr>
          <w:rFonts w:asciiTheme="majorBidi" w:hAnsiTheme="majorBidi" w:cstheme="majorBidi"/>
        </w:rPr>
        <w:t>、</w:t>
      </w:r>
      <w:r w:rsidRPr="00C54AFA">
        <w:rPr>
          <w:rFonts w:asciiTheme="majorBidi" w:hAnsiTheme="majorBidi" w:cstheme="majorBidi"/>
        </w:rPr>
        <w:t>Kashif</w:t>
      </w:r>
      <w:r w:rsidR="00A63A71" w:rsidRPr="00C54AFA">
        <w:rPr>
          <w:rFonts w:asciiTheme="majorBidi" w:hAnsiTheme="majorBidi" w:cstheme="majorBidi"/>
        </w:rPr>
        <w:t xml:space="preserve"> </w:t>
      </w:r>
      <w:r w:rsidRPr="00C54AFA">
        <w:rPr>
          <w:rFonts w:asciiTheme="majorBidi" w:hAnsiTheme="majorBidi" w:cstheme="majorBidi"/>
        </w:rPr>
        <w:t>Majeed</w:t>
      </w:r>
      <w:r w:rsidR="00A63A71" w:rsidRPr="00C54AFA">
        <w:rPr>
          <w:rFonts w:asciiTheme="majorBidi" w:hAnsiTheme="majorBidi" w:cstheme="majorBidi"/>
        </w:rPr>
        <w:t xml:space="preserve"> </w:t>
      </w:r>
      <w:r w:rsidRPr="00C54AFA">
        <w:rPr>
          <w:rFonts w:asciiTheme="majorBidi" w:hAnsiTheme="majorBidi" w:cstheme="majorBidi"/>
        </w:rPr>
        <w:t>Majeedullah</w:t>
      </w:r>
      <w:r w:rsidR="00A63A71" w:rsidRPr="00C54AFA">
        <w:rPr>
          <w:rFonts w:asciiTheme="majorBidi" w:hAnsiTheme="majorBidi" w:cstheme="majorBidi"/>
        </w:rPr>
        <w:t>、</w:t>
      </w:r>
      <w:r w:rsidRPr="00C54AFA">
        <w:rPr>
          <w:rFonts w:asciiTheme="majorBidi" w:hAnsiTheme="majorBidi" w:cstheme="majorBidi"/>
        </w:rPr>
        <w:t>Rashid</w:t>
      </w:r>
      <w:r w:rsidR="00A63A71" w:rsidRPr="00C54AFA">
        <w:rPr>
          <w:rFonts w:asciiTheme="majorBidi" w:hAnsiTheme="majorBidi" w:cstheme="majorBidi"/>
        </w:rPr>
        <w:t xml:space="preserve"> </w:t>
      </w:r>
      <w:r w:rsidRPr="00C54AFA">
        <w:rPr>
          <w:rFonts w:asciiTheme="majorBidi" w:hAnsiTheme="majorBidi" w:cstheme="majorBidi"/>
        </w:rPr>
        <w:t>Khan</w:t>
      </w:r>
      <w:r w:rsidR="00A63A71" w:rsidRPr="00C54AFA">
        <w:rPr>
          <w:rFonts w:asciiTheme="majorBidi" w:hAnsiTheme="majorBidi" w:cstheme="majorBidi"/>
        </w:rPr>
        <w:t xml:space="preserve"> </w:t>
      </w:r>
      <w:r w:rsidRPr="00C54AFA">
        <w:rPr>
          <w:rFonts w:asciiTheme="majorBidi" w:hAnsiTheme="majorBidi" w:cstheme="majorBidi"/>
        </w:rPr>
        <w:t>Ateeq</w:t>
      </w:r>
      <w:r w:rsidR="00A63A71" w:rsidRPr="00C54AFA">
        <w:rPr>
          <w:rFonts w:asciiTheme="majorBidi" w:hAnsiTheme="majorBidi" w:cstheme="majorBidi"/>
        </w:rPr>
        <w:t xml:space="preserve"> </w:t>
      </w:r>
      <w:r w:rsidRPr="00C54AFA">
        <w:rPr>
          <w:rFonts w:asciiTheme="majorBidi" w:hAnsiTheme="majorBidi" w:cstheme="majorBidi"/>
        </w:rPr>
        <w:t>Ahmed</w:t>
      </w:r>
      <w:r w:rsidR="00A63A71" w:rsidRPr="00C54AFA">
        <w:rPr>
          <w:rFonts w:asciiTheme="majorBidi" w:hAnsiTheme="majorBidi" w:cstheme="majorBidi"/>
        </w:rPr>
        <w:t xml:space="preserve"> </w:t>
      </w:r>
      <w:r w:rsidRPr="00C54AFA">
        <w:rPr>
          <w:rFonts w:asciiTheme="majorBidi" w:hAnsiTheme="majorBidi" w:cstheme="majorBidi"/>
        </w:rPr>
        <w:t>Khan</w:t>
      </w:r>
      <w:r w:rsidR="00A63A71" w:rsidRPr="00C54AFA">
        <w:rPr>
          <w:rFonts w:asciiTheme="majorBidi" w:hAnsiTheme="majorBidi" w:cstheme="majorBidi"/>
        </w:rPr>
        <w:t>、</w:t>
      </w:r>
      <w:r w:rsidRPr="00C54AFA">
        <w:rPr>
          <w:rFonts w:asciiTheme="majorBidi" w:hAnsiTheme="majorBidi" w:cstheme="majorBidi"/>
        </w:rPr>
        <w:t>Shanawz</w:t>
      </w:r>
      <w:r w:rsidR="00A63A71" w:rsidRPr="00C54AFA">
        <w:rPr>
          <w:rFonts w:asciiTheme="majorBidi" w:hAnsiTheme="majorBidi" w:cstheme="majorBidi"/>
        </w:rPr>
        <w:t xml:space="preserve"> </w:t>
      </w:r>
      <w:r w:rsidRPr="00C54AFA">
        <w:rPr>
          <w:rFonts w:asciiTheme="majorBidi" w:hAnsiTheme="majorBidi" w:cstheme="majorBidi"/>
        </w:rPr>
        <w:t>Khan</w:t>
      </w:r>
      <w:r w:rsidR="00A63A71" w:rsidRPr="00C54AFA">
        <w:rPr>
          <w:rFonts w:asciiTheme="majorBidi" w:hAnsiTheme="majorBidi" w:cstheme="majorBidi"/>
        </w:rPr>
        <w:t xml:space="preserve"> </w:t>
      </w:r>
      <w:r w:rsidRPr="00C54AFA">
        <w:rPr>
          <w:rFonts w:asciiTheme="majorBidi" w:hAnsiTheme="majorBidi" w:cstheme="majorBidi"/>
        </w:rPr>
        <w:t>Shoukat</w:t>
      </w:r>
      <w:r w:rsidR="00A63A71" w:rsidRPr="00C54AFA">
        <w:rPr>
          <w:rFonts w:asciiTheme="majorBidi" w:hAnsiTheme="majorBidi" w:cstheme="majorBidi"/>
        </w:rPr>
        <w:t xml:space="preserve"> </w:t>
      </w:r>
      <w:r w:rsidRPr="00C54AFA">
        <w:rPr>
          <w:rFonts w:asciiTheme="majorBidi" w:hAnsiTheme="majorBidi" w:cstheme="majorBidi"/>
        </w:rPr>
        <w:t>Khan</w:t>
      </w:r>
      <w:r w:rsidR="00A63A71" w:rsidRPr="00C54AFA">
        <w:rPr>
          <w:rFonts w:asciiTheme="majorBidi" w:hAnsiTheme="majorBidi" w:cstheme="majorBidi"/>
        </w:rPr>
        <w:t>、</w:t>
      </w:r>
      <w:r w:rsidRPr="00C54AFA">
        <w:rPr>
          <w:rFonts w:asciiTheme="majorBidi" w:hAnsiTheme="majorBidi" w:cstheme="majorBidi"/>
        </w:rPr>
        <w:t>Muhammad</w:t>
      </w:r>
      <w:r w:rsidR="00A63A71" w:rsidRPr="00C54AFA">
        <w:rPr>
          <w:rFonts w:asciiTheme="majorBidi" w:hAnsiTheme="majorBidi" w:cstheme="majorBidi"/>
        </w:rPr>
        <w:t xml:space="preserve"> </w:t>
      </w:r>
      <w:r w:rsidRPr="00C54AFA">
        <w:rPr>
          <w:rFonts w:asciiTheme="majorBidi" w:hAnsiTheme="majorBidi" w:cstheme="majorBidi"/>
        </w:rPr>
        <w:t>Tariq</w:t>
      </w:r>
      <w:r w:rsidR="00A63A71" w:rsidRPr="00C54AFA">
        <w:rPr>
          <w:rFonts w:asciiTheme="majorBidi" w:hAnsiTheme="majorBidi" w:cstheme="majorBidi"/>
        </w:rPr>
        <w:t xml:space="preserve"> </w:t>
      </w:r>
      <w:r w:rsidRPr="00C54AFA">
        <w:rPr>
          <w:rFonts w:asciiTheme="majorBidi" w:hAnsiTheme="majorBidi" w:cstheme="majorBidi"/>
        </w:rPr>
        <w:t>Abdul</w:t>
      </w:r>
      <w:r w:rsidR="00A63A71" w:rsidRPr="00C54AFA">
        <w:rPr>
          <w:rFonts w:asciiTheme="majorBidi" w:hAnsiTheme="majorBidi" w:cstheme="majorBidi"/>
        </w:rPr>
        <w:t xml:space="preserve"> </w:t>
      </w:r>
      <w:r w:rsidRPr="00C54AFA">
        <w:rPr>
          <w:rFonts w:asciiTheme="majorBidi" w:hAnsiTheme="majorBidi" w:cstheme="majorBidi"/>
        </w:rPr>
        <w:t>Khaleeq</w:t>
      </w:r>
      <w:r w:rsidR="00A63A71" w:rsidRPr="00C54AFA">
        <w:rPr>
          <w:rFonts w:asciiTheme="majorBidi" w:hAnsiTheme="majorBidi" w:cstheme="majorBidi"/>
        </w:rPr>
        <w:t>、</w:t>
      </w:r>
      <w:r w:rsidRPr="00C54AFA">
        <w:rPr>
          <w:rFonts w:asciiTheme="majorBidi" w:hAnsiTheme="majorBidi" w:cstheme="majorBidi"/>
        </w:rPr>
        <w:t>Kashif</w:t>
      </w:r>
      <w:r w:rsidR="00A63A71" w:rsidRPr="00C54AFA">
        <w:rPr>
          <w:rFonts w:asciiTheme="majorBidi" w:hAnsiTheme="majorBidi" w:cstheme="majorBidi"/>
        </w:rPr>
        <w:t xml:space="preserve"> </w:t>
      </w:r>
      <w:r w:rsidRPr="00C54AFA">
        <w:rPr>
          <w:rFonts w:asciiTheme="majorBidi" w:hAnsiTheme="majorBidi" w:cstheme="majorBidi"/>
        </w:rPr>
        <w:t>Khan</w:t>
      </w:r>
      <w:r w:rsidR="00A63A71" w:rsidRPr="00C54AFA">
        <w:rPr>
          <w:rFonts w:asciiTheme="majorBidi" w:hAnsiTheme="majorBidi" w:cstheme="majorBidi"/>
        </w:rPr>
        <w:t xml:space="preserve"> </w:t>
      </w:r>
      <w:r w:rsidRPr="00C54AFA">
        <w:rPr>
          <w:rFonts w:asciiTheme="majorBidi" w:hAnsiTheme="majorBidi" w:cstheme="majorBidi"/>
        </w:rPr>
        <w:t>Saeed</w:t>
      </w:r>
      <w:r w:rsidR="00A63A71" w:rsidRPr="00C54AFA">
        <w:rPr>
          <w:rFonts w:asciiTheme="majorBidi" w:hAnsiTheme="majorBidi" w:cstheme="majorBidi"/>
        </w:rPr>
        <w:t xml:space="preserve"> </w:t>
      </w:r>
      <w:r w:rsidRPr="00C54AFA">
        <w:rPr>
          <w:rFonts w:asciiTheme="majorBidi" w:hAnsiTheme="majorBidi" w:cstheme="majorBidi"/>
        </w:rPr>
        <w:t>Ahmed</w:t>
      </w:r>
      <w:r w:rsidR="00A63A71" w:rsidRPr="00C54AFA">
        <w:rPr>
          <w:rFonts w:asciiTheme="majorBidi" w:hAnsiTheme="majorBidi" w:cstheme="majorBidi"/>
        </w:rPr>
        <w:t xml:space="preserve"> </w:t>
      </w:r>
      <w:r w:rsidRPr="00C54AFA">
        <w:rPr>
          <w:rFonts w:asciiTheme="majorBidi" w:hAnsiTheme="majorBidi" w:cstheme="majorBidi"/>
        </w:rPr>
        <w:t>Khan</w:t>
      </w:r>
      <w:r w:rsidR="00A63A71" w:rsidRPr="00C54AFA">
        <w:rPr>
          <w:rFonts w:asciiTheme="majorBidi" w:hAnsiTheme="majorBidi" w:cstheme="majorBidi"/>
        </w:rPr>
        <w:t>和</w:t>
      </w:r>
      <w:r w:rsidRPr="00C54AFA">
        <w:rPr>
          <w:rFonts w:asciiTheme="majorBidi" w:hAnsiTheme="majorBidi" w:cstheme="majorBidi"/>
        </w:rPr>
        <w:t>Muhammed</w:t>
      </w:r>
      <w:r w:rsidR="00A63A71" w:rsidRPr="00C54AFA">
        <w:rPr>
          <w:rFonts w:asciiTheme="majorBidi" w:hAnsiTheme="majorBidi" w:cstheme="majorBidi"/>
        </w:rPr>
        <w:t xml:space="preserve"> </w:t>
      </w:r>
      <w:r w:rsidRPr="00C54AFA">
        <w:rPr>
          <w:rFonts w:asciiTheme="majorBidi" w:hAnsiTheme="majorBidi" w:cstheme="majorBidi"/>
        </w:rPr>
        <w:t>Saeed</w:t>
      </w:r>
      <w:r w:rsidR="00A63A71" w:rsidRPr="00C54AFA">
        <w:rPr>
          <w:rFonts w:asciiTheme="majorBidi" w:hAnsiTheme="majorBidi" w:cstheme="majorBidi"/>
        </w:rPr>
        <w:t xml:space="preserve"> </w:t>
      </w:r>
      <w:r w:rsidRPr="00C54AFA">
        <w:rPr>
          <w:rFonts w:asciiTheme="majorBidi" w:hAnsiTheme="majorBidi" w:cstheme="majorBidi"/>
        </w:rPr>
        <w:t>Khan</w:t>
      </w:r>
      <w:r w:rsidR="00A63A71" w:rsidRPr="00C54AFA">
        <w:rPr>
          <w:rFonts w:asciiTheme="majorBidi" w:hAnsiTheme="majorBidi" w:cstheme="majorBidi"/>
        </w:rPr>
        <w:t xml:space="preserve"> </w:t>
      </w:r>
      <w:r w:rsidRPr="00C54AFA">
        <w:rPr>
          <w:rFonts w:asciiTheme="majorBidi" w:hAnsiTheme="majorBidi" w:cstheme="majorBidi"/>
        </w:rPr>
        <w:t>Muhammad</w:t>
      </w:r>
      <w:r w:rsidR="00A63A71" w:rsidRPr="00C54AFA">
        <w:rPr>
          <w:rFonts w:asciiTheme="majorBidi" w:hAnsiTheme="majorBidi" w:cstheme="majorBidi"/>
        </w:rPr>
        <w:t xml:space="preserve"> </w:t>
      </w:r>
      <w:r w:rsidRPr="00C54AFA">
        <w:rPr>
          <w:rFonts w:asciiTheme="majorBidi" w:hAnsiTheme="majorBidi" w:cstheme="majorBidi"/>
        </w:rPr>
        <w:t>Zakariya</w:t>
      </w:r>
      <w:r w:rsidR="00A63A71" w:rsidRPr="00C54AFA">
        <w:rPr>
          <w:rFonts w:asciiTheme="majorBidi" w:hAnsiTheme="majorBidi" w:cstheme="majorBidi"/>
        </w:rPr>
        <w:t xml:space="preserve"> </w:t>
      </w:r>
      <w:r w:rsidRPr="00C54AFA">
        <w:rPr>
          <w:rFonts w:asciiTheme="majorBidi" w:hAnsiTheme="majorBidi" w:cstheme="majorBidi"/>
        </w:rPr>
        <w:t>Ran</w:t>
      </w:r>
      <w:r w:rsidR="00C54AFA" w:rsidRPr="00C54AFA">
        <w:rPr>
          <w:rFonts w:asciiTheme="majorBidi" w:hAnsiTheme="majorBidi" w:cstheme="majorBidi"/>
        </w:rPr>
        <w:t xml:space="preserve">a, </w:t>
      </w:r>
      <w:r w:rsidR="00A63A71" w:rsidRPr="00C54AFA">
        <w:rPr>
          <w:rFonts w:asciiTheme="majorBidi" w:hAnsiTheme="majorBidi" w:cstheme="majorBidi"/>
        </w:rPr>
        <w:t>据称他们在</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9</w:t>
      </w:r>
      <w:r w:rsidR="00A63A71" w:rsidRPr="00C54AFA">
        <w:rPr>
          <w:rFonts w:asciiTheme="majorBidi" w:hAnsiTheme="majorBidi" w:cstheme="majorBidi"/>
        </w:rPr>
        <w:t>月</w:t>
      </w:r>
      <w:r w:rsidRPr="00C54AFA">
        <w:rPr>
          <w:rFonts w:asciiTheme="majorBidi" w:hAnsiTheme="majorBidi" w:cstheme="majorBidi"/>
        </w:rPr>
        <w:t>24</w:t>
      </w:r>
      <w:r w:rsidR="00A63A71" w:rsidRPr="00C54AFA">
        <w:rPr>
          <w:rFonts w:asciiTheme="majorBidi" w:hAnsiTheme="majorBidi" w:cstheme="majorBidi"/>
        </w:rPr>
        <w:t>日晚上在卡拉奇的统一民族运动办公室被游骑兵绑架</w:t>
      </w:r>
      <w:r w:rsidR="00C54AFA" w:rsidRPr="00C54AFA">
        <w:rPr>
          <w:rFonts w:asciiTheme="majorBidi" w:hAnsiTheme="majorBidi" w:cstheme="majorBidi"/>
        </w:rPr>
        <w:t>；</w:t>
      </w:r>
    </w:p>
    <w:p w:rsidR="00A63A71" w:rsidRPr="00C54AFA" w:rsidRDefault="00BC4B0A" w:rsidP="00527952">
      <w:pPr>
        <w:pStyle w:val="SingleTxtGC"/>
        <w:numPr>
          <w:ilvl w:val="0"/>
          <w:numId w:val="17"/>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转交了关于以下人员</w:t>
      </w:r>
      <w:r w:rsidR="00C54AFA" w:rsidRPr="00C54AFA">
        <w:rPr>
          <w:rFonts w:asciiTheme="majorBidi" w:hAnsiTheme="majorBidi" w:cstheme="majorBidi"/>
        </w:rPr>
        <w:t>(</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的案件</w:t>
      </w:r>
      <w:r w:rsidR="00C54AFA" w:rsidRPr="00C54AFA">
        <w:rPr>
          <w:rFonts w:asciiTheme="majorBidi" w:hAnsiTheme="majorBidi" w:cstheme="majorBidi"/>
        </w:rPr>
        <w:t>：</w:t>
      </w:r>
      <w:r w:rsidRPr="00C54AFA">
        <w:rPr>
          <w:rFonts w:asciiTheme="majorBidi" w:hAnsiTheme="majorBidi" w:cstheme="majorBidi"/>
        </w:rPr>
        <w:t>Mohammad</w:t>
      </w:r>
      <w:r w:rsidR="00A63A71" w:rsidRPr="00C54AFA">
        <w:rPr>
          <w:rFonts w:asciiTheme="majorBidi" w:hAnsiTheme="majorBidi" w:cstheme="majorBidi"/>
        </w:rPr>
        <w:t xml:space="preserve"> </w:t>
      </w:r>
      <w:r w:rsidRPr="00C54AFA">
        <w:rPr>
          <w:rFonts w:asciiTheme="majorBidi" w:hAnsiTheme="majorBidi" w:cstheme="majorBidi"/>
        </w:rPr>
        <w:t>Sohail</w:t>
      </w:r>
      <w:r w:rsidR="00A63A71" w:rsidRPr="00C54AFA">
        <w:rPr>
          <w:rFonts w:asciiTheme="majorBidi" w:hAnsiTheme="majorBidi" w:cstheme="majorBidi"/>
        </w:rPr>
        <w:t xml:space="preserve"> </w:t>
      </w:r>
      <w:r w:rsidRPr="00C54AFA">
        <w:rPr>
          <w:rFonts w:asciiTheme="majorBidi" w:hAnsiTheme="majorBidi" w:cstheme="majorBidi"/>
        </w:rPr>
        <w:t>Mohammad</w:t>
      </w:r>
      <w:r w:rsidR="00A63A71" w:rsidRPr="00C54AFA">
        <w:rPr>
          <w:rFonts w:asciiTheme="majorBidi" w:hAnsiTheme="majorBidi" w:cstheme="majorBidi"/>
        </w:rPr>
        <w:t xml:space="preserve"> </w:t>
      </w:r>
      <w:r w:rsidRPr="00C54AFA">
        <w:rPr>
          <w:rFonts w:asciiTheme="majorBidi" w:hAnsiTheme="majorBidi" w:cstheme="majorBidi"/>
        </w:rPr>
        <w:t>Shezad</w:t>
      </w:r>
      <w:r w:rsidR="00A63A71" w:rsidRPr="00C54AFA">
        <w:rPr>
          <w:rFonts w:asciiTheme="majorBidi" w:hAnsiTheme="majorBidi" w:cstheme="majorBidi"/>
        </w:rPr>
        <w:t>、</w:t>
      </w:r>
      <w:r w:rsidRPr="00C54AFA">
        <w:rPr>
          <w:rFonts w:asciiTheme="majorBidi" w:hAnsiTheme="majorBidi" w:cstheme="majorBidi"/>
        </w:rPr>
        <w:t>Farooq</w:t>
      </w:r>
      <w:r w:rsidR="00A63A71" w:rsidRPr="00C54AFA">
        <w:rPr>
          <w:rFonts w:asciiTheme="majorBidi" w:hAnsiTheme="majorBidi" w:cstheme="majorBidi"/>
        </w:rPr>
        <w:t xml:space="preserve"> </w:t>
      </w:r>
      <w:r w:rsidRPr="00C54AFA">
        <w:rPr>
          <w:rFonts w:asciiTheme="majorBidi" w:hAnsiTheme="majorBidi" w:cstheme="majorBidi"/>
        </w:rPr>
        <w:t>Misri</w:t>
      </w:r>
      <w:r w:rsidR="00A63A71" w:rsidRPr="00C54AFA">
        <w:rPr>
          <w:rFonts w:asciiTheme="majorBidi" w:hAnsiTheme="majorBidi" w:cstheme="majorBidi"/>
        </w:rPr>
        <w:t xml:space="preserve"> </w:t>
      </w:r>
      <w:r w:rsidRPr="00C54AFA">
        <w:rPr>
          <w:rFonts w:asciiTheme="majorBidi" w:hAnsiTheme="majorBidi" w:cstheme="majorBidi"/>
        </w:rPr>
        <w:t>Khan</w:t>
      </w:r>
      <w:r w:rsidR="00A63A71" w:rsidRPr="00C54AFA">
        <w:rPr>
          <w:rFonts w:asciiTheme="majorBidi" w:hAnsiTheme="majorBidi" w:cstheme="majorBidi"/>
        </w:rPr>
        <w:t>、</w:t>
      </w:r>
      <w:r w:rsidRPr="00C54AFA">
        <w:rPr>
          <w:rFonts w:asciiTheme="majorBidi" w:hAnsiTheme="majorBidi" w:cstheme="majorBidi"/>
        </w:rPr>
        <w:t>Muhammad</w:t>
      </w:r>
      <w:r w:rsidR="00A63A71" w:rsidRPr="00C54AFA">
        <w:rPr>
          <w:rFonts w:asciiTheme="majorBidi" w:hAnsiTheme="majorBidi" w:cstheme="majorBidi"/>
        </w:rPr>
        <w:t xml:space="preserve"> </w:t>
      </w:r>
      <w:r w:rsidRPr="00C54AFA">
        <w:rPr>
          <w:rFonts w:asciiTheme="majorBidi" w:hAnsiTheme="majorBidi" w:cstheme="majorBidi"/>
        </w:rPr>
        <w:t>Rehan</w:t>
      </w:r>
      <w:r w:rsidR="00A63A71" w:rsidRPr="00C54AFA">
        <w:rPr>
          <w:rFonts w:asciiTheme="majorBidi" w:hAnsiTheme="majorBidi" w:cstheme="majorBidi"/>
        </w:rPr>
        <w:t xml:space="preserve"> </w:t>
      </w:r>
      <w:r w:rsidRPr="00C54AFA">
        <w:rPr>
          <w:rFonts w:asciiTheme="majorBidi" w:hAnsiTheme="majorBidi" w:cstheme="majorBidi"/>
        </w:rPr>
        <w:t>Muhammad</w:t>
      </w:r>
      <w:r w:rsidR="00A63A71" w:rsidRPr="00C54AFA">
        <w:rPr>
          <w:rFonts w:asciiTheme="majorBidi" w:hAnsiTheme="majorBidi" w:cstheme="majorBidi"/>
        </w:rPr>
        <w:t xml:space="preserve"> </w:t>
      </w:r>
      <w:r w:rsidRPr="00C54AFA">
        <w:rPr>
          <w:rFonts w:asciiTheme="majorBidi" w:hAnsiTheme="majorBidi" w:cstheme="majorBidi"/>
        </w:rPr>
        <w:t>Haroon</w:t>
      </w:r>
      <w:r w:rsidR="00A63A71" w:rsidRPr="00C54AFA">
        <w:rPr>
          <w:rFonts w:asciiTheme="majorBidi" w:hAnsiTheme="majorBidi" w:cstheme="majorBidi"/>
        </w:rPr>
        <w:t>、</w:t>
      </w:r>
      <w:r w:rsidRPr="00C54AFA">
        <w:rPr>
          <w:rFonts w:asciiTheme="majorBidi" w:hAnsiTheme="majorBidi" w:cstheme="majorBidi"/>
        </w:rPr>
        <w:t>Muhammad</w:t>
      </w:r>
      <w:r w:rsidR="00A63A71" w:rsidRPr="00C54AFA">
        <w:rPr>
          <w:rFonts w:asciiTheme="majorBidi" w:hAnsiTheme="majorBidi" w:cstheme="majorBidi"/>
        </w:rPr>
        <w:t xml:space="preserve"> </w:t>
      </w:r>
      <w:r w:rsidRPr="00C54AFA">
        <w:rPr>
          <w:rFonts w:asciiTheme="majorBidi" w:hAnsiTheme="majorBidi" w:cstheme="majorBidi"/>
        </w:rPr>
        <w:t>Rashid</w:t>
      </w:r>
      <w:r w:rsidR="00A63A71" w:rsidRPr="00C54AFA">
        <w:rPr>
          <w:rFonts w:asciiTheme="majorBidi" w:hAnsiTheme="majorBidi" w:cstheme="majorBidi"/>
        </w:rPr>
        <w:t xml:space="preserve"> </w:t>
      </w:r>
      <w:r w:rsidRPr="00C54AFA">
        <w:rPr>
          <w:rFonts w:asciiTheme="majorBidi" w:hAnsiTheme="majorBidi" w:cstheme="majorBidi"/>
        </w:rPr>
        <w:t>Ali</w:t>
      </w:r>
      <w:r w:rsidR="00A63A71" w:rsidRPr="00C54AFA">
        <w:rPr>
          <w:rFonts w:asciiTheme="majorBidi" w:hAnsiTheme="majorBidi" w:cstheme="majorBidi"/>
        </w:rPr>
        <w:t xml:space="preserve"> </w:t>
      </w:r>
      <w:r w:rsidRPr="00C54AFA">
        <w:rPr>
          <w:rFonts w:asciiTheme="majorBidi" w:hAnsiTheme="majorBidi" w:cstheme="majorBidi"/>
        </w:rPr>
        <w:t>Burg</w:t>
      </w:r>
      <w:r w:rsidR="00A63A71" w:rsidRPr="00C54AFA">
        <w:rPr>
          <w:rFonts w:asciiTheme="majorBidi" w:hAnsiTheme="majorBidi" w:cstheme="majorBidi"/>
        </w:rPr>
        <w:t xml:space="preserve"> </w:t>
      </w:r>
      <w:r w:rsidRPr="00C54AFA">
        <w:rPr>
          <w:rFonts w:asciiTheme="majorBidi" w:hAnsiTheme="majorBidi" w:cstheme="majorBidi"/>
        </w:rPr>
        <w:t>Ali</w:t>
      </w:r>
      <w:r w:rsidR="00A63A71" w:rsidRPr="00C54AFA">
        <w:rPr>
          <w:rFonts w:asciiTheme="majorBidi" w:hAnsiTheme="majorBidi" w:cstheme="majorBidi"/>
        </w:rPr>
        <w:t>、</w:t>
      </w:r>
      <w:r w:rsidRPr="00C54AFA">
        <w:rPr>
          <w:rFonts w:asciiTheme="majorBidi" w:hAnsiTheme="majorBidi" w:cstheme="majorBidi"/>
        </w:rPr>
        <w:t>Tanveer</w:t>
      </w:r>
      <w:r w:rsidR="00A63A71" w:rsidRPr="00C54AFA">
        <w:rPr>
          <w:rFonts w:asciiTheme="majorBidi" w:hAnsiTheme="majorBidi" w:cstheme="majorBidi"/>
        </w:rPr>
        <w:t xml:space="preserve"> </w:t>
      </w:r>
      <w:r w:rsidRPr="00C54AFA">
        <w:rPr>
          <w:rFonts w:asciiTheme="majorBidi" w:hAnsiTheme="majorBidi" w:cstheme="majorBidi"/>
        </w:rPr>
        <w:t>Ahmed</w:t>
      </w:r>
      <w:r w:rsidR="00A63A71" w:rsidRPr="00C54AFA">
        <w:rPr>
          <w:rFonts w:asciiTheme="majorBidi" w:hAnsiTheme="majorBidi" w:cstheme="majorBidi"/>
        </w:rPr>
        <w:t xml:space="preserve"> </w:t>
      </w:r>
      <w:r w:rsidRPr="00C54AFA">
        <w:rPr>
          <w:rFonts w:asciiTheme="majorBidi" w:hAnsiTheme="majorBidi" w:cstheme="majorBidi"/>
        </w:rPr>
        <w:t>Zameer</w:t>
      </w:r>
      <w:r w:rsidR="00A63A71" w:rsidRPr="00C54AFA">
        <w:rPr>
          <w:rFonts w:asciiTheme="majorBidi" w:hAnsiTheme="majorBidi" w:cstheme="majorBidi"/>
        </w:rPr>
        <w:t xml:space="preserve"> </w:t>
      </w:r>
      <w:r w:rsidRPr="00C54AFA">
        <w:rPr>
          <w:rFonts w:asciiTheme="majorBidi" w:hAnsiTheme="majorBidi" w:cstheme="majorBidi"/>
        </w:rPr>
        <w:t>Ahmed</w:t>
      </w:r>
      <w:r w:rsidR="00A63A71" w:rsidRPr="00C54AFA">
        <w:rPr>
          <w:rFonts w:asciiTheme="majorBidi" w:hAnsiTheme="majorBidi" w:cstheme="majorBidi"/>
        </w:rPr>
        <w:t>和</w:t>
      </w:r>
      <w:r w:rsidR="00A63A71" w:rsidRPr="00C54AFA">
        <w:rPr>
          <w:rFonts w:asciiTheme="majorBidi" w:hAnsiTheme="majorBidi" w:cstheme="majorBidi"/>
        </w:rPr>
        <w:t xml:space="preserve"> </w:t>
      </w:r>
      <w:r w:rsidRPr="00C54AFA">
        <w:rPr>
          <w:rFonts w:asciiTheme="majorBidi" w:hAnsiTheme="majorBidi" w:cstheme="majorBidi"/>
        </w:rPr>
        <w:t>Akbar</w:t>
      </w:r>
      <w:r w:rsidR="00A63A71" w:rsidRPr="00C54AFA">
        <w:rPr>
          <w:rFonts w:asciiTheme="majorBidi" w:hAnsiTheme="majorBidi" w:cstheme="majorBidi"/>
        </w:rPr>
        <w:t xml:space="preserve"> </w:t>
      </w:r>
      <w:r w:rsidRPr="00C54AFA">
        <w:rPr>
          <w:rFonts w:asciiTheme="majorBidi" w:hAnsiTheme="majorBidi" w:cstheme="majorBidi"/>
        </w:rPr>
        <w:t>Hussain</w:t>
      </w:r>
      <w:r w:rsidR="00A63A71" w:rsidRPr="00C54AFA">
        <w:rPr>
          <w:rFonts w:asciiTheme="majorBidi" w:hAnsiTheme="majorBidi" w:cstheme="majorBidi"/>
        </w:rPr>
        <w:t xml:space="preserve"> </w:t>
      </w:r>
      <w:r w:rsidRPr="00C54AFA">
        <w:rPr>
          <w:rFonts w:asciiTheme="majorBidi" w:hAnsiTheme="majorBidi" w:cstheme="majorBidi"/>
        </w:rPr>
        <w:t>Sikander</w:t>
      </w:r>
      <w:r w:rsidR="00A63A71" w:rsidRPr="00C54AFA">
        <w:rPr>
          <w:rFonts w:asciiTheme="majorBidi" w:hAnsiTheme="majorBidi" w:cstheme="majorBidi"/>
        </w:rPr>
        <w:t xml:space="preserve"> </w:t>
      </w:r>
      <w:r w:rsidRPr="00C54AFA">
        <w:rPr>
          <w:rFonts w:asciiTheme="majorBidi" w:hAnsiTheme="majorBidi" w:cstheme="majorBidi"/>
        </w:rPr>
        <w:t>Sha</w:t>
      </w:r>
      <w:r w:rsidR="00C54AFA" w:rsidRPr="00C54AFA">
        <w:rPr>
          <w:rFonts w:asciiTheme="majorBidi" w:hAnsiTheme="majorBidi" w:cstheme="majorBidi"/>
        </w:rPr>
        <w:t xml:space="preserve">h, </w:t>
      </w:r>
      <w:r w:rsidR="00A63A71" w:rsidRPr="00C54AFA">
        <w:rPr>
          <w:rFonts w:asciiTheme="majorBidi" w:hAnsiTheme="majorBidi" w:cstheme="majorBidi"/>
        </w:rPr>
        <w:t>据称他们于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月被巴基斯坦信德省游骑兵从卡拉奇绑架</w:t>
      </w:r>
      <w:r w:rsidR="00C54AFA" w:rsidRPr="00C54AFA">
        <w:rPr>
          <w:rFonts w:asciiTheme="majorBidi" w:hAnsiTheme="majorBidi" w:cstheme="majorBidi"/>
        </w:rPr>
        <w:t>；</w:t>
      </w:r>
    </w:p>
    <w:p w:rsidR="00A63A71" w:rsidRPr="00C54AFA" w:rsidRDefault="00BC4B0A" w:rsidP="00527952">
      <w:pPr>
        <w:pStyle w:val="SingleTxtGC"/>
        <w:numPr>
          <w:ilvl w:val="0"/>
          <w:numId w:val="17"/>
        </w:numPr>
        <w:rPr>
          <w:rFonts w:asciiTheme="majorBidi" w:hAnsiTheme="majorBidi" w:cstheme="majorBidi"/>
        </w:rPr>
      </w:pPr>
      <w:r w:rsidRPr="00C54AFA">
        <w:rPr>
          <w:rFonts w:asciiTheme="majorBidi" w:hAnsiTheme="majorBidi" w:cstheme="majorBidi"/>
        </w:rPr>
        <w:lastRenderedPageBreak/>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15</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转交了关于以下人员</w:t>
      </w:r>
      <w:r w:rsidR="00C54AFA" w:rsidRPr="00C54AFA">
        <w:rPr>
          <w:rFonts w:asciiTheme="majorBidi" w:hAnsiTheme="majorBidi" w:cstheme="majorBidi"/>
        </w:rPr>
        <w:t>(</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的案件</w:t>
      </w:r>
      <w:r w:rsidR="00C54AFA" w:rsidRPr="00C54AFA">
        <w:rPr>
          <w:rFonts w:asciiTheme="majorBidi" w:hAnsiTheme="majorBidi" w:cstheme="majorBidi"/>
        </w:rPr>
        <w:t>：</w:t>
      </w:r>
      <w:r w:rsidRPr="00C54AFA">
        <w:rPr>
          <w:rFonts w:asciiTheme="majorBidi" w:hAnsiTheme="majorBidi" w:cstheme="majorBidi"/>
        </w:rPr>
        <w:t>Abdul</w:t>
      </w:r>
      <w:r w:rsidR="00A63A71" w:rsidRPr="00C54AFA">
        <w:rPr>
          <w:rFonts w:asciiTheme="majorBidi" w:hAnsiTheme="majorBidi" w:cstheme="majorBidi"/>
        </w:rPr>
        <w:t xml:space="preserve"> </w:t>
      </w:r>
      <w:r w:rsidRPr="00C54AFA">
        <w:rPr>
          <w:rFonts w:asciiTheme="majorBidi" w:hAnsiTheme="majorBidi" w:cstheme="majorBidi"/>
        </w:rPr>
        <w:t>Salam</w:t>
      </w:r>
      <w:r w:rsidR="00A63A71" w:rsidRPr="00C54AFA">
        <w:rPr>
          <w:rFonts w:asciiTheme="majorBidi" w:hAnsiTheme="majorBidi" w:cstheme="majorBidi"/>
        </w:rPr>
        <w:t xml:space="preserve"> </w:t>
      </w:r>
      <w:r w:rsidRPr="00C54AFA">
        <w:rPr>
          <w:rFonts w:asciiTheme="majorBidi" w:hAnsiTheme="majorBidi" w:cstheme="majorBidi"/>
        </w:rPr>
        <w:t>Irfan</w:t>
      </w:r>
      <w:r w:rsidR="00A63A71" w:rsidRPr="00C54AFA">
        <w:rPr>
          <w:rFonts w:asciiTheme="majorBidi" w:hAnsiTheme="majorBidi" w:cstheme="majorBidi"/>
        </w:rPr>
        <w:t>、</w:t>
      </w:r>
      <w:r w:rsidRPr="00C54AFA">
        <w:rPr>
          <w:rFonts w:asciiTheme="majorBidi" w:hAnsiTheme="majorBidi" w:cstheme="majorBidi"/>
        </w:rPr>
        <w:t>Abrar</w:t>
      </w:r>
      <w:r w:rsidR="00A63A71" w:rsidRPr="00C54AFA">
        <w:rPr>
          <w:rFonts w:asciiTheme="majorBidi" w:hAnsiTheme="majorBidi" w:cstheme="majorBidi"/>
        </w:rPr>
        <w:t xml:space="preserve"> </w:t>
      </w:r>
      <w:r w:rsidRPr="00C54AFA">
        <w:rPr>
          <w:rFonts w:asciiTheme="majorBidi" w:hAnsiTheme="majorBidi" w:cstheme="majorBidi"/>
        </w:rPr>
        <w:t>Ahmed</w:t>
      </w:r>
      <w:r w:rsidR="00A63A71" w:rsidRPr="00C54AFA">
        <w:rPr>
          <w:rFonts w:asciiTheme="majorBidi" w:hAnsiTheme="majorBidi" w:cstheme="majorBidi"/>
        </w:rPr>
        <w:t>、</w:t>
      </w:r>
      <w:r w:rsidRPr="00C54AFA">
        <w:rPr>
          <w:rFonts w:asciiTheme="majorBidi" w:hAnsiTheme="majorBidi" w:cstheme="majorBidi"/>
        </w:rPr>
        <w:t>Syed</w:t>
      </w:r>
      <w:r w:rsidR="00A63A71" w:rsidRPr="00C54AFA">
        <w:rPr>
          <w:rFonts w:asciiTheme="majorBidi" w:hAnsiTheme="majorBidi" w:cstheme="majorBidi"/>
        </w:rPr>
        <w:t xml:space="preserve"> </w:t>
      </w:r>
      <w:r w:rsidRPr="00C54AFA">
        <w:rPr>
          <w:rFonts w:asciiTheme="majorBidi" w:hAnsiTheme="majorBidi" w:cstheme="majorBidi"/>
        </w:rPr>
        <w:t>Aashiq</w:t>
      </w:r>
      <w:r w:rsidR="00A63A71" w:rsidRPr="00C54AFA">
        <w:rPr>
          <w:rFonts w:asciiTheme="majorBidi" w:hAnsiTheme="majorBidi" w:cstheme="majorBidi"/>
        </w:rPr>
        <w:t xml:space="preserve"> </w:t>
      </w:r>
      <w:r w:rsidRPr="00C54AFA">
        <w:rPr>
          <w:rFonts w:asciiTheme="majorBidi" w:hAnsiTheme="majorBidi" w:cstheme="majorBidi"/>
        </w:rPr>
        <w:t>Elahi</w:t>
      </w:r>
      <w:r w:rsidR="00A63A71" w:rsidRPr="00C54AFA">
        <w:rPr>
          <w:rFonts w:asciiTheme="majorBidi" w:hAnsiTheme="majorBidi" w:cstheme="majorBidi"/>
        </w:rPr>
        <w:t>和</w:t>
      </w:r>
      <w:r w:rsidRPr="00C54AFA">
        <w:rPr>
          <w:rFonts w:asciiTheme="majorBidi" w:hAnsiTheme="majorBidi" w:cstheme="majorBidi"/>
        </w:rPr>
        <w:t>Muhammd</w:t>
      </w:r>
      <w:r w:rsidR="00A63A71" w:rsidRPr="00C54AFA">
        <w:rPr>
          <w:rFonts w:asciiTheme="majorBidi" w:hAnsiTheme="majorBidi" w:cstheme="majorBidi"/>
        </w:rPr>
        <w:t xml:space="preserve"> </w:t>
      </w:r>
      <w:r w:rsidRPr="00C54AFA">
        <w:rPr>
          <w:rFonts w:asciiTheme="majorBidi" w:hAnsiTheme="majorBidi" w:cstheme="majorBidi"/>
        </w:rPr>
        <w:t>Fahad</w:t>
      </w:r>
      <w:r w:rsidR="00A63A71" w:rsidRPr="00C54AFA">
        <w:rPr>
          <w:rFonts w:asciiTheme="majorBidi" w:hAnsiTheme="majorBidi" w:cstheme="majorBidi"/>
        </w:rPr>
        <w:t xml:space="preserve"> </w:t>
      </w:r>
      <w:r w:rsidRPr="00C54AFA">
        <w:rPr>
          <w:rFonts w:asciiTheme="majorBidi" w:hAnsiTheme="majorBidi" w:cstheme="majorBidi"/>
        </w:rPr>
        <w:t>Uddi</w:t>
      </w:r>
      <w:r w:rsidR="00C54AFA" w:rsidRPr="00C54AFA">
        <w:rPr>
          <w:rFonts w:asciiTheme="majorBidi" w:hAnsiTheme="majorBidi" w:cstheme="majorBidi"/>
        </w:rPr>
        <w:t xml:space="preserve">n, </w:t>
      </w:r>
      <w:r w:rsidR="00A63A71" w:rsidRPr="00C54AFA">
        <w:rPr>
          <w:rFonts w:asciiTheme="majorBidi" w:hAnsiTheme="majorBidi" w:cstheme="majorBidi"/>
        </w:rPr>
        <w:t>据称他们于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17</w:t>
      </w:r>
      <w:r w:rsidR="00A63A71" w:rsidRPr="00C54AFA">
        <w:rPr>
          <w:rFonts w:asciiTheme="majorBidi" w:hAnsiTheme="majorBidi" w:cstheme="majorBidi"/>
        </w:rPr>
        <w:t>日被巴基斯坦信德省游骑兵从卡拉奇绑架</w:t>
      </w:r>
      <w:r w:rsidR="00C54AFA" w:rsidRPr="00C54AFA">
        <w:rPr>
          <w:rFonts w:asciiTheme="majorBidi" w:hAnsiTheme="majorBidi" w:cstheme="majorBidi"/>
        </w:rPr>
        <w:t>；</w:t>
      </w:r>
    </w:p>
    <w:p w:rsidR="00A63A71" w:rsidRPr="00C54AFA" w:rsidRDefault="00BC4B0A" w:rsidP="00527952">
      <w:pPr>
        <w:pStyle w:val="SingleTxtGC"/>
        <w:numPr>
          <w:ilvl w:val="0"/>
          <w:numId w:val="17"/>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23</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转交了关于以下人员</w:t>
      </w:r>
      <w:r w:rsidR="00C54AFA" w:rsidRPr="00C54AFA">
        <w:rPr>
          <w:rFonts w:asciiTheme="majorBidi" w:hAnsiTheme="majorBidi" w:cstheme="majorBidi"/>
        </w:rPr>
        <w:t>(</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的案件</w:t>
      </w:r>
      <w:r w:rsidR="00C54AFA" w:rsidRPr="00C54AFA">
        <w:rPr>
          <w:rFonts w:asciiTheme="majorBidi" w:hAnsiTheme="majorBidi" w:cstheme="majorBidi"/>
        </w:rPr>
        <w:t>：</w:t>
      </w:r>
      <w:r w:rsidRPr="00C54AFA">
        <w:rPr>
          <w:rFonts w:asciiTheme="majorBidi" w:hAnsiTheme="majorBidi" w:cstheme="majorBidi"/>
        </w:rPr>
        <w:t>Muhammad</w:t>
      </w:r>
      <w:r w:rsidR="00A63A71" w:rsidRPr="00C54AFA">
        <w:rPr>
          <w:rFonts w:asciiTheme="majorBidi" w:hAnsiTheme="majorBidi" w:cstheme="majorBidi"/>
        </w:rPr>
        <w:t xml:space="preserve"> </w:t>
      </w:r>
      <w:r w:rsidRPr="00C54AFA">
        <w:rPr>
          <w:rFonts w:asciiTheme="majorBidi" w:hAnsiTheme="majorBidi" w:cstheme="majorBidi"/>
        </w:rPr>
        <w:t>Rehan</w:t>
      </w:r>
      <w:r w:rsidR="00A63A71" w:rsidRPr="00C54AFA">
        <w:rPr>
          <w:rFonts w:asciiTheme="majorBidi" w:hAnsiTheme="majorBidi" w:cstheme="majorBidi"/>
        </w:rPr>
        <w:t xml:space="preserve"> </w:t>
      </w:r>
      <w:r w:rsidRPr="00C54AFA">
        <w:rPr>
          <w:rFonts w:asciiTheme="majorBidi" w:hAnsiTheme="majorBidi" w:cstheme="majorBidi"/>
        </w:rPr>
        <w:t>Akram</w:t>
      </w:r>
      <w:r w:rsidR="00A63A71" w:rsidRPr="00C54AFA">
        <w:rPr>
          <w:rFonts w:asciiTheme="majorBidi" w:hAnsiTheme="majorBidi" w:cstheme="majorBidi"/>
        </w:rPr>
        <w:t>、</w:t>
      </w:r>
      <w:r w:rsidRPr="00C54AFA">
        <w:rPr>
          <w:rFonts w:asciiTheme="majorBidi" w:hAnsiTheme="majorBidi" w:cstheme="majorBidi"/>
        </w:rPr>
        <w:t>Rehan</w:t>
      </w:r>
      <w:r w:rsidR="00A63A71" w:rsidRPr="00C54AFA">
        <w:rPr>
          <w:rFonts w:asciiTheme="majorBidi" w:hAnsiTheme="majorBidi" w:cstheme="majorBidi"/>
        </w:rPr>
        <w:t xml:space="preserve"> </w:t>
      </w:r>
      <w:r w:rsidRPr="00C54AFA">
        <w:rPr>
          <w:rFonts w:asciiTheme="majorBidi" w:hAnsiTheme="majorBidi" w:cstheme="majorBidi"/>
        </w:rPr>
        <w:t>Ahmed</w:t>
      </w:r>
      <w:r w:rsidR="00A63A71" w:rsidRPr="00C54AFA">
        <w:rPr>
          <w:rFonts w:asciiTheme="majorBidi" w:hAnsiTheme="majorBidi" w:cstheme="majorBidi"/>
        </w:rPr>
        <w:t xml:space="preserve"> </w:t>
      </w:r>
      <w:r w:rsidRPr="00C54AFA">
        <w:rPr>
          <w:rFonts w:asciiTheme="majorBidi" w:hAnsiTheme="majorBidi" w:cstheme="majorBidi"/>
        </w:rPr>
        <w:t>Qureshi</w:t>
      </w:r>
      <w:r w:rsidR="00A63A71" w:rsidRPr="00C54AFA">
        <w:rPr>
          <w:rFonts w:asciiTheme="majorBidi" w:hAnsiTheme="majorBidi" w:cstheme="majorBidi"/>
        </w:rPr>
        <w:t>、</w:t>
      </w:r>
      <w:r w:rsidRPr="00C54AFA">
        <w:rPr>
          <w:rFonts w:asciiTheme="majorBidi" w:hAnsiTheme="majorBidi" w:cstheme="majorBidi"/>
        </w:rPr>
        <w:t>Kamran</w:t>
      </w:r>
      <w:r w:rsidR="00A63A71" w:rsidRPr="00C54AFA">
        <w:rPr>
          <w:rFonts w:asciiTheme="majorBidi" w:hAnsiTheme="majorBidi" w:cstheme="majorBidi"/>
        </w:rPr>
        <w:t xml:space="preserve"> </w:t>
      </w:r>
      <w:r w:rsidRPr="00C54AFA">
        <w:rPr>
          <w:rFonts w:asciiTheme="majorBidi" w:hAnsiTheme="majorBidi" w:cstheme="majorBidi"/>
        </w:rPr>
        <w:t>Shah</w:t>
      </w:r>
      <w:r w:rsidR="00A63A71" w:rsidRPr="00C54AFA">
        <w:rPr>
          <w:rFonts w:asciiTheme="majorBidi" w:hAnsiTheme="majorBidi" w:cstheme="majorBidi"/>
        </w:rPr>
        <w:t>、</w:t>
      </w:r>
      <w:r w:rsidRPr="00C54AFA">
        <w:rPr>
          <w:rFonts w:asciiTheme="majorBidi" w:hAnsiTheme="majorBidi" w:cstheme="majorBidi"/>
        </w:rPr>
        <w:t>Muhammad</w:t>
      </w:r>
      <w:r w:rsidR="00A63A71" w:rsidRPr="00C54AFA">
        <w:rPr>
          <w:rFonts w:asciiTheme="majorBidi" w:hAnsiTheme="majorBidi" w:cstheme="majorBidi"/>
        </w:rPr>
        <w:t xml:space="preserve"> </w:t>
      </w:r>
      <w:r w:rsidRPr="00C54AFA">
        <w:rPr>
          <w:rFonts w:asciiTheme="majorBidi" w:hAnsiTheme="majorBidi" w:cstheme="majorBidi"/>
        </w:rPr>
        <w:t>Sajid</w:t>
      </w:r>
      <w:r w:rsidR="00A63A71" w:rsidRPr="00C54AFA">
        <w:rPr>
          <w:rFonts w:asciiTheme="majorBidi" w:hAnsiTheme="majorBidi" w:cstheme="majorBidi"/>
        </w:rPr>
        <w:t>和</w:t>
      </w:r>
      <w:r w:rsidRPr="00C54AFA">
        <w:rPr>
          <w:rFonts w:asciiTheme="majorBidi" w:hAnsiTheme="majorBidi" w:cstheme="majorBidi"/>
        </w:rPr>
        <w:t>Sohail</w:t>
      </w:r>
      <w:r w:rsidR="00A63A71" w:rsidRPr="00C54AFA">
        <w:rPr>
          <w:rFonts w:asciiTheme="majorBidi" w:hAnsiTheme="majorBidi" w:cstheme="majorBidi"/>
        </w:rPr>
        <w:t xml:space="preserve"> </w:t>
      </w:r>
      <w:r w:rsidRPr="00C54AFA">
        <w:rPr>
          <w:rFonts w:asciiTheme="majorBidi" w:hAnsiTheme="majorBidi" w:cstheme="majorBidi"/>
        </w:rPr>
        <w:t>Ahme</w:t>
      </w:r>
      <w:r w:rsidR="001C7221">
        <w:rPr>
          <w:rFonts w:asciiTheme="majorBidi" w:hAnsiTheme="majorBidi" w:cstheme="majorBidi"/>
        </w:rPr>
        <w:t>d,</w:t>
      </w:r>
      <w:r w:rsidR="00A63A71" w:rsidRPr="00C54AFA">
        <w:rPr>
          <w:rFonts w:asciiTheme="majorBidi" w:hAnsiTheme="majorBidi" w:cstheme="majorBidi"/>
        </w:rPr>
        <w:t>据报告他们于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月在卡拉奇被绑架</w:t>
      </w:r>
      <w:r w:rsidR="00C54AFA" w:rsidRPr="00C54AFA">
        <w:rPr>
          <w:rFonts w:asciiTheme="majorBidi" w:hAnsiTheme="majorBidi" w:cstheme="majorBidi"/>
        </w:rPr>
        <w:t>；</w:t>
      </w:r>
    </w:p>
    <w:p w:rsidR="00A63A71" w:rsidRPr="00C54AFA" w:rsidRDefault="00BC4B0A" w:rsidP="00527952">
      <w:pPr>
        <w:pStyle w:val="SingleTxtGC"/>
        <w:numPr>
          <w:ilvl w:val="0"/>
          <w:numId w:val="17"/>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7</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转交了关于以下人员</w:t>
      </w:r>
      <w:r w:rsidR="00C54AFA" w:rsidRPr="00C54AFA">
        <w:rPr>
          <w:rFonts w:asciiTheme="majorBidi" w:hAnsiTheme="majorBidi" w:cstheme="majorBidi"/>
        </w:rPr>
        <w:t>(</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的案件</w:t>
      </w:r>
      <w:r w:rsidR="00C54AFA" w:rsidRPr="00C54AFA">
        <w:rPr>
          <w:rFonts w:asciiTheme="majorBidi" w:hAnsiTheme="majorBidi" w:cstheme="majorBidi"/>
        </w:rPr>
        <w:t>：</w:t>
      </w:r>
      <w:r w:rsidRPr="00C54AFA">
        <w:rPr>
          <w:rFonts w:asciiTheme="majorBidi" w:hAnsiTheme="majorBidi" w:cstheme="majorBidi"/>
        </w:rPr>
        <w:t>Alif</w:t>
      </w:r>
      <w:r w:rsidR="00A63A71" w:rsidRPr="00C54AFA">
        <w:rPr>
          <w:rFonts w:asciiTheme="majorBidi" w:hAnsiTheme="majorBidi" w:cstheme="majorBidi"/>
        </w:rPr>
        <w:t xml:space="preserve"> </w:t>
      </w:r>
      <w:r w:rsidRPr="00C54AFA">
        <w:rPr>
          <w:rFonts w:asciiTheme="majorBidi" w:hAnsiTheme="majorBidi" w:cstheme="majorBidi"/>
        </w:rPr>
        <w:t>Khan</w:t>
      </w:r>
      <w:r w:rsidR="00A63A71" w:rsidRPr="00C54AFA">
        <w:rPr>
          <w:rFonts w:asciiTheme="majorBidi" w:hAnsiTheme="majorBidi" w:cstheme="majorBidi"/>
        </w:rPr>
        <w:t>、</w:t>
      </w:r>
      <w:r w:rsidRPr="00C54AFA">
        <w:rPr>
          <w:rFonts w:asciiTheme="majorBidi" w:hAnsiTheme="majorBidi" w:cstheme="majorBidi"/>
        </w:rPr>
        <w:t>Faisal</w:t>
      </w:r>
      <w:r w:rsidR="00A63A71" w:rsidRPr="00C54AFA">
        <w:rPr>
          <w:rFonts w:asciiTheme="majorBidi" w:hAnsiTheme="majorBidi" w:cstheme="majorBidi"/>
        </w:rPr>
        <w:t xml:space="preserve"> </w:t>
      </w:r>
      <w:r w:rsidRPr="00C54AFA">
        <w:rPr>
          <w:rFonts w:asciiTheme="majorBidi" w:hAnsiTheme="majorBidi" w:cstheme="majorBidi"/>
        </w:rPr>
        <w:t>Khursheed</w:t>
      </w:r>
      <w:r w:rsidR="00A63A71" w:rsidRPr="00C54AFA">
        <w:rPr>
          <w:rFonts w:asciiTheme="majorBidi" w:hAnsiTheme="majorBidi" w:cstheme="majorBidi"/>
        </w:rPr>
        <w:t>、</w:t>
      </w:r>
      <w:r w:rsidRPr="00C54AFA">
        <w:rPr>
          <w:rFonts w:asciiTheme="majorBidi" w:hAnsiTheme="majorBidi" w:cstheme="majorBidi"/>
        </w:rPr>
        <w:t>Syed</w:t>
      </w:r>
      <w:r w:rsidR="00A63A71" w:rsidRPr="00C54AFA">
        <w:rPr>
          <w:rFonts w:asciiTheme="majorBidi" w:hAnsiTheme="majorBidi" w:cstheme="majorBidi"/>
        </w:rPr>
        <w:t xml:space="preserve"> </w:t>
      </w:r>
      <w:r w:rsidRPr="00C54AFA">
        <w:rPr>
          <w:rFonts w:asciiTheme="majorBidi" w:hAnsiTheme="majorBidi" w:cstheme="majorBidi"/>
        </w:rPr>
        <w:t>Faraz</w:t>
      </w:r>
      <w:r w:rsidR="00A63A71" w:rsidRPr="00C54AFA">
        <w:rPr>
          <w:rFonts w:asciiTheme="majorBidi" w:hAnsiTheme="majorBidi" w:cstheme="majorBidi"/>
        </w:rPr>
        <w:t xml:space="preserve"> </w:t>
      </w:r>
      <w:r w:rsidRPr="00C54AFA">
        <w:rPr>
          <w:rFonts w:asciiTheme="majorBidi" w:hAnsiTheme="majorBidi" w:cstheme="majorBidi"/>
        </w:rPr>
        <w:t>Alam</w:t>
      </w:r>
      <w:r w:rsidR="00A63A71" w:rsidRPr="00C54AFA">
        <w:rPr>
          <w:rFonts w:asciiTheme="majorBidi" w:hAnsiTheme="majorBidi" w:cstheme="majorBidi"/>
        </w:rPr>
        <w:t>、</w:t>
      </w:r>
      <w:r w:rsidRPr="00C54AFA">
        <w:rPr>
          <w:rFonts w:asciiTheme="majorBidi" w:hAnsiTheme="majorBidi" w:cstheme="majorBidi"/>
        </w:rPr>
        <w:t>Muhammad</w:t>
      </w:r>
      <w:r w:rsidR="00A63A71" w:rsidRPr="00C54AFA">
        <w:rPr>
          <w:rFonts w:asciiTheme="majorBidi" w:hAnsiTheme="majorBidi" w:cstheme="majorBidi"/>
        </w:rPr>
        <w:t xml:space="preserve"> </w:t>
      </w:r>
      <w:r w:rsidRPr="00C54AFA">
        <w:rPr>
          <w:rFonts w:asciiTheme="majorBidi" w:hAnsiTheme="majorBidi" w:cstheme="majorBidi"/>
        </w:rPr>
        <w:t>Mansoor</w:t>
      </w:r>
      <w:r w:rsidR="00A63A71" w:rsidRPr="00C54AFA">
        <w:rPr>
          <w:rFonts w:asciiTheme="majorBidi" w:hAnsiTheme="majorBidi" w:cstheme="majorBidi"/>
        </w:rPr>
        <w:t>、</w:t>
      </w:r>
      <w:r w:rsidRPr="00C54AFA">
        <w:rPr>
          <w:rFonts w:asciiTheme="majorBidi" w:hAnsiTheme="majorBidi" w:cstheme="majorBidi"/>
        </w:rPr>
        <w:t>Muhammad</w:t>
      </w:r>
      <w:r w:rsidR="00A63A71" w:rsidRPr="00C54AFA">
        <w:rPr>
          <w:rFonts w:asciiTheme="majorBidi" w:hAnsiTheme="majorBidi" w:cstheme="majorBidi"/>
        </w:rPr>
        <w:t xml:space="preserve"> </w:t>
      </w:r>
      <w:r w:rsidRPr="00C54AFA">
        <w:rPr>
          <w:rFonts w:asciiTheme="majorBidi" w:hAnsiTheme="majorBidi" w:cstheme="majorBidi"/>
        </w:rPr>
        <w:t>Salman</w:t>
      </w:r>
      <w:r w:rsidR="00A63A71" w:rsidRPr="00C54AFA">
        <w:rPr>
          <w:rFonts w:asciiTheme="majorBidi" w:hAnsiTheme="majorBidi" w:cstheme="majorBidi"/>
        </w:rPr>
        <w:t>和</w:t>
      </w:r>
      <w:r w:rsidRPr="00C54AFA">
        <w:rPr>
          <w:rFonts w:asciiTheme="majorBidi" w:hAnsiTheme="majorBidi" w:cstheme="majorBidi"/>
        </w:rPr>
        <w:t>Usman</w:t>
      </w:r>
      <w:r w:rsidR="00A63A71" w:rsidRPr="00C54AFA">
        <w:rPr>
          <w:rFonts w:asciiTheme="majorBidi" w:hAnsiTheme="majorBidi" w:cstheme="majorBidi"/>
        </w:rPr>
        <w:t xml:space="preserve"> </w:t>
      </w:r>
      <w:r w:rsidRPr="00C54AFA">
        <w:rPr>
          <w:rFonts w:asciiTheme="majorBidi" w:hAnsiTheme="majorBidi" w:cstheme="majorBidi"/>
        </w:rPr>
        <w:t>Quresh</w:t>
      </w:r>
      <w:r w:rsidR="00132061">
        <w:rPr>
          <w:rFonts w:asciiTheme="majorBidi" w:hAnsiTheme="majorBidi" w:cstheme="majorBidi"/>
        </w:rPr>
        <w:t>i,</w:t>
      </w:r>
      <w:r w:rsidR="00A63A71" w:rsidRPr="00C54AFA">
        <w:rPr>
          <w:rFonts w:asciiTheme="majorBidi" w:hAnsiTheme="majorBidi" w:cstheme="majorBidi"/>
        </w:rPr>
        <w:t>据称他们于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月在卡拉奇被巴基斯坦信德省游骑兵绑架</w:t>
      </w:r>
      <w:r w:rsidR="00C54AFA" w:rsidRPr="00C54AFA">
        <w:rPr>
          <w:rFonts w:asciiTheme="majorBidi" w:hAnsiTheme="majorBidi" w:cstheme="majorBidi"/>
        </w:rPr>
        <w:t>；</w:t>
      </w:r>
    </w:p>
    <w:p w:rsidR="00A63A71" w:rsidRPr="00C54AFA" w:rsidRDefault="00BC4B0A" w:rsidP="00527952">
      <w:pPr>
        <w:pStyle w:val="SingleTxtGC"/>
        <w:numPr>
          <w:ilvl w:val="0"/>
          <w:numId w:val="17"/>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22</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转交了</w:t>
      </w:r>
      <w:r w:rsidRPr="00C54AFA">
        <w:rPr>
          <w:rFonts w:asciiTheme="majorBidi" w:hAnsiTheme="majorBidi" w:cstheme="majorBidi"/>
        </w:rPr>
        <w:t>Sohail</w:t>
      </w:r>
      <w:r w:rsidR="00A63A71" w:rsidRPr="00C54AFA">
        <w:rPr>
          <w:rFonts w:asciiTheme="majorBidi" w:hAnsiTheme="majorBidi" w:cstheme="majorBidi"/>
        </w:rPr>
        <w:t xml:space="preserve"> </w:t>
      </w:r>
      <w:r w:rsidRPr="00C54AFA">
        <w:rPr>
          <w:rFonts w:asciiTheme="majorBidi" w:hAnsiTheme="majorBidi" w:cstheme="majorBidi"/>
        </w:rPr>
        <w:t>Ahmed</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据称他在卡拉奇被武装男子绑架</w:t>
      </w:r>
      <w:r w:rsidR="00C54AFA" w:rsidRPr="00C54AFA">
        <w:rPr>
          <w:rFonts w:asciiTheme="majorBidi" w:hAnsiTheme="majorBidi" w:cstheme="majorBidi"/>
        </w:rPr>
        <w:t>；</w:t>
      </w:r>
    </w:p>
    <w:p w:rsidR="00A63A71" w:rsidRPr="00C54AFA" w:rsidRDefault="00BC4B0A" w:rsidP="00527952">
      <w:pPr>
        <w:pStyle w:val="SingleTxtGC"/>
        <w:numPr>
          <w:ilvl w:val="0"/>
          <w:numId w:val="17"/>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26</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转交了关于以下人员</w:t>
      </w:r>
      <w:r w:rsidR="00C54AFA" w:rsidRPr="00C54AFA">
        <w:rPr>
          <w:rFonts w:asciiTheme="majorBidi" w:hAnsiTheme="majorBidi" w:cstheme="majorBidi"/>
        </w:rPr>
        <w:t>(</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的案件</w:t>
      </w:r>
      <w:r w:rsidR="00C54AFA" w:rsidRPr="00C54AFA">
        <w:rPr>
          <w:rFonts w:asciiTheme="majorBidi" w:hAnsiTheme="majorBidi" w:cstheme="majorBidi"/>
        </w:rPr>
        <w:t>：</w:t>
      </w:r>
      <w:r w:rsidRPr="00C54AFA">
        <w:rPr>
          <w:rFonts w:asciiTheme="majorBidi" w:hAnsiTheme="majorBidi" w:cstheme="majorBidi"/>
        </w:rPr>
        <w:t>Mirza</w:t>
      </w:r>
      <w:r w:rsidR="00A63A71" w:rsidRPr="00C54AFA">
        <w:rPr>
          <w:rFonts w:asciiTheme="majorBidi" w:hAnsiTheme="majorBidi" w:cstheme="majorBidi"/>
        </w:rPr>
        <w:t xml:space="preserve"> </w:t>
      </w:r>
      <w:r w:rsidRPr="00C54AFA">
        <w:rPr>
          <w:rFonts w:asciiTheme="majorBidi" w:hAnsiTheme="majorBidi" w:cstheme="majorBidi"/>
        </w:rPr>
        <w:t>Zeeshan</w:t>
      </w:r>
      <w:r w:rsidR="00A63A71" w:rsidRPr="00C54AFA">
        <w:rPr>
          <w:rFonts w:asciiTheme="majorBidi" w:hAnsiTheme="majorBidi" w:cstheme="majorBidi"/>
        </w:rPr>
        <w:t xml:space="preserve"> </w:t>
      </w:r>
      <w:r w:rsidRPr="00C54AFA">
        <w:rPr>
          <w:rFonts w:asciiTheme="majorBidi" w:hAnsiTheme="majorBidi" w:cstheme="majorBidi"/>
        </w:rPr>
        <w:t>Baig</w:t>
      </w:r>
      <w:r w:rsidR="00A63A71" w:rsidRPr="00C54AFA">
        <w:rPr>
          <w:rFonts w:asciiTheme="majorBidi" w:hAnsiTheme="majorBidi" w:cstheme="majorBidi"/>
        </w:rPr>
        <w:t>、</w:t>
      </w:r>
      <w:r w:rsidRPr="00C54AFA">
        <w:rPr>
          <w:rFonts w:asciiTheme="majorBidi" w:hAnsiTheme="majorBidi" w:cstheme="majorBidi"/>
        </w:rPr>
        <w:t>Muhammad</w:t>
      </w:r>
      <w:r w:rsidR="00A63A71" w:rsidRPr="00C54AFA">
        <w:rPr>
          <w:rFonts w:asciiTheme="majorBidi" w:hAnsiTheme="majorBidi" w:cstheme="majorBidi"/>
        </w:rPr>
        <w:t xml:space="preserve"> </w:t>
      </w:r>
      <w:r w:rsidRPr="00C54AFA">
        <w:rPr>
          <w:rFonts w:asciiTheme="majorBidi" w:hAnsiTheme="majorBidi" w:cstheme="majorBidi"/>
        </w:rPr>
        <w:t>Yousuf</w:t>
      </w:r>
      <w:r w:rsidR="00A63A71" w:rsidRPr="00C54AFA">
        <w:rPr>
          <w:rFonts w:asciiTheme="majorBidi" w:hAnsiTheme="majorBidi" w:cstheme="majorBidi"/>
        </w:rPr>
        <w:t xml:space="preserve"> </w:t>
      </w:r>
      <w:r w:rsidRPr="00C54AFA">
        <w:rPr>
          <w:rFonts w:asciiTheme="majorBidi" w:hAnsiTheme="majorBidi" w:cstheme="majorBidi"/>
        </w:rPr>
        <w:t>Rehmatullah</w:t>
      </w:r>
      <w:r w:rsidR="00A63A71" w:rsidRPr="00C54AFA">
        <w:rPr>
          <w:rFonts w:asciiTheme="majorBidi" w:hAnsiTheme="majorBidi" w:cstheme="majorBidi"/>
        </w:rPr>
        <w:t>、</w:t>
      </w:r>
      <w:r w:rsidRPr="00C54AFA">
        <w:rPr>
          <w:rFonts w:asciiTheme="majorBidi" w:hAnsiTheme="majorBidi" w:cstheme="majorBidi"/>
        </w:rPr>
        <w:t>Jumma</w:t>
      </w:r>
      <w:r w:rsidR="00A63A71" w:rsidRPr="00C54AFA">
        <w:rPr>
          <w:rFonts w:asciiTheme="majorBidi" w:hAnsiTheme="majorBidi" w:cstheme="majorBidi"/>
        </w:rPr>
        <w:t xml:space="preserve"> </w:t>
      </w:r>
      <w:r w:rsidRPr="00C54AFA">
        <w:rPr>
          <w:rFonts w:asciiTheme="majorBidi" w:hAnsiTheme="majorBidi" w:cstheme="majorBidi"/>
        </w:rPr>
        <w:t>Khan</w:t>
      </w:r>
      <w:r w:rsidR="00A63A71" w:rsidRPr="00C54AFA">
        <w:rPr>
          <w:rFonts w:asciiTheme="majorBidi" w:hAnsiTheme="majorBidi" w:cstheme="majorBidi"/>
        </w:rPr>
        <w:t xml:space="preserve"> </w:t>
      </w:r>
      <w:r w:rsidRPr="00C54AFA">
        <w:rPr>
          <w:rFonts w:asciiTheme="majorBidi" w:hAnsiTheme="majorBidi" w:cstheme="majorBidi"/>
        </w:rPr>
        <w:t>Memon</w:t>
      </w:r>
      <w:r w:rsidR="00A63A71" w:rsidRPr="00C54AFA">
        <w:rPr>
          <w:rFonts w:asciiTheme="majorBidi" w:hAnsiTheme="majorBidi" w:cstheme="majorBidi"/>
        </w:rPr>
        <w:t xml:space="preserve"> </w:t>
      </w:r>
      <w:r w:rsidRPr="00C54AFA">
        <w:rPr>
          <w:rFonts w:asciiTheme="majorBidi" w:hAnsiTheme="majorBidi" w:cstheme="majorBidi"/>
        </w:rPr>
        <w:t>Gul</w:t>
      </w:r>
      <w:r w:rsidR="00A63A71" w:rsidRPr="00C54AFA">
        <w:rPr>
          <w:rFonts w:asciiTheme="majorBidi" w:hAnsiTheme="majorBidi" w:cstheme="majorBidi"/>
        </w:rPr>
        <w:t xml:space="preserve"> </w:t>
      </w:r>
      <w:r w:rsidRPr="00C54AFA">
        <w:rPr>
          <w:rFonts w:asciiTheme="majorBidi" w:hAnsiTheme="majorBidi" w:cstheme="majorBidi"/>
        </w:rPr>
        <w:t>Muhammad</w:t>
      </w:r>
      <w:r w:rsidR="00A63A71" w:rsidRPr="00C54AFA">
        <w:rPr>
          <w:rFonts w:asciiTheme="majorBidi" w:hAnsiTheme="majorBidi" w:cstheme="majorBidi"/>
        </w:rPr>
        <w:t>、</w:t>
      </w:r>
      <w:r w:rsidRPr="00C54AFA">
        <w:rPr>
          <w:rFonts w:asciiTheme="majorBidi" w:hAnsiTheme="majorBidi" w:cstheme="majorBidi"/>
        </w:rPr>
        <w:t>Raees</w:t>
      </w:r>
      <w:r w:rsidR="00A63A71" w:rsidRPr="00C54AFA">
        <w:rPr>
          <w:rFonts w:asciiTheme="majorBidi" w:hAnsiTheme="majorBidi" w:cstheme="majorBidi"/>
        </w:rPr>
        <w:t xml:space="preserve"> </w:t>
      </w:r>
      <w:r w:rsidRPr="00C54AFA">
        <w:rPr>
          <w:rFonts w:asciiTheme="majorBidi" w:hAnsiTheme="majorBidi" w:cstheme="majorBidi"/>
        </w:rPr>
        <w:t>Khan</w:t>
      </w:r>
      <w:r w:rsidR="00A63A71" w:rsidRPr="00C54AFA">
        <w:rPr>
          <w:rFonts w:asciiTheme="majorBidi" w:hAnsiTheme="majorBidi" w:cstheme="majorBidi"/>
        </w:rPr>
        <w:t xml:space="preserve"> </w:t>
      </w:r>
      <w:r w:rsidRPr="00C54AFA">
        <w:rPr>
          <w:rFonts w:asciiTheme="majorBidi" w:hAnsiTheme="majorBidi" w:cstheme="majorBidi"/>
        </w:rPr>
        <w:t>Jalal</w:t>
      </w:r>
      <w:r w:rsidR="00A63A71" w:rsidRPr="00C54AFA">
        <w:rPr>
          <w:rFonts w:asciiTheme="majorBidi" w:hAnsiTheme="majorBidi" w:cstheme="majorBidi"/>
        </w:rPr>
        <w:t xml:space="preserve"> </w:t>
      </w:r>
      <w:r w:rsidRPr="00C54AFA">
        <w:rPr>
          <w:rFonts w:asciiTheme="majorBidi" w:hAnsiTheme="majorBidi" w:cstheme="majorBidi"/>
        </w:rPr>
        <w:t>Khan</w:t>
      </w:r>
      <w:r w:rsidR="00A63A71" w:rsidRPr="00C54AFA">
        <w:rPr>
          <w:rFonts w:asciiTheme="majorBidi" w:hAnsiTheme="majorBidi" w:cstheme="majorBidi"/>
        </w:rPr>
        <w:t>、</w:t>
      </w:r>
      <w:r w:rsidRPr="00C54AFA">
        <w:rPr>
          <w:rFonts w:asciiTheme="majorBidi" w:hAnsiTheme="majorBidi" w:cstheme="majorBidi"/>
        </w:rPr>
        <w:t>Shezad</w:t>
      </w:r>
      <w:r w:rsidR="00A63A71" w:rsidRPr="00C54AFA">
        <w:rPr>
          <w:rFonts w:asciiTheme="majorBidi" w:hAnsiTheme="majorBidi" w:cstheme="majorBidi"/>
        </w:rPr>
        <w:t xml:space="preserve"> </w:t>
      </w:r>
      <w:r w:rsidRPr="00C54AFA">
        <w:rPr>
          <w:rFonts w:asciiTheme="majorBidi" w:hAnsiTheme="majorBidi" w:cstheme="majorBidi"/>
        </w:rPr>
        <w:t>Khan</w:t>
      </w:r>
      <w:r w:rsidR="00A63A71" w:rsidRPr="00C54AFA">
        <w:rPr>
          <w:rFonts w:asciiTheme="majorBidi" w:hAnsiTheme="majorBidi" w:cstheme="majorBidi"/>
        </w:rPr>
        <w:t xml:space="preserve"> </w:t>
      </w:r>
      <w:r w:rsidRPr="00C54AFA">
        <w:rPr>
          <w:rFonts w:asciiTheme="majorBidi" w:hAnsiTheme="majorBidi" w:cstheme="majorBidi"/>
        </w:rPr>
        <w:t>Munir</w:t>
      </w:r>
      <w:r w:rsidR="00A63A71" w:rsidRPr="00C54AFA">
        <w:rPr>
          <w:rFonts w:asciiTheme="majorBidi" w:hAnsiTheme="majorBidi" w:cstheme="majorBidi"/>
        </w:rPr>
        <w:t xml:space="preserve"> </w:t>
      </w:r>
      <w:r w:rsidRPr="00C54AFA">
        <w:rPr>
          <w:rFonts w:asciiTheme="majorBidi" w:hAnsiTheme="majorBidi" w:cstheme="majorBidi"/>
        </w:rPr>
        <w:t>Khan</w:t>
      </w:r>
      <w:r w:rsidR="00A63A71" w:rsidRPr="00C54AFA">
        <w:rPr>
          <w:rFonts w:asciiTheme="majorBidi" w:hAnsiTheme="majorBidi" w:cstheme="majorBidi"/>
        </w:rPr>
        <w:t>和</w:t>
      </w:r>
      <w:r w:rsidRPr="00C54AFA">
        <w:rPr>
          <w:rFonts w:asciiTheme="majorBidi" w:hAnsiTheme="majorBidi" w:cstheme="majorBidi"/>
        </w:rPr>
        <w:t>Syed</w:t>
      </w:r>
      <w:r w:rsidR="00A63A71" w:rsidRPr="00C54AFA">
        <w:rPr>
          <w:rFonts w:asciiTheme="majorBidi" w:hAnsiTheme="majorBidi" w:cstheme="majorBidi"/>
        </w:rPr>
        <w:t xml:space="preserve"> </w:t>
      </w:r>
      <w:r w:rsidRPr="00C54AFA">
        <w:rPr>
          <w:rFonts w:asciiTheme="majorBidi" w:hAnsiTheme="majorBidi" w:cstheme="majorBidi"/>
        </w:rPr>
        <w:t>Tahir</w:t>
      </w:r>
      <w:r w:rsidR="00A63A71" w:rsidRPr="00C54AFA">
        <w:rPr>
          <w:rFonts w:asciiTheme="majorBidi" w:hAnsiTheme="majorBidi" w:cstheme="majorBidi"/>
        </w:rPr>
        <w:t xml:space="preserve"> </w:t>
      </w:r>
      <w:r w:rsidRPr="00C54AFA">
        <w:rPr>
          <w:rFonts w:asciiTheme="majorBidi" w:hAnsiTheme="majorBidi" w:cstheme="majorBidi"/>
        </w:rPr>
        <w:t>Ali</w:t>
      </w:r>
      <w:r w:rsidR="00A63A71" w:rsidRPr="00C54AFA">
        <w:rPr>
          <w:rFonts w:asciiTheme="majorBidi" w:hAnsiTheme="majorBidi" w:cstheme="majorBidi"/>
        </w:rPr>
        <w:t xml:space="preserve"> </w:t>
      </w:r>
      <w:r w:rsidRPr="00C54AFA">
        <w:rPr>
          <w:rFonts w:asciiTheme="majorBidi" w:hAnsiTheme="majorBidi" w:cstheme="majorBidi"/>
        </w:rPr>
        <w:t>Syed</w:t>
      </w:r>
      <w:r w:rsidR="00A63A71" w:rsidRPr="00C54AFA">
        <w:rPr>
          <w:rFonts w:asciiTheme="majorBidi" w:hAnsiTheme="majorBidi" w:cstheme="majorBidi"/>
        </w:rPr>
        <w:t xml:space="preserve"> </w:t>
      </w:r>
      <w:r w:rsidRPr="00C54AFA">
        <w:rPr>
          <w:rFonts w:asciiTheme="majorBidi" w:hAnsiTheme="majorBidi" w:cstheme="majorBidi"/>
        </w:rPr>
        <w:t>Barkat</w:t>
      </w:r>
      <w:r w:rsidR="00A63A71" w:rsidRPr="00C54AFA">
        <w:rPr>
          <w:rFonts w:asciiTheme="majorBidi" w:hAnsiTheme="majorBidi" w:cstheme="majorBidi"/>
        </w:rPr>
        <w:t xml:space="preserve"> </w:t>
      </w:r>
      <w:r w:rsidRPr="00C54AFA">
        <w:rPr>
          <w:rFonts w:asciiTheme="majorBidi" w:hAnsiTheme="majorBidi" w:cstheme="majorBidi"/>
        </w:rPr>
        <w:t>Al</w:t>
      </w:r>
      <w:r w:rsidR="00C54AFA" w:rsidRPr="00C54AFA">
        <w:rPr>
          <w:rFonts w:asciiTheme="majorBidi" w:hAnsiTheme="majorBidi" w:cstheme="majorBidi"/>
        </w:rPr>
        <w:t xml:space="preserve">i, </w:t>
      </w:r>
      <w:r w:rsidR="00A63A71" w:rsidRPr="00C54AFA">
        <w:rPr>
          <w:rFonts w:asciiTheme="majorBidi" w:hAnsiTheme="majorBidi" w:cstheme="majorBidi"/>
        </w:rPr>
        <w:t>据称他们于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月在卡拉奇被巴基斯坦信德省游骑兵绑架。</w:t>
      </w:r>
    </w:p>
    <w:p w:rsidR="00A63A71" w:rsidRPr="00C54AFA" w:rsidRDefault="00A63A71" w:rsidP="00116230">
      <w:pPr>
        <w:pStyle w:val="H23GC"/>
      </w:pPr>
      <w:r w:rsidRPr="00C54AFA">
        <w:tab/>
      </w:r>
      <w:r w:rsidRPr="00C54AFA">
        <w:tab/>
      </w:r>
      <w:r w:rsidRPr="00C54AFA">
        <w:t>标准程序</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9</w:t>
      </w:r>
      <w:r w:rsidR="00C54AFA" w:rsidRPr="00C54AFA">
        <w:rPr>
          <w:rFonts w:asciiTheme="majorBidi" w:hAnsiTheme="majorBidi" w:cstheme="majorBidi"/>
        </w:rPr>
        <w:t>7.</w:t>
      </w:r>
      <w:r w:rsidR="00527952" w:rsidRPr="00C54AFA">
        <w:rPr>
          <w:rFonts w:asciiTheme="majorBidi" w:hAnsiTheme="majorBidi" w:cstheme="majorBidi"/>
        </w:rPr>
        <w:t xml:space="preserve">  </w:t>
      </w:r>
      <w:r w:rsidR="00A63A71" w:rsidRPr="00C54AFA">
        <w:rPr>
          <w:rFonts w:asciiTheme="majorBidi" w:hAnsiTheme="majorBidi" w:cstheme="majorBidi"/>
        </w:rPr>
        <w:t>工作组向该国政府转交了关于以下人员的</w:t>
      </w:r>
      <w:r w:rsidRPr="00C54AFA">
        <w:rPr>
          <w:rFonts w:asciiTheme="majorBidi" w:hAnsiTheme="majorBidi" w:cstheme="majorBidi"/>
        </w:rPr>
        <w:t>3</w:t>
      </w:r>
      <w:r w:rsidR="00A63A71" w:rsidRPr="00C54AFA">
        <w:rPr>
          <w:rFonts w:asciiTheme="majorBidi" w:hAnsiTheme="majorBidi" w:cstheme="majorBidi"/>
        </w:rPr>
        <w:t>起案件</w:t>
      </w:r>
      <w:r w:rsidR="00C54AFA" w:rsidRPr="00C54AFA">
        <w:rPr>
          <w:rFonts w:asciiTheme="majorBidi" w:hAnsiTheme="majorBidi" w:cstheme="majorBidi"/>
        </w:rPr>
        <w:t>：</w:t>
      </w:r>
    </w:p>
    <w:p w:rsidR="00A63A71" w:rsidRPr="00C54AFA" w:rsidRDefault="00BC4B0A" w:rsidP="00527952">
      <w:pPr>
        <w:pStyle w:val="SingleTxtGC"/>
        <w:numPr>
          <w:ilvl w:val="0"/>
          <w:numId w:val="18"/>
        </w:numPr>
        <w:rPr>
          <w:rFonts w:asciiTheme="majorBidi" w:hAnsiTheme="majorBidi" w:cstheme="majorBidi"/>
        </w:rPr>
      </w:pPr>
      <w:r w:rsidRPr="00C54AFA">
        <w:rPr>
          <w:rFonts w:asciiTheme="majorBidi" w:hAnsiTheme="majorBidi" w:cstheme="majorBidi"/>
        </w:rPr>
        <w:t>Arshad</w:t>
      </w:r>
      <w:r w:rsidR="00A63A71" w:rsidRPr="00C54AFA">
        <w:rPr>
          <w:rFonts w:asciiTheme="majorBidi" w:hAnsiTheme="majorBidi" w:cstheme="majorBidi"/>
        </w:rPr>
        <w:t xml:space="preserve"> </w:t>
      </w:r>
      <w:r w:rsidRPr="00C54AFA">
        <w:rPr>
          <w:rFonts w:asciiTheme="majorBidi" w:hAnsiTheme="majorBidi" w:cstheme="majorBidi"/>
        </w:rPr>
        <w:t>Arshad</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据报告他于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3</w:t>
      </w:r>
      <w:r w:rsidR="00A63A71" w:rsidRPr="00C54AFA">
        <w:rPr>
          <w:rFonts w:asciiTheme="majorBidi" w:hAnsiTheme="majorBidi" w:cstheme="majorBidi"/>
        </w:rPr>
        <w:t>月</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日与两个与他有关联的人一起被巴基斯坦信德省游骑兵逮捕</w:t>
      </w:r>
      <w:r w:rsidR="00C54AFA" w:rsidRPr="00C54AFA">
        <w:rPr>
          <w:rFonts w:asciiTheme="majorBidi" w:hAnsiTheme="majorBidi" w:cstheme="majorBidi"/>
        </w:rPr>
        <w:t>；</w:t>
      </w:r>
    </w:p>
    <w:p w:rsidR="00A63A71" w:rsidRPr="00C54AFA" w:rsidRDefault="00BC4B0A" w:rsidP="00527952">
      <w:pPr>
        <w:pStyle w:val="SingleTxtGC"/>
        <w:numPr>
          <w:ilvl w:val="0"/>
          <w:numId w:val="18"/>
        </w:numPr>
        <w:rPr>
          <w:rFonts w:asciiTheme="majorBidi" w:hAnsiTheme="majorBidi" w:cstheme="majorBidi"/>
        </w:rPr>
      </w:pPr>
      <w:r w:rsidRPr="00C54AFA">
        <w:rPr>
          <w:rFonts w:asciiTheme="majorBidi" w:hAnsiTheme="majorBidi" w:cstheme="majorBidi"/>
        </w:rPr>
        <w:t>Mohammad</w:t>
      </w:r>
      <w:r w:rsidR="00A63A71" w:rsidRPr="00C54AFA">
        <w:rPr>
          <w:rFonts w:asciiTheme="majorBidi" w:hAnsiTheme="majorBidi" w:cstheme="majorBidi"/>
        </w:rPr>
        <w:t xml:space="preserve"> </w:t>
      </w:r>
      <w:r w:rsidRPr="00C54AFA">
        <w:rPr>
          <w:rFonts w:asciiTheme="majorBidi" w:hAnsiTheme="majorBidi" w:cstheme="majorBidi"/>
        </w:rPr>
        <w:t>Qazaf</w:t>
      </w:r>
      <w:r w:rsidR="00C54AFA" w:rsidRPr="00C54AFA">
        <w:rPr>
          <w:rFonts w:asciiTheme="majorBidi" w:hAnsiTheme="majorBidi" w:cstheme="majorBidi"/>
        </w:rPr>
        <w:t xml:space="preserve">i, </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9</w:t>
      </w:r>
      <w:r w:rsidR="00A63A71" w:rsidRPr="00C54AFA">
        <w:rPr>
          <w:rFonts w:asciiTheme="majorBidi" w:hAnsiTheme="majorBidi" w:cstheme="majorBidi"/>
        </w:rPr>
        <w:t>月</w:t>
      </w:r>
      <w:r w:rsidRPr="00C54AFA">
        <w:rPr>
          <w:rFonts w:asciiTheme="majorBidi" w:hAnsiTheme="majorBidi" w:cstheme="majorBidi"/>
        </w:rPr>
        <w:t>26</w:t>
      </w:r>
      <w:r w:rsidR="00A63A71" w:rsidRPr="00C54AFA">
        <w:rPr>
          <w:rFonts w:asciiTheme="majorBidi" w:hAnsiTheme="majorBidi" w:cstheme="majorBidi"/>
        </w:rPr>
        <w:t>日在俾路支省奎达市</w:t>
      </w:r>
      <w:r w:rsidRPr="00C54AFA">
        <w:rPr>
          <w:rFonts w:asciiTheme="majorBidi" w:hAnsiTheme="majorBidi" w:cstheme="majorBidi"/>
        </w:rPr>
        <w:t>Killi</w:t>
      </w:r>
      <w:r w:rsidR="00A63A71" w:rsidRPr="00C54AFA">
        <w:rPr>
          <w:rFonts w:asciiTheme="majorBidi" w:hAnsiTheme="majorBidi" w:cstheme="majorBidi"/>
        </w:rPr>
        <w:t xml:space="preserve"> </w:t>
      </w:r>
      <w:r w:rsidRPr="00C54AFA">
        <w:rPr>
          <w:rFonts w:asciiTheme="majorBidi" w:hAnsiTheme="majorBidi" w:cstheme="majorBidi"/>
        </w:rPr>
        <w:t>Nichari</w:t>
      </w:r>
      <w:r w:rsidR="00A63A71" w:rsidRPr="00C54AFA">
        <w:rPr>
          <w:rFonts w:asciiTheme="majorBidi" w:hAnsiTheme="majorBidi" w:cstheme="majorBidi"/>
        </w:rPr>
        <w:t xml:space="preserve"> </w:t>
      </w:r>
      <w:r w:rsidRPr="00C54AFA">
        <w:rPr>
          <w:rFonts w:asciiTheme="majorBidi" w:hAnsiTheme="majorBidi" w:cstheme="majorBidi"/>
        </w:rPr>
        <w:t>Qumbrani</w:t>
      </w:r>
      <w:r w:rsidR="00A63A71" w:rsidRPr="00C54AFA">
        <w:rPr>
          <w:rFonts w:asciiTheme="majorBidi" w:hAnsiTheme="majorBidi" w:cstheme="majorBidi"/>
        </w:rPr>
        <w:t>路被安全部队包括便衣警察、国家情报局和边警部队逮捕</w:t>
      </w:r>
      <w:r w:rsidR="00C54AFA" w:rsidRPr="00C54AFA">
        <w:rPr>
          <w:rFonts w:asciiTheme="majorBidi" w:hAnsiTheme="majorBidi" w:cstheme="majorBidi"/>
        </w:rPr>
        <w:t>；</w:t>
      </w:r>
    </w:p>
    <w:p w:rsidR="00A63A71" w:rsidRPr="00C54AFA" w:rsidRDefault="00BC4B0A" w:rsidP="00527952">
      <w:pPr>
        <w:pStyle w:val="SingleTxtGC"/>
        <w:numPr>
          <w:ilvl w:val="0"/>
          <w:numId w:val="18"/>
        </w:numPr>
        <w:rPr>
          <w:rFonts w:asciiTheme="majorBidi" w:hAnsiTheme="majorBidi" w:cstheme="majorBidi"/>
        </w:rPr>
      </w:pPr>
      <w:r w:rsidRPr="00C54AFA">
        <w:rPr>
          <w:rFonts w:asciiTheme="majorBidi" w:hAnsiTheme="majorBidi" w:cstheme="majorBidi"/>
        </w:rPr>
        <w:t>Ali</w:t>
      </w:r>
      <w:r w:rsidR="00A63A71" w:rsidRPr="00C54AFA">
        <w:rPr>
          <w:rFonts w:asciiTheme="majorBidi" w:hAnsiTheme="majorBidi" w:cstheme="majorBidi"/>
        </w:rPr>
        <w:t xml:space="preserve"> </w:t>
      </w:r>
      <w:r w:rsidRPr="00C54AFA">
        <w:rPr>
          <w:rFonts w:asciiTheme="majorBidi" w:hAnsiTheme="majorBidi" w:cstheme="majorBidi"/>
        </w:rPr>
        <w:t>Sohai</w:t>
      </w:r>
      <w:r w:rsidR="00C54AFA" w:rsidRPr="00C54AFA">
        <w:rPr>
          <w:rFonts w:asciiTheme="majorBidi" w:hAnsiTheme="majorBidi" w:cstheme="majorBidi"/>
        </w:rPr>
        <w:t xml:space="preserve">b, </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4</w:t>
      </w:r>
      <w:r w:rsidR="00A63A71" w:rsidRPr="00C54AFA">
        <w:rPr>
          <w:rFonts w:asciiTheme="majorBidi" w:hAnsiTheme="majorBidi" w:cstheme="majorBidi"/>
        </w:rPr>
        <w:t>月</w:t>
      </w:r>
      <w:r w:rsidRPr="00C54AFA">
        <w:rPr>
          <w:rFonts w:asciiTheme="majorBidi" w:hAnsiTheme="majorBidi" w:cstheme="majorBidi"/>
        </w:rPr>
        <w:t>13</w:t>
      </w:r>
      <w:r w:rsidR="00A63A71" w:rsidRPr="00C54AFA">
        <w:rPr>
          <w:rFonts w:asciiTheme="majorBidi" w:hAnsiTheme="majorBidi" w:cstheme="majorBidi"/>
        </w:rPr>
        <w:t>日在</w:t>
      </w:r>
      <w:r w:rsidRPr="00C54AFA">
        <w:rPr>
          <w:rFonts w:asciiTheme="majorBidi" w:hAnsiTheme="majorBidi" w:cstheme="majorBidi"/>
        </w:rPr>
        <w:t>Country</w:t>
      </w:r>
      <w:r w:rsidR="00A63A71" w:rsidRPr="00C54AFA">
        <w:rPr>
          <w:rFonts w:asciiTheme="majorBidi" w:hAnsiTheme="majorBidi" w:cstheme="majorBidi"/>
        </w:rPr>
        <w:t xml:space="preserve"> </w:t>
      </w:r>
      <w:r w:rsidRPr="00C54AFA">
        <w:rPr>
          <w:rFonts w:asciiTheme="majorBidi" w:hAnsiTheme="majorBidi" w:cstheme="majorBidi"/>
        </w:rPr>
        <w:t>Height</w:t>
      </w:r>
      <w:r w:rsidR="00C54AFA" w:rsidRPr="00C54AFA">
        <w:rPr>
          <w:rFonts w:asciiTheme="majorBidi" w:hAnsiTheme="majorBidi" w:cstheme="majorBidi"/>
        </w:rPr>
        <w:t xml:space="preserve">s, </w:t>
      </w:r>
      <w:r w:rsidRPr="00C54AFA">
        <w:rPr>
          <w:rFonts w:asciiTheme="majorBidi" w:hAnsiTheme="majorBidi" w:cstheme="majorBidi"/>
        </w:rPr>
        <w:t>Gulzar</w:t>
      </w:r>
      <w:r w:rsidR="00A63A71" w:rsidRPr="00C54AFA">
        <w:rPr>
          <w:rFonts w:asciiTheme="majorBidi" w:hAnsiTheme="majorBidi" w:cstheme="majorBidi"/>
        </w:rPr>
        <w:t>-</w:t>
      </w:r>
      <w:r w:rsidRPr="00C54AFA">
        <w:rPr>
          <w:rFonts w:asciiTheme="majorBidi" w:hAnsiTheme="majorBidi" w:cstheme="majorBidi"/>
        </w:rPr>
        <w:t>e</w:t>
      </w:r>
      <w:r w:rsidR="00A63A71" w:rsidRPr="00C54AFA">
        <w:rPr>
          <w:rFonts w:asciiTheme="majorBidi" w:hAnsiTheme="majorBidi" w:cstheme="majorBidi"/>
        </w:rPr>
        <w:t>-</w:t>
      </w:r>
      <w:r w:rsidRPr="00C54AFA">
        <w:rPr>
          <w:rFonts w:asciiTheme="majorBidi" w:hAnsiTheme="majorBidi" w:cstheme="majorBidi"/>
        </w:rPr>
        <w:t>Hijr</w:t>
      </w:r>
      <w:r w:rsidR="00C54AFA" w:rsidRPr="00C54AFA">
        <w:rPr>
          <w:rFonts w:asciiTheme="majorBidi" w:hAnsiTheme="majorBidi" w:cstheme="majorBidi"/>
        </w:rPr>
        <w:t xml:space="preserve">i, </w:t>
      </w:r>
      <w:r w:rsidRPr="00C54AFA">
        <w:rPr>
          <w:rFonts w:asciiTheme="majorBidi" w:hAnsiTheme="majorBidi" w:cstheme="majorBidi"/>
        </w:rPr>
        <w:t>Scheme</w:t>
      </w:r>
      <w:r w:rsidR="00A63A71" w:rsidRPr="00C54AFA">
        <w:rPr>
          <w:rFonts w:asciiTheme="majorBidi" w:hAnsiTheme="majorBidi" w:cstheme="majorBidi"/>
        </w:rPr>
        <w:t xml:space="preserve"> </w:t>
      </w:r>
      <w:r w:rsidRPr="00C54AFA">
        <w:rPr>
          <w:rFonts w:asciiTheme="majorBidi" w:hAnsiTheme="majorBidi" w:cstheme="majorBidi"/>
        </w:rPr>
        <w:t>3</w:t>
      </w:r>
      <w:r w:rsidR="00C54AFA" w:rsidRPr="00C54AFA">
        <w:rPr>
          <w:rFonts w:asciiTheme="majorBidi" w:hAnsiTheme="majorBidi" w:cstheme="majorBidi"/>
        </w:rPr>
        <w:t>3,</w:t>
      </w:r>
      <w:r w:rsidR="00A63A71" w:rsidRPr="00C54AFA">
        <w:rPr>
          <w:rFonts w:asciiTheme="majorBidi" w:hAnsiTheme="majorBidi" w:cstheme="majorBidi"/>
        </w:rPr>
        <w:t xml:space="preserve"> </w:t>
      </w:r>
      <w:r w:rsidRPr="00C54AFA">
        <w:rPr>
          <w:rFonts w:asciiTheme="majorBidi" w:hAnsiTheme="majorBidi" w:cstheme="majorBidi"/>
        </w:rPr>
        <w:t>Karachi</w:t>
      </w:r>
      <w:r w:rsidR="00A63A71" w:rsidRPr="00C54AFA">
        <w:rPr>
          <w:rFonts w:asciiTheme="majorBidi" w:hAnsiTheme="majorBidi" w:cstheme="majorBidi"/>
        </w:rPr>
        <w:t>被巴基斯坦信德省游骑兵绑架。</w:t>
      </w:r>
    </w:p>
    <w:p w:rsidR="00A63A71" w:rsidRPr="00C54AFA" w:rsidRDefault="00A63A71" w:rsidP="00116230">
      <w:pPr>
        <w:pStyle w:val="H23GC"/>
      </w:pPr>
      <w:r w:rsidRPr="00C54AFA">
        <w:tab/>
      </w:r>
      <w:r w:rsidRPr="00C54AFA">
        <w:tab/>
      </w:r>
      <w:r w:rsidRPr="00C54AFA">
        <w:t>一般指称</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9</w:t>
      </w:r>
      <w:r w:rsidR="00C54AFA" w:rsidRPr="00C54AFA">
        <w:rPr>
          <w:rFonts w:asciiTheme="majorBidi" w:hAnsiTheme="majorBidi" w:cstheme="majorBidi"/>
        </w:rPr>
        <w:t>8.</w:t>
      </w:r>
      <w:r w:rsidR="00527952"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3</w:t>
      </w:r>
      <w:r w:rsidR="00A63A71" w:rsidRPr="00C54AFA">
        <w:rPr>
          <w:rFonts w:asciiTheme="majorBidi" w:hAnsiTheme="majorBidi" w:cstheme="majorBidi"/>
        </w:rPr>
        <w:t>月</w:t>
      </w:r>
      <w:r w:rsidRPr="00C54AFA">
        <w:rPr>
          <w:rFonts w:asciiTheme="majorBidi" w:hAnsiTheme="majorBidi" w:cstheme="majorBidi"/>
        </w:rPr>
        <w:t>26</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工作组转交了从可靠来源收到的关于在俾路支省实施《宣言》过程中所遇障碍的资料。</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9</w:t>
      </w:r>
      <w:r w:rsidR="00C54AFA" w:rsidRPr="00C54AFA">
        <w:rPr>
          <w:rFonts w:asciiTheme="majorBidi" w:hAnsiTheme="majorBidi" w:cstheme="majorBidi"/>
        </w:rPr>
        <w:t>9.</w:t>
      </w:r>
      <w:r w:rsidR="00527952" w:rsidRPr="00C54AFA">
        <w:rPr>
          <w:rFonts w:asciiTheme="majorBidi" w:hAnsiTheme="majorBidi" w:cstheme="majorBidi"/>
        </w:rPr>
        <w:t xml:space="preserve">  </w:t>
      </w:r>
      <w:r w:rsidR="00A63A71" w:rsidRPr="00C54AFA">
        <w:rPr>
          <w:rFonts w:asciiTheme="majorBidi" w:hAnsiTheme="majorBidi" w:cstheme="majorBidi"/>
        </w:rPr>
        <w:t>据报告</w:t>
      </w:r>
      <w:r w:rsidR="00C54AFA" w:rsidRPr="00C54AFA">
        <w:rPr>
          <w:rFonts w:asciiTheme="majorBidi" w:hAnsiTheme="majorBidi" w:cstheme="majorBidi"/>
        </w:rPr>
        <w:t>，</w:t>
      </w:r>
      <w:r w:rsidR="00A63A71" w:rsidRPr="00C54AFA">
        <w:rPr>
          <w:rFonts w:asciiTheme="majorBidi" w:hAnsiTheme="majorBidi" w:cstheme="majorBidi"/>
        </w:rPr>
        <w:t>失踪人员家属经常受到据称对失踪事件负有责任的国家机构的骚扰。施恶者对一些家庭允诺</w:t>
      </w:r>
      <w:r w:rsidR="00C54AFA" w:rsidRPr="00C54AFA">
        <w:rPr>
          <w:rFonts w:asciiTheme="majorBidi" w:hAnsiTheme="majorBidi" w:cstheme="majorBidi"/>
        </w:rPr>
        <w:t>，</w:t>
      </w:r>
      <w:r w:rsidR="00A63A71" w:rsidRPr="00C54AFA">
        <w:rPr>
          <w:rFonts w:asciiTheme="majorBidi" w:hAnsiTheme="majorBidi" w:cstheme="majorBidi"/>
        </w:rPr>
        <w:t>只要他们保持安静</w:t>
      </w:r>
      <w:r w:rsidR="00C54AFA" w:rsidRPr="00C54AFA">
        <w:rPr>
          <w:rFonts w:asciiTheme="majorBidi" w:hAnsiTheme="majorBidi" w:cstheme="majorBidi"/>
        </w:rPr>
        <w:t>，</w:t>
      </w:r>
      <w:r w:rsidR="00A63A71" w:rsidRPr="00C54AFA">
        <w:rPr>
          <w:rFonts w:asciiTheme="majorBidi" w:hAnsiTheme="majorBidi" w:cstheme="majorBidi"/>
        </w:rPr>
        <w:t>失踪者将会被释放。来文方称</w:t>
      </w:r>
      <w:r w:rsidR="00C54AFA" w:rsidRPr="00C54AFA">
        <w:rPr>
          <w:rFonts w:asciiTheme="majorBidi" w:hAnsiTheme="majorBidi" w:cstheme="majorBidi"/>
        </w:rPr>
        <w:t>，</w:t>
      </w:r>
      <w:r w:rsidR="00A63A71" w:rsidRPr="00C54AFA">
        <w:rPr>
          <w:rFonts w:asciiTheme="majorBidi" w:hAnsiTheme="majorBidi" w:cstheme="majorBidi"/>
        </w:rPr>
        <w:t>失踪者家庭经常被警告</w:t>
      </w:r>
      <w:r w:rsidR="00C54AFA" w:rsidRPr="00C54AFA">
        <w:rPr>
          <w:rFonts w:asciiTheme="majorBidi" w:hAnsiTheme="majorBidi" w:cstheme="majorBidi"/>
        </w:rPr>
        <w:t>，</w:t>
      </w:r>
      <w:r w:rsidR="00A63A71" w:rsidRPr="00C54AFA">
        <w:rPr>
          <w:rFonts w:asciiTheme="majorBidi" w:hAnsiTheme="majorBidi" w:cstheme="majorBidi"/>
        </w:rPr>
        <w:t>不要接触任何法院、媒体或人权组织。无视这些威胁并报告了这些案件的一些失踪者家庭遭到了报复。在一些案件中</w:t>
      </w:r>
      <w:r w:rsidR="00C54AFA" w:rsidRPr="00C54AFA">
        <w:rPr>
          <w:rFonts w:asciiTheme="majorBidi" w:hAnsiTheme="majorBidi" w:cstheme="majorBidi"/>
        </w:rPr>
        <w:t>，</w:t>
      </w:r>
      <w:r w:rsidR="00A63A71" w:rsidRPr="00C54AFA">
        <w:rPr>
          <w:rFonts w:asciiTheme="majorBidi" w:hAnsiTheme="majorBidi" w:cstheme="majorBidi"/>
        </w:rPr>
        <w:t>他们的失踪亲属在被拘留期间遭到酷刑和杀害</w:t>
      </w:r>
      <w:r w:rsidR="00C54AFA" w:rsidRPr="00C54AFA">
        <w:rPr>
          <w:rFonts w:asciiTheme="majorBidi" w:hAnsiTheme="majorBidi" w:cstheme="majorBidi"/>
        </w:rPr>
        <w:t>；</w:t>
      </w:r>
      <w:r w:rsidR="00A63A71" w:rsidRPr="00C54AFA">
        <w:rPr>
          <w:rFonts w:asciiTheme="majorBidi" w:hAnsiTheme="majorBidi" w:cstheme="majorBidi"/>
        </w:rPr>
        <w:t>在其他案件中</w:t>
      </w:r>
      <w:r w:rsidR="00C54AFA" w:rsidRPr="00C54AFA">
        <w:rPr>
          <w:rFonts w:asciiTheme="majorBidi" w:hAnsiTheme="majorBidi" w:cstheme="majorBidi"/>
        </w:rPr>
        <w:t>，</w:t>
      </w:r>
      <w:r w:rsidR="00A63A71" w:rsidRPr="00C54AFA">
        <w:rPr>
          <w:rFonts w:asciiTheme="majorBidi" w:hAnsiTheme="majorBidi" w:cstheme="majorBidi"/>
        </w:rPr>
        <w:t>报告强迫失踪案件的家庭成员本身也被最初实施绑架的据称犯罪人绑架、施以酷刑和杀害。</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lastRenderedPageBreak/>
        <w:t>1</w:t>
      </w:r>
      <w:r w:rsidR="00527952" w:rsidRPr="00C54AFA">
        <w:rPr>
          <w:rFonts w:asciiTheme="majorBidi" w:hAnsiTheme="majorBidi" w:cstheme="majorBidi"/>
        </w:rPr>
        <w:t>0</w:t>
      </w:r>
      <w:r w:rsidR="00C54AFA" w:rsidRPr="00C54AFA">
        <w:rPr>
          <w:rFonts w:asciiTheme="majorBidi" w:hAnsiTheme="majorBidi" w:cstheme="majorBidi"/>
        </w:rPr>
        <w:t>0.</w:t>
      </w:r>
      <w:r w:rsidR="00527952" w:rsidRPr="00C54AFA">
        <w:rPr>
          <w:rFonts w:asciiTheme="majorBidi" w:hAnsiTheme="majorBidi" w:cstheme="majorBidi"/>
        </w:rPr>
        <w:t xml:space="preserve">  </w:t>
      </w:r>
      <w:r w:rsidRPr="00C54AFA">
        <w:rPr>
          <w:rFonts w:asciiTheme="majorBidi" w:hAnsiTheme="majorBidi" w:cstheme="majorBidi"/>
        </w:rPr>
        <w:t>Jalil</w:t>
      </w:r>
      <w:r w:rsidR="00A63A71" w:rsidRPr="00C54AFA">
        <w:rPr>
          <w:rFonts w:asciiTheme="majorBidi" w:hAnsiTheme="majorBidi" w:cstheme="majorBidi"/>
        </w:rPr>
        <w:t xml:space="preserve"> </w:t>
      </w:r>
      <w:r w:rsidRPr="00C54AFA">
        <w:rPr>
          <w:rFonts w:asciiTheme="majorBidi" w:hAnsiTheme="majorBidi" w:cstheme="majorBidi"/>
        </w:rPr>
        <w:t>Reki</w:t>
      </w:r>
      <w:r w:rsidR="00A63A71" w:rsidRPr="00C54AFA">
        <w:rPr>
          <w:rFonts w:asciiTheme="majorBidi" w:hAnsiTheme="majorBidi" w:cstheme="majorBidi"/>
        </w:rPr>
        <w:t>先生的案件已在工作组登记</w:t>
      </w:r>
      <w:r w:rsidR="00C54AFA" w:rsidRPr="00C54AFA">
        <w:rPr>
          <w:rFonts w:asciiTheme="majorBidi" w:hAnsiTheme="majorBidi" w:cstheme="majorBidi"/>
        </w:rPr>
        <w:t>(</w:t>
      </w:r>
      <w:r w:rsidR="00A63A71" w:rsidRPr="00C54AFA">
        <w:rPr>
          <w:rFonts w:asciiTheme="majorBidi" w:hAnsiTheme="majorBidi" w:cstheme="majorBidi"/>
        </w:rPr>
        <w:t>案件号</w:t>
      </w:r>
      <w:r w:rsidRPr="00C54AFA">
        <w:rPr>
          <w:rFonts w:asciiTheme="majorBidi" w:hAnsiTheme="majorBidi" w:cstheme="majorBidi"/>
        </w:rPr>
        <w:t>1</w:t>
      </w:r>
      <w:r w:rsidR="00A63A71" w:rsidRPr="00C54AFA">
        <w:rPr>
          <w:rFonts w:asciiTheme="majorBidi" w:hAnsiTheme="majorBidi" w:cstheme="majorBidi"/>
        </w:rPr>
        <w:t>000</w:t>
      </w:r>
      <w:r w:rsidRPr="00C54AFA">
        <w:rPr>
          <w:rFonts w:asciiTheme="majorBidi" w:hAnsiTheme="majorBidi" w:cstheme="majorBidi"/>
        </w:rPr>
        <w:t>2879</w:t>
      </w:r>
      <w:r w:rsidR="00C54AFA" w:rsidRPr="00C54AFA">
        <w:rPr>
          <w:rFonts w:asciiTheme="majorBidi" w:hAnsiTheme="majorBidi" w:cstheme="majorBidi"/>
        </w:rPr>
        <w:t>)</w:t>
      </w:r>
      <w:r w:rsidR="00C54AFA" w:rsidRPr="00C54AFA">
        <w:rPr>
          <w:rFonts w:asciiTheme="majorBidi" w:hAnsiTheme="majorBidi" w:cstheme="majorBidi"/>
        </w:rPr>
        <w:t>，</w:t>
      </w:r>
      <w:r w:rsidR="00A63A71" w:rsidRPr="00C54AFA">
        <w:rPr>
          <w:rFonts w:asciiTheme="majorBidi" w:hAnsiTheme="majorBidi" w:cstheme="majorBidi"/>
        </w:rPr>
        <w:t>据称</w:t>
      </w:r>
      <w:r w:rsidR="00C54AFA" w:rsidRPr="00C54AFA">
        <w:rPr>
          <w:rFonts w:asciiTheme="majorBidi" w:hAnsiTheme="majorBidi" w:cstheme="majorBidi"/>
        </w:rPr>
        <w:t>，</w:t>
      </w:r>
      <w:r w:rsidR="00A63A71" w:rsidRPr="00C54AFA">
        <w:rPr>
          <w:rFonts w:asciiTheme="majorBidi" w:hAnsiTheme="majorBidi" w:cstheme="majorBidi"/>
        </w:rPr>
        <w:t>在被关押期间他被情报人员杀害</w:t>
      </w:r>
      <w:r w:rsidR="00C54AFA" w:rsidRPr="00C54AFA">
        <w:rPr>
          <w:rFonts w:asciiTheme="majorBidi" w:hAnsiTheme="majorBidi" w:cstheme="majorBidi"/>
        </w:rPr>
        <w:t>，</w:t>
      </w:r>
      <w:r w:rsidR="00A63A71" w:rsidRPr="00C54AFA">
        <w:rPr>
          <w:rFonts w:asciiTheme="majorBidi" w:hAnsiTheme="majorBidi" w:cstheme="majorBidi"/>
        </w:rPr>
        <w:t>显然是由于他的家人为使他出现作了积极活动所导致。来文方还称</w:t>
      </w:r>
      <w:r w:rsidR="00C54AFA" w:rsidRPr="00C54AFA">
        <w:rPr>
          <w:rFonts w:asciiTheme="majorBidi" w:hAnsiTheme="majorBidi" w:cstheme="majorBidi"/>
        </w:rPr>
        <w:t>，</w:t>
      </w:r>
      <w:r w:rsidR="00A63A71" w:rsidRPr="00C54AFA">
        <w:rPr>
          <w:rFonts w:asciiTheme="majorBidi" w:hAnsiTheme="majorBidi" w:cstheme="majorBidi"/>
        </w:rPr>
        <w:t>失踪人员的两名家庭成员在被政府关押期间由于他们在一个失踪人员家属协会中的积极作用而被杀害。据报告</w:t>
      </w:r>
      <w:r w:rsidR="00C54AFA" w:rsidRPr="00C54AFA">
        <w:rPr>
          <w:rFonts w:asciiTheme="majorBidi" w:hAnsiTheme="majorBidi" w:cstheme="majorBidi"/>
        </w:rPr>
        <w:t>，</w:t>
      </w:r>
      <w:r w:rsidR="00A63A71" w:rsidRPr="00C54AFA">
        <w:rPr>
          <w:rFonts w:asciiTheme="majorBidi" w:hAnsiTheme="majorBidi" w:cstheme="majorBidi"/>
        </w:rPr>
        <w:t>为俾路支省失踪者家属协会工作的个人在工作组</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12</w:t>
      </w:r>
      <w:r w:rsidR="00A63A71" w:rsidRPr="00C54AFA">
        <w:rPr>
          <w:rFonts w:asciiTheme="majorBidi" w:hAnsiTheme="majorBidi" w:cstheme="majorBidi"/>
        </w:rPr>
        <w:t>年访问巴基斯坦期间与工作组接触后。也受到国家机构的威胁。据称</w:t>
      </w:r>
      <w:r w:rsidR="00C54AFA" w:rsidRPr="00C54AFA">
        <w:rPr>
          <w:rFonts w:asciiTheme="majorBidi" w:hAnsiTheme="majorBidi" w:cstheme="majorBidi"/>
        </w:rPr>
        <w:t>，</w:t>
      </w:r>
      <w:r w:rsidR="00A63A71" w:rsidRPr="00C54AFA">
        <w:rPr>
          <w:rFonts w:asciiTheme="majorBidi" w:hAnsiTheme="majorBidi" w:cstheme="majorBidi"/>
        </w:rPr>
        <w:t>组织了一个要求释放俾路支省失踪人员运动的人的一个家庭成员被情报人员逮捕并遭受酷刑</w:t>
      </w:r>
      <w:r w:rsidR="00C54AFA" w:rsidRPr="00C54AFA">
        <w:rPr>
          <w:rFonts w:asciiTheme="majorBidi" w:hAnsiTheme="majorBidi" w:cstheme="majorBidi"/>
        </w:rPr>
        <w:t>，</w:t>
      </w:r>
      <w:r w:rsidR="00A63A71" w:rsidRPr="00C54AFA">
        <w:rPr>
          <w:rFonts w:asciiTheme="majorBidi" w:hAnsiTheme="majorBidi" w:cstheme="majorBidi"/>
        </w:rPr>
        <w:t>作为一种报复。</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w:t>
      </w:r>
      <w:r w:rsidR="00527952" w:rsidRPr="00C54AFA">
        <w:rPr>
          <w:rFonts w:asciiTheme="majorBidi" w:hAnsiTheme="majorBidi" w:cstheme="majorBidi"/>
        </w:rPr>
        <w:t>0</w:t>
      </w:r>
      <w:r w:rsidR="00C54AFA" w:rsidRPr="00C54AFA">
        <w:rPr>
          <w:rFonts w:asciiTheme="majorBidi" w:hAnsiTheme="majorBidi" w:cstheme="majorBidi"/>
        </w:rPr>
        <w:t>1.</w:t>
      </w:r>
      <w:r w:rsidR="00527952" w:rsidRPr="00C54AFA">
        <w:rPr>
          <w:rFonts w:asciiTheme="majorBidi" w:hAnsiTheme="majorBidi" w:cstheme="majorBidi"/>
        </w:rPr>
        <w:t xml:space="preserve">  </w:t>
      </w:r>
      <w:r w:rsidR="00A63A71" w:rsidRPr="00C54AFA">
        <w:rPr>
          <w:rFonts w:asciiTheme="majorBidi" w:hAnsiTheme="majorBidi" w:cstheme="majorBidi"/>
        </w:rPr>
        <w:t>来文方还报告说</w:t>
      </w:r>
      <w:r w:rsidR="00C54AFA" w:rsidRPr="00C54AFA">
        <w:rPr>
          <w:rFonts w:asciiTheme="majorBidi" w:hAnsiTheme="majorBidi" w:cstheme="majorBidi"/>
        </w:rPr>
        <w:t>，</w:t>
      </w:r>
      <w:r w:rsidR="00A63A71" w:rsidRPr="00C54AFA">
        <w:rPr>
          <w:rFonts w:asciiTheme="majorBidi" w:hAnsiTheme="majorBidi" w:cstheme="majorBidi"/>
        </w:rPr>
        <w:t>作为一种报复</w:t>
      </w:r>
      <w:r w:rsidR="00C54AFA" w:rsidRPr="00C54AFA">
        <w:rPr>
          <w:rFonts w:asciiTheme="majorBidi" w:hAnsiTheme="majorBidi" w:cstheme="majorBidi"/>
        </w:rPr>
        <w:t>，</w:t>
      </w:r>
      <w:r w:rsidR="00A63A71" w:rsidRPr="00C54AFA">
        <w:rPr>
          <w:rFonts w:asciiTheme="majorBidi" w:hAnsiTheme="majorBidi" w:cstheme="majorBidi"/>
        </w:rPr>
        <w:t>积极跟踪强迫失踪案件的家庭成员和致力于这些案件的非政府组织成员被以捏造罪名在法庭遭到起诉。一些接手强迫失踪案件的律师受到骚扰</w:t>
      </w:r>
      <w:r w:rsidR="00C54AFA" w:rsidRPr="00C54AFA">
        <w:rPr>
          <w:rFonts w:asciiTheme="majorBidi" w:hAnsiTheme="majorBidi" w:cstheme="majorBidi"/>
        </w:rPr>
        <w:t>，</w:t>
      </w:r>
      <w:r w:rsidR="00A63A71" w:rsidRPr="00C54AFA">
        <w:rPr>
          <w:rFonts w:asciiTheme="majorBidi" w:hAnsiTheme="majorBidi" w:cstheme="majorBidi"/>
        </w:rPr>
        <w:t>包括强迫失踪。</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w:t>
      </w:r>
      <w:r w:rsidR="00527952" w:rsidRPr="00C54AFA">
        <w:rPr>
          <w:rFonts w:asciiTheme="majorBidi" w:hAnsiTheme="majorBidi" w:cstheme="majorBidi"/>
        </w:rPr>
        <w:t>0</w:t>
      </w:r>
      <w:r w:rsidR="00C54AFA" w:rsidRPr="00C54AFA">
        <w:rPr>
          <w:rFonts w:asciiTheme="majorBidi" w:hAnsiTheme="majorBidi" w:cstheme="majorBidi"/>
        </w:rPr>
        <w:t>2.</w:t>
      </w:r>
      <w:r w:rsidR="00527952" w:rsidRPr="00C54AFA">
        <w:rPr>
          <w:rFonts w:asciiTheme="majorBidi" w:hAnsiTheme="majorBidi" w:cstheme="majorBidi"/>
        </w:rPr>
        <w:t xml:space="preserve">  </w:t>
      </w:r>
      <w:r w:rsidR="00A63A71" w:rsidRPr="00C54AFA">
        <w:rPr>
          <w:rFonts w:asciiTheme="majorBidi" w:hAnsiTheme="majorBidi" w:cstheme="majorBidi"/>
        </w:rPr>
        <w:t>据指称</w:t>
      </w:r>
      <w:r w:rsidR="00C54AFA" w:rsidRPr="00C54AFA">
        <w:rPr>
          <w:rFonts w:asciiTheme="majorBidi" w:hAnsiTheme="majorBidi" w:cstheme="majorBidi"/>
        </w:rPr>
        <w:t>，</w:t>
      </w:r>
      <w:r w:rsidR="00A63A71" w:rsidRPr="00C54AFA">
        <w:rPr>
          <w:rFonts w:asciiTheme="majorBidi" w:hAnsiTheme="majorBidi" w:cstheme="majorBidi"/>
        </w:rPr>
        <w:t>很少有被关押的失踪人员在巴基斯坦最高法院作出命令后被释放。在很多案件中</w:t>
      </w:r>
      <w:r w:rsidR="00C54AFA" w:rsidRPr="00C54AFA">
        <w:rPr>
          <w:rFonts w:asciiTheme="majorBidi" w:hAnsiTheme="majorBidi" w:cstheme="majorBidi"/>
        </w:rPr>
        <w:t>，</w:t>
      </w:r>
      <w:r w:rsidR="00A63A71" w:rsidRPr="00C54AFA">
        <w:rPr>
          <w:rFonts w:asciiTheme="majorBidi" w:hAnsiTheme="majorBidi" w:cstheme="majorBidi"/>
        </w:rPr>
        <w:t>尽管法院多次裁决命令释放有关人员</w:t>
      </w:r>
      <w:r w:rsidR="00C54AFA" w:rsidRPr="00C54AFA">
        <w:rPr>
          <w:rFonts w:asciiTheme="majorBidi" w:hAnsiTheme="majorBidi" w:cstheme="majorBidi"/>
        </w:rPr>
        <w:t>，</w:t>
      </w:r>
      <w:r w:rsidR="00A63A71" w:rsidRPr="00C54AFA">
        <w:rPr>
          <w:rFonts w:asciiTheme="majorBidi" w:hAnsiTheme="majorBidi" w:cstheme="majorBidi"/>
        </w:rPr>
        <w:t>但却发现失踪人员已经死亡</w:t>
      </w:r>
      <w:r w:rsidR="00C54AFA" w:rsidRPr="00C54AFA">
        <w:rPr>
          <w:rFonts w:asciiTheme="majorBidi" w:hAnsiTheme="majorBidi" w:cstheme="majorBidi"/>
        </w:rPr>
        <w:t>；</w:t>
      </w:r>
      <w:r w:rsidR="00A63A71" w:rsidRPr="00C54AFA">
        <w:rPr>
          <w:rFonts w:asciiTheme="majorBidi" w:hAnsiTheme="majorBidi" w:cstheme="majorBidi"/>
        </w:rPr>
        <w:t>例如</w:t>
      </w:r>
      <w:r w:rsidR="00C54AFA" w:rsidRPr="00C54AFA">
        <w:rPr>
          <w:rFonts w:asciiTheme="majorBidi" w:hAnsiTheme="majorBidi" w:cstheme="majorBidi"/>
        </w:rPr>
        <w:t>，</w:t>
      </w:r>
      <w:r w:rsidR="00A63A71" w:rsidRPr="00C54AFA">
        <w:rPr>
          <w:rFonts w:asciiTheme="majorBidi" w:hAnsiTheme="majorBidi" w:cstheme="majorBidi"/>
        </w:rPr>
        <w:t>来文方报告说</w:t>
      </w:r>
      <w:r w:rsidR="00C54AFA" w:rsidRPr="00C54AFA">
        <w:rPr>
          <w:rFonts w:asciiTheme="majorBidi" w:hAnsiTheme="majorBidi" w:cstheme="majorBidi"/>
        </w:rPr>
        <w:t>，</w:t>
      </w:r>
      <w:r w:rsidR="00A63A71" w:rsidRPr="00C54AFA">
        <w:rPr>
          <w:rFonts w:asciiTheme="majorBidi" w:hAnsiTheme="majorBidi" w:cstheme="majorBidi"/>
        </w:rPr>
        <w:t>尽管巴基斯坦最高法院命令释放</w:t>
      </w:r>
      <w:r w:rsidRPr="00C54AFA">
        <w:rPr>
          <w:rFonts w:asciiTheme="majorBidi" w:hAnsiTheme="majorBidi" w:cstheme="majorBidi"/>
        </w:rPr>
        <w:t>Mohammad</w:t>
      </w:r>
      <w:r w:rsidR="00A63A71" w:rsidRPr="00C54AFA">
        <w:rPr>
          <w:rFonts w:asciiTheme="majorBidi" w:hAnsiTheme="majorBidi" w:cstheme="majorBidi"/>
        </w:rPr>
        <w:t xml:space="preserve"> </w:t>
      </w:r>
      <w:r w:rsidRPr="00C54AFA">
        <w:rPr>
          <w:rFonts w:asciiTheme="majorBidi" w:hAnsiTheme="majorBidi" w:cstheme="majorBidi"/>
        </w:rPr>
        <w:t>Khan</w:t>
      </w:r>
      <w:r w:rsidR="00A63A71" w:rsidRPr="00C54AFA">
        <w:rPr>
          <w:rFonts w:asciiTheme="majorBidi" w:hAnsiTheme="majorBidi" w:cstheme="majorBidi"/>
        </w:rPr>
        <w:t xml:space="preserve"> </w:t>
      </w:r>
      <w:r w:rsidRPr="00C54AFA">
        <w:rPr>
          <w:rFonts w:asciiTheme="majorBidi" w:hAnsiTheme="majorBidi" w:cstheme="majorBidi"/>
        </w:rPr>
        <w:t>Marri</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案件号</w:t>
      </w:r>
      <w:r w:rsidRPr="00C54AFA">
        <w:rPr>
          <w:rFonts w:asciiTheme="majorBidi" w:hAnsiTheme="majorBidi" w:cstheme="majorBidi"/>
        </w:rPr>
        <w:t>1</w:t>
      </w:r>
      <w:r w:rsidR="00A63A71" w:rsidRPr="00C54AFA">
        <w:rPr>
          <w:rFonts w:asciiTheme="majorBidi" w:hAnsiTheme="majorBidi" w:cstheme="majorBidi"/>
        </w:rPr>
        <w:t>000</w:t>
      </w:r>
      <w:r w:rsidRPr="00C54AFA">
        <w:rPr>
          <w:rFonts w:asciiTheme="majorBidi" w:hAnsiTheme="majorBidi" w:cstheme="majorBidi"/>
        </w:rPr>
        <w:t>312</w:t>
      </w:r>
      <w:r w:rsidR="00A63A71" w:rsidRPr="00C54AFA">
        <w:rPr>
          <w:rFonts w:asciiTheme="majorBidi" w:hAnsiTheme="majorBidi" w:cstheme="majorBidi"/>
        </w:rPr>
        <w:t>0</w:t>
      </w:r>
      <w:r w:rsidR="00C54AFA" w:rsidRPr="00C54AFA">
        <w:rPr>
          <w:rFonts w:asciiTheme="majorBidi" w:hAnsiTheme="majorBidi" w:cstheme="majorBidi"/>
        </w:rPr>
        <w:t>)</w:t>
      </w:r>
      <w:r w:rsidR="00A63A71" w:rsidRPr="00C54AFA">
        <w:rPr>
          <w:rFonts w:asciiTheme="majorBidi" w:hAnsiTheme="majorBidi" w:cstheme="majorBidi"/>
        </w:rPr>
        <w:t>和另一个人</w:t>
      </w:r>
      <w:r w:rsidR="00C54AFA" w:rsidRPr="00C54AFA">
        <w:rPr>
          <w:rFonts w:asciiTheme="majorBidi" w:hAnsiTheme="majorBidi" w:cstheme="majorBidi"/>
        </w:rPr>
        <w:t>，</w:t>
      </w:r>
      <w:r w:rsidR="00A63A71" w:rsidRPr="00C54AFA">
        <w:rPr>
          <w:rFonts w:asciiTheme="majorBidi" w:hAnsiTheme="majorBidi" w:cstheme="majorBidi"/>
        </w:rPr>
        <w:t>但他们的尸体在奎达被发现。在一些案件中</w:t>
      </w:r>
      <w:r w:rsidR="00C54AFA" w:rsidRPr="00C54AFA">
        <w:rPr>
          <w:rFonts w:asciiTheme="majorBidi" w:hAnsiTheme="majorBidi" w:cstheme="majorBidi"/>
        </w:rPr>
        <w:t>，</w:t>
      </w:r>
      <w:r w:rsidR="00A63A71" w:rsidRPr="00C54AFA">
        <w:rPr>
          <w:rFonts w:asciiTheme="majorBidi" w:hAnsiTheme="majorBidi" w:cstheme="majorBidi"/>
        </w:rPr>
        <w:t>身上有酷刑痕迹的失踪人员尸体在街头被发现</w:t>
      </w:r>
      <w:r w:rsidR="00C54AFA" w:rsidRPr="00C54AFA">
        <w:rPr>
          <w:rFonts w:asciiTheme="majorBidi" w:hAnsiTheme="majorBidi" w:cstheme="majorBidi"/>
        </w:rPr>
        <w:t>，</w:t>
      </w:r>
      <w:r w:rsidR="00A63A71" w:rsidRPr="00C54AFA">
        <w:rPr>
          <w:rFonts w:asciiTheme="majorBidi" w:hAnsiTheme="majorBidi" w:cstheme="majorBidi"/>
        </w:rPr>
        <w:t>甚至是正在审理其案件期间。据指称</w:t>
      </w:r>
      <w:r w:rsidR="00C54AFA" w:rsidRPr="00C54AFA">
        <w:rPr>
          <w:rFonts w:asciiTheme="majorBidi" w:hAnsiTheme="majorBidi" w:cstheme="majorBidi"/>
        </w:rPr>
        <w:t>，</w:t>
      </w:r>
      <w:r w:rsidR="00A63A71" w:rsidRPr="00C54AFA">
        <w:rPr>
          <w:rFonts w:asciiTheme="majorBidi" w:hAnsiTheme="majorBidi" w:cstheme="majorBidi"/>
        </w:rPr>
        <w:t>最高法院的强迫失踪案件审理经常与失踪者尸体被发现时间吻合。因为担心失踪者亲属遭到报复</w:t>
      </w:r>
      <w:r w:rsidR="00C54AFA" w:rsidRPr="00C54AFA">
        <w:rPr>
          <w:rFonts w:asciiTheme="majorBidi" w:hAnsiTheme="majorBidi" w:cstheme="majorBidi"/>
        </w:rPr>
        <w:t>，</w:t>
      </w:r>
      <w:r w:rsidR="00A63A71" w:rsidRPr="00C54AFA">
        <w:rPr>
          <w:rFonts w:asciiTheme="majorBidi" w:hAnsiTheme="majorBidi" w:cstheme="majorBidi"/>
        </w:rPr>
        <w:t>一个家庭在庭审期间请求最高法院首席法官不要发出释放令。</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w:t>
      </w:r>
      <w:r w:rsidR="00527952" w:rsidRPr="00C54AFA">
        <w:rPr>
          <w:rFonts w:asciiTheme="majorBidi" w:hAnsiTheme="majorBidi" w:cstheme="majorBidi"/>
        </w:rPr>
        <w:t>0</w:t>
      </w:r>
      <w:r w:rsidR="00C54AFA" w:rsidRPr="00C54AFA">
        <w:rPr>
          <w:rFonts w:asciiTheme="majorBidi" w:hAnsiTheme="majorBidi" w:cstheme="majorBidi"/>
        </w:rPr>
        <w:t>3.</w:t>
      </w:r>
      <w:r w:rsidR="00527952" w:rsidRPr="00C54AFA">
        <w:rPr>
          <w:rFonts w:asciiTheme="majorBidi" w:hAnsiTheme="majorBidi" w:cstheme="majorBidi"/>
        </w:rPr>
        <w:t xml:space="preserve">  </w:t>
      </w:r>
      <w:r w:rsidR="00A63A71" w:rsidRPr="00C54AFA">
        <w:rPr>
          <w:rFonts w:asciiTheme="majorBidi" w:hAnsiTheme="majorBidi" w:cstheme="majorBidi"/>
        </w:rPr>
        <w:t>据报告</w:t>
      </w:r>
      <w:r w:rsidR="00C54AFA" w:rsidRPr="00C54AFA">
        <w:rPr>
          <w:rFonts w:asciiTheme="majorBidi" w:hAnsiTheme="majorBidi" w:cstheme="majorBidi"/>
        </w:rPr>
        <w:t>，</w:t>
      </w:r>
      <w:r w:rsidR="00A63A71" w:rsidRPr="00C54AFA">
        <w:rPr>
          <w:rFonts w:asciiTheme="majorBidi" w:hAnsiTheme="majorBidi" w:cstheme="majorBidi"/>
        </w:rPr>
        <w:t>在</w:t>
      </w:r>
      <w:r w:rsidRPr="00C54AFA">
        <w:rPr>
          <w:rFonts w:asciiTheme="majorBidi" w:hAnsiTheme="majorBidi" w:cstheme="majorBidi"/>
        </w:rPr>
        <w:t>Tootak</w:t>
      </w:r>
      <w:r w:rsidR="00C54AFA" w:rsidRPr="00C54AFA">
        <w:rPr>
          <w:rFonts w:asciiTheme="majorBidi" w:hAnsiTheme="majorBidi" w:cstheme="majorBidi"/>
        </w:rPr>
        <w:t>(</w:t>
      </w:r>
      <w:r w:rsidR="00A63A71" w:rsidRPr="00C54AFA">
        <w:rPr>
          <w:rFonts w:asciiTheme="majorBidi" w:hAnsiTheme="majorBidi" w:cstheme="majorBidi"/>
        </w:rPr>
        <w:t>胡兹达尔</w:t>
      </w:r>
      <w:r w:rsidR="00C54AFA" w:rsidRPr="00C54AFA">
        <w:rPr>
          <w:rFonts w:asciiTheme="majorBidi" w:hAnsiTheme="majorBidi" w:cstheme="majorBidi"/>
        </w:rPr>
        <w:t>)</w:t>
      </w:r>
      <w:r w:rsidR="00A63A71" w:rsidRPr="00C54AFA">
        <w:rPr>
          <w:rFonts w:asciiTheme="majorBidi" w:hAnsiTheme="majorBidi" w:cstheme="majorBidi"/>
        </w:rPr>
        <w:t>发现了群葬墓和遗骸。来文方称</w:t>
      </w:r>
      <w:r w:rsidR="00C54AFA" w:rsidRPr="00C54AFA">
        <w:rPr>
          <w:rFonts w:asciiTheme="majorBidi" w:hAnsiTheme="majorBidi" w:cstheme="majorBidi"/>
        </w:rPr>
        <w:t>，</w:t>
      </w:r>
      <w:r w:rsidR="00A63A71" w:rsidRPr="00C54AFA">
        <w:rPr>
          <w:rFonts w:asciiTheme="majorBidi" w:hAnsiTheme="majorBidi" w:cstheme="majorBidi"/>
        </w:rPr>
        <w:t>群葬墓中的遗骸属于被巴基斯坦安全部队绑架的俾路支省受害者。亲属确认了两具尸体</w:t>
      </w:r>
      <w:r w:rsidR="00C54AFA" w:rsidRPr="00C54AFA">
        <w:rPr>
          <w:rFonts w:asciiTheme="majorBidi" w:hAnsiTheme="majorBidi" w:cstheme="majorBidi"/>
        </w:rPr>
        <w:t>，</w:t>
      </w:r>
      <w:r w:rsidR="00A63A71" w:rsidRPr="00C54AFA">
        <w:rPr>
          <w:rFonts w:asciiTheme="majorBidi" w:hAnsiTheme="majorBidi" w:cstheme="majorBidi"/>
        </w:rPr>
        <w:t>他们称</w:t>
      </w:r>
      <w:r w:rsidR="00C54AFA" w:rsidRPr="00C54AFA">
        <w:rPr>
          <w:rFonts w:asciiTheme="majorBidi" w:hAnsiTheme="majorBidi" w:cstheme="majorBidi"/>
        </w:rPr>
        <w:t>，</w:t>
      </w:r>
      <w:r w:rsidR="00A63A71" w:rsidRPr="00C54AFA">
        <w:rPr>
          <w:rFonts w:asciiTheme="majorBidi" w:hAnsiTheme="majorBidi" w:cstheme="majorBidi"/>
        </w:rPr>
        <w:t>受害者分别于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3</w:t>
      </w:r>
      <w:r w:rsidR="00A63A71" w:rsidRPr="00C54AFA">
        <w:rPr>
          <w:rFonts w:asciiTheme="majorBidi" w:hAnsiTheme="majorBidi" w:cstheme="majorBidi"/>
        </w:rPr>
        <w:t>0</w:t>
      </w:r>
      <w:r w:rsidR="00A63A71" w:rsidRPr="00C54AFA">
        <w:rPr>
          <w:rFonts w:asciiTheme="majorBidi" w:hAnsiTheme="majorBidi" w:cstheme="majorBidi"/>
        </w:rPr>
        <w:t>日和</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4</w:t>
      </w:r>
      <w:r w:rsidR="00A63A71" w:rsidRPr="00C54AFA">
        <w:rPr>
          <w:rFonts w:asciiTheme="majorBidi" w:hAnsiTheme="majorBidi" w:cstheme="majorBidi"/>
        </w:rPr>
        <w:t>日被边境部队绑架。身份查验工作十分棘手</w:t>
      </w:r>
      <w:r w:rsidR="00C54AFA" w:rsidRPr="00C54AFA">
        <w:rPr>
          <w:rFonts w:asciiTheme="majorBidi" w:hAnsiTheme="majorBidi" w:cstheme="majorBidi"/>
        </w:rPr>
        <w:t>，</w:t>
      </w:r>
      <w:r w:rsidR="00A63A71" w:rsidRPr="00C54AFA">
        <w:rPr>
          <w:rFonts w:asciiTheme="majorBidi" w:hAnsiTheme="majorBidi" w:cstheme="majorBidi"/>
        </w:rPr>
        <w:t>因为尸体已经腐烂。此外</w:t>
      </w:r>
      <w:r w:rsidR="00C54AFA" w:rsidRPr="00C54AFA">
        <w:rPr>
          <w:rFonts w:asciiTheme="majorBidi" w:hAnsiTheme="majorBidi" w:cstheme="majorBidi"/>
        </w:rPr>
        <w:t>，</w:t>
      </w:r>
      <w:r w:rsidR="00A63A71" w:rsidRPr="00C54AFA">
        <w:rPr>
          <w:rFonts w:asciiTheme="majorBidi" w:hAnsiTheme="majorBidi" w:cstheme="majorBidi"/>
        </w:rPr>
        <w:t>据报告</w:t>
      </w:r>
      <w:r w:rsidR="00C54AFA" w:rsidRPr="00C54AFA">
        <w:rPr>
          <w:rFonts w:asciiTheme="majorBidi" w:hAnsiTheme="majorBidi" w:cstheme="majorBidi"/>
        </w:rPr>
        <w:t>，</w:t>
      </w:r>
      <w:r w:rsidR="00A63A71" w:rsidRPr="00C54AFA">
        <w:rPr>
          <w:rFonts w:asciiTheme="majorBidi" w:hAnsiTheme="majorBidi" w:cstheme="majorBidi"/>
        </w:rPr>
        <w:t>一些尸体被酸液烧灼。</w:t>
      </w:r>
      <w:r w:rsidR="00A63A71" w:rsidRPr="00C54AFA">
        <w:rPr>
          <w:rFonts w:asciiTheme="majorBidi" w:hAnsiTheme="majorBidi" w:cstheme="majorBidi"/>
        </w:rPr>
        <w:t xml:space="preserve"> </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w:t>
      </w:r>
      <w:r w:rsidR="00527952" w:rsidRPr="00C54AFA">
        <w:rPr>
          <w:rFonts w:asciiTheme="majorBidi" w:hAnsiTheme="majorBidi" w:cstheme="majorBidi"/>
        </w:rPr>
        <w:t>0</w:t>
      </w:r>
      <w:r w:rsidR="00C54AFA" w:rsidRPr="00C54AFA">
        <w:rPr>
          <w:rFonts w:asciiTheme="majorBidi" w:hAnsiTheme="majorBidi" w:cstheme="majorBidi"/>
        </w:rPr>
        <w:t>4.</w:t>
      </w:r>
      <w:r w:rsidR="00527952" w:rsidRPr="00C54AFA">
        <w:rPr>
          <w:rFonts w:asciiTheme="majorBidi" w:hAnsiTheme="majorBidi" w:cstheme="majorBidi"/>
        </w:rPr>
        <w:t xml:space="preserve">  </w:t>
      </w:r>
      <w:r w:rsidR="00A63A71" w:rsidRPr="00C54AFA">
        <w:rPr>
          <w:rFonts w:asciiTheme="majorBidi" w:hAnsiTheme="majorBidi" w:cstheme="majorBidi"/>
        </w:rPr>
        <w:t>最高法院要求俾路支省省政府进行</w:t>
      </w:r>
      <w:r w:rsidRPr="00C54AFA">
        <w:rPr>
          <w:rFonts w:asciiTheme="majorBidi" w:hAnsiTheme="majorBidi" w:cstheme="majorBidi"/>
        </w:rPr>
        <w:t>DNA</w:t>
      </w:r>
      <w:r w:rsidR="00A63A71" w:rsidRPr="00C54AFA">
        <w:rPr>
          <w:rFonts w:asciiTheme="majorBidi" w:hAnsiTheme="majorBidi" w:cstheme="majorBidi"/>
        </w:rPr>
        <w:t>测试</w:t>
      </w:r>
      <w:r w:rsidR="00C54AFA" w:rsidRPr="00C54AFA">
        <w:rPr>
          <w:rFonts w:asciiTheme="majorBidi" w:hAnsiTheme="majorBidi" w:cstheme="majorBidi"/>
        </w:rPr>
        <w:t>，</w:t>
      </w:r>
      <w:r w:rsidR="00A63A71" w:rsidRPr="00C54AFA">
        <w:rPr>
          <w:rFonts w:asciiTheme="majorBidi" w:hAnsiTheme="majorBidi" w:cstheme="majorBidi"/>
        </w:rPr>
        <w:t>以确定群葬墓中的尸体身份。据指称</w:t>
      </w:r>
      <w:r w:rsidR="00C54AFA" w:rsidRPr="00C54AFA">
        <w:rPr>
          <w:rFonts w:asciiTheme="majorBidi" w:hAnsiTheme="majorBidi" w:cstheme="majorBidi"/>
        </w:rPr>
        <w:t>，</w:t>
      </w:r>
      <w:r w:rsidR="00A63A71" w:rsidRPr="00C54AFA">
        <w:rPr>
          <w:rFonts w:asciiTheme="majorBidi" w:hAnsiTheme="majorBidi" w:cstheme="majorBidi"/>
        </w:rPr>
        <w:t>在这方面未采取任何行动。同时</w:t>
      </w:r>
      <w:r w:rsidR="00C54AFA" w:rsidRPr="00C54AFA">
        <w:rPr>
          <w:rFonts w:asciiTheme="majorBidi" w:hAnsiTheme="majorBidi" w:cstheme="majorBidi"/>
        </w:rPr>
        <w:t>，</w:t>
      </w:r>
      <w:r w:rsidR="00A63A71" w:rsidRPr="00C54AFA">
        <w:rPr>
          <w:rFonts w:asciiTheme="majorBidi" w:hAnsiTheme="majorBidi" w:cstheme="majorBidi"/>
        </w:rPr>
        <w:t>巴基斯坦安全部队已将群葬墓封闭。来文方称</w:t>
      </w:r>
      <w:r w:rsidR="00C54AFA" w:rsidRPr="00C54AFA">
        <w:rPr>
          <w:rFonts w:asciiTheme="majorBidi" w:hAnsiTheme="majorBidi" w:cstheme="majorBidi"/>
        </w:rPr>
        <w:t>，</w:t>
      </w:r>
      <w:r w:rsidR="00A63A71" w:rsidRPr="00C54AFA">
        <w:rPr>
          <w:rFonts w:asciiTheme="majorBidi" w:hAnsiTheme="majorBidi" w:cstheme="majorBidi"/>
        </w:rPr>
        <w:t>迄今尚无任何独立机构获准检查墓地。来文方提出了进一步关切</w:t>
      </w:r>
      <w:r w:rsidR="00C54AFA" w:rsidRPr="00C54AFA">
        <w:rPr>
          <w:rFonts w:asciiTheme="majorBidi" w:hAnsiTheme="majorBidi" w:cstheme="majorBidi"/>
        </w:rPr>
        <w:t>：</w:t>
      </w:r>
      <w:r w:rsidR="00A63A71" w:rsidRPr="00C54AFA">
        <w:rPr>
          <w:rFonts w:asciiTheme="majorBidi" w:hAnsiTheme="majorBidi" w:cstheme="majorBidi"/>
        </w:rPr>
        <w:t>证据可能被做手脚或被销毁。</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w:t>
      </w:r>
      <w:r w:rsidR="00527952" w:rsidRPr="00C54AFA">
        <w:rPr>
          <w:rFonts w:asciiTheme="majorBidi" w:hAnsiTheme="majorBidi" w:cstheme="majorBidi"/>
        </w:rPr>
        <w:t>0</w:t>
      </w:r>
      <w:r w:rsidR="00C54AFA" w:rsidRPr="00C54AFA">
        <w:rPr>
          <w:rFonts w:asciiTheme="majorBidi" w:hAnsiTheme="majorBidi" w:cstheme="majorBidi"/>
        </w:rPr>
        <w:t>5.</w:t>
      </w:r>
      <w:r w:rsidR="00527952" w:rsidRPr="00C54AFA">
        <w:rPr>
          <w:rFonts w:asciiTheme="majorBidi" w:hAnsiTheme="majorBidi" w:cstheme="majorBidi"/>
        </w:rPr>
        <w:t xml:space="preserve">  </w:t>
      </w:r>
      <w:r w:rsidR="00A63A71" w:rsidRPr="00C54AFA">
        <w:rPr>
          <w:rFonts w:asciiTheme="majorBidi" w:hAnsiTheme="majorBidi" w:cstheme="majorBidi"/>
        </w:rPr>
        <w:t>来文方报告说</w:t>
      </w:r>
      <w:r w:rsidR="00C54AFA" w:rsidRPr="00C54AFA">
        <w:rPr>
          <w:rFonts w:asciiTheme="majorBidi" w:hAnsiTheme="majorBidi" w:cstheme="majorBidi"/>
        </w:rPr>
        <w:t>，</w:t>
      </w:r>
      <w:r w:rsidR="00A63A71" w:rsidRPr="00C54AFA">
        <w:rPr>
          <w:rFonts w:asciiTheme="majorBidi" w:hAnsiTheme="majorBidi" w:cstheme="majorBidi"/>
        </w:rPr>
        <w:t>联邦政府已命令俾路支省政府设立一个司法委员会</w:t>
      </w:r>
      <w:r w:rsidR="00C54AFA" w:rsidRPr="00C54AFA">
        <w:rPr>
          <w:rFonts w:asciiTheme="majorBidi" w:hAnsiTheme="majorBidi" w:cstheme="majorBidi"/>
        </w:rPr>
        <w:t>，</w:t>
      </w:r>
      <w:r w:rsidR="00A63A71" w:rsidRPr="00C54AFA">
        <w:rPr>
          <w:rFonts w:asciiTheme="majorBidi" w:hAnsiTheme="majorBidi" w:cstheme="majorBidi"/>
        </w:rPr>
        <w:t>向它赋予一个民事法庭的权力</w:t>
      </w:r>
      <w:r w:rsidR="00C54AFA" w:rsidRPr="00C54AFA">
        <w:rPr>
          <w:rFonts w:asciiTheme="majorBidi" w:hAnsiTheme="majorBidi" w:cstheme="majorBidi"/>
        </w:rPr>
        <w:t>，</w:t>
      </w:r>
      <w:r w:rsidR="00A63A71" w:rsidRPr="00C54AFA">
        <w:rPr>
          <w:rFonts w:asciiTheme="majorBidi" w:hAnsiTheme="majorBidi" w:cstheme="majorBidi"/>
        </w:rPr>
        <w:t>以调查胡兹达尔地区群葬墓。该委员会已经设立</w:t>
      </w:r>
      <w:r w:rsidR="00C54AFA" w:rsidRPr="00C54AFA">
        <w:rPr>
          <w:rFonts w:asciiTheme="majorBidi" w:hAnsiTheme="majorBidi" w:cstheme="majorBidi"/>
        </w:rPr>
        <w:t>，</w:t>
      </w:r>
      <w:r w:rsidR="00A63A71" w:rsidRPr="00C54AFA">
        <w:rPr>
          <w:rFonts w:asciiTheme="majorBidi" w:hAnsiTheme="majorBidi" w:cstheme="majorBidi"/>
        </w:rPr>
        <w:t>由俾路支省高等法院的一名法官领导。来文方就委员会成员的公正性、诉讼程序和裁决的公信力提出了进一步关切。</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w:t>
      </w:r>
      <w:r w:rsidR="00527952" w:rsidRPr="00C54AFA">
        <w:rPr>
          <w:rFonts w:asciiTheme="majorBidi" w:hAnsiTheme="majorBidi" w:cstheme="majorBidi"/>
        </w:rPr>
        <w:t>0</w:t>
      </w:r>
      <w:r w:rsidR="00C54AFA" w:rsidRPr="00C54AFA">
        <w:rPr>
          <w:rFonts w:asciiTheme="majorBidi" w:hAnsiTheme="majorBidi" w:cstheme="majorBidi"/>
        </w:rPr>
        <w:t>6.</w:t>
      </w:r>
      <w:r w:rsidR="00527952" w:rsidRPr="00C54AFA">
        <w:rPr>
          <w:rFonts w:asciiTheme="majorBidi" w:hAnsiTheme="majorBidi" w:cstheme="majorBidi"/>
        </w:rPr>
        <w:t xml:space="preserve">  </w:t>
      </w:r>
      <w:r w:rsidR="00A63A71" w:rsidRPr="00C54AFA">
        <w:rPr>
          <w:rFonts w:asciiTheme="majorBidi" w:hAnsiTheme="majorBidi" w:cstheme="majorBidi"/>
        </w:rPr>
        <w:t>据报告</w:t>
      </w:r>
      <w:r w:rsidR="00C54AFA" w:rsidRPr="00C54AFA">
        <w:rPr>
          <w:rFonts w:asciiTheme="majorBidi" w:hAnsiTheme="majorBidi" w:cstheme="majorBidi"/>
        </w:rPr>
        <w:t>，</w:t>
      </w:r>
      <w:r w:rsidR="00A63A71" w:rsidRPr="00C54AFA">
        <w:rPr>
          <w:rFonts w:asciiTheme="majorBidi" w:hAnsiTheme="majorBidi" w:cstheme="majorBidi"/>
        </w:rPr>
        <w:t>失踪者家属在向警方登记首次情况报告时面临困难。</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年</w:t>
      </w:r>
      <w:r w:rsidR="00C54AFA" w:rsidRPr="00C54AFA">
        <w:rPr>
          <w:rFonts w:asciiTheme="majorBidi" w:hAnsiTheme="majorBidi" w:cstheme="majorBidi"/>
        </w:rPr>
        <w:t>，</w:t>
      </w:r>
      <w:r w:rsidR="00A63A71" w:rsidRPr="00C54AFA">
        <w:rPr>
          <w:rFonts w:asciiTheme="majorBidi" w:hAnsiTheme="majorBidi" w:cstheme="majorBidi"/>
        </w:rPr>
        <w:t>最高法院强调</w:t>
      </w:r>
      <w:r w:rsidR="00C54AFA" w:rsidRPr="00C54AFA">
        <w:rPr>
          <w:rFonts w:asciiTheme="majorBidi" w:hAnsiTheme="majorBidi" w:cstheme="majorBidi"/>
        </w:rPr>
        <w:t>，</w:t>
      </w:r>
      <w:r w:rsidR="00A63A71" w:rsidRPr="00C54AFA">
        <w:rPr>
          <w:rFonts w:asciiTheme="majorBidi" w:hAnsiTheme="majorBidi" w:cstheme="majorBidi"/>
        </w:rPr>
        <w:t>失踪者的首次情况报告应在有关警察署登记。在法院命令后</w:t>
      </w:r>
      <w:r w:rsidR="00C54AFA" w:rsidRPr="00C54AFA">
        <w:rPr>
          <w:rFonts w:asciiTheme="majorBidi" w:hAnsiTheme="majorBidi" w:cstheme="majorBidi"/>
        </w:rPr>
        <w:t>，</w:t>
      </w:r>
      <w:r w:rsidR="00A63A71" w:rsidRPr="00C54AFA">
        <w:rPr>
          <w:rFonts w:asciiTheme="majorBidi" w:hAnsiTheme="majorBidi" w:cstheme="majorBidi"/>
        </w:rPr>
        <w:t>立即提交了一些首次情况报告。然而</w:t>
      </w:r>
      <w:r w:rsidR="00C54AFA" w:rsidRPr="00C54AFA">
        <w:rPr>
          <w:rFonts w:asciiTheme="majorBidi" w:hAnsiTheme="majorBidi" w:cstheme="majorBidi"/>
        </w:rPr>
        <w:t>，</w:t>
      </w:r>
      <w:r w:rsidR="00A63A71" w:rsidRPr="00C54AFA">
        <w:rPr>
          <w:rFonts w:asciiTheme="majorBidi" w:hAnsiTheme="majorBidi" w:cstheme="majorBidi"/>
        </w:rPr>
        <w:t>一些时间后</w:t>
      </w:r>
      <w:r w:rsidR="00C54AFA" w:rsidRPr="00C54AFA">
        <w:rPr>
          <w:rFonts w:asciiTheme="majorBidi" w:hAnsiTheme="majorBidi" w:cstheme="majorBidi"/>
        </w:rPr>
        <w:t>，</w:t>
      </w:r>
      <w:r w:rsidR="00A63A71" w:rsidRPr="00C54AFA">
        <w:rPr>
          <w:rFonts w:asciiTheme="majorBidi" w:hAnsiTheme="majorBidi" w:cstheme="majorBidi"/>
        </w:rPr>
        <w:t>失踪者家属在提交首次情况报告时又开始遇到困难。</w:t>
      </w:r>
    </w:p>
    <w:p w:rsidR="00A63A71" w:rsidRPr="00C54AFA" w:rsidRDefault="00A63A71" w:rsidP="00116230">
      <w:pPr>
        <w:pStyle w:val="H23GC"/>
      </w:pPr>
      <w:r w:rsidRPr="00C54AFA">
        <w:tab/>
      </w:r>
      <w:r w:rsidRPr="00C54AFA">
        <w:tab/>
      </w:r>
      <w:r w:rsidRPr="00C54AFA">
        <w:t>来文方提供的资料</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w:t>
      </w:r>
      <w:r w:rsidR="00527952" w:rsidRPr="00C54AFA">
        <w:rPr>
          <w:rFonts w:asciiTheme="majorBidi" w:hAnsiTheme="majorBidi" w:cstheme="majorBidi"/>
        </w:rPr>
        <w:t>0</w:t>
      </w:r>
      <w:r w:rsidR="00C54AFA" w:rsidRPr="00C54AFA">
        <w:rPr>
          <w:rFonts w:asciiTheme="majorBidi" w:hAnsiTheme="majorBidi" w:cstheme="majorBidi"/>
        </w:rPr>
        <w:t>7.</w:t>
      </w:r>
      <w:r w:rsidR="00527952" w:rsidRPr="00C54AFA">
        <w:rPr>
          <w:rFonts w:asciiTheme="majorBidi" w:hAnsiTheme="majorBidi" w:cstheme="majorBidi"/>
        </w:rPr>
        <w:t xml:space="preserve">  </w:t>
      </w:r>
      <w:r w:rsidR="00A63A71" w:rsidRPr="00C54AFA">
        <w:rPr>
          <w:rFonts w:asciiTheme="majorBidi" w:hAnsiTheme="majorBidi" w:cstheme="majorBidi"/>
        </w:rPr>
        <w:t>来文方就</w:t>
      </w:r>
      <w:r w:rsidRPr="00C54AFA">
        <w:rPr>
          <w:rFonts w:asciiTheme="majorBidi" w:hAnsiTheme="majorBidi" w:cstheme="majorBidi"/>
        </w:rPr>
        <w:t>6</w:t>
      </w:r>
      <w:r w:rsidR="00A63A71" w:rsidRPr="00C54AFA">
        <w:rPr>
          <w:rFonts w:asciiTheme="majorBidi" w:hAnsiTheme="majorBidi" w:cstheme="majorBidi"/>
        </w:rPr>
        <w:t>起未决案件提供了资料。</w:t>
      </w:r>
    </w:p>
    <w:p w:rsidR="00A63A71" w:rsidRPr="00C54AFA" w:rsidRDefault="00A63A71" w:rsidP="00116230">
      <w:pPr>
        <w:pStyle w:val="H23GC"/>
      </w:pPr>
      <w:r w:rsidRPr="00C54AFA">
        <w:lastRenderedPageBreak/>
        <w:tab/>
      </w:r>
      <w:r w:rsidRPr="00C54AFA">
        <w:tab/>
      </w:r>
      <w:r w:rsidRPr="00C54AFA">
        <w:t>澄清</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w:t>
      </w:r>
      <w:r w:rsidR="00527952" w:rsidRPr="00C54AFA">
        <w:rPr>
          <w:rFonts w:asciiTheme="majorBidi" w:hAnsiTheme="majorBidi" w:cstheme="majorBidi"/>
        </w:rPr>
        <w:t>0</w:t>
      </w:r>
      <w:r w:rsidR="00C54AFA" w:rsidRPr="00C54AFA">
        <w:rPr>
          <w:rFonts w:asciiTheme="majorBidi" w:hAnsiTheme="majorBidi" w:cstheme="majorBidi"/>
        </w:rPr>
        <w:t>8.</w:t>
      </w:r>
      <w:r w:rsidR="00527952" w:rsidRPr="00C54AFA">
        <w:rPr>
          <w:rFonts w:asciiTheme="majorBidi" w:hAnsiTheme="majorBidi" w:cstheme="majorBidi"/>
        </w:rPr>
        <w:t xml:space="preserve">  </w:t>
      </w:r>
      <w:r w:rsidR="00A63A71" w:rsidRPr="00C54AFA">
        <w:rPr>
          <w:rFonts w:asciiTheme="majorBidi" w:hAnsiTheme="majorBidi" w:cstheme="majorBidi"/>
        </w:rPr>
        <w:t>根据来文方提供的资料</w:t>
      </w:r>
      <w:r w:rsidR="00C54AFA" w:rsidRPr="00C54AFA">
        <w:rPr>
          <w:rFonts w:asciiTheme="majorBidi" w:hAnsiTheme="majorBidi" w:cstheme="majorBidi"/>
        </w:rPr>
        <w:t>，</w:t>
      </w:r>
      <w:r w:rsidR="00A63A71" w:rsidRPr="00C54AFA">
        <w:rPr>
          <w:rFonts w:asciiTheme="majorBidi" w:hAnsiTheme="majorBidi" w:cstheme="majorBidi"/>
        </w:rPr>
        <w:t>工作组决定澄清将五起案件。</w:t>
      </w:r>
    </w:p>
    <w:p w:rsidR="00A63A71" w:rsidRPr="00C54AFA" w:rsidRDefault="00A63A71" w:rsidP="00116230">
      <w:pPr>
        <w:pStyle w:val="H23GC"/>
      </w:pPr>
      <w:r w:rsidRPr="00C54AFA">
        <w:tab/>
      </w:r>
      <w:r w:rsidRPr="00C54AFA">
        <w:tab/>
      </w:r>
      <w:r w:rsidRPr="00C54AFA">
        <w:t>意见</w:t>
      </w:r>
    </w:p>
    <w:p w:rsidR="00A63A71" w:rsidRPr="00C54AFA" w:rsidRDefault="00BC4B0A" w:rsidP="008675CF">
      <w:pPr>
        <w:pStyle w:val="SingleTxtGC"/>
        <w:rPr>
          <w:rFonts w:asciiTheme="majorBidi" w:hAnsiTheme="majorBidi" w:cstheme="majorBidi"/>
        </w:rPr>
      </w:pPr>
      <w:r w:rsidRPr="00C54AFA">
        <w:rPr>
          <w:rFonts w:asciiTheme="majorBidi" w:hAnsiTheme="majorBidi" w:cstheme="majorBidi"/>
        </w:rPr>
        <w:t>1</w:t>
      </w:r>
      <w:r w:rsidR="00527952" w:rsidRPr="00C54AFA">
        <w:rPr>
          <w:rFonts w:asciiTheme="majorBidi" w:hAnsiTheme="majorBidi" w:cstheme="majorBidi"/>
        </w:rPr>
        <w:t>0</w:t>
      </w:r>
      <w:r w:rsidR="00C54AFA" w:rsidRPr="00C54AFA">
        <w:rPr>
          <w:rFonts w:asciiTheme="majorBidi" w:hAnsiTheme="majorBidi" w:cstheme="majorBidi"/>
        </w:rPr>
        <w:t>9.</w:t>
      </w:r>
      <w:r w:rsidR="00527952" w:rsidRPr="00C54AFA">
        <w:rPr>
          <w:rFonts w:asciiTheme="majorBidi" w:hAnsiTheme="majorBidi" w:cstheme="majorBidi"/>
        </w:rPr>
        <w:t xml:space="preserve">  </w:t>
      </w:r>
      <w:r w:rsidR="00A63A71" w:rsidRPr="00C54AFA">
        <w:rPr>
          <w:rFonts w:asciiTheme="majorBidi" w:hAnsiTheme="majorBidi" w:cstheme="majorBidi"/>
        </w:rPr>
        <w:t>工作组极为关切的是</w:t>
      </w:r>
      <w:r w:rsidR="00C54AFA" w:rsidRPr="00C54AFA">
        <w:rPr>
          <w:rFonts w:asciiTheme="majorBidi" w:hAnsiTheme="majorBidi" w:cstheme="majorBidi"/>
        </w:rPr>
        <w:t>，</w:t>
      </w:r>
      <w:r w:rsidR="00A63A71" w:rsidRPr="00C54AFA">
        <w:rPr>
          <w:rFonts w:asciiTheme="majorBidi" w:hAnsiTheme="majorBidi" w:cstheme="majorBidi"/>
        </w:rPr>
        <w:t>在第</w:t>
      </w:r>
      <w:r w:rsidRPr="00C54AFA">
        <w:rPr>
          <w:rFonts w:asciiTheme="majorBidi" w:hAnsiTheme="majorBidi" w:cstheme="majorBidi"/>
        </w:rPr>
        <w:t>1</w:t>
      </w:r>
      <w:r w:rsidR="00A63A71" w:rsidRPr="00C54AFA">
        <w:rPr>
          <w:rFonts w:asciiTheme="majorBidi" w:hAnsiTheme="majorBidi" w:cstheme="majorBidi"/>
        </w:rPr>
        <w:t>0</w:t>
      </w:r>
      <w:r w:rsidRPr="00C54AFA">
        <w:rPr>
          <w:rFonts w:asciiTheme="majorBidi" w:hAnsiTheme="majorBidi" w:cstheme="majorBidi"/>
        </w:rPr>
        <w:t>4</w:t>
      </w:r>
      <w:r w:rsidR="00A63A71" w:rsidRPr="00C54AFA">
        <w:rPr>
          <w:rFonts w:asciiTheme="majorBidi" w:hAnsiTheme="majorBidi" w:cstheme="majorBidi"/>
        </w:rPr>
        <w:t>和</w:t>
      </w:r>
      <w:r w:rsidRPr="00C54AFA">
        <w:rPr>
          <w:rFonts w:asciiTheme="majorBidi" w:hAnsiTheme="majorBidi" w:cstheme="majorBidi"/>
        </w:rPr>
        <w:t>1</w:t>
      </w:r>
      <w:r w:rsidR="00A63A71" w:rsidRPr="00C54AFA">
        <w:rPr>
          <w:rFonts w:asciiTheme="majorBidi" w:hAnsiTheme="majorBidi" w:cstheme="majorBidi"/>
        </w:rPr>
        <w:t>0</w:t>
      </w:r>
      <w:r w:rsidRPr="00C54AFA">
        <w:rPr>
          <w:rFonts w:asciiTheme="majorBidi" w:hAnsiTheme="majorBidi" w:cstheme="majorBidi"/>
        </w:rPr>
        <w:t>5</w:t>
      </w:r>
      <w:r w:rsidR="00A63A71" w:rsidRPr="00C54AFA">
        <w:rPr>
          <w:rFonts w:asciiTheme="majorBidi" w:hAnsiTheme="majorBidi" w:cstheme="majorBidi"/>
        </w:rPr>
        <w:t>届会议之间</w:t>
      </w:r>
      <w:r w:rsidR="00C54AFA" w:rsidRPr="00C54AFA">
        <w:rPr>
          <w:rFonts w:asciiTheme="majorBidi" w:hAnsiTheme="majorBidi" w:cstheme="majorBidi"/>
        </w:rPr>
        <w:t>，</w:t>
      </w:r>
      <w:r w:rsidR="00A63A71" w:rsidRPr="00C54AFA">
        <w:rPr>
          <w:rFonts w:asciiTheme="majorBidi" w:hAnsiTheme="majorBidi" w:cstheme="majorBidi"/>
        </w:rPr>
        <w:t>总共向该国政府转交了</w:t>
      </w:r>
      <w:r w:rsidRPr="00C54AFA">
        <w:rPr>
          <w:rFonts w:asciiTheme="majorBidi" w:hAnsiTheme="majorBidi" w:cstheme="majorBidi"/>
        </w:rPr>
        <w:t>35</w:t>
      </w:r>
      <w:r w:rsidR="00A63A71" w:rsidRPr="00C54AFA">
        <w:rPr>
          <w:rFonts w:asciiTheme="majorBidi" w:hAnsiTheme="majorBidi" w:cstheme="majorBidi"/>
        </w:rPr>
        <w:t>起案件</w:t>
      </w:r>
      <w:r w:rsidR="00C54AFA" w:rsidRPr="00C54AFA">
        <w:rPr>
          <w:rFonts w:asciiTheme="majorBidi" w:hAnsiTheme="majorBidi" w:cstheme="majorBidi"/>
        </w:rPr>
        <w:t>，</w:t>
      </w:r>
      <w:r w:rsidR="00A63A71" w:rsidRPr="00C54AFA">
        <w:rPr>
          <w:rFonts w:asciiTheme="majorBidi" w:hAnsiTheme="majorBidi" w:cstheme="majorBidi"/>
        </w:rPr>
        <w:t>尤其是</w:t>
      </w:r>
      <w:r w:rsidR="00C54AFA" w:rsidRPr="00C54AFA">
        <w:rPr>
          <w:rFonts w:asciiTheme="majorBidi" w:hAnsiTheme="majorBidi" w:cstheme="majorBidi"/>
        </w:rPr>
        <w:t>，</w:t>
      </w:r>
      <w:r w:rsidR="00A63A71" w:rsidRPr="00C54AFA">
        <w:rPr>
          <w:rFonts w:asciiTheme="majorBidi" w:hAnsiTheme="majorBidi" w:cstheme="majorBidi"/>
        </w:rPr>
        <w:t>其中大部分案件涉及统一民族运动的成员</w:t>
      </w:r>
      <w:r w:rsidR="00C54AFA" w:rsidRPr="00C54AFA">
        <w:rPr>
          <w:rFonts w:asciiTheme="majorBidi" w:hAnsiTheme="majorBidi" w:cstheme="majorBidi"/>
        </w:rPr>
        <w:t>，</w:t>
      </w:r>
      <w:r w:rsidR="00A63A71" w:rsidRPr="00C54AFA">
        <w:rPr>
          <w:rFonts w:asciiTheme="majorBidi" w:hAnsiTheme="majorBidi" w:cstheme="majorBidi"/>
        </w:rPr>
        <w:t>这一事实意味着有针对性的打击模式。工作组提醒该国政府</w:t>
      </w:r>
      <w:r w:rsidR="00C54AFA" w:rsidRPr="00C54AFA">
        <w:rPr>
          <w:rFonts w:asciiTheme="majorBidi" w:hAnsiTheme="majorBidi" w:cstheme="majorBidi"/>
        </w:rPr>
        <w:t>，</w:t>
      </w:r>
      <w:r w:rsidR="00A63A71" w:rsidRPr="00C54AFA">
        <w:rPr>
          <w:rFonts w:asciiTheme="majorBidi" w:hAnsiTheme="majorBidi" w:cstheme="majorBidi"/>
        </w:rPr>
        <w:t>根据《宣言》第</w:t>
      </w:r>
      <w:r w:rsidRPr="00C54AFA">
        <w:rPr>
          <w:rFonts w:asciiTheme="majorBidi" w:hAnsiTheme="majorBidi" w:cstheme="majorBidi"/>
        </w:rPr>
        <w:t>2</w:t>
      </w:r>
      <w:r w:rsidR="00A63A71" w:rsidRPr="00C54AFA">
        <w:rPr>
          <w:rFonts w:asciiTheme="majorBidi" w:hAnsiTheme="majorBidi" w:cstheme="majorBidi"/>
        </w:rPr>
        <w:t>条</w:t>
      </w:r>
      <w:r w:rsidR="00C54AFA" w:rsidRPr="00C54AFA">
        <w:rPr>
          <w:rFonts w:asciiTheme="majorBidi" w:hAnsiTheme="majorBidi" w:cstheme="majorBidi"/>
        </w:rPr>
        <w:t>，</w:t>
      </w:r>
      <w:r w:rsidR="00A63A71" w:rsidRPr="00C54AFA">
        <w:rPr>
          <w:rFonts w:asciiTheme="majorBidi" w:hAnsiTheme="majorBidi" w:cstheme="majorBidi"/>
        </w:rPr>
        <w:t>任何国家都不应进行、允许或容忍强迫失踪。此外</w:t>
      </w:r>
      <w:r w:rsidR="00C54AFA" w:rsidRPr="00C54AFA">
        <w:rPr>
          <w:rFonts w:asciiTheme="majorBidi" w:hAnsiTheme="majorBidi" w:cstheme="majorBidi"/>
        </w:rPr>
        <w:t>，</w:t>
      </w:r>
      <w:r w:rsidR="00A63A71" w:rsidRPr="00C54AFA">
        <w:rPr>
          <w:rFonts w:asciiTheme="majorBidi" w:hAnsiTheme="majorBidi" w:cstheme="majorBidi"/>
        </w:rPr>
        <w:t>它忆及以下条款</w:t>
      </w:r>
      <w:r w:rsidR="00C54AFA" w:rsidRPr="00C54AFA">
        <w:rPr>
          <w:rFonts w:asciiTheme="majorBidi" w:hAnsiTheme="majorBidi" w:cstheme="majorBidi"/>
        </w:rPr>
        <w:t>：</w:t>
      </w:r>
      <w:r w:rsidR="00A63A71" w:rsidRPr="00C54AFA">
        <w:rPr>
          <w:rFonts w:asciiTheme="majorBidi" w:hAnsiTheme="majorBidi" w:cstheme="majorBidi"/>
        </w:rPr>
        <w:t>第</w:t>
      </w:r>
      <w:r w:rsidRPr="00C54AFA">
        <w:rPr>
          <w:rFonts w:asciiTheme="majorBidi" w:hAnsiTheme="majorBidi" w:cstheme="majorBidi"/>
        </w:rPr>
        <w:t>7</w:t>
      </w:r>
      <w:r w:rsidR="00A63A71" w:rsidRPr="00C54AFA">
        <w:rPr>
          <w:rFonts w:asciiTheme="majorBidi" w:hAnsiTheme="majorBidi" w:cstheme="majorBidi"/>
        </w:rPr>
        <w:t>条</w:t>
      </w:r>
      <w:r w:rsidR="008675CF" w:rsidRPr="008675CF">
        <w:rPr>
          <w:rFonts w:asciiTheme="majorBidi" w:hAnsiTheme="majorBidi" w:cstheme="majorBidi" w:hint="eastAsia"/>
          <w:spacing w:val="-50"/>
        </w:rPr>
        <w:t>―</w:t>
      </w:r>
      <w:r w:rsidR="008675CF" w:rsidRPr="008675CF">
        <w:rPr>
          <w:rFonts w:asciiTheme="majorBidi" w:hAnsiTheme="majorBidi" w:cstheme="majorBidi" w:hint="eastAsia"/>
        </w:rPr>
        <w:t>―</w:t>
      </w:r>
      <w:r w:rsidR="00A63A71" w:rsidRPr="00C54AFA">
        <w:rPr>
          <w:rFonts w:asciiTheme="majorBidi" w:hAnsiTheme="majorBidi" w:cstheme="majorBidi"/>
        </w:rPr>
        <w:t>不得援引任何特殊情况</w:t>
      </w:r>
      <w:r w:rsidR="00C54AFA" w:rsidRPr="00C54AFA">
        <w:rPr>
          <w:rFonts w:asciiTheme="majorBidi" w:hAnsiTheme="majorBidi" w:cstheme="majorBidi"/>
        </w:rPr>
        <w:t>，</w:t>
      </w:r>
      <w:r w:rsidR="00A63A71" w:rsidRPr="00C54AFA">
        <w:rPr>
          <w:rFonts w:asciiTheme="majorBidi" w:hAnsiTheme="majorBidi" w:cstheme="majorBidi"/>
        </w:rPr>
        <w:t>作为造成强迫失踪的理由</w:t>
      </w:r>
      <w:r w:rsidR="00C54AFA" w:rsidRPr="00C54AFA">
        <w:rPr>
          <w:rFonts w:asciiTheme="majorBidi" w:hAnsiTheme="majorBidi" w:cstheme="majorBidi"/>
        </w:rPr>
        <w:t>；</w:t>
      </w:r>
      <w:r w:rsidR="00A63A71" w:rsidRPr="00C54AFA">
        <w:rPr>
          <w:rFonts w:asciiTheme="majorBidi" w:hAnsiTheme="majorBidi" w:cstheme="majorBidi"/>
        </w:rPr>
        <w:t>第</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条</w:t>
      </w:r>
      <w:r w:rsidR="008675CF" w:rsidRPr="008675CF">
        <w:rPr>
          <w:rFonts w:asciiTheme="majorBidi" w:hAnsiTheme="majorBidi" w:cstheme="majorBidi" w:hint="eastAsia"/>
          <w:spacing w:val="-50"/>
        </w:rPr>
        <w:t>―</w:t>
      </w:r>
      <w:r w:rsidR="008675CF" w:rsidRPr="008675CF">
        <w:rPr>
          <w:rFonts w:asciiTheme="majorBidi" w:hAnsiTheme="majorBidi" w:cstheme="majorBidi" w:hint="eastAsia"/>
        </w:rPr>
        <w:t>―</w:t>
      </w:r>
      <w:r w:rsidR="00A63A71" w:rsidRPr="00C54AFA">
        <w:rPr>
          <w:rFonts w:asciiTheme="majorBidi" w:hAnsiTheme="majorBidi" w:cstheme="majorBidi"/>
        </w:rPr>
        <w:t>应将他们遭到拘留一事以及他们的拘留地点、包括转移的准确情况立即通知其家属、律师或任何其他有合理理由关心这种情况的人。</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11</w:t>
      </w:r>
      <w:r w:rsidR="00C54AFA" w:rsidRPr="00C54AFA">
        <w:rPr>
          <w:rFonts w:asciiTheme="majorBidi" w:hAnsiTheme="majorBidi" w:cstheme="majorBidi"/>
        </w:rPr>
        <w:t>0.</w:t>
      </w:r>
      <w:r w:rsidR="00527952" w:rsidRPr="00C54AFA">
        <w:rPr>
          <w:rFonts w:asciiTheme="majorBidi" w:hAnsiTheme="majorBidi" w:cstheme="majorBidi"/>
        </w:rPr>
        <w:t xml:space="preserve">  </w:t>
      </w:r>
      <w:r w:rsidR="00A63A71" w:rsidRPr="00C54AFA">
        <w:rPr>
          <w:rFonts w:asciiTheme="majorBidi" w:hAnsiTheme="majorBidi" w:cstheme="majorBidi"/>
        </w:rPr>
        <w:t>工作组还感到遗憾的是</w:t>
      </w:r>
      <w:r w:rsidR="00C54AFA" w:rsidRPr="00C54AFA">
        <w:rPr>
          <w:rFonts w:asciiTheme="majorBidi" w:hAnsiTheme="majorBidi" w:cstheme="majorBidi"/>
        </w:rPr>
        <w:t>，</w:t>
      </w:r>
      <w:r w:rsidR="00A63A71" w:rsidRPr="00C54AFA">
        <w:rPr>
          <w:rFonts w:asciiTheme="majorBidi" w:hAnsiTheme="majorBidi" w:cstheme="majorBidi"/>
        </w:rPr>
        <w:t>未收到该国政府就最近转交的案件的答复。</w:t>
      </w:r>
    </w:p>
    <w:p w:rsidR="00A63A71" w:rsidRPr="00C54AFA" w:rsidRDefault="00A63A71" w:rsidP="00116230">
      <w:pPr>
        <w:pStyle w:val="H1GC"/>
        <w:rPr>
          <w:highlight w:val="yellow"/>
        </w:rPr>
      </w:pPr>
      <w:r w:rsidRPr="00C54AFA">
        <w:tab/>
      </w:r>
      <w:r w:rsidRPr="00C54AFA">
        <w:tab/>
      </w:r>
      <w:r w:rsidRPr="00C54AFA">
        <w:t>巴拉圭</w:t>
      </w:r>
    </w:p>
    <w:p w:rsidR="00A63A71" w:rsidRPr="00C54AFA" w:rsidRDefault="00A63A71" w:rsidP="00116230">
      <w:pPr>
        <w:pStyle w:val="H23GC"/>
      </w:pPr>
      <w:r w:rsidRPr="00C54AFA">
        <w:tab/>
      </w:r>
      <w:r w:rsidRPr="00C54AFA">
        <w:tab/>
      </w:r>
      <w:r w:rsidRPr="00C54AFA">
        <w:t>政府提供的资料</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11</w:t>
      </w:r>
      <w:r w:rsidR="00C54AFA" w:rsidRPr="00C54AFA">
        <w:rPr>
          <w:rFonts w:asciiTheme="majorBidi" w:hAnsiTheme="majorBidi" w:cstheme="majorBidi"/>
        </w:rPr>
        <w:t>1.</w:t>
      </w:r>
      <w:r w:rsidR="00527952"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7</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工作组转达了关于在政府办公地点发现了</w:t>
      </w:r>
      <w:r w:rsidRPr="00C54AFA">
        <w:rPr>
          <w:rFonts w:asciiTheme="majorBidi" w:hAnsiTheme="majorBidi" w:cstheme="majorBidi"/>
        </w:rPr>
        <w:t>27</w:t>
      </w:r>
      <w:r w:rsidR="00A63A71" w:rsidRPr="00C54AFA">
        <w:rPr>
          <w:rFonts w:asciiTheme="majorBidi" w:hAnsiTheme="majorBidi" w:cstheme="majorBidi"/>
        </w:rPr>
        <w:t>具被强迫失踪受害者遗憾的一般性指称</w:t>
      </w:r>
      <w:r w:rsidR="00C54AFA" w:rsidRPr="00C54AFA">
        <w:rPr>
          <w:rFonts w:asciiTheme="majorBidi" w:hAnsiTheme="majorBidi" w:cstheme="majorBidi"/>
        </w:rPr>
        <w:t>；</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7</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该国政府就此作出答复。在答复中</w:t>
      </w:r>
      <w:r w:rsidR="00C54AFA" w:rsidRPr="00C54AFA">
        <w:rPr>
          <w:rFonts w:asciiTheme="majorBidi" w:hAnsiTheme="majorBidi" w:cstheme="majorBidi"/>
        </w:rPr>
        <w:t>，</w:t>
      </w:r>
      <w:r w:rsidR="00A63A71" w:rsidRPr="00C54AFA">
        <w:rPr>
          <w:rFonts w:asciiTheme="majorBidi" w:hAnsiTheme="majorBidi" w:cstheme="majorBidi"/>
        </w:rPr>
        <w:t>该国政府称</w:t>
      </w:r>
      <w:r w:rsidR="00C54AFA" w:rsidRPr="00C54AFA">
        <w:rPr>
          <w:rFonts w:asciiTheme="majorBidi" w:hAnsiTheme="majorBidi" w:cstheme="majorBidi"/>
        </w:rPr>
        <w:t>，</w:t>
      </w:r>
      <w:r w:rsidR="00A63A71" w:rsidRPr="00C54AFA">
        <w:rPr>
          <w:rFonts w:asciiTheme="majorBidi" w:hAnsiTheme="majorBidi" w:cstheme="majorBidi"/>
        </w:rPr>
        <w:t>在该国不同地区发现了</w:t>
      </w:r>
      <w:r w:rsidRPr="00C54AFA">
        <w:rPr>
          <w:rFonts w:asciiTheme="majorBidi" w:hAnsiTheme="majorBidi" w:cstheme="majorBidi"/>
        </w:rPr>
        <w:t>29</w:t>
      </w:r>
      <w:r w:rsidR="00A63A71" w:rsidRPr="00C54AFA">
        <w:rPr>
          <w:rFonts w:asciiTheme="majorBidi" w:hAnsiTheme="majorBidi" w:cstheme="majorBidi"/>
        </w:rPr>
        <w:t>具遗骸</w:t>
      </w:r>
      <w:r w:rsidR="00C54AFA" w:rsidRPr="00C54AFA">
        <w:rPr>
          <w:rFonts w:asciiTheme="majorBidi" w:hAnsiTheme="majorBidi" w:cstheme="majorBidi"/>
        </w:rPr>
        <w:t>，</w:t>
      </w:r>
      <w:r w:rsidR="00A63A71" w:rsidRPr="00C54AFA">
        <w:rPr>
          <w:rFonts w:asciiTheme="majorBidi" w:hAnsiTheme="majorBidi" w:cstheme="majorBidi"/>
        </w:rPr>
        <w:t>这些遗骸被送到检察部法医实验室进行</w:t>
      </w:r>
      <w:r w:rsidRPr="00C54AFA">
        <w:rPr>
          <w:rFonts w:asciiTheme="majorBidi" w:hAnsiTheme="majorBidi" w:cstheme="majorBidi"/>
        </w:rPr>
        <w:t>DNA</w:t>
      </w:r>
      <w:r w:rsidR="00A63A71" w:rsidRPr="00C54AFA">
        <w:rPr>
          <w:rFonts w:asciiTheme="majorBidi" w:hAnsiTheme="majorBidi" w:cstheme="majorBidi"/>
        </w:rPr>
        <w:t>采样。</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11</w:t>
      </w:r>
      <w:r w:rsidR="00C54AFA" w:rsidRPr="00C54AFA">
        <w:rPr>
          <w:rFonts w:asciiTheme="majorBidi" w:hAnsiTheme="majorBidi" w:cstheme="majorBidi"/>
        </w:rPr>
        <w:t>2.</w:t>
      </w:r>
      <w:r w:rsidR="00527952" w:rsidRPr="00C54AFA">
        <w:rPr>
          <w:rFonts w:asciiTheme="majorBidi" w:hAnsiTheme="majorBidi" w:cstheme="majorBidi"/>
        </w:rPr>
        <w:t xml:space="preserve">  </w:t>
      </w:r>
      <w:r w:rsidR="00A63A71" w:rsidRPr="00C54AFA">
        <w:rPr>
          <w:rFonts w:asciiTheme="majorBidi" w:hAnsiTheme="majorBidi" w:cstheme="majorBidi"/>
        </w:rPr>
        <w:t>该国政府称</w:t>
      </w:r>
      <w:r w:rsidR="00C54AFA" w:rsidRPr="00C54AFA">
        <w:rPr>
          <w:rFonts w:asciiTheme="majorBidi" w:hAnsiTheme="majorBidi" w:cstheme="majorBidi"/>
        </w:rPr>
        <w:t>，</w:t>
      </w:r>
      <w:r w:rsidR="00A63A71" w:rsidRPr="00C54AFA">
        <w:rPr>
          <w:rFonts w:asciiTheme="majorBidi" w:hAnsiTheme="majorBidi" w:cstheme="majorBidi"/>
        </w:rPr>
        <w:t>正在对强迫失踪案件进行</w:t>
      </w:r>
      <w:r w:rsidRPr="00C54AFA">
        <w:rPr>
          <w:rFonts w:asciiTheme="majorBidi" w:hAnsiTheme="majorBidi" w:cstheme="majorBidi"/>
        </w:rPr>
        <w:t>5</w:t>
      </w:r>
      <w:r w:rsidR="00A63A71" w:rsidRPr="00C54AFA">
        <w:rPr>
          <w:rFonts w:asciiTheme="majorBidi" w:hAnsiTheme="majorBidi" w:cstheme="majorBidi"/>
        </w:rPr>
        <w:t>0</w:t>
      </w:r>
      <w:r w:rsidR="00A63A71" w:rsidRPr="00C54AFA">
        <w:rPr>
          <w:rFonts w:asciiTheme="majorBidi" w:hAnsiTheme="majorBidi" w:cstheme="majorBidi"/>
        </w:rPr>
        <w:t>多起调查</w:t>
      </w:r>
      <w:r w:rsidR="00C54AFA" w:rsidRPr="00C54AFA">
        <w:rPr>
          <w:rFonts w:asciiTheme="majorBidi" w:hAnsiTheme="majorBidi" w:cstheme="majorBidi"/>
        </w:rPr>
        <w:t>，</w:t>
      </w:r>
      <w:r w:rsidR="00A63A71" w:rsidRPr="00C54AFA">
        <w:rPr>
          <w:rFonts w:asciiTheme="majorBidi" w:hAnsiTheme="majorBidi" w:cstheme="majorBidi"/>
        </w:rPr>
        <w:t>这些调查导致对警察的定罪。在检查部下设立了一个侵犯人权罪特别股</w:t>
      </w:r>
      <w:r w:rsidR="00C54AFA" w:rsidRPr="00C54AFA">
        <w:rPr>
          <w:rFonts w:asciiTheme="majorBidi" w:hAnsiTheme="majorBidi" w:cstheme="majorBidi"/>
        </w:rPr>
        <w:t>，</w:t>
      </w:r>
      <w:r w:rsidR="00A63A71" w:rsidRPr="00C54AFA">
        <w:rPr>
          <w:rFonts w:asciiTheme="majorBidi" w:hAnsiTheme="majorBidi" w:cstheme="majorBidi"/>
        </w:rPr>
        <w:t>负责调查强迫失踪案件。</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11</w:t>
      </w:r>
      <w:r w:rsidR="00C54AFA" w:rsidRPr="00C54AFA">
        <w:rPr>
          <w:rFonts w:asciiTheme="majorBidi" w:hAnsiTheme="majorBidi" w:cstheme="majorBidi"/>
        </w:rPr>
        <w:t>3.</w:t>
      </w:r>
      <w:r w:rsidR="00527952"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12</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00C54AFA" w:rsidRPr="00C54AFA">
        <w:rPr>
          <w:rFonts w:asciiTheme="majorBidi" w:hAnsiTheme="majorBidi" w:cstheme="majorBidi"/>
        </w:rPr>
        <w:t>，</w:t>
      </w:r>
      <w:r w:rsidR="00A63A71" w:rsidRPr="00C54AFA">
        <w:rPr>
          <w:rFonts w:asciiTheme="majorBidi" w:hAnsiTheme="majorBidi" w:cstheme="majorBidi"/>
        </w:rPr>
        <w:t>建立了一个人权署</w:t>
      </w:r>
      <w:r w:rsidR="00C54AFA" w:rsidRPr="00C54AFA">
        <w:rPr>
          <w:rFonts w:asciiTheme="majorBidi" w:hAnsiTheme="majorBidi" w:cstheme="majorBidi"/>
        </w:rPr>
        <w:t>，</w:t>
      </w:r>
      <w:r w:rsidR="00A63A71" w:rsidRPr="00C54AFA">
        <w:rPr>
          <w:rFonts w:asciiTheme="majorBidi" w:hAnsiTheme="majorBidi" w:cstheme="majorBidi"/>
        </w:rPr>
        <w:t>以分析监察员的真相和正义委员会提交的资料</w:t>
      </w:r>
      <w:r w:rsidR="00C54AFA" w:rsidRPr="00C54AFA">
        <w:rPr>
          <w:rFonts w:asciiTheme="majorBidi" w:hAnsiTheme="majorBidi" w:cstheme="majorBidi"/>
        </w:rPr>
        <w:t>，</w:t>
      </w:r>
      <w:r w:rsidR="00A63A71" w:rsidRPr="00C54AFA">
        <w:rPr>
          <w:rFonts w:asciiTheme="majorBidi" w:hAnsiTheme="majorBidi" w:cstheme="majorBidi"/>
        </w:rPr>
        <w:t>导致上述调查的启动。</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11</w:t>
      </w:r>
      <w:r w:rsidR="00C54AFA" w:rsidRPr="00C54AFA">
        <w:rPr>
          <w:rFonts w:asciiTheme="majorBidi" w:hAnsiTheme="majorBidi" w:cstheme="majorBidi"/>
        </w:rPr>
        <w:t>4.</w:t>
      </w:r>
      <w:r w:rsidR="00527952" w:rsidRPr="00C54AFA">
        <w:rPr>
          <w:rFonts w:asciiTheme="majorBidi" w:hAnsiTheme="majorBidi" w:cstheme="majorBidi"/>
        </w:rPr>
        <w:t xml:space="preserve">  </w:t>
      </w:r>
      <w:r w:rsidR="00A63A71" w:rsidRPr="00C54AFA">
        <w:rPr>
          <w:rFonts w:asciiTheme="majorBidi" w:hAnsiTheme="majorBidi" w:cstheme="majorBidi"/>
        </w:rPr>
        <w:t>据报告</w:t>
      </w:r>
      <w:r w:rsidR="00C54AFA" w:rsidRPr="00C54AFA">
        <w:rPr>
          <w:rFonts w:asciiTheme="majorBidi" w:hAnsiTheme="majorBidi" w:cstheme="majorBidi"/>
        </w:rPr>
        <w:t>，</w:t>
      </w:r>
      <w:r w:rsidRPr="00C54AFA">
        <w:rPr>
          <w:rFonts w:asciiTheme="majorBidi" w:hAnsiTheme="majorBidi" w:cstheme="majorBidi"/>
        </w:rPr>
        <w:t>2</w:t>
      </w:r>
      <w:r w:rsidR="00A63A71" w:rsidRPr="00C54AFA">
        <w:rPr>
          <w:rFonts w:asciiTheme="majorBidi" w:hAnsiTheme="majorBidi" w:cstheme="majorBidi"/>
        </w:rPr>
        <w:t>00</w:t>
      </w:r>
      <w:r w:rsidRPr="00C54AFA">
        <w:rPr>
          <w:rFonts w:asciiTheme="majorBidi" w:hAnsiTheme="majorBidi" w:cstheme="majorBidi"/>
        </w:rPr>
        <w:t>6</w:t>
      </w:r>
      <w:r w:rsidR="00A63A71" w:rsidRPr="00C54AFA">
        <w:rPr>
          <w:rFonts w:asciiTheme="majorBidi" w:hAnsiTheme="majorBidi" w:cstheme="majorBidi"/>
        </w:rPr>
        <w:t>年</w:t>
      </w:r>
      <w:r w:rsidR="00C54AFA" w:rsidRPr="00C54AFA">
        <w:rPr>
          <w:rFonts w:asciiTheme="majorBidi" w:hAnsiTheme="majorBidi" w:cstheme="majorBidi"/>
        </w:rPr>
        <w:t>，</w:t>
      </w:r>
      <w:r w:rsidR="00A63A71" w:rsidRPr="00C54AFA">
        <w:rPr>
          <w:rFonts w:asciiTheme="majorBidi" w:hAnsiTheme="majorBidi" w:cstheme="majorBidi"/>
        </w:rPr>
        <w:t>提取了失踪人员亲属的</w:t>
      </w:r>
      <w:r w:rsidRPr="00C54AFA">
        <w:rPr>
          <w:rFonts w:asciiTheme="majorBidi" w:hAnsiTheme="majorBidi" w:cstheme="majorBidi"/>
        </w:rPr>
        <w:t>67</w:t>
      </w:r>
      <w:r w:rsidR="00A63A71" w:rsidRPr="00C54AFA">
        <w:rPr>
          <w:rFonts w:asciiTheme="majorBidi" w:hAnsiTheme="majorBidi" w:cstheme="majorBidi"/>
        </w:rPr>
        <w:t>个</w:t>
      </w:r>
      <w:r w:rsidRPr="00C54AFA">
        <w:rPr>
          <w:rFonts w:asciiTheme="majorBidi" w:hAnsiTheme="majorBidi" w:cstheme="majorBidi"/>
        </w:rPr>
        <w:t>DNA</w:t>
      </w:r>
      <w:r w:rsidR="00A63A71" w:rsidRPr="00C54AFA">
        <w:rPr>
          <w:rFonts w:asciiTheme="majorBidi" w:hAnsiTheme="majorBidi" w:cstheme="majorBidi"/>
        </w:rPr>
        <w:t>样本。并交存真相、正义和赔偿部</w:t>
      </w:r>
      <w:r w:rsidR="00C54AFA" w:rsidRPr="00C54AFA">
        <w:rPr>
          <w:rFonts w:asciiTheme="majorBidi" w:hAnsiTheme="majorBidi" w:cstheme="majorBidi"/>
        </w:rPr>
        <w:t>，</w:t>
      </w:r>
      <w:r w:rsidR="00A63A71" w:rsidRPr="00C54AFA">
        <w:rPr>
          <w:rFonts w:asciiTheme="majorBidi" w:hAnsiTheme="majorBidi" w:cstheme="majorBidi"/>
        </w:rPr>
        <w:t>以建立一个国家基因数据库。该国政府还报告说</w:t>
      </w:r>
      <w:r w:rsidR="00C54AFA" w:rsidRPr="00C54AFA">
        <w:rPr>
          <w:rFonts w:asciiTheme="majorBidi" w:hAnsiTheme="majorBidi" w:cstheme="majorBidi"/>
        </w:rPr>
        <w:t>，</w:t>
      </w:r>
      <w:r w:rsidR="00A63A71" w:rsidRPr="00C54AFA">
        <w:rPr>
          <w:rFonts w:asciiTheme="majorBidi" w:hAnsiTheme="majorBidi" w:cstheme="majorBidi"/>
        </w:rPr>
        <w:t>将聘用阿根廷的一个法医人类学小组</w:t>
      </w:r>
      <w:r w:rsidR="00C54AFA" w:rsidRPr="00C54AFA">
        <w:rPr>
          <w:rFonts w:asciiTheme="majorBidi" w:hAnsiTheme="majorBidi" w:cstheme="majorBidi"/>
        </w:rPr>
        <w:t>，</w:t>
      </w:r>
      <w:r w:rsidR="00A63A71" w:rsidRPr="00C54AFA">
        <w:rPr>
          <w:rFonts w:asciiTheme="majorBidi" w:hAnsiTheme="majorBidi" w:cstheme="majorBidi"/>
        </w:rPr>
        <w:t>以启动身份识别进程。</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11</w:t>
      </w:r>
      <w:r w:rsidR="00C54AFA" w:rsidRPr="00C54AFA">
        <w:rPr>
          <w:rFonts w:asciiTheme="majorBidi" w:hAnsiTheme="majorBidi" w:cstheme="majorBidi"/>
        </w:rPr>
        <w:t>5.</w:t>
      </w:r>
      <w:r w:rsidR="00527952" w:rsidRPr="00C54AFA">
        <w:rPr>
          <w:rFonts w:asciiTheme="majorBidi" w:hAnsiTheme="majorBidi" w:cstheme="majorBidi"/>
        </w:rPr>
        <w:t xml:space="preserve">  </w:t>
      </w:r>
      <w:r w:rsidR="00A63A71" w:rsidRPr="00C54AFA">
        <w:rPr>
          <w:rFonts w:asciiTheme="majorBidi" w:hAnsiTheme="majorBidi" w:cstheme="majorBidi"/>
        </w:rPr>
        <w:t>目前有</w:t>
      </w:r>
      <w:r w:rsidRPr="00C54AFA">
        <w:rPr>
          <w:rFonts w:asciiTheme="majorBidi" w:hAnsiTheme="majorBidi" w:cstheme="majorBidi"/>
        </w:rPr>
        <w:t>29</w:t>
      </w:r>
      <w:r w:rsidR="00A63A71" w:rsidRPr="00C54AFA">
        <w:rPr>
          <w:rFonts w:asciiTheme="majorBidi" w:hAnsiTheme="majorBidi" w:cstheme="majorBidi"/>
        </w:rPr>
        <w:t>具遗骸</w:t>
      </w:r>
      <w:r w:rsidR="00C54AFA" w:rsidRPr="00C54AFA">
        <w:rPr>
          <w:rFonts w:asciiTheme="majorBidi" w:hAnsiTheme="majorBidi" w:cstheme="majorBidi"/>
        </w:rPr>
        <w:t>，</w:t>
      </w:r>
      <w:r w:rsidR="00A63A71" w:rsidRPr="00C54AFA">
        <w:rPr>
          <w:rFonts w:asciiTheme="majorBidi" w:hAnsiTheme="majorBidi" w:cstheme="majorBidi"/>
        </w:rPr>
        <w:t>包括</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月以来在卡萨帕省</w:t>
      </w:r>
      <w:r w:rsidRPr="00C54AFA">
        <w:rPr>
          <w:rFonts w:asciiTheme="majorBidi" w:hAnsiTheme="majorBidi" w:cstheme="majorBidi"/>
        </w:rPr>
        <w:t>Tava</w:t>
      </w:r>
      <w:r w:rsidR="00A63A71" w:rsidRPr="00C54AFA">
        <w:rPr>
          <w:rFonts w:asciiTheme="majorBidi" w:hAnsiTheme="majorBidi" w:cstheme="majorBidi"/>
        </w:rPr>
        <w:t>í</w:t>
      </w:r>
      <w:r w:rsidR="00A63A71" w:rsidRPr="00C54AFA">
        <w:rPr>
          <w:rFonts w:asciiTheme="majorBidi" w:hAnsiTheme="majorBidi" w:cstheme="majorBidi"/>
        </w:rPr>
        <w:t>地区发掘物中发现的两具遗骸。发掘工作由一个国家小组领导</w:t>
      </w:r>
      <w:r w:rsidR="00C54AFA" w:rsidRPr="00C54AFA">
        <w:rPr>
          <w:rFonts w:asciiTheme="majorBidi" w:hAnsiTheme="majorBidi" w:cstheme="majorBidi"/>
        </w:rPr>
        <w:t>，</w:t>
      </w:r>
      <w:r w:rsidR="00A63A71" w:rsidRPr="00C54AFA">
        <w:rPr>
          <w:rFonts w:asciiTheme="majorBidi" w:hAnsiTheme="majorBidi" w:cstheme="majorBidi"/>
        </w:rPr>
        <w:t>创建该小组是为了寻找和识别</w:t>
      </w:r>
      <w:r w:rsidRPr="00C54AFA">
        <w:rPr>
          <w:rFonts w:asciiTheme="majorBidi" w:hAnsiTheme="majorBidi" w:cstheme="majorBidi"/>
        </w:rPr>
        <w:t>1959</w:t>
      </w:r>
      <w:r w:rsidR="00A63A71" w:rsidRPr="00C54AFA">
        <w:rPr>
          <w:rFonts w:asciiTheme="majorBidi" w:hAnsiTheme="majorBidi" w:cstheme="majorBidi"/>
        </w:rPr>
        <w:t>-</w:t>
      </w:r>
      <w:r w:rsidRPr="00C54AFA">
        <w:rPr>
          <w:rFonts w:asciiTheme="majorBidi" w:hAnsiTheme="majorBidi" w:cstheme="majorBidi"/>
        </w:rPr>
        <w:t>1989</w:t>
      </w:r>
      <w:r w:rsidR="00A63A71" w:rsidRPr="00C54AFA">
        <w:rPr>
          <w:rFonts w:asciiTheme="majorBidi" w:hAnsiTheme="majorBidi" w:cstheme="majorBidi"/>
        </w:rPr>
        <w:t>年期间被拘留或失踪人士。</w:t>
      </w:r>
    </w:p>
    <w:p w:rsidR="00A63A71" w:rsidRPr="00C54AFA" w:rsidRDefault="00A63A71" w:rsidP="00116230">
      <w:pPr>
        <w:pStyle w:val="H1GC"/>
      </w:pPr>
      <w:r w:rsidRPr="00C54AFA">
        <w:tab/>
      </w:r>
      <w:r w:rsidRPr="00C54AFA">
        <w:tab/>
      </w:r>
      <w:r w:rsidRPr="00C54AFA">
        <w:t>菲律宾</w:t>
      </w:r>
    </w:p>
    <w:p w:rsidR="00A63A71" w:rsidRPr="00C54AFA" w:rsidRDefault="00A63A71" w:rsidP="00116230">
      <w:pPr>
        <w:pStyle w:val="H23GC"/>
      </w:pPr>
      <w:r w:rsidRPr="00C54AFA">
        <w:tab/>
      </w:r>
      <w:r w:rsidRPr="00C54AFA">
        <w:tab/>
      </w:r>
      <w:r w:rsidRPr="00C54AFA">
        <w:t>来文方提供的资料</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11</w:t>
      </w:r>
      <w:r w:rsidR="00C54AFA" w:rsidRPr="00C54AFA">
        <w:rPr>
          <w:rFonts w:asciiTheme="majorBidi" w:hAnsiTheme="majorBidi" w:cstheme="majorBidi"/>
        </w:rPr>
        <w:t>6.</w:t>
      </w:r>
      <w:r w:rsidR="00527952" w:rsidRPr="00C54AFA">
        <w:rPr>
          <w:rFonts w:asciiTheme="majorBidi" w:hAnsiTheme="majorBidi" w:cstheme="majorBidi"/>
        </w:rPr>
        <w:t xml:space="preserve">  </w:t>
      </w:r>
      <w:r w:rsidR="00A63A71" w:rsidRPr="00C54AFA">
        <w:rPr>
          <w:rFonts w:asciiTheme="majorBidi" w:hAnsiTheme="majorBidi" w:cstheme="majorBidi"/>
        </w:rPr>
        <w:t>来文方就</w:t>
      </w:r>
      <w:r w:rsidRPr="00C54AFA">
        <w:rPr>
          <w:rFonts w:asciiTheme="majorBidi" w:hAnsiTheme="majorBidi" w:cstheme="majorBidi"/>
        </w:rPr>
        <w:t>2</w:t>
      </w:r>
      <w:r w:rsidR="00A63A71" w:rsidRPr="00C54AFA">
        <w:rPr>
          <w:rFonts w:asciiTheme="majorBidi" w:hAnsiTheme="majorBidi" w:cstheme="majorBidi"/>
        </w:rPr>
        <w:t>起未决案件提供了资料。</w:t>
      </w:r>
    </w:p>
    <w:p w:rsidR="00A63A71" w:rsidRPr="00C54AFA" w:rsidRDefault="00527952" w:rsidP="00116230">
      <w:pPr>
        <w:pStyle w:val="H1GC"/>
      </w:pPr>
      <w:r w:rsidRPr="00C54AFA">
        <w:lastRenderedPageBreak/>
        <w:tab/>
      </w:r>
      <w:r w:rsidRPr="00C54AFA">
        <w:tab/>
      </w:r>
      <w:r w:rsidR="00A63A71" w:rsidRPr="00C54AFA">
        <w:t>俄罗斯联邦</w:t>
      </w:r>
    </w:p>
    <w:p w:rsidR="00A63A71" w:rsidRPr="00C54AFA" w:rsidRDefault="00A63A71" w:rsidP="00116230">
      <w:pPr>
        <w:pStyle w:val="H23GC"/>
      </w:pPr>
      <w:r w:rsidRPr="00C54AFA">
        <w:tab/>
      </w:r>
      <w:r w:rsidRPr="00C54AFA">
        <w:tab/>
      </w:r>
      <w:r w:rsidRPr="00C54AFA">
        <w:t>标准程序</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11</w:t>
      </w:r>
      <w:r w:rsidR="00C54AFA" w:rsidRPr="00C54AFA">
        <w:rPr>
          <w:rFonts w:asciiTheme="majorBidi" w:hAnsiTheme="majorBidi" w:cstheme="majorBidi"/>
        </w:rPr>
        <w:t>7.</w:t>
      </w:r>
      <w:r w:rsidR="00527952" w:rsidRPr="00C54AFA">
        <w:rPr>
          <w:rFonts w:asciiTheme="majorBidi" w:hAnsiTheme="majorBidi" w:cstheme="majorBidi"/>
        </w:rPr>
        <w:t xml:space="preserve">  </w:t>
      </w:r>
      <w:r w:rsidR="00A63A71" w:rsidRPr="00C54AFA">
        <w:rPr>
          <w:rFonts w:asciiTheme="majorBidi" w:hAnsiTheme="majorBidi" w:cstheme="majorBidi"/>
        </w:rPr>
        <w:t>工作组向该国政府转交了关于以下人员的</w:t>
      </w:r>
      <w:r w:rsidRPr="00C54AFA">
        <w:rPr>
          <w:rFonts w:asciiTheme="majorBidi" w:hAnsiTheme="majorBidi" w:cstheme="majorBidi"/>
        </w:rPr>
        <w:t>5</w:t>
      </w:r>
      <w:r w:rsidR="00A63A71" w:rsidRPr="00C54AFA">
        <w:rPr>
          <w:rFonts w:asciiTheme="majorBidi" w:hAnsiTheme="majorBidi" w:cstheme="majorBidi"/>
        </w:rPr>
        <w:t>起案件</w:t>
      </w:r>
      <w:r w:rsidR="00C54AFA" w:rsidRPr="00C54AFA">
        <w:rPr>
          <w:rFonts w:asciiTheme="majorBidi" w:hAnsiTheme="majorBidi" w:cstheme="majorBidi"/>
        </w:rPr>
        <w:t>：</w:t>
      </w:r>
    </w:p>
    <w:p w:rsidR="00A63A71" w:rsidRPr="00C54AFA" w:rsidRDefault="00BC4B0A" w:rsidP="00527952">
      <w:pPr>
        <w:pStyle w:val="SingleTxtGC"/>
        <w:numPr>
          <w:ilvl w:val="0"/>
          <w:numId w:val="20"/>
        </w:numPr>
        <w:rPr>
          <w:rFonts w:asciiTheme="majorBidi" w:hAnsiTheme="majorBidi" w:cstheme="majorBidi"/>
        </w:rPr>
      </w:pPr>
      <w:r w:rsidRPr="00C54AFA">
        <w:rPr>
          <w:rFonts w:asciiTheme="majorBidi" w:hAnsiTheme="majorBidi" w:cstheme="majorBidi"/>
        </w:rPr>
        <w:t>Ilyas</w:t>
      </w:r>
      <w:r w:rsidR="00A63A71" w:rsidRPr="00C54AFA">
        <w:rPr>
          <w:rFonts w:asciiTheme="majorBidi" w:hAnsiTheme="majorBidi" w:cstheme="majorBidi"/>
        </w:rPr>
        <w:t xml:space="preserve"> </w:t>
      </w:r>
      <w:r w:rsidRPr="00C54AFA">
        <w:rPr>
          <w:rFonts w:asciiTheme="majorBidi" w:hAnsiTheme="majorBidi" w:cstheme="majorBidi"/>
        </w:rPr>
        <w:t>Magomedovich</w:t>
      </w:r>
      <w:r w:rsidR="00A63A71" w:rsidRPr="00C54AFA">
        <w:rPr>
          <w:rFonts w:asciiTheme="majorBidi" w:hAnsiTheme="majorBidi" w:cstheme="majorBidi"/>
        </w:rPr>
        <w:t xml:space="preserve"> </w:t>
      </w:r>
      <w:r w:rsidRPr="00C54AFA">
        <w:rPr>
          <w:rFonts w:asciiTheme="majorBidi" w:hAnsiTheme="majorBidi" w:cstheme="majorBidi"/>
        </w:rPr>
        <w:t>Akiyev</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00</w:t>
      </w:r>
      <w:r w:rsidRPr="00C54AFA">
        <w:rPr>
          <w:rFonts w:asciiTheme="majorBidi" w:hAnsiTheme="majorBidi" w:cstheme="majorBidi"/>
        </w:rPr>
        <w:t>5</w:t>
      </w:r>
      <w:r w:rsidR="00A63A71" w:rsidRPr="00C54AFA">
        <w:rPr>
          <w:rFonts w:asciiTheme="majorBidi" w:hAnsiTheme="majorBidi" w:cstheme="majorBidi"/>
        </w:rPr>
        <w:t>年</w:t>
      </w:r>
      <w:r w:rsidRPr="00C54AFA">
        <w:rPr>
          <w:rFonts w:asciiTheme="majorBidi" w:hAnsiTheme="majorBidi" w:cstheme="majorBidi"/>
        </w:rPr>
        <w:t>3</w:t>
      </w:r>
      <w:r w:rsidR="00A63A71" w:rsidRPr="00C54AFA">
        <w:rPr>
          <w:rFonts w:asciiTheme="majorBidi" w:hAnsiTheme="majorBidi" w:cstheme="majorBidi"/>
        </w:rPr>
        <w:t>月</w:t>
      </w:r>
      <w:r w:rsidRPr="00C54AFA">
        <w:rPr>
          <w:rFonts w:asciiTheme="majorBidi" w:hAnsiTheme="majorBidi" w:cstheme="majorBidi"/>
        </w:rPr>
        <w:t>22</w:t>
      </w:r>
      <w:r w:rsidR="00A63A71" w:rsidRPr="00C54AFA">
        <w:rPr>
          <w:rFonts w:asciiTheme="majorBidi" w:hAnsiTheme="majorBidi" w:cstheme="majorBidi"/>
        </w:rPr>
        <w:t>日在车臣</w:t>
      </w:r>
      <w:r w:rsidRPr="00C54AFA">
        <w:rPr>
          <w:rFonts w:asciiTheme="majorBidi" w:hAnsiTheme="majorBidi" w:cstheme="majorBidi"/>
        </w:rPr>
        <w:t>Argun</w:t>
      </w:r>
      <w:r w:rsidR="00A63A71" w:rsidRPr="00C54AFA">
        <w:rPr>
          <w:rFonts w:asciiTheme="majorBidi" w:hAnsiTheme="majorBidi" w:cstheme="majorBidi"/>
        </w:rPr>
        <w:t>市被穿军装的不明身份武装男子绑架</w:t>
      </w:r>
      <w:r w:rsidR="00C54AFA" w:rsidRPr="00C54AFA">
        <w:rPr>
          <w:rFonts w:asciiTheme="majorBidi" w:hAnsiTheme="majorBidi" w:cstheme="majorBidi"/>
        </w:rPr>
        <w:t>；</w:t>
      </w:r>
    </w:p>
    <w:p w:rsidR="00A63A71" w:rsidRPr="00C54AFA" w:rsidRDefault="00BC4B0A" w:rsidP="00527952">
      <w:pPr>
        <w:pStyle w:val="SingleTxtGC"/>
        <w:numPr>
          <w:ilvl w:val="0"/>
          <w:numId w:val="20"/>
        </w:numPr>
        <w:rPr>
          <w:rFonts w:asciiTheme="majorBidi" w:hAnsiTheme="majorBidi" w:cstheme="majorBidi"/>
        </w:rPr>
      </w:pPr>
      <w:r w:rsidRPr="00C54AFA">
        <w:rPr>
          <w:rFonts w:asciiTheme="majorBidi" w:hAnsiTheme="majorBidi" w:cstheme="majorBidi"/>
        </w:rPr>
        <w:t>Beslan</w:t>
      </w:r>
      <w:r w:rsidR="00A63A71" w:rsidRPr="00C54AFA">
        <w:rPr>
          <w:rFonts w:asciiTheme="majorBidi" w:hAnsiTheme="majorBidi" w:cstheme="majorBidi"/>
        </w:rPr>
        <w:t xml:space="preserve"> </w:t>
      </w:r>
      <w:r w:rsidRPr="00C54AFA">
        <w:rPr>
          <w:rFonts w:asciiTheme="majorBidi" w:hAnsiTheme="majorBidi" w:cstheme="majorBidi"/>
        </w:rPr>
        <w:t>Magomedovich</w:t>
      </w:r>
      <w:r w:rsidR="00A63A71" w:rsidRPr="00C54AFA">
        <w:rPr>
          <w:rFonts w:asciiTheme="majorBidi" w:hAnsiTheme="majorBidi" w:cstheme="majorBidi"/>
        </w:rPr>
        <w:t xml:space="preserve"> </w:t>
      </w:r>
      <w:r w:rsidRPr="00C54AFA">
        <w:rPr>
          <w:rFonts w:asciiTheme="majorBidi" w:hAnsiTheme="majorBidi" w:cstheme="majorBidi"/>
        </w:rPr>
        <w:t>Doltsaev</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1995</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w:t>
      </w:r>
      <w:r w:rsidRPr="00C54AFA">
        <w:rPr>
          <w:rFonts w:asciiTheme="majorBidi" w:hAnsiTheme="majorBidi" w:cstheme="majorBidi"/>
        </w:rPr>
        <w:t>11</w:t>
      </w:r>
      <w:r w:rsidR="00A63A71" w:rsidRPr="00C54AFA">
        <w:rPr>
          <w:rFonts w:asciiTheme="majorBidi" w:hAnsiTheme="majorBidi" w:cstheme="majorBidi"/>
        </w:rPr>
        <w:t>日在车臣格罗兹尼被军方逮捕</w:t>
      </w:r>
      <w:r w:rsidR="00C54AFA" w:rsidRPr="00C54AFA">
        <w:rPr>
          <w:rFonts w:asciiTheme="majorBidi" w:hAnsiTheme="majorBidi" w:cstheme="majorBidi"/>
        </w:rPr>
        <w:t>；</w:t>
      </w:r>
    </w:p>
    <w:p w:rsidR="00A63A71" w:rsidRPr="00C54AFA" w:rsidRDefault="00BC4B0A" w:rsidP="00527952">
      <w:pPr>
        <w:pStyle w:val="SingleTxtGC"/>
        <w:numPr>
          <w:ilvl w:val="0"/>
          <w:numId w:val="20"/>
        </w:numPr>
        <w:rPr>
          <w:rFonts w:asciiTheme="majorBidi" w:hAnsiTheme="majorBidi" w:cstheme="majorBidi"/>
        </w:rPr>
      </w:pPr>
      <w:r w:rsidRPr="00C54AFA">
        <w:rPr>
          <w:rFonts w:asciiTheme="majorBidi" w:hAnsiTheme="majorBidi" w:cstheme="majorBidi"/>
        </w:rPr>
        <w:t>Zelimkhan</w:t>
      </w:r>
      <w:r w:rsidR="00A63A71" w:rsidRPr="00C54AFA">
        <w:rPr>
          <w:rFonts w:asciiTheme="majorBidi" w:hAnsiTheme="majorBidi" w:cstheme="majorBidi"/>
        </w:rPr>
        <w:t xml:space="preserve"> </w:t>
      </w:r>
      <w:r w:rsidRPr="00C54AFA">
        <w:rPr>
          <w:rFonts w:asciiTheme="majorBidi" w:hAnsiTheme="majorBidi" w:cstheme="majorBidi"/>
        </w:rPr>
        <w:t>Muzae</w:t>
      </w:r>
      <w:r w:rsidR="00C54AFA" w:rsidRPr="00C54AFA">
        <w:rPr>
          <w:rFonts w:asciiTheme="majorBidi" w:hAnsiTheme="majorBidi" w:cstheme="majorBidi"/>
        </w:rPr>
        <w:t xml:space="preserve">v, </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00</w:t>
      </w:r>
      <w:r w:rsidRPr="00C54AFA">
        <w:rPr>
          <w:rFonts w:asciiTheme="majorBidi" w:hAnsiTheme="majorBidi" w:cstheme="majorBidi"/>
        </w:rPr>
        <w:t>3</w:t>
      </w:r>
      <w:r w:rsidR="00A63A71" w:rsidRPr="00C54AFA">
        <w:rPr>
          <w:rFonts w:asciiTheme="majorBidi" w:hAnsiTheme="majorBidi" w:cstheme="majorBidi"/>
        </w:rPr>
        <w:t>年</w:t>
      </w:r>
      <w:r w:rsidRPr="00C54AFA">
        <w:rPr>
          <w:rFonts w:asciiTheme="majorBidi" w:hAnsiTheme="majorBidi" w:cstheme="majorBidi"/>
        </w:rPr>
        <w:t>3</w:t>
      </w:r>
      <w:r w:rsidR="00A63A71" w:rsidRPr="00C54AFA">
        <w:rPr>
          <w:rFonts w:asciiTheme="majorBidi" w:hAnsiTheme="majorBidi" w:cstheme="majorBidi"/>
        </w:rPr>
        <w:t>月</w:t>
      </w:r>
      <w:r w:rsidRPr="00C54AFA">
        <w:rPr>
          <w:rFonts w:asciiTheme="majorBidi" w:hAnsiTheme="majorBidi" w:cstheme="majorBidi"/>
        </w:rPr>
        <w:t>17</w:t>
      </w:r>
      <w:r w:rsidR="00A63A71" w:rsidRPr="00C54AFA">
        <w:rPr>
          <w:rFonts w:asciiTheme="majorBidi" w:hAnsiTheme="majorBidi" w:cstheme="majorBidi"/>
        </w:rPr>
        <w:t>日在车臣</w:t>
      </w:r>
      <w:r w:rsidRPr="00C54AFA">
        <w:rPr>
          <w:rFonts w:asciiTheme="majorBidi" w:hAnsiTheme="majorBidi" w:cstheme="majorBidi"/>
        </w:rPr>
        <w:t>Argun</w:t>
      </w:r>
      <w:r w:rsidR="00A63A71" w:rsidRPr="00C54AFA">
        <w:rPr>
          <w:rFonts w:asciiTheme="majorBidi" w:hAnsiTheme="majorBidi" w:cstheme="majorBidi"/>
        </w:rPr>
        <w:t>市被俄罗斯军队绑架</w:t>
      </w:r>
      <w:r w:rsidR="00C54AFA" w:rsidRPr="00C54AFA">
        <w:rPr>
          <w:rFonts w:asciiTheme="majorBidi" w:hAnsiTheme="majorBidi" w:cstheme="majorBidi"/>
        </w:rPr>
        <w:t>；</w:t>
      </w:r>
    </w:p>
    <w:p w:rsidR="00A63A71" w:rsidRPr="00C54AFA" w:rsidRDefault="00BC4B0A" w:rsidP="00527952">
      <w:pPr>
        <w:pStyle w:val="SingleTxtGC"/>
        <w:numPr>
          <w:ilvl w:val="0"/>
          <w:numId w:val="20"/>
        </w:numPr>
        <w:rPr>
          <w:rFonts w:asciiTheme="majorBidi" w:hAnsiTheme="majorBidi" w:cstheme="majorBidi"/>
        </w:rPr>
      </w:pPr>
      <w:r w:rsidRPr="00C54AFA">
        <w:rPr>
          <w:rFonts w:asciiTheme="majorBidi" w:hAnsiTheme="majorBidi" w:cstheme="majorBidi"/>
        </w:rPr>
        <w:t>Ismail</w:t>
      </w:r>
      <w:r w:rsidR="00A63A71" w:rsidRPr="00C54AFA">
        <w:rPr>
          <w:rFonts w:asciiTheme="majorBidi" w:hAnsiTheme="majorBidi" w:cstheme="majorBidi"/>
        </w:rPr>
        <w:t xml:space="preserve"> </w:t>
      </w:r>
      <w:r w:rsidRPr="00C54AFA">
        <w:rPr>
          <w:rFonts w:asciiTheme="majorBidi" w:hAnsiTheme="majorBidi" w:cstheme="majorBidi"/>
        </w:rPr>
        <w:t>Khalidovich</w:t>
      </w:r>
      <w:r w:rsidR="00A63A71" w:rsidRPr="00C54AFA">
        <w:rPr>
          <w:rFonts w:asciiTheme="majorBidi" w:hAnsiTheme="majorBidi" w:cstheme="majorBidi"/>
        </w:rPr>
        <w:t xml:space="preserve"> </w:t>
      </w:r>
      <w:r w:rsidRPr="00C54AFA">
        <w:rPr>
          <w:rFonts w:asciiTheme="majorBidi" w:hAnsiTheme="majorBidi" w:cstheme="majorBidi"/>
        </w:rPr>
        <w:t>Salamkhano</w:t>
      </w:r>
      <w:r w:rsidR="00C54AFA" w:rsidRPr="00C54AFA">
        <w:rPr>
          <w:rFonts w:asciiTheme="majorBidi" w:hAnsiTheme="majorBidi" w:cstheme="majorBidi"/>
        </w:rPr>
        <w:t xml:space="preserve">v, </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00</w:t>
      </w:r>
      <w:r w:rsidRPr="00C54AFA">
        <w:rPr>
          <w:rFonts w:asciiTheme="majorBidi" w:hAnsiTheme="majorBidi" w:cstheme="majorBidi"/>
        </w:rPr>
        <w:t>9</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26</w:t>
      </w:r>
      <w:r w:rsidR="00A63A71" w:rsidRPr="00C54AFA">
        <w:rPr>
          <w:rFonts w:asciiTheme="majorBidi" w:hAnsiTheme="majorBidi" w:cstheme="majorBidi"/>
        </w:rPr>
        <w:t>日在车臣格罗兹尼被持有自动武器的身份不明的人绑架</w:t>
      </w:r>
      <w:r w:rsidR="00C54AFA" w:rsidRPr="00C54AFA">
        <w:rPr>
          <w:rFonts w:asciiTheme="majorBidi" w:hAnsiTheme="majorBidi" w:cstheme="majorBidi"/>
        </w:rPr>
        <w:t>；</w:t>
      </w:r>
    </w:p>
    <w:p w:rsidR="00A63A71" w:rsidRPr="00C54AFA" w:rsidRDefault="00BC4B0A" w:rsidP="00527952">
      <w:pPr>
        <w:pStyle w:val="SingleTxtGC"/>
        <w:numPr>
          <w:ilvl w:val="0"/>
          <w:numId w:val="20"/>
        </w:numPr>
        <w:rPr>
          <w:rFonts w:asciiTheme="majorBidi" w:hAnsiTheme="majorBidi" w:cstheme="majorBidi"/>
        </w:rPr>
      </w:pPr>
      <w:r w:rsidRPr="00C54AFA">
        <w:rPr>
          <w:rFonts w:asciiTheme="majorBidi" w:hAnsiTheme="majorBidi" w:cstheme="majorBidi"/>
        </w:rPr>
        <w:t>Alvi</w:t>
      </w:r>
      <w:r w:rsidR="00A63A71" w:rsidRPr="00C54AFA">
        <w:rPr>
          <w:rFonts w:asciiTheme="majorBidi" w:hAnsiTheme="majorBidi" w:cstheme="majorBidi"/>
        </w:rPr>
        <w:t xml:space="preserve"> </w:t>
      </w:r>
      <w:r w:rsidRPr="00C54AFA">
        <w:rPr>
          <w:rFonts w:asciiTheme="majorBidi" w:hAnsiTheme="majorBidi" w:cstheme="majorBidi"/>
        </w:rPr>
        <w:t>Yusupo</w:t>
      </w:r>
      <w:r w:rsidR="00C54AFA" w:rsidRPr="00C54AFA">
        <w:rPr>
          <w:rFonts w:asciiTheme="majorBidi" w:hAnsiTheme="majorBidi" w:cstheme="majorBidi"/>
        </w:rPr>
        <w:t xml:space="preserve">v, </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00</w:t>
      </w:r>
      <w:r w:rsidRPr="00C54AFA">
        <w:rPr>
          <w:rFonts w:asciiTheme="majorBidi" w:hAnsiTheme="majorBidi" w:cstheme="majorBidi"/>
        </w:rPr>
        <w:t>7</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22</w:t>
      </w:r>
      <w:r w:rsidR="00A63A71" w:rsidRPr="00C54AFA">
        <w:rPr>
          <w:rFonts w:asciiTheme="majorBidi" w:hAnsiTheme="majorBidi" w:cstheme="majorBidi"/>
        </w:rPr>
        <w:t>日在车臣格罗兹尼被联邦部队绑架。</w:t>
      </w:r>
    </w:p>
    <w:p w:rsidR="00A63A71" w:rsidRPr="00C54AFA" w:rsidRDefault="00A63A71" w:rsidP="00116230">
      <w:pPr>
        <w:pStyle w:val="H23GC"/>
        <w:rPr>
          <w:rFonts w:eastAsia="SimSun"/>
        </w:rPr>
      </w:pPr>
      <w:r w:rsidRPr="00C54AFA">
        <w:tab/>
      </w:r>
      <w:r w:rsidRPr="00C54AFA">
        <w:tab/>
      </w:r>
      <w:r w:rsidRPr="00C54AFA">
        <w:t>迅速干预函</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11</w:t>
      </w:r>
      <w:r w:rsidR="00C54AFA" w:rsidRPr="00C54AFA">
        <w:rPr>
          <w:rFonts w:asciiTheme="majorBidi" w:hAnsiTheme="majorBidi" w:cstheme="majorBidi"/>
        </w:rPr>
        <w:t>8.</w:t>
      </w:r>
      <w:r w:rsidR="00527952"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22</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工作组与六个其他特别程序机制向该国政府联合转发了一封迅速干预函</w:t>
      </w:r>
      <w:r w:rsidR="00C54AFA" w:rsidRPr="00C54AFA">
        <w:rPr>
          <w:rFonts w:asciiTheme="majorBidi" w:hAnsiTheme="majorBidi" w:cstheme="majorBidi"/>
        </w:rPr>
        <w:t>，</w:t>
      </w:r>
      <w:r w:rsidR="00A63A71" w:rsidRPr="00C54AFA">
        <w:rPr>
          <w:rFonts w:asciiTheme="majorBidi" w:hAnsiTheme="majorBidi" w:cstheme="majorBidi"/>
        </w:rPr>
        <w:t>涉及针对联合移动小组</w:t>
      </w:r>
      <w:r w:rsidR="00C54AFA" w:rsidRPr="00C54AFA">
        <w:rPr>
          <w:rFonts w:asciiTheme="majorBidi" w:hAnsiTheme="majorBidi" w:cstheme="majorBidi"/>
        </w:rPr>
        <w:t>(</w:t>
      </w:r>
      <w:r w:rsidR="00A63A71" w:rsidRPr="00C54AFA">
        <w:rPr>
          <w:rFonts w:asciiTheme="majorBidi" w:hAnsiTheme="majorBidi" w:cstheme="majorBidi"/>
        </w:rPr>
        <w:t>一个人权组织</w:t>
      </w:r>
      <w:r w:rsidR="00C54AFA" w:rsidRPr="00C54AFA">
        <w:rPr>
          <w:rFonts w:asciiTheme="majorBidi" w:hAnsiTheme="majorBidi" w:cstheme="majorBidi"/>
        </w:rPr>
        <w:t>)</w:t>
      </w:r>
      <w:r w:rsidR="00A63A71" w:rsidRPr="00C54AFA">
        <w:rPr>
          <w:rFonts w:asciiTheme="majorBidi" w:hAnsiTheme="majorBidi" w:cstheme="majorBidi"/>
        </w:rPr>
        <w:t>办公楼的纵火袭击、对人权律师</w:t>
      </w:r>
      <w:r w:rsidRPr="00C54AFA">
        <w:rPr>
          <w:rFonts w:asciiTheme="majorBidi" w:hAnsiTheme="majorBidi" w:cstheme="majorBidi"/>
        </w:rPr>
        <w:t>Igor</w:t>
      </w:r>
      <w:r w:rsidR="00A63A71" w:rsidRPr="00C54AFA">
        <w:rPr>
          <w:rFonts w:asciiTheme="majorBidi" w:hAnsiTheme="majorBidi" w:cstheme="majorBidi"/>
        </w:rPr>
        <w:t xml:space="preserve"> </w:t>
      </w:r>
      <w:r w:rsidRPr="00C54AFA">
        <w:rPr>
          <w:rFonts w:asciiTheme="majorBidi" w:hAnsiTheme="majorBidi" w:cstheme="majorBidi"/>
        </w:rPr>
        <w:t>Kalyapin</w:t>
      </w:r>
      <w:r w:rsidR="00A63A71" w:rsidRPr="00C54AFA">
        <w:rPr>
          <w:rFonts w:asciiTheme="majorBidi" w:hAnsiTheme="majorBidi" w:cstheme="majorBidi"/>
        </w:rPr>
        <w:t>、</w:t>
      </w:r>
      <w:r w:rsidRPr="00C54AFA">
        <w:rPr>
          <w:rFonts w:asciiTheme="majorBidi" w:hAnsiTheme="majorBidi" w:cstheme="majorBidi"/>
        </w:rPr>
        <w:t>Sergei</w:t>
      </w:r>
      <w:r w:rsidR="00A63A71" w:rsidRPr="00C54AFA">
        <w:rPr>
          <w:rFonts w:asciiTheme="majorBidi" w:hAnsiTheme="majorBidi" w:cstheme="majorBidi"/>
        </w:rPr>
        <w:t xml:space="preserve"> </w:t>
      </w:r>
      <w:r w:rsidRPr="00C54AFA">
        <w:rPr>
          <w:rFonts w:asciiTheme="majorBidi" w:hAnsiTheme="majorBidi" w:cstheme="majorBidi"/>
        </w:rPr>
        <w:t>Babinets</w:t>
      </w:r>
      <w:r w:rsidR="00A63A71" w:rsidRPr="00C54AFA">
        <w:rPr>
          <w:rFonts w:asciiTheme="majorBidi" w:hAnsiTheme="majorBidi" w:cstheme="majorBidi"/>
        </w:rPr>
        <w:t>和</w:t>
      </w:r>
      <w:r w:rsidRPr="00C54AFA">
        <w:rPr>
          <w:rFonts w:asciiTheme="majorBidi" w:hAnsiTheme="majorBidi" w:cstheme="majorBidi"/>
        </w:rPr>
        <w:t>Dmitry</w:t>
      </w:r>
      <w:r w:rsidR="00A63A71" w:rsidRPr="00C54AFA">
        <w:rPr>
          <w:rFonts w:asciiTheme="majorBidi" w:hAnsiTheme="majorBidi" w:cstheme="majorBidi"/>
        </w:rPr>
        <w:t xml:space="preserve"> </w:t>
      </w:r>
      <w:r w:rsidRPr="00C54AFA">
        <w:rPr>
          <w:rFonts w:asciiTheme="majorBidi" w:hAnsiTheme="majorBidi" w:cstheme="majorBidi"/>
        </w:rPr>
        <w:t>Dimitriev</w:t>
      </w:r>
      <w:r w:rsidR="00A63A71" w:rsidRPr="00C54AFA">
        <w:rPr>
          <w:rFonts w:asciiTheme="majorBidi" w:hAnsiTheme="majorBidi" w:cstheme="majorBidi"/>
        </w:rPr>
        <w:t>先生进行恫吓和骚扰以及对</w:t>
      </w:r>
      <w:r w:rsidRPr="00C54AFA">
        <w:rPr>
          <w:rFonts w:asciiTheme="majorBidi" w:hAnsiTheme="majorBidi" w:cstheme="majorBidi"/>
        </w:rPr>
        <w:t>Sergei</w:t>
      </w:r>
      <w:r w:rsidR="00A63A71" w:rsidRPr="00C54AFA">
        <w:rPr>
          <w:rFonts w:asciiTheme="majorBidi" w:hAnsiTheme="majorBidi" w:cstheme="majorBidi"/>
        </w:rPr>
        <w:t xml:space="preserve"> </w:t>
      </w:r>
      <w:r w:rsidRPr="00C54AFA">
        <w:rPr>
          <w:rFonts w:asciiTheme="majorBidi" w:hAnsiTheme="majorBidi" w:cstheme="majorBidi"/>
        </w:rPr>
        <w:t>Babinets</w:t>
      </w:r>
      <w:r w:rsidR="00A63A71" w:rsidRPr="00C54AFA">
        <w:rPr>
          <w:rFonts w:asciiTheme="majorBidi" w:hAnsiTheme="majorBidi" w:cstheme="majorBidi"/>
        </w:rPr>
        <w:t>和</w:t>
      </w:r>
      <w:r w:rsidRPr="00C54AFA">
        <w:rPr>
          <w:rFonts w:asciiTheme="majorBidi" w:hAnsiTheme="majorBidi" w:cstheme="majorBidi"/>
        </w:rPr>
        <w:t>Dmitry</w:t>
      </w:r>
      <w:r w:rsidR="00A63A71" w:rsidRPr="00C54AFA">
        <w:rPr>
          <w:rFonts w:asciiTheme="majorBidi" w:hAnsiTheme="majorBidi" w:cstheme="majorBidi"/>
        </w:rPr>
        <w:t xml:space="preserve"> </w:t>
      </w:r>
      <w:r w:rsidRPr="00C54AFA">
        <w:rPr>
          <w:rFonts w:asciiTheme="majorBidi" w:hAnsiTheme="majorBidi" w:cstheme="majorBidi"/>
        </w:rPr>
        <w:t>Dimitriev</w:t>
      </w:r>
      <w:r w:rsidR="00A63A71" w:rsidRPr="00C54AFA">
        <w:rPr>
          <w:rFonts w:asciiTheme="majorBidi" w:hAnsiTheme="majorBidi" w:cstheme="majorBidi"/>
        </w:rPr>
        <w:t>先生的任意逮捕。</w:t>
      </w:r>
    </w:p>
    <w:p w:rsidR="00A63A71" w:rsidRPr="00C54AFA" w:rsidRDefault="00A63A71" w:rsidP="00116230">
      <w:pPr>
        <w:pStyle w:val="H1GC"/>
      </w:pPr>
      <w:r w:rsidRPr="00C54AFA">
        <w:tab/>
      </w:r>
      <w:r w:rsidRPr="00C54AFA">
        <w:tab/>
      </w:r>
      <w:r w:rsidRPr="00C54AFA">
        <w:t>卢旺达</w:t>
      </w:r>
    </w:p>
    <w:p w:rsidR="00A63A71" w:rsidRPr="00C54AFA" w:rsidRDefault="00A63A71" w:rsidP="00116230">
      <w:pPr>
        <w:pStyle w:val="H23GC"/>
      </w:pPr>
      <w:r w:rsidRPr="00C54AFA">
        <w:tab/>
      </w:r>
      <w:r w:rsidRPr="00C54AFA">
        <w:tab/>
      </w:r>
      <w:r w:rsidRPr="00C54AFA">
        <w:t>标准程序</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11</w:t>
      </w:r>
      <w:r w:rsidR="00C54AFA" w:rsidRPr="00C54AFA">
        <w:rPr>
          <w:rFonts w:asciiTheme="majorBidi" w:hAnsiTheme="majorBidi" w:cstheme="majorBidi"/>
        </w:rPr>
        <w:t>9.</w:t>
      </w:r>
      <w:r w:rsidR="00527952" w:rsidRPr="00C54AFA">
        <w:rPr>
          <w:rFonts w:asciiTheme="majorBidi" w:hAnsiTheme="majorBidi" w:cstheme="majorBidi"/>
        </w:rPr>
        <w:t xml:space="preserve">  </w:t>
      </w:r>
      <w:r w:rsidR="00A63A71" w:rsidRPr="00C54AFA">
        <w:rPr>
          <w:rFonts w:asciiTheme="majorBidi" w:hAnsiTheme="majorBidi" w:cstheme="majorBidi"/>
        </w:rPr>
        <w:t>工作组向该国政府转交了关于</w:t>
      </w:r>
      <w:r w:rsidRPr="00C54AFA">
        <w:rPr>
          <w:rFonts w:asciiTheme="majorBidi" w:hAnsiTheme="majorBidi" w:cstheme="majorBidi"/>
        </w:rPr>
        <w:t>Olivier</w:t>
      </w:r>
      <w:r w:rsidR="00A63A71" w:rsidRPr="00C54AFA">
        <w:rPr>
          <w:rFonts w:asciiTheme="majorBidi" w:hAnsiTheme="majorBidi" w:cstheme="majorBidi"/>
        </w:rPr>
        <w:t xml:space="preserve"> </w:t>
      </w:r>
      <w:r w:rsidRPr="00C54AFA">
        <w:rPr>
          <w:rFonts w:asciiTheme="majorBidi" w:hAnsiTheme="majorBidi" w:cstheme="majorBidi"/>
        </w:rPr>
        <w:t>Maniriho</w:t>
      </w:r>
      <w:r w:rsidR="00A63A71" w:rsidRPr="00C54AFA">
        <w:rPr>
          <w:rFonts w:asciiTheme="majorBidi" w:hAnsiTheme="majorBidi" w:cstheme="majorBidi"/>
        </w:rPr>
        <w:t>先生的一起案件</w:t>
      </w:r>
      <w:r w:rsidR="00C54AFA" w:rsidRPr="00C54AFA">
        <w:rPr>
          <w:rFonts w:asciiTheme="majorBidi" w:hAnsiTheme="majorBidi" w:cstheme="majorBidi"/>
        </w:rPr>
        <w:t>，</w:t>
      </w:r>
      <w:r w:rsidR="00A63A71" w:rsidRPr="00C54AFA">
        <w:rPr>
          <w:rFonts w:asciiTheme="majorBidi" w:hAnsiTheme="majorBidi" w:cstheme="majorBidi"/>
        </w:rPr>
        <w:t>据称最后一次被人见到是</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w:t>
      </w:r>
      <w:r w:rsidRPr="00C54AFA">
        <w:rPr>
          <w:rFonts w:asciiTheme="majorBidi" w:hAnsiTheme="majorBidi" w:cstheme="majorBidi"/>
        </w:rPr>
        <w:t>9</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在基加利市</w:t>
      </w:r>
      <w:r w:rsidRPr="00C54AFA">
        <w:rPr>
          <w:rFonts w:asciiTheme="majorBidi" w:hAnsiTheme="majorBidi" w:cstheme="majorBidi"/>
        </w:rPr>
        <w:t>Nyarugenge</w:t>
      </w:r>
      <w:r w:rsidR="00A63A71" w:rsidRPr="00C54AFA">
        <w:rPr>
          <w:rFonts w:asciiTheme="majorBidi" w:hAnsiTheme="majorBidi" w:cstheme="majorBidi"/>
        </w:rPr>
        <w:t>区。</w:t>
      </w:r>
    </w:p>
    <w:p w:rsidR="00A63A71" w:rsidRPr="00C54AFA" w:rsidRDefault="00A63A71" w:rsidP="00116230">
      <w:pPr>
        <w:pStyle w:val="H23GC"/>
      </w:pPr>
      <w:r w:rsidRPr="00C54AFA">
        <w:tab/>
      </w:r>
      <w:r w:rsidRPr="00C54AFA">
        <w:tab/>
      </w:r>
      <w:r w:rsidRPr="00C54AFA">
        <w:t>紧急呼吁</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12</w:t>
      </w:r>
      <w:r w:rsidR="00C54AFA" w:rsidRPr="00C54AFA">
        <w:rPr>
          <w:rFonts w:asciiTheme="majorBidi" w:hAnsiTheme="majorBidi" w:cstheme="majorBidi"/>
        </w:rPr>
        <w:t>0.</w:t>
      </w:r>
      <w:r w:rsidR="00527952"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2</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工作组与另一个特别程序机制向该国政府转交了关于以下指控的一份紧急呼吁</w:t>
      </w:r>
      <w:r w:rsidR="00C54AFA" w:rsidRPr="00C54AFA">
        <w:rPr>
          <w:rFonts w:asciiTheme="majorBidi" w:hAnsiTheme="majorBidi" w:cstheme="majorBidi"/>
        </w:rPr>
        <w:t>：</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7</w:t>
      </w:r>
      <w:r w:rsidR="00A63A71" w:rsidRPr="00C54AFA">
        <w:rPr>
          <w:rFonts w:asciiTheme="majorBidi" w:hAnsiTheme="majorBidi" w:cstheme="majorBidi"/>
        </w:rPr>
        <w:t>月中旬以来</w:t>
      </w:r>
      <w:r w:rsidR="00C54AFA" w:rsidRPr="00C54AFA">
        <w:rPr>
          <w:rFonts w:asciiTheme="majorBidi" w:hAnsiTheme="majorBidi" w:cstheme="majorBidi"/>
        </w:rPr>
        <w:t>，</w:t>
      </w:r>
      <w:r w:rsidR="00A63A71" w:rsidRPr="00C54AFA">
        <w:rPr>
          <w:rFonts w:asciiTheme="majorBidi" w:hAnsiTheme="majorBidi" w:cstheme="majorBidi"/>
        </w:rPr>
        <w:t>在瑞鲁湖和喀格拉河漂浮着从卢旺达漂流过来的多达</w:t>
      </w:r>
      <w:r w:rsidRPr="00C54AFA">
        <w:rPr>
          <w:rFonts w:asciiTheme="majorBidi" w:hAnsiTheme="majorBidi" w:cstheme="majorBidi"/>
        </w:rPr>
        <w:t>4</w:t>
      </w:r>
      <w:r w:rsidR="00A63A71" w:rsidRPr="00C54AFA">
        <w:rPr>
          <w:rFonts w:asciiTheme="majorBidi" w:hAnsiTheme="majorBidi" w:cstheme="majorBidi"/>
        </w:rPr>
        <w:t>0</w:t>
      </w:r>
      <w:r w:rsidR="00A63A71" w:rsidRPr="00C54AFA">
        <w:rPr>
          <w:rFonts w:asciiTheme="majorBidi" w:hAnsiTheme="majorBidi" w:cstheme="majorBidi"/>
        </w:rPr>
        <w:t>具尸体。向布隆迪政府发出了一份类似紧急呼吁。</w:t>
      </w:r>
    </w:p>
    <w:p w:rsidR="00A63A71" w:rsidRPr="00C54AFA" w:rsidRDefault="00A63A71" w:rsidP="00116230">
      <w:pPr>
        <w:pStyle w:val="H23GC"/>
      </w:pPr>
      <w:r w:rsidRPr="00C54AFA">
        <w:tab/>
      </w:r>
      <w:r w:rsidRPr="00C54AFA">
        <w:tab/>
      </w:r>
      <w:r w:rsidRPr="00C54AFA">
        <w:t>政府提供的资料</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12</w:t>
      </w:r>
      <w:r w:rsidR="00C54AFA" w:rsidRPr="00C54AFA">
        <w:rPr>
          <w:rFonts w:asciiTheme="majorBidi" w:hAnsiTheme="majorBidi" w:cstheme="majorBidi"/>
        </w:rPr>
        <w:t>1.</w:t>
      </w:r>
      <w:r w:rsidR="00527952"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16</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该国政府就</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2</w:t>
      </w:r>
      <w:r w:rsidR="00A63A71" w:rsidRPr="00C54AFA">
        <w:rPr>
          <w:rFonts w:asciiTheme="majorBidi" w:hAnsiTheme="majorBidi" w:cstheme="majorBidi"/>
        </w:rPr>
        <w:t>日寄发的紧急呼吁作出了答复。在答复中</w:t>
      </w:r>
      <w:r w:rsidR="00C54AFA" w:rsidRPr="00C54AFA">
        <w:rPr>
          <w:rFonts w:asciiTheme="majorBidi" w:hAnsiTheme="majorBidi" w:cstheme="majorBidi"/>
        </w:rPr>
        <w:t>，</w:t>
      </w:r>
      <w:r w:rsidR="00A63A71" w:rsidRPr="00C54AFA">
        <w:rPr>
          <w:rFonts w:asciiTheme="majorBidi" w:hAnsiTheme="majorBidi" w:cstheme="majorBidi"/>
        </w:rPr>
        <w:t>该国政府称</w:t>
      </w:r>
      <w:r w:rsidR="00C54AFA" w:rsidRPr="00C54AFA">
        <w:rPr>
          <w:rFonts w:asciiTheme="majorBidi" w:hAnsiTheme="majorBidi" w:cstheme="majorBidi"/>
        </w:rPr>
        <w:t>，</w:t>
      </w:r>
      <w:r w:rsidR="00A63A71" w:rsidRPr="00C54AFA">
        <w:rPr>
          <w:rFonts w:asciiTheme="majorBidi" w:hAnsiTheme="majorBidi" w:cstheme="majorBidi"/>
        </w:rPr>
        <w:t>它不清楚信中所言情况</w:t>
      </w:r>
      <w:r w:rsidR="00C54AFA" w:rsidRPr="00C54AFA">
        <w:rPr>
          <w:rFonts w:asciiTheme="majorBidi" w:hAnsiTheme="majorBidi" w:cstheme="majorBidi"/>
        </w:rPr>
        <w:t>，</w:t>
      </w:r>
      <w:r w:rsidR="00A63A71" w:rsidRPr="00C54AFA">
        <w:rPr>
          <w:rFonts w:asciiTheme="majorBidi" w:hAnsiTheme="majorBidi" w:cstheme="majorBidi"/>
        </w:rPr>
        <w:t>它是在媒体中读到的消息。该国政府称</w:t>
      </w:r>
      <w:r w:rsidR="00C54AFA" w:rsidRPr="00C54AFA">
        <w:rPr>
          <w:rFonts w:asciiTheme="majorBidi" w:hAnsiTheme="majorBidi" w:cstheme="majorBidi"/>
        </w:rPr>
        <w:t>，</w:t>
      </w:r>
      <w:r w:rsidR="00A63A71" w:rsidRPr="00C54AFA">
        <w:rPr>
          <w:rFonts w:asciiTheme="majorBidi" w:hAnsiTheme="majorBidi" w:cstheme="majorBidi"/>
        </w:rPr>
        <w:t>它已请布隆迪政府在调查中进行合作。</w:t>
      </w:r>
    </w:p>
    <w:p w:rsidR="00A63A71" w:rsidRPr="00C54AFA" w:rsidRDefault="00A63A71" w:rsidP="00116230">
      <w:pPr>
        <w:pStyle w:val="H1GC"/>
      </w:pPr>
      <w:r w:rsidRPr="00C54AFA">
        <w:lastRenderedPageBreak/>
        <w:tab/>
      </w:r>
      <w:r w:rsidRPr="00C54AFA">
        <w:tab/>
      </w:r>
      <w:r w:rsidRPr="00C54AFA">
        <w:t>沙特阿拉伯</w:t>
      </w:r>
    </w:p>
    <w:p w:rsidR="00A63A71" w:rsidRPr="00C54AFA" w:rsidRDefault="00A63A71" w:rsidP="00116230">
      <w:pPr>
        <w:pStyle w:val="H23GC"/>
      </w:pPr>
      <w:r w:rsidRPr="00C54AFA">
        <w:tab/>
      </w:r>
      <w:r w:rsidRPr="00C54AFA">
        <w:tab/>
      </w:r>
      <w:r w:rsidRPr="00C54AFA">
        <w:t>来文方提供的资料</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12</w:t>
      </w:r>
      <w:r w:rsidR="00C54AFA" w:rsidRPr="00C54AFA">
        <w:rPr>
          <w:rFonts w:asciiTheme="majorBidi" w:hAnsiTheme="majorBidi" w:cstheme="majorBidi"/>
        </w:rPr>
        <w:t>2.</w:t>
      </w:r>
      <w:r w:rsidR="00527952" w:rsidRPr="00C54AFA">
        <w:rPr>
          <w:rFonts w:asciiTheme="majorBidi" w:hAnsiTheme="majorBidi" w:cstheme="majorBidi"/>
        </w:rPr>
        <w:t xml:space="preserve">  </w:t>
      </w:r>
      <w:r w:rsidR="00A63A71" w:rsidRPr="00C54AFA">
        <w:rPr>
          <w:rFonts w:asciiTheme="majorBidi" w:hAnsiTheme="majorBidi" w:cstheme="majorBidi"/>
        </w:rPr>
        <w:t>来文方就一起未决案件提供了资料。</w:t>
      </w:r>
    </w:p>
    <w:p w:rsidR="00A63A71" w:rsidRPr="00C54AFA" w:rsidRDefault="00A63A71" w:rsidP="00116230">
      <w:pPr>
        <w:pStyle w:val="H23GC"/>
      </w:pPr>
      <w:r w:rsidRPr="00C54AFA">
        <w:tab/>
      </w:r>
      <w:r w:rsidRPr="00C54AFA">
        <w:tab/>
      </w:r>
      <w:r w:rsidRPr="00C54AFA">
        <w:t>澄清</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12</w:t>
      </w:r>
      <w:r w:rsidR="00C54AFA" w:rsidRPr="00C54AFA">
        <w:rPr>
          <w:rFonts w:asciiTheme="majorBidi" w:hAnsiTheme="majorBidi" w:cstheme="majorBidi"/>
        </w:rPr>
        <w:t>3.</w:t>
      </w:r>
      <w:r w:rsidR="00527952" w:rsidRPr="00C54AFA">
        <w:rPr>
          <w:rFonts w:asciiTheme="majorBidi" w:hAnsiTheme="majorBidi" w:cstheme="majorBidi"/>
        </w:rPr>
        <w:t xml:space="preserve">  </w:t>
      </w:r>
      <w:r w:rsidR="00A63A71" w:rsidRPr="00C54AFA">
        <w:rPr>
          <w:rFonts w:asciiTheme="majorBidi" w:hAnsiTheme="majorBidi" w:cstheme="majorBidi"/>
        </w:rPr>
        <w:t>基于来文方提供的资料</w:t>
      </w:r>
      <w:r w:rsidR="00C54AFA" w:rsidRPr="00C54AFA">
        <w:rPr>
          <w:rFonts w:asciiTheme="majorBidi" w:hAnsiTheme="majorBidi" w:cstheme="majorBidi"/>
        </w:rPr>
        <w:t>，</w:t>
      </w:r>
      <w:r w:rsidR="00A63A71" w:rsidRPr="00C54AFA">
        <w:rPr>
          <w:rFonts w:asciiTheme="majorBidi" w:hAnsiTheme="majorBidi" w:cstheme="majorBidi"/>
        </w:rPr>
        <w:t>工作组决定澄清一起案件。</w:t>
      </w:r>
    </w:p>
    <w:p w:rsidR="00A63A71" w:rsidRPr="00C54AFA" w:rsidRDefault="00A63A71" w:rsidP="00116230">
      <w:pPr>
        <w:pStyle w:val="H1GC"/>
      </w:pPr>
      <w:r w:rsidRPr="00C54AFA">
        <w:tab/>
      </w:r>
      <w:r w:rsidRPr="00C54AFA">
        <w:tab/>
      </w:r>
      <w:r w:rsidRPr="00C54AFA">
        <w:t>西班牙</w:t>
      </w:r>
    </w:p>
    <w:p w:rsidR="00A63A71" w:rsidRPr="00C54AFA" w:rsidRDefault="00A63A71" w:rsidP="00116230">
      <w:pPr>
        <w:pStyle w:val="H23GC"/>
      </w:pPr>
      <w:r w:rsidRPr="00C54AFA">
        <w:tab/>
      </w:r>
      <w:r w:rsidRPr="00C54AFA">
        <w:tab/>
      </w:r>
      <w:r w:rsidRPr="00C54AFA">
        <w:t>来文方提供的资料</w:t>
      </w:r>
    </w:p>
    <w:p w:rsidR="00A63A71" w:rsidRPr="00C54AFA" w:rsidRDefault="00BC4B0A" w:rsidP="00527952">
      <w:pPr>
        <w:pStyle w:val="SingleTxtGC"/>
        <w:rPr>
          <w:rFonts w:asciiTheme="majorBidi" w:hAnsiTheme="majorBidi" w:cstheme="majorBidi"/>
        </w:rPr>
      </w:pPr>
      <w:r w:rsidRPr="00C54AFA">
        <w:rPr>
          <w:rFonts w:asciiTheme="majorBidi" w:hAnsiTheme="majorBidi" w:cstheme="majorBidi"/>
        </w:rPr>
        <w:t>12</w:t>
      </w:r>
      <w:r w:rsidR="00C54AFA" w:rsidRPr="00C54AFA">
        <w:rPr>
          <w:rFonts w:asciiTheme="majorBidi" w:hAnsiTheme="majorBidi" w:cstheme="majorBidi"/>
        </w:rPr>
        <w:t>4.</w:t>
      </w:r>
      <w:r w:rsidR="00527952" w:rsidRPr="00C54AFA">
        <w:rPr>
          <w:rFonts w:asciiTheme="majorBidi" w:hAnsiTheme="majorBidi" w:cstheme="majorBidi"/>
        </w:rPr>
        <w:t xml:space="preserve">  </w:t>
      </w:r>
      <w:r w:rsidR="00A63A71" w:rsidRPr="00C54AFA">
        <w:rPr>
          <w:rFonts w:asciiTheme="majorBidi" w:hAnsiTheme="majorBidi" w:cstheme="majorBidi"/>
        </w:rPr>
        <w:t>来文方就一起未决案件提供了资料。</w:t>
      </w:r>
    </w:p>
    <w:p w:rsidR="00A63A71" w:rsidRPr="00C54AFA" w:rsidRDefault="00A63A71" w:rsidP="00116230">
      <w:pPr>
        <w:pStyle w:val="H23GC"/>
      </w:pPr>
      <w:r w:rsidRPr="00C54AFA">
        <w:tab/>
      </w:r>
      <w:r w:rsidRPr="00C54AFA">
        <w:tab/>
      </w:r>
      <w:r w:rsidRPr="00C54AFA">
        <w:t>其他信函</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12</w:t>
      </w:r>
      <w:r w:rsidR="00C54AFA" w:rsidRPr="00C54AFA">
        <w:rPr>
          <w:rFonts w:asciiTheme="majorBidi" w:hAnsiTheme="majorBidi" w:cstheme="majorBidi"/>
        </w:rPr>
        <w:t>5.</w:t>
      </w:r>
      <w:r w:rsidR="00C0631D"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7</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工作组与另一个特别程序机制联合转交了一封信函</w:t>
      </w:r>
      <w:r w:rsidR="00C54AFA" w:rsidRPr="00C54AFA">
        <w:rPr>
          <w:rFonts w:asciiTheme="majorBidi" w:hAnsiTheme="majorBidi" w:cstheme="majorBidi"/>
        </w:rPr>
        <w:t>，</w:t>
      </w:r>
      <w:r w:rsidR="00A63A71" w:rsidRPr="00C54AFA">
        <w:rPr>
          <w:rFonts w:asciiTheme="majorBidi" w:hAnsiTheme="majorBidi" w:cstheme="majorBidi"/>
        </w:rPr>
        <w:t>涉及以下指控</w:t>
      </w:r>
      <w:r w:rsidR="00C54AFA" w:rsidRPr="00C54AFA">
        <w:rPr>
          <w:rFonts w:asciiTheme="majorBidi" w:hAnsiTheme="majorBidi" w:cstheme="majorBidi"/>
        </w:rPr>
        <w:t>：</w:t>
      </w:r>
      <w:r w:rsidR="00A63A71" w:rsidRPr="00C54AFA">
        <w:rPr>
          <w:rFonts w:asciiTheme="majorBidi" w:hAnsiTheme="majorBidi" w:cstheme="majorBidi"/>
        </w:rPr>
        <w:t>由于缺乏资金</w:t>
      </w:r>
      <w:r w:rsidR="00C54AFA" w:rsidRPr="00C54AFA">
        <w:rPr>
          <w:rFonts w:asciiTheme="majorBidi" w:hAnsiTheme="majorBidi" w:cstheme="majorBidi"/>
        </w:rPr>
        <w:t>，</w:t>
      </w:r>
      <w:r w:rsidR="00A63A71" w:rsidRPr="00C54AFA">
        <w:rPr>
          <w:rFonts w:asciiTheme="majorBidi" w:hAnsiTheme="majorBidi" w:cstheme="majorBidi"/>
        </w:rPr>
        <w:t>可能关闭蓬费拉达的一个实验室</w:t>
      </w:r>
      <w:r w:rsidR="00C54AFA" w:rsidRPr="00C54AFA">
        <w:rPr>
          <w:rFonts w:asciiTheme="majorBidi" w:hAnsiTheme="majorBidi" w:cstheme="majorBidi"/>
        </w:rPr>
        <w:t>，</w:t>
      </w:r>
      <w:r w:rsidR="00A63A71" w:rsidRPr="00C54AFA">
        <w:rPr>
          <w:rFonts w:asciiTheme="majorBidi" w:hAnsiTheme="majorBidi" w:cstheme="majorBidi"/>
        </w:rPr>
        <w:t>该实验室的服务用于发掘在内战遗留下来的群葬墓中发现的受害人遗骸。</w:t>
      </w:r>
    </w:p>
    <w:p w:rsidR="00A63A71" w:rsidRPr="00C54AFA" w:rsidRDefault="00A63A71" w:rsidP="00116230">
      <w:pPr>
        <w:pStyle w:val="H1GC"/>
      </w:pPr>
      <w:r w:rsidRPr="00C54AFA">
        <w:tab/>
      </w:r>
      <w:r w:rsidRPr="00C54AFA">
        <w:tab/>
      </w:r>
      <w:r w:rsidRPr="00C54AFA">
        <w:t>斯里兰卡</w:t>
      </w:r>
    </w:p>
    <w:p w:rsidR="00A63A71" w:rsidRPr="00C54AFA" w:rsidRDefault="00A63A71" w:rsidP="00116230">
      <w:pPr>
        <w:pStyle w:val="H23GC"/>
      </w:pPr>
      <w:r w:rsidRPr="00C54AFA">
        <w:tab/>
      </w:r>
      <w:r w:rsidRPr="00C54AFA">
        <w:tab/>
      </w:r>
      <w:r w:rsidRPr="00C54AFA">
        <w:t>标准程序</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12</w:t>
      </w:r>
      <w:r w:rsidR="00C54AFA" w:rsidRPr="00C54AFA">
        <w:rPr>
          <w:rFonts w:asciiTheme="majorBidi" w:hAnsiTheme="majorBidi" w:cstheme="majorBidi"/>
        </w:rPr>
        <w:t>6.</w:t>
      </w:r>
      <w:r w:rsidR="00C0631D" w:rsidRPr="00C54AFA">
        <w:rPr>
          <w:rFonts w:asciiTheme="majorBidi" w:hAnsiTheme="majorBidi" w:cstheme="majorBidi"/>
        </w:rPr>
        <w:t xml:space="preserve">  </w:t>
      </w:r>
      <w:r w:rsidR="00A63A71" w:rsidRPr="00C54AFA">
        <w:rPr>
          <w:rFonts w:asciiTheme="majorBidi" w:hAnsiTheme="majorBidi" w:cstheme="majorBidi"/>
        </w:rPr>
        <w:t>工作组向该国政府转交了关于以下人员的</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起案件</w:t>
      </w:r>
      <w:r w:rsidR="00C54AFA" w:rsidRPr="00C54AFA">
        <w:rPr>
          <w:rFonts w:asciiTheme="majorBidi" w:hAnsiTheme="majorBidi" w:cstheme="majorBidi"/>
        </w:rPr>
        <w:t>：</w:t>
      </w:r>
    </w:p>
    <w:p w:rsidR="00A63A71" w:rsidRPr="00C54AFA" w:rsidRDefault="00BC4B0A" w:rsidP="00C0631D">
      <w:pPr>
        <w:pStyle w:val="SingleTxtGC"/>
        <w:numPr>
          <w:ilvl w:val="0"/>
          <w:numId w:val="22"/>
        </w:numPr>
        <w:rPr>
          <w:rFonts w:asciiTheme="majorBidi" w:hAnsiTheme="majorBidi" w:cstheme="majorBidi"/>
        </w:rPr>
      </w:pPr>
      <w:r w:rsidRPr="00C54AFA">
        <w:rPr>
          <w:rFonts w:asciiTheme="majorBidi" w:hAnsiTheme="majorBidi" w:cstheme="majorBidi"/>
        </w:rPr>
        <w:t>Madushka</w:t>
      </w:r>
      <w:r w:rsidR="00A63A71" w:rsidRPr="00C54AFA">
        <w:rPr>
          <w:rFonts w:asciiTheme="majorBidi" w:hAnsiTheme="majorBidi" w:cstheme="majorBidi"/>
        </w:rPr>
        <w:t xml:space="preserve"> </w:t>
      </w:r>
      <w:r w:rsidRPr="00C54AFA">
        <w:rPr>
          <w:rFonts w:asciiTheme="majorBidi" w:hAnsiTheme="majorBidi" w:cstheme="majorBidi"/>
        </w:rPr>
        <w:t>Haris</w:t>
      </w:r>
      <w:r w:rsidR="00A63A71" w:rsidRPr="00C54AFA">
        <w:rPr>
          <w:rFonts w:asciiTheme="majorBidi" w:hAnsiTheme="majorBidi" w:cstheme="majorBidi"/>
        </w:rPr>
        <w:t xml:space="preserve"> </w:t>
      </w:r>
      <w:r w:rsidRPr="00C54AFA">
        <w:rPr>
          <w:rFonts w:asciiTheme="majorBidi" w:hAnsiTheme="majorBidi" w:cstheme="majorBidi"/>
        </w:rPr>
        <w:t>De</w:t>
      </w:r>
      <w:r w:rsidR="00A63A71" w:rsidRPr="00C54AFA">
        <w:rPr>
          <w:rFonts w:asciiTheme="majorBidi" w:hAnsiTheme="majorBidi" w:cstheme="majorBidi"/>
        </w:rPr>
        <w:t xml:space="preserve"> </w:t>
      </w:r>
      <w:r w:rsidRPr="00C54AFA">
        <w:rPr>
          <w:rFonts w:asciiTheme="majorBidi" w:hAnsiTheme="majorBidi" w:cstheme="majorBidi"/>
        </w:rPr>
        <w:t>Silva</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据称最后一次被人见到是</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9</w:t>
      </w:r>
      <w:r w:rsidR="00A63A71" w:rsidRPr="00C54AFA">
        <w:rPr>
          <w:rFonts w:asciiTheme="majorBidi" w:hAnsiTheme="majorBidi" w:cstheme="majorBidi"/>
        </w:rPr>
        <w:t>月</w:t>
      </w:r>
      <w:r w:rsidRPr="00C54AFA">
        <w:rPr>
          <w:rFonts w:asciiTheme="majorBidi" w:hAnsiTheme="majorBidi" w:cstheme="majorBidi"/>
        </w:rPr>
        <w:t>2</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在阿努拉德普勒北部中心省</w:t>
      </w:r>
      <w:r w:rsidR="00C54AFA" w:rsidRPr="00C54AFA">
        <w:rPr>
          <w:rFonts w:asciiTheme="majorBidi" w:hAnsiTheme="majorBidi" w:cstheme="majorBidi"/>
        </w:rPr>
        <w:t>；</w:t>
      </w:r>
      <w:r w:rsidR="00A63A71" w:rsidRPr="00C54AFA">
        <w:rPr>
          <w:rFonts w:asciiTheme="majorBidi" w:hAnsiTheme="majorBidi" w:cstheme="majorBidi"/>
        </w:rPr>
        <w:t>据称警察对他的失踪负有责任</w:t>
      </w:r>
      <w:r w:rsidR="00C54AFA" w:rsidRPr="00C54AFA">
        <w:rPr>
          <w:rFonts w:asciiTheme="majorBidi" w:hAnsiTheme="majorBidi" w:cstheme="majorBidi"/>
        </w:rPr>
        <w:t>；</w:t>
      </w:r>
    </w:p>
    <w:p w:rsidR="00A63A71" w:rsidRPr="00C54AFA" w:rsidRDefault="00BC4B0A" w:rsidP="00C0631D">
      <w:pPr>
        <w:pStyle w:val="SingleTxtGC"/>
        <w:numPr>
          <w:ilvl w:val="0"/>
          <w:numId w:val="22"/>
        </w:numPr>
        <w:rPr>
          <w:rFonts w:asciiTheme="majorBidi" w:hAnsiTheme="majorBidi" w:cstheme="majorBidi"/>
        </w:rPr>
      </w:pPr>
      <w:r w:rsidRPr="00C54AFA">
        <w:rPr>
          <w:rFonts w:asciiTheme="majorBidi" w:hAnsiTheme="majorBidi" w:cstheme="majorBidi"/>
        </w:rPr>
        <w:t>Jeyachandran</w:t>
      </w:r>
      <w:r w:rsidR="00A63A71" w:rsidRPr="00C54AFA">
        <w:rPr>
          <w:rFonts w:asciiTheme="majorBidi" w:hAnsiTheme="majorBidi" w:cstheme="majorBidi"/>
        </w:rPr>
        <w:t xml:space="preserve"> </w:t>
      </w:r>
      <w:r w:rsidRPr="00C54AFA">
        <w:rPr>
          <w:rFonts w:asciiTheme="majorBidi" w:hAnsiTheme="majorBidi" w:cstheme="majorBidi"/>
        </w:rPr>
        <w:t>Shivasubramaniyam</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据称最后一次被人见到是</w:t>
      </w:r>
      <w:r w:rsidRPr="00C54AFA">
        <w:rPr>
          <w:rFonts w:asciiTheme="majorBidi" w:hAnsiTheme="majorBidi" w:cstheme="majorBidi"/>
        </w:rPr>
        <w:t>2</w:t>
      </w:r>
      <w:r w:rsidR="00A63A71" w:rsidRPr="00C54AFA">
        <w:rPr>
          <w:rFonts w:asciiTheme="majorBidi" w:hAnsiTheme="majorBidi" w:cstheme="majorBidi"/>
        </w:rPr>
        <w:t>00</w:t>
      </w:r>
      <w:r w:rsidRPr="00C54AFA">
        <w:rPr>
          <w:rFonts w:asciiTheme="majorBidi" w:hAnsiTheme="majorBidi" w:cstheme="majorBidi"/>
        </w:rPr>
        <w:t>9</w:t>
      </w:r>
      <w:r w:rsidR="00A63A71" w:rsidRPr="00C54AFA">
        <w:rPr>
          <w:rFonts w:asciiTheme="majorBidi" w:hAnsiTheme="majorBidi" w:cstheme="majorBidi"/>
        </w:rPr>
        <w:t>年</w:t>
      </w:r>
      <w:r w:rsidRPr="00C54AFA">
        <w:rPr>
          <w:rFonts w:asciiTheme="majorBidi" w:hAnsiTheme="majorBidi" w:cstheme="majorBidi"/>
        </w:rPr>
        <w:t>5</w:t>
      </w:r>
      <w:r w:rsidR="00A63A71" w:rsidRPr="00C54AFA">
        <w:rPr>
          <w:rFonts w:asciiTheme="majorBidi" w:hAnsiTheme="majorBidi" w:cstheme="majorBidi"/>
        </w:rPr>
        <w:t>月</w:t>
      </w:r>
      <w:r w:rsidRPr="00C54AFA">
        <w:rPr>
          <w:rFonts w:asciiTheme="majorBidi" w:hAnsiTheme="majorBidi" w:cstheme="majorBidi"/>
        </w:rPr>
        <w:t>19</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据报告</w:t>
      </w:r>
      <w:r w:rsidR="00A63A71" w:rsidRPr="00C54AFA">
        <w:rPr>
          <w:rFonts w:asciiTheme="majorBidi" w:hAnsiTheme="majorBidi" w:cstheme="majorBidi"/>
        </w:rPr>
        <w:t>.</w:t>
      </w:r>
      <w:r w:rsidR="00A63A71" w:rsidRPr="00C54AFA">
        <w:rPr>
          <w:rFonts w:asciiTheme="majorBidi" w:hAnsiTheme="majorBidi" w:cstheme="majorBidi"/>
        </w:rPr>
        <w:t>他于此日向北部省</w:t>
      </w:r>
      <w:r w:rsidRPr="00C54AFA">
        <w:rPr>
          <w:rFonts w:asciiTheme="majorBidi" w:hAnsiTheme="majorBidi" w:cstheme="majorBidi"/>
        </w:rPr>
        <w:t>Vadduvagal</w:t>
      </w:r>
      <w:r w:rsidR="00A63A71" w:rsidRPr="00C54AFA">
        <w:rPr>
          <w:rFonts w:asciiTheme="majorBidi" w:hAnsiTheme="majorBidi" w:cstheme="majorBidi"/>
        </w:rPr>
        <w:t>的斯里兰卡军队投降</w:t>
      </w:r>
      <w:r w:rsidR="00C54AFA" w:rsidRPr="00C54AFA">
        <w:rPr>
          <w:rFonts w:asciiTheme="majorBidi" w:hAnsiTheme="majorBidi" w:cstheme="majorBidi"/>
        </w:rPr>
        <w:t>；</w:t>
      </w:r>
    </w:p>
    <w:p w:rsidR="00A63A71" w:rsidRPr="00B9215E" w:rsidRDefault="00BC4B0A" w:rsidP="00C0631D">
      <w:pPr>
        <w:pStyle w:val="SingleTxtGC"/>
        <w:numPr>
          <w:ilvl w:val="0"/>
          <w:numId w:val="22"/>
        </w:numPr>
        <w:rPr>
          <w:rFonts w:asciiTheme="majorBidi" w:hAnsiTheme="majorBidi" w:cstheme="majorBidi"/>
          <w:spacing w:val="-4"/>
        </w:rPr>
      </w:pPr>
      <w:r w:rsidRPr="00B9215E">
        <w:rPr>
          <w:rFonts w:asciiTheme="majorBidi" w:hAnsiTheme="majorBidi" w:cstheme="majorBidi"/>
          <w:spacing w:val="-4"/>
        </w:rPr>
        <w:t>Nimalan</w:t>
      </w:r>
      <w:r w:rsidR="00A63A71" w:rsidRPr="00B9215E">
        <w:rPr>
          <w:rFonts w:asciiTheme="majorBidi" w:hAnsiTheme="majorBidi" w:cstheme="majorBidi"/>
          <w:spacing w:val="-4"/>
        </w:rPr>
        <w:t xml:space="preserve"> </w:t>
      </w:r>
      <w:r w:rsidRPr="00B9215E">
        <w:rPr>
          <w:rFonts w:asciiTheme="majorBidi" w:hAnsiTheme="majorBidi" w:cstheme="majorBidi"/>
          <w:spacing w:val="-4"/>
        </w:rPr>
        <w:t>Jeyakumar</w:t>
      </w:r>
      <w:r w:rsidR="00A63A71" w:rsidRPr="00B9215E">
        <w:rPr>
          <w:rFonts w:asciiTheme="majorBidi" w:hAnsiTheme="majorBidi" w:cstheme="majorBidi"/>
          <w:spacing w:val="-4"/>
        </w:rPr>
        <w:t>先生</w:t>
      </w:r>
      <w:r w:rsidR="00C54AFA" w:rsidRPr="00B9215E">
        <w:rPr>
          <w:rFonts w:asciiTheme="majorBidi" w:hAnsiTheme="majorBidi" w:cstheme="majorBidi"/>
          <w:spacing w:val="-4"/>
        </w:rPr>
        <w:t>，</w:t>
      </w:r>
      <w:r w:rsidR="00A63A71" w:rsidRPr="00B9215E">
        <w:rPr>
          <w:rFonts w:asciiTheme="majorBidi" w:hAnsiTheme="majorBidi" w:cstheme="majorBidi"/>
          <w:spacing w:val="-4"/>
        </w:rPr>
        <w:t>据称最后一次被人见到是</w:t>
      </w:r>
      <w:r w:rsidRPr="00B9215E">
        <w:rPr>
          <w:rFonts w:asciiTheme="majorBidi" w:hAnsiTheme="majorBidi" w:cstheme="majorBidi"/>
          <w:spacing w:val="-4"/>
        </w:rPr>
        <w:t>2</w:t>
      </w:r>
      <w:r w:rsidR="00A63A71" w:rsidRPr="00B9215E">
        <w:rPr>
          <w:rFonts w:asciiTheme="majorBidi" w:hAnsiTheme="majorBidi" w:cstheme="majorBidi"/>
          <w:spacing w:val="-4"/>
        </w:rPr>
        <w:t>00</w:t>
      </w:r>
      <w:r w:rsidRPr="00B9215E">
        <w:rPr>
          <w:rFonts w:asciiTheme="majorBidi" w:hAnsiTheme="majorBidi" w:cstheme="majorBidi"/>
          <w:spacing w:val="-4"/>
        </w:rPr>
        <w:t>9</w:t>
      </w:r>
      <w:r w:rsidR="00A63A71" w:rsidRPr="00B9215E">
        <w:rPr>
          <w:rFonts w:asciiTheme="majorBidi" w:hAnsiTheme="majorBidi" w:cstheme="majorBidi"/>
          <w:spacing w:val="-4"/>
        </w:rPr>
        <w:t>年</w:t>
      </w:r>
      <w:r w:rsidRPr="00B9215E">
        <w:rPr>
          <w:rFonts w:asciiTheme="majorBidi" w:hAnsiTheme="majorBidi" w:cstheme="majorBidi"/>
          <w:spacing w:val="-4"/>
        </w:rPr>
        <w:t>2</w:t>
      </w:r>
      <w:r w:rsidR="00A63A71" w:rsidRPr="00B9215E">
        <w:rPr>
          <w:rFonts w:asciiTheme="majorBidi" w:hAnsiTheme="majorBidi" w:cstheme="majorBidi"/>
          <w:spacing w:val="-4"/>
        </w:rPr>
        <w:t>月</w:t>
      </w:r>
      <w:r w:rsidRPr="00B9215E">
        <w:rPr>
          <w:rFonts w:asciiTheme="majorBidi" w:hAnsiTheme="majorBidi" w:cstheme="majorBidi"/>
          <w:spacing w:val="-4"/>
        </w:rPr>
        <w:t>2</w:t>
      </w:r>
      <w:r w:rsidR="00A63A71" w:rsidRPr="00B9215E">
        <w:rPr>
          <w:rFonts w:asciiTheme="majorBidi" w:hAnsiTheme="majorBidi" w:cstheme="majorBidi"/>
          <w:spacing w:val="-4"/>
        </w:rPr>
        <w:t>日</w:t>
      </w:r>
      <w:r w:rsidR="00C54AFA" w:rsidRPr="00B9215E">
        <w:rPr>
          <w:rFonts w:asciiTheme="majorBidi" w:hAnsiTheme="majorBidi" w:cstheme="majorBidi"/>
          <w:spacing w:val="-4"/>
        </w:rPr>
        <w:t>，</w:t>
      </w:r>
      <w:r w:rsidR="00A63A71" w:rsidRPr="00B9215E">
        <w:rPr>
          <w:rFonts w:asciiTheme="majorBidi" w:hAnsiTheme="majorBidi" w:cstheme="majorBidi"/>
          <w:spacing w:val="-4"/>
        </w:rPr>
        <w:t>在北部省穆莱蒂武地区</w:t>
      </w:r>
      <w:r w:rsidRPr="00B9215E">
        <w:rPr>
          <w:rFonts w:asciiTheme="majorBidi" w:hAnsiTheme="majorBidi" w:cstheme="majorBidi"/>
          <w:spacing w:val="-4"/>
        </w:rPr>
        <w:t>Wallipunam</w:t>
      </w:r>
      <w:r w:rsidR="00C54AFA" w:rsidRPr="00B9215E">
        <w:rPr>
          <w:rFonts w:asciiTheme="majorBidi" w:hAnsiTheme="majorBidi" w:cstheme="majorBidi"/>
          <w:spacing w:val="-4"/>
        </w:rPr>
        <w:t>；</w:t>
      </w:r>
      <w:r w:rsidR="00A63A71" w:rsidRPr="00B9215E">
        <w:rPr>
          <w:rFonts w:asciiTheme="majorBidi" w:hAnsiTheme="majorBidi" w:cstheme="majorBidi"/>
          <w:spacing w:val="-4"/>
        </w:rPr>
        <w:t>据报告</w:t>
      </w:r>
      <w:r w:rsidR="00C54AFA" w:rsidRPr="00B9215E">
        <w:rPr>
          <w:rFonts w:asciiTheme="majorBidi" w:hAnsiTheme="majorBidi" w:cstheme="majorBidi"/>
          <w:spacing w:val="-4"/>
        </w:rPr>
        <w:t>，</w:t>
      </w:r>
      <w:r w:rsidR="00A63A71" w:rsidRPr="00B9215E">
        <w:rPr>
          <w:rFonts w:asciiTheme="majorBidi" w:hAnsiTheme="majorBidi" w:cstheme="majorBidi"/>
          <w:spacing w:val="-4"/>
        </w:rPr>
        <w:t>斯里兰卡军队对他的失踪负有责任</w:t>
      </w:r>
      <w:r w:rsidR="00C54AFA" w:rsidRPr="00B9215E">
        <w:rPr>
          <w:rFonts w:asciiTheme="majorBidi" w:hAnsiTheme="majorBidi" w:cstheme="majorBidi"/>
          <w:spacing w:val="-4"/>
        </w:rPr>
        <w:t>；</w:t>
      </w:r>
    </w:p>
    <w:p w:rsidR="00A63A71" w:rsidRPr="00C54AFA" w:rsidRDefault="00BC4B0A" w:rsidP="00C0631D">
      <w:pPr>
        <w:pStyle w:val="SingleTxtGC"/>
        <w:numPr>
          <w:ilvl w:val="0"/>
          <w:numId w:val="22"/>
        </w:numPr>
        <w:rPr>
          <w:rFonts w:asciiTheme="majorBidi" w:hAnsiTheme="majorBidi" w:cstheme="majorBidi"/>
        </w:rPr>
      </w:pPr>
      <w:r w:rsidRPr="00C54AFA">
        <w:rPr>
          <w:rFonts w:asciiTheme="majorBidi" w:hAnsiTheme="majorBidi" w:cstheme="majorBidi"/>
        </w:rPr>
        <w:t>Jeromy</w:t>
      </w:r>
      <w:r w:rsidR="00A63A71" w:rsidRPr="00C54AFA">
        <w:rPr>
          <w:rFonts w:asciiTheme="majorBidi" w:hAnsiTheme="majorBidi" w:cstheme="majorBidi"/>
        </w:rPr>
        <w:t xml:space="preserve"> </w:t>
      </w:r>
      <w:r w:rsidRPr="00C54AFA">
        <w:rPr>
          <w:rFonts w:asciiTheme="majorBidi" w:hAnsiTheme="majorBidi" w:cstheme="majorBidi"/>
        </w:rPr>
        <w:t>Kashipillai</w:t>
      </w:r>
      <w:r w:rsidR="00A63A71" w:rsidRPr="00C54AFA">
        <w:rPr>
          <w:rFonts w:asciiTheme="majorBidi" w:hAnsiTheme="majorBidi" w:cstheme="majorBidi"/>
        </w:rPr>
        <w:t>女士</w:t>
      </w:r>
      <w:r w:rsidR="00C54AFA" w:rsidRPr="00C54AFA">
        <w:rPr>
          <w:rFonts w:asciiTheme="majorBidi" w:hAnsiTheme="majorBidi" w:cstheme="majorBidi"/>
        </w:rPr>
        <w:t>，</w:t>
      </w:r>
      <w:r w:rsidR="00A63A71" w:rsidRPr="00C54AFA">
        <w:rPr>
          <w:rFonts w:asciiTheme="majorBidi" w:hAnsiTheme="majorBidi" w:cstheme="majorBidi"/>
        </w:rPr>
        <w:t>据称最后一次被人见到是</w:t>
      </w:r>
      <w:r w:rsidRPr="00C54AFA">
        <w:rPr>
          <w:rFonts w:asciiTheme="majorBidi" w:hAnsiTheme="majorBidi" w:cstheme="majorBidi"/>
        </w:rPr>
        <w:t>2</w:t>
      </w:r>
      <w:r w:rsidR="00A63A71" w:rsidRPr="00C54AFA">
        <w:rPr>
          <w:rFonts w:asciiTheme="majorBidi" w:hAnsiTheme="majorBidi" w:cstheme="majorBidi"/>
        </w:rPr>
        <w:t>00</w:t>
      </w:r>
      <w:r w:rsidRPr="00C54AFA">
        <w:rPr>
          <w:rFonts w:asciiTheme="majorBidi" w:hAnsiTheme="majorBidi" w:cstheme="majorBidi"/>
        </w:rPr>
        <w:t>9</w:t>
      </w:r>
      <w:r w:rsidR="00A63A71" w:rsidRPr="00C54AFA">
        <w:rPr>
          <w:rFonts w:asciiTheme="majorBidi" w:hAnsiTheme="majorBidi" w:cstheme="majorBidi"/>
        </w:rPr>
        <w:t>年</w:t>
      </w:r>
      <w:r w:rsidRPr="00C54AFA">
        <w:rPr>
          <w:rFonts w:asciiTheme="majorBidi" w:hAnsiTheme="majorBidi" w:cstheme="majorBidi"/>
        </w:rPr>
        <w:t>4</w:t>
      </w:r>
      <w:r w:rsidR="00A63A71" w:rsidRPr="00C54AFA">
        <w:rPr>
          <w:rFonts w:asciiTheme="majorBidi" w:hAnsiTheme="majorBidi" w:cstheme="majorBidi"/>
        </w:rPr>
        <w:t>月</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在北部省</w:t>
      </w:r>
      <w:r w:rsidRPr="00C54AFA">
        <w:rPr>
          <w:rFonts w:asciiTheme="majorBidi" w:hAnsiTheme="majorBidi" w:cstheme="majorBidi"/>
        </w:rPr>
        <w:t>Wanni</w:t>
      </w:r>
      <w:r w:rsidR="00C54AFA" w:rsidRPr="00C54AFA">
        <w:rPr>
          <w:rFonts w:asciiTheme="majorBidi" w:hAnsiTheme="majorBidi" w:cstheme="majorBidi"/>
        </w:rPr>
        <w:t>；</w:t>
      </w:r>
      <w:r w:rsidR="00A63A71" w:rsidRPr="00C54AFA">
        <w:rPr>
          <w:rFonts w:asciiTheme="majorBidi" w:hAnsiTheme="majorBidi" w:cstheme="majorBidi"/>
        </w:rPr>
        <w:t>据报告</w:t>
      </w:r>
      <w:r w:rsidR="00C54AFA" w:rsidRPr="00C54AFA">
        <w:rPr>
          <w:rFonts w:asciiTheme="majorBidi" w:hAnsiTheme="majorBidi" w:cstheme="majorBidi"/>
        </w:rPr>
        <w:t>，</w:t>
      </w:r>
      <w:r w:rsidR="00A63A71" w:rsidRPr="00C54AFA">
        <w:rPr>
          <w:rFonts w:asciiTheme="majorBidi" w:hAnsiTheme="majorBidi" w:cstheme="majorBidi"/>
        </w:rPr>
        <w:t>她于此日向斯里兰卡军队投降</w:t>
      </w:r>
      <w:r w:rsidR="00C54AFA" w:rsidRPr="00C54AFA">
        <w:rPr>
          <w:rFonts w:asciiTheme="majorBidi" w:hAnsiTheme="majorBidi" w:cstheme="majorBidi"/>
        </w:rPr>
        <w:t>；</w:t>
      </w:r>
    </w:p>
    <w:p w:rsidR="00A63A71" w:rsidRPr="00C54AFA" w:rsidRDefault="00BC4B0A" w:rsidP="00C0631D">
      <w:pPr>
        <w:pStyle w:val="SingleTxtGC"/>
        <w:numPr>
          <w:ilvl w:val="0"/>
          <w:numId w:val="22"/>
        </w:numPr>
        <w:rPr>
          <w:rFonts w:asciiTheme="majorBidi" w:hAnsiTheme="majorBidi" w:cstheme="majorBidi"/>
        </w:rPr>
      </w:pPr>
      <w:r w:rsidRPr="00C54AFA">
        <w:rPr>
          <w:rFonts w:asciiTheme="majorBidi" w:hAnsiTheme="majorBidi" w:cstheme="majorBidi"/>
        </w:rPr>
        <w:t>Nalini</w:t>
      </w:r>
      <w:r w:rsidR="00A63A71" w:rsidRPr="00C54AFA">
        <w:rPr>
          <w:rFonts w:asciiTheme="majorBidi" w:hAnsiTheme="majorBidi" w:cstheme="majorBidi"/>
        </w:rPr>
        <w:t xml:space="preserve"> </w:t>
      </w:r>
      <w:r w:rsidRPr="00C54AFA">
        <w:rPr>
          <w:rFonts w:asciiTheme="majorBidi" w:hAnsiTheme="majorBidi" w:cstheme="majorBidi"/>
        </w:rPr>
        <w:t>Mahalingam</w:t>
      </w:r>
      <w:r w:rsidR="00A63A71" w:rsidRPr="00C54AFA">
        <w:rPr>
          <w:rFonts w:asciiTheme="majorBidi" w:hAnsiTheme="majorBidi" w:cstheme="majorBidi"/>
        </w:rPr>
        <w:t>女士</w:t>
      </w:r>
      <w:r w:rsidR="00C54AFA" w:rsidRPr="00C54AFA">
        <w:rPr>
          <w:rFonts w:asciiTheme="majorBidi" w:hAnsiTheme="majorBidi" w:cstheme="majorBidi"/>
        </w:rPr>
        <w:t>，</w:t>
      </w:r>
      <w:r w:rsidR="00A63A71" w:rsidRPr="00C54AFA">
        <w:rPr>
          <w:rFonts w:asciiTheme="majorBidi" w:hAnsiTheme="majorBidi" w:cstheme="majorBidi"/>
        </w:rPr>
        <w:t>据称最后一次被人见到是</w:t>
      </w:r>
      <w:r w:rsidRPr="00C54AFA">
        <w:rPr>
          <w:rFonts w:asciiTheme="majorBidi" w:hAnsiTheme="majorBidi" w:cstheme="majorBidi"/>
        </w:rPr>
        <w:t>2</w:t>
      </w:r>
      <w:r w:rsidR="00A63A71" w:rsidRPr="00C54AFA">
        <w:rPr>
          <w:rFonts w:asciiTheme="majorBidi" w:hAnsiTheme="majorBidi" w:cstheme="majorBidi"/>
        </w:rPr>
        <w:t>00</w:t>
      </w:r>
      <w:r w:rsidRPr="00C54AFA">
        <w:rPr>
          <w:rFonts w:asciiTheme="majorBidi" w:hAnsiTheme="majorBidi" w:cstheme="majorBidi"/>
        </w:rPr>
        <w:t>8</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7</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在北部省</w:t>
      </w:r>
      <w:r w:rsidRPr="00C54AFA">
        <w:rPr>
          <w:rFonts w:asciiTheme="majorBidi" w:hAnsiTheme="majorBidi" w:cstheme="majorBidi"/>
        </w:rPr>
        <w:t>Udaiyarkattu</w:t>
      </w:r>
      <w:r w:rsidR="00A63A71" w:rsidRPr="00C54AFA">
        <w:rPr>
          <w:rFonts w:asciiTheme="majorBidi" w:hAnsiTheme="majorBidi" w:cstheme="majorBidi"/>
        </w:rPr>
        <w:t>村</w:t>
      </w:r>
      <w:r w:rsidR="00C54AFA" w:rsidRPr="00C54AFA">
        <w:rPr>
          <w:rFonts w:asciiTheme="majorBidi" w:hAnsiTheme="majorBidi" w:cstheme="majorBidi"/>
        </w:rPr>
        <w:t>；</w:t>
      </w:r>
      <w:r w:rsidR="00A63A71" w:rsidRPr="00C54AFA">
        <w:rPr>
          <w:rFonts w:asciiTheme="majorBidi" w:hAnsiTheme="majorBidi" w:cstheme="majorBidi"/>
        </w:rPr>
        <w:t>据称斯里兰卡军队对她的失踪负有责任</w:t>
      </w:r>
      <w:r w:rsidR="00C54AFA" w:rsidRPr="00C54AFA">
        <w:rPr>
          <w:rFonts w:asciiTheme="majorBidi" w:hAnsiTheme="majorBidi" w:cstheme="majorBidi"/>
        </w:rPr>
        <w:t>；</w:t>
      </w:r>
    </w:p>
    <w:p w:rsidR="00A63A71" w:rsidRPr="00C54AFA" w:rsidRDefault="00BC4B0A" w:rsidP="00C0631D">
      <w:pPr>
        <w:pStyle w:val="SingleTxtGC"/>
        <w:numPr>
          <w:ilvl w:val="0"/>
          <w:numId w:val="22"/>
        </w:numPr>
        <w:rPr>
          <w:rFonts w:asciiTheme="majorBidi" w:hAnsiTheme="majorBidi" w:cstheme="majorBidi"/>
        </w:rPr>
      </w:pPr>
      <w:r w:rsidRPr="00C54AFA">
        <w:rPr>
          <w:rFonts w:asciiTheme="majorBidi" w:hAnsiTheme="majorBidi" w:cstheme="majorBidi"/>
        </w:rPr>
        <w:t>Sasikumar</w:t>
      </w:r>
      <w:r w:rsidR="00A63A71" w:rsidRPr="00C54AFA">
        <w:rPr>
          <w:rFonts w:asciiTheme="majorBidi" w:hAnsiTheme="majorBidi" w:cstheme="majorBidi"/>
        </w:rPr>
        <w:t xml:space="preserve"> </w:t>
      </w:r>
      <w:r w:rsidRPr="00C54AFA">
        <w:rPr>
          <w:rFonts w:asciiTheme="majorBidi" w:hAnsiTheme="majorBidi" w:cstheme="majorBidi"/>
        </w:rPr>
        <w:t>Mannikkam</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据报告</w:t>
      </w:r>
      <w:r w:rsidR="00C54AFA" w:rsidRPr="00C54AFA">
        <w:rPr>
          <w:rFonts w:asciiTheme="majorBidi" w:hAnsiTheme="majorBidi" w:cstheme="majorBidi"/>
        </w:rPr>
        <w:t>，</w:t>
      </w:r>
      <w:r w:rsidR="00A63A71" w:rsidRPr="00C54AFA">
        <w:rPr>
          <w:rFonts w:asciiTheme="majorBidi" w:hAnsiTheme="majorBidi" w:cstheme="majorBidi"/>
        </w:rPr>
        <w:t>最后一次被人见到是</w:t>
      </w:r>
      <w:r w:rsidRPr="00C54AFA">
        <w:rPr>
          <w:rFonts w:asciiTheme="majorBidi" w:hAnsiTheme="majorBidi" w:cstheme="majorBidi"/>
        </w:rPr>
        <w:t>2</w:t>
      </w:r>
      <w:r w:rsidR="00A63A71" w:rsidRPr="00C54AFA">
        <w:rPr>
          <w:rFonts w:asciiTheme="majorBidi" w:hAnsiTheme="majorBidi" w:cstheme="majorBidi"/>
        </w:rPr>
        <w:t>00</w:t>
      </w:r>
      <w:r w:rsidRPr="00C54AFA">
        <w:rPr>
          <w:rFonts w:asciiTheme="majorBidi" w:hAnsiTheme="majorBidi" w:cstheme="majorBidi"/>
        </w:rPr>
        <w:t>9</w:t>
      </w:r>
      <w:r w:rsidR="00A63A71" w:rsidRPr="00C54AFA">
        <w:rPr>
          <w:rFonts w:asciiTheme="majorBidi" w:hAnsiTheme="majorBidi" w:cstheme="majorBidi"/>
        </w:rPr>
        <w:t>年</w:t>
      </w:r>
      <w:r w:rsidRPr="00C54AFA">
        <w:rPr>
          <w:rFonts w:asciiTheme="majorBidi" w:hAnsiTheme="majorBidi" w:cstheme="majorBidi"/>
        </w:rPr>
        <w:t>5</w:t>
      </w:r>
      <w:r w:rsidR="00A63A71" w:rsidRPr="00C54AFA">
        <w:rPr>
          <w:rFonts w:asciiTheme="majorBidi" w:hAnsiTheme="majorBidi" w:cstheme="majorBidi"/>
        </w:rPr>
        <w:t>月</w:t>
      </w:r>
      <w:r w:rsidRPr="00C54AFA">
        <w:rPr>
          <w:rFonts w:asciiTheme="majorBidi" w:hAnsiTheme="majorBidi" w:cstheme="majorBidi"/>
        </w:rPr>
        <w:t>17</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在北方省穆莱蒂武地区</w:t>
      </w:r>
      <w:r w:rsidR="00C54AFA" w:rsidRPr="00C54AFA">
        <w:rPr>
          <w:rFonts w:asciiTheme="majorBidi" w:hAnsiTheme="majorBidi" w:cstheme="majorBidi"/>
        </w:rPr>
        <w:t>，</w:t>
      </w:r>
      <w:r w:rsidR="00A63A71" w:rsidRPr="00C54AFA">
        <w:rPr>
          <w:rFonts w:asciiTheme="majorBidi" w:hAnsiTheme="majorBidi" w:cstheme="majorBidi"/>
        </w:rPr>
        <w:t>此后被斯里兰卡军队控制</w:t>
      </w:r>
      <w:r w:rsidR="00C54AFA" w:rsidRPr="00C54AFA">
        <w:rPr>
          <w:rFonts w:asciiTheme="majorBidi" w:hAnsiTheme="majorBidi" w:cstheme="majorBidi"/>
        </w:rPr>
        <w:t>；</w:t>
      </w:r>
    </w:p>
    <w:p w:rsidR="00A63A71" w:rsidRPr="00C54AFA" w:rsidRDefault="00BC4B0A" w:rsidP="00C54AFA">
      <w:pPr>
        <w:pStyle w:val="SingleTxtGC"/>
        <w:numPr>
          <w:ilvl w:val="0"/>
          <w:numId w:val="22"/>
        </w:numPr>
        <w:rPr>
          <w:rFonts w:asciiTheme="majorBidi" w:hAnsiTheme="majorBidi" w:cstheme="majorBidi"/>
        </w:rPr>
      </w:pPr>
      <w:r w:rsidRPr="00C54AFA">
        <w:rPr>
          <w:rFonts w:asciiTheme="majorBidi" w:hAnsiTheme="majorBidi" w:cstheme="majorBidi"/>
        </w:rPr>
        <w:t>Nishanthini</w:t>
      </w:r>
      <w:r w:rsidR="00A63A71" w:rsidRPr="00C54AFA">
        <w:rPr>
          <w:rFonts w:asciiTheme="majorBidi" w:hAnsiTheme="majorBidi" w:cstheme="majorBidi"/>
        </w:rPr>
        <w:t xml:space="preserve"> </w:t>
      </w:r>
      <w:r w:rsidRPr="00C54AFA">
        <w:rPr>
          <w:rFonts w:asciiTheme="majorBidi" w:hAnsiTheme="majorBidi" w:cstheme="majorBidi"/>
        </w:rPr>
        <w:t>Mohanadhaskandhi</w:t>
      </w:r>
      <w:r w:rsidR="00A63A71" w:rsidRPr="00C54AFA">
        <w:rPr>
          <w:rFonts w:asciiTheme="majorBidi" w:hAnsiTheme="majorBidi" w:cstheme="majorBidi"/>
        </w:rPr>
        <w:t>女士</w:t>
      </w:r>
      <w:r w:rsidR="00C54AFA" w:rsidRPr="00C54AFA">
        <w:rPr>
          <w:rFonts w:asciiTheme="majorBidi" w:hAnsiTheme="majorBidi" w:cstheme="majorBidi"/>
        </w:rPr>
        <w:t>，</w:t>
      </w:r>
      <w:r w:rsidR="00A63A71" w:rsidRPr="00C54AFA">
        <w:rPr>
          <w:rFonts w:asciiTheme="majorBidi" w:hAnsiTheme="majorBidi" w:cstheme="majorBidi"/>
        </w:rPr>
        <w:t>据称最后一次被人见到是</w:t>
      </w:r>
      <w:r w:rsidRPr="00C54AFA">
        <w:rPr>
          <w:rFonts w:asciiTheme="majorBidi" w:hAnsiTheme="majorBidi" w:cstheme="majorBidi"/>
        </w:rPr>
        <w:t>2</w:t>
      </w:r>
      <w:r w:rsidR="00A63A71" w:rsidRPr="00C54AFA">
        <w:rPr>
          <w:rFonts w:asciiTheme="majorBidi" w:hAnsiTheme="majorBidi" w:cstheme="majorBidi"/>
        </w:rPr>
        <w:t>00</w:t>
      </w:r>
      <w:r w:rsidRPr="00C54AFA">
        <w:rPr>
          <w:rFonts w:asciiTheme="majorBidi" w:hAnsiTheme="majorBidi" w:cstheme="majorBidi"/>
        </w:rPr>
        <w:t>8</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3</w:t>
      </w:r>
      <w:r w:rsidR="00A63A71" w:rsidRPr="00C54AFA">
        <w:rPr>
          <w:rFonts w:asciiTheme="majorBidi" w:hAnsiTheme="majorBidi" w:cstheme="majorBidi"/>
        </w:rPr>
        <w:t>0</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在北部省</w:t>
      </w:r>
      <w:r w:rsidRPr="00C54AFA">
        <w:rPr>
          <w:rFonts w:asciiTheme="majorBidi" w:hAnsiTheme="majorBidi" w:cstheme="majorBidi"/>
        </w:rPr>
        <w:t>Maamunai</w:t>
      </w:r>
      <w:r w:rsidR="00C54AFA" w:rsidRPr="00C54AFA">
        <w:rPr>
          <w:rFonts w:asciiTheme="majorBidi" w:hAnsiTheme="majorBidi" w:cstheme="majorBidi"/>
        </w:rPr>
        <w:t>；</w:t>
      </w:r>
      <w:r w:rsidR="00A63A71" w:rsidRPr="00C54AFA">
        <w:rPr>
          <w:rFonts w:asciiTheme="majorBidi" w:hAnsiTheme="majorBidi" w:cstheme="majorBidi"/>
        </w:rPr>
        <w:t>据称斯里兰卡军队对她的失踪负有责任</w:t>
      </w:r>
      <w:r w:rsidR="00C54AFA" w:rsidRPr="00C54AFA">
        <w:rPr>
          <w:rFonts w:asciiTheme="majorBidi" w:hAnsiTheme="majorBidi" w:cstheme="majorBidi"/>
        </w:rPr>
        <w:t>；</w:t>
      </w:r>
    </w:p>
    <w:p w:rsidR="00A63A71" w:rsidRPr="00C54AFA" w:rsidRDefault="00BC4B0A" w:rsidP="00C54AFA">
      <w:pPr>
        <w:pStyle w:val="SingleTxtGC"/>
        <w:numPr>
          <w:ilvl w:val="0"/>
          <w:numId w:val="22"/>
        </w:numPr>
        <w:rPr>
          <w:rFonts w:asciiTheme="majorBidi" w:hAnsiTheme="majorBidi" w:cstheme="majorBidi"/>
        </w:rPr>
      </w:pPr>
      <w:r w:rsidRPr="00C54AFA">
        <w:rPr>
          <w:rFonts w:asciiTheme="majorBidi" w:hAnsiTheme="majorBidi" w:cstheme="majorBidi"/>
        </w:rPr>
        <w:lastRenderedPageBreak/>
        <w:t>Shivakumar</w:t>
      </w:r>
      <w:r w:rsidR="00A63A71" w:rsidRPr="00C54AFA">
        <w:rPr>
          <w:rFonts w:asciiTheme="majorBidi" w:hAnsiTheme="majorBidi" w:cstheme="majorBidi"/>
        </w:rPr>
        <w:t xml:space="preserve"> </w:t>
      </w:r>
      <w:r w:rsidRPr="00C54AFA">
        <w:rPr>
          <w:rFonts w:asciiTheme="majorBidi" w:hAnsiTheme="majorBidi" w:cstheme="majorBidi"/>
        </w:rPr>
        <w:t>Murugesu</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据称最后一次被人见到是</w:t>
      </w:r>
      <w:r w:rsidRPr="00C54AFA">
        <w:rPr>
          <w:rFonts w:asciiTheme="majorBidi" w:hAnsiTheme="majorBidi" w:cstheme="majorBidi"/>
        </w:rPr>
        <w:t>2</w:t>
      </w:r>
      <w:r w:rsidR="00A63A71" w:rsidRPr="00C54AFA">
        <w:rPr>
          <w:rFonts w:asciiTheme="majorBidi" w:hAnsiTheme="majorBidi" w:cstheme="majorBidi"/>
        </w:rPr>
        <w:t>00</w:t>
      </w:r>
      <w:r w:rsidRPr="00C54AFA">
        <w:rPr>
          <w:rFonts w:asciiTheme="majorBidi" w:hAnsiTheme="majorBidi" w:cstheme="majorBidi"/>
        </w:rPr>
        <w:t>9</w:t>
      </w:r>
      <w:r w:rsidR="00A63A71" w:rsidRPr="00C54AFA">
        <w:rPr>
          <w:rFonts w:asciiTheme="majorBidi" w:hAnsiTheme="majorBidi" w:cstheme="majorBidi"/>
        </w:rPr>
        <w:t>年</w:t>
      </w:r>
      <w:r w:rsidRPr="00C54AFA">
        <w:rPr>
          <w:rFonts w:asciiTheme="majorBidi" w:hAnsiTheme="majorBidi" w:cstheme="majorBidi"/>
        </w:rPr>
        <w:t>3</w:t>
      </w:r>
      <w:r w:rsidR="00A63A71" w:rsidRPr="00C54AFA">
        <w:rPr>
          <w:rFonts w:asciiTheme="majorBidi" w:hAnsiTheme="majorBidi" w:cstheme="majorBidi"/>
        </w:rPr>
        <w:t>月</w:t>
      </w:r>
      <w:r w:rsidRPr="00C54AFA">
        <w:rPr>
          <w:rFonts w:asciiTheme="majorBidi" w:hAnsiTheme="majorBidi" w:cstheme="majorBidi"/>
        </w:rPr>
        <w:t>15</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在</w:t>
      </w:r>
      <w:r w:rsidRPr="00C54AFA">
        <w:rPr>
          <w:rFonts w:asciiTheme="majorBidi" w:hAnsiTheme="majorBidi" w:cstheme="majorBidi"/>
        </w:rPr>
        <w:t>Maththalan</w:t>
      </w:r>
      <w:r w:rsidR="00A63A71" w:rsidRPr="00C54AFA">
        <w:rPr>
          <w:rFonts w:asciiTheme="majorBidi" w:hAnsiTheme="majorBidi" w:cstheme="majorBidi"/>
        </w:rPr>
        <w:t>军队控制地区</w:t>
      </w:r>
      <w:r w:rsidR="00C54AFA" w:rsidRPr="00C54AFA">
        <w:rPr>
          <w:rFonts w:asciiTheme="majorBidi" w:hAnsiTheme="majorBidi" w:cstheme="majorBidi"/>
        </w:rPr>
        <w:t>；</w:t>
      </w:r>
    </w:p>
    <w:p w:rsidR="00A63A71" w:rsidRPr="00C54AFA" w:rsidRDefault="00BC4B0A" w:rsidP="00C54AFA">
      <w:pPr>
        <w:pStyle w:val="SingleTxtGC"/>
        <w:numPr>
          <w:ilvl w:val="0"/>
          <w:numId w:val="22"/>
        </w:numPr>
        <w:rPr>
          <w:rFonts w:asciiTheme="majorBidi" w:hAnsiTheme="majorBidi" w:cstheme="majorBidi"/>
        </w:rPr>
      </w:pPr>
      <w:r w:rsidRPr="00C54AFA">
        <w:rPr>
          <w:rFonts w:asciiTheme="majorBidi" w:hAnsiTheme="majorBidi" w:cstheme="majorBidi"/>
        </w:rPr>
        <w:t>Sachithanantham</w:t>
      </w:r>
      <w:r w:rsidR="00A63A71" w:rsidRPr="00C54AFA">
        <w:rPr>
          <w:rFonts w:asciiTheme="majorBidi" w:hAnsiTheme="majorBidi" w:cstheme="majorBidi"/>
        </w:rPr>
        <w:t xml:space="preserve"> </w:t>
      </w:r>
      <w:r w:rsidRPr="00C54AFA">
        <w:rPr>
          <w:rFonts w:asciiTheme="majorBidi" w:hAnsiTheme="majorBidi" w:cstheme="majorBidi"/>
        </w:rPr>
        <w:t>Nadarsa</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据称最后一次被人见到是</w:t>
      </w:r>
      <w:r w:rsidRPr="00C54AFA">
        <w:rPr>
          <w:rFonts w:asciiTheme="majorBidi" w:hAnsiTheme="majorBidi" w:cstheme="majorBidi"/>
        </w:rPr>
        <w:t>2</w:t>
      </w:r>
      <w:r w:rsidR="00A63A71" w:rsidRPr="00C54AFA">
        <w:rPr>
          <w:rFonts w:asciiTheme="majorBidi" w:hAnsiTheme="majorBidi" w:cstheme="majorBidi"/>
        </w:rPr>
        <w:t>00</w:t>
      </w:r>
      <w:r w:rsidRPr="00C54AFA">
        <w:rPr>
          <w:rFonts w:asciiTheme="majorBidi" w:hAnsiTheme="majorBidi" w:cstheme="majorBidi"/>
        </w:rPr>
        <w:t>9</w:t>
      </w:r>
      <w:r w:rsidR="00A63A71" w:rsidRPr="00C54AFA">
        <w:rPr>
          <w:rFonts w:asciiTheme="majorBidi" w:hAnsiTheme="majorBidi" w:cstheme="majorBidi"/>
        </w:rPr>
        <w:t>年</w:t>
      </w:r>
      <w:r w:rsidRPr="00C54AFA">
        <w:rPr>
          <w:rFonts w:asciiTheme="majorBidi" w:hAnsiTheme="majorBidi" w:cstheme="majorBidi"/>
        </w:rPr>
        <w:t>5</w:t>
      </w:r>
      <w:r w:rsidR="00A63A71" w:rsidRPr="00C54AFA">
        <w:rPr>
          <w:rFonts w:asciiTheme="majorBidi" w:hAnsiTheme="majorBidi" w:cstheme="majorBidi"/>
        </w:rPr>
        <w:t>月</w:t>
      </w:r>
      <w:r w:rsidRPr="00C54AFA">
        <w:rPr>
          <w:rFonts w:asciiTheme="majorBidi" w:hAnsiTheme="majorBidi" w:cstheme="majorBidi"/>
        </w:rPr>
        <w:t>18</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在北方省</w:t>
      </w:r>
      <w:r w:rsidRPr="00C54AFA">
        <w:rPr>
          <w:rFonts w:asciiTheme="majorBidi" w:hAnsiTheme="majorBidi" w:cstheme="majorBidi"/>
        </w:rPr>
        <w:t>Mullaitivu</w:t>
      </w:r>
      <w:r w:rsidR="00A63A71" w:rsidRPr="00C54AFA">
        <w:rPr>
          <w:rFonts w:asciiTheme="majorBidi" w:hAnsiTheme="majorBidi" w:cstheme="majorBidi"/>
        </w:rPr>
        <w:t>区</w:t>
      </w:r>
      <w:r w:rsidRPr="00C54AFA">
        <w:rPr>
          <w:rFonts w:asciiTheme="majorBidi" w:hAnsiTheme="majorBidi" w:cstheme="majorBidi"/>
        </w:rPr>
        <w:t>Sivan</w:t>
      </w:r>
      <w:r w:rsidR="00A63A71" w:rsidRPr="00C54AFA">
        <w:rPr>
          <w:rFonts w:asciiTheme="majorBidi" w:hAnsiTheme="majorBidi" w:cstheme="majorBidi"/>
        </w:rPr>
        <w:t xml:space="preserve"> </w:t>
      </w:r>
      <w:r w:rsidRPr="00C54AFA">
        <w:rPr>
          <w:rFonts w:asciiTheme="majorBidi" w:hAnsiTheme="majorBidi" w:cstheme="majorBidi"/>
        </w:rPr>
        <w:t>Nagar</w:t>
      </w:r>
      <w:r w:rsidR="00C54AFA" w:rsidRPr="00C54AFA">
        <w:rPr>
          <w:rFonts w:asciiTheme="majorBidi" w:hAnsiTheme="majorBidi" w:cstheme="majorBidi"/>
        </w:rPr>
        <w:t>；</w:t>
      </w:r>
      <w:r w:rsidR="00A63A71" w:rsidRPr="00C54AFA">
        <w:rPr>
          <w:rFonts w:asciiTheme="majorBidi" w:hAnsiTheme="majorBidi" w:cstheme="majorBidi"/>
        </w:rPr>
        <w:t>据称斯里兰卡军队对其失踪负有责任</w:t>
      </w:r>
      <w:r w:rsidR="00C54AFA" w:rsidRPr="00C54AFA">
        <w:rPr>
          <w:rFonts w:asciiTheme="majorBidi" w:hAnsiTheme="majorBidi" w:cstheme="majorBidi"/>
        </w:rPr>
        <w:t>；</w:t>
      </w:r>
      <w:r w:rsidR="00C54AFA" w:rsidRPr="00C54AFA">
        <w:rPr>
          <w:rFonts w:asciiTheme="majorBidi" w:hAnsiTheme="majorBidi" w:cstheme="majorBidi"/>
        </w:rPr>
        <w:t>(</w:t>
      </w:r>
      <w:r w:rsidRPr="00C54AFA">
        <w:rPr>
          <w:rFonts w:asciiTheme="majorBidi" w:hAnsiTheme="majorBidi" w:cstheme="majorBidi"/>
        </w:rPr>
        <w:t>j</w:t>
      </w:r>
      <w:r w:rsidR="00C54AFA" w:rsidRPr="00C54AFA">
        <w:rPr>
          <w:rFonts w:asciiTheme="majorBidi" w:hAnsiTheme="majorBidi" w:cstheme="majorBidi"/>
        </w:rPr>
        <w:t>)</w:t>
      </w:r>
      <w:r w:rsidRPr="00C54AFA">
        <w:rPr>
          <w:rFonts w:asciiTheme="majorBidi" w:hAnsiTheme="majorBidi" w:cstheme="majorBidi"/>
        </w:rPr>
        <w:t>Balachandran</w:t>
      </w:r>
      <w:r w:rsidR="00A63A71" w:rsidRPr="00C54AFA">
        <w:rPr>
          <w:rFonts w:asciiTheme="majorBidi" w:hAnsiTheme="majorBidi" w:cstheme="majorBidi"/>
        </w:rPr>
        <w:t xml:space="preserve"> </w:t>
      </w:r>
      <w:r w:rsidRPr="00C54AFA">
        <w:rPr>
          <w:rFonts w:asciiTheme="majorBidi" w:hAnsiTheme="majorBidi" w:cstheme="majorBidi"/>
        </w:rPr>
        <w:t>Subramaniam</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据称最后一次被人见到是</w:t>
      </w:r>
      <w:r w:rsidRPr="00C54AFA">
        <w:rPr>
          <w:rFonts w:asciiTheme="majorBidi" w:hAnsiTheme="majorBidi" w:cstheme="majorBidi"/>
        </w:rPr>
        <w:t>2</w:t>
      </w:r>
      <w:r w:rsidR="00A63A71" w:rsidRPr="00C54AFA">
        <w:rPr>
          <w:rFonts w:asciiTheme="majorBidi" w:hAnsiTheme="majorBidi" w:cstheme="majorBidi"/>
        </w:rPr>
        <w:t>00</w:t>
      </w:r>
      <w:r w:rsidRPr="00C54AFA">
        <w:rPr>
          <w:rFonts w:asciiTheme="majorBidi" w:hAnsiTheme="majorBidi" w:cstheme="majorBidi"/>
        </w:rPr>
        <w:t>9</w:t>
      </w:r>
      <w:r w:rsidR="00A63A71" w:rsidRPr="00C54AFA">
        <w:rPr>
          <w:rFonts w:asciiTheme="majorBidi" w:hAnsiTheme="majorBidi" w:cstheme="majorBidi"/>
        </w:rPr>
        <w:t>年</w:t>
      </w:r>
      <w:r w:rsidRPr="00C54AFA">
        <w:rPr>
          <w:rFonts w:asciiTheme="majorBidi" w:hAnsiTheme="majorBidi" w:cstheme="majorBidi"/>
        </w:rPr>
        <w:t>4</w:t>
      </w:r>
      <w:r w:rsidR="00A63A71" w:rsidRPr="00C54AFA">
        <w:rPr>
          <w:rFonts w:asciiTheme="majorBidi" w:hAnsiTheme="majorBidi" w:cstheme="majorBidi"/>
        </w:rPr>
        <w:t>月</w:t>
      </w:r>
      <w:r w:rsidRPr="00C54AFA">
        <w:rPr>
          <w:rFonts w:asciiTheme="majorBidi" w:hAnsiTheme="majorBidi" w:cstheme="majorBidi"/>
        </w:rPr>
        <w:t>17</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在北部省</w:t>
      </w:r>
      <w:r w:rsidRPr="00C54AFA">
        <w:rPr>
          <w:rFonts w:asciiTheme="majorBidi" w:hAnsiTheme="majorBidi" w:cstheme="majorBidi"/>
        </w:rPr>
        <w:t>Mullaitivu</w:t>
      </w:r>
      <w:r w:rsidR="00A63A71" w:rsidRPr="00C54AFA">
        <w:rPr>
          <w:rFonts w:asciiTheme="majorBidi" w:hAnsiTheme="majorBidi" w:cstheme="majorBidi"/>
        </w:rPr>
        <w:t>地区</w:t>
      </w:r>
      <w:r w:rsidR="00C54AFA" w:rsidRPr="00C54AFA">
        <w:rPr>
          <w:rFonts w:asciiTheme="majorBidi" w:hAnsiTheme="majorBidi" w:cstheme="majorBidi"/>
        </w:rPr>
        <w:t>；</w:t>
      </w:r>
      <w:r w:rsidR="00A63A71" w:rsidRPr="00C54AFA">
        <w:rPr>
          <w:rFonts w:asciiTheme="majorBidi" w:hAnsiTheme="majorBidi" w:cstheme="majorBidi"/>
        </w:rPr>
        <w:t>据称斯里兰卡军队对她的失踪负有责任。</w:t>
      </w:r>
    </w:p>
    <w:p w:rsidR="00A63A71" w:rsidRPr="00C54AFA" w:rsidRDefault="00A63A71" w:rsidP="00116230">
      <w:pPr>
        <w:pStyle w:val="H23GC"/>
      </w:pPr>
      <w:r w:rsidRPr="00C54AFA">
        <w:tab/>
      </w:r>
      <w:r w:rsidRPr="00C54AFA">
        <w:tab/>
      </w:r>
      <w:r w:rsidRPr="00C54AFA">
        <w:t>迅速干预函</w:t>
      </w:r>
    </w:p>
    <w:p w:rsidR="00A63A71" w:rsidRPr="00C54AFA" w:rsidRDefault="00BC4B0A" w:rsidP="00C54AFA">
      <w:pPr>
        <w:pStyle w:val="SingleTxtGC"/>
        <w:rPr>
          <w:rFonts w:asciiTheme="majorBidi" w:hAnsiTheme="majorBidi" w:cstheme="majorBidi"/>
        </w:rPr>
      </w:pPr>
      <w:r w:rsidRPr="00C54AFA">
        <w:rPr>
          <w:rFonts w:asciiTheme="majorBidi" w:hAnsiTheme="majorBidi" w:cstheme="majorBidi"/>
        </w:rPr>
        <w:t>12</w:t>
      </w:r>
      <w:r w:rsidR="00C54AFA" w:rsidRPr="00C54AFA">
        <w:rPr>
          <w:rFonts w:asciiTheme="majorBidi" w:hAnsiTheme="majorBidi" w:cstheme="majorBidi"/>
        </w:rPr>
        <w:t>7.</w:t>
      </w:r>
      <w:r w:rsidR="00C0631D"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12</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工作组与另一个特别程序机制联合转发了一封迅速干预函</w:t>
      </w:r>
      <w:r w:rsidR="00C54AFA" w:rsidRPr="00C54AFA">
        <w:rPr>
          <w:rFonts w:asciiTheme="majorBidi" w:hAnsiTheme="majorBidi" w:cstheme="majorBidi"/>
        </w:rPr>
        <w:t>，</w:t>
      </w:r>
      <w:r w:rsidR="00A63A71" w:rsidRPr="00C54AFA">
        <w:rPr>
          <w:rFonts w:asciiTheme="majorBidi" w:hAnsiTheme="majorBidi" w:cstheme="majorBidi"/>
        </w:rPr>
        <w:t>信中载有以下指称</w:t>
      </w:r>
      <w:r w:rsidR="00C54AFA" w:rsidRPr="00C54AFA">
        <w:rPr>
          <w:rFonts w:asciiTheme="majorBidi" w:hAnsiTheme="majorBidi" w:cstheme="majorBidi"/>
        </w:rPr>
        <w:t>：</w:t>
      </w:r>
      <w:r w:rsidR="00A63A71" w:rsidRPr="00C54AFA">
        <w:rPr>
          <w:rFonts w:asciiTheme="majorBidi" w:hAnsiTheme="majorBidi" w:cstheme="majorBidi"/>
        </w:rPr>
        <w:t>在采取行动和进行查询</w:t>
      </w:r>
      <w:r w:rsidR="00C54AFA" w:rsidRPr="00C54AFA">
        <w:rPr>
          <w:rFonts w:asciiTheme="majorBidi" w:hAnsiTheme="majorBidi" w:cstheme="majorBidi"/>
        </w:rPr>
        <w:t>，</w:t>
      </w:r>
      <w:r w:rsidR="00A63A71" w:rsidRPr="00C54AFA">
        <w:rPr>
          <w:rFonts w:asciiTheme="majorBidi" w:hAnsiTheme="majorBidi" w:cstheme="majorBidi"/>
        </w:rPr>
        <w:t>以确定失踪丈夫的命运和下落之后</w:t>
      </w:r>
      <w:r w:rsidR="00C54AFA" w:rsidRPr="00C54AFA">
        <w:rPr>
          <w:rFonts w:asciiTheme="majorBidi" w:hAnsiTheme="majorBidi" w:cstheme="majorBidi"/>
        </w:rPr>
        <w:t>，</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月以来</w:t>
      </w:r>
      <w:r w:rsidR="00C54AFA" w:rsidRPr="00C54AFA">
        <w:rPr>
          <w:rFonts w:asciiTheme="majorBidi" w:hAnsiTheme="majorBidi" w:cstheme="majorBidi"/>
        </w:rPr>
        <w:t>，</w:t>
      </w:r>
      <w:r w:rsidRPr="00C54AFA">
        <w:rPr>
          <w:rFonts w:asciiTheme="majorBidi" w:hAnsiTheme="majorBidi" w:cstheme="majorBidi"/>
        </w:rPr>
        <w:t>Rankothge</w:t>
      </w:r>
      <w:r w:rsidR="00A63A71" w:rsidRPr="00C54AFA">
        <w:rPr>
          <w:rFonts w:asciiTheme="majorBidi" w:hAnsiTheme="majorBidi" w:cstheme="majorBidi"/>
        </w:rPr>
        <w:t xml:space="preserve"> </w:t>
      </w:r>
      <w:r w:rsidRPr="00C54AFA">
        <w:rPr>
          <w:rFonts w:asciiTheme="majorBidi" w:hAnsiTheme="majorBidi" w:cstheme="majorBidi"/>
        </w:rPr>
        <w:t>Mauri</w:t>
      </w:r>
      <w:r w:rsidR="00A63A71" w:rsidRPr="00C54AFA">
        <w:rPr>
          <w:rFonts w:asciiTheme="majorBidi" w:hAnsiTheme="majorBidi" w:cstheme="majorBidi"/>
        </w:rPr>
        <w:t xml:space="preserve"> </w:t>
      </w:r>
      <w:r w:rsidRPr="00C54AFA">
        <w:rPr>
          <w:rFonts w:asciiTheme="majorBidi" w:hAnsiTheme="majorBidi" w:cstheme="majorBidi"/>
        </w:rPr>
        <w:t>Inoka</w:t>
      </w:r>
      <w:r w:rsidR="00A63A71" w:rsidRPr="00C54AFA">
        <w:rPr>
          <w:rFonts w:asciiTheme="majorBidi" w:hAnsiTheme="majorBidi" w:cstheme="majorBidi"/>
        </w:rPr>
        <w:t xml:space="preserve"> </w:t>
      </w:r>
      <w:r w:rsidRPr="00C54AFA">
        <w:rPr>
          <w:rFonts w:asciiTheme="majorBidi" w:hAnsiTheme="majorBidi" w:cstheme="majorBidi"/>
        </w:rPr>
        <w:t>Kumari</w:t>
      </w:r>
      <w:r w:rsidR="00A63A71" w:rsidRPr="00C54AFA">
        <w:rPr>
          <w:rFonts w:asciiTheme="majorBidi" w:hAnsiTheme="majorBidi" w:cstheme="majorBidi"/>
        </w:rPr>
        <w:t xml:space="preserve"> </w:t>
      </w:r>
      <w:r w:rsidRPr="00C54AFA">
        <w:rPr>
          <w:rFonts w:asciiTheme="majorBidi" w:hAnsiTheme="majorBidi" w:cstheme="majorBidi"/>
        </w:rPr>
        <w:t>Jayasena</w:t>
      </w:r>
      <w:r w:rsidR="00A63A71" w:rsidRPr="00C54AFA">
        <w:rPr>
          <w:rFonts w:asciiTheme="majorBidi" w:hAnsiTheme="majorBidi" w:cstheme="majorBidi"/>
        </w:rPr>
        <w:t>女士遭到据称绑架、恐吓和骚扰。</w:t>
      </w:r>
    </w:p>
    <w:p w:rsidR="00A63A71" w:rsidRPr="00C54AFA" w:rsidRDefault="00BC4B0A" w:rsidP="00C54AFA">
      <w:pPr>
        <w:pStyle w:val="SingleTxtGC"/>
        <w:rPr>
          <w:rFonts w:asciiTheme="majorBidi" w:hAnsiTheme="majorBidi" w:cstheme="majorBidi"/>
        </w:rPr>
      </w:pPr>
      <w:r w:rsidRPr="00C54AFA">
        <w:rPr>
          <w:rFonts w:asciiTheme="majorBidi" w:hAnsiTheme="majorBidi" w:cstheme="majorBidi"/>
        </w:rPr>
        <w:t>12</w:t>
      </w:r>
      <w:r w:rsidR="00C54AFA" w:rsidRPr="00C54AFA">
        <w:rPr>
          <w:rFonts w:asciiTheme="majorBidi" w:hAnsiTheme="majorBidi" w:cstheme="majorBidi"/>
        </w:rPr>
        <w:t>8.</w:t>
      </w:r>
      <w:r w:rsidR="00C0631D"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14</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工作组与另一个特别程序机制转交了一封迅速干预函</w:t>
      </w:r>
      <w:r w:rsidR="00C54AFA" w:rsidRPr="00C54AFA">
        <w:rPr>
          <w:rFonts w:asciiTheme="majorBidi" w:hAnsiTheme="majorBidi" w:cstheme="majorBidi"/>
        </w:rPr>
        <w:t>，</w:t>
      </w:r>
      <w:r w:rsidR="00A63A71" w:rsidRPr="00C54AFA">
        <w:rPr>
          <w:rFonts w:asciiTheme="majorBidi" w:hAnsiTheme="majorBidi" w:cstheme="majorBidi"/>
        </w:rPr>
        <w:t>载有以下指称</w:t>
      </w:r>
      <w:r w:rsidR="00C54AFA" w:rsidRPr="00C54AFA">
        <w:rPr>
          <w:rFonts w:asciiTheme="majorBidi" w:hAnsiTheme="majorBidi" w:cstheme="majorBidi"/>
        </w:rPr>
        <w:t>：</w:t>
      </w:r>
      <w:r w:rsidR="00A63A71" w:rsidRPr="00C54AFA">
        <w:rPr>
          <w:rFonts w:asciiTheme="majorBidi" w:hAnsiTheme="majorBidi" w:cstheme="majorBidi"/>
        </w:rPr>
        <w:t>由于与失踪者家属协会</w:t>
      </w:r>
      <w:r w:rsidR="00C54AFA" w:rsidRPr="00C54AFA">
        <w:rPr>
          <w:rFonts w:asciiTheme="majorBidi" w:hAnsiTheme="majorBidi" w:cstheme="majorBidi"/>
        </w:rPr>
        <w:t>(</w:t>
      </w:r>
      <w:r w:rsidR="00A63A71" w:rsidRPr="00C54AFA">
        <w:rPr>
          <w:rFonts w:asciiTheme="majorBidi" w:hAnsiTheme="majorBidi" w:cstheme="majorBidi"/>
        </w:rPr>
        <w:t>一个斯里兰卡非政府组织</w:t>
      </w:r>
      <w:r w:rsidR="00C54AFA" w:rsidRPr="00C54AFA">
        <w:rPr>
          <w:rFonts w:asciiTheme="majorBidi" w:hAnsiTheme="majorBidi" w:cstheme="majorBidi"/>
        </w:rPr>
        <w:t>)</w:t>
      </w:r>
      <w:r w:rsidR="00A63A71" w:rsidRPr="00C54AFA">
        <w:rPr>
          <w:rFonts w:asciiTheme="majorBidi" w:hAnsiTheme="majorBidi" w:cstheme="majorBidi"/>
        </w:rPr>
        <w:t>开展关于强迫失踪、真相和正义问题的工作</w:t>
      </w:r>
      <w:r w:rsidR="00C54AFA" w:rsidRPr="00C54AFA">
        <w:rPr>
          <w:rFonts w:asciiTheme="majorBidi" w:hAnsiTheme="majorBidi" w:cstheme="majorBidi"/>
        </w:rPr>
        <w:t>，</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月以来</w:t>
      </w:r>
      <w:r w:rsidR="00C54AFA" w:rsidRPr="00C54AFA">
        <w:rPr>
          <w:rFonts w:asciiTheme="majorBidi" w:hAnsiTheme="majorBidi" w:cstheme="majorBidi"/>
        </w:rPr>
        <w:t>，</w:t>
      </w:r>
      <w:r w:rsidRPr="00C54AFA">
        <w:rPr>
          <w:rFonts w:asciiTheme="majorBidi" w:hAnsiTheme="majorBidi" w:cstheme="majorBidi"/>
        </w:rPr>
        <w:t>Brito</w:t>
      </w:r>
      <w:r w:rsidR="00A63A71" w:rsidRPr="00C54AFA">
        <w:rPr>
          <w:rFonts w:asciiTheme="majorBidi" w:hAnsiTheme="majorBidi" w:cstheme="majorBidi"/>
        </w:rPr>
        <w:t xml:space="preserve"> </w:t>
      </w:r>
      <w:r w:rsidRPr="00C54AFA">
        <w:rPr>
          <w:rFonts w:asciiTheme="majorBidi" w:hAnsiTheme="majorBidi" w:cstheme="majorBidi"/>
        </w:rPr>
        <w:t>Fernando</w:t>
      </w:r>
      <w:r w:rsidR="00A63A71" w:rsidRPr="00C54AFA">
        <w:rPr>
          <w:rFonts w:asciiTheme="majorBidi" w:hAnsiTheme="majorBidi" w:cstheme="majorBidi"/>
        </w:rPr>
        <w:t>先生和</w:t>
      </w:r>
      <w:r w:rsidRPr="00C54AFA">
        <w:rPr>
          <w:rFonts w:asciiTheme="majorBidi" w:hAnsiTheme="majorBidi" w:cstheme="majorBidi"/>
        </w:rPr>
        <w:t>Prasanga</w:t>
      </w:r>
      <w:r w:rsidR="00A63A71" w:rsidRPr="00C54AFA">
        <w:rPr>
          <w:rFonts w:asciiTheme="majorBidi" w:hAnsiTheme="majorBidi" w:cstheme="majorBidi"/>
        </w:rPr>
        <w:t xml:space="preserve"> </w:t>
      </w:r>
      <w:r w:rsidRPr="00C54AFA">
        <w:rPr>
          <w:rFonts w:asciiTheme="majorBidi" w:hAnsiTheme="majorBidi" w:cstheme="majorBidi"/>
        </w:rPr>
        <w:t>Fernando</w:t>
      </w:r>
      <w:r w:rsidR="00A63A71" w:rsidRPr="00C54AFA">
        <w:rPr>
          <w:rFonts w:asciiTheme="majorBidi" w:hAnsiTheme="majorBidi" w:cstheme="majorBidi"/>
        </w:rPr>
        <w:t>先生遭到报复</w:t>
      </w:r>
      <w:r w:rsidR="00C54AFA" w:rsidRPr="00C54AFA">
        <w:rPr>
          <w:rFonts w:asciiTheme="majorBidi" w:hAnsiTheme="majorBidi" w:cstheme="majorBidi"/>
        </w:rPr>
        <w:t>，</w:t>
      </w:r>
      <w:r w:rsidR="00A63A71" w:rsidRPr="00C54AFA">
        <w:rPr>
          <w:rFonts w:asciiTheme="majorBidi" w:hAnsiTheme="majorBidi" w:cstheme="majorBidi"/>
        </w:rPr>
        <w:t>受到威胁、恐吓和骚扰。</w:t>
      </w:r>
    </w:p>
    <w:p w:rsidR="00A63A71" w:rsidRPr="00C54AFA" w:rsidRDefault="00A63A71" w:rsidP="00116230">
      <w:pPr>
        <w:pStyle w:val="H23GC"/>
      </w:pPr>
      <w:r w:rsidRPr="00C54AFA">
        <w:tab/>
      </w:r>
      <w:r w:rsidRPr="00C54AFA">
        <w:tab/>
      </w:r>
      <w:r w:rsidRPr="00C54AFA">
        <w:t>政府提供的资料</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12</w:t>
      </w:r>
      <w:r w:rsidR="00C54AFA" w:rsidRPr="00C54AFA">
        <w:rPr>
          <w:rFonts w:asciiTheme="majorBidi" w:hAnsiTheme="majorBidi" w:cstheme="majorBidi"/>
        </w:rPr>
        <w:t>9.</w:t>
      </w:r>
      <w:r w:rsidR="00C0631D"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9</w:t>
      </w:r>
      <w:r w:rsidR="00A63A71" w:rsidRPr="00C54AFA">
        <w:rPr>
          <w:rFonts w:asciiTheme="majorBidi" w:hAnsiTheme="majorBidi" w:cstheme="majorBidi"/>
        </w:rPr>
        <w:t>月</w:t>
      </w:r>
      <w:r w:rsidRPr="00C54AFA">
        <w:rPr>
          <w:rFonts w:asciiTheme="majorBidi" w:hAnsiTheme="majorBidi" w:cstheme="majorBidi"/>
        </w:rPr>
        <w:t>11</w:t>
      </w:r>
      <w:r w:rsidR="00A63A71" w:rsidRPr="00C54AFA">
        <w:rPr>
          <w:rFonts w:asciiTheme="majorBidi" w:hAnsiTheme="majorBidi" w:cstheme="majorBidi"/>
        </w:rPr>
        <w:t>日和</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7</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该国政府就</w:t>
      </w:r>
      <w:r w:rsidRPr="00C54AFA">
        <w:rPr>
          <w:rFonts w:asciiTheme="majorBidi" w:hAnsiTheme="majorBidi" w:cstheme="majorBidi"/>
        </w:rPr>
        <w:t>217</w:t>
      </w:r>
      <w:r w:rsidR="00A63A71" w:rsidRPr="00C54AFA">
        <w:rPr>
          <w:rFonts w:asciiTheme="majorBidi" w:hAnsiTheme="majorBidi" w:cstheme="majorBidi"/>
        </w:rPr>
        <w:t>起未决案件发来了信函。</w:t>
      </w:r>
    </w:p>
    <w:p w:rsidR="00A63A71" w:rsidRPr="00C54AFA" w:rsidRDefault="008675CF" w:rsidP="00116230">
      <w:pPr>
        <w:pStyle w:val="H23GC"/>
      </w:pPr>
      <w:r>
        <w:tab/>
      </w:r>
      <w:r w:rsidR="00A63A71" w:rsidRPr="00C54AFA">
        <w:tab/>
      </w:r>
      <w:r w:rsidR="00A63A71" w:rsidRPr="00C54AFA">
        <w:t>来文方提供的资料</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13</w:t>
      </w:r>
      <w:r w:rsidR="00C54AFA" w:rsidRPr="00C54AFA">
        <w:rPr>
          <w:rFonts w:asciiTheme="majorBidi" w:hAnsiTheme="majorBidi" w:cstheme="majorBidi"/>
        </w:rPr>
        <w:t>0.</w:t>
      </w:r>
      <w:r w:rsidR="00C0631D" w:rsidRPr="00C54AFA">
        <w:rPr>
          <w:rFonts w:asciiTheme="majorBidi" w:hAnsiTheme="majorBidi" w:cstheme="majorBidi"/>
        </w:rPr>
        <w:t xml:space="preserve">  </w:t>
      </w:r>
      <w:r w:rsidR="00A63A71" w:rsidRPr="00C54AFA">
        <w:rPr>
          <w:rFonts w:asciiTheme="majorBidi" w:hAnsiTheme="majorBidi" w:cstheme="majorBidi"/>
        </w:rPr>
        <w:t>一个来文方就</w:t>
      </w:r>
      <w:r w:rsidRPr="00C54AFA">
        <w:rPr>
          <w:rFonts w:asciiTheme="majorBidi" w:hAnsiTheme="majorBidi" w:cstheme="majorBidi"/>
        </w:rPr>
        <w:t>2</w:t>
      </w:r>
      <w:r w:rsidR="00A63A71" w:rsidRPr="00C54AFA">
        <w:rPr>
          <w:rFonts w:asciiTheme="majorBidi" w:hAnsiTheme="majorBidi" w:cstheme="majorBidi"/>
        </w:rPr>
        <w:t>起未决案件提供了资料。</w:t>
      </w:r>
    </w:p>
    <w:p w:rsidR="00A63A71" w:rsidRPr="00C54AFA" w:rsidRDefault="00A63A71" w:rsidP="00116230">
      <w:pPr>
        <w:pStyle w:val="H23GC"/>
      </w:pPr>
      <w:r w:rsidRPr="00C54AFA">
        <w:tab/>
      </w:r>
      <w:r w:rsidRPr="00C54AFA">
        <w:tab/>
      </w:r>
      <w:r w:rsidRPr="00C54AFA">
        <w:t>澄清</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13</w:t>
      </w:r>
      <w:r w:rsidR="00C54AFA" w:rsidRPr="00C54AFA">
        <w:rPr>
          <w:rFonts w:asciiTheme="majorBidi" w:hAnsiTheme="majorBidi" w:cstheme="majorBidi"/>
        </w:rPr>
        <w:t>1.</w:t>
      </w:r>
      <w:r w:rsidR="00C0631D" w:rsidRPr="00C54AFA">
        <w:rPr>
          <w:rFonts w:asciiTheme="majorBidi" w:hAnsiTheme="majorBidi" w:cstheme="majorBidi"/>
        </w:rPr>
        <w:t xml:space="preserve">  </w:t>
      </w:r>
      <w:r w:rsidR="00A63A71" w:rsidRPr="00C54AFA">
        <w:rPr>
          <w:rFonts w:asciiTheme="majorBidi" w:hAnsiTheme="majorBidi" w:cstheme="majorBidi"/>
        </w:rPr>
        <w:t>基于该国政府提供的资料</w:t>
      </w:r>
      <w:r w:rsidR="00C54AFA" w:rsidRPr="00C54AFA">
        <w:rPr>
          <w:rFonts w:asciiTheme="majorBidi" w:hAnsiTheme="majorBidi" w:cstheme="majorBidi"/>
        </w:rPr>
        <w:t>，</w:t>
      </w:r>
      <w:r w:rsidR="00A63A71" w:rsidRPr="00C54AFA">
        <w:rPr>
          <w:rFonts w:asciiTheme="majorBidi" w:hAnsiTheme="majorBidi" w:cstheme="majorBidi"/>
        </w:rPr>
        <w:t>工作组决定</w:t>
      </w:r>
      <w:r w:rsidR="00C54AFA" w:rsidRPr="00C54AFA">
        <w:rPr>
          <w:rFonts w:asciiTheme="majorBidi" w:hAnsiTheme="majorBidi" w:cstheme="majorBidi"/>
        </w:rPr>
        <w:t>，</w:t>
      </w:r>
      <w:r w:rsidR="00A63A71" w:rsidRPr="00C54AFA">
        <w:rPr>
          <w:rFonts w:asciiTheme="majorBidi" w:hAnsiTheme="majorBidi" w:cstheme="majorBidi"/>
        </w:rPr>
        <w:t>在六个月规则</w:t>
      </w:r>
      <w:r w:rsidR="00C54AFA" w:rsidRPr="00C54AFA">
        <w:rPr>
          <w:rFonts w:asciiTheme="majorBidi" w:hAnsiTheme="majorBidi" w:cstheme="majorBidi"/>
        </w:rPr>
        <w:t>(</w:t>
      </w:r>
      <w:r w:rsidR="00A63A71" w:rsidRPr="00C54AFA">
        <w:rPr>
          <w:rFonts w:asciiTheme="majorBidi" w:hAnsiTheme="majorBidi" w:cstheme="majorBidi"/>
        </w:rPr>
        <w:t>见</w:t>
      </w:r>
      <w:r w:rsidRPr="00C54AFA">
        <w:rPr>
          <w:rFonts w:asciiTheme="majorBidi" w:hAnsiTheme="majorBidi" w:cstheme="majorBidi"/>
        </w:rPr>
        <w:t>A</w:t>
      </w:r>
      <w:r w:rsidR="00C54AFA" w:rsidRPr="00C54AFA">
        <w:rPr>
          <w:rFonts w:asciiTheme="majorBidi" w:hAnsiTheme="majorBidi" w:cstheme="majorBidi"/>
        </w:rPr>
        <w:t>/</w:t>
      </w:r>
      <w:r w:rsidRPr="00C54AFA">
        <w:rPr>
          <w:rFonts w:asciiTheme="majorBidi" w:hAnsiTheme="majorBidi" w:cstheme="majorBidi"/>
        </w:rPr>
        <w:t>HRC</w:t>
      </w:r>
      <w:r w:rsidR="00C54AFA" w:rsidRPr="00C54AFA">
        <w:rPr>
          <w:rFonts w:asciiTheme="majorBidi" w:hAnsiTheme="majorBidi" w:cstheme="majorBidi"/>
        </w:rPr>
        <w:t xml:space="preserve">/ </w:t>
      </w:r>
      <w:r w:rsidRPr="00C54AFA">
        <w:rPr>
          <w:rFonts w:asciiTheme="majorBidi" w:hAnsiTheme="majorBidi" w:cstheme="majorBidi"/>
        </w:rPr>
        <w:t>WGEID</w:t>
      </w:r>
      <w:r w:rsidR="00C54AFA" w:rsidRPr="00C54AFA">
        <w:rPr>
          <w:rFonts w:asciiTheme="majorBidi" w:hAnsiTheme="majorBidi" w:cstheme="majorBidi"/>
        </w:rPr>
        <w:t>/</w:t>
      </w:r>
      <w:r w:rsidRPr="00C54AFA">
        <w:rPr>
          <w:rFonts w:asciiTheme="majorBidi" w:hAnsiTheme="majorBidi" w:cstheme="majorBidi"/>
        </w:rPr>
        <w:t>1</w:t>
      </w:r>
      <w:r w:rsidR="00A63A71" w:rsidRPr="00C54AFA">
        <w:rPr>
          <w:rFonts w:asciiTheme="majorBidi" w:hAnsiTheme="majorBidi" w:cstheme="majorBidi"/>
        </w:rPr>
        <w:t>0</w:t>
      </w:r>
      <w:r w:rsidRPr="00C54AFA">
        <w:rPr>
          <w:rFonts w:asciiTheme="majorBidi" w:hAnsiTheme="majorBidi" w:cstheme="majorBidi"/>
        </w:rPr>
        <w:t>3</w:t>
      </w:r>
      <w:r w:rsidR="00C54AFA" w:rsidRPr="00C54AFA">
        <w:rPr>
          <w:rFonts w:asciiTheme="majorBidi" w:hAnsiTheme="majorBidi" w:cstheme="majorBidi"/>
        </w:rPr>
        <w:t>/1,</w:t>
      </w:r>
      <w:r w:rsidR="00A63A71" w:rsidRPr="00C54AFA">
        <w:rPr>
          <w:rFonts w:asciiTheme="majorBidi" w:hAnsiTheme="majorBidi" w:cstheme="majorBidi"/>
        </w:rPr>
        <w:t>第</w:t>
      </w:r>
      <w:r w:rsidRPr="00C54AFA">
        <w:rPr>
          <w:rFonts w:asciiTheme="majorBidi" w:hAnsiTheme="majorBidi" w:cstheme="majorBidi"/>
        </w:rPr>
        <w:t>156</w:t>
      </w:r>
      <w:r w:rsidR="00A63A71" w:rsidRPr="00C54AFA">
        <w:rPr>
          <w:rFonts w:asciiTheme="majorBidi" w:hAnsiTheme="majorBidi" w:cstheme="majorBidi"/>
        </w:rPr>
        <w:t>段</w:t>
      </w:r>
      <w:r w:rsidR="00C54AFA" w:rsidRPr="00C54AFA">
        <w:rPr>
          <w:rFonts w:asciiTheme="majorBidi" w:hAnsiTheme="majorBidi" w:cstheme="majorBidi"/>
        </w:rPr>
        <w:t>)</w:t>
      </w:r>
      <w:r w:rsidR="00A63A71" w:rsidRPr="00C54AFA">
        <w:rPr>
          <w:rFonts w:asciiTheme="majorBidi" w:hAnsiTheme="majorBidi" w:cstheme="majorBidi"/>
        </w:rPr>
        <w:t>期限到期后</w:t>
      </w:r>
      <w:r w:rsidR="00C54AFA" w:rsidRPr="00C54AFA">
        <w:rPr>
          <w:rFonts w:asciiTheme="majorBidi" w:hAnsiTheme="majorBidi" w:cstheme="majorBidi"/>
        </w:rPr>
        <w:t>，</w:t>
      </w:r>
      <w:r w:rsidR="00A63A71" w:rsidRPr="00C54AFA">
        <w:rPr>
          <w:rFonts w:asciiTheme="majorBidi" w:hAnsiTheme="majorBidi" w:cstheme="majorBidi"/>
        </w:rPr>
        <w:t>澄清一起未决案件。</w:t>
      </w:r>
      <w:r w:rsidR="00A63A71" w:rsidRPr="00C54AFA">
        <w:rPr>
          <w:rFonts w:asciiTheme="majorBidi" w:hAnsiTheme="majorBidi" w:cstheme="majorBidi"/>
        </w:rPr>
        <w:tab/>
      </w:r>
    </w:p>
    <w:p w:rsidR="00A63A71" w:rsidRPr="00C54AFA" w:rsidRDefault="00A63A71" w:rsidP="00116230">
      <w:pPr>
        <w:pStyle w:val="H23GC"/>
      </w:pPr>
      <w:r w:rsidRPr="00C54AFA">
        <w:tab/>
      </w:r>
      <w:r w:rsidRPr="00C54AFA">
        <w:tab/>
      </w:r>
      <w:r w:rsidRPr="00C54AFA">
        <w:t>意见</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13</w:t>
      </w:r>
      <w:r w:rsidR="00C54AFA" w:rsidRPr="00C54AFA">
        <w:rPr>
          <w:rFonts w:asciiTheme="majorBidi" w:hAnsiTheme="majorBidi" w:cstheme="majorBidi"/>
        </w:rPr>
        <w:t>2.</w:t>
      </w:r>
      <w:r w:rsidR="00C0631D" w:rsidRPr="00C54AFA">
        <w:rPr>
          <w:rFonts w:asciiTheme="majorBidi" w:hAnsiTheme="majorBidi" w:cstheme="majorBidi"/>
        </w:rPr>
        <w:t xml:space="preserve">  </w:t>
      </w:r>
      <w:r w:rsidR="00A63A71" w:rsidRPr="00C54AFA">
        <w:rPr>
          <w:rFonts w:asciiTheme="majorBidi" w:hAnsiTheme="majorBidi" w:cstheme="majorBidi"/>
        </w:rPr>
        <w:t>工作组欢迎该国政府提到了访问事宜</w:t>
      </w:r>
      <w:r w:rsidR="00C54AFA" w:rsidRPr="00C54AFA">
        <w:rPr>
          <w:rFonts w:asciiTheme="majorBidi" w:hAnsiTheme="majorBidi" w:cstheme="majorBidi"/>
        </w:rPr>
        <w:t>，</w:t>
      </w:r>
      <w:r w:rsidR="00A63A71" w:rsidRPr="00C54AFA">
        <w:rPr>
          <w:rFonts w:asciiTheme="majorBidi" w:hAnsiTheme="majorBidi" w:cstheme="majorBidi"/>
        </w:rPr>
        <w:t>它期待在未来几个月内进行一次国家访问。</w:t>
      </w:r>
    </w:p>
    <w:p w:rsidR="00A63A71" w:rsidRPr="00C54AFA" w:rsidRDefault="00A63A71" w:rsidP="00116230">
      <w:pPr>
        <w:pStyle w:val="H1GC"/>
      </w:pPr>
      <w:r w:rsidRPr="00C54AFA">
        <w:tab/>
      </w:r>
      <w:r w:rsidRPr="00C54AFA">
        <w:tab/>
      </w:r>
      <w:r w:rsidRPr="00C54AFA">
        <w:t>苏丹</w:t>
      </w:r>
    </w:p>
    <w:p w:rsidR="00A63A71" w:rsidRPr="00C54AFA" w:rsidRDefault="00A63A71" w:rsidP="00116230">
      <w:pPr>
        <w:pStyle w:val="H23GC"/>
        <w:rPr>
          <w:rFonts w:eastAsia="SimSun"/>
        </w:rPr>
      </w:pPr>
      <w:r w:rsidRPr="00C54AFA">
        <w:tab/>
      </w:r>
      <w:r w:rsidRPr="00C54AFA">
        <w:tab/>
      </w:r>
      <w:r w:rsidRPr="00C54AFA">
        <w:t>紧急呼吁</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13</w:t>
      </w:r>
      <w:r w:rsidR="00C54AFA" w:rsidRPr="00C54AFA">
        <w:rPr>
          <w:rFonts w:asciiTheme="majorBidi" w:hAnsiTheme="majorBidi" w:cstheme="majorBidi"/>
        </w:rPr>
        <w:t>3.</w:t>
      </w:r>
      <w:r w:rsidR="00C0631D"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9</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工作组与五个其他特别程序机制向该国政府联合发出了关于以下事件的紧急呼吁</w:t>
      </w:r>
      <w:r w:rsidR="00C54AFA" w:rsidRPr="00C54AFA">
        <w:rPr>
          <w:rFonts w:asciiTheme="majorBidi" w:hAnsiTheme="majorBidi" w:cstheme="majorBidi"/>
        </w:rPr>
        <w:t>：</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6</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据称逮捕并秘密关押了</w:t>
      </w:r>
      <w:r w:rsidRPr="00C54AFA">
        <w:rPr>
          <w:rFonts w:asciiTheme="majorBidi" w:hAnsiTheme="majorBidi" w:cstheme="majorBidi"/>
        </w:rPr>
        <w:t>Amin</w:t>
      </w:r>
      <w:r w:rsidR="00A63A71" w:rsidRPr="00C54AFA">
        <w:rPr>
          <w:rFonts w:asciiTheme="majorBidi" w:hAnsiTheme="majorBidi" w:cstheme="majorBidi"/>
        </w:rPr>
        <w:t xml:space="preserve"> </w:t>
      </w:r>
      <w:r w:rsidRPr="00C54AFA">
        <w:rPr>
          <w:rFonts w:asciiTheme="majorBidi" w:hAnsiTheme="majorBidi" w:cstheme="majorBidi"/>
        </w:rPr>
        <w:t>Mekki</w:t>
      </w:r>
      <w:r w:rsidR="00A63A71" w:rsidRPr="00C54AFA">
        <w:rPr>
          <w:rFonts w:asciiTheme="majorBidi" w:hAnsiTheme="majorBidi" w:cstheme="majorBidi"/>
        </w:rPr>
        <w:t xml:space="preserve"> </w:t>
      </w:r>
      <w:proofErr w:type="gramStart"/>
      <w:r w:rsidRPr="00C54AFA">
        <w:rPr>
          <w:rFonts w:asciiTheme="majorBidi" w:hAnsiTheme="majorBidi" w:cstheme="majorBidi"/>
        </w:rPr>
        <w:t>Medani</w:t>
      </w:r>
      <w:r w:rsidR="00A63A71" w:rsidRPr="00C54AFA">
        <w:rPr>
          <w:rFonts w:asciiTheme="majorBidi" w:hAnsiTheme="majorBidi" w:cstheme="majorBidi"/>
        </w:rPr>
        <w:t>博士</w:t>
      </w:r>
      <w:r w:rsidR="00C54AFA" w:rsidRPr="00C54AFA">
        <w:rPr>
          <w:rFonts w:asciiTheme="majorBidi" w:hAnsiTheme="majorBidi" w:cstheme="majorBidi"/>
        </w:rPr>
        <w:t>(</w:t>
      </w:r>
      <w:proofErr w:type="gramEnd"/>
      <w:r w:rsidR="00A63A71" w:rsidRPr="00C54AFA">
        <w:rPr>
          <w:rFonts w:asciiTheme="majorBidi" w:hAnsiTheme="majorBidi" w:cstheme="majorBidi"/>
        </w:rPr>
        <w:t>一名人权维护者和政治活动家</w:t>
      </w:r>
      <w:r w:rsidR="00C54AFA" w:rsidRPr="00C54AFA">
        <w:rPr>
          <w:rFonts w:asciiTheme="majorBidi" w:hAnsiTheme="majorBidi" w:cstheme="majorBidi"/>
        </w:rPr>
        <w:t>，</w:t>
      </w:r>
      <w:r w:rsidR="00A63A71" w:rsidRPr="00C54AFA">
        <w:rPr>
          <w:rFonts w:asciiTheme="majorBidi" w:hAnsiTheme="majorBidi" w:cstheme="majorBidi"/>
        </w:rPr>
        <w:t>苏丹民间社会组织联合会主席</w:t>
      </w:r>
      <w:r w:rsidR="00C54AFA" w:rsidRPr="00C54AFA">
        <w:rPr>
          <w:rFonts w:asciiTheme="majorBidi" w:hAnsiTheme="majorBidi" w:cstheme="majorBidi"/>
        </w:rPr>
        <w:t>)</w:t>
      </w:r>
      <w:r w:rsidR="00A63A71" w:rsidRPr="00C54AFA">
        <w:rPr>
          <w:rFonts w:asciiTheme="majorBidi" w:hAnsiTheme="majorBidi" w:cstheme="majorBidi"/>
        </w:rPr>
        <w:t>和</w:t>
      </w:r>
      <w:r w:rsidRPr="00C54AFA">
        <w:rPr>
          <w:rFonts w:asciiTheme="majorBidi" w:hAnsiTheme="majorBidi" w:cstheme="majorBidi"/>
        </w:rPr>
        <w:t>Farouk</w:t>
      </w:r>
      <w:r w:rsidR="00A63A71" w:rsidRPr="00C54AFA">
        <w:rPr>
          <w:rFonts w:asciiTheme="majorBidi" w:hAnsiTheme="majorBidi" w:cstheme="majorBidi"/>
        </w:rPr>
        <w:t xml:space="preserve"> </w:t>
      </w:r>
      <w:r w:rsidRPr="00C54AFA">
        <w:rPr>
          <w:rFonts w:asciiTheme="majorBidi" w:hAnsiTheme="majorBidi" w:cstheme="majorBidi"/>
        </w:rPr>
        <w:t>Abu</w:t>
      </w:r>
      <w:r w:rsidR="00A63A71" w:rsidRPr="00C54AFA">
        <w:rPr>
          <w:rFonts w:asciiTheme="majorBidi" w:hAnsiTheme="majorBidi" w:cstheme="majorBidi"/>
        </w:rPr>
        <w:t xml:space="preserve"> </w:t>
      </w:r>
      <w:r w:rsidRPr="00C54AFA">
        <w:rPr>
          <w:rFonts w:asciiTheme="majorBidi" w:hAnsiTheme="majorBidi" w:cstheme="majorBidi"/>
        </w:rPr>
        <w:t>Eissa</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全国共识力量主席</w:t>
      </w:r>
      <w:r w:rsidR="00C54AFA" w:rsidRPr="00C54AFA">
        <w:rPr>
          <w:rFonts w:asciiTheme="majorBidi" w:hAnsiTheme="majorBidi" w:cstheme="majorBidi"/>
        </w:rPr>
        <w:t>)</w:t>
      </w:r>
      <w:r w:rsidR="00A63A71" w:rsidRPr="00C54AFA">
        <w:rPr>
          <w:rFonts w:asciiTheme="majorBidi" w:hAnsiTheme="majorBidi" w:cstheme="majorBidi"/>
        </w:rPr>
        <w:t>。</w:t>
      </w:r>
    </w:p>
    <w:p w:rsidR="00A63A71" w:rsidRPr="00C54AFA" w:rsidRDefault="00A63A71" w:rsidP="00116230">
      <w:pPr>
        <w:pStyle w:val="H23GC"/>
      </w:pPr>
      <w:r w:rsidRPr="00C54AFA">
        <w:lastRenderedPageBreak/>
        <w:tab/>
      </w:r>
      <w:r w:rsidRPr="00C54AFA">
        <w:tab/>
      </w:r>
      <w:r w:rsidRPr="00C54AFA">
        <w:t>政府提供的资料</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13</w:t>
      </w:r>
      <w:r w:rsidR="00C54AFA" w:rsidRPr="00C54AFA">
        <w:rPr>
          <w:rFonts w:asciiTheme="majorBidi" w:hAnsiTheme="majorBidi" w:cstheme="majorBidi"/>
        </w:rPr>
        <w:t>4.</w:t>
      </w:r>
      <w:r w:rsidR="00C0631D"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5</w:t>
      </w:r>
      <w:r w:rsidR="00A63A71" w:rsidRPr="00C54AFA">
        <w:rPr>
          <w:rFonts w:asciiTheme="majorBidi" w:hAnsiTheme="majorBidi" w:cstheme="majorBidi"/>
        </w:rPr>
        <w:t>月</w:t>
      </w:r>
      <w:r w:rsidRPr="00C54AFA">
        <w:rPr>
          <w:rFonts w:asciiTheme="majorBidi" w:hAnsiTheme="majorBidi" w:cstheme="majorBidi"/>
        </w:rPr>
        <w:t>26</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工作组曾发出关于</w:t>
      </w: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Salah</w:t>
      </w:r>
      <w:r w:rsidR="00A63A71" w:rsidRPr="00C54AFA">
        <w:rPr>
          <w:rFonts w:asciiTheme="majorBidi" w:hAnsiTheme="majorBidi" w:cstheme="majorBidi"/>
        </w:rPr>
        <w:t xml:space="preserve"> </w:t>
      </w: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Abdelrahman</w:t>
      </w:r>
      <w:r w:rsidR="00A63A71" w:rsidRPr="00C54AFA">
        <w:rPr>
          <w:rFonts w:asciiTheme="majorBidi" w:hAnsiTheme="majorBidi" w:cstheme="majorBidi"/>
        </w:rPr>
        <w:t>先生据称被逮捕和秘密关押、他的家人遭到恐吓、一名家庭成员遭到袭击事件的联合紧急呼吁</w:t>
      </w:r>
      <w:r w:rsidR="00C54AFA" w:rsidRPr="00C54AFA">
        <w:rPr>
          <w:rFonts w:asciiTheme="majorBidi" w:hAnsiTheme="majorBidi" w:cstheme="majorBidi"/>
        </w:rPr>
        <w:t>；</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6</w:t>
      </w:r>
      <w:r w:rsidR="00A63A71" w:rsidRPr="00C54AFA">
        <w:rPr>
          <w:rFonts w:asciiTheme="majorBidi" w:hAnsiTheme="majorBidi" w:cstheme="majorBidi"/>
        </w:rPr>
        <w:t>月</w:t>
      </w:r>
      <w:r w:rsidRPr="00C54AFA">
        <w:rPr>
          <w:rFonts w:asciiTheme="majorBidi" w:hAnsiTheme="majorBidi" w:cstheme="majorBidi"/>
        </w:rPr>
        <w:t>6</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该国政府就此作出答复。该国政府称</w:t>
      </w:r>
      <w:r w:rsidR="00C54AFA" w:rsidRPr="00C54AFA">
        <w:rPr>
          <w:rFonts w:asciiTheme="majorBidi" w:hAnsiTheme="majorBidi" w:cstheme="majorBidi"/>
        </w:rPr>
        <w:t>，</w:t>
      </w:r>
      <w:r w:rsidR="00A63A71" w:rsidRPr="00C54AFA">
        <w:rPr>
          <w:rFonts w:asciiTheme="majorBidi" w:hAnsiTheme="majorBidi" w:cstheme="majorBidi"/>
        </w:rPr>
        <w:t>所提供的资料不足以确定受害人身份。</w:t>
      </w:r>
    </w:p>
    <w:p w:rsidR="00A63A71" w:rsidRPr="00C54AFA" w:rsidRDefault="00A63A71" w:rsidP="00116230">
      <w:pPr>
        <w:pStyle w:val="H1GC"/>
      </w:pPr>
      <w:r w:rsidRPr="00C54AFA">
        <w:tab/>
      </w:r>
      <w:r w:rsidRPr="00C54AFA">
        <w:tab/>
      </w:r>
      <w:r w:rsidRPr="00C54AFA">
        <w:t>阿拉伯叙利亚共和国</w:t>
      </w:r>
    </w:p>
    <w:p w:rsidR="00A63A71" w:rsidRPr="00C54AFA" w:rsidRDefault="00A63A71" w:rsidP="00116230">
      <w:pPr>
        <w:pStyle w:val="H23GC"/>
      </w:pPr>
      <w:r w:rsidRPr="00C54AFA">
        <w:tab/>
      </w:r>
      <w:r w:rsidRPr="00C54AFA">
        <w:tab/>
      </w:r>
      <w:r w:rsidRPr="00C54AFA">
        <w:t>标准程序</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13</w:t>
      </w:r>
      <w:r w:rsidR="00C54AFA" w:rsidRPr="00C54AFA">
        <w:rPr>
          <w:rFonts w:asciiTheme="majorBidi" w:hAnsiTheme="majorBidi" w:cstheme="majorBidi"/>
        </w:rPr>
        <w:t>5.</w:t>
      </w:r>
      <w:r w:rsidR="00C0631D" w:rsidRPr="00C54AFA">
        <w:rPr>
          <w:rFonts w:asciiTheme="majorBidi" w:hAnsiTheme="majorBidi" w:cstheme="majorBidi"/>
        </w:rPr>
        <w:t xml:space="preserve">  </w:t>
      </w:r>
      <w:r w:rsidR="00A63A71" w:rsidRPr="00C54AFA">
        <w:rPr>
          <w:rFonts w:asciiTheme="majorBidi" w:hAnsiTheme="majorBidi" w:cstheme="majorBidi"/>
        </w:rPr>
        <w:t>工作组向该国政府转交了关于以下人员的</w:t>
      </w:r>
      <w:r w:rsidRPr="00C54AFA">
        <w:rPr>
          <w:rFonts w:asciiTheme="majorBidi" w:hAnsiTheme="majorBidi" w:cstheme="majorBidi"/>
        </w:rPr>
        <w:t>13</w:t>
      </w:r>
      <w:r w:rsidR="00A63A71" w:rsidRPr="00C54AFA">
        <w:rPr>
          <w:rFonts w:asciiTheme="majorBidi" w:hAnsiTheme="majorBidi" w:cstheme="majorBidi"/>
        </w:rPr>
        <w:t>起案件</w:t>
      </w:r>
      <w:r w:rsidR="00C54AFA" w:rsidRPr="00C54AFA">
        <w:rPr>
          <w:rFonts w:asciiTheme="majorBidi" w:hAnsiTheme="majorBidi" w:cstheme="majorBidi"/>
        </w:rPr>
        <w:t>：</w:t>
      </w:r>
    </w:p>
    <w:p w:rsidR="00A63A71" w:rsidRPr="00C54AFA" w:rsidRDefault="00BC4B0A" w:rsidP="00C0631D">
      <w:pPr>
        <w:pStyle w:val="SingleTxtGC"/>
        <w:numPr>
          <w:ilvl w:val="0"/>
          <w:numId w:val="24"/>
        </w:numPr>
        <w:rPr>
          <w:rFonts w:asciiTheme="majorBidi" w:hAnsiTheme="majorBidi" w:cstheme="majorBidi"/>
        </w:rPr>
      </w:pPr>
      <w:r w:rsidRPr="00C54AFA">
        <w:rPr>
          <w:rFonts w:asciiTheme="majorBidi" w:hAnsiTheme="majorBidi" w:cstheme="majorBidi"/>
        </w:rPr>
        <w:t>Ahmed</w:t>
      </w:r>
      <w:r w:rsidR="00A63A71" w:rsidRPr="00C54AFA">
        <w:rPr>
          <w:rFonts w:asciiTheme="majorBidi" w:hAnsiTheme="majorBidi" w:cstheme="majorBidi"/>
        </w:rPr>
        <w:t xml:space="preserve"> </w:t>
      </w:r>
      <w:r w:rsidRPr="00C54AFA">
        <w:rPr>
          <w:rFonts w:asciiTheme="majorBidi" w:hAnsiTheme="majorBidi" w:cstheme="majorBidi"/>
        </w:rPr>
        <w:t>Shaar</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22</w:t>
      </w:r>
      <w:r w:rsidR="00A63A71" w:rsidRPr="00C54AFA">
        <w:rPr>
          <w:rFonts w:asciiTheme="majorBidi" w:hAnsiTheme="majorBidi" w:cstheme="majorBidi"/>
        </w:rPr>
        <w:t>日在拉塔基亚被</w:t>
      </w:r>
      <w:r w:rsidRPr="00C54AFA">
        <w:rPr>
          <w:rFonts w:asciiTheme="majorBidi" w:hAnsiTheme="majorBidi" w:cstheme="majorBidi"/>
        </w:rPr>
        <w:t>Shabiha</w:t>
      </w:r>
      <w:r w:rsidR="00A63A71" w:rsidRPr="00C54AFA">
        <w:rPr>
          <w:rFonts w:asciiTheme="majorBidi" w:hAnsiTheme="majorBidi" w:cstheme="majorBidi"/>
        </w:rPr>
        <w:t xml:space="preserve"> </w:t>
      </w:r>
      <w:r w:rsidRPr="00C54AFA">
        <w:rPr>
          <w:rFonts w:asciiTheme="majorBidi" w:hAnsiTheme="majorBidi" w:cstheme="majorBidi"/>
        </w:rPr>
        <w:t>Hilal</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Assad</w:t>
      </w:r>
      <w:r w:rsidR="00C54AFA" w:rsidRPr="00C54AFA">
        <w:rPr>
          <w:rFonts w:asciiTheme="majorBidi" w:hAnsiTheme="majorBidi" w:cstheme="majorBidi"/>
        </w:rPr>
        <w:t>(</w:t>
      </w:r>
      <w:r w:rsidR="00A63A71" w:rsidRPr="00C54AFA">
        <w:rPr>
          <w:rFonts w:asciiTheme="majorBidi" w:hAnsiTheme="majorBidi" w:cstheme="majorBidi"/>
        </w:rPr>
        <w:t>一个亲政府民兵组织</w:t>
      </w:r>
      <w:r w:rsidR="00C54AFA" w:rsidRPr="00C54AFA">
        <w:rPr>
          <w:rFonts w:asciiTheme="majorBidi" w:hAnsiTheme="majorBidi" w:cstheme="majorBidi"/>
        </w:rPr>
        <w:t>)</w:t>
      </w:r>
      <w:r w:rsidR="00A63A71" w:rsidRPr="00C54AFA">
        <w:rPr>
          <w:rFonts w:asciiTheme="majorBidi" w:hAnsiTheme="majorBidi" w:cstheme="majorBidi"/>
        </w:rPr>
        <w:t>的穿军装人员逮捕</w:t>
      </w:r>
      <w:r w:rsidR="00C54AFA" w:rsidRPr="00C54AFA">
        <w:rPr>
          <w:rFonts w:asciiTheme="majorBidi" w:hAnsiTheme="majorBidi" w:cstheme="majorBidi"/>
        </w:rPr>
        <w:t>；</w:t>
      </w:r>
    </w:p>
    <w:p w:rsidR="00A63A71" w:rsidRPr="00C54AFA" w:rsidRDefault="00BC4B0A" w:rsidP="00C0631D">
      <w:pPr>
        <w:pStyle w:val="SingleTxtGC"/>
        <w:numPr>
          <w:ilvl w:val="0"/>
          <w:numId w:val="24"/>
        </w:numPr>
        <w:rPr>
          <w:rFonts w:asciiTheme="majorBidi" w:hAnsiTheme="majorBidi" w:cstheme="majorBidi"/>
        </w:rPr>
      </w:pPr>
      <w:r w:rsidRPr="00C54AFA">
        <w:rPr>
          <w:rFonts w:asciiTheme="majorBidi" w:hAnsiTheme="majorBidi" w:cstheme="majorBidi"/>
        </w:rPr>
        <w:t>Abdul</w:t>
      </w:r>
      <w:r w:rsidR="00A63A71" w:rsidRPr="00C54AFA">
        <w:rPr>
          <w:rFonts w:asciiTheme="majorBidi" w:hAnsiTheme="majorBidi" w:cstheme="majorBidi"/>
        </w:rPr>
        <w:t xml:space="preserve"> </w:t>
      </w:r>
      <w:r w:rsidRPr="00C54AFA">
        <w:rPr>
          <w:rFonts w:asciiTheme="majorBidi" w:hAnsiTheme="majorBidi" w:cstheme="majorBidi"/>
        </w:rPr>
        <w:t>Rahman</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Hamraoui</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12</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2</w:t>
      </w:r>
      <w:r w:rsidR="00A63A71" w:rsidRPr="00C54AFA">
        <w:rPr>
          <w:rFonts w:asciiTheme="majorBidi" w:hAnsiTheme="majorBidi" w:cstheme="majorBidi"/>
        </w:rPr>
        <w:t>0</w:t>
      </w:r>
      <w:r w:rsidR="00A63A71" w:rsidRPr="00C54AFA">
        <w:rPr>
          <w:rFonts w:asciiTheme="majorBidi" w:hAnsiTheme="majorBidi" w:cstheme="majorBidi"/>
        </w:rPr>
        <w:t>日在霍姆斯被军事安全部队逮捕</w:t>
      </w:r>
      <w:r w:rsidR="00C54AFA" w:rsidRPr="00C54AFA">
        <w:rPr>
          <w:rFonts w:asciiTheme="majorBidi" w:hAnsiTheme="majorBidi" w:cstheme="majorBidi"/>
        </w:rPr>
        <w:t>；</w:t>
      </w:r>
    </w:p>
    <w:p w:rsidR="00A63A71" w:rsidRPr="00C54AFA" w:rsidRDefault="00BC4B0A" w:rsidP="00C0631D">
      <w:pPr>
        <w:pStyle w:val="SingleTxtGC"/>
        <w:numPr>
          <w:ilvl w:val="0"/>
          <w:numId w:val="24"/>
        </w:numPr>
        <w:rPr>
          <w:rFonts w:asciiTheme="majorBidi" w:hAnsiTheme="majorBidi" w:cstheme="majorBidi"/>
        </w:rPr>
      </w:pPr>
      <w:r w:rsidRPr="00C54AFA">
        <w:rPr>
          <w:rFonts w:asciiTheme="majorBidi" w:hAnsiTheme="majorBidi" w:cstheme="majorBidi"/>
        </w:rPr>
        <w:t>Deibo</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Khalif</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12</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8</w:t>
      </w:r>
      <w:r w:rsidR="00A63A71" w:rsidRPr="00C54AFA">
        <w:rPr>
          <w:rFonts w:asciiTheme="majorBidi" w:hAnsiTheme="majorBidi" w:cstheme="majorBidi"/>
        </w:rPr>
        <w:t>日在阿勒颇被政治安全部队逮捕。</w:t>
      </w:r>
    </w:p>
    <w:p w:rsidR="00A63A71" w:rsidRPr="00C54AFA" w:rsidRDefault="00BC4B0A" w:rsidP="00C0631D">
      <w:pPr>
        <w:pStyle w:val="SingleTxtGC"/>
        <w:numPr>
          <w:ilvl w:val="0"/>
          <w:numId w:val="24"/>
        </w:numPr>
        <w:rPr>
          <w:rFonts w:asciiTheme="majorBidi" w:hAnsiTheme="majorBidi" w:cstheme="majorBidi"/>
        </w:rPr>
      </w:pPr>
      <w:r w:rsidRPr="00C54AFA">
        <w:rPr>
          <w:rFonts w:asciiTheme="majorBidi" w:hAnsiTheme="majorBidi" w:cstheme="majorBidi"/>
        </w:rPr>
        <w:t>Alla</w:t>
      </w:r>
      <w:r w:rsidR="00A63A71" w:rsidRPr="00C54AFA">
        <w:rPr>
          <w:rFonts w:asciiTheme="majorBidi" w:hAnsiTheme="majorBidi" w:cstheme="majorBidi"/>
        </w:rPr>
        <w:t xml:space="preserve"> </w:t>
      </w:r>
      <w:r w:rsidRPr="00C54AFA">
        <w:rPr>
          <w:rFonts w:asciiTheme="majorBidi" w:hAnsiTheme="majorBidi" w:cstheme="majorBidi"/>
        </w:rPr>
        <w:t>Sharkeyia</w:t>
      </w:r>
      <w:r w:rsidR="00A63A71" w:rsidRPr="00C54AFA">
        <w:rPr>
          <w:rFonts w:asciiTheme="majorBidi" w:hAnsiTheme="majorBidi" w:cstheme="majorBidi"/>
        </w:rPr>
        <w:t>先生和</w:t>
      </w:r>
      <w:r w:rsidRPr="00C54AFA">
        <w:rPr>
          <w:rFonts w:asciiTheme="majorBidi" w:hAnsiTheme="majorBidi" w:cstheme="majorBidi"/>
        </w:rPr>
        <w:t>Sabaie</w:t>
      </w:r>
      <w:r w:rsidR="00A63A71" w:rsidRPr="00C54AFA">
        <w:rPr>
          <w:rFonts w:asciiTheme="majorBidi" w:hAnsiTheme="majorBidi" w:cstheme="majorBidi"/>
        </w:rPr>
        <w:t xml:space="preserve"> </w:t>
      </w:r>
      <w:r w:rsidRPr="00C54AFA">
        <w:rPr>
          <w:rFonts w:asciiTheme="majorBidi" w:hAnsiTheme="majorBidi" w:cstheme="majorBidi"/>
        </w:rPr>
        <w:t>Sharkeyia</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7</w:t>
      </w:r>
      <w:r w:rsidR="00A63A71" w:rsidRPr="00C54AFA">
        <w:rPr>
          <w:rFonts w:asciiTheme="majorBidi" w:hAnsiTheme="majorBidi" w:cstheme="majorBidi"/>
        </w:rPr>
        <w:t>月</w:t>
      </w:r>
      <w:r w:rsidRPr="00C54AFA">
        <w:rPr>
          <w:rFonts w:asciiTheme="majorBidi" w:hAnsiTheme="majorBidi" w:cstheme="majorBidi"/>
        </w:rPr>
        <w:t>7</w:t>
      </w:r>
      <w:r w:rsidR="00A63A71" w:rsidRPr="00C54AFA">
        <w:rPr>
          <w:rFonts w:asciiTheme="majorBidi" w:hAnsiTheme="majorBidi" w:cstheme="majorBidi"/>
        </w:rPr>
        <w:t>日在霍姆斯被政治安全部队逮捕</w:t>
      </w:r>
      <w:r w:rsidR="00C54AFA" w:rsidRPr="00C54AFA">
        <w:rPr>
          <w:rFonts w:asciiTheme="majorBidi" w:hAnsiTheme="majorBidi" w:cstheme="majorBidi"/>
        </w:rPr>
        <w:t>；</w:t>
      </w:r>
    </w:p>
    <w:p w:rsidR="00A63A71" w:rsidRPr="00C54AFA" w:rsidRDefault="00BC4B0A" w:rsidP="00C0631D">
      <w:pPr>
        <w:pStyle w:val="SingleTxtGC"/>
        <w:numPr>
          <w:ilvl w:val="0"/>
          <w:numId w:val="24"/>
        </w:numPr>
        <w:rPr>
          <w:rFonts w:asciiTheme="majorBidi" w:hAnsiTheme="majorBidi" w:cstheme="majorBidi"/>
        </w:rPr>
      </w:pPr>
      <w:r w:rsidRPr="00C54AFA">
        <w:rPr>
          <w:rFonts w:asciiTheme="majorBidi" w:hAnsiTheme="majorBidi" w:cstheme="majorBidi"/>
        </w:rPr>
        <w:t>Saad</w:t>
      </w:r>
      <w:r w:rsidR="00A63A71" w:rsidRPr="00C54AFA">
        <w:rPr>
          <w:rFonts w:asciiTheme="majorBidi" w:hAnsiTheme="majorBidi" w:cstheme="majorBidi"/>
        </w:rPr>
        <w:t xml:space="preserve"> </w:t>
      </w:r>
      <w:r w:rsidRPr="00C54AFA">
        <w:rPr>
          <w:rFonts w:asciiTheme="majorBidi" w:hAnsiTheme="majorBidi" w:cstheme="majorBidi"/>
        </w:rPr>
        <w:t>Balowaat</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11</w:t>
      </w:r>
      <w:r w:rsidR="00A63A71" w:rsidRPr="00C54AFA">
        <w:rPr>
          <w:rFonts w:asciiTheme="majorBidi" w:hAnsiTheme="majorBidi" w:cstheme="majorBidi"/>
        </w:rPr>
        <w:t>年</w:t>
      </w:r>
      <w:r w:rsidRPr="00C54AFA">
        <w:rPr>
          <w:rFonts w:asciiTheme="majorBidi" w:hAnsiTheme="majorBidi" w:cstheme="majorBidi"/>
        </w:rPr>
        <w:t>6</w:t>
      </w:r>
      <w:r w:rsidR="00A63A71" w:rsidRPr="00C54AFA">
        <w:rPr>
          <w:rFonts w:asciiTheme="majorBidi" w:hAnsiTheme="majorBidi" w:cstheme="majorBidi"/>
        </w:rPr>
        <w:t>月</w:t>
      </w:r>
      <w:r w:rsidRPr="00C54AFA">
        <w:rPr>
          <w:rFonts w:asciiTheme="majorBidi" w:hAnsiTheme="majorBidi" w:cstheme="majorBidi"/>
        </w:rPr>
        <w:t>22</w:t>
      </w:r>
      <w:r w:rsidR="00A63A71" w:rsidRPr="00C54AFA">
        <w:rPr>
          <w:rFonts w:asciiTheme="majorBidi" w:hAnsiTheme="majorBidi" w:cstheme="majorBidi"/>
        </w:rPr>
        <w:t>日在哈马被空军情报巡逻队逮捕</w:t>
      </w:r>
      <w:r w:rsidR="00C54AFA" w:rsidRPr="00C54AFA">
        <w:rPr>
          <w:rFonts w:asciiTheme="majorBidi" w:hAnsiTheme="majorBidi" w:cstheme="majorBidi"/>
        </w:rPr>
        <w:t>；</w:t>
      </w:r>
    </w:p>
    <w:p w:rsidR="00A63A71" w:rsidRPr="00C54AFA" w:rsidRDefault="00BC4B0A" w:rsidP="00C0631D">
      <w:pPr>
        <w:pStyle w:val="SingleTxtGC"/>
        <w:numPr>
          <w:ilvl w:val="0"/>
          <w:numId w:val="24"/>
        </w:numPr>
        <w:rPr>
          <w:rFonts w:asciiTheme="majorBidi" w:hAnsiTheme="majorBidi" w:cstheme="majorBidi"/>
        </w:rPr>
      </w:pPr>
      <w:r w:rsidRPr="00C54AFA">
        <w:rPr>
          <w:rFonts w:asciiTheme="majorBidi" w:hAnsiTheme="majorBidi" w:cstheme="majorBidi"/>
        </w:rPr>
        <w:t>Jamil</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Najjar</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据称最后一次被人见到是</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12</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11</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在大马士革的一辆政府军车中</w:t>
      </w:r>
      <w:r w:rsidR="00C54AFA" w:rsidRPr="00C54AFA">
        <w:rPr>
          <w:rFonts w:asciiTheme="majorBidi" w:hAnsiTheme="majorBidi" w:cstheme="majorBidi"/>
        </w:rPr>
        <w:t>；</w:t>
      </w:r>
    </w:p>
    <w:p w:rsidR="00A63A71" w:rsidRPr="00C54AFA" w:rsidRDefault="00BC4B0A" w:rsidP="00C0631D">
      <w:pPr>
        <w:pStyle w:val="SingleTxtGC"/>
        <w:numPr>
          <w:ilvl w:val="0"/>
          <w:numId w:val="24"/>
        </w:numPr>
        <w:rPr>
          <w:rFonts w:asciiTheme="majorBidi" w:hAnsiTheme="majorBidi" w:cstheme="majorBidi"/>
        </w:rPr>
      </w:pPr>
      <w:r w:rsidRPr="00C54AFA">
        <w:rPr>
          <w:rFonts w:asciiTheme="majorBidi" w:hAnsiTheme="majorBidi" w:cstheme="majorBidi"/>
        </w:rPr>
        <w:t>Khaled</w:t>
      </w:r>
      <w:r w:rsidR="00A63A71" w:rsidRPr="00C54AFA">
        <w:rPr>
          <w:rFonts w:asciiTheme="majorBidi" w:hAnsiTheme="majorBidi" w:cstheme="majorBidi"/>
        </w:rPr>
        <w:t xml:space="preserve"> </w:t>
      </w:r>
      <w:r w:rsidRPr="00C54AFA">
        <w:rPr>
          <w:rFonts w:asciiTheme="majorBidi" w:hAnsiTheme="majorBidi" w:cstheme="majorBidi"/>
        </w:rPr>
        <w:t>Awda</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12</w:t>
      </w:r>
      <w:r w:rsidR="00A63A71" w:rsidRPr="00C54AFA">
        <w:rPr>
          <w:rFonts w:asciiTheme="majorBidi" w:hAnsiTheme="majorBidi" w:cstheme="majorBidi"/>
        </w:rPr>
        <w:t>年</w:t>
      </w:r>
      <w:r w:rsidRPr="00C54AFA">
        <w:rPr>
          <w:rFonts w:asciiTheme="majorBidi" w:hAnsiTheme="majorBidi" w:cstheme="majorBidi"/>
        </w:rPr>
        <w:t>9</w:t>
      </w:r>
      <w:r w:rsidR="00A63A71" w:rsidRPr="00C54AFA">
        <w:rPr>
          <w:rFonts w:asciiTheme="majorBidi" w:hAnsiTheme="majorBidi" w:cstheme="majorBidi"/>
        </w:rPr>
        <w:t>月</w:t>
      </w:r>
      <w:r w:rsidRPr="00C54AFA">
        <w:rPr>
          <w:rFonts w:asciiTheme="majorBidi" w:hAnsiTheme="majorBidi" w:cstheme="majorBidi"/>
        </w:rPr>
        <w:t>12</w:t>
      </w:r>
      <w:r w:rsidR="00A63A71" w:rsidRPr="00C54AFA">
        <w:rPr>
          <w:rFonts w:asciiTheme="majorBidi" w:hAnsiTheme="majorBidi" w:cstheme="majorBidi"/>
        </w:rPr>
        <w:t>日在霍姆斯被军事安全部队逮捕</w:t>
      </w:r>
      <w:r w:rsidR="00C54AFA" w:rsidRPr="00C54AFA">
        <w:rPr>
          <w:rFonts w:asciiTheme="majorBidi" w:hAnsiTheme="majorBidi" w:cstheme="majorBidi"/>
        </w:rPr>
        <w:t>；</w:t>
      </w:r>
    </w:p>
    <w:p w:rsidR="00A63A71" w:rsidRPr="00C54AFA" w:rsidRDefault="00BC4B0A" w:rsidP="00C0631D">
      <w:pPr>
        <w:pStyle w:val="SingleTxtGC"/>
        <w:numPr>
          <w:ilvl w:val="0"/>
          <w:numId w:val="24"/>
        </w:numPr>
        <w:rPr>
          <w:rFonts w:asciiTheme="majorBidi" w:hAnsiTheme="majorBidi" w:cstheme="majorBidi"/>
        </w:rPr>
      </w:pPr>
      <w:r w:rsidRPr="00C54AFA">
        <w:rPr>
          <w:rFonts w:asciiTheme="majorBidi" w:hAnsiTheme="majorBidi" w:cstheme="majorBidi"/>
        </w:rPr>
        <w:t>Khaled</w:t>
      </w:r>
      <w:r w:rsidR="00A63A71" w:rsidRPr="00C54AFA">
        <w:rPr>
          <w:rFonts w:asciiTheme="majorBidi" w:hAnsiTheme="majorBidi" w:cstheme="majorBidi"/>
        </w:rPr>
        <w:t xml:space="preserve"> </w:t>
      </w:r>
      <w:r w:rsidRPr="00C54AFA">
        <w:rPr>
          <w:rFonts w:asciiTheme="majorBidi" w:hAnsiTheme="majorBidi" w:cstheme="majorBidi"/>
        </w:rPr>
        <w:t>Roumo</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7</w:t>
      </w:r>
      <w:r w:rsidR="00A63A71" w:rsidRPr="00C54AFA">
        <w:rPr>
          <w:rFonts w:asciiTheme="majorBidi" w:hAnsiTheme="majorBidi" w:cstheme="majorBidi"/>
        </w:rPr>
        <w:t>月</w:t>
      </w:r>
      <w:r w:rsidRPr="00C54AFA">
        <w:rPr>
          <w:rFonts w:asciiTheme="majorBidi" w:hAnsiTheme="majorBidi" w:cstheme="majorBidi"/>
        </w:rPr>
        <w:t>27</w:t>
      </w:r>
      <w:r w:rsidR="00A63A71" w:rsidRPr="00C54AFA">
        <w:rPr>
          <w:rFonts w:asciiTheme="majorBidi" w:hAnsiTheme="majorBidi" w:cstheme="majorBidi"/>
        </w:rPr>
        <w:t>日在霍姆斯被叙利亚情报机构人员逮捕</w:t>
      </w:r>
      <w:r w:rsidR="00C54AFA" w:rsidRPr="00C54AFA">
        <w:rPr>
          <w:rFonts w:asciiTheme="majorBidi" w:hAnsiTheme="majorBidi" w:cstheme="majorBidi"/>
        </w:rPr>
        <w:t>；</w:t>
      </w:r>
    </w:p>
    <w:p w:rsidR="00A63A71" w:rsidRPr="00C54AFA" w:rsidRDefault="00BC4B0A" w:rsidP="00C0631D">
      <w:pPr>
        <w:pStyle w:val="SingleTxtGC"/>
        <w:numPr>
          <w:ilvl w:val="0"/>
          <w:numId w:val="24"/>
        </w:numPr>
        <w:rPr>
          <w:rFonts w:asciiTheme="majorBidi" w:hAnsiTheme="majorBidi" w:cstheme="majorBidi"/>
        </w:rPr>
      </w:pPr>
      <w:r w:rsidRPr="00C54AFA">
        <w:rPr>
          <w:rFonts w:asciiTheme="majorBidi" w:hAnsiTheme="majorBidi" w:cstheme="majorBidi"/>
        </w:rPr>
        <w:t>Mouhamad</w:t>
      </w:r>
      <w:r w:rsidR="00A63A71" w:rsidRPr="00C54AFA">
        <w:rPr>
          <w:rFonts w:asciiTheme="majorBidi" w:hAnsiTheme="majorBidi" w:cstheme="majorBidi"/>
        </w:rPr>
        <w:t xml:space="preserve"> </w:t>
      </w:r>
      <w:r w:rsidRPr="00C54AFA">
        <w:rPr>
          <w:rFonts w:asciiTheme="majorBidi" w:hAnsiTheme="majorBidi" w:cstheme="majorBidi"/>
        </w:rPr>
        <w:t>Omar</w:t>
      </w:r>
      <w:r w:rsidR="00A63A71" w:rsidRPr="00C54AFA">
        <w:rPr>
          <w:rFonts w:asciiTheme="majorBidi" w:hAnsiTheme="majorBidi" w:cstheme="majorBidi"/>
        </w:rPr>
        <w:t xml:space="preserve"> </w:t>
      </w:r>
      <w:r w:rsidRPr="00C54AFA">
        <w:rPr>
          <w:rFonts w:asciiTheme="majorBidi" w:hAnsiTheme="majorBidi" w:cstheme="majorBidi"/>
        </w:rPr>
        <w:t>Ayoubi</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12</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3</w:t>
      </w:r>
      <w:r w:rsidR="00A63A71" w:rsidRPr="00C54AFA">
        <w:rPr>
          <w:rFonts w:asciiTheme="majorBidi" w:hAnsiTheme="majorBidi" w:cstheme="majorBidi"/>
        </w:rPr>
        <w:t>日在大马士革被安全部队成员和政治情报处逮捕</w:t>
      </w:r>
      <w:r w:rsidR="00C54AFA" w:rsidRPr="00C54AFA">
        <w:rPr>
          <w:rFonts w:asciiTheme="majorBidi" w:hAnsiTheme="majorBidi" w:cstheme="majorBidi"/>
        </w:rPr>
        <w:t>；</w:t>
      </w:r>
    </w:p>
    <w:p w:rsidR="00A63A71" w:rsidRPr="00C54AFA" w:rsidRDefault="00BC4B0A" w:rsidP="00C0631D">
      <w:pPr>
        <w:pStyle w:val="SingleTxtGC"/>
        <w:numPr>
          <w:ilvl w:val="0"/>
          <w:numId w:val="24"/>
        </w:numPr>
        <w:rPr>
          <w:rFonts w:asciiTheme="majorBidi" w:hAnsiTheme="majorBidi" w:cstheme="majorBidi"/>
        </w:rPr>
      </w:pPr>
      <w:r w:rsidRPr="00C54AFA">
        <w:rPr>
          <w:rFonts w:asciiTheme="majorBidi" w:hAnsiTheme="majorBidi" w:cstheme="majorBidi"/>
        </w:rPr>
        <w:t>Qamar</w:t>
      </w:r>
      <w:r w:rsidR="00A63A71" w:rsidRPr="00C54AFA">
        <w:rPr>
          <w:rFonts w:asciiTheme="majorBidi" w:hAnsiTheme="majorBidi" w:cstheme="majorBidi"/>
        </w:rPr>
        <w:t xml:space="preserve"> </w:t>
      </w:r>
      <w:r w:rsidRPr="00C54AFA">
        <w:rPr>
          <w:rFonts w:asciiTheme="majorBidi" w:hAnsiTheme="majorBidi" w:cstheme="majorBidi"/>
        </w:rPr>
        <w:t>A</w:t>
      </w:r>
      <w:r w:rsidR="00A63A71" w:rsidRPr="00C54AFA">
        <w:rPr>
          <w:rFonts w:asciiTheme="majorBidi" w:hAnsiTheme="majorBidi" w:cstheme="majorBidi"/>
        </w:rPr>
        <w:t>'</w:t>
      </w:r>
      <w:r w:rsidRPr="00C54AFA">
        <w:rPr>
          <w:rFonts w:asciiTheme="majorBidi" w:hAnsiTheme="majorBidi" w:cstheme="majorBidi"/>
        </w:rPr>
        <w:t>wad</w:t>
      </w:r>
      <w:r w:rsidR="00A63A71" w:rsidRPr="00C54AFA">
        <w:rPr>
          <w:rFonts w:asciiTheme="majorBidi" w:hAnsiTheme="majorBidi" w:cstheme="majorBidi"/>
        </w:rPr>
        <w:t>女士</w:t>
      </w:r>
      <w:r w:rsidR="00C54AFA" w:rsidRPr="00C54AFA">
        <w:rPr>
          <w:rFonts w:asciiTheme="majorBidi" w:hAnsiTheme="majorBidi" w:cstheme="majorBidi"/>
        </w:rPr>
        <w:t>，</w:t>
      </w:r>
      <w:r w:rsidR="00A63A71" w:rsidRPr="00C54AFA">
        <w:rPr>
          <w:rFonts w:asciiTheme="majorBidi" w:hAnsiTheme="majorBidi" w:cstheme="majorBidi"/>
        </w:rPr>
        <w:t>据称最后一次被人见到是</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12</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2</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在大马士革梅泽赫的空军情报处</w:t>
      </w:r>
      <w:r w:rsidR="00C54AFA" w:rsidRPr="00C54AFA">
        <w:rPr>
          <w:rFonts w:asciiTheme="majorBidi" w:hAnsiTheme="majorBidi" w:cstheme="majorBidi"/>
        </w:rPr>
        <w:t>；</w:t>
      </w:r>
    </w:p>
    <w:p w:rsidR="00A63A71" w:rsidRPr="00C54AFA" w:rsidRDefault="00BC4B0A" w:rsidP="00C0631D">
      <w:pPr>
        <w:pStyle w:val="SingleTxtGC"/>
        <w:numPr>
          <w:ilvl w:val="0"/>
          <w:numId w:val="24"/>
        </w:numPr>
        <w:rPr>
          <w:rFonts w:asciiTheme="majorBidi" w:hAnsiTheme="majorBidi" w:cstheme="majorBidi"/>
        </w:rPr>
      </w:pP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Rami</w:t>
      </w:r>
      <w:r w:rsidR="00A63A71" w:rsidRPr="00C54AFA">
        <w:rPr>
          <w:rFonts w:asciiTheme="majorBidi" w:hAnsiTheme="majorBidi" w:cstheme="majorBidi"/>
        </w:rPr>
        <w:t xml:space="preserve"> </w:t>
      </w:r>
      <w:r w:rsidRPr="00C54AFA">
        <w:rPr>
          <w:rFonts w:asciiTheme="majorBidi" w:hAnsiTheme="majorBidi" w:cstheme="majorBidi"/>
        </w:rPr>
        <w:t>Manla</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叙利亚人</w:t>
      </w:r>
      <w:r w:rsidR="00C54AFA" w:rsidRPr="00C54AFA">
        <w:rPr>
          <w:rFonts w:asciiTheme="majorBidi" w:hAnsiTheme="majorBidi" w:cstheme="majorBidi"/>
        </w:rPr>
        <w:t>，</w:t>
      </w:r>
      <w:r w:rsidR="00A63A71" w:rsidRPr="00C54AFA">
        <w:rPr>
          <w:rFonts w:asciiTheme="majorBidi" w:hAnsiTheme="majorBidi" w:cstheme="majorBidi"/>
        </w:rPr>
        <w:t>据称于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3</w:t>
      </w:r>
      <w:r w:rsidR="00A63A71" w:rsidRPr="00C54AFA">
        <w:rPr>
          <w:rFonts w:asciiTheme="majorBidi" w:hAnsiTheme="majorBidi" w:cstheme="majorBidi"/>
        </w:rPr>
        <w:t>月</w:t>
      </w:r>
      <w:r w:rsidRPr="00C54AFA">
        <w:rPr>
          <w:rFonts w:asciiTheme="majorBidi" w:hAnsiTheme="majorBidi" w:cstheme="majorBidi"/>
        </w:rPr>
        <w:t>16</w:t>
      </w:r>
      <w:r w:rsidR="00A63A71" w:rsidRPr="00C54AFA">
        <w:rPr>
          <w:rFonts w:asciiTheme="majorBidi" w:hAnsiTheme="majorBidi" w:cstheme="majorBidi"/>
        </w:rPr>
        <w:t>日在霍姆斯省</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Hasya</w:t>
      </w:r>
      <w:r w:rsidR="00A63A71" w:rsidRPr="00C54AFA">
        <w:rPr>
          <w:rFonts w:asciiTheme="majorBidi" w:hAnsiTheme="majorBidi" w:cstheme="majorBidi"/>
        </w:rPr>
        <w:t>检查站被空军情报机构逮捕</w:t>
      </w:r>
      <w:r w:rsidR="00C54AFA" w:rsidRPr="00C54AFA">
        <w:rPr>
          <w:rFonts w:asciiTheme="majorBidi" w:hAnsiTheme="majorBidi" w:cstheme="majorBidi"/>
        </w:rPr>
        <w:t>；</w:t>
      </w:r>
    </w:p>
    <w:p w:rsidR="00A63A71" w:rsidRPr="00C54AFA" w:rsidRDefault="00BC4B0A" w:rsidP="00C0631D">
      <w:pPr>
        <w:pStyle w:val="SingleTxtGC"/>
        <w:numPr>
          <w:ilvl w:val="0"/>
          <w:numId w:val="24"/>
        </w:numPr>
        <w:rPr>
          <w:rFonts w:asciiTheme="majorBidi" w:hAnsiTheme="majorBidi" w:cstheme="majorBidi"/>
        </w:rPr>
      </w:pPr>
      <w:r w:rsidRPr="00C54AFA">
        <w:rPr>
          <w:rFonts w:asciiTheme="majorBidi" w:hAnsiTheme="majorBidi" w:cstheme="majorBidi"/>
        </w:rPr>
        <w:t>Khaldoun</w:t>
      </w:r>
      <w:r w:rsidR="00A63A71" w:rsidRPr="00C54AFA">
        <w:rPr>
          <w:rFonts w:asciiTheme="majorBidi" w:hAnsiTheme="majorBidi" w:cstheme="majorBidi"/>
        </w:rPr>
        <w:t xml:space="preserve"> </w:t>
      </w:r>
      <w:r w:rsidRPr="00C54AFA">
        <w:rPr>
          <w:rFonts w:asciiTheme="majorBidi" w:hAnsiTheme="majorBidi" w:cstheme="majorBidi"/>
        </w:rPr>
        <w:t>Taboshe</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据称于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13</w:t>
      </w:r>
      <w:r w:rsidR="00A63A71" w:rsidRPr="00C54AFA">
        <w:rPr>
          <w:rFonts w:asciiTheme="majorBidi" w:hAnsiTheme="majorBidi" w:cstheme="majorBidi"/>
        </w:rPr>
        <w:t>年</w:t>
      </w:r>
      <w:r w:rsidRPr="00C54AFA">
        <w:rPr>
          <w:rFonts w:asciiTheme="majorBidi" w:hAnsiTheme="majorBidi" w:cstheme="majorBidi"/>
        </w:rPr>
        <w:t>4</w:t>
      </w:r>
      <w:r w:rsidR="00A63A71" w:rsidRPr="00C54AFA">
        <w:rPr>
          <w:rFonts w:asciiTheme="majorBidi" w:hAnsiTheme="majorBidi" w:cstheme="majorBidi"/>
        </w:rPr>
        <w:t>月</w:t>
      </w:r>
      <w:r w:rsidRPr="00C54AFA">
        <w:rPr>
          <w:rFonts w:asciiTheme="majorBidi" w:hAnsiTheme="majorBidi" w:cstheme="majorBidi"/>
        </w:rPr>
        <w:t>4</w:t>
      </w:r>
      <w:r w:rsidR="00A63A71" w:rsidRPr="00C54AFA">
        <w:rPr>
          <w:rFonts w:asciiTheme="majorBidi" w:hAnsiTheme="majorBidi" w:cstheme="majorBidi"/>
        </w:rPr>
        <w:t>日在拉塔基亚港被国家安全处人员逮捕。</w:t>
      </w:r>
    </w:p>
    <w:p w:rsidR="00A63A71" w:rsidRPr="00C54AFA" w:rsidRDefault="00A63A71" w:rsidP="00116230">
      <w:pPr>
        <w:pStyle w:val="H23GC"/>
      </w:pPr>
      <w:r w:rsidRPr="00C54AFA">
        <w:lastRenderedPageBreak/>
        <w:tab/>
      </w:r>
      <w:r w:rsidRPr="00C54AFA">
        <w:tab/>
      </w:r>
      <w:r w:rsidRPr="00C54AFA">
        <w:t>政府提供的资料</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13</w:t>
      </w:r>
      <w:r w:rsidR="00C54AFA" w:rsidRPr="00C54AFA">
        <w:rPr>
          <w:rFonts w:asciiTheme="majorBidi" w:hAnsiTheme="majorBidi" w:cstheme="majorBidi"/>
        </w:rPr>
        <w:t>6.</w:t>
      </w:r>
      <w:r w:rsidR="00C0631D"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9</w:t>
      </w:r>
      <w:r w:rsidR="00A63A71" w:rsidRPr="00C54AFA">
        <w:rPr>
          <w:rFonts w:asciiTheme="majorBidi" w:hAnsiTheme="majorBidi" w:cstheme="majorBidi"/>
        </w:rPr>
        <w:t>月</w:t>
      </w:r>
      <w:r w:rsidRPr="00C54AFA">
        <w:rPr>
          <w:rFonts w:asciiTheme="majorBidi" w:hAnsiTheme="majorBidi" w:cstheme="majorBidi"/>
        </w:rPr>
        <w:t>18</w:t>
      </w:r>
      <w:r w:rsidR="00A63A71" w:rsidRPr="00C54AFA">
        <w:rPr>
          <w:rFonts w:asciiTheme="majorBidi" w:hAnsiTheme="majorBidi" w:cstheme="majorBidi"/>
        </w:rPr>
        <w:t>日和</w:t>
      </w:r>
      <w:r w:rsidRPr="00C54AFA">
        <w:rPr>
          <w:rFonts w:asciiTheme="majorBidi" w:hAnsiTheme="majorBidi" w:cstheme="majorBidi"/>
        </w:rPr>
        <w:t>29</w:t>
      </w:r>
      <w:r w:rsidR="00A63A71" w:rsidRPr="00C54AFA">
        <w:rPr>
          <w:rFonts w:asciiTheme="majorBidi" w:hAnsiTheme="majorBidi" w:cstheme="majorBidi"/>
        </w:rPr>
        <w:t>日以及</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w:t>
      </w:r>
      <w:r w:rsidRPr="00C54AFA">
        <w:rPr>
          <w:rFonts w:asciiTheme="majorBidi" w:hAnsiTheme="majorBidi" w:cstheme="majorBidi"/>
        </w:rPr>
        <w:t>6</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该国政府送交了关于</w:t>
      </w:r>
      <w:r w:rsidRPr="00C54AFA">
        <w:rPr>
          <w:rFonts w:asciiTheme="majorBidi" w:hAnsiTheme="majorBidi" w:cstheme="majorBidi"/>
        </w:rPr>
        <w:t>19</w:t>
      </w:r>
      <w:r w:rsidR="00A63A71" w:rsidRPr="00C54AFA">
        <w:rPr>
          <w:rFonts w:asciiTheme="majorBidi" w:hAnsiTheme="majorBidi" w:cstheme="majorBidi"/>
        </w:rPr>
        <w:t>起未决案件的资料。</w:t>
      </w:r>
    </w:p>
    <w:p w:rsidR="00A63A71" w:rsidRPr="00C54AFA" w:rsidRDefault="00C0631D" w:rsidP="00116230">
      <w:pPr>
        <w:pStyle w:val="H23GC"/>
      </w:pPr>
      <w:r w:rsidRPr="00C54AFA">
        <w:tab/>
      </w:r>
      <w:r w:rsidRPr="00C54AFA">
        <w:tab/>
      </w:r>
      <w:r w:rsidR="00A63A71" w:rsidRPr="00C54AFA">
        <w:t>基于来文方资料作出的澄清</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13</w:t>
      </w:r>
      <w:r w:rsidR="00C54AFA" w:rsidRPr="00C54AFA">
        <w:rPr>
          <w:rFonts w:asciiTheme="majorBidi" w:hAnsiTheme="majorBidi" w:cstheme="majorBidi"/>
        </w:rPr>
        <w:t>7.</w:t>
      </w:r>
      <w:r w:rsidR="00C0631D" w:rsidRPr="00C54AFA">
        <w:rPr>
          <w:rFonts w:asciiTheme="majorBidi" w:hAnsiTheme="majorBidi" w:cstheme="majorBidi"/>
        </w:rPr>
        <w:t xml:space="preserve">  </w:t>
      </w:r>
      <w:r w:rsidR="00A63A71" w:rsidRPr="00C54AFA">
        <w:rPr>
          <w:rFonts w:asciiTheme="majorBidi" w:hAnsiTheme="majorBidi" w:cstheme="majorBidi"/>
        </w:rPr>
        <w:t>来文方就</w:t>
      </w:r>
      <w:r w:rsidRPr="00C54AFA">
        <w:rPr>
          <w:rFonts w:asciiTheme="majorBidi" w:hAnsiTheme="majorBidi" w:cstheme="majorBidi"/>
        </w:rPr>
        <w:t>5</w:t>
      </w:r>
      <w:r w:rsidR="00A63A71" w:rsidRPr="00C54AFA">
        <w:rPr>
          <w:rFonts w:asciiTheme="majorBidi" w:hAnsiTheme="majorBidi" w:cstheme="majorBidi"/>
        </w:rPr>
        <w:t>起未决案件提供了资料。工作组决定因此澄清其中的一起案件。</w:t>
      </w:r>
    </w:p>
    <w:p w:rsidR="00A63A71" w:rsidRPr="00C54AFA" w:rsidRDefault="00A63A71" w:rsidP="00116230">
      <w:pPr>
        <w:pStyle w:val="H23GC"/>
        <w:rPr>
          <w:rFonts w:eastAsia="SimSun"/>
        </w:rPr>
      </w:pPr>
      <w:r w:rsidRPr="00C54AFA">
        <w:tab/>
      </w:r>
      <w:r w:rsidRPr="00C54AFA">
        <w:tab/>
      </w:r>
      <w:r w:rsidRPr="00C54AFA">
        <w:t>紧急呼吁</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13</w:t>
      </w:r>
      <w:r w:rsidR="00C54AFA" w:rsidRPr="00C54AFA">
        <w:rPr>
          <w:rFonts w:asciiTheme="majorBidi" w:hAnsiTheme="majorBidi" w:cstheme="majorBidi"/>
        </w:rPr>
        <w:t>8.</w:t>
      </w:r>
      <w:r w:rsidR="00C0631D"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21</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工作组与其他四个特别程序机制一起</w:t>
      </w:r>
      <w:r w:rsidR="00C54AFA" w:rsidRPr="00C54AFA">
        <w:rPr>
          <w:rFonts w:asciiTheme="majorBidi" w:hAnsiTheme="majorBidi" w:cstheme="majorBidi"/>
        </w:rPr>
        <w:t>，</w:t>
      </w:r>
      <w:r w:rsidR="00A63A71" w:rsidRPr="00C54AFA">
        <w:rPr>
          <w:rFonts w:asciiTheme="majorBidi" w:hAnsiTheme="majorBidi" w:cstheme="majorBidi"/>
        </w:rPr>
        <w:t>就以下事件向该国政府联合发出了一项紧急呼吁</w:t>
      </w:r>
      <w:r w:rsidR="00C54AFA" w:rsidRPr="00C54AFA">
        <w:rPr>
          <w:rFonts w:asciiTheme="majorBidi" w:hAnsiTheme="majorBidi" w:cstheme="majorBidi"/>
        </w:rPr>
        <w:t>：</w:t>
      </w:r>
      <w:r w:rsidR="00A63A71" w:rsidRPr="00C54AFA">
        <w:rPr>
          <w:rFonts w:asciiTheme="majorBidi" w:hAnsiTheme="majorBidi" w:cstheme="majorBidi"/>
        </w:rPr>
        <w:t>为报复两名叙利亚人权维护者</w:t>
      </w:r>
      <w:r w:rsidRPr="00C54AFA">
        <w:rPr>
          <w:rFonts w:asciiTheme="majorBidi" w:hAnsiTheme="majorBidi" w:cstheme="majorBidi"/>
        </w:rPr>
        <w:t>Jdea</w:t>
      </w:r>
      <w:r w:rsidR="00A63A71" w:rsidRPr="00C54AFA">
        <w:rPr>
          <w:rFonts w:asciiTheme="majorBidi" w:hAnsiTheme="majorBidi" w:cstheme="majorBidi"/>
        </w:rPr>
        <w:t xml:space="preserve"> </w:t>
      </w:r>
      <w:r w:rsidRPr="00C54AFA">
        <w:rPr>
          <w:rFonts w:asciiTheme="majorBidi" w:hAnsiTheme="majorBidi" w:cstheme="majorBidi"/>
        </w:rPr>
        <w:t>Abdullah</w:t>
      </w:r>
      <w:r w:rsidR="00A63A71" w:rsidRPr="00C54AFA">
        <w:rPr>
          <w:rFonts w:asciiTheme="majorBidi" w:hAnsiTheme="majorBidi" w:cstheme="majorBidi"/>
        </w:rPr>
        <w:t xml:space="preserve"> </w:t>
      </w:r>
      <w:r w:rsidRPr="00C54AFA">
        <w:rPr>
          <w:rFonts w:asciiTheme="majorBidi" w:hAnsiTheme="majorBidi" w:cstheme="majorBidi"/>
        </w:rPr>
        <w:t>Nawfal</w:t>
      </w:r>
      <w:r w:rsidR="00A63A71" w:rsidRPr="00C54AFA">
        <w:rPr>
          <w:rFonts w:asciiTheme="majorBidi" w:hAnsiTheme="majorBidi" w:cstheme="majorBidi"/>
        </w:rPr>
        <w:t>先生和</w:t>
      </w:r>
      <w:r w:rsidRPr="00C54AFA">
        <w:rPr>
          <w:rFonts w:asciiTheme="majorBidi" w:hAnsiTheme="majorBidi" w:cstheme="majorBidi"/>
        </w:rPr>
        <w:t>Omar</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w:t>
      </w:r>
      <w:r w:rsidRPr="00C54AFA">
        <w:rPr>
          <w:rFonts w:asciiTheme="majorBidi" w:hAnsiTheme="majorBidi" w:cstheme="majorBidi"/>
        </w:rPr>
        <w:t>Shaar</w:t>
      </w:r>
      <w:r w:rsidR="00A63A71" w:rsidRPr="00C54AFA">
        <w:rPr>
          <w:rFonts w:asciiTheme="majorBidi" w:hAnsiTheme="majorBidi" w:cstheme="majorBidi"/>
        </w:rPr>
        <w:t>先生与联合国人权事务高级专员办事处的合作</w:t>
      </w:r>
      <w:r w:rsidR="00C54AFA" w:rsidRPr="00C54AFA">
        <w:rPr>
          <w:rFonts w:asciiTheme="majorBidi" w:hAnsiTheme="majorBidi" w:cstheme="majorBidi"/>
        </w:rPr>
        <w:t>，</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31</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据称对他们两人进行了任意逮捕和秘密拘留。</w:t>
      </w:r>
    </w:p>
    <w:p w:rsidR="00A63A71" w:rsidRPr="00C54AFA" w:rsidRDefault="00A63A71" w:rsidP="00201D18">
      <w:pPr>
        <w:pStyle w:val="H1GC"/>
      </w:pPr>
      <w:r w:rsidRPr="00C54AFA">
        <w:tab/>
      </w:r>
      <w:r w:rsidRPr="00C54AFA">
        <w:tab/>
      </w:r>
      <w:r w:rsidRPr="00C54AFA">
        <w:t>塔吉克斯坦</w:t>
      </w:r>
    </w:p>
    <w:p w:rsidR="00A63A71" w:rsidRPr="00C54AFA" w:rsidRDefault="00A63A71" w:rsidP="00201D18">
      <w:pPr>
        <w:pStyle w:val="H23GC"/>
      </w:pPr>
      <w:r w:rsidRPr="00C54AFA">
        <w:tab/>
      </w:r>
      <w:r w:rsidRPr="00C54AFA">
        <w:tab/>
      </w:r>
      <w:r w:rsidRPr="00C54AFA">
        <w:t>来文方提供的资料</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13</w:t>
      </w:r>
      <w:r w:rsidR="00C54AFA" w:rsidRPr="00C54AFA">
        <w:rPr>
          <w:rFonts w:asciiTheme="majorBidi" w:hAnsiTheme="majorBidi" w:cstheme="majorBidi"/>
        </w:rPr>
        <w:t>9.</w:t>
      </w:r>
      <w:r w:rsidR="00C0631D" w:rsidRPr="00C54AFA">
        <w:rPr>
          <w:rFonts w:asciiTheme="majorBidi" w:hAnsiTheme="majorBidi" w:cstheme="majorBidi"/>
        </w:rPr>
        <w:t xml:space="preserve">  </w:t>
      </w:r>
      <w:r w:rsidR="00A63A71" w:rsidRPr="00C54AFA">
        <w:rPr>
          <w:rFonts w:asciiTheme="majorBidi" w:hAnsiTheme="majorBidi" w:cstheme="majorBidi"/>
        </w:rPr>
        <w:t>来文方就一起未决案件提供了资料。</w:t>
      </w:r>
    </w:p>
    <w:p w:rsidR="00A63A71" w:rsidRPr="00C54AFA" w:rsidRDefault="00A63A71" w:rsidP="00201D18">
      <w:pPr>
        <w:pStyle w:val="H1GC"/>
      </w:pPr>
      <w:r w:rsidRPr="00C54AFA">
        <w:tab/>
      </w:r>
      <w:r w:rsidRPr="00C54AFA">
        <w:tab/>
      </w:r>
      <w:r w:rsidRPr="00C54AFA">
        <w:t>泰国</w:t>
      </w:r>
    </w:p>
    <w:p w:rsidR="00A63A71" w:rsidRPr="00C54AFA" w:rsidRDefault="00A63A71" w:rsidP="00201D18">
      <w:pPr>
        <w:pStyle w:val="H23GC"/>
      </w:pPr>
      <w:r w:rsidRPr="00C54AFA">
        <w:tab/>
      </w:r>
      <w:r w:rsidRPr="00C54AFA">
        <w:tab/>
      </w:r>
      <w:r w:rsidRPr="00C54AFA">
        <w:t>标准程序</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14</w:t>
      </w:r>
      <w:r w:rsidR="00C54AFA" w:rsidRPr="00C54AFA">
        <w:rPr>
          <w:rFonts w:asciiTheme="majorBidi" w:hAnsiTheme="majorBidi" w:cstheme="majorBidi"/>
        </w:rPr>
        <w:t>0.</w:t>
      </w:r>
      <w:r w:rsidR="00C0631D" w:rsidRPr="00C54AFA">
        <w:rPr>
          <w:rFonts w:asciiTheme="majorBidi" w:hAnsiTheme="majorBidi" w:cstheme="majorBidi"/>
        </w:rPr>
        <w:t xml:space="preserve">  </w:t>
      </w:r>
      <w:r w:rsidR="00A63A71" w:rsidRPr="00C54AFA">
        <w:rPr>
          <w:rFonts w:asciiTheme="majorBidi" w:hAnsiTheme="majorBidi" w:cstheme="majorBidi"/>
        </w:rPr>
        <w:t>工作组向该国政府转交了关于</w:t>
      </w:r>
      <w:r w:rsidRPr="00C54AFA">
        <w:rPr>
          <w:rFonts w:asciiTheme="majorBidi" w:hAnsiTheme="majorBidi" w:cstheme="majorBidi"/>
        </w:rPr>
        <w:t>Abdulrohim</w:t>
      </w:r>
      <w:r w:rsidR="00A63A71" w:rsidRPr="00C54AFA">
        <w:rPr>
          <w:rFonts w:asciiTheme="majorBidi" w:hAnsiTheme="majorBidi" w:cstheme="majorBidi"/>
        </w:rPr>
        <w:t xml:space="preserve"> </w:t>
      </w:r>
      <w:r w:rsidRPr="00C54AFA">
        <w:rPr>
          <w:rFonts w:asciiTheme="majorBidi" w:hAnsiTheme="majorBidi" w:cstheme="majorBidi"/>
        </w:rPr>
        <w:t>Abdullakim</w:t>
      </w:r>
      <w:r w:rsidR="00A63A71" w:rsidRPr="00C54AFA">
        <w:rPr>
          <w:rFonts w:asciiTheme="majorBidi" w:hAnsiTheme="majorBidi" w:cstheme="majorBidi"/>
        </w:rPr>
        <w:t>先生的一起案件</w:t>
      </w:r>
      <w:r w:rsidR="00C54AFA" w:rsidRPr="00C54AFA">
        <w:rPr>
          <w:rFonts w:asciiTheme="majorBidi" w:hAnsiTheme="majorBidi" w:cstheme="majorBidi"/>
        </w:rPr>
        <w:t>，</w:t>
      </w:r>
      <w:r w:rsidR="00A63A71" w:rsidRPr="00C54AFA">
        <w:rPr>
          <w:rFonts w:asciiTheme="majorBidi" w:hAnsiTheme="majorBidi" w:cstheme="majorBidi"/>
        </w:rPr>
        <w:t>据称他在</w:t>
      </w:r>
      <w:r w:rsidRPr="00C54AFA">
        <w:rPr>
          <w:rFonts w:asciiTheme="majorBidi" w:hAnsiTheme="majorBidi" w:cstheme="majorBidi"/>
        </w:rPr>
        <w:t>Su</w:t>
      </w:r>
      <w:r w:rsidR="00A63A71" w:rsidRPr="00C54AFA">
        <w:rPr>
          <w:rFonts w:asciiTheme="majorBidi" w:hAnsiTheme="majorBidi" w:cstheme="majorBidi"/>
        </w:rPr>
        <w:t>-</w:t>
      </w:r>
      <w:r w:rsidRPr="00C54AFA">
        <w:rPr>
          <w:rFonts w:asciiTheme="majorBidi" w:hAnsiTheme="majorBidi" w:cstheme="majorBidi"/>
        </w:rPr>
        <w:t>Ngai</w:t>
      </w:r>
      <w:r w:rsidR="00A63A71" w:rsidRPr="00C54AFA">
        <w:rPr>
          <w:rFonts w:asciiTheme="majorBidi" w:hAnsiTheme="majorBidi" w:cstheme="majorBidi"/>
        </w:rPr>
        <w:t xml:space="preserve"> </w:t>
      </w:r>
      <w:r w:rsidRPr="00C54AFA">
        <w:rPr>
          <w:rFonts w:asciiTheme="majorBidi" w:hAnsiTheme="majorBidi" w:cstheme="majorBidi"/>
        </w:rPr>
        <w:t>Kolok</w:t>
      </w:r>
      <w:r w:rsidR="00A63A71" w:rsidRPr="00C54AFA">
        <w:rPr>
          <w:rFonts w:asciiTheme="majorBidi" w:hAnsiTheme="majorBidi" w:cstheme="majorBidi"/>
        </w:rPr>
        <w:t>地区以外的一个军事检查站被捕。</w:t>
      </w:r>
    </w:p>
    <w:p w:rsidR="00A63A71" w:rsidRPr="00C54AFA" w:rsidRDefault="00A63A71" w:rsidP="00201D18">
      <w:pPr>
        <w:pStyle w:val="H23GC"/>
      </w:pPr>
      <w:r w:rsidRPr="00C54AFA">
        <w:tab/>
      </w:r>
      <w:r w:rsidRPr="00C54AFA">
        <w:tab/>
      </w:r>
      <w:r w:rsidRPr="00C54AFA">
        <w:t>政府提供的资料</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14</w:t>
      </w:r>
      <w:r w:rsidR="00C54AFA" w:rsidRPr="00C54AFA">
        <w:rPr>
          <w:rFonts w:asciiTheme="majorBidi" w:hAnsiTheme="majorBidi" w:cstheme="majorBidi"/>
        </w:rPr>
        <w:t>1.</w:t>
      </w:r>
      <w:r w:rsidR="00C0631D"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7</w:t>
      </w:r>
      <w:r w:rsidR="00A63A71" w:rsidRPr="00C54AFA">
        <w:rPr>
          <w:rFonts w:asciiTheme="majorBidi" w:hAnsiTheme="majorBidi" w:cstheme="majorBidi"/>
        </w:rPr>
        <w:t>月</w:t>
      </w:r>
      <w:r w:rsidRPr="00C54AFA">
        <w:rPr>
          <w:rFonts w:asciiTheme="majorBidi" w:hAnsiTheme="majorBidi" w:cstheme="majorBidi"/>
        </w:rPr>
        <w:t>31</w:t>
      </w:r>
      <w:r w:rsidR="00A63A71" w:rsidRPr="00C54AFA">
        <w:rPr>
          <w:rFonts w:asciiTheme="majorBidi" w:hAnsiTheme="majorBidi" w:cstheme="majorBidi"/>
        </w:rPr>
        <w:t>日和</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w:t>
      </w:r>
      <w:r w:rsidRPr="00C54AFA">
        <w:rPr>
          <w:rFonts w:asciiTheme="majorBidi" w:hAnsiTheme="majorBidi" w:cstheme="majorBidi"/>
        </w:rPr>
        <w:t>23</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该国政府送交了关于一起未决案件的资料。</w:t>
      </w:r>
    </w:p>
    <w:p w:rsidR="00A63A71" w:rsidRPr="00C54AFA" w:rsidRDefault="00A63A71" w:rsidP="00201D18">
      <w:pPr>
        <w:pStyle w:val="H23GC"/>
        <w:rPr>
          <w:rFonts w:eastAsia="SimSun"/>
        </w:rPr>
      </w:pPr>
      <w:r w:rsidRPr="00C54AFA">
        <w:tab/>
      </w:r>
      <w:r w:rsidRPr="00C54AFA">
        <w:tab/>
      </w:r>
      <w:r w:rsidRPr="00C54AFA">
        <w:t>来文方提供的资料</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14</w:t>
      </w:r>
      <w:r w:rsidR="00C54AFA" w:rsidRPr="00C54AFA">
        <w:rPr>
          <w:rFonts w:asciiTheme="majorBidi" w:hAnsiTheme="majorBidi" w:cstheme="majorBidi"/>
        </w:rPr>
        <w:t>2.</w:t>
      </w:r>
      <w:r w:rsidR="00C0631D" w:rsidRPr="00C54AFA">
        <w:rPr>
          <w:rFonts w:asciiTheme="majorBidi" w:hAnsiTheme="majorBidi" w:cstheme="majorBidi"/>
        </w:rPr>
        <w:t xml:space="preserve">  </w:t>
      </w:r>
      <w:r w:rsidR="00A63A71" w:rsidRPr="00C54AFA">
        <w:rPr>
          <w:rFonts w:asciiTheme="majorBidi" w:hAnsiTheme="majorBidi" w:cstheme="majorBidi"/>
        </w:rPr>
        <w:t>来文方就一起未决案件提供了资料。</w:t>
      </w:r>
      <w:r w:rsidR="00C0631D" w:rsidRPr="00C54AFA">
        <w:rPr>
          <w:rFonts w:asciiTheme="majorBidi" w:hAnsiTheme="majorBidi" w:cstheme="majorBidi"/>
        </w:rPr>
        <w:tab/>
      </w:r>
    </w:p>
    <w:p w:rsidR="00A63A71" w:rsidRPr="00C54AFA" w:rsidRDefault="00A63A71" w:rsidP="00201D18">
      <w:pPr>
        <w:pStyle w:val="H1GC"/>
      </w:pPr>
      <w:r w:rsidRPr="00C54AFA">
        <w:tab/>
      </w:r>
      <w:r w:rsidRPr="00C54AFA">
        <w:tab/>
      </w:r>
      <w:r w:rsidRPr="00C54AFA">
        <w:t>突尼斯</w:t>
      </w:r>
    </w:p>
    <w:p w:rsidR="00A63A71" w:rsidRPr="00C54AFA" w:rsidRDefault="00A63A71" w:rsidP="00201D18">
      <w:pPr>
        <w:pStyle w:val="H23GC"/>
      </w:pPr>
      <w:r w:rsidRPr="00C54AFA">
        <w:tab/>
      </w:r>
      <w:r w:rsidRPr="00C54AFA">
        <w:tab/>
      </w:r>
      <w:r w:rsidRPr="00C54AFA">
        <w:t>政府提供的资料</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14</w:t>
      </w:r>
      <w:r w:rsidR="00C54AFA" w:rsidRPr="00C54AFA">
        <w:rPr>
          <w:rFonts w:asciiTheme="majorBidi" w:hAnsiTheme="majorBidi" w:cstheme="majorBidi"/>
        </w:rPr>
        <w:t>3.</w:t>
      </w:r>
      <w:r w:rsidR="00C0631D"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5</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该国政府转交了关于</w:t>
      </w:r>
      <w:r w:rsidRPr="00C54AFA">
        <w:rPr>
          <w:rFonts w:asciiTheme="majorBidi" w:hAnsiTheme="majorBidi" w:cstheme="majorBidi"/>
        </w:rPr>
        <w:t>2</w:t>
      </w:r>
      <w:r w:rsidR="00A63A71" w:rsidRPr="00C54AFA">
        <w:rPr>
          <w:rFonts w:asciiTheme="majorBidi" w:hAnsiTheme="majorBidi" w:cstheme="majorBidi"/>
        </w:rPr>
        <w:t>起未决案件的资料。</w:t>
      </w:r>
    </w:p>
    <w:p w:rsidR="00A63A71" w:rsidRPr="00C54AFA" w:rsidRDefault="00A63A71" w:rsidP="00201D18">
      <w:pPr>
        <w:pStyle w:val="H1GC"/>
      </w:pPr>
      <w:r w:rsidRPr="00C54AFA">
        <w:lastRenderedPageBreak/>
        <w:tab/>
      </w:r>
      <w:r w:rsidRPr="00C54AFA">
        <w:tab/>
      </w:r>
      <w:r w:rsidRPr="00C54AFA">
        <w:t>土耳其</w:t>
      </w:r>
    </w:p>
    <w:p w:rsidR="00A63A71" w:rsidRPr="00C54AFA" w:rsidRDefault="00A63A71" w:rsidP="00201D18">
      <w:pPr>
        <w:pStyle w:val="H23GC"/>
      </w:pPr>
      <w:r w:rsidRPr="00C54AFA">
        <w:tab/>
      </w:r>
      <w:r w:rsidRPr="00C54AFA">
        <w:tab/>
      </w:r>
      <w:r w:rsidRPr="00C54AFA">
        <w:t>澄清</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14</w:t>
      </w:r>
      <w:r w:rsidR="00C54AFA" w:rsidRPr="00C54AFA">
        <w:rPr>
          <w:rFonts w:asciiTheme="majorBidi" w:hAnsiTheme="majorBidi" w:cstheme="majorBidi"/>
        </w:rPr>
        <w:t>4.</w:t>
      </w:r>
      <w:r w:rsidR="00C0631D" w:rsidRPr="00C54AFA">
        <w:rPr>
          <w:rFonts w:asciiTheme="majorBidi" w:hAnsiTheme="majorBidi" w:cstheme="majorBidi"/>
        </w:rPr>
        <w:t xml:space="preserve">  </w:t>
      </w:r>
      <w:r w:rsidR="00A63A71" w:rsidRPr="00C54AFA">
        <w:rPr>
          <w:rFonts w:asciiTheme="majorBidi" w:hAnsiTheme="majorBidi" w:cstheme="majorBidi"/>
        </w:rPr>
        <w:t>基于该国政府提供的资料</w:t>
      </w:r>
      <w:r w:rsidR="00C54AFA" w:rsidRPr="00C54AFA">
        <w:rPr>
          <w:rFonts w:asciiTheme="majorBidi" w:hAnsiTheme="majorBidi" w:cstheme="majorBidi"/>
        </w:rPr>
        <w:t>，</w:t>
      </w:r>
      <w:r w:rsidR="00A63A71" w:rsidRPr="00C54AFA">
        <w:rPr>
          <w:rFonts w:asciiTheme="majorBidi" w:hAnsiTheme="majorBidi" w:cstheme="majorBidi"/>
        </w:rPr>
        <w:t>工作组决定</w:t>
      </w:r>
      <w:r w:rsidR="00C54AFA" w:rsidRPr="00C54AFA">
        <w:rPr>
          <w:rFonts w:asciiTheme="majorBidi" w:hAnsiTheme="majorBidi" w:cstheme="majorBidi"/>
        </w:rPr>
        <w:t>，</w:t>
      </w:r>
      <w:r w:rsidR="00A63A71" w:rsidRPr="00C54AFA">
        <w:rPr>
          <w:rFonts w:asciiTheme="majorBidi" w:hAnsiTheme="majorBidi" w:cstheme="majorBidi"/>
        </w:rPr>
        <w:t>在六个月规则</w:t>
      </w:r>
      <w:r w:rsidR="00C54AFA" w:rsidRPr="00C54AFA">
        <w:rPr>
          <w:rFonts w:asciiTheme="majorBidi" w:hAnsiTheme="majorBidi" w:cstheme="majorBidi"/>
        </w:rPr>
        <w:t>(</w:t>
      </w:r>
      <w:r w:rsidR="00A63A71" w:rsidRPr="00C54AFA">
        <w:rPr>
          <w:rFonts w:asciiTheme="majorBidi" w:hAnsiTheme="majorBidi" w:cstheme="majorBidi"/>
        </w:rPr>
        <w:t>见</w:t>
      </w:r>
      <w:r w:rsidRPr="00C54AFA">
        <w:rPr>
          <w:rFonts w:asciiTheme="majorBidi" w:hAnsiTheme="majorBidi" w:cstheme="majorBidi"/>
        </w:rPr>
        <w:t>A</w:t>
      </w:r>
      <w:r w:rsidR="00C54AFA" w:rsidRPr="00C54AFA">
        <w:rPr>
          <w:rFonts w:asciiTheme="majorBidi" w:hAnsiTheme="majorBidi" w:cstheme="majorBidi"/>
        </w:rPr>
        <w:t>/</w:t>
      </w:r>
      <w:r w:rsidRPr="00C54AFA">
        <w:rPr>
          <w:rFonts w:asciiTheme="majorBidi" w:hAnsiTheme="majorBidi" w:cstheme="majorBidi"/>
        </w:rPr>
        <w:t>HRC</w:t>
      </w:r>
      <w:r w:rsidR="00C54AFA" w:rsidRPr="00C54AFA">
        <w:rPr>
          <w:rFonts w:asciiTheme="majorBidi" w:hAnsiTheme="majorBidi" w:cstheme="majorBidi"/>
        </w:rPr>
        <w:t>/</w:t>
      </w:r>
      <w:r w:rsidR="00C0631D" w:rsidRPr="00C54AFA">
        <w:rPr>
          <w:rFonts w:asciiTheme="majorBidi" w:hAnsiTheme="majorBidi" w:cstheme="majorBidi"/>
        </w:rPr>
        <w:t xml:space="preserve"> </w:t>
      </w:r>
      <w:r w:rsidRPr="00C54AFA">
        <w:rPr>
          <w:rFonts w:asciiTheme="majorBidi" w:hAnsiTheme="majorBidi" w:cstheme="majorBidi"/>
        </w:rPr>
        <w:t>WGEID</w:t>
      </w:r>
      <w:r w:rsidR="00C54AFA" w:rsidRPr="00C54AFA">
        <w:rPr>
          <w:rFonts w:asciiTheme="majorBidi" w:hAnsiTheme="majorBidi" w:cstheme="majorBidi"/>
        </w:rPr>
        <w:t>/</w:t>
      </w:r>
      <w:r w:rsidRPr="00C54AFA">
        <w:rPr>
          <w:rFonts w:asciiTheme="majorBidi" w:hAnsiTheme="majorBidi" w:cstheme="majorBidi"/>
        </w:rPr>
        <w:t>1</w:t>
      </w:r>
      <w:r w:rsidR="00A63A71" w:rsidRPr="00C54AFA">
        <w:rPr>
          <w:rFonts w:asciiTheme="majorBidi" w:hAnsiTheme="majorBidi" w:cstheme="majorBidi"/>
        </w:rPr>
        <w:t>0</w:t>
      </w:r>
      <w:r w:rsidRPr="00C54AFA">
        <w:rPr>
          <w:rFonts w:asciiTheme="majorBidi" w:hAnsiTheme="majorBidi" w:cstheme="majorBidi"/>
        </w:rPr>
        <w:t>3</w:t>
      </w:r>
      <w:r w:rsidR="00C54AFA" w:rsidRPr="00C54AFA">
        <w:rPr>
          <w:rFonts w:asciiTheme="majorBidi" w:hAnsiTheme="majorBidi" w:cstheme="majorBidi"/>
        </w:rPr>
        <w:t>/1,</w:t>
      </w:r>
      <w:r w:rsidR="00A63A71" w:rsidRPr="00C54AFA">
        <w:rPr>
          <w:rFonts w:asciiTheme="majorBidi" w:hAnsiTheme="majorBidi" w:cstheme="majorBidi"/>
        </w:rPr>
        <w:t>第</w:t>
      </w:r>
      <w:r w:rsidRPr="00C54AFA">
        <w:rPr>
          <w:rFonts w:asciiTheme="majorBidi" w:hAnsiTheme="majorBidi" w:cstheme="majorBidi"/>
        </w:rPr>
        <w:t>177</w:t>
      </w:r>
      <w:r w:rsidR="00A63A71" w:rsidRPr="00C54AFA">
        <w:rPr>
          <w:rFonts w:asciiTheme="majorBidi" w:hAnsiTheme="majorBidi" w:cstheme="majorBidi"/>
        </w:rPr>
        <w:t>段</w:t>
      </w:r>
      <w:r w:rsidR="00C54AFA" w:rsidRPr="00C54AFA">
        <w:rPr>
          <w:rFonts w:asciiTheme="majorBidi" w:hAnsiTheme="majorBidi" w:cstheme="majorBidi"/>
        </w:rPr>
        <w:t>)</w:t>
      </w:r>
      <w:r w:rsidR="00A63A71" w:rsidRPr="00C54AFA">
        <w:rPr>
          <w:rFonts w:asciiTheme="majorBidi" w:hAnsiTheme="majorBidi" w:cstheme="majorBidi"/>
        </w:rPr>
        <w:t>期限到期后</w:t>
      </w:r>
      <w:r w:rsidR="00C54AFA" w:rsidRPr="00C54AFA">
        <w:rPr>
          <w:rFonts w:asciiTheme="majorBidi" w:hAnsiTheme="majorBidi" w:cstheme="majorBidi"/>
        </w:rPr>
        <w:t>，</w:t>
      </w:r>
      <w:r w:rsidR="00A63A71" w:rsidRPr="00C54AFA">
        <w:rPr>
          <w:rFonts w:asciiTheme="majorBidi" w:hAnsiTheme="majorBidi" w:cstheme="majorBidi"/>
        </w:rPr>
        <w:t>澄清一起未决案件。</w:t>
      </w:r>
    </w:p>
    <w:p w:rsidR="00A63A71" w:rsidRPr="00C54AFA" w:rsidRDefault="00A63A71" w:rsidP="00201D18">
      <w:pPr>
        <w:pStyle w:val="H23GC"/>
      </w:pPr>
      <w:r w:rsidRPr="00C54AFA">
        <w:tab/>
      </w:r>
      <w:r w:rsidRPr="00C54AFA">
        <w:tab/>
      </w:r>
      <w:r w:rsidRPr="00C54AFA">
        <w:t>紧急呼吁</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14</w:t>
      </w:r>
      <w:r w:rsidR="00C54AFA" w:rsidRPr="00C54AFA">
        <w:rPr>
          <w:rFonts w:asciiTheme="majorBidi" w:hAnsiTheme="majorBidi" w:cstheme="majorBidi"/>
        </w:rPr>
        <w:t>5.</w:t>
      </w:r>
      <w:r w:rsidR="00C0631D"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19</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工作组与其他三个特别程序机制向该国政府联合转交了关于以下事件的一份紧急呼吁</w:t>
      </w:r>
      <w:r w:rsidR="00C54AFA" w:rsidRPr="00C54AFA">
        <w:rPr>
          <w:rFonts w:asciiTheme="majorBidi" w:hAnsiTheme="majorBidi" w:cstheme="majorBidi"/>
        </w:rPr>
        <w:t>：</w:t>
      </w:r>
      <w:r w:rsidR="00A63A71" w:rsidRPr="00C54AFA">
        <w:rPr>
          <w:rFonts w:asciiTheme="majorBidi" w:hAnsiTheme="majorBidi" w:cstheme="majorBidi"/>
        </w:rPr>
        <w:t>据称</w:t>
      </w:r>
      <w:r w:rsidRPr="00C54AFA">
        <w:rPr>
          <w:rFonts w:asciiTheme="majorBidi" w:hAnsiTheme="majorBidi" w:cstheme="majorBidi"/>
        </w:rPr>
        <w:t>Abd</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w:t>
      </w:r>
      <w:r w:rsidRPr="00C54AFA">
        <w:rPr>
          <w:rFonts w:asciiTheme="majorBidi" w:hAnsiTheme="majorBidi" w:cstheme="majorBidi"/>
        </w:rPr>
        <w:t>Baset</w:t>
      </w:r>
      <w:r w:rsidR="00A63A71" w:rsidRPr="00C54AFA">
        <w:rPr>
          <w:rFonts w:asciiTheme="majorBidi" w:hAnsiTheme="majorBidi" w:cstheme="majorBidi"/>
        </w:rPr>
        <w:t xml:space="preserve"> </w:t>
      </w:r>
      <w:r w:rsidRPr="00C54AFA">
        <w:rPr>
          <w:rFonts w:asciiTheme="majorBidi" w:hAnsiTheme="majorBidi" w:cstheme="majorBidi"/>
        </w:rPr>
        <w:t>Azzouz</w:t>
      </w:r>
      <w:r w:rsidR="00A63A71" w:rsidRPr="00C54AFA">
        <w:rPr>
          <w:rFonts w:asciiTheme="majorBidi" w:hAnsiTheme="majorBidi" w:cstheme="majorBidi"/>
        </w:rPr>
        <w:t>先生</w:t>
      </w:r>
      <w:r w:rsidR="00C54AFA" w:rsidRPr="00C54AFA">
        <w:rPr>
          <w:rFonts w:asciiTheme="majorBidi" w:hAnsiTheme="majorBidi" w:cstheme="majorBidi"/>
        </w:rPr>
        <w:t>(</w:t>
      </w:r>
      <w:r w:rsidR="00A63A71" w:rsidRPr="00C54AFA">
        <w:rPr>
          <w:rFonts w:asciiTheme="majorBidi" w:hAnsiTheme="majorBidi" w:cstheme="majorBidi"/>
        </w:rPr>
        <w:t>利比亚公民</w:t>
      </w:r>
      <w:r w:rsidR="00C54AFA" w:rsidRPr="00C54AFA">
        <w:rPr>
          <w:rFonts w:asciiTheme="majorBidi" w:hAnsiTheme="majorBidi" w:cstheme="majorBidi"/>
        </w:rPr>
        <w:t>)</w:t>
      </w:r>
      <w:r w:rsidR="00A63A71" w:rsidRPr="00C54AFA">
        <w:rPr>
          <w:rFonts w:asciiTheme="majorBidi" w:hAnsiTheme="majorBidi" w:cstheme="majorBidi"/>
        </w:rPr>
        <w:t>遭到任意逮捕、关押、失踪并面临被驱回。据报告</w:t>
      </w:r>
      <w:r w:rsidR="00C54AFA" w:rsidRPr="00C54AFA">
        <w:rPr>
          <w:rFonts w:asciiTheme="majorBidi" w:hAnsiTheme="majorBidi" w:cstheme="majorBidi"/>
        </w:rPr>
        <w:t>，</w:t>
      </w:r>
      <w:r w:rsidR="00A63A71" w:rsidRPr="00C54AFA">
        <w:rPr>
          <w:rFonts w:asciiTheme="majorBidi" w:hAnsiTheme="majorBidi" w:cstheme="majorBidi"/>
        </w:rPr>
        <w:t>他在</w:t>
      </w:r>
      <w:r w:rsidRPr="00C54AFA">
        <w:rPr>
          <w:rFonts w:asciiTheme="majorBidi" w:hAnsiTheme="majorBidi" w:cstheme="majorBidi"/>
        </w:rPr>
        <w:t>Yalova</w:t>
      </w:r>
      <w:r w:rsidR="00A63A71" w:rsidRPr="00C54AFA">
        <w:rPr>
          <w:rFonts w:asciiTheme="majorBidi" w:hAnsiTheme="majorBidi" w:cstheme="majorBidi"/>
        </w:rPr>
        <w:t>被土耳其当局逮捕并被转到科贾埃利省非正规移民拘留中心。</w:t>
      </w:r>
    </w:p>
    <w:p w:rsidR="00A63A71" w:rsidRPr="00C54AFA" w:rsidRDefault="00A63A71" w:rsidP="00201D18">
      <w:pPr>
        <w:pStyle w:val="H1GC"/>
      </w:pPr>
      <w:r w:rsidRPr="00C54AFA">
        <w:tab/>
      </w:r>
      <w:r w:rsidRPr="00C54AFA">
        <w:tab/>
      </w:r>
      <w:r w:rsidRPr="00C54AFA">
        <w:t>乌克兰</w:t>
      </w:r>
    </w:p>
    <w:p w:rsidR="00A63A71" w:rsidRPr="00C54AFA" w:rsidRDefault="00A63A71" w:rsidP="00201D18">
      <w:pPr>
        <w:pStyle w:val="H23GC"/>
      </w:pPr>
      <w:r w:rsidRPr="00C54AFA">
        <w:tab/>
      </w:r>
      <w:r w:rsidRPr="00C54AFA">
        <w:tab/>
      </w:r>
      <w:r w:rsidRPr="00C54AFA">
        <w:t>标准程序</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14</w:t>
      </w:r>
      <w:r w:rsidR="00C54AFA" w:rsidRPr="00C54AFA">
        <w:rPr>
          <w:rFonts w:asciiTheme="majorBidi" w:hAnsiTheme="majorBidi" w:cstheme="majorBidi"/>
        </w:rPr>
        <w:t>6.</w:t>
      </w:r>
      <w:r w:rsidR="00C0631D" w:rsidRPr="00C54AFA">
        <w:rPr>
          <w:rFonts w:asciiTheme="majorBidi" w:hAnsiTheme="majorBidi" w:cstheme="majorBidi"/>
        </w:rPr>
        <w:t xml:space="preserve">  </w:t>
      </w:r>
      <w:r w:rsidR="00A63A71" w:rsidRPr="00C54AFA">
        <w:rPr>
          <w:rFonts w:asciiTheme="majorBidi" w:hAnsiTheme="majorBidi" w:cstheme="majorBidi"/>
        </w:rPr>
        <w:t>工作组向该国政府转交了关于</w:t>
      </w:r>
      <w:r w:rsidRPr="00C54AFA">
        <w:rPr>
          <w:rFonts w:asciiTheme="majorBidi" w:hAnsiTheme="majorBidi" w:cstheme="majorBidi"/>
        </w:rPr>
        <w:t>Bilibin</w:t>
      </w:r>
      <w:r w:rsidR="00A63A71" w:rsidRPr="00C54AFA">
        <w:rPr>
          <w:rFonts w:asciiTheme="majorBidi" w:hAnsiTheme="majorBidi" w:cstheme="majorBidi"/>
        </w:rPr>
        <w:t xml:space="preserve"> </w:t>
      </w:r>
      <w:r w:rsidRPr="00C54AFA">
        <w:rPr>
          <w:rFonts w:asciiTheme="majorBidi" w:hAnsiTheme="majorBidi" w:cstheme="majorBidi"/>
        </w:rPr>
        <w:t>Roman</w:t>
      </w:r>
      <w:r w:rsidR="00A63A71" w:rsidRPr="00C54AFA">
        <w:rPr>
          <w:rFonts w:asciiTheme="majorBidi" w:hAnsiTheme="majorBidi" w:cstheme="majorBidi"/>
        </w:rPr>
        <w:t xml:space="preserve"> </w:t>
      </w:r>
      <w:r w:rsidRPr="00C54AFA">
        <w:rPr>
          <w:rFonts w:asciiTheme="majorBidi" w:hAnsiTheme="majorBidi" w:cstheme="majorBidi"/>
        </w:rPr>
        <w:t>Aleksandrovich</w:t>
      </w:r>
      <w:r w:rsidR="00A63A71" w:rsidRPr="00C54AFA">
        <w:rPr>
          <w:rFonts w:asciiTheme="majorBidi" w:hAnsiTheme="majorBidi" w:cstheme="majorBidi"/>
        </w:rPr>
        <w:t>先生的一起案件</w:t>
      </w:r>
      <w:r w:rsidR="00C54AFA" w:rsidRPr="00C54AFA">
        <w:rPr>
          <w:rFonts w:asciiTheme="majorBidi" w:hAnsiTheme="majorBidi" w:cstheme="majorBidi"/>
        </w:rPr>
        <w:t>，</w:t>
      </w:r>
      <w:r w:rsidR="00A63A71" w:rsidRPr="00C54AFA">
        <w:rPr>
          <w:rFonts w:asciiTheme="majorBidi" w:hAnsiTheme="majorBidi" w:cstheme="majorBidi"/>
        </w:rPr>
        <w:t>据称他于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7</w:t>
      </w:r>
      <w:r w:rsidR="00A63A71" w:rsidRPr="00C54AFA">
        <w:rPr>
          <w:rFonts w:asciiTheme="majorBidi" w:hAnsiTheme="majorBidi" w:cstheme="majorBidi"/>
        </w:rPr>
        <w:t>月</w:t>
      </w:r>
      <w:r w:rsidRPr="00C54AFA">
        <w:rPr>
          <w:rFonts w:asciiTheme="majorBidi" w:hAnsiTheme="majorBidi" w:cstheme="majorBidi"/>
        </w:rPr>
        <w:t>2</w:t>
      </w:r>
      <w:r w:rsidR="00A63A71" w:rsidRPr="00C54AFA">
        <w:rPr>
          <w:rFonts w:asciiTheme="majorBidi" w:hAnsiTheme="majorBidi" w:cstheme="majorBidi"/>
        </w:rPr>
        <w:t>0</w:t>
      </w:r>
      <w:r w:rsidR="00A63A71" w:rsidRPr="00C54AFA">
        <w:rPr>
          <w:rFonts w:asciiTheme="majorBidi" w:hAnsiTheme="majorBidi" w:cstheme="majorBidi"/>
        </w:rPr>
        <w:t>日在卢甘斯克</w:t>
      </w:r>
      <w:r w:rsidRPr="00C54AFA">
        <w:rPr>
          <w:rFonts w:asciiTheme="majorBidi" w:hAnsiTheme="majorBidi" w:cstheme="majorBidi"/>
        </w:rPr>
        <w:t>Shchastya</w:t>
      </w:r>
      <w:r w:rsidR="00A63A71" w:rsidRPr="00C54AFA">
        <w:rPr>
          <w:rFonts w:asciiTheme="majorBidi" w:hAnsiTheme="majorBidi" w:cstheme="majorBidi"/>
        </w:rPr>
        <w:t>市被亲基辅的艾达领土保卫营逮捕。</w:t>
      </w:r>
    </w:p>
    <w:p w:rsidR="00A63A71" w:rsidRPr="00C54AFA" w:rsidRDefault="00A63A71" w:rsidP="00201D18">
      <w:pPr>
        <w:pStyle w:val="H23GC"/>
      </w:pPr>
      <w:r w:rsidRPr="00C54AFA">
        <w:tab/>
      </w:r>
      <w:r w:rsidRPr="00C54AFA">
        <w:tab/>
      </w:r>
      <w:r w:rsidRPr="00C54AFA">
        <w:t>紧急呼吁</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14</w:t>
      </w:r>
      <w:r w:rsidR="00C54AFA" w:rsidRPr="00C54AFA">
        <w:rPr>
          <w:rFonts w:asciiTheme="majorBidi" w:hAnsiTheme="majorBidi" w:cstheme="majorBidi"/>
        </w:rPr>
        <w:t>7.</w:t>
      </w:r>
      <w:r w:rsidR="00C0631D"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12</w:t>
      </w:r>
      <w:r w:rsidR="00A63A71" w:rsidRPr="00C54AFA">
        <w:rPr>
          <w:rFonts w:asciiTheme="majorBidi" w:hAnsiTheme="majorBidi" w:cstheme="majorBidi"/>
        </w:rPr>
        <w:t>月</w:t>
      </w:r>
      <w:r w:rsidRPr="00C54AFA">
        <w:rPr>
          <w:rFonts w:asciiTheme="majorBidi" w:hAnsiTheme="majorBidi" w:cstheme="majorBidi"/>
        </w:rPr>
        <w:t>4</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工作组向该国政府转交了关于以下事件的一份紧急呼吁</w:t>
      </w:r>
      <w:r w:rsidR="00C54AFA" w:rsidRPr="00C54AFA">
        <w:rPr>
          <w:rFonts w:asciiTheme="majorBidi" w:hAnsiTheme="majorBidi" w:cstheme="majorBidi"/>
        </w:rPr>
        <w:t>：</w:t>
      </w:r>
      <w:r w:rsidR="00A63A71" w:rsidRPr="00C54AFA">
        <w:rPr>
          <w:rFonts w:asciiTheme="majorBidi" w:hAnsiTheme="majorBidi" w:cstheme="majorBidi"/>
        </w:rPr>
        <w:t>据称</w:t>
      </w:r>
      <w:r w:rsidR="00C54AFA" w:rsidRPr="00C54AFA">
        <w:rPr>
          <w:rFonts w:asciiTheme="majorBidi" w:hAnsiTheme="majorBidi" w:cstheme="majorBidi"/>
        </w:rPr>
        <w:t>，</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7</w:t>
      </w:r>
      <w:r w:rsidR="00A63A71" w:rsidRPr="00C54AFA">
        <w:rPr>
          <w:rFonts w:asciiTheme="majorBidi" w:hAnsiTheme="majorBidi" w:cstheme="majorBidi"/>
        </w:rPr>
        <w:t>月</w:t>
      </w:r>
      <w:r w:rsidRPr="00C54AFA">
        <w:rPr>
          <w:rFonts w:asciiTheme="majorBidi" w:hAnsiTheme="majorBidi" w:cstheme="majorBidi"/>
        </w:rPr>
        <w:t>21</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在利西昌斯克通往哈尔科夫的路上</w:t>
      </w:r>
      <w:r w:rsidR="00C54AFA" w:rsidRPr="00C54AFA">
        <w:rPr>
          <w:rFonts w:asciiTheme="majorBidi" w:hAnsiTheme="majorBidi" w:cstheme="majorBidi"/>
        </w:rPr>
        <w:t>，</w:t>
      </w:r>
      <w:r w:rsidRPr="00C54AFA">
        <w:rPr>
          <w:rFonts w:asciiTheme="majorBidi" w:hAnsiTheme="majorBidi" w:cstheme="majorBidi"/>
        </w:rPr>
        <w:t>Aleksander</w:t>
      </w:r>
      <w:r w:rsidR="00A63A71" w:rsidRPr="00C54AFA">
        <w:rPr>
          <w:rFonts w:asciiTheme="majorBidi" w:hAnsiTheme="majorBidi" w:cstheme="majorBidi"/>
        </w:rPr>
        <w:t xml:space="preserve"> </w:t>
      </w:r>
      <w:r w:rsidRPr="00C54AFA">
        <w:rPr>
          <w:rFonts w:asciiTheme="majorBidi" w:hAnsiTheme="majorBidi" w:cstheme="majorBidi"/>
        </w:rPr>
        <w:t>Minchenok</w:t>
      </w:r>
      <w:r w:rsidR="00A63A71" w:rsidRPr="00C54AFA">
        <w:rPr>
          <w:rFonts w:asciiTheme="majorBidi" w:hAnsiTheme="majorBidi" w:cstheme="majorBidi"/>
        </w:rPr>
        <w:t>先生遭到艾达领土保卫营任意逮捕并失踪。</w:t>
      </w:r>
    </w:p>
    <w:p w:rsidR="00A63A71" w:rsidRPr="00C54AFA" w:rsidRDefault="00A63A71" w:rsidP="00201D18">
      <w:pPr>
        <w:pStyle w:val="H1GC"/>
      </w:pPr>
      <w:r w:rsidRPr="00C54AFA">
        <w:tab/>
      </w:r>
      <w:r w:rsidRPr="00C54AFA">
        <w:tab/>
      </w:r>
      <w:r w:rsidRPr="00C54AFA">
        <w:t>阿拉伯联合酋长国</w:t>
      </w:r>
    </w:p>
    <w:p w:rsidR="00A63A71" w:rsidRPr="00C54AFA" w:rsidRDefault="00A63A71" w:rsidP="00201D18">
      <w:pPr>
        <w:pStyle w:val="H23GC"/>
        <w:rPr>
          <w:rFonts w:eastAsia="SimSun"/>
        </w:rPr>
      </w:pPr>
      <w:r w:rsidRPr="00C54AFA">
        <w:tab/>
      </w:r>
      <w:r w:rsidRPr="00C54AFA">
        <w:tab/>
      </w:r>
      <w:r w:rsidRPr="00C54AFA">
        <w:t>紧急行动</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14</w:t>
      </w:r>
      <w:r w:rsidR="00C54AFA" w:rsidRPr="00C54AFA">
        <w:rPr>
          <w:rFonts w:asciiTheme="majorBidi" w:hAnsiTheme="majorBidi" w:cstheme="majorBidi"/>
        </w:rPr>
        <w:t>8.</w:t>
      </w:r>
      <w:r w:rsidR="00C0631D" w:rsidRPr="00C54AFA">
        <w:rPr>
          <w:rFonts w:asciiTheme="majorBidi" w:hAnsiTheme="majorBidi" w:cstheme="majorBidi"/>
        </w:rPr>
        <w:t xml:space="preserve">  </w:t>
      </w:r>
      <w:r w:rsidR="00A63A71" w:rsidRPr="00C54AFA">
        <w:rPr>
          <w:rFonts w:asciiTheme="majorBidi" w:hAnsiTheme="majorBidi" w:cstheme="majorBidi"/>
        </w:rPr>
        <w:t>工作组依照紧急行动程序向该国政府转交了五起案件</w:t>
      </w:r>
      <w:r w:rsidR="00C54AFA" w:rsidRPr="00C54AFA">
        <w:rPr>
          <w:rFonts w:asciiTheme="majorBidi" w:hAnsiTheme="majorBidi" w:cstheme="majorBidi"/>
        </w:rPr>
        <w:t>：</w:t>
      </w:r>
    </w:p>
    <w:p w:rsidR="00A63A71" w:rsidRPr="00C54AFA" w:rsidRDefault="00BC4B0A" w:rsidP="00C0631D">
      <w:pPr>
        <w:pStyle w:val="SingleTxtGC"/>
        <w:numPr>
          <w:ilvl w:val="0"/>
          <w:numId w:val="26"/>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11</w:t>
      </w:r>
      <w:r w:rsidR="00A63A71" w:rsidRPr="00C54AFA">
        <w:rPr>
          <w:rFonts w:asciiTheme="majorBidi" w:hAnsiTheme="majorBidi" w:cstheme="majorBidi"/>
        </w:rPr>
        <w:t>月</w:t>
      </w:r>
      <w:r w:rsidRPr="00C54AFA">
        <w:rPr>
          <w:rFonts w:asciiTheme="majorBidi" w:hAnsiTheme="majorBidi" w:cstheme="majorBidi"/>
        </w:rPr>
        <w:t>24</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转交了</w:t>
      </w:r>
      <w:r w:rsidRPr="00C54AFA">
        <w:rPr>
          <w:rFonts w:asciiTheme="majorBidi" w:hAnsiTheme="majorBidi" w:cstheme="majorBidi"/>
        </w:rPr>
        <w:t>Amer</w:t>
      </w:r>
      <w:r w:rsidR="00A63A71" w:rsidRPr="00C54AFA">
        <w:rPr>
          <w:rFonts w:asciiTheme="majorBidi" w:hAnsiTheme="majorBidi" w:cstheme="majorBidi"/>
        </w:rPr>
        <w:t xml:space="preserve"> </w:t>
      </w:r>
      <w:r w:rsidRPr="00C54AFA">
        <w:rPr>
          <w:rFonts w:asciiTheme="majorBidi" w:hAnsiTheme="majorBidi" w:cstheme="majorBidi"/>
        </w:rPr>
        <w:t>Alshava</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最后一次被人见到是</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2</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在迪拜机场</w:t>
      </w:r>
      <w:r w:rsidR="00C54AFA" w:rsidRPr="00C54AFA">
        <w:rPr>
          <w:rFonts w:asciiTheme="majorBidi" w:hAnsiTheme="majorBidi" w:cstheme="majorBidi"/>
        </w:rPr>
        <w:t>；</w:t>
      </w:r>
      <w:r w:rsidR="00A63A71" w:rsidRPr="00C54AFA">
        <w:rPr>
          <w:rFonts w:asciiTheme="majorBidi" w:hAnsiTheme="majorBidi" w:cstheme="majorBidi"/>
        </w:rPr>
        <w:t>据称国家安全人员对他的失踪负责。按照工作组的工作方法</w:t>
      </w:r>
      <w:r w:rsidR="00C54AFA" w:rsidRPr="00C54AFA">
        <w:rPr>
          <w:rFonts w:asciiTheme="majorBidi" w:hAnsiTheme="majorBidi" w:cstheme="majorBidi"/>
        </w:rPr>
        <w:t>，</w:t>
      </w:r>
      <w:r w:rsidR="00A63A71" w:rsidRPr="00C54AFA">
        <w:rPr>
          <w:rFonts w:asciiTheme="majorBidi" w:hAnsiTheme="majorBidi" w:cstheme="majorBidi"/>
        </w:rPr>
        <w:t>土耳其政府也收到了该案件的副本。</w:t>
      </w:r>
    </w:p>
    <w:p w:rsidR="00A63A71" w:rsidRPr="00C54AFA" w:rsidRDefault="00BC4B0A" w:rsidP="00C0631D">
      <w:pPr>
        <w:pStyle w:val="SingleTxtGC"/>
        <w:numPr>
          <w:ilvl w:val="0"/>
          <w:numId w:val="26"/>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月</w:t>
      </w:r>
      <w:r w:rsidRPr="00C54AFA">
        <w:rPr>
          <w:rFonts w:asciiTheme="majorBidi" w:hAnsiTheme="majorBidi" w:cstheme="majorBidi"/>
        </w:rPr>
        <w:t>1</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转交了</w:t>
      </w:r>
      <w:r w:rsidRPr="00C54AFA">
        <w:rPr>
          <w:rFonts w:asciiTheme="majorBidi" w:hAnsiTheme="majorBidi" w:cstheme="majorBidi"/>
        </w:rPr>
        <w:t>Mosaab</w:t>
      </w:r>
      <w:r w:rsidR="00A63A71" w:rsidRPr="00C54AFA">
        <w:rPr>
          <w:rFonts w:asciiTheme="majorBidi" w:hAnsiTheme="majorBidi" w:cstheme="majorBidi"/>
        </w:rPr>
        <w:t xml:space="preserve"> </w:t>
      </w:r>
      <w:r w:rsidRPr="00C54AFA">
        <w:rPr>
          <w:rFonts w:asciiTheme="majorBidi" w:hAnsiTheme="majorBidi" w:cstheme="majorBidi"/>
        </w:rPr>
        <w:t>Ahmed</w:t>
      </w:r>
      <w:r w:rsidR="00A63A71" w:rsidRPr="00C54AFA">
        <w:rPr>
          <w:rFonts w:asciiTheme="majorBidi" w:hAnsiTheme="majorBidi" w:cstheme="majorBidi"/>
        </w:rPr>
        <w:t xml:space="preserve"> </w:t>
      </w:r>
      <w:r w:rsidRPr="00C54AFA">
        <w:rPr>
          <w:rFonts w:asciiTheme="majorBidi" w:hAnsiTheme="majorBidi" w:cstheme="majorBidi"/>
        </w:rPr>
        <w:t>Abdelaziz</w:t>
      </w:r>
      <w:r w:rsidR="00A63A71" w:rsidRPr="00C54AFA">
        <w:rPr>
          <w:rFonts w:asciiTheme="majorBidi" w:hAnsiTheme="majorBidi" w:cstheme="majorBidi"/>
        </w:rPr>
        <w:t xml:space="preserve"> </w:t>
      </w: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Ramadan</w:t>
      </w:r>
      <w:r w:rsidR="00A63A71" w:rsidRPr="00C54AFA">
        <w:rPr>
          <w:rFonts w:asciiTheme="majorBidi" w:hAnsiTheme="majorBidi" w:cstheme="majorBidi"/>
        </w:rPr>
        <w:t>先生的案件</w:t>
      </w:r>
      <w:r w:rsidR="00C54AFA" w:rsidRPr="00C54AFA">
        <w:rPr>
          <w:rFonts w:asciiTheme="majorBidi" w:hAnsiTheme="majorBidi" w:cstheme="majorBidi"/>
        </w:rPr>
        <w:t>，</w:t>
      </w:r>
      <w:r w:rsidR="00A63A71" w:rsidRPr="00C54AFA">
        <w:rPr>
          <w:rFonts w:asciiTheme="majorBidi" w:hAnsiTheme="majorBidi" w:cstheme="majorBidi"/>
        </w:rPr>
        <w:t>据称最后一次被人见到是</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Pr="00C54AFA">
        <w:rPr>
          <w:rFonts w:asciiTheme="majorBidi" w:hAnsiTheme="majorBidi" w:cstheme="majorBidi"/>
        </w:rPr>
        <w:t>21</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在埃及开罗艾因夏姆斯</w:t>
      </w:r>
      <w:r w:rsidR="00C54AFA" w:rsidRPr="00C54AFA">
        <w:rPr>
          <w:rFonts w:asciiTheme="majorBidi" w:hAnsiTheme="majorBidi" w:cstheme="majorBidi"/>
        </w:rPr>
        <w:t>；</w:t>
      </w:r>
      <w:r w:rsidR="00A63A71" w:rsidRPr="00C54AFA">
        <w:rPr>
          <w:rFonts w:asciiTheme="majorBidi" w:hAnsiTheme="majorBidi" w:cstheme="majorBidi"/>
        </w:rPr>
        <w:t>据称</w:t>
      </w:r>
      <w:r w:rsidR="00C54AFA" w:rsidRPr="00C54AFA">
        <w:rPr>
          <w:rFonts w:asciiTheme="majorBidi" w:hAnsiTheme="majorBidi" w:cstheme="majorBidi"/>
        </w:rPr>
        <w:t>，</w:t>
      </w:r>
      <w:r w:rsidR="00A63A71" w:rsidRPr="00C54AFA">
        <w:rPr>
          <w:rFonts w:asciiTheme="majorBidi" w:hAnsiTheme="majorBidi" w:cstheme="majorBidi"/>
        </w:rPr>
        <w:t>阿拉伯联合酋长国安全机构对他的失踪负责。按照工作组的工作方法</w:t>
      </w:r>
      <w:r w:rsidR="00C54AFA" w:rsidRPr="00C54AFA">
        <w:rPr>
          <w:rFonts w:asciiTheme="majorBidi" w:hAnsiTheme="majorBidi" w:cstheme="majorBidi"/>
        </w:rPr>
        <w:t>，</w:t>
      </w:r>
      <w:r w:rsidR="00A63A71" w:rsidRPr="00C54AFA">
        <w:rPr>
          <w:rFonts w:asciiTheme="majorBidi" w:hAnsiTheme="majorBidi" w:cstheme="majorBidi"/>
        </w:rPr>
        <w:t>土耳其政府收到了该案件的副本。</w:t>
      </w:r>
    </w:p>
    <w:p w:rsidR="00A63A71" w:rsidRPr="00C54AFA" w:rsidRDefault="00BC4B0A" w:rsidP="00C0631D">
      <w:pPr>
        <w:pStyle w:val="SingleTxtGC"/>
        <w:numPr>
          <w:ilvl w:val="0"/>
          <w:numId w:val="26"/>
        </w:numPr>
        <w:rPr>
          <w:rFonts w:asciiTheme="majorBidi" w:hAnsiTheme="majorBidi" w:cstheme="majorBidi"/>
        </w:rPr>
      </w:pP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3</w:t>
      </w:r>
      <w:r w:rsidR="00A63A71" w:rsidRPr="00C54AFA">
        <w:rPr>
          <w:rFonts w:asciiTheme="majorBidi" w:hAnsiTheme="majorBidi" w:cstheme="majorBidi"/>
        </w:rPr>
        <w:t>月</w:t>
      </w:r>
      <w:r w:rsidRPr="00C54AFA">
        <w:rPr>
          <w:rFonts w:asciiTheme="majorBidi" w:hAnsiTheme="majorBidi" w:cstheme="majorBidi"/>
        </w:rPr>
        <w:t>2</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转交了</w:t>
      </w:r>
      <w:r w:rsidRPr="00C54AFA">
        <w:rPr>
          <w:rFonts w:asciiTheme="majorBidi" w:hAnsiTheme="majorBidi" w:cstheme="majorBidi"/>
        </w:rPr>
        <w:t>Amsa</w:t>
      </w:r>
      <w:r w:rsidR="00A63A71" w:rsidRPr="00C54AFA">
        <w:rPr>
          <w:rFonts w:asciiTheme="majorBidi" w:hAnsiTheme="majorBidi" w:cstheme="majorBidi"/>
        </w:rPr>
        <w:t xml:space="preserve"> </w:t>
      </w:r>
      <w:r w:rsidRPr="00C54AFA">
        <w:rPr>
          <w:rFonts w:asciiTheme="majorBidi" w:hAnsiTheme="majorBidi" w:cstheme="majorBidi"/>
        </w:rPr>
        <w:t>Khalifa</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Suwaidi</w:t>
      </w:r>
      <w:r w:rsidR="00A63A71" w:rsidRPr="00C54AFA">
        <w:rPr>
          <w:rFonts w:asciiTheme="majorBidi" w:hAnsiTheme="majorBidi" w:cstheme="majorBidi"/>
        </w:rPr>
        <w:t>女士、</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Yazyeh</w:t>
      </w:r>
      <w:r w:rsidR="00A63A71" w:rsidRPr="00C54AFA">
        <w:rPr>
          <w:rFonts w:asciiTheme="majorBidi" w:hAnsiTheme="majorBidi" w:cstheme="majorBidi"/>
        </w:rPr>
        <w:t xml:space="preserve"> </w:t>
      </w:r>
      <w:r w:rsidRPr="00C54AFA">
        <w:rPr>
          <w:rFonts w:asciiTheme="majorBidi" w:hAnsiTheme="majorBidi" w:cstheme="majorBidi"/>
        </w:rPr>
        <w:t>Khalifa</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Suwaidi</w:t>
      </w:r>
      <w:r w:rsidR="00A63A71" w:rsidRPr="00C54AFA">
        <w:rPr>
          <w:rFonts w:asciiTheme="majorBidi" w:hAnsiTheme="majorBidi" w:cstheme="majorBidi"/>
        </w:rPr>
        <w:t>女士和</w:t>
      </w:r>
      <w:r w:rsidRPr="00C54AFA">
        <w:rPr>
          <w:rFonts w:asciiTheme="majorBidi" w:hAnsiTheme="majorBidi" w:cstheme="majorBidi"/>
        </w:rPr>
        <w:t>Meriem</w:t>
      </w:r>
      <w:r w:rsidR="00A63A71" w:rsidRPr="00C54AFA">
        <w:rPr>
          <w:rFonts w:asciiTheme="majorBidi" w:hAnsiTheme="majorBidi" w:cstheme="majorBidi"/>
        </w:rPr>
        <w:t xml:space="preserve"> </w:t>
      </w:r>
      <w:r w:rsidRPr="00C54AFA">
        <w:rPr>
          <w:rFonts w:asciiTheme="majorBidi" w:hAnsiTheme="majorBidi" w:cstheme="majorBidi"/>
        </w:rPr>
        <w:t>Khalifa</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Suwaidi</w:t>
      </w:r>
      <w:r w:rsidR="00A63A71" w:rsidRPr="00C54AFA">
        <w:rPr>
          <w:rFonts w:asciiTheme="majorBidi" w:hAnsiTheme="majorBidi" w:cstheme="majorBidi"/>
        </w:rPr>
        <w:t>女士的案件</w:t>
      </w:r>
      <w:r w:rsidR="00C54AFA" w:rsidRPr="00C54AFA">
        <w:rPr>
          <w:rFonts w:asciiTheme="majorBidi" w:hAnsiTheme="majorBidi" w:cstheme="majorBidi"/>
        </w:rPr>
        <w:t>，</w:t>
      </w:r>
      <w:r w:rsidR="00A63A71" w:rsidRPr="00C54AFA">
        <w:rPr>
          <w:rFonts w:asciiTheme="majorBidi" w:hAnsiTheme="majorBidi" w:cstheme="majorBidi"/>
        </w:rPr>
        <w:t>据称她们于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w:t>
      </w:r>
      <w:r w:rsidRPr="00C54AFA">
        <w:rPr>
          <w:rFonts w:asciiTheme="majorBidi" w:hAnsiTheme="majorBidi" w:cstheme="majorBidi"/>
        </w:rPr>
        <w:t>15</w:t>
      </w:r>
      <w:r w:rsidR="00A63A71" w:rsidRPr="00C54AFA">
        <w:rPr>
          <w:rFonts w:asciiTheme="majorBidi" w:hAnsiTheme="majorBidi" w:cstheme="majorBidi"/>
        </w:rPr>
        <w:t>日被传唤到阿布扎比安全部队。</w:t>
      </w:r>
    </w:p>
    <w:p w:rsidR="00A63A71" w:rsidRPr="00C54AFA" w:rsidRDefault="00A63A71" w:rsidP="00201D18">
      <w:pPr>
        <w:pStyle w:val="H23GC"/>
      </w:pPr>
      <w:r w:rsidRPr="00C54AFA">
        <w:lastRenderedPageBreak/>
        <w:tab/>
      </w:r>
      <w:r w:rsidRPr="00C54AFA">
        <w:tab/>
      </w:r>
      <w:r w:rsidRPr="00C54AFA">
        <w:t>标准程序</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14</w:t>
      </w:r>
      <w:r w:rsidR="00C54AFA" w:rsidRPr="00C54AFA">
        <w:rPr>
          <w:rFonts w:asciiTheme="majorBidi" w:hAnsiTheme="majorBidi" w:cstheme="majorBidi"/>
        </w:rPr>
        <w:t>9.</w:t>
      </w:r>
      <w:r w:rsidR="00C0631D" w:rsidRPr="00C54AFA">
        <w:rPr>
          <w:rFonts w:asciiTheme="majorBidi" w:hAnsiTheme="majorBidi" w:cstheme="majorBidi"/>
        </w:rPr>
        <w:t xml:space="preserve">  </w:t>
      </w:r>
      <w:r w:rsidR="00A63A71" w:rsidRPr="00C54AFA">
        <w:rPr>
          <w:rFonts w:asciiTheme="majorBidi" w:hAnsiTheme="majorBidi" w:cstheme="majorBidi"/>
        </w:rPr>
        <w:t>工作组向该国政府转交了关于</w:t>
      </w:r>
      <w:r w:rsidRPr="00C54AFA">
        <w:rPr>
          <w:rFonts w:asciiTheme="majorBidi" w:hAnsiTheme="majorBidi" w:cstheme="majorBidi"/>
        </w:rPr>
        <w:t>Youssouf</w:t>
      </w:r>
      <w:r w:rsidR="00A63A71" w:rsidRPr="00C54AFA">
        <w:rPr>
          <w:rFonts w:asciiTheme="majorBidi" w:hAnsiTheme="majorBidi" w:cstheme="majorBidi"/>
        </w:rPr>
        <w:t xml:space="preserve"> </w:t>
      </w:r>
      <w:r w:rsidRPr="00C54AFA">
        <w:rPr>
          <w:rFonts w:asciiTheme="majorBidi" w:hAnsiTheme="majorBidi" w:cstheme="majorBidi"/>
        </w:rPr>
        <w:t>Abd</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Ghani</w:t>
      </w:r>
      <w:r w:rsidR="00A63A71" w:rsidRPr="00C54AFA">
        <w:rPr>
          <w:rFonts w:asciiTheme="majorBidi" w:hAnsiTheme="majorBidi" w:cstheme="majorBidi"/>
        </w:rPr>
        <w:t xml:space="preserve"> </w:t>
      </w:r>
      <w:r w:rsidRPr="00C54AFA">
        <w:rPr>
          <w:rFonts w:asciiTheme="majorBidi" w:hAnsiTheme="majorBidi" w:cstheme="majorBidi"/>
        </w:rPr>
        <w:t>Ali</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Mala</w:t>
      </w:r>
      <w:r w:rsidR="00A63A71" w:rsidRPr="00C54AFA">
        <w:rPr>
          <w:rFonts w:asciiTheme="majorBidi" w:hAnsiTheme="majorBidi" w:cstheme="majorBidi"/>
        </w:rPr>
        <w:t>先生和</w:t>
      </w:r>
      <w:r w:rsidRPr="00C54AFA">
        <w:rPr>
          <w:rFonts w:asciiTheme="majorBidi" w:hAnsiTheme="majorBidi" w:cstheme="majorBidi"/>
        </w:rPr>
        <w:t>Hamed</w:t>
      </w:r>
      <w:r w:rsidR="00A63A71" w:rsidRPr="00C54AFA">
        <w:rPr>
          <w:rFonts w:asciiTheme="majorBidi" w:hAnsiTheme="majorBidi" w:cstheme="majorBidi"/>
        </w:rPr>
        <w:t xml:space="preserve"> </w:t>
      </w:r>
      <w:r w:rsidRPr="00C54AFA">
        <w:rPr>
          <w:rFonts w:asciiTheme="majorBidi" w:hAnsiTheme="majorBidi" w:cstheme="majorBidi"/>
        </w:rPr>
        <w:t>Ali</w:t>
      </w:r>
      <w:r w:rsidR="00A63A71" w:rsidRPr="00C54AFA">
        <w:rPr>
          <w:rFonts w:asciiTheme="majorBidi" w:hAnsiTheme="majorBidi" w:cstheme="majorBidi"/>
        </w:rPr>
        <w:t xml:space="preserve"> </w:t>
      </w:r>
      <w:r w:rsidRPr="00C54AFA">
        <w:rPr>
          <w:rFonts w:asciiTheme="majorBidi" w:hAnsiTheme="majorBidi" w:cstheme="majorBidi"/>
        </w:rPr>
        <w:t>Mohamed</w:t>
      </w:r>
      <w:r w:rsidR="00A63A71" w:rsidRPr="00C54AFA">
        <w:rPr>
          <w:rFonts w:asciiTheme="majorBidi" w:hAnsiTheme="majorBidi" w:cstheme="majorBidi"/>
        </w:rPr>
        <w:t xml:space="preserve"> </w:t>
      </w:r>
      <w:r w:rsidRPr="00C54AFA">
        <w:rPr>
          <w:rFonts w:asciiTheme="majorBidi" w:hAnsiTheme="majorBidi" w:cstheme="majorBidi"/>
        </w:rPr>
        <w:t>Ali</w:t>
      </w:r>
      <w:r w:rsidR="00A63A71" w:rsidRPr="00C54AFA">
        <w:rPr>
          <w:rFonts w:asciiTheme="majorBidi" w:hAnsiTheme="majorBidi" w:cstheme="majorBidi"/>
        </w:rPr>
        <w:t xml:space="preserve"> </w:t>
      </w:r>
      <w:r w:rsidRPr="00C54AFA">
        <w:rPr>
          <w:rFonts w:asciiTheme="majorBidi" w:hAnsiTheme="majorBidi" w:cstheme="majorBidi"/>
        </w:rPr>
        <w:t>Al</w:t>
      </w:r>
      <w:r w:rsidR="00A63A71" w:rsidRPr="00C54AFA">
        <w:rPr>
          <w:rFonts w:asciiTheme="majorBidi" w:hAnsiTheme="majorBidi" w:cstheme="majorBidi"/>
        </w:rPr>
        <w:t xml:space="preserve"> </w:t>
      </w:r>
      <w:r w:rsidRPr="00C54AFA">
        <w:rPr>
          <w:rFonts w:asciiTheme="majorBidi" w:hAnsiTheme="majorBidi" w:cstheme="majorBidi"/>
        </w:rPr>
        <w:t>Hamadi</w:t>
      </w:r>
      <w:r w:rsidR="00A63A71" w:rsidRPr="00C54AFA">
        <w:rPr>
          <w:rFonts w:asciiTheme="majorBidi" w:hAnsiTheme="majorBidi" w:cstheme="majorBidi"/>
        </w:rPr>
        <w:t>先生的两起案件</w:t>
      </w:r>
      <w:r w:rsidR="00C54AFA" w:rsidRPr="00C54AFA">
        <w:rPr>
          <w:rFonts w:asciiTheme="majorBidi" w:hAnsiTheme="majorBidi" w:cstheme="majorBidi"/>
        </w:rPr>
        <w:t>，</w:t>
      </w:r>
      <w:r w:rsidR="00A63A71" w:rsidRPr="00C54AFA">
        <w:rPr>
          <w:rFonts w:asciiTheme="majorBidi" w:hAnsiTheme="majorBidi" w:cstheme="majorBidi"/>
        </w:rPr>
        <w:t>据称他们于</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6</w:t>
      </w:r>
      <w:r w:rsidR="00A63A71" w:rsidRPr="00C54AFA">
        <w:rPr>
          <w:rFonts w:asciiTheme="majorBidi" w:hAnsiTheme="majorBidi" w:cstheme="majorBidi"/>
        </w:rPr>
        <w:t>月</w:t>
      </w:r>
      <w:r w:rsidRPr="00C54AFA">
        <w:rPr>
          <w:rFonts w:asciiTheme="majorBidi" w:hAnsiTheme="majorBidi" w:cstheme="majorBidi"/>
        </w:rPr>
        <w:t>27</w:t>
      </w:r>
      <w:r w:rsidR="00A63A71" w:rsidRPr="00C54AFA">
        <w:rPr>
          <w:rFonts w:asciiTheme="majorBidi" w:hAnsiTheme="majorBidi" w:cstheme="majorBidi"/>
        </w:rPr>
        <w:t>日在穿越边境进入阿拉伯联合酋长国时被阿联酋警察一起逮捕。按照工作组的工作方法</w:t>
      </w:r>
      <w:r w:rsidR="00C54AFA" w:rsidRPr="00C54AFA">
        <w:rPr>
          <w:rFonts w:asciiTheme="majorBidi" w:hAnsiTheme="majorBidi" w:cstheme="majorBidi"/>
        </w:rPr>
        <w:t>，</w:t>
      </w:r>
      <w:r w:rsidR="00A63A71" w:rsidRPr="00C54AFA">
        <w:rPr>
          <w:rFonts w:asciiTheme="majorBidi" w:hAnsiTheme="majorBidi" w:cstheme="majorBidi"/>
        </w:rPr>
        <w:t>卡塔尔政府也收到了该案件的副本。</w:t>
      </w:r>
    </w:p>
    <w:p w:rsidR="00A63A71" w:rsidRPr="00C54AFA" w:rsidRDefault="00A63A71" w:rsidP="00201D18">
      <w:pPr>
        <w:pStyle w:val="H23GC"/>
      </w:pPr>
      <w:r w:rsidRPr="00C54AFA">
        <w:tab/>
      </w:r>
      <w:r w:rsidRPr="00C54AFA">
        <w:tab/>
      </w:r>
      <w:r w:rsidRPr="00C54AFA">
        <w:t>政府提供的资料</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15</w:t>
      </w:r>
      <w:r w:rsidR="00C54AFA" w:rsidRPr="00C54AFA">
        <w:rPr>
          <w:rFonts w:asciiTheme="majorBidi" w:hAnsiTheme="majorBidi" w:cstheme="majorBidi"/>
        </w:rPr>
        <w:t>0.</w:t>
      </w:r>
      <w:r w:rsidR="00C0631D" w:rsidRPr="00C54AFA">
        <w:rPr>
          <w:rFonts w:asciiTheme="majorBidi" w:hAnsiTheme="majorBidi" w:cstheme="majorBidi"/>
        </w:rPr>
        <w:t xml:space="preserve">  </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14</w:t>
      </w:r>
      <w:r w:rsidR="00A63A71" w:rsidRPr="00C54AFA">
        <w:rPr>
          <w:rFonts w:asciiTheme="majorBidi" w:hAnsiTheme="majorBidi" w:cstheme="majorBidi"/>
        </w:rPr>
        <w:t>年</w:t>
      </w:r>
      <w:r w:rsidRPr="00C54AFA">
        <w:rPr>
          <w:rFonts w:asciiTheme="majorBidi" w:hAnsiTheme="majorBidi" w:cstheme="majorBidi"/>
        </w:rPr>
        <w:t>8</w:t>
      </w:r>
      <w:r w:rsidR="00A63A71" w:rsidRPr="00C54AFA">
        <w:rPr>
          <w:rFonts w:asciiTheme="majorBidi" w:hAnsiTheme="majorBidi" w:cstheme="majorBidi"/>
        </w:rPr>
        <w:t>月</w:t>
      </w:r>
      <w:r w:rsidRPr="00C54AFA">
        <w:rPr>
          <w:rFonts w:asciiTheme="majorBidi" w:hAnsiTheme="majorBidi" w:cstheme="majorBidi"/>
        </w:rPr>
        <w:t>14</w:t>
      </w:r>
      <w:r w:rsidR="00A63A71" w:rsidRPr="00C54AFA">
        <w:rPr>
          <w:rFonts w:asciiTheme="majorBidi" w:hAnsiTheme="majorBidi" w:cstheme="majorBidi"/>
        </w:rPr>
        <w:t>日和</w:t>
      </w:r>
      <w:r w:rsidRPr="00C54AFA">
        <w:rPr>
          <w:rFonts w:asciiTheme="majorBidi" w:hAnsiTheme="majorBidi" w:cstheme="majorBidi"/>
        </w:rPr>
        <w:t>23</w:t>
      </w:r>
      <w:r w:rsidR="00A63A71" w:rsidRPr="00C54AFA">
        <w:rPr>
          <w:rFonts w:asciiTheme="majorBidi" w:hAnsiTheme="majorBidi" w:cstheme="majorBidi"/>
        </w:rPr>
        <w:t>日以及</w:t>
      </w:r>
      <w:r w:rsidRPr="00C54AFA">
        <w:rPr>
          <w:rFonts w:asciiTheme="majorBidi" w:hAnsiTheme="majorBidi" w:cstheme="majorBidi"/>
        </w:rPr>
        <w:t>2</w:t>
      </w:r>
      <w:r w:rsidR="00A63A71" w:rsidRPr="00C54AFA">
        <w:rPr>
          <w:rFonts w:asciiTheme="majorBidi" w:hAnsiTheme="majorBidi" w:cstheme="majorBidi"/>
        </w:rPr>
        <w:t>0</w:t>
      </w:r>
      <w:r w:rsidRPr="00C54AFA">
        <w:rPr>
          <w:rFonts w:asciiTheme="majorBidi" w:hAnsiTheme="majorBidi" w:cstheme="majorBidi"/>
        </w:rPr>
        <w:t>15</w:t>
      </w:r>
      <w:r w:rsidR="00A63A71" w:rsidRPr="00C54AFA">
        <w:rPr>
          <w:rFonts w:asciiTheme="majorBidi" w:hAnsiTheme="majorBidi" w:cstheme="majorBidi"/>
        </w:rPr>
        <w:t>年</w:t>
      </w:r>
      <w:r w:rsidRPr="00C54AFA">
        <w:rPr>
          <w:rFonts w:asciiTheme="majorBidi" w:hAnsiTheme="majorBidi" w:cstheme="majorBidi"/>
        </w:rPr>
        <w:t>2</w:t>
      </w:r>
      <w:r w:rsidR="00A63A71" w:rsidRPr="00C54AFA">
        <w:rPr>
          <w:rFonts w:asciiTheme="majorBidi" w:hAnsiTheme="majorBidi" w:cstheme="majorBidi"/>
        </w:rPr>
        <w:t>月</w:t>
      </w:r>
      <w:r w:rsidRPr="00C54AFA">
        <w:rPr>
          <w:rFonts w:asciiTheme="majorBidi" w:hAnsiTheme="majorBidi" w:cstheme="majorBidi"/>
        </w:rPr>
        <w:t>2</w:t>
      </w:r>
      <w:r w:rsidR="00A63A71" w:rsidRPr="00C54AFA">
        <w:rPr>
          <w:rFonts w:asciiTheme="majorBidi" w:hAnsiTheme="majorBidi" w:cstheme="majorBidi"/>
        </w:rPr>
        <w:t>日</w:t>
      </w:r>
      <w:r w:rsidR="00C54AFA" w:rsidRPr="00C54AFA">
        <w:rPr>
          <w:rFonts w:asciiTheme="majorBidi" w:hAnsiTheme="majorBidi" w:cstheme="majorBidi"/>
        </w:rPr>
        <w:t>，</w:t>
      </w:r>
      <w:r w:rsidR="00A63A71" w:rsidRPr="00C54AFA">
        <w:rPr>
          <w:rFonts w:asciiTheme="majorBidi" w:hAnsiTheme="majorBidi" w:cstheme="majorBidi"/>
        </w:rPr>
        <w:t>该国政府送交了关于</w:t>
      </w:r>
      <w:r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起未决案件的资料。基于该国政府提供的资料</w:t>
      </w:r>
      <w:r w:rsidR="00C54AFA" w:rsidRPr="00C54AFA">
        <w:rPr>
          <w:rFonts w:asciiTheme="majorBidi" w:hAnsiTheme="majorBidi" w:cstheme="majorBidi"/>
        </w:rPr>
        <w:t>，</w:t>
      </w:r>
      <w:r w:rsidR="00A63A71" w:rsidRPr="00C54AFA">
        <w:rPr>
          <w:rFonts w:asciiTheme="majorBidi" w:hAnsiTheme="majorBidi" w:cstheme="majorBidi"/>
        </w:rPr>
        <w:t>在第</w:t>
      </w:r>
      <w:r w:rsidRPr="00C54AFA">
        <w:rPr>
          <w:rFonts w:asciiTheme="majorBidi" w:hAnsiTheme="majorBidi" w:cstheme="majorBidi"/>
        </w:rPr>
        <w:t>1</w:t>
      </w:r>
      <w:r w:rsidR="00A63A71" w:rsidRPr="00C54AFA">
        <w:rPr>
          <w:rFonts w:asciiTheme="majorBidi" w:hAnsiTheme="majorBidi" w:cstheme="majorBidi"/>
        </w:rPr>
        <w:t>0</w:t>
      </w:r>
      <w:r w:rsidRPr="00C54AFA">
        <w:rPr>
          <w:rFonts w:asciiTheme="majorBidi" w:hAnsiTheme="majorBidi" w:cstheme="majorBidi"/>
        </w:rPr>
        <w:t>5</w:t>
      </w:r>
      <w:r w:rsidR="00A63A71" w:rsidRPr="00C54AFA">
        <w:rPr>
          <w:rFonts w:asciiTheme="majorBidi" w:hAnsiTheme="majorBidi" w:cstheme="majorBidi"/>
        </w:rPr>
        <w:t>次会议上</w:t>
      </w:r>
      <w:r w:rsidR="00C54AFA" w:rsidRPr="00C54AFA">
        <w:rPr>
          <w:rFonts w:asciiTheme="majorBidi" w:hAnsiTheme="majorBidi" w:cstheme="majorBidi"/>
        </w:rPr>
        <w:t>，</w:t>
      </w:r>
      <w:r w:rsidR="00A63A71" w:rsidRPr="00C54AFA">
        <w:rPr>
          <w:rFonts w:asciiTheme="majorBidi" w:hAnsiTheme="majorBidi" w:cstheme="majorBidi"/>
        </w:rPr>
        <w:t>工作组决定对四起案件适用六个月规则。工作组认为</w:t>
      </w:r>
      <w:r w:rsidR="00C54AFA" w:rsidRPr="00C54AFA">
        <w:rPr>
          <w:rFonts w:asciiTheme="majorBidi" w:hAnsiTheme="majorBidi" w:cstheme="majorBidi"/>
        </w:rPr>
        <w:t>，</w:t>
      </w:r>
      <w:r w:rsidR="00A63A71" w:rsidRPr="00C54AFA">
        <w:rPr>
          <w:rFonts w:asciiTheme="majorBidi" w:hAnsiTheme="majorBidi" w:cstheme="majorBidi"/>
        </w:rPr>
        <w:t>就另外</w:t>
      </w:r>
      <w:r w:rsidRPr="00C54AFA">
        <w:rPr>
          <w:rFonts w:asciiTheme="majorBidi" w:hAnsiTheme="majorBidi" w:cstheme="majorBidi"/>
        </w:rPr>
        <w:t>6</w:t>
      </w:r>
      <w:r w:rsidR="00A63A71" w:rsidRPr="00C54AFA">
        <w:rPr>
          <w:rFonts w:asciiTheme="majorBidi" w:hAnsiTheme="majorBidi" w:cstheme="majorBidi"/>
        </w:rPr>
        <w:t>起案件提供的资料不足以澄清有关案件的情况。</w:t>
      </w:r>
    </w:p>
    <w:p w:rsidR="00A63A71" w:rsidRPr="00C54AFA" w:rsidRDefault="00A63A71" w:rsidP="00201D18">
      <w:pPr>
        <w:pStyle w:val="H23GC"/>
      </w:pPr>
      <w:r w:rsidRPr="00C54AFA">
        <w:tab/>
      </w:r>
      <w:r w:rsidRPr="00C54AFA">
        <w:tab/>
      </w:r>
      <w:r w:rsidRPr="00C54AFA">
        <w:t>来文方提供的资料</w:t>
      </w:r>
    </w:p>
    <w:p w:rsidR="00A63A71" w:rsidRPr="00C54AFA" w:rsidRDefault="00BC4B0A" w:rsidP="00C0631D">
      <w:pPr>
        <w:pStyle w:val="SingleTxtGC"/>
        <w:rPr>
          <w:rFonts w:asciiTheme="majorBidi" w:hAnsiTheme="majorBidi" w:cstheme="majorBidi"/>
        </w:rPr>
      </w:pPr>
      <w:r w:rsidRPr="00C54AFA">
        <w:rPr>
          <w:rFonts w:asciiTheme="majorBidi" w:hAnsiTheme="majorBidi" w:cstheme="majorBidi"/>
        </w:rPr>
        <w:t>15</w:t>
      </w:r>
      <w:r w:rsidR="00C54AFA" w:rsidRPr="00C54AFA">
        <w:rPr>
          <w:rFonts w:asciiTheme="majorBidi" w:hAnsiTheme="majorBidi" w:cstheme="majorBidi"/>
        </w:rPr>
        <w:t>1.</w:t>
      </w:r>
      <w:r w:rsidR="00C0631D" w:rsidRPr="00C54AFA">
        <w:rPr>
          <w:rFonts w:asciiTheme="majorBidi" w:hAnsiTheme="majorBidi" w:cstheme="majorBidi"/>
        </w:rPr>
        <w:t xml:space="preserve">  </w:t>
      </w:r>
      <w:r w:rsidR="00A63A71" w:rsidRPr="00C54AFA">
        <w:rPr>
          <w:rFonts w:asciiTheme="majorBidi" w:hAnsiTheme="majorBidi" w:cstheme="majorBidi"/>
        </w:rPr>
        <w:t>来文方就</w:t>
      </w:r>
      <w:r w:rsidRPr="00C54AFA">
        <w:rPr>
          <w:rFonts w:asciiTheme="majorBidi" w:hAnsiTheme="majorBidi" w:cstheme="majorBidi"/>
        </w:rPr>
        <w:t>2</w:t>
      </w:r>
      <w:r w:rsidR="00A63A71" w:rsidRPr="00C54AFA">
        <w:rPr>
          <w:rFonts w:asciiTheme="majorBidi" w:hAnsiTheme="majorBidi" w:cstheme="majorBidi"/>
        </w:rPr>
        <w:t>起未决案件提供了资料。</w:t>
      </w:r>
    </w:p>
    <w:p w:rsidR="00A63A71" w:rsidRPr="00C54AFA" w:rsidRDefault="00A63A71" w:rsidP="00201D18">
      <w:pPr>
        <w:pStyle w:val="H23GC"/>
      </w:pPr>
      <w:r w:rsidRPr="00C54AFA">
        <w:tab/>
      </w:r>
      <w:r w:rsidRPr="00C54AFA">
        <w:tab/>
      </w:r>
      <w:r w:rsidRPr="00C54AFA">
        <w:t>澄清</w:t>
      </w:r>
    </w:p>
    <w:p w:rsidR="00A63A71" w:rsidRPr="00C54AFA" w:rsidRDefault="00C54AFA" w:rsidP="00C0631D">
      <w:pPr>
        <w:pStyle w:val="SingleTxtGC"/>
        <w:rPr>
          <w:rFonts w:asciiTheme="majorBidi" w:hAnsiTheme="majorBidi" w:cstheme="majorBidi"/>
        </w:rPr>
      </w:pPr>
      <w:r w:rsidRPr="00C54AFA">
        <w:rPr>
          <w:rFonts w:asciiTheme="majorBidi" w:hAnsiTheme="majorBidi" w:cstheme="majorBidi"/>
        </w:rPr>
        <w:t>152.</w:t>
      </w:r>
      <w:r w:rsidR="00C0631D" w:rsidRPr="00C54AFA">
        <w:rPr>
          <w:rFonts w:asciiTheme="majorBidi" w:hAnsiTheme="majorBidi" w:cstheme="majorBidi"/>
        </w:rPr>
        <w:t xml:space="preserve">  </w:t>
      </w:r>
      <w:r w:rsidR="00A63A71" w:rsidRPr="00C54AFA">
        <w:rPr>
          <w:rFonts w:asciiTheme="majorBidi" w:hAnsiTheme="majorBidi" w:cstheme="majorBidi"/>
        </w:rPr>
        <w:t>基于来文方提供的资料</w:t>
      </w:r>
      <w:r w:rsidRPr="00C54AFA">
        <w:rPr>
          <w:rFonts w:asciiTheme="majorBidi" w:hAnsiTheme="majorBidi" w:cstheme="majorBidi"/>
        </w:rPr>
        <w:t>，</w:t>
      </w:r>
      <w:r w:rsidR="00A63A71" w:rsidRPr="00C54AFA">
        <w:rPr>
          <w:rFonts w:asciiTheme="majorBidi" w:hAnsiTheme="majorBidi" w:cstheme="majorBidi"/>
        </w:rPr>
        <w:t>工作组决定澄清</w:t>
      </w:r>
      <w:r w:rsidR="00BC4B0A" w:rsidRPr="00C54AFA">
        <w:rPr>
          <w:rFonts w:asciiTheme="majorBidi" w:hAnsiTheme="majorBidi" w:cstheme="majorBidi"/>
        </w:rPr>
        <w:t>2</w:t>
      </w:r>
      <w:r w:rsidR="00A63A71" w:rsidRPr="00C54AFA">
        <w:rPr>
          <w:rFonts w:asciiTheme="majorBidi" w:hAnsiTheme="majorBidi" w:cstheme="majorBidi"/>
        </w:rPr>
        <w:t>0</w:t>
      </w:r>
      <w:r w:rsidR="00BC4B0A" w:rsidRPr="00C54AFA">
        <w:rPr>
          <w:rFonts w:asciiTheme="majorBidi" w:hAnsiTheme="majorBidi" w:cstheme="majorBidi"/>
        </w:rPr>
        <w:t>14</w:t>
      </w:r>
      <w:r w:rsidR="00A63A71" w:rsidRPr="00C54AFA">
        <w:rPr>
          <w:rFonts w:asciiTheme="majorBidi" w:hAnsiTheme="majorBidi" w:cstheme="majorBidi"/>
        </w:rPr>
        <w:t>年</w:t>
      </w:r>
      <w:r w:rsidR="00BC4B0A" w:rsidRPr="00C54AFA">
        <w:rPr>
          <w:rFonts w:asciiTheme="majorBidi" w:hAnsiTheme="majorBidi" w:cstheme="majorBidi"/>
        </w:rPr>
        <w:t>11</w:t>
      </w:r>
      <w:r w:rsidR="00A63A71" w:rsidRPr="00C54AFA">
        <w:rPr>
          <w:rFonts w:asciiTheme="majorBidi" w:hAnsiTheme="majorBidi" w:cstheme="majorBidi"/>
        </w:rPr>
        <w:t>月</w:t>
      </w:r>
      <w:r w:rsidR="00BC4B0A" w:rsidRPr="00C54AFA">
        <w:rPr>
          <w:rFonts w:asciiTheme="majorBidi" w:hAnsiTheme="majorBidi" w:cstheme="majorBidi"/>
        </w:rPr>
        <w:t>24</w:t>
      </w:r>
      <w:r w:rsidR="00A63A71" w:rsidRPr="00C54AFA">
        <w:rPr>
          <w:rFonts w:asciiTheme="majorBidi" w:hAnsiTheme="majorBidi" w:cstheme="majorBidi"/>
        </w:rPr>
        <w:t>日通过紧急行动程序转交的一起案件。</w:t>
      </w:r>
    </w:p>
    <w:p w:rsidR="00A63A71" w:rsidRPr="00C54AFA" w:rsidRDefault="00A63A71" w:rsidP="00201D18">
      <w:pPr>
        <w:pStyle w:val="H23GC"/>
      </w:pPr>
      <w:r w:rsidRPr="00C54AFA">
        <w:tab/>
      </w:r>
      <w:r w:rsidRPr="00C54AFA">
        <w:tab/>
      </w:r>
      <w:r w:rsidRPr="00C54AFA">
        <w:t>紧急呼吁</w:t>
      </w:r>
    </w:p>
    <w:p w:rsidR="00A63A71" w:rsidRPr="00C54AFA" w:rsidRDefault="00C54AFA" w:rsidP="00C0631D">
      <w:pPr>
        <w:pStyle w:val="SingleTxtGC"/>
        <w:rPr>
          <w:rFonts w:asciiTheme="majorBidi" w:hAnsiTheme="majorBidi" w:cstheme="majorBidi"/>
        </w:rPr>
      </w:pPr>
      <w:r w:rsidRPr="00C54AFA">
        <w:rPr>
          <w:rFonts w:asciiTheme="majorBidi" w:hAnsiTheme="majorBidi" w:cstheme="majorBidi"/>
        </w:rPr>
        <w:t>153.</w:t>
      </w:r>
      <w:r w:rsidR="00C0631D" w:rsidRPr="00C54AFA">
        <w:rPr>
          <w:rFonts w:asciiTheme="majorBidi" w:hAnsiTheme="majorBidi" w:cstheme="majorBidi"/>
        </w:rPr>
        <w:t xml:space="preserve">  </w:t>
      </w:r>
      <w:r w:rsidR="00BC4B0A" w:rsidRPr="00C54AFA">
        <w:rPr>
          <w:rFonts w:asciiTheme="majorBidi" w:hAnsiTheme="majorBidi" w:cstheme="majorBidi"/>
        </w:rPr>
        <w:t>2</w:t>
      </w:r>
      <w:r w:rsidR="00A63A71" w:rsidRPr="00C54AFA">
        <w:rPr>
          <w:rFonts w:asciiTheme="majorBidi" w:hAnsiTheme="majorBidi" w:cstheme="majorBidi"/>
        </w:rPr>
        <w:t>0</w:t>
      </w:r>
      <w:r w:rsidR="00BC4B0A" w:rsidRPr="00C54AFA">
        <w:rPr>
          <w:rFonts w:asciiTheme="majorBidi" w:hAnsiTheme="majorBidi" w:cstheme="majorBidi"/>
        </w:rPr>
        <w:t>14</w:t>
      </w:r>
      <w:r w:rsidR="00A63A71" w:rsidRPr="00C54AFA">
        <w:rPr>
          <w:rFonts w:asciiTheme="majorBidi" w:hAnsiTheme="majorBidi" w:cstheme="majorBidi"/>
        </w:rPr>
        <w:t>年</w:t>
      </w:r>
      <w:r w:rsidR="00BC4B0A"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00BC4B0A" w:rsidRPr="00C54AFA">
        <w:rPr>
          <w:rFonts w:asciiTheme="majorBidi" w:hAnsiTheme="majorBidi" w:cstheme="majorBidi"/>
        </w:rPr>
        <w:t>8</w:t>
      </w:r>
      <w:r w:rsidR="00A63A71" w:rsidRPr="00C54AFA">
        <w:rPr>
          <w:rFonts w:asciiTheme="majorBidi" w:hAnsiTheme="majorBidi" w:cstheme="majorBidi"/>
        </w:rPr>
        <w:t>日</w:t>
      </w:r>
      <w:r w:rsidRPr="00C54AFA">
        <w:rPr>
          <w:rFonts w:asciiTheme="majorBidi" w:hAnsiTheme="majorBidi" w:cstheme="majorBidi"/>
        </w:rPr>
        <w:t>，</w:t>
      </w:r>
      <w:r w:rsidR="00A63A71" w:rsidRPr="00C54AFA">
        <w:rPr>
          <w:rFonts w:asciiTheme="majorBidi" w:hAnsiTheme="majorBidi" w:cstheme="majorBidi"/>
        </w:rPr>
        <w:t>工作组与其他三个特别程序机制向该国政府联合转交了关于以下事件的一份紧急呼吁</w:t>
      </w:r>
      <w:r w:rsidRPr="00C54AFA">
        <w:rPr>
          <w:rFonts w:asciiTheme="majorBidi" w:hAnsiTheme="majorBidi" w:cstheme="majorBidi"/>
        </w:rPr>
        <w:t>：</w:t>
      </w:r>
      <w:r w:rsidR="00BC4B0A" w:rsidRPr="00C54AFA">
        <w:rPr>
          <w:rFonts w:asciiTheme="majorBidi" w:hAnsiTheme="majorBidi" w:cstheme="majorBidi"/>
        </w:rPr>
        <w:t>2</w:t>
      </w:r>
      <w:r w:rsidR="00A63A71" w:rsidRPr="00C54AFA">
        <w:rPr>
          <w:rFonts w:asciiTheme="majorBidi" w:hAnsiTheme="majorBidi" w:cstheme="majorBidi"/>
        </w:rPr>
        <w:t>0</w:t>
      </w:r>
      <w:r w:rsidR="00BC4B0A" w:rsidRPr="00C54AFA">
        <w:rPr>
          <w:rFonts w:asciiTheme="majorBidi" w:hAnsiTheme="majorBidi" w:cstheme="majorBidi"/>
        </w:rPr>
        <w:t>14</w:t>
      </w:r>
      <w:r w:rsidR="00A63A71" w:rsidRPr="00C54AFA">
        <w:rPr>
          <w:rFonts w:asciiTheme="majorBidi" w:hAnsiTheme="majorBidi" w:cstheme="majorBidi"/>
        </w:rPr>
        <w:t>年</w:t>
      </w:r>
      <w:r w:rsidR="00BC4B0A" w:rsidRPr="00C54AFA">
        <w:rPr>
          <w:rFonts w:asciiTheme="majorBidi" w:hAnsiTheme="majorBidi" w:cstheme="majorBidi"/>
        </w:rPr>
        <w:t>6</w:t>
      </w:r>
      <w:r w:rsidR="00A63A71" w:rsidRPr="00C54AFA">
        <w:rPr>
          <w:rFonts w:asciiTheme="majorBidi" w:hAnsiTheme="majorBidi" w:cstheme="majorBidi"/>
        </w:rPr>
        <w:t>月</w:t>
      </w:r>
      <w:r w:rsidR="00BC4B0A" w:rsidRPr="00C54AFA">
        <w:rPr>
          <w:rFonts w:asciiTheme="majorBidi" w:hAnsiTheme="majorBidi" w:cstheme="majorBidi"/>
        </w:rPr>
        <w:t>27</w:t>
      </w:r>
      <w:r w:rsidR="00A63A71" w:rsidRPr="00C54AFA">
        <w:rPr>
          <w:rFonts w:asciiTheme="majorBidi" w:hAnsiTheme="majorBidi" w:cstheme="majorBidi"/>
        </w:rPr>
        <w:t>日</w:t>
      </w:r>
      <w:r w:rsidRPr="00C54AFA">
        <w:rPr>
          <w:rFonts w:asciiTheme="majorBidi" w:hAnsiTheme="majorBidi" w:cstheme="majorBidi"/>
        </w:rPr>
        <w:t>，</w:t>
      </w:r>
      <w:r w:rsidR="00BC4B0A" w:rsidRPr="00C54AFA">
        <w:rPr>
          <w:rFonts w:asciiTheme="majorBidi" w:hAnsiTheme="majorBidi" w:cstheme="majorBidi"/>
        </w:rPr>
        <w:t>Yousef</w:t>
      </w:r>
      <w:r w:rsidR="00A63A71" w:rsidRPr="00C54AFA">
        <w:rPr>
          <w:rFonts w:asciiTheme="majorBidi" w:hAnsiTheme="majorBidi" w:cstheme="majorBidi"/>
        </w:rPr>
        <w:t xml:space="preserve"> </w:t>
      </w:r>
      <w:r w:rsidR="00BC4B0A" w:rsidRPr="00C54AFA">
        <w:rPr>
          <w:rFonts w:asciiTheme="majorBidi" w:hAnsiTheme="majorBidi" w:cstheme="majorBidi"/>
        </w:rPr>
        <w:t>Abdulsamad</w:t>
      </w:r>
      <w:r w:rsidR="00A63A71" w:rsidRPr="00C54AFA">
        <w:rPr>
          <w:rFonts w:asciiTheme="majorBidi" w:hAnsiTheme="majorBidi" w:cstheme="majorBidi"/>
        </w:rPr>
        <w:t xml:space="preserve"> </w:t>
      </w:r>
      <w:r w:rsidR="00BC4B0A" w:rsidRPr="00C54AFA">
        <w:rPr>
          <w:rFonts w:asciiTheme="majorBidi" w:hAnsiTheme="majorBidi" w:cstheme="majorBidi"/>
        </w:rPr>
        <w:t>Abdulghani</w:t>
      </w:r>
      <w:r w:rsidR="00A63A71" w:rsidRPr="00C54AFA">
        <w:rPr>
          <w:rFonts w:asciiTheme="majorBidi" w:hAnsiTheme="majorBidi" w:cstheme="majorBidi"/>
        </w:rPr>
        <w:t xml:space="preserve"> </w:t>
      </w:r>
      <w:r w:rsidR="00BC4B0A" w:rsidRPr="00C54AFA">
        <w:rPr>
          <w:rFonts w:asciiTheme="majorBidi" w:hAnsiTheme="majorBidi" w:cstheme="majorBidi"/>
        </w:rPr>
        <w:t>Al</w:t>
      </w:r>
      <w:r w:rsidR="00A63A71" w:rsidRPr="00C54AFA">
        <w:rPr>
          <w:rFonts w:asciiTheme="majorBidi" w:hAnsiTheme="majorBidi" w:cstheme="majorBidi"/>
        </w:rPr>
        <w:t>-</w:t>
      </w:r>
      <w:r w:rsidR="00BC4B0A" w:rsidRPr="00C54AFA">
        <w:rPr>
          <w:rFonts w:asciiTheme="majorBidi" w:hAnsiTheme="majorBidi" w:cstheme="majorBidi"/>
        </w:rPr>
        <w:t>Mullah</w:t>
      </w:r>
      <w:r w:rsidR="00A63A71" w:rsidRPr="00C54AFA">
        <w:rPr>
          <w:rFonts w:asciiTheme="majorBidi" w:hAnsiTheme="majorBidi" w:cstheme="majorBidi"/>
        </w:rPr>
        <w:t>先生和</w:t>
      </w:r>
      <w:r w:rsidR="00BC4B0A" w:rsidRPr="00C54AFA">
        <w:rPr>
          <w:rFonts w:asciiTheme="majorBidi" w:hAnsiTheme="majorBidi" w:cstheme="majorBidi"/>
        </w:rPr>
        <w:t>Hamad</w:t>
      </w:r>
      <w:r w:rsidR="00A63A71" w:rsidRPr="00C54AFA">
        <w:rPr>
          <w:rFonts w:asciiTheme="majorBidi" w:hAnsiTheme="majorBidi" w:cstheme="majorBidi"/>
        </w:rPr>
        <w:t xml:space="preserve"> </w:t>
      </w:r>
      <w:r w:rsidR="00BC4B0A" w:rsidRPr="00C54AFA">
        <w:rPr>
          <w:rFonts w:asciiTheme="majorBidi" w:hAnsiTheme="majorBidi" w:cstheme="majorBidi"/>
        </w:rPr>
        <w:t>Ali</w:t>
      </w:r>
      <w:r w:rsidR="00A63A71" w:rsidRPr="00C54AFA">
        <w:rPr>
          <w:rFonts w:asciiTheme="majorBidi" w:hAnsiTheme="majorBidi" w:cstheme="majorBidi"/>
        </w:rPr>
        <w:t xml:space="preserve"> </w:t>
      </w:r>
      <w:r w:rsidR="00BC4B0A" w:rsidRPr="00C54AFA">
        <w:rPr>
          <w:rFonts w:asciiTheme="majorBidi" w:hAnsiTheme="majorBidi" w:cstheme="majorBidi"/>
        </w:rPr>
        <w:t>Mohammed</w:t>
      </w:r>
      <w:r w:rsidR="00A63A71" w:rsidRPr="00C54AFA">
        <w:rPr>
          <w:rFonts w:asciiTheme="majorBidi" w:hAnsiTheme="majorBidi" w:cstheme="majorBidi"/>
        </w:rPr>
        <w:t xml:space="preserve"> </w:t>
      </w:r>
      <w:r w:rsidR="00BC4B0A" w:rsidRPr="00C54AFA">
        <w:rPr>
          <w:rFonts w:asciiTheme="majorBidi" w:hAnsiTheme="majorBidi" w:cstheme="majorBidi"/>
        </w:rPr>
        <w:t>Al</w:t>
      </w:r>
      <w:r w:rsidR="00A63A71" w:rsidRPr="00C54AFA">
        <w:rPr>
          <w:rFonts w:asciiTheme="majorBidi" w:hAnsiTheme="majorBidi" w:cstheme="majorBidi"/>
        </w:rPr>
        <w:t>-</w:t>
      </w:r>
      <w:r w:rsidR="00BC4B0A" w:rsidRPr="00C54AFA">
        <w:rPr>
          <w:rFonts w:asciiTheme="majorBidi" w:hAnsiTheme="majorBidi" w:cstheme="majorBidi"/>
        </w:rPr>
        <w:t>Hammadi</w:t>
      </w:r>
      <w:r w:rsidR="00A63A71" w:rsidRPr="00C54AFA">
        <w:rPr>
          <w:rFonts w:asciiTheme="majorBidi" w:hAnsiTheme="majorBidi" w:cstheme="majorBidi"/>
        </w:rPr>
        <w:t>先生据称被任意逮捕、秘密关押和强迫失踪。据称</w:t>
      </w:r>
      <w:r w:rsidRPr="00C54AFA">
        <w:rPr>
          <w:rFonts w:asciiTheme="majorBidi" w:hAnsiTheme="majorBidi" w:cstheme="majorBidi"/>
        </w:rPr>
        <w:t>，</w:t>
      </w:r>
      <w:r w:rsidR="00A63A71" w:rsidRPr="00C54AFA">
        <w:rPr>
          <w:rFonts w:asciiTheme="majorBidi" w:hAnsiTheme="majorBidi" w:cstheme="majorBidi"/>
        </w:rPr>
        <w:t>他们在</w:t>
      </w:r>
      <w:r w:rsidR="00BC4B0A" w:rsidRPr="00C54AFA">
        <w:rPr>
          <w:rFonts w:asciiTheme="majorBidi" w:hAnsiTheme="majorBidi" w:cstheme="majorBidi"/>
        </w:rPr>
        <w:t>Ghuwaifat</w:t>
      </w:r>
      <w:r w:rsidR="00A63A71" w:rsidRPr="00C54AFA">
        <w:rPr>
          <w:rFonts w:asciiTheme="majorBidi" w:hAnsiTheme="majorBidi" w:cstheme="majorBidi"/>
        </w:rPr>
        <w:t>过境点被阿拉伯联合酋长国警察逮捕。按照工作组的工作方法</w:t>
      </w:r>
      <w:r w:rsidRPr="00C54AFA">
        <w:rPr>
          <w:rFonts w:asciiTheme="majorBidi" w:hAnsiTheme="majorBidi" w:cstheme="majorBidi"/>
        </w:rPr>
        <w:t>，</w:t>
      </w:r>
      <w:r w:rsidR="00A63A71" w:rsidRPr="00C54AFA">
        <w:rPr>
          <w:rFonts w:asciiTheme="majorBidi" w:hAnsiTheme="majorBidi" w:cstheme="majorBidi"/>
        </w:rPr>
        <w:t>卡塔尔政府也收到了该案件的副本。</w:t>
      </w:r>
    </w:p>
    <w:p w:rsidR="00A63A71" w:rsidRPr="00C54AFA" w:rsidRDefault="00C54AFA" w:rsidP="00C0631D">
      <w:pPr>
        <w:pStyle w:val="SingleTxtGC"/>
        <w:rPr>
          <w:rFonts w:asciiTheme="majorBidi" w:hAnsiTheme="majorBidi" w:cstheme="majorBidi"/>
        </w:rPr>
      </w:pPr>
      <w:r w:rsidRPr="00C54AFA">
        <w:rPr>
          <w:rFonts w:asciiTheme="majorBidi" w:hAnsiTheme="majorBidi" w:cstheme="majorBidi"/>
        </w:rPr>
        <w:t>154.</w:t>
      </w:r>
      <w:r w:rsidR="00C0631D" w:rsidRPr="00C54AFA">
        <w:rPr>
          <w:rFonts w:asciiTheme="majorBidi" w:hAnsiTheme="majorBidi" w:cstheme="majorBidi"/>
        </w:rPr>
        <w:t xml:space="preserve">  </w:t>
      </w:r>
      <w:r w:rsidR="00BC4B0A" w:rsidRPr="00C54AFA">
        <w:rPr>
          <w:rFonts w:asciiTheme="majorBidi" w:hAnsiTheme="majorBidi" w:cstheme="majorBidi"/>
        </w:rPr>
        <w:t>2</w:t>
      </w:r>
      <w:r w:rsidR="00A63A71" w:rsidRPr="00C54AFA">
        <w:rPr>
          <w:rFonts w:asciiTheme="majorBidi" w:hAnsiTheme="majorBidi" w:cstheme="majorBidi"/>
        </w:rPr>
        <w:t>0</w:t>
      </w:r>
      <w:r w:rsidR="00BC4B0A" w:rsidRPr="00C54AFA">
        <w:rPr>
          <w:rFonts w:asciiTheme="majorBidi" w:hAnsiTheme="majorBidi" w:cstheme="majorBidi"/>
        </w:rPr>
        <w:t>15</w:t>
      </w:r>
      <w:r w:rsidR="00A63A71" w:rsidRPr="00C54AFA">
        <w:rPr>
          <w:rFonts w:asciiTheme="majorBidi" w:hAnsiTheme="majorBidi" w:cstheme="majorBidi"/>
        </w:rPr>
        <w:t>年</w:t>
      </w:r>
      <w:r w:rsidR="00BC4B0A" w:rsidRPr="00C54AFA">
        <w:rPr>
          <w:rFonts w:asciiTheme="majorBidi" w:hAnsiTheme="majorBidi" w:cstheme="majorBidi"/>
        </w:rPr>
        <w:t>2</w:t>
      </w:r>
      <w:r w:rsidR="00A63A71" w:rsidRPr="00C54AFA">
        <w:rPr>
          <w:rFonts w:asciiTheme="majorBidi" w:hAnsiTheme="majorBidi" w:cstheme="majorBidi"/>
        </w:rPr>
        <w:t>月</w:t>
      </w:r>
      <w:r w:rsidR="00BC4B0A" w:rsidRPr="00C54AFA">
        <w:rPr>
          <w:rFonts w:asciiTheme="majorBidi" w:hAnsiTheme="majorBidi" w:cstheme="majorBidi"/>
        </w:rPr>
        <w:t>2</w:t>
      </w:r>
      <w:r w:rsidR="00A63A71" w:rsidRPr="00C54AFA">
        <w:rPr>
          <w:rFonts w:asciiTheme="majorBidi" w:hAnsiTheme="majorBidi" w:cstheme="majorBidi"/>
        </w:rPr>
        <w:t>0</w:t>
      </w:r>
      <w:r w:rsidR="00A63A71" w:rsidRPr="00C54AFA">
        <w:rPr>
          <w:rFonts w:asciiTheme="majorBidi" w:hAnsiTheme="majorBidi" w:cstheme="majorBidi"/>
        </w:rPr>
        <w:t>日</w:t>
      </w:r>
      <w:r w:rsidRPr="00C54AFA">
        <w:rPr>
          <w:rFonts w:asciiTheme="majorBidi" w:hAnsiTheme="majorBidi" w:cstheme="majorBidi"/>
        </w:rPr>
        <w:t>，</w:t>
      </w:r>
      <w:r w:rsidR="00A63A71" w:rsidRPr="00C54AFA">
        <w:rPr>
          <w:rFonts w:asciiTheme="majorBidi" w:hAnsiTheme="majorBidi" w:cstheme="majorBidi"/>
        </w:rPr>
        <w:t>工作组与其他四个联合特别程序机制向该国政府转交了关于以下事件的紧急呼吁</w:t>
      </w:r>
      <w:r w:rsidRPr="00C54AFA">
        <w:rPr>
          <w:rFonts w:asciiTheme="majorBidi" w:hAnsiTheme="majorBidi" w:cstheme="majorBidi"/>
        </w:rPr>
        <w:t>：</w:t>
      </w:r>
      <w:r w:rsidR="00BC4B0A" w:rsidRPr="00C54AFA">
        <w:rPr>
          <w:rFonts w:asciiTheme="majorBidi" w:hAnsiTheme="majorBidi" w:cstheme="majorBidi"/>
        </w:rPr>
        <w:t>Asma</w:t>
      </w:r>
      <w:r w:rsidR="00A63A71" w:rsidRPr="00C54AFA">
        <w:rPr>
          <w:rFonts w:asciiTheme="majorBidi" w:hAnsiTheme="majorBidi" w:cstheme="majorBidi"/>
        </w:rPr>
        <w:t xml:space="preserve"> </w:t>
      </w:r>
      <w:r w:rsidR="00BC4B0A" w:rsidRPr="00C54AFA">
        <w:rPr>
          <w:rFonts w:asciiTheme="majorBidi" w:hAnsiTheme="majorBidi" w:cstheme="majorBidi"/>
        </w:rPr>
        <w:t>Khalifa</w:t>
      </w:r>
      <w:r w:rsidR="00A63A71" w:rsidRPr="00C54AFA">
        <w:rPr>
          <w:rFonts w:asciiTheme="majorBidi" w:hAnsiTheme="majorBidi" w:cstheme="majorBidi"/>
        </w:rPr>
        <w:t xml:space="preserve"> </w:t>
      </w:r>
      <w:r w:rsidR="00BC4B0A" w:rsidRPr="00C54AFA">
        <w:rPr>
          <w:rFonts w:asciiTheme="majorBidi" w:hAnsiTheme="majorBidi" w:cstheme="majorBidi"/>
        </w:rPr>
        <w:t>al</w:t>
      </w:r>
      <w:r w:rsidR="00A63A71" w:rsidRPr="00C54AFA">
        <w:rPr>
          <w:rFonts w:asciiTheme="majorBidi" w:hAnsiTheme="majorBidi" w:cstheme="majorBidi"/>
        </w:rPr>
        <w:t>-</w:t>
      </w:r>
      <w:r w:rsidR="00BC4B0A" w:rsidRPr="00C54AFA">
        <w:rPr>
          <w:rFonts w:asciiTheme="majorBidi" w:hAnsiTheme="majorBidi" w:cstheme="majorBidi"/>
        </w:rPr>
        <w:t>Suwaidi</w:t>
      </w:r>
      <w:r w:rsidR="00A63A71" w:rsidRPr="00C54AFA">
        <w:rPr>
          <w:rFonts w:asciiTheme="majorBidi" w:hAnsiTheme="majorBidi" w:cstheme="majorBidi"/>
        </w:rPr>
        <w:t>女士、</w:t>
      </w:r>
      <w:r w:rsidR="00BC4B0A" w:rsidRPr="00C54AFA">
        <w:rPr>
          <w:rFonts w:asciiTheme="majorBidi" w:hAnsiTheme="majorBidi" w:cstheme="majorBidi"/>
        </w:rPr>
        <w:t>Meriem</w:t>
      </w:r>
      <w:r w:rsidR="00A63A71" w:rsidRPr="00C54AFA">
        <w:rPr>
          <w:rFonts w:asciiTheme="majorBidi" w:hAnsiTheme="majorBidi" w:cstheme="majorBidi"/>
        </w:rPr>
        <w:t xml:space="preserve"> </w:t>
      </w:r>
      <w:r w:rsidR="00BC4B0A" w:rsidRPr="00C54AFA">
        <w:rPr>
          <w:rFonts w:asciiTheme="majorBidi" w:hAnsiTheme="majorBidi" w:cstheme="majorBidi"/>
        </w:rPr>
        <w:t>Khalifa</w:t>
      </w:r>
      <w:r w:rsidR="00A63A71" w:rsidRPr="00C54AFA">
        <w:rPr>
          <w:rFonts w:asciiTheme="majorBidi" w:hAnsiTheme="majorBidi" w:cstheme="majorBidi"/>
        </w:rPr>
        <w:t xml:space="preserve"> </w:t>
      </w:r>
      <w:r w:rsidR="00BC4B0A" w:rsidRPr="00C54AFA">
        <w:rPr>
          <w:rFonts w:asciiTheme="majorBidi" w:hAnsiTheme="majorBidi" w:cstheme="majorBidi"/>
        </w:rPr>
        <w:t>al</w:t>
      </w:r>
      <w:r w:rsidR="00A63A71" w:rsidRPr="00C54AFA">
        <w:rPr>
          <w:rFonts w:asciiTheme="majorBidi" w:hAnsiTheme="majorBidi" w:cstheme="majorBidi"/>
        </w:rPr>
        <w:t>-</w:t>
      </w:r>
      <w:r w:rsidR="00BC4B0A" w:rsidRPr="00C54AFA">
        <w:rPr>
          <w:rFonts w:asciiTheme="majorBidi" w:hAnsiTheme="majorBidi" w:cstheme="majorBidi"/>
        </w:rPr>
        <w:t>Suwaidi</w:t>
      </w:r>
      <w:r w:rsidR="00A63A71" w:rsidRPr="00C54AFA">
        <w:rPr>
          <w:rFonts w:asciiTheme="majorBidi" w:hAnsiTheme="majorBidi" w:cstheme="majorBidi"/>
        </w:rPr>
        <w:t>女士和</w:t>
      </w:r>
      <w:r w:rsidR="00BC4B0A" w:rsidRPr="00C54AFA">
        <w:rPr>
          <w:rFonts w:asciiTheme="majorBidi" w:hAnsiTheme="majorBidi" w:cstheme="majorBidi"/>
        </w:rPr>
        <w:t>AlYazyeh</w:t>
      </w:r>
      <w:r w:rsidR="00A63A71" w:rsidRPr="00C54AFA">
        <w:rPr>
          <w:rFonts w:asciiTheme="majorBidi" w:hAnsiTheme="majorBidi" w:cstheme="majorBidi"/>
        </w:rPr>
        <w:t xml:space="preserve"> </w:t>
      </w:r>
      <w:r w:rsidR="00BC4B0A" w:rsidRPr="00C54AFA">
        <w:rPr>
          <w:rFonts w:asciiTheme="majorBidi" w:hAnsiTheme="majorBidi" w:cstheme="majorBidi"/>
        </w:rPr>
        <w:t>Khalifa</w:t>
      </w:r>
      <w:r w:rsidR="00A63A71" w:rsidRPr="00C54AFA">
        <w:rPr>
          <w:rFonts w:asciiTheme="majorBidi" w:hAnsiTheme="majorBidi" w:cstheme="majorBidi"/>
        </w:rPr>
        <w:t xml:space="preserve"> </w:t>
      </w:r>
      <w:r w:rsidR="00BC4B0A" w:rsidRPr="00C54AFA">
        <w:rPr>
          <w:rFonts w:asciiTheme="majorBidi" w:hAnsiTheme="majorBidi" w:cstheme="majorBidi"/>
        </w:rPr>
        <w:t>al</w:t>
      </w:r>
      <w:r w:rsidR="00A63A71" w:rsidRPr="00C54AFA">
        <w:rPr>
          <w:rFonts w:asciiTheme="majorBidi" w:hAnsiTheme="majorBidi" w:cstheme="majorBidi"/>
        </w:rPr>
        <w:t>-</w:t>
      </w:r>
      <w:r w:rsidR="00BC4B0A" w:rsidRPr="00C54AFA">
        <w:rPr>
          <w:rFonts w:asciiTheme="majorBidi" w:hAnsiTheme="majorBidi" w:cstheme="majorBidi"/>
        </w:rPr>
        <w:t>Suwaidi</w:t>
      </w:r>
      <w:r w:rsidR="00A63A71" w:rsidRPr="00C54AFA">
        <w:rPr>
          <w:rFonts w:asciiTheme="majorBidi" w:hAnsiTheme="majorBidi" w:cstheme="majorBidi"/>
        </w:rPr>
        <w:t>女士据称于</w:t>
      </w:r>
      <w:r w:rsidR="00BC4B0A" w:rsidRPr="00C54AFA">
        <w:rPr>
          <w:rFonts w:asciiTheme="majorBidi" w:hAnsiTheme="majorBidi" w:cstheme="majorBidi"/>
        </w:rPr>
        <w:t>2</w:t>
      </w:r>
      <w:r w:rsidR="00A63A71" w:rsidRPr="00C54AFA">
        <w:rPr>
          <w:rFonts w:asciiTheme="majorBidi" w:hAnsiTheme="majorBidi" w:cstheme="majorBidi"/>
        </w:rPr>
        <w:t>0</w:t>
      </w:r>
      <w:r w:rsidR="00BC4B0A" w:rsidRPr="00C54AFA">
        <w:rPr>
          <w:rFonts w:asciiTheme="majorBidi" w:hAnsiTheme="majorBidi" w:cstheme="majorBidi"/>
        </w:rPr>
        <w:t>15</w:t>
      </w:r>
      <w:r w:rsidR="00A63A71" w:rsidRPr="00C54AFA">
        <w:rPr>
          <w:rFonts w:asciiTheme="majorBidi" w:hAnsiTheme="majorBidi" w:cstheme="majorBidi"/>
        </w:rPr>
        <w:t>年</w:t>
      </w:r>
      <w:r w:rsidR="00BC4B0A" w:rsidRPr="00C54AFA">
        <w:rPr>
          <w:rFonts w:asciiTheme="majorBidi" w:hAnsiTheme="majorBidi" w:cstheme="majorBidi"/>
        </w:rPr>
        <w:t>2</w:t>
      </w:r>
      <w:r w:rsidR="00A63A71" w:rsidRPr="00C54AFA">
        <w:rPr>
          <w:rFonts w:asciiTheme="majorBidi" w:hAnsiTheme="majorBidi" w:cstheme="majorBidi"/>
        </w:rPr>
        <w:t>月</w:t>
      </w:r>
      <w:r w:rsidR="00BC4B0A" w:rsidRPr="00C54AFA">
        <w:rPr>
          <w:rFonts w:asciiTheme="majorBidi" w:hAnsiTheme="majorBidi" w:cstheme="majorBidi"/>
        </w:rPr>
        <w:t>15</w:t>
      </w:r>
      <w:r w:rsidR="00A63A71" w:rsidRPr="00C54AFA">
        <w:rPr>
          <w:rFonts w:asciiTheme="majorBidi" w:hAnsiTheme="majorBidi" w:cstheme="majorBidi"/>
        </w:rPr>
        <w:t>日被任意逮捕、秘密关押和强迫失踪</w:t>
      </w:r>
      <w:r w:rsidRPr="00C54AFA">
        <w:rPr>
          <w:rFonts w:asciiTheme="majorBidi" w:hAnsiTheme="majorBidi" w:cstheme="majorBidi"/>
        </w:rPr>
        <w:t>，</w:t>
      </w:r>
      <w:r w:rsidR="00A63A71" w:rsidRPr="00C54AFA">
        <w:rPr>
          <w:rFonts w:asciiTheme="majorBidi" w:hAnsiTheme="majorBidi" w:cstheme="majorBidi"/>
        </w:rPr>
        <w:t>这可能与她们在据称不公正审判后为她们在监狱中的兄弟辩护的活动有关。</w:t>
      </w:r>
    </w:p>
    <w:p w:rsidR="00A63A71" w:rsidRPr="00C54AFA" w:rsidRDefault="00A63A71" w:rsidP="00201D18">
      <w:pPr>
        <w:pStyle w:val="H1GC"/>
      </w:pPr>
      <w:r w:rsidRPr="00C54AFA">
        <w:tab/>
      </w:r>
      <w:r w:rsidRPr="00C54AFA">
        <w:tab/>
      </w:r>
      <w:r w:rsidRPr="00C54AFA">
        <w:t>美利坚合众国</w:t>
      </w:r>
    </w:p>
    <w:p w:rsidR="00A63A71" w:rsidRPr="00C54AFA" w:rsidRDefault="00A63A71" w:rsidP="00201D18">
      <w:pPr>
        <w:pStyle w:val="H23GC"/>
      </w:pPr>
      <w:r w:rsidRPr="00C54AFA">
        <w:tab/>
      </w:r>
      <w:r w:rsidRPr="00C54AFA">
        <w:tab/>
      </w:r>
      <w:r w:rsidRPr="00C54AFA">
        <w:t>新闻稿和公开信</w:t>
      </w:r>
    </w:p>
    <w:p w:rsidR="00A63A71" w:rsidRPr="00C54AFA" w:rsidRDefault="00C54AFA" w:rsidP="00C0631D">
      <w:pPr>
        <w:pStyle w:val="SingleTxtGC"/>
        <w:rPr>
          <w:rFonts w:asciiTheme="majorBidi" w:hAnsiTheme="majorBidi" w:cstheme="majorBidi"/>
        </w:rPr>
      </w:pPr>
      <w:r w:rsidRPr="00C54AFA">
        <w:rPr>
          <w:rFonts w:asciiTheme="majorBidi" w:hAnsiTheme="majorBidi" w:cstheme="majorBidi"/>
        </w:rPr>
        <w:t>155.</w:t>
      </w:r>
      <w:r w:rsidR="00C0631D" w:rsidRPr="00C54AFA">
        <w:rPr>
          <w:rFonts w:asciiTheme="majorBidi" w:hAnsiTheme="majorBidi" w:cstheme="majorBidi"/>
        </w:rPr>
        <w:t xml:space="preserve">  </w:t>
      </w:r>
      <w:r w:rsidR="00BC4B0A" w:rsidRPr="00C54AFA">
        <w:rPr>
          <w:rFonts w:asciiTheme="majorBidi" w:hAnsiTheme="majorBidi" w:cstheme="majorBidi"/>
        </w:rPr>
        <w:t>2</w:t>
      </w:r>
      <w:r w:rsidR="00A63A71" w:rsidRPr="00C54AFA">
        <w:rPr>
          <w:rFonts w:asciiTheme="majorBidi" w:hAnsiTheme="majorBidi" w:cstheme="majorBidi"/>
        </w:rPr>
        <w:t>0</w:t>
      </w:r>
      <w:r w:rsidR="00BC4B0A" w:rsidRPr="00C54AFA">
        <w:rPr>
          <w:rFonts w:asciiTheme="majorBidi" w:hAnsiTheme="majorBidi" w:cstheme="majorBidi"/>
        </w:rPr>
        <w:t>14</w:t>
      </w:r>
      <w:r w:rsidR="00A63A71" w:rsidRPr="00C54AFA">
        <w:rPr>
          <w:rFonts w:asciiTheme="majorBidi" w:hAnsiTheme="majorBidi" w:cstheme="majorBidi"/>
        </w:rPr>
        <w:t>年</w:t>
      </w:r>
      <w:r w:rsidR="00BC4B0A" w:rsidRPr="00C54AFA">
        <w:rPr>
          <w:rFonts w:asciiTheme="majorBidi" w:hAnsiTheme="majorBidi" w:cstheme="majorBidi"/>
        </w:rPr>
        <w:t>11</w:t>
      </w:r>
      <w:r w:rsidR="00A63A71" w:rsidRPr="00C54AFA">
        <w:rPr>
          <w:rFonts w:asciiTheme="majorBidi" w:hAnsiTheme="majorBidi" w:cstheme="majorBidi"/>
        </w:rPr>
        <w:t>月</w:t>
      </w:r>
      <w:r w:rsidR="00BC4B0A" w:rsidRPr="00C54AFA">
        <w:rPr>
          <w:rFonts w:asciiTheme="majorBidi" w:hAnsiTheme="majorBidi" w:cstheme="majorBidi"/>
        </w:rPr>
        <w:t>26</w:t>
      </w:r>
      <w:r w:rsidR="00A63A71" w:rsidRPr="00C54AFA">
        <w:rPr>
          <w:rFonts w:asciiTheme="majorBidi" w:hAnsiTheme="majorBidi" w:cstheme="majorBidi"/>
        </w:rPr>
        <w:t>日</w:t>
      </w:r>
      <w:r w:rsidRPr="00C54AFA">
        <w:rPr>
          <w:rFonts w:asciiTheme="majorBidi" w:hAnsiTheme="majorBidi" w:cstheme="majorBidi"/>
        </w:rPr>
        <w:t>，</w:t>
      </w:r>
      <w:r w:rsidR="00A63A71" w:rsidRPr="00C54AFA">
        <w:rPr>
          <w:rFonts w:asciiTheme="majorBidi" w:hAnsiTheme="majorBidi" w:cstheme="majorBidi"/>
        </w:rPr>
        <w:t>工作组与其他六个特别程序机制联合发布了新闻稿和一封公开信</w:t>
      </w:r>
      <w:r w:rsidRPr="00C54AFA">
        <w:rPr>
          <w:rFonts w:asciiTheme="majorBidi" w:hAnsiTheme="majorBidi" w:cstheme="majorBidi"/>
        </w:rPr>
        <w:t>，</w:t>
      </w:r>
      <w:r w:rsidR="00A63A71" w:rsidRPr="00C54AFA">
        <w:rPr>
          <w:rFonts w:asciiTheme="majorBidi" w:hAnsiTheme="majorBidi" w:cstheme="majorBidi"/>
        </w:rPr>
        <w:t>促请该国总统支持尽可能充分地公布美国参议院特设情报委员会编写的关于中央情报局审讯做法的报告</w:t>
      </w:r>
      <w:r w:rsidRPr="00C54AFA">
        <w:rPr>
          <w:rFonts w:asciiTheme="majorBidi" w:hAnsiTheme="majorBidi" w:cstheme="majorBidi"/>
        </w:rPr>
        <w:t>，</w:t>
      </w:r>
      <w:r w:rsidR="00A63A71" w:rsidRPr="00C54AFA">
        <w:rPr>
          <w:rFonts w:asciiTheme="majorBidi" w:hAnsiTheme="majorBidi" w:cstheme="majorBidi"/>
        </w:rPr>
        <w:t>这将使受害者和一般公众充分了解事实。</w:t>
      </w:r>
    </w:p>
    <w:p w:rsidR="00A63A71" w:rsidRPr="00C54AFA" w:rsidRDefault="00A63A71" w:rsidP="00201D18">
      <w:pPr>
        <w:pStyle w:val="H1GC"/>
      </w:pPr>
      <w:r w:rsidRPr="00C54AFA">
        <w:lastRenderedPageBreak/>
        <w:tab/>
      </w:r>
      <w:r w:rsidRPr="00C54AFA">
        <w:tab/>
      </w:r>
      <w:r w:rsidRPr="00C54AFA">
        <w:t>乌拉圭</w:t>
      </w:r>
    </w:p>
    <w:p w:rsidR="00A63A71" w:rsidRPr="00C54AFA" w:rsidRDefault="00A63A71" w:rsidP="00201D18">
      <w:pPr>
        <w:pStyle w:val="H23GC"/>
      </w:pPr>
      <w:r w:rsidRPr="00C54AFA">
        <w:tab/>
      </w:r>
      <w:r w:rsidRPr="00C54AFA">
        <w:tab/>
      </w:r>
      <w:r w:rsidRPr="00C54AFA">
        <w:t>来文方提供的资料</w:t>
      </w:r>
    </w:p>
    <w:p w:rsidR="00A63A71" w:rsidRPr="00C54AFA" w:rsidRDefault="00C54AFA" w:rsidP="00C0631D">
      <w:pPr>
        <w:pStyle w:val="SingleTxtGC"/>
        <w:rPr>
          <w:rFonts w:asciiTheme="majorBidi" w:hAnsiTheme="majorBidi" w:cstheme="majorBidi"/>
        </w:rPr>
      </w:pPr>
      <w:r w:rsidRPr="00C54AFA">
        <w:rPr>
          <w:rFonts w:asciiTheme="majorBidi" w:hAnsiTheme="majorBidi" w:cstheme="majorBidi"/>
        </w:rPr>
        <w:t>156.</w:t>
      </w:r>
      <w:r w:rsidR="00C0631D" w:rsidRPr="00C54AFA">
        <w:rPr>
          <w:rFonts w:asciiTheme="majorBidi" w:hAnsiTheme="majorBidi" w:cstheme="majorBidi"/>
        </w:rPr>
        <w:t xml:space="preserve">  </w:t>
      </w:r>
      <w:r w:rsidR="00A63A71" w:rsidRPr="00C54AFA">
        <w:rPr>
          <w:rFonts w:asciiTheme="majorBidi" w:hAnsiTheme="majorBidi" w:cstheme="majorBidi"/>
        </w:rPr>
        <w:t>来文方就一起未决案件提供了资料。</w:t>
      </w:r>
    </w:p>
    <w:p w:rsidR="00A63A71" w:rsidRPr="00C54AFA" w:rsidRDefault="00A63A71" w:rsidP="00201D18">
      <w:pPr>
        <w:pStyle w:val="H23GC"/>
      </w:pPr>
      <w:r w:rsidRPr="00C54AFA">
        <w:tab/>
      </w:r>
      <w:r w:rsidRPr="00C54AFA">
        <w:tab/>
      </w:r>
      <w:r w:rsidRPr="00C54AFA">
        <w:t>澄清</w:t>
      </w:r>
    </w:p>
    <w:p w:rsidR="00A63A71" w:rsidRPr="00C54AFA" w:rsidRDefault="00C54AFA" w:rsidP="00C0631D">
      <w:pPr>
        <w:pStyle w:val="SingleTxtGC"/>
        <w:rPr>
          <w:rFonts w:asciiTheme="majorBidi" w:hAnsiTheme="majorBidi" w:cstheme="majorBidi"/>
        </w:rPr>
      </w:pPr>
      <w:r w:rsidRPr="00C54AFA">
        <w:rPr>
          <w:rFonts w:asciiTheme="majorBidi" w:hAnsiTheme="majorBidi" w:cstheme="majorBidi"/>
        </w:rPr>
        <w:t>157.</w:t>
      </w:r>
      <w:r w:rsidR="00C0631D" w:rsidRPr="00C54AFA">
        <w:rPr>
          <w:rFonts w:asciiTheme="majorBidi" w:hAnsiTheme="majorBidi" w:cstheme="majorBidi"/>
        </w:rPr>
        <w:t xml:space="preserve">  </w:t>
      </w:r>
      <w:r w:rsidR="00A63A71" w:rsidRPr="00C54AFA">
        <w:rPr>
          <w:rFonts w:asciiTheme="majorBidi" w:hAnsiTheme="majorBidi" w:cstheme="majorBidi"/>
        </w:rPr>
        <w:t>基于该国政府提供的资料</w:t>
      </w:r>
      <w:r w:rsidRPr="00C54AFA">
        <w:rPr>
          <w:rFonts w:asciiTheme="majorBidi" w:hAnsiTheme="majorBidi" w:cstheme="majorBidi"/>
        </w:rPr>
        <w:t>，</w:t>
      </w:r>
      <w:r w:rsidR="00A63A71" w:rsidRPr="00C54AFA">
        <w:rPr>
          <w:rFonts w:asciiTheme="majorBidi" w:hAnsiTheme="majorBidi" w:cstheme="majorBidi"/>
        </w:rPr>
        <w:t>工作组决定澄清一起案件。</w:t>
      </w:r>
    </w:p>
    <w:p w:rsidR="00A63A71" w:rsidRPr="00C54AFA" w:rsidRDefault="00A63A71" w:rsidP="00201D18">
      <w:pPr>
        <w:pStyle w:val="H1GC"/>
      </w:pPr>
      <w:r w:rsidRPr="00C54AFA">
        <w:tab/>
      </w:r>
      <w:r w:rsidRPr="00C54AFA">
        <w:tab/>
      </w:r>
      <w:r w:rsidRPr="00C54AFA">
        <w:t>乌兹别克斯坦</w:t>
      </w:r>
    </w:p>
    <w:p w:rsidR="00A63A71" w:rsidRPr="00C54AFA" w:rsidRDefault="00A63A71" w:rsidP="00201D18">
      <w:pPr>
        <w:pStyle w:val="H23GC"/>
      </w:pPr>
      <w:r w:rsidRPr="00C54AFA">
        <w:tab/>
      </w:r>
      <w:r w:rsidRPr="00C54AFA">
        <w:tab/>
      </w:r>
      <w:r w:rsidRPr="00C54AFA">
        <w:t>政府提供的资料</w:t>
      </w:r>
    </w:p>
    <w:p w:rsidR="00A63A71" w:rsidRPr="00C54AFA" w:rsidRDefault="00C54AFA" w:rsidP="00C0631D">
      <w:pPr>
        <w:pStyle w:val="SingleTxtGC"/>
        <w:rPr>
          <w:rFonts w:asciiTheme="majorBidi" w:hAnsiTheme="majorBidi" w:cstheme="majorBidi"/>
        </w:rPr>
      </w:pPr>
      <w:r w:rsidRPr="00C54AFA">
        <w:rPr>
          <w:rFonts w:asciiTheme="majorBidi" w:hAnsiTheme="majorBidi" w:cstheme="majorBidi"/>
        </w:rPr>
        <w:t>158.</w:t>
      </w:r>
      <w:r w:rsidR="00C0631D" w:rsidRPr="00C54AFA">
        <w:rPr>
          <w:rFonts w:asciiTheme="majorBidi" w:hAnsiTheme="majorBidi" w:cstheme="majorBidi"/>
        </w:rPr>
        <w:t xml:space="preserve">  </w:t>
      </w:r>
      <w:r w:rsidR="00BC4B0A" w:rsidRPr="00C54AFA">
        <w:rPr>
          <w:rFonts w:asciiTheme="majorBidi" w:hAnsiTheme="majorBidi" w:cstheme="majorBidi"/>
        </w:rPr>
        <w:t>2</w:t>
      </w:r>
      <w:r w:rsidR="00A63A71" w:rsidRPr="00C54AFA">
        <w:rPr>
          <w:rFonts w:asciiTheme="majorBidi" w:hAnsiTheme="majorBidi" w:cstheme="majorBidi"/>
        </w:rPr>
        <w:t>0</w:t>
      </w:r>
      <w:r w:rsidR="00BC4B0A" w:rsidRPr="00C54AFA">
        <w:rPr>
          <w:rFonts w:asciiTheme="majorBidi" w:hAnsiTheme="majorBidi" w:cstheme="majorBidi"/>
        </w:rPr>
        <w:t>14</w:t>
      </w:r>
      <w:r w:rsidR="00A63A71" w:rsidRPr="00C54AFA">
        <w:rPr>
          <w:rFonts w:asciiTheme="majorBidi" w:hAnsiTheme="majorBidi" w:cstheme="majorBidi"/>
        </w:rPr>
        <w:t>年</w:t>
      </w:r>
      <w:r w:rsidR="00BC4B0A" w:rsidRPr="00C54AFA">
        <w:rPr>
          <w:rFonts w:asciiTheme="majorBidi" w:hAnsiTheme="majorBidi" w:cstheme="majorBidi"/>
        </w:rPr>
        <w:t>8</w:t>
      </w:r>
      <w:r w:rsidR="00A63A71" w:rsidRPr="00C54AFA">
        <w:rPr>
          <w:rFonts w:asciiTheme="majorBidi" w:hAnsiTheme="majorBidi" w:cstheme="majorBidi"/>
        </w:rPr>
        <w:t>月</w:t>
      </w:r>
      <w:r w:rsidR="00BC4B0A" w:rsidRPr="00C54AFA">
        <w:rPr>
          <w:rFonts w:asciiTheme="majorBidi" w:hAnsiTheme="majorBidi" w:cstheme="majorBidi"/>
        </w:rPr>
        <w:t>22</w:t>
      </w:r>
      <w:r w:rsidR="00A63A71" w:rsidRPr="00C54AFA">
        <w:rPr>
          <w:rFonts w:asciiTheme="majorBidi" w:hAnsiTheme="majorBidi" w:cstheme="majorBidi"/>
        </w:rPr>
        <w:t>日</w:t>
      </w:r>
      <w:r w:rsidRPr="00C54AFA">
        <w:rPr>
          <w:rFonts w:asciiTheme="majorBidi" w:hAnsiTheme="majorBidi" w:cstheme="majorBidi"/>
        </w:rPr>
        <w:t>，</w:t>
      </w:r>
      <w:r w:rsidR="00A63A71" w:rsidRPr="00C54AFA">
        <w:rPr>
          <w:rFonts w:asciiTheme="majorBidi" w:hAnsiTheme="majorBidi" w:cstheme="majorBidi"/>
        </w:rPr>
        <w:t>该国政府转交了关于</w:t>
      </w:r>
      <w:r w:rsidR="00BC4B0A" w:rsidRPr="00C54AFA">
        <w:rPr>
          <w:rFonts w:asciiTheme="majorBidi" w:hAnsiTheme="majorBidi" w:cstheme="majorBidi"/>
        </w:rPr>
        <w:t>7</w:t>
      </w:r>
      <w:r w:rsidR="00A63A71" w:rsidRPr="00C54AFA">
        <w:rPr>
          <w:rFonts w:asciiTheme="majorBidi" w:hAnsiTheme="majorBidi" w:cstheme="majorBidi"/>
        </w:rPr>
        <w:t>起未决案件的资料。</w:t>
      </w:r>
    </w:p>
    <w:p w:rsidR="00A63A71" w:rsidRPr="00C54AFA" w:rsidRDefault="00A63A71" w:rsidP="00201D18">
      <w:pPr>
        <w:pStyle w:val="H1GC"/>
      </w:pPr>
      <w:r w:rsidRPr="00C54AFA">
        <w:tab/>
      </w:r>
      <w:r w:rsidRPr="00C54AFA">
        <w:tab/>
      </w:r>
      <w:r w:rsidRPr="00C54AFA">
        <w:t>也门</w:t>
      </w:r>
    </w:p>
    <w:p w:rsidR="00A63A71" w:rsidRPr="00C54AFA" w:rsidRDefault="00A63A71" w:rsidP="00201D18">
      <w:pPr>
        <w:pStyle w:val="H23GC"/>
        <w:rPr>
          <w:rFonts w:eastAsia="SimSun"/>
        </w:rPr>
      </w:pPr>
      <w:r w:rsidRPr="00C54AFA">
        <w:tab/>
      </w:r>
      <w:r w:rsidRPr="00C54AFA">
        <w:tab/>
      </w:r>
      <w:r w:rsidRPr="00C54AFA">
        <w:t>政府提供的资料</w:t>
      </w:r>
    </w:p>
    <w:p w:rsidR="00C0631D" w:rsidRPr="00C54AFA" w:rsidRDefault="00C54AFA" w:rsidP="00BC4B0A">
      <w:pPr>
        <w:pStyle w:val="SingleTxtGC"/>
        <w:rPr>
          <w:rFonts w:asciiTheme="majorBidi" w:hAnsiTheme="majorBidi" w:cstheme="majorBidi"/>
        </w:rPr>
      </w:pPr>
      <w:r w:rsidRPr="00C54AFA">
        <w:rPr>
          <w:rFonts w:asciiTheme="majorBidi" w:hAnsiTheme="majorBidi" w:cstheme="majorBidi"/>
        </w:rPr>
        <w:t>159.</w:t>
      </w:r>
      <w:r w:rsidR="00C0631D" w:rsidRPr="00C54AFA">
        <w:rPr>
          <w:rFonts w:asciiTheme="majorBidi" w:hAnsiTheme="majorBidi" w:cstheme="majorBidi"/>
        </w:rPr>
        <w:t xml:space="preserve">  </w:t>
      </w:r>
      <w:r w:rsidR="00BC4B0A" w:rsidRPr="00C54AFA">
        <w:rPr>
          <w:rFonts w:asciiTheme="majorBidi" w:hAnsiTheme="majorBidi" w:cstheme="majorBidi"/>
        </w:rPr>
        <w:t>2</w:t>
      </w:r>
      <w:r w:rsidR="00A63A71" w:rsidRPr="00C54AFA">
        <w:rPr>
          <w:rFonts w:asciiTheme="majorBidi" w:hAnsiTheme="majorBidi" w:cstheme="majorBidi"/>
        </w:rPr>
        <w:t>0</w:t>
      </w:r>
      <w:r w:rsidR="00BC4B0A" w:rsidRPr="00C54AFA">
        <w:rPr>
          <w:rFonts w:asciiTheme="majorBidi" w:hAnsiTheme="majorBidi" w:cstheme="majorBidi"/>
        </w:rPr>
        <w:t>14</w:t>
      </w:r>
      <w:r w:rsidR="00A63A71" w:rsidRPr="00C54AFA">
        <w:rPr>
          <w:rFonts w:asciiTheme="majorBidi" w:hAnsiTheme="majorBidi" w:cstheme="majorBidi"/>
        </w:rPr>
        <w:t>年</w:t>
      </w:r>
      <w:r w:rsidR="00BC4B0A" w:rsidRPr="00C54AFA">
        <w:rPr>
          <w:rFonts w:asciiTheme="majorBidi" w:hAnsiTheme="majorBidi" w:cstheme="majorBidi"/>
        </w:rPr>
        <w:t>1</w:t>
      </w:r>
      <w:r w:rsidR="00A63A71" w:rsidRPr="00C54AFA">
        <w:rPr>
          <w:rFonts w:asciiTheme="majorBidi" w:hAnsiTheme="majorBidi" w:cstheme="majorBidi"/>
        </w:rPr>
        <w:t>0</w:t>
      </w:r>
      <w:r w:rsidR="00A63A71" w:rsidRPr="00C54AFA">
        <w:rPr>
          <w:rFonts w:asciiTheme="majorBidi" w:hAnsiTheme="majorBidi" w:cstheme="majorBidi"/>
        </w:rPr>
        <w:t>月</w:t>
      </w:r>
      <w:r w:rsidR="00BC4B0A" w:rsidRPr="00C54AFA">
        <w:rPr>
          <w:rFonts w:asciiTheme="majorBidi" w:hAnsiTheme="majorBidi" w:cstheme="majorBidi"/>
        </w:rPr>
        <w:t>12</w:t>
      </w:r>
      <w:r w:rsidR="00A63A71" w:rsidRPr="00C54AFA">
        <w:rPr>
          <w:rFonts w:asciiTheme="majorBidi" w:hAnsiTheme="majorBidi" w:cstheme="majorBidi"/>
        </w:rPr>
        <w:t>日</w:t>
      </w:r>
      <w:r w:rsidRPr="00C54AFA">
        <w:rPr>
          <w:rFonts w:asciiTheme="majorBidi" w:hAnsiTheme="majorBidi" w:cstheme="majorBidi"/>
        </w:rPr>
        <w:t>，</w:t>
      </w:r>
      <w:r w:rsidR="00A63A71" w:rsidRPr="00C54AFA">
        <w:rPr>
          <w:rFonts w:asciiTheme="majorBidi" w:hAnsiTheme="majorBidi" w:cstheme="majorBidi"/>
        </w:rPr>
        <w:t>美利坚合众国政府就一起未决案件</w:t>
      </w:r>
      <w:r w:rsidRPr="00C54AFA">
        <w:rPr>
          <w:rFonts w:asciiTheme="majorBidi" w:hAnsiTheme="majorBidi" w:cstheme="majorBidi"/>
        </w:rPr>
        <w:t>(</w:t>
      </w:r>
      <w:r w:rsidR="00A63A71" w:rsidRPr="00C54AFA">
        <w:rPr>
          <w:rFonts w:asciiTheme="majorBidi" w:hAnsiTheme="majorBidi" w:cstheme="majorBidi"/>
        </w:rPr>
        <w:t>按照工作组工作方法</w:t>
      </w:r>
      <w:r w:rsidRPr="00C54AFA">
        <w:rPr>
          <w:rFonts w:asciiTheme="majorBidi" w:hAnsiTheme="majorBidi" w:cstheme="majorBidi"/>
        </w:rPr>
        <w:t>，</w:t>
      </w:r>
      <w:r w:rsidR="00A63A71" w:rsidRPr="00C54AFA">
        <w:rPr>
          <w:rFonts w:asciiTheme="majorBidi" w:hAnsiTheme="majorBidi" w:cstheme="majorBidi"/>
        </w:rPr>
        <w:t>该国政府得到了该案件副本</w:t>
      </w:r>
      <w:r w:rsidRPr="00C54AFA">
        <w:rPr>
          <w:rFonts w:asciiTheme="majorBidi" w:hAnsiTheme="majorBidi" w:cstheme="majorBidi"/>
        </w:rPr>
        <w:t>)</w:t>
      </w:r>
      <w:r w:rsidR="00A63A71" w:rsidRPr="00C54AFA">
        <w:rPr>
          <w:rFonts w:asciiTheme="majorBidi" w:hAnsiTheme="majorBidi" w:cstheme="majorBidi"/>
        </w:rPr>
        <w:t>提供了资料。</w:t>
      </w:r>
    </w:p>
    <w:p w:rsidR="00BC4B0A" w:rsidRPr="00C54AFA" w:rsidRDefault="00BC4B0A">
      <w:pPr>
        <w:tabs>
          <w:tab w:val="clear" w:pos="431"/>
        </w:tabs>
        <w:overflowPunct/>
        <w:adjustRightInd/>
        <w:snapToGrid/>
        <w:spacing w:line="240" w:lineRule="auto"/>
        <w:jc w:val="left"/>
        <w:rPr>
          <w:rFonts w:asciiTheme="majorBidi" w:hAnsiTheme="majorBidi" w:cstheme="majorBidi"/>
        </w:rPr>
      </w:pPr>
      <w:r w:rsidRPr="00C54AFA">
        <w:rPr>
          <w:rFonts w:asciiTheme="majorBidi" w:hAnsiTheme="majorBidi" w:cstheme="majorBidi"/>
        </w:rPr>
        <w:br w:type="page"/>
      </w:r>
    </w:p>
    <w:p w:rsidR="00B848BB" w:rsidRPr="00B848BB" w:rsidRDefault="00B848BB" w:rsidP="00B848BB">
      <w:pPr>
        <w:keepNext/>
        <w:keepLines/>
        <w:tabs>
          <w:tab w:val="clear" w:pos="431"/>
          <w:tab w:val="right" w:pos="851"/>
        </w:tabs>
        <w:suppressAutoHyphens/>
        <w:overflowPunct/>
        <w:adjustRightInd/>
        <w:snapToGrid/>
        <w:spacing w:before="360" w:after="240" w:line="270" w:lineRule="exact"/>
        <w:ind w:left="1134" w:right="1134" w:hanging="567"/>
        <w:jc w:val="left"/>
        <w:rPr>
          <w:b/>
          <w:snapToGrid/>
          <w:sz w:val="28"/>
          <w:szCs w:val="28"/>
          <w:lang w:val="en-GB" w:eastAsia="en-US"/>
        </w:rPr>
      </w:pPr>
      <w:r w:rsidRPr="00B848BB">
        <w:rPr>
          <w:b/>
          <w:snapToGrid/>
          <w:sz w:val="28"/>
          <w:szCs w:val="28"/>
          <w:lang w:val="en-GB" w:eastAsia="en-US"/>
        </w:rPr>
        <w:lastRenderedPageBreak/>
        <w:t>Annex I</w:t>
      </w:r>
    </w:p>
    <w:p w:rsidR="00B848BB" w:rsidRPr="00B848BB" w:rsidRDefault="00B848BB" w:rsidP="00B848BB">
      <w:pPr>
        <w:keepNext/>
        <w:keepLines/>
        <w:tabs>
          <w:tab w:val="clear" w:pos="431"/>
          <w:tab w:val="right" w:pos="851"/>
        </w:tabs>
        <w:suppressAutoHyphens/>
        <w:overflowPunct/>
        <w:adjustRightInd/>
        <w:snapToGrid/>
        <w:spacing w:before="360" w:after="240" w:line="270" w:lineRule="exact"/>
        <w:ind w:left="7655" w:right="1134" w:hanging="567"/>
        <w:jc w:val="left"/>
        <w:rPr>
          <w:i/>
          <w:snapToGrid/>
          <w:sz w:val="20"/>
          <w:lang w:val="en-GB" w:eastAsia="en-US"/>
        </w:rPr>
      </w:pPr>
      <w:r w:rsidRPr="00B848BB">
        <w:rPr>
          <w:i/>
          <w:snapToGrid/>
          <w:sz w:val="20"/>
          <w:lang w:val="en-GB" w:eastAsia="en-US"/>
        </w:rPr>
        <w:t>[English only]</w:t>
      </w:r>
    </w:p>
    <w:p w:rsidR="00B848BB" w:rsidRPr="00B848BB" w:rsidRDefault="00B848BB" w:rsidP="00B848BB">
      <w:pPr>
        <w:keepNext/>
        <w:keepLines/>
        <w:tabs>
          <w:tab w:val="clear" w:pos="431"/>
          <w:tab w:val="right" w:pos="851"/>
        </w:tabs>
        <w:suppressAutoHyphens/>
        <w:overflowPunct/>
        <w:adjustRightInd/>
        <w:snapToGrid/>
        <w:spacing w:before="360" w:after="240" w:line="270" w:lineRule="exact"/>
        <w:ind w:left="1134" w:right="1134" w:hanging="1134"/>
        <w:jc w:val="left"/>
        <w:rPr>
          <w:b/>
          <w:snapToGrid/>
          <w:sz w:val="24"/>
          <w:lang w:val="en-GB" w:eastAsia="en-US"/>
        </w:rPr>
      </w:pPr>
      <w:r w:rsidRPr="00B848BB">
        <w:rPr>
          <w:b/>
          <w:snapToGrid/>
          <w:sz w:val="24"/>
          <w:lang w:val="en-GB" w:eastAsia="en-US"/>
        </w:rPr>
        <w:tab/>
      </w:r>
      <w:r w:rsidRPr="00B848BB">
        <w:rPr>
          <w:b/>
          <w:snapToGrid/>
          <w:sz w:val="24"/>
          <w:lang w:val="en-GB" w:eastAsia="en-US"/>
        </w:rPr>
        <w:tab/>
        <w:t>Response from the Government of Bahrain to the general allegation from the Working Group on Enforced or Involuntary Disappearances</w:t>
      </w:r>
    </w:p>
    <w:p w:rsidR="00B848BB" w:rsidRPr="00B848BB" w:rsidRDefault="00B848BB" w:rsidP="00B35D45">
      <w:pPr>
        <w:pStyle w:val="H23G"/>
        <w:rPr>
          <w:lang w:val="es-ES" w:eastAsia="en-US"/>
        </w:rPr>
      </w:pPr>
      <w:r w:rsidRPr="00B848BB">
        <w:rPr>
          <w:lang w:val="en-GB" w:eastAsia="en-US"/>
        </w:rPr>
        <w:tab/>
      </w:r>
      <w:r w:rsidRPr="00B848BB">
        <w:rPr>
          <w:lang w:val="en-GB" w:eastAsia="en-US"/>
        </w:rPr>
        <w:tab/>
      </w:r>
      <w:r w:rsidRPr="00B848BB">
        <w:rPr>
          <w:lang w:val="es-ES" w:eastAsia="en-US"/>
        </w:rPr>
        <w:t>1.</w:t>
      </w:r>
      <w:r w:rsidRPr="00B848BB">
        <w:rPr>
          <w:lang w:val="es-ES" w:eastAsia="en-US"/>
        </w:rPr>
        <w:tab/>
        <w:t>Abdulla Jaffar Abdulla (case No. 07201403579)</w:t>
      </w:r>
    </w:p>
    <w:p w:rsidR="00B848BB" w:rsidRPr="00B848BB" w:rsidRDefault="00B848BB" w:rsidP="00B35D45">
      <w:pPr>
        <w:pStyle w:val="SingleTxtGC"/>
        <w:spacing w:after="140" w:line="240" w:lineRule="exact"/>
        <w:rPr>
          <w:snapToGrid/>
          <w:lang w:eastAsia="en-US"/>
        </w:rPr>
      </w:pPr>
      <w:r w:rsidRPr="00B848BB">
        <w:rPr>
          <w:snapToGrid/>
          <w:sz w:val="20"/>
          <w:lang w:val="es-ES" w:eastAsia="en-US"/>
        </w:rPr>
        <w:tab/>
      </w:r>
      <w:r w:rsidRPr="00B848BB">
        <w:rPr>
          <w:snapToGrid/>
          <w:sz w:val="20"/>
          <w:lang w:eastAsia="en-US"/>
        </w:rPr>
        <w:t>He was arrested on 11 March 2014 in flagrante delicto while participating with others in acts of disorderly conduct and vandalism in the area of Nuwaidrat. He was interrogated by the Department of Public Prosecution on the day of his arrest in the presence of his lawyer, Ms. Fatima Al-Qasas. The Department charged him with participation in an unlawful public gathering, disruption of public order, wilful destruction of property and possession of incendiary devices, and ordered his remand in custody pending further investigation</w:t>
      </w:r>
      <w:r w:rsidRPr="00B848BB">
        <w:rPr>
          <w:snapToGrid/>
          <w:lang w:eastAsia="en-US"/>
        </w:rPr>
        <w:t>.</w:t>
      </w:r>
    </w:p>
    <w:p w:rsidR="00B848BB" w:rsidRPr="00B848BB" w:rsidRDefault="00B848BB" w:rsidP="00B35D45">
      <w:pPr>
        <w:pStyle w:val="SingleTxtGC"/>
        <w:spacing w:after="140" w:line="240" w:lineRule="exact"/>
        <w:rPr>
          <w:snapToGrid/>
          <w:sz w:val="20"/>
          <w:lang w:val="x-none" w:eastAsia="en-US"/>
        </w:rPr>
      </w:pPr>
      <w:r w:rsidRPr="00B848BB">
        <w:rPr>
          <w:snapToGrid/>
          <w:sz w:val="20"/>
          <w:lang w:val="x-none" w:eastAsia="en-US"/>
        </w:rPr>
        <w:tab/>
        <w:t>The case was referred to the Lower Criminal Court where the defendant appeared accompanied by his lawyer. On 23 June 2014, the Court decided to release the defendant on bail of 100 Bahraini dinars (BD). The case is still before the Court and is due to be heard on 7 January 2015.</w:t>
      </w:r>
    </w:p>
    <w:p w:rsidR="00B848BB" w:rsidRPr="00B848BB" w:rsidRDefault="00B848BB" w:rsidP="00B35D45">
      <w:pPr>
        <w:pStyle w:val="H23G"/>
        <w:rPr>
          <w:lang w:val="en-GB" w:eastAsia="en-US"/>
        </w:rPr>
      </w:pPr>
      <w:r w:rsidRPr="00B848BB">
        <w:rPr>
          <w:lang w:val="en-GB" w:eastAsia="en-US"/>
        </w:rPr>
        <w:tab/>
      </w:r>
      <w:r w:rsidRPr="00B848BB">
        <w:rPr>
          <w:lang w:val="en-GB" w:eastAsia="en-US"/>
        </w:rPr>
        <w:tab/>
        <w:t>2.</w:t>
      </w:r>
      <w:r w:rsidRPr="00B848BB">
        <w:rPr>
          <w:lang w:val="en-GB" w:eastAsia="en-US"/>
        </w:rPr>
        <w:tab/>
        <w:t xml:space="preserve">Redha Mirza Ahmed Mushaima and Sami Mirza Ahmed </w:t>
      </w:r>
      <w:proofErr w:type="gramStart"/>
      <w:r w:rsidRPr="00B848BB">
        <w:rPr>
          <w:lang w:val="en-GB" w:eastAsia="en-US"/>
        </w:rPr>
        <w:t>Mushaima</w:t>
      </w:r>
      <w:proofErr w:type="gramEnd"/>
      <w:r w:rsidRPr="00B848BB">
        <w:rPr>
          <w:lang w:val="en-GB" w:eastAsia="en-US"/>
        </w:rPr>
        <w:br/>
        <w:t>(case No. 07201403620)</w:t>
      </w:r>
    </w:p>
    <w:p w:rsidR="00B848BB" w:rsidRPr="00B848BB" w:rsidRDefault="00B848BB" w:rsidP="00B35D45">
      <w:pPr>
        <w:pStyle w:val="SingleTxtGC"/>
        <w:spacing w:after="140" w:line="240" w:lineRule="exact"/>
        <w:rPr>
          <w:snapToGrid/>
          <w:sz w:val="20"/>
          <w:lang w:val="x-none" w:eastAsia="en-US"/>
        </w:rPr>
      </w:pPr>
      <w:r w:rsidRPr="00B848BB">
        <w:rPr>
          <w:snapToGrid/>
          <w:sz w:val="20"/>
          <w:lang w:val="x-none" w:eastAsia="en-US"/>
        </w:rPr>
        <w:tab/>
        <w:t xml:space="preserve">The two were arrested on 6 March 2014 pursuant to a warrant issued by the Department of Public Prosecution. Evidence indicated that they and others had planted and detonated a bomb which killed a police officer and two patrolmen and injured others. They were </w:t>
      </w:r>
      <w:r w:rsidRPr="00B848BB">
        <w:rPr>
          <w:snapToGrid/>
          <w:sz w:val="20"/>
          <w:lang w:eastAsia="en-US"/>
        </w:rPr>
        <w:t>interrogated</w:t>
      </w:r>
      <w:r w:rsidRPr="00B848BB">
        <w:rPr>
          <w:snapToGrid/>
          <w:sz w:val="20"/>
          <w:lang w:val="x-none" w:eastAsia="en-US"/>
        </w:rPr>
        <w:t xml:space="preserve"> by the Department of Public Prosecution on the day of their arrest. The Department charged them with joining a terrorist organization in full knowledge of its objectives, participating with others in the premeditated homicide of police officers and the attempted homicide of others, carrying out a terrorist bombing, procuring, possessing and manufacturing explosive devices in order to disrupt public order and endanger lives and property, and ordered their remand in custody pending further investigation.</w:t>
      </w:r>
    </w:p>
    <w:p w:rsidR="00B848BB" w:rsidRPr="00B848BB" w:rsidRDefault="00B848BB" w:rsidP="00B35D45">
      <w:pPr>
        <w:pStyle w:val="SingleTxtGC"/>
        <w:spacing w:after="140" w:line="240" w:lineRule="exact"/>
        <w:rPr>
          <w:snapToGrid/>
          <w:sz w:val="20"/>
          <w:lang w:val="x-none" w:eastAsia="en-US"/>
        </w:rPr>
      </w:pPr>
      <w:r w:rsidRPr="00B848BB">
        <w:rPr>
          <w:snapToGrid/>
          <w:sz w:val="20"/>
          <w:lang w:val="x-none" w:eastAsia="en-US"/>
        </w:rPr>
        <w:tab/>
        <w:t xml:space="preserve">The accused, along with others, were sent for trial and appeared in court accompanied by their </w:t>
      </w:r>
      <w:r w:rsidRPr="00B848BB">
        <w:rPr>
          <w:snapToGrid/>
          <w:sz w:val="20"/>
          <w:lang w:eastAsia="en-US"/>
        </w:rPr>
        <w:t>lawyer</w:t>
      </w:r>
      <w:r w:rsidRPr="00B848BB">
        <w:rPr>
          <w:snapToGrid/>
          <w:sz w:val="20"/>
          <w:lang w:val="x-none" w:eastAsia="en-US"/>
        </w:rPr>
        <w:t>, Mr. Abdel Jaleel Alaradi. The case is still before the court and its hearing has been adjourned until 17 November 2014.</w:t>
      </w:r>
    </w:p>
    <w:p w:rsidR="00B848BB" w:rsidRPr="00B848BB" w:rsidRDefault="00B848BB" w:rsidP="00B35D45">
      <w:pPr>
        <w:pStyle w:val="H23G"/>
        <w:rPr>
          <w:lang w:val="en-GB" w:eastAsia="en-US"/>
        </w:rPr>
      </w:pPr>
      <w:r w:rsidRPr="00B848BB">
        <w:rPr>
          <w:lang w:val="en-GB" w:eastAsia="en-US"/>
        </w:rPr>
        <w:tab/>
      </w:r>
      <w:r w:rsidRPr="00B848BB">
        <w:rPr>
          <w:lang w:val="en-GB" w:eastAsia="en-US"/>
        </w:rPr>
        <w:tab/>
        <w:t>3.</w:t>
      </w:r>
      <w:r w:rsidRPr="00B848BB">
        <w:rPr>
          <w:lang w:val="en-GB" w:eastAsia="en-US"/>
        </w:rPr>
        <w:tab/>
        <w:t>Ahmed Mohamed Saleh al-Arab (case No. 07201407880)</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ab/>
        <w:t xml:space="preserve">He was arrested on 9 January 2014 after inquiries revealed his involvement with others in the commission of terrorist acts. He was brought before the Department of Public </w:t>
      </w:r>
      <w:r w:rsidRPr="00B848BB">
        <w:rPr>
          <w:snapToGrid/>
          <w:sz w:val="20"/>
          <w:lang w:eastAsia="en-US"/>
        </w:rPr>
        <w:t>Prosecution</w:t>
      </w:r>
      <w:r w:rsidRPr="00B848BB">
        <w:rPr>
          <w:snapToGrid/>
          <w:sz w:val="20"/>
          <w:lang w:val="x-none" w:eastAsia="en-US"/>
        </w:rPr>
        <w:t xml:space="preserve"> where he was interrogated on 12 January 2014 and charged with a number of offences including: membership of a terrorist group, procurement and possession of arms and ammunition, manufacturing and possessing explosive devices without a permit in order to perpetrate terrorist acts, importing arms without a permit and helping wanted persons to escape. The Department ordered his remand in custody pending further investigation and the case was referred to the High Criminal Court where its hearing was adjourned until 13 November 2014.</w:t>
      </w:r>
    </w:p>
    <w:p w:rsidR="00B848BB" w:rsidRPr="00B848BB" w:rsidRDefault="00B848BB" w:rsidP="00B35D45">
      <w:pPr>
        <w:pStyle w:val="H23G"/>
        <w:rPr>
          <w:lang w:val="en-GB" w:eastAsia="en-US"/>
        </w:rPr>
      </w:pPr>
      <w:r w:rsidRPr="00B848BB">
        <w:rPr>
          <w:lang w:val="en-GB" w:eastAsia="en-US"/>
        </w:rPr>
        <w:lastRenderedPageBreak/>
        <w:tab/>
      </w:r>
      <w:r w:rsidRPr="00B848BB">
        <w:rPr>
          <w:lang w:val="en-GB" w:eastAsia="en-US"/>
        </w:rPr>
        <w:tab/>
        <w:t>4.</w:t>
      </w:r>
      <w:r w:rsidRPr="00B848BB">
        <w:rPr>
          <w:lang w:val="en-GB" w:eastAsia="en-US"/>
        </w:rPr>
        <w:tab/>
        <w:t>Muneer Sayed Habib Saeed Nasir (case No. 07201309245)</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ab/>
        <w:t xml:space="preserve">He was arrested on 30 May 2014 pursuant to a warrant issued by the Department of Public </w:t>
      </w:r>
      <w:r w:rsidRPr="00B848BB">
        <w:rPr>
          <w:snapToGrid/>
          <w:sz w:val="20"/>
          <w:lang w:eastAsia="en-US"/>
        </w:rPr>
        <w:t>Prosecution</w:t>
      </w:r>
      <w:r w:rsidRPr="00B848BB">
        <w:rPr>
          <w:snapToGrid/>
          <w:sz w:val="20"/>
          <w:lang w:val="x-none" w:eastAsia="en-US"/>
        </w:rPr>
        <w:t xml:space="preserve"> after evidence indicated that he and others had formed a terrorist organization. He was interrogated by the Department, which ordered his remand in custody pending further investigation.</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ab/>
        <w:t xml:space="preserve">He was sent for trial before the competent court, which sentenced him to 10 years’ </w:t>
      </w:r>
      <w:r w:rsidRPr="00B848BB">
        <w:rPr>
          <w:snapToGrid/>
          <w:sz w:val="20"/>
          <w:lang w:eastAsia="en-US"/>
        </w:rPr>
        <w:t>imprisonment</w:t>
      </w:r>
      <w:r w:rsidRPr="00B848BB">
        <w:rPr>
          <w:snapToGrid/>
          <w:sz w:val="20"/>
          <w:lang w:val="x-none" w:eastAsia="en-US"/>
        </w:rPr>
        <w:t>. The defendant lodged an appeal against the sentence which is due to be heard on 23 November 2014.</w:t>
      </w:r>
    </w:p>
    <w:p w:rsidR="00B848BB" w:rsidRPr="00B848BB" w:rsidRDefault="00B848BB" w:rsidP="00B35D45">
      <w:pPr>
        <w:pStyle w:val="H23G"/>
        <w:rPr>
          <w:lang w:val="en-GB" w:eastAsia="en-US"/>
        </w:rPr>
      </w:pPr>
      <w:r w:rsidRPr="00B848BB">
        <w:rPr>
          <w:lang w:val="en-GB" w:eastAsia="en-US"/>
        </w:rPr>
        <w:tab/>
      </w:r>
      <w:r w:rsidRPr="00B848BB">
        <w:rPr>
          <w:lang w:val="en-GB" w:eastAsia="en-US"/>
        </w:rPr>
        <w:tab/>
        <w:t>5.</w:t>
      </w:r>
      <w:r w:rsidRPr="00B848BB">
        <w:rPr>
          <w:lang w:val="en-GB" w:eastAsia="en-US"/>
        </w:rPr>
        <w:tab/>
        <w:t>Ebrahim Ahmed Redha Al-Meqdad and Jehad Sadeq Abdullah (case No. 2012/104566)</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ab/>
        <w:t>Ebrahim Al-Meqdad was arrested on 23 July 2012 and Jehad Sadeq on 25 July 2012 pursuant to a warrant issued by the Department of Public Prosecution.</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ab/>
        <w:t>The Department charged them and others with the attempted premeditated homicide, by lying in wait, of police officers in an incident that took place on 23 July 2012. According to the charges, they deliberately set fire to police vehicles with the intention of killing the occupants. Pursuing their plan, they then ambushed two on-duty police officers, throwing incendiary devices at them and at an armoured police vehicle in which they had taken refuge. Their intention was to burn the vehicle and its occupants and only the intervention of a police backup unit prevented them from perpetrating that crime. At the same time, these accused and other unknown persons used force against police officers with the intention of wrongfully preventing them from performing their duty. They started fires on the public thoroughfare, thereby endangering persons and property, and procured and possessed incendiary devices (Molotov cocktails) with the intention of using them to endanger life and public and private property. They also participated in an unlawful public gathering with a view to committing unlawful acts. All these acts were perpetrated in pursuit of a terrorist objective and a criminal conspiracy to disrupt public order and endanger lives and property.</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ab/>
        <w:t xml:space="preserve">The two accused were interrogated by the Department of Public Prosecution on 25 July 2012. The </w:t>
      </w:r>
      <w:r w:rsidRPr="00B848BB">
        <w:rPr>
          <w:snapToGrid/>
          <w:sz w:val="20"/>
          <w:lang w:eastAsia="en-US"/>
        </w:rPr>
        <w:t>case</w:t>
      </w:r>
      <w:r w:rsidRPr="00B848BB">
        <w:rPr>
          <w:snapToGrid/>
          <w:sz w:val="20"/>
          <w:lang w:val="x-none" w:eastAsia="en-US"/>
        </w:rPr>
        <w:t xml:space="preserve"> was sent for trial before the High Criminal Court which, on 4 April 2013 in the presence of the accused, sentenced them to 10 years’ imprisonment on the charges brought against them. They and other convicted persons lodged appeals against their sentences. The Court of Appeal considered the appeals and, on 29 September 2013, ruled that they were admissible in form but not in substance and upheld the original sentences. The two convicted persons then appealed against that ruling before the Court of Cassation which, on 20 October 2014, ruled that their appeals were admissible in form but not in substance.</w:t>
      </w:r>
    </w:p>
    <w:p w:rsidR="00B848BB" w:rsidRPr="00B848BB" w:rsidRDefault="00B848BB" w:rsidP="00B35D45">
      <w:pPr>
        <w:pStyle w:val="H23G"/>
        <w:rPr>
          <w:lang w:val="en-GB" w:eastAsia="en-US"/>
        </w:rPr>
      </w:pPr>
      <w:r w:rsidRPr="00B848BB">
        <w:rPr>
          <w:lang w:val="en-GB" w:eastAsia="en-US"/>
        </w:rPr>
        <w:tab/>
      </w:r>
      <w:r w:rsidRPr="00B848BB">
        <w:rPr>
          <w:lang w:val="en-GB" w:eastAsia="en-US"/>
        </w:rPr>
        <w:tab/>
        <w:t>6.</w:t>
      </w:r>
      <w:r w:rsidRPr="00B848BB">
        <w:rPr>
          <w:lang w:val="en-GB" w:eastAsia="en-US"/>
        </w:rPr>
        <w:tab/>
        <w:t>Maher Abbas Ahmed Youssef Al-Khabbaz (case No. 201392377)</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ab/>
        <w:t xml:space="preserve">He was arrested on 19 February 2013 pursuant to a warrant issued by the Department of Public </w:t>
      </w:r>
      <w:r w:rsidRPr="00B848BB">
        <w:rPr>
          <w:snapToGrid/>
          <w:sz w:val="20"/>
          <w:lang w:eastAsia="en-US"/>
        </w:rPr>
        <w:t>Prosecution</w:t>
      </w:r>
      <w:r w:rsidRPr="00B848BB">
        <w:rPr>
          <w:snapToGrid/>
          <w:sz w:val="20"/>
          <w:lang w:val="x-none" w:eastAsia="en-US"/>
        </w:rPr>
        <w:t xml:space="preserve"> after evidence indicated that he and others were involved in an attack on a police post in which one of its personnel was killed. On 21 February 2013, he was interrogated by the Department of Public Prosecution, which charged him with the premeditated homicide and attempted homicide of police officers and with the procurement and possession of incendiary devices and a shotgun without a permit and for the purpose of achieving a terrorist objective, and ordered his remand in custody pending further investigation.</w:t>
      </w:r>
    </w:p>
    <w:p w:rsidR="00B848BB" w:rsidRPr="00B848BB" w:rsidRDefault="00B848BB" w:rsidP="00B848BB">
      <w:pPr>
        <w:pStyle w:val="SingleTxtGC"/>
        <w:spacing w:line="240" w:lineRule="exact"/>
        <w:rPr>
          <w:snapToGrid/>
          <w:sz w:val="20"/>
          <w:rtl/>
          <w:lang w:val="en-GB" w:eastAsia="en-US"/>
        </w:rPr>
      </w:pPr>
      <w:r w:rsidRPr="00B848BB">
        <w:rPr>
          <w:snapToGrid/>
          <w:sz w:val="20"/>
          <w:lang w:val="x-none" w:eastAsia="en-US"/>
        </w:rPr>
        <w:tab/>
        <w:t xml:space="preserve">The case was heard before the High Criminal Court which, on 19 February 2014, sentenced the defendant to death. He appealed against the sentence but the appeal was </w:t>
      </w:r>
      <w:r w:rsidRPr="00B848BB">
        <w:rPr>
          <w:snapToGrid/>
          <w:sz w:val="20"/>
          <w:lang w:val="x-none" w:eastAsia="en-US"/>
        </w:rPr>
        <w:lastRenderedPageBreak/>
        <w:t>rejected by the High Court of Appeal, which upheld the original sentence. A further appeal was lodged before the Court of Cassation but no ruling has yet been issued thereon.</w:t>
      </w:r>
    </w:p>
    <w:p w:rsidR="00B848BB" w:rsidRPr="00B848BB" w:rsidRDefault="00B848BB" w:rsidP="00B35D45">
      <w:pPr>
        <w:pStyle w:val="H23G"/>
        <w:rPr>
          <w:lang w:val="en-GB" w:eastAsia="en-US"/>
        </w:rPr>
      </w:pPr>
      <w:r w:rsidRPr="00B848BB">
        <w:rPr>
          <w:lang w:val="en-GB" w:eastAsia="en-US"/>
        </w:rPr>
        <w:tab/>
      </w:r>
      <w:r w:rsidRPr="00B848BB">
        <w:rPr>
          <w:lang w:val="en-GB" w:eastAsia="en-US"/>
        </w:rPr>
        <w:tab/>
        <w:t>7.</w:t>
      </w:r>
      <w:r w:rsidRPr="00B848BB">
        <w:rPr>
          <w:lang w:val="en-GB" w:eastAsia="en-US"/>
        </w:rPr>
        <w:tab/>
        <w:t>Taleb Ali Mohammed (case No. 07201300177)</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ab/>
        <w:t xml:space="preserve">He was arrested on 14 November 2012 on charges of establishing, in association with others, a terrorist group and procuring and possessing explosives without a permit in order to achieve a terrorist objective. The case was referred to the High Criminal Court, which sentenced </w:t>
      </w:r>
      <w:r w:rsidRPr="00B848BB">
        <w:rPr>
          <w:snapToGrid/>
          <w:sz w:val="20"/>
          <w:lang w:eastAsia="en-US"/>
        </w:rPr>
        <w:t>him</w:t>
      </w:r>
      <w:r w:rsidRPr="00B848BB">
        <w:rPr>
          <w:snapToGrid/>
          <w:sz w:val="20"/>
          <w:lang w:val="x-none" w:eastAsia="en-US"/>
        </w:rPr>
        <w:t xml:space="preserve"> to 15 years’ imprisonment. He lodged an appeal before the High Court of Appeal but it was rejected. He has also been convicted in other cases.</w:t>
      </w:r>
    </w:p>
    <w:p w:rsidR="00B848BB" w:rsidRPr="00B848BB" w:rsidRDefault="00B848BB" w:rsidP="00B35D45">
      <w:pPr>
        <w:pStyle w:val="H23G"/>
        <w:rPr>
          <w:lang w:val="en-GB" w:eastAsia="en-US"/>
        </w:rPr>
      </w:pPr>
      <w:r w:rsidRPr="00B848BB">
        <w:rPr>
          <w:lang w:val="en-GB" w:eastAsia="en-US"/>
        </w:rPr>
        <w:tab/>
      </w:r>
      <w:r w:rsidRPr="00B848BB">
        <w:rPr>
          <w:lang w:val="en-GB" w:eastAsia="en-US"/>
        </w:rPr>
        <w:tab/>
        <w:t>8.</w:t>
      </w:r>
      <w:r w:rsidRPr="00B848BB">
        <w:rPr>
          <w:lang w:val="en-GB" w:eastAsia="en-US"/>
        </w:rPr>
        <w:tab/>
        <w:t>Ebrahim Abdulla al-Sharqui (case No. 07201300177)</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ab/>
        <w:t>He was charged in the aforementioned case with membership of a terrorist group and procurement and possession of explosives without a permit in order to achieve a terrorist objective. The case was referred to the High Criminal Court, which sentenced him to 10 years’ imprisonment. He lodged an appeal before the High Court of Appeal but it was rejected. He has also been convicted in other cases.</w:t>
      </w:r>
    </w:p>
    <w:p w:rsidR="00B848BB" w:rsidRPr="00B848BB" w:rsidRDefault="00B848BB" w:rsidP="00B35D45">
      <w:pPr>
        <w:pStyle w:val="H23G"/>
        <w:rPr>
          <w:lang w:val="en-GB" w:eastAsia="en-US"/>
        </w:rPr>
      </w:pPr>
      <w:r w:rsidRPr="00B848BB">
        <w:rPr>
          <w:lang w:val="en-GB" w:eastAsia="en-US"/>
        </w:rPr>
        <w:tab/>
      </w:r>
      <w:r w:rsidRPr="00B848BB">
        <w:rPr>
          <w:lang w:val="en-GB" w:eastAsia="en-US"/>
        </w:rPr>
        <w:tab/>
        <w:t>9.</w:t>
      </w:r>
      <w:r w:rsidRPr="00B848BB">
        <w:rPr>
          <w:lang w:val="en-GB" w:eastAsia="en-US"/>
        </w:rPr>
        <w:tab/>
        <w:t>Sadeq Jaffar Ali Al-Asfoor (case No. 07201407880)</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ab/>
        <w:t xml:space="preserve">He was arrested on 8 January 2014 during an ambush set up by the police to intercept a delivery of arms and explosives. He was interrogated by the Department of Public </w:t>
      </w:r>
      <w:r w:rsidRPr="00B848BB">
        <w:rPr>
          <w:snapToGrid/>
          <w:sz w:val="20"/>
          <w:lang w:eastAsia="en-US"/>
        </w:rPr>
        <w:t>Prosecution</w:t>
      </w:r>
      <w:r w:rsidRPr="00B848BB">
        <w:rPr>
          <w:snapToGrid/>
          <w:sz w:val="20"/>
          <w:lang w:val="x-none" w:eastAsia="en-US"/>
        </w:rPr>
        <w:t xml:space="preserve"> on 14 January 2014. The interrogation took place in hospital because he had been injured by gunfire while resisting arrest during the police operation.</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ab/>
        <w:t xml:space="preserve">He was </w:t>
      </w:r>
      <w:r w:rsidRPr="00B848BB">
        <w:rPr>
          <w:snapToGrid/>
          <w:sz w:val="20"/>
          <w:lang w:eastAsia="en-US"/>
        </w:rPr>
        <w:t>charged</w:t>
      </w:r>
      <w:r w:rsidRPr="00B848BB">
        <w:rPr>
          <w:snapToGrid/>
          <w:sz w:val="20"/>
          <w:lang w:val="x-none" w:eastAsia="en-US"/>
        </w:rPr>
        <w:t xml:space="preserve"> with possessing firearms. The Department ordered that his remand in custody pending further investigation and his examination by a forensic physician.</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ab/>
        <w:t xml:space="preserve">The Department of Public Prosecution also notified the special investigation unit, which is </w:t>
      </w:r>
      <w:r w:rsidRPr="00B848BB">
        <w:rPr>
          <w:snapToGrid/>
          <w:sz w:val="20"/>
          <w:lang w:eastAsia="en-US"/>
        </w:rPr>
        <w:t>conducting</w:t>
      </w:r>
      <w:r w:rsidRPr="00B848BB">
        <w:rPr>
          <w:snapToGrid/>
          <w:sz w:val="20"/>
          <w:lang w:val="x-none" w:eastAsia="en-US"/>
        </w:rPr>
        <w:t xml:space="preserve"> thorough investigations into the circumstances of the defendant’s gunshot injuries in order to determine responsibilities.</w:t>
      </w:r>
    </w:p>
    <w:p w:rsidR="00B848BB" w:rsidRPr="00B848BB" w:rsidRDefault="00B848BB" w:rsidP="00B35D45">
      <w:pPr>
        <w:pStyle w:val="H23G"/>
        <w:rPr>
          <w:lang w:val="en-GB" w:eastAsia="en-US"/>
        </w:rPr>
      </w:pPr>
      <w:r w:rsidRPr="00B848BB">
        <w:rPr>
          <w:lang w:val="en-GB" w:eastAsia="en-US"/>
        </w:rPr>
        <w:tab/>
      </w:r>
      <w:r w:rsidRPr="00B848BB">
        <w:rPr>
          <w:lang w:val="en-GB" w:eastAsia="en-US"/>
        </w:rPr>
        <w:tab/>
        <w:t>10.</w:t>
      </w:r>
      <w:r w:rsidRPr="00B848BB">
        <w:rPr>
          <w:lang w:val="en-GB" w:eastAsia="en-US"/>
        </w:rPr>
        <w:tab/>
        <w:t>Ahmed Abdulla Ebrahim (case No. 07201307137)</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ab/>
        <w:t xml:space="preserve">The Department of Public Prosecution charged him and others with the procurement and possession of incendiary devices (Molotov cocktails) in order to use them to endanger life and property </w:t>
      </w:r>
      <w:r w:rsidRPr="00B848BB">
        <w:rPr>
          <w:snapToGrid/>
          <w:sz w:val="20"/>
          <w:lang w:eastAsia="en-US"/>
        </w:rPr>
        <w:t>and</w:t>
      </w:r>
      <w:r w:rsidRPr="00B848BB">
        <w:rPr>
          <w:snapToGrid/>
          <w:sz w:val="20"/>
          <w:lang w:val="x-none" w:eastAsia="en-US"/>
        </w:rPr>
        <w:t xml:space="preserve"> with participation in an unauthorized public gathering with a view to committing unlawful acts. He was sent for trial before the High Criminal Court, which sentenced him to 10 years’ imprisonment. He appealed against the sentence and his appeal is still being examined before the Court of Appeal. He has also been convicted in other cases.</w:t>
      </w:r>
    </w:p>
    <w:p w:rsidR="00B848BB" w:rsidRPr="00B848BB" w:rsidRDefault="00B848BB" w:rsidP="00B35D45">
      <w:pPr>
        <w:pStyle w:val="H23G"/>
        <w:rPr>
          <w:lang w:val="en-GB" w:eastAsia="en-US"/>
        </w:rPr>
      </w:pPr>
      <w:r w:rsidRPr="00B848BB">
        <w:rPr>
          <w:lang w:val="en-GB" w:eastAsia="en-US"/>
        </w:rPr>
        <w:tab/>
      </w:r>
      <w:r w:rsidRPr="00B848BB">
        <w:rPr>
          <w:lang w:val="en-GB" w:eastAsia="en-US"/>
        </w:rPr>
        <w:tab/>
        <w:t>11.</w:t>
      </w:r>
      <w:r w:rsidRPr="00B848BB">
        <w:rPr>
          <w:lang w:val="en-GB" w:eastAsia="en-US"/>
        </w:rPr>
        <w:tab/>
        <w:t>Salah Abbas Habib</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ab/>
        <w:t xml:space="preserve">On 21 April 2012, the body of Salah Abbas Habib, showing signs of shotgun wounds, was found on the roof of a dwelling in the Shakhoura neighbourhood. The special investigation </w:t>
      </w:r>
      <w:r w:rsidRPr="00B848BB">
        <w:rPr>
          <w:snapToGrid/>
          <w:sz w:val="20"/>
          <w:lang w:eastAsia="en-US"/>
        </w:rPr>
        <w:t>unit</w:t>
      </w:r>
      <w:r w:rsidRPr="00B848BB">
        <w:rPr>
          <w:snapToGrid/>
          <w:sz w:val="20"/>
          <w:lang w:val="x-none" w:eastAsia="en-US"/>
        </w:rPr>
        <w:t xml:space="preserve"> promptly initiated inquiries into the incident and a police officer was eventually sent for trial on charges of intentional homicide. The officer was acquitted by the criminal court of first instance. The special investigation unit lodged an appeal against the sentence but the appeal was rejected by the Court of Appeal, which upheld the original sentence.</w:t>
      </w:r>
    </w:p>
    <w:p w:rsidR="00B848BB" w:rsidRPr="00B848BB" w:rsidRDefault="00B848BB" w:rsidP="00B35D45">
      <w:pPr>
        <w:pStyle w:val="H23G"/>
        <w:rPr>
          <w:lang w:val="en-GB" w:eastAsia="en-US"/>
        </w:rPr>
      </w:pPr>
      <w:r w:rsidRPr="00B848BB">
        <w:rPr>
          <w:lang w:val="en-GB" w:eastAsia="en-US"/>
        </w:rPr>
        <w:tab/>
      </w:r>
      <w:r w:rsidRPr="00B848BB">
        <w:rPr>
          <w:lang w:val="en-GB" w:eastAsia="en-US"/>
        </w:rPr>
        <w:tab/>
        <w:t>12.</w:t>
      </w:r>
      <w:r w:rsidRPr="00B848BB">
        <w:rPr>
          <w:lang w:val="en-GB" w:eastAsia="en-US"/>
        </w:rPr>
        <w:tab/>
        <w:t>Jassim Al-Banna, Yusuf Al-Nashmi and Mohamed Ahmed</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ab/>
        <w:t xml:space="preserve">Additional </w:t>
      </w:r>
      <w:r w:rsidRPr="00B848BB">
        <w:rPr>
          <w:snapToGrid/>
          <w:sz w:val="20"/>
          <w:lang w:eastAsia="en-US"/>
        </w:rPr>
        <w:t>personal</w:t>
      </w:r>
      <w:r w:rsidRPr="00B848BB">
        <w:rPr>
          <w:snapToGrid/>
          <w:sz w:val="20"/>
          <w:lang w:val="x-none" w:eastAsia="en-US"/>
        </w:rPr>
        <w:t xml:space="preserve"> information is required in order to identify these individuals.</w:t>
      </w:r>
    </w:p>
    <w:p w:rsidR="00B848BB" w:rsidRPr="00B848BB" w:rsidRDefault="00B848BB" w:rsidP="00B848BB">
      <w:pPr>
        <w:keepNext/>
        <w:keepLines/>
        <w:tabs>
          <w:tab w:val="clear" w:pos="431"/>
          <w:tab w:val="right" w:pos="851"/>
        </w:tabs>
        <w:suppressAutoHyphens/>
        <w:overflowPunct/>
        <w:adjustRightInd/>
        <w:snapToGrid/>
        <w:spacing w:before="360" w:after="240" w:line="270" w:lineRule="exact"/>
        <w:ind w:left="1134" w:right="1134" w:hanging="567"/>
        <w:jc w:val="left"/>
        <w:rPr>
          <w:b/>
          <w:snapToGrid/>
          <w:sz w:val="28"/>
          <w:szCs w:val="28"/>
          <w:lang w:val="es-ES" w:eastAsia="en-US"/>
        </w:rPr>
      </w:pPr>
      <w:r w:rsidRPr="00001CE2">
        <w:rPr>
          <w:snapToGrid/>
          <w:sz w:val="24"/>
          <w:u w:val="single"/>
          <w:lang w:val="es-ES" w:eastAsia="en-US"/>
        </w:rPr>
        <w:br w:type="page"/>
      </w:r>
      <w:r w:rsidRPr="00B848BB">
        <w:rPr>
          <w:b/>
          <w:snapToGrid/>
          <w:sz w:val="28"/>
          <w:szCs w:val="28"/>
          <w:lang w:val="es-ES" w:eastAsia="en-US"/>
        </w:rPr>
        <w:lastRenderedPageBreak/>
        <w:t>Annex II</w:t>
      </w:r>
    </w:p>
    <w:p w:rsidR="00B848BB" w:rsidRPr="00B848BB" w:rsidRDefault="00B848BB" w:rsidP="00B848BB">
      <w:pPr>
        <w:keepNext/>
        <w:keepLines/>
        <w:tabs>
          <w:tab w:val="clear" w:pos="431"/>
          <w:tab w:val="right" w:pos="851"/>
          <w:tab w:val="left" w:pos="8505"/>
        </w:tabs>
        <w:suppressAutoHyphens/>
        <w:overflowPunct/>
        <w:adjustRightInd/>
        <w:snapToGrid/>
        <w:spacing w:before="360" w:after="240" w:line="270" w:lineRule="exact"/>
        <w:ind w:left="6946" w:right="1134" w:hanging="567"/>
        <w:jc w:val="right"/>
        <w:rPr>
          <w:i/>
          <w:snapToGrid/>
          <w:sz w:val="20"/>
          <w:lang w:val="es-ES" w:eastAsia="en-US"/>
        </w:rPr>
      </w:pPr>
      <w:r w:rsidRPr="00B848BB">
        <w:rPr>
          <w:i/>
          <w:snapToGrid/>
          <w:sz w:val="20"/>
          <w:lang w:val="es-ES" w:eastAsia="en-US"/>
        </w:rPr>
        <w:tab/>
        <w:t>[Spanish only]</w:t>
      </w:r>
    </w:p>
    <w:p w:rsidR="00B848BB" w:rsidRPr="00B848BB" w:rsidRDefault="00B848BB" w:rsidP="00B848BB">
      <w:pPr>
        <w:keepNext/>
        <w:keepLines/>
        <w:tabs>
          <w:tab w:val="clear" w:pos="431"/>
          <w:tab w:val="right" w:pos="851"/>
        </w:tabs>
        <w:suppressAutoHyphens/>
        <w:overflowPunct/>
        <w:adjustRightInd/>
        <w:snapToGrid/>
        <w:spacing w:before="360" w:after="240" w:line="300" w:lineRule="exact"/>
        <w:ind w:left="1134" w:right="1134" w:hanging="1134"/>
        <w:jc w:val="left"/>
        <w:rPr>
          <w:b/>
          <w:snapToGrid/>
          <w:sz w:val="28"/>
          <w:lang w:val="x-none" w:eastAsia="en-US"/>
        </w:rPr>
      </w:pPr>
      <w:r w:rsidRPr="00B848BB">
        <w:rPr>
          <w:b/>
          <w:snapToGrid/>
          <w:sz w:val="28"/>
          <w:lang w:val="es-ES" w:eastAsia="en-US"/>
        </w:rPr>
        <w:tab/>
      </w:r>
      <w:r w:rsidRPr="00B848BB">
        <w:rPr>
          <w:b/>
          <w:snapToGrid/>
          <w:sz w:val="28"/>
          <w:lang w:val="es-ES" w:eastAsia="en-US"/>
        </w:rPr>
        <w:tab/>
      </w:r>
      <w:r w:rsidRPr="00B848BB">
        <w:rPr>
          <w:b/>
          <w:snapToGrid/>
          <w:sz w:val="28"/>
          <w:lang w:val="x-none" w:eastAsia="en-US"/>
        </w:rPr>
        <w:t>Contestación del Estado de Guatemala a la Subdivisión de Procedimientos Especiales de la Oficina del Alto Comisionado de Naciones Unidas para los Derechos Humanos, Ginebra</w:t>
      </w:r>
      <w:r w:rsidRPr="00B848BB">
        <w:rPr>
          <w:snapToGrid/>
          <w:sz w:val="28"/>
          <w:lang w:val="es-ES" w:eastAsia="en-US"/>
        </w:rPr>
        <w:t xml:space="preserve"> </w:t>
      </w:r>
      <w:r w:rsidRPr="00B848BB">
        <w:rPr>
          <w:b/>
          <w:snapToGrid/>
          <w:sz w:val="28"/>
          <w:lang w:val="x-none" w:eastAsia="en-US"/>
        </w:rPr>
        <w:t>Suiza.</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 xml:space="preserve">Asunto: “Comunicación Conjunta de los Procedimientos Especiales enviada por el Presidente-Relator del Grupo de Trabajo sobre las desapariciones forzadas o involuntarias; el </w:t>
      </w:r>
      <w:r w:rsidRPr="0003155F">
        <w:rPr>
          <w:snapToGrid/>
          <w:sz w:val="20"/>
          <w:lang w:val="es-ES" w:eastAsia="en-US"/>
        </w:rPr>
        <w:t>Relator</w:t>
      </w:r>
      <w:r w:rsidRPr="00B848BB">
        <w:rPr>
          <w:snapToGrid/>
          <w:sz w:val="20"/>
          <w:lang w:val="x-none" w:eastAsia="en-US"/>
        </w:rPr>
        <w:t xml:space="preserve"> Especial sobre la situación de las y los defensores de los derechos humanos; la Relatora Especial sobre la independencia de los magistrados y abogados; el Relator Especial sobre la tortura y otros tratos o penas crueles, inhumanos o degradantes; y el Relator especial sobre la promoción de la verdad, la justicia, la reparación y las garantías de no repetición.”</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Llamamiento Urgente: “Alegaciones recibidas en relación a la posible aplicación del Decreto 8-86 y posible aplicación de una amnistía al ex Jefe de Estado José Efraín Ríos Montt por los delitos de genocidio y crímenes de lesa humanidad. (…) también alegaciones sobre la falta de garantías en el proceso de selección de magistrados de la Corte Suprema de Justicia y de las salas de apelaciones, para el período 2014-2019 y las posibles consecuencias que podría conllevar en la lucha contra la impunidad, incluyendo en los casos de violaciones graves cometidas durante el conflicto armado.”</w:t>
      </w:r>
    </w:p>
    <w:p w:rsidR="00B848BB" w:rsidRPr="00B848BB" w:rsidRDefault="00B848BB" w:rsidP="00B848BB">
      <w:pPr>
        <w:pBdr>
          <w:bottom w:val="single" w:sz="12" w:space="1" w:color="auto"/>
        </w:pBdr>
        <w:tabs>
          <w:tab w:val="clear" w:pos="431"/>
        </w:tabs>
        <w:suppressAutoHyphens/>
        <w:overflowPunct/>
        <w:autoSpaceDE w:val="0"/>
        <w:autoSpaceDN w:val="0"/>
        <w:snapToGrid/>
        <w:spacing w:line="240" w:lineRule="atLeast"/>
        <w:ind w:left="1134" w:right="992"/>
        <w:jc w:val="center"/>
        <w:rPr>
          <w:b/>
          <w:bCs/>
          <w:snapToGrid/>
          <w:sz w:val="20"/>
          <w:lang w:val="es-ES" w:eastAsia="en-US"/>
        </w:rPr>
      </w:pPr>
    </w:p>
    <w:p w:rsidR="00B848BB" w:rsidRPr="00B848BB" w:rsidRDefault="00B848BB" w:rsidP="00B848BB">
      <w:pPr>
        <w:pBdr>
          <w:bottom w:val="single" w:sz="12" w:space="1" w:color="auto"/>
        </w:pBdr>
        <w:tabs>
          <w:tab w:val="clear" w:pos="431"/>
        </w:tabs>
        <w:suppressAutoHyphens/>
        <w:overflowPunct/>
        <w:autoSpaceDE w:val="0"/>
        <w:autoSpaceDN w:val="0"/>
        <w:snapToGrid/>
        <w:spacing w:line="240" w:lineRule="atLeast"/>
        <w:ind w:left="1134" w:right="992"/>
        <w:jc w:val="center"/>
        <w:rPr>
          <w:bCs/>
          <w:snapToGrid/>
          <w:sz w:val="20"/>
          <w:lang w:val="es-GT" w:eastAsia="en-US"/>
        </w:rPr>
      </w:pPr>
    </w:p>
    <w:p w:rsidR="00B848BB" w:rsidRPr="00B848BB" w:rsidRDefault="00B848BB" w:rsidP="00B35D45">
      <w:pPr>
        <w:pBdr>
          <w:bottom w:val="single" w:sz="12" w:space="1" w:color="auto"/>
        </w:pBdr>
        <w:tabs>
          <w:tab w:val="clear" w:pos="431"/>
        </w:tabs>
        <w:suppressAutoHyphens/>
        <w:overflowPunct/>
        <w:autoSpaceDE w:val="0"/>
        <w:autoSpaceDN w:val="0"/>
        <w:spacing w:line="240" w:lineRule="atLeast"/>
        <w:ind w:left="1134" w:right="992"/>
        <w:rPr>
          <w:b/>
          <w:bCs/>
          <w:snapToGrid/>
          <w:sz w:val="20"/>
          <w:lang w:val="es-GT" w:eastAsia="en-US"/>
        </w:rPr>
      </w:pPr>
      <w:r w:rsidRPr="00B848BB">
        <w:rPr>
          <w:b/>
          <w:bCs/>
          <w:snapToGrid/>
          <w:sz w:val="20"/>
          <w:lang w:val="es-GT" w:eastAsia="en-US"/>
        </w:rPr>
        <w:t>Miguel de la Lama</w:t>
      </w:r>
    </w:p>
    <w:p w:rsidR="00B848BB" w:rsidRPr="00B848BB" w:rsidRDefault="00B848BB" w:rsidP="00B35D45">
      <w:pPr>
        <w:pBdr>
          <w:bottom w:val="single" w:sz="12" w:space="1" w:color="auto"/>
        </w:pBdr>
        <w:tabs>
          <w:tab w:val="clear" w:pos="431"/>
        </w:tabs>
        <w:suppressAutoHyphens/>
        <w:overflowPunct/>
        <w:autoSpaceDE w:val="0"/>
        <w:autoSpaceDN w:val="0"/>
        <w:spacing w:line="240" w:lineRule="atLeast"/>
        <w:ind w:left="1134" w:right="992"/>
        <w:rPr>
          <w:b/>
          <w:bCs/>
          <w:snapToGrid/>
          <w:sz w:val="20"/>
          <w:lang w:val="es-GT" w:eastAsia="en-US"/>
        </w:rPr>
      </w:pPr>
      <w:r w:rsidRPr="00B848BB">
        <w:rPr>
          <w:b/>
          <w:bCs/>
          <w:snapToGrid/>
          <w:sz w:val="20"/>
          <w:lang w:val="es-GT" w:eastAsia="en-US"/>
        </w:rPr>
        <w:t>Oficial a cargo</w:t>
      </w:r>
    </w:p>
    <w:p w:rsidR="00B848BB" w:rsidRPr="00B848BB" w:rsidRDefault="00B848BB" w:rsidP="00B35D45">
      <w:pPr>
        <w:pBdr>
          <w:bottom w:val="single" w:sz="12" w:space="1" w:color="auto"/>
        </w:pBdr>
        <w:tabs>
          <w:tab w:val="clear" w:pos="431"/>
        </w:tabs>
        <w:suppressAutoHyphens/>
        <w:overflowPunct/>
        <w:autoSpaceDE w:val="0"/>
        <w:autoSpaceDN w:val="0"/>
        <w:spacing w:line="240" w:lineRule="atLeast"/>
        <w:ind w:left="1134" w:right="992"/>
        <w:rPr>
          <w:b/>
          <w:bCs/>
          <w:snapToGrid/>
          <w:sz w:val="20"/>
          <w:lang w:val="es-GT" w:eastAsia="en-US"/>
        </w:rPr>
      </w:pPr>
      <w:r w:rsidRPr="00B848BB">
        <w:rPr>
          <w:b/>
          <w:bCs/>
          <w:snapToGrid/>
          <w:sz w:val="20"/>
          <w:lang w:val="es-GT" w:eastAsia="en-US"/>
        </w:rPr>
        <w:t>Subdivisión de los Procedimientos Especiales</w:t>
      </w:r>
    </w:p>
    <w:p w:rsidR="00B848BB" w:rsidRPr="00B848BB" w:rsidRDefault="00B848BB" w:rsidP="00B35D45">
      <w:pPr>
        <w:pBdr>
          <w:bottom w:val="single" w:sz="12" w:space="1" w:color="auto"/>
        </w:pBdr>
        <w:tabs>
          <w:tab w:val="clear" w:pos="431"/>
        </w:tabs>
        <w:suppressAutoHyphens/>
        <w:overflowPunct/>
        <w:autoSpaceDE w:val="0"/>
        <w:autoSpaceDN w:val="0"/>
        <w:spacing w:line="240" w:lineRule="atLeast"/>
        <w:ind w:left="1134" w:right="992"/>
        <w:rPr>
          <w:b/>
          <w:bCs/>
          <w:snapToGrid/>
          <w:sz w:val="20"/>
          <w:lang w:val="es-ES" w:eastAsia="en-US"/>
        </w:rPr>
      </w:pPr>
      <w:r w:rsidRPr="00B848BB">
        <w:rPr>
          <w:b/>
          <w:bCs/>
          <w:snapToGrid/>
          <w:sz w:val="20"/>
          <w:lang w:val="es-GT" w:eastAsia="en-US"/>
        </w:rPr>
        <w:t>OACDH</w:t>
      </w:r>
      <w:r w:rsidRPr="00B848BB">
        <w:rPr>
          <w:b/>
          <w:bCs/>
          <w:snapToGrid/>
          <w:sz w:val="20"/>
          <w:lang w:val="es-ES" w:eastAsia="en-US"/>
        </w:rPr>
        <w:t xml:space="preserve"> </w:t>
      </w:r>
    </w:p>
    <w:p w:rsidR="00B848BB" w:rsidRPr="00B848BB" w:rsidRDefault="00B848BB" w:rsidP="00B35D45">
      <w:pPr>
        <w:pBdr>
          <w:bottom w:val="single" w:sz="12" w:space="1" w:color="auto"/>
        </w:pBdr>
        <w:tabs>
          <w:tab w:val="clear" w:pos="431"/>
        </w:tabs>
        <w:suppressAutoHyphens/>
        <w:overflowPunct/>
        <w:autoSpaceDE w:val="0"/>
        <w:autoSpaceDN w:val="0"/>
        <w:spacing w:line="240" w:lineRule="atLeast"/>
        <w:ind w:left="1134" w:right="992"/>
        <w:jc w:val="right"/>
        <w:rPr>
          <w:b/>
          <w:bCs/>
          <w:snapToGrid/>
          <w:sz w:val="20"/>
          <w:lang w:val="es-GT" w:eastAsia="en-US"/>
        </w:rPr>
      </w:pPr>
      <w:r w:rsidRPr="00B848BB">
        <w:rPr>
          <w:b/>
          <w:bCs/>
          <w:snapToGrid/>
          <w:sz w:val="20"/>
          <w:lang w:val="es-GT" w:eastAsia="en-US"/>
        </w:rPr>
        <w:t>Clasificación: DIGRIME/DDHH No. 170-000-074-14</w:t>
      </w:r>
    </w:p>
    <w:p w:rsidR="00B848BB" w:rsidRPr="00B848BB" w:rsidRDefault="00B848BB" w:rsidP="00B848BB">
      <w:pPr>
        <w:tabs>
          <w:tab w:val="clear" w:pos="431"/>
        </w:tabs>
        <w:suppressAutoHyphens/>
        <w:overflowPunct/>
        <w:autoSpaceDE w:val="0"/>
        <w:autoSpaceDN w:val="0"/>
        <w:snapToGrid/>
        <w:spacing w:line="240" w:lineRule="atLeast"/>
        <w:ind w:left="1134" w:right="992"/>
        <w:jc w:val="right"/>
        <w:rPr>
          <w:b/>
          <w:snapToGrid/>
          <w:sz w:val="20"/>
          <w:lang w:val="es-GT" w:eastAsia="en-US"/>
        </w:rPr>
      </w:pPr>
      <w:r w:rsidRPr="00B848BB">
        <w:rPr>
          <w:b/>
          <w:snapToGrid/>
          <w:sz w:val="20"/>
          <w:lang w:val="es-GT" w:eastAsia="en-US"/>
        </w:rPr>
        <w:t>Ref. P-12-2015/AFAF/hm</w:t>
      </w:r>
    </w:p>
    <w:p w:rsidR="00B848BB" w:rsidRPr="00B848BB" w:rsidRDefault="00B848BB" w:rsidP="00B848BB">
      <w:pPr>
        <w:tabs>
          <w:tab w:val="clear" w:pos="431"/>
        </w:tabs>
        <w:suppressAutoHyphens/>
        <w:overflowPunct/>
        <w:autoSpaceDE w:val="0"/>
        <w:autoSpaceDN w:val="0"/>
        <w:snapToGrid/>
        <w:spacing w:line="240" w:lineRule="atLeast"/>
        <w:ind w:left="1134" w:right="992"/>
        <w:jc w:val="right"/>
        <w:rPr>
          <w:b/>
          <w:snapToGrid/>
          <w:sz w:val="20"/>
          <w:lang w:val="es-GT" w:eastAsia="en-US"/>
        </w:rPr>
      </w:pPr>
      <w:r w:rsidRPr="00B848BB">
        <w:rPr>
          <w:b/>
          <w:snapToGrid/>
          <w:sz w:val="20"/>
          <w:lang w:val="es-GT" w:eastAsia="en-US"/>
        </w:rPr>
        <w:t>Guatemala 09 de Enero de 2015</w:t>
      </w:r>
    </w:p>
    <w:p w:rsidR="00B848BB" w:rsidRPr="00B848BB" w:rsidRDefault="00B848BB" w:rsidP="00B848BB">
      <w:pPr>
        <w:keepNext/>
        <w:keepLines/>
        <w:tabs>
          <w:tab w:val="clear" w:pos="431"/>
          <w:tab w:val="right" w:pos="851"/>
        </w:tabs>
        <w:suppressAutoHyphens/>
        <w:overflowPunct/>
        <w:adjustRightInd/>
        <w:snapToGrid/>
        <w:spacing w:before="360" w:after="240" w:line="300" w:lineRule="exact"/>
        <w:ind w:left="1134" w:right="1134" w:hanging="1134"/>
        <w:jc w:val="left"/>
        <w:rPr>
          <w:b/>
          <w:snapToGrid/>
          <w:sz w:val="28"/>
          <w:lang w:val="x-none" w:eastAsia="en-US"/>
        </w:rPr>
      </w:pPr>
      <w:r w:rsidRPr="00B848BB">
        <w:rPr>
          <w:b/>
          <w:snapToGrid/>
          <w:sz w:val="28"/>
          <w:lang w:val="x-none" w:eastAsia="en-US"/>
        </w:rPr>
        <w:tab/>
        <w:t>I.</w:t>
      </w:r>
      <w:r w:rsidRPr="00B848BB">
        <w:rPr>
          <w:b/>
          <w:snapToGrid/>
          <w:sz w:val="28"/>
          <w:lang w:val="x-none" w:eastAsia="en-US"/>
        </w:rPr>
        <w:tab/>
        <w:t>Antecedentes.</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 xml:space="preserve">El Gobierno de la República del Ilustrado Estado de Guatemala, fue requerido el 22 de diciembre de 2014, por la Subdivisión de Procedimientos Especiales de la Oficina del Alto </w:t>
      </w:r>
      <w:r w:rsidRPr="0003155F">
        <w:rPr>
          <w:snapToGrid/>
          <w:sz w:val="20"/>
          <w:lang w:val="es-ES" w:eastAsia="en-US"/>
        </w:rPr>
        <w:t>Comisionado</w:t>
      </w:r>
      <w:r w:rsidRPr="00B848BB">
        <w:rPr>
          <w:snapToGrid/>
          <w:sz w:val="20"/>
          <w:lang w:val="x-none" w:eastAsia="en-US"/>
        </w:rPr>
        <w:t xml:space="preserve"> de las Naciones Unidas para los Derechos Humanos, en la cual se adjunta la comunicación conjunta enviada por los Procedimientos Especiales indicados </w:t>
      </w:r>
      <w:r w:rsidRPr="00B848BB">
        <w:rPr>
          <w:i/>
          <w:snapToGrid/>
          <w:sz w:val="20"/>
          <w:lang w:val="x-none" w:eastAsia="en-US"/>
        </w:rPr>
        <w:t>ut supra</w:t>
      </w:r>
      <w:r w:rsidRPr="00B848BB">
        <w:rPr>
          <w:snapToGrid/>
          <w:sz w:val="20"/>
          <w:lang w:val="x-none" w:eastAsia="en-US"/>
        </w:rPr>
        <w:t xml:space="preserve"> de conformidad con las resoluciones 27/1, 25/18, 26/7, 25/13, y 27/3 del Consejo de Derechos Humanos, sobre el llamamiento o atención urgente al gobierno guatemalteco “</w:t>
      </w:r>
      <w:r w:rsidRPr="00B848BB">
        <w:rPr>
          <w:i/>
          <w:snapToGrid/>
          <w:sz w:val="20"/>
          <w:lang w:val="x-none" w:eastAsia="en-US"/>
        </w:rPr>
        <w:t>SIC”</w:t>
      </w:r>
      <w:r w:rsidRPr="00B848BB">
        <w:rPr>
          <w:snapToGrid/>
          <w:sz w:val="20"/>
          <w:lang w:val="x-none" w:eastAsia="en-US"/>
        </w:rPr>
        <w:t>:</w:t>
      </w:r>
    </w:p>
    <w:p w:rsidR="00B848BB" w:rsidRPr="00B848BB" w:rsidRDefault="00B848BB" w:rsidP="00B848BB">
      <w:pPr>
        <w:pStyle w:val="SingleTxtGC"/>
        <w:spacing w:line="240" w:lineRule="exact"/>
        <w:rPr>
          <w:b/>
          <w:i/>
          <w:snapToGrid/>
          <w:sz w:val="20"/>
          <w:lang w:val="x-none" w:eastAsia="en-US"/>
        </w:rPr>
      </w:pPr>
      <w:r w:rsidRPr="00B848BB">
        <w:rPr>
          <w:i/>
          <w:snapToGrid/>
          <w:sz w:val="20"/>
          <w:lang w:val="x-none" w:eastAsia="en-US"/>
        </w:rPr>
        <w:t xml:space="preserve"> </w:t>
      </w:r>
      <w:r w:rsidRPr="00B848BB">
        <w:rPr>
          <w:b/>
          <w:i/>
          <w:snapToGrid/>
          <w:sz w:val="20"/>
          <w:lang w:val="x-none" w:eastAsia="en-US"/>
        </w:rPr>
        <w:t>“</w:t>
      </w:r>
      <w:r w:rsidRPr="00B848BB">
        <w:rPr>
          <w:i/>
          <w:snapToGrid/>
          <w:sz w:val="20"/>
          <w:lang w:val="x-none" w:eastAsia="en-US"/>
        </w:rPr>
        <w:t xml:space="preserve">Alegaciones recibidas en relación a la posible aplicación del Decreto 8-86 y posible </w:t>
      </w:r>
      <w:r w:rsidRPr="0003155F">
        <w:rPr>
          <w:snapToGrid/>
          <w:sz w:val="20"/>
          <w:lang w:val="es-ES" w:eastAsia="en-US"/>
        </w:rPr>
        <w:t>aplicación de una amnistía al ex Jefe de Estado José Efraín Ríos Montt por los delitos de</w:t>
      </w:r>
      <w:r w:rsidRPr="00B848BB">
        <w:rPr>
          <w:i/>
          <w:snapToGrid/>
          <w:sz w:val="20"/>
          <w:lang w:val="x-none" w:eastAsia="en-US"/>
        </w:rPr>
        <w:t xml:space="preserve"> genocidio y crímenes de lesa humanidad. (…) también alegaciones sobre la falta de garantías en el proceso de selección de magistrados de la Corte Suprema de Justicia y de las salas de apelaciones, para el período 2014-2019 y las posibles consecuencias que </w:t>
      </w:r>
      <w:r w:rsidRPr="00B848BB">
        <w:rPr>
          <w:i/>
          <w:snapToGrid/>
          <w:sz w:val="20"/>
          <w:lang w:val="x-none" w:eastAsia="en-US"/>
        </w:rPr>
        <w:lastRenderedPageBreak/>
        <w:t>podría conllevar en la lucha contra la impunidad, incluyendo en los casos de violaciones graves cometidas durante el conflicto armado.</w:t>
      </w:r>
      <w:r w:rsidRPr="00B848BB">
        <w:rPr>
          <w:b/>
          <w:i/>
          <w:snapToGrid/>
          <w:sz w:val="20"/>
          <w:lang w:val="x-none" w:eastAsia="en-US"/>
        </w:rPr>
        <w:t>”</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El Estado de Guatemala, a través de la Comisión Presidencial Coordinadora de la Política del Ejecutivo en Materia de Derechos Humanos –COPREDEH-, ante el Secretario General de Naciones Unidas, respetuosamente comparece y expone:</w:t>
      </w:r>
    </w:p>
    <w:p w:rsidR="00B848BB" w:rsidRPr="00B848BB" w:rsidRDefault="00B848BB" w:rsidP="00B848BB">
      <w:pPr>
        <w:keepNext/>
        <w:keepLines/>
        <w:tabs>
          <w:tab w:val="clear" w:pos="431"/>
          <w:tab w:val="right" w:pos="851"/>
        </w:tabs>
        <w:suppressAutoHyphens/>
        <w:overflowPunct/>
        <w:adjustRightInd/>
        <w:snapToGrid/>
        <w:spacing w:before="360" w:after="240" w:line="300" w:lineRule="exact"/>
        <w:ind w:left="1134" w:right="1134" w:hanging="1134"/>
        <w:jc w:val="left"/>
        <w:rPr>
          <w:b/>
          <w:snapToGrid/>
          <w:sz w:val="28"/>
          <w:lang w:val="x-none" w:eastAsia="en-US"/>
        </w:rPr>
      </w:pPr>
      <w:r w:rsidRPr="00B848BB">
        <w:rPr>
          <w:b/>
          <w:snapToGrid/>
          <w:sz w:val="28"/>
          <w:lang w:val="x-none" w:eastAsia="en-US"/>
        </w:rPr>
        <w:tab/>
        <w:t>I</w:t>
      </w:r>
      <w:r w:rsidRPr="00B848BB">
        <w:rPr>
          <w:b/>
          <w:snapToGrid/>
          <w:sz w:val="28"/>
          <w:lang w:val="es-ES" w:eastAsia="en-US"/>
        </w:rPr>
        <w:t>I</w:t>
      </w:r>
      <w:r w:rsidRPr="00B848BB">
        <w:rPr>
          <w:b/>
          <w:snapToGrid/>
          <w:sz w:val="28"/>
          <w:lang w:val="x-none" w:eastAsia="en-US"/>
        </w:rPr>
        <w:t>.</w:t>
      </w:r>
      <w:r w:rsidRPr="00B848BB">
        <w:rPr>
          <w:b/>
          <w:snapToGrid/>
          <w:sz w:val="28"/>
          <w:lang w:val="x-none" w:eastAsia="en-US"/>
        </w:rPr>
        <w:tab/>
        <w:t>Observación estatal sobre el término “conflicto armado” en Guatemala definido por Naciones Unidas.</w:t>
      </w:r>
    </w:p>
    <w:p w:rsidR="00B848BB" w:rsidRPr="00B848BB" w:rsidRDefault="00B848BB" w:rsidP="00B848BB">
      <w:pPr>
        <w:pStyle w:val="SingleTxtGC"/>
        <w:spacing w:line="240" w:lineRule="exact"/>
        <w:rPr>
          <w:b/>
          <w:bCs/>
          <w:snapToGrid/>
          <w:sz w:val="20"/>
          <w:lang w:val="es-GT" w:eastAsia="en-US"/>
        </w:rPr>
      </w:pPr>
      <w:r w:rsidRPr="00B848BB">
        <w:rPr>
          <w:snapToGrid/>
          <w:sz w:val="20"/>
          <w:lang w:val="x-none" w:eastAsia="en-US"/>
        </w:rPr>
        <w:t xml:space="preserve">El Estado de Guatemala, desea que los Procedimientos Especiales del Sistema de Naciones Unidas, y la Oficina del Alto Comisionado para los Derechos Humanos de Naciones Unidas, observen la definición del conflicto presentada en el </w:t>
      </w:r>
      <w:r w:rsidRPr="00B848BB">
        <w:rPr>
          <w:b/>
          <w:bCs/>
          <w:snapToGrid/>
          <w:sz w:val="20"/>
          <w:lang w:val="es-GT" w:eastAsia="en-US"/>
        </w:rPr>
        <w:t>Informe del Grupo de Trabajo sobre Desapariciones Forzadas o Involuntarias:</w:t>
      </w:r>
    </w:p>
    <w:p w:rsidR="00B848BB" w:rsidRPr="00B848BB" w:rsidRDefault="00B848BB" w:rsidP="00B848BB">
      <w:pPr>
        <w:pStyle w:val="SingleTxtGC"/>
        <w:spacing w:line="240" w:lineRule="exact"/>
        <w:rPr>
          <w:snapToGrid/>
          <w:sz w:val="20"/>
          <w:lang w:val="es-GT" w:eastAsia="en-US"/>
        </w:rPr>
      </w:pPr>
      <w:r w:rsidRPr="00B848BB">
        <w:rPr>
          <w:snapToGrid/>
          <w:sz w:val="20"/>
          <w:lang w:val="es-GT" w:eastAsia="en-US"/>
        </w:rPr>
        <w:t>“</w:t>
      </w:r>
      <w:r w:rsidRPr="00B848BB">
        <w:rPr>
          <w:i/>
          <w:snapToGrid/>
          <w:sz w:val="20"/>
          <w:lang w:val="es-GT" w:eastAsia="en-US"/>
        </w:rPr>
        <w:t>9. El conflicto que marcó el inicio de las desapariciones en Guatemala en 1960 comenzó cuando un pequeño grupo de oficiales del ejército se rebeló contra el gobierno militar, acusándolo de corrupción. La rebelión fue aplastada, y los jóvenes oficiales huyeron a las montañas de Guatemala oriental, donde iniciaron una guerra de guerrillas. Estas guerrillas se convirtieron en poco tiempo en un movimiento marxista cuyo objetivo era derrocar al Gobierno y tomar el poder</w:t>
      </w:r>
      <w:r w:rsidRPr="00B848BB">
        <w:rPr>
          <w:b/>
          <w:i/>
          <w:snapToGrid/>
          <w:sz w:val="20"/>
          <w:lang w:val="es-GT" w:eastAsia="en-US"/>
        </w:rPr>
        <w:t>. Es importante destacar que el conflicto armado guatemalteco no se originó como consecuencia de un conflicto interétnico. Se trata de un conflicto que ocurrió en el marco de la guerra fría</w:t>
      </w:r>
      <w:r w:rsidRPr="00B848BB">
        <w:rPr>
          <w:b/>
          <w:i/>
          <w:snapToGrid/>
          <w:sz w:val="18"/>
          <w:vertAlign w:val="superscript"/>
          <w:lang w:val="es-GT" w:eastAsia="en-US"/>
        </w:rPr>
        <w:footnoteReference w:id="3"/>
      </w:r>
      <w:r w:rsidRPr="00B848BB">
        <w:rPr>
          <w:i/>
          <w:snapToGrid/>
          <w:sz w:val="20"/>
          <w:lang w:val="es-GT" w:eastAsia="en-US"/>
        </w:rPr>
        <w:t>.</w:t>
      </w:r>
      <w:r w:rsidRPr="00B848BB">
        <w:rPr>
          <w:snapToGrid/>
          <w:sz w:val="20"/>
          <w:lang w:val="es-GT" w:eastAsia="en-US"/>
        </w:rPr>
        <w:t>” (Resaltado propio).</w:t>
      </w:r>
    </w:p>
    <w:p w:rsidR="00B848BB" w:rsidRPr="00B848BB" w:rsidRDefault="00B848BB" w:rsidP="00B848BB">
      <w:pPr>
        <w:pStyle w:val="SingleTxtGC"/>
        <w:spacing w:line="240" w:lineRule="exact"/>
        <w:rPr>
          <w:snapToGrid/>
          <w:sz w:val="20"/>
          <w:lang w:val="x-none" w:eastAsia="en-US"/>
        </w:rPr>
      </w:pPr>
      <w:r w:rsidRPr="00B848BB">
        <w:rPr>
          <w:snapToGrid/>
          <w:sz w:val="20"/>
          <w:lang w:val="es-GT" w:eastAsia="en-US"/>
        </w:rPr>
        <w:t xml:space="preserve">Por lo tanto y de acuerdo con la definición del conflicto antes descrita, es claro que lo que </w:t>
      </w:r>
      <w:r w:rsidRPr="0003155F">
        <w:rPr>
          <w:snapToGrid/>
          <w:sz w:val="20"/>
          <w:lang w:val="es-ES" w:eastAsia="en-US"/>
        </w:rPr>
        <w:t>ocurrió en Guatemala durante el enfrentamiento armado interno, no encuadra en la figura</w:t>
      </w:r>
      <w:r w:rsidRPr="00B848BB">
        <w:rPr>
          <w:snapToGrid/>
          <w:sz w:val="20"/>
          <w:lang w:val="es-GT" w:eastAsia="en-US"/>
        </w:rPr>
        <w:t xml:space="preserve"> tipo de genocidio como delito internacional, por cuanto este es definido como: </w:t>
      </w:r>
      <w:r w:rsidRPr="00B848BB">
        <w:rPr>
          <w:snapToGrid/>
          <w:sz w:val="20"/>
          <w:lang w:val="x-none" w:eastAsia="en-US"/>
        </w:rPr>
        <w:t>«cualquiera de los actos perpetrados con la intención de destruir, total o parcialmente, a un grupo nacional, étnico, racial o religioso como tal» estos actos comprenden la «matanza y lesión grave a la integridad física o mental de los miembros del grupo, sometimiento intencional del grupo a condiciones de existencia que hayan de acarrear su destrucción física, total o parcial, medidas destinadas a impedir nacimientos en el seno del grupo, traslado por la fuerza de niños del grupo a otro grupo».</w:t>
      </w:r>
    </w:p>
    <w:p w:rsidR="00B848BB" w:rsidRPr="00B848BB" w:rsidRDefault="00B848BB" w:rsidP="00B848BB">
      <w:pPr>
        <w:pStyle w:val="SingleTxtGC"/>
        <w:spacing w:line="240" w:lineRule="exact"/>
        <w:rPr>
          <w:snapToGrid/>
          <w:sz w:val="20"/>
          <w:lang w:val="es-GT" w:eastAsia="en-US"/>
        </w:rPr>
      </w:pPr>
      <w:r w:rsidRPr="00B848BB">
        <w:rPr>
          <w:snapToGrid/>
          <w:sz w:val="20"/>
          <w:lang w:val="es-GT" w:eastAsia="en-US"/>
        </w:rPr>
        <w:t>“Se entenderá por “genocidio</w:t>
      </w:r>
      <w:r w:rsidRPr="00B848BB">
        <w:rPr>
          <w:snapToGrid/>
          <w:sz w:val="18"/>
          <w:vertAlign w:val="superscript"/>
          <w:lang w:val="es-GT" w:eastAsia="en-US"/>
        </w:rPr>
        <w:footnoteReference w:id="4"/>
      </w:r>
      <w:r w:rsidRPr="00B848BB">
        <w:rPr>
          <w:snapToGrid/>
          <w:sz w:val="20"/>
          <w:lang w:val="es-GT" w:eastAsia="en-US"/>
        </w:rPr>
        <w:t>” cualquiera de los actos mencionados a continuación, perpetrados con la intención de destruir total o parcialmente a un grupo nacional, étnico, racial o religioso como tal:</w:t>
      </w:r>
    </w:p>
    <w:p w:rsidR="00B848BB" w:rsidRPr="00B848BB" w:rsidRDefault="00B848BB" w:rsidP="00B848BB">
      <w:pPr>
        <w:keepNext/>
        <w:keepLines/>
        <w:tabs>
          <w:tab w:val="clear" w:pos="431"/>
          <w:tab w:val="right" w:pos="851"/>
        </w:tabs>
        <w:suppressAutoHyphens/>
        <w:overflowPunct/>
        <w:adjustRightInd/>
        <w:snapToGrid/>
        <w:spacing w:before="240" w:after="120" w:line="240" w:lineRule="exact"/>
        <w:ind w:left="1134" w:right="1134" w:hanging="1134"/>
        <w:jc w:val="left"/>
        <w:rPr>
          <w:b/>
          <w:snapToGrid/>
          <w:sz w:val="20"/>
          <w:lang w:val="es-GT" w:eastAsia="en-US"/>
        </w:rPr>
      </w:pPr>
      <w:r w:rsidRPr="00B848BB">
        <w:rPr>
          <w:b/>
          <w:snapToGrid/>
          <w:sz w:val="20"/>
          <w:lang w:val="es-GT" w:eastAsia="en-US"/>
        </w:rPr>
        <w:lastRenderedPageBreak/>
        <w:tab/>
      </w:r>
      <w:r w:rsidRPr="00B848BB">
        <w:rPr>
          <w:b/>
          <w:snapToGrid/>
          <w:sz w:val="20"/>
          <w:lang w:val="es-GT" w:eastAsia="en-US"/>
        </w:rPr>
        <w:tab/>
        <w:t xml:space="preserve">A) </w:t>
      </w:r>
      <w:r w:rsidRPr="00B848BB">
        <w:rPr>
          <w:b/>
          <w:snapToGrid/>
          <w:sz w:val="20"/>
          <w:lang w:val="es-GT" w:eastAsia="en-US"/>
        </w:rPr>
        <w:tab/>
        <w:t>Matanza de miembros del grupo;</w:t>
      </w:r>
    </w:p>
    <w:p w:rsidR="00B848BB" w:rsidRPr="00B848BB" w:rsidRDefault="00B848BB" w:rsidP="00B35D45">
      <w:pPr>
        <w:keepNext/>
        <w:keepLines/>
        <w:tabs>
          <w:tab w:val="clear" w:pos="431"/>
          <w:tab w:val="right" w:pos="851"/>
        </w:tabs>
        <w:suppressAutoHyphens/>
        <w:overflowPunct/>
        <w:adjustRightInd/>
        <w:spacing w:before="240" w:after="120" w:line="240" w:lineRule="exact"/>
        <w:ind w:left="1134" w:right="1134" w:hanging="1134"/>
        <w:jc w:val="left"/>
        <w:rPr>
          <w:b/>
          <w:snapToGrid/>
          <w:sz w:val="20"/>
          <w:lang w:val="es-GT" w:eastAsia="en-US"/>
        </w:rPr>
      </w:pPr>
      <w:r w:rsidRPr="00B848BB">
        <w:rPr>
          <w:b/>
          <w:snapToGrid/>
          <w:sz w:val="20"/>
          <w:lang w:val="es-GT" w:eastAsia="en-US"/>
        </w:rPr>
        <w:tab/>
      </w:r>
      <w:r w:rsidRPr="00B848BB">
        <w:rPr>
          <w:b/>
          <w:snapToGrid/>
          <w:sz w:val="20"/>
          <w:lang w:val="es-GT" w:eastAsia="en-US"/>
        </w:rPr>
        <w:tab/>
        <w:t xml:space="preserve">B) </w:t>
      </w:r>
      <w:r w:rsidRPr="00B848BB">
        <w:rPr>
          <w:b/>
          <w:snapToGrid/>
          <w:sz w:val="20"/>
          <w:lang w:val="es-GT" w:eastAsia="en-US"/>
        </w:rPr>
        <w:tab/>
        <w:t>Lesión grave a la integridad física o mental de los miembros del grupo;</w:t>
      </w:r>
    </w:p>
    <w:p w:rsidR="00B848BB" w:rsidRPr="00B848BB" w:rsidRDefault="00B848BB" w:rsidP="00B35D45">
      <w:pPr>
        <w:keepNext/>
        <w:keepLines/>
        <w:tabs>
          <w:tab w:val="clear" w:pos="431"/>
          <w:tab w:val="right" w:pos="851"/>
        </w:tabs>
        <w:suppressAutoHyphens/>
        <w:overflowPunct/>
        <w:adjustRightInd/>
        <w:spacing w:before="240" w:after="120" w:line="240" w:lineRule="exact"/>
        <w:ind w:left="1134" w:right="1134" w:hanging="1134"/>
        <w:jc w:val="left"/>
        <w:rPr>
          <w:b/>
          <w:snapToGrid/>
          <w:sz w:val="20"/>
          <w:lang w:val="es-GT" w:eastAsia="en-US"/>
        </w:rPr>
      </w:pPr>
      <w:r w:rsidRPr="00B848BB">
        <w:rPr>
          <w:b/>
          <w:snapToGrid/>
          <w:sz w:val="20"/>
          <w:lang w:val="es-GT" w:eastAsia="en-US"/>
        </w:rPr>
        <w:tab/>
      </w:r>
      <w:r w:rsidRPr="00B848BB">
        <w:rPr>
          <w:b/>
          <w:snapToGrid/>
          <w:sz w:val="20"/>
          <w:lang w:val="es-GT" w:eastAsia="en-US"/>
        </w:rPr>
        <w:tab/>
      </w:r>
      <w:proofErr w:type="gramStart"/>
      <w:r w:rsidRPr="00B848BB">
        <w:rPr>
          <w:b/>
          <w:snapToGrid/>
          <w:sz w:val="20"/>
          <w:lang w:val="es-GT" w:eastAsia="en-US"/>
        </w:rPr>
        <w:t xml:space="preserve">C) </w:t>
      </w:r>
      <w:r w:rsidRPr="00B848BB">
        <w:rPr>
          <w:b/>
          <w:snapToGrid/>
          <w:sz w:val="20"/>
          <w:lang w:val="es-GT" w:eastAsia="en-US"/>
        </w:rPr>
        <w:tab/>
        <w:t>Sometimiento intencional</w:t>
      </w:r>
      <w:proofErr w:type="gramEnd"/>
      <w:r w:rsidRPr="00B848BB">
        <w:rPr>
          <w:b/>
          <w:snapToGrid/>
          <w:sz w:val="20"/>
          <w:lang w:val="es-GT" w:eastAsia="en-US"/>
        </w:rPr>
        <w:t xml:space="preserve"> del grupo a condiciones de existencia que hayan de acarrear su destrucción física, total o parcial;</w:t>
      </w:r>
    </w:p>
    <w:p w:rsidR="00B848BB" w:rsidRPr="00B848BB" w:rsidRDefault="00B848BB" w:rsidP="00B35D45">
      <w:pPr>
        <w:keepNext/>
        <w:keepLines/>
        <w:tabs>
          <w:tab w:val="clear" w:pos="431"/>
          <w:tab w:val="right" w:pos="851"/>
        </w:tabs>
        <w:suppressAutoHyphens/>
        <w:overflowPunct/>
        <w:adjustRightInd/>
        <w:spacing w:before="240" w:after="120" w:line="240" w:lineRule="exact"/>
        <w:ind w:left="1134" w:right="1134" w:hanging="1134"/>
        <w:jc w:val="left"/>
        <w:rPr>
          <w:b/>
          <w:snapToGrid/>
          <w:sz w:val="20"/>
          <w:lang w:val="es-GT" w:eastAsia="en-US"/>
        </w:rPr>
      </w:pPr>
      <w:r w:rsidRPr="00B848BB">
        <w:rPr>
          <w:b/>
          <w:snapToGrid/>
          <w:sz w:val="20"/>
          <w:lang w:val="es-GT" w:eastAsia="en-US"/>
        </w:rPr>
        <w:tab/>
      </w:r>
      <w:r w:rsidRPr="00B848BB">
        <w:rPr>
          <w:b/>
          <w:snapToGrid/>
          <w:sz w:val="20"/>
          <w:lang w:val="es-GT" w:eastAsia="en-US"/>
        </w:rPr>
        <w:tab/>
        <w:t>D)</w:t>
      </w:r>
      <w:r w:rsidRPr="00B848BB">
        <w:rPr>
          <w:b/>
          <w:snapToGrid/>
          <w:sz w:val="20"/>
          <w:lang w:val="es-GT" w:eastAsia="en-US"/>
        </w:rPr>
        <w:tab/>
        <w:t xml:space="preserve"> Medidas destinadas a impedir nacimientos en el seno del grupo;</w:t>
      </w:r>
    </w:p>
    <w:p w:rsidR="00B848BB" w:rsidRPr="00B848BB" w:rsidRDefault="00B848BB" w:rsidP="00B848BB">
      <w:pPr>
        <w:keepNext/>
        <w:keepLines/>
        <w:tabs>
          <w:tab w:val="clear" w:pos="431"/>
          <w:tab w:val="right" w:pos="851"/>
        </w:tabs>
        <w:suppressAutoHyphens/>
        <w:overflowPunct/>
        <w:adjustRightInd/>
        <w:snapToGrid/>
        <w:spacing w:before="240" w:after="120" w:line="240" w:lineRule="exact"/>
        <w:ind w:left="1134" w:right="1134" w:hanging="1134"/>
        <w:jc w:val="left"/>
        <w:rPr>
          <w:b/>
          <w:snapToGrid/>
          <w:sz w:val="20"/>
          <w:lang w:val="es-GT" w:eastAsia="en-US"/>
        </w:rPr>
      </w:pPr>
      <w:r w:rsidRPr="00B848BB">
        <w:rPr>
          <w:b/>
          <w:snapToGrid/>
          <w:sz w:val="20"/>
          <w:lang w:val="es-GT" w:eastAsia="en-US"/>
        </w:rPr>
        <w:tab/>
      </w:r>
      <w:r w:rsidRPr="00B848BB">
        <w:rPr>
          <w:b/>
          <w:snapToGrid/>
          <w:sz w:val="20"/>
          <w:lang w:val="es-GT" w:eastAsia="en-US"/>
        </w:rPr>
        <w:tab/>
        <w:t xml:space="preserve">E) </w:t>
      </w:r>
      <w:r w:rsidRPr="00B848BB">
        <w:rPr>
          <w:b/>
          <w:snapToGrid/>
          <w:sz w:val="20"/>
          <w:lang w:val="es-GT" w:eastAsia="en-US"/>
        </w:rPr>
        <w:tab/>
        <w:t>Traslado por la fuerza de niños del grupo a otro grupo.”</w:t>
      </w:r>
    </w:p>
    <w:p w:rsidR="00B848BB" w:rsidRPr="00B848BB" w:rsidRDefault="00B848BB" w:rsidP="00B848BB">
      <w:pPr>
        <w:keepNext/>
        <w:keepLines/>
        <w:tabs>
          <w:tab w:val="clear" w:pos="431"/>
          <w:tab w:val="right" w:pos="851"/>
        </w:tabs>
        <w:suppressAutoHyphens/>
        <w:overflowPunct/>
        <w:adjustRightInd/>
        <w:snapToGrid/>
        <w:spacing w:before="360" w:after="240" w:line="300" w:lineRule="exact"/>
        <w:ind w:left="1134" w:right="1134" w:hanging="1134"/>
        <w:jc w:val="left"/>
        <w:rPr>
          <w:b/>
          <w:snapToGrid/>
          <w:sz w:val="28"/>
          <w:lang w:val="x-none" w:eastAsia="en-US"/>
        </w:rPr>
      </w:pPr>
      <w:r w:rsidRPr="00B848BB">
        <w:rPr>
          <w:b/>
          <w:snapToGrid/>
          <w:sz w:val="28"/>
          <w:lang w:val="x-none" w:eastAsia="en-US"/>
        </w:rPr>
        <w:tab/>
      </w:r>
      <w:r w:rsidRPr="00B848BB">
        <w:rPr>
          <w:b/>
          <w:snapToGrid/>
          <w:sz w:val="28"/>
          <w:lang w:val="es-ES" w:eastAsia="en-US"/>
        </w:rPr>
        <w:t>II</w:t>
      </w:r>
      <w:r w:rsidRPr="00B848BB">
        <w:rPr>
          <w:b/>
          <w:snapToGrid/>
          <w:sz w:val="28"/>
          <w:lang w:val="x-none" w:eastAsia="en-US"/>
        </w:rPr>
        <w:t>I.</w:t>
      </w:r>
      <w:r w:rsidRPr="00B848BB">
        <w:rPr>
          <w:b/>
          <w:snapToGrid/>
          <w:sz w:val="28"/>
          <w:lang w:val="x-none" w:eastAsia="en-US"/>
        </w:rPr>
        <w:tab/>
        <w:t>Respuesta estatal sobre contexto, antecedentes, anulación de una fase del debate y dilación del proceso judicial por los delitos de genocidio y crímenes de lesa humanidad</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El Estado de Guatemala no abordará por respeto a los principios de legalidad, independencia de poderes, independencia judicial y objetividad los elementos fácticos de la acusación, sino las incidencias procesales de la causa penal promovida en contra de los ex generales en situación retiro José Mauricio Rodríguez Sánchez y José Efraín Ríos Montt.</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 xml:space="preserve">Han sido diversas y numerosas las acciones procesales y constitucionales presentadas por la defensa técnica de los acusados, Ministerio Público y querellantes adhesivos, lo que ha provocado la dilación del proceso judicial, sin dejar de mencionar, la actitud del Tribunal de </w:t>
      </w:r>
      <w:r w:rsidRPr="0003155F">
        <w:rPr>
          <w:snapToGrid/>
          <w:sz w:val="20"/>
          <w:lang w:val="es-ES" w:eastAsia="en-US"/>
        </w:rPr>
        <w:t>Sentencia</w:t>
      </w:r>
      <w:r w:rsidRPr="00B848BB">
        <w:rPr>
          <w:snapToGrid/>
          <w:sz w:val="20"/>
          <w:lang w:val="x-none" w:eastAsia="en-US"/>
        </w:rPr>
        <w:t xml:space="preserve"> Penal de Mayor Riesgo “A”, cuyos jueces en pleno desconocimiento y negación de los principios fundamentales del debido proceso y derecho de defensa, en transgresión a la máxima “</w:t>
      </w:r>
      <w:r w:rsidRPr="00B848BB">
        <w:rPr>
          <w:b/>
          <w:bCs/>
          <w:i/>
          <w:snapToGrid/>
          <w:sz w:val="20"/>
          <w:lang w:val="x-none" w:eastAsia="en-US"/>
        </w:rPr>
        <w:t>Iura novit curia”</w:t>
      </w:r>
      <w:r w:rsidRPr="00B848BB">
        <w:rPr>
          <w:b/>
          <w:bCs/>
          <w:snapToGrid/>
          <w:sz w:val="20"/>
          <w:lang w:val="x-none" w:eastAsia="en-US"/>
        </w:rPr>
        <w:t xml:space="preserve"> </w:t>
      </w:r>
      <w:r w:rsidRPr="00B848BB">
        <w:rPr>
          <w:snapToGrid/>
          <w:sz w:val="20"/>
          <w:lang w:val="x-none" w:eastAsia="en-US"/>
        </w:rPr>
        <w:t xml:space="preserve">que concluyó con una sentencia condenatoria el 10 de mayo de 2013 en contra de José Efraín Ríos Montt y absolvió a José Mauricio Rodríguez Sánchez.  </w:t>
      </w:r>
    </w:p>
    <w:p w:rsidR="00B848BB" w:rsidRPr="00B848BB" w:rsidRDefault="00B848BB" w:rsidP="00B848BB">
      <w:pPr>
        <w:pStyle w:val="SingleTxtGC"/>
        <w:spacing w:line="240" w:lineRule="exact"/>
        <w:rPr>
          <w:snapToGrid/>
          <w:sz w:val="20"/>
          <w:lang w:val="es-GT" w:eastAsia="en-US"/>
        </w:rPr>
      </w:pPr>
      <w:r w:rsidRPr="00B848BB">
        <w:rPr>
          <w:snapToGrid/>
          <w:sz w:val="20"/>
          <w:lang w:val="x-none" w:eastAsia="en-US"/>
        </w:rPr>
        <w:t xml:space="preserve">Por lo anterior, la Corte de Constitucionalidad en observancia del derecho de defensa y debido proceso, anuló el 19 de mayo de 2013, por vicios de procedimiento, la sentencia </w:t>
      </w:r>
      <w:r w:rsidRPr="0003155F">
        <w:rPr>
          <w:snapToGrid/>
          <w:sz w:val="20"/>
          <w:lang w:val="es-ES" w:eastAsia="en-US"/>
        </w:rPr>
        <w:t>condenatoria</w:t>
      </w:r>
      <w:r w:rsidRPr="00B848BB">
        <w:rPr>
          <w:snapToGrid/>
          <w:sz w:val="20"/>
          <w:lang w:val="x-none" w:eastAsia="en-US"/>
        </w:rPr>
        <w:t xml:space="preserve"> emitida el 10 de mayo de 2013 por </w:t>
      </w:r>
      <w:r w:rsidRPr="00B848BB">
        <w:rPr>
          <w:snapToGrid/>
          <w:sz w:val="20"/>
          <w:lang w:val="es-GT" w:eastAsia="en-US"/>
        </w:rPr>
        <w:t>Tribunal Primero A de Mayor Riesgo contra el general retirado José Efraín Ríos Montt, por los delitos genocidio y deberes contra la humanidad. Así como todo lo actuado durante el debate hasta antes del 19 de abril de 2013, momento en el cual ocurrió la violación al derecho de defensa y debido proceso, en contra del acusado Ríos Montt.</w:t>
      </w:r>
    </w:p>
    <w:p w:rsidR="00B848BB" w:rsidRPr="00B848BB" w:rsidRDefault="00B848BB" w:rsidP="00B848BB">
      <w:pPr>
        <w:pStyle w:val="SingleTxtGC"/>
        <w:spacing w:line="240" w:lineRule="exact"/>
        <w:rPr>
          <w:snapToGrid/>
          <w:sz w:val="20"/>
          <w:lang w:val="es-GT" w:eastAsia="en-US"/>
        </w:rPr>
      </w:pPr>
      <w:r w:rsidRPr="00B848BB">
        <w:rPr>
          <w:snapToGrid/>
          <w:sz w:val="20"/>
          <w:lang w:val="es-GT" w:eastAsia="en-US"/>
        </w:rPr>
        <w:t xml:space="preserve">El 27 de mayo de 2013, la Sala Primera de la Corte de Apelaciones, en cumplimiento de lo </w:t>
      </w:r>
      <w:r w:rsidRPr="0003155F">
        <w:rPr>
          <w:snapToGrid/>
          <w:sz w:val="20"/>
          <w:lang w:val="es-ES" w:eastAsia="en-US"/>
        </w:rPr>
        <w:t>dispuesto</w:t>
      </w:r>
      <w:r w:rsidRPr="00B848BB">
        <w:rPr>
          <w:snapToGrid/>
          <w:sz w:val="20"/>
          <w:lang w:val="es-GT" w:eastAsia="en-US"/>
        </w:rPr>
        <w:t xml:space="preserve"> por la Corte de Constitucionalidad, ordena al Tribunal de Mayor Riesgo A, que le dé trámite a la recusación interpuesta por la defensa en contra de los juzgadores.  El 4 de junio de 2013, esta Sala designó al Tribunal de Sentencia de Mayor Riesgo B, para que continúe conociendo de las diligencias procesales, decidiendo aquél tribunal proseguir el proceso en abril de 2014.  Este mismo tribunal posteriormente dio a conocer que podrá reanudar el proceso 5 de enero de 2015.  </w:t>
      </w:r>
    </w:p>
    <w:p w:rsidR="00B848BB" w:rsidRPr="00B848BB" w:rsidRDefault="00B848BB" w:rsidP="00B848BB">
      <w:pPr>
        <w:pStyle w:val="SingleTxtGC"/>
        <w:spacing w:line="240" w:lineRule="exact"/>
        <w:rPr>
          <w:snapToGrid/>
          <w:sz w:val="20"/>
          <w:lang w:val="es-GT" w:eastAsia="en-US"/>
        </w:rPr>
      </w:pPr>
      <w:r w:rsidRPr="00B848BB">
        <w:rPr>
          <w:snapToGrid/>
          <w:sz w:val="20"/>
          <w:lang w:val="es-GT" w:eastAsia="en-US"/>
        </w:rPr>
        <w:t xml:space="preserve">José </w:t>
      </w:r>
      <w:r w:rsidRPr="0003155F">
        <w:rPr>
          <w:snapToGrid/>
          <w:sz w:val="20"/>
          <w:lang w:val="es-ES" w:eastAsia="en-US"/>
        </w:rPr>
        <w:t>Efra</w:t>
      </w:r>
      <w:r w:rsidRPr="00B848BB">
        <w:rPr>
          <w:snapToGrid/>
          <w:sz w:val="20"/>
          <w:lang w:val="es-GT" w:eastAsia="en-US"/>
        </w:rPr>
        <w:t>ín Ríos Montt y José Mauricio Rodríguez Sánchez, presentaron amparo, contra el Juez Primero de Mayor Riesgo “B”, porque el juzgador el 4 de febrero de 2013, emitió auto rechazando medios probatorios ofrecidos por la defensa de los procesados, de esa cuenta la Sala Cuarta de la Corte de Apelaciones del Ramo Penal, Narcoactividad y Delitos Contra el Ambiente, constituido en Tribunal de Amparo, otorgó amparo provisional, y la Corte de Constitucionalidad en expediente 1097-2013, confirmó la protección constitucional interina reclamada, el 3 de abril de 2013.</w:t>
      </w:r>
    </w:p>
    <w:p w:rsidR="00B848BB" w:rsidRPr="00B848BB" w:rsidRDefault="00B848BB" w:rsidP="00B848BB">
      <w:pPr>
        <w:pStyle w:val="SingleTxtGC"/>
        <w:spacing w:line="240" w:lineRule="exact"/>
        <w:rPr>
          <w:snapToGrid/>
          <w:sz w:val="20"/>
          <w:lang w:val="es-GT" w:eastAsia="en-US"/>
        </w:rPr>
      </w:pPr>
      <w:r w:rsidRPr="00B848BB">
        <w:rPr>
          <w:snapToGrid/>
          <w:sz w:val="20"/>
          <w:lang w:val="es-GT" w:eastAsia="en-US"/>
        </w:rPr>
        <w:lastRenderedPageBreak/>
        <w:t xml:space="preserve">El 4 de abril de 2013 el Juez de Primera Instancia de Mayor Riesgo “B”, informó a la Corte de Constitucionalidad, que ante los Resuelto por la Sala Primera de la Corte de Apelaciones, carecía de competencia para seguir conociendo, por lo que el 9 de abril de 2013, la Corte de </w:t>
      </w:r>
      <w:r w:rsidRPr="0003155F">
        <w:rPr>
          <w:snapToGrid/>
          <w:sz w:val="20"/>
          <w:lang w:val="es-ES" w:eastAsia="en-US"/>
        </w:rPr>
        <w:t>Constitucionalidad</w:t>
      </w:r>
      <w:r w:rsidRPr="00B848BB">
        <w:rPr>
          <w:snapToGrid/>
          <w:sz w:val="20"/>
          <w:lang w:val="es-GT" w:eastAsia="en-US"/>
        </w:rPr>
        <w:t>, resolvió que el Tribunal de Primera Instancia de Mayor Riesgo “B”, remitiera las actuaciones al funcionario judicial que adquirió competencia para conocer las actuaciones y concluir la etapa intermedia de la causa penal identificada como 0176-2011-00015.</w:t>
      </w:r>
    </w:p>
    <w:p w:rsidR="00B848BB" w:rsidRPr="00B848BB" w:rsidRDefault="00B848BB" w:rsidP="00B848BB">
      <w:pPr>
        <w:pStyle w:val="SingleTxtGC"/>
        <w:spacing w:line="240" w:lineRule="exact"/>
        <w:rPr>
          <w:b/>
          <w:snapToGrid/>
          <w:sz w:val="20"/>
          <w:lang w:val="es-GT" w:eastAsia="en-US"/>
        </w:rPr>
      </w:pPr>
      <w:r w:rsidRPr="00B848BB">
        <w:rPr>
          <w:snapToGrid/>
          <w:sz w:val="20"/>
          <w:lang w:val="es-GT" w:eastAsia="en-US"/>
        </w:rPr>
        <w:t xml:space="preserve">Es importante que los Procedimientos Especiales del Sistema de Naciones Unidas y la Oficina del Alto Comisionado de las Naciones Unidas para los Derechos Humanos, observen la Sentencia de Amparo emitida por la Corte de Constitucionalidad de Guatemala, en los expedientes acumulados de apelaciones de amparo 154-2014, 155-2014, 183-2014 y 239-2014, resolvió: a) Revocó la sentencia del 26 de septiembre de 2013 de la Sala Primera de la Corte de Apelaciones del Ramo Penal, Narcoactividad y Delitos Contra el Ambiente, constituida en Tribunal de Amparo; b) Otorgó con lugar los recursos de apelación interpuestos por la Asociación para la Justicia y Reconciliación, Centro para la Acción Legal en Derechos Humanos y el Ministerio Público; c) Otorga el amparo solicitado por los postulantes, d) Deja en suspenso el auto del 18 de abril del 2013, por el que resolvió los recursos de reposición, instados por la decisión de dejar sin efecto todo lo actuado a partir del 23 de noviembre de 2011, y e) Restaura la situación jurídica de los amparistas. </w:t>
      </w:r>
      <w:r w:rsidRPr="00B848BB">
        <w:rPr>
          <w:b/>
          <w:snapToGrid/>
          <w:sz w:val="20"/>
          <w:lang w:val="es-GT" w:eastAsia="en-US"/>
        </w:rPr>
        <w:t>En ningún momento la Corte de Constitucionalidad indica, que el debate debe continuar el 5 de enero de 2015.</w:t>
      </w:r>
    </w:p>
    <w:p w:rsidR="00B848BB" w:rsidRPr="00B848BB" w:rsidRDefault="00B848BB" w:rsidP="00B848BB">
      <w:pPr>
        <w:pStyle w:val="SingleTxtGC"/>
        <w:spacing w:line="240" w:lineRule="exact"/>
        <w:rPr>
          <w:snapToGrid/>
          <w:sz w:val="20"/>
          <w:lang w:val="x-none" w:eastAsia="en-US"/>
        </w:rPr>
      </w:pPr>
      <w:r w:rsidRPr="00B848BB">
        <w:rPr>
          <w:snapToGrid/>
          <w:sz w:val="20"/>
          <w:lang w:val="es-GT" w:eastAsia="en-US"/>
        </w:rPr>
        <w:t xml:space="preserve">El Tribunal de Sentencia Penal de Mayor Riesgo “B”, tal y como lo programó, inició el Debate Oral y Público, el 5 de enero de 2015, en ese momento la Defensa Técnica, de los </w:t>
      </w:r>
      <w:r w:rsidRPr="0003155F">
        <w:rPr>
          <w:snapToGrid/>
          <w:sz w:val="20"/>
          <w:lang w:val="es-ES" w:eastAsia="en-US"/>
        </w:rPr>
        <w:t>acusados</w:t>
      </w:r>
      <w:r w:rsidRPr="00B848BB">
        <w:rPr>
          <w:snapToGrid/>
          <w:sz w:val="20"/>
          <w:lang w:val="es-GT" w:eastAsia="en-US"/>
        </w:rPr>
        <w:t xml:space="preserve"> </w:t>
      </w:r>
      <w:r w:rsidRPr="00B848BB">
        <w:rPr>
          <w:snapToGrid/>
          <w:sz w:val="20"/>
          <w:lang w:val="x-none" w:eastAsia="en-US"/>
        </w:rPr>
        <w:t>José Mauricio Rodríguez Sánchez y José Efraín Ríos Montt, presentaron un Recurso de Recusación en contra de la Presidenta del Tribunal de Sentencia.  Por mayoría de dos votos contra uno, el Tribunal decidió trasladar el expediente a la Sala de Apelaciones de Mayor Riesgo para que determine si separa del debate a la jueza Irma Jeannette Valdés.  La defensa duda de la imparcialidad de la juzgadora, quienes a su parecer la Jueza de Sentencia, ya emitió opinión sobre el caso, en un trabajo académico, argumento que fue aceptado por dos de los tres juzgadores.</w:t>
      </w:r>
    </w:p>
    <w:p w:rsidR="00B848BB" w:rsidRPr="00B848BB" w:rsidRDefault="00B848BB" w:rsidP="00B848BB">
      <w:pPr>
        <w:keepNext/>
        <w:keepLines/>
        <w:tabs>
          <w:tab w:val="clear" w:pos="431"/>
          <w:tab w:val="right" w:pos="851"/>
        </w:tabs>
        <w:suppressAutoHyphens/>
        <w:overflowPunct/>
        <w:adjustRightInd/>
        <w:snapToGrid/>
        <w:spacing w:before="360" w:after="240" w:line="300" w:lineRule="exact"/>
        <w:ind w:left="1134" w:right="1134" w:hanging="1134"/>
        <w:jc w:val="left"/>
        <w:rPr>
          <w:b/>
          <w:snapToGrid/>
          <w:sz w:val="28"/>
          <w:lang w:val="x-none" w:eastAsia="en-US"/>
        </w:rPr>
      </w:pPr>
      <w:r w:rsidRPr="00B848BB">
        <w:rPr>
          <w:b/>
          <w:snapToGrid/>
          <w:sz w:val="28"/>
          <w:lang w:val="x-none" w:eastAsia="en-US"/>
        </w:rPr>
        <w:tab/>
        <w:t>I</w:t>
      </w:r>
      <w:r w:rsidRPr="00B848BB">
        <w:rPr>
          <w:b/>
          <w:snapToGrid/>
          <w:sz w:val="28"/>
          <w:lang w:val="es-ES" w:eastAsia="en-US"/>
        </w:rPr>
        <w:t>V</w:t>
      </w:r>
      <w:r w:rsidRPr="00B848BB">
        <w:rPr>
          <w:b/>
          <w:snapToGrid/>
          <w:sz w:val="28"/>
          <w:lang w:val="x-none" w:eastAsia="en-US"/>
        </w:rPr>
        <w:t>.</w:t>
      </w:r>
      <w:r w:rsidRPr="00B848BB">
        <w:rPr>
          <w:b/>
          <w:snapToGrid/>
          <w:sz w:val="28"/>
          <w:lang w:val="x-none" w:eastAsia="en-US"/>
        </w:rPr>
        <w:tab/>
        <w:t>Respuesta estatal sobre la aplicación de la ley de Amnistía Decreto Ley 8-86</w:t>
      </w:r>
    </w:p>
    <w:p w:rsidR="00B848BB" w:rsidRPr="00B848BB" w:rsidRDefault="00B848BB" w:rsidP="00B848BB">
      <w:pPr>
        <w:pStyle w:val="SingleTxtGC"/>
        <w:spacing w:line="240" w:lineRule="exact"/>
        <w:rPr>
          <w:snapToGrid/>
          <w:sz w:val="20"/>
          <w:lang w:val="x-none" w:eastAsia="en-US"/>
        </w:rPr>
      </w:pPr>
      <w:r w:rsidRPr="00B848BB">
        <w:rPr>
          <w:snapToGrid/>
          <w:sz w:val="20"/>
          <w:lang w:val="es-ES" w:eastAsia="en-US"/>
        </w:rPr>
        <w:t>La invocación de la amnistía contenida en el Decreto Ley Número 8-86, dentro del proceso</w:t>
      </w:r>
      <w:r w:rsidRPr="00B848BB">
        <w:rPr>
          <w:rFonts w:eastAsia="Calibri"/>
          <w:snapToGrid/>
          <w:sz w:val="20"/>
          <w:lang w:val="es-ES" w:eastAsia="en-US"/>
        </w:rPr>
        <w:t xml:space="preserve"> </w:t>
      </w:r>
      <w:r w:rsidRPr="00B848BB">
        <w:rPr>
          <w:snapToGrid/>
          <w:sz w:val="20"/>
          <w:lang w:val="x-none" w:eastAsia="en-US"/>
        </w:rPr>
        <w:t>expediente único 1076-2011-00015, a cargo del Juez Primero de Primera Instancia Penal de Mayor Riesgo “B” se interpuso la excepción de extinción de la persecución penal por amnistía durante la etapa preparatoria e intermedia, el juez contralor declaró sin lugar la excepción.</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En la excepción interpuesta, se invocó el motivo contenido en el artículo 32, numeral 2 del Código Procesal Penal –amnistía–, fundándola en el Decreto Ley 8-86, cuyo artículo. 1 confirió amnistía a toda persona sindicada de haber cometido delitos políticos y comunes conexos. El recurso adujo que esa amnistía se decretó sin ninguna excepción, para el período comprendido entre el 23 de marzo de 1982 y el 14 de enero de 1986, y que además tenía la particularidad que se concedía sin necesidad de trámite alguno por quien quisiera beneficiarse de ella; es decir, se concedió por ministerio de la ley, a diferencia de otras amnistías que se habían otorgado con anterioridad o que se dieron posteriormente. En el recurso también se argumentó que la ley no tiene efectos retroactivos, no modifica derechos adquiridos y la condición jurídica constituida bajo una ley anterior se conserva bajo el imperio de una ley posterior.</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lastRenderedPageBreak/>
        <w:t xml:space="preserve">El juez contralor expresó que la ley aplicable es la LRN, que en 1996 proscribió la amnistía para el caso de genocidio, e hizo referencia a jurisprudencia de la Corte Interamericana de Derechos Humanos. Apelada tal decisión, en el expediente único 1076-2011-00015, la Sala Primera de la Corte de Apelaciones del Ramo Penal, Narcoactividad y Delitos contra el Ambiente, </w:t>
      </w:r>
      <w:r w:rsidRPr="0003155F">
        <w:rPr>
          <w:snapToGrid/>
          <w:sz w:val="20"/>
          <w:lang w:val="es-ES" w:eastAsia="en-US"/>
        </w:rPr>
        <w:t>dict</w:t>
      </w:r>
      <w:r w:rsidRPr="00B848BB">
        <w:rPr>
          <w:snapToGrid/>
          <w:sz w:val="20"/>
          <w:lang w:val="x-none" w:eastAsia="en-US"/>
        </w:rPr>
        <w:t xml:space="preserve">ó el auto de 15 de junio de 2013, que declaró sin lugar el recurso de apelación interpuesto por José Efraín Ríos Montt y, en consecuencia, confirmó la decisión del juez </w:t>
      </w:r>
      <w:r w:rsidRPr="00B848BB">
        <w:rPr>
          <w:i/>
          <w:iCs/>
          <w:snapToGrid/>
          <w:sz w:val="20"/>
          <w:lang w:val="x-none" w:eastAsia="en-US"/>
        </w:rPr>
        <w:t xml:space="preserve">a quo, </w:t>
      </w:r>
      <w:r w:rsidRPr="00B848BB">
        <w:rPr>
          <w:snapToGrid/>
          <w:sz w:val="20"/>
          <w:lang w:val="x-none" w:eastAsia="en-US"/>
        </w:rPr>
        <w:t xml:space="preserve">de desestimar la excepción de extinción de la persecución penal. La Sala consideró que: </w:t>
      </w:r>
    </w:p>
    <w:p w:rsidR="00B848BB" w:rsidRPr="00B848BB" w:rsidRDefault="00B848BB" w:rsidP="00B848BB">
      <w:pPr>
        <w:pStyle w:val="SingleTxtGC"/>
        <w:spacing w:line="240" w:lineRule="exact"/>
        <w:rPr>
          <w:i/>
          <w:snapToGrid/>
          <w:sz w:val="20"/>
          <w:lang w:val="x-none" w:eastAsia="en-US"/>
        </w:rPr>
      </w:pPr>
      <w:r w:rsidRPr="00B848BB">
        <w:rPr>
          <w:snapToGrid/>
          <w:sz w:val="20"/>
          <w:lang w:val="x-none" w:eastAsia="en-US"/>
        </w:rPr>
        <w:t>“</w:t>
      </w:r>
      <w:r w:rsidRPr="00B848BB">
        <w:rPr>
          <w:i/>
          <w:snapToGrid/>
          <w:sz w:val="20"/>
          <w:lang w:val="x-none" w:eastAsia="en-US"/>
        </w:rPr>
        <w:t xml:space="preserve">(...) no le asiste razón legal, toda vez que la resolución emitida por el Juez Primero de Primera Instancia Penal de Mayor Riesgo “B” se encuentra ajustada a derecho, […] de conformidad con el art. 8 del Decreto número 145-96 del Congreso de la República de Guatemala [Ley de Reconciliación Nacional] (…) y en el presente caso, el proceso que se instruye en contra del procesado JOSÉ EFRAÍN RÍOS MONTT, es por los delitos de Genocidio y Deberes de Humanidad, (…) además el juzgador explica de manera clara las razones </w:t>
      </w:r>
      <w:r w:rsidRPr="0003155F">
        <w:rPr>
          <w:snapToGrid/>
          <w:sz w:val="20"/>
          <w:lang w:val="es-ES" w:eastAsia="en-US"/>
        </w:rPr>
        <w:t>por</w:t>
      </w:r>
      <w:r w:rsidRPr="00B848BB">
        <w:rPr>
          <w:i/>
          <w:snapToGrid/>
          <w:sz w:val="20"/>
          <w:lang w:val="x-none" w:eastAsia="en-US"/>
        </w:rPr>
        <w:t xml:space="preserve"> las cuales declaró sin lugar el incidente de extinción de la persecución penal por amnistía. Razón por la cual deviene declarar inadmisible el recurso de apelación interpuesto.”</w:t>
      </w:r>
    </w:p>
    <w:p w:rsidR="00B848BB" w:rsidRPr="00B848BB" w:rsidRDefault="00B848BB" w:rsidP="00B848BB">
      <w:pPr>
        <w:pStyle w:val="SingleTxtGC"/>
        <w:spacing w:line="240" w:lineRule="exact"/>
        <w:rPr>
          <w:snapToGrid/>
          <w:sz w:val="20"/>
          <w:lang w:val="x-none" w:eastAsia="en-US"/>
        </w:rPr>
      </w:pPr>
      <w:r w:rsidRPr="00B848BB">
        <w:rPr>
          <w:snapToGrid/>
          <w:sz w:val="20"/>
          <w:lang w:val="es-ES" w:eastAsia="en-US"/>
        </w:rPr>
        <w:t xml:space="preserve">La Defensa de José Efraín Ríos Montt, ante lo resuelto por la Sala, interpuso acción constitucional de amparo ante la Corte Suprema de Justicia </w:t>
      </w:r>
      <w:r w:rsidRPr="00B848BB">
        <w:rPr>
          <w:snapToGrid/>
          <w:sz w:val="20"/>
          <w:lang w:val="x-none" w:eastAsia="en-US"/>
        </w:rPr>
        <w:t xml:space="preserve">el 16 de abril de 2013. La Corte Suprema de Justicia, Cámara de Amparo y Antejuicio, dictó sentencia en la acción </w:t>
      </w:r>
      <w:r w:rsidRPr="0003155F">
        <w:rPr>
          <w:snapToGrid/>
          <w:sz w:val="20"/>
          <w:lang w:val="es-ES" w:eastAsia="en-US"/>
        </w:rPr>
        <w:t>constitucional</w:t>
      </w:r>
      <w:r w:rsidRPr="00B848BB">
        <w:rPr>
          <w:snapToGrid/>
          <w:sz w:val="20"/>
          <w:lang w:val="x-none" w:eastAsia="en-US"/>
        </w:rPr>
        <w:t xml:space="preserve"> de amparo promovida por José Efraín Ríos Montt, por haber violado su derecho de defensa en la resolución citada. En el recurso se argumentó que se debió aplicar el Decreto 8-86 y no la LRN. Al respecto, la Corte Suprema consideró: </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w:t>
      </w:r>
      <w:r w:rsidRPr="00B848BB">
        <w:rPr>
          <w:i/>
          <w:snapToGrid/>
          <w:sz w:val="20"/>
          <w:lang w:val="x-none" w:eastAsia="en-US"/>
        </w:rPr>
        <w:t xml:space="preserve">La disyuntiva a dirimir en el presente caso, consiste en determinar si la Sala causó agravios al postulante al haber aplicado la Ley de Reconciliación Nacional, Decreto Número 145-96 del Congreso de la República, y no el Decreto Ley 8-86, que fue el que invocó como fundamento para el planteamiento de la excepción de extinción de la persecución penal, aduciendo que ese Decreto Ley confirió amnistía general a toda persona responsable o sindicada de haber cometido delitos políticos y comunes conexos durante el período comprendido del 23 de marzo de 1982 al 14 de enero de 1986 (…). En el auto reclamado, la Sala declaró sin lugar la apelación del ahora postulante, según la siguiente argumentación (…) La propia Sala reconoce que el entonces apelante señaló como agravios el hecho de que el juez a quo no consideró sus argumentos y que goza de amnistía derivada del Decreto Ley 8-86, (…) No obstante lo anterior, la autoridad impugnada no explica las razones por la que dicha disposición no rige en el presente caso, sino </w:t>
      </w:r>
      <w:r w:rsidRPr="0003155F">
        <w:rPr>
          <w:snapToGrid/>
          <w:sz w:val="20"/>
          <w:lang w:val="es-ES" w:eastAsia="en-US"/>
        </w:rPr>
        <w:t>que</w:t>
      </w:r>
      <w:r w:rsidRPr="00B848BB">
        <w:rPr>
          <w:i/>
          <w:snapToGrid/>
          <w:sz w:val="20"/>
          <w:lang w:val="x-none" w:eastAsia="en-US"/>
        </w:rPr>
        <w:t xml:space="preserve"> optó por citar únicamente el art. 8 de la posterior Ley de Reconciliación Nacional (…), el cual establece exclusiones a la extinción de la responsabilidad penal. El art. 11 bis del Código Procesal Penal obliga a que los autos contengan una clara y precisa fundamentación de la decisión constituyendo su ausencia un defecto absoluto de forma. Tal fundamentación deberá expresar los motivos de hecho y derecho en que la decisión se basare y, si fuere el caso, el valor asignado a los medios de prueba (en este caso, claro, se trata de un punto de derecho). Finalmente, dicho artículo resalta que toda resolución judicial carente de fundamentación viola el derecho de defensa y de la acción penal. Luego, la cuestión jurídica sometida a la autoridad impugnada fue eludida, lo cual es violatorio del derecho de defensa y debido proceso del postulante. Por tanto, para reparar el agravio derivado de la falta de fundamentación, la Sala debe indicar con precisión por qué al postulante no le es aplicable el Decreto Ley anteriormente mencionado y, si así lo estimare, por qué la normativa aplicable sería la de la Ley de Reconciliación Nacional, teniendo presente los principios jurídicos que inspiran el Derecho Penal y regulan la aplicación de las leyes en el tiempo, tales como la irretroactividad, ultractividad y extractividad (sic) de la ley penal. Naturalmente, también tendrá en consideración los tratados internacionales ratificados por el Estado de Guatemala. En cualesquiera de los </w:t>
      </w:r>
      <w:r w:rsidRPr="00B848BB">
        <w:rPr>
          <w:i/>
          <w:snapToGrid/>
          <w:sz w:val="20"/>
          <w:lang w:val="x-none" w:eastAsia="en-US"/>
        </w:rPr>
        <w:lastRenderedPageBreak/>
        <w:t>casos, la Sala deberá analizar la naturaleza jurídica de los delitos imputados y el alcance de las amnistías decretadas.</w:t>
      </w:r>
      <w:r w:rsidRPr="00B848BB">
        <w:rPr>
          <w:snapToGrid/>
          <w:sz w:val="20"/>
          <w:lang w:val="x-none" w:eastAsia="en-US"/>
        </w:rPr>
        <w:t xml:space="preserve">” </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 xml:space="preserve">Por lo tanto, la Corte Suprema de Justicia, a través de la Cámara de Amparos y Antejuicio, </w:t>
      </w:r>
      <w:r w:rsidRPr="0003155F">
        <w:rPr>
          <w:snapToGrid/>
          <w:sz w:val="20"/>
          <w:lang w:val="es-ES" w:eastAsia="en-US"/>
        </w:rPr>
        <w:t>constituido</w:t>
      </w:r>
      <w:r w:rsidRPr="00B848BB">
        <w:rPr>
          <w:snapToGrid/>
          <w:sz w:val="20"/>
          <w:lang w:val="x-none" w:eastAsia="en-US"/>
        </w:rPr>
        <w:t xml:space="preserve"> en Tribunal de Amparo otorgó el amparo solicitado, y dejó en suspenso el acto reclamado -auto del 15 de junio de 2012-, dictado por la Sala Primera de la Corte de Apelaciones del Ramo Penal, Narcoactividad y Delitos contra el Ambiente.</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 xml:space="preserve">La honorable Corte de Constitucionalidad de Guatemala el 22 de octubre de 2013, en los expedientes acumulados 1523-2013 y 1543-2013, resolvió la apelación interpuesta en contra </w:t>
      </w:r>
      <w:r w:rsidRPr="0003155F">
        <w:rPr>
          <w:snapToGrid/>
          <w:sz w:val="20"/>
          <w:lang w:val="es-ES" w:eastAsia="en-US"/>
        </w:rPr>
        <w:t>de</w:t>
      </w:r>
      <w:r w:rsidRPr="00B848BB">
        <w:rPr>
          <w:snapToGrid/>
          <w:sz w:val="20"/>
          <w:lang w:val="x-none" w:eastAsia="en-US"/>
        </w:rPr>
        <w:t xml:space="preserve"> la sentencia del 16 de abril de 2013 emitida por la Corte Suprema de Justicia, Cámara de Amparo y Antejuicio, en la acción constitucional de amparo promovida por José Efraín Ríos Montt contra la Sala Primera de la Corte de Apelaciones del ramo Penal, Narcoactividad y Delitos contra el Ambiente.</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 xml:space="preserve">La apelación fue planteada por la Asociación para la Justicia y Reconciliación –AJR-, como tercera interesada –querellante adhesiva-, así como por el Ministerio Público, por medio de la Fiscalía de Asuntos Constitucionales, Amparos y Exhibición personal. La AJR, indicó que: el Decreto Ley 8-86 no está vigente, ya que la Ley de Reconciliación Nacional dispuso expresamente su derogatoria, de ahí que sea notoria la imposibilidad de aplicar la norma invocada por el amparista.  El Ministerio Público y el Querellante Adhesivo como partes apelantes indicaron que </w:t>
      </w:r>
      <w:r w:rsidRPr="00B848BB">
        <w:rPr>
          <w:b/>
          <w:snapToGrid/>
          <w:sz w:val="20"/>
          <w:u w:val="single"/>
          <w:lang w:val="x-none" w:eastAsia="en-US"/>
        </w:rPr>
        <w:t>el Decreto Ley 8-86 no está vigente</w:t>
      </w:r>
      <w:r w:rsidRPr="00B848BB">
        <w:rPr>
          <w:snapToGrid/>
          <w:sz w:val="20"/>
          <w:lang w:val="x-none" w:eastAsia="en-US"/>
        </w:rPr>
        <w:t>.</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 xml:space="preserve">José Efraín Ríos Montt, como accionante del amparo, por medio de su abogado defensor </w:t>
      </w:r>
      <w:r w:rsidRPr="0003155F">
        <w:rPr>
          <w:snapToGrid/>
          <w:sz w:val="20"/>
          <w:lang w:val="es-ES" w:eastAsia="en-US"/>
        </w:rPr>
        <w:t>Francisco</w:t>
      </w:r>
      <w:r w:rsidRPr="00B848BB">
        <w:rPr>
          <w:snapToGrid/>
          <w:sz w:val="20"/>
          <w:lang w:val="x-none" w:eastAsia="en-US"/>
        </w:rPr>
        <w:t xml:space="preserve"> José Palomo Tejeda argumentó en los alegatos de la vista:</w:t>
      </w:r>
    </w:p>
    <w:p w:rsidR="00B848BB" w:rsidRPr="00B848BB" w:rsidRDefault="00B848BB" w:rsidP="00B848BB">
      <w:pPr>
        <w:pStyle w:val="SingleTxtGC"/>
        <w:spacing w:line="240" w:lineRule="exact"/>
        <w:rPr>
          <w:snapToGrid/>
          <w:sz w:val="20"/>
          <w:lang w:val="es-ES" w:eastAsia="en-US"/>
        </w:rPr>
      </w:pPr>
      <w:r w:rsidRPr="00B848BB">
        <w:rPr>
          <w:i/>
          <w:snapToGrid/>
          <w:sz w:val="20"/>
          <w:lang w:val="x-none" w:eastAsia="en-US"/>
        </w:rPr>
        <w:t xml:space="preserve">“(...) la ley no tiene efectos retroactivos, no modifica derechos adquiridos y la posición jurídica constituida bajo una ley anterior se conserva bajo el imperio de una ley posterior; sobre estos principios es que se versa el presente amparo, que fue otorgado por la Corte Suprema de Justicia, Cámara de Amparo y Antejuicio, y cuya sentencia fue apelada por el Ministerio Público y por los querellantes adhesivos. (...) indicó que promovió excepción de extinción de la persecución penal como obstáculo, invocando el motivo contenido en el artículo 32, numeral 2) del Código Procesal Penal-amnistía-, planteamiento que tiene como base el Decreto Ley 8-86, en cuyo artículo 1º. confirió amnistía a toda persona sindicada de haber cometido delitos políticos y comunes conexos con éstos, sin ninguna excepción, durante el periodo comprendido entre el veintitrés de marzo de mil novecientos ochenta y dos al catorce de enero de mil novecientos ochenta y seis, la cual tenía la particularidad que se concedía sin necesidad de trámite alguno porque quien quisiera beneficiarse de ella, es decir, se concedió por ministerio de la ley, a diferencia de otras amnistías que se habían otorgado con anterioridad o que se fueron dando con posterioridad, en las cuales se requería algún trámite –administrativo o judicial- de la persona que quería beneficiarse de ésta; los hechos por los que se confirió la amnistía fueron por los sucesos acaecidos en el conflicto armado interno y no otros.  (...) La norma en la que basó su petición fue reconocida por la Constitución Política de la República de Guatemala, vía del artículo 16 transitorio, que claramente indica que se reconoce la validez de todos los decretos emitidos durante el gobierno militar, entre los cuales se encuentra el Decreto Ley 8-86, el cual nunca fue impugnado de inconstitucionalidad. Con la firma de la Paz, se emitió la Ley de Reconciliación Nacional, en la que se otorgó una nueva amnistía, en otras condiciones, con otros requisitos, y con un listado, numerosos clausus de los delitos por los que se podría beneficiar el requiriente; sin embargo, el espíritu de esta última amnistía naturalmente, era otorgarla a los hechos acaecidos en los últimos diez años del conflicto, es decir, entre mil novecientos ochenta y seis y mil novecientos noventa y seis, cuando se firmó la paz; es esa última la que contiene excepciones de delitos para otorgarse la amnistía por el Juez Contralor al resolver la excepción planteada, la declaró sin lugar, afirmando que la única ley aplicable era la Ley de Reconciliación Nacional por estar vigente y que no se podía entrar a considerar el </w:t>
      </w:r>
      <w:r w:rsidRPr="00B848BB">
        <w:rPr>
          <w:i/>
          <w:snapToGrid/>
          <w:sz w:val="20"/>
          <w:lang w:val="x-none" w:eastAsia="en-US"/>
        </w:rPr>
        <w:lastRenderedPageBreak/>
        <w:t>Decreto 8-86, por lo que se apeló esa resolución y la autoridad impugnada la confirmó, señalando que no podía invocarse al referido decreto por estar derogado, lo que resulta agraviante, ya que se ignoró la que fundaba su petición, es decir, se omitió aplicar los principios mencionados, puesto que pretenden aplicar el Decreto 145-96 del Congreso de la República, en forma retroactiva y sin tomar en cuenta la posición jurídica de amnistiado que le otorgó el Decreto Ley 8-86, el cual conserva el amparo de aquel. Adicionó que la discusión del proceso, antecedente del amparo, se argumentado por el ente acusador que los Tratados sobre Derechos Humanos tienen prevalencia sobre el derecho interno, y que se trata de un caso de ius cogens y que, por lo tanto, no es aplicable amnistía alguna; sin embargo, si bien los tratados de derechos humanos prevalecen sobre el derecho interno, éstos no prevalecen sobre la Constitución Política de la República de Guatemala, que es el cuerpo legal que claramente establece que la ley no tiene efectos retroactivos, motivo por el que existe agravio en su contra al pretender aplicar, con la resolución que constituye el acto reclamado, exclusiones de amnistía de una ley posterior a la época en la que había quedado amnistiado, por ello el Tribunal de Amparo de primer grado, otorgó la protección constitucional, puesto que la Sala eludió resolver sobre el punto jurídico sometido a su conocimiento.  Es importante señalar que la sentencia impugnada ordenó dictar nueva resolución tomando en cuenta los principios jurídicos que inspiran el derecho penal que regulan la aplicación de las leyes en el tiempo y que analizara también la irretroactividad, la ultractividad y extractividad de la ley penal; es decir, que será la autoridad impugnada cuando dicte esa nueva resolución, en la que entren a resolver el fondo del asunto, lo que debe hacer la jurisdicción ordinaria y no mediante el presente amparo</w:t>
      </w:r>
      <w:r w:rsidRPr="00B848BB">
        <w:rPr>
          <w:i/>
          <w:snapToGrid/>
          <w:sz w:val="20"/>
          <w:lang w:val="es-ES" w:eastAsia="en-US"/>
        </w:rPr>
        <w:t>(…</w:t>
      </w:r>
      <w:r w:rsidRPr="00B848BB">
        <w:rPr>
          <w:i/>
          <w:snapToGrid/>
          <w:sz w:val="20"/>
          <w:lang w:val="x-none" w:eastAsia="en-US"/>
        </w:rPr>
        <w:t>)</w:t>
      </w:r>
      <w:r w:rsidRPr="00B848BB">
        <w:rPr>
          <w:i/>
          <w:snapToGrid/>
          <w:sz w:val="18"/>
          <w:vertAlign w:val="superscript"/>
          <w:lang w:val="x-none" w:eastAsia="en-US"/>
        </w:rPr>
        <w:footnoteReference w:id="5"/>
      </w:r>
      <w:r w:rsidRPr="00B848BB">
        <w:rPr>
          <w:i/>
          <w:snapToGrid/>
          <w:sz w:val="20"/>
          <w:lang w:val="es-ES" w:eastAsia="en-US"/>
        </w:rPr>
        <w:t>.</w:t>
      </w:r>
    </w:p>
    <w:p w:rsidR="00B848BB" w:rsidRPr="00B848BB" w:rsidRDefault="00B848BB" w:rsidP="00B848BB">
      <w:pPr>
        <w:keepNext/>
        <w:keepLines/>
        <w:tabs>
          <w:tab w:val="clear" w:pos="431"/>
          <w:tab w:val="right" w:pos="851"/>
        </w:tabs>
        <w:suppressAutoHyphens/>
        <w:overflowPunct/>
        <w:adjustRightInd/>
        <w:snapToGrid/>
        <w:spacing w:before="360" w:after="240" w:line="270" w:lineRule="exact"/>
        <w:ind w:left="1134" w:right="1134" w:hanging="1134"/>
        <w:jc w:val="left"/>
        <w:rPr>
          <w:b/>
          <w:snapToGrid/>
          <w:sz w:val="24"/>
          <w:lang w:val="es-GT" w:eastAsia="en-US"/>
        </w:rPr>
      </w:pPr>
      <w:r w:rsidRPr="00B848BB">
        <w:rPr>
          <w:b/>
          <w:snapToGrid/>
          <w:sz w:val="24"/>
          <w:lang w:val="es-GT" w:eastAsia="en-US"/>
        </w:rPr>
        <w:tab/>
      </w:r>
      <w:r w:rsidRPr="00B848BB">
        <w:rPr>
          <w:b/>
          <w:snapToGrid/>
          <w:sz w:val="24"/>
          <w:lang w:val="es-GT" w:eastAsia="en-US"/>
        </w:rPr>
        <w:tab/>
        <w:t>La Corte de Constitucionalidad en la parte considerativa razonó:</w:t>
      </w:r>
    </w:p>
    <w:p w:rsidR="00B848BB" w:rsidRPr="00B848BB" w:rsidRDefault="00B848BB" w:rsidP="00B848BB">
      <w:pPr>
        <w:pStyle w:val="SingleTxtGC"/>
        <w:spacing w:line="240" w:lineRule="exact"/>
        <w:rPr>
          <w:i/>
          <w:snapToGrid/>
          <w:sz w:val="20"/>
          <w:lang w:val="x-none" w:eastAsia="en-US"/>
        </w:rPr>
      </w:pPr>
      <w:r w:rsidRPr="00B848BB">
        <w:rPr>
          <w:i/>
          <w:snapToGrid/>
          <w:sz w:val="20"/>
          <w:lang w:val="x-none" w:eastAsia="en-US"/>
        </w:rPr>
        <w:t xml:space="preserve">“(...) Para que una resolución judicial produzca efectos jurídicos debe ser clara, precisa, concreta y fundamentada, de modo tal que de su sola lectura pueda establecerse la decisión asumida por el órgano jurisdiccional que la emite, acorde a las peticiones formuladas y las constancias procesales.”  “El Tribunal que conoce de alzada, bien en la </w:t>
      </w:r>
      <w:r w:rsidRPr="0003155F">
        <w:rPr>
          <w:snapToGrid/>
          <w:sz w:val="20"/>
          <w:lang w:val="es-ES" w:eastAsia="en-US"/>
        </w:rPr>
        <w:t>jurisdicci</w:t>
      </w:r>
      <w:r w:rsidRPr="00B848BB">
        <w:rPr>
          <w:i/>
          <w:snapToGrid/>
          <w:sz w:val="20"/>
          <w:lang w:val="x-none" w:eastAsia="en-US"/>
        </w:rPr>
        <w:t>ón ordinaria, o los que pudieran ser instados en la jurisdicción constitucional, son los principales obligados a tener conocimiento de las razones que fundamente las decisiones que hayan sido emitidas para determinar la condición jurídica de los sujetos sometidos a su poder.</w:t>
      </w:r>
      <w:r w:rsidRPr="00B848BB">
        <w:rPr>
          <w:i/>
          <w:snapToGrid/>
          <w:sz w:val="18"/>
          <w:vertAlign w:val="superscript"/>
          <w:lang w:val="x-none" w:eastAsia="en-US"/>
        </w:rPr>
        <w:footnoteReference w:id="6"/>
      </w:r>
      <w:r w:rsidRPr="00B848BB">
        <w:rPr>
          <w:i/>
          <w:snapToGrid/>
          <w:sz w:val="20"/>
          <w:lang w:val="x-none" w:eastAsia="en-US"/>
        </w:rPr>
        <w:t>”</w:t>
      </w:r>
    </w:p>
    <w:p w:rsidR="00B848BB" w:rsidRPr="00B848BB" w:rsidRDefault="00B848BB" w:rsidP="00B848BB">
      <w:pPr>
        <w:pStyle w:val="SingleTxtGC"/>
        <w:spacing w:line="240" w:lineRule="exact"/>
        <w:rPr>
          <w:i/>
          <w:snapToGrid/>
          <w:sz w:val="20"/>
          <w:lang w:val="x-none" w:eastAsia="en-US"/>
        </w:rPr>
      </w:pPr>
      <w:r w:rsidRPr="00B848BB">
        <w:rPr>
          <w:i/>
          <w:snapToGrid/>
          <w:sz w:val="20"/>
          <w:lang w:val="x-none" w:eastAsia="en-US"/>
        </w:rPr>
        <w:t xml:space="preserve">“(...) Se argumentó que se omitió hacer un análisis respecto de los derechos adquiridos y la posición jurídica de amnistiado que le corresponde por ministerio de la ley y por el </w:t>
      </w:r>
      <w:r w:rsidRPr="0003155F">
        <w:rPr>
          <w:snapToGrid/>
          <w:sz w:val="20"/>
          <w:lang w:val="es-ES" w:eastAsia="en-US"/>
        </w:rPr>
        <w:t>contrario</w:t>
      </w:r>
      <w:r w:rsidRPr="00B848BB">
        <w:rPr>
          <w:i/>
          <w:snapToGrid/>
          <w:sz w:val="20"/>
          <w:lang w:val="x-none" w:eastAsia="en-US"/>
        </w:rPr>
        <w:t xml:space="preserve"> se resolvió la cuestión sometida a su conocimiento, confundiendo las instituciones de prescripción y amnistía e invocando jurisprudencia de la Corte Interamericana de Derechos Humanos que no es aplicable, (...).</w:t>
      </w:r>
      <w:r w:rsidRPr="00B848BB">
        <w:rPr>
          <w:i/>
          <w:snapToGrid/>
          <w:sz w:val="18"/>
          <w:vertAlign w:val="superscript"/>
          <w:lang w:val="x-none" w:eastAsia="en-US"/>
        </w:rPr>
        <w:footnoteReference w:id="7"/>
      </w:r>
      <w:r w:rsidRPr="00B848BB">
        <w:rPr>
          <w:i/>
          <w:snapToGrid/>
          <w:sz w:val="20"/>
          <w:lang w:val="x-none" w:eastAsia="en-US"/>
        </w:rPr>
        <w:t>”</w:t>
      </w:r>
    </w:p>
    <w:p w:rsidR="00B848BB" w:rsidRPr="00B848BB" w:rsidRDefault="00B848BB" w:rsidP="00B848BB">
      <w:pPr>
        <w:pStyle w:val="SingleTxtGC"/>
        <w:spacing w:line="240" w:lineRule="exact"/>
        <w:rPr>
          <w:i/>
          <w:snapToGrid/>
          <w:sz w:val="20"/>
          <w:lang w:val="x-none" w:eastAsia="en-US"/>
        </w:rPr>
      </w:pPr>
      <w:r w:rsidRPr="00B848BB">
        <w:rPr>
          <w:i/>
          <w:snapToGrid/>
          <w:sz w:val="20"/>
          <w:lang w:val="x-none" w:eastAsia="en-US"/>
        </w:rPr>
        <w:t xml:space="preserve">“(...) Una de las funciones esenciales radica en la obligación que, sin excepción, sus fallos sean claros y motivados.  La obligatoriedad e intangibilidad de las decisiones judiciales </w:t>
      </w:r>
      <w:r w:rsidRPr="0003155F">
        <w:rPr>
          <w:snapToGrid/>
          <w:sz w:val="20"/>
          <w:lang w:val="es-ES" w:eastAsia="en-US"/>
        </w:rPr>
        <w:t>proviene</w:t>
      </w:r>
      <w:r w:rsidRPr="00B848BB">
        <w:rPr>
          <w:i/>
          <w:snapToGrid/>
          <w:sz w:val="20"/>
          <w:lang w:val="x-none" w:eastAsia="en-US"/>
        </w:rPr>
        <w:t xml:space="preserve"> de la potestad que les confiere la Constitución Política de la República de Guatemala, específicamente en el artículo 203, para resolver los casos concretos –juzgar-, con base en la aplicación de los preceptos, principios y valores plasmados en el propio texto fundamental, tratados internacionales y en las demás leyes, y de ninguna manera emanan de la simple voluntad o de la imposición que pretenda hacer el juez de una determinada conducta o abstención forzosa para el sujeto pasivo del fallo. Es decir que </w:t>
      </w:r>
      <w:r w:rsidRPr="00B848BB">
        <w:rPr>
          <w:i/>
          <w:snapToGrid/>
          <w:sz w:val="20"/>
          <w:lang w:val="x-none" w:eastAsia="en-US"/>
        </w:rPr>
        <w:lastRenderedPageBreak/>
        <w:t>toda resolución debe estar razonablemente fundada en el ordenamiento jurídico, mediante la aplicación de las reglas a las circunstancias de hecho sobre las cuales haya recaído la controversia jurídica, surgida en el curso del proceso y la evaluación que el propio juez, al impartir justicia, ya percibido de los razonamientos esgrimidos por los sujetos, los elementos de convicción y de la autonomía funcional que los preceptos fundamentales les garantiza. (...</w:t>
      </w:r>
      <w:r w:rsidRPr="00B848BB">
        <w:rPr>
          <w:i/>
          <w:snapToGrid/>
          <w:sz w:val="20"/>
          <w:lang w:val="es-ES" w:eastAsia="en-US"/>
        </w:rPr>
        <w:t>. .</w:t>
      </w:r>
      <w:r w:rsidRPr="00B848BB">
        <w:rPr>
          <w:i/>
          <w:snapToGrid/>
          <w:sz w:val="20"/>
          <w:lang w:val="x-none" w:eastAsia="en-US"/>
        </w:rPr>
        <w:t>)</w:t>
      </w:r>
      <w:r w:rsidRPr="00B848BB">
        <w:rPr>
          <w:i/>
          <w:snapToGrid/>
          <w:sz w:val="18"/>
          <w:vertAlign w:val="superscript"/>
          <w:lang w:val="x-none" w:eastAsia="en-US"/>
        </w:rPr>
        <w:footnoteReference w:id="8"/>
      </w:r>
      <w:r w:rsidRPr="00B848BB">
        <w:rPr>
          <w:i/>
          <w:snapToGrid/>
          <w:sz w:val="20"/>
          <w:lang w:val="x-none" w:eastAsia="en-US"/>
        </w:rPr>
        <w:t>.”</w:t>
      </w:r>
    </w:p>
    <w:p w:rsidR="00B848BB" w:rsidRPr="00B848BB" w:rsidRDefault="00B848BB" w:rsidP="00B848BB">
      <w:pPr>
        <w:pStyle w:val="SingleTxtGC"/>
        <w:spacing w:line="240" w:lineRule="exact"/>
        <w:rPr>
          <w:i/>
          <w:snapToGrid/>
          <w:sz w:val="20"/>
          <w:lang w:val="x-none" w:eastAsia="en-US"/>
        </w:rPr>
      </w:pPr>
      <w:r w:rsidRPr="00B848BB">
        <w:rPr>
          <w:i/>
          <w:snapToGrid/>
          <w:sz w:val="20"/>
          <w:lang w:val="x-none" w:eastAsia="en-US"/>
        </w:rPr>
        <w:t>“(...), esta Corte establece que la autoridad impugnada, al emitir el acto reclamado, conculcó los derechos del postulante, pues de la simple lectura del acto reclamado se denota que las conclusiones a las que arribó la autoridad impugnada, carecen de de una motivación fáctica y jurídica, pues se limitó a transcribir el artículo 8 de la Ley de Reconciliación Nacional y a indicar que al procesado se le instruye proceso por los delitos de Genocidio y Delitos contra los deberes de la humanidad, cuando los sometido a su conocimiento es la aplicación de una norma-Decreto Ley 8-86- que, a juicio del sindicado, le confirió ciertos derechos con lo que extingue la persecución penal, por lo que al tenor de las reglas para resolver los conflictos de leyes en el tiempo, aduce, que, a pesar de estar derogada aquella, los derechos conferidos se mantienen y que la amnistía otorgada fue por todos los delitos cometidos en el periodo de tiempo establecido en la norma, aspectos sobre los que no se pronunció.  De ahí que la obligación de la autoridad impugnada era analizar cada uno de los argumentos sobre los cuales se apoyo el recurso de apelación, encaminado a evidenciar la aplicabilidad del Decreto Ley citado al tenor de las reglas para resolver los conflictos de ley en el tiempo y su relación con los delitos políticos y comunes conexos a estos, en función de los delitos por los que el amparista se le instruye proceso penal; por lo que al no razonar fundamentadamente la decisión para desestimar el recurso interpuesto, tal como lo establece el artículo 409 del Código Procesal Penal, en cuanto a que establece que el tribunal de alzada al conocer en apelación asume la jurisdicción del inferior al revisar lo resuelto, teniendo la facultad de confirmar, revocar, reformar o adicionar la decisión de su a quo, dentro de los límites que señala la norma ibídem, provocó las violaciones denunciadas. (....)</w:t>
      </w:r>
      <w:r w:rsidRPr="00B848BB">
        <w:rPr>
          <w:i/>
          <w:snapToGrid/>
          <w:sz w:val="18"/>
          <w:vertAlign w:val="superscript"/>
          <w:lang w:val="x-none" w:eastAsia="en-US"/>
        </w:rPr>
        <w:footnoteReference w:id="9"/>
      </w:r>
      <w:r w:rsidRPr="00B848BB">
        <w:rPr>
          <w:i/>
          <w:snapToGrid/>
          <w:sz w:val="20"/>
          <w:lang w:val="x-none" w:eastAsia="en-US"/>
        </w:rPr>
        <w:t>”</w:t>
      </w:r>
    </w:p>
    <w:p w:rsidR="00B848BB" w:rsidRPr="00B848BB" w:rsidRDefault="00B848BB" w:rsidP="00B848BB">
      <w:pPr>
        <w:pStyle w:val="SingleTxtGC"/>
        <w:spacing w:line="240" w:lineRule="exact"/>
        <w:rPr>
          <w:i/>
          <w:snapToGrid/>
          <w:sz w:val="20"/>
          <w:lang w:val="x-none" w:eastAsia="en-US"/>
        </w:rPr>
      </w:pPr>
      <w:r w:rsidRPr="00B848BB">
        <w:rPr>
          <w:i/>
          <w:snapToGrid/>
          <w:sz w:val="20"/>
          <w:lang w:val="x-none" w:eastAsia="en-US"/>
        </w:rPr>
        <w:t xml:space="preserve">“(...), se concluye que la Sala impugnada, al no cumplir con su obligación de fundamentar las resoluciones judiciales en la forma establecida en el artículo 11 Bis de la ley procesal penal, varió las formas del proceso en contravención del principio de imperatividad </w:t>
      </w:r>
      <w:r w:rsidRPr="0003155F">
        <w:rPr>
          <w:snapToGrid/>
          <w:sz w:val="20"/>
          <w:lang w:val="es-ES" w:eastAsia="en-US"/>
        </w:rPr>
        <w:t>contemplado</w:t>
      </w:r>
      <w:r w:rsidRPr="00B848BB">
        <w:rPr>
          <w:i/>
          <w:snapToGrid/>
          <w:sz w:val="20"/>
          <w:lang w:val="x-none" w:eastAsia="en-US"/>
        </w:rPr>
        <w:t xml:space="preserve"> en el artículo 3 de la ley ibídem y, por ende ocasionó la vulneración a los derechos de defensa y al debido proceso constitucionalmente garantizados.  De ahí que es procedente declarar sin lugar los recursos de apelación interpuestos y, y como consecuencia, confirmar la sentencia impugnada (...)</w:t>
      </w:r>
      <w:r w:rsidRPr="00B848BB">
        <w:rPr>
          <w:i/>
          <w:snapToGrid/>
          <w:sz w:val="18"/>
          <w:vertAlign w:val="superscript"/>
          <w:lang w:val="x-none" w:eastAsia="en-US"/>
        </w:rPr>
        <w:footnoteReference w:id="10"/>
      </w:r>
      <w:r w:rsidRPr="00B848BB">
        <w:rPr>
          <w:i/>
          <w:snapToGrid/>
          <w:sz w:val="20"/>
          <w:lang w:val="x-none" w:eastAsia="en-US"/>
        </w:rPr>
        <w:t>”</w:t>
      </w:r>
    </w:p>
    <w:p w:rsidR="00B848BB" w:rsidRPr="00B848BB" w:rsidRDefault="00B848BB" w:rsidP="00B848BB">
      <w:pPr>
        <w:pStyle w:val="SingleTxtGC"/>
        <w:spacing w:line="240" w:lineRule="exact"/>
        <w:rPr>
          <w:snapToGrid/>
          <w:sz w:val="20"/>
          <w:lang w:val="es-GT" w:eastAsia="en-US"/>
        </w:rPr>
      </w:pPr>
      <w:r w:rsidRPr="00B848BB">
        <w:rPr>
          <w:snapToGrid/>
          <w:sz w:val="20"/>
          <w:lang w:val="es-ES" w:eastAsia="en-US"/>
        </w:rPr>
        <w:t>Por orden de la Corte de Constitucionalidad, la judicatura (la Sala) debe emitir un nuevo fallo en que explique por qué Ríos Montt podría ser beneficiado con el perdón judicial que otorgó el decreto 8-86.  Por lo tanto se está a la espera de la resolución de la Sala Primera de la Corte de Apelaciones</w:t>
      </w:r>
      <w:r w:rsidRPr="00B848BB">
        <w:rPr>
          <w:snapToGrid/>
          <w:sz w:val="20"/>
          <w:lang w:val="es-GT" w:eastAsia="en-US"/>
        </w:rPr>
        <w:t xml:space="preserve"> del Ramo Penal, Narcoactividad y Delitos contra el Ambiente.</w:t>
      </w:r>
    </w:p>
    <w:p w:rsidR="00B848BB" w:rsidRPr="00B848BB" w:rsidRDefault="00B848BB" w:rsidP="00B848BB">
      <w:pPr>
        <w:keepNext/>
        <w:keepLines/>
        <w:tabs>
          <w:tab w:val="clear" w:pos="431"/>
          <w:tab w:val="right" w:pos="851"/>
        </w:tabs>
        <w:suppressAutoHyphens/>
        <w:overflowPunct/>
        <w:adjustRightInd/>
        <w:snapToGrid/>
        <w:spacing w:before="360" w:after="240" w:line="300" w:lineRule="exact"/>
        <w:ind w:left="1134" w:right="1134" w:hanging="1134"/>
        <w:jc w:val="left"/>
        <w:rPr>
          <w:b/>
          <w:snapToGrid/>
          <w:sz w:val="28"/>
          <w:lang w:val="x-none" w:eastAsia="en-US"/>
        </w:rPr>
      </w:pPr>
      <w:r w:rsidRPr="00B848BB">
        <w:rPr>
          <w:b/>
          <w:snapToGrid/>
          <w:sz w:val="28"/>
          <w:lang w:val="x-none" w:eastAsia="en-US"/>
        </w:rPr>
        <w:tab/>
      </w:r>
      <w:r w:rsidRPr="00B848BB">
        <w:rPr>
          <w:b/>
          <w:snapToGrid/>
          <w:sz w:val="28"/>
          <w:lang w:val="es-ES" w:eastAsia="en-US"/>
        </w:rPr>
        <w:t>V.</w:t>
      </w:r>
      <w:r w:rsidRPr="00B848BB">
        <w:rPr>
          <w:b/>
          <w:snapToGrid/>
          <w:sz w:val="28"/>
          <w:lang w:val="x-none" w:eastAsia="en-US"/>
        </w:rPr>
        <w:tab/>
        <w:t>Respuesta estatal sobre la alegada falta de independencia judicial</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 xml:space="preserve">Guatemala es un Estado libre, independiente y soberano, organizado para garantizar a sus habitantes el goce de sus derechos y sus libertades. Su sistema de Gobierno es republicano, </w:t>
      </w:r>
      <w:r w:rsidRPr="00B848BB">
        <w:rPr>
          <w:snapToGrid/>
          <w:sz w:val="20"/>
          <w:lang w:val="x-none" w:eastAsia="en-US"/>
        </w:rPr>
        <w:lastRenderedPageBreak/>
        <w:t>democrático y representativo</w:t>
      </w:r>
      <w:r w:rsidRPr="00B848BB">
        <w:rPr>
          <w:snapToGrid/>
          <w:sz w:val="18"/>
          <w:vertAlign w:val="superscript"/>
          <w:lang w:val="x-none" w:eastAsia="en-US"/>
        </w:rPr>
        <w:footnoteReference w:id="11"/>
      </w:r>
      <w:r w:rsidRPr="00B848BB">
        <w:rPr>
          <w:snapToGrid/>
          <w:sz w:val="20"/>
          <w:lang w:val="x-none" w:eastAsia="en-US"/>
        </w:rPr>
        <w:t xml:space="preserve">; uno de los principios fundamentales del Estado es la </w:t>
      </w:r>
      <w:r w:rsidRPr="0003155F">
        <w:rPr>
          <w:snapToGrid/>
          <w:sz w:val="20"/>
          <w:lang w:val="es-ES" w:eastAsia="en-US"/>
        </w:rPr>
        <w:t>independencia</w:t>
      </w:r>
      <w:r w:rsidRPr="00B848BB">
        <w:rPr>
          <w:snapToGrid/>
          <w:sz w:val="20"/>
          <w:lang w:val="x-none" w:eastAsia="en-US"/>
        </w:rPr>
        <w:t xml:space="preserve"> de los órganos que administran justicia, por ello a través de la Constitución Política de la República se establece que las Comisiones de Postulación tendrán a su cargo la evaluación de los aspirantes a integrar la Corte Suprema de Justicia y la Corte de Apelaciones a efecto de proponer a personas idóneas y capaces para dirigir dichos órganos.</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 xml:space="preserve">A partir de la vigencia de la Constitución Política de la República de Guatemala promulgada el 31 de mayo de 1985, inicia el funcionamiento de las Comisiones de Postulación para participar en la elaboración de nóminas de candidatos a magistrados y magistradas de la Cortes Suprema de Justicia y las Cortes de Apelaciones dentro de las cuales </w:t>
      </w:r>
      <w:r w:rsidRPr="0003155F">
        <w:rPr>
          <w:snapToGrid/>
          <w:sz w:val="20"/>
          <w:lang w:val="es-ES" w:eastAsia="en-US"/>
        </w:rPr>
        <w:t>ser</w:t>
      </w:r>
      <w:r w:rsidRPr="00B848BB">
        <w:rPr>
          <w:snapToGrid/>
          <w:sz w:val="20"/>
          <w:lang w:val="x-none" w:eastAsia="en-US"/>
        </w:rPr>
        <w:t xml:space="preserve">ían electos por el Congreso de la República. A lo largo de más de veinte años de la vigencia de la Constitución, las referidas comisiones no contaban con una ley específica que regulara su actuación. </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 xml:space="preserve">La Constitución Política de la República, regula en el artículo 209 que el nombramiento de jueces, secretarios y personal auxiliar serán nombrados por la Corte Suprema de Justicia, con lo que se indicó la importancia de establecer la carrera judicial a través de una ley específica. Por ello, el 10 de diciembre de 1999, se aprobó el Decreto 41-99 del Congreso de la República, Ley de la Carrera Judicial, la cual estableció dentro de sus considerandos: “Que </w:t>
      </w:r>
      <w:r w:rsidRPr="0003155F">
        <w:rPr>
          <w:snapToGrid/>
          <w:sz w:val="20"/>
          <w:lang w:val="es-ES" w:eastAsia="en-US"/>
        </w:rPr>
        <w:t>una</w:t>
      </w:r>
      <w:r w:rsidRPr="00B848BB">
        <w:rPr>
          <w:snapToGrid/>
          <w:sz w:val="20"/>
          <w:lang w:val="x-none" w:eastAsia="en-US"/>
        </w:rPr>
        <w:t xml:space="preserve"> de las grandes debilidades estructurales del Estado Guatemalteco reside en el Sistema de Administración de Justicia, que es uno de los servicios públicos esenciales”.</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 xml:space="preserve">El objetivo de la Ley de la Carrera Judicial, es establecer los principios, normas y </w:t>
      </w:r>
      <w:r w:rsidRPr="0003155F">
        <w:rPr>
          <w:snapToGrid/>
          <w:sz w:val="20"/>
          <w:lang w:val="es-ES" w:eastAsia="en-US"/>
        </w:rPr>
        <w:t>procedimientos</w:t>
      </w:r>
      <w:r w:rsidRPr="00B848BB">
        <w:rPr>
          <w:snapToGrid/>
          <w:sz w:val="20"/>
          <w:lang w:val="x-none" w:eastAsia="en-US"/>
        </w:rPr>
        <w:t>, así como crear los órganos necesarios para la administración y operación de la carrera judicial. La Carrera Judicial establece el Sistema que regula el ingreso, permanencia, promoción, ascenso, capacitación, disciplina y otras actividades de los jueces y magistrados, cualquiera que sea su categoría o grado, con el fin de garantizar su dignidad, independencia y excelencia profesional en el ejercicio de su función jurisdiccional.</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El tres de febrero del dos mil cinco se aprobó el Decreto 16-2005 del Congreso de la Repú</w:t>
      </w:r>
      <w:r w:rsidRPr="0003155F">
        <w:rPr>
          <w:snapToGrid/>
          <w:sz w:val="20"/>
          <w:lang w:val="es-ES" w:eastAsia="en-US"/>
        </w:rPr>
        <w:t>blica</w:t>
      </w:r>
      <w:r w:rsidRPr="00B848BB">
        <w:rPr>
          <w:snapToGrid/>
          <w:sz w:val="20"/>
          <w:lang w:val="x-none" w:eastAsia="en-US"/>
        </w:rPr>
        <w:t xml:space="preserve">, Ley de Garantía a la Imparcialidad de Comisiones de Postulación, el que se estableció la prohibición a los funcionarios que ocupen cargos públicos, de contratar a los miembros que conformaron la Comisión que los postuló, sus cónyuges o parientes dentro de los grados de ley. </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 xml:space="preserve">La incorporación de las Comisiones de Postulación dentro del ordenamiento jurídico tiene como </w:t>
      </w:r>
      <w:r w:rsidRPr="0003155F">
        <w:rPr>
          <w:snapToGrid/>
          <w:sz w:val="20"/>
          <w:lang w:val="es-ES" w:eastAsia="en-US"/>
        </w:rPr>
        <w:t>objetivo</w:t>
      </w:r>
      <w:r w:rsidRPr="00B848BB">
        <w:rPr>
          <w:snapToGrid/>
          <w:sz w:val="20"/>
          <w:lang w:val="x-none" w:eastAsia="en-US"/>
        </w:rPr>
        <w:t xml:space="preserve"> fundamental, eliminar la arbitrariedad y subjetividad en la elección de los funcionarios que integraran o dirigirán dichos órganos jurisdiccionales y otros órganos del Estado. Este objetivo se ve reflejado en la aprobación del Decreto número 19-2009 del Congreso de la República, Ley de Comisiones de Postulación, la cual finalmente fue aprobada después de una ardua lucha de la sociedad civil que demando de sus representantes ante el Congreso de la República la regulación de las actividades de las Comisiones de Postulación.</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 xml:space="preserve">En la Ley de Comisiones de Postulación, en los considerandos establece que la Constitución Política de la República institucionalizo las Comisiones de Postulación a efecto de limitar la discrecionalidad de los Organismos del Estado en cuanto al nombramiento subjetivo e idóneo de determinadas autoridades públicas que ejercen acciones </w:t>
      </w:r>
      <w:r w:rsidRPr="0003155F">
        <w:rPr>
          <w:snapToGrid/>
          <w:sz w:val="20"/>
          <w:lang w:val="es-ES" w:eastAsia="en-US"/>
        </w:rPr>
        <w:t>esenciales</w:t>
      </w:r>
      <w:r w:rsidRPr="00B848BB">
        <w:rPr>
          <w:snapToGrid/>
          <w:sz w:val="20"/>
          <w:lang w:val="x-none" w:eastAsia="en-US"/>
        </w:rPr>
        <w:t xml:space="preserve"> dentro de la actividades estatal y de relevancia para la consolidación del régimen de legalidad, el fortalecimiento del Estado de Derecho y la Democracia participativa y representativa. Considerando que las Comisiones de Postulación deben garantizar la designación de autoridades públicas idóneas, con la suficiente experiencia para cumplir los mandatos constitucionales, mediante procesos públicos y objetivos, con </w:t>
      </w:r>
      <w:r w:rsidRPr="00B848BB">
        <w:rPr>
          <w:snapToGrid/>
          <w:sz w:val="20"/>
          <w:lang w:val="x-none" w:eastAsia="en-US"/>
        </w:rPr>
        <w:lastRenderedPageBreak/>
        <w:t>eficiencia, eficacia, probidad, representatividad y que tengan como base mecanismos y herramientas efectivas para su designación, como lo establece el artículo 12 de la Ley de Comisiones de Postulación.</w:t>
      </w:r>
    </w:p>
    <w:p w:rsidR="00B848BB" w:rsidRPr="00B848BB" w:rsidRDefault="00B848BB" w:rsidP="00875E55">
      <w:pPr>
        <w:pStyle w:val="SingleTxtGC"/>
        <w:spacing w:after="140" w:line="240" w:lineRule="exact"/>
        <w:rPr>
          <w:b/>
          <w:snapToGrid/>
          <w:sz w:val="20"/>
          <w:lang w:val="x-none" w:eastAsia="en-US"/>
        </w:rPr>
      </w:pPr>
      <w:r w:rsidRPr="00B848BB">
        <w:rPr>
          <w:snapToGrid/>
          <w:sz w:val="20"/>
          <w:lang w:val="x-none" w:eastAsia="en-US"/>
        </w:rPr>
        <w:t>El Estado de Guatemala, ha cumplido con lo que establece la Constitución Política de la República en los artículos 215 y 217 en cuanto al procedimiento de la elección de los magistrados y magistradas de la Corte Suprema de Justicia y de la Corte de Apelaciones y lo que regula el artículo 12 de la Ley de Comisiones de Postulación en cuanto a las obligaciones establecidas de las Comisiones de Postulación a elaborar una tabla para ponderar los aspectos éticos, académicos y méritos profesionales de los aspirantes a integrar o dirigir dichos órganos.</w:t>
      </w:r>
    </w:p>
    <w:p w:rsidR="00B848BB" w:rsidRPr="00B848BB" w:rsidRDefault="00B848BB" w:rsidP="00875E55">
      <w:pPr>
        <w:pStyle w:val="SingleTxtGC"/>
        <w:spacing w:after="140" w:line="240" w:lineRule="exact"/>
        <w:rPr>
          <w:snapToGrid/>
          <w:sz w:val="20"/>
          <w:lang w:val="x-none" w:eastAsia="en-US"/>
        </w:rPr>
      </w:pPr>
      <w:r w:rsidRPr="00B848BB">
        <w:rPr>
          <w:snapToGrid/>
          <w:sz w:val="20"/>
          <w:lang w:val="x-none" w:eastAsia="en-US"/>
        </w:rPr>
        <w:t>Mediante la Resolución emitida por la Corte de Constitucionalidad sobre el Expediente 2143-2014, se plantea la acción de inconstitucionalidad de ley de carácter general, parcial, planteada por el abogado Alfonso Carrillo Marroquín, contra el artículo 12</w:t>
      </w:r>
      <w:r w:rsidRPr="00B848BB">
        <w:rPr>
          <w:snapToGrid/>
          <w:sz w:val="18"/>
          <w:vertAlign w:val="superscript"/>
          <w:lang w:val="x-none" w:eastAsia="en-US"/>
        </w:rPr>
        <w:footnoteReference w:id="12"/>
      </w:r>
      <w:r w:rsidRPr="00B848BB">
        <w:rPr>
          <w:snapToGrid/>
          <w:sz w:val="20"/>
          <w:lang w:val="x-none" w:eastAsia="en-US"/>
        </w:rPr>
        <w:t xml:space="preserve"> del Decreto número 19-2009 del Congreso de la República, Ley de Comisiones de Postulación.</w:t>
      </w:r>
    </w:p>
    <w:p w:rsidR="00B848BB" w:rsidRPr="00B848BB" w:rsidRDefault="00B848BB" w:rsidP="00875E55">
      <w:pPr>
        <w:pStyle w:val="SingleTxtGC"/>
        <w:spacing w:after="140" w:line="240" w:lineRule="exact"/>
        <w:rPr>
          <w:b/>
          <w:snapToGrid/>
          <w:sz w:val="20"/>
          <w:lang w:val="x-none" w:eastAsia="en-US"/>
        </w:rPr>
      </w:pPr>
      <w:r w:rsidRPr="00B848BB">
        <w:rPr>
          <w:snapToGrid/>
          <w:sz w:val="20"/>
          <w:lang w:val="x-none" w:eastAsia="en-US"/>
        </w:rPr>
        <w:t xml:space="preserve">Referente a la existencia de tablas de gradación para calificar a los candidatos a magistrados y magistradas de la Corte Suprema de Justicia y de las Cortes de Apelaciones, la Corte de Constitucionalidad de Guatemala estableció en la referida sentencia de acción de inconstitucionalidad, que la misma genera desigualdad, ya que la tabla debe de aplicarse de igual </w:t>
      </w:r>
      <w:r w:rsidRPr="0003155F">
        <w:rPr>
          <w:snapToGrid/>
          <w:sz w:val="20"/>
          <w:lang w:val="es-ES" w:eastAsia="en-US"/>
        </w:rPr>
        <w:t>manera</w:t>
      </w:r>
      <w:r w:rsidRPr="00B848BB">
        <w:rPr>
          <w:snapToGrid/>
          <w:sz w:val="20"/>
          <w:lang w:val="x-none" w:eastAsia="en-US"/>
        </w:rPr>
        <w:t xml:space="preserve"> a quienes participen en un evento electoral y que por el contrario, sería la </w:t>
      </w:r>
      <w:r w:rsidRPr="00B848BB">
        <w:rPr>
          <w:snapToGrid/>
          <w:sz w:val="20"/>
          <w:lang w:val="x-none" w:eastAsia="en-US"/>
        </w:rPr>
        <w:lastRenderedPageBreak/>
        <w:t>ausencia de dicha tabla la que podría provocar que situaciones iguales fueran calificadas de distinta manera.</w:t>
      </w:r>
    </w:p>
    <w:p w:rsidR="00B848BB" w:rsidRPr="00B848BB" w:rsidRDefault="00B848BB" w:rsidP="00B848BB">
      <w:pPr>
        <w:pStyle w:val="SingleTxtGC"/>
        <w:spacing w:line="240" w:lineRule="exact"/>
        <w:rPr>
          <w:i/>
          <w:snapToGrid/>
          <w:sz w:val="20"/>
          <w:lang w:val="x-none" w:eastAsia="en-US"/>
        </w:rPr>
      </w:pPr>
      <w:r w:rsidRPr="00B848BB">
        <w:rPr>
          <w:snapToGrid/>
          <w:sz w:val="20"/>
          <w:lang w:val="x-none" w:eastAsia="en-US"/>
        </w:rPr>
        <w:t xml:space="preserve">La Corte de Constitucionalidad realizó un estudio correspondiente, tomando en consideración los estándares internacionales tanto del Sistema de Naciones Unidas como del Sistema Interamericano para la elección y nombramiento de magistrados y jueces, por lo que </w:t>
      </w:r>
      <w:r w:rsidRPr="0003155F">
        <w:rPr>
          <w:snapToGrid/>
          <w:sz w:val="20"/>
          <w:lang w:val="es-ES" w:eastAsia="en-US"/>
        </w:rPr>
        <w:t>concluyo</w:t>
      </w:r>
      <w:r w:rsidRPr="00B848BB">
        <w:rPr>
          <w:snapToGrid/>
          <w:sz w:val="20"/>
          <w:lang w:val="x-none" w:eastAsia="en-US"/>
        </w:rPr>
        <w:t xml:space="preserve"> que no existe contradicción entre el artículo 12 de la Ley de Comisiones de Postulación y los artículos 2º., 4º. y 113 de la Constitución Política de la República, estableciendo que: “</w:t>
      </w:r>
      <w:r w:rsidRPr="00B848BB">
        <w:rPr>
          <w:i/>
          <w:snapToGrid/>
          <w:sz w:val="20"/>
          <w:lang w:val="x-none" w:eastAsia="en-US"/>
        </w:rPr>
        <w:t>con relación a la lesión del derecho de igualdad denunciada, esta Corte considera que las apreciaciones formuladas imposibilitan a determinar la concurrencia de lesión al derecho de igualdad, toda vez que éste lo fundamenta en la exigencia de requisitos que no encuentran respaldo en el artículo 113 constitucional, lo que en todo caso podría ocasionar una lesión de esa norma, lo que no ocurre, según las consideraciones antes puntualizadas. Pero la existencia de un perfil para los aspirantes a un cargo público, y una tabla de gradación para calificar a los candidatos, que participaran para ser postulados a cargos públicos, no evidencia desigualdad”.</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La Asamblea Nacional Constituyente al crear las Comisiones de Postulación, buscaba limitar la discrecionalidad y consideraciones subjetivas e interesadas en los nombramientos, buscando idoneidad y capacidad para el nombramiento o elecciones de determinas autoridades públicas que ejercen funciones estatales. Las Comisiones de Postulación analizan la integridad, idoneidad, formación y calificaciones jurídicas, garantizando que los aspirantes tengan idoneidad e igualdad de oportunidades para acceder a dichos cargos.</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El procedimiento legal establecido para la elección de magistrados y magistradas de la Corte Suprema de Justicia y de la Corte de Apelaciones está regulado en la Constitución Política de la República en los artículos 215 y 217, son elegidos por el Congreso de la República para un período de cinco años, de una nómina de candidatos</w:t>
      </w:r>
      <w:r w:rsidRPr="00B848BB">
        <w:rPr>
          <w:snapToGrid/>
          <w:sz w:val="18"/>
          <w:vertAlign w:val="superscript"/>
          <w:lang w:val="x-none" w:eastAsia="en-US"/>
        </w:rPr>
        <w:footnoteReference w:id="13"/>
      </w:r>
      <w:r w:rsidRPr="00B848BB">
        <w:rPr>
          <w:snapToGrid/>
          <w:sz w:val="20"/>
          <w:lang w:val="x-none" w:eastAsia="en-US"/>
        </w:rPr>
        <w:t xml:space="preserve"> propuestos por una comisión de postulación integrada por un representante de los Rectores de las universidades del país, que la preside, los Decanos de las Facultades de Derecho o Ciencias Jurídicas y Sociales de cada universidad del país, un número equivalente de representantes electos por la Asamblea General del Colegio de Abogados y Notarios de Guatemala y por igual número de representantes electos por los magistrados titulares de la Corte de Apelaciones y Tribunales Colegiados.</w:t>
      </w:r>
    </w:p>
    <w:p w:rsidR="00B848BB" w:rsidRPr="00B848BB" w:rsidRDefault="00B848BB" w:rsidP="00B848BB">
      <w:pPr>
        <w:pStyle w:val="SingleTxtGC"/>
        <w:spacing w:line="240" w:lineRule="exact"/>
        <w:rPr>
          <w:snapToGrid/>
          <w:sz w:val="20"/>
          <w:lang w:val="es-GT" w:eastAsia="en-US"/>
        </w:rPr>
      </w:pPr>
      <w:r w:rsidRPr="00B848BB">
        <w:rPr>
          <w:snapToGrid/>
          <w:sz w:val="20"/>
          <w:lang w:val="x-none" w:eastAsia="en-US"/>
        </w:rPr>
        <w:t xml:space="preserve">La Ley de Comisiones de Postulación tiene como marco legal de referencia la Constitución Política de la República, la Ley de la Carrera del Organismo Judicial, la Ley de Garantía e Imparcialidad de Comisiones de Postulación y ciertos acuerdos gubernativos. Todo ello, en consonancia con la Ley de Acceso a la Información. La armonía de este cuerpo jurídico, requiere del apoyo de la sociedad y de las personas vinculadas con el tema, ya que se precisa de </w:t>
      </w:r>
      <w:r w:rsidRPr="0003155F">
        <w:rPr>
          <w:snapToGrid/>
          <w:sz w:val="20"/>
          <w:lang w:val="es-ES" w:eastAsia="en-US"/>
        </w:rPr>
        <w:t>buena</w:t>
      </w:r>
      <w:r w:rsidRPr="00B848BB">
        <w:rPr>
          <w:snapToGrid/>
          <w:sz w:val="20"/>
          <w:lang w:val="x-none" w:eastAsia="en-US"/>
        </w:rPr>
        <w:t xml:space="preserve"> voluntad para que se resuelvan las dudas que se generen en torno a la aplicación de este marco legal, y de esta forma cumplir con los aspectos que establece la ley, tales como el acceso a las audiencias públicas, criterios de postulación, publicidad, entre otros.</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En relación a los principios básicos de las Naciones Unidas relativos a la independencia de la judicatura establece que las personas seleccionadas para ocupar cargos juridiciales serán personas í</w:t>
      </w:r>
      <w:r w:rsidRPr="0003155F">
        <w:rPr>
          <w:snapToGrid/>
          <w:sz w:val="20"/>
          <w:lang w:val="es-ES" w:eastAsia="en-US"/>
        </w:rPr>
        <w:t>ntegras</w:t>
      </w:r>
      <w:r w:rsidRPr="00B848BB">
        <w:rPr>
          <w:snapToGrid/>
          <w:sz w:val="20"/>
          <w:lang w:val="x-none" w:eastAsia="en-US"/>
        </w:rPr>
        <w:t xml:space="preserve"> e idóneas y tendrán la formación o las calificaciones jurídicas apropiadas. Todo método utilizado para la selección de personal judicial garantizará que éste no sea </w:t>
      </w:r>
      <w:r w:rsidRPr="00B848BB">
        <w:rPr>
          <w:snapToGrid/>
          <w:sz w:val="20"/>
          <w:lang w:val="x-none" w:eastAsia="en-US"/>
        </w:rPr>
        <w:lastRenderedPageBreak/>
        <w:t>nombrado por motivos indebidos, en la selección de los jueces, no se hará discriminación alguna por motivo de raza, color, sexo, religión, opinión política o de otra índole, origen nacional o social, posición económica, nacimiento o condición; el requisito de que los postulantes a cargos judiciales sean nacionales del país de que se trate no se considerará discriminatorio.</w:t>
      </w:r>
      <w:r w:rsidRPr="00B848BB">
        <w:rPr>
          <w:snapToGrid/>
          <w:sz w:val="18"/>
          <w:vertAlign w:val="superscript"/>
          <w:lang w:val="x-none" w:eastAsia="en-US"/>
        </w:rPr>
        <w:footnoteReference w:id="14"/>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 xml:space="preserve">Para garantizar la idoneidad de los candidatos, la Ley de Comisiones de Postulación establece que se analicen los requisitos mínimos que se deben de cumplir para poder ocupar un cargo público, posteriormente las Comisiones de Postulación verifican y gradan el </w:t>
      </w:r>
      <w:r w:rsidRPr="0003155F">
        <w:rPr>
          <w:snapToGrid/>
          <w:sz w:val="20"/>
          <w:lang w:val="es-ES" w:eastAsia="en-US"/>
        </w:rPr>
        <w:t>cumplimiento</w:t>
      </w:r>
      <w:r w:rsidRPr="00B848BB">
        <w:rPr>
          <w:snapToGrid/>
          <w:sz w:val="20"/>
          <w:lang w:val="x-none" w:eastAsia="en-US"/>
        </w:rPr>
        <w:t xml:space="preserve"> de varios aspectos, como se desarrollan en las siguientes etapas del proceso:</w:t>
      </w:r>
    </w:p>
    <w:p w:rsidR="00B848BB" w:rsidRPr="00B848BB" w:rsidRDefault="00B848BB" w:rsidP="00B848BB">
      <w:pPr>
        <w:keepNext/>
        <w:keepLines/>
        <w:tabs>
          <w:tab w:val="clear" w:pos="431"/>
          <w:tab w:val="right" w:pos="851"/>
        </w:tabs>
        <w:suppressAutoHyphens/>
        <w:overflowPunct/>
        <w:adjustRightInd/>
        <w:snapToGrid/>
        <w:spacing w:before="360" w:after="240" w:line="270" w:lineRule="exact"/>
        <w:ind w:left="1134" w:right="1134" w:hanging="1134"/>
        <w:jc w:val="left"/>
        <w:rPr>
          <w:b/>
          <w:snapToGrid/>
          <w:sz w:val="24"/>
          <w:lang w:val="es-ES" w:eastAsia="en-US"/>
        </w:rPr>
      </w:pPr>
      <w:r w:rsidRPr="00B848BB">
        <w:rPr>
          <w:b/>
          <w:snapToGrid/>
          <w:sz w:val="24"/>
          <w:lang w:val="es-ES" w:eastAsia="en-US"/>
        </w:rPr>
        <w:tab/>
        <w:t>I.</w:t>
      </w:r>
      <w:r w:rsidRPr="00B848BB">
        <w:rPr>
          <w:b/>
          <w:snapToGrid/>
          <w:sz w:val="24"/>
          <w:lang w:val="es-ES" w:eastAsia="en-US"/>
        </w:rPr>
        <w:tab/>
        <w:t>Primera etapa:</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Para la elección de magistrados y magistradas a la Corte Suprema de Justicia y Cortes de Apelación, las instancias representadas en las Comisiones de Postulación son: rectores de las universidades del país, decanos de las facultades de Derecho o Ciencias Jurídicas y Sociales, Asociación de Magistrados de la Corte Suprema de Justicia e Instituto de Magistrados de las Salas de Apelaciones, y Colegio de Abogados y Notarios de Guatemala.</w:t>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En el caso del Colegio de Abogados y Notarios de Guatemala, que es el colegio profesional que participa en la elección de Magistrados a Corte Suprema de Justicia y Cortes de Apelación, la propia Ley de Comisiones de Postulaciones, establece los siguientes requisitos: ser guatemalteco, ser colegiado activo, tener por lo menos cinco años de ejercicio profesional, estar en el pleno ejercicio de sus derechos civiles y políticos, no estar inhabilitado para ejercer cargos públicos, presentar constancia de no haber sido sancionado por el colegio profesional respectivo, presentar constancia de antecedentes policíacos, y presentar constancia de antecedentes penales.</w:t>
      </w:r>
      <w:r w:rsidRPr="00B848BB">
        <w:rPr>
          <w:snapToGrid/>
          <w:sz w:val="18"/>
          <w:vertAlign w:val="superscript"/>
          <w:lang w:val="x-none" w:eastAsia="en-US"/>
        </w:rPr>
        <w:footnoteReference w:id="15"/>
      </w:r>
    </w:p>
    <w:p w:rsidR="00B848BB" w:rsidRPr="00B848BB" w:rsidRDefault="00B848BB" w:rsidP="00B848BB">
      <w:pPr>
        <w:pStyle w:val="SingleTxtGC"/>
        <w:spacing w:line="240" w:lineRule="exact"/>
        <w:rPr>
          <w:snapToGrid/>
          <w:sz w:val="20"/>
          <w:lang w:val="x-none" w:eastAsia="en-US"/>
        </w:rPr>
      </w:pPr>
      <w:r w:rsidRPr="00B848BB">
        <w:rPr>
          <w:snapToGrid/>
          <w:sz w:val="20"/>
          <w:lang w:val="x-none" w:eastAsia="en-US"/>
        </w:rPr>
        <w:t>En la misma ley se determina también que los colegios responsables de elegir a sus representantes para la conformación de las Comisiones de Postulación, deberán convocar a la elección de estos dentro del plazo de diez días después de la convocatoria hecha por el Congreso de la República y que las elecciones de los representantes del Colegio de Abogados y Notarios de Guatemala, así como la de los representantes de los Magistrados de las Salas de la Corte de Apelaciones que formarán parte de la Comisión de Postulación que nominará a los candidatos para los Magistrados de la Corte Suprema de Justicia, se regirán por el método de representación proporcional de minorías.</w:t>
      </w:r>
    </w:p>
    <w:p w:rsidR="00B848BB" w:rsidRPr="00B848BB" w:rsidRDefault="00B848BB" w:rsidP="00B848BB">
      <w:pPr>
        <w:pStyle w:val="SingleTxtGC"/>
        <w:spacing w:line="240" w:lineRule="exact"/>
        <w:rPr>
          <w:snapToGrid/>
          <w:sz w:val="20"/>
          <w:lang w:val="es-ES" w:eastAsia="en-US"/>
        </w:rPr>
      </w:pPr>
      <w:r w:rsidRPr="00B848BB">
        <w:rPr>
          <w:snapToGrid/>
          <w:sz w:val="20"/>
          <w:lang w:val="es-ES" w:eastAsia="en-US"/>
        </w:rPr>
        <w:t xml:space="preserve">La elección de los integrantes de las Comisiones de Postulación se inicia con la </w:t>
      </w:r>
      <w:r w:rsidRPr="0003155F">
        <w:rPr>
          <w:snapToGrid/>
          <w:sz w:val="20"/>
          <w:lang w:val="es-ES" w:eastAsia="en-US"/>
        </w:rPr>
        <w:t>convocatoria</w:t>
      </w:r>
      <w:r w:rsidRPr="00B848BB">
        <w:rPr>
          <w:snapToGrid/>
          <w:sz w:val="20"/>
          <w:lang w:val="es-ES" w:eastAsia="en-US"/>
        </w:rPr>
        <w:t xml:space="preserve"> que hace el Congreso de la República, y concluye con la elección de los representantes de cada instancia; en el caso de los rectores se hace por sorteo; en el caso de los decanos no hay proceso de elección porque todas las universidades con facultades de Derecho o Ciencias Jurídicas y Sociales tienen un lugar en las comisiones; en el caso del Colegio de Abogados y Notarios, y de los representantes de Magistrados de la Corte Suprema de Justicia y de las Cortes de Apelación, se concreta a través de procesos de elección.</w:t>
      </w:r>
    </w:p>
    <w:p w:rsidR="00B848BB" w:rsidRPr="00B848BB" w:rsidRDefault="00B848BB" w:rsidP="00B848BB">
      <w:pPr>
        <w:pStyle w:val="SingleTxtGC"/>
        <w:spacing w:line="240" w:lineRule="exact"/>
        <w:rPr>
          <w:snapToGrid/>
          <w:sz w:val="20"/>
          <w:lang w:val="es-ES" w:eastAsia="en-US"/>
        </w:rPr>
      </w:pPr>
      <w:r w:rsidRPr="00B848BB">
        <w:rPr>
          <w:snapToGrid/>
          <w:sz w:val="20"/>
          <w:lang w:val="es-ES" w:eastAsia="en-US"/>
        </w:rPr>
        <w:t xml:space="preserve">En el artículo 215 de la Constitución Política de la República de Guatemala, establece que la elección de los magistrados y magistradas a la Corte Suprema de Justicia se hará a través de una Comisión de Postulación conformada por “un representante de los rectores de las universidades del país, que la preside, los decanos de las facultades de Derecho o Ciencias </w:t>
      </w:r>
      <w:r w:rsidRPr="00B848BB">
        <w:rPr>
          <w:snapToGrid/>
          <w:sz w:val="20"/>
          <w:lang w:val="es-ES" w:eastAsia="en-US"/>
        </w:rPr>
        <w:lastRenderedPageBreak/>
        <w:t>Jurídicas y Sociales de cada universidad del país, un número equivalente de representantes electos por la Asamblea General del Colegio de Abogados y Notarios de Guatemala y por igual número de representantes electos por los magistrados titulares de la Corte de Apelaciones y demás tribunales”. En el mismo artículo se define que el Congreso de la República hará la elección en base a una nómina de veintiséis (26) candidatos propuestos por la comisión de postulación”</w:t>
      </w:r>
    </w:p>
    <w:p w:rsidR="00B848BB" w:rsidRPr="00B848BB" w:rsidRDefault="00B848BB" w:rsidP="00B848BB">
      <w:pPr>
        <w:pStyle w:val="SingleTxtGC"/>
        <w:spacing w:line="240" w:lineRule="exact"/>
        <w:rPr>
          <w:snapToGrid/>
          <w:sz w:val="20"/>
          <w:lang w:val="es-ES" w:eastAsia="en-US"/>
        </w:rPr>
      </w:pPr>
      <w:r w:rsidRPr="00B848BB">
        <w:rPr>
          <w:snapToGrid/>
          <w:sz w:val="20"/>
          <w:lang w:val="es-ES" w:eastAsia="en-US"/>
        </w:rPr>
        <w:t xml:space="preserve"> Por su parte, el artículo 217 de la Constitución Política de la República de Guatemala, establece que la elección de los magistrados y magistradas de Cortes de Apelaciones son electos por el Congreso de la República entre quienes conforman una nómina que contenga el doble del número a elegir propuesta por una comisión de postulación integrada por un representante de los rectores de las Universidades del país, quien la preside, los decanos de las </w:t>
      </w:r>
      <w:r w:rsidRPr="0003155F">
        <w:rPr>
          <w:snapToGrid/>
          <w:sz w:val="20"/>
          <w:lang w:val="es-ES" w:eastAsia="en-US"/>
        </w:rPr>
        <w:t>facultades</w:t>
      </w:r>
      <w:r w:rsidRPr="00B848BB">
        <w:rPr>
          <w:snapToGrid/>
          <w:sz w:val="20"/>
          <w:lang w:val="es-ES" w:eastAsia="en-US"/>
        </w:rPr>
        <w:t xml:space="preserve"> de Derecho o Ciencias Jurídicas y Sociales de cada Universidad del país, un número equivalente de miembros electos por la Asamblea General del Colegio de Abogados y Notarios de Guatemala y por igual número de representantes electos por los magistrados de la Corte Suprema de Justicia.</w:t>
      </w:r>
    </w:p>
    <w:p w:rsidR="00B848BB" w:rsidRPr="00B848BB" w:rsidRDefault="00B848BB" w:rsidP="00B848BB">
      <w:pPr>
        <w:keepNext/>
        <w:keepLines/>
        <w:tabs>
          <w:tab w:val="clear" w:pos="431"/>
          <w:tab w:val="right" w:pos="851"/>
        </w:tabs>
        <w:suppressAutoHyphens/>
        <w:overflowPunct/>
        <w:adjustRightInd/>
        <w:snapToGrid/>
        <w:spacing w:before="360" w:after="240" w:line="270" w:lineRule="exact"/>
        <w:ind w:left="1134" w:right="1134" w:hanging="1134"/>
        <w:jc w:val="left"/>
        <w:rPr>
          <w:b/>
          <w:snapToGrid/>
          <w:sz w:val="24"/>
          <w:lang w:val="es-ES" w:eastAsia="en-US"/>
        </w:rPr>
      </w:pPr>
      <w:r w:rsidRPr="00B848BB">
        <w:rPr>
          <w:b/>
          <w:snapToGrid/>
          <w:sz w:val="24"/>
          <w:lang w:val="es-ES" w:eastAsia="en-US"/>
        </w:rPr>
        <w:tab/>
        <w:t>II.</w:t>
      </w:r>
      <w:r w:rsidRPr="00B848BB">
        <w:rPr>
          <w:b/>
          <w:snapToGrid/>
          <w:sz w:val="24"/>
          <w:lang w:val="es-ES" w:eastAsia="en-US"/>
        </w:rPr>
        <w:tab/>
        <w:t>Segunda etapa:</w:t>
      </w:r>
    </w:p>
    <w:p w:rsidR="00B848BB" w:rsidRPr="00B848BB" w:rsidRDefault="00B848BB" w:rsidP="00875E55">
      <w:pPr>
        <w:pStyle w:val="SingleTxtGC"/>
        <w:spacing w:after="140" w:line="240" w:lineRule="exact"/>
        <w:rPr>
          <w:snapToGrid/>
          <w:sz w:val="20"/>
          <w:lang w:val="x-none" w:eastAsia="en-US"/>
        </w:rPr>
      </w:pPr>
      <w:r w:rsidRPr="00B848BB">
        <w:rPr>
          <w:snapToGrid/>
          <w:sz w:val="20"/>
          <w:lang w:val="es-ES" w:eastAsia="en-US"/>
        </w:rPr>
        <w:t>Instaladas las Comisiones de Postulación para iniciar el proceso de</w:t>
      </w:r>
      <w:r w:rsidRPr="00B848BB">
        <w:rPr>
          <w:snapToGrid/>
          <w:sz w:val="20"/>
          <w:lang w:val="x-none" w:eastAsia="en-US"/>
        </w:rPr>
        <w:t xml:space="preserve"> elección de magistrados y magistradas a la Corte Suprema de Justicia y a las Cortes de Apelación, se definen aspectos relevantes en cuanto al funcionamiento y actividades de las Comisiones</w:t>
      </w:r>
      <w:r w:rsidRPr="00B848BB">
        <w:rPr>
          <w:snapToGrid/>
          <w:sz w:val="18"/>
          <w:vertAlign w:val="superscript"/>
          <w:lang w:val="x-none" w:eastAsia="en-US"/>
        </w:rPr>
        <w:footnoteReference w:id="16"/>
      </w:r>
      <w:r w:rsidRPr="00B848BB">
        <w:rPr>
          <w:snapToGrid/>
          <w:sz w:val="20"/>
          <w:lang w:val="x-none" w:eastAsia="en-US"/>
        </w:rPr>
        <w:t xml:space="preserve">. </w:t>
      </w:r>
      <w:r w:rsidRPr="00B848BB">
        <w:rPr>
          <w:snapToGrid/>
          <w:sz w:val="20"/>
          <w:lang w:val="es-ES" w:eastAsia="en-US"/>
        </w:rPr>
        <w:t xml:space="preserve">En la primera sesión cada comisión deberá designar, de entre sus integrantes, a un secretario titular y un suplente, cuya función será el control de los expedientes y la ejecución de las </w:t>
      </w:r>
      <w:r w:rsidRPr="0003155F">
        <w:rPr>
          <w:snapToGrid/>
          <w:sz w:val="20"/>
          <w:lang w:val="es-ES" w:eastAsia="en-US"/>
        </w:rPr>
        <w:t>resoluciones</w:t>
      </w:r>
      <w:r w:rsidRPr="00B848BB">
        <w:rPr>
          <w:snapToGrid/>
          <w:sz w:val="20"/>
          <w:lang w:val="es-ES" w:eastAsia="en-US"/>
        </w:rPr>
        <w:t xml:space="preserve"> adoptadas por las Comisiones, y será a través de la secretaría que el Presidente de la Comisión convocará a sesión con por lo menos dos días de anticipación (salvo lo que en sesión disponga la Comisión).</w:t>
      </w:r>
    </w:p>
    <w:p w:rsidR="00B848BB" w:rsidRPr="00B848BB" w:rsidRDefault="00B848BB" w:rsidP="00875E55">
      <w:pPr>
        <w:pStyle w:val="SingleTxtGC"/>
        <w:spacing w:after="140" w:line="240" w:lineRule="exact"/>
        <w:rPr>
          <w:snapToGrid/>
          <w:sz w:val="20"/>
          <w:lang w:val="es-GT" w:eastAsia="en-US"/>
        </w:rPr>
      </w:pPr>
      <w:r w:rsidRPr="00B848BB">
        <w:rPr>
          <w:snapToGrid/>
          <w:sz w:val="20"/>
          <w:lang w:val="es-ES" w:eastAsia="en-US"/>
        </w:rPr>
        <w:t> </w:t>
      </w:r>
      <w:r w:rsidRPr="00B848BB">
        <w:rPr>
          <w:snapToGrid/>
          <w:sz w:val="20"/>
          <w:lang w:val="es-GT" w:eastAsia="en-US"/>
        </w:rPr>
        <w:t xml:space="preserve">Es </w:t>
      </w:r>
      <w:r w:rsidRPr="0003155F">
        <w:rPr>
          <w:snapToGrid/>
          <w:sz w:val="20"/>
          <w:lang w:val="es-ES" w:eastAsia="en-US"/>
        </w:rPr>
        <w:t>importante</w:t>
      </w:r>
      <w:r w:rsidRPr="00B848BB">
        <w:rPr>
          <w:snapToGrid/>
          <w:sz w:val="20"/>
          <w:lang w:val="es-GT" w:eastAsia="en-US"/>
        </w:rPr>
        <w:t xml:space="preserve"> mencionar también lo siguiente:</w:t>
      </w:r>
    </w:p>
    <w:p w:rsidR="00B848BB" w:rsidRPr="00875E55" w:rsidRDefault="00B848BB" w:rsidP="00875E55">
      <w:pPr>
        <w:pStyle w:val="Bullet1GC"/>
        <w:tabs>
          <w:tab w:val="clear" w:pos="1996"/>
          <w:tab w:val="num" w:pos="2484"/>
        </w:tabs>
        <w:spacing w:line="240" w:lineRule="exact"/>
        <w:ind w:left="2484"/>
        <w:rPr>
          <w:snapToGrid/>
          <w:sz w:val="20"/>
          <w:lang w:val="es-ES" w:eastAsia="en-US"/>
        </w:rPr>
      </w:pPr>
      <w:r w:rsidRPr="00B848BB">
        <w:rPr>
          <w:snapToGrid/>
          <w:lang w:val="es-ES" w:eastAsia="en-US"/>
        </w:rPr>
        <w:t xml:space="preserve">Para la celebración </w:t>
      </w:r>
      <w:r w:rsidRPr="00875E55">
        <w:rPr>
          <w:snapToGrid/>
          <w:sz w:val="20"/>
          <w:lang w:val="es-ES" w:eastAsia="en-US"/>
        </w:rPr>
        <w:t>de las sesiones se requiere de la presencia de dos terceras partes de los miembros que integran la Comisión,</w:t>
      </w:r>
    </w:p>
    <w:p w:rsidR="00B848BB" w:rsidRPr="00875E55" w:rsidRDefault="00B848BB" w:rsidP="00875E55">
      <w:pPr>
        <w:pStyle w:val="Bullet1GC"/>
        <w:spacing w:line="240" w:lineRule="exact"/>
        <w:ind w:left="2484"/>
        <w:rPr>
          <w:snapToGrid/>
          <w:sz w:val="20"/>
          <w:lang w:val="es-ES" w:eastAsia="en-US"/>
        </w:rPr>
      </w:pPr>
      <w:r w:rsidRPr="00875E55">
        <w:rPr>
          <w:snapToGrid/>
          <w:sz w:val="20"/>
          <w:lang w:val="es-ES" w:eastAsia="en-US"/>
        </w:rPr>
        <w:t>No se aceptarán representaciones,</w:t>
      </w:r>
    </w:p>
    <w:p w:rsidR="00B848BB" w:rsidRPr="00875E55" w:rsidRDefault="00B848BB" w:rsidP="00875E55">
      <w:pPr>
        <w:pStyle w:val="Bullet1GC"/>
        <w:spacing w:line="240" w:lineRule="exact"/>
        <w:ind w:left="2484"/>
        <w:rPr>
          <w:snapToGrid/>
          <w:sz w:val="20"/>
          <w:lang w:val="es-ES" w:eastAsia="en-US"/>
        </w:rPr>
      </w:pPr>
      <w:r w:rsidRPr="00875E55">
        <w:rPr>
          <w:snapToGrid/>
          <w:sz w:val="20"/>
          <w:lang w:val="es-ES" w:eastAsia="en-US"/>
        </w:rPr>
        <w:t>Para la toma de decisiones se necesita el voto favorable de dos terceras partes,</w:t>
      </w:r>
    </w:p>
    <w:p w:rsidR="00B848BB" w:rsidRPr="00875E55" w:rsidRDefault="00B848BB" w:rsidP="00875E55">
      <w:pPr>
        <w:pStyle w:val="Bullet1GC"/>
        <w:spacing w:line="240" w:lineRule="exact"/>
        <w:ind w:left="2484"/>
        <w:rPr>
          <w:snapToGrid/>
          <w:sz w:val="20"/>
          <w:lang w:val="es-ES" w:eastAsia="en-US"/>
        </w:rPr>
      </w:pPr>
      <w:r w:rsidRPr="00875E55">
        <w:rPr>
          <w:snapToGrid/>
          <w:sz w:val="20"/>
          <w:lang w:val="es-ES" w:eastAsia="en-US"/>
        </w:rPr>
        <w:t>En las actas de cada reunión se recogerá de “forma íntegra las votaciones”,</w:t>
      </w:r>
    </w:p>
    <w:p w:rsidR="00B848BB" w:rsidRPr="00875E55" w:rsidRDefault="00B848BB" w:rsidP="00875E55">
      <w:pPr>
        <w:pStyle w:val="Bullet1GC"/>
        <w:spacing w:line="240" w:lineRule="exact"/>
        <w:ind w:left="2484"/>
        <w:rPr>
          <w:snapToGrid/>
          <w:sz w:val="20"/>
          <w:lang w:val="es-ES" w:eastAsia="en-US"/>
        </w:rPr>
      </w:pPr>
      <w:r w:rsidRPr="00875E55">
        <w:rPr>
          <w:snapToGrid/>
          <w:sz w:val="20"/>
          <w:lang w:val="es-ES" w:eastAsia="en-US"/>
        </w:rPr>
        <w:t>Las sesiones deberán quedar registradas en audio y video,</w:t>
      </w:r>
    </w:p>
    <w:p w:rsidR="00B848BB" w:rsidRPr="00875E55" w:rsidRDefault="00B848BB" w:rsidP="00875E55">
      <w:pPr>
        <w:pStyle w:val="Bullet1GC"/>
        <w:spacing w:line="240" w:lineRule="exact"/>
        <w:ind w:left="2484"/>
        <w:rPr>
          <w:snapToGrid/>
          <w:sz w:val="20"/>
          <w:lang w:val="es-ES" w:eastAsia="en-US"/>
        </w:rPr>
      </w:pPr>
      <w:r w:rsidRPr="00875E55">
        <w:rPr>
          <w:snapToGrid/>
          <w:sz w:val="20"/>
          <w:lang w:val="es-ES" w:eastAsia="en-US"/>
        </w:rPr>
        <w:t>El Presidente de la Comisión deberá garantizar el resguardo de la información</w:t>
      </w:r>
    </w:p>
    <w:p w:rsidR="00B848BB" w:rsidRPr="00875E55" w:rsidRDefault="00B848BB" w:rsidP="00875E55">
      <w:pPr>
        <w:pStyle w:val="Bullet1GC"/>
        <w:spacing w:line="240" w:lineRule="exact"/>
        <w:ind w:left="2484"/>
        <w:rPr>
          <w:snapToGrid/>
          <w:sz w:val="20"/>
          <w:lang w:val="es-ES" w:eastAsia="en-US"/>
        </w:rPr>
      </w:pPr>
      <w:r w:rsidRPr="00875E55">
        <w:rPr>
          <w:snapToGrid/>
          <w:sz w:val="20"/>
          <w:lang w:val="es-ES" w:eastAsia="en-US"/>
        </w:rPr>
        <w:t>Las reuniones de las Comisiones serán públicas, pero el Presidente de la Comisión podrá ordenar la salida de quienes no respeten lo establecido en la propia ley (permanecer respetuosamente y en silencio, no ingresar armas, no adoptar comportamientos intimidatorios, provocativos o contrarios al decoro, no producir disturbios o manifestar de cualquier modo opiniones o sentimientos).</w:t>
      </w:r>
    </w:p>
    <w:p w:rsidR="00B848BB" w:rsidRPr="00B848BB" w:rsidRDefault="00B848BB" w:rsidP="00B848BB">
      <w:pPr>
        <w:keepNext/>
        <w:keepLines/>
        <w:tabs>
          <w:tab w:val="clear" w:pos="431"/>
          <w:tab w:val="right" w:pos="851"/>
        </w:tabs>
        <w:suppressAutoHyphens/>
        <w:overflowPunct/>
        <w:adjustRightInd/>
        <w:snapToGrid/>
        <w:spacing w:before="240" w:after="120" w:line="240" w:lineRule="exact"/>
        <w:ind w:left="1134" w:right="1134" w:hanging="1134"/>
        <w:jc w:val="left"/>
        <w:rPr>
          <w:b/>
          <w:snapToGrid/>
          <w:sz w:val="20"/>
          <w:lang w:val="es-GT" w:eastAsia="en-US"/>
        </w:rPr>
      </w:pPr>
      <w:r w:rsidRPr="00B848BB">
        <w:rPr>
          <w:b/>
          <w:snapToGrid/>
          <w:sz w:val="20"/>
          <w:lang w:val="es-GT" w:eastAsia="en-US"/>
        </w:rPr>
        <w:lastRenderedPageBreak/>
        <w:t> </w:t>
      </w:r>
      <w:r w:rsidRPr="00B848BB">
        <w:rPr>
          <w:b/>
          <w:snapToGrid/>
          <w:sz w:val="20"/>
          <w:lang w:val="es-GT" w:eastAsia="en-US"/>
        </w:rPr>
        <w:tab/>
        <w:t>a)</w:t>
      </w:r>
      <w:r w:rsidRPr="00B848BB">
        <w:rPr>
          <w:b/>
          <w:snapToGrid/>
          <w:sz w:val="20"/>
          <w:lang w:val="es-GT" w:eastAsia="en-US"/>
        </w:rPr>
        <w:tab/>
        <w:t>Procedimientos preparatorios y selección inicial de aspirantes:</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Instaladas las Comisiones de Postulación sus integrantes deberán elaborar el perfil de los profesionales que aspiren a formar parte de las nóminas de candidatos que serán enviadas en el mes </w:t>
      </w:r>
      <w:r w:rsidRPr="0003155F">
        <w:rPr>
          <w:snapToGrid/>
          <w:sz w:val="20"/>
          <w:lang w:val="es-ES" w:eastAsia="en-US"/>
        </w:rPr>
        <w:t>de</w:t>
      </w:r>
      <w:r w:rsidRPr="00B848BB">
        <w:rPr>
          <w:snapToGrid/>
          <w:sz w:val="20"/>
          <w:lang w:val="x-none" w:eastAsia="en-US"/>
        </w:rPr>
        <w:t xml:space="preserve"> septiembre al Congreso de la República (una nómina con veintiséis (26) candidatos para Corte Suprema de Justicia y una nómina de candidatos para las Cortes de Apelación).</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Para elaborar el perfil deberán tomar en consideración aspectos como la ética, la preparación académica y profesional, y aspectos relacionados con la vocación de servicio y liderazgo. </w:t>
      </w:r>
    </w:p>
    <w:p w:rsidR="00B848BB" w:rsidRPr="00B848BB" w:rsidRDefault="00B848BB" w:rsidP="00B35D45">
      <w:pPr>
        <w:pStyle w:val="SingleTxtGC"/>
        <w:spacing w:line="240" w:lineRule="exact"/>
        <w:rPr>
          <w:snapToGrid/>
          <w:sz w:val="20"/>
          <w:lang w:val="x-none" w:eastAsia="en-US"/>
        </w:rPr>
      </w:pPr>
      <w:r w:rsidRPr="00B848BB">
        <w:rPr>
          <w:bCs/>
          <w:snapToGrid/>
          <w:sz w:val="20"/>
          <w:lang w:val="x-none" w:eastAsia="en-US"/>
        </w:rPr>
        <w:t>Ético: </w:t>
      </w:r>
      <w:r w:rsidRPr="00B848BB">
        <w:rPr>
          <w:snapToGrid/>
          <w:sz w:val="20"/>
          <w:lang w:val="x-none" w:eastAsia="en-US"/>
        </w:rPr>
        <w:t xml:space="preserve">Comprende lo relacionado con la moral, la honorabilidad, la rectitud, la independencia y la imparcialidad comprobadas de los candidatos para lo que deben ser </w:t>
      </w:r>
      <w:r w:rsidRPr="0003155F">
        <w:rPr>
          <w:snapToGrid/>
          <w:sz w:val="20"/>
          <w:lang w:val="es-ES" w:eastAsia="en-US"/>
        </w:rPr>
        <w:t>presentados</w:t>
      </w:r>
      <w:r w:rsidRPr="00B848BB">
        <w:rPr>
          <w:snapToGrid/>
          <w:sz w:val="20"/>
          <w:lang w:val="x-none" w:eastAsia="en-US"/>
        </w:rPr>
        <w:t xml:space="preserve"> los siguientes documentos: </w:t>
      </w:r>
    </w:p>
    <w:p w:rsidR="00B848BB" w:rsidRPr="00875E55" w:rsidRDefault="00B848BB" w:rsidP="00875E55">
      <w:pPr>
        <w:pStyle w:val="Bullet1GC"/>
        <w:tabs>
          <w:tab w:val="clear" w:pos="1996"/>
          <w:tab w:val="num" w:pos="2484"/>
        </w:tabs>
        <w:spacing w:line="240" w:lineRule="exact"/>
        <w:ind w:left="2484"/>
        <w:rPr>
          <w:snapToGrid/>
          <w:sz w:val="20"/>
          <w:lang w:val="es-ES" w:eastAsia="en-US"/>
        </w:rPr>
      </w:pPr>
      <w:r w:rsidRPr="00B848BB">
        <w:rPr>
          <w:snapToGrid/>
          <w:lang w:val="es-GT" w:eastAsia="en-US"/>
        </w:rPr>
        <w:t> </w:t>
      </w:r>
      <w:r w:rsidRPr="00875E55">
        <w:rPr>
          <w:snapToGrid/>
          <w:sz w:val="20"/>
          <w:lang w:val="es-ES" w:eastAsia="en-US"/>
        </w:rPr>
        <w:t>Constancia de ser colegiado activo;</w:t>
      </w:r>
    </w:p>
    <w:p w:rsidR="00B848BB" w:rsidRPr="00875E55" w:rsidRDefault="00B848BB" w:rsidP="00875E55">
      <w:pPr>
        <w:pStyle w:val="Bullet1GC"/>
        <w:spacing w:line="240" w:lineRule="exact"/>
        <w:ind w:left="2484"/>
        <w:rPr>
          <w:snapToGrid/>
          <w:sz w:val="20"/>
          <w:lang w:val="es-ES" w:eastAsia="en-US"/>
        </w:rPr>
      </w:pPr>
      <w:r w:rsidRPr="00875E55">
        <w:rPr>
          <w:snapToGrid/>
          <w:sz w:val="20"/>
          <w:lang w:val="es-ES" w:eastAsia="en-US"/>
        </w:rPr>
        <w:t>Constancia o certificación donde demuestre los años de ejercicio profesional o constancia de haber desempeñado un período completo como Magistrado de la Corte de Apelaciones o Juez de Primera Instancia en el caso de los aspirantes a Magistrados de la Corte Suprema de Justicia o de Magistrados de la Corte de Apelaciones:</w:t>
      </w:r>
    </w:p>
    <w:p w:rsidR="00B848BB" w:rsidRPr="00875E55" w:rsidRDefault="00B848BB" w:rsidP="00875E55">
      <w:pPr>
        <w:pStyle w:val="Bullet1GC"/>
        <w:spacing w:line="240" w:lineRule="exact"/>
        <w:ind w:left="2484"/>
        <w:rPr>
          <w:snapToGrid/>
          <w:sz w:val="20"/>
          <w:lang w:val="es-ES" w:eastAsia="en-US"/>
        </w:rPr>
      </w:pPr>
      <w:r w:rsidRPr="00875E55">
        <w:rPr>
          <w:snapToGrid/>
          <w:sz w:val="20"/>
          <w:lang w:val="es-ES" w:eastAsia="en-US"/>
        </w:rPr>
        <w:t>Constancia de antecedentes policíacos;</w:t>
      </w:r>
    </w:p>
    <w:p w:rsidR="00B848BB" w:rsidRPr="00875E55" w:rsidRDefault="00B848BB" w:rsidP="00875E55">
      <w:pPr>
        <w:pStyle w:val="Bullet1GC"/>
        <w:spacing w:line="240" w:lineRule="exact"/>
        <w:ind w:left="2484"/>
        <w:rPr>
          <w:snapToGrid/>
          <w:sz w:val="20"/>
          <w:lang w:val="es-ES" w:eastAsia="en-US"/>
        </w:rPr>
      </w:pPr>
      <w:r w:rsidRPr="00875E55">
        <w:rPr>
          <w:snapToGrid/>
          <w:sz w:val="20"/>
          <w:lang w:val="es-ES" w:eastAsia="en-US"/>
        </w:rPr>
        <w:t>Constancia de antecedentes penales;</w:t>
      </w:r>
    </w:p>
    <w:p w:rsidR="00B848BB" w:rsidRPr="00875E55" w:rsidRDefault="00B848BB" w:rsidP="00875E55">
      <w:pPr>
        <w:pStyle w:val="Bullet1GC"/>
        <w:spacing w:line="240" w:lineRule="exact"/>
        <w:ind w:left="2484"/>
        <w:rPr>
          <w:snapToGrid/>
          <w:sz w:val="20"/>
          <w:lang w:val="es-ES" w:eastAsia="en-US"/>
        </w:rPr>
      </w:pPr>
      <w:r w:rsidRPr="00875E55">
        <w:rPr>
          <w:snapToGrid/>
          <w:sz w:val="20"/>
          <w:lang w:val="es-ES" w:eastAsia="en-US"/>
        </w:rPr>
        <w:t>Constancia de no haber sido sancionado por el Tribunal de Honor del colegio profesional respectivo; y</w:t>
      </w:r>
    </w:p>
    <w:p w:rsidR="00B848BB" w:rsidRPr="00B848BB" w:rsidRDefault="00B848BB" w:rsidP="00875E55">
      <w:pPr>
        <w:pStyle w:val="Bullet1GC"/>
        <w:spacing w:line="240" w:lineRule="exact"/>
        <w:ind w:left="2484"/>
        <w:rPr>
          <w:snapToGrid/>
          <w:lang w:val="es-ES" w:eastAsia="en-US"/>
        </w:rPr>
      </w:pPr>
      <w:r w:rsidRPr="00875E55">
        <w:rPr>
          <w:snapToGrid/>
          <w:sz w:val="20"/>
          <w:lang w:val="es-ES" w:eastAsia="en-US"/>
        </w:rPr>
        <w:t>Declaración jurada donde se establezca que el candidato está en el ejercicio de sus derechos civiles y políticos, y que no ha sido impedido para ejercer cargos</w:t>
      </w:r>
      <w:r w:rsidRPr="00B848BB">
        <w:rPr>
          <w:snapToGrid/>
          <w:lang w:val="es-ES" w:eastAsia="en-US"/>
        </w:rPr>
        <w:t xml:space="preserve"> públicos</w:t>
      </w:r>
    </w:p>
    <w:p w:rsidR="00B848BB" w:rsidRPr="00B848BB" w:rsidRDefault="00B848BB" w:rsidP="00B35D45">
      <w:pPr>
        <w:pStyle w:val="SingleTxtGC"/>
        <w:spacing w:line="240" w:lineRule="exact"/>
        <w:rPr>
          <w:snapToGrid/>
          <w:sz w:val="20"/>
          <w:lang w:val="x-none" w:eastAsia="en-US"/>
        </w:rPr>
      </w:pPr>
      <w:r w:rsidRPr="00B848BB">
        <w:rPr>
          <w:bCs/>
          <w:snapToGrid/>
          <w:sz w:val="20"/>
          <w:lang w:val="x-none" w:eastAsia="en-US"/>
        </w:rPr>
        <w:t>Académico:</w:t>
      </w:r>
      <w:r w:rsidRPr="00B848BB">
        <w:rPr>
          <w:snapToGrid/>
          <w:sz w:val="20"/>
          <w:lang w:val="x-none" w:eastAsia="en-US"/>
        </w:rPr>
        <w:t> Se refiere a la enseñanza universitaria, los títulos académicos, los estudios, los ensayos, las publicaciones, la participación en eventos académicos y los méritos obtenidos.</w:t>
      </w:r>
    </w:p>
    <w:p w:rsidR="00B848BB" w:rsidRPr="00B848BB" w:rsidRDefault="00B848BB" w:rsidP="00B35D45">
      <w:pPr>
        <w:pStyle w:val="SingleTxtGC"/>
        <w:spacing w:line="240" w:lineRule="exact"/>
        <w:rPr>
          <w:snapToGrid/>
          <w:sz w:val="20"/>
          <w:lang w:val="x-none" w:eastAsia="en-US"/>
        </w:rPr>
      </w:pPr>
      <w:r w:rsidRPr="00B848BB">
        <w:rPr>
          <w:bCs/>
          <w:snapToGrid/>
          <w:sz w:val="20"/>
          <w:lang w:val="x-none" w:eastAsia="en-US"/>
        </w:rPr>
        <w:t>Profesional: </w:t>
      </w:r>
      <w:r w:rsidRPr="00B848BB">
        <w:rPr>
          <w:snapToGrid/>
          <w:sz w:val="20"/>
          <w:lang w:val="x-none" w:eastAsia="en-US"/>
        </w:rPr>
        <w:t xml:space="preserve">Todo lo relativo a la experiencia profesional del aspirante, quien tiene que cumplir los requisitos establecidos en la Constitución Política de la República de </w:t>
      </w:r>
      <w:r w:rsidRPr="0003155F">
        <w:rPr>
          <w:snapToGrid/>
          <w:sz w:val="20"/>
          <w:lang w:val="es-ES" w:eastAsia="en-US"/>
        </w:rPr>
        <w:t>Guatemala</w:t>
      </w:r>
      <w:r w:rsidRPr="00B848BB">
        <w:rPr>
          <w:snapToGrid/>
          <w:sz w:val="20"/>
          <w:lang w:val="x-none" w:eastAsia="en-US"/>
        </w:rPr>
        <w:t xml:space="preserve"> o leyes aplicables, según el cargo al cual opte.</w:t>
      </w:r>
    </w:p>
    <w:p w:rsidR="00B848BB" w:rsidRPr="00B848BB" w:rsidRDefault="00B848BB" w:rsidP="00B35D45">
      <w:pPr>
        <w:pStyle w:val="SingleTxtGC"/>
        <w:spacing w:line="240" w:lineRule="exact"/>
        <w:rPr>
          <w:snapToGrid/>
          <w:sz w:val="20"/>
          <w:lang w:val="x-none" w:eastAsia="en-US"/>
        </w:rPr>
      </w:pPr>
      <w:r w:rsidRPr="0003155F">
        <w:rPr>
          <w:snapToGrid/>
          <w:sz w:val="20"/>
          <w:lang w:val="es-ES" w:eastAsia="en-US"/>
        </w:rPr>
        <w:t>Proyecci</w:t>
      </w:r>
      <w:r w:rsidRPr="00B848BB">
        <w:rPr>
          <w:bCs/>
          <w:snapToGrid/>
          <w:sz w:val="20"/>
          <w:lang w:val="x-none" w:eastAsia="en-US"/>
        </w:rPr>
        <w:t>ón humana:</w:t>
      </w:r>
      <w:r w:rsidRPr="00B848BB">
        <w:rPr>
          <w:snapToGrid/>
          <w:sz w:val="20"/>
          <w:lang w:val="x-none" w:eastAsia="en-US"/>
        </w:rPr>
        <w:t> Son aspectos relacionados con la vocación de servicio y el liderazgo.</w:t>
      </w:r>
    </w:p>
    <w:p w:rsidR="00B848BB" w:rsidRPr="00B848BB" w:rsidRDefault="00B848BB" w:rsidP="00B35D45">
      <w:pPr>
        <w:pStyle w:val="SingleTxtGC"/>
        <w:spacing w:line="240" w:lineRule="exact"/>
        <w:rPr>
          <w:snapToGrid/>
          <w:sz w:val="20"/>
          <w:lang w:val="x-none" w:eastAsia="en-US"/>
        </w:rPr>
      </w:pPr>
      <w:r w:rsidRPr="0003155F">
        <w:rPr>
          <w:snapToGrid/>
          <w:sz w:val="20"/>
          <w:lang w:val="es-ES" w:eastAsia="en-US"/>
        </w:rPr>
        <w:t>Tomando</w:t>
      </w:r>
      <w:r w:rsidRPr="00B848BB">
        <w:rPr>
          <w:snapToGrid/>
          <w:sz w:val="20"/>
          <w:lang w:val="x-none" w:eastAsia="en-US"/>
        </w:rPr>
        <w:t xml:space="preserve"> en consideración los cuatro aspectos señalados, las Comisiones de Postulación elaboran una tabla “de gradación” a través de la cual calificarán los méritos éticos, académicos, profesionales, y de proyección humana.</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Las Comisiones de Postulación publicarán en el Diario Oficial y en dos de los medios impresos de mayor circulación, la información más relevante en torno al proceso de elección, con el fin de que todos los aspirantes entreguen los documentos necesarios para poder participar. Se elaborará y entregará a los aspirantes un formulario que contendrá la lista de los documentos que deben presentarse.</w:t>
      </w:r>
    </w:p>
    <w:p w:rsidR="00B848BB" w:rsidRPr="00B848BB" w:rsidRDefault="00B848BB" w:rsidP="00B848BB">
      <w:pPr>
        <w:keepNext/>
        <w:keepLines/>
        <w:tabs>
          <w:tab w:val="clear" w:pos="431"/>
          <w:tab w:val="right" w:pos="851"/>
        </w:tabs>
        <w:suppressAutoHyphens/>
        <w:overflowPunct/>
        <w:adjustRightInd/>
        <w:snapToGrid/>
        <w:spacing w:before="240" w:after="120" w:line="240" w:lineRule="exact"/>
        <w:ind w:left="1134" w:right="1134" w:hanging="1134"/>
        <w:jc w:val="left"/>
        <w:rPr>
          <w:b/>
          <w:snapToGrid/>
          <w:sz w:val="20"/>
          <w:lang w:val="es-GT" w:eastAsia="en-US"/>
        </w:rPr>
      </w:pPr>
      <w:r w:rsidRPr="00B848BB">
        <w:rPr>
          <w:b/>
          <w:snapToGrid/>
          <w:sz w:val="20"/>
          <w:lang w:val="es-GT" w:eastAsia="en-US"/>
        </w:rPr>
        <w:tab/>
        <w:t>b)</w:t>
      </w:r>
      <w:r w:rsidRPr="00B848BB">
        <w:rPr>
          <w:b/>
          <w:snapToGrid/>
          <w:sz w:val="20"/>
          <w:lang w:val="es-GT" w:eastAsia="en-US"/>
        </w:rPr>
        <w:tab/>
        <w:t>Verificación de antecedentes, entrevistas y auditoria social</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Los miembros de las comisiones deben ser convocados para conocer la lista de los participantes, y verificarán que todos los aspirantes hayan cumplido con los requisitos. Está regulado en la Ley de Comisiones de Postulación que si un aspirante no cumple con alguno de los </w:t>
      </w:r>
      <w:r w:rsidRPr="0003155F">
        <w:rPr>
          <w:snapToGrid/>
          <w:sz w:val="20"/>
          <w:lang w:val="es-ES" w:eastAsia="en-US"/>
        </w:rPr>
        <w:t>aspectos</w:t>
      </w:r>
      <w:r w:rsidRPr="00B848BB">
        <w:rPr>
          <w:snapToGrid/>
          <w:sz w:val="20"/>
          <w:lang w:val="x-none" w:eastAsia="en-US"/>
        </w:rPr>
        <w:t xml:space="preserve">, no podrá participar en la elección, y que no pueden ser seleccionados la o el </w:t>
      </w:r>
      <w:r w:rsidRPr="00B848BB">
        <w:rPr>
          <w:snapToGrid/>
          <w:sz w:val="20"/>
          <w:lang w:val="x-none" w:eastAsia="en-US"/>
        </w:rPr>
        <w:lastRenderedPageBreak/>
        <w:t>cónyuge y quienes tengan relación de parentesco por afinidad o consanguinidad, según los grados de ley, con cualquiera de los integrantes de la Comisión de Postulación.</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En esta fase del proceso se elaborará una nueva lista con los participantes que sí cumplieron con los requisitos. Las Comisiones de Postulación darán a conocer los nombres de los participantes que sí reunieron todos los requisitos solicitados y lo publicarán en el Diario Oficial y en dos medios impresos de mayor circulación para que cualquier persona que conozca sobre algún impedimento lo haga saber, por escrito, a la Comisión.</w:t>
      </w:r>
    </w:p>
    <w:p w:rsidR="00B848BB" w:rsidRPr="00B848BB" w:rsidRDefault="00B848BB" w:rsidP="00B848BB">
      <w:pPr>
        <w:keepNext/>
        <w:keepLines/>
        <w:tabs>
          <w:tab w:val="clear" w:pos="431"/>
          <w:tab w:val="right" w:pos="851"/>
        </w:tabs>
        <w:suppressAutoHyphens/>
        <w:overflowPunct/>
        <w:adjustRightInd/>
        <w:snapToGrid/>
        <w:spacing w:before="240" w:after="120" w:line="240" w:lineRule="exact"/>
        <w:ind w:left="1134" w:right="1134" w:hanging="1134"/>
        <w:jc w:val="left"/>
        <w:rPr>
          <w:b/>
          <w:snapToGrid/>
          <w:sz w:val="20"/>
          <w:lang w:val="es-GT" w:eastAsia="en-US"/>
        </w:rPr>
      </w:pPr>
      <w:r w:rsidRPr="00B848BB">
        <w:rPr>
          <w:b/>
          <w:snapToGrid/>
          <w:sz w:val="20"/>
          <w:lang w:val="es-GT" w:eastAsia="en-US"/>
        </w:rPr>
        <w:tab/>
        <w:t>c)</w:t>
      </w:r>
      <w:r w:rsidRPr="00B848BB">
        <w:rPr>
          <w:b/>
          <w:snapToGrid/>
          <w:sz w:val="20"/>
          <w:lang w:val="es-GT" w:eastAsia="en-US"/>
        </w:rPr>
        <w:tab/>
        <w:t>Evaluación de expedientes, integración de nóminas y selección final</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La Comisión dará una calificación a cada aspirante y luego la Comisión votará sobre cada </w:t>
      </w:r>
      <w:r w:rsidRPr="0003155F">
        <w:rPr>
          <w:snapToGrid/>
          <w:sz w:val="20"/>
          <w:lang w:val="es-ES" w:eastAsia="en-US"/>
        </w:rPr>
        <w:t>participante</w:t>
      </w:r>
      <w:r w:rsidRPr="00B848BB">
        <w:rPr>
          <w:snapToGrid/>
          <w:sz w:val="20"/>
          <w:lang w:val="x-none" w:eastAsia="en-US"/>
        </w:rPr>
        <w:t xml:space="preserve"> empezando por aquellos que hayan tenido una mayor puntuación.  </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Se elabora la nómina según la votación de la Comisión, y se envía al Congreso de la Repú</w:t>
      </w:r>
      <w:r w:rsidRPr="0003155F">
        <w:rPr>
          <w:snapToGrid/>
          <w:sz w:val="20"/>
          <w:lang w:val="es-ES" w:eastAsia="en-US"/>
        </w:rPr>
        <w:t>blica</w:t>
      </w:r>
      <w:r w:rsidRPr="00B848BB">
        <w:rPr>
          <w:snapToGrid/>
          <w:sz w:val="20"/>
          <w:lang w:val="x-none" w:eastAsia="en-US"/>
        </w:rPr>
        <w:t xml:space="preserve"> la nómina con veintiséis (26) aspirantes en el caso de la Corte Suprema de Justicia y la nómina de doscientos cincuenta y dos (252) candidatos en el caso de las Cortes de Apelación, para la elección de 126 Magistrados Titulares y 84 Suplentes.</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Las Comisiones de Postulación se desintegrarán hasta que tomen posesión los funcionarios, en este caso los Magistrados a la Corte Suprema de Justicia y a las Cortes de Apelaciones, a “efecto de resolver probables impugnaciones legales”.</w:t>
      </w:r>
    </w:p>
    <w:p w:rsidR="00B848BB" w:rsidRPr="00B848BB" w:rsidRDefault="00B848BB" w:rsidP="00B848BB">
      <w:pPr>
        <w:keepNext/>
        <w:keepLines/>
        <w:tabs>
          <w:tab w:val="clear" w:pos="431"/>
          <w:tab w:val="right" w:pos="851"/>
        </w:tabs>
        <w:suppressAutoHyphens/>
        <w:overflowPunct/>
        <w:adjustRightInd/>
        <w:snapToGrid/>
        <w:spacing w:before="360" w:after="240" w:line="270" w:lineRule="exact"/>
        <w:ind w:left="1134" w:right="1134" w:hanging="1134"/>
        <w:jc w:val="left"/>
        <w:rPr>
          <w:b/>
          <w:snapToGrid/>
          <w:sz w:val="24"/>
          <w:lang w:val="es-ES" w:eastAsia="en-US"/>
        </w:rPr>
      </w:pPr>
      <w:r w:rsidRPr="00B848BB">
        <w:rPr>
          <w:b/>
          <w:snapToGrid/>
          <w:sz w:val="24"/>
          <w:lang w:val="es-ES" w:eastAsia="en-US"/>
        </w:rPr>
        <w:tab/>
        <w:t>III.</w:t>
      </w:r>
      <w:r w:rsidRPr="00B848BB">
        <w:rPr>
          <w:b/>
          <w:snapToGrid/>
          <w:sz w:val="24"/>
          <w:lang w:val="es-ES" w:eastAsia="en-US"/>
        </w:rPr>
        <w:tab/>
        <w:t>Tercera etapa:</w:t>
      </w:r>
    </w:p>
    <w:p w:rsidR="00B848BB" w:rsidRPr="00B848BB" w:rsidRDefault="00B848BB" w:rsidP="005A06B1">
      <w:pPr>
        <w:pStyle w:val="SingleTxtGC"/>
        <w:spacing w:after="100" w:line="240" w:lineRule="exact"/>
        <w:rPr>
          <w:snapToGrid/>
          <w:sz w:val="20"/>
          <w:lang w:val="es-ES" w:eastAsia="en-US"/>
        </w:rPr>
      </w:pPr>
      <w:r w:rsidRPr="00B848BB">
        <w:rPr>
          <w:snapToGrid/>
          <w:sz w:val="20"/>
          <w:lang w:val="x-none" w:eastAsia="en-US"/>
        </w:rPr>
        <w:t xml:space="preserve">En esta fase del proceso de elección de Magistrados a la Corte Suprema de Justicia y a las Cortes de Apelación, se concluye con la publicación de las nóminas de candidatos por parte de las Comisiones de Postulación. Una vez terminada la fase de elaboración de nóminas, estas son remitidas al Congreso de la República, y de acuerdo al artículo 24 de la Ley de Comisiones de Postulación, con las nóminas se envían los expedientes y toda la documentación que corresponda. </w:t>
      </w:r>
    </w:p>
    <w:p w:rsidR="00B848BB" w:rsidRPr="00B848BB" w:rsidRDefault="00B848BB" w:rsidP="005A06B1">
      <w:pPr>
        <w:pStyle w:val="SingleTxtGC"/>
        <w:spacing w:after="100" w:line="240" w:lineRule="exact"/>
        <w:rPr>
          <w:snapToGrid/>
          <w:sz w:val="20"/>
          <w:lang w:val="x-none" w:eastAsia="en-US"/>
        </w:rPr>
      </w:pPr>
      <w:r w:rsidRPr="00B848BB">
        <w:rPr>
          <w:snapToGrid/>
          <w:sz w:val="20"/>
          <w:lang w:val="x-none" w:eastAsia="en-US"/>
        </w:rPr>
        <w:t>La Ley de Comisiones de Postulación (Decreto 19-2009) que entró en vigencia el 4 de junio de 2009, es el resultado de un proceso que se inició en el 2005 con la elaboración de una propuesta presentada en enero de 2009. En febrero de este mismo año, la Diputada Nineth Montenegro presentó ante el pleno del Congreso de la República la iniciativa de ley 3997 que en su exposición de motivos plantea la necesidad de “regular el funcionamiento, la integración, los criterios de selección, convocatorias, verificación de datos antecedentes, forma de evaluación e integración final de nóminas” porque de lo contrario “todo queda sujeto a una absoluta discrecionalidad de las comisiones, lo que provoca poca certeza de actuación, pues, en cada oportunidad, las comisiones procederán en forma diferente y con criterios variados”.</w:t>
      </w:r>
    </w:p>
    <w:p w:rsidR="00B848BB" w:rsidRPr="00B848BB" w:rsidRDefault="00B848BB" w:rsidP="005A06B1">
      <w:pPr>
        <w:pStyle w:val="SingleTxtGC"/>
        <w:spacing w:after="100" w:line="240" w:lineRule="exact"/>
        <w:rPr>
          <w:snapToGrid/>
          <w:sz w:val="20"/>
          <w:lang w:val="x-none" w:eastAsia="en-US"/>
        </w:rPr>
      </w:pPr>
      <w:r w:rsidRPr="00B848BB">
        <w:rPr>
          <w:snapToGrid/>
          <w:sz w:val="20"/>
          <w:lang w:val="x-none" w:eastAsia="en-US"/>
        </w:rPr>
        <w:t xml:space="preserve">De acuerdo al principio de Objetividad, establecido en la Ley de Comisiones de Postulación, todos </w:t>
      </w:r>
      <w:r w:rsidRPr="0003155F">
        <w:rPr>
          <w:snapToGrid/>
          <w:sz w:val="20"/>
          <w:lang w:val="es-ES" w:eastAsia="en-US"/>
        </w:rPr>
        <w:t>los</w:t>
      </w:r>
      <w:r w:rsidRPr="00B848BB">
        <w:rPr>
          <w:snapToGrid/>
          <w:sz w:val="20"/>
          <w:lang w:val="x-none" w:eastAsia="en-US"/>
        </w:rPr>
        <w:t xml:space="preserve"> procesos de selección de los candidatos las Comisiones de Postulación observarán criterios, requisitos y condiciones concretas y tangibles en los factores de ponderación establecidos, eliminado criterios, requisitos y condiciones subjetivas y discreciones.</w:t>
      </w:r>
      <w:r w:rsidRPr="00B848BB">
        <w:rPr>
          <w:snapToGrid/>
          <w:sz w:val="18"/>
          <w:vertAlign w:val="superscript"/>
          <w:lang w:val="x-none" w:eastAsia="en-US"/>
        </w:rPr>
        <w:footnoteReference w:id="17"/>
      </w:r>
    </w:p>
    <w:p w:rsidR="00B848BB" w:rsidRPr="00B848BB" w:rsidRDefault="00B848BB" w:rsidP="005A06B1">
      <w:pPr>
        <w:pStyle w:val="SingleTxtGC"/>
        <w:spacing w:after="100" w:line="240" w:lineRule="exact"/>
        <w:rPr>
          <w:snapToGrid/>
          <w:sz w:val="20"/>
          <w:lang w:val="x-none" w:eastAsia="en-US"/>
        </w:rPr>
      </w:pPr>
      <w:r w:rsidRPr="00B848BB">
        <w:rPr>
          <w:snapToGrid/>
          <w:sz w:val="20"/>
          <w:lang w:val="x-none" w:eastAsia="en-US"/>
        </w:rPr>
        <w:t xml:space="preserve">Las Comisiones de Postulación, desarrollan sus actuaciones dentro del proceso con informar a la población de forma actualizada y veraz, de acuerdo al principio de publicidad el cual establece: “Todos los actos que realicen las Comisiones de Postulación son públicos; en dichos actos podrán particular como observadores los interesados y público en </w:t>
      </w:r>
      <w:r w:rsidRPr="00B848BB">
        <w:rPr>
          <w:snapToGrid/>
          <w:sz w:val="20"/>
          <w:lang w:val="x-none" w:eastAsia="en-US"/>
        </w:rPr>
        <w:lastRenderedPageBreak/>
        <w:t>general”.  Por ello, el 23 de septiembre de 2014 en el Diario de Centro América, -Diario Oficial- la Comisión de Postulación público la nómina de candidatos seleccionados a la Corte Suprema de Justicia y las Cortes de Apelaciones y presentados al Congreso de la República, de conformidad con lo establecido en la Constitución Política de República y la Ley de Comisiones de Postulación.</w:t>
      </w:r>
      <w:r w:rsidRPr="00B848BB">
        <w:rPr>
          <w:snapToGrid/>
          <w:sz w:val="18"/>
          <w:vertAlign w:val="superscript"/>
          <w:lang w:val="x-none" w:eastAsia="en-US"/>
        </w:rPr>
        <w:footnoteReference w:id="18"/>
      </w:r>
    </w:p>
    <w:p w:rsidR="00B848BB" w:rsidRPr="00B848BB" w:rsidRDefault="00B848BB" w:rsidP="00B35D45">
      <w:pPr>
        <w:pStyle w:val="SingleTxtGC"/>
        <w:spacing w:line="240" w:lineRule="exact"/>
        <w:rPr>
          <w:snapToGrid/>
          <w:sz w:val="20"/>
          <w:lang w:val="es-ES" w:eastAsia="en-US"/>
        </w:rPr>
      </w:pPr>
      <w:r w:rsidRPr="00B848BB">
        <w:rPr>
          <w:snapToGrid/>
          <w:sz w:val="20"/>
          <w:lang w:val="es-ES" w:eastAsia="en-US"/>
        </w:rPr>
        <w:t>El 25 de septiembre, el Congreso de la República eligió a los 13 magistrados que integrarían la nueva Corte Suprema de Justicia, la lista fue publicada en el Diario de Centro América -Diario Oficial-, el 9 de octubre de 2014 a través del A</w:t>
      </w:r>
      <w:r w:rsidRPr="00B848BB">
        <w:rPr>
          <w:snapToGrid/>
          <w:sz w:val="20"/>
          <w:lang w:val="x-none" w:eastAsia="en-US"/>
        </w:rPr>
        <w:t xml:space="preserve">cuerdo número 20-2014 del </w:t>
      </w:r>
      <w:r w:rsidRPr="0003155F">
        <w:rPr>
          <w:snapToGrid/>
          <w:sz w:val="20"/>
          <w:lang w:val="es-ES" w:eastAsia="en-US"/>
        </w:rPr>
        <w:t>Congreso</w:t>
      </w:r>
      <w:r w:rsidRPr="00B848BB">
        <w:rPr>
          <w:snapToGrid/>
          <w:sz w:val="20"/>
          <w:lang w:val="x-none" w:eastAsia="en-US"/>
        </w:rPr>
        <w:t xml:space="preserve"> de la República.</w:t>
      </w:r>
    </w:p>
    <w:p w:rsidR="00B848BB" w:rsidRPr="00B848BB" w:rsidRDefault="00B848BB" w:rsidP="00B35D45">
      <w:pPr>
        <w:pStyle w:val="SingleTxtGC"/>
        <w:spacing w:line="240" w:lineRule="exact"/>
        <w:rPr>
          <w:snapToGrid/>
          <w:sz w:val="20"/>
          <w:lang w:val="es-ES" w:eastAsia="en-US"/>
        </w:rPr>
      </w:pPr>
      <w:r w:rsidRPr="00B848BB">
        <w:rPr>
          <w:snapToGrid/>
          <w:sz w:val="20"/>
          <w:lang w:val="es-ES" w:eastAsia="en-US"/>
        </w:rPr>
        <w:t xml:space="preserve">Un amparo provisional otorgado por la Corte de Constitucionalidad ha retrasado la toma de posesión de los magistrados y magistradas que fueron electos y está pendiente de resolver si las </w:t>
      </w:r>
      <w:r w:rsidRPr="0003155F">
        <w:rPr>
          <w:snapToGrid/>
          <w:sz w:val="20"/>
          <w:lang w:val="es-ES" w:eastAsia="en-US"/>
        </w:rPr>
        <w:t>denuncias</w:t>
      </w:r>
      <w:r w:rsidRPr="00B848BB">
        <w:rPr>
          <w:snapToGrid/>
          <w:sz w:val="20"/>
          <w:lang w:val="es-ES" w:eastAsia="en-US"/>
        </w:rPr>
        <w:t xml:space="preserve"> tienen fundamentos.  Le corresponde a la Corte ordenar, si declara con lugar las impugnaciones, o la repetición de la elección por el Congreso de la República sobre la base de los candidatos seleccionados por las Comisiones de Postulación, o si deja sin efecto esta selección debiéndose repetir el proceso de selección por las Comisiones de Postulación.</w:t>
      </w:r>
      <w:r w:rsidRPr="00B848BB">
        <w:rPr>
          <w:snapToGrid/>
          <w:sz w:val="18"/>
          <w:vertAlign w:val="superscript"/>
          <w:lang w:val="es-ES" w:eastAsia="en-US"/>
        </w:rPr>
        <w:footnoteReference w:id="19"/>
      </w:r>
    </w:p>
    <w:p w:rsidR="00B848BB" w:rsidRPr="00B848BB" w:rsidRDefault="00B848BB" w:rsidP="00B35D45">
      <w:pPr>
        <w:pStyle w:val="SingleTxtGC"/>
        <w:spacing w:line="240" w:lineRule="exact"/>
        <w:rPr>
          <w:snapToGrid/>
          <w:sz w:val="20"/>
          <w:lang w:val="es-ES" w:eastAsia="en-US"/>
        </w:rPr>
      </w:pPr>
      <w:r w:rsidRPr="00B848BB">
        <w:rPr>
          <w:snapToGrid/>
          <w:sz w:val="20"/>
          <w:lang w:val="es-ES" w:eastAsia="en-US"/>
        </w:rPr>
        <w:t>El 9 de octubre de 2014, la Corte Suprema de Justicia le fue notificada la resolución emitida por la Corte de Constitucionalidad, en la que otorgan amparo provisional dentro de los expedientes de acumulados en acciones de amparo, dejó en suspenso temporal los acuerdos emitidos por el Congreso de la República  los Acuerdos Legislativos 20-2014, 22-2014 y 23-2014 en los que se declaró la elección de los Magistrados de la Corte Suprema de Justicia y de la Corte de Apelaciones y otros Tribunales Colegiados de igual Categoría, titulares y suplentes, para el período 2014-2019.</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Derivado de lo anterior, la Corte de Constitucionalidad, con fundamento en el artículo 71 de la Ley del Organismo Judicial</w:t>
      </w:r>
      <w:r w:rsidRPr="00B848BB">
        <w:rPr>
          <w:snapToGrid/>
          <w:sz w:val="18"/>
          <w:vertAlign w:val="superscript"/>
          <w:lang w:val="x-none" w:eastAsia="en-US"/>
        </w:rPr>
        <w:footnoteReference w:id="20"/>
      </w:r>
      <w:r w:rsidRPr="00B848BB">
        <w:rPr>
          <w:snapToGrid/>
          <w:sz w:val="20"/>
          <w:lang w:val="x-none" w:eastAsia="en-US"/>
        </w:rPr>
        <w:t xml:space="preserve"> resolvió que: “</w:t>
      </w:r>
      <w:r w:rsidRPr="00B848BB">
        <w:rPr>
          <w:i/>
          <w:snapToGrid/>
          <w:sz w:val="20"/>
          <w:lang w:val="x-none" w:eastAsia="en-US"/>
        </w:rPr>
        <w:t xml:space="preserve">…los abogados que actualmente ejercen los cargos de Magistrados de la Corte Suprema de Justicia y de las Salas de Apelaciones y otros Tribunales Colegiados de igual categoría, continuaran en ese ejercicio hasta la fecha en la </w:t>
      </w:r>
      <w:r w:rsidRPr="0003155F">
        <w:rPr>
          <w:snapToGrid/>
          <w:sz w:val="20"/>
          <w:lang w:val="es-ES" w:eastAsia="en-US"/>
        </w:rPr>
        <w:t>que</w:t>
      </w:r>
      <w:r w:rsidRPr="00B848BB">
        <w:rPr>
          <w:i/>
          <w:snapToGrid/>
          <w:sz w:val="20"/>
          <w:lang w:val="x-none" w:eastAsia="en-US"/>
        </w:rPr>
        <w:t xml:space="preserve"> se concrete la toma de posesión de quienes le sucedan…”.  </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Los trece magistrados de la Corte Suprema de Justica, por unanimidad, acordaron acatar la resolución de la Corte de Constitucionalidad y seguirán desempeñando los cargos que actualmente ocupan, luego de que el máximo ente constitucional otorgaran un amparo </w:t>
      </w:r>
      <w:r w:rsidRPr="0003155F">
        <w:rPr>
          <w:snapToGrid/>
          <w:sz w:val="20"/>
          <w:lang w:val="es-ES" w:eastAsia="en-US"/>
        </w:rPr>
        <w:t>provisional</w:t>
      </w:r>
      <w:r w:rsidRPr="00B848BB">
        <w:rPr>
          <w:snapToGrid/>
          <w:sz w:val="20"/>
          <w:lang w:val="x-none" w:eastAsia="en-US"/>
        </w:rPr>
        <w:t xml:space="preserve"> que deja en suspenso la elección de magistrados de la Corte Suprema de Justicia y Salas de Apelaciones 2014-2019. Dicha determinación se basó en el artículo 71 de la Ley del Organismo Judicial.</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Finalmente el 19 de noviembre de 2014 la Corte de Constitucionalidad de Guatemala, resolvió: Denegar los amparos promovidos por Alma Carolina Aguilar Salguero, Pedro Fernando Cruz Rivera, Enrique Búcaro Batres, Helen Beatriz Mack Chang, Asociación Civil Acción Ciudadana y el Centro para la Defensa de la Constitución “CEDECON”, y en consecuencia ordenó la toma de posesión de los Magistrados electos a Corte Suprema de </w:t>
      </w:r>
      <w:r w:rsidRPr="00B848BB">
        <w:rPr>
          <w:snapToGrid/>
          <w:sz w:val="20"/>
          <w:lang w:val="x-none" w:eastAsia="en-US"/>
        </w:rPr>
        <w:lastRenderedPageBreak/>
        <w:t>Justicia y Salas de las Cortes de Apelaciones.   Ello porque no se probaron los vicios de arbitrariedad señalados por los postulantes.</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La Corte Interamericana de Derechos Humanos ha observado que “los principios básicos de las Naciones Unidas relativos a la independencia de la judicatura” establece que “la independencia de la judicatura será garantizada por el Estado y proclamada por la </w:t>
      </w:r>
      <w:r w:rsidRPr="0003155F">
        <w:rPr>
          <w:snapToGrid/>
          <w:sz w:val="20"/>
          <w:lang w:val="es-ES" w:eastAsia="en-US"/>
        </w:rPr>
        <w:t>Constituci</w:t>
      </w:r>
      <w:r w:rsidRPr="00B848BB">
        <w:rPr>
          <w:snapToGrid/>
          <w:sz w:val="20"/>
          <w:lang w:val="x-none" w:eastAsia="en-US"/>
        </w:rPr>
        <w:t xml:space="preserve">ón o la legislación del país”.   Todas las </w:t>
      </w:r>
      <w:r w:rsidRPr="00B848BB">
        <w:rPr>
          <w:snapToGrid/>
          <w:sz w:val="20"/>
          <w:u w:val="single"/>
          <w:lang w:val="x-none" w:eastAsia="en-US"/>
        </w:rPr>
        <w:t>instituciones gubernamentales y de otra índole</w:t>
      </w:r>
      <w:r w:rsidRPr="00B848BB">
        <w:rPr>
          <w:snapToGrid/>
          <w:sz w:val="20"/>
          <w:lang w:val="x-none" w:eastAsia="en-US"/>
        </w:rPr>
        <w:t xml:space="preserve">, </w:t>
      </w:r>
      <w:r w:rsidRPr="00B848BB">
        <w:rPr>
          <w:b/>
          <w:snapToGrid/>
          <w:sz w:val="20"/>
          <w:lang w:val="x-none" w:eastAsia="en-US"/>
        </w:rPr>
        <w:t>respetarán y acatarán la independencia de la judicatura.</w:t>
      </w:r>
      <w:r w:rsidRPr="00B848BB">
        <w:rPr>
          <w:snapToGrid/>
          <w:sz w:val="20"/>
          <w:lang w:val="x-none" w:eastAsia="en-US"/>
        </w:rPr>
        <w:t xml:space="preserve">   En tal sentido los Ilustres Relatores Especiales y demás Procedimientos Especiales de Naciones Unidas, a juicio del Estado de Guatemala deben respetar y acatar la independencia de la judicatura. “La independencia de cualquier juez supone que se cuente con un adecuado proceso de nombramiento, con una duración establecida en el cargo y</w:t>
      </w:r>
      <w:r w:rsidRPr="00B848BB">
        <w:rPr>
          <w:snapToGrid/>
          <w:sz w:val="20"/>
          <w:u w:val="single"/>
          <w:lang w:val="x-none" w:eastAsia="en-US"/>
        </w:rPr>
        <w:t xml:space="preserve"> con una garantía contra presiones externas.</w:t>
      </w:r>
      <w:r w:rsidRPr="00B848BB">
        <w:rPr>
          <w:snapToGrid/>
          <w:sz w:val="18"/>
          <w:u w:val="single"/>
          <w:vertAlign w:val="superscript"/>
          <w:lang w:val="x-none" w:eastAsia="en-US"/>
        </w:rPr>
        <w:footnoteReference w:id="21"/>
      </w:r>
      <w:r w:rsidRPr="00B848BB">
        <w:rPr>
          <w:snapToGrid/>
          <w:sz w:val="20"/>
          <w:lang w:val="x-none" w:eastAsia="en-US"/>
        </w:rPr>
        <w:t xml:space="preserve"> </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Razón por la cual instamos al Sistema de Naciones Unidas a velar y garantizar </w:t>
      </w:r>
      <w:r w:rsidRPr="0003155F">
        <w:rPr>
          <w:snapToGrid/>
          <w:sz w:val="20"/>
          <w:lang w:val="es-ES" w:eastAsia="en-US"/>
        </w:rPr>
        <w:t>conjuntamente</w:t>
      </w:r>
      <w:r w:rsidRPr="00B848BB">
        <w:rPr>
          <w:snapToGrid/>
          <w:sz w:val="20"/>
          <w:lang w:val="x-none" w:eastAsia="en-US"/>
        </w:rPr>
        <w:t xml:space="preserve"> con la comunidad regional, nacional e internacional de garantizar la independencia judicial contra presiones externas, y a no consentir o fomentar tales actos que atentan contra la independencia e imparcialidad de las judicaturas ordinarias y constitucionales.</w:t>
      </w:r>
    </w:p>
    <w:p w:rsidR="00B848BB" w:rsidRPr="00B848BB" w:rsidRDefault="00B848BB" w:rsidP="00B848BB">
      <w:pPr>
        <w:keepNext/>
        <w:keepLines/>
        <w:tabs>
          <w:tab w:val="clear" w:pos="431"/>
          <w:tab w:val="right" w:pos="851"/>
        </w:tabs>
        <w:suppressAutoHyphens/>
        <w:overflowPunct/>
        <w:adjustRightInd/>
        <w:snapToGrid/>
        <w:spacing w:before="360" w:after="240" w:line="300" w:lineRule="exact"/>
        <w:ind w:left="1134" w:right="1134" w:hanging="1134"/>
        <w:jc w:val="left"/>
        <w:rPr>
          <w:b/>
          <w:snapToGrid/>
          <w:sz w:val="28"/>
          <w:lang w:val="x-none" w:eastAsia="en-US"/>
        </w:rPr>
      </w:pPr>
      <w:r w:rsidRPr="00B848BB">
        <w:rPr>
          <w:b/>
          <w:snapToGrid/>
          <w:sz w:val="28"/>
          <w:lang w:val="es-ES" w:eastAsia="en-US"/>
        </w:rPr>
        <w:tab/>
      </w:r>
      <w:r w:rsidRPr="00B848BB">
        <w:rPr>
          <w:b/>
          <w:snapToGrid/>
          <w:sz w:val="28"/>
          <w:lang w:val="x-none" w:eastAsia="en-US"/>
        </w:rPr>
        <w:t>V</w:t>
      </w:r>
      <w:r w:rsidRPr="00B848BB">
        <w:rPr>
          <w:b/>
          <w:snapToGrid/>
          <w:sz w:val="28"/>
          <w:lang w:val="es-ES" w:eastAsia="en-US"/>
        </w:rPr>
        <w:t>I</w:t>
      </w:r>
      <w:r w:rsidRPr="00B848BB">
        <w:rPr>
          <w:b/>
          <w:snapToGrid/>
          <w:sz w:val="28"/>
          <w:lang w:val="x-none" w:eastAsia="en-US"/>
        </w:rPr>
        <w:t>.</w:t>
      </w:r>
      <w:r w:rsidRPr="00B848BB">
        <w:rPr>
          <w:b/>
          <w:snapToGrid/>
          <w:sz w:val="28"/>
          <w:lang w:val="es-ES" w:eastAsia="en-US"/>
        </w:rPr>
        <w:tab/>
      </w:r>
      <w:r w:rsidRPr="00B848BB">
        <w:rPr>
          <w:b/>
          <w:snapToGrid/>
          <w:sz w:val="28"/>
          <w:lang w:val="x-none" w:eastAsia="en-US"/>
        </w:rPr>
        <w:t>Observaciones y conclusiones del Estado de Guatemala</w:t>
      </w:r>
    </w:p>
    <w:p w:rsidR="00B848BB" w:rsidRPr="00B848BB" w:rsidRDefault="00B848BB" w:rsidP="00B35D45">
      <w:pPr>
        <w:pStyle w:val="SingleTxtGC"/>
        <w:spacing w:line="240" w:lineRule="exact"/>
        <w:rPr>
          <w:snapToGrid/>
          <w:sz w:val="20"/>
          <w:lang w:val="es-GT" w:eastAsia="en-US"/>
        </w:rPr>
      </w:pPr>
      <w:r w:rsidRPr="00B848BB">
        <w:rPr>
          <w:snapToGrid/>
          <w:sz w:val="20"/>
          <w:lang w:val="es-ES" w:eastAsia="en-US"/>
        </w:rPr>
        <w:t xml:space="preserve">El Gobierno de Guatemala reafirma su voluntad de cumplir sus compromisos y obligaciones de conformidad con el derecho internacional y los Tratados y Convenios de los que es parte. Afirma enfática y </w:t>
      </w:r>
      <w:r w:rsidRPr="0003155F">
        <w:rPr>
          <w:snapToGrid/>
          <w:sz w:val="20"/>
          <w:lang w:val="es-ES" w:eastAsia="en-US"/>
        </w:rPr>
        <w:t>categ</w:t>
      </w:r>
      <w:r w:rsidRPr="00B848BB">
        <w:rPr>
          <w:snapToGrid/>
          <w:sz w:val="20"/>
          <w:lang w:val="es-ES" w:eastAsia="en-US"/>
        </w:rPr>
        <w:t>óricamente que sus decisiones, actuaciones y Políticas son conformes con todos los tratados Internacionales y Regionales de derechos humanos de los que es parte</w:t>
      </w:r>
      <w:r w:rsidRPr="00B848BB">
        <w:rPr>
          <w:snapToGrid/>
          <w:sz w:val="20"/>
          <w:lang w:val="es-GT" w:eastAsia="en-US"/>
        </w:rPr>
        <w:t xml:space="preserve"> por ratificación o adhesión.  </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El Gobierno de Guatemala rechaza las acusaciones sobre incumplimiento de obligaciones o  compromisos afirmadas</w:t>
      </w:r>
      <w:r w:rsidRPr="00B848BB">
        <w:rPr>
          <w:rFonts w:eastAsia="Calibri"/>
          <w:snapToGrid/>
          <w:sz w:val="20"/>
          <w:lang w:val="x-none" w:eastAsia="en-US"/>
        </w:rPr>
        <w:t xml:space="preserve"> </w:t>
      </w:r>
      <w:r w:rsidRPr="00B848BB">
        <w:rPr>
          <w:snapToGrid/>
          <w:sz w:val="20"/>
          <w:lang w:val="x-none" w:eastAsia="en-US"/>
        </w:rPr>
        <w:t>por los Relatores de Procedimientos Especiales, fundamentados en interpretaciones sobre el significado y alcance de las disposiciones y contenidos de instrumentos Internacionales, extendiendo o ampliando sus contenidos, más allá de la voluntad expresa de los Estados Parte, que de buena fe han negociado, suscrito, aprobado, ratificado o se han adherido a ellos, llegando en ocasiones a contradecir o ignorar otros contenidos de los mismos instrumentos que invocan y sin tomar en cuenta u obviando interpretaciones legitimas de las jurisdicciones de derechos humanos y Cortes de los Estados Parte.</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El Gobierno de Guatemala rechaza y considera contraproducente para el debido cumplimiento y universalización de los Tratados Internacionales, que quienes están llamados a velar por ello, </w:t>
      </w:r>
      <w:r w:rsidRPr="0003155F">
        <w:rPr>
          <w:snapToGrid/>
          <w:sz w:val="20"/>
          <w:lang w:val="es-ES" w:eastAsia="en-US"/>
        </w:rPr>
        <w:t>asuman</w:t>
      </w:r>
      <w:r w:rsidRPr="00B848BB">
        <w:rPr>
          <w:snapToGrid/>
          <w:sz w:val="20"/>
          <w:lang w:val="x-none" w:eastAsia="en-US"/>
        </w:rPr>
        <w:t xml:space="preserve"> como verdad cierta y probada, alegaciones infundadas, falsas, subjetivas o malintencionadas de supuestas “diversas fuentes” sin la debida comprobación o rigurosa verificación que demandan sus altas responsabilidades. </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El Gobierno de Guatemala, sostiene con convencimiento y certeza jurídica que las Amnistías decretadas en 1986 y 1996 son conforme al derecho Internacional y a la Jurisprudencia de derechos humanos, como también lo es la defensa de las garantías procesales contempladas en los principales Tratados Internacionales y Regionales, como el Pacto Internacional de Derechos Civiles y Políticos y la Convención Americana de </w:t>
      </w:r>
      <w:r w:rsidRPr="00B848BB">
        <w:rPr>
          <w:snapToGrid/>
          <w:sz w:val="20"/>
          <w:lang w:val="x-none" w:eastAsia="en-US"/>
        </w:rPr>
        <w:lastRenderedPageBreak/>
        <w:t xml:space="preserve">Derechos Humanos. Estas garantías procesales no pueden ser vulneradas u obviadas dando alcances incompatibles con las mismas a la Justicia transicional. </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El Gobierno de Guatemala cree en la Justicia Transicional, y no niega ni elude, que respecto de graves violaciones a los derechos humanos, es obligación el conocimiento pleno de la verdad, la </w:t>
      </w:r>
      <w:r w:rsidRPr="0003155F">
        <w:rPr>
          <w:snapToGrid/>
          <w:sz w:val="20"/>
          <w:lang w:val="es-ES" w:eastAsia="en-US"/>
        </w:rPr>
        <w:t>reparaci</w:t>
      </w:r>
      <w:r w:rsidRPr="00B848BB">
        <w:rPr>
          <w:snapToGrid/>
          <w:sz w:val="20"/>
          <w:lang w:val="x-none" w:eastAsia="en-US"/>
        </w:rPr>
        <w:t>ón y resarcimiento a las víctimas, que incluye compensación, rehabilitación y satisfacción, así como garantías de no repetición.</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 Pero la concreción de sanciones Penales, aunque es importante cuando posible, depende de lo que resuelvan las Cortes de Jurisdicción Penal, respetando las garantías procesales, que constituyen derechos </w:t>
      </w:r>
      <w:r w:rsidRPr="0003155F">
        <w:rPr>
          <w:snapToGrid/>
          <w:sz w:val="20"/>
          <w:lang w:val="es-ES" w:eastAsia="en-US"/>
        </w:rPr>
        <w:t>humanos</w:t>
      </w:r>
      <w:r w:rsidRPr="00B848BB">
        <w:rPr>
          <w:snapToGrid/>
          <w:sz w:val="20"/>
          <w:lang w:val="x-none" w:eastAsia="en-US"/>
        </w:rPr>
        <w:t xml:space="preserve"> fundamentales, como la presunción de inocencia, el principio de legalidad, la irretroactividad de la ley penal y la causa juzgada; así como dando debida consideración a las causas de extinción de la responsabilidad penal, como la Amnistía y la prescripción, que no pueden considerarse de manera absoluta como contrarias al derecho Internacional.   Resoluciones como las sentencias de la Corte Suprema de Justicia de México, en el caso contra el Ex presidente Luis Echeverría por Tlatelolco (1968) y de la Corte Suprema de Justicia Española por casos de la Guerra Civil, entre otras, han interpretado, Jurídica, legítima y correctamente la aplicación de las normas de prescripción, legalidad e  irretroactividad de la ley penal, resolviendo su debida interpretación temporalidad, aplicación y vigencia.</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Las Cortes Guatemaltecas son respetuosas de los Tratados Internacionales de los que Guatemala es parte y cuyas </w:t>
      </w:r>
      <w:r w:rsidRPr="0003155F">
        <w:rPr>
          <w:snapToGrid/>
          <w:sz w:val="20"/>
          <w:lang w:val="es-ES" w:eastAsia="en-US"/>
        </w:rPr>
        <w:t>disposiciones</w:t>
      </w:r>
      <w:r w:rsidRPr="00B848BB">
        <w:rPr>
          <w:snapToGrid/>
          <w:sz w:val="20"/>
          <w:lang w:val="x-none" w:eastAsia="en-US"/>
        </w:rPr>
        <w:t xml:space="preserve"> están recogidas en la constitución de la República. El Gobierno de Guatemala reconoce que los mecanismos de Protección y garantía de la vigencia de los derechos humanos son mecanismos importantes y necesarios, siempre que realicen objetiva y cumplidamente sus funciones, pero no deben ni pueden pretender convertirse en instancias supranacionales, ni deseadas, ni pactadas, ni aceptadas por los Estados que de buena fe han decidido ser parte de Tratados Internacionales. Es un despropósito pretender supeditar a los Organismos Estatales, Ejecutivo, Legislativo y Judicial, constituyéndose en fuentes de derecho, gestores de políticas públicas o intérpretes de leyes nacionales o tratados internacionales.</w:t>
      </w:r>
    </w:p>
    <w:p w:rsidR="00B848BB" w:rsidRPr="00B848BB" w:rsidRDefault="00B848BB" w:rsidP="00B848BB">
      <w:pPr>
        <w:keepNext/>
        <w:keepLines/>
        <w:tabs>
          <w:tab w:val="clear" w:pos="431"/>
          <w:tab w:val="right" w:pos="851"/>
        </w:tabs>
        <w:suppressAutoHyphens/>
        <w:overflowPunct/>
        <w:adjustRightInd/>
        <w:snapToGrid/>
        <w:spacing w:before="360" w:after="240" w:line="270" w:lineRule="exact"/>
        <w:ind w:left="1134" w:right="1134" w:hanging="1134"/>
        <w:jc w:val="left"/>
        <w:rPr>
          <w:b/>
          <w:snapToGrid/>
          <w:sz w:val="24"/>
          <w:lang w:val="es-GT" w:eastAsia="en-US"/>
        </w:rPr>
      </w:pPr>
      <w:r w:rsidRPr="00B848BB">
        <w:rPr>
          <w:b/>
          <w:snapToGrid/>
          <w:sz w:val="24"/>
          <w:lang w:val="es-GT" w:eastAsia="en-US"/>
        </w:rPr>
        <w:t xml:space="preserve"> </w:t>
      </w:r>
      <w:r w:rsidRPr="00B848BB">
        <w:rPr>
          <w:b/>
          <w:snapToGrid/>
          <w:sz w:val="24"/>
          <w:lang w:val="es-GT" w:eastAsia="en-US"/>
        </w:rPr>
        <w:tab/>
      </w:r>
      <w:r w:rsidRPr="00B848BB">
        <w:rPr>
          <w:b/>
          <w:snapToGrid/>
          <w:sz w:val="24"/>
          <w:lang w:val="es-GT" w:eastAsia="en-US"/>
        </w:rPr>
        <w:tab/>
        <w:t>Amnistía</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Como bien ha señalado la Corte Interamericana de Derechos Humanos, “no existe en el derecho Internacional positivo una norma a través de la cual se haya proscrito explícitamente todo tipo de Amnistía. La única mención explícita a la Amnistía en un tratado multilateral está contenida en el artículo 6 (5) del protocolo adicional II de las convenciones de Ginebra del 12 de Agosto de 1949”. En dicha mención se pide a los Estados la más amplia de las Amnistías en caso de conflictos armados.</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Señala también la Corte Interamericana que en el contexto específico de procesos de violencia generalizada y de Conflictos armados, el recurso a la Amnistía puede conducir a rumbos en diversas </w:t>
      </w:r>
      <w:r w:rsidRPr="0003155F">
        <w:rPr>
          <w:snapToGrid/>
          <w:sz w:val="20"/>
          <w:lang w:val="es-ES" w:eastAsia="en-US"/>
        </w:rPr>
        <w:t>direcciones</w:t>
      </w:r>
      <w:r w:rsidRPr="00B848BB">
        <w:rPr>
          <w:snapToGrid/>
          <w:sz w:val="20"/>
          <w:lang w:val="x-none" w:eastAsia="en-US"/>
        </w:rPr>
        <w:t xml:space="preserve">, que plantean un abanico de posibles resultados que pueden fijar los márgenes para el ejercicio de la ponderación de los intereses en el propósito de conjugar los propósitos de investigación, sanción y reparación de graves violaciones a los derechos humanos, de un lado, con los de reconciliación nacional y salida negociada de un conflicto armado no internacional por el otro.  </w:t>
      </w:r>
      <w:r w:rsidRPr="00B848BB">
        <w:rPr>
          <w:b/>
          <w:snapToGrid/>
          <w:sz w:val="20"/>
          <w:lang w:val="x-none" w:eastAsia="en-US"/>
        </w:rPr>
        <w:t>No hay solución universalmente aplicable a los dilemas que plantea esta tensión</w:t>
      </w:r>
      <w:r w:rsidRPr="00B848BB">
        <w:rPr>
          <w:snapToGrid/>
          <w:sz w:val="20"/>
          <w:lang w:val="x-none" w:eastAsia="en-US"/>
        </w:rPr>
        <w:t xml:space="preserve">, señala acertadamente la Corte.  </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La Corte Interamericana aborda anteriores decisiones sobre incompatibilidad de las amnistías, indicando que “más allá de lo resuelto en casos anteriores, la cuestión de las amnistías y su relación con el deber de investigar y sancionar graves violaciones a derechos humanos, requiere un análisis que proporcione criterios adecuados para un juicio de </w:t>
      </w:r>
      <w:r w:rsidRPr="00B848BB">
        <w:rPr>
          <w:snapToGrid/>
          <w:sz w:val="20"/>
          <w:lang w:val="x-none" w:eastAsia="en-US"/>
        </w:rPr>
        <w:lastRenderedPageBreak/>
        <w:t>ponderación en contextos en los que pudiera surgir tensiones entre las demandas de justicia con los requerimientos de una paz negociada”.</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Recuerda la Corte Interamericana que en el caso emblemático BARRIOS ALTOS de Perú, resolvió inadmisibles las disposiciones de Amnistía, refiriéndose a dos auto amnistías dictadas en 1995. En igual sentido resolvió con posterioridad los casos ALMONACID ARELLANO de Chile, LA CANUTA, de Perú, GOMES LUND Y OTROS de Brasil y GELMAN de Uruguay, pero indica la Corte que todos ellos tenían en común que ninguna de esas normas de amnistía se daba dentro del contexto de un proceso orientado a poner término por la vía negociada a un conflicto armado, recordando la Corte que a través del Acuerdo de Esquipulas II, firmado en agosto de 1987, los Presidentes de cinco países Centroamericanos se pusieron de acuerdo en buscar una salida a los conflictos armados internos.  Ese acuerdo se recuerda a los Relatores, señala específicamente el diálogo y la amnistía para la paz negociada.</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Los Convenios de Ginebra, llaman a la más amplia amnistía, indudablemente abarcando un sin número de hechos, más allá que aquellos que pudiesen constituir delitos políticos en sentido estricto, no podrá ser de otra manera en un conflicto armado.  Cuando en diversos Estados se contempla la amnistía por delitos políticos se hace para que se incluyan en esas conductas que se Amnistían, para que no se dejen de lado.  Resultaría un despropósito y un absurdo pensar en que la más amplia amnistía contemplada en el protocolo II de los Convenios de Ginebra se reduzca a delitos políticos, cuando busca terminar guerras internacionales o internas en los que los menos son delitos políticos.</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Sobre el derecho de las víctimas a la verdad, la Justicia y la reparación, entendidas como interdependientes, la Corte Interamericana señala que en cuanto al elemento Justicia, el deber del Estado de </w:t>
      </w:r>
      <w:r w:rsidRPr="0003155F">
        <w:rPr>
          <w:snapToGrid/>
          <w:sz w:val="20"/>
          <w:lang w:val="es-ES" w:eastAsia="en-US"/>
        </w:rPr>
        <w:t>sancionar</w:t>
      </w:r>
      <w:r w:rsidRPr="00B848BB">
        <w:rPr>
          <w:snapToGrid/>
          <w:sz w:val="20"/>
          <w:lang w:val="x-none" w:eastAsia="en-US"/>
        </w:rPr>
        <w:t xml:space="preserve"> las más graves violaciones de los derechos humanos es, como lo ha dicho reiteradamente la Corte, una obligación de medio y forma parte del deber de garantía estipulando a la Convención. Los Estados deben poner a disposición de las víctimas los remedios </w:t>
      </w:r>
      <w:r w:rsidRPr="0003155F">
        <w:rPr>
          <w:snapToGrid/>
          <w:sz w:val="20"/>
          <w:lang w:val="es-ES" w:eastAsia="en-US"/>
        </w:rPr>
        <w:t>adecuados</w:t>
      </w:r>
      <w:r w:rsidRPr="00B848BB">
        <w:rPr>
          <w:snapToGrid/>
          <w:sz w:val="20"/>
          <w:lang w:val="x-none" w:eastAsia="en-US"/>
        </w:rPr>
        <w:t xml:space="preserve"> para hacer efectivos sus derechos, sin Embargo un conflicto armado y la solución negociada del mismo abre varios interrogantes y plantea enormes exigencias jurídicas y éticas en la búsqueda de la armonización entre justicia penal y paz negociada. </w:t>
      </w:r>
    </w:p>
    <w:p w:rsidR="00B848BB" w:rsidRPr="00B848BB" w:rsidRDefault="00B848BB" w:rsidP="00B35D45">
      <w:pPr>
        <w:pStyle w:val="SingleTxtGC"/>
        <w:spacing w:line="240" w:lineRule="exact"/>
        <w:rPr>
          <w:b/>
          <w:i/>
          <w:snapToGrid/>
          <w:sz w:val="20"/>
          <w:lang w:val="es-GT" w:eastAsia="en-US"/>
        </w:rPr>
      </w:pPr>
      <w:r w:rsidRPr="00B848BB">
        <w:rPr>
          <w:snapToGrid/>
          <w:sz w:val="20"/>
          <w:lang w:val="es-GT" w:eastAsia="en-US"/>
        </w:rPr>
        <w:t xml:space="preserve">Esta armonización debe hacerse a través de un juicio de ponderación de estos derechos en el marco propio de una </w:t>
      </w:r>
      <w:r w:rsidRPr="0003155F">
        <w:rPr>
          <w:snapToGrid/>
          <w:sz w:val="20"/>
          <w:lang w:val="es-ES" w:eastAsia="en-US"/>
        </w:rPr>
        <w:t>justicia</w:t>
      </w:r>
      <w:r w:rsidRPr="00B848BB">
        <w:rPr>
          <w:snapToGrid/>
          <w:sz w:val="20"/>
          <w:lang w:val="es-GT" w:eastAsia="en-US"/>
        </w:rPr>
        <w:t xml:space="preserve"> transicional.  En ese sentido dice la Corte, pueden plantearse particularidades y especificidades de procesamiento de estas obligaciones en el contexto de una paz negociada. Y por ello los Estados deben ponderar en ese tipo de circunstancias el efecto de la justicia penal tanto sobre los derechos de las victimas como sobre la necesidad de terminar con el conflicto.  Concluye la Corte que </w:t>
      </w:r>
      <w:r w:rsidRPr="00B848BB">
        <w:rPr>
          <w:i/>
          <w:snapToGrid/>
          <w:sz w:val="20"/>
          <w:lang w:val="es-GT" w:eastAsia="en-US"/>
        </w:rPr>
        <w:t>“Se puede entender, que este deber Estatal se descompone en tres elementos. Primero: Investigar y esclarecer los hechos. Segundo: la identificación de las responsabilidades individuales. Tercero: la aplicación de sanciones.”</w:t>
      </w:r>
      <w:r w:rsidRPr="00B848BB">
        <w:rPr>
          <w:snapToGrid/>
          <w:sz w:val="20"/>
          <w:lang w:val="es-GT" w:eastAsia="en-US"/>
        </w:rPr>
        <w:t xml:space="preserve"> Precisando la Corte que </w:t>
      </w:r>
      <w:r w:rsidRPr="00B848BB">
        <w:rPr>
          <w:b/>
          <w:i/>
          <w:snapToGrid/>
          <w:sz w:val="20"/>
          <w:lang w:val="es-GT" w:eastAsia="en-US"/>
        </w:rPr>
        <w:t>“Aun cuando la aspiración de la justicia penal debe ser efectivizar satisfactoriamente estos tres ámbitos, si se dificulta la concreción de la sanción penal, los otros componentes no deberían verse afectados o diferidos”.</w:t>
      </w:r>
    </w:p>
    <w:p w:rsidR="00B848BB" w:rsidRPr="00B848BB" w:rsidRDefault="00B848BB" w:rsidP="00B35D45">
      <w:pPr>
        <w:pStyle w:val="SingleTxtGC"/>
        <w:spacing w:line="240" w:lineRule="exact"/>
        <w:rPr>
          <w:i/>
          <w:snapToGrid/>
          <w:sz w:val="20"/>
          <w:lang w:val="es-GT" w:eastAsia="en-US"/>
        </w:rPr>
      </w:pPr>
      <w:r w:rsidRPr="00B848BB">
        <w:rPr>
          <w:snapToGrid/>
          <w:sz w:val="20"/>
          <w:lang w:val="es-GT" w:eastAsia="en-US"/>
        </w:rPr>
        <w:t xml:space="preserve">Afirma la Corte que, </w:t>
      </w:r>
      <w:r w:rsidRPr="00B848BB">
        <w:rPr>
          <w:i/>
          <w:snapToGrid/>
          <w:sz w:val="20"/>
          <w:lang w:val="es-GT" w:eastAsia="en-US"/>
        </w:rPr>
        <w:t xml:space="preserve">“La paz como producto de una negociación se ofrece como una alternativa moral y políticamente superior a la paz como producto del aniquilamiento del contario. Por ello, el derecho Internacional de los derechos humanos debe considerarse a la paz como un derecho y </w:t>
      </w:r>
      <w:r w:rsidRPr="0003155F">
        <w:rPr>
          <w:snapToGrid/>
          <w:sz w:val="20"/>
          <w:lang w:val="es-ES" w:eastAsia="en-US"/>
        </w:rPr>
        <w:t>al</w:t>
      </w:r>
      <w:r w:rsidRPr="00B848BB">
        <w:rPr>
          <w:i/>
          <w:snapToGrid/>
          <w:sz w:val="20"/>
          <w:lang w:val="es-GT" w:eastAsia="en-US"/>
        </w:rPr>
        <w:t xml:space="preserve"> Estado como obligado a alcanzarla”</w:t>
      </w:r>
      <w:r w:rsidRPr="00B848BB">
        <w:rPr>
          <w:snapToGrid/>
          <w:sz w:val="20"/>
          <w:lang w:val="es-GT" w:eastAsia="en-US"/>
        </w:rPr>
        <w:t>… “</w:t>
      </w:r>
      <w:r w:rsidRPr="00B848BB">
        <w:rPr>
          <w:i/>
          <w:snapToGrid/>
          <w:sz w:val="20"/>
          <w:lang w:val="es-GT" w:eastAsia="en-US"/>
        </w:rPr>
        <w:t xml:space="preserve">En anteriores situaciones de tránsito de un conflicto armado a la paz, pueden ocurrir que un estado no se encuentre en posibilidad de materializar plenamente, en forma simultánea, los distintos derechos y obligaciones contraídos Internacionalmente. En esas circunstancias, teniendo en consideración que no se le puede conferir a ninguno de esos derechos y obligaciones un carácter absoluto, es legítimo que se pondere de manera tal que la plena satisfacción de </w:t>
      </w:r>
      <w:r w:rsidRPr="00B848BB">
        <w:rPr>
          <w:i/>
          <w:snapToGrid/>
          <w:sz w:val="20"/>
          <w:lang w:val="es-GT" w:eastAsia="en-US"/>
        </w:rPr>
        <w:lastRenderedPageBreak/>
        <w:t xml:space="preserve">unos no afecte de forma desproporcionada la vigencia de los demás. Así, el grado de justicia al que se puede llegar no es un componente aislado, del cual se podrán derivar legitimas frustraciones e insatisfacciones, sino parte de un ambicioso proceso de transición hacia la tolerancia y la paz” </w:t>
      </w:r>
    </w:p>
    <w:p w:rsidR="00B848BB" w:rsidRPr="00B848BB" w:rsidRDefault="00B848BB" w:rsidP="00B35D45">
      <w:pPr>
        <w:pStyle w:val="SingleTxtGC"/>
        <w:spacing w:line="240" w:lineRule="exact"/>
        <w:rPr>
          <w:snapToGrid/>
          <w:sz w:val="20"/>
          <w:lang w:val="es-GT" w:eastAsia="en-US"/>
        </w:rPr>
      </w:pPr>
      <w:r w:rsidRPr="00B848BB">
        <w:rPr>
          <w:snapToGrid/>
          <w:sz w:val="20"/>
          <w:lang w:val="es-GT" w:eastAsia="en-US"/>
        </w:rPr>
        <w:t xml:space="preserve">Las amnistías de 1986, decretada en el contexto de la Transición democrática y 1996 contenida en la ley de reconciliación tuvieron por objeto poner fin a la situación de enfrentamiento armado y </w:t>
      </w:r>
      <w:r w:rsidRPr="0003155F">
        <w:rPr>
          <w:snapToGrid/>
          <w:sz w:val="20"/>
          <w:lang w:val="es-ES" w:eastAsia="en-US"/>
        </w:rPr>
        <w:t>violencia</w:t>
      </w:r>
      <w:r w:rsidRPr="00B848BB">
        <w:rPr>
          <w:snapToGrid/>
          <w:sz w:val="20"/>
          <w:lang w:val="es-GT" w:eastAsia="en-US"/>
        </w:rPr>
        <w:t xml:space="preserve"> generalizada en Guatemala, el cual se extendió por más de tres décadas. La determinación de sus contenidos responde a ejercicios de ponderación. En el primer caso por el gobierno que propiciaba el fin del conflicto armado y retorno a la democracia y por ello fue avalada por los constituyentes, electos libremente por más del 72% de los ciudadanos registrados. En el segundo caso, el ejercicio de ponderación sobre los contenidos de la amnistía,  contenida en la ley de reconciliación de 1996, se hizo entre las partes de la negociación, Gobierno y URNG en representación de los movimientos guerrilleros. Naciones Unidas moderó el proceso, con el acompañamiento y apoyo  de países amigos. </w:t>
      </w:r>
    </w:p>
    <w:p w:rsidR="00B848BB" w:rsidRPr="00B848BB" w:rsidRDefault="00B848BB" w:rsidP="00B35D45">
      <w:pPr>
        <w:pStyle w:val="SingleTxtGC"/>
        <w:spacing w:line="240" w:lineRule="exact"/>
        <w:rPr>
          <w:snapToGrid/>
          <w:sz w:val="20"/>
          <w:lang w:val="es-GT" w:eastAsia="en-US"/>
        </w:rPr>
      </w:pPr>
      <w:r w:rsidRPr="00B848BB">
        <w:rPr>
          <w:snapToGrid/>
          <w:sz w:val="20"/>
          <w:lang w:val="es-GT" w:eastAsia="en-US"/>
        </w:rPr>
        <w:t>El acuerdo de Paz negociado al efecto, contiene una amplia, amnistía, conforme a los convenios de Ginebra (Protocolo II), contemplando todos los delitos para la Contrainsurgencia y enumerándolos por artículo para insurgencia, calificándolos todos como delitos políticos o comunes conexos.   Exceptúa el acuerdo suscrito aquellos delitos que son imprescriptibles o que no admiten extinción de la responsabilidad de conformidad con el derecho interno o  los tratados internacionales ratificados o suscritos por Guatemala.</w:t>
      </w:r>
    </w:p>
    <w:p w:rsidR="00B848BB" w:rsidRPr="00B848BB" w:rsidRDefault="00B848BB" w:rsidP="00B35D45">
      <w:pPr>
        <w:pStyle w:val="SingleTxtGC"/>
        <w:spacing w:line="240" w:lineRule="exact"/>
        <w:rPr>
          <w:snapToGrid/>
          <w:sz w:val="20"/>
          <w:lang w:val="es-GT" w:eastAsia="en-US"/>
        </w:rPr>
      </w:pPr>
      <w:r w:rsidRPr="00B848BB">
        <w:rPr>
          <w:snapToGrid/>
          <w:sz w:val="20"/>
          <w:lang w:val="es-GT" w:eastAsia="en-US"/>
        </w:rPr>
        <w:t xml:space="preserve">El Acuerdo tiene una redacción deficiente, limitada a tratados suscritos y ratificados, no a todos aquellos de los que </w:t>
      </w:r>
      <w:r w:rsidRPr="0003155F">
        <w:rPr>
          <w:snapToGrid/>
          <w:sz w:val="20"/>
          <w:lang w:val="es-ES" w:eastAsia="en-US"/>
        </w:rPr>
        <w:t>Guatemala</w:t>
      </w:r>
      <w:r w:rsidRPr="00B848BB">
        <w:rPr>
          <w:snapToGrid/>
          <w:sz w:val="20"/>
          <w:lang w:val="es-GT" w:eastAsia="en-US"/>
        </w:rPr>
        <w:t xml:space="preserve"> fuese parte, pero en todo caso esta excepción no tiene efectos prácticos porque no había en la Legislación Nacional, ni en Tratados de los que Guatemala fuese parte que  contemplasen Imprescriptibilidad. Esta excepción fue recogida por el Congreso en la Ley de Reconciliación, con diferente pero igualmente deficiente redacción, refiriéndose solamente a tratados aprobados o ratificados, pero por la misma razón no tiene efecto práctico.  El Congreso agregó como excepciones, el genocidio, la desaparición forzada y la tortura, excepciones que no tienen consecuencia para hechos ocurridos durante el enfrentamiento, hasta antes de 1995.</w:t>
      </w:r>
    </w:p>
    <w:p w:rsidR="00B848BB" w:rsidRPr="00B848BB" w:rsidRDefault="00B848BB" w:rsidP="00B848BB">
      <w:pPr>
        <w:keepNext/>
        <w:keepLines/>
        <w:tabs>
          <w:tab w:val="clear" w:pos="431"/>
          <w:tab w:val="right" w:pos="851"/>
        </w:tabs>
        <w:suppressAutoHyphens/>
        <w:overflowPunct/>
        <w:adjustRightInd/>
        <w:snapToGrid/>
        <w:spacing w:before="360" w:after="240" w:line="270" w:lineRule="exact"/>
        <w:ind w:left="1134" w:right="1134" w:hanging="1134"/>
        <w:jc w:val="left"/>
        <w:rPr>
          <w:b/>
          <w:snapToGrid/>
          <w:sz w:val="24"/>
          <w:lang w:val="es-GT" w:eastAsia="en-US"/>
        </w:rPr>
      </w:pPr>
      <w:r w:rsidRPr="00B848BB">
        <w:rPr>
          <w:b/>
          <w:snapToGrid/>
          <w:sz w:val="24"/>
          <w:lang w:val="es-GT" w:eastAsia="en-US"/>
        </w:rPr>
        <w:tab/>
      </w:r>
      <w:r w:rsidRPr="00B848BB">
        <w:rPr>
          <w:b/>
          <w:snapToGrid/>
          <w:sz w:val="24"/>
          <w:lang w:val="es-GT" w:eastAsia="en-US"/>
        </w:rPr>
        <w:tab/>
        <w:t>Genocidio</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Ningún hecho ocurrido durante el enfrentamiento armado interno constituye delito de genocidio. Dicho tipo delictivo ha sido utilizado para sustraer de la amnistía hechos, que tipificados de otra forma, </w:t>
      </w:r>
      <w:r w:rsidRPr="0003155F">
        <w:rPr>
          <w:snapToGrid/>
          <w:sz w:val="20"/>
          <w:lang w:val="es-ES" w:eastAsia="en-US"/>
        </w:rPr>
        <w:t>no</w:t>
      </w:r>
      <w:r w:rsidRPr="00B848BB">
        <w:rPr>
          <w:snapToGrid/>
          <w:sz w:val="20"/>
          <w:lang w:val="x-none" w:eastAsia="en-US"/>
        </w:rPr>
        <w:t xml:space="preserve"> podría perseguirse penalmente, por haberse extinguido la responsabilidad penal en virtud de la amnistía o por prescripción. </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Los Relatores afirman, como si fuese un hecho cierto y probado, que en Guatemala hubo genocidio, lo que supone </w:t>
      </w:r>
      <w:r w:rsidRPr="0003155F">
        <w:rPr>
          <w:snapToGrid/>
          <w:sz w:val="20"/>
          <w:lang w:val="es-ES" w:eastAsia="en-US"/>
        </w:rPr>
        <w:t>afirmar</w:t>
      </w:r>
      <w:r w:rsidRPr="00B848BB">
        <w:rPr>
          <w:snapToGrid/>
          <w:sz w:val="20"/>
          <w:lang w:val="x-none" w:eastAsia="en-US"/>
        </w:rPr>
        <w:t xml:space="preserve"> que murieron indígenas o indígenas ixiles por el hecho de serlo y con el propósito de eliminar total o parcialmente a los indígenas o indígenas Ixiles. </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Es ofensivo e inaceptable que los señores Relatores hagan dicha afirmación. Ningún tribunal ha resuelto en sentencia firme que en Guatemala se haya cometido genocidio. La mitad de la población del país es indígena, por lo que tanto en el Ejército, como en las fuerzas insurgentes, la </w:t>
      </w:r>
      <w:r w:rsidRPr="0003155F">
        <w:rPr>
          <w:snapToGrid/>
          <w:sz w:val="20"/>
          <w:lang w:val="es-ES" w:eastAsia="en-US"/>
        </w:rPr>
        <w:t>mayor</w:t>
      </w:r>
      <w:r w:rsidRPr="00B848BB">
        <w:rPr>
          <w:snapToGrid/>
          <w:sz w:val="20"/>
          <w:lang w:val="x-none" w:eastAsia="en-US"/>
        </w:rPr>
        <w:t xml:space="preserve">ía de sus integrantes eran indígenas. Murieron efectivamente gran número de indígenas, por su pertenencia o apoyo a fuerzas insurgentes o contrainsurgentes, no por ser indígenas o indígenas Ixiles, ni para eliminar total o parcialmente etnia alguna.  Valga recordarles, sobre todo al Relator del grupo de         trabajo, la única descripción que un órgano  de Naciones unidas ha hecho del enfrentamiento armado en Guatemala, la hecha por el grupo de trabajo sobre desapariciones </w:t>
      </w:r>
      <w:r w:rsidRPr="00B848BB">
        <w:rPr>
          <w:snapToGrid/>
          <w:sz w:val="20"/>
          <w:lang w:val="x-none" w:eastAsia="en-US"/>
        </w:rPr>
        <w:lastRenderedPageBreak/>
        <w:t>forzadas o involuntarias, en informe presentado al Consejo de Derechos Humanos  (A/HRC/4/91/A/MRC/4/41/Add.1) el 20 de febrero de 2007, que ya se ha citado, pero que por su trascendencia se subraya:</w:t>
      </w:r>
    </w:p>
    <w:p w:rsidR="00B848BB" w:rsidRPr="00B848BB" w:rsidRDefault="00B848BB" w:rsidP="00B35D45">
      <w:pPr>
        <w:pStyle w:val="SingleTxtGC"/>
        <w:spacing w:line="240" w:lineRule="exact"/>
        <w:rPr>
          <w:snapToGrid/>
          <w:sz w:val="20"/>
          <w:lang w:val="x-none" w:eastAsia="en-US"/>
        </w:rPr>
      </w:pPr>
      <w:r w:rsidRPr="00B848BB">
        <w:rPr>
          <w:i/>
          <w:snapToGrid/>
          <w:sz w:val="20"/>
          <w:lang w:val="x-none" w:eastAsia="en-US"/>
        </w:rPr>
        <w:t xml:space="preserve">“El conflicto que marcó el inicio de las desapariciones en Guatemala en 1960 comenzó cuando un pequeño grupo de oficiales del Ejército se rebeló contra el Gobierno Militar, acusándolo de corrupción. La Rebelión fue aplastada, y los jóvenes oficiales huyeron a las montañas de Guatemala, donde iniciaron una guerra de guerrillas. </w:t>
      </w:r>
      <w:r w:rsidRPr="00B848BB">
        <w:rPr>
          <w:b/>
          <w:i/>
          <w:snapToGrid/>
          <w:sz w:val="20"/>
          <w:lang w:val="x-none" w:eastAsia="en-US"/>
        </w:rPr>
        <w:t>Estas guerrillas se convirtieron en poco tiempo en un movimiento marxista cuyo objetivo era derrocar al Gobierno y tomar el poder.  Es importante destacar que el conflicto armado Guatemalteco no se originó como consecuencia de un conflicto inter étnico</w:t>
      </w:r>
      <w:r w:rsidRPr="00B848BB">
        <w:rPr>
          <w:i/>
          <w:snapToGrid/>
          <w:sz w:val="20"/>
          <w:lang w:val="x-none" w:eastAsia="en-US"/>
        </w:rPr>
        <w:t xml:space="preserve">.   Se trata de un conflicto que ocurrió en el marco de la guerra fría”. </w:t>
      </w:r>
      <w:r w:rsidRPr="00B848BB">
        <w:rPr>
          <w:snapToGrid/>
          <w:sz w:val="20"/>
          <w:lang w:val="x-none" w:eastAsia="en-US"/>
        </w:rPr>
        <w:t>(Resaltado Propio).</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El Juicio por genocidio al que los Relatores hacen referencia fue anulado por la Corte de Constitucionalidad el 21 de mayo de 2013, por haberse vulnerado el debido proceso, el derecho de defensa y otras garantías judiciales consignadas en las convenciones internacionales de Derechos Humanos, garantías recogidas en la Constitución de la República. La protección de garantías judiciales, que constituyen derechos humanos fundamentales, no pueden considerarse, menos aún por Relatores de Procedimientos Especiales de la Oficina del Alto Comisionado de Naciones Unidas, como “causante de incertidumbre en relación  con el derecho a la verdad y la Justicia de las víctimas”. </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Es un despropósito que los Relatores hagan estas afirmaciones, más aún sobre la base de imprecisas alegaciones de “</w:t>
      </w:r>
      <w:r w:rsidRPr="0003155F">
        <w:rPr>
          <w:snapToGrid/>
          <w:sz w:val="20"/>
          <w:lang w:val="es-ES" w:eastAsia="en-US"/>
        </w:rPr>
        <w:t>varias</w:t>
      </w:r>
      <w:r w:rsidRPr="00B848BB">
        <w:rPr>
          <w:snapToGrid/>
          <w:sz w:val="20"/>
          <w:lang w:val="x-none" w:eastAsia="en-US"/>
        </w:rPr>
        <w:t xml:space="preserve"> fuentes”.  El Gobierno de Guatemala ha sido tolerante frente a declaraciones, cartas y llamamientos anteriores, respetando el derecho de los Relatores a opinar y recomendar, pero no es aceptable acusar al Gobierno y Cortes de Guatemala insinuando mala fe o búsqueda de impunidad. Las actuaciones o resoluciones han sido  fundamentadas en derecho y coincidentes con otros Estados parte de los Convenios que invocan.</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Las Cortes Penales y la Corte de Constitucionalidad resolverán sobre la validez y vigencia de las amnistías decretadas y su aplicación en casos concretos.  Estas amnistías no pueden ni deben cuestionarse por Relatores con la falaz afirmación que toda amnistía es contraria al derecho Internacional o a la </w:t>
      </w:r>
      <w:r w:rsidRPr="0003155F">
        <w:rPr>
          <w:snapToGrid/>
          <w:sz w:val="20"/>
          <w:lang w:val="es-ES" w:eastAsia="en-US"/>
        </w:rPr>
        <w:t>jurisprudencia</w:t>
      </w:r>
      <w:r w:rsidRPr="00B848BB">
        <w:rPr>
          <w:snapToGrid/>
          <w:sz w:val="20"/>
          <w:lang w:val="x-none" w:eastAsia="en-US"/>
        </w:rPr>
        <w:t xml:space="preserve"> Internacional, pues la incompatibilidad frente a las obligaciones de los Estados de investigar graves violaciones a los derechos humanos, tiene en la jurisprudencia de Derechos Humanos la salvedad de su necesidad y validez para el fin negociado de no conflicto.</w:t>
      </w:r>
    </w:p>
    <w:p w:rsidR="00B848BB" w:rsidRPr="00B848BB" w:rsidRDefault="00B848BB" w:rsidP="00B848BB">
      <w:pPr>
        <w:keepNext/>
        <w:keepLines/>
        <w:tabs>
          <w:tab w:val="clear" w:pos="431"/>
          <w:tab w:val="right" w:pos="851"/>
        </w:tabs>
        <w:suppressAutoHyphens/>
        <w:overflowPunct/>
        <w:adjustRightInd/>
        <w:snapToGrid/>
        <w:spacing w:before="360" w:after="240" w:line="270" w:lineRule="exact"/>
        <w:ind w:left="1134" w:right="1134" w:hanging="1134"/>
        <w:jc w:val="left"/>
        <w:rPr>
          <w:b/>
          <w:snapToGrid/>
          <w:sz w:val="24"/>
          <w:lang w:val="es-GT" w:eastAsia="en-US"/>
        </w:rPr>
      </w:pPr>
      <w:r w:rsidRPr="00B848BB">
        <w:rPr>
          <w:b/>
          <w:snapToGrid/>
          <w:sz w:val="24"/>
          <w:lang w:val="es-GT" w:eastAsia="en-US"/>
        </w:rPr>
        <w:tab/>
      </w:r>
      <w:r w:rsidRPr="00B848BB">
        <w:rPr>
          <w:b/>
          <w:snapToGrid/>
          <w:sz w:val="24"/>
          <w:lang w:val="es-GT" w:eastAsia="en-US"/>
        </w:rPr>
        <w:tab/>
        <w:t>Desaparición Forzada</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Sobre desaparición forzada los Relatores deben recordar que a partir de la tipificación de la desaparición forzada como delito, es irresponsable referirse a dicha figura sin precisión y claridad, pues su utilización en el marco del respeto a los derechos humanos y búsqueda del paradero de los desaparecidos, no siempre significa o conlleva procesamiento penal por el delito de desaparición forzada, lo que depende de su tipificación en cada país y de cuando ese delito constituye delito de lesa humanidad. El termino desaparición forzada se acuñó mucho antes de que Estado alguno tipificara el delito. El Grupo de Trabajo surgido en 1980 de la Comisión de Derechos Humanos de Naciones Unidas cumplía una labor humanitaria, frente a familias que buscaban el paradero de víctimas de desaparición.  </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No fue sino hasta 1992 que se aprobó la declaración que pedía a los Estados tipificar la desaparición forzada como delito y no fue hasta el año 2000 (27 de febrero) en el ámbito  americano y  hasta el año 2010 (23 de diciembre) en el ámbito universal, que se establece la obligación convencional de </w:t>
      </w:r>
      <w:r w:rsidRPr="0003155F">
        <w:rPr>
          <w:snapToGrid/>
          <w:sz w:val="20"/>
          <w:lang w:val="es-ES" w:eastAsia="en-US"/>
        </w:rPr>
        <w:t>tipificar</w:t>
      </w:r>
      <w:r w:rsidRPr="00B848BB">
        <w:rPr>
          <w:snapToGrid/>
          <w:sz w:val="20"/>
          <w:lang w:val="x-none" w:eastAsia="en-US"/>
        </w:rPr>
        <w:t xml:space="preserve"> el delito por los Estados que pasen a ser parte de dichas Convenciones. Guatemala tipificó el delito (antes de la entrada en vigor de las </w:t>
      </w:r>
      <w:r w:rsidRPr="00B848BB">
        <w:rPr>
          <w:snapToGrid/>
          <w:sz w:val="20"/>
          <w:lang w:val="x-none" w:eastAsia="en-US"/>
        </w:rPr>
        <w:lastRenderedPageBreak/>
        <w:t>Convenciones), es parte de la Convención Americana desde el año 2000 y aún no es parte de la Convención Internacional.</w:t>
      </w:r>
    </w:p>
    <w:p w:rsidR="00B848BB" w:rsidRPr="00B848BB" w:rsidRDefault="00B848BB" w:rsidP="005A06B1">
      <w:pPr>
        <w:pStyle w:val="SingleTxtGC"/>
        <w:spacing w:after="100" w:line="240" w:lineRule="exact"/>
        <w:rPr>
          <w:snapToGrid/>
          <w:sz w:val="20"/>
          <w:lang w:val="x-none" w:eastAsia="en-US"/>
        </w:rPr>
      </w:pPr>
      <w:r w:rsidRPr="00B848BB">
        <w:rPr>
          <w:snapToGrid/>
          <w:sz w:val="20"/>
          <w:lang w:val="x-none" w:eastAsia="en-US"/>
        </w:rPr>
        <w:t xml:space="preserve">Los Relatores se refieren a la desaparición forzada como delito permanente o continuado, obviando las diferencias entre delito continuado y delito permanente, lo cual no es un error de poca importancia y consecuencias,  porque el delito continuado lo constituyen hechos que se siguen cometiendo y por ello el término de prescripción empieza cuando se comete el último hecho, en tanto el </w:t>
      </w:r>
      <w:r w:rsidRPr="0003155F">
        <w:rPr>
          <w:snapToGrid/>
          <w:sz w:val="20"/>
          <w:lang w:val="es-ES" w:eastAsia="en-US"/>
        </w:rPr>
        <w:t>delito</w:t>
      </w:r>
      <w:r w:rsidRPr="00B848BB">
        <w:rPr>
          <w:snapToGrid/>
          <w:sz w:val="20"/>
          <w:lang w:val="x-none" w:eastAsia="en-US"/>
        </w:rPr>
        <w:t xml:space="preserve"> permanente se comete el hecho en un momento determinado y permanecen sus efectos, no iniciándose el término de prescripción en tanto no cesen los efectos.  La desaparición forzada, como el secuestro son delitos permanentes no delitos continuados y no es posible su retipificación retroactiva, que sería en violación de las garantías procesales consignadas en las Convenciones de derechos humanos.</w:t>
      </w:r>
    </w:p>
    <w:p w:rsidR="00B848BB" w:rsidRPr="00B848BB" w:rsidRDefault="00B848BB" w:rsidP="005A06B1">
      <w:pPr>
        <w:pStyle w:val="SingleTxtGC"/>
        <w:spacing w:after="100" w:line="240" w:lineRule="exact"/>
        <w:rPr>
          <w:snapToGrid/>
          <w:sz w:val="20"/>
          <w:lang w:val="x-none" w:eastAsia="en-US"/>
        </w:rPr>
      </w:pPr>
      <w:r w:rsidRPr="00B848BB">
        <w:rPr>
          <w:snapToGrid/>
          <w:sz w:val="20"/>
          <w:lang w:val="x-none" w:eastAsia="en-US"/>
        </w:rPr>
        <w:t>Es conveniente para el respeto de los derechos humanos de todos, tener siempre presente, que no toda desaparición forzada es delito de desaparición forzada, ni toda desaparición forzada que es delito,  es delito de lesa humanidad. Será delito de lesa humanidad cuando se cometa en el marco de un ataque generalizado y sistemático a la población civil y con reconocimiento del mismo (</w:t>
      </w:r>
      <w:r w:rsidRPr="0003155F">
        <w:rPr>
          <w:snapToGrid/>
          <w:sz w:val="20"/>
          <w:lang w:val="es-ES" w:eastAsia="en-US"/>
        </w:rPr>
        <w:t>Estatuto</w:t>
      </w:r>
      <w:r w:rsidRPr="00B848BB">
        <w:rPr>
          <w:snapToGrid/>
          <w:sz w:val="20"/>
          <w:lang w:val="x-none" w:eastAsia="en-US"/>
        </w:rPr>
        <w:t xml:space="preserve"> de Roma la Corte Penal Internacional articulo 7). </w:t>
      </w:r>
    </w:p>
    <w:p w:rsidR="00B848BB" w:rsidRPr="00B848BB" w:rsidRDefault="00B848BB" w:rsidP="005A06B1">
      <w:pPr>
        <w:pStyle w:val="SingleTxtGC"/>
        <w:spacing w:after="100" w:line="240" w:lineRule="exact"/>
        <w:rPr>
          <w:snapToGrid/>
          <w:sz w:val="20"/>
          <w:lang w:val="x-none" w:eastAsia="en-US"/>
        </w:rPr>
      </w:pPr>
      <w:r w:rsidRPr="00B848BB">
        <w:rPr>
          <w:snapToGrid/>
          <w:sz w:val="20"/>
          <w:lang w:val="x-none" w:eastAsia="en-US"/>
        </w:rPr>
        <w:t xml:space="preserve">Como delito de lesa humanidad puede ser perseguido por la Corte penal Internacional en el ejercicio de Jurisdicción Penal Internacional, de manera supletoria y a partir de que el Estado en el que se cometa pase a ser parte del Estatuto de Roma; también podrá ser perseguido penalmente, de </w:t>
      </w:r>
      <w:r w:rsidRPr="0003155F">
        <w:rPr>
          <w:snapToGrid/>
          <w:sz w:val="20"/>
          <w:lang w:val="es-ES" w:eastAsia="en-US"/>
        </w:rPr>
        <w:t>manera</w:t>
      </w:r>
      <w:r w:rsidRPr="00B848BB">
        <w:rPr>
          <w:snapToGrid/>
          <w:sz w:val="20"/>
          <w:lang w:val="x-none" w:eastAsia="en-US"/>
        </w:rPr>
        <w:t xml:space="preserve"> supletoria y en ejercicio de jurisdicción penal universal, en las jurisdicciones penales de cualquier Estado que haya incorporado el delito de lesa humanidad en su legislación penal, a partir de dicha incorporación y siempre que en el estado en que se comete se contemple el delito; y podrá ser perseguido por las Jurisdicciones Nacionales cuando hayan incorporado a sus legislaciones tanto los delitos.</w:t>
      </w:r>
    </w:p>
    <w:p w:rsidR="00B848BB" w:rsidRPr="00B848BB" w:rsidRDefault="00B848BB" w:rsidP="005A06B1">
      <w:pPr>
        <w:pStyle w:val="SingleTxtGC"/>
        <w:spacing w:after="100" w:line="240" w:lineRule="exact"/>
        <w:rPr>
          <w:snapToGrid/>
          <w:sz w:val="20"/>
          <w:lang w:val="x-none" w:eastAsia="en-US"/>
        </w:rPr>
      </w:pPr>
      <w:r w:rsidRPr="00B848BB">
        <w:rPr>
          <w:snapToGrid/>
          <w:sz w:val="20"/>
          <w:lang w:val="x-none" w:eastAsia="en-US"/>
        </w:rPr>
        <w:t xml:space="preserve">La desaparición forzada, solamente cuando es delito de lesa humanidad es imprescriptible, para aquellos Estados que sean parte del Estatuto de Roma de la Corte Penal o de la convención de imprescriptibilidad de los delitos de genocidio, crímenes de guerra y delitos de lesa humanidad. Ni la </w:t>
      </w:r>
      <w:r w:rsidRPr="0003155F">
        <w:rPr>
          <w:snapToGrid/>
          <w:sz w:val="20"/>
          <w:lang w:val="es-ES" w:eastAsia="en-US"/>
        </w:rPr>
        <w:t>Convenci</w:t>
      </w:r>
      <w:r w:rsidRPr="00B848BB">
        <w:rPr>
          <w:snapToGrid/>
          <w:sz w:val="20"/>
          <w:lang w:val="x-none" w:eastAsia="en-US"/>
        </w:rPr>
        <w:t xml:space="preserve">ón Interamericana, ni la Convención Internacional establecen la imprescriptibilidad del delito de desaparición forzada, únicamente estableciéndose que se tomen las medidas necesarias para que el plazo de prescripción de la responsabilidad penal sea prolongado y proporcionado a la extrema gravedad de este delito. </w:t>
      </w:r>
    </w:p>
    <w:p w:rsidR="00B848BB" w:rsidRPr="00B848BB" w:rsidRDefault="00B848BB" w:rsidP="005A06B1">
      <w:pPr>
        <w:pStyle w:val="SingleTxtGC"/>
        <w:spacing w:after="100" w:line="240" w:lineRule="exact"/>
        <w:rPr>
          <w:snapToGrid/>
          <w:sz w:val="20"/>
          <w:lang w:val="x-none" w:eastAsia="en-US"/>
        </w:rPr>
      </w:pPr>
      <w:r w:rsidRPr="00B848BB">
        <w:rPr>
          <w:snapToGrid/>
          <w:sz w:val="20"/>
          <w:lang w:val="x-none" w:eastAsia="en-US"/>
        </w:rPr>
        <w:t>Guatemala es parte del Estatuto de Roma desde el 12 de abril 2012, no es parte de la Convención de  imprescriptibilidad y no ha incorporado a la legislación Penal Nacional el delito de lesa humanidad.  El delito de desaparición forzada fue tipificado en Guatemala en 1995, dentro de los delitos contra la libertad personal. Como delito permanente el término de la prescripción empieza cuando cesan los efectos. Este delito al igual que el de tortura, no están tipificados de conformidad con las Convenciones lo cual es de esperar se corrija conforme al proyecto de ley que incorpora los delitos del Estatuto de Roma y regula la cooperación con la Corte Penal Internacional.</w:t>
      </w:r>
    </w:p>
    <w:p w:rsidR="00B848BB" w:rsidRPr="00B848BB" w:rsidRDefault="00B848BB" w:rsidP="00B848BB">
      <w:pPr>
        <w:keepNext/>
        <w:keepLines/>
        <w:tabs>
          <w:tab w:val="clear" w:pos="431"/>
          <w:tab w:val="right" w:pos="851"/>
        </w:tabs>
        <w:suppressAutoHyphens/>
        <w:overflowPunct/>
        <w:adjustRightInd/>
        <w:snapToGrid/>
        <w:spacing w:before="360" w:after="240" w:line="270" w:lineRule="exact"/>
        <w:ind w:left="1134" w:right="1134" w:hanging="1134"/>
        <w:jc w:val="left"/>
        <w:rPr>
          <w:b/>
          <w:snapToGrid/>
          <w:sz w:val="24"/>
          <w:lang w:val="es-GT" w:eastAsia="en-US"/>
        </w:rPr>
      </w:pPr>
      <w:r w:rsidRPr="00B848BB">
        <w:rPr>
          <w:b/>
          <w:snapToGrid/>
          <w:sz w:val="24"/>
          <w:lang w:val="es-GT" w:eastAsia="en-US"/>
        </w:rPr>
        <w:tab/>
      </w:r>
      <w:r w:rsidRPr="00B848BB">
        <w:rPr>
          <w:b/>
          <w:snapToGrid/>
          <w:sz w:val="24"/>
          <w:lang w:val="es-GT" w:eastAsia="en-US"/>
        </w:rPr>
        <w:tab/>
        <w:t xml:space="preserve">Defensores de Derechos Humanos </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El Gobierno es respetuoso de las ideologías y actividades de todos los guatemaltecos, siempre que todos enmarquen sus actividades conforme a la ley.</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Rechazamos el que el Gobierno realice, fomente o tolere, acción alguna que pretenda impedir las actividades enmarcadas en la ley de Defensores de Derechos Humanos y rechazamos que se tomen como </w:t>
      </w:r>
      <w:r w:rsidRPr="0003155F">
        <w:rPr>
          <w:snapToGrid/>
          <w:sz w:val="20"/>
          <w:lang w:val="es-ES" w:eastAsia="en-US"/>
        </w:rPr>
        <w:t>amenazas</w:t>
      </w:r>
      <w:r w:rsidRPr="00B848BB">
        <w:rPr>
          <w:snapToGrid/>
          <w:sz w:val="20"/>
          <w:lang w:val="x-none" w:eastAsia="en-US"/>
        </w:rPr>
        <w:t xml:space="preserve"> o negación de derechos por parte del Gobierno, la manifestación de personas u organizaciones no gubernamentales que expresan inconformidad o cuestionan ideas, ideología, creencias o actitudes de organizaciones o activistas de Derechos Humanos, nacionales o extranjeros. </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lastRenderedPageBreak/>
        <w:t xml:space="preserve">El Gobierno de Guatemala actúa con absoluto apego a los contenidos de la Declaración sobre el Derecho y el Deber de Promover y Proteger los Derechos Humanos y Libertades Fundamentales. No se tolera ni </w:t>
      </w:r>
      <w:r w:rsidRPr="0003155F">
        <w:rPr>
          <w:snapToGrid/>
          <w:sz w:val="20"/>
          <w:lang w:val="es-ES" w:eastAsia="en-US"/>
        </w:rPr>
        <w:t>acepta</w:t>
      </w:r>
      <w:r w:rsidRPr="00B848BB">
        <w:rPr>
          <w:snapToGrid/>
          <w:sz w:val="20"/>
          <w:lang w:val="x-none" w:eastAsia="en-US"/>
        </w:rPr>
        <w:t xml:space="preserve"> acción o conducta alguna que impida a los Defensores de Derechos Humanos el ejercicio de sus derechos y la protección para dicho ejercicio, sin más límite que el respeto a la ley.</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Negamos categóricamente que se criminalice a persona alguna por defender o promover el respeto a derechos y libertades. Solamente si se transgrede la ley se investiga o persigue penalmente a una persona y </w:t>
      </w:r>
      <w:r w:rsidRPr="0003155F">
        <w:rPr>
          <w:snapToGrid/>
          <w:sz w:val="20"/>
          <w:lang w:val="es-ES" w:eastAsia="en-US"/>
        </w:rPr>
        <w:t>siempre</w:t>
      </w:r>
      <w:r w:rsidRPr="00B848BB">
        <w:rPr>
          <w:snapToGrid/>
          <w:sz w:val="20"/>
          <w:lang w:val="x-none" w:eastAsia="en-US"/>
        </w:rPr>
        <w:t xml:space="preserve"> con la debida intervención del Ministerio Público y jueces.</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El Gobierno ha mantenido, fortalecido y creado mecanismos e Instituciones de protección, tanto de defensores de derechos humanos como de periodistas, y mantiene una actitud abierta a propuestas para </w:t>
      </w:r>
      <w:r w:rsidRPr="0003155F">
        <w:rPr>
          <w:snapToGrid/>
          <w:sz w:val="20"/>
          <w:lang w:val="es-ES" w:eastAsia="en-US"/>
        </w:rPr>
        <w:t>mejorarlos</w:t>
      </w:r>
      <w:r w:rsidRPr="00B848BB">
        <w:rPr>
          <w:snapToGrid/>
          <w:sz w:val="20"/>
          <w:lang w:val="x-none" w:eastAsia="en-US"/>
        </w:rPr>
        <w:t xml:space="preserve"> o adicionar otros mecanismos.</w:t>
      </w:r>
    </w:p>
    <w:p w:rsidR="00B848BB" w:rsidRPr="00B848BB" w:rsidRDefault="00B848BB" w:rsidP="00B848BB">
      <w:pPr>
        <w:keepNext/>
        <w:keepLines/>
        <w:tabs>
          <w:tab w:val="clear" w:pos="431"/>
          <w:tab w:val="right" w:pos="851"/>
        </w:tabs>
        <w:suppressAutoHyphens/>
        <w:overflowPunct/>
        <w:adjustRightInd/>
        <w:snapToGrid/>
        <w:spacing w:before="360" w:after="240" w:line="270" w:lineRule="exact"/>
        <w:ind w:left="1134" w:right="1134" w:hanging="1134"/>
        <w:jc w:val="left"/>
        <w:rPr>
          <w:b/>
          <w:snapToGrid/>
          <w:sz w:val="24"/>
          <w:lang w:val="es-GT" w:eastAsia="en-US"/>
        </w:rPr>
      </w:pPr>
      <w:r w:rsidRPr="00B848BB">
        <w:rPr>
          <w:b/>
          <w:snapToGrid/>
          <w:sz w:val="24"/>
          <w:lang w:val="es-GT" w:eastAsia="en-US"/>
        </w:rPr>
        <w:tab/>
      </w:r>
      <w:r w:rsidRPr="00B848BB">
        <w:rPr>
          <w:b/>
          <w:snapToGrid/>
          <w:sz w:val="24"/>
          <w:lang w:val="es-GT" w:eastAsia="en-US"/>
        </w:rPr>
        <w:tab/>
        <w:t>Independencia Judicial en Guatemala.</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El Gobierno recuerda que las Comisiones de Postulación se crearon para proponer a los candidatos dentro de los cuales se eligen ciertas autoridades públicas. No son ellos quienes los eligen, si no son los </w:t>
      </w:r>
      <w:r w:rsidRPr="0003155F">
        <w:rPr>
          <w:snapToGrid/>
          <w:sz w:val="20"/>
          <w:lang w:val="es-ES" w:eastAsia="en-US"/>
        </w:rPr>
        <w:t>encargados</w:t>
      </w:r>
      <w:r w:rsidRPr="00B848BB">
        <w:rPr>
          <w:snapToGrid/>
          <w:sz w:val="20"/>
          <w:lang w:val="x-none" w:eastAsia="en-US"/>
        </w:rPr>
        <w:t xml:space="preserve"> de seleccionar candidatos y proponer a los que puedan ocupar un determinado cargo público, porque reúnen las calificaciones y requisitos establecidos en Ley.</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Su creación se debió a que se buscaba, por los Miembros de la Asamblea Nacional Constituyente, limitar la </w:t>
      </w:r>
      <w:r w:rsidRPr="0003155F">
        <w:rPr>
          <w:snapToGrid/>
          <w:sz w:val="20"/>
          <w:lang w:val="es-ES" w:eastAsia="en-US"/>
        </w:rPr>
        <w:t>discrecionalidad</w:t>
      </w:r>
      <w:r w:rsidRPr="00B848BB">
        <w:rPr>
          <w:snapToGrid/>
          <w:sz w:val="20"/>
          <w:lang w:val="x-none" w:eastAsia="en-US"/>
        </w:rPr>
        <w:t xml:space="preserve"> y consideraciones subjetivas o interesadas en los nombramientos, buscando idoneidad y capacidad para el nombramiento o elección de determinadas autoridades públicas que ejercen funciones esenciales dentro de la actividad estatal, fundamentales para la consolidación del régimen de legalidad, el fortalecimiento del Estado de Derecho y la democracia participativa y representativa.</w:t>
      </w:r>
    </w:p>
    <w:p w:rsidR="00B848BB" w:rsidRPr="00B848BB" w:rsidRDefault="00B848BB" w:rsidP="00B35D45">
      <w:pPr>
        <w:pStyle w:val="SingleTxtGC"/>
        <w:spacing w:line="240" w:lineRule="exact"/>
        <w:rPr>
          <w:snapToGrid/>
          <w:sz w:val="20"/>
          <w:lang w:val="x-none" w:eastAsia="en-US"/>
        </w:rPr>
      </w:pPr>
      <w:r w:rsidRPr="00B848BB">
        <w:rPr>
          <w:snapToGrid/>
          <w:sz w:val="20"/>
          <w:lang w:val="x-none" w:eastAsia="en-US"/>
        </w:rPr>
        <w:t xml:space="preserve">Las Comisiones de Postulación están conformadas por integrantes de la academia, Rectores y Decanos de las Universidades del país, representantes de los colegios profesionales respectivos, según el cargo. En el caso de magistrados a la Corte de Apelaciones y de la Corte Suprema de Justicia participan también, representantes electos por Corte Suprema de Justicia o de las Salas de las Cortes de Apelaciones del Organismo Judicial. Sus actuaciones son públicas, pudiendo participar como observadores en las mismas todos los sectores de la sociedad. </w:t>
      </w:r>
    </w:p>
    <w:p w:rsidR="00B848BB" w:rsidRPr="00B848BB" w:rsidRDefault="00B848BB" w:rsidP="00B35D45">
      <w:pPr>
        <w:pStyle w:val="SingleTxtGC"/>
        <w:spacing w:line="240" w:lineRule="exact"/>
        <w:rPr>
          <w:snapToGrid/>
          <w:sz w:val="20"/>
          <w:lang w:val="es-GT" w:eastAsia="en-US"/>
        </w:rPr>
      </w:pPr>
      <w:r w:rsidRPr="00B848BB">
        <w:rPr>
          <w:snapToGrid/>
          <w:sz w:val="20"/>
          <w:lang w:val="es-GT" w:eastAsia="en-US"/>
        </w:rPr>
        <w:t xml:space="preserve">Por lo anterior, los señalamientos realizados sobre que las mismas fueron </w:t>
      </w:r>
      <w:proofErr w:type="gramStart"/>
      <w:r w:rsidRPr="00B848BB">
        <w:rPr>
          <w:snapToGrid/>
          <w:sz w:val="20"/>
          <w:lang w:val="es-GT" w:eastAsia="en-US"/>
        </w:rPr>
        <w:t>integradas</w:t>
      </w:r>
      <w:proofErr w:type="gramEnd"/>
      <w:r w:rsidRPr="00B848BB">
        <w:rPr>
          <w:snapToGrid/>
          <w:sz w:val="20"/>
          <w:lang w:val="es-GT" w:eastAsia="en-US"/>
        </w:rPr>
        <w:t xml:space="preserve"> de manera irregular, carece de </w:t>
      </w:r>
      <w:r w:rsidRPr="0003155F">
        <w:rPr>
          <w:snapToGrid/>
          <w:sz w:val="20"/>
          <w:lang w:val="es-ES" w:eastAsia="en-US"/>
        </w:rPr>
        <w:t>fundamento</w:t>
      </w:r>
      <w:r w:rsidRPr="00B848BB">
        <w:rPr>
          <w:snapToGrid/>
          <w:sz w:val="20"/>
          <w:lang w:val="es-GT" w:eastAsia="en-US"/>
        </w:rPr>
        <w:t xml:space="preserve">, ya que su conformación se realizó de conformidad con los lineamientos establecidos en la Ley de Comisiones de Postulación y para lo que para el efecto establece la Constitución Política de la República de Guatemala. La Comisión de Postulación para magistrados de la Corte de Apelaciones está integrada por 34 personas. </w:t>
      </w:r>
    </w:p>
    <w:p w:rsidR="00B848BB" w:rsidRPr="00B848BB" w:rsidRDefault="00B848BB" w:rsidP="00B35D45">
      <w:pPr>
        <w:pStyle w:val="SingleTxtGC"/>
        <w:spacing w:line="240" w:lineRule="exact"/>
        <w:rPr>
          <w:snapToGrid/>
          <w:sz w:val="20"/>
          <w:lang w:val="es-GT" w:eastAsia="en-US"/>
        </w:rPr>
      </w:pPr>
      <w:r w:rsidRPr="00B848BB">
        <w:rPr>
          <w:snapToGrid/>
          <w:sz w:val="20"/>
          <w:lang w:val="es-GT" w:eastAsia="en-US"/>
        </w:rPr>
        <w:t xml:space="preserve">El Gobierno de Guatemala reconoce que necesita contar con un sistema judicial independiente y capaz de impartir justicia de manera pronta y cumplida, por lo que valora propuestas de los diversos </w:t>
      </w:r>
      <w:r w:rsidRPr="0003155F">
        <w:rPr>
          <w:snapToGrid/>
          <w:sz w:val="20"/>
          <w:lang w:val="es-ES" w:eastAsia="en-US"/>
        </w:rPr>
        <w:t>sectores</w:t>
      </w:r>
      <w:r w:rsidRPr="00B848BB">
        <w:rPr>
          <w:snapToGrid/>
          <w:sz w:val="20"/>
          <w:lang w:val="es-GT" w:eastAsia="en-US"/>
        </w:rPr>
        <w:t xml:space="preserve"> sociales, ya sea para mejorar el procedimiento por el cual se integran las Comisiones de Postulación ya sea para cambiar el sistema, mediante la extensión de la Carrera Judicial, para incluir en la misma a los Magistrados de las Cortes de Apelaciones y, extendiendo los períodos de funciones de dichos Magistrados y de los Magistrados de la Corte Suprema de Justicia, para que no estén sujetos a constantes procesos de elección. </w:t>
      </w:r>
    </w:p>
    <w:p w:rsidR="00B848BB" w:rsidRPr="00B848BB" w:rsidRDefault="00B848BB" w:rsidP="00B35D45">
      <w:pPr>
        <w:pStyle w:val="SingleTxtGC"/>
        <w:spacing w:line="240" w:lineRule="exact"/>
        <w:rPr>
          <w:snapToGrid/>
          <w:sz w:val="20"/>
          <w:lang w:val="es-GT" w:eastAsia="en-US"/>
        </w:rPr>
      </w:pPr>
      <w:r w:rsidRPr="00B848BB">
        <w:rPr>
          <w:snapToGrid/>
          <w:sz w:val="20"/>
          <w:lang w:val="es-GT" w:eastAsia="en-US"/>
        </w:rPr>
        <w:t xml:space="preserve">Como es de conocimiento público, se ha generado discusión y debate en torno a los cuestionamientos que diversos sectores de la sociedad hicieron al proceso de selección por </w:t>
      </w:r>
      <w:r w:rsidRPr="00B848BB">
        <w:rPr>
          <w:snapToGrid/>
          <w:sz w:val="20"/>
          <w:lang w:val="es-GT" w:eastAsia="en-US"/>
        </w:rPr>
        <w:lastRenderedPageBreak/>
        <w:t>las Comisiones de Postulación y/o a la elección realizada por parte del Congreso de la República.</w:t>
      </w:r>
    </w:p>
    <w:p w:rsidR="00B848BB" w:rsidRPr="00B848BB" w:rsidRDefault="00B848BB" w:rsidP="00B35D45">
      <w:pPr>
        <w:pStyle w:val="SingleTxtGC"/>
        <w:spacing w:line="240" w:lineRule="exact"/>
        <w:rPr>
          <w:snapToGrid/>
          <w:sz w:val="20"/>
          <w:lang w:val="es-GT" w:eastAsia="en-US"/>
        </w:rPr>
      </w:pPr>
      <w:r w:rsidRPr="00B848BB">
        <w:rPr>
          <w:snapToGrid/>
          <w:sz w:val="20"/>
          <w:lang w:val="es-GT" w:eastAsia="en-US"/>
        </w:rPr>
        <w:t>Un amparo retrasó la Toma de Posesión de los electos. Posteriormente la Corte de Constitucionalidad no encontró indicios suficientes para declarar con lugar las impugnaciones y ordeno la toma de posesión de los electos. Su decisión, legal y legítima debe ser respetada por todos y merece la Corte de Constitucionalidad el Respeto de los Relatores por sobre alegaciones de “diversas fuentes”.</w:t>
      </w:r>
    </w:p>
    <w:p w:rsidR="00B848BB" w:rsidRPr="00B848BB" w:rsidRDefault="00B848BB" w:rsidP="00B848BB">
      <w:pPr>
        <w:tabs>
          <w:tab w:val="clear" w:pos="431"/>
        </w:tabs>
        <w:suppressAutoHyphens/>
        <w:overflowPunct/>
        <w:adjustRightInd/>
        <w:snapToGrid/>
        <w:spacing w:after="120" w:line="220" w:lineRule="exact"/>
        <w:ind w:left="1134" w:right="1134"/>
        <w:rPr>
          <w:snapToGrid/>
          <w:sz w:val="20"/>
          <w:lang w:val="es-GT" w:eastAsia="en-US"/>
        </w:rPr>
      </w:pPr>
      <w:r w:rsidRPr="00B848BB">
        <w:rPr>
          <w:snapToGrid/>
          <w:sz w:val="20"/>
          <w:lang w:val="es-GT" w:eastAsia="en-US"/>
        </w:rPr>
        <w:t xml:space="preserve">La firme voluntad del Gobierno por una justicia independiente y cumplida, lo demuestra el que en la Reforma Constitucional, presentada al Congreso por el Presidente Pérez Molina, el pasado año, se incluían todos los planteamientos sobre la extensión y fortalecimiento de la Carrera Judicial, extensión de períodos de Judicaturas y Magistraturas y controles para el debido ejercicio de la función jurisdiccional. </w:t>
      </w:r>
    </w:p>
    <w:p w:rsidR="00B848BB" w:rsidRPr="00B848BB" w:rsidRDefault="00B848BB" w:rsidP="00B848BB">
      <w:pPr>
        <w:keepNext/>
        <w:keepLines/>
        <w:tabs>
          <w:tab w:val="clear" w:pos="431"/>
          <w:tab w:val="right" w:pos="851"/>
        </w:tabs>
        <w:suppressAutoHyphens/>
        <w:overflowPunct/>
        <w:adjustRightInd/>
        <w:snapToGrid/>
        <w:spacing w:before="360" w:after="240" w:line="220" w:lineRule="exact"/>
        <w:ind w:left="1134" w:right="1134" w:hanging="1134"/>
        <w:jc w:val="left"/>
        <w:rPr>
          <w:b/>
          <w:snapToGrid/>
          <w:sz w:val="28"/>
          <w:lang w:val="x-none" w:eastAsia="en-US"/>
        </w:rPr>
      </w:pPr>
      <w:r w:rsidRPr="00B848BB">
        <w:rPr>
          <w:b/>
          <w:snapToGrid/>
          <w:sz w:val="28"/>
          <w:lang w:val="es-ES" w:eastAsia="en-US"/>
        </w:rPr>
        <w:tab/>
      </w:r>
      <w:r w:rsidRPr="00B848BB">
        <w:rPr>
          <w:b/>
          <w:snapToGrid/>
          <w:sz w:val="28"/>
          <w:lang w:val="x-none" w:eastAsia="en-US"/>
        </w:rPr>
        <w:t>VII.</w:t>
      </w:r>
      <w:r w:rsidRPr="00B848BB">
        <w:rPr>
          <w:b/>
          <w:snapToGrid/>
          <w:sz w:val="28"/>
          <w:lang w:val="es-ES" w:eastAsia="en-US"/>
        </w:rPr>
        <w:tab/>
      </w:r>
      <w:r w:rsidRPr="00B848BB">
        <w:rPr>
          <w:b/>
          <w:snapToGrid/>
          <w:sz w:val="28"/>
          <w:lang w:val="x-none" w:eastAsia="en-US"/>
        </w:rPr>
        <w:t>Peticiones</w:t>
      </w:r>
    </w:p>
    <w:p w:rsidR="00B848BB" w:rsidRPr="00B848BB" w:rsidRDefault="00B848BB" w:rsidP="00B35D45">
      <w:pPr>
        <w:pStyle w:val="SingleTxtGC"/>
        <w:spacing w:line="240" w:lineRule="exact"/>
        <w:rPr>
          <w:snapToGrid/>
          <w:sz w:val="20"/>
          <w:lang w:val="es-GT" w:eastAsia="en-US"/>
        </w:rPr>
      </w:pPr>
      <w:r w:rsidRPr="00B848BB">
        <w:rPr>
          <w:snapToGrid/>
          <w:sz w:val="20"/>
          <w:lang w:val="es-GT" w:eastAsia="en-US"/>
        </w:rPr>
        <w:t xml:space="preserve">Con fundamento en la información fáctica y jurídica, el Estado de Guatemala, respetuosamente solicita a la  </w:t>
      </w:r>
      <w:r w:rsidRPr="00B848BB">
        <w:rPr>
          <w:snapToGrid/>
          <w:sz w:val="20"/>
          <w:lang w:val="x-none" w:eastAsia="en-US"/>
        </w:rPr>
        <w:t xml:space="preserve">Subdivisión de Procedimientos Especiales de la Oficina del Alto Comisionado de Naciones Unidas para los Derechos Humanos, al Presidente del Grupo de Trabajo sobre </w:t>
      </w:r>
      <w:r w:rsidRPr="0003155F">
        <w:rPr>
          <w:snapToGrid/>
          <w:sz w:val="20"/>
          <w:lang w:val="es-ES" w:eastAsia="en-US"/>
        </w:rPr>
        <w:t>desapariciones</w:t>
      </w:r>
      <w:r w:rsidRPr="00B848BB">
        <w:rPr>
          <w:snapToGrid/>
          <w:sz w:val="20"/>
          <w:lang w:val="x-none" w:eastAsia="en-US"/>
        </w:rPr>
        <w:t xml:space="preserve"> forzadas o involuntarias y a los Relatores Especiales  sobre la situación de las y los defensores de los derechos humanos; sobre la independencia de los magistrados y abogados sobre la tortura y otros tratos o penas crueles, inhumanos o degradantes; y sobre la promoción de la verdad, la justicia, la reparación y las garantías de no repetición:</w:t>
      </w:r>
    </w:p>
    <w:p w:rsidR="00B848BB" w:rsidRPr="00B848BB" w:rsidRDefault="00B848BB" w:rsidP="00B848BB">
      <w:pPr>
        <w:tabs>
          <w:tab w:val="clear" w:pos="431"/>
        </w:tabs>
        <w:suppressAutoHyphens/>
        <w:overflowPunct/>
        <w:adjustRightInd/>
        <w:snapToGrid/>
        <w:spacing w:after="120" w:line="220" w:lineRule="exact"/>
        <w:ind w:left="1701" w:right="1134"/>
        <w:rPr>
          <w:snapToGrid/>
          <w:sz w:val="20"/>
          <w:lang w:val="x-none" w:eastAsia="en-US"/>
        </w:rPr>
      </w:pPr>
      <w:r w:rsidRPr="00B848BB">
        <w:rPr>
          <w:snapToGrid/>
          <w:sz w:val="20"/>
          <w:lang w:val="es-GT" w:eastAsia="en-US"/>
        </w:rPr>
        <w:t>a.</w:t>
      </w:r>
      <w:r w:rsidRPr="00B848BB">
        <w:rPr>
          <w:snapToGrid/>
          <w:sz w:val="20"/>
          <w:lang w:val="es-GT" w:eastAsia="en-US"/>
        </w:rPr>
        <w:tab/>
      </w:r>
      <w:r w:rsidRPr="00B848BB">
        <w:rPr>
          <w:snapToGrid/>
          <w:sz w:val="20"/>
          <w:lang w:val="x-none" w:eastAsia="en-US"/>
        </w:rPr>
        <w:t>Se tenga por presentado el informe del Estado de Guatemala y se adjunte a sus antecedentes;</w:t>
      </w:r>
    </w:p>
    <w:p w:rsidR="00B848BB" w:rsidRPr="00B848BB" w:rsidRDefault="00B848BB" w:rsidP="00B848BB">
      <w:pPr>
        <w:tabs>
          <w:tab w:val="clear" w:pos="431"/>
        </w:tabs>
        <w:suppressAutoHyphens/>
        <w:overflowPunct/>
        <w:adjustRightInd/>
        <w:snapToGrid/>
        <w:spacing w:after="120" w:line="220" w:lineRule="exact"/>
        <w:ind w:left="1701" w:right="1134"/>
        <w:rPr>
          <w:snapToGrid/>
          <w:sz w:val="20"/>
          <w:lang w:val="x-none" w:eastAsia="en-US"/>
        </w:rPr>
      </w:pPr>
      <w:r w:rsidRPr="00B848BB">
        <w:rPr>
          <w:snapToGrid/>
          <w:sz w:val="20"/>
          <w:lang w:val="es-ES" w:eastAsia="en-US"/>
        </w:rPr>
        <w:t>b.</w:t>
      </w:r>
      <w:r w:rsidRPr="00B848BB">
        <w:rPr>
          <w:snapToGrid/>
          <w:sz w:val="20"/>
          <w:lang w:val="es-ES" w:eastAsia="en-US"/>
        </w:rPr>
        <w:tab/>
      </w:r>
      <w:r w:rsidRPr="00B848BB">
        <w:rPr>
          <w:snapToGrid/>
          <w:sz w:val="20"/>
          <w:lang w:val="x-none" w:eastAsia="en-US"/>
        </w:rPr>
        <w:t>Se tome nota de la representación del Estado a través de la Comisión Presidencial Coordinadora de la Política del Ejecutivo en Materia de Derechos Humanos –COPREDEH-;</w:t>
      </w:r>
    </w:p>
    <w:p w:rsidR="00B848BB" w:rsidRPr="00B848BB" w:rsidRDefault="00B848BB" w:rsidP="00B848BB">
      <w:pPr>
        <w:tabs>
          <w:tab w:val="clear" w:pos="431"/>
        </w:tabs>
        <w:suppressAutoHyphens/>
        <w:overflowPunct/>
        <w:adjustRightInd/>
        <w:snapToGrid/>
        <w:spacing w:after="120" w:line="220" w:lineRule="exact"/>
        <w:ind w:left="1701" w:right="1134"/>
        <w:rPr>
          <w:snapToGrid/>
          <w:sz w:val="20"/>
          <w:lang w:val="x-none" w:eastAsia="en-US"/>
        </w:rPr>
      </w:pPr>
      <w:r w:rsidRPr="00B848BB">
        <w:rPr>
          <w:snapToGrid/>
          <w:sz w:val="20"/>
          <w:lang w:val="es-ES" w:eastAsia="en-US"/>
        </w:rPr>
        <w:t>c.</w:t>
      </w:r>
      <w:r w:rsidRPr="00B848BB">
        <w:rPr>
          <w:snapToGrid/>
          <w:sz w:val="20"/>
          <w:lang w:val="es-ES" w:eastAsia="en-US"/>
        </w:rPr>
        <w:tab/>
      </w:r>
      <w:r w:rsidRPr="00B848BB">
        <w:rPr>
          <w:snapToGrid/>
          <w:sz w:val="20"/>
          <w:lang w:val="x-none" w:eastAsia="en-US"/>
        </w:rPr>
        <w:t>Se tenga por evacuada la información y respuestas del Estado de Guatemala, requeridas en la atención, acción o llamamiento urgente, de la comunicación conjunta de los Procedimientos Especiales, identificados ut supra;</w:t>
      </w:r>
    </w:p>
    <w:p w:rsidR="00B848BB" w:rsidRPr="00B848BB" w:rsidRDefault="00B848BB" w:rsidP="00B848BB">
      <w:pPr>
        <w:tabs>
          <w:tab w:val="clear" w:pos="431"/>
        </w:tabs>
        <w:suppressAutoHyphens/>
        <w:overflowPunct/>
        <w:adjustRightInd/>
        <w:snapToGrid/>
        <w:spacing w:after="120" w:line="220" w:lineRule="exact"/>
        <w:ind w:left="1134" w:right="1134" w:firstLine="567"/>
        <w:rPr>
          <w:snapToGrid/>
          <w:sz w:val="20"/>
          <w:lang w:val="x-none" w:eastAsia="en-US"/>
        </w:rPr>
      </w:pPr>
      <w:r w:rsidRPr="00B848BB">
        <w:rPr>
          <w:snapToGrid/>
          <w:sz w:val="20"/>
          <w:lang w:val="es-ES" w:eastAsia="en-US"/>
        </w:rPr>
        <w:t>d.</w:t>
      </w:r>
      <w:r w:rsidRPr="00B848BB">
        <w:rPr>
          <w:snapToGrid/>
          <w:sz w:val="20"/>
          <w:lang w:val="es-ES" w:eastAsia="en-US"/>
        </w:rPr>
        <w:tab/>
      </w:r>
      <w:r w:rsidRPr="00B848BB">
        <w:rPr>
          <w:snapToGrid/>
          <w:sz w:val="20"/>
          <w:lang w:val="x-none" w:eastAsia="en-US"/>
        </w:rPr>
        <w:t>Se tome nota de las observaciones y conclusiones del Estado de Guatemala;</w:t>
      </w:r>
    </w:p>
    <w:p w:rsidR="00B848BB" w:rsidRPr="00B848BB" w:rsidRDefault="00B848BB" w:rsidP="00B848BB">
      <w:pPr>
        <w:tabs>
          <w:tab w:val="clear" w:pos="431"/>
        </w:tabs>
        <w:suppressAutoHyphens/>
        <w:overflowPunct/>
        <w:adjustRightInd/>
        <w:snapToGrid/>
        <w:spacing w:after="120" w:line="220" w:lineRule="exact"/>
        <w:ind w:left="1701" w:right="1134"/>
        <w:rPr>
          <w:snapToGrid/>
          <w:sz w:val="20"/>
          <w:lang w:val="x-none" w:eastAsia="en-US"/>
        </w:rPr>
      </w:pPr>
      <w:r w:rsidRPr="00B848BB">
        <w:rPr>
          <w:snapToGrid/>
          <w:sz w:val="20"/>
          <w:lang w:val="es-ES" w:eastAsia="en-US"/>
        </w:rPr>
        <w:t>e.</w:t>
      </w:r>
      <w:r w:rsidRPr="00B848BB">
        <w:rPr>
          <w:snapToGrid/>
          <w:sz w:val="20"/>
          <w:lang w:val="es-ES" w:eastAsia="en-US"/>
        </w:rPr>
        <w:tab/>
      </w:r>
      <w:r w:rsidRPr="00B848BB">
        <w:rPr>
          <w:snapToGrid/>
          <w:sz w:val="20"/>
          <w:lang w:val="x-none" w:eastAsia="en-US"/>
        </w:rPr>
        <w:t>Que al entrar analizar se tengan por aclaradas y desvanecidas las alegaciones que contienen información falaz, incompletas o imprecisas, y que motivaron sin fundamento la Comunicación Conjunta de los Procedimientos Especiales;</w:t>
      </w:r>
    </w:p>
    <w:p w:rsidR="00B848BB" w:rsidRPr="00B848BB" w:rsidRDefault="00B848BB" w:rsidP="00B848BB">
      <w:pPr>
        <w:tabs>
          <w:tab w:val="clear" w:pos="431"/>
        </w:tabs>
        <w:suppressAutoHyphens/>
        <w:overflowPunct/>
        <w:adjustRightInd/>
        <w:snapToGrid/>
        <w:spacing w:after="120" w:line="220" w:lineRule="exact"/>
        <w:ind w:left="1701" w:right="1134"/>
        <w:rPr>
          <w:snapToGrid/>
          <w:sz w:val="20"/>
          <w:lang w:val="x-none" w:eastAsia="en-US"/>
        </w:rPr>
      </w:pPr>
      <w:r w:rsidRPr="00B848BB">
        <w:rPr>
          <w:snapToGrid/>
          <w:sz w:val="20"/>
          <w:lang w:val="es-ES" w:eastAsia="en-US"/>
        </w:rPr>
        <w:t>f.</w:t>
      </w:r>
      <w:r w:rsidRPr="00B848BB">
        <w:rPr>
          <w:snapToGrid/>
          <w:sz w:val="20"/>
          <w:lang w:val="es-ES" w:eastAsia="en-US"/>
        </w:rPr>
        <w:tab/>
      </w:r>
      <w:r w:rsidRPr="00B848BB">
        <w:rPr>
          <w:snapToGrid/>
          <w:sz w:val="20"/>
          <w:lang w:val="x-none" w:eastAsia="en-US"/>
        </w:rPr>
        <w:t xml:space="preserve">Que al existir un pronunciamiento como los citados en la comunicación conjunta, en el presente y el futuro, se respete, garantice y acate la independencia judicial de los tribunales nacionales de Guatemala, y </w:t>
      </w:r>
    </w:p>
    <w:p w:rsidR="00B848BB" w:rsidRPr="00B848BB" w:rsidRDefault="00B848BB" w:rsidP="00B848BB">
      <w:pPr>
        <w:tabs>
          <w:tab w:val="clear" w:pos="431"/>
        </w:tabs>
        <w:suppressAutoHyphens/>
        <w:overflowPunct/>
        <w:adjustRightInd/>
        <w:snapToGrid/>
        <w:spacing w:after="120" w:line="220" w:lineRule="exact"/>
        <w:ind w:left="1701" w:right="1134"/>
        <w:rPr>
          <w:snapToGrid/>
          <w:sz w:val="20"/>
          <w:lang w:val="x-none" w:eastAsia="en-US"/>
        </w:rPr>
      </w:pPr>
      <w:r w:rsidRPr="00B848BB">
        <w:rPr>
          <w:snapToGrid/>
          <w:sz w:val="20"/>
          <w:lang w:val="es-ES" w:eastAsia="en-US"/>
        </w:rPr>
        <w:t>g.</w:t>
      </w:r>
      <w:r w:rsidRPr="00B848BB">
        <w:rPr>
          <w:snapToGrid/>
          <w:sz w:val="20"/>
          <w:lang w:val="es-ES" w:eastAsia="en-US"/>
        </w:rPr>
        <w:tab/>
      </w:r>
      <w:r w:rsidRPr="00B848BB">
        <w:rPr>
          <w:snapToGrid/>
          <w:sz w:val="20"/>
          <w:lang w:val="x-none" w:eastAsia="en-US"/>
        </w:rPr>
        <w:t xml:space="preserve">Que al producirse conjuntamente un informe de comunicaciones ante el Consejo de Derechos Humanos, se desestimen las denuncias de alegaciones no sustentadas, y por lo tanto se declare que no constituyen violaciones de derechos humanos atribuibles al Estado de Guatemala, por no contener detalles claros y concisos. </w:t>
      </w:r>
    </w:p>
    <w:p w:rsidR="00B848BB" w:rsidRPr="00B848BB" w:rsidRDefault="00B848BB" w:rsidP="00B848BB">
      <w:pPr>
        <w:tabs>
          <w:tab w:val="clear" w:pos="431"/>
        </w:tabs>
        <w:suppressAutoHyphens/>
        <w:overflowPunct/>
        <w:adjustRightInd/>
        <w:snapToGrid/>
        <w:spacing w:after="120" w:line="220" w:lineRule="exact"/>
        <w:ind w:left="1134" w:right="1134"/>
        <w:rPr>
          <w:snapToGrid/>
          <w:sz w:val="20"/>
          <w:lang w:val="x-none" w:eastAsia="en-US"/>
        </w:rPr>
      </w:pPr>
      <w:r w:rsidRPr="00B848BB">
        <w:rPr>
          <w:snapToGrid/>
          <w:sz w:val="20"/>
          <w:lang w:val="x-none" w:eastAsia="en-US"/>
        </w:rPr>
        <w:t xml:space="preserve">Sin otro particular, </w:t>
      </w:r>
    </w:p>
    <w:p w:rsidR="00B848BB" w:rsidRPr="00B848BB" w:rsidRDefault="00B848BB" w:rsidP="00B848BB">
      <w:pPr>
        <w:tabs>
          <w:tab w:val="clear" w:pos="431"/>
        </w:tabs>
        <w:suppressAutoHyphens/>
        <w:overflowPunct/>
        <w:autoSpaceDE w:val="0"/>
        <w:autoSpaceDN w:val="0"/>
        <w:snapToGrid/>
        <w:spacing w:line="220" w:lineRule="exact"/>
        <w:ind w:left="1134" w:right="992"/>
        <w:jc w:val="center"/>
        <w:rPr>
          <w:b/>
          <w:bCs/>
          <w:snapToGrid/>
          <w:sz w:val="20"/>
          <w:lang w:val="es-GT" w:eastAsia="en-US"/>
        </w:rPr>
      </w:pPr>
      <w:r w:rsidRPr="00B848BB">
        <w:rPr>
          <w:b/>
          <w:bCs/>
          <w:snapToGrid/>
          <w:sz w:val="20"/>
          <w:lang w:val="es-GT" w:eastAsia="en-US"/>
        </w:rPr>
        <w:t>Antonio Arenales Forno</w:t>
      </w:r>
    </w:p>
    <w:p w:rsidR="00B848BB" w:rsidRPr="00B848BB" w:rsidRDefault="00B848BB" w:rsidP="00B848BB">
      <w:pPr>
        <w:tabs>
          <w:tab w:val="clear" w:pos="431"/>
        </w:tabs>
        <w:suppressAutoHyphens/>
        <w:overflowPunct/>
        <w:autoSpaceDE w:val="0"/>
        <w:autoSpaceDN w:val="0"/>
        <w:snapToGrid/>
        <w:spacing w:line="220" w:lineRule="exact"/>
        <w:ind w:left="1134" w:right="992"/>
        <w:jc w:val="center"/>
        <w:rPr>
          <w:b/>
          <w:bCs/>
          <w:snapToGrid/>
          <w:sz w:val="20"/>
          <w:lang w:val="es-GT" w:eastAsia="en-US"/>
        </w:rPr>
      </w:pPr>
      <w:r w:rsidRPr="00B848BB">
        <w:rPr>
          <w:b/>
          <w:bCs/>
          <w:snapToGrid/>
          <w:sz w:val="20"/>
          <w:lang w:val="es-GT" w:eastAsia="en-US"/>
        </w:rPr>
        <w:t>Presidente</w:t>
      </w:r>
    </w:p>
    <w:p w:rsidR="00681711" w:rsidRPr="00C54AFA" w:rsidRDefault="00B848BB" w:rsidP="004B4627">
      <w:pPr>
        <w:tabs>
          <w:tab w:val="clear" w:pos="431"/>
        </w:tabs>
        <w:suppressAutoHyphens/>
        <w:overflowPunct/>
        <w:autoSpaceDE w:val="0"/>
        <w:autoSpaceDN w:val="0"/>
        <w:snapToGrid/>
        <w:spacing w:before="240" w:line="220" w:lineRule="exact"/>
        <w:ind w:left="1134" w:right="1134"/>
        <w:jc w:val="center"/>
        <w:rPr>
          <w:rFonts w:asciiTheme="majorBidi" w:hAnsiTheme="majorBidi" w:cstheme="majorBidi"/>
          <w:snapToGrid/>
        </w:rPr>
      </w:pPr>
      <w:r w:rsidRPr="00B848BB">
        <w:rPr>
          <w:bCs/>
          <w:snapToGrid/>
          <w:sz w:val="20"/>
          <w:u w:val="single"/>
          <w:lang w:val="es-GT" w:eastAsia="en-US"/>
        </w:rPr>
        <w:tab/>
      </w:r>
      <w:r w:rsidRPr="00B848BB">
        <w:rPr>
          <w:bCs/>
          <w:snapToGrid/>
          <w:sz w:val="20"/>
          <w:u w:val="single"/>
          <w:lang w:val="es-GT" w:eastAsia="en-US"/>
        </w:rPr>
        <w:tab/>
      </w:r>
      <w:r w:rsidRPr="00B848BB">
        <w:rPr>
          <w:bCs/>
          <w:snapToGrid/>
          <w:sz w:val="20"/>
          <w:u w:val="single"/>
          <w:lang w:val="es-GT" w:eastAsia="en-US"/>
        </w:rPr>
        <w:tab/>
      </w:r>
      <w:r w:rsidR="004B4627">
        <w:rPr>
          <w:rFonts w:hint="eastAsia"/>
          <w:bCs/>
          <w:snapToGrid/>
          <w:sz w:val="20"/>
          <w:u w:val="single"/>
          <w:lang w:val="es-GT"/>
        </w:rPr>
        <w:tab/>
      </w:r>
    </w:p>
    <w:p w:rsidR="00A63A71" w:rsidRPr="00C54AFA" w:rsidRDefault="00A63A71" w:rsidP="00A63A71">
      <w:pPr>
        <w:rPr>
          <w:rFonts w:asciiTheme="majorBidi" w:hAnsiTheme="majorBidi" w:cstheme="majorBidi"/>
        </w:rPr>
      </w:pPr>
    </w:p>
    <w:sectPr w:rsidR="00A63A71" w:rsidRPr="00C54AFA" w:rsidSect="004E0B91">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5F" w:rsidRPr="000D319F" w:rsidRDefault="0003155F" w:rsidP="000D319F">
      <w:pPr>
        <w:pStyle w:val="Footer"/>
        <w:spacing w:after="240"/>
        <w:ind w:left="907"/>
        <w:rPr>
          <w:rFonts w:asciiTheme="majorBidi" w:eastAsia="SimSun" w:hAnsiTheme="majorBidi" w:cstheme="majorBidi"/>
          <w:sz w:val="21"/>
          <w:szCs w:val="21"/>
          <w:lang w:val="en-US"/>
        </w:rPr>
      </w:pPr>
    </w:p>
    <w:p w:rsidR="0003155F" w:rsidRPr="000D319F" w:rsidRDefault="0003155F"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3155F" w:rsidRPr="000D319F" w:rsidRDefault="0003155F" w:rsidP="000D319F">
      <w:pPr>
        <w:pStyle w:val="Footer"/>
      </w:pPr>
    </w:p>
  </w:endnote>
  <w:endnote w:type="continuationNotice" w:id="1">
    <w:p w:rsidR="0003155F" w:rsidRDefault="000315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Time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5F" w:rsidRPr="00681711" w:rsidRDefault="0003155F" w:rsidP="00681711">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D250F">
      <w:rPr>
        <w:rStyle w:val="PageNumber"/>
        <w:noProof/>
      </w:rPr>
      <w:t>56</w:t>
    </w:r>
    <w:r>
      <w:rPr>
        <w:rStyle w:val="PageNumber"/>
      </w:rPr>
      <w:fldChar w:fldCharType="end"/>
    </w:r>
    <w:r>
      <w:rPr>
        <w:rStyle w:val="PageNumber"/>
      </w:rPr>
      <w:tab/>
    </w:r>
    <w:r w:rsidRPr="00681711">
      <w:rPr>
        <w:rStyle w:val="PageNumber"/>
        <w:b w:val="0"/>
        <w:snapToGrid w:val="0"/>
        <w:sz w:val="16"/>
      </w:rPr>
      <w:t>GE.15-07603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5F" w:rsidRPr="00681711" w:rsidRDefault="0003155F" w:rsidP="00681711">
    <w:pPr>
      <w:pStyle w:val="Footer"/>
      <w:tabs>
        <w:tab w:val="clear" w:pos="431"/>
        <w:tab w:val="right" w:pos="9638"/>
      </w:tabs>
      <w:rPr>
        <w:rStyle w:val="PageNumber"/>
      </w:rPr>
    </w:pPr>
    <w:r>
      <w:t>GE.15-07603</w:t>
    </w:r>
    <w:r>
      <w:tab/>
    </w:r>
    <w:r>
      <w:rPr>
        <w:rStyle w:val="PageNumber"/>
      </w:rPr>
      <w:fldChar w:fldCharType="begin"/>
    </w:r>
    <w:r>
      <w:rPr>
        <w:rStyle w:val="PageNumber"/>
      </w:rPr>
      <w:instrText xml:space="preserve"> PAGE  \* MERGEFORMAT </w:instrText>
    </w:r>
    <w:r>
      <w:rPr>
        <w:rStyle w:val="PageNumber"/>
      </w:rPr>
      <w:fldChar w:fldCharType="separate"/>
    </w:r>
    <w:r w:rsidR="001D250F">
      <w:rPr>
        <w:rStyle w:val="PageNumber"/>
        <w:noProof/>
      </w:rPr>
      <w:t>57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5F" w:rsidRPr="008B4347" w:rsidRDefault="0003155F" w:rsidP="00681711">
    <w:pPr>
      <w:pStyle w:val="Footer"/>
      <w:tabs>
        <w:tab w:val="left" w:pos="1701"/>
        <w:tab w:val="left" w:pos="2552"/>
        <w:tab w:val="left" w:pos="8448"/>
      </w:tabs>
      <w:spacing w:before="360"/>
      <w:rPr>
        <w:rFonts w:eastAsiaTheme="minorEastAsia"/>
        <w:b/>
        <w:sz w:val="21"/>
        <w:lang w:eastAsia="zh-CN"/>
      </w:rPr>
    </w:pPr>
    <w:r>
      <w:rPr>
        <w:sz w:val="20"/>
        <w:lang w:eastAsia="zh-CN"/>
      </w:rPr>
      <w:t>GE.15-07603</w:t>
    </w:r>
    <w:r w:rsidRPr="00EE277A">
      <w:rPr>
        <w:sz w:val="20"/>
        <w:lang w:eastAsia="zh-CN"/>
      </w:rPr>
      <w:t xml:space="preserve"> (C)</w:t>
    </w:r>
    <w:r w:rsidR="00FE1614">
      <w:rPr>
        <w:sz w:val="20"/>
        <w:lang w:eastAsia="zh-CN"/>
      </w:rPr>
      <w:tab/>
      <w:t>1</w:t>
    </w:r>
    <w:r>
      <w:rPr>
        <w:sz w:val="20"/>
        <w:lang w:eastAsia="zh-CN"/>
      </w:rPr>
      <w:t>7061</w:t>
    </w:r>
    <w:r>
      <w:rPr>
        <w:rFonts w:eastAsiaTheme="minorEastAsia" w:hint="eastAsia"/>
        <w:sz w:val="20"/>
        <w:lang w:eastAsia="zh-CN"/>
      </w:rPr>
      <w:t>5</w:t>
    </w:r>
    <w:r>
      <w:rPr>
        <w:sz w:val="20"/>
        <w:lang w:eastAsia="zh-CN"/>
      </w:rPr>
      <w:tab/>
      <w:t>18061</w:t>
    </w:r>
    <w:r>
      <w:rPr>
        <w:rFonts w:eastAsiaTheme="minorEastAsia" w:hint="eastAsia"/>
        <w:sz w:val="20"/>
        <w:lang w:eastAsia="zh-CN"/>
      </w:rPr>
      <w:t>5</w:t>
    </w:r>
  </w:p>
  <w:p w:rsidR="0003155F" w:rsidRPr="00487939" w:rsidRDefault="0003155F" w:rsidP="004E0B91">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eastAsia="en-GB"/>
      </w:rPr>
      <w:drawing>
        <wp:anchor distT="0" distB="0" distL="114300" distR="114300" simplePos="0" relativeHeight="251658240" behindDoc="0" locked="0" layoutInCell="1" allowOverlap="1" wp14:anchorId="03041FBB" wp14:editId="5042034D">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WGEID/105/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WGEID/105/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eastAsia="en-GB"/>
      </w:rPr>
      <w:drawing>
        <wp:inline distT="0" distB="0" distL="0" distR="0" wp14:anchorId="0F858DED" wp14:editId="11A26543">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5F" w:rsidRPr="000157B1" w:rsidRDefault="0003155F"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3155F" w:rsidRPr="000157B1" w:rsidRDefault="0003155F"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3155F" w:rsidRDefault="0003155F"/>
  </w:footnote>
  <w:footnote w:id="2">
    <w:p w:rsidR="0003155F" w:rsidRPr="004E0B91" w:rsidRDefault="0003155F" w:rsidP="009D210C">
      <w:pPr>
        <w:pStyle w:val="EndnoteText"/>
      </w:pPr>
      <w:r>
        <w:rPr>
          <w:sz w:val="21"/>
          <w:szCs w:val="21"/>
        </w:rPr>
        <w:tab/>
      </w:r>
      <w:r>
        <w:rPr>
          <w:sz w:val="21"/>
          <w:szCs w:val="21"/>
        </w:rPr>
        <w:tab/>
      </w:r>
      <w:r w:rsidRPr="009D210C">
        <w:rPr>
          <w:sz w:val="21"/>
          <w:szCs w:val="21"/>
        </w:rPr>
        <w:t>*</w:t>
      </w:r>
      <w:r>
        <w:tab/>
      </w:r>
      <w:r>
        <w:rPr>
          <w:rFonts w:hint="eastAsia"/>
        </w:rPr>
        <w:t>本报告附件不译，原文照发。</w:t>
      </w:r>
    </w:p>
  </w:footnote>
  <w:footnote w:id="3">
    <w:p w:rsidR="0003155F" w:rsidRDefault="0003155F" w:rsidP="00B35D45">
      <w:pPr>
        <w:pStyle w:val="FootnoteText"/>
        <w:spacing w:after="0" w:line="220" w:lineRule="exact"/>
        <w:rPr>
          <w:lang w:val="es-ES"/>
        </w:rPr>
      </w:pPr>
      <w:r>
        <w:tab/>
      </w:r>
      <w:r>
        <w:rPr>
          <w:rFonts w:hint="eastAsia"/>
        </w:rPr>
        <w:tab/>
      </w:r>
      <w:r>
        <w:rPr>
          <w:rStyle w:val="FootnoteReference"/>
          <w:rFonts w:eastAsia="SimSun"/>
        </w:rPr>
        <w:footnoteRef/>
      </w:r>
      <w:r w:rsidRPr="00B848BB">
        <w:rPr>
          <w:lang w:val="es-ES"/>
        </w:rPr>
        <w:tab/>
      </w:r>
      <w:r>
        <w:rPr>
          <w:b/>
          <w:bCs/>
          <w:lang w:val="es-GT"/>
        </w:rPr>
        <w:t>APLICACIÓN DE LA RESOLUCIÓN 60/251 DE LA ASAMBLEA GENERAL, DE 15 DE MARZO DE 2006, TITULADA "CONSEJO DE DERECHOS HUMANOS" Sobre el Informe del Grupo de Trabajo sobre Desapariciones Forzadas o Involuntarias, en su visita oficial a Guatemala del 19 al 21 de septiembre del 2006.  Párrafo 9, Página 6. Distr. GENERAL A/HRC/4/41/Add.1 20 de febrero de 2007 ESPAÑOL Original: INGLES CONSEJO DE DERECHOS HUMANOS Cuarto período de sesiones Tema 2 del programa provisional</w:t>
      </w:r>
      <w:r>
        <w:rPr>
          <w:lang w:val="es-GT"/>
        </w:rPr>
        <w:t xml:space="preserve"> </w:t>
      </w:r>
    </w:p>
  </w:footnote>
  <w:footnote w:id="4">
    <w:p w:rsidR="0003155F" w:rsidRDefault="0003155F" w:rsidP="004B4627">
      <w:pPr>
        <w:pStyle w:val="FootnoteText"/>
        <w:spacing w:after="0" w:line="220" w:lineRule="exact"/>
        <w:rPr>
          <w:lang w:val="es-ES"/>
        </w:rPr>
      </w:pPr>
      <w:r w:rsidRPr="00B848BB">
        <w:rPr>
          <w:lang w:val="es-ES"/>
        </w:rPr>
        <w:tab/>
      </w:r>
      <w:r>
        <w:rPr>
          <w:rFonts w:hint="eastAsia"/>
          <w:lang w:val="es-ES"/>
        </w:rPr>
        <w:tab/>
      </w:r>
      <w:r>
        <w:rPr>
          <w:rStyle w:val="FootnoteReference"/>
          <w:rFonts w:eastAsia="SimSun"/>
        </w:rPr>
        <w:footnoteRef/>
      </w:r>
      <w:r w:rsidRPr="00B848BB">
        <w:rPr>
          <w:lang w:val="es-ES"/>
        </w:rPr>
        <w:tab/>
        <w:t>Convención para la Prevención y la Sanción del Delito de Genocidio de 1948 y Estatuto de Roma de la Corte Penal Internacional (CPI) de 1998.</w:t>
      </w:r>
      <w:r>
        <w:rPr>
          <w:lang w:val="es-GT"/>
        </w:rPr>
        <w:t xml:space="preserve"> </w:t>
      </w:r>
    </w:p>
  </w:footnote>
  <w:footnote w:id="5">
    <w:p w:rsidR="0003155F" w:rsidRDefault="0003155F" w:rsidP="00B35D45">
      <w:pPr>
        <w:pStyle w:val="FootnoteText"/>
        <w:spacing w:after="0" w:line="220" w:lineRule="exact"/>
        <w:rPr>
          <w:lang w:val="es-ES"/>
        </w:rPr>
      </w:pPr>
      <w:r w:rsidRPr="00B848BB">
        <w:rPr>
          <w:lang w:val="es-ES"/>
        </w:rPr>
        <w:tab/>
      </w:r>
      <w:r>
        <w:rPr>
          <w:rFonts w:hint="eastAsia"/>
          <w:lang w:val="es-ES"/>
        </w:rPr>
        <w:tab/>
      </w:r>
      <w:r>
        <w:rPr>
          <w:rStyle w:val="FootnoteReference"/>
          <w:rFonts w:eastAsia="SimSun"/>
        </w:rPr>
        <w:footnoteRef/>
      </w:r>
      <w:r w:rsidRPr="00B848BB">
        <w:rPr>
          <w:lang w:val="es-ES"/>
        </w:rPr>
        <w:tab/>
      </w:r>
      <w:r>
        <w:rPr>
          <w:lang w:val="es-ES"/>
        </w:rPr>
        <w:t xml:space="preserve">Ver Págs. 6, 7 y 8. </w:t>
      </w:r>
    </w:p>
  </w:footnote>
  <w:footnote w:id="6">
    <w:p w:rsidR="0003155F" w:rsidRDefault="0003155F" w:rsidP="00B35D45">
      <w:pPr>
        <w:pStyle w:val="FootnoteText"/>
        <w:spacing w:after="0" w:line="220" w:lineRule="exact"/>
        <w:rPr>
          <w:lang w:val="es-ES"/>
        </w:rPr>
      </w:pPr>
      <w:r>
        <w:rPr>
          <w:rFonts w:hint="eastAsia"/>
          <w:lang w:val="es-ES"/>
        </w:rPr>
        <w:tab/>
      </w:r>
      <w:r w:rsidRPr="00B848BB">
        <w:rPr>
          <w:lang w:val="es-ES"/>
        </w:rPr>
        <w:tab/>
      </w:r>
      <w:r>
        <w:rPr>
          <w:rStyle w:val="FootnoteReference"/>
          <w:rFonts w:eastAsia="SimSun"/>
        </w:rPr>
        <w:footnoteRef/>
      </w:r>
      <w:r w:rsidRPr="00B848BB">
        <w:rPr>
          <w:lang w:val="es-ES"/>
        </w:rPr>
        <w:tab/>
        <w:t xml:space="preserve"> </w:t>
      </w:r>
      <w:r>
        <w:rPr>
          <w:lang w:val="es-ES"/>
        </w:rPr>
        <w:t>Ibídem. Considerando Primero. Pág. 10.</w:t>
      </w:r>
    </w:p>
  </w:footnote>
  <w:footnote w:id="7">
    <w:p w:rsidR="0003155F" w:rsidRDefault="0003155F" w:rsidP="00B35D45">
      <w:pPr>
        <w:pStyle w:val="FootnoteText"/>
        <w:spacing w:after="0" w:line="220" w:lineRule="exact"/>
        <w:rPr>
          <w:lang w:val="es-ES"/>
        </w:rPr>
      </w:pPr>
      <w:r>
        <w:rPr>
          <w:rFonts w:hint="eastAsia"/>
          <w:lang w:val="es-ES"/>
        </w:rPr>
        <w:tab/>
      </w:r>
      <w:r w:rsidRPr="00B848BB">
        <w:rPr>
          <w:lang w:val="es-ES"/>
        </w:rPr>
        <w:tab/>
      </w:r>
      <w:r>
        <w:rPr>
          <w:rStyle w:val="FootnoteReference"/>
          <w:rFonts w:eastAsia="SimSun"/>
        </w:rPr>
        <w:footnoteRef/>
      </w:r>
      <w:r w:rsidRPr="00B848BB">
        <w:rPr>
          <w:lang w:val="es-ES"/>
        </w:rPr>
        <w:tab/>
        <w:t xml:space="preserve"> </w:t>
      </w:r>
      <w:r>
        <w:rPr>
          <w:lang w:val="es-ES"/>
        </w:rPr>
        <w:t>Ibídem. Considerando Segundo. Págs. 10 y 11</w:t>
      </w:r>
    </w:p>
  </w:footnote>
  <w:footnote w:id="8">
    <w:p w:rsidR="0003155F" w:rsidRDefault="0003155F" w:rsidP="00875E55">
      <w:pPr>
        <w:pStyle w:val="FootnoteText"/>
        <w:spacing w:after="0" w:line="220" w:lineRule="exact"/>
        <w:rPr>
          <w:lang w:val="es-ES"/>
        </w:rPr>
      </w:pPr>
      <w:r w:rsidRPr="00B848BB">
        <w:rPr>
          <w:lang w:val="es-ES"/>
        </w:rPr>
        <w:tab/>
      </w:r>
      <w:r>
        <w:rPr>
          <w:rFonts w:hint="eastAsia"/>
          <w:lang w:val="es-ES"/>
        </w:rPr>
        <w:tab/>
      </w:r>
      <w:r>
        <w:rPr>
          <w:rStyle w:val="FootnoteReference"/>
          <w:rFonts w:eastAsia="SimSun"/>
        </w:rPr>
        <w:footnoteRef/>
      </w:r>
      <w:r w:rsidRPr="00B848BB">
        <w:rPr>
          <w:lang w:val="es-ES"/>
        </w:rPr>
        <w:tab/>
      </w:r>
      <w:r>
        <w:rPr>
          <w:lang w:val="es-ES"/>
        </w:rPr>
        <w:t xml:space="preserve">Ibídem. Considerando Tercero, Págs. 12 y 13. </w:t>
      </w:r>
    </w:p>
  </w:footnote>
  <w:footnote w:id="9">
    <w:p w:rsidR="0003155F" w:rsidRDefault="0003155F" w:rsidP="00875E55">
      <w:pPr>
        <w:pStyle w:val="FootnoteText"/>
        <w:spacing w:after="0" w:line="220" w:lineRule="exact"/>
        <w:rPr>
          <w:lang w:val="es-ES"/>
        </w:rPr>
      </w:pPr>
      <w:r>
        <w:rPr>
          <w:rFonts w:hint="eastAsia"/>
          <w:lang w:val="es-ES"/>
        </w:rPr>
        <w:tab/>
      </w:r>
      <w:r w:rsidRPr="00B848BB">
        <w:rPr>
          <w:lang w:val="es-ES"/>
        </w:rPr>
        <w:tab/>
      </w:r>
      <w:r>
        <w:rPr>
          <w:rStyle w:val="FootnoteReference"/>
          <w:rFonts w:eastAsia="SimSun"/>
        </w:rPr>
        <w:footnoteRef/>
      </w:r>
      <w:r w:rsidRPr="00B848BB">
        <w:rPr>
          <w:lang w:val="es-ES"/>
        </w:rPr>
        <w:tab/>
      </w:r>
      <w:r>
        <w:rPr>
          <w:lang w:val="es-ES"/>
        </w:rPr>
        <w:t>Ibídem. Considerando Cuarto, Págs. 20 y 21.</w:t>
      </w:r>
    </w:p>
  </w:footnote>
  <w:footnote w:id="10">
    <w:p w:rsidR="0003155F" w:rsidRDefault="0003155F" w:rsidP="00875E55">
      <w:pPr>
        <w:pStyle w:val="FootnoteText"/>
        <w:spacing w:after="0" w:line="220" w:lineRule="exact"/>
        <w:rPr>
          <w:lang w:val="es-ES"/>
        </w:rPr>
      </w:pPr>
      <w:r w:rsidRPr="00B848BB">
        <w:rPr>
          <w:lang w:val="es-ES"/>
        </w:rPr>
        <w:tab/>
      </w:r>
      <w:r>
        <w:rPr>
          <w:rFonts w:hint="eastAsia"/>
          <w:lang w:val="es-ES"/>
        </w:rPr>
        <w:tab/>
      </w:r>
      <w:r>
        <w:rPr>
          <w:rStyle w:val="FootnoteReference"/>
          <w:rFonts w:eastAsia="SimSun"/>
        </w:rPr>
        <w:footnoteRef/>
      </w:r>
      <w:r w:rsidRPr="00B848BB">
        <w:rPr>
          <w:lang w:val="es-ES"/>
        </w:rPr>
        <w:tab/>
      </w:r>
      <w:r>
        <w:rPr>
          <w:lang w:val="es-ES"/>
        </w:rPr>
        <w:t xml:space="preserve">Ibíd. Pág. 21. </w:t>
      </w:r>
    </w:p>
  </w:footnote>
  <w:footnote w:id="11">
    <w:p w:rsidR="0003155F" w:rsidRDefault="0003155F" w:rsidP="00875E55">
      <w:pPr>
        <w:pStyle w:val="FootnoteText"/>
        <w:spacing w:after="0" w:line="220" w:lineRule="exact"/>
        <w:rPr>
          <w:lang w:val="es-ES"/>
        </w:rPr>
      </w:pPr>
      <w:r>
        <w:rPr>
          <w:rFonts w:hint="eastAsia"/>
          <w:lang w:val="es-ES"/>
        </w:rPr>
        <w:tab/>
      </w:r>
      <w:r w:rsidRPr="00B848BB">
        <w:rPr>
          <w:lang w:val="es-ES"/>
        </w:rPr>
        <w:tab/>
      </w:r>
      <w:r>
        <w:rPr>
          <w:rStyle w:val="FootnoteReference"/>
          <w:rFonts w:eastAsia="SimSun"/>
        </w:rPr>
        <w:footnoteRef/>
      </w:r>
      <w:r w:rsidRPr="00B848BB">
        <w:rPr>
          <w:lang w:val="es-ES"/>
        </w:rPr>
        <w:tab/>
        <w:t>Constitución Política de la República de Guatemala. Artículo 140</w:t>
      </w:r>
    </w:p>
  </w:footnote>
  <w:footnote w:id="12">
    <w:p w:rsidR="0003155F" w:rsidRDefault="0003155F" w:rsidP="00875E55">
      <w:pPr>
        <w:pStyle w:val="FootnoteText"/>
        <w:spacing w:after="0" w:line="220" w:lineRule="exact"/>
        <w:rPr>
          <w:lang w:val="x-none"/>
        </w:rPr>
      </w:pPr>
      <w:r w:rsidRPr="00B848BB">
        <w:rPr>
          <w:lang w:val="es-ES"/>
        </w:rPr>
        <w:tab/>
      </w:r>
      <w:r>
        <w:rPr>
          <w:rFonts w:hint="eastAsia"/>
          <w:lang w:val="es-ES"/>
        </w:rPr>
        <w:tab/>
      </w:r>
      <w:r>
        <w:rPr>
          <w:rStyle w:val="FootnoteReference"/>
          <w:rFonts w:eastAsia="SimSun"/>
        </w:rPr>
        <w:footnoteRef/>
      </w:r>
      <w:r w:rsidRPr="00B848BB">
        <w:rPr>
          <w:lang w:val="es-ES"/>
        </w:rPr>
        <w:tab/>
        <w:t>Ley de Comisiones de Postulación. Artículo 12. Aprobación del perfil de aspirantes.  Las Comisiones de Postulación elaborarán el perfil de los profesionales, a que deberán aspirar, quienes se incluyan dentro de la nómina respectiva, con el objeto de elevar la calidad ética, académica, profesional y de proyección humana de los funcionarios públicos electos mediante este procedimiento.  Para tal efecto tomarán en consideración los aspectos siguientes:</w:t>
      </w:r>
    </w:p>
    <w:p w:rsidR="0003155F" w:rsidRPr="00B848BB" w:rsidRDefault="0003155F" w:rsidP="00875E55">
      <w:pPr>
        <w:pStyle w:val="FootnoteText"/>
        <w:keepLines w:val="0"/>
        <w:widowControl/>
        <w:numPr>
          <w:ilvl w:val="0"/>
          <w:numId w:val="27"/>
        </w:numPr>
        <w:tabs>
          <w:tab w:val="clear" w:pos="431"/>
        </w:tabs>
        <w:suppressAutoHyphens/>
        <w:adjustRightInd/>
        <w:snapToGrid/>
        <w:spacing w:after="0" w:line="220" w:lineRule="exact"/>
        <w:jc w:val="left"/>
        <w:rPr>
          <w:lang w:val="es-ES"/>
        </w:rPr>
      </w:pPr>
      <w:r w:rsidRPr="00B848BB">
        <w:rPr>
          <w:lang w:val="es-ES"/>
        </w:rPr>
        <w:t>Ético:  Comprende lo relacionado con la moral, honorabilidad, rectitud, independencia  e imparcialidad comprobadas, para lo cual se deberá presentar:</w:t>
      </w:r>
    </w:p>
    <w:p w:rsidR="0003155F" w:rsidRPr="00B848BB" w:rsidRDefault="0003155F" w:rsidP="00875E55">
      <w:pPr>
        <w:pStyle w:val="FootnoteText"/>
        <w:keepLines w:val="0"/>
        <w:widowControl/>
        <w:numPr>
          <w:ilvl w:val="1"/>
          <w:numId w:val="27"/>
        </w:numPr>
        <w:tabs>
          <w:tab w:val="clear" w:pos="431"/>
        </w:tabs>
        <w:suppressAutoHyphens/>
        <w:adjustRightInd/>
        <w:snapToGrid/>
        <w:spacing w:after="0" w:line="220" w:lineRule="exact"/>
        <w:jc w:val="left"/>
        <w:rPr>
          <w:lang w:val="es-ES"/>
        </w:rPr>
      </w:pPr>
      <w:r w:rsidRPr="00B848BB">
        <w:rPr>
          <w:lang w:val="es-ES"/>
        </w:rPr>
        <w:t>Constancia de ser colegiado activo;</w:t>
      </w:r>
    </w:p>
    <w:p w:rsidR="0003155F" w:rsidRPr="00B848BB" w:rsidRDefault="0003155F" w:rsidP="00875E55">
      <w:pPr>
        <w:pStyle w:val="FootnoteText"/>
        <w:keepLines w:val="0"/>
        <w:widowControl/>
        <w:numPr>
          <w:ilvl w:val="1"/>
          <w:numId w:val="27"/>
        </w:numPr>
        <w:tabs>
          <w:tab w:val="clear" w:pos="431"/>
        </w:tabs>
        <w:suppressAutoHyphens/>
        <w:adjustRightInd/>
        <w:snapToGrid/>
        <w:spacing w:after="0" w:line="220" w:lineRule="exact"/>
        <w:jc w:val="left"/>
        <w:rPr>
          <w:lang w:val="es-ES"/>
        </w:rPr>
      </w:pPr>
      <w:r w:rsidRPr="00B848BB">
        <w:rPr>
          <w:lang w:val="es-ES"/>
        </w:rPr>
        <w:t>Constancia o certificación donde consten los años de ejercicio profesional o constancia de haber desempeñado un período completo como Magistrado de la Corte de Apelaciones o Juez de Primera Instancia, en el caso de los aspirantes a Magistrados de la Corte Suprema de Justicia o de Magistrados de la Corte de Apelaciones;</w:t>
      </w:r>
    </w:p>
    <w:p w:rsidR="0003155F" w:rsidRPr="00B848BB" w:rsidRDefault="0003155F" w:rsidP="00875E55">
      <w:pPr>
        <w:pStyle w:val="FootnoteText"/>
        <w:keepLines w:val="0"/>
        <w:widowControl/>
        <w:numPr>
          <w:ilvl w:val="1"/>
          <w:numId w:val="27"/>
        </w:numPr>
        <w:tabs>
          <w:tab w:val="clear" w:pos="431"/>
        </w:tabs>
        <w:suppressAutoHyphens/>
        <w:adjustRightInd/>
        <w:snapToGrid/>
        <w:spacing w:after="0" w:line="220" w:lineRule="exact"/>
        <w:jc w:val="left"/>
        <w:rPr>
          <w:lang w:val="es-ES"/>
        </w:rPr>
      </w:pPr>
      <w:r w:rsidRPr="00B848BB">
        <w:rPr>
          <w:lang w:val="es-ES"/>
        </w:rPr>
        <w:t>Presentar constancia de antecedentes policíacos;</w:t>
      </w:r>
    </w:p>
    <w:p w:rsidR="0003155F" w:rsidRPr="00B848BB" w:rsidRDefault="0003155F" w:rsidP="00875E55">
      <w:pPr>
        <w:pStyle w:val="FootnoteText"/>
        <w:keepLines w:val="0"/>
        <w:widowControl/>
        <w:numPr>
          <w:ilvl w:val="1"/>
          <w:numId w:val="27"/>
        </w:numPr>
        <w:tabs>
          <w:tab w:val="clear" w:pos="431"/>
        </w:tabs>
        <w:suppressAutoHyphens/>
        <w:adjustRightInd/>
        <w:snapToGrid/>
        <w:spacing w:after="0" w:line="220" w:lineRule="exact"/>
        <w:jc w:val="left"/>
        <w:rPr>
          <w:lang w:val="es-ES"/>
        </w:rPr>
      </w:pPr>
      <w:r w:rsidRPr="00B848BB">
        <w:rPr>
          <w:lang w:val="es-ES"/>
        </w:rPr>
        <w:t>Presentar constancia de antecedentes penales;</w:t>
      </w:r>
    </w:p>
    <w:p w:rsidR="0003155F" w:rsidRPr="00B848BB" w:rsidRDefault="0003155F" w:rsidP="00875E55">
      <w:pPr>
        <w:pStyle w:val="FootnoteText"/>
        <w:keepLines w:val="0"/>
        <w:widowControl/>
        <w:numPr>
          <w:ilvl w:val="1"/>
          <w:numId w:val="27"/>
        </w:numPr>
        <w:tabs>
          <w:tab w:val="clear" w:pos="431"/>
        </w:tabs>
        <w:suppressAutoHyphens/>
        <w:adjustRightInd/>
        <w:snapToGrid/>
        <w:spacing w:after="0" w:line="220" w:lineRule="exact"/>
        <w:jc w:val="left"/>
        <w:rPr>
          <w:lang w:val="es-ES"/>
        </w:rPr>
      </w:pPr>
      <w:r w:rsidRPr="00B848BB">
        <w:rPr>
          <w:lang w:val="es-ES"/>
        </w:rPr>
        <w:t>Presentar constancia de no haber sido sancionado por el tribunal de honor del colegio respectivo; y,</w:t>
      </w:r>
    </w:p>
    <w:p w:rsidR="0003155F" w:rsidRPr="00B848BB" w:rsidRDefault="0003155F" w:rsidP="00875E55">
      <w:pPr>
        <w:pStyle w:val="FootnoteText"/>
        <w:keepLines w:val="0"/>
        <w:widowControl/>
        <w:numPr>
          <w:ilvl w:val="1"/>
          <w:numId w:val="27"/>
        </w:numPr>
        <w:tabs>
          <w:tab w:val="clear" w:pos="431"/>
        </w:tabs>
        <w:suppressAutoHyphens/>
        <w:adjustRightInd/>
        <w:snapToGrid/>
        <w:spacing w:after="0" w:line="220" w:lineRule="exact"/>
        <w:jc w:val="left"/>
        <w:rPr>
          <w:lang w:val="es-ES"/>
        </w:rPr>
      </w:pPr>
      <w:r w:rsidRPr="00B848BB">
        <w:rPr>
          <w:lang w:val="es-ES"/>
        </w:rPr>
        <w:t>Declaración jurada donde conste que el candidato está en el pleno ejercicio de sus derechos civiles y políticos y que no ha sido inhabilitado para ejercer cargos públicos.</w:t>
      </w:r>
    </w:p>
    <w:p w:rsidR="0003155F" w:rsidRPr="00B848BB" w:rsidRDefault="0003155F" w:rsidP="00875E55">
      <w:pPr>
        <w:pStyle w:val="FootnoteText"/>
        <w:keepLines w:val="0"/>
        <w:widowControl/>
        <w:numPr>
          <w:ilvl w:val="0"/>
          <w:numId w:val="27"/>
        </w:numPr>
        <w:tabs>
          <w:tab w:val="clear" w:pos="431"/>
        </w:tabs>
        <w:suppressAutoHyphens/>
        <w:adjustRightInd/>
        <w:snapToGrid/>
        <w:spacing w:after="0" w:line="220" w:lineRule="exact"/>
        <w:jc w:val="left"/>
        <w:rPr>
          <w:b/>
          <w:lang w:val="es-ES"/>
        </w:rPr>
      </w:pPr>
      <w:r w:rsidRPr="00B848BB">
        <w:rPr>
          <w:b/>
          <w:lang w:val="es-ES"/>
        </w:rPr>
        <w:t xml:space="preserve">Académico: </w:t>
      </w:r>
      <w:r w:rsidRPr="00B848BB">
        <w:rPr>
          <w:lang w:val="es-ES"/>
        </w:rPr>
        <w:t>Comprende lo relacionado con la docencia universitaria, títulos académicos, estudios, ensayos, publicaciones, participación en eventos académicos y méritos obtenidos.</w:t>
      </w:r>
    </w:p>
    <w:p w:rsidR="0003155F" w:rsidRPr="00B848BB" w:rsidRDefault="0003155F" w:rsidP="00875E55">
      <w:pPr>
        <w:pStyle w:val="FootnoteText"/>
        <w:keepLines w:val="0"/>
        <w:widowControl/>
        <w:numPr>
          <w:ilvl w:val="0"/>
          <w:numId w:val="27"/>
        </w:numPr>
        <w:tabs>
          <w:tab w:val="clear" w:pos="431"/>
        </w:tabs>
        <w:suppressAutoHyphens/>
        <w:adjustRightInd/>
        <w:snapToGrid/>
        <w:spacing w:after="0" w:line="220" w:lineRule="exact"/>
        <w:jc w:val="left"/>
        <w:rPr>
          <w:b/>
          <w:lang w:val="es-ES"/>
        </w:rPr>
      </w:pPr>
      <w:r w:rsidRPr="00B848BB">
        <w:rPr>
          <w:b/>
          <w:lang w:val="es-ES"/>
        </w:rPr>
        <w:t>Profesional: Comprende</w:t>
      </w:r>
      <w:r w:rsidRPr="00B848BB">
        <w:rPr>
          <w:lang w:val="es-ES"/>
        </w:rPr>
        <w:t xml:space="preserve"> todo lo relativo con la experiencia profesional del aspirante, quien tiene que cumplir con los requisitos establecidos en la Constitución Política de la República de Guatemala o leyes aplicables, según el cargo al cual opte.</w:t>
      </w:r>
    </w:p>
    <w:p w:rsidR="0003155F" w:rsidRPr="00B848BB" w:rsidRDefault="0003155F" w:rsidP="00875E55">
      <w:pPr>
        <w:pStyle w:val="FootnoteText"/>
        <w:keepLines w:val="0"/>
        <w:widowControl/>
        <w:numPr>
          <w:ilvl w:val="0"/>
          <w:numId w:val="27"/>
        </w:numPr>
        <w:tabs>
          <w:tab w:val="clear" w:pos="431"/>
        </w:tabs>
        <w:suppressAutoHyphens/>
        <w:adjustRightInd/>
        <w:snapToGrid/>
        <w:spacing w:after="0" w:line="220" w:lineRule="exact"/>
        <w:jc w:val="left"/>
        <w:rPr>
          <w:b/>
          <w:lang w:val="es-ES"/>
        </w:rPr>
      </w:pPr>
      <w:r w:rsidRPr="00B848BB">
        <w:rPr>
          <w:b/>
          <w:lang w:val="es-ES"/>
        </w:rPr>
        <w:t xml:space="preserve">Proyección humana: </w:t>
      </w:r>
      <w:r w:rsidRPr="00B848BB">
        <w:rPr>
          <w:lang w:val="es-ES"/>
        </w:rPr>
        <w:t>Comprende aspectos relacionados con la vocación de servicio y liderazgo.</w:t>
      </w:r>
    </w:p>
    <w:p w:rsidR="0003155F" w:rsidRPr="00B848BB" w:rsidRDefault="0003155F" w:rsidP="00875E55">
      <w:pPr>
        <w:pStyle w:val="FootnoteText"/>
        <w:spacing w:after="0" w:line="220" w:lineRule="exact"/>
        <w:rPr>
          <w:lang w:val="es-ES"/>
        </w:rPr>
      </w:pPr>
      <w:r>
        <w:rPr>
          <w:rFonts w:hint="eastAsia"/>
          <w:lang w:val="es-ES"/>
        </w:rPr>
        <w:tab/>
      </w:r>
      <w:r>
        <w:rPr>
          <w:lang w:val="es-ES"/>
        </w:rPr>
        <w:tab/>
      </w:r>
      <w:r>
        <w:rPr>
          <w:lang w:val="es-ES"/>
        </w:rPr>
        <w:tab/>
      </w:r>
      <w:r w:rsidRPr="00B848BB">
        <w:rPr>
          <w:lang w:val="es-ES"/>
        </w:rPr>
        <w:t>Una vez, la Comisión de Postulación debe aprobar una tabla de gradación de calificaciones de los aspirantes, de uno (1) a cien (100) puntos, con el objeto de cuantificar numéricamente en una sola tabla, los siguientes cuatro aspectos:</w:t>
      </w:r>
    </w:p>
    <w:p w:rsidR="0003155F" w:rsidRPr="00B848BB" w:rsidRDefault="0003155F" w:rsidP="00875E55">
      <w:pPr>
        <w:pStyle w:val="FootnoteText"/>
        <w:keepLines w:val="0"/>
        <w:widowControl/>
        <w:numPr>
          <w:ilvl w:val="0"/>
          <w:numId w:val="28"/>
        </w:numPr>
        <w:tabs>
          <w:tab w:val="clear" w:pos="431"/>
        </w:tabs>
        <w:suppressAutoHyphens/>
        <w:adjustRightInd/>
        <w:snapToGrid/>
        <w:spacing w:after="0" w:line="220" w:lineRule="exact"/>
        <w:jc w:val="left"/>
        <w:rPr>
          <w:lang w:val="es-ES"/>
        </w:rPr>
      </w:pPr>
      <w:r w:rsidRPr="00B848BB">
        <w:rPr>
          <w:lang w:val="es-ES"/>
        </w:rPr>
        <w:t>Los méritos éticos;</w:t>
      </w:r>
    </w:p>
    <w:p w:rsidR="0003155F" w:rsidRPr="00B848BB" w:rsidRDefault="0003155F" w:rsidP="00875E55">
      <w:pPr>
        <w:pStyle w:val="FootnoteText"/>
        <w:keepLines w:val="0"/>
        <w:widowControl/>
        <w:numPr>
          <w:ilvl w:val="0"/>
          <w:numId w:val="28"/>
        </w:numPr>
        <w:tabs>
          <w:tab w:val="clear" w:pos="431"/>
        </w:tabs>
        <w:suppressAutoHyphens/>
        <w:adjustRightInd/>
        <w:snapToGrid/>
        <w:spacing w:after="0" w:line="220" w:lineRule="exact"/>
        <w:jc w:val="left"/>
        <w:rPr>
          <w:lang w:val="es-ES"/>
        </w:rPr>
      </w:pPr>
      <w:r w:rsidRPr="00B848BB">
        <w:rPr>
          <w:lang w:val="es-ES"/>
        </w:rPr>
        <w:t>Los méritos académicos;</w:t>
      </w:r>
    </w:p>
    <w:p w:rsidR="0003155F" w:rsidRPr="00B848BB" w:rsidRDefault="0003155F" w:rsidP="00875E55">
      <w:pPr>
        <w:pStyle w:val="FootnoteText"/>
        <w:keepLines w:val="0"/>
        <w:widowControl/>
        <w:numPr>
          <w:ilvl w:val="0"/>
          <w:numId w:val="28"/>
        </w:numPr>
        <w:tabs>
          <w:tab w:val="clear" w:pos="431"/>
        </w:tabs>
        <w:suppressAutoHyphens/>
        <w:adjustRightInd/>
        <w:snapToGrid/>
        <w:spacing w:after="0" w:line="220" w:lineRule="exact"/>
        <w:jc w:val="left"/>
        <w:rPr>
          <w:lang w:val="es-ES"/>
        </w:rPr>
      </w:pPr>
      <w:r w:rsidRPr="00B848BB">
        <w:rPr>
          <w:lang w:val="es-ES"/>
        </w:rPr>
        <w:t>Los méritos profesionales; y,</w:t>
      </w:r>
    </w:p>
    <w:p w:rsidR="0003155F" w:rsidRPr="00875E55" w:rsidRDefault="0003155F" w:rsidP="00B848BB">
      <w:pPr>
        <w:pStyle w:val="FootnoteText"/>
        <w:keepLines w:val="0"/>
        <w:widowControl/>
        <w:numPr>
          <w:ilvl w:val="0"/>
          <w:numId w:val="28"/>
        </w:numPr>
        <w:tabs>
          <w:tab w:val="clear" w:pos="431"/>
        </w:tabs>
        <w:suppressAutoHyphens/>
        <w:adjustRightInd/>
        <w:snapToGrid/>
        <w:spacing w:after="0" w:line="220" w:lineRule="exact"/>
        <w:jc w:val="left"/>
        <w:rPr>
          <w:lang w:val="es-ES"/>
        </w:rPr>
      </w:pPr>
      <w:r w:rsidRPr="00875E55">
        <w:rPr>
          <w:lang w:val="es-ES"/>
        </w:rPr>
        <w:t>Los méritos de proyección humana.</w:t>
      </w:r>
    </w:p>
  </w:footnote>
  <w:footnote w:id="13">
    <w:p w:rsidR="0003155F" w:rsidRPr="00875E55" w:rsidRDefault="0003155F" w:rsidP="00875E55">
      <w:pPr>
        <w:pStyle w:val="FootnoteText"/>
        <w:spacing w:after="0" w:line="220" w:lineRule="exact"/>
        <w:rPr>
          <w:lang w:val="x-none"/>
        </w:rPr>
      </w:pPr>
      <w:r w:rsidRPr="00B848BB">
        <w:rPr>
          <w:lang w:val="es-ES"/>
        </w:rPr>
        <w:tab/>
      </w:r>
      <w:r>
        <w:rPr>
          <w:rFonts w:hint="eastAsia"/>
          <w:lang w:val="es-ES"/>
        </w:rPr>
        <w:tab/>
      </w:r>
      <w:r>
        <w:rPr>
          <w:rStyle w:val="FootnoteReference"/>
          <w:rFonts w:eastAsia="SimSun"/>
        </w:rPr>
        <w:footnoteRef/>
      </w:r>
      <w:r w:rsidRPr="00B848BB">
        <w:rPr>
          <w:lang w:val="es-ES"/>
        </w:rPr>
        <w:tab/>
        <w:t>Constitución Política de la República, artículo 215 veintiséis candidatos en el caso de la elección de magistrados de la Corte Suprema de Justicia, y artículo 217, y el doble del número de candidatos a elegir, atendiendo al número de salas creadas, en el caso de los magistrados de la Corte de Apelaciones.</w:t>
      </w:r>
    </w:p>
  </w:footnote>
  <w:footnote w:id="14">
    <w:p w:rsidR="0003155F" w:rsidRDefault="0003155F" w:rsidP="00875E55">
      <w:pPr>
        <w:pStyle w:val="FootnoteText"/>
        <w:spacing w:after="0" w:line="220" w:lineRule="exact"/>
        <w:rPr>
          <w:lang w:val="x-none"/>
        </w:rPr>
      </w:pPr>
      <w:r>
        <w:rPr>
          <w:rFonts w:hint="eastAsia"/>
          <w:lang w:val="es-ES"/>
        </w:rPr>
        <w:tab/>
      </w:r>
      <w:r w:rsidRPr="00B848BB">
        <w:rPr>
          <w:lang w:val="es-ES"/>
        </w:rPr>
        <w:tab/>
      </w:r>
      <w:r>
        <w:rPr>
          <w:rStyle w:val="FootnoteReference"/>
          <w:rFonts w:eastAsia="SimSun"/>
        </w:rPr>
        <w:footnoteRef/>
      </w:r>
      <w:r w:rsidRPr="00B848BB">
        <w:rPr>
          <w:lang w:val="es-ES"/>
        </w:rPr>
        <w:tab/>
        <w:t>Principios básicos de las Naciones Unidas relativos a la independencia de la judicatura, Principio 10.</w:t>
      </w:r>
    </w:p>
  </w:footnote>
  <w:footnote w:id="15">
    <w:p w:rsidR="0003155F" w:rsidRPr="00B848BB" w:rsidRDefault="0003155F" w:rsidP="00875E55">
      <w:pPr>
        <w:pStyle w:val="FootnoteText"/>
        <w:spacing w:after="0" w:line="220" w:lineRule="exact"/>
        <w:rPr>
          <w:lang w:val="es-ES"/>
        </w:rPr>
      </w:pPr>
      <w:r w:rsidRPr="00B848BB">
        <w:rPr>
          <w:lang w:val="es-ES"/>
        </w:rPr>
        <w:tab/>
      </w:r>
      <w:r>
        <w:rPr>
          <w:rFonts w:hint="eastAsia"/>
          <w:lang w:val="es-ES"/>
        </w:rPr>
        <w:tab/>
      </w:r>
      <w:r>
        <w:rPr>
          <w:rStyle w:val="FootnoteReference"/>
          <w:rFonts w:eastAsia="SimSun"/>
        </w:rPr>
        <w:footnoteRef/>
      </w:r>
      <w:r w:rsidRPr="00B848BB">
        <w:rPr>
          <w:lang w:val="es-ES"/>
        </w:rPr>
        <w:tab/>
        <w:t>Ley de Comisiones de Postulación, artículo 4</w:t>
      </w:r>
    </w:p>
  </w:footnote>
  <w:footnote w:id="16">
    <w:p w:rsidR="0003155F" w:rsidRDefault="0003155F" w:rsidP="00875E55">
      <w:pPr>
        <w:pStyle w:val="FootnoteText"/>
        <w:spacing w:after="0" w:line="220" w:lineRule="exact"/>
        <w:rPr>
          <w:lang w:val="es-ES"/>
        </w:rPr>
      </w:pPr>
      <w:r>
        <w:rPr>
          <w:rFonts w:hint="eastAsia"/>
          <w:lang w:val="es-ES"/>
        </w:rPr>
        <w:tab/>
      </w:r>
      <w:r w:rsidRPr="00B848BB">
        <w:rPr>
          <w:lang w:val="es-ES"/>
        </w:rPr>
        <w:tab/>
      </w:r>
      <w:r>
        <w:rPr>
          <w:rStyle w:val="FootnoteReference"/>
          <w:rFonts w:eastAsia="SimSun"/>
        </w:rPr>
        <w:footnoteRef/>
      </w:r>
      <w:r w:rsidRPr="00B848BB">
        <w:rPr>
          <w:lang w:val="es-ES"/>
        </w:rPr>
        <w:tab/>
      </w:r>
      <w:r>
        <w:rPr>
          <w:lang w:val="es-ES"/>
        </w:rPr>
        <w:t>Ley de Comisiones de Postulación. Decreto 19-2009 del Congreso de la República.</w:t>
      </w:r>
      <w:r>
        <w:rPr>
          <w:lang w:val="es-GT"/>
        </w:rPr>
        <w:t xml:space="preserve"> Artículos 6, 7, 8, 9, 12, 14, 17, 22, 23 y 24. </w:t>
      </w:r>
    </w:p>
  </w:footnote>
  <w:footnote w:id="17">
    <w:p w:rsidR="0003155F" w:rsidRDefault="0003155F" w:rsidP="00875E55">
      <w:pPr>
        <w:pStyle w:val="FootnoteText"/>
        <w:spacing w:after="0" w:line="220" w:lineRule="exact"/>
        <w:rPr>
          <w:lang w:val="es-ES"/>
        </w:rPr>
      </w:pPr>
      <w:r w:rsidRPr="00B848BB">
        <w:rPr>
          <w:lang w:val="es-ES"/>
        </w:rPr>
        <w:tab/>
      </w:r>
      <w:r>
        <w:rPr>
          <w:rFonts w:hint="eastAsia"/>
          <w:lang w:val="es-ES"/>
        </w:rPr>
        <w:tab/>
      </w:r>
      <w:r>
        <w:rPr>
          <w:rStyle w:val="FootnoteReference"/>
          <w:rFonts w:eastAsia="SimSun"/>
        </w:rPr>
        <w:footnoteRef/>
      </w:r>
      <w:r w:rsidRPr="00B848BB">
        <w:rPr>
          <w:lang w:val="es-ES"/>
        </w:rPr>
        <w:tab/>
        <w:t xml:space="preserve">Ley de Comisiones de Postulación. Artículo 2, inciso c. </w:t>
      </w:r>
    </w:p>
  </w:footnote>
  <w:footnote w:id="18">
    <w:p w:rsidR="0003155F" w:rsidRDefault="0003155F" w:rsidP="00875E55">
      <w:pPr>
        <w:pStyle w:val="FootnoteText"/>
        <w:spacing w:after="0" w:line="220" w:lineRule="exact"/>
        <w:rPr>
          <w:lang w:val="es-ES"/>
        </w:rPr>
      </w:pPr>
      <w:r w:rsidRPr="00B848BB">
        <w:rPr>
          <w:lang w:val="es-ES"/>
        </w:rPr>
        <w:tab/>
      </w:r>
      <w:r>
        <w:rPr>
          <w:rFonts w:hint="eastAsia"/>
          <w:lang w:val="es-ES"/>
        </w:rPr>
        <w:tab/>
      </w:r>
      <w:r>
        <w:rPr>
          <w:rStyle w:val="FootnoteReference"/>
          <w:rFonts w:eastAsia="SimSun"/>
        </w:rPr>
        <w:footnoteRef/>
      </w:r>
      <w:r w:rsidRPr="00B848BB">
        <w:rPr>
          <w:lang w:val="es-ES"/>
        </w:rPr>
        <w:tab/>
        <w:t>Constitución Política de la República de Guatemala, artículos 215 y 217.  Ley de Comisiones de Postulación, artículos 2, inciso d; 22, 23 y 24.</w:t>
      </w:r>
    </w:p>
  </w:footnote>
  <w:footnote w:id="19">
    <w:p w:rsidR="0003155F" w:rsidRDefault="0003155F" w:rsidP="00875E55">
      <w:pPr>
        <w:pStyle w:val="FootnoteText"/>
        <w:spacing w:after="0" w:line="220" w:lineRule="exact"/>
        <w:rPr>
          <w:lang w:val="x-none"/>
        </w:rPr>
      </w:pPr>
      <w:r w:rsidRPr="00B848BB">
        <w:rPr>
          <w:lang w:val="es-ES"/>
        </w:rPr>
        <w:tab/>
      </w:r>
      <w:r>
        <w:rPr>
          <w:rFonts w:hint="eastAsia"/>
          <w:lang w:val="es-ES"/>
        </w:rPr>
        <w:tab/>
      </w:r>
      <w:r>
        <w:rPr>
          <w:rStyle w:val="FootnoteReference"/>
          <w:rFonts w:eastAsia="SimSun"/>
        </w:rPr>
        <w:footnoteRef/>
      </w:r>
      <w:r w:rsidRPr="00B848BB">
        <w:rPr>
          <w:lang w:val="es-ES"/>
        </w:rPr>
        <w:tab/>
        <w:t>Corte de Constitucionalidad. Expedientes Acumulados 3772-2014 y 3861-2014, de fecha 22 de agosto de 2014.</w:t>
      </w:r>
    </w:p>
  </w:footnote>
  <w:footnote w:id="20">
    <w:p w:rsidR="0003155F" w:rsidRPr="00B848BB" w:rsidRDefault="0003155F" w:rsidP="00875E55">
      <w:pPr>
        <w:pStyle w:val="FootnoteText"/>
        <w:spacing w:after="0" w:line="220" w:lineRule="exact"/>
        <w:rPr>
          <w:lang w:val="es-ES"/>
        </w:rPr>
      </w:pPr>
      <w:r>
        <w:rPr>
          <w:rFonts w:hint="eastAsia"/>
          <w:lang w:val="es-ES"/>
        </w:rPr>
        <w:tab/>
      </w:r>
      <w:r w:rsidRPr="00B848BB">
        <w:rPr>
          <w:lang w:val="es-ES"/>
        </w:rPr>
        <w:tab/>
      </w:r>
      <w:r>
        <w:rPr>
          <w:rStyle w:val="FootnoteReference"/>
          <w:rFonts w:eastAsia="SimSun"/>
        </w:rPr>
        <w:footnoteRef/>
      </w:r>
      <w:r w:rsidRPr="00B848BB">
        <w:rPr>
          <w:lang w:val="es-ES"/>
        </w:rPr>
        <w:tab/>
        <w:t>Ley del Organismo Judicial, artículo 71.  Abandono de funciones. Ningún magistrado o juez, propietario o suplente en funciones y ningún funcionario o empleado del Organismo Judicial, dejará su cargo aunque se le haya admitido la renuncia o cumplido el tiempo de su servicio sino hasta que se presente su sucesor”.</w:t>
      </w:r>
    </w:p>
  </w:footnote>
  <w:footnote w:id="21">
    <w:p w:rsidR="0003155F" w:rsidRDefault="0003155F" w:rsidP="005A06B1">
      <w:pPr>
        <w:pStyle w:val="FootnoteText"/>
        <w:spacing w:after="0" w:line="220" w:lineRule="exact"/>
        <w:rPr>
          <w:lang w:val="es-ES"/>
        </w:rPr>
      </w:pPr>
      <w:r w:rsidRPr="00B848BB">
        <w:rPr>
          <w:lang w:val="es-ES"/>
        </w:rPr>
        <w:tab/>
      </w:r>
      <w:r>
        <w:rPr>
          <w:rFonts w:hint="eastAsia"/>
          <w:lang w:val="es-ES"/>
        </w:rPr>
        <w:tab/>
      </w:r>
      <w:r>
        <w:rPr>
          <w:rStyle w:val="FootnoteReference"/>
          <w:rFonts w:eastAsia="SimSun"/>
        </w:rPr>
        <w:footnoteRef/>
      </w:r>
      <w:r w:rsidRPr="00B848BB">
        <w:rPr>
          <w:lang w:val="es-ES"/>
        </w:rPr>
        <w:tab/>
        <w:t>Juez Alirio Abreu Burelli, “Jurisprudencia de la Corte Interamericana de Derechos Humanos” en Independencia e Imparcialidad del Juez, Corte Interamericana de Derechos Humanos, “Un Cuarto de Siglo 1979-2004” Pág. 131 (2004).</w:t>
      </w:r>
      <w:r>
        <w:rPr>
          <w:lang w:val="es-G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5F" w:rsidRDefault="0003155F" w:rsidP="00681711">
    <w:pPr>
      <w:pStyle w:val="Header"/>
    </w:pPr>
    <w:r>
      <w:t>A/HRC/WGEID/105/1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5F" w:rsidRPr="00202A30" w:rsidRDefault="0003155F" w:rsidP="00681711">
    <w:pPr>
      <w:pStyle w:val="Header"/>
      <w:jc w:val="right"/>
    </w:pPr>
    <w:r>
      <w:t>A/HRC/WGEID/105/1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10C49F8"/>
    <w:multiLevelType w:val="hybridMultilevel"/>
    <w:tmpl w:val="7570AAD8"/>
    <w:lvl w:ilvl="0" w:tplc="0B66BFBA">
      <w:start w:val="1"/>
      <w:numFmt w:val="decimal"/>
      <w:pStyle w:val="ParaNoG"/>
      <w:lvlText w:val="%1."/>
      <w:lvlJc w:val="left"/>
      <w:pPr>
        <w:tabs>
          <w:tab w:val="num" w:pos="1"/>
        </w:tabs>
        <w:ind w:left="1135" w:firstLine="0"/>
      </w:pPr>
      <w:rPr>
        <w:rFonts w:ascii="Times New Roman" w:hAnsi="Times New Roman" w:cs="Times New Roman" w:hint="default"/>
        <w:b w:val="0"/>
        <w:i w:val="0"/>
        <w:sz w:val="20"/>
      </w:rPr>
    </w:lvl>
    <w:lvl w:ilvl="1" w:tplc="04090019">
      <w:start w:val="1"/>
      <w:numFmt w:val="lowerLetter"/>
      <w:lvlText w:val="%2."/>
      <w:lvlJc w:val="left"/>
      <w:pPr>
        <w:tabs>
          <w:tab w:val="num" w:pos="1015"/>
        </w:tabs>
        <w:ind w:left="1015" w:hanging="360"/>
      </w:pPr>
    </w:lvl>
    <w:lvl w:ilvl="2" w:tplc="C67290A8">
      <w:start w:val="1"/>
      <w:numFmt w:val="lowerLetter"/>
      <w:lvlText w:val="(%3)"/>
      <w:lvlJc w:val="left"/>
      <w:pPr>
        <w:ind w:left="2680" w:hanging="1125"/>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2">
    <w:nsid w:val="09147734"/>
    <w:multiLevelType w:val="hybridMultilevel"/>
    <w:tmpl w:val="70666F72"/>
    <w:lvl w:ilvl="0" w:tplc="E1A6571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DE34F2B"/>
    <w:multiLevelType w:val="hybridMultilevel"/>
    <w:tmpl w:val="B3E4B15A"/>
    <w:lvl w:ilvl="0" w:tplc="100A0019">
      <w:start w:val="1"/>
      <w:numFmt w:val="lowerLetter"/>
      <w:lvlText w:val="%1."/>
      <w:lvlJc w:val="left"/>
      <w:pPr>
        <w:ind w:left="1381" w:hanging="360"/>
      </w:pPr>
    </w:lvl>
    <w:lvl w:ilvl="1" w:tplc="100A0019">
      <w:start w:val="1"/>
      <w:numFmt w:val="lowerLetter"/>
      <w:lvlText w:val="%2."/>
      <w:lvlJc w:val="left"/>
      <w:pPr>
        <w:ind w:left="2101" w:hanging="360"/>
      </w:pPr>
    </w:lvl>
    <w:lvl w:ilvl="2" w:tplc="100A001B">
      <w:start w:val="1"/>
      <w:numFmt w:val="lowerRoman"/>
      <w:lvlText w:val="%3."/>
      <w:lvlJc w:val="right"/>
      <w:pPr>
        <w:ind w:left="2821" w:hanging="180"/>
      </w:pPr>
    </w:lvl>
    <w:lvl w:ilvl="3" w:tplc="100A000F">
      <w:start w:val="1"/>
      <w:numFmt w:val="decimal"/>
      <w:lvlText w:val="%4."/>
      <w:lvlJc w:val="left"/>
      <w:pPr>
        <w:ind w:left="3541" w:hanging="360"/>
      </w:pPr>
    </w:lvl>
    <w:lvl w:ilvl="4" w:tplc="100A0019">
      <w:start w:val="1"/>
      <w:numFmt w:val="lowerLetter"/>
      <w:lvlText w:val="%5."/>
      <w:lvlJc w:val="left"/>
      <w:pPr>
        <w:ind w:left="4261" w:hanging="360"/>
      </w:pPr>
    </w:lvl>
    <w:lvl w:ilvl="5" w:tplc="100A001B">
      <w:start w:val="1"/>
      <w:numFmt w:val="lowerRoman"/>
      <w:lvlText w:val="%6."/>
      <w:lvlJc w:val="right"/>
      <w:pPr>
        <w:ind w:left="4981" w:hanging="180"/>
      </w:pPr>
    </w:lvl>
    <w:lvl w:ilvl="6" w:tplc="100A000F">
      <w:start w:val="1"/>
      <w:numFmt w:val="decimal"/>
      <w:lvlText w:val="%7."/>
      <w:lvlJc w:val="left"/>
      <w:pPr>
        <w:ind w:left="5701" w:hanging="360"/>
      </w:pPr>
    </w:lvl>
    <w:lvl w:ilvl="7" w:tplc="100A0019">
      <w:start w:val="1"/>
      <w:numFmt w:val="lowerLetter"/>
      <w:lvlText w:val="%8."/>
      <w:lvlJc w:val="left"/>
      <w:pPr>
        <w:ind w:left="6421" w:hanging="360"/>
      </w:pPr>
    </w:lvl>
    <w:lvl w:ilvl="8" w:tplc="100A001B">
      <w:start w:val="1"/>
      <w:numFmt w:val="lowerRoman"/>
      <w:lvlText w:val="%9."/>
      <w:lvlJc w:val="right"/>
      <w:pPr>
        <w:ind w:left="7141" w:hanging="180"/>
      </w:pPr>
    </w:lvl>
  </w:abstractNum>
  <w:abstractNum w:abstractNumId="6">
    <w:nsid w:val="1FE8411B"/>
    <w:multiLevelType w:val="hybridMultilevel"/>
    <w:tmpl w:val="CB5AD776"/>
    <w:lvl w:ilvl="0" w:tplc="D926305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24459B"/>
    <w:multiLevelType w:val="hybridMultilevel"/>
    <w:tmpl w:val="41CED0FE"/>
    <w:lvl w:ilvl="0" w:tplc="70E4347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6042966"/>
    <w:multiLevelType w:val="hybridMultilevel"/>
    <w:tmpl w:val="E9F2696E"/>
    <w:lvl w:ilvl="0" w:tplc="07C6749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0AA260B"/>
    <w:multiLevelType w:val="hybridMultilevel"/>
    <w:tmpl w:val="3EACB184"/>
    <w:lvl w:ilvl="0" w:tplc="368623C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60C1F17"/>
    <w:multiLevelType w:val="hybridMultilevel"/>
    <w:tmpl w:val="D18A5C5E"/>
    <w:lvl w:ilvl="0" w:tplc="05A255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2F02575"/>
    <w:multiLevelType w:val="hybridMultilevel"/>
    <w:tmpl w:val="5A223B10"/>
    <w:lvl w:ilvl="0" w:tplc="100A0019">
      <w:start w:val="1"/>
      <w:numFmt w:val="lowerLetter"/>
      <w:lvlText w:val="%1."/>
      <w:lvlJc w:val="left"/>
      <w:pPr>
        <w:ind w:left="1494" w:hanging="360"/>
      </w:pPr>
    </w:lvl>
    <w:lvl w:ilvl="1" w:tplc="26E0B994">
      <w:start w:val="1"/>
      <w:numFmt w:val="decimal"/>
      <w:lvlText w:val="%2."/>
      <w:lvlJc w:val="center"/>
      <w:pPr>
        <w:ind w:left="2214" w:hanging="360"/>
      </w:pPr>
    </w:lvl>
    <w:lvl w:ilvl="2" w:tplc="100A001B">
      <w:start w:val="1"/>
      <w:numFmt w:val="lowerRoman"/>
      <w:lvlText w:val="%3."/>
      <w:lvlJc w:val="right"/>
      <w:pPr>
        <w:ind w:left="2934" w:hanging="180"/>
      </w:pPr>
    </w:lvl>
    <w:lvl w:ilvl="3" w:tplc="100A000F">
      <w:start w:val="1"/>
      <w:numFmt w:val="decimal"/>
      <w:lvlText w:val="%4."/>
      <w:lvlJc w:val="left"/>
      <w:pPr>
        <w:ind w:left="3654" w:hanging="360"/>
      </w:pPr>
    </w:lvl>
    <w:lvl w:ilvl="4" w:tplc="100A0019">
      <w:start w:val="1"/>
      <w:numFmt w:val="lowerLetter"/>
      <w:lvlText w:val="%5."/>
      <w:lvlJc w:val="left"/>
      <w:pPr>
        <w:ind w:left="4374" w:hanging="360"/>
      </w:pPr>
    </w:lvl>
    <w:lvl w:ilvl="5" w:tplc="100A001B">
      <w:start w:val="1"/>
      <w:numFmt w:val="lowerRoman"/>
      <w:lvlText w:val="%6."/>
      <w:lvlJc w:val="right"/>
      <w:pPr>
        <w:ind w:left="5094" w:hanging="180"/>
      </w:pPr>
    </w:lvl>
    <w:lvl w:ilvl="6" w:tplc="100A000F">
      <w:start w:val="1"/>
      <w:numFmt w:val="decimal"/>
      <w:lvlText w:val="%7."/>
      <w:lvlJc w:val="left"/>
      <w:pPr>
        <w:ind w:left="5814" w:hanging="360"/>
      </w:pPr>
    </w:lvl>
    <w:lvl w:ilvl="7" w:tplc="100A0019">
      <w:start w:val="1"/>
      <w:numFmt w:val="lowerLetter"/>
      <w:lvlText w:val="%8."/>
      <w:lvlJc w:val="left"/>
      <w:pPr>
        <w:ind w:left="6534" w:hanging="360"/>
      </w:pPr>
    </w:lvl>
    <w:lvl w:ilvl="8" w:tplc="100A001B">
      <w:start w:val="1"/>
      <w:numFmt w:val="lowerRoman"/>
      <w:lvlText w:val="%9."/>
      <w:lvlJc w:val="right"/>
      <w:pPr>
        <w:ind w:left="7254" w:hanging="180"/>
      </w:pPr>
    </w:lvl>
  </w:abstractNum>
  <w:abstractNum w:abstractNumId="12">
    <w:nsid w:val="436F484D"/>
    <w:multiLevelType w:val="hybridMultilevel"/>
    <w:tmpl w:val="FAECC7DC"/>
    <w:lvl w:ilvl="0" w:tplc="1BFE69A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9191B2C"/>
    <w:multiLevelType w:val="hybridMultilevel"/>
    <w:tmpl w:val="246E1970"/>
    <w:lvl w:ilvl="0" w:tplc="07A81F6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FE53E2A"/>
    <w:multiLevelType w:val="hybridMultilevel"/>
    <w:tmpl w:val="383E25D2"/>
    <w:lvl w:ilvl="0" w:tplc="A77A8A9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375FFA"/>
    <w:multiLevelType w:val="hybridMultilevel"/>
    <w:tmpl w:val="B5866176"/>
    <w:lvl w:ilvl="0" w:tplc="07EE95F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1C7127A"/>
    <w:multiLevelType w:val="hybridMultilevel"/>
    <w:tmpl w:val="F2D8DFD6"/>
    <w:lvl w:ilvl="0" w:tplc="71A672E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72C69D3"/>
    <w:multiLevelType w:val="hybridMultilevel"/>
    <w:tmpl w:val="1C3C7C96"/>
    <w:lvl w:ilvl="0" w:tplc="D5C0CA6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A164A2A"/>
    <w:multiLevelType w:val="hybridMultilevel"/>
    <w:tmpl w:val="8918E36A"/>
    <w:lvl w:ilvl="0" w:tplc="78CCC8C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B3D7954"/>
    <w:multiLevelType w:val="hybridMultilevel"/>
    <w:tmpl w:val="C71287C6"/>
    <w:lvl w:ilvl="0" w:tplc="F61E66A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C9337A1"/>
    <w:multiLevelType w:val="hybridMultilevel"/>
    <w:tmpl w:val="9A4865A8"/>
    <w:lvl w:ilvl="0" w:tplc="597A35B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4B96811"/>
    <w:multiLevelType w:val="hybridMultilevel"/>
    <w:tmpl w:val="53B81D50"/>
    <w:lvl w:ilvl="0" w:tplc="513494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7C674D5"/>
    <w:multiLevelType w:val="hybridMultilevel"/>
    <w:tmpl w:val="E55804AC"/>
    <w:lvl w:ilvl="0" w:tplc="5CD0166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0387319"/>
    <w:multiLevelType w:val="hybridMultilevel"/>
    <w:tmpl w:val="914C7762"/>
    <w:lvl w:ilvl="0" w:tplc="83CE0CB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D0C09EA"/>
    <w:multiLevelType w:val="hybridMultilevel"/>
    <w:tmpl w:val="166C96A8"/>
    <w:lvl w:ilvl="0" w:tplc="D71A7EC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EC22321"/>
    <w:multiLevelType w:val="hybridMultilevel"/>
    <w:tmpl w:val="B712A316"/>
    <w:lvl w:ilvl="0" w:tplc="339A20F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2"/>
  </w:num>
  <w:num w:numId="3">
    <w:abstractNumId w:val="4"/>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26"/>
  </w:num>
  <w:num w:numId="10">
    <w:abstractNumId w:val="7"/>
  </w:num>
  <w:num w:numId="11">
    <w:abstractNumId w:val="25"/>
  </w:num>
  <w:num w:numId="12">
    <w:abstractNumId w:val="13"/>
  </w:num>
  <w:num w:numId="13">
    <w:abstractNumId w:val="24"/>
  </w:num>
  <w:num w:numId="14">
    <w:abstractNumId w:val="15"/>
  </w:num>
  <w:num w:numId="15">
    <w:abstractNumId w:val="17"/>
  </w:num>
  <w:num w:numId="16">
    <w:abstractNumId w:val="2"/>
  </w:num>
  <w:num w:numId="17">
    <w:abstractNumId w:val="12"/>
  </w:num>
  <w:num w:numId="18">
    <w:abstractNumId w:val="23"/>
  </w:num>
  <w:num w:numId="19">
    <w:abstractNumId w:val="8"/>
  </w:num>
  <w:num w:numId="20">
    <w:abstractNumId w:val="9"/>
  </w:num>
  <w:num w:numId="21">
    <w:abstractNumId w:val="14"/>
  </w:num>
  <w:num w:numId="22">
    <w:abstractNumId w:val="6"/>
  </w:num>
  <w:num w:numId="23">
    <w:abstractNumId w:val="19"/>
  </w:num>
  <w:num w:numId="24">
    <w:abstractNumId w:val="16"/>
  </w:num>
  <w:num w:numId="25">
    <w:abstractNumId w:val="10"/>
  </w:num>
  <w:num w:numId="26">
    <w:abstractNumId w:val="2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bordersDoNotSurroundFooter/>
  <w:hideSpellingErrors/>
  <w:proofState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2C"/>
    <w:rsid w:val="00001CE2"/>
    <w:rsid w:val="00011483"/>
    <w:rsid w:val="0003155F"/>
    <w:rsid w:val="000D319F"/>
    <w:rsid w:val="000E4D0E"/>
    <w:rsid w:val="00116230"/>
    <w:rsid w:val="00132061"/>
    <w:rsid w:val="00144B69"/>
    <w:rsid w:val="00153E86"/>
    <w:rsid w:val="00186C47"/>
    <w:rsid w:val="001B1BD1"/>
    <w:rsid w:val="001C3EF2"/>
    <w:rsid w:val="001C7221"/>
    <w:rsid w:val="001D17F6"/>
    <w:rsid w:val="001D250F"/>
    <w:rsid w:val="00201D18"/>
    <w:rsid w:val="00204B42"/>
    <w:rsid w:val="002231C3"/>
    <w:rsid w:val="0024417F"/>
    <w:rsid w:val="00250F8D"/>
    <w:rsid w:val="00256232"/>
    <w:rsid w:val="002939D6"/>
    <w:rsid w:val="002E1C97"/>
    <w:rsid w:val="002F5834"/>
    <w:rsid w:val="00326EBF"/>
    <w:rsid w:val="00327FE4"/>
    <w:rsid w:val="003C0C9C"/>
    <w:rsid w:val="00427F63"/>
    <w:rsid w:val="00494256"/>
    <w:rsid w:val="004B4627"/>
    <w:rsid w:val="004C4A0A"/>
    <w:rsid w:val="004E0B91"/>
    <w:rsid w:val="00527952"/>
    <w:rsid w:val="005A06B1"/>
    <w:rsid w:val="005E403A"/>
    <w:rsid w:val="00614309"/>
    <w:rsid w:val="00651BD4"/>
    <w:rsid w:val="00680656"/>
    <w:rsid w:val="00681711"/>
    <w:rsid w:val="006B1119"/>
    <w:rsid w:val="006E3E46"/>
    <w:rsid w:val="006E71B1"/>
    <w:rsid w:val="00705D89"/>
    <w:rsid w:val="00731A42"/>
    <w:rsid w:val="00767E69"/>
    <w:rsid w:val="0077079A"/>
    <w:rsid w:val="007A5599"/>
    <w:rsid w:val="007B64EE"/>
    <w:rsid w:val="007E5DAD"/>
    <w:rsid w:val="00811540"/>
    <w:rsid w:val="008472B0"/>
    <w:rsid w:val="00856233"/>
    <w:rsid w:val="00860F27"/>
    <w:rsid w:val="008675CF"/>
    <w:rsid w:val="00875E55"/>
    <w:rsid w:val="008B0560"/>
    <w:rsid w:val="008B2BFA"/>
    <w:rsid w:val="008B4347"/>
    <w:rsid w:val="0093206A"/>
    <w:rsid w:val="00936F03"/>
    <w:rsid w:val="00943B69"/>
    <w:rsid w:val="00944CB3"/>
    <w:rsid w:val="009B09D7"/>
    <w:rsid w:val="009C4385"/>
    <w:rsid w:val="009D210C"/>
    <w:rsid w:val="009D35ED"/>
    <w:rsid w:val="00A03CB6"/>
    <w:rsid w:val="00A1364C"/>
    <w:rsid w:val="00A21076"/>
    <w:rsid w:val="00A3739A"/>
    <w:rsid w:val="00A52DAF"/>
    <w:rsid w:val="00A55E2C"/>
    <w:rsid w:val="00A63A71"/>
    <w:rsid w:val="00A84072"/>
    <w:rsid w:val="00A87B40"/>
    <w:rsid w:val="00B16570"/>
    <w:rsid w:val="00B35D45"/>
    <w:rsid w:val="00B423E7"/>
    <w:rsid w:val="00B53320"/>
    <w:rsid w:val="00B848BB"/>
    <w:rsid w:val="00B9215E"/>
    <w:rsid w:val="00BC4B0A"/>
    <w:rsid w:val="00BC6522"/>
    <w:rsid w:val="00BC770C"/>
    <w:rsid w:val="00C01AB8"/>
    <w:rsid w:val="00C0631D"/>
    <w:rsid w:val="00C121D5"/>
    <w:rsid w:val="00C17349"/>
    <w:rsid w:val="00C351AA"/>
    <w:rsid w:val="00C54AFA"/>
    <w:rsid w:val="00C7253F"/>
    <w:rsid w:val="00D26A05"/>
    <w:rsid w:val="00D421AE"/>
    <w:rsid w:val="00D84950"/>
    <w:rsid w:val="00D97B98"/>
    <w:rsid w:val="00DC671F"/>
    <w:rsid w:val="00DE4DA7"/>
    <w:rsid w:val="00E33B38"/>
    <w:rsid w:val="00E47FE5"/>
    <w:rsid w:val="00E574AF"/>
    <w:rsid w:val="00EA12E9"/>
    <w:rsid w:val="00F714DA"/>
    <w:rsid w:val="00FB24E5"/>
    <w:rsid w:val="00FB456B"/>
    <w:rsid w:val="00FE1614"/>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93206A"/>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FA Fu,C"/>
    <w:basedOn w:val="Normal"/>
    <w:link w:val="FootnoteText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basedOn w:val="DefaultParagraphFont"/>
    <w:link w:val="FootnoteText"/>
    <w:rsid w:val="00B423E7"/>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3">
    <w:name w:val="目录页次"/>
    <w:basedOn w:val="Normal"/>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4">
    <w:name w:val="缩进正文"/>
    <w:basedOn w:val="Normal"/>
    <w:qFormat/>
    <w:rsid w:val="00427F63"/>
    <w:pPr>
      <w:tabs>
        <w:tab w:val="left" w:pos="1134"/>
        <w:tab w:val="left" w:pos="1565"/>
        <w:tab w:val="left" w:pos="1996"/>
        <w:tab w:val="left" w:pos="2427"/>
      </w:tabs>
      <w:ind w:left="1565" w:right="1134"/>
    </w:pPr>
    <w:rPr>
      <w:szCs w:val="21"/>
    </w:rPr>
  </w:style>
  <w:style w:type="paragraph" w:styleId="EndnoteText">
    <w:name w:val="endnote text"/>
    <w:basedOn w:val="FootnoteText"/>
    <w:link w:val="EndnoteTextChar"/>
    <w:qFormat/>
    <w:rsid w:val="00B423E7"/>
  </w:style>
  <w:style w:type="character" w:customStyle="1" w:styleId="EndnoteTextChar">
    <w:name w:val="Endnote Text Char"/>
    <w:basedOn w:val="DefaultParagraphFont"/>
    <w:link w:val="EndnoteText"/>
    <w:rsid w:val="00B423E7"/>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7E5DAD"/>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7E5DAD"/>
    <w:rPr>
      <w:rFonts w:eastAsia="Times New Roman"/>
      <w:snapToGrid w:val="0"/>
      <w:sz w:val="16"/>
      <w:szCs w:val="16"/>
      <w:lang w:val="en-GB" w:eastAsia="en-US"/>
    </w:rPr>
  </w:style>
  <w:style w:type="character" w:styleId="PageNumber">
    <w:name w:val="page number"/>
    <w:basedOn w:val="DefaultParagraphFont"/>
    <w:qFormat/>
    <w:rsid w:val="007E5DAD"/>
    <w:rPr>
      <w:rFonts w:ascii="Times New Roman" w:hAnsi="Times New Roman"/>
      <w:b/>
      <w:i w:val="0"/>
      <w:snapToGrid w:val="0"/>
      <w:spacing w:val="0"/>
      <w:kern w:val="0"/>
      <w:sz w:val="18"/>
      <w14:cntxtAlts w14:val="0"/>
    </w:rPr>
  </w:style>
  <w:style w:type="paragraph" w:styleId="Header">
    <w:name w:val="header"/>
    <w:basedOn w:val="Normal"/>
    <w:link w:val="HeaderChar"/>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7E5DAD"/>
    <w:rPr>
      <w:rFonts w:eastAsia="Times New Roman"/>
      <w:b/>
      <w:snapToGrid w:val="0"/>
      <w:sz w:val="18"/>
      <w:szCs w:val="18"/>
      <w:lang w:val="en-GB" w:eastAsia="en-US"/>
    </w:rPr>
  </w:style>
  <w:style w:type="paragraph" w:styleId="BalloonText">
    <w:name w:val="Balloon Text"/>
    <w:basedOn w:val="Normal"/>
    <w:link w:val="BalloonTextChar"/>
    <w:uiPriority w:val="99"/>
    <w:semiHidden/>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semiHidden/>
    <w:rsid w:val="0093206A"/>
    <w:rPr>
      <w:snapToGrid w:val="0"/>
      <w:sz w:val="18"/>
      <w:szCs w:val="18"/>
    </w:rPr>
  </w:style>
  <w:style w:type="character" w:styleId="Hyperlink">
    <w:name w:val="Hyperlink"/>
    <w:basedOn w:val="DefaultParagraphFont"/>
    <w:uiPriority w:val="99"/>
    <w:semiHidden/>
    <w:rsid w:val="0093206A"/>
    <w:rPr>
      <w:color w:val="0000FF" w:themeColor="hyperlink"/>
      <w:u w:val="none"/>
    </w:rPr>
  </w:style>
  <w:style w:type="character" w:styleId="FollowedHyperlink">
    <w:name w:val="FollowedHyperlink"/>
    <w:basedOn w:val="DefaultParagraphFont"/>
    <w:uiPriority w:val="99"/>
    <w:semiHidden/>
    <w:rsid w:val="0093206A"/>
    <w:rPr>
      <w:color w:val="0000FF"/>
      <w:u w:val="none"/>
    </w:rPr>
  </w:style>
  <w:style w:type="character" w:customStyle="1" w:styleId="HChGChar">
    <w:name w:val="_ H _Ch_G Char"/>
    <w:link w:val="HChG"/>
    <w:locked/>
    <w:rsid w:val="00A63A71"/>
    <w:rPr>
      <w:rFonts w:ascii="SimSun" w:eastAsiaTheme="minorEastAsia" w:hAnsi="SimSun"/>
      <w:b/>
      <w:sz w:val="28"/>
    </w:rPr>
  </w:style>
  <w:style w:type="paragraph" w:customStyle="1" w:styleId="HChG">
    <w:name w:val="_ H _Ch_G"/>
    <w:basedOn w:val="Normal"/>
    <w:next w:val="Normal"/>
    <w:link w:val="HChGChar"/>
    <w:rsid w:val="00A63A71"/>
    <w:pPr>
      <w:keepNext/>
      <w:keepLines/>
      <w:tabs>
        <w:tab w:val="clear" w:pos="431"/>
        <w:tab w:val="right" w:pos="851"/>
      </w:tabs>
      <w:suppressAutoHyphens/>
      <w:overflowPunct/>
      <w:adjustRightInd/>
      <w:snapToGrid/>
      <w:spacing w:before="360" w:after="240" w:line="300" w:lineRule="exact"/>
      <w:ind w:left="1134" w:right="1134" w:hanging="1134"/>
      <w:jc w:val="left"/>
    </w:pPr>
    <w:rPr>
      <w:rFonts w:ascii="SimSun" w:eastAsiaTheme="minorEastAsia" w:hAnsi="SimSun"/>
      <w:b/>
      <w:snapToGrid/>
      <w:sz w:val="28"/>
    </w:rPr>
  </w:style>
  <w:style w:type="character" w:customStyle="1" w:styleId="ParaNoGChar">
    <w:name w:val="_ParaNo._G Char"/>
    <w:link w:val="ParaNoG"/>
    <w:locked/>
    <w:rsid w:val="00A63A71"/>
    <w:rPr>
      <w:rFonts w:ascii="SimSun" w:eastAsiaTheme="minorEastAsia" w:hAnsi="SimSun"/>
    </w:rPr>
  </w:style>
  <w:style w:type="paragraph" w:customStyle="1" w:styleId="ParaNoG">
    <w:name w:val="_ParaNo._G"/>
    <w:basedOn w:val="Normal"/>
    <w:link w:val="ParaNoGChar"/>
    <w:rsid w:val="00A63A71"/>
    <w:pPr>
      <w:numPr>
        <w:numId w:val="5"/>
      </w:numPr>
      <w:tabs>
        <w:tab w:val="clear" w:pos="431"/>
      </w:tabs>
      <w:suppressAutoHyphens/>
      <w:overflowPunct/>
      <w:adjustRightInd/>
      <w:snapToGrid/>
      <w:spacing w:after="120" w:line="240" w:lineRule="atLeast"/>
      <w:ind w:right="1134"/>
    </w:pPr>
    <w:rPr>
      <w:rFonts w:ascii="SimSun" w:eastAsiaTheme="minorEastAsia" w:hAnsi="SimSun"/>
      <w:snapToGrid/>
      <w:sz w:val="20"/>
    </w:rPr>
  </w:style>
  <w:style w:type="paragraph" w:customStyle="1" w:styleId="H1G">
    <w:name w:val="_ H_1_G"/>
    <w:basedOn w:val="Normal"/>
    <w:next w:val="Normal"/>
    <w:rsid w:val="00A63A71"/>
    <w:pPr>
      <w:keepNext/>
      <w:keepLines/>
      <w:tabs>
        <w:tab w:val="clear" w:pos="431"/>
        <w:tab w:val="right" w:pos="851"/>
      </w:tabs>
      <w:suppressAutoHyphens/>
      <w:overflowPunct/>
      <w:adjustRightInd/>
      <w:snapToGrid/>
      <w:spacing w:before="360" w:after="240" w:line="270" w:lineRule="exact"/>
      <w:ind w:left="1134" w:right="1134" w:hanging="1134"/>
      <w:jc w:val="left"/>
    </w:pPr>
    <w:rPr>
      <w:rFonts w:ascii="SimSun" w:eastAsiaTheme="minorEastAsia" w:hAnsi="SimSun" w:cs="SimSun"/>
      <w:b/>
      <w:snapToGrid/>
      <w:sz w:val="24"/>
      <w:lang w:val="zh-CN" w:bidi="zh-CN"/>
    </w:rPr>
  </w:style>
  <w:style w:type="paragraph" w:customStyle="1" w:styleId="H23G">
    <w:name w:val="_ H_2/3_G"/>
    <w:basedOn w:val="Normal"/>
    <w:next w:val="Normal"/>
    <w:rsid w:val="00A63A71"/>
    <w:pPr>
      <w:keepNext/>
      <w:keepLines/>
      <w:tabs>
        <w:tab w:val="clear" w:pos="431"/>
        <w:tab w:val="right" w:pos="851"/>
      </w:tabs>
      <w:suppressAutoHyphens/>
      <w:overflowPunct/>
      <w:adjustRightInd/>
      <w:snapToGrid/>
      <w:spacing w:before="240" w:after="120" w:line="240" w:lineRule="exact"/>
      <w:ind w:left="1134" w:right="1134" w:hanging="1134"/>
      <w:jc w:val="left"/>
    </w:pPr>
    <w:rPr>
      <w:rFonts w:ascii="SimSun" w:eastAsiaTheme="minorEastAsia" w:hAnsi="SimSun" w:cs="SimSun"/>
      <w:b/>
      <w:snapToGrid/>
      <w:sz w:val="20"/>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93206A"/>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FA Fu,C"/>
    <w:basedOn w:val="Normal"/>
    <w:link w:val="FootnoteText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basedOn w:val="DefaultParagraphFont"/>
    <w:link w:val="FootnoteText"/>
    <w:rsid w:val="00B423E7"/>
    <w:rPr>
      <w:snapToGrid w:val="0"/>
      <w:sz w:val="18"/>
      <w:szCs w:val="18"/>
    </w:rPr>
  </w:style>
  <w:style w:type="character" w:styleId="FootnoteReference">
    <w:name w:val="footnote reference"/>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3">
    <w:name w:val="目录页次"/>
    <w:basedOn w:val="Normal"/>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4">
    <w:name w:val="缩进正文"/>
    <w:basedOn w:val="Normal"/>
    <w:qFormat/>
    <w:rsid w:val="00427F63"/>
    <w:pPr>
      <w:tabs>
        <w:tab w:val="left" w:pos="1134"/>
        <w:tab w:val="left" w:pos="1565"/>
        <w:tab w:val="left" w:pos="1996"/>
        <w:tab w:val="left" w:pos="2427"/>
      </w:tabs>
      <w:ind w:left="1565" w:right="1134"/>
    </w:pPr>
    <w:rPr>
      <w:szCs w:val="21"/>
    </w:rPr>
  </w:style>
  <w:style w:type="paragraph" w:styleId="EndnoteText">
    <w:name w:val="endnote text"/>
    <w:basedOn w:val="FootnoteText"/>
    <w:link w:val="EndnoteTextChar"/>
    <w:qFormat/>
    <w:rsid w:val="00B423E7"/>
  </w:style>
  <w:style w:type="character" w:customStyle="1" w:styleId="EndnoteTextChar">
    <w:name w:val="Endnote Text Char"/>
    <w:basedOn w:val="DefaultParagraphFont"/>
    <w:link w:val="EndnoteText"/>
    <w:rsid w:val="00B423E7"/>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7E5DAD"/>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7E5DAD"/>
    <w:rPr>
      <w:rFonts w:eastAsia="Times New Roman"/>
      <w:snapToGrid w:val="0"/>
      <w:sz w:val="16"/>
      <w:szCs w:val="16"/>
      <w:lang w:val="en-GB" w:eastAsia="en-US"/>
    </w:rPr>
  </w:style>
  <w:style w:type="character" w:styleId="PageNumber">
    <w:name w:val="page number"/>
    <w:basedOn w:val="DefaultParagraphFont"/>
    <w:qFormat/>
    <w:rsid w:val="007E5DAD"/>
    <w:rPr>
      <w:rFonts w:ascii="Times New Roman" w:hAnsi="Times New Roman"/>
      <w:b/>
      <w:i w:val="0"/>
      <w:snapToGrid w:val="0"/>
      <w:spacing w:val="0"/>
      <w:kern w:val="0"/>
      <w:sz w:val="18"/>
      <w14:cntxtAlts w14:val="0"/>
    </w:rPr>
  </w:style>
  <w:style w:type="paragraph" w:styleId="Header">
    <w:name w:val="header"/>
    <w:basedOn w:val="Normal"/>
    <w:link w:val="HeaderChar"/>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7E5DAD"/>
    <w:rPr>
      <w:rFonts w:eastAsia="Times New Roman"/>
      <w:b/>
      <w:snapToGrid w:val="0"/>
      <w:sz w:val="18"/>
      <w:szCs w:val="18"/>
      <w:lang w:val="en-GB" w:eastAsia="en-US"/>
    </w:rPr>
  </w:style>
  <w:style w:type="paragraph" w:styleId="BalloonText">
    <w:name w:val="Balloon Text"/>
    <w:basedOn w:val="Normal"/>
    <w:link w:val="BalloonTextChar"/>
    <w:uiPriority w:val="99"/>
    <w:semiHidden/>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semiHidden/>
    <w:rsid w:val="0093206A"/>
    <w:rPr>
      <w:snapToGrid w:val="0"/>
      <w:sz w:val="18"/>
      <w:szCs w:val="18"/>
    </w:rPr>
  </w:style>
  <w:style w:type="character" w:styleId="Hyperlink">
    <w:name w:val="Hyperlink"/>
    <w:basedOn w:val="DefaultParagraphFont"/>
    <w:uiPriority w:val="99"/>
    <w:semiHidden/>
    <w:rsid w:val="0093206A"/>
    <w:rPr>
      <w:color w:val="0000FF" w:themeColor="hyperlink"/>
      <w:u w:val="none"/>
    </w:rPr>
  </w:style>
  <w:style w:type="character" w:styleId="FollowedHyperlink">
    <w:name w:val="FollowedHyperlink"/>
    <w:basedOn w:val="DefaultParagraphFont"/>
    <w:uiPriority w:val="99"/>
    <w:semiHidden/>
    <w:rsid w:val="0093206A"/>
    <w:rPr>
      <w:color w:val="0000FF"/>
      <w:u w:val="none"/>
    </w:rPr>
  </w:style>
  <w:style w:type="character" w:customStyle="1" w:styleId="HChGChar">
    <w:name w:val="_ H _Ch_G Char"/>
    <w:link w:val="HChG"/>
    <w:locked/>
    <w:rsid w:val="00A63A71"/>
    <w:rPr>
      <w:rFonts w:ascii="SimSun" w:eastAsiaTheme="minorEastAsia" w:hAnsi="SimSun"/>
      <w:b/>
      <w:sz w:val="28"/>
    </w:rPr>
  </w:style>
  <w:style w:type="paragraph" w:customStyle="1" w:styleId="HChG">
    <w:name w:val="_ H _Ch_G"/>
    <w:basedOn w:val="Normal"/>
    <w:next w:val="Normal"/>
    <w:link w:val="HChGChar"/>
    <w:rsid w:val="00A63A71"/>
    <w:pPr>
      <w:keepNext/>
      <w:keepLines/>
      <w:tabs>
        <w:tab w:val="clear" w:pos="431"/>
        <w:tab w:val="right" w:pos="851"/>
      </w:tabs>
      <w:suppressAutoHyphens/>
      <w:overflowPunct/>
      <w:adjustRightInd/>
      <w:snapToGrid/>
      <w:spacing w:before="360" w:after="240" w:line="300" w:lineRule="exact"/>
      <w:ind w:left="1134" w:right="1134" w:hanging="1134"/>
      <w:jc w:val="left"/>
    </w:pPr>
    <w:rPr>
      <w:rFonts w:ascii="SimSun" w:eastAsiaTheme="minorEastAsia" w:hAnsi="SimSun"/>
      <w:b/>
      <w:snapToGrid/>
      <w:sz w:val="28"/>
    </w:rPr>
  </w:style>
  <w:style w:type="character" w:customStyle="1" w:styleId="ParaNoGChar">
    <w:name w:val="_ParaNo._G Char"/>
    <w:link w:val="ParaNoG"/>
    <w:locked/>
    <w:rsid w:val="00A63A71"/>
    <w:rPr>
      <w:rFonts w:ascii="SimSun" w:eastAsiaTheme="minorEastAsia" w:hAnsi="SimSun"/>
    </w:rPr>
  </w:style>
  <w:style w:type="paragraph" w:customStyle="1" w:styleId="ParaNoG">
    <w:name w:val="_ParaNo._G"/>
    <w:basedOn w:val="Normal"/>
    <w:link w:val="ParaNoGChar"/>
    <w:rsid w:val="00A63A71"/>
    <w:pPr>
      <w:numPr>
        <w:numId w:val="5"/>
      </w:numPr>
      <w:tabs>
        <w:tab w:val="clear" w:pos="431"/>
      </w:tabs>
      <w:suppressAutoHyphens/>
      <w:overflowPunct/>
      <w:adjustRightInd/>
      <w:snapToGrid/>
      <w:spacing w:after="120" w:line="240" w:lineRule="atLeast"/>
      <w:ind w:right="1134"/>
    </w:pPr>
    <w:rPr>
      <w:rFonts w:ascii="SimSun" w:eastAsiaTheme="minorEastAsia" w:hAnsi="SimSun"/>
      <w:snapToGrid/>
      <w:sz w:val="20"/>
    </w:rPr>
  </w:style>
  <w:style w:type="paragraph" w:customStyle="1" w:styleId="H1G">
    <w:name w:val="_ H_1_G"/>
    <w:basedOn w:val="Normal"/>
    <w:next w:val="Normal"/>
    <w:rsid w:val="00A63A71"/>
    <w:pPr>
      <w:keepNext/>
      <w:keepLines/>
      <w:tabs>
        <w:tab w:val="clear" w:pos="431"/>
        <w:tab w:val="right" w:pos="851"/>
      </w:tabs>
      <w:suppressAutoHyphens/>
      <w:overflowPunct/>
      <w:adjustRightInd/>
      <w:snapToGrid/>
      <w:spacing w:before="360" w:after="240" w:line="270" w:lineRule="exact"/>
      <w:ind w:left="1134" w:right="1134" w:hanging="1134"/>
      <w:jc w:val="left"/>
    </w:pPr>
    <w:rPr>
      <w:rFonts w:ascii="SimSun" w:eastAsiaTheme="minorEastAsia" w:hAnsi="SimSun" w:cs="SimSun"/>
      <w:b/>
      <w:snapToGrid/>
      <w:sz w:val="24"/>
      <w:lang w:val="zh-CN" w:bidi="zh-CN"/>
    </w:rPr>
  </w:style>
  <w:style w:type="paragraph" w:customStyle="1" w:styleId="H23G">
    <w:name w:val="_ H_2/3_G"/>
    <w:basedOn w:val="Normal"/>
    <w:next w:val="Normal"/>
    <w:rsid w:val="00A63A71"/>
    <w:pPr>
      <w:keepNext/>
      <w:keepLines/>
      <w:tabs>
        <w:tab w:val="clear" w:pos="431"/>
        <w:tab w:val="right" w:pos="851"/>
      </w:tabs>
      <w:suppressAutoHyphens/>
      <w:overflowPunct/>
      <w:adjustRightInd/>
      <w:snapToGrid/>
      <w:spacing w:before="240" w:after="120" w:line="240" w:lineRule="exact"/>
      <w:ind w:left="1134" w:right="1134" w:hanging="1134"/>
      <w:jc w:val="left"/>
    </w:pPr>
    <w:rPr>
      <w:rFonts w:ascii="SimSun" w:eastAsiaTheme="minorEastAsia" w:hAnsi="SimSun" w:cs="SimSun"/>
      <w:b/>
      <w:snapToGrid/>
      <w:sz w:val="20"/>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665498">
      <w:bodyDiv w:val="1"/>
      <w:marLeft w:val="0"/>
      <w:marRight w:val="0"/>
      <w:marTop w:val="0"/>
      <w:marBottom w:val="0"/>
      <w:divBdr>
        <w:top w:val="none" w:sz="0" w:space="0" w:color="auto"/>
        <w:left w:val="none" w:sz="0" w:space="0" w:color="auto"/>
        <w:bottom w:val="none" w:sz="0" w:space="0" w:color="auto"/>
        <w:right w:val="none" w:sz="0" w:space="0" w:color="auto"/>
      </w:divBdr>
    </w:div>
    <w:div w:id="737703835">
      <w:bodyDiv w:val="1"/>
      <w:marLeft w:val="0"/>
      <w:marRight w:val="0"/>
      <w:marTop w:val="0"/>
      <w:marBottom w:val="0"/>
      <w:divBdr>
        <w:top w:val="none" w:sz="0" w:space="0" w:color="auto"/>
        <w:left w:val="none" w:sz="0" w:space="0" w:color="auto"/>
        <w:bottom w:val="none" w:sz="0" w:space="0" w:color="auto"/>
        <w:right w:val="none" w:sz="0" w:space="0" w:color="auto"/>
      </w:divBdr>
    </w:div>
    <w:div w:id="818888106">
      <w:bodyDiv w:val="1"/>
      <w:marLeft w:val="0"/>
      <w:marRight w:val="0"/>
      <w:marTop w:val="0"/>
      <w:marBottom w:val="0"/>
      <w:divBdr>
        <w:top w:val="none" w:sz="0" w:space="0" w:color="auto"/>
        <w:left w:val="none" w:sz="0" w:space="0" w:color="auto"/>
        <w:bottom w:val="none" w:sz="0" w:space="0" w:color="auto"/>
        <w:right w:val="none" w:sz="0" w:space="0" w:color="auto"/>
      </w:divBdr>
    </w:div>
    <w:div w:id="1605066433">
      <w:bodyDiv w:val="1"/>
      <w:marLeft w:val="0"/>
      <w:marRight w:val="0"/>
      <w:marTop w:val="0"/>
      <w:marBottom w:val="0"/>
      <w:divBdr>
        <w:top w:val="none" w:sz="0" w:space="0" w:color="auto"/>
        <w:left w:val="none" w:sz="0" w:space="0" w:color="auto"/>
        <w:bottom w:val="none" w:sz="0" w:space="0" w:color="auto"/>
        <w:right w:val="none" w:sz="0" w:space="0" w:color="auto"/>
      </w:divBdr>
    </w:div>
    <w:div w:id="17590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7DCAE4-0E11-4B44-9D30-AB22A5AC21BD}"/>
</file>

<file path=customXml/itemProps2.xml><?xml version="1.0" encoding="utf-8"?>
<ds:datastoreItem xmlns:ds="http://schemas.openxmlformats.org/officeDocument/2006/customXml" ds:itemID="{C5DB63AD-AD7C-4C75-BB97-3E9902CECAD9}"/>
</file>

<file path=customXml/itemProps3.xml><?xml version="1.0" encoding="utf-8"?>
<ds:datastoreItem xmlns:ds="http://schemas.openxmlformats.org/officeDocument/2006/customXml" ds:itemID="{B4B7DDAD-17D5-4C79-917A-FF0C56C3EA1D}"/>
</file>

<file path=customXml/itemProps4.xml><?xml version="1.0" encoding="utf-8"?>
<ds:datastoreItem xmlns:ds="http://schemas.openxmlformats.org/officeDocument/2006/customXml" ds:itemID="{BB85A7B6-485E-4121-81B6-170B63F79555}"/>
</file>

<file path=docProps/app.xml><?xml version="1.0" encoding="utf-8"?>
<Properties xmlns="http://schemas.openxmlformats.org/officeDocument/2006/extended-properties" xmlns:vt="http://schemas.openxmlformats.org/officeDocument/2006/docPropsVTypes">
  <Template>A.dotm</Template>
  <TotalTime>0</TotalTime>
  <Pages>57</Pages>
  <Words>17687</Words>
  <Characters>100817</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1507603</vt:lpstr>
    </vt:vector>
  </TitlesOfParts>
  <Company>DCM</Company>
  <LinksUpToDate>false</LinksUpToDate>
  <CharactersWithSpaces>118268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A/HRC/WGEID/105/1 in Chinese</dc:title>
  <dc:subject>A/HRC/WGEID/105/1</dc:subject>
  <dc:creator>si</dc:creator>
  <cp:lastModifiedBy>veronique lanz</cp:lastModifiedBy>
  <cp:revision>2</cp:revision>
  <cp:lastPrinted>2015-06-17T13:51:00Z</cp:lastPrinted>
  <dcterms:created xsi:type="dcterms:W3CDTF">2015-07-14T12:47:00Z</dcterms:created>
  <dcterms:modified xsi:type="dcterms:W3CDTF">2015-07-14T12:47:00Z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2953600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