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4359" w14:textId="77777777" w:rsidR="002F4772" w:rsidRPr="00187C3E" w:rsidRDefault="002F4772" w:rsidP="00591B77">
      <w:pPr>
        <w:ind w:left="-360" w:right="-334"/>
        <w:jc w:val="center"/>
        <w:rPr>
          <w:rFonts w:asciiTheme="majorBidi" w:hAnsiTheme="majorBidi" w:cstheme="majorBidi"/>
          <w:b/>
          <w:bCs/>
          <w:color w:val="2E74B5" w:themeColor="accent1" w:themeShade="BF"/>
          <w:sz w:val="28"/>
          <w:szCs w:val="28"/>
          <w:lang w:val="en-US"/>
        </w:rPr>
      </w:pPr>
      <w:bookmarkStart w:id="0" w:name="_GoBack"/>
      <w:bookmarkEnd w:id="0"/>
      <w:r w:rsidRPr="00187C3E">
        <w:rPr>
          <w:rFonts w:asciiTheme="majorBidi" w:hAnsiTheme="majorBidi" w:cstheme="majorBidi"/>
          <w:b/>
          <w:bCs/>
          <w:color w:val="2E74B5" w:themeColor="accent1" w:themeShade="BF"/>
          <w:sz w:val="28"/>
          <w:szCs w:val="28"/>
          <w:lang w:val="en-US"/>
        </w:rPr>
        <w:t>ROMENA input to HC report under HRC resolution 44/2</w:t>
      </w:r>
    </w:p>
    <w:p w14:paraId="7CF06453" w14:textId="77777777" w:rsidR="00297E08" w:rsidRPr="00340E6F" w:rsidRDefault="00297E08" w:rsidP="00591B77">
      <w:pPr>
        <w:ind w:left="-360" w:right="-334"/>
        <w:jc w:val="both"/>
        <w:rPr>
          <w:rFonts w:asciiTheme="majorBidi" w:hAnsiTheme="majorBidi" w:cstheme="majorBidi"/>
          <w:color w:val="1F497D"/>
          <w:u w:val="single"/>
          <w:lang w:val="en-US"/>
        </w:rPr>
      </w:pPr>
    </w:p>
    <w:p w14:paraId="2D45D0CB" w14:textId="77777777" w:rsidR="002F4772" w:rsidRPr="00187C3E" w:rsidRDefault="002F4772" w:rsidP="00591B77">
      <w:pPr>
        <w:ind w:left="-360" w:right="-334"/>
        <w:jc w:val="both"/>
        <w:rPr>
          <w:rFonts w:asciiTheme="majorBidi" w:hAnsiTheme="majorBidi" w:cstheme="majorBidi"/>
          <w:b/>
          <w:bCs/>
          <w:color w:val="1F497D"/>
          <w:u w:val="single"/>
          <w:lang w:val="en-US"/>
        </w:rPr>
      </w:pPr>
      <w:r w:rsidRPr="00187C3E">
        <w:rPr>
          <w:rFonts w:asciiTheme="majorBidi" w:hAnsiTheme="majorBidi" w:cstheme="majorBidi"/>
          <w:b/>
          <w:bCs/>
          <w:color w:val="1F497D"/>
          <w:u w:val="single"/>
          <w:lang w:val="en-US"/>
        </w:rPr>
        <w:t>(a) human rights challenges experienced by countries in responding to the COVID-19 pandemic, including in relation to the measures taken as part of the health response;</w:t>
      </w:r>
    </w:p>
    <w:p w14:paraId="6A67D356" w14:textId="77777777" w:rsidR="00E3378F" w:rsidRPr="008C2B50" w:rsidRDefault="00E3378F" w:rsidP="00591B77">
      <w:pPr>
        <w:ind w:left="-360" w:right="-334"/>
        <w:jc w:val="both"/>
        <w:rPr>
          <w:rFonts w:asciiTheme="majorBidi" w:hAnsiTheme="majorBidi" w:cstheme="majorBidi"/>
          <w:color w:val="1F497D"/>
          <w:sz w:val="8"/>
          <w:szCs w:val="8"/>
          <w:lang w:val="en-US"/>
        </w:rPr>
      </w:pPr>
    </w:p>
    <w:p w14:paraId="2C23710C" w14:textId="77777777" w:rsidR="00CA4424" w:rsidRPr="00340E6F" w:rsidRDefault="00E91DB0" w:rsidP="00BC00C3">
      <w:pPr>
        <w:pStyle w:val="NoSpacing"/>
        <w:numPr>
          <w:ilvl w:val="0"/>
          <w:numId w:val="2"/>
        </w:numPr>
        <w:spacing w:line="276" w:lineRule="auto"/>
        <w:ind w:left="-360" w:right="-334" w:firstLine="0"/>
        <w:jc w:val="both"/>
        <w:rPr>
          <w:rFonts w:asciiTheme="majorBidi" w:hAnsiTheme="majorBidi" w:cstheme="majorBidi"/>
          <w:iCs/>
        </w:rPr>
      </w:pPr>
      <w:r w:rsidRPr="00340E6F">
        <w:rPr>
          <w:rFonts w:asciiTheme="majorBidi" w:hAnsiTheme="majorBidi" w:cstheme="majorBidi"/>
          <w:b/>
          <w:bCs/>
        </w:rPr>
        <w:t>Right to work</w:t>
      </w:r>
      <w:r w:rsidR="00CA4424" w:rsidRPr="00340E6F">
        <w:rPr>
          <w:rFonts w:asciiTheme="majorBidi" w:hAnsiTheme="majorBidi" w:cstheme="majorBidi"/>
          <w:b/>
          <w:bCs/>
        </w:rPr>
        <w:t>:</w:t>
      </w:r>
      <w:r w:rsidR="00CA4424" w:rsidRPr="00340E6F">
        <w:rPr>
          <w:rFonts w:asciiTheme="majorBidi" w:hAnsiTheme="majorBidi" w:cstheme="majorBidi"/>
        </w:rPr>
        <w:t xml:space="preserve"> </w:t>
      </w:r>
      <w:r w:rsidR="000D58BB" w:rsidRPr="00340E6F">
        <w:rPr>
          <w:rFonts w:asciiTheme="majorBidi" w:hAnsiTheme="majorBidi" w:cstheme="majorBidi"/>
        </w:rPr>
        <w:t xml:space="preserve">With the introduction of </w:t>
      </w:r>
      <w:r w:rsidR="00A5244C" w:rsidRPr="00340E6F">
        <w:rPr>
          <w:rFonts w:asciiTheme="majorBidi" w:hAnsiTheme="majorBidi" w:cstheme="majorBidi"/>
        </w:rPr>
        <w:t>strict</w:t>
      </w:r>
      <w:r w:rsidR="00ED545B" w:rsidRPr="00340E6F">
        <w:rPr>
          <w:rFonts w:asciiTheme="majorBidi" w:hAnsiTheme="majorBidi" w:cstheme="majorBidi"/>
        </w:rPr>
        <w:t xml:space="preserve"> </w:t>
      </w:r>
      <w:r w:rsidR="000D58BB" w:rsidRPr="00340E6F">
        <w:rPr>
          <w:rFonts w:asciiTheme="majorBidi" w:hAnsiTheme="majorBidi" w:cstheme="majorBidi"/>
        </w:rPr>
        <w:t xml:space="preserve">lockdown measures to fight COVID-19, </w:t>
      </w:r>
      <w:r w:rsidR="00A5244C" w:rsidRPr="00340E6F">
        <w:rPr>
          <w:rFonts w:asciiTheme="majorBidi" w:hAnsiTheme="majorBidi" w:cstheme="majorBidi"/>
        </w:rPr>
        <w:t>u</w:t>
      </w:r>
      <w:r w:rsidR="000730D3" w:rsidRPr="00340E6F">
        <w:rPr>
          <w:rFonts w:asciiTheme="majorBidi" w:hAnsiTheme="majorBidi" w:cstheme="majorBidi"/>
        </w:rPr>
        <w:t>nemployment levels in the region rose drastically throughout 2020</w:t>
      </w:r>
      <w:r w:rsidR="00F22D3B" w:rsidRPr="00340E6F">
        <w:rPr>
          <w:rFonts w:asciiTheme="majorBidi" w:hAnsiTheme="majorBidi" w:cstheme="majorBidi"/>
        </w:rPr>
        <w:t>, affecting</w:t>
      </w:r>
      <w:r w:rsidR="00F3539D" w:rsidRPr="00340E6F">
        <w:rPr>
          <w:rFonts w:asciiTheme="majorBidi" w:hAnsiTheme="majorBidi" w:cstheme="majorBidi"/>
        </w:rPr>
        <w:t xml:space="preserve"> both</w:t>
      </w:r>
      <w:r w:rsidR="00341C10" w:rsidRPr="00340E6F">
        <w:rPr>
          <w:rFonts w:asciiTheme="majorBidi" w:hAnsiTheme="majorBidi" w:cstheme="majorBidi"/>
        </w:rPr>
        <w:t xml:space="preserve"> the national work</w:t>
      </w:r>
      <w:r w:rsidR="0055639C">
        <w:rPr>
          <w:rFonts w:asciiTheme="majorBidi" w:hAnsiTheme="majorBidi" w:cstheme="majorBidi"/>
        </w:rPr>
        <w:t xml:space="preserve"> force</w:t>
      </w:r>
      <w:r w:rsidR="00F3539D" w:rsidRPr="00340E6F">
        <w:rPr>
          <w:rFonts w:asciiTheme="majorBidi" w:hAnsiTheme="majorBidi" w:cstheme="majorBidi"/>
        </w:rPr>
        <w:t>,</w:t>
      </w:r>
      <w:r w:rsidR="00F22D3B" w:rsidRPr="00340E6F">
        <w:rPr>
          <w:rFonts w:asciiTheme="majorBidi" w:hAnsiTheme="majorBidi" w:cstheme="majorBidi"/>
        </w:rPr>
        <w:t xml:space="preserve"> as well as having significant impact on the region’s high rate of</w:t>
      </w:r>
      <w:r w:rsidR="00341C10" w:rsidRPr="00340E6F">
        <w:rPr>
          <w:rFonts w:asciiTheme="majorBidi" w:hAnsiTheme="majorBidi" w:cstheme="majorBidi"/>
        </w:rPr>
        <w:t xml:space="preserve"> migrant workers.</w:t>
      </w:r>
      <w:r w:rsidR="000730D3" w:rsidRPr="00340E6F">
        <w:rPr>
          <w:rFonts w:asciiTheme="majorBidi" w:hAnsiTheme="majorBidi" w:cstheme="majorBidi"/>
        </w:rPr>
        <w:t xml:space="preserve"> </w:t>
      </w:r>
      <w:r w:rsidR="005071BB" w:rsidRPr="00340E6F">
        <w:rPr>
          <w:rFonts w:asciiTheme="majorBidi" w:hAnsiTheme="majorBidi" w:cstheme="majorBidi"/>
        </w:rPr>
        <w:t>Early estimates indicated that some</w:t>
      </w:r>
      <w:r w:rsidR="00CA4424" w:rsidRPr="00340E6F">
        <w:rPr>
          <w:rFonts w:asciiTheme="majorBidi" w:hAnsiTheme="majorBidi" w:cstheme="majorBidi"/>
        </w:rPr>
        <w:t xml:space="preserve"> 1.7 million jobs </w:t>
      </w:r>
      <w:r w:rsidR="005071BB" w:rsidRPr="00340E6F">
        <w:rPr>
          <w:rFonts w:asciiTheme="majorBidi" w:hAnsiTheme="majorBidi" w:cstheme="majorBidi"/>
        </w:rPr>
        <w:t>would be</w:t>
      </w:r>
      <w:r w:rsidR="00CA4424" w:rsidRPr="00340E6F">
        <w:rPr>
          <w:rFonts w:asciiTheme="majorBidi" w:hAnsiTheme="majorBidi" w:cstheme="majorBidi"/>
        </w:rPr>
        <w:t xml:space="preserve"> lost in the region in 2020, in particular in the service sector.</w:t>
      </w:r>
      <w:r w:rsidR="005071BB" w:rsidRPr="00340E6F">
        <w:rPr>
          <w:rStyle w:val="EndnoteReference"/>
          <w:rFonts w:asciiTheme="majorBidi" w:hAnsiTheme="majorBidi" w:cstheme="majorBidi"/>
        </w:rPr>
        <w:endnoteReference w:id="1"/>
      </w:r>
      <w:r w:rsidR="00CA4424" w:rsidRPr="00340E6F">
        <w:rPr>
          <w:rFonts w:asciiTheme="majorBidi" w:hAnsiTheme="majorBidi" w:cstheme="majorBidi"/>
        </w:rPr>
        <w:t xml:space="preserve"> </w:t>
      </w:r>
      <w:r w:rsidR="00B82F98" w:rsidRPr="00340E6F">
        <w:rPr>
          <w:rFonts w:asciiTheme="majorBidi" w:hAnsiTheme="majorBidi" w:cstheme="majorBidi"/>
          <w:shd w:val="clear" w:color="auto" w:fill="FFFFFF"/>
        </w:rPr>
        <w:t xml:space="preserve">It was further estimated that </w:t>
      </w:r>
      <w:r w:rsidR="00CA4424" w:rsidRPr="00340E6F">
        <w:rPr>
          <w:rFonts w:asciiTheme="majorBidi" w:hAnsiTheme="majorBidi" w:cstheme="majorBidi"/>
          <w:shd w:val="clear" w:color="auto" w:fill="FFFFFF"/>
        </w:rPr>
        <w:t>across the Gulf Cooperation Council (GCC)</w:t>
      </w:r>
      <w:r w:rsidR="00B82F98" w:rsidRPr="00340E6F">
        <w:rPr>
          <w:rFonts w:asciiTheme="majorBidi" w:hAnsiTheme="majorBidi" w:cstheme="majorBidi"/>
          <w:shd w:val="clear" w:color="auto" w:fill="FFFFFF"/>
        </w:rPr>
        <w:t xml:space="preserve"> in particular</w:t>
      </w:r>
      <w:r w:rsidR="00B82F98" w:rsidRPr="00340E6F">
        <w:rPr>
          <w:rFonts w:asciiTheme="majorBidi" w:hAnsiTheme="majorBidi" w:cstheme="majorBidi"/>
          <w:iCs/>
        </w:rPr>
        <w:t>, employment</w:t>
      </w:r>
      <w:r w:rsidR="00CA4424" w:rsidRPr="00340E6F">
        <w:rPr>
          <w:rFonts w:asciiTheme="majorBidi" w:hAnsiTheme="majorBidi" w:cstheme="majorBidi"/>
          <w:iCs/>
        </w:rPr>
        <w:t xml:space="preserve"> </w:t>
      </w:r>
      <w:r w:rsidR="00BC00C3">
        <w:rPr>
          <w:rFonts w:asciiTheme="majorBidi" w:hAnsiTheme="majorBidi" w:cstheme="majorBidi"/>
          <w:shd w:val="clear" w:color="auto" w:fill="FFFFFF"/>
        </w:rPr>
        <w:t>might fall</w:t>
      </w:r>
      <w:r w:rsidR="00CA4424" w:rsidRPr="00340E6F">
        <w:rPr>
          <w:rFonts w:asciiTheme="majorBidi" w:hAnsiTheme="majorBidi" w:cstheme="majorBidi"/>
          <w:shd w:val="clear" w:color="auto" w:fill="FFFFFF"/>
        </w:rPr>
        <w:t xml:space="preserve"> by around 13%.</w:t>
      </w:r>
      <w:r w:rsidR="00CA4424" w:rsidRPr="00340E6F">
        <w:rPr>
          <w:rStyle w:val="EndnoteReference"/>
          <w:rFonts w:asciiTheme="majorBidi" w:hAnsiTheme="majorBidi" w:cstheme="majorBidi"/>
          <w:shd w:val="clear" w:color="auto" w:fill="FFFFFF"/>
        </w:rPr>
        <w:endnoteReference w:id="2"/>
      </w:r>
    </w:p>
    <w:p w14:paraId="66B494ED" w14:textId="77777777" w:rsidR="002809ED" w:rsidRPr="002809ED" w:rsidRDefault="00CA4424" w:rsidP="00F35289">
      <w:pPr>
        <w:pStyle w:val="NoSpacing"/>
        <w:numPr>
          <w:ilvl w:val="0"/>
          <w:numId w:val="2"/>
        </w:numPr>
        <w:spacing w:line="276" w:lineRule="auto"/>
        <w:ind w:left="-360" w:right="-334" w:firstLine="0"/>
        <w:jc w:val="both"/>
        <w:rPr>
          <w:rFonts w:asciiTheme="majorBidi" w:hAnsiTheme="majorBidi" w:cstheme="majorBidi"/>
          <w:shd w:val="clear" w:color="auto" w:fill="FFFFFF"/>
        </w:rPr>
      </w:pPr>
      <w:r w:rsidRPr="00340E6F">
        <w:rPr>
          <w:rFonts w:asciiTheme="majorBidi" w:hAnsiTheme="majorBidi" w:cstheme="majorBidi"/>
          <w:b/>
          <w:bCs/>
        </w:rPr>
        <w:t>Poverty:</w:t>
      </w:r>
      <w:r w:rsidRPr="00340E6F">
        <w:rPr>
          <w:rFonts w:asciiTheme="majorBidi" w:hAnsiTheme="majorBidi" w:cstheme="majorBidi"/>
        </w:rPr>
        <w:t xml:space="preserve"> With the rise in unemployment, poverty levels </w:t>
      </w:r>
      <w:r w:rsidR="0049618D" w:rsidRPr="00340E6F">
        <w:rPr>
          <w:rFonts w:asciiTheme="majorBidi" w:hAnsiTheme="majorBidi" w:cstheme="majorBidi"/>
        </w:rPr>
        <w:t>also rose significantly,</w:t>
      </w:r>
      <w:r w:rsidRPr="00340E6F">
        <w:rPr>
          <w:rFonts w:asciiTheme="majorBidi" w:hAnsiTheme="majorBidi" w:cstheme="majorBidi"/>
        </w:rPr>
        <w:t xml:space="preserve"> affecting </w:t>
      </w:r>
      <w:r w:rsidR="0049618D" w:rsidRPr="00340E6F">
        <w:rPr>
          <w:rFonts w:asciiTheme="majorBidi" w:hAnsiTheme="majorBidi" w:cstheme="majorBidi"/>
        </w:rPr>
        <w:t xml:space="preserve">an estimated 8+ </w:t>
      </w:r>
      <w:r w:rsidRPr="00340E6F">
        <w:rPr>
          <w:rFonts w:asciiTheme="majorBidi" w:hAnsiTheme="majorBidi" w:cstheme="majorBidi"/>
        </w:rPr>
        <w:t>million people, while</w:t>
      </w:r>
      <w:r w:rsidR="00B807EB" w:rsidRPr="00340E6F">
        <w:rPr>
          <w:rFonts w:asciiTheme="majorBidi" w:hAnsiTheme="majorBidi" w:cstheme="majorBidi"/>
        </w:rPr>
        <w:t xml:space="preserve"> some</w:t>
      </w:r>
      <w:r w:rsidRPr="00340E6F">
        <w:rPr>
          <w:rFonts w:asciiTheme="majorBidi" w:hAnsiTheme="majorBidi" w:cstheme="majorBidi"/>
        </w:rPr>
        <w:t xml:space="preserve"> 1.9 million people </w:t>
      </w:r>
      <w:r w:rsidR="00B807EB" w:rsidRPr="00340E6F">
        <w:rPr>
          <w:rFonts w:asciiTheme="majorBidi" w:hAnsiTheme="majorBidi" w:cstheme="majorBidi"/>
        </w:rPr>
        <w:t>were</w:t>
      </w:r>
      <w:r w:rsidRPr="00340E6F">
        <w:rPr>
          <w:rFonts w:asciiTheme="majorBidi" w:hAnsiTheme="majorBidi" w:cstheme="majorBidi"/>
        </w:rPr>
        <w:t xml:space="preserve"> expected to become undernourished.</w:t>
      </w:r>
      <w:r w:rsidRPr="00340E6F">
        <w:rPr>
          <w:rStyle w:val="EndnoteReference"/>
          <w:rFonts w:asciiTheme="majorBidi" w:eastAsia="Times New Roman" w:hAnsiTheme="majorBidi" w:cstheme="majorBidi"/>
          <w:iCs/>
          <w:color w:val="000000"/>
        </w:rPr>
        <w:endnoteReference w:id="3"/>
      </w:r>
      <w:r w:rsidRPr="00340E6F">
        <w:rPr>
          <w:rFonts w:asciiTheme="majorBidi" w:hAnsiTheme="majorBidi" w:cstheme="majorBidi"/>
        </w:rPr>
        <w:t xml:space="preserve"> </w:t>
      </w:r>
      <w:r w:rsidR="00FB07EB" w:rsidRPr="00340E6F">
        <w:rPr>
          <w:rFonts w:asciiTheme="majorBidi" w:hAnsiTheme="majorBidi" w:cstheme="majorBidi"/>
        </w:rPr>
        <w:t>Most at risk by the economic impact of COVID-19 were w</w:t>
      </w:r>
      <w:r w:rsidRPr="00340E6F">
        <w:rPr>
          <w:rFonts w:asciiTheme="majorBidi" w:hAnsiTheme="majorBidi" w:cstheme="majorBidi"/>
        </w:rPr>
        <w:t>omen, young adults</w:t>
      </w:r>
      <w:r w:rsidR="0055639C">
        <w:rPr>
          <w:rFonts w:asciiTheme="majorBidi" w:hAnsiTheme="majorBidi" w:cstheme="majorBidi"/>
        </w:rPr>
        <w:t xml:space="preserve">, </w:t>
      </w:r>
      <w:r w:rsidRPr="00340E6F">
        <w:rPr>
          <w:rFonts w:asciiTheme="majorBidi" w:hAnsiTheme="majorBidi" w:cstheme="majorBidi"/>
        </w:rPr>
        <w:t xml:space="preserve">and </w:t>
      </w:r>
      <w:r w:rsidR="00F8192E">
        <w:rPr>
          <w:rFonts w:asciiTheme="majorBidi" w:hAnsiTheme="majorBidi" w:cstheme="majorBidi"/>
        </w:rPr>
        <w:t>workers</w:t>
      </w:r>
      <w:r w:rsidRPr="00340E6F">
        <w:rPr>
          <w:rFonts w:asciiTheme="majorBidi" w:hAnsiTheme="majorBidi" w:cstheme="majorBidi"/>
        </w:rPr>
        <w:t xml:space="preserve"> in the informal</w:t>
      </w:r>
      <w:r w:rsidR="0055639C">
        <w:rPr>
          <w:rFonts w:asciiTheme="majorBidi" w:hAnsiTheme="majorBidi" w:cstheme="majorBidi"/>
        </w:rPr>
        <w:t xml:space="preserve"> sectors</w:t>
      </w:r>
      <w:r w:rsidRPr="00340E6F">
        <w:rPr>
          <w:rFonts w:asciiTheme="majorBidi" w:hAnsiTheme="majorBidi" w:cstheme="majorBidi"/>
        </w:rPr>
        <w:t>. In the MENA regio</w:t>
      </w:r>
      <w:r w:rsidR="00935AE9">
        <w:rPr>
          <w:rFonts w:asciiTheme="majorBidi" w:hAnsiTheme="majorBidi" w:cstheme="majorBidi"/>
        </w:rPr>
        <w:t>n in particular, COVID-19 raised</w:t>
      </w:r>
      <w:r w:rsidRPr="00340E6F">
        <w:rPr>
          <w:rFonts w:asciiTheme="majorBidi" w:hAnsiTheme="majorBidi" w:cstheme="majorBidi"/>
        </w:rPr>
        <w:t xml:space="preserve"> specific concerns for the migrant worker communities, as well as the region’s large number of refugees and displaced persons. </w:t>
      </w:r>
    </w:p>
    <w:p w14:paraId="38C23173" w14:textId="77777777" w:rsidR="00B516B6" w:rsidRPr="00340E6F" w:rsidRDefault="00CF05C7" w:rsidP="00F35289">
      <w:pPr>
        <w:pStyle w:val="NoSpacing"/>
        <w:numPr>
          <w:ilvl w:val="0"/>
          <w:numId w:val="2"/>
        </w:numPr>
        <w:spacing w:line="276" w:lineRule="auto"/>
        <w:ind w:left="-360" w:right="-334" w:firstLine="0"/>
        <w:jc w:val="both"/>
        <w:rPr>
          <w:rFonts w:asciiTheme="majorBidi" w:hAnsiTheme="majorBidi" w:cstheme="majorBidi"/>
          <w:shd w:val="clear" w:color="auto" w:fill="FFFFFF"/>
        </w:rPr>
      </w:pPr>
      <w:r>
        <w:rPr>
          <w:rFonts w:asciiTheme="majorBidi" w:hAnsiTheme="majorBidi" w:cstheme="majorBidi"/>
        </w:rPr>
        <w:t>Where s</w:t>
      </w:r>
      <w:r w:rsidR="00653BBC" w:rsidRPr="00340E6F">
        <w:rPr>
          <w:rFonts w:asciiTheme="majorBidi" w:hAnsiTheme="majorBidi" w:cstheme="majorBidi"/>
        </w:rPr>
        <w:t xml:space="preserve">tate </w:t>
      </w:r>
      <w:r w:rsidR="00653BBC" w:rsidRPr="0002044A">
        <w:rPr>
          <w:rFonts w:asciiTheme="majorBidi" w:hAnsiTheme="majorBidi" w:cstheme="majorBidi"/>
          <w:b/>
          <w:bCs/>
        </w:rPr>
        <w:t>socio-economic support</w:t>
      </w:r>
      <w:r>
        <w:rPr>
          <w:rFonts w:asciiTheme="majorBidi" w:hAnsiTheme="majorBidi" w:cstheme="majorBidi"/>
        </w:rPr>
        <w:t xml:space="preserve"> was provided</w:t>
      </w:r>
      <w:r w:rsidR="00F9711C">
        <w:rPr>
          <w:rFonts w:asciiTheme="majorBidi" w:hAnsiTheme="majorBidi" w:cstheme="majorBidi"/>
        </w:rPr>
        <w:t>,</w:t>
      </w:r>
      <w:r w:rsidR="00653BBC" w:rsidRPr="00340E6F">
        <w:rPr>
          <w:rFonts w:asciiTheme="majorBidi" w:hAnsiTheme="majorBidi" w:cstheme="majorBidi"/>
        </w:rPr>
        <w:t xml:space="preserve"> </w:t>
      </w:r>
      <w:r w:rsidR="003C64A2">
        <w:rPr>
          <w:rFonts w:asciiTheme="majorBidi" w:hAnsiTheme="majorBidi" w:cstheme="majorBidi"/>
        </w:rPr>
        <w:t xml:space="preserve">several countries in the region, in particular across the GCC, </w:t>
      </w:r>
      <w:r w:rsidR="00F9711C" w:rsidRPr="0002044A">
        <w:rPr>
          <w:rFonts w:asciiTheme="majorBidi" w:hAnsiTheme="majorBidi" w:cstheme="majorBidi"/>
        </w:rPr>
        <w:t>prioritized the support</w:t>
      </w:r>
      <w:r w:rsidR="006D2D7B" w:rsidRPr="0002044A">
        <w:rPr>
          <w:rFonts w:asciiTheme="majorBidi" w:hAnsiTheme="majorBidi" w:cstheme="majorBidi"/>
        </w:rPr>
        <w:t xml:space="preserve"> for</w:t>
      </w:r>
      <w:r w:rsidR="00D55CE2" w:rsidRPr="0002044A">
        <w:rPr>
          <w:rFonts w:asciiTheme="majorBidi" w:hAnsiTheme="majorBidi" w:cstheme="majorBidi"/>
        </w:rPr>
        <w:t xml:space="preserve"> its</w:t>
      </w:r>
      <w:r w:rsidR="00653BBC" w:rsidRPr="0002044A">
        <w:rPr>
          <w:rFonts w:asciiTheme="majorBidi" w:hAnsiTheme="majorBidi" w:cstheme="majorBidi"/>
        </w:rPr>
        <w:t xml:space="preserve"> citizens</w:t>
      </w:r>
      <w:r w:rsidR="00653BBC" w:rsidRPr="00340E6F">
        <w:rPr>
          <w:rFonts w:asciiTheme="majorBidi" w:hAnsiTheme="majorBidi" w:cstheme="majorBidi"/>
        </w:rPr>
        <w:t>, to the exclusion or detriment of non-citizens.</w:t>
      </w:r>
      <w:r w:rsidR="002E1904" w:rsidRPr="00340E6F">
        <w:rPr>
          <w:rFonts w:asciiTheme="majorBidi" w:hAnsiTheme="majorBidi" w:cstheme="majorBidi"/>
        </w:rPr>
        <w:t xml:space="preserve"> </w:t>
      </w:r>
      <w:r w:rsidR="00A53D50" w:rsidRPr="00340E6F">
        <w:rPr>
          <w:rFonts w:asciiTheme="majorBidi" w:hAnsiTheme="majorBidi" w:cstheme="majorBidi"/>
        </w:rPr>
        <w:t>This included</w:t>
      </w:r>
      <w:r w:rsidR="002E1904" w:rsidRPr="00340E6F">
        <w:rPr>
          <w:rFonts w:asciiTheme="majorBidi" w:hAnsiTheme="majorBidi" w:cstheme="majorBidi"/>
        </w:rPr>
        <w:t xml:space="preserve"> financial, employment and healthcare support </w:t>
      </w:r>
      <w:r w:rsidR="00F35289">
        <w:rPr>
          <w:rFonts w:asciiTheme="majorBidi" w:hAnsiTheme="majorBidi" w:cstheme="majorBidi"/>
        </w:rPr>
        <w:t>introduced</w:t>
      </w:r>
      <w:r w:rsidR="002E1904" w:rsidRPr="00340E6F">
        <w:rPr>
          <w:rFonts w:asciiTheme="majorBidi" w:hAnsiTheme="majorBidi" w:cstheme="majorBidi"/>
        </w:rPr>
        <w:t xml:space="preserve"> specifically for the benefit of citizens.</w:t>
      </w:r>
    </w:p>
    <w:p w14:paraId="0CEFCB18" w14:textId="77777777" w:rsidR="00E23BDC" w:rsidRPr="003567AE" w:rsidRDefault="00E23BDC" w:rsidP="00591B77">
      <w:pPr>
        <w:pStyle w:val="NoSpacing"/>
        <w:numPr>
          <w:ilvl w:val="0"/>
          <w:numId w:val="2"/>
        </w:numPr>
        <w:spacing w:line="276" w:lineRule="auto"/>
        <w:ind w:left="-360" w:right="-334" w:firstLine="0"/>
        <w:jc w:val="both"/>
        <w:rPr>
          <w:rFonts w:asciiTheme="majorBidi" w:hAnsiTheme="majorBidi" w:cstheme="majorBidi"/>
          <w:iCs/>
        </w:rPr>
      </w:pPr>
      <w:r w:rsidRPr="00340E6F">
        <w:rPr>
          <w:rFonts w:asciiTheme="majorBidi" w:hAnsiTheme="majorBidi" w:cstheme="majorBidi"/>
          <w:b/>
          <w:bCs/>
          <w:shd w:val="clear" w:color="auto" w:fill="FFFFFF"/>
        </w:rPr>
        <w:t>Rights of migrants</w:t>
      </w:r>
      <w:r w:rsidRPr="00340E6F">
        <w:rPr>
          <w:rFonts w:asciiTheme="majorBidi" w:hAnsiTheme="majorBidi" w:cstheme="majorBidi"/>
          <w:shd w:val="clear" w:color="auto" w:fill="FFFFFF"/>
        </w:rPr>
        <w:t>: The precarious situation of migrant workers, in</w:t>
      </w:r>
      <w:r w:rsidRPr="00340E6F">
        <w:rPr>
          <w:rFonts w:asciiTheme="majorBidi" w:hAnsiTheme="majorBidi" w:cstheme="majorBidi"/>
          <w:iCs/>
        </w:rPr>
        <w:t xml:space="preserve"> particular with regard to healthcare, living and working conditions amidst the COVID-19 pandemic, was of significant regional concern throughout 2020. </w:t>
      </w:r>
      <w:r w:rsidRPr="00340E6F">
        <w:rPr>
          <w:rFonts w:asciiTheme="majorBidi" w:hAnsiTheme="majorBidi" w:cstheme="majorBidi"/>
        </w:rPr>
        <w:t xml:space="preserve">Migrant workers </w:t>
      </w:r>
      <w:r w:rsidR="00660CD3" w:rsidRPr="00340E6F">
        <w:rPr>
          <w:rFonts w:asciiTheme="majorBidi" w:hAnsiTheme="majorBidi" w:cstheme="majorBidi"/>
        </w:rPr>
        <w:t>were</w:t>
      </w:r>
      <w:r w:rsidRPr="00340E6F">
        <w:rPr>
          <w:rFonts w:asciiTheme="majorBidi" w:hAnsiTheme="majorBidi" w:cstheme="majorBidi"/>
        </w:rPr>
        <w:t xml:space="preserve"> at heightened risk of contracting the virus due to unsafe and inadequate living conditions. </w:t>
      </w:r>
      <w:r w:rsidR="00B40AE2" w:rsidRPr="00340E6F">
        <w:rPr>
          <w:rFonts w:asciiTheme="majorBidi" w:hAnsiTheme="majorBidi" w:cstheme="majorBidi"/>
        </w:rPr>
        <w:t>Reports detailed how m</w:t>
      </w:r>
      <w:r w:rsidR="00CD1474" w:rsidRPr="00340E6F">
        <w:rPr>
          <w:rFonts w:asciiTheme="majorBidi" w:hAnsiTheme="majorBidi" w:cstheme="majorBidi"/>
        </w:rPr>
        <w:t>igrant workers</w:t>
      </w:r>
      <w:r w:rsidRPr="00340E6F">
        <w:rPr>
          <w:rFonts w:asciiTheme="majorBidi" w:hAnsiTheme="majorBidi" w:cstheme="majorBidi"/>
        </w:rPr>
        <w:t xml:space="preserve"> </w:t>
      </w:r>
      <w:r w:rsidR="00660CD3" w:rsidRPr="00340E6F">
        <w:rPr>
          <w:rFonts w:asciiTheme="majorBidi" w:hAnsiTheme="majorBidi" w:cstheme="majorBidi"/>
        </w:rPr>
        <w:t>wer</w:t>
      </w:r>
      <w:r w:rsidRPr="00340E6F">
        <w:rPr>
          <w:rFonts w:asciiTheme="majorBidi" w:hAnsiTheme="majorBidi" w:cstheme="majorBidi"/>
        </w:rPr>
        <w:t xml:space="preserve">e often cramped into dormitories and communal housing, where distancing guidelines </w:t>
      </w:r>
      <w:r w:rsidR="00C823BF" w:rsidRPr="00340E6F">
        <w:rPr>
          <w:rFonts w:asciiTheme="majorBidi" w:hAnsiTheme="majorBidi" w:cstheme="majorBidi"/>
        </w:rPr>
        <w:t>were</w:t>
      </w:r>
      <w:r w:rsidRPr="00340E6F">
        <w:rPr>
          <w:rFonts w:asciiTheme="majorBidi" w:hAnsiTheme="majorBidi" w:cstheme="majorBidi"/>
        </w:rPr>
        <w:t xml:space="preserve"> not guaranteed</w:t>
      </w:r>
      <w:r w:rsidR="007D4A5D">
        <w:rPr>
          <w:rFonts w:asciiTheme="majorBidi" w:hAnsiTheme="majorBidi" w:cstheme="majorBidi"/>
        </w:rPr>
        <w:t xml:space="preserve">. They further lacked </w:t>
      </w:r>
      <w:r w:rsidRPr="00340E6F">
        <w:rPr>
          <w:rFonts w:asciiTheme="majorBidi" w:hAnsiTheme="majorBidi" w:cstheme="majorBidi"/>
        </w:rPr>
        <w:t>adequate health information, WASH services</w:t>
      </w:r>
      <w:r w:rsidR="0050423F">
        <w:rPr>
          <w:rFonts w:asciiTheme="majorBidi" w:hAnsiTheme="majorBidi" w:cstheme="majorBidi"/>
        </w:rPr>
        <w:t>,</w:t>
      </w:r>
      <w:r w:rsidRPr="00340E6F">
        <w:rPr>
          <w:rFonts w:asciiTheme="majorBidi" w:hAnsiTheme="majorBidi" w:cstheme="majorBidi"/>
        </w:rPr>
        <w:t xml:space="preserve"> and in certain cases, </w:t>
      </w:r>
      <w:r w:rsidR="00533449">
        <w:rPr>
          <w:rFonts w:asciiTheme="majorBidi" w:hAnsiTheme="majorBidi" w:cstheme="majorBidi"/>
        </w:rPr>
        <w:t xml:space="preserve">were </w:t>
      </w:r>
      <w:r w:rsidRPr="00340E6F">
        <w:rPr>
          <w:rFonts w:asciiTheme="majorBidi" w:hAnsiTheme="majorBidi" w:cstheme="majorBidi"/>
        </w:rPr>
        <w:t xml:space="preserve">even prohibited from leaving. </w:t>
      </w:r>
    </w:p>
    <w:p w14:paraId="664F01AD" w14:textId="77777777" w:rsidR="003567AE" w:rsidRPr="00763924" w:rsidRDefault="003567AE" w:rsidP="003567AE">
      <w:pPr>
        <w:pStyle w:val="ListParagraph"/>
        <w:numPr>
          <w:ilvl w:val="0"/>
          <w:numId w:val="2"/>
        </w:numPr>
        <w:tabs>
          <w:tab w:val="left" w:pos="0"/>
          <w:tab w:val="left" w:pos="9180"/>
        </w:tabs>
        <w:spacing w:line="276" w:lineRule="auto"/>
        <w:ind w:left="-360" w:right="-334" w:firstLine="0"/>
        <w:jc w:val="both"/>
        <w:rPr>
          <w:rFonts w:asciiTheme="majorBidi" w:hAnsiTheme="majorBidi" w:cstheme="majorBidi"/>
          <w:b/>
          <w:bCs/>
        </w:rPr>
      </w:pPr>
      <w:r w:rsidRPr="00340E6F">
        <w:rPr>
          <w:rFonts w:asciiTheme="majorBidi" w:hAnsiTheme="majorBidi" w:cstheme="majorBidi"/>
          <w:b/>
          <w:bCs/>
        </w:rPr>
        <w:t xml:space="preserve">Gender-based violence: </w:t>
      </w:r>
      <w:r w:rsidRPr="00340E6F">
        <w:rPr>
          <w:rFonts w:asciiTheme="majorBidi" w:hAnsiTheme="majorBidi" w:cstheme="majorBidi"/>
          <w:lang w:val="en-US"/>
        </w:rPr>
        <w:t>The multifaceted impact of COVID-19 on women and girls throughout the region raised serious human rights concern. As women account for the majority of caregivers – both formally as healthcare workers, and inf</w:t>
      </w:r>
      <w:r w:rsidR="00FE55EE">
        <w:rPr>
          <w:rFonts w:asciiTheme="majorBidi" w:hAnsiTheme="majorBidi" w:cstheme="majorBidi"/>
          <w:lang w:val="en-US"/>
        </w:rPr>
        <w:t>ormally within the home – they we</w:t>
      </w:r>
      <w:r w:rsidRPr="00340E6F">
        <w:rPr>
          <w:rFonts w:asciiTheme="majorBidi" w:hAnsiTheme="majorBidi" w:cstheme="majorBidi"/>
          <w:lang w:val="en-US"/>
        </w:rPr>
        <w:t xml:space="preserve">re at heightened risk of potential </w:t>
      </w:r>
      <w:r w:rsidRPr="00340E6F">
        <w:rPr>
          <w:rFonts w:asciiTheme="majorBidi" w:hAnsiTheme="majorBidi" w:cstheme="majorBidi"/>
          <w:lang w:val="en-US"/>
        </w:rPr>
        <w:lastRenderedPageBreak/>
        <w:t>exposure to the virus. In addition, confinement measures also exacerbated incidents of domestic violence,</w:t>
      </w:r>
      <w:r>
        <w:rPr>
          <w:rFonts w:asciiTheme="majorBidi" w:hAnsiTheme="majorBidi" w:cstheme="majorBidi"/>
          <w:lang w:val="en-US"/>
        </w:rPr>
        <w:t xml:space="preserve"> both</w:t>
      </w:r>
      <w:r w:rsidRPr="00340E6F">
        <w:rPr>
          <w:rFonts w:asciiTheme="majorBidi" w:hAnsiTheme="majorBidi" w:cstheme="majorBidi"/>
          <w:lang w:val="en-US"/>
        </w:rPr>
        <w:t xml:space="preserve"> globally and across the MENA region.</w:t>
      </w:r>
    </w:p>
    <w:p w14:paraId="00003F44" w14:textId="2CE40BD6" w:rsidR="00E23BDC" w:rsidRPr="00340E6F" w:rsidRDefault="00E23BDC" w:rsidP="00CC47F8">
      <w:pPr>
        <w:pStyle w:val="ListParagraph"/>
        <w:numPr>
          <w:ilvl w:val="0"/>
          <w:numId w:val="5"/>
        </w:numPr>
        <w:tabs>
          <w:tab w:val="left" w:pos="0"/>
          <w:tab w:val="left" w:pos="540"/>
          <w:tab w:val="left" w:pos="720"/>
          <w:tab w:val="left" w:pos="9180"/>
        </w:tabs>
        <w:spacing w:after="240" w:line="276" w:lineRule="auto"/>
        <w:ind w:left="-360" w:right="-334" w:firstLine="0"/>
        <w:jc w:val="both"/>
        <w:rPr>
          <w:rFonts w:asciiTheme="majorBidi" w:hAnsiTheme="majorBidi" w:cstheme="majorBidi"/>
          <w:b/>
          <w:bCs/>
        </w:rPr>
      </w:pPr>
      <w:r w:rsidRPr="00340E6F">
        <w:rPr>
          <w:rFonts w:asciiTheme="majorBidi" w:hAnsiTheme="majorBidi" w:cstheme="majorBidi"/>
          <w:b/>
          <w:bCs/>
        </w:rPr>
        <w:t>Freedom of expression</w:t>
      </w:r>
      <w:r w:rsidR="001A3B04">
        <w:rPr>
          <w:rFonts w:asciiTheme="majorBidi" w:hAnsiTheme="majorBidi" w:cstheme="majorBidi"/>
          <w:b/>
          <w:bCs/>
        </w:rPr>
        <w:t>/f</w:t>
      </w:r>
      <w:r w:rsidRPr="00340E6F">
        <w:rPr>
          <w:rFonts w:asciiTheme="majorBidi" w:hAnsiTheme="majorBidi" w:cstheme="majorBidi"/>
          <w:b/>
          <w:bCs/>
        </w:rPr>
        <w:t xml:space="preserve">reedom of peaceful assembly: </w:t>
      </w:r>
      <w:r w:rsidRPr="00340E6F">
        <w:rPr>
          <w:rFonts w:asciiTheme="majorBidi" w:hAnsiTheme="majorBidi" w:cstheme="majorBidi"/>
        </w:rPr>
        <w:t>At odds with OHCHR guidance on emergency measures and COVID-19, several countries in the region clamped down with criminal penalties against the spread of rumo</w:t>
      </w:r>
      <w:r w:rsidR="00833A78">
        <w:rPr>
          <w:rFonts w:asciiTheme="majorBidi" w:hAnsiTheme="majorBidi" w:cstheme="majorBidi"/>
        </w:rPr>
        <w:t>u</w:t>
      </w:r>
      <w:r w:rsidRPr="00340E6F">
        <w:rPr>
          <w:rFonts w:asciiTheme="majorBidi" w:hAnsiTheme="majorBidi" w:cstheme="majorBidi"/>
        </w:rPr>
        <w:t xml:space="preserve">rs and misinformation regarding COVID-19. It was further reported that </w:t>
      </w:r>
      <w:r w:rsidR="00CC47F8">
        <w:rPr>
          <w:rFonts w:asciiTheme="majorBidi" w:hAnsiTheme="majorBidi" w:cstheme="majorBidi"/>
        </w:rPr>
        <w:t xml:space="preserve">some </w:t>
      </w:r>
      <w:r w:rsidRPr="00340E6F">
        <w:rPr>
          <w:rFonts w:asciiTheme="majorBidi" w:hAnsiTheme="majorBidi" w:cstheme="majorBidi"/>
        </w:rPr>
        <w:t>states use</w:t>
      </w:r>
      <w:r w:rsidR="00CC47F8">
        <w:rPr>
          <w:rFonts w:asciiTheme="majorBidi" w:hAnsiTheme="majorBidi" w:cstheme="majorBidi"/>
        </w:rPr>
        <w:t>d</w:t>
      </w:r>
      <w:r w:rsidRPr="00340E6F">
        <w:rPr>
          <w:rFonts w:asciiTheme="majorBidi" w:hAnsiTheme="majorBidi" w:cstheme="majorBidi"/>
        </w:rPr>
        <w:t xml:space="preserve"> COVID-19 preventive measures as a pretext to </w:t>
      </w:r>
      <w:r w:rsidR="00CC47F8">
        <w:rPr>
          <w:rFonts w:asciiTheme="majorBidi" w:hAnsiTheme="majorBidi" w:cstheme="majorBidi"/>
        </w:rPr>
        <w:t>repress critical voices/freedom of expression</w:t>
      </w:r>
      <w:r w:rsidRPr="00340E6F">
        <w:rPr>
          <w:rFonts w:asciiTheme="majorBidi" w:hAnsiTheme="majorBidi" w:cstheme="majorBidi"/>
        </w:rPr>
        <w:t xml:space="preserve">. </w:t>
      </w:r>
    </w:p>
    <w:p w14:paraId="2487B905" w14:textId="77777777" w:rsidR="001A4846" w:rsidRPr="00763924" w:rsidRDefault="00356B43" w:rsidP="001C08B2">
      <w:pPr>
        <w:pStyle w:val="ListParagraph"/>
        <w:numPr>
          <w:ilvl w:val="0"/>
          <w:numId w:val="2"/>
        </w:numPr>
        <w:tabs>
          <w:tab w:val="left" w:pos="0"/>
          <w:tab w:val="left" w:pos="9180"/>
        </w:tabs>
        <w:spacing w:line="276" w:lineRule="auto"/>
        <w:ind w:left="-360" w:right="-334" w:firstLine="0"/>
        <w:jc w:val="both"/>
        <w:rPr>
          <w:rFonts w:asciiTheme="majorBidi" w:hAnsiTheme="majorBidi" w:cstheme="majorBidi"/>
          <w:b/>
          <w:bCs/>
        </w:rPr>
      </w:pPr>
      <w:r w:rsidRPr="00763924">
        <w:rPr>
          <w:rFonts w:asciiTheme="majorBidi" w:hAnsiTheme="majorBidi" w:cstheme="majorBidi"/>
          <w:b/>
          <w:bCs/>
        </w:rPr>
        <w:t>Right to privacy in a digital era</w:t>
      </w:r>
      <w:r w:rsidR="003A6E96" w:rsidRPr="00763924">
        <w:rPr>
          <w:rFonts w:asciiTheme="majorBidi" w:hAnsiTheme="majorBidi" w:cstheme="majorBidi"/>
          <w:b/>
          <w:bCs/>
        </w:rPr>
        <w:t xml:space="preserve">: </w:t>
      </w:r>
      <w:r w:rsidR="00DB7AF0" w:rsidRPr="00763924">
        <w:rPr>
          <w:rFonts w:asciiTheme="majorBidi" w:hAnsiTheme="majorBidi" w:cstheme="majorBidi"/>
        </w:rPr>
        <w:t>COVID-19-related surveillance measures raised serious human rights concerns across the region, especially with regard to the right to privacy. This incl</w:t>
      </w:r>
      <w:r w:rsidR="00BE4932">
        <w:rPr>
          <w:rFonts w:asciiTheme="majorBidi" w:hAnsiTheme="majorBidi" w:cstheme="majorBidi"/>
        </w:rPr>
        <w:t>uded</w:t>
      </w:r>
      <w:r w:rsidR="00A6783B" w:rsidRPr="00763924">
        <w:rPr>
          <w:rFonts w:asciiTheme="majorBidi" w:hAnsiTheme="majorBidi" w:cstheme="majorBidi"/>
        </w:rPr>
        <w:t xml:space="preserve"> incidents of </w:t>
      </w:r>
      <w:r w:rsidR="000600A4">
        <w:rPr>
          <w:rFonts w:asciiTheme="majorBidi" w:hAnsiTheme="majorBidi" w:cstheme="majorBidi"/>
        </w:rPr>
        <w:t>intrusive monitoring</w:t>
      </w:r>
      <w:r w:rsidR="00A6783B" w:rsidRPr="00763924">
        <w:rPr>
          <w:rFonts w:asciiTheme="majorBidi" w:hAnsiTheme="majorBidi" w:cstheme="majorBidi"/>
        </w:rPr>
        <w:t xml:space="preserve"> </w:t>
      </w:r>
      <w:r w:rsidR="00AC55AD">
        <w:rPr>
          <w:rFonts w:asciiTheme="majorBidi" w:hAnsiTheme="majorBidi" w:cstheme="majorBidi"/>
        </w:rPr>
        <w:t>through</w:t>
      </w:r>
      <w:r w:rsidR="00DB7AF0" w:rsidRPr="00763924">
        <w:rPr>
          <w:rFonts w:asciiTheme="majorBidi" w:hAnsiTheme="majorBidi" w:cstheme="majorBidi"/>
        </w:rPr>
        <w:t xml:space="preserve"> digital </w:t>
      </w:r>
      <w:r w:rsidR="00065097">
        <w:rPr>
          <w:rFonts w:asciiTheme="majorBidi" w:hAnsiTheme="majorBidi" w:cstheme="majorBidi"/>
        </w:rPr>
        <w:t>COVID-19 tracing apps</w:t>
      </w:r>
      <w:r w:rsidR="00DB7AF0" w:rsidRPr="00763924">
        <w:rPr>
          <w:rFonts w:asciiTheme="majorBidi" w:hAnsiTheme="majorBidi" w:cstheme="majorBidi"/>
        </w:rPr>
        <w:t xml:space="preserve">. </w:t>
      </w:r>
      <w:r w:rsidR="00DB7AF0" w:rsidRPr="00763924">
        <w:rPr>
          <w:rFonts w:asciiTheme="majorBidi" w:hAnsiTheme="majorBidi" w:cstheme="majorBidi"/>
          <w:color w:val="000000"/>
        </w:rPr>
        <w:t xml:space="preserve">Human </w:t>
      </w:r>
      <w:r w:rsidR="00DB7AF0" w:rsidRPr="00763924">
        <w:rPr>
          <w:rFonts w:asciiTheme="majorBidi" w:hAnsiTheme="majorBidi" w:cstheme="majorBidi"/>
        </w:rPr>
        <w:t xml:space="preserve">rights activists </w:t>
      </w:r>
      <w:r w:rsidR="00F40FF9" w:rsidRPr="00763924">
        <w:rPr>
          <w:rFonts w:asciiTheme="majorBidi" w:hAnsiTheme="majorBidi" w:cstheme="majorBidi"/>
        </w:rPr>
        <w:t>took</w:t>
      </w:r>
      <w:r w:rsidR="00DB7AF0" w:rsidRPr="00763924">
        <w:rPr>
          <w:rFonts w:asciiTheme="majorBidi" w:hAnsiTheme="majorBidi" w:cstheme="majorBidi"/>
        </w:rPr>
        <w:t xml:space="preserve"> to social media, and sometimes even reaching out to ROMENA</w:t>
      </w:r>
      <w:r w:rsidR="001C08B2">
        <w:rPr>
          <w:rFonts w:asciiTheme="majorBidi" w:hAnsiTheme="majorBidi" w:cstheme="majorBidi"/>
        </w:rPr>
        <w:t xml:space="preserve"> directly</w:t>
      </w:r>
      <w:r w:rsidR="00DB7AF0" w:rsidRPr="00763924">
        <w:rPr>
          <w:rFonts w:asciiTheme="majorBidi" w:hAnsiTheme="majorBidi" w:cstheme="majorBidi"/>
        </w:rPr>
        <w:t>, accusing governments of intruding upon civil rig</w:t>
      </w:r>
      <w:r w:rsidR="003A3008">
        <w:rPr>
          <w:rFonts w:asciiTheme="majorBidi" w:hAnsiTheme="majorBidi" w:cstheme="majorBidi"/>
        </w:rPr>
        <w:t xml:space="preserve">hts with the widespread use of electronic </w:t>
      </w:r>
      <w:r w:rsidR="00295DA8">
        <w:rPr>
          <w:rFonts w:asciiTheme="majorBidi" w:hAnsiTheme="majorBidi" w:cstheme="majorBidi"/>
        </w:rPr>
        <w:t>monitoring</w:t>
      </w:r>
      <w:r w:rsidR="008C1712">
        <w:rPr>
          <w:rFonts w:asciiTheme="majorBidi" w:hAnsiTheme="majorBidi" w:cstheme="majorBidi"/>
        </w:rPr>
        <w:t xml:space="preserve"> and </w:t>
      </w:r>
      <w:r w:rsidR="003A3008">
        <w:rPr>
          <w:rFonts w:asciiTheme="majorBidi" w:hAnsiTheme="majorBidi" w:cstheme="majorBidi"/>
        </w:rPr>
        <w:t>surveillance</w:t>
      </w:r>
      <w:r w:rsidR="00DB7AF0" w:rsidRPr="00763924">
        <w:rPr>
          <w:rFonts w:asciiTheme="majorBidi" w:hAnsiTheme="majorBidi" w:cstheme="majorBidi"/>
        </w:rPr>
        <w:t xml:space="preserve">. </w:t>
      </w:r>
      <w:r w:rsidR="00661F09">
        <w:rPr>
          <w:rFonts w:asciiTheme="majorBidi" w:hAnsiTheme="majorBidi" w:cstheme="majorBidi"/>
        </w:rPr>
        <w:t xml:space="preserve">In other incidents, </w:t>
      </w:r>
      <w:r w:rsidR="001A4846" w:rsidRPr="00763924">
        <w:rPr>
          <w:rFonts w:asciiTheme="majorBidi" w:hAnsiTheme="majorBidi" w:cstheme="majorBidi"/>
        </w:rPr>
        <w:t>names and pictures of violators of COVID-19 preventive measures were</w:t>
      </w:r>
      <w:r w:rsidR="00661F09">
        <w:rPr>
          <w:rFonts w:asciiTheme="majorBidi" w:hAnsiTheme="majorBidi" w:cstheme="majorBidi"/>
        </w:rPr>
        <w:t xml:space="preserve"> publically</w:t>
      </w:r>
      <w:r w:rsidR="001A4846" w:rsidRPr="00763924">
        <w:rPr>
          <w:rFonts w:asciiTheme="majorBidi" w:hAnsiTheme="majorBidi" w:cstheme="majorBidi"/>
        </w:rPr>
        <w:t xml:space="preserve"> </w:t>
      </w:r>
      <w:r w:rsidR="001E421E">
        <w:rPr>
          <w:rFonts w:asciiTheme="majorBidi" w:hAnsiTheme="majorBidi" w:cstheme="majorBidi"/>
        </w:rPr>
        <w:t>release</w:t>
      </w:r>
      <w:r w:rsidR="001A4846" w:rsidRPr="00763924">
        <w:rPr>
          <w:rFonts w:asciiTheme="majorBidi" w:hAnsiTheme="majorBidi" w:cstheme="majorBidi"/>
        </w:rPr>
        <w:t xml:space="preserve">d, </w:t>
      </w:r>
      <w:r w:rsidR="00575266">
        <w:rPr>
          <w:rFonts w:asciiTheme="majorBidi" w:hAnsiTheme="majorBidi" w:cstheme="majorBidi"/>
        </w:rPr>
        <w:t>raising both</w:t>
      </w:r>
      <w:r w:rsidR="004E07C7" w:rsidRPr="00763924">
        <w:rPr>
          <w:rFonts w:asciiTheme="majorBidi" w:hAnsiTheme="majorBidi" w:cstheme="majorBidi"/>
        </w:rPr>
        <w:t xml:space="preserve"> privacy and safety concerns.</w:t>
      </w:r>
    </w:p>
    <w:p w14:paraId="05D1B9D5" w14:textId="77777777" w:rsidR="002F4772" w:rsidRPr="00187C3E" w:rsidRDefault="002F4772" w:rsidP="00591B77">
      <w:pPr>
        <w:ind w:left="-360" w:right="-334"/>
        <w:jc w:val="both"/>
        <w:rPr>
          <w:rFonts w:asciiTheme="majorBidi" w:hAnsiTheme="majorBidi" w:cstheme="majorBidi"/>
          <w:b/>
          <w:bCs/>
          <w:color w:val="1F497D"/>
          <w:u w:val="single"/>
          <w:lang w:val="en-US"/>
        </w:rPr>
      </w:pPr>
      <w:r w:rsidRPr="00187C3E">
        <w:rPr>
          <w:rFonts w:asciiTheme="majorBidi" w:hAnsiTheme="majorBidi" w:cstheme="majorBidi"/>
          <w:b/>
          <w:bCs/>
          <w:color w:val="1F497D"/>
          <w:u w:val="single"/>
          <w:lang w:val="en-US"/>
        </w:rPr>
        <w:t>(b) technical or other support needed to address the challenges identified, including the socio-economic impacts of COVID-19 and its response measures;</w:t>
      </w:r>
    </w:p>
    <w:p w14:paraId="59D2C671" w14:textId="77777777" w:rsidR="00601BC9" w:rsidRPr="0095516E" w:rsidRDefault="00601BC9" w:rsidP="00591B77">
      <w:pPr>
        <w:ind w:left="-360" w:right="-334"/>
        <w:jc w:val="both"/>
        <w:rPr>
          <w:rFonts w:asciiTheme="majorBidi" w:hAnsiTheme="majorBidi" w:cstheme="majorBidi"/>
          <w:color w:val="1F497D"/>
          <w:sz w:val="8"/>
          <w:szCs w:val="8"/>
          <w:u w:val="single"/>
          <w:lang w:val="en-US"/>
        </w:rPr>
      </w:pPr>
    </w:p>
    <w:p w14:paraId="0613C162" w14:textId="77777777" w:rsidR="005534B8" w:rsidRPr="000419FA" w:rsidRDefault="00A37540" w:rsidP="002B1715">
      <w:pPr>
        <w:numPr>
          <w:ilvl w:val="0"/>
          <w:numId w:val="17"/>
        </w:numPr>
        <w:ind w:left="-360" w:right="-334" w:firstLine="0"/>
        <w:jc w:val="both"/>
        <w:rPr>
          <w:rFonts w:asciiTheme="majorBidi" w:hAnsiTheme="majorBidi" w:cstheme="majorBidi"/>
          <w:lang w:eastAsia="en-US"/>
        </w:rPr>
      </w:pPr>
      <w:r>
        <w:rPr>
          <w:rFonts w:asciiTheme="majorBidi" w:hAnsiTheme="majorBidi" w:cstheme="majorBidi"/>
          <w:lang w:val="en-US" w:eastAsia="en-US"/>
        </w:rPr>
        <w:t>T</w:t>
      </w:r>
      <w:r w:rsidR="001776F4">
        <w:rPr>
          <w:rFonts w:asciiTheme="majorBidi" w:hAnsiTheme="majorBidi" w:cstheme="majorBidi"/>
          <w:lang w:eastAsia="en-US"/>
        </w:rPr>
        <w:t xml:space="preserve">here is a </w:t>
      </w:r>
      <w:r w:rsidR="00782E3E">
        <w:rPr>
          <w:rFonts w:asciiTheme="majorBidi" w:hAnsiTheme="majorBidi" w:cstheme="majorBidi"/>
          <w:lang w:eastAsia="en-US"/>
        </w:rPr>
        <w:t xml:space="preserve">pressing need </w:t>
      </w:r>
      <w:r w:rsidR="00BD4012">
        <w:rPr>
          <w:rFonts w:asciiTheme="majorBidi" w:hAnsiTheme="majorBidi" w:cstheme="majorBidi"/>
          <w:lang w:eastAsia="en-US"/>
        </w:rPr>
        <w:t xml:space="preserve">for states in the region to ensure </w:t>
      </w:r>
      <w:r w:rsidR="00AD7B30" w:rsidRPr="000C5F0B">
        <w:rPr>
          <w:rFonts w:asciiTheme="majorBidi" w:hAnsiTheme="majorBidi" w:cstheme="majorBidi"/>
          <w:b/>
          <w:bCs/>
          <w:lang w:eastAsia="en-US"/>
        </w:rPr>
        <w:t xml:space="preserve">non-discriminatory and </w:t>
      </w:r>
      <w:r w:rsidR="00DB21A0" w:rsidRPr="000C5F0B">
        <w:rPr>
          <w:rFonts w:asciiTheme="majorBidi" w:hAnsiTheme="majorBidi" w:cstheme="majorBidi"/>
          <w:b/>
          <w:bCs/>
          <w:lang w:eastAsia="en-US"/>
        </w:rPr>
        <w:t>comprehensive</w:t>
      </w:r>
      <w:r w:rsidR="00BD4012" w:rsidRPr="000C5F0B">
        <w:rPr>
          <w:rFonts w:asciiTheme="majorBidi" w:hAnsiTheme="majorBidi" w:cstheme="majorBidi"/>
          <w:b/>
          <w:bCs/>
          <w:lang w:eastAsia="en-US"/>
        </w:rPr>
        <w:t xml:space="preserve"> COVID-19 response </w:t>
      </w:r>
      <w:r w:rsidR="005B5778" w:rsidRPr="000C5F0B">
        <w:rPr>
          <w:rFonts w:asciiTheme="majorBidi" w:hAnsiTheme="majorBidi" w:cstheme="majorBidi"/>
          <w:b/>
          <w:bCs/>
          <w:lang w:eastAsia="en-US"/>
        </w:rPr>
        <w:t>plans</w:t>
      </w:r>
      <w:r w:rsidR="00BD4012">
        <w:rPr>
          <w:rFonts w:asciiTheme="majorBidi" w:hAnsiTheme="majorBidi" w:cstheme="majorBidi"/>
          <w:lang w:eastAsia="en-US"/>
        </w:rPr>
        <w:t xml:space="preserve"> that are inclusive of all segments of the population, in particular those most at risk. </w:t>
      </w:r>
      <w:r w:rsidR="00BD4012" w:rsidRPr="006E0EA1">
        <w:rPr>
          <w:rFonts w:asciiTheme="majorBidi" w:hAnsiTheme="majorBidi" w:cstheme="majorBidi"/>
          <w:lang w:eastAsia="en-US"/>
        </w:rPr>
        <w:t xml:space="preserve">Given the disproportionate </w:t>
      </w:r>
      <w:r w:rsidR="00BD4012">
        <w:rPr>
          <w:rFonts w:asciiTheme="majorBidi" w:hAnsiTheme="majorBidi" w:cstheme="majorBidi"/>
          <w:lang w:eastAsia="en-US"/>
        </w:rPr>
        <w:t xml:space="preserve">impact of COVID-19 on migrant and refugee populations in the region, </w:t>
      </w:r>
      <w:r w:rsidR="00FC4FE7">
        <w:rPr>
          <w:rFonts w:asciiTheme="majorBidi" w:hAnsiTheme="majorBidi" w:cstheme="majorBidi"/>
          <w:lang w:eastAsia="en-US"/>
        </w:rPr>
        <w:t>including significant</w:t>
      </w:r>
      <w:r w:rsidR="007B09A5">
        <w:rPr>
          <w:rFonts w:asciiTheme="majorBidi" w:hAnsiTheme="majorBidi" w:cstheme="majorBidi"/>
          <w:lang w:eastAsia="en-US"/>
        </w:rPr>
        <w:t xml:space="preserve"> </w:t>
      </w:r>
      <w:r w:rsidR="00BD4012">
        <w:rPr>
          <w:rFonts w:asciiTheme="majorBidi" w:hAnsiTheme="majorBidi" w:cstheme="majorBidi"/>
          <w:lang w:eastAsia="en-US"/>
        </w:rPr>
        <w:t>disparities in economic opportunity and access to healthcare</w:t>
      </w:r>
      <w:r>
        <w:rPr>
          <w:rFonts w:asciiTheme="majorBidi" w:hAnsiTheme="majorBidi" w:cstheme="majorBidi"/>
          <w:lang w:eastAsia="en-US"/>
        </w:rPr>
        <w:t xml:space="preserve">, host states </w:t>
      </w:r>
      <w:r w:rsidR="00751456">
        <w:rPr>
          <w:rFonts w:asciiTheme="majorBidi" w:hAnsiTheme="majorBidi" w:cstheme="majorBidi"/>
          <w:lang w:eastAsia="en-US"/>
        </w:rPr>
        <w:t xml:space="preserve">should allocate adequate socio-economic support to ensure </w:t>
      </w:r>
      <w:r w:rsidR="002B1715">
        <w:rPr>
          <w:rFonts w:asciiTheme="majorBidi" w:hAnsiTheme="majorBidi" w:cstheme="majorBidi"/>
          <w:lang w:eastAsia="en-US"/>
        </w:rPr>
        <w:t>an adequate standard of living</w:t>
      </w:r>
      <w:r w:rsidR="00E8519B" w:rsidRPr="000419FA">
        <w:rPr>
          <w:rFonts w:asciiTheme="majorBidi" w:hAnsiTheme="majorBidi" w:cstheme="majorBidi"/>
          <w:lang w:eastAsia="en-US"/>
        </w:rPr>
        <w:t xml:space="preserve">. </w:t>
      </w:r>
    </w:p>
    <w:p w14:paraId="3EEE8865" w14:textId="77777777" w:rsidR="004B0043" w:rsidRPr="000419FA" w:rsidRDefault="001322B7" w:rsidP="00336BA0">
      <w:pPr>
        <w:pStyle w:val="ListParagraph"/>
        <w:numPr>
          <w:ilvl w:val="0"/>
          <w:numId w:val="14"/>
        </w:numPr>
        <w:spacing w:after="0" w:line="240" w:lineRule="auto"/>
        <w:ind w:left="-360" w:right="-334" w:firstLine="0"/>
        <w:contextualSpacing w:val="0"/>
        <w:jc w:val="both"/>
        <w:rPr>
          <w:rFonts w:asciiTheme="majorBidi" w:hAnsiTheme="majorBidi" w:cstheme="majorBidi"/>
        </w:rPr>
      </w:pPr>
      <w:r w:rsidRPr="000419FA">
        <w:rPr>
          <w:rFonts w:asciiTheme="majorBidi" w:hAnsiTheme="majorBidi" w:cstheme="majorBidi"/>
        </w:rPr>
        <w:t xml:space="preserve">Given the </w:t>
      </w:r>
      <w:r w:rsidRPr="00680D24">
        <w:rPr>
          <w:rFonts w:asciiTheme="majorBidi" w:hAnsiTheme="majorBidi" w:cstheme="majorBidi"/>
          <w:b/>
          <w:bCs/>
        </w:rPr>
        <w:t>alarming rise in incidence of domestic violence</w:t>
      </w:r>
      <w:r w:rsidRPr="000419FA">
        <w:rPr>
          <w:rFonts w:asciiTheme="majorBidi" w:hAnsiTheme="majorBidi" w:cstheme="majorBidi"/>
        </w:rPr>
        <w:t xml:space="preserve"> against wome</w:t>
      </w:r>
      <w:r w:rsidR="001C1FEA">
        <w:rPr>
          <w:rFonts w:asciiTheme="majorBidi" w:hAnsiTheme="majorBidi" w:cstheme="majorBidi"/>
        </w:rPr>
        <w:t>n and girls, as exacerbated by</w:t>
      </w:r>
      <w:r w:rsidRPr="000419FA">
        <w:rPr>
          <w:rFonts w:asciiTheme="majorBidi" w:hAnsiTheme="majorBidi" w:cstheme="majorBidi"/>
        </w:rPr>
        <w:t xml:space="preserve"> home confinement</w:t>
      </w:r>
      <w:r w:rsidR="001C1FEA">
        <w:rPr>
          <w:rFonts w:asciiTheme="majorBidi" w:hAnsiTheme="majorBidi" w:cstheme="majorBidi"/>
        </w:rPr>
        <w:t xml:space="preserve"> measures</w:t>
      </w:r>
      <w:r w:rsidRPr="000419FA">
        <w:rPr>
          <w:rFonts w:asciiTheme="majorBidi" w:hAnsiTheme="majorBidi" w:cstheme="majorBidi"/>
        </w:rPr>
        <w:t xml:space="preserve"> in the context of COVID-19, states should ensure effective protection measures including </w:t>
      </w:r>
      <w:r w:rsidR="00913740" w:rsidRPr="000419FA">
        <w:rPr>
          <w:rFonts w:asciiTheme="majorBidi" w:hAnsiTheme="majorBidi" w:cstheme="majorBidi"/>
        </w:rPr>
        <w:t xml:space="preserve">specialized psycho-social support, safe spaces including </w:t>
      </w:r>
      <w:r w:rsidR="000419FA" w:rsidRPr="000419FA">
        <w:rPr>
          <w:rFonts w:asciiTheme="majorBidi" w:hAnsiTheme="majorBidi" w:cstheme="majorBidi"/>
        </w:rPr>
        <w:t>shelters</w:t>
      </w:r>
      <w:r w:rsidR="00913740" w:rsidRPr="000419FA">
        <w:rPr>
          <w:rFonts w:asciiTheme="majorBidi" w:hAnsiTheme="majorBidi" w:cstheme="majorBidi"/>
        </w:rPr>
        <w:t>, and other legal remedies in</w:t>
      </w:r>
      <w:r w:rsidR="00504C01" w:rsidRPr="000419FA">
        <w:rPr>
          <w:rFonts w:asciiTheme="majorBidi" w:hAnsiTheme="majorBidi" w:cstheme="majorBidi"/>
        </w:rPr>
        <w:t xml:space="preserve">cluding </w:t>
      </w:r>
      <w:r w:rsidR="00B762C3" w:rsidRPr="000419FA">
        <w:rPr>
          <w:rFonts w:asciiTheme="majorBidi" w:hAnsiTheme="majorBidi" w:cstheme="majorBidi"/>
        </w:rPr>
        <w:t>fast</w:t>
      </w:r>
      <w:r w:rsidR="00851C2F" w:rsidRPr="000419FA">
        <w:rPr>
          <w:rFonts w:asciiTheme="majorBidi" w:hAnsiTheme="majorBidi" w:cstheme="majorBidi"/>
        </w:rPr>
        <w:t xml:space="preserve"> and free emergency injunction </w:t>
      </w:r>
      <w:r w:rsidR="00336BA0">
        <w:rPr>
          <w:rFonts w:asciiTheme="majorBidi" w:hAnsiTheme="majorBidi" w:cstheme="majorBidi"/>
        </w:rPr>
        <w:t>hearings</w:t>
      </w:r>
      <w:r w:rsidR="00851C2F" w:rsidRPr="000419FA">
        <w:rPr>
          <w:rFonts w:asciiTheme="majorBidi" w:hAnsiTheme="majorBidi" w:cstheme="majorBidi"/>
        </w:rPr>
        <w:t xml:space="preserve"> to remove the abusers from the home. </w:t>
      </w:r>
      <w:r w:rsidR="00504C01" w:rsidRPr="000419FA">
        <w:rPr>
          <w:rFonts w:asciiTheme="majorBidi" w:hAnsiTheme="majorBidi" w:cstheme="majorBidi"/>
        </w:rPr>
        <w:t xml:space="preserve"> </w:t>
      </w:r>
    </w:p>
    <w:p w14:paraId="5FF36295" w14:textId="77777777" w:rsidR="00C9670B" w:rsidRPr="00340E6F" w:rsidRDefault="00444B57" w:rsidP="00C56E66">
      <w:pPr>
        <w:pStyle w:val="ListParagraph"/>
        <w:numPr>
          <w:ilvl w:val="0"/>
          <w:numId w:val="8"/>
        </w:numPr>
        <w:ind w:left="-360" w:right="-334" w:firstLine="0"/>
        <w:jc w:val="both"/>
        <w:rPr>
          <w:rFonts w:asciiTheme="majorBidi" w:hAnsiTheme="majorBidi" w:cstheme="majorBidi"/>
          <w:b/>
          <w:bCs/>
          <w:color w:val="1F497D"/>
          <w:lang w:val="en-US"/>
        </w:rPr>
      </w:pPr>
      <w:r>
        <w:rPr>
          <w:rFonts w:asciiTheme="majorBidi" w:hAnsiTheme="majorBidi" w:cstheme="majorBidi"/>
          <w:lang w:val="en-US"/>
        </w:rPr>
        <w:t xml:space="preserve">In </w:t>
      </w:r>
      <w:r w:rsidR="001C1B1B">
        <w:rPr>
          <w:rFonts w:asciiTheme="majorBidi" w:hAnsiTheme="majorBidi" w:cstheme="majorBidi"/>
          <w:lang w:val="en-US"/>
        </w:rPr>
        <w:t>several</w:t>
      </w:r>
      <w:r>
        <w:rPr>
          <w:rFonts w:asciiTheme="majorBidi" w:hAnsiTheme="majorBidi" w:cstheme="majorBidi"/>
          <w:lang w:val="en-US"/>
        </w:rPr>
        <w:t xml:space="preserve"> countries in the region, </w:t>
      </w:r>
      <w:r w:rsidR="00C9670B" w:rsidRPr="00340E6F">
        <w:rPr>
          <w:rFonts w:asciiTheme="majorBidi" w:hAnsiTheme="majorBidi" w:cstheme="majorBidi"/>
          <w:lang w:val="en-US"/>
        </w:rPr>
        <w:t xml:space="preserve">the pandemic </w:t>
      </w:r>
      <w:r w:rsidR="009148A0">
        <w:rPr>
          <w:rFonts w:asciiTheme="majorBidi" w:hAnsiTheme="majorBidi" w:cstheme="majorBidi"/>
          <w:lang w:val="en-US"/>
        </w:rPr>
        <w:t xml:space="preserve">has </w:t>
      </w:r>
      <w:r w:rsidR="00C9670B" w:rsidRPr="00340E6F">
        <w:rPr>
          <w:rFonts w:asciiTheme="majorBidi" w:hAnsiTheme="majorBidi" w:cstheme="majorBidi"/>
          <w:lang w:val="en-US"/>
        </w:rPr>
        <w:t xml:space="preserve">exposed </w:t>
      </w:r>
      <w:r w:rsidR="005A67B2" w:rsidRPr="00C835E7">
        <w:rPr>
          <w:rFonts w:asciiTheme="majorBidi" w:hAnsiTheme="majorBidi" w:cstheme="majorBidi"/>
          <w:b/>
          <w:bCs/>
          <w:lang w:val="en-US"/>
        </w:rPr>
        <w:t>significant</w:t>
      </w:r>
      <w:r w:rsidR="00A85085" w:rsidRPr="00C835E7">
        <w:rPr>
          <w:rFonts w:asciiTheme="majorBidi" w:hAnsiTheme="majorBidi" w:cstheme="majorBidi"/>
          <w:b/>
          <w:bCs/>
          <w:lang w:val="en-US"/>
        </w:rPr>
        <w:t xml:space="preserve"> gaps in the countries’</w:t>
      </w:r>
      <w:r w:rsidR="00C9670B" w:rsidRPr="00C835E7">
        <w:rPr>
          <w:rFonts w:asciiTheme="majorBidi" w:hAnsiTheme="majorBidi" w:cstheme="majorBidi"/>
          <w:b/>
          <w:bCs/>
          <w:lang w:val="en-US"/>
        </w:rPr>
        <w:t xml:space="preserve"> health care system</w:t>
      </w:r>
      <w:r w:rsidR="00C835E7">
        <w:rPr>
          <w:rFonts w:asciiTheme="majorBidi" w:hAnsiTheme="majorBidi" w:cstheme="majorBidi"/>
          <w:lang w:val="en-US"/>
        </w:rPr>
        <w:t>, including</w:t>
      </w:r>
      <w:r w:rsidR="00C9670B" w:rsidRPr="00340E6F">
        <w:rPr>
          <w:rFonts w:asciiTheme="majorBidi" w:hAnsiTheme="majorBidi" w:cstheme="majorBidi"/>
          <w:lang w:val="en-US"/>
        </w:rPr>
        <w:t xml:space="preserve"> inad</w:t>
      </w:r>
      <w:r w:rsidR="00024FFF">
        <w:rPr>
          <w:rFonts w:asciiTheme="majorBidi" w:hAnsiTheme="majorBidi" w:cstheme="majorBidi"/>
          <w:lang w:val="en-US"/>
        </w:rPr>
        <w:t>equate hospital infrastructure,</w:t>
      </w:r>
      <w:r w:rsidR="00C9670B" w:rsidRPr="00340E6F">
        <w:rPr>
          <w:rFonts w:asciiTheme="majorBidi" w:hAnsiTheme="majorBidi" w:cstheme="majorBidi"/>
          <w:lang w:val="en-US"/>
        </w:rPr>
        <w:t xml:space="preserve"> lack of trained medical personnel</w:t>
      </w:r>
      <w:r w:rsidR="00024FFF">
        <w:rPr>
          <w:rFonts w:asciiTheme="majorBidi" w:hAnsiTheme="majorBidi" w:cstheme="majorBidi"/>
          <w:lang w:val="en-US"/>
        </w:rPr>
        <w:t>, and</w:t>
      </w:r>
      <w:r w:rsidR="001C1B1B">
        <w:rPr>
          <w:rFonts w:asciiTheme="majorBidi" w:hAnsiTheme="majorBidi" w:cstheme="majorBidi"/>
          <w:lang w:val="en-US"/>
        </w:rPr>
        <w:t xml:space="preserve"> </w:t>
      </w:r>
      <w:r w:rsidR="00C9670B" w:rsidRPr="00340E6F">
        <w:rPr>
          <w:rFonts w:asciiTheme="majorBidi" w:hAnsiTheme="majorBidi" w:cstheme="majorBidi"/>
          <w:lang w:val="en-US"/>
        </w:rPr>
        <w:t>large disparities in health care coverage</w:t>
      </w:r>
      <w:r w:rsidR="001C1B1B">
        <w:rPr>
          <w:rFonts w:asciiTheme="majorBidi" w:hAnsiTheme="majorBidi" w:cstheme="majorBidi"/>
          <w:lang w:val="en-US"/>
        </w:rPr>
        <w:t xml:space="preserve">, especially for populations living in rural areas. </w:t>
      </w:r>
      <w:r w:rsidR="005923A7">
        <w:rPr>
          <w:rFonts w:asciiTheme="majorBidi" w:hAnsiTheme="majorBidi" w:cstheme="majorBidi"/>
          <w:lang w:val="en-US"/>
        </w:rPr>
        <w:t>S</w:t>
      </w:r>
      <w:r w:rsidR="00E356D5">
        <w:rPr>
          <w:rFonts w:asciiTheme="majorBidi" w:hAnsiTheme="majorBidi" w:cstheme="majorBidi"/>
          <w:lang w:val="en-US"/>
        </w:rPr>
        <w:t xml:space="preserve">tates should take all efforts </w:t>
      </w:r>
      <w:r w:rsidR="00C56E66">
        <w:rPr>
          <w:rFonts w:asciiTheme="majorBidi" w:hAnsiTheme="majorBidi" w:cstheme="majorBidi"/>
          <w:lang w:val="en-US"/>
        </w:rPr>
        <w:t>provide</w:t>
      </w:r>
      <w:r w:rsidR="00A80D47">
        <w:rPr>
          <w:rFonts w:asciiTheme="majorBidi" w:hAnsiTheme="majorBidi" w:cstheme="majorBidi"/>
          <w:lang w:val="en-US"/>
        </w:rPr>
        <w:t xml:space="preserve"> universal coverage of</w:t>
      </w:r>
      <w:r w:rsidR="00E356D5">
        <w:rPr>
          <w:rFonts w:asciiTheme="majorBidi" w:hAnsiTheme="majorBidi" w:cstheme="majorBidi"/>
          <w:lang w:val="en-US"/>
        </w:rPr>
        <w:t xml:space="preserve"> public health insurance</w:t>
      </w:r>
      <w:r w:rsidR="00754D2F" w:rsidRPr="00340E6F">
        <w:rPr>
          <w:rFonts w:asciiTheme="majorBidi" w:hAnsiTheme="majorBidi" w:cstheme="majorBidi"/>
          <w:lang w:val="en-US"/>
        </w:rPr>
        <w:t>.</w:t>
      </w:r>
    </w:p>
    <w:p w14:paraId="1719CA72" w14:textId="4CAE4F14" w:rsidR="00013A23" w:rsidRDefault="00412EF1" w:rsidP="00851A5E">
      <w:pPr>
        <w:pStyle w:val="ListParagraph"/>
        <w:numPr>
          <w:ilvl w:val="0"/>
          <w:numId w:val="9"/>
        </w:numPr>
        <w:ind w:left="-360" w:right="-334" w:firstLine="0"/>
        <w:jc w:val="both"/>
        <w:rPr>
          <w:rFonts w:asciiTheme="majorBidi" w:hAnsiTheme="majorBidi" w:cstheme="majorBidi"/>
          <w:lang w:val="en-US"/>
        </w:rPr>
      </w:pPr>
      <w:r>
        <w:rPr>
          <w:rFonts w:asciiTheme="majorBidi" w:hAnsiTheme="majorBidi" w:cstheme="majorBidi"/>
          <w:lang w:val="en-US"/>
        </w:rPr>
        <w:lastRenderedPageBreak/>
        <w:t>In</w:t>
      </w:r>
      <w:r w:rsidR="00251307">
        <w:rPr>
          <w:rFonts w:asciiTheme="majorBidi" w:hAnsiTheme="majorBidi" w:cstheme="majorBidi"/>
          <w:lang w:val="en-US"/>
        </w:rPr>
        <w:t xml:space="preserve"> terms of </w:t>
      </w:r>
      <w:r w:rsidR="00251307" w:rsidRPr="002A2C49">
        <w:rPr>
          <w:rFonts w:asciiTheme="majorBidi" w:hAnsiTheme="majorBidi" w:cstheme="majorBidi"/>
          <w:b/>
          <w:bCs/>
          <w:lang w:val="en-US"/>
        </w:rPr>
        <w:t xml:space="preserve">access </w:t>
      </w:r>
      <w:r w:rsidR="00851A5E">
        <w:rPr>
          <w:rFonts w:asciiTheme="majorBidi" w:hAnsiTheme="majorBidi" w:cstheme="majorBidi"/>
          <w:b/>
          <w:bCs/>
          <w:lang w:val="en-US"/>
        </w:rPr>
        <w:t>to</w:t>
      </w:r>
      <w:r w:rsidR="00851A5E" w:rsidRPr="002A2C49">
        <w:rPr>
          <w:rFonts w:asciiTheme="majorBidi" w:hAnsiTheme="majorBidi" w:cstheme="majorBidi"/>
          <w:b/>
          <w:bCs/>
          <w:lang w:val="en-US"/>
        </w:rPr>
        <w:t xml:space="preserve"> </w:t>
      </w:r>
      <w:r w:rsidR="00251307" w:rsidRPr="002A2C49">
        <w:rPr>
          <w:rFonts w:asciiTheme="majorBidi" w:hAnsiTheme="majorBidi" w:cstheme="majorBidi"/>
          <w:b/>
          <w:bCs/>
          <w:lang w:val="en-US"/>
        </w:rPr>
        <w:t>education</w:t>
      </w:r>
      <w:r w:rsidR="00251307">
        <w:rPr>
          <w:rFonts w:asciiTheme="majorBidi" w:hAnsiTheme="majorBidi" w:cstheme="majorBidi"/>
          <w:lang w:val="en-US"/>
        </w:rPr>
        <w:t>, and in the context of schools continuing online teaching, states show redouble efforts to provide the necessary equipment and technology (</w:t>
      </w:r>
      <w:r w:rsidR="00251307" w:rsidRPr="00135A20">
        <w:rPr>
          <w:rFonts w:asciiTheme="majorBidi" w:hAnsiTheme="majorBidi" w:cstheme="majorBidi"/>
          <w:i/>
          <w:iCs/>
          <w:lang w:val="en-US"/>
        </w:rPr>
        <w:t>e.g.</w:t>
      </w:r>
      <w:r w:rsidR="00251307">
        <w:rPr>
          <w:rFonts w:asciiTheme="majorBidi" w:hAnsiTheme="majorBidi" w:cstheme="majorBidi"/>
          <w:lang w:val="en-US"/>
        </w:rPr>
        <w:t xml:space="preserve"> internet connections, </w:t>
      </w:r>
      <w:r w:rsidR="00967E5D">
        <w:rPr>
          <w:rFonts w:asciiTheme="majorBidi" w:hAnsiTheme="majorBidi" w:cstheme="majorBidi"/>
          <w:lang w:val="en-US"/>
        </w:rPr>
        <w:t>laptops</w:t>
      </w:r>
      <w:r w:rsidR="00251307">
        <w:rPr>
          <w:rFonts w:asciiTheme="majorBidi" w:hAnsiTheme="majorBidi" w:cstheme="majorBidi"/>
          <w:lang w:val="en-US"/>
        </w:rPr>
        <w:t xml:space="preserve"> </w:t>
      </w:r>
      <w:r w:rsidR="00251307" w:rsidRPr="00BB197B">
        <w:rPr>
          <w:rFonts w:asciiTheme="majorBidi" w:hAnsiTheme="majorBidi" w:cstheme="majorBidi"/>
          <w:i/>
          <w:iCs/>
          <w:lang w:val="en-US"/>
        </w:rPr>
        <w:t>etc</w:t>
      </w:r>
      <w:r w:rsidR="00BB197B" w:rsidRPr="00BB197B">
        <w:rPr>
          <w:rFonts w:asciiTheme="majorBidi" w:hAnsiTheme="majorBidi" w:cstheme="majorBidi"/>
          <w:i/>
          <w:iCs/>
          <w:lang w:val="en-US"/>
        </w:rPr>
        <w:t>.</w:t>
      </w:r>
      <w:r w:rsidR="00251307">
        <w:rPr>
          <w:rFonts w:asciiTheme="majorBidi" w:hAnsiTheme="majorBidi" w:cstheme="majorBidi"/>
          <w:lang w:val="en-US"/>
        </w:rPr>
        <w:t>) to students in need</w:t>
      </w:r>
      <w:r w:rsidR="00D22A2B">
        <w:rPr>
          <w:rFonts w:asciiTheme="majorBidi" w:hAnsiTheme="majorBidi" w:cstheme="majorBidi"/>
          <w:lang w:val="en-US"/>
        </w:rPr>
        <w:t>. Access to education should also be made available in an accessible way for persons with disabilities</w:t>
      </w:r>
      <w:r w:rsidR="00C943FD">
        <w:rPr>
          <w:rFonts w:asciiTheme="majorBidi" w:hAnsiTheme="majorBidi" w:cstheme="majorBidi"/>
          <w:lang w:val="en-US"/>
        </w:rPr>
        <w:t xml:space="preserve">, either remotely via adapted means tailored to students’ needs, or in-person in a safe </w:t>
      </w:r>
      <w:r w:rsidR="00587C90">
        <w:rPr>
          <w:rFonts w:asciiTheme="majorBidi" w:hAnsiTheme="majorBidi" w:cstheme="majorBidi"/>
          <w:lang w:val="en-US"/>
        </w:rPr>
        <w:t xml:space="preserve">setting with precautionary measures. </w:t>
      </w:r>
    </w:p>
    <w:p w14:paraId="5378227F" w14:textId="77777777" w:rsidR="003B1418" w:rsidRPr="00BC7D05" w:rsidRDefault="003B1418" w:rsidP="00251307">
      <w:pPr>
        <w:pStyle w:val="ListParagraph"/>
        <w:numPr>
          <w:ilvl w:val="0"/>
          <w:numId w:val="18"/>
        </w:numPr>
        <w:ind w:left="-360" w:right="-334" w:firstLine="0"/>
        <w:jc w:val="both"/>
        <w:rPr>
          <w:rFonts w:asciiTheme="majorBidi" w:hAnsiTheme="majorBidi" w:cstheme="majorBidi"/>
          <w:b/>
          <w:bCs/>
        </w:rPr>
      </w:pPr>
      <w:r w:rsidRPr="00894D9D">
        <w:rPr>
          <w:rFonts w:asciiTheme="majorBidi" w:hAnsiTheme="majorBidi" w:cstheme="majorBidi"/>
          <w:b/>
          <w:bCs/>
          <w:lang w:val="en-US"/>
        </w:rPr>
        <w:t>Vaccine roll-out</w:t>
      </w:r>
      <w:r w:rsidRPr="00894D9D">
        <w:rPr>
          <w:rFonts w:asciiTheme="majorBidi" w:hAnsiTheme="majorBidi" w:cstheme="majorBidi"/>
          <w:lang w:val="en-US"/>
        </w:rPr>
        <w:t xml:space="preserve">: </w:t>
      </w:r>
      <w:r w:rsidRPr="00894D9D">
        <w:rPr>
          <w:rFonts w:asciiTheme="majorBidi" w:hAnsiTheme="majorBidi" w:cstheme="majorBidi"/>
        </w:rPr>
        <w:t>In the context of the COVID-19 pandemic, ROMENA is advocating for a human-rights based approach to vaccine roll-out, including affordable and non-discriminatory access.</w:t>
      </w:r>
      <w:r w:rsidRPr="00894D9D">
        <w:rPr>
          <w:rFonts w:asciiTheme="majorBidi" w:hAnsiTheme="majorBidi" w:cstheme="majorBidi"/>
          <w:b/>
          <w:bCs/>
        </w:rPr>
        <w:t xml:space="preserve"> </w:t>
      </w:r>
      <w:r w:rsidRPr="00894D9D">
        <w:rPr>
          <w:rFonts w:asciiTheme="majorBidi" w:hAnsiTheme="majorBidi" w:cstheme="majorBidi"/>
        </w:rPr>
        <w:t xml:space="preserve">ROMENA is promoting OHCHR’s messaging on </w:t>
      </w:r>
      <w:hyperlink r:id="rId7" w:history="1">
        <w:r w:rsidRPr="00894D9D">
          <w:rPr>
            <w:rStyle w:val="Hyperlink"/>
            <w:rFonts w:asciiTheme="majorBidi" w:hAnsiTheme="majorBidi" w:cstheme="majorBidi"/>
          </w:rPr>
          <w:t>Human Rights and Access To COVID-19 Vaccines</w:t>
        </w:r>
      </w:hyperlink>
      <w:r w:rsidRPr="00894D9D">
        <w:rPr>
          <w:rFonts w:asciiTheme="majorBidi" w:hAnsiTheme="majorBidi" w:cstheme="majorBidi"/>
        </w:rPr>
        <w:t xml:space="preserve"> by urging states to ensure that the prioritisation of vaccine delivery is done through transparent protocols and procedures that respect human rights, and guided by recommendations of the World Health Organization. In particular, the determination of early vaccine recipients should not, exclude anyone explicitly or implicitly on the basis of older age, disability, race, gender, migration status or other discriminatory criteria, and should be conducted </w:t>
      </w:r>
      <w:r w:rsidRPr="00BC7D05">
        <w:rPr>
          <w:rFonts w:asciiTheme="majorBidi" w:hAnsiTheme="majorBidi" w:cstheme="majorBidi"/>
        </w:rPr>
        <w:t>through a fair, transparent, inclusive and accountable process.</w:t>
      </w:r>
    </w:p>
    <w:p w14:paraId="42D04CFC" w14:textId="77777777" w:rsidR="003B1418" w:rsidRPr="00BC7D05" w:rsidRDefault="003B1418" w:rsidP="00251307">
      <w:pPr>
        <w:pStyle w:val="ListParagraph"/>
        <w:numPr>
          <w:ilvl w:val="0"/>
          <w:numId w:val="18"/>
        </w:numPr>
        <w:ind w:left="-360" w:right="-334" w:firstLine="0"/>
        <w:jc w:val="both"/>
        <w:rPr>
          <w:rFonts w:asciiTheme="majorBidi" w:hAnsiTheme="majorBidi" w:cstheme="majorBidi"/>
          <w:b/>
          <w:bCs/>
        </w:rPr>
      </w:pPr>
      <w:r w:rsidRPr="00BC7D05">
        <w:rPr>
          <w:rFonts w:asciiTheme="majorBidi" w:hAnsiTheme="majorBidi" w:cstheme="majorBidi"/>
        </w:rPr>
        <w:t xml:space="preserve">Given the global reach of the virus, no country can be considered fully safe until all countries are safe. Thus, in order to effectively suppress the pandemic on an international scale, states must come together in a spirit of common humanity and guided by universal human rights principles, to join forces in combatting the virus in a collaborated and coordinated manner. International cooperation, knowledge-sharing and multilateralism are </w:t>
      </w:r>
      <w:r w:rsidRPr="00BC7D05">
        <w:rPr>
          <w:rFonts w:asciiTheme="majorBidi" w:hAnsiTheme="majorBidi" w:cstheme="majorBidi"/>
          <w:i/>
          <w:iCs/>
        </w:rPr>
        <w:t>sine qua non</w:t>
      </w:r>
      <w:r w:rsidRPr="00BC7D05">
        <w:rPr>
          <w:rFonts w:asciiTheme="majorBidi" w:hAnsiTheme="majorBidi" w:cstheme="majorBidi"/>
        </w:rPr>
        <w:t xml:space="preserve"> conditions to ensure that no one is left behind in the fight against COVID-19. Indeed, the 2030 Agenda for Sustainable Development pledges a revitalisation of the global partnership for sustainable development, including through enhanced North-South, South-South and triangular regional and international cooperation on and access to science, technology and innovation. The 2030 Agenda also commits to reducing inequality within and among countries, making solidarity, cooperation and partnership among States and all stakeholders vital to achieving the Sustainable Development Goals. These principles are particularly relevant in the context of COVID-19, and ROMENA joins OHCHR messaging in calling for international cooperation and global solidarity, including amongst governments and pharmaceutical companies, in ensuring a human rights based approach to vaccine roll out. </w:t>
      </w:r>
    </w:p>
    <w:p w14:paraId="4C263A22" w14:textId="77777777" w:rsidR="004F795F" w:rsidRPr="00BC7D05" w:rsidRDefault="002F4772" w:rsidP="00591B77">
      <w:pPr>
        <w:ind w:left="-360" w:right="-334"/>
        <w:jc w:val="both"/>
        <w:rPr>
          <w:rFonts w:asciiTheme="majorBidi" w:hAnsiTheme="majorBidi" w:cstheme="majorBidi"/>
          <w:color w:val="1F497D"/>
          <w:lang w:val="en-US"/>
        </w:rPr>
      </w:pPr>
      <w:r w:rsidRPr="00BC7D05">
        <w:rPr>
          <w:rFonts w:asciiTheme="majorBidi" w:hAnsiTheme="majorBidi" w:cstheme="majorBidi"/>
          <w:color w:val="1F497D"/>
          <w:lang w:val="en-US"/>
        </w:rPr>
        <w:t>(c) any good or promising practices in these areas, including examples of international cooperation</w:t>
      </w:r>
    </w:p>
    <w:p w14:paraId="71911B57" w14:textId="77777777" w:rsidR="00FA7FFB" w:rsidRPr="00FA7FFB" w:rsidRDefault="00FA7FFB" w:rsidP="00591B77">
      <w:pPr>
        <w:ind w:left="-360" w:right="-334"/>
        <w:jc w:val="both"/>
        <w:rPr>
          <w:rFonts w:asciiTheme="majorBidi" w:hAnsiTheme="majorBidi" w:cstheme="majorBidi"/>
          <w:color w:val="1F497D"/>
          <w:sz w:val="8"/>
          <w:szCs w:val="8"/>
          <w:lang w:val="en-US"/>
        </w:rPr>
      </w:pPr>
    </w:p>
    <w:p w14:paraId="66D2D582" w14:textId="77777777" w:rsidR="008B3435" w:rsidRPr="009646E3" w:rsidRDefault="00F008DE" w:rsidP="00472B4C">
      <w:pPr>
        <w:pStyle w:val="ListParagraph"/>
        <w:numPr>
          <w:ilvl w:val="0"/>
          <w:numId w:val="8"/>
        </w:numPr>
        <w:spacing w:after="0" w:line="240" w:lineRule="auto"/>
        <w:ind w:left="-360" w:right="-334" w:firstLine="0"/>
        <w:contextualSpacing w:val="0"/>
        <w:jc w:val="both"/>
        <w:rPr>
          <w:rFonts w:asciiTheme="majorBidi" w:hAnsiTheme="majorBidi" w:cstheme="majorBidi"/>
          <w:lang w:val="en-US"/>
        </w:rPr>
      </w:pPr>
      <w:r w:rsidRPr="00340E6F">
        <w:rPr>
          <w:rFonts w:asciiTheme="majorBidi" w:hAnsiTheme="majorBidi" w:cstheme="majorBidi"/>
        </w:rPr>
        <w:t xml:space="preserve">Good practices have emerged from the region </w:t>
      </w:r>
      <w:r w:rsidRPr="00340E6F">
        <w:rPr>
          <w:rFonts w:asciiTheme="majorBidi" w:hAnsiTheme="majorBidi" w:cstheme="majorBidi"/>
          <w:i/>
          <w:iCs/>
        </w:rPr>
        <w:t>vis-à-vis</w:t>
      </w:r>
      <w:r w:rsidRPr="00340E6F">
        <w:rPr>
          <w:rFonts w:asciiTheme="majorBidi" w:hAnsiTheme="majorBidi" w:cstheme="majorBidi"/>
        </w:rPr>
        <w:t xml:space="preserve"> ensuring the inclusion of </w:t>
      </w:r>
      <w:r w:rsidRPr="00432F0E">
        <w:rPr>
          <w:rFonts w:asciiTheme="majorBidi" w:hAnsiTheme="majorBidi" w:cstheme="majorBidi"/>
          <w:b/>
          <w:bCs/>
        </w:rPr>
        <w:t xml:space="preserve">persons with disabilities in </w:t>
      </w:r>
      <w:r w:rsidRPr="009646E3">
        <w:rPr>
          <w:rFonts w:asciiTheme="majorBidi" w:hAnsiTheme="majorBidi" w:cstheme="majorBidi"/>
          <w:b/>
          <w:bCs/>
        </w:rPr>
        <w:t>COVID-19 response</w:t>
      </w:r>
      <w:r w:rsidRPr="009646E3">
        <w:rPr>
          <w:rFonts w:asciiTheme="majorBidi" w:hAnsiTheme="majorBidi" w:cstheme="majorBidi"/>
        </w:rPr>
        <w:t xml:space="preserve">. In Kuwait, the Public Authority for Persons with Disabilities distributed </w:t>
      </w:r>
      <w:r w:rsidRPr="009646E3">
        <w:rPr>
          <w:rFonts w:asciiTheme="majorBidi" w:hAnsiTheme="majorBidi" w:cstheme="majorBidi"/>
        </w:rPr>
        <w:lastRenderedPageBreak/>
        <w:t xml:space="preserve">thousands of masks and food parcels for person with disabilities, and also provided medical and psychological support. Meanwhile, </w:t>
      </w:r>
      <w:r w:rsidRPr="009646E3">
        <w:rPr>
          <w:rFonts w:asciiTheme="majorBidi" w:eastAsia="Times New Roman" w:hAnsiTheme="majorBidi" w:cstheme="majorBidi"/>
          <w:iCs/>
        </w:rPr>
        <w:t>several countries have specifically ensured that persons with disabilities are given special dispensation so as not to be disproportionately affected by restriction measures. Furthermore, some countries such as Lebanon have extended the accessibility of education as well as public sensitization campaigns through the use of sign language.</w:t>
      </w:r>
      <w:r w:rsidRPr="009646E3">
        <w:rPr>
          <w:rStyle w:val="EndnoteReference"/>
          <w:rFonts w:asciiTheme="majorBidi" w:eastAsia="Times New Roman" w:hAnsiTheme="majorBidi" w:cstheme="majorBidi"/>
          <w:iCs/>
        </w:rPr>
        <w:endnoteReference w:id="4"/>
      </w:r>
      <w:r w:rsidR="008B3435" w:rsidRPr="009646E3">
        <w:rPr>
          <w:rFonts w:asciiTheme="majorBidi" w:eastAsia="Times New Roman" w:hAnsiTheme="majorBidi" w:cstheme="majorBidi"/>
          <w:iCs/>
        </w:rPr>
        <w:t xml:space="preserve"> </w:t>
      </w:r>
      <w:r w:rsidR="00F32AFA" w:rsidRPr="009646E3">
        <w:rPr>
          <w:rFonts w:asciiTheme="majorBidi" w:eastAsia="Times New Roman" w:hAnsiTheme="majorBidi" w:cstheme="majorBidi"/>
          <w:iCs/>
        </w:rPr>
        <w:t>In Saudi Arabia</w:t>
      </w:r>
      <w:r w:rsidR="0031696E" w:rsidRPr="009646E3">
        <w:rPr>
          <w:rFonts w:asciiTheme="majorBidi" w:eastAsia="Times New Roman" w:hAnsiTheme="majorBidi" w:cstheme="majorBidi"/>
          <w:iCs/>
        </w:rPr>
        <w:t>, the government has ensured</w:t>
      </w:r>
      <w:r w:rsidR="008B3435" w:rsidRPr="009646E3">
        <w:rPr>
          <w:rFonts w:asciiTheme="majorBidi" w:eastAsia="Times New Roman" w:hAnsiTheme="majorBidi" w:cstheme="majorBidi"/>
          <w:iCs/>
        </w:rPr>
        <w:t xml:space="preserve"> </w:t>
      </w:r>
      <w:r w:rsidR="0031696E" w:rsidRPr="009646E3">
        <w:rPr>
          <w:rFonts w:asciiTheme="majorBidi" w:hAnsiTheme="majorBidi" w:cstheme="majorBidi"/>
          <w:lang w:val="en-US"/>
        </w:rPr>
        <w:t xml:space="preserve">accessibility of </w:t>
      </w:r>
      <w:r w:rsidR="008B3435" w:rsidRPr="009646E3">
        <w:rPr>
          <w:rFonts w:asciiTheme="majorBidi" w:hAnsiTheme="majorBidi" w:cstheme="majorBidi"/>
          <w:lang w:val="en-US"/>
        </w:rPr>
        <w:t>education for all students including persons with disabilities</w:t>
      </w:r>
      <w:r w:rsidR="00DF761A" w:rsidRPr="009646E3">
        <w:rPr>
          <w:rFonts w:asciiTheme="majorBidi" w:hAnsiTheme="majorBidi" w:cstheme="majorBidi"/>
          <w:lang w:val="en-US"/>
        </w:rPr>
        <w:t xml:space="preserve"> through virtual learning or in-</w:t>
      </w:r>
      <w:r w:rsidR="008B3435" w:rsidRPr="009646E3">
        <w:rPr>
          <w:rFonts w:asciiTheme="majorBidi" w:hAnsiTheme="majorBidi" w:cstheme="majorBidi"/>
          <w:lang w:val="en-US"/>
        </w:rPr>
        <w:t>person learning as an exceptional measure specifically for students with disabilities.</w:t>
      </w:r>
      <w:r w:rsidR="00F32AFA" w:rsidRPr="009646E3">
        <w:rPr>
          <w:rFonts w:asciiTheme="majorBidi" w:hAnsiTheme="majorBidi" w:cstheme="majorBidi"/>
          <w:lang w:val="en-US"/>
        </w:rPr>
        <w:t xml:space="preserve"> In addition, d</w:t>
      </w:r>
      <w:r w:rsidR="008B3435" w:rsidRPr="009646E3">
        <w:rPr>
          <w:rFonts w:asciiTheme="majorBidi" w:hAnsiTheme="majorBidi" w:cstheme="majorBidi"/>
          <w:lang w:val="en-US"/>
        </w:rPr>
        <w:t>evices were provided to students in need</w:t>
      </w:r>
      <w:r w:rsidR="004B73B0" w:rsidRPr="009646E3">
        <w:rPr>
          <w:rFonts w:asciiTheme="majorBidi" w:hAnsiTheme="majorBidi" w:cstheme="majorBidi"/>
          <w:lang w:val="en-US"/>
        </w:rPr>
        <w:t>, as well as</w:t>
      </w:r>
      <w:r w:rsidR="008B3435" w:rsidRPr="009646E3">
        <w:rPr>
          <w:rFonts w:asciiTheme="majorBidi" w:hAnsiTheme="majorBidi" w:cstheme="majorBidi"/>
          <w:lang w:val="en-US"/>
        </w:rPr>
        <w:t xml:space="preserve"> free access to internet connection. </w:t>
      </w:r>
    </w:p>
    <w:p w14:paraId="4155D4A3" w14:textId="77777777" w:rsidR="00F008DE" w:rsidRDefault="00F008DE" w:rsidP="00D94EA2">
      <w:pPr>
        <w:pStyle w:val="ListParagraph"/>
        <w:numPr>
          <w:ilvl w:val="0"/>
          <w:numId w:val="6"/>
        </w:numPr>
        <w:tabs>
          <w:tab w:val="left" w:pos="0"/>
          <w:tab w:val="left" w:pos="540"/>
          <w:tab w:val="left" w:pos="720"/>
          <w:tab w:val="left" w:pos="9180"/>
        </w:tabs>
        <w:spacing w:line="240" w:lineRule="auto"/>
        <w:ind w:left="-360" w:right="-334" w:firstLine="0"/>
        <w:jc w:val="both"/>
        <w:rPr>
          <w:rFonts w:asciiTheme="majorBidi" w:hAnsiTheme="majorBidi" w:cstheme="majorBidi"/>
          <w:lang w:val="en-US"/>
        </w:rPr>
      </w:pPr>
      <w:r w:rsidRPr="00760BF1">
        <w:rPr>
          <w:rFonts w:asciiTheme="majorBidi" w:hAnsiTheme="majorBidi" w:cstheme="majorBidi"/>
          <w:lang w:val="en-US"/>
        </w:rPr>
        <w:t xml:space="preserve">With regard to the </w:t>
      </w:r>
      <w:r w:rsidRPr="00A06C2F">
        <w:rPr>
          <w:rFonts w:asciiTheme="majorBidi" w:hAnsiTheme="majorBidi" w:cstheme="majorBidi"/>
          <w:b/>
          <w:bCs/>
          <w:lang w:val="en-US"/>
        </w:rPr>
        <w:t>impact of COVID-19 on older persons</w:t>
      </w:r>
      <w:r w:rsidRPr="00760BF1">
        <w:rPr>
          <w:rFonts w:asciiTheme="majorBidi" w:hAnsiTheme="majorBidi" w:cstheme="majorBidi"/>
          <w:lang w:val="en-US"/>
        </w:rPr>
        <w:t xml:space="preserve">, several countries across the region have introduced specialized support services. In Algeria, measures have been introduced to strengthen health, social and psychological care for older persons. In Qatar, the authorities launched an initiative to deliver essential materials and daily needs to the elderly in order to prevent the spread of COVID-19. They further </w:t>
      </w:r>
      <w:r w:rsidR="008A051C">
        <w:rPr>
          <w:rFonts w:asciiTheme="majorBidi" w:hAnsiTheme="majorBidi" w:cstheme="majorBidi"/>
          <w:lang w:val="en-US"/>
        </w:rPr>
        <w:t xml:space="preserve">launched </w:t>
      </w:r>
      <w:r w:rsidRPr="00760BF1">
        <w:rPr>
          <w:rFonts w:asciiTheme="majorBidi" w:hAnsiTheme="majorBidi" w:cstheme="majorBidi"/>
          <w:lang w:val="en-US"/>
        </w:rPr>
        <w:t>a</w:t>
      </w:r>
      <w:r w:rsidR="008A051C">
        <w:rPr>
          <w:rFonts w:asciiTheme="majorBidi" w:hAnsiTheme="majorBidi" w:cstheme="majorBidi"/>
          <w:lang w:val="en-US"/>
        </w:rPr>
        <w:t xml:space="preserve"> phone</w:t>
      </w:r>
      <w:r w:rsidRPr="00760BF1">
        <w:rPr>
          <w:rFonts w:asciiTheme="majorBidi" w:hAnsiTheme="majorBidi" w:cstheme="majorBidi"/>
          <w:lang w:val="en-US"/>
        </w:rPr>
        <w:t xml:space="preserve"> </w:t>
      </w:r>
      <w:r w:rsidR="00D94EA2">
        <w:rPr>
          <w:rFonts w:asciiTheme="majorBidi" w:hAnsiTheme="majorBidi" w:cstheme="majorBidi"/>
          <w:lang w:val="en-US"/>
        </w:rPr>
        <w:t>hotline</w:t>
      </w:r>
      <w:r w:rsidRPr="00760BF1">
        <w:rPr>
          <w:rFonts w:asciiTheme="majorBidi" w:hAnsiTheme="majorBidi" w:cstheme="majorBidi"/>
          <w:lang w:val="en-US"/>
        </w:rPr>
        <w:t xml:space="preserve"> aimed at providing social and psychological counselling for the elderly amid the pandemic. In addition, the Hamad Medical Corporation is jointly venturing with the World Health Organization to develop a COVID-19 Risk Reduction Plan for the elderly. In UAE, a Mobile Laboratory Unit (MLU) was launched to provide free testing for the elderly at their homes. Meanwhile in Bahrain, special opening hours in grocery stores have been dedicated for older persons. </w:t>
      </w:r>
      <w:r w:rsidR="00764743">
        <w:rPr>
          <w:rFonts w:asciiTheme="majorBidi" w:hAnsiTheme="majorBidi" w:cstheme="majorBidi"/>
          <w:lang w:val="en-US"/>
        </w:rPr>
        <w:t>Bahrain</w:t>
      </w:r>
      <w:r w:rsidR="00031833">
        <w:rPr>
          <w:rFonts w:asciiTheme="majorBidi" w:hAnsiTheme="majorBidi" w:cstheme="majorBidi"/>
          <w:lang w:val="en-US"/>
        </w:rPr>
        <w:t xml:space="preserve"> also launched</w:t>
      </w:r>
      <w:r w:rsidR="00835B84" w:rsidRPr="00760BF1">
        <w:rPr>
          <w:rFonts w:asciiTheme="majorBidi" w:hAnsiTheme="majorBidi" w:cstheme="majorBidi"/>
          <w:lang w:val="en-US"/>
        </w:rPr>
        <w:t xml:space="preserve"> mobile vaccination units to provide COVID-19 vaccinations to the elderly and pe</w:t>
      </w:r>
      <w:r w:rsidR="00162EFD">
        <w:rPr>
          <w:rFonts w:asciiTheme="majorBidi" w:hAnsiTheme="majorBidi" w:cstheme="majorBidi"/>
          <w:lang w:val="en-US"/>
        </w:rPr>
        <w:t>rsons</w:t>
      </w:r>
      <w:r w:rsidR="00835B84" w:rsidRPr="00760BF1">
        <w:rPr>
          <w:rFonts w:asciiTheme="majorBidi" w:hAnsiTheme="majorBidi" w:cstheme="majorBidi"/>
          <w:lang w:val="en-US"/>
        </w:rPr>
        <w:t xml:space="preserve"> with sp</w:t>
      </w:r>
      <w:r w:rsidR="00162EFD">
        <w:rPr>
          <w:rFonts w:asciiTheme="majorBidi" w:hAnsiTheme="majorBidi" w:cstheme="majorBidi"/>
          <w:lang w:val="en-US"/>
        </w:rPr>
        <w:t>ecial needs.</w:t>
      </w:r>
    </w:p>
    <w:p w14:paraId="14CB4716" w14:textId="77777777" w:rsidR="006D4DAC" w:rsidRPr="00760BF1" w:rsidRDefault="006D4DAC" w:rsidP="006D4DAC">
      <w:pPr>
        <w:pStyle w:val="ListParagraph"/>
        <w:numPr>
          <w:ilvl w:val="0"/>
          <w:numId w:val="6"/>
        </w:numPr>
        <w:spacing w:after="0" w:line="240" w:lineRule="auto"/>
        <w:ind w:left="-360" w:right="-334" w:firstLine="0"/>
        <w:contextualSpacing w:val="0"/>
        <w:jc w:val="both"/>
        <w:rPr>
          <w:rFonts w:asciiTheme="majorBidi" w:hAnsiTheme="majorBidi" w:cstheme="majorBidi"/>
          <w:lang w:val="en-US"/>
        </w:rPr>
      </w:pPr>
      <w:r>
        <w:rPr>
          <w:rFonts w:asciiTheme="majorBidi" w:hAnsiTheme="majorBidi" w:cstheme="majorBidi"/>
          <w:lang w:val="en-US"/>
        </w:rPr>
        <w:t>J</w:t>
      </w:r>
      <w:r w:rsidRPr="00760BF1">
        <w:rPr>
          <w:rFonts w:asciiTheme="majorBidi" w:hAnsiTheme="majorBidi" w:cstheme="majorBidi"/>
          <w:lang w:val="en-US"/>
        </w:rPr>
        <w:t xml:space="preserve">ordan was among one of the first countries in </w:t>
      </w:r>
      <w:r>
        <w:rPr>
          <w:rFonts w:asciiTheme="majorBidi" w:hAnsiTheme="majorBidi" w:cstheme="majorBidi"/>
          <w:lang w:val="en-US"/>
        </w:rPr>
        <w:t>the region</w:t>
      </w:r>
      <w:r w:rsidRPr="00760BF1">
        <w:rPr>
          <w:rFonts w:asciiTheme="majorBidi" w:hAnsiTheme="majorBidi" w:cstheme="majorBidi"/>
          <w:lang w:val="en-US"/>
        </w:rPr>
        <w:t xml:space="preserve"> to announce that it would </w:t>
      </w:r>
      <w:r w:rsidRPr="002962AD">
        <w:rPr>
          <w:rFonts w:asciiTheme="majorBidi" w:hAnsiTheme="majorBidi" w:cstheme="majorBidi"/>
          <w:b/>
          <w:bCs/>
          <w:lang w:val="en-US"/>
        </w:rPr>
        <w:t>vaccinate all refugees</w:t>
      </w:r>
      <w:r w:rsidRPr="00760BF1">
        <w:rPr>
          <w:rFonts w:asciiTheme="majorBidi" w:hAnsiTheme="majorBidi" w:cstheme="majorBidi"/>
          <w:lang w:val="en-US"/>
        </w:rPr>
        <w:t xml:space="preserve"> in its territory.</w:t>
      </w:r>
    </w:p>
    <w:p w14:paraId="5572D09C" w14:textId="77777777" w:rsidR="006D4DAC" w:rsidRDefault="00BD6547" w:rsidP="006D4DAC">
      <w:pPr>
        <w:pStyle w:val="ListParagraph"/>
        <w:numPr>
          <w:ilvl w:val="0"/>
          <w:numId w:val="6"/>
        </w:numPr>
        <w:spacing w:line="240" w:lineRule="auto"/>
        <w:ind w:left="-360" w:right="-334" w:firstLine="0"/>
        <w:jc w:val="both"/>
        <w:rPr>
          <w:rFonts w:asciiTheme="majorBidi" w:hAnsiTheme="majorBidi" w:cstheme="majorBidi"/>
          <w:lang w:val="en-US"/>
        </w:rPr>
      </w:pPr>
      <w:r>
        <w:rPr>
          <w:rFonts w:asciiTheme="majorBidi" w:hAnsiTheme="majorBidi" w:cstheme="majorBidi"/>
          <w:lang w:val="en-US"/>
        </w:rPr>
        <w:t xml:space="preserve">In Morocco, there have been significant </w:t>
      </w:r>
      <w:r w:rsidRPr="00363792">
        <w:rPr>
          <w:rFonts w:asciiTheme="majorBidi" w:hAnsiTheme="majorBidi" w:cstheme="majorBidi"/>
          <w:b/>
          <w:bCs/>
          <w:lang w:val="en-US"/>
        </w:rPr>
        <w:t>public/private solidarity initiatives</w:t>
      </w:r>
      <w:r>
        <w:rPr>
          <w:rFonts w:asciiTheme="majorBidi" w:hAnsiTheme="majorBidi" w:cstheme="majorBidi"/>
          <w:lang w:val="en-US"/>
        </w:rPr>
        <w:t xml:space="preserve"> to raise funds </w:t>
      </w:r>
      <w:r w:rsidR="00C9670B" w:rsidRPr="0089451D">
        <w:rPr>
          <w:rFonts w:asciiTheme="majorBidi" w:hAnsiTheme="majorBidi" w:cstheme="majorBidi"/>
          <w:lang w:val="en-US"/>
        </w:rPr>
        <w:t>to</w:t>
      </w:r>
      <w:r w:rsidRPr="0089451D">
        <w:rPr>
          <w:rFonts w:asciiTheme="majorBidi" w:hAnsiTheme="majorBidi" w:cstheme="majorBidi"/>
          <w:lang w:val="en-US"/>
        </w:rPr>
        <w:t xml:space="preserve"> help alleviate</w:t>
      </w:r>
      <w:r w:rsidR="00C9670B" w:rsidRPr="0089451D">
        <w:rPr>
          <w:rFonts w:asciiTheme="majorBidi" w:hAnsiTheme="majorBidi" w:cstheme="majorBidi"/>
          <w:lang w:val="en-US"/>
        </w:rPr>
        <w:t xml:space="preserve"> the economic and social consequences of C</w:t>
      </w:r>
      <w:r w:rsidR="003B0240" w:rsidRPr="0089451D">
        <w:rPr>
          <w:rFonts w:asciiTheme="majorBidi" w:hAnsiTheme="majorBidi" w:cstheme="majorBidi"/>
          <w:lang w:val="en-US"/>
        </w:rPr>
        <w:t>OVID</w:t>
      </w:r>
      <w:r w:rsidR="00C9670B" w:rsidRPr="0089451D">
        <w:rPr>
          <w:rFonts w:asciiTheme="majorBidi" w:hAnsiTheme="majorBidi" w:cstheme="majorBidi"/>
          <w:lang w:val="en-US"/>
        </w:rPr>
        <w:t>-19</w:t>
      </w:r>
      <w:r w:rsidR="00C9670B" w:rsidRPr="00340E6F">
        <w:rPr>
          <w:rFonts w:asciiTheme="majorBidi" w:hAnsiTheme="majorBidi" w:cstheme="majorBidi"/>
          <w:lang w:val="en-US"/>
        </w:rPr>
        <w:t>. By decision of King Mohammed VI, a special C</w:t>
      </w:r>
      <w:r w:rsidR="00AF4975">
        <w:rPr>
          <w:rFonts w:asciiTheme="majorBidi" w:hAnsiTheme="majorBidi" w:cstheme="majorBidi"/>
          <w:lang w:val="en-US"/>
        </w:rPr>
        <w:t>OVID</w:t>
      </w:r>
      <w:r w:rsidR="00C9670B" w:rsidRPr="00340E6F">
        <w:rPr>
          <w:rFonts w:asciiTheme="majorBidi" w:hAnsiTheme="majorBidi" w:cstheme="majorBidi"/>
          <w:lang w:val="en-US"/>
        </w:rPr>
        <w:t>-19 fund was established in mid-March</w:t>
      </w:r>
      <w:r w:rsidR="00F332C5">
        <w:rPr>
          <w:rFonts w:asciiTheme="majorBidi" w:hAnsiTheme="majorBidi" w:cstheme="majorBidi"/>
          <w:lang w:val="en-US"/>
        </w:rPr>
        <w:t xml:space="preserve"> 2020</w:t>
      </w:r>
      <w:r w:rsidR="00C9670B" w:rsidRPr="00340E6F">
        <w:rPr>
          <w:rFonts w:asciiTheme="majorBidi" w:hAnsiTheme="majorBidi" w:cstheme="majorBidi"/>
          <w:lang w:val="en-US"/>
        </w:rPr>
        <w:t xml:space="preserve">. </w:t>
      </w:r>
      <w:r w:rsidR="00AF4975">
        <w:rPr>
          <w:rFonts w:asciiTheme="majorBidi" w:hAnsiTheme="majorBidi" w:cstheme="majorBidi"/>
          <w:lang w:val="en-US"/>
        </w:rPr>
        <w:t xml:space="preserve">Supported with </w:t>
      </w:r>
      <w:r w:rsidR="00C9670B" w:rsidRPr="00340E6F">
        <w:rPr>
          <w:rFonts w:asciiTheme="majorBidi" w:hAnsiTheme="majorBidi" w:cstheme="majorBidi"/>
          <w:lang w:val="en-US"/>
        </w:rPr>
        <w:t>donations from all the country's public institutions as well as by large private companies, it has so far raised 33 billion dirhams. As the European Union has announced that it will add an additional € 450 million to the fund, the Moroccan support plan will thus represent more than 3% of GDP.</w:t>
      </w:r>
    </w:p>
    <w:p w14:paraId="30B9E4AA" w14:textId="77777777" w:rsidR="00E27E9A" w:rsidRPr="00894A3D" w:rsidRDefault="00455170" w:rsidP="00976F6F">
      <w:pPr>
        <w:pStyle w:val="ListParagraph"/>
        <w:numPr>
          <w:ilvl w:val="0"/>
          <w:numId w:val="6"/>
        </w:numPr>
        <w:spacing w:line="240" w:lineRule="auto"/>
        <w:ind w:left="-360" w:right="-334" w:firstLine="0"/>
        <w:jc w:val="both"/>
        <w:rPr>
          <w:rFonts w:asciiTheme="majorBidi" w:hAnsiTheme="majorBidi" w:cstheme="majorBidi"/>
          <w:lang w:val="en-US"/>
        </w:rPr>
      </w:pPr>
      <w:r w:rsidRPr="00894A3D">
        <w:rPr>
          <w:rFonts w:asciiTheme="majorBidi" w:hAnsiTheme="majorBidi" w:cstheme="majorBidi"/>
          <w:lang w:val="en-US"/>
        </w:rPr>
        <w:t xml:space="preserve">There are many good examples of </w:t>
      </w:r>
      <w:r w:rsidRPr="00894A3D">
        <w:rPr>
          <w:rFonts w:asciiTheme="majorBidi" w:hAnsiTheme="majorBidi" w:cstheme="majorBidi"/>
          <w:b/>
          <w:bCs/>
          <w:lang w:val="en-US"/>
        </w:rPr>
        <w:t>international and regional solidarity in the fight against COVID-19</w:t>
      </w:r>
      <w:r w:rsidRPr="00894A3D">
        <w:rPr>
          <w:rFonts w:asciiTheme="majorBidi" w:hAnsiTheme="majorBidi" w:cstheme="majorBidi"/>
          <w:lang w:val="en-US"/>
        </w:rPr>
        <w:t>. Qatar provided</w:t>
      </w:r>
      <w:r w:rsidR="00733AB6" w:rsidRPr="00894A3D">
        <w:rPr>
          <w:rFonts w:asciiTheme="majorBidi" w:hAnsiTheme="majorBidi" w:cstheme="majorBidi"/>
          <w:lang w:val="en-US"/>
        </w:rPr>
        <w:t xml:space="preserve"> </w:t>
      </w:r>
      <w:r w:rsidR="00BE4643" w:rsidRPr="00894A3D">
        <w:rPr>
          <w:rFonts w:asciiTheme="majorBidi" w:hAnsiTheme="majorBidi" w:cstheme="majorBidi"/>
          <w:lang w:val="en-US"/>
        </w:rPr>
        <w:t xml:space="preserve">two field hospitals to Lebanon to </w:t>
      </w:r>
      <w:r w:rsidR="00733AB6" w:rsidRPr="00894A3D">
        <w:rPr>
          <w:rFonts w:asciiTheme="majorBidi" w:hAnsiTheme="majorBidi" w:cstheme="majorBidi"/>
          <w:lang w:val="en-US"/>
        </w:rPr>
        <w:t xml:space="preserve">boost </w:t>
      </w:r>
      <w:r w:rsidR="004F28C0" w:rsidRPr="00894A3D">
        <w:rPr>
          <w:rFonts w:asciiTheme="majorBidi" w:hAnsiTheme="majorBidi" w:cstheme="majorBidi"/>
          <w:lang w:val="en-US"/>
        </w:rPr>
        <w:t xml:space="preserve">medical </w:t>
      </w:r>
      <w:r w:rsidR="00733AB6" w:rsidRPr="00894A3D">
        <w:rPr>
          <w:rFonts w:asciiTheme="majorBidi" w:hAnsiTheme="majorBidi" w:cstheme="majorBidi"/>
          <w:lang w:val="en-US"/>
        </w:rPr>
        <w:t>capacity, especially shortage of</w:t>
      </w:r>
      <w:r w:rsidR="00BE4643" w:rsidRPr="00894A3D">
        <w:rPr>
          <w:rFonts w:asciiTheme="majorBidi" w:hAnsiTheme="majorBidi" w:cstheme="majorBidi"/>
          <w:lang w:val="en-US"/>
        </w:rPr>
        <w:t xml:space="preserve"> hospital beds.</w:t>
      </w:r>
      <w:r w:rsidR="008E1A9C" w:rsidRPr="00894A3D">
        <w:rPr>
          <w:rFonts w:asciiTheme="majorBidi" w:hAnsiTheme="majorBidi" w:cstheme="majorBidi"/>
          <w:lang w:val="en-US"/>
        </w:rPr>
        <w:t xml:space="preserve"> </w:t>
      </w:r>
      <w:r w:rsidR="00CF7787" w:rsidRPr="00894A3D">
        <w:rPr>
          <w:rFonts w:asciiTheme="majorBidi" w:hAnsiTheme="majorBidi" w:cstheme="majorBidi"/>
          <w:lang w:val="en-US"/>
        </w:rPr>
        <w:t>UAE has provided</w:t>
      </w:r>
      <w:r w:rsidR="008E1A9C" w:rsidRPr="00894A3D">
        <w:rPr>
          <w:rFonts w:asciiTheme="majorBidi" w:hAnsiTheme="majorBidi" w:cstheme="majorBidi"/>
          <w:lang w:val="en-US"/>
        </w:rPr>
        <w:t xml:space="preserve"> medical supplies to a number of countries, as well as setting up a field hospital in the UK.</w:t>
      </w:r>
      <w:r w:rsidR="009171C7" w:rsidRPr="00894A3D">
        <w:rPr>
          <w:rFonts w:asciiTheme="majorBidi" w:hAnsiTheme="majorBidi" w:cstheme="majorBidi"/>
          <w:lang w:val="en-US"/>
        </w:rPr>
        <w:t xml:space="preserve"> </w:t>
      </w:r>
      <w:r w:rsidR="0017138E" w:rsidRPr="00894A3D">
        <w:rPr>
          <w:rFonts w:asciiTheme="majorBidi" w:hAnsiTheme="majorBidi" w:cstheme="majorBidi"/>
          <w:lang w:val="en-US"/>
        </w:rPr>
        <w:t>Similarly, Saudi Arabia’s</w:t>
      </w:r>
      <w:r w:rsidR="00706B72" w:rsidRPr="00894A3D">
        <w:rPr>
          <w:rFonts w:asciiTheme="majorBidi" w:hAnsiTheme="majorBidi" w:cstheme="majorBidi"/>
        </w:rPr>
        <w:t xml:space="preserve"> </w:t>
      </w:r>
      <w:r w:rsidR="009171C7" w:rsidRPr="00894A3D">
        <w:rPr>
          <w:rFonts w:asciiTheme="majorBidi" w:hAnsiTheme="majorBidi" w:cstheme="majorBidi"/>
          <w:lang w:val="en-US"/>
        </w:rPr>
        <w:t xml:space="preserve">King Salman Center for Relief </w:t>
      </w:r>
      <w:r w:rsidR="009171C7" w:rsidRPr="00894A3D">
        <w:rPr>
          <w:rFonts w:asciiTheme="majorBidi" w:hAnsiTheme="majorBidi" w:cstheme="majorBidi"/>
        </w:rPr>
        <w:t xml:space="preserve">supplied various countries with medical equipment in order to combat COVID-19, including Yemen, Jordan, Syria, Bangladesh, and the United Kingdom. </w:t>
      </w:r>
      <w:r w:rsidR="009171C7" w:rsidRPr="00894A3D">
        <w:rPr>
          <w:rFonts w:asciiTheme="majorBidi" w:hAnsiTheme="majorBidi" w:cstheme="majorBidi"/>
          <w:lang w:val="en-US"/>
        </w:rPr>
        <w:t>Saudi Arabia is currently negotiating vaccine production companies in order to pro</w:t>
      </w:r>
      <w:r w:rsidR="009171C7" w:rsidRPr="00894A3D">
        <w:rPr>
          <w:rFonts w:asciiTheme="majorBidi" w:hAnsiTheme="majorBidi" w:cstheme="majorBidi"/>
          <w:lang w:val="en-US"/>
        </w:rPr>
        <w:lastRenderedPageBreak/>
        <w:t>vide vaccines to low</w:t>
      </w:r>
      <w:r w:rsidR="00451C74" w:rsidRPr="00894A3D">
        <w:rPr>
          <w:rFonts w:asciiTheme="majorBidi" w:hAnsiTheme="majorBidi" w:cstheme="majorBidi"/>
          <w:lang w:val="en-US"/>
        </w:rPr>
        <w:t>er</w:t>
      </w:r>
      <w:r w:rsidR="009171C7" w:rsidRPr="00894A3D">
        <w:rPr>
          <w:rFonts w:asciiTheme="majorBidi" w:hAnsiTheme="majorBidi" w:cstheme="majorBidi"/>
          <w:lang w:val="en-US"/>
        </w:rPr>
        <w:t>-income countries such as Yemen and countries in Africa.</w:t>
      </w:r>
      <w:r w:rsidR="0047697B" w:rsidRPr="00894A3D">
        <w:rPr>
          <w:rFonts w:asciiTheme="majorBidi" w:hAnsiTheme="majorBidi" w:cstheme="majorBidi"/>
          <w:lang w:val="en-US"/>
        </w:rPr>
        <w:t xml:space="preserve"> </w:t>
      </w:r>
      <w:r w:rsidR="00D32996" w:rsidRPr="00894A3D">
        <w:rPr>
          <w:rFonts w:asciiTheme="majorBidi" w:hAnsiTheme="majorBidi" w:cstheme="majorBidi"/>
          <w:lang w:val="en-US"/>
        </w:rPr>
        <w:t xml:space="preserve">Algeria </w:t>
      </w:r>
      <w:r w:rsidR="0047697B" w:rsidRPr="00894A3D">
        <w:rPr>
          <w:rFonts w:asciiTheme="majorBidi" w:hAnsiTheme="majorBidi" w:cstheme="majorBidi"/>
          <w:lang w:val="en-US"/>
        </w:rPr>
        <w:t>received significant</w:t>
      </w:r>
      <w:r w:rsidR="00D32996" w:rsidRPr="00894A3D">
        <w:rPr>
          <w:rFonts w:asciiTheme="majorBidi" w:hAnsiTheme="majorBidi" w:cstheme="majorBidi"/>
          <w:lang w:val="en-US"/>
        </w:rPr>
        <w:t xml:space="preserve"> support</w:t>
      </w:r>
      <w:r w:rsidR="0047697B" w:rsidRPr="00894A3D">
        <w:rPr>
          <w:rFonts w:asciiTheme="majorBidi" w:hAnsiTheme="majorBidi" w:cstheme="majorBidi"/>
          <w:lang w:val="en-US"/>
        </w:rPr>
        <w:t xml:space="preserve"> from</w:t>
      </w:r>
      <w:r w:rsidR="00D32996" w:rsidRPr="00894A3D">
        <w:rPr>
          <w:rFonts w:asciiTheme="majorBidi" w:hAnsiTheme="majorBidi" w:cstheme="majorBidi"/>
          <w:lang w:val="en-US"/>
        </w:rPr>
        <w:t xml:space="preserve"> China</w:t>
      </w:r>
      <w:r w:rsidR="0047697B" w:rsidRPr="00894A3D">
        <w:rPr>
          <w:rFonts w:asciiTheme="majorBidi" w:hAnsiTheme="majorBidi" w:cstheme="majorBidi"/>
          <w:lang w:val="en-US"/>
        </w:rPr>
        <w:t>, which provided</w:t>
      </w:r>
      <w:r w:rsidR="00D32996" w:rsidRPr="00894A3D">
        <w:rPr>
          <w:rFonts w:asciiTheme="majorBidi" w:hAnsiTheme="majorBidi" w:cstheme="majorBidi"/>
          <w:lang w:val="en-US"/>
        </w:rPr>
        <w:t xml:space="preserve"> medical supplies,</w:t>
      </w:r>
      <w:r w:rsidR="0047697B" w:rsidRPr="00894A3D">
        <w:rPr>
          <w:rFonts w:asciiTheme="majorBidi" w:hAnsiTheme="majorBidi" w:cstheme="majorBidi"/>
          <w:lang w:val="en-US"/>
        </w:rPr>
        <w:t xml:space="preserve"> including large quantities of personal protective equipment, as well as </w:t>
      </w:r>
      <w:r w:rsidR="002A1355" w:rsidRPr="00894A3D">
        <w:rPr>
          <w:rFonts w:asciiTheme="majorBidi" w:hAnsiTheme="majorBidi" w:cstheme="majorBidi"/>
          <w:lang w:val="en-US"/>
        </w:rPr>
        <w:t>respirators</w:t>
      </w:r>
      <w:r w:rsidR="0047697B" w:rsidRPr="00894A3D">
        <w:rPr>
          <w:rFonts w:asciiTheme="majorBidi" w:hAnsiTheme="majorBidi" w:cstheme="majorBidi"/>
          <w:lang w:val="en-US"/>
        </w:rPr>
        <w:t xml:space="preserve"> for intensive care units. </w:t>
      </w:r>
    </w:p>
    <w:p w14:paraId="66860820" w14:textId="77777777" w:rsidR="00C9670B" w:rsidRDefault="00C9670B"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3EF2A092"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7D06DEEC"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0BA2F46E"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0587DAA2"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47DB34F2"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3F8AF551"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50F1F041"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6C9AC08E"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07DA0AB7"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52D9BD29" w14:textId="77777777" w:rsidR="004029D2" w:rsidRDefault="004029D2"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063AADF5" w14:textId="77777777" w:rsidR="00E3305A" w:rsidRDefault="00E3305A"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14303E3D" w14:textId="77777777" w:rsidR="00E3305A" w:rsidRDefault="00E3305A"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19D06069" w14:textId="77777777" w:rsidR="00E3305A" w:rsidRDefault="00E3305A"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6A0F6319" w14:textId="77777777" w:rsidR="00E3305A" w:rsidRPr="00340E6F" w:rsidRDefault="00E3305A" w:rsidP="00591B77">
      <w:pPr>
        <w:pStyle w:val="ListParagraph"/>
        <w:tabs>
          <w:tab w:val="left" w:pos="360"/>
          <w:tab w:val="left" w:pos="540"/>
          <w:tab w:val="left" w:pos="720"/>
          <w:tab w:val="left" w:pos="9180"/>
        </w:tabs>
        <w:spacing w:line="276" w:lineRule="auto"/>
        <w:ind w:left="-360" w:right="-334"/>
        <w:jc w:val="both"/>
        <w:rPr>
          <w:rFonts w:asciiTheme="majorBidi" w:hAnsiTheme="majorBidi" w:cstheme="majorBidi"/>
        </w:rPr>
      </w:pPr>
    </w:p>
    <w:p w14:paraId="6B59B6CE" w14:textId="77777777" w:rsidR="00F008DE" w:rsidRDefault="00F008DE" w:rsidP="00591B77">
      <w:pPr>
        <w:ind w:left="-360" w:right="-334"/>
        <w:jc w:val="both"/>
        <w:rPr>
          <w:rFonts w:asciiTheme="majorBidi" w:hAnsiTheme="majorBidi" w:cstheme="majorBidi"/>
        </w:rPr>
      </w:pPr>
    </w:p>
    <w:p w14:paraId="6BC6FF49" w14:textId="77777777" w:rsidR="00E3305A" w:rsidRDefault="00E3305A" w:rsidP="00591B77">
      <w:pPr>
        <w:ind w:left="-360" w:right="-334"/>
        <w:jc w:val="both"/>
        <w:rPr>
          <w:rFonts w:asciiTheme="majorBidi" w:hAnsiTheme="majorBidi" w:cstheme="majorBidi"/>
        </w:rPr>
      </w:pPr>
    </w:p>
    <w:p w14:paraId="4C3C7680" w14:textId="77777777" w:rsidR="00E3305A" w:rsidRDefault="00E3305A" w:rsidP="00591B77">
      <w:pPr>
        <w:ind w:left="-360" w:right="-334"/>
        <w:jc w:val="both"/>
        <w:rPr>
          <w:rFonts w:asciiTheme="majorBidi" w:hAnsiTheme="majorBidi" w:cstheme="majorBidi"/>
        </w:rPr>
      </w:pPr>
    </w:p>
    <w:p w14:paraId="469AE464" w14:textId="77777777" w:rsidR="00E3305A" w:rsidRDefault="00E3305A" w:rsidP="00591B77">
      <w:pPr>
        <w:ind w:left="-360" w:right="-334"/>
        <w:jc w:val="both"/>
        <w:rPr>
          <w:rFonts w:asciiTheme="majorBidi" w:hAnsiTheme="majorBidi" w:cstheme="majorBidi"/>
        </w:rPr>
      </w:pPr>
    </w:p>
    <w:p w14:paraId="3F38ACA4" w14:textId="77777777" w:rsidR="00E3305A" w:rsidRDefault="00E3305A" w:rsidP="00591B77">
      <w:pPr>
        <w:ind w:left="-360" w:right="-334"/>
        <w:jc w:val="both"/>
        <w:rPr>
          <w:rFonts w:asciiTheme="majorBidi" w:hAnsiTheme="majorBidi" w:cstheme="majorBidi"/>
        </w:rPr>
      </w:pPr>
    </w:p>
    <w:p w14:paraId="7C43E106" w14:textId="77777777" w:rsidR="00E3305A" w:rsidRDefault="00E3305A" w:rsidP="00591B77">
      <w:pPr>
        <w:ind w:left="-360" w:right="-334"/>
        <w:jc w:val="both"/>
        <w:rPr>
          <w:rFonts w:asciiTheme="majorBidi" w:hAnsiTheme="majorBidi" w:cstheme="majorBidi"/>
        </w:rPr>
      </w:pPr>
    </w:p>
    <w:p w14:paraId="531C8E07" w14:textId="77777777" w:rsidR="00E3305A" w:rsidRDefault="00E3305A" w:rsidP="00591B77">
      <w:pPr>
        <w:ind w:left="-360" w:right="-334"/>
        <w:jc w:val="both"/>
        <w:rPr>
          <w:rFonts w:asciiTheme="majorBidi" w:hAnsiTheme="majorBidi" w:cstheme="majorBidi"/>
        </w:rPr>
      </w:pPr>
    </w:p>
    <w:p w14:paraId="09817D49" w14:textId="77777777" w:rsidR="007C598D" w:rsidRDefault="007C598D" w:rsidP="00591B77">
      <w:pPr>
        <w:ind w:left="-360" w:right="-334"/>
        <w:jc w:val="both"/>
        <w:rPr>
          <w:rFonts w:asciiTheme="majorBidi" w:hAnsiTheme="majorBidi" w:cstheme="majorBidi"/>
        </w:rPr>
      </w:pPr>
    </w:p>
    <w:p w14:paraId="47B00BB9" w14:textId="77777777" w:rsidR="007C598D" w:rsidRDefault="007C598D" w:rsidP="00591B77">
      <w:pPr>
        <w:ind w:left="-360" w:right="-334"/>
        <w:jc w:val="both"/>
        <w:rPr>
          <w:rFonts w:asciiTheme="majorBidi" w:hAnsiTheme="majorBidi" w:cstheme="majorBidi"/>
        </w:rPr>
      </w:pPr>
    </w:p>
    <w:p w14:paraId="47BE8682" w14:textId="77777777" w:rsidR="007C598D" w:rsidRDefault="007C598D" w:rsidP="00591B77">
      <w:pPr>
        <w:ind w:left="-360" w:right="-334"/>
        <w:jc w:val="both"/>
        <w:rPr>
          <w:rFonts w:asciiTheme="majorBidi" w:hAnsiTheme="majorBidi" w:cstheme="majorBidi"/>
        </w:rPr>
      </w:pPr>
    </w:p>
    <w:p w14:paraId="733AFBF2" w14:textId="77777777" w:rsidR="007C598D" w:rsidRDefault="007C598D" w:rsidP="00591B77">
      <w:pPr>
        <w:ind w:left="-360" w:right="-334"/>
        <w:jc w:val="both"/>
        <w:rPr>
          <w:rFonts w:asciiTheme="majorBidi" w:hAnsiTheme="majorBidi" w:cstheme="majorBidi"/>
        </w:rPr>
      </w:pPr>
    </w:p>
    <w:p w14:paraId="38E06122" w14:textId="77777777" w:rsidR="00E3305A" w:rsidRDefault="00E3305A" w:rsidP="00591B77">
      <w:pPr>
        <w:ind w:left="-360" w:right="-334"/>
        <w:jc w:val="both"/>
        <w:rPr>
          <w:rFonts w:asciiTheme="majorBidi" w:hAnsiTheme="majorBidi" w:cstheme="majorBidi"/>
        </w:rPr>
      </w:pPr>
    </w:p>
    <w:p w14:paraId="12FB36B0" w14:textId="77777777" w:rsidR="00E3305A" w:rsidRDefault="00E3305A" w:rsidP="00591B77">
      <w:pPr>
        <w:ind w:left="-360" w:right="-334"/>
        <w:jc w:val="both"/>
        <w:rPr>
          <w:rFonts w:asciiTheme="majorBidi" w:hAnsiTheme="majorBidi" w:cstheme="majorBidi"/>
        </w:rPr>
      </w:pPr>
    </w:p>
    <w:p w14:paraId="4A6DAF8A" w14:textId="77777777" w:rsidR="00E3305A" w:rsidRDefault="00E3305A" w:rsidP="00591B77">
      <w:pPr>
        <w:ind w:left="-360" w:right="-334"/>
        <w:jc w:val="both"/>
        <w:rPr>
          <w:rFonts w:asciiTheme="majorBidi" w:hAnsiTheme="majorBidi" w:cstheme="majorBidi"/>
        </w:rPr>
      </w:pPr>
    </w:p>
    <w:p w14:paraId="6CF42469" w14:textId="77777777" w:rsidR="00E3305A" w:rsidRDefault="00E3305A" w:rsidP="00591B77">
      <w:pPr>
        <w:ind w:left="-360" w:right="-334"/>
        <w:jc w:val="both"/>
        <w:rPr>
          <w:rFonts w:asciiTheme="majorBidi" w:hAnsiTheme="majorBidi" w:cstheme="majorBidi"/>
        </w:rPr>
      </w:pPr>
    </w:p>
    <w:p w14:paraId="6D25C3D5" w14:textId="77777777" w:rsidR="00E3305A" w:rsidRDefault="00E3305A" w:rsidP="00591B77">
      <w:pPr>
        <w:ind w:left="-360" w:right="-334"/>
        <w:jc w:val="both"/>
        <w:rPr>
          <w:rFonts w:asciiTheme="majorBidi" w:hAnsiTheme="majorBidi" w:cstheme="majorBidi"/>
        </w:rPr>
      </w:pPr>
    </w:p>
    <w:p w14:paraId="5CD6AD9A" w14:textId="77777777" w:rsidR="00E3305A" w:rsidRPr="00340E6F" w:rsidRDefault="00E3305A" w:rsidP="00591B77">
      <w:pPr>
        <w:ind w:left="-360" w:right="-334"/>
        <w:jc w:val="both"/>
        <w:rPr>
          <w:rFonts w:asciiTheme="majorBidi" w:hAnsiTheme="majorBidi" w:cstheme="majorBidi"/>
        </w:rPr>
      </w:pPr>
    </w:p>
    <w:sectPr w:rsidR="00E3305A" w:rsidRPr="00340E6F" w:rsidSect="009504A4">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39B3" w14:textId="77777777" w:rsidR="0003094E" w:rsidRDefault="0003094E" w:rsidP="00E3378F">
      <w:r>
        <w:separator/>
      </w:r>
    </w:p>
  </w:endnote>
  <w:endnote w:type="continuationSeparator" w:id="0">
    <w:p w14:paraId="251B0AFA" w14:textId="77777777" w:rsidR="0003094E" w:rsidRDefault="0003094E" w:rsidP="00E3378F">
      <w:r>
        <w:continuationSeparator/>
      </w:r>
    </w:p>
  </w:endnote>
  <w:endnote w:id="1">
    <w:p w14:paraId="2FE10ED3" w14:textId="77777777" w:rsidR="005071BB" w:rsidRPr="00591B77" w:rsidRDefault="005071BB">
      <w:pPr>
        <w:pStyle w:val="EndnoteText"/>
        <w:rPr>
          <w:sz w:val="16"/>
          <w:szCs w:val="16"/>
          <w:lang w:val="en-US"/>
        </w:rPr>
      </w:pPr>
      <w:r w:rsidRPr="00591B77">
        <w:rPr>
          <w:rStyle w:val="EndnoteReference"/>
          <w:sz w:val="16"/>
          <w:szCs w:val="16"/>
        </w:rPr>
        <w:endnoteRef/>
      </w:r>
      <w:r w:rsidRPr="00591B77">
        <w:rPr>
          <w:sz w:val="16"/>
          <w:szCs w:val="16"/>
        </w:rPr>
        <w:t xml:space="preserve"> </w:t>
      </w:r>
      <w:hyperlink r:id="rId1" w:history="1">
        <w:r w:rsidRPr="00591B77">
          <w:rPr>
            <w:rStyle w:val="Hyperlink"/>
            <w:sz w:val="16"/>
            <w:szCs w:val="16"/>
          </w:rPr>
          <w:t>https://www.unescwa.org/sites/www.unescwa.org/files/publications/files/20-00116_rer_mitigatingimpact_covid-19_eng_april8.pdf</w:t>
        </w:r>
      </w:hyperlink>
      <w:r w:rsidRPr="00591B77">
        <w:rPr>
          <w:sz w:val="16"/>
          <w:szCs w:val="16"/>
        </w:rPr>
        <w:t xml:space="preserve"> </w:t>
      </w:r>
    </w:p>
  </w:endnote>
  <w:endnote w:id="2">
    <w:p w14:paraId="68029323" w14:textId="77777777" w:rsidR="00CA4424" w:rsidRPr="00591B77" w:rsidRDefault="00CA4424" w:rsidP="00CA4424">
      <w:pPr>
        <w:pStyle w:val="EndnoteText"/>
        <w:rPr>
          <w:sz w:val="16"/>
          <w:szCs w:val="16"/>
          <w:lang w:val="en-US"/>
        </w:rPr>
      </w:pPr>
      <w:r w:rsidRPr="00591B77">
        <w:rPr>
          <w:rStyle w:val="EndnoteReference"/>
          <w:sz w:val="16"/>
          <w:szCs w:val="16"/>
        </w:rPr>
        <w:endnoteRef/>
      </w:r>
      <w:r w:rsidRPr="00591B77">
        <w:rPr>
          <w:sz w:val="16"/>
          <w:szCs w:val="16"/>
        </w:rPr>
        <w:t xml:space="preserve"> </w:t>
      </w:r>
      <w:hyperlink r:id="rId2" w:history="1">
        <w:r w:rsidRPr="00591B77">
          <w:rPr>
            <w:rStyle w:val="Hyperlink"/>
            <w:sz w:val="16"/>
            <w:szCs w:val="16"/>
          </w:rPr>
          <w:t>https://www.oxfordeconomics.com/my-oxford/publications/561739</w:t>
        </w:r>
      </w:hyperlink>
      <w:r w:rsidRPr="00591B77">
        <w:rPr>
          <w:sz w:val="16"/>
          <w:szCs w:val="16"/>
        </w:rPr>
        <w:t xml:space="preserve"> </w:t>
      </w:r>
    </w:p>
  </w:endnote>
  <w:endnote w:id="3">
    <w:p w14:paraId="45D3816D" w14:textId="77777777" w:rsidR="00CA4424" w:rsidRPr="00591B77" w:rsidRDefault="00CA4424" w:rsidP="00CA4424">
      <w:pPr>
        <w:pStyle w:val="EndnoteText"/>
        <w:jc w:val="both"/>
        <w:rPr>
          <w:rFonts w:ascii="Calibri" w:hAnsi="Calibri" w:cstheme="majorBidi"/>
          <w:sz w:val="16"/>
          <w:szCs w:val="16"/>
        </w:rPr>
      </w:pPr>
      <w:r w:rsidRPr="00591B77">
        <w:rPr>
          <w:rStyle w:val="EndnoteReference"/>
          <w:rFonts w:ascii="Calibri" w:hAnsi="Calibri" w:cstheme="majorBidi"/>
          <w:sz w:val="16"/>
          <w:szCs w:val="16"/>
        </w:rPr>
        <w:endnoteRef/>
      </w:r>
      <w:r w:rsidRPr="00591B77">
        <w:rPr>
          <w:rFonts w:ascii="Calibri" w:hAnsi="Calibri" w:cstheme="majorBidi"/>
          <w:sz w:val="16"/>
          <w:szCs w:val="16"/>
        </w:rPr>
        <w:t xml:space="preserve"> </w:t>
      </w:r>
      <w:hyperlink r:id="rId3" w:history="1">
        <w:r w:rsidRPr="00591B77">
          <w:rPr>
            <w:rStyle w:val="Hyperlink"/>
            <w:rFonts w:ascii="Calibri" w:hAnsi="Calibri" w:cstheme="majorBidi"/>
            <w:sz w:val="16"/>
            <w:szCs w:val="16"/>
          </w:rPr>
          <w:t>https://www.unescwa.org/sites/www.unescwa.org/files/escwa-covid-19-economic-cost-arab-region-en.pdf</w:t>
        </w:r>
      </w:hyperlink>
    </w:p>
  </w:endnote>
  <w:endnote w:id="4">
    <w:p w14:paraId="5E191906" w14:textId="77777777" w:rsidR="00F008DE" w:rsidRPr="00591B77" w:rsidRDefault="00F008DE" w:rsidP="00F008DE">
      <w:pPr>
        <w:jc w:val="both"/>
        <w:rPr>
          <w:rFonts w:asciiTheme="majorBidi" w:hAnsiTheme="majorBidi" w:cstheme="majorBidi"/>
          <w:color w:val="000000"/>
          <w:sz w:val="16"/>
          <w:szCs w:val="16"/>
          <w:shd w:val="clear" w:color="auto" w:fill="FFFFFF"/>
        </w:rPr>
      </w:pPr>
      <w:r w:rsidRPr="00591B77">
        <w:rPr>
          <w:rStyle w:val="EndnoteReference"/>
          <w:rFonts w:cstheme="majorBidi"/>
          <w:sz w:val="16"/>
          <w:szCs w:val="16"/>
        </w:rPr>
        <w:endnoteRef/>
      </w:r>
      <w:r w:rsidRPr="00591B77">
        <w:rPr>
          <w:rFonts w:cstheme="majorBidi"/>
          <w:sz w:val="16"/>
          <w:szCs w:val="16"/>
        </w:rPr>
        <w:t xml:space="preserve"> </w:t>
      </w:r>
      <w:r w:rsidRPr="00591B77">
        <w:rPr>
          <w:rFonts w:cstheme="majorBidi"/>
          <w:sz w:val="16"/>
          <w:szCs w:val="16"/>
          <w:shd w:val="clear" w:color="auto" w:fill="FFFFFF"/>
        </w:rPr>
        <w:t xml:space="preserve">A first in the Arab region, the Lebanese Ministry of Information posted sign language of COVID-19 awareness videos on </w:t>
      </w:r>
      <w:hyperlink r:id="rId4" w:history="1">
        <w:r w:rsidRPr="00591B77">
          <w:rPr>
            <w:rStyle w:val="Hyperlink"/>
            <w:rFonts w:cstheme="majorBidi"/>
            <w:sz w:val="16"/>
            <w:szCs w:val="16"/>
            <w:shd w:val="clear" w:color="auto" w:fill="FFFFFF"/>
          </w:rPr>
          <w:t>twitter</w:t>
        </w:r>
      </w:hyperlink>
      <w:r w:rsidRPr="00591B77">
        <w:rPr>
          <w:rFonts w:cstheme="majorBidi"/>
          <w:sz w:val="16"/>
          <w:szCs w:val="16"/>
          <w:shd w:val="clear" w:color="auto" w:fill="FFFFFF"/>
        </w:rPr>
        <w:t>.</w:t>
      </w:r>
      <w:r w:rsidRPr="00591B77">
        <w:rPr>
          <w:rFonts w:asciiTheme="majorBidi" w:hAnsiTheme="majorBidi" w:cstheme="majorBidi"/>
          <w:sz w:val="16"/>
          <w:szCs w:val="16"/>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C12E" w14:textId="77777777" w:rsidR="0003094E" w:rsidRDefault="0003094E" w:rsidP="00E3378F">
      <w:r>
        <w:separator/>
      </w:r>
    </w:p>
  </w:footnote>
  <w:footnote w:type="continuationSeparator" w:id="0">
    <w:p w14:paraId="28E14CF6" w14:textId="77777777" w:rsidR="0003094E" w:rsidRDefault="0003094E" w:rsidP="00E3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576"/>
    <w:multiLevelType w:val="hybridMultilevel"/>
    <w:tmpl w:val="7FD0D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E314D"/>
    <w:multiLevelType w:val="hybridMultilevel"/>
    <w:tmpl w:val="4EE05FCE"/>
    <w:lvl w:ilvl="0" w:tplc="FC20E69E">
      <w:start w:val="1"/>
      <w:numFmt w:val="bullet"/>
      <w:lvlText w:val=""/>
      <w:lvlJc w:val="left"/>
      <w:pPr>
        <w:ind w:left="36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18A"/>
    <w:multiLevelType w:val="hybridMultilevel"/>
    <w:tmpl w:val="CDB8A4D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19A2114A"/>
    <w:multiLevelType w:val="hybridMultilevel"/>
    <w:tmpl w:val="4CC0EA46"/>
    <w:lvl w:ilvl="0" w:tplc="F2B4942E">
      <w:start w:val="1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681DD9"/>
    <w:multiLevelType w:val="hybridMultilevel"/>
    <w:tmpl w:val="B33E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668FF"/>
    <w:multiLevelType w:val="hybridMultilevel"/>
    <w:tmpl w:val="7BE8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D5310A"/>
    <w:multiLevelType w:val="hybridMultilevel"/>
    <w:tmpl w:val="F8A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34C"/>
    <w:multiLevelType w:val="hybridMultilevel"/>
    <w:tmpl w:val="EE4C8434"/>
    <w:lvl w:ilvl="0" w:tplc="42482EB2">
      <w:start w:val="1"/>
      <w:numFmt w:val="decimal"/>
      <w:lvlText w:val="%1."/>
      <w:lvlJc w:val="left"/>
      <w:pPr>
        <w:ind w:left="720" w:hanging="360"/>
      </w:pPr>
      <w:rPr>
        <w:rFonts w:hint="default"/>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053C9"/>
    <w:multiLevelType w:val="hybridMultilevel"/>
    <w:tmpl w:val="D70E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13D98"/>
    <w:multiLevelType w:val="hybridMultilevel"/>
    <w:tmpl w:val="68B41ED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4E111675"/>
    <w:multiLevelType w:val="hybridMultilevel"/>
    <w:tmpl w:val="E2FC9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845EB8"/>
    <w:multiLevelType w:val="hybridMultilevel"/>
    <w:tmpl w:val="1144C392"/>
    <w:lvl w:ilvl="0" w:tplc="B6E297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416CF7"/>
    <w:multiLevelType w:val="hybridMultilevel"/>
    <w:tmpl w:val="DD14EEF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66E52BB9"/>
    <w:multiLevelType w:val="hybridMultilevel"/>
    <w:tmpl w:val="AC1C2908"/>
    <w:lvl w:ilvl="0" w:tplc="2ACEA8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6FB95472"/>
    <w:multiLevelType w:val="hybridMultilevel"/>
    <w:tmpl w:val="D1BE15F2"/>
    <w:lvl w:ilvl="0" w:tplc="0809000F">
      <w:start w:val="1"/>
      <w:numFmt w:val="decimal"/>
      <w:lvlText w:val="%1."/>
      <w:lvlJc w:val="left"/>
      <w:pPr>
        <w:ind w:left="720" w:hanging="360"/>
      </w:pPr>
    </w:lvl>
    <w:lvl w:ilvl="1" w:tplc="6486C63A">
      <w:start w:val="1"/>
      <w:numFmt w:val="decimal"/>
      <w:lvlText w:val="%2."/>
      <w:lvlJc w:val="left"/>
      <w:pPr>
        <w:ind w:left="1440" w:hanging="360"/>
      </w:pPr>
      <w:rPr>
        <w:rFonts w:ascii="Calibri" w:eastAsia="Calibri" w:hAnsi="Calibri" w:cs="Calibr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EF383C"/>
    <w:multiLevelType w:val="hybridMultilevel"/>
    <w:tmpl w:val="EAA2E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213DC4"/>
    <w:multiLevelType w:val="hybridMultilevel"/>
    <w:tmpl w:val="11C07548"/>
    <w:lvl w:ilvl="0" w:tplc="B6E297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0"/>
  </w:num>
  <w:num w:numId="5">
    <w:abstractNumId w:val="2"/>
  </w:num>
  <w:num w:numId="6">
    <w:abstractNumId w:val="16"/>
  </w:num>
  <w:num w:numId="7">
    <w:abstractNumId w:val="8"/>
  </w:num>
  <w:num w:numId="8">
    <w:abstractNumId w:val="1"/>
  </w:num>
  <w:num w:numId="9">
    <w:abstractNumId w:val="4"/>
  </w:num>
  <w:num w:numId="10">
    <w:abstractNumId w:val="5"/>
  </w:num>
  <w:num w:numId="11">
    <w:abstractNumId w:val="9"/>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72"/>
    <w:rsid w:val="00013A23"/>
    <w:rsid w:val="0002044A"/>
    <w:rsid w:val="00024FFF"/>
    <w:rsid w:val="0003094E"/>
    <w:rsid w:val="00031833"/>
    <w:rsid w:val="000366B3"/>
    <w:rsid w:val="000419FA"/>
    <w:rsid w:val="000600A4"/>
    <w:rsid w:val="00065097"/>
    <w:rsid w:val="000730D3"/>
    <w:rsid w:val="00076A81"/>
    <w:rsid w:val="000806EA"/>
    <w:rsid w:val="0008246C"/>
    <w:rsid w:val="000A5381"/>
    <w:rsid w:val="000C5F0B"/>
    <w:rsid w:val="000D44FD"/>
    <w:rsid w:val="000D58BB"/>
    <w:rsid w:val="000F0C6C"/>
    <w:rsid w:val="00102331"/>
    <w:rsid w:val="0012718E"/>
    <w:rsid w:val="001322B7"/>
    <w:rsid w:val="00135A20"/>
    <w:rsid w:val="001604F0"/>
    <w:rsid w:val="00162EFD"/>
    <w:rsid w:val="0017138E"/>
    <w:rsid w:val="001776F4"/>
    <w:rsid w:val="00187C3E"/>
    <w:rsid w:val="001A3B04"/>
    <w:rsid w:val="001A4846"/>
    <w:rsid w:val="001B2109"/>
    <w:rsid w:val="001C08B2"/>
    <w:rsid w:val="001C1B1B"/>
    <w:rsid w:val="001C1FEA"/>
    <w:rsid w:val="001E421E"/>
    <w:rsid w:val="001F4013"/>
    <w:rsid w:val="00214CC0"/>
    <w:rsid w:val="00217810"/>
    <w:rsid w:val="00230228"/>
    <w:rsid w:val="00232CAD"/>
    <w:rsid w:val="00251307"/>
    <w:rsid w:val="00251A4B"/>
    <w:rsid w:val="002639B5"/>
    <w:rsid w:val="002809ED"/>
    <w:rsid w:val="00294229"/>
    <w:rsid w:val="00295DA8"/>
    <w:rsid w:val="002962AD"/>
    <w:rsid w:val="00297E08"/>
    <w:rsid w:val="002A0801"/>
    <w:rsid w:val="002A1355"/>
    <w:rsid w:val="002A2C49"/>
    <w:rsid w:val="002B1715"/>
    <w:rsid w:val="002E1904"/>
    <w:rsid w:val="002E41E9"/>
    <w:rsid w:val="002F4772"/>
    <w:rsid w:val="003054C9"/>
    <w:rsid w:val="0031696E"/>
    <w:rsid w:val="00336BA0"/>
    <w:rsid w:val="00340E6F"/>
    <w:rsid w:val="00341C10"/>
    <w:rsid w:val="003478BC"/>
    <w:rsid w:val="00354689"/>
    <w:rsid w:val="00354F64"/>
    <w:rsid w:val="003567AE"/>
    <w:rsid w:val="00356B43"/>
    <w:rsid w:val="00363792"/>
    <w:rsid w:val="00390A29"/>
    <w:rsid w:val="00395F6D"/>
    <w:rsid w:val="00397A63"/>
    <w:rsid w:val="003A3008"/>
    <w:rsid w:val="003A6E96"/>
    <w:rsid w:val="003B0240"/>
    <w:rsid w:val="003B1418"/>
    <w:rsid w:val="003C0918"/>
    <w:rsid w:val="003C64A2"/>
    <w:rsid w:val="003D4015"/>
    <w:rsid w:val="003D7925"/>
    <w:rsid w:val="003E7DBB"/>
    <w:rsid w:val="004029D2"/>
    <w:rsid w:val="00406063"/>
    <w:rsid w:val="00412EF1"/>
    <w:rsid w:val="00432F0E"/>
    <w:rsid w:val="00444B57"/>
    <w:rsid w:val="00446DF2"/>
    <w:rsid w:val="00451C74"/>
    <w:rsid w:val="00455170"/>
    <w:rsid w:val="00472B4C"/>
    <w:rsid w:val="0047697B"/>
    <w:rsid w:val="00495225"/>
    <w:rsid w:val="0049618D"/>
    <w:rsid w:val="004B0043"/>
    <w:rsid w:val="004B73B0"/>
    <w:rsid w:val="004C5536"/>
    <w:rsid w:val="004E07C7"/>
    <w:rsid w:val="004E6B4A"/>
    <w:rsid w:val="004F28C0"/>
    <w:rsid w:val="004F7FBB"/>
    <w:rsid w:val="0050423F"/>
    <w:rsid w:val="00504C01"/>
    <w:rsid w:val="005071BB"/>
    <w:rsid w:val="00526C97"/>
    <w:rsid w:val="00533449"/>
    <w:rsid w:val="005441B8"/>
    <w:rsid w:val="005534B8"/>
    <w:rsid w:val="0055639C"/>
    <w:rsid w:val="00557E84"/>
    <w:rsid w:val="00567A83"/>
    <w:rsid w:val="0057449F"/>
    <w:rsid w:val="00575266"/>
    <w:rsid w:val="00587C90"/>
    <w:rsid w:val="00591B77"/>
    <w:rsid w:val="005923A7"/>
    <w:rsid w:val="00595A24"/>
    <w:rsid w:val="005A67B2"/>
    <w:rsid w:val="005B5778"/>
    <w:rsid w:val="005B796F"/>
    <w:rsid w:val="005C196F"/>
    <w:rsid w:val="005F2594"/>
    <w:rsid w:val="00601BC9"/>
    <w:rsid w:val="00633573"/>
    <w:rsid w:val="00635549"/>
    <w:rsid w:val="00653BBC"/>
    <w:rsid w:val="00660CD3"/>
    <w:rsid w:val="00661F09"/>
    <w:rsid w:val="00675D2D"/>
    <w:rsid w:val="00680D24"/>
    <w:rsid w:val="006D2D7B"/>
    <w:rsid w:val="006D4DAC"/>
    <w:rsid w:val="006E0EA1"/>
    <w:rsid w:val="006E6A62"/>
    <w:rsid w:val="007051C1"/>
    <w:rsid w:val="00706B72"/>
    <w:rsid w:val="007200A9"/>
    <w:rsid w:val="007242CC"/>
    <w:rsid w:val="007314CE"/>
    <w:rsid w:val="00733AB6"/>
    <w:rsid w:val="007359A1"/>
    <w:rsid w:val="00751456"/>
    <w:rsid w:val="00754D2F"/>
    <w:rsid w:val="00760BF1"/>
    <w:rsid w:val="00763924"/>
    <w:rsid w:val="00764743"/>
    <w:rsid w:val="00782E3E"/>
    <w:rsid w:val="007B09A5"/>
    <w:rsid w:val="007C4B48"/>
    <w:rsid w:val="007C598D"/>
    <w:rsid w:val="007D1365"/>
    <w:rsid w:val="007D4A5D"/>
    <w:rsid w:val="007E01E6"/>
    <w:rsid w:val="007F7917"/>
    <w:rsid w:val="00830683"/>
    <w:rsid w:val="00833A78"/>
    <w:rsid w:val="00835B84"/>
    <w:rsid w:val="00851A5E"/>
    <w:rsid w:val="00851C2F"/>
    <w:rsid w:val="00866D83"/>
    <w:rsid w:val="00884FD5"/>
    <w:rsid w:val="00885B75"/>
    <w:rsid w:val="00891222"/>
    <w:rsid w:val="0089451D"/>
    <w:rsid w:val="00894A3D"/>
    <w:rsid w:val="00894D9D"/>
    <w:rsid w:val="008A051C"/>
    <w:rsid w:val="008A5856"/>
    <w:rsid w:val="008B3435"/>
    <w:rsid w:val="008C1712"/>
    <w:rsid w:val="008C2B50"/>
    <w:rsid w:val="008C5638"/>
    <w:rsid w:val="008C574F"/>
    <w:rsid w:val="008E1A9C"/>
    <w:rsid w:val="008E3695"/>
    <w:rsid w:val="008E72E0"/>
    <w:rsid w:val="00911E26"/>
    <w:rsid w:val="00913740"/>
    <w:rsid w:val="009148A0"/>
    <w:rsid w:val="009171C7"/>
    <w:rsid w:val="0093021B"/>
    <w:rsid w:val="00935AE9"/>
    <w:rsid w:val="009504A4"/>
    <w:rsid w:val="00951557"/>
    <w:rsid w:val="0095516E"/>
    <w:rsid w:val="009646E3"/>
    <w:rsid w:val="00967E5D"/>
    <w:rsid w:val="00990961"/>
    <w:rsid w:val="00994985"/>
    <w:rsid w:val="009B5D03"/>
    <w:rsid w:val="009F2969"/>
    <w:rsid w:val="00A06C2F"/>
    <w:rsid w:val="00A14090"/>
    <w:rsid w:val="00A37540"/>
    <w:rsid w:val="00A40B7D"/>
    <w:rsid w:val="00A41A63"/>
    <w:rsid w:val="00A5244C"/>
    <w:rsid w:val="00A53D50"/>
    <w:rsid w:val="00A57558"/>
    <w:rsid w:val="00A6288E"/>
    <w:rsid w:val="00A6783B"/>
    <w:rsid w:val="00A720C7"/>
    <w:rsid w:val="00A80D47"/>
    <w:rsid w:val="00A81852"/>
    <w:rsid w:val="00A85085"/>
    <w:rsid w:val="00A910B0"/>
    <w:rsid w:val="00AB21E4"/>
    <w:rsid w:val="00AC55AD"/>
    <w:rsid w:val="00AD7B30"/>
    <w:rsid w:val="00AF4975"/>
    <w:rsid w:val="00B40AE2"/>
    <w:rsid w:val="00B47D52"/>
    <w:rsid w:val="00B516B6"/>
    <w:rsid w:val="00B520F6"/>
    <w:rsid w:val="00B7281B"/>
    <w:rsid w:val="00B7294D"/>
    <w:rsid w:val="00B75992"/>
    <w:rsid w:val="00B762C3"/>
    <w:rsid w:val="00B76926"/>
    <w:rsid w:val="00B77B26"/>
    <w:rsid w:val="00B807EB"/>
    <w:rsid w:val="00B82F98"/>
    <w:rsid w:val="00BB197B"/>
    <w:rsid w:val="00BC00C3"/>
    <w:rsid w:val="00BC34B9"/>
    <w:rsid w:val="00BC7D05"/>
    <w:rsid w:val="00BD4012"/>
    <w:rsid w:val="00BD5A5F"/>
    <w:rsid w:val="00BD6547"/>
    <w:rsid w:val="00BE4643"/>
    <w:rsid w:val="00BE4932"/>
    <w:rsid w:val="00C114A9"/>
    <w:rsid w:val="00C56E66"/>
    <w:rsid w:val="00C823BF"/>
    <w:rsid w:val="00C8268E"/>
    <w:rsid w:val="00C835E7"/>
    <w:rsid w:val="00C943FD"/>
    <w:rsid w:val="00C9670B"/>
    <w:rsid w:val="00CA4424"/>
    <w:rsid w:val="00CC47F8"/>
    <w:rsid w:val="00CD1474"/>
    <w:rsid w:val="00CF05C7"/>
    <w:rsid w:val="00CF080B"/>
    <w:rsid w:val="00CF7787"/>
    <w:rsid w:val="00CF7A95"/>
    <w:rsid w:val="00D22A2B"/>
    <w:rsid w:val="00D32996"/>
    <w:rsid w:val="00D4614F"/>
    <w:rsid w:val="00D5165B"/>
    <w:rsid w:val="00D55CE2"/>
    <w:rsid w:val="00D94EA2"/>
    <w:rsid w:val="00DB21A0"/>
    <w:rsid w:val="00DB7AF0"/>
    <w:rsid w:val="00DC342E"/>
    <w:rsid w:val="00DF761A"/>
    <w:rsid w:val="00E14866"/>
    <w:rsid w:val="00E23BDC"/>
    <w:rsid w:val="00E27E9A"/>
    <w:rsid w:val="00E3305A"/>
    <w:rsid w:val="00E3378F"/>
    <w:rsid w:val="00E356D5"/>
    <w:rsid w:val="00E54B80"/>
    <w:rsid w:val="00E6425C"/>
    <w:rsid w:val="00E762AF"/>
    <w:rsid w:val="00E833AA"/>
    <w:rsid w:val="00E84B0E"/>
    <w:rsid w:val="00E8519B"/>
    <w:rsid w:val="00E91DB0"/>
    <w:rsid w:val="00E929FD"/>
    <w:rsid w:val="00EB1E4B"/>
    <w:rsid w:val="00ED545B"/>
    <w:rsid w:val="00F008DE"/>
    <w:rsid w:val="00F22D3B"/>
    <w:rsid w:val="00F245D1"/>
    <w:rsid w:val="00F32AFA"/>
    <w:rsid w:val="00F332C5"/>
    <w:rsid w:val="00F35289"/>
    <w:rsid w:val="00F3539D"/>
    <w:rsid w:val="00F40FF9"/>
    <w:rsid w:val="00F63A84"/>
    <w:rsid w:val="00F6456F"/>
    <w:rsid w:val="00F8192E"/>
    <w:rsid w:val="00F87182"/>
    <w:rsid w:val="00F9711C"/>
    <w:rsid w:val="00FA7FFB"/>
    <w:rsid w:val="00FB07EB"/>
    <w:rsid w:val="00FC4D23"/>
    <w:rsid w:val="00FC4FE7"/>
    <w:rsid w:val="00FE0D9A"/>
    <w:rsid w:val="00FE55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9BDA"/>
  <w15:chartTrackingRefBased/>
  <w15:docId w15:val="{891BCE51-7F13-4644-AA3A-1C5231D9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7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3378F"/>
    <w:pPr>
      <w:spacing w:after="160" w:line="259" w:lineRule="auto"/>
      <w:ind w:left="720"/>
      <w:contextualSpacing/>
    </w:pPr>
    <w:rPr>
      <w:rFonts w:asciiTheme="minorHAnsi" w:hAnsiTheme="minorHAnsi" w:cstheme="minorBidi"/>
      <w:lang w:eastAsia="en-US"/>
    </w:rPr>
  </w:style>
  <w:style w:type="paragraph" w:styleId="EndnoteText">
    <w:name w:val="endnote text"/>
    <w:basedOn w:val="Normal"/>
    <w:link w:val="EndnoteTextChar"/>
    <w:uiPriority w:val="99"/>
    <w:unhideWhenUsed/>
    <w:rsid w:val="00E3378F"/>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E3378F"/>
    <w:rPr>
      <w:sz w:val="20"/>
      <w:szCs w:val="20"/>
    </w:rPr>
  </w:style>
  <w:style w:type="character" w:styleId="EndnoteReference">
    <w:name w:val="endnote reference"/>
    <w:basedOn w:val="DefaultParagraphFont"/>
    <w:uiPriority w:val="99"/>
    <w:semiHidden/>
    <w:unhideWhenUsed/>
    <w:rsid w:val="00E3378F"/>
    <w:rPr>
      <w:vertAlign w:val="superscript"/>
    </w:rPr>
  </w:style>
  <w:style w:type="character" w:styleId="Hyperlink">
    <w:name w:val="Hyperlink"/>
    <w:basedOn w:val="DefaultParagraphFont"/>
    <w:uiPriority w:val="99"/>
    <w:unhideWhenUsed/>
    <w:rsid w:val="00E3378F"/>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E3378F"/>
  </w:style>
  <w:style w:type="paragraph" w:styleId="NoSpacing">
    <w:name w:val="No Spacing"/>
    <w:uiPriority w:val="1"/>
    <w:qFormat/>
    <w:rsid w:val="00CA4424"/>
    <w:pPr>
      <w:spacing w:after="0" w:line="240" w:lineRule="auto"/>
    </w:pPr>
  </w:style>
  <w:style w:type="paragraph" w:styleId="Header">
    <w:name w:val="header"/>
    <w:basedOn w:val="Normal"/>
    <w:link w:val="HeaderChar"/>
    <w:uiPriority w:val="99"/>
    <w:unhideWhenUsed/>
    <w:rsid w:val="00356B43"/>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356B43"/>
  </w:style>
  <w:style w:type="paragraph" w:styleId="NormalWeb">
    <w:name w:val="Normal (Web)"/>
    <w:basedOn w:val="Normal"/>
    <w:uiPriority w:val="99"/>
    <w:semiHidden/>
    <w:unhideWhenUsed/>
    <w:rsid w:val="00D32996"/>
    <w:rPr>
      <w:rFonts w:ascii="Times New Roman" w:hAnsi="Times New Roman"/>
      <w:sz w:val="24"/>
      <w:szCs w:val="24"/>
    </w:rPr>
  </w:style>
  <w:style w:type="paragraph" w:styleId="BalloonText">
    <w:name w:val="Balloon Text"/>
    <w:basedOn w:val="Normal"/>
    <w:link w:val="BalloonTextChar"/>
    <w:uiPriority w:val="99"/>
    <w:semiHidden/>
    <w:unhideWhenUsed/>
    <w:rsid w:val="00CC4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F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C47F8"/>
    <w:rPr>
      <w:sz w:val="16"/>
      <w:szCs w:val="16"/>
    </w:rPr>
  </w:style>
  <w:style w:type="paragraph" w:styleId="CommentText">
    <w:name w:val="annotation text"/>
    <w:basedOn w:val="Normal"/>
    <w:link w:val="CommentTextChar"/>
    <w:uiPriority w:val="99"/>
    <w:semiHidden/>
    <w:unhideWhenUsed/>
    <w:rsid w:val="00CC47F8"/>
    <w:rPr>
      <w:sz w:val="20"/>
      <w:szCs w:val="20"/>
    </w:rPr>
  </w:style>
  <w:style w:type="character" w:customStyle="1" w:styleId="CommentTextChar">
    <w:name w:val="Comment Text Char"/>
    <w:basedOn w:val="DefaultParagraphFont"/>
    <w:link w:val="CommentText"/>
    <w:uiPriority w:val="99"/>
    <w:semiHidden/>
    <w:rsid w:val="00CC47F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47F8"/>
    <w:rPr>
      <w:b/>
      <w:bCs/>
    </w:rPr>
  </w:style>
  <w:style w:type="character" w:customStyle="1" w:styleId="CommentSubjectChar">
    <w:name w:val="Comment Subject Char"/>
    <w:basedOn w:val="CommentTextChar"/>
    <w:link w:val="CommentSubject"/>
    <w:uiPriority w:val="99"/>
    <w:semiHidden/>
    <w:rsid w:val="00CC47F8"/>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CC4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723">
      <w:bodyDiv w:val="1"/>
      <w:marLeft w:val="0"/>
      <w:marRight w:val="0"/>
      <w:marTop w:val="0"/>
      <w:marBottom w:val="0"/>
      <w:divBdr>
        <w:top w:val="none" w:sz="0" w:space="0" w:color="auto"/>
        <w:left w:val="none" w:sz="0" w:space="0" w:color="auto"/>
        <w:bottom w:val="none" w:sz="0" w:space="0" w:color="auto"/>
        <w:right w:val="none" w:sz="0" w:space="0" w:color="auto"/>
      </w:divBdr>
    </w:div>
    <w:div w:id="154229717">
      <w:bodyDiv w:val="1"/>
      <w:marLeft w:val="0"/>
      <w:marRight w:val="0"/>
      <w:marTop w:val="0"/>
      <w:marBottom w:val="0"/>
      <w:divBdr>
        <w:top w:val="none" w:sz="0" w:space="0" w:color="auto"/>
        <w:left w:val="none" w:sz="0" w:space="0" w:color="auto"/>
        <w:bottom w:val="none" w:sz="0" w:space="0" w:color="auto"/>
        <w:right w:val="none" w:sz="0" w:space="0" w:color="auto"/>
      </w:divBdr>
    </w:div>
    <w:div w:id="785931179">
      <w:bodyDiv w:val="1"/>
      <w:marLeft w:val="0"/>
      <w:marRight w:val="0"/>
      <w:marTop w:val="0"/>
      <w:marBottom w:val="0"/>
      <w:divBdr>
        <w:top w:val="none" w:sz="0" w:space="0" w:color="auto"/>
        <w:left w:val="none" w:sz="0" w:space="0" w:color="auto"/>
        <w:bottom w:val="none" w:sz="0" w:space="0" w:color="auto"/>
        <w:right w:val="none" w:sz="0" w:space="0" w:color="auto"/>
      </w:divBdr>
    </w:div>
    <w:div w:id="848981556">
      <w:bodyDiv w:val="1"/>
      <w:marLeft w:val="0"/>
      <w:marRight w:val="0"/>
      <w:marTop w:val="0"/>
      <w:marBottom w:val="0"/>
      <w:divBdr>
        <w:top w:val="none" w:sz="0" w:space="0" w:color="auto"/>
        <w:left w:val="none" w:sz="0" w:space="0" w:color="auto"/>
        <w:bottom w:val="none" w:sz="0" w:space="0" w:color="auto"/>
        <w:right w:val="none" w:sz="0" w:space="0" w:color="auto"/>
      </w:divBdr>
    </w:div>
    <w:div w:id="889346324">
      <w:bodyDiv w:val="1"/>
      <w:marLeft w:val="0"/>
      <w:marRight w:val="0"/>
      <w:marTop w:val="0"/>
      <w:marBottom w:val="0"/>
      <w:divBdr>
        <w:top w:val="none" w:sz="0" w:space="0" w:color="auto"/>
        <w:left w:val="none" w:sz="0" w:space="0" w:color="auto"/>
        <w:bottom w:val="none" w:sz="0" w:space="0" w:color="auto"/>
        <w:right w:val="none" w:sz="0" w:space="0" w:color="auto"/>
      </w:divBdr>
    </w:div>
    <w:div w:id="899707334">
      <w:bodyDiv w:val="1"/>
      <w:marLeft w:val="0"/>
      <w:marRight w:val="0"/>
      <w:marTop w:val="0"/>
      <w:marBottom w:val="0"/>
      <w:divBdr>
        <w:top w:val="none" w:sz="0" w:space="0" w:color="auto"/>
        <w:left w:val="none" w:sz="0" w:space="0" w:color="auto"/>
        <w:bottom w:val="none" w:sz="0" w:space="0" w:color="auto"/>
        <w:right w:val="none" w:sz="0" w:space="0" w:color="auto"/>
      </w:divBdr>
    </w:div>
    <w:div w:id="1148396595">
      <w:bodyDiv w:val="1"/>
      <w:marLeft w:val="0"/>
      <w:marRight w:val="0"/>
      <w:marTop w:val="0"/>
      <w:marBottom w:val="0"/>
      <w:divBdr>
        <w:top w:val="none" w:sz="0" w:space="0" w:color="auto"/>
        <w:left w:val="none" w:sz="0" w:space="0" w:color="auto"/>
        <w:bottom w:val="none" w:sz="0" w:space="0" w:color="auto"/>
        <w:right w:val="none" w:sz="0" w:space="0" w:color="auto"/>
      </w:divBdr>
    </w:div>
    <w:div w:id="1158619569">
      <w:bodyDiv w:val="1"/>
      <w:marLeft w:val="0"/>
      <w:marRight w:val="0"/>
      <w:marTop w:val="0"/>
      <w:marBottom w:val="0"/>
      <w:divBdr>
        <w:top w:val="none" w:sz="0" w:space="0" w:color="auto"/>
        <w:left w:val="none" w:sz="0" w:space="0" w:color="auto"/>
        <w:bottom w:val="none" w:sz="0" w:space="0" w:color="auto"/>
        <w:right w:val="none" w:sz="0" w:space="0" w:color="auto"/>
      </w:divBdr>
    </w:div>
    <w:div w:id="1659334935">
      <w:bodyDiv w:val="1"/>
      <w:marLeft w:val="0"/>
      <w:marRight w:val="0"/>
      <w:marTop w:val="0"/>
      <w:marBottom w:val="0"/>
      <w:divBdr>
        <w:top w:val="none" w:sz="0" w:space="0" w:color="auto"/>
        <w:left w:val="none" w:sz="0" w:space="0" w:color="auto"/>
        <w:bottom w:val="none" w:sz="0" w:space="0" w:color="auto"/>
        <w:right w:val="none" w:sz="0" w:space="0" w:color="auto"/>
      </w:divBdr>
    </w:div>
    <w:div w:id="1725445176">
      <w:bodyDiv w:val="1"/>
      <w:marLeft w:val="0"/>
      <w:marRight w:val="0"/>
      <w:marTop w:val="0"/>
      <w:marBottom w:val="0"/>
      <w:divBdr>
        <w:top w:val="none" w:sz="0" w:space="0" w:color="auto"/>
        <w:left w:val="none" w:sz="0" w:space="0" w:color="auto"/>
        <w:bottom w:val="none" w:sz="0" w:space="0" w:color="auto"/>
        <w:right w:val="none" w:sz="0" w:space="0" w:color="auto"/>
      </w:divBdr>
    </w:div>
    <w:div w:id="19252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Documents/Events/COVID-19_AccessVaccines_Guidance.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nescwa.org/sites/www.unescwa.org/files/escwa-covid-19-economic-cost-arab-region-en.pdf" TargetMode="External"/><Relationship Id="rId2" Type="http://schemas.openxmlformats.org/officeDocument/2006/relationships/hyperlink" Target="https://www.oxfordeconomics.com/my-oxford/publications/561739" TargetMode="External"/><Relationship Id="rId1" Type="http://schemas.openxmlformats.org/officeDocument/2006/relationships/hyperlink" Target="https://www.unescwa.org/sites/www.unescwa.org/files/publications/files/20-00116_rer_mitigatingimpact_covid-19_eng_april8.pdf" TargetMode="External"/><Relationship Id="rId4" Type="http://schemas.openxmlformats.org/officeDocument/2006/relationships/hyperlink" Target="https://twitter.com/MinistryInfoLB/status/1244881867431649281?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FC0D9-8A8C-4B01-88DE-761F5126031F}"/>
</file>

<file path=customXml/itemProps2.xml><?xml version="1.0" encoding="utf-8"?>
<ds:datastoreItem xmlns:ds="http://schemas.openxmlformats.org/officeDocument/2006/customXml" ds:itemID="{8DD03417-8A82-4925-BBAE-6AE27C434987}"/>
</file>

<file path=customXml/itemProps3.xml><?xml version="1.0" encoding="utf-8"?>
<ds:datastoreItem xmlns:ds="http://schemas.openxmlformats.org/officeDocument/2006/customXml" ds:itemID="{DFD12089-8E53-4D9C-A27E-BC2D57B5B07C}"/>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ESHEL Abigail</cp:lastModifiedBy>
  <cp:revision>2</cp:revision>
  <dcterms:created xsi:type="dcterms:W3CDTF">2021-02-12T13:49:00Z</dcterms:created>
  <dcterms:modified xsi:type="dcterms:W3CDTF">2021-02-12T13:49:00Z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