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CC4B" w14:textId="77777777" w:rsidR="00AE1F96" w:rsidRPr="006E0A55" w:rsidRDefault="00FA775A" w:rsidP="00AE1F96">
      <w:pPr>
        <w:spacing w:after="0" w:line="240" w:lineRule="auto"/>
        <w:jc w:val="center"/>
        <w:rPr>
          <w:rFonts w:cs="Arial"/>
          <w:b/>
          <w:sz w:val="22"/>
        </w:rPr>
      </w:pPr>
      <w:r w:rsidRPr="006E0A55">
        <w:rPr>
          <w:rFonts w:cs="Arial"/>
          <w:b/>
          <w:sz w:val="22"/>
        </w:rPr>
        <w:t xml:space="preserve">CUESTIONARIO </w:t>
      </w:r>
      <w:r w:rsidR="008A5BE0" w:rsidRPr="006E0A55">
        <w:rPr>
          <w:rFonts w:cs="Arial"/>
          <w:b/>
          <w:sz w:val="22"/>
        </w:rPr>
        <w:t xml:space="preserve">SOBRE LA DIMENSIÓN CULTURAL DEL </w:t>
      </w:r>
    </w:p>
    <w:p w14:paraId="1D24CC4C" w14:textId="77777777" w:rsidR="00453002" w:rsidRPr="006E0A55" w:rsidRDefault="008A5BE0" w:rsidP="00AE1F96">
      <w:pPr>
        <w:spacing w:after="0" w:line="240" w:lineRule="auto"/>
        <w:jc w:val="center"/>
        <w:rPr>
          <w:rFonts w:cs="Arial"/>
          <w:b/>
          <w:i/>
          <w:sz w:val="22"/>
        </w:rPr>
      </w:pPr>
      <w:r w:rsidRPr="006E0A55">
        <w:rPr>
          <w:rFonts w:cs="Arial"/>
          <w:b/>
          <w:sz w:val="22"/>
        </w:rPr>
        <w:t>DERECHO A LA EDUCACIÓN</w:t>
      </w:r>
    </w:p>
    <w:p w14:paraId="1D24CC4D" w14:textId="77777777" w:rsidR="00D411F9" w:rsidRPr="006E0A55" w:rsidRDefault="00D411F9" w:rsidP="00AE1F96">
      <w:pPr>
        <w:spacing w:after="0" w:line="240" w:lineRule="auto"/>
        <w:jc w:val="center"/>
        <w:rPr>
          <w:rFonts w:cs="Arial"/>
          <w:b/>
          <w:i/>
          <w:sz w:val="22"/>
        </w:rPr>
      </w:pPr>
    </w:p>
    <w:p w14:paraId="1D24CC4E" w14:textId="77777777" w:rsidR="00FA775A" w:rsidRPr="006E0A55" w:rsidRDefault="008A5BE0" w:rsidP="00AE1F96">
      <w:pPr>
        <w:spacing w:after="0" w:line="240" w:lineRule="auto"/>
        <w:jc w:val="center"/>
        <w:rPr>
          <w:rFonts w:cs="Arial"/>
          <w:b/>
          <w:sz w:val="22"/>
        </w:rPr>
      </w:pPr>
      <w:r w:rsidRPr="006E0A55">
        <w:rPr>
          <w:rFonts w:cs="Arial"/>
          <w:b/>
          <w:sz w:val="22"/>
        </w:rPr>
        <w:t>Relatora especial sobre el derecho a la educación</w:t>
      </w:r>
    </w:p>
    <w:p w14:paraId="1D24CC4F" w14:textId="77777777" w:rsidR="00D411F9" w:rsidRPr="006E0A55" w:rsidRDefault="00D411F9" w:rsidP="00AE1F96">
      <w:pPr>
        <w:spacing w:after="0" w:line="240" w:lineRule="auto"/>
        <w:jc w:val="center"/>
        <w:rPr>
          <w:rFonts w:cs="Arial"/>
          <w:b/>
          <w:sz w:val="22"/>
        </w:rPr>
      </w:pPr>
    </w:p>
    <w:p w14:paraId="1D24CC50" w14:textId="77777777" w:rsidR="002D0178" w:rsidRPr="006E0A55" w:rsidRDefault="008A5BE0" w:rsidP="00AE1F96">
      <w:pPr>
        <w:pStyle w:val="Heading1"/>
        <w:numPr>
          <w:ilvl w:val="0"/>
          <w:numId w:val="43"/>
        </w:numPr>
        <w:spacing w:before="0" w:line="240" w:lineRule="auto"/>
        <w:jc w:val="both"/>
        <w:rPr>
          <w:rFonts w:ascii="Arial" w:hAnsi="Arial" w:cs="Arial"/>
          <w:b/>
          <w:color w:val="auto"/>
          <w:sz w:val="22"/>
          <w:szCs w:val="22"/>
        </w:rPr>
      </w:pPr>
      <w:r w:rsidRPr="006E0A55">
        <w:rPr>
          <w:rFonts w:ascii="Arial" w:hAnsi="Arial" w:cs="Arial"/>
          <w:b/>
          <w:color w:val="auto"/>
          <w:sz w:val="22"/>
          <w:szCs w:val="22"/>
        </w:rPr>
        <w:t>Sírvanse proporcionar información sobre la manera en la que se tiene en cuenta en su país la cuestión del respeto de la diversidad cultural y de los derechos culturales de cada persona en los programas escolares (marco legislativo, institucional y político, y aplicación)</w:t>
      </w:r>
    </w:p>
    <w:p w14:paraId="1D24CC51" w14:textId="77777777" w:rsidR="003E6D16" w:rsidRPr="003E6D16" w:rsidRDefault="003E6D16" w:rsidP="003E6D16">
      <w:pPr>
        <w:autoSpaceDE w:val="0"/>
        <w:autoSpaceDN w:val="0"/>
        <w:adjustRightInd w:val="0"/>
        <w:spacing w:after="0" w:line="240" w:lineRule="auto"/>
        <w:rPr>
          <w:rFonts w:cs="Arial"/>
          <w:color w:val="000000"/>
          <w:sz w:val="22"/>
        </w:rPr>
      </w:pPr>
    </w:p>
    <w:p w14:paraId="1D24CC52" w14:textId="77777777" w:rsidR="003E6D16" w:rsidRPr="006E0A55" w:rsidRDefault="00495534" w:rsidP="00AE1F96">
      <w:pPr>
        <w:spacing w:after="0" w:line="240" w:lineRule="auto"/>
        <w:jc w:val="both"/>
        <w:rPr>
          <w:rFonts w:cs="Arial"/>
          <w:color w:val="000000"/>
          <w:sz w:val="22"/>
        </w:rPr>
      </w:pPr>
      <w:r w:rsidRPr="006E0A55">
        <w:rPr>
          <w:rFonts w:cs="Arial"/>
          <w:color w:val="000000"/>
          <w:sz w:val="22"/>
        </w:rPr>
        <w:t>L</w:t>
      </w:r>
      <w:r w:rsidR="003E6D16" w:rsidRPr="006E0A55">
        <w:rPr>
          <w:rFonts w:cs="Arial"/>
          <w:color w:val="000000"/>
          <w:sz w:val="22"/>
        </w:rPr>
        <w:t xml:space="preserve">a Constitución Política de los Estados Unidos Mexicanos reconoce en su artículo 2º,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14:paraId="1D24CC53" w14:textId="77777777" w:rsidR="00495534" w:rsidRPr="006E0A55" w:rsidRDefault="00495534" w:rsidP="00AE1F96">
      <w:pPr>
        <w:spacing w:after="0" w:line="240" w:lineRule="auto"/>
        <w:jc w:val="both"/>
        <w:rPr>
          <w:rFonts w:cs="Arial"/>
          <w:sz w:val="22"/>
        </w:rPr>
      </w:pPr>
    </w:p>
    <w:p w14:paraId="1D24CC54" w14:textId="77777777" w:rsidR="003A4267" w:rsidRPr="006E0A55" w:rsidRDefault="00495534" w:rsidP="00AE1F96">
      <w:pPr>
        <w:spacing w:after="0" w:line="240" w:lineRule="auto"/>
        <w:jc w:val="both"/>
        <w:rPr>
          <w:rFonts w:cs="Arial"/>
          <w:sz w:val="22"/>
        </w:rPr>
      </w:pPr>
      <w:r w:rsidRPr="006E0A55">
        <w:rPr>
          <w:rFonts w:cs="Arial"/>
          <w:sz w:val="22"/>
        </w:rPr>
        <w:t>Por su parte, e</w:t>
      </w:r>
      <w:r w:rsidR="003A4267" w:rsidRPr="006E0A55">
        <w:rPr>
          <w:rFonts w:cs="Arial"/>
          <w:sz w:val="22"/>
        </w:rPr>
        <w:t xml:space="preserve">l artículo 3° reconoce y garantiza el derecho a la educación, además de establecer obligaciones puntuales para </w:t>
      </w:r>
      <w:r w:rsidR="003A4267" w:rsidRPr="00152786">
        <w:rPr>
          <w:rFonts w:cs="Arial"/>
          <w:i/>
          <w:sz w:val="22"/>
        </w:rPr>
        <w:t>el Estado -</w:t>
      </w:r>
      <w:r w:rsidR="003A4267" w:rsidRPr="006E0A55">
        <w:rPr>
          <w:rFonts w:cs="Arial"/>
          <w:i/>
          <w:sz w:val="22"/>
        </w:rPr>
        <w:t>Federación, Estados, Ciudad de México y Municipios</w:t>
      </w:r>
      <w:r w:rsidR="003A4267" w:rsidRPr="006E0A55">
        <w:rPr>
          <w:rFonts w:cs="Arial"/>
          <w:sz w:val="22"/>
        </w:rPr>
        <w:t>- en relación con este derecho.</w:t>
      </w:r>
      <w:r w:rsidRPr="006E0A55">
        <w:rPr>
          <w:rFonts w:cs="Arial"/>
          <w:sz w:val="22"/>
        </w:rPr>
        <w:t xml:space="preserve"> </w:t>
      </w:r>
      <w:r w:rsidR="00B04F52" w:rsidRPr="006E0A55">
        <w:rPr>
          <w:rFonts w:cs="Arial"/>
          <w:sz w:val="22"/>
        </w:rPr>
        <w:t>D</w:t>
      </w:r>
      <w:r w:rsidR="003A4267" w:rsidRPr="006E0A55">
        <w:rPr>
          <w:rFonts w:cs="Arial"/>
          <w:sz w:val="22"/>
        </w:rPr>
        <w:t>ispone entre otros importantes aspectos</w:t>
      </w:r>
      <w:r w:rsidR="00B04F52" w:rsidRPr="006E0A55">
        <w:rPr>
          <w:rFonts w:cs="Arial"/>
          <w:sz w:val="22"/>
        </w:rPr>
        <w:t xml:space="preserve"> </w:t>
      </w:r>
      <w:r w:rsidR="003A4267" w:rsidRPr="006E0A55">
        <w:rPr>
          <w:rFonts w:cs="Arial"/>
          <w:sz w:val="22"/>
        </w:rPr>
        <w:t xml:space="preserve">que </w:t>
      </w:r>
      <w:r w:rsidR="00B04F52" w:rsidRPr="006E0A55">
        <w:rPr>
          <w:rFonts w:cs="Arial"/>
          <w:sz w:val="22"/>
        </w:rPr>
        <w:t xml:space="preserve">el criterio que orientará la educación </w:t>
      </w:r>
      <w:r w:rsidR="00B04F52" w:rsidRPr="006E0A55">
        <w:rPr>
          <w:rFonts w:cs="Arial"/>
          <w:i/>
          <w:sz w:val="22"/>
        </w:rPr>
        <w:t xml:space="preserve">contribuirá a la mejor convivencia humana, a fin de fortalecer el aprecio y respeto por la naturaleza, </w:t>
      </w:r>
      <w:r w:rsidR="00B04F52" w:rsidRPr="006E0A55">
        <w:rPr>
          <w:rFonts w:cs="Arial"/>
          <w:b/>
          <w:i/>
          <w:sz w:val="22"/>
        </w:rPr>
        <w:t>la diversidad cultural</w:t>
      </w:r>
      <w:r w:rsidR="00B04F52" w:rsidRPr="006E0A55">
        <w:rPr>
          <w:rFonts w:cs="Arial"/>
          <w:i/>
          <w:sz w:val="22"/>
        </w:rPr>
        <w:t>, la dignidad de la persona, la integridad de las familias, la convicción del interés general de la sociedad, los ideales de fraternidad e igualdad de derechos de todos, evitando los privilegios de razas, de religión, de grupos, de sexos o de individuos</w:t>
      </w:r>
      <w:r w:rsidR="00B04F52" w:rsidRPr="006E0A55">
        <w:rPr>
          <w:rFonts w:cs="Arial"/>
          <w:sz w:val="22"/>
        </w:rPr>
        <w:t xml:space="preserve"> [fracción II, inciso c)]</w:t>
      </w:r>
    </w:p>
    <w:p w14:paraId="1D24CC55" w14:textId="77777777" w:rsidR="00B04F52" w:rsidRPr="006E0A55" w:rsidRDefault="00B04F52" w:rsidP="00AE1F96">
      <w:pPr>
        <w:spacing w:after="0" w:line="240" w:lineRule="auto"/>
        <w:jc w:val="both"/>
        <w:rPr>
          <w:rFonts w:cs="Arial"/>
          <w:sz w:val="22"/>
        </w:rPr>
      </w:pPr>
    </w:p>
    <w:p w14:paraId="1D24CC56" w14:textId="77777777" w:rsidR="008A5BE0" w:rsidRPr="006E0A55" w:rsidRDefault="00B04F52" w:rsidP="00AE1F96">
      <w:pPr>
        <w:spacing w:after="0" w:line="240" w:lineRule="auto"/>
        <w:jc w:val="both"/>
        <w:rPr>
          <w:rFonts w:cs="Arial"/>
          <w:sz w:val="22"/>
        </w:rPr>
      </w:pPr>
      <w:r w:rsidRPr="006E0A55">
        <w:rPr>
          <w:rFonts w:cs="Arial"/>
          <w:sz w:val="22"/>
        </w:rPr>
        <w:t xml:space="preserve">Asimismo, el artículo 4° constitucional señala que </w:t>
      </w:r>
      <w:r w:rsidRPr="006E0A55">
        <w:rPr>
          <w:rFonts w:cs="Arial"/>
          <w:i/>
          <w:sz w:val="22"/>
        </w:rPr>
        <w:t>toda persona tiene derecho al acceso a la cultura y al disfrute de los bienes y servicios</w:t>
      </w:r>
      <w:r w:rsidRPr="006E0A55">
        <w:rPr>
          <w:rFonts w:cs="Arial"/>
          <w:sz w:val="22"/>
        </w:rPr>
        <w:t xml:space="preserve"> que presta el Estado en la materia, así como el ejercicio de sus derechos culturales. </w:t>
      </w:r>
      <w:r w:rsidRPr="006E0A55">
        <w:rPr>
          <w:rFonts w:cs="Arial"/>
          <w:b/>
          <w:i/>
          <w:sz w:val="22"/>
        </w:rPr>
        <w:t>El Estado promoverá los medios para la difusión y desarrollo de la cultura, atendiendo a la diversidad cultural</w:t>
      </w:r>
      <w:r w:rsidRPr="006E0A55">
        <w:rPr>
          <w:rFonts w:cs="Arial"/>
          <w:b/>
          <w:sz w:val="22"/>
        </w:rPr>
        <w:t xml:space="preserve"> </w:t>
      </w:r>
      <w:r w:rsidRPr="006E0A55">
        <w:rPr>
          <w:rFonts w:cs="Arial"/>
          <w:sz w:val="22"/>
        </w:rPr>
        <w:t xml:space="preserve">en todas sus manifestaciones y expresiones con pleno respeto a la libertad creativa. </w:t>
      </w:r>
    </w:p>
    <w:p w14:paraId="1D24CC57" w14:textId="77777777" w:rsidR="008A40BE" w:rsidRPr="006E0A55" w:rsidRDefault="00495534" w:rsidP="00AE1F96">
      <w:pPr>
        <w:spacing w:after="0" w:line="240" w:lineRule="auto"/>
        <w:jc w:val="both"/>
        <w:rPr>
          <w:rFonts w:cs="Arial"/>
          <w:sz w:val="22"/>
        </w:rPr>
      </w:pPr>
      <w:r w:rsidRPr="006E0A55">
        <w:rPr>
          <w:rFonts w:cs="Arial"/>
          <w:sz w:val="22"/>
        </w:rPr>
        <w:t>Empero</w:t>
      </w:r>
      <w:r w:rsidR="000C65AA" w:rsidRPr="006E0A55">
        <w:rPr>
          <w:rFonts w:cs="Arial"/>
          <w:sz w:val="22"/>
        </w:rPr>
        <w:t xml:space="preserve">, </w:t>
      </w:r>
      <w:r w:rsidRPr="006E0A55">
        <w:rPr>
          <w:rFonts w:cs="Arial"/>
          <w:sz w:val="22"/>
        </w:rPr>
        <w:t xml:space="preserve">es </w:t>
      </w:r>
      <w:r w:rsidR="000C65AA" w:rsidRPr="006E0A55">
        <w:rPr>
          <w:rFonts w:cs="Arial"/>
          <w:sz w:val="22"/>
        </w:rPr>
        <w:t xml:space="preserve">la legislación secundaria </w:t>
      </w:r>
      <w:r w:rsidRPr="006E0A55">
        <w:rPr>
          <w:rFonts w:cs="Arial"/>
          <w:sz w:val="22"/>
        </w:rPr>
        <w:t>(</w:t>
      </w:r>
      <w:r w:rsidR="000C65AA" w:rsidRPr="006E0A55">
        <w:rPr>
          <w:rFonts w:cs="Arial"/>
          <w:sz w:val="22"/>
        </w:rPr>
        <w:t xml:space="preserve">Ley General de </w:t>
      </w:r>
      <w:r w:rsidR="008A40BE" w:rsidRPr="006E0A55">
        <w:rPr>
          <w:rFonts w:cs="Arial"/>
          <w:sz w:val="22"/>
        </w:rPr>
        <w:t>Educación</w:t>
      </w:r>
      <w:r w:rsidRPr="006E0A55">
        <w:rPr>
          <w:rFonts w:cs="Arial"/>
          <w:sz w:val="22"/>
        </w:rPr>
        <w:t>)</w:t>
      </w:r>
      <w:r w:rsidR="008A40BE" w:rsidRPr="006E0A55">
        <w:rPr>
          <w:rFonts w:cs="Arial"/>
          <w:sz w:val="22"/>
        </w:rPr>
        <w:t xml:space="preserve"> </w:t>
      </w:r>
      <w:r w:rsidRPr="006E0A55">
        <w:rPr>
          <w:rFonts w:cs="Arial"/>
          <w:sz w:val="22"/>
        </w:rPr>
        <w:t xml:space="preserve">la que </w:t>
      </w:r>
      <w:r w:rsidR="008A40BE" w:rsidRPr="006E0A55">
        <w:rPr>
          <w:rFonts w:cs="Arial"/>
          <w:sz w:val="22"/>
        </w:rPr>
        <w:t>prevé</w:t>
      </w:r>
      <w:r w:rsidRPr="006E0A55">
        <w:rPr>
          <w:rFonts w:cs="Arial"/>
          <w:sz w:val="22"/>
        </w:rPr>
        <w:t xml:space="preserve"> obligaciones específicas </w:t>
      </w:r>
      <w:r w:rsidR="000126BF" w:rsidRPr="006E0A55">
        <w:rPr>
          <w:rFonts w:cs="Arial"/>
          <w:sz w:val="22"/>
        </w:rPr>
        <w:t>para garantizar el respeto a la diversidad cultural</w:t>
      </w:r>
      <w:r w:rsidR="008A40BE" w:rsidRPr="006E0A55">
        <w:rPr>
          <w:rFonts w:cs="Arial"/>
          <w:sz w:val="22"/>
        </w:rPr>
        <w:t>:</w:t>
      </w:r>
    </w:p>
    <w:p w14:paraId="1D24CC58" w14:textId="77777777" w:rsidR="008A40BE" w:rsidRPr="006E0A55" w:rsidRDefault="008A40BE" w:rsidP="00AE1F96">
      <w:pPr>
        <w:spacing w:after="0" w:line="240" w:lineRule="auto"/>
        <w:jc w:val="both"/>
        <w:rPr>
          <w:rFonts w:cs="Arial"/>
          <w:sz w:val="22"/>
        </w:rPr>
      </w:pPr>
    </w:p>
    <w:p w14:paraId="1D24CC59" w14:textId="77777777" w:rsidR="00377CB6" w:rsidRPr="006E0A55" w:rsidRDefault="008A40BE" w:rsidP="00AE1F96">
      <w:pPr>
        <w:pStyle w:val="ListParagraph"/>
        <w:numPr>
          <w:ilvl w:val="0"/>
          <w:numId w:val="45"/>
        </w:numPr>
        <w:spacing w:after="0" w:line="240" w:lineRule="auto"/>
        <w:jc w:val="both"/>
        <w:rPr>
          <w:rFonts w:cs="Arial"/>
          <w:sz w:val="22"/>
        </w:rPr>
      </w:pPr>
      <w:r w:rsidRPr="006E0A55">
        <w:rPr>
          <w:rFonts w:cs="Arial"/>
          <w:sz w:val="22"/>
        </w:rPr>
        <w:t xml:space="preserve">Los planes y programas deben </w:t>
      </w:r>
      <w:r w:rsidR="00495534" w:rsidRPr="006E0A55">
        <w:rPr>
          <w:rFonts w:cs="Arial"/>
          <w:sz w:val="22"/>
        </w:rPr>
        <w:t>responder,</w:t>
      </w:r>
      <w:r w:rsidRPr="006E0A55">
        <w:rPr>
          <w:rFonts w:cs="Arial"/>
          <w:sz w:val="22"/>
        </w:rPr>
        <w:t xml:space="preserve"> además de otros aspectos</w:t>
      </w:r>
      <w:r w:rsidR="00495534" w:rsidRPr="006E0A55">
        <w:rPr>
          <w:rFonts w:cs="Arial"/>
          <w:sz w:val="22"/>
        </w:rPr>
        <w:t>,</w:t>
      </w:r>
      <w:r w:rsidRPr="006E0A55">
        <w:rPr>
          <w:rFonts w:cs="Arial"/>
          <w:sz w:val="22"/>
        </w:rPr>
        <w:t xml:space="preserve"> a las condiciones culturales del alumnado, </w:t>
      </w:r>
      <w:r w:rsidR="009C678A" w:rsidRPr="006E0A55">
        <w:rPr>
          <w:rFonts w:cs="Arial"/>
          <w:sz w:val="22"/>
        </w:rPr>
        <w:t>de</w:t>
      </w:r>
      <w:r w:rsidRPr="006E0A55">
        <w:rPr>
          <w:rFonts w:cs="Arial"/>
          <w:sz w:val="22"/>
        </w:rPr>
        <w:t xml:space="preserve"> las comunidades y regiones del país (artículo 22).</w:t>
      </w:r>
    </w:p>
    <w:p w14:paraId="1D24CC5A" w14:textId="77777777" w:rsidR="008A40BE" w:rsidRPr="006E0A55" w:rsidRDefault="008A40BE" w:rsidP="00AE1F96">
      <w:pPr>
        <w:pStyle w:val="ListParagraph"/>
        <w:spacing w:after="0" w:line="240" w:lineRule="auto"/>
        <w:jc w:val="both"/>
        <w:rPr>
          <w:rFonts w:cs="Arial"/>
          <w:sz w:val="22"/>
        </w:rPr>
      </w:pPr>
    </w:p>
    <w:p w14:paraId="1D24CC5B" w14:textId="77777777" w:rsidR="00112107" w:rsidRPr="006E0A55" w:rsidRDefault="00112107" w:rsidP="00AE1F96">
      <w:pPr>
        <w:pStyle w:val="ListParagraph"/>
        <w:spacing w:after="0" w:line="240" w:lineRule="auto"/>
        <w:jc w:val="both"/>
        <w:rPr>
          <w:rFonts w:cs="Arial"/>
          <w:sz w:val="22"/>
        </w:rPr>
      </w:pPr>
      <w:r w:rsidRPr="006E0A55">
        <w:rPr>
          <w:rFonts w:cs="Arial"/>
          <w:sz w:val="22"/>
        </w:rPr>
        <w:t>Sus propósitos, contenidos, procesos y estrategias educativas, recursos didácticos y evaluación del aprendizaje y de acreditación, se establecerán de acuerdo con las condiciones territoriales, culturales, sociales, productivas y formativas de las instituciones educativas.</w:t>
      </w:r>
    </w:p>
    <w:p w14:paraId="1D24CC5C" w14:textId="77777777" w:rsidR="008A40BE" w:rsidRPr="006E0A55" w:rsidRDefault="008A40BE" w:rsidP="00AE1F96">
      <w:pPr>
        <w:pStyle w:val="ListParagraph"/>
        <w:spacing w:after="0"/>
        <w:rPr>
          <w:rFonts w:cs="Arial"/>
          <w:sz w:val="22"/>
        </w:rPr>
      </w:pPr>
    </w:p>
    <w:p w14:paraId="1D24CC5D" w14:textId="77777777" w:rsidR="008A40BE" w:rsidRPr="006E0A55" w:rsidRDefault="008A40BE" w:rsidP="00AE1F96">
      <w:pPr>
        <w:pStyle w:val="ListParagraph"/>
        <w:numPr>
          <w:ilvl w:val="0"/>
          <w:numId w:val="45"/>
        </w:numPr>
        <w:spacing w:after="0" w:line="240" w:lineRule="auto"/>
        <w:jc w:val="both"/>
        <w:rPr>
          <w:rFonts w:cs="Arial"/>
          <w:sz w:val="22"/>
        </w:rPr>
      </w:pPr>
      <w:r w:rsidRPr="006E0A55">
        <w:rPr>
          <w:rFonts w:cs="Arial"/>
          <w:sz w:val="22"/>
        </w:rPr>
        <w:t>La educación debe responder a la diversidad lingüística, regional y sociocultural del país, además de considerar las características y necesidades de los distintos grupos de población (artículo 36).</w:t>
      </w:r>
    </w:p>
    <w:p w14:paraId="1D24CC5E" w14:textId="77777777" w:rsidR="00683875" w:rsidRPr="006E0A55" w:rsidRDefault="00683875" w:rsidP="00AE1F96">
      <w:pPr>
        <w:spacing w:after="0" w:line="240" w:lineRule="auto"/>
        <w:ind w:left="709"/>
        <w:jc w:val="both"/>
        <w:rPr>
          <w:rFonts w:cs="Arial"/>
          <w:sz w:val="22"/>
        </w:rPr>
      </w:pPr>
    </w:p>
    <w:p w14:paraId="1D24CC5F" w14:textId="77777777" w:rsidR="00683875" w:rsidRPr="006E0A55" w:rsidRDefault="00683875" w:rsidP="00AE1F96">
      <w:pPr>
        <w:spacing w:after="0" w:line="240" w:lineRule="auto"/>
        <w:ind w:left="709"/>
        <w:jc w:val="both"/>
        <w:rPr>
          <w:rFonts w:cs="Arial"/>
          <w:sz w:val="22"/>
        </w:rPr>
      </w:pPr>
      <w:r w:rsidRPr="006E0A55">
        <w:rPr>
          <w:rFonts w:cs="Arial"/>
          <w:sz w:val="22"/>
        </w:rPr>
        <w:lastRenderedPageBreak/>
        <w:t>Adicionalmente, se impone a las autoridades educativas el garantizar el ejercicio de los derechos educativos, culturales y lingüísticos a todas las personas, pueblos y comunidades indígenas o afromexicanas, migrantes y personas jornaleras agrícolas.</w:t>
      </w:r>
    </w:p>
    <w:p w14:paraId="1D24CC60" w14:textId="77777777" w:rsidR="00683875" w:rsidRPr="006E0A55" w:rsidRDefault="00683875" w:rsidP="00AE1F96">
      <w:pPr>
        <w:pStyle w:val="ListParagraph"/>
        <w:spacing w:after="0"/>
        <w:rPr>
          <w:rFonts w:cs="Arial"/>
          <w:sz w:val="22"/>
        </w:rPr>
      </w:pPr>
    </w:p>
    <w:p w14:paraId="1D24CC61" w14:textId="77777777" w:rsidR="006E0A55" w:rsidRDefault="006E0A55" w:rsidP="006E0A55">
      <w:pPr>
        <w:pStyle w:val="ListParagraph"/>
        <w:spacing w:after="0" w:line="240" w:lineRule="auto"/>
        <w:jc w:val="both"/>
        <w:rPr>
          <w:rFonts w:cs="Arial"/>
          <w:sz w:val="22"/>
        </w:rPr>
      </w:pPr>
    </w:p>
    <w:p w14:paraId="1D24CC62" w14:textId="77777777" w:rsidR="000126BF" w:rsidRPr="006E0A55" w:rsidRDefault="000126BF" w:rsidP="00AE1F96">
      <w:pPr>
        <w:pStyle w:val="ListParagraph"/>
        <w:numPr>
          <w:ilvl w:val="0"/>
          <w:numId w:val="45"/>
        </w:numPr>
        <w:spacing w:after="0" w:line="240" w:lineRule="auto"/>
        <w:jc w:val="both"/>
        <w:rPr>
          <w:rFonts w:cs="Arial"/>
          <w:sz w:val="22"/>
        </w:rPr>
      </w:pPr>
      <w:r w:rsidRPr="006E0A55">
        <w:rPr>
          <w:rFonts w:cs="Arial"/>
          <w:sz w:val="22"/>
        </w:rPr>
        <w:t>La educación debe contribuir al conocimiento, aprendizaje, reconocimiento, valoración, preservación y desarrollo tanto de la tradición oral y escrita indígena, como de las lenguas indígenas nacionales como medio de comunicación, de enseñanza, objeto y fuente de conocimiento.</w:t>
      </w:r>
    </w:p>
    <w:p w14:paraId="1D24CC63" w14:textId="77777777" w:rsidR="000126BF" w:rsidRPr="006E0A55" w:rsidRDefault="000126BF" w:rsidP="00AE1F96">
      <w:pPr>
        <w:pStyle w:val="ListParagraph"/>
        <w:spacing w:after="0" w:line="240" w:lineRule="auto"/>
        <w:jc w:val="both"/>
        <w:rPr>
          <w:rFonts w:cs="Arial"/>
          <w:sz w:val="22"/>
        </w:rPr>
      </w:pPr>
    </w:p>
    <w:p w14:paraId="1D24CC64" w14:textId="77777777" w:rsidR="000126BF" w:rsidRPr="006E0A55" w:rsidRDefault="000126BF" w:rsidP="00AE1F96">
      <w:pPr>
        <w:pStyle w:val="ListParagraph"/>
        <w:numPr>
          <w:ilvl w:val="0"/>
          <w:numId w:val="45"/>
        </w:numPr>
        <w:spacing w:after="0" w:line="240" w:lineRule="auto"/>
        <w:jc w:val="both"/>
        <w:rPr>
          <w:rFonts w:cs="Arial"/>
          <w:sz w:val="22"/>
        </w:rPr>
      </w:pPr>
      <w:r w:rsidRPr="006E0A55">
        <w:rPr>
          <w:rFonts w:cs="Arial"/>
          <w:sz w:val="22"/>
        </w:rPr>
        <w:t>La educación indígena debe atender las necesidades educativas de las personas, pueblos y comunidades indígenas con pertinencia cultural y lingüística; además de basarse en el respeto, promoción y preservación del patrimonio histórico y de nuestras culturas.</w:t>
      </w:r>
    </w:p>
    <w:p w14:paraId="1D24CC65" w14:textId="77777777" w:rsidR="000126BF" w:rsidRPr="006E0A55" w:rsidRDefault="000126BF" w:rsidP="00AE1F96">
      <w:pPr>
        <w:spacing w:after="0" w:line="240" w:lineRule="auto"/>
        <w:jc w:val="both"/>
        <w:rPr>
          <w:rFonts w:cs="Arial"/>
          <w:sz w:val="22"/>
        </w:rPr>
      </w:pPr>
    </w:p>
    <w:p w14:paraId="1D24CC66" w14:textId="77777777" w:rsidR="00683875" w:rsidRPr="006E0A55" w:rsidRDefault="00495534" w:rsidP="00AE1F96">
      <w:pPr>
        <w:spacing w:after="0" w:line="240" w:lineRule="auto"/>
        <w:jc w:val="both"/>
        <w:rPr>
          <w:rFonts w:cs="Arial"/>
          <w:sz w:val="22"/>
        </w:rPr>
      </w:pPr>
      <w:r w:rsidRPr="006E0A55">
        <w:rPr>
          <w:rFonts w:cs="Arial"/>
          <w:sz w:val="22"/>
        </w:rPr>
        <w:t>Por otra parte</w:t>
      </w:r>
      <w:r w:rsidR="00683875" w:rsidRPr="006E0A55">
        <w:rPr>
          <w:rFonts w:cs="Arial"/>
          <w:sz w:val="22"/>
        </w:rPr>
        <w:t xml:space="preserve">, la </w:t>
      </w:r>
      <w:r w:rsidR="00830783" w:rsidRPr="006E0A55">
        <w:rPr>
          <w:rFonts w:cs="Arial"/>
          <w:i/>
          <w:sz w:val="22"/>
        </w:rPr>
        <w:t>Ley General de Cultura y Derechos Culturales</w:t>
      </w:r>
      <w:r w:rsidR="00683875" w:rsidRPr="006E0A55">
        <w:rPr>
          <w:rFonts w:cs="Arial"/>
          <w:sz w:val="22"/>
        </w:rPr>
        <w:t xml:space="preserve"> prevé la vinculación del sector cultural con el sector educativo, turístico, de desarrollo social, del medio ambiente, económico y demás sectores de la sociedad para promover la cooperación en las actividades culturales e impone a las personas servidoras públicas responsables de las acciones y programas gubernamentales en materia cultural de los distintos órdenes de gobierno el respeto, promoción, protección y garantía de los derechos culturales (artículo 10).</w:t>
      </w:r>
    </w:p>
    <w:p w14:paraId="1D24CC67" w14:textId="77777777" w:rsidR="00875944" w:rsidRPr="006E0A55" w:rsidRDefault="00875944" w:rsidP="00AE1F96">
      <w:pPr>
        <w:spacing w:after="0" w:line="240" w:lineRule="auto"/>
        <w:jc w:val="both"/>
        <w:rPr>
          <w:rFonts w:cs="Arial"/>
          <w:sz w:val="22"/>
        </w:rPr>
      </w:pPr>
    </w:p>
    <w:p w14:paraId="1D24CC68" w14:textId="77777777" w:rsidR="00875944" w:rsidRPr="006E0A55" w:rsidRDefault="00A90AC2" w:rsidP="00482F62">
      <w:pPr>
        <w:spacing w:after="0" w:line="240" w:lineRule="auto"/>
        <w:jc w:val="both"/>
        <w:rPr>
          <w:rFonts w:cs="Arial"/>
          <w:sz w:val="22"/>
        </w:rPr>
      </w:pPr>
      <w:r w:rsidRPr="006E0A55">
        <w:rPr>
          <w:rFonts w:cs="Arial"/>
          <w:sz w:val="22"/>
        </w:rPr>
        <w:t>Por otra parte,</w:t>
      </w:r>
      <w:r w:rsidR="00535087" w:rsidRPr="006E0A55">
        <w:rPr>
          <w:rFonts w:cs="Arial"/>
          <w:sz w:val="22"/>
        </w:rPr>
        <w:t xml:space="preserve"> la </w:t>
      </w:r>
      <w:r w:rsidR="00875944" w:rsidRPr="006E0A55">
        <w:rPr>
          <w:rFonts w:cs="Arial"/>
          <w:i/>
          <w:sz w:val="22"/>
        </w:rPr>
        <w:t>Ley General de los Derechos de las Niñas, Niños y Adolescentes</w:t>
      </w:r>
      <w:r w:rsidR="00535087" w:rsidRPr="006E0A55">
        <w:rPr>
          <w:rFonts w:cs="Arial"/>
          <w:sz w:val="22"/>
        </w:rPr>
        <w:t xml:space="preserve"> establece, a partir de los distintos derechos consagrados en esa normatividad, que las autoridades:</w:t>
      </w:r>
    </w:p>
    <w:p w14:paraId="1D24CC69" w14:textId="77777777" w:rsidR="00535087" w:rsidRPr="006E0A55" w:rsidRDefault="00535087" w:rsidP="00AE1F96">
      <w:pPr>
        <w:spacing w:after="0" w:line="240" w:lineRule="auto"/>
        <w:jc w:val="both"/>
        <w:rPr>
          <w:rFonts w:cs="Arial"/>
          <w:sz w:val="22"/>
        </w:rPr>
      </w:pPr>
    </w:p>
    <w:p w14:paraId="1D24CC6A" w14:textId="77777777" w:rsidR="00535087" w:rsidRPr="006E0A55" w:rsidRDefault="00535087" w:rsidP="00AE1F96">
      <w:pPr>
        <w:pStyle w:val="ListParagraph"/>
        <w:numPr>
          <w:ilvl w:val="0"/>
          <w:numId w:val="46"/>
        </w:numPr>
        <w:spacing w:after="0" w:line="240" w:lineRule="auto"/>
        <w:jc w:val="both"/>
        <w:rPr>
          <w:rFonts w:cs="Arial"/>
          <w:sz w:val="22"/>
        </w:rPr>
      </w:pPr>
      <w:r w:rsidRPr="006E0A55">
        <w:rPr>
          <w:rFonts w:cs="Arial"/>
          <w:sz w:val="22"/>
        </w:rPr>
        <w:t>Deberán promover la participación</w:t>
      </w:r>
      <w:r w:rsidR="00B14353" w:rsidRPr="006E0A55">
        <w:rPr>
          <w:rFonts w:cs="Arial"/>
          <w:sz w:val="22"/>
        </w:rPr>
        <w:t xml:space="preserve">, tomar en cuenta la opinión y considerar los aspectos culturales </w:t>
      </w:r>
      <w:r w:rsidRPr="006E0A55">
        <w:rPr>
          <w:rFonts w:cs="Arial"/>
          <w:sz w:val="22"/>
        </w:rPr>
        <w:t>de niños, niñas y adolescentes (NNA)</w:t>
      </w:r>
      <w:r w:rsidR="00B14353" w:rsidRPr="006E0A55">
        <w:rPr>
          <w:rFonts w:cs="Arial"/>
          <w:sz w:val="22"/>
        </w:rPr>
        <w:t xml:space="preserve"> en los asuntos de su incumbencia y reconoce a la interculturalidad como un principio rector para garantizar la protección de sus derechos.</w:t>
      </w:r>
    </w:p>
    <w:p w14:paraId="1D24CC6B" w14:textId="77777777" w:rsidR="00B14353" w:rsidRPr="006E0A55" w:rsidRDefault="00B14353" w:rsidP="00AE1F96">
      <w:pPr>
        <w:spacing w:after="0" w:line="240" w:lineRule="auto"/>
        <w:jc w:val="both"/>
        <w:rPr>
          <w:rFonts w:cs="Arial"/>
          <w:sz w:val="22"/>
        </w:rPr>
      </w:pPr>
    </w:p>
    <w:p w14:paraId="1D24CC6C" w14:textId="77777777" w:rsidR="00B14353" w:rsidRPr="006E0A55" w:rsidRDefault="00B14353" w:rsidP="00AE1F96">
      <w:pPr>
        <w:pStyle w:val="ListParagraph"/>
        <w:numPr>
          <w:ilvl w:val="0"/>
          <w:numId w:val="46"/>
        </w:numPr>
        <w:spacing w:after="0" w:line="240" w:lineRule="auto"/>
        <w:jc w:val="both"/>
        <w:rPr>
          <w:rFonts w:cs="Arial"/>
          <w:sz w:val="22"/>
        </w:rPr>
      </w:pPr>
      <w:r w:rsidRPr="006E0A55">
        <w:rPr>
          <w:rFonts w:cs="Arial"/>
          <w:sz w:val="22"/>
        </w:rPr>
        <w:t xml:space="preserve">Establecer acciones afirmativas para garantizar el derecho a la educación en las regiones con mayor rezago educativo o de grupos en situación de vulnerabilidad por circunstancias específicas de identidad cultural o bien relacionada con creencias religiosas o prácticas culturales, </w:t>
      </w:r>
      <w:r w:rsidR="00482F62" w:rsidRPr="006E0A55">
        <w:rPr>
          <w:rFonts w:cs="Arial"/>
          <w:sz w:val="22"/>
        </w:rPr>
        <w:t xml:space="preserve">así como </w:t>
      </w:r>
      <w:r w:rsidRPr="006E0A55">
        <w:rPr>
          <w:rFonts w:cs="Arial"/>
          <w:sz w:val="22"/>
        </w:rPr>
        <w:t xml:space="preserve">proveer que los programas educativos consideren las tradiciones culturales de </w:t>
      </w:r>
      <w:r w:rsidR="00482F62" w:rsidRPr="00152786">
        <w:rPr>
          <w:rFonts w:cs="Arial"/>
          <w:sz w:val="22"/>
        </w:rPr>
        <w:t>NNA</w:t>
      </w:r>
      <w:r w:rsidR="00482F62" w:rsidRPr="006E0A55">
        <w:rPr>
          <w:rFonts w:cs="Arial"/>
          <w:sz w:val="22"/>
        </w:rPr>
        <w:t>.</w:t>
      </w:r>
    </w:p>
    <w:p w14:paraId="1D24CC6D" w14:textId="77777777" w:rsidR="00B14353" w:rsidRPr="006E0A55" w:rsidRDefault="00B14353" w:rsidP="00AE1F96">
      <w:pPr>
        <w:spacing w:after="0" w:line="240" w:lineRule="auto"/>
        <w:jc w:val="both"/>
        <w:rPr>
          <w:rFonts w:cs="Arial"/>
          <w:sz w:val="22"/>
        </w:rPr>
      </w:pPr>
    </w:p>
    <w:p w14:paraId="1D24CC6E" w14:textId="77777777" w:rsidR="00B14353" w:rsidRPr="006E0A55" w:rsidRDefault="00B14353" w:rsidP="00AE1F96">
      <w:pPr>
        <w:pStyle w:val="ListParagraph"/>
        <w:numPr>
          <w:ilvl w:val="0"/>
          <w:numId w:val="46"/>
        </w:numPr>
        <w:spacing w:after="0" w:line="240" w:lineRule="auto"/>
        <w:jc w:val="both"/>
        <w:rPr>
          <w:rFonts w:cs="Arial"/>
          <w:sz w:val="22"/>
        </w:rPr>
      </w:pPr>
      <w:r w:rsidRPr="006E0A55">
        <w:rPr>
          <w:rFonts w:cs="Arial"/>
          <w:sz w:val="22"/>
        </w:rPr>
        <w:t>Fomentar oportunidades apropiadas, en condiciones de igualdad, para su participación en actividades culturales, artísticas y deportivas.</w:t>
      </w:r>
    </w:p>
    <w:p w14:paraId="1D24CC6F" w14:textId="77777777" w:rsidR="00B14353" w:rsidRPr="006E0A55" w:rsidRDefault="00B14353" w:rsidP="00AE1F96">
      <w:pPr>
        <w:spacing w:after="0" w:line="240" w:lineRule="auto"/>
        <w:jc w:val="both"/>
        <w:rPr>
          <w:rFonts w:cs="Arial"/>
          <w:sz w:val="22"/>
        </w:rPr>
      </w:pPr>
    </w:p>
    <w:p w14:paraId="1D24CC70" w14:textId="77777777" w:rsidR="00B14353" w:rsidRPr="006E0A55" w:rsidRDefault="00773FD2" w:rsidP="00AE1F96">
      <w:pPr>
        <w:pStyle w:val="ListParagraph"/>
        <w:numPr>
          <w:ilvl w:val="0"/>
          <w:numId w:val="46"/>
        </w:numPr>
        <w:spacing w:after="0" w:line="240" w:lineRule="auto"/>
        <w:jc w:val="both"/>
        <w:rPr>
          <w:rFonts w:cs="Arial"/>
          <w:sz w:val="22"/>
        </w:rPr>
      </w:pPr>
      <w:r w:rsidRPr="006E0A55">
        <w:rPr>
          <w:rFonts w:cs="Arial"/>
          <w:sz w:val="22"/>
        </w:rPr>
        <w:t>Garantizar la promoción, difusión y protección de la diversidad de las expresiones culturales, regionales y universales, entre niñas, niños y adolescentes.</w:t>
      </w:r>
    </w:p>
    <w:p w14:paraId="1D24CC71" w14:textId="77777777" w:rsidR="00830783" w:rsidRPr="006E0A55" w:rsidRDefault="00830783" w:rsidP="00AE1F96">
      <w:pPr>
        <w:spacing w:after="0" w:line="240" w:lineRule="auto"/>
        <w:jc w:val="both"/>
        <w:rPr>
          <w:rFonts w:cs="Arial"/>
          <w:sz w:val="22"/>
        </w:rPr>
      </w:pPr>
    </w:p>
    <w:p w14:paraId="1D24CC72" w14:textId="77777777" w:rsidR="0083219A" w:rsidRPr="006E0A55" w:rsidRDefault="0083219A" w:rsidP="00AE1F96">
      <w:pPr>
        <w:pStyle w:val="Heading1"/>
        <w:numPr>
          <w:ilvl w:val="0"/>
          <w:numId w:val="43"/>
        </w:numPr>
        <w:spacing w:before="0" w:line="240" w:lineRule="auto"/>
        <w:jc w:val="both"/>
        <w:rPr>
          <w:rFonts w:ascii="Arial" w:hAnsi="Arial" w:cs="Arial"/>
          <w:b/>
          <w:color w:val="auto"/>
          <w:sz w:val="22"/>
          <w:szCs w:val="22"/>
        </w:rPr>
      </w:pPr>
      <w:r w:rsidRPr="006E0A55">
        <w:rPr>
          <w:rFonts w:ascii="Arial" w:hAnsi="Arial" w:cs="Arial"/>
          <w:b/>
          <w:color w:val="auto"/>
          <w:sz w:val="22"/>
          <w:szCs w:val="22"/>
        </w:rPr>
        <w:t>Sírvase especificar las dificultades específicas y particulares que se han encontrado para garantizar una educación inclusiva y de calidad que permita al mismo tiempo el desarrollo de la diversidad cultural y los derechos culturales de cada persona.</w:t>
      </w:r>
    </w:p>
    <w:p w14:paraId="1D24CC73" w14:textId="77777777" w:rsidR="0083219A" w:rsidRPr="006E0A55" w:rsidRDefault="0083219A" w:rsidP="00AE1F96">
      <w:pPr>
        <w:spacing w:after="0" w:line="240" w:lineRule="auto"/>
        <w:jc w:val="both"/>
        <w:rPr>
          <w:rFonts w:cs="Arial"/>
          <w:sz w:val="22"/>
        </w:rPr>
      </w:pPr>
    </w:p>
    <w:p w14:paraId="1D24CC74" w14:textId="77777777" w:rsidR="00773FD2" w:rsidRPr="006E0A55" w:rsidRDefault="001277CB" w:rsidP="00AE1F96">
      <w:pPr>
        <w:spacing w:after="0" w:line="240" w:lineRule="auto"/>
        <w:jc w:val="both"/>
        <w:rPr>
          <w:rFonts w:cs="Arial"/>
          <w:i/>
          <w:sz w:val="22"/>
        </w:rPr>
      </w:pPr>
      <w:r w:rsidRPr="006E0A55">
        <w:rPr>
          <w:rFonts w:cs="Arial"/>
          <w:sz w:val="22"/>
        </w:rPr>
        <w:lastRenderedPageBreak/>
        <w:t xml:space="preserve">La CNDH impulsó la </w:t>
      </w:r>
      <w:r w:rsidRPr="006E0A55">
        <w:rPr>
          <w:rFonts w:cs="Arial"/>
          <w:i/>
          <w:sz w:val="22"/>
        </w:rPr>
        <w:t>Plataforma de Seguimiento a la Armonización Normativa</w:t>
      </w:r>
      <w:r w:rsidR="001548E1" w:rsidRPr="006E0A55">
        <w:rPr>
          <w:rStyle w:val="FootnoteReference"/>
          <w:rFonts w:cs="Arial"/>
          <w:i/>
          <w:sz w:val="22"/>
        </w:rPr>
        <w:footnoteReference w:id="1"/>
      </w:r>
      <w:r w:rsidRPr="006E0A55">
        <w:rPr>
          <w:rFonts w:cs="Arial"/>
          <w:sz w:val="22"/>
        </w:rPr>
        <w:t xml:space="preserve">, la cual comprende un análisis a distintos derechos, entre ellos, </w:t>
      </w:r>
      <w:r w:rsidR="00482F62" w:rsidRPr="006E0A55">
        <w:rPr>
          <w:rFonts w:cs="Arial"/>
          <w:sz w:val="22"/>
        </w:rPr>
        <w:t>el derecho a</w:t>
      </w:r>
      <w:r w:rsidRPr="006E0A55">
        <w:rPr>
          <w:rFonts w:cs="Arial"/>
          <w:sz w:val="22"/>
        </w:rPr>
        <w:t xml:space="preserve"> la educación, a fin de identificar el porcentaje de armonización legislativa (federal y estatal) a lo previsto en nuestro máximo ordenamiento.</w:t>
      </w:r>
    </w:p>
    <w:p w14:paraId="1D24CC75" w14:textId="77777777" w:rsidR="00773FD2" w:rsidRPr="006E0A55" w:rsidRDefault="00773FD2" w:rsidP="00AE1F96">
      <w:pPr>
        <w:spacing w:after="0" w:line="240" w:lineRule="auto"/>
        <w:jc w:val="both"/>
        <w:rPr>
          <w:rFonts w:cs="Arial"/>
          <w:sz w:val="22"/>
        </w:rPr>
      </w:pPr>
    </w:p>
    <w:p w14:paraId="1D24CC76" w14:textId="77777777" w:rsidR="001277CB" w:rsidRPr="006E0A55" w:rsidRDefault="001277CB" w:rsidP="00AE1F96">
      <w:pPr>
        <w:spacing w:after="0" w:line="240" w:lineRule="auto"/>
        <w:jc w:val="both"/>
        <w:rPr>
          <w:rFonts w:cs="Arial"/>
          <w:sz w:val="22"/>
        </w:rPr>
      </w:pPr>
      <w:r w:rsidRPr="006E0A55">
        <w:rPr>
          <w:rFonts w:cs="Arial"/>
          <w:sz w:val="22"/>
        </w:rPr>
        <w:t>El examen normativo efectuado se concentró en distintas disposiciones jurídicas: el derecho a recibir educación con disponibilidad, accesibilidad, aceptabilidad y adaptabilidad (armonizada en un 100%)</w:t>
      </w:r>
      <w:r w:rsidR="006B3D8F" w:rsidRPr="006E0A55">
        <w:rPr>
          <w:rFonts w:cs="Arial"/>
          <w:sz w:val="22"/>
        </w:rPr>
        <w:t xml:space="preserve">; a la protección y promoción de la diversidad de las expresiones culturales (95%), a los beneficios de la cultura (97.50%); acceso al progreso científico y tecnológico (98.75%), entre otros; sin embargo, si bien </w:t>
      </w:r>
      <w:r w:rsidR="00482F62" w:rsidRPr="006E0A55">
        <w:rPr>
          <w:rFonts w:cs="Arial"/>
          <w:sz w:val="22"/>
        </w:rPr>
        <w:t xml:space="preserve">los resultados </w:t>
      </w:r>
      <w:r w:rsidR="006E0A55" w:rsidRPr="006E0A55">
        <w:rPr>
          <w:rFonts w:cs="Arial"/>
          <w:sz w:val="22"/>
        </w:rPr>
        <w:t xml:space="preserve">obtenidos </w:t>
      </w:r>
      <w:r w:rsidR="006B3D8F" w:rsidRPr="006E0A55">
        <w:rPr>
          <w:rFonts w:cs="Arial"/>
          <w:sz w:val="22"/>
        </w:rPr>
        <w:t>representa</w:t>
      </w:r>
      <w:r w:rsidR="00482F62" w:rsidRPr="006E0A55">
        <w:rPr>
          <w:rFonts w:cs="Arial"/>
          <w:sz w:val="22"/>
        </w:rPr>
        <w:t>n</w:t>
      </w:r>
      <w:r w:rsidR="006B3D8F" w:rsidRPr="006E0A55">
        <w:rPr>
          <w:rFonts w:cs="Arial"/>
          <w:sz w:val="22"/>
        </w:rPr>
        <w:t xml:space="preserve"> un avance significativo en el orden jurídico, la materialización de estos derechos aún tiene aspectos pendientes.</w:t>
      </w:r>
    </w:p>
    <w:p w14:paraId="1D24CC77" w14:textId="77777777" w:rsidR="006B3D8F" w:rsidRPr="006E0A55" w:rsidRDefault="006B3D8F" w:rsidP="00AE1F96">
      <w:pPr>
        <w:spacing w:after="0" w:line="240" w:lineRule="auto"/>
        <w:jc w:val="both"/>
        <w:rPr>
          <w:rFonts w:cs="Arial"/>
          <w:sz w:val="22"/>
        </w:rPr>
      </w:pPr>
    </w:p>
    <w:p w14:paraId="1D24CC78" w14:textId="77777777" w:rsidR="001548E1" w:rsidRPr="006E0A55" w:rsidRDefault="006B3D8F" w:rsidP="00AE1F96">
      <w:pPr>
        <w:spacing w:after="0" w:line="240" w:lineRule="auto"/>
        <w:jc w:val="both"/>
        <w:rPr>
          <w:rFonts w:cs="Arial"/>
          <w:i/>
          <w:sz w:val="22"/>
        </w:rPr>
      </w:pPr>
      <w:r w:rsidRPr="006E0A55">
        <w:rPr>
          <w:rFonts w:cs="Arial"/>
          <w:sz w:val="22"/>
        </w:rPr>
        <w:t xml:space="preserve">Al respecto </w:t>
      </w:r>
      <w:r w:rsidR="00773FD2" w:rsidRPr="006E0A55">
        <w:rPr>
          <w:rFonts w:cs="Arial"/>
          <w:sz w:val="22"/>
        </w:rPr>
        <w:t xml:space="preserve">es importante hacer referencia al </w:t>
      </w:r>
      <w:r w:rsidR="00773FD2" w:rsidRPr="00152786">
        <w:rPr>
          <w:rFonts w:cs="Arial"/>
          <w:i/>
          <w:sz w:val="22"/>
        </w:rPr>
        <w:t>Estudio Diagnóstico del Derecho a la Educación 2018</w:t>
      </w:r>
      <w:r w:rsidR="00773FD2" w:rsidRPr="006E0A55">
        <w:rPr>
          <w:rStyle w:val="FootnoteReference"/>
          <w:rFonts w:cs="Arial"/>
          <w:sz w:val="22"/>
        </w:rPr>
        <w:footnoteReference w:id="2"/>
      </w:r>
      <w:r w:rsidR="00773FD2" w:rsidRPr="006E0A55">
        <w:rPr>
          <w:rFonts w:cs="Arial"/>
          <w:sz w:val="22"/>
        </w:rPr>
        <w:t xml:space="preserve"> elaborado por el Consejo Nacional de Evaluación de la Política de Desarrollo Social (CONEVAL), de este documento se observa que </w:t>
      </w:r>
      <w:r w:rsidR="00F337A9" w:rsidRPr="00152786">
        <w:rPr>
          <w:rFonts w:cs="Arial"/>
          <w:sz w:val="22"/>
        </w:rPr>
        <w:t>las personas hablantes</w:t>
      </w:r>
      <w:r w:rsidR="001548E1" w:rsidRPr="006E0A55">
        <w:rPr>
          <w:rFonts w:cs="Arial"/>
          <w:sz w:val="22"/>
        </w:rPr>
        <w:t xml:space="preserve"> de lengua indígena presenta mayores dificultades para el disfrute del derecho a la educación, toda vez que el sistema educativo no ofrece servicios integrales con pertinencia cultural;</w:t>
      </w:r>
      <w:r w:rsidR="001548E1" w:rsidRPr="006E0A55">
        <w:rPr>
          <w:rFonts w:cs="Arial"/>
          <w:i/>
          <w:sz w:val="22"/>
        </w:rPr>
        <w:t xml:space="preserve"> los materiales en lengua indígena suelen no distribuirse a tiempo, de manera suficiente o en la lengua correcta; asimismo, el personal que habla su misma lengua algunas veces resulta insuficiente.</w:t>
      </w:r>
    </w:p>
    <w:p w14:paraId="1D24CC79" w14:textId="77777777" w:rsidR="00830783" w:rsidRPr="006E0A55" w:rsidRDefault="00830783" w:rsidP="00AE1F96">
      <w:pPr>
        <w:spacing w:after="0" w:line="240" w:lineRule="auto"/>
        <w:jc w:val="both"/>
        <w:rPr>
          <w:rFonts w:cs="Arial"/>
          <w:sz w:val="22"/>
        </w:rPr>
      </w:pPr>
    </w:p>
    <w:p w14:paraId="1D24CC7A" w14:textId="77777777" w:rsidR="00830783" w:rsidRPr="006E0A55" w:rsidRDefault="0083219A" w:rsidP="00AE1F96">
      <w:pPr>
        <w:spacing w:after="0" w:line="240" w:lineRule="auto"/>
        <w:jc w:val="both"/>
        <w:rPr>
          <w:rFonts w:cs="Arial"/>
          <w:sz w:val="22"/>
        </w:rPr>
      </w:pPr>
      <w:r w:rsidRPr="006E0A55">
        <w:rPr>
          <w:rFonts w:cs="Arial"/>
          <w:sz w:val="22"/>
        </w:rPr>
        <w:t xml:space="preserve">Otra brecha identificada </w:t>
      </w:r>
      <w:r w:rsidR="001548E1" w:rsidRPr="006E0A55">
        <w:rPr>
          <w:rFonts w:cs="Arial"/>
          <w:sz w:val="22"/>
        </w:rPr>
        <w:t xml:space="preserve">es la relativa a la infraestructura educativa, por ejemplo, en el caso de las zonas rurales y escuelas comunitarias tienen una menor disponibilidad de los servicios educativos, así como de personal capacitado. </w:t>
      </w:r>
    </w:p>
    <w:p w14:paraId="1D24CC7B" w14:textId="77777777" w:rsidR="0083219A" w:rsidRPr="006E0A55" w:rsidRDefault="0083219A" w:rsidP="00AE1F96">
      <w:pPr>
        <w:spacing w:after="0" w:line="240" w:lineRule="auto"/>
        <w:jc w:val="both"/>
        <w:rPr>
          <w:rFonts w:cs="Arial"/>
          <w:sz w:val="22"/>
        </w:rPr>
      </w:pPr>
    </w:p>
    <w:p w14:paraId="1D24CC7C" w14:textId="77777777" w:rsidR="001548E1" w:rsidRPr="006E0A55" w:rsidRDefault="001548E1" w:rsidP="00AE1F96">
      <w:pPr>
        <w:spacing w:after="0" w:line="240" w:lineRule="auto"/>
        <w:jc w:val="both"/>
        <w:rPr>
          <w:rFonts w:cs="Arial"/>
          <w:sz w:val="22"/>
        </w:rPr>
      </w:pPr>
      <w:r w:rsidRPr="006E0A55">
        <w:rPr>
          <w:rFonts w:cs="Arial"/>
          <w:sz w:val="22"/>
        </w:rPr>
        <w:t>En relación con e</w:t>
      </w:r>
      <w:r w:rsidR="0083219A" w:rsidRPr="006E0A55">
        <w:rPr>
          <w:rFonts w:cs="Arial"/>
          <w:sz w:val="22"/>
        </w:rPr>
        <w:t>l currículo</w:t>
      </w:r>
      <w:r w:rsidRPr="006E0A55">
        <w:rPr>
          <w:rFonts w:cs="Arial"/>
          <w:sz w:val="22"/>
        </w:rPr>
        <w:t xml:space="preserve">, si bien en </w:t>
      </w:r>
      <w:r w:rsidR="0083219A" w:rsidRPr="006E0A55">
        <w:rPr>
          <w:rFonts w:cs="Arial"/>
          <w:sz w:val="22"/>
        </w:rPr>
        <w:t>2017</w:t>
      </w:r>
      <w:r w:rsidRPr="006E0A55">
        <w:rPr>
          <w:rFonts w:cs="Arial"/>
          <w:sz w:val="22"/>
        </w:rPr>
        <w:t xml:space="preserve">, se incorporaron de acuerdo con el citado </w:t>
      </w:r>
      <w:r w:rsidR="006E0A55" w:rsidRPr="006E0A55">
        <w:rPr>
          <w:rFonts w:cs="Arial"/>
          <w:sz w:val="22"/>
        </w:rPr>
        <w:t>E</w:t>
      </w:r>
      <w:r w:rsidRPr="006E0A55">
        <w:rPr>
          <w:rFonts w:cs="Arial"/>
          <w:sz w:val="22"/>
        </w:rPr>
        <w:t xml:space="preserve">studio </w:t>
      </w:r>
      <w:r w:rsidR="0083219A" w:rsidRPr="006E0A55">
        <w:rPr>
          <w:rFonts w:cs="Arial"/>
          <w:sz w:val="22"/>
        </w:rPr>
        <w:t xml:space="preserve">las asignaturas de Lengua indígena, como lengua materna y </w:t>
      </w:r>
      <w:r w:rsidRPr="006E0A55">
        <w:rPr>
          <w:rFonts w:cs="Arial"/>
          <w:sz w:val="22"/>
        </w:rPr>
        <w:t>E</w:t>
      </w:r>
      <w:r w:rsidR="0083219A" w:rsidRPr="006E0A55">
        <w:rPr>
          <w:rFonts w:cs="Arial"/>
          <w:sz w:val="22"/>
        </w:rPr>
        <w:t>spañol, como segunda lengua,</w:t>
      </w:r>
      <w:r w:rsidR="0083219A" w:rsidRPr="006E0A55">
        <w:rPr>
          <w:rFonts w:cs="Arial"/>
          <w:i/>
          <w:sz w:val="22"/>
        </w:rPr>
        <w:t xml:space="preserve"> es necesario que los programas de estudio para los pueblos originarios alcancen los mismos parámetros y avancen al mismo tiempo que los programas de escuelas no indígenas</w:t>
      </w:r>
      <w:r w:rsidR="0083219A" w:rsidRPr="006E0A55">
        <w:rPr>
          <w:rFonts w:cs="Arial"/>
          <w:sz w:val="22"/>
        </w:rPr>
        <w:t>;</w:t>
      </w:r>
      <w:r w:rsidRPr="006E0A55">
        <w:rPr>
          <w:rFonts w:cs="Arial"/>
          <w:sz w:val="22"/>
        </w:rPr>
        <w:t xml:space="preserve"> asimismo, es necesario que las personas que integran esos pueblos y comunidades participen en la conformación de </w:t>
      </w:r>
      <w:r w:rsidR="006E0A55" w:rsidRPr="006E0A55">
        <w:rPr>
          <w:rFonts w:cs="Arial"/>
          <w:sz w:val="22"/>
        </w:rPr>
        <w:t>los</w:t>
      </w:r>
      <w:r w:rsidRPr="006E0A55">
        <w:rPr>
          <w:rFonts w:cs="Arial"/>
          <w:sz w:val="22"/>
        </w:rPr>
        <w:t xml:space="preserve"> planes para dar certeza de su pertinencia cultural.</w:t>
      </w:r>
    </w:p>
    <w:p w14:paraId="1D24CC7D" w14:textId="77777777" w:rsidR="001548E1" w:rsidRPr="006E0A55" w:rsidRDefault="001548E1" w:rsidP="00AE1F96">
      <w:pPr>
        <w:spacing w:after="0" w:line="240" w:lineRule="auto"/>
        <w:jc w:val="both"/>
        <w:rPr>
          <w:rFonts w:cs="Arial"/>
          <w:sz w:val="22"/>
        </w:rPr>
      </w:pPr>
    </w:p>
    <w:p w14:paraId="1D24CC7E" w14:textId="77777777" w:rsidR="0083219A" w:rsidRPr="006E0A55" w:rsidRDefault="0083219A" w:rsidP="00AE1F96">
      <w:pPr>
        <w:pStyle w:val="Heading1"/>
        <w:numPr>
          <w:ilvl w:val="0"/>
          <w:numId w:val="43"/>
        </w:numPr>
        <w:spacing w:before="0" w:line="240" w:lineRule="auto"/>
        <w:jc w:val="both"/>
        <w:rPr>
          <w:rFonts w:ascii="Arial" w:hAnsi="Arial" w:cs="Arial"/>
          <w:b/>
          <w:color w:val="auto"/>
          <w:sz w:val="22"/>
          <w:szCs w:val="22"/>
        </w:rPr>
      </w:pPr>
      <w:r w:rsidRPr="006E0A55">
        <w:rPr>
          <w:rFonts w:ascii="Arial" w:hAnsi="Arial" w:cs="Arial"/>
          <w:b/>
          <w:color w:val="auto"/>
          <w:sz w:val="22"/>
          <w:szCs w:val="22"/>
        </w:rPr>
        <w:t>¿Qué recomendaciones deberían hacerse a los Estados y a otras partes interesadas sobre estas cuestiones?</w:t>
      </w:r>
    </w:p>
    <w:p w14:paraId="1D24CC7F" w14:textId="77777777" w:rsidR="0083219A" w:rsidRPr="006E0A55" w:rsidRDefault="0083219A" w:rsidP="00AE1F96">
      <w:pPr>
        <w:spacing w:after="0" w:line="240" w:lineRule="auto"/>
        <w:jc w:val="both"/>
        <w:rPr>
          <w:rFonts w:cs="Arial"/>
          <w:sz w:val="22"/>
        </w:rPr>
      </w:pPr>
    </w:p>
    <w:p w14:paraId="1D24CC80" w14:textId="77777777" w:rsidR="00495534" w:rsidRPr="006E0A55" w:rsidRDefault="006E0A55" w:rsidP="00AE1F96">
      <w:pPr>
        <w:spacing w:after="0" w:line="240" w:lineRule="auto"/>
        <w:jc w:val="both"/>
        <w:rPr>
          <w:sz w:val="22"/>
        </w:rPr>
      </w:pPr>
      <w:bookmarkStart w:id="0" w:name="_GoBack"/>
      <w:r w:rsidRPr="006E0A55">
        <w:rPr>
          <w:sz w:val="22"/>
        </w:rPr>
        <w:t>En su momento, este Organismo N</w:t>
      </w:r>
      <w:r w:rsidR="00495534" w:rsidRPr="006E0A55">
        <w:rPr>
          <w:sz w:val="22"/>
        </w:rPr>
        <w:t>acional indicó que la complejidad existente para definir el propio concepto de cultura y los distintos contextos sociales que enfrentan las personas han dificultado dotar de importancia y prevalencia a los derechos culturales, cuya vulneración también afecta el ejercicio de otras prerrogativas</w:t>
      </w:r>
      <w:r w:rsidR="00CD755B">
        <w:rPr>
          <w:rStyle w:val="FootnoteReference"/>
          <w:sz w:val="22"/>
        </w:rPr>
        <w:footnoteReference w:id="3"/>
      </w:r>
      <w:r w:rsidRPr="006E0A55">
        <w:rPr>
          <w:sz w:val="22"/>
        </w:rPr>
        <w:t>.</w:t>
      </w:r>
    </w:p>
    <w:p w14:paraId="1D24CC81" w14:textId="77777777" w:rsidR="006E0A55" w:rsidRDefault="006E0A55" w:rsidP="00AE1F96">
      <w:pPr>
        <w:spacing w:after="0" w:line="240" w:lineRule="auto"/>
        <w:jc w:val="both"/>
        <w:rPr>
          <w:sz w:val="22"/>
        </w:rPr>
      </w:pPr>
    </w:p>
    <w:p w14:paraId="1D24CC82" w14:textId="77777777" w:rsidR="00CD755B" w:rsidRPr="00CD755B" w:rsidRDefault="00CD755B" w:rsidP="00CD755B">
      <w:pPr>
        <w:spacing w:after="0" w:line="240" w:lineRule="auto"/>
        <w:jc w:val="both"/>
        <w:rPr>
          <w:sz w:val="22"/>
        </w:rPr>
      </w:pPr>
      <w:r w:rsidRPr="00CD755B">
        <w:rPr>
          <w:rFonts w:cs="Arial"/>
          <w:color w:val="000000"/>
          <w:sz w:val="22"/>
        </w:rPr>
        <w:t xml:space="preserve">Adicionalmente, es necesario prevenir y atender la discriminación étnica que persiste en el comportamiento de las personas del servicio público y en la cultura de la sociedad mexicana; a pesar de que las personas indígenas tienen los mismos derechos que las demás, no participan de los mismos beneficios del desarrollo económico y social, y en sus lugares de origen con </w:t>
      </w:r>
      <w:r w:rsidRPr="00CD755B">
        <w:rPr>
          <w:rFonts w:cs="Arial"/>
          <w:color w:val="000000"/>
          <w:sz w:val="22"/>
        </w:rPr>
        <w:lastRenderedPageBreak/>
        <w:t>frecuencia se refleja la insuficiencia de fondos o inversiones para el crecimiento económico, falta de recursos para servicios sociales y culturales y existencia de prioridades nacionales diferentes al desarrollo indígena.</w:t>
      </w:r>
      <w:r>
        <w:rPr>
          <w:rStyle w:val="FootnoteReference"/>
          <w:rFonts w:cs="Arial"/>
          <w:color w:val="000000"/>
          <w:sz w:val="22"/>
        </w:rPr>
        <w:footnoteReference w:id="4"/>
      </w:r>
    </w:p>
    <w:p w14:paraId="1D24CC83" w14:textId="77777777" w:rsidR="00CD755B" w:rsidRDefault="00CD755B" w:rsidP="00AE1F96">
      <w:pPr>
        <w:spacing w:after="0" w:line="240" w:lineRule="auto"/>
        <w:jc w:val="both"/>
        <w:rPr>
          <w:sz w:val="22"/>
        </w:rPr>
      </w:pPr>
    </w:p>
    <w:p w14:paraId="1D24CC84" w14:textId="77777777" w:rsidR="006E0A55" w:rsidRPr="006E0A55" w:rsidRDefault="006E0A55" w:rsidP="00AE1F96">
      <w:pPr>
        <w:spacing w:after="0" w:line="240" w:lineRule="auto"/>
        <w:jc w:val="both"/>
        <w:rPr>
          <w:sz w:val="22"/>
        </w:rPr>
      </w:pPr>
      <w:r w:rsidRPr="006E0A55">
        <w:rPr>
          <w:sz w:val="22"/>
        </w:rPr>
        <w:t>Aunado a lo anterior, es necesario:</w:t>
      </w:r>
    </w:p>
    <w:p w14:paraId="1D24CC85" w14:textId="77777777" w:rsidR="006E0A55" w:rsidRPr="006E0A55" w:rsidRDefault="006E0A55" w:rsidP="00AE1F96">
      <w:pPr>
        <w:spacing w:after="0" w:line="240" w:lineRule="auto"/>
        <w:jc w:val="both"/>
        <w:rPr>
          <w:rFonts w:cs="Arial"/>
          <w:sz w:val="22"/>
        </w:rPr>
      </w:pPr>
    </w:p>
    <w:p w14:paraId="1D24CC86" w14:textId="77777777" w:rsidR="00F52886" w:rsidRPr="006E0A55" w:rsidRDefault="00F52886" w:rsidP="00AE1F96">
      <w:pPr>
        <w:pStyle w:val="ListParagraph"/>
        <w:numPr>
          <w:ilvl w:val="0"/>
          <w:numId w:val="47"/>
        </w:numPr>
        <w:spacing w:after="0" w:line="240" w:lineRule="auto"/>
        <w:jc w:val="both"/>
        <w:rPr>
          <w:rFonts w:cs="Arial"/>
          <w:sz w:val="22"/>
        </w:rPr>
      </w:pPr>
      <w:r w:rsidRPr="006E0A55">
        <w:rPr>
          <w:rFonts w:cs="Arial"/>
          <w:sz w:val="22"/>
        </w:rPr>
        <w:t>Fortalecer la vinculación interinstitucional y entre los distintos órdenes de gobierno para implementar acciones especificas que garanticen la educación inclusiva y los derechos culturales de todas las personas, en especial, de niñas, niños y adolescentes, así como de grupos en situación de vulnerabilidad.</w:t>
      </w:r>
    </w:p>
    <w:p w14:paraId="1D24CC87" w14:textId="77777777" w:rsidR="00F52886" w:rsidRPr="006E0A55" w:rsidRDefault="00F52886" w:rsidP="00AE1F96">
      <w:pPr>
        <w:pStyle w:val="ListParagraph"/>
        <w:spacing w:after="0" w:line="240" w:lineRule="auto"/>
        <w:jc w:val="both"/>
        <w:rPr>
          <w:rFonts w:cs="Arial"/>
          <w:sz w:val="22"/>
        </w:rPr>
      </w:pPr>
    </w:p>
    <w:p w14:paraId="1D24CC88" w14:textId="77777777" w:rsidR="00F52886" w:rsidRPr="006E0A55" w:rsidRDefault="00F52886" w:rsidP="00AE1F96">
      <w:pPr>
        <w:pStyle w:val="ListParagraph"/>
        <w:numPr>
          <w:ilvl w:val="0"/>
          <w:numId w:val="47"/>
        </w:numPr>
        <w:spacing w:after="0" w:line="240" w:lineRule="auto"/>
        <w:jc w:val="both"/>
        <w:rPr>
          <w:rFonts w:cs="Arial"/>
          <w:sz w:val="22"/>
        </w:rPr>
      </w:pPr>
      <w:r w:rsidRPr="006E0A55">
        <w:rPr>
          <w:rFonts w:cs="Arial"/>
          <w:sz w:val="22"/>
        </w:rPr>
        <w:t>Implementar mecanismos de participación de los distintos actores educativos y en sus diferentes niveles para fortalecer los programas y planes de estudios, así como el currículo.</w:t>
      </w:r>
    </w:p>
    <w:p w14:paraId="1D24CC89" w14:textId="77777777" w:rsidR="00F52886" w:rsidRPr="006E0A55" w:rsidRDefault="00F52886" w:rsidP="00AE1F96">
      <w:pPr>
        <w:spacing w:after="0" w:line="240" w:lineRule="auto"/>
        <w:jc w:val="both"/>
        <w:rPr>
          <w:rFonts w:cs="Arial"/>
          <w:sz w:val="22"/>
        </w:rPr>
      </w:pPr>
    </w:p>
    <w:p w14:paraId="1D24CC8A" w14:textId="77777777" w:rsidR="00F52886" w:rsidRPr="006E0A55" w:rsidRDefault="00F52886" w:rsidP="00AE1F96">
      <w:pPr>
        <w:pStyle w:val="ListParagraph"/>
        <w:numPr>
          <w:ilvl w:val="0"/>
          <w:numId w:val="47"/>
        </w:numPr>
        <w:spacing w:after="0" w:line="240" w:lineRule="auto"/>
        <w:jc w:val="both"/>
        <w:rPr>
          <w:rFonts w:cs="Arial"/>
          <w:sz w:val="22"/>
        </w:rPr>
      </w:pPr>
      <w:r w:rsidRPr="006E0A55">
        <w:rPr>
          <w:rFonts w:cs="Arial"/>
          <w:sz w:val="22"/>
        </w:rPr>
        <w:t>Disminuir la brecha existente entre las escuelas indígenas, comunitarias o bien aquellas ubicadas en zonas rurales respecto de las escuelas en zonas urbanas, mediante la dignificación de esos espacios (remodelación, ampliación, construcción, contar con servicios públicos y mobiliarios).</w:t>
      </w:r>
    </w:p>
    <w:p w14:paraId="1D24CC8B" w14:textId="77777777" w:rsidR="00F52886" w:rsidRPr="006E0A55" w:rsidRDefault="00F52886" w:rsidP="00AE1F96">
      <w:pPr>
        <w:spacing w:after="0" w:line="240" w:lineRule="auto"/>
        <w:jc w:val="both"/>
        <w:rPr>
          <w:rFonts w:cs="Arial"/>
          <w:sz w:val="22"/>
        </w:rPr>
      </w:pPr>
    </w:p>
    <w:p w14:paraId="1D24CC8C" w14:textId="77777777" w:rsidR="0083219A" w:rsidRPr="006E0A55" w:rsidRDefault="00F52886" w:rsidP="00AE1F96">
      <w:pPr>
        <w:pStyle w:val="ListParagraph"/>
        <w:numPr>
          <w:ilvl w:val="0"/>
          <w:numId w:val="47"/>
        </w:numPr>
        <w:spacing w:after="0" w:line="240" w:lineRule="auto"/>
        <w:jc w:val="both"/>
        <w:rPr>
          <w:rFonts w:cs="Arial"/>
          <w:sz w:val="22"/>
        </w:rPr>
      </w:pPr>
      <w:r w:rsidRPr="006E0A55">
        <w:rPr>
          <w:rFonts w:cs="Arial"/>
          <w:sz w:val="22"/>
        </w:rPr>
        <w:t>Fortalecer la capacitación del personal docente, observando como criterios orientadores la pertinencia cultural, la profesionalización permanente, la edu</w:t>
      </w:r>
      <w:r w:rsidR="00285A78" w:rsidRPr="006E0A55">
        <w:rPr>
          <w:rFonts w:cs="Arial"/>
          <w:sz w:val="22"/>
        </w:rPr>
        <w:t>c</w:t>
      </w:r>
      <w:r w:rsidRPr="006E0A55">
        <w:rPr>
          <w:rFonts w:cs="Arial"/>
          <w:sz w:val="22"/>
        </w:rPr>
        <w:t xml:space="preserve">ación bilingüe e inclusiva. </w:t>
      </w:r>
    </w:p>
    <w:p w14:paraId="1D24CC8D" w14:textId="77777777" w:rsidR="00285A78" w:rsidRPr="006E0A55" w:rsidRDefault="00285A78" w:rsidP="00AE1F96">
      <w:pPr>
        <w:spacing w:after="0"/>
        <w:rPr>
          <w:rFonts w:cs="Arial"/>
          <w:sz w:val="22"/>
        </w:rPr>
      </w:pPr>
    </w:p>
    <w:p w14:paraId="1D24CC8E" w14:textId="77777777" w:rsidR="00285A78" w:rsidRPr="006E0A55" w:rsidRDefault="006E0A55" w:rsidP="006E0A55">
      <w:pPr>
        <w:spacing w:after="0"/>
        <w:jc w:val="both"/>
        <w:rPr>
          <w:rFonts w:cs="Arial"/>
          <w:sz w:val="22"/>
        </w:rPr>
      </w:pPr>
      <w:r w:rsidRPr="006E0A55">
        <w:rPr>
          <w:rFonts w:cs="Arial"/>
          <w:sz w:val="22"/>
        </w:rPr>
        <w:t>Finalmente, en el ejercicio de sus atribuciones se han</w:t>
      </w:r>
      <w:r w:rsidR="00285A78" w:rsidRPr="006E0A55">
        <w:rPr>
          <w:rFonts w:cs="Arial"/>
          <w:sz w:val="22"/>
        </w:rPr>
        <w:t xml:space="preserve"> emitido distintos pronunciamientos</w:t>
      </w:r>
      <w:r w:rsidR="00495534" w:rsidRPr="006E0A55">
        <w:rPr>
          <w:rFonts w:cs="Arial"/>
          <w:sz w:val="22"/>
        </w:rPr>
        <w:t xml:space="preserve"> en los cuales ha puntualizado sobre el derecho a la educación, la inclusión educativa y la diversidad cultural</w:t>
      </w:r>
      <w:r w:rsidR="00CD755B">
        <w:rPr>
          <w:rFonts w:cs="Arial"/>
          <w:sz w:val="22"/>
        </w:rPr>
        <w:t>, de las cuales se resalta:</w:t>
      </w:r>
    </w:p>
    <w:p w14:paraId="1D24CC8F" w14:textId="77777777" w:rsidR="00285A78" w:rsidRPr="006E0A55" w:rsidRDefault="00285A78" w:rsidP="00AE1F96">
      <w:pPr>
        <w:spacing w:after="0"/>
        <w:rPr>
          <w:rFonts w:cs="Arial"/>
          <w:sz w:val="22"/>
        </w:rPr>
      </w:pPr>
    </w:p>
    <w:p w14:paraId="1D24CC90" w14:textId="77777777" w:rsidR="00495534" w:rsidRPr="006E0A55" w:rsidRDefault="00495534" w:rsidP="00AE1F96">
      <w:pPr>
        <w:spacing w:after="0" w:line="240" w:lineRule="auto"/>
        <w:jc w:val="both"/>
        <w:rPr>
          <w:sz w:val="22"/>
        </w:rPr>
      </w:pPr>
      <w:r w:rsidRPr="006E0A55">
        <w:rPr>
          <w:sz w:val="22"/>
        </w:rPr>
        <w:t>Recomendación 2/2017 sobre la violación a diversos Derechos Humanos en agravio de personas jornaleras agrícolas del Valle de San Quintín, Ensenada, Baja California.</w:t>
      </w:r>
    </w:p>
    <w:p w14:paraId="1D24CC91" w14:textId="77777777" w:rsidR="00495534" w:rsidRPr="006E0A55" w:rsidRDefault="00495534" w:rsidP="00AE1F96">
      <w:pPr>
        <w:spacing w:after="0" w:line="240" w:lineRule="auto"/>
        <w:jc w:val="both"/>
        <w:rPr>
          <w:sz w:val="22"/>
        </w:rPr>
      </w:pPr>
    </w:p>
    <w:p w14:paraId="1D24CC92" w14:textId="77777777" w:rsidR="00495534" w:rsidRPr="006E0A55" w:rsidRDefault="00741440" w:rsidP="00AE1F96">
      <w:pPr>
        <w:spacing w:after="0" w:line="240" w:lineRule="auto"/>
        <w:jc w:val="both"/>
        <w:rPr>
          <w:sz w:val="22"/>
        </w:rPr>
      </w:pPr>
      <w:hyperlink r:id="rId11" w:history="1">
        <w:r w:rsidR="00495534" w:rsidRPr="006E0A55">
          <w:rPr>
            <w:rStyle w:val="Hyperlink"/>
            <w:sz w:val="22"/>
          </w:rPr>
          <w:t>https://www.cndh.org.mx/sites/default/files/doc/Recomendaciones/2017/Rec_2017_002.pdf</w:t>
        </w:r>
      </w:hyperlink>
    </w:p>
    <w:p w14:paraId="1D24CC93" w14:textId="77777777" w:rsidR="00495534" w:rsidRPr="006E0A55" w:rsidRDefault="00495534" w:rsidP="00AE1F96">
      <w:pPr>
        <w:spacing w:after="0" w:line="240" w:lineRule="auto"/>
        <w:jc w:val="both"/>
        <w:rPr>
          <w:sz w:val="22"/>
        </w:rPr>
      </w:pPr>
    </w:p>
    <w:p w14:paraId="1D24CC94" w14:textId="77777777" w:rsidR="00285A78" w:rsidRPr="006E0A55" w:rsidRDefault="00285A78" w:rsidP="00AE1F96">
      <w:pPr>
        <w:spacing w:after="0" w:line="240" w:lineRule="auto"/>
        <w:jc w:val="both"/>
        <w:rPr>
          <w:sz w:val="22"/>
        </w:rPr>
      </w:pPr>
      <w:r w:rsidRPr="006E0A55">
        <w:rPr>
          <w:sz w:val="22"/>
        </w:rPr>
        <w:t>Recomendación 15 /2015 sobre el caso de privación ilegal de la libertad e impedimento al derecho a la educación en agravio de V1, mujer indígena mixe, por autoridades municipales de Santo Domingo Tepuxtepec, Mixe, Estado de Oaxaca, disponible en:</w:t>
      </w:r>
    </w:p>
    <w:p w14:paraId="1D24CC95" w14:textId="77777777" w:rsidR="00285A78" w:rsidRPr="006E0A55" w:rsidRDefault="00285A78" w:rsidP="00AE1F96">
      <w:pPr>
        <w:spacing w:after="0" w:line="240" w:lineRule="auto"/>
        <w:jc w:val="both"/>
        <w:rPr>
          <w:rFonts w:cs="Arial"/>
          <w:sz w:val="22"/>
        </w:rPr>
      </w:pPr>
    </w:p>
    <w:p w14:paraId="1D24CC96" w14:textId="77777777" w:rsidR="00285A78" w:rsidRPr="006E0A55" w:rsidRDefault="00741440" w:rsidP="00AE1F96">
      <w:pPr>
        <w:spacing w:after="0" w:line="240" w:lineRule="auto"/>
        <w:jc w:val="both"/>
        <w:rPr>
          <w:sz w:val="22"/>
        </w:rPr>
      </w:pPr>
      <w:hyperlink r:id="rId12" w:history="1">
        <w:r w:rsidR="00285A78" w:rsidRPr="006E0A55">
          <w:rPr>
            <w:rStyle w:val="Hyperlink"/>
            <w:sz w:val="22"/>
          </w:rPr>
          <w:t>https://www.cndh.org.mx/sites/default/files/doc/Recomendaciones/2015/REC_2015_015.pdf</w:t>
        </w:r>
      </w:hyperlink>
    </w:p>
    <w:p w14:paraId="1D24CC97" w14:textId="77777777" w:rsidR="00285A78" w:rsidRPr="006E0A55" w:rsidRDefault="00285A78" w:rsidP="00AE1F96">
      <w:pPr>
        <w:spacing w:after="0" w:line="240" w:lineRule="auto"/>
        <w:jc w:val="both"/>
        <w:rPr>
          <w:rFonts w:cs="Arial"/>
          <w:sz w:val="22"/>
        </w:rPr>
      </w:pPr>
    </w:p>
    <w:p w14:paraId="1D24CC98" w14:textId="77777777" w:rsidR="00285A78" w:rsidRPr="006E0A55" w:rsidRDefault="00285A78" w:rsidP="00AE1F96">
      <w:pPr>
        <w:spacing w:after="0" w:line="240" w:lineRule="auto"/>
        <w:jc w:val="both"/>
        <w:rPr>
          <w:rFonts w:cs="Arial"/>
          <w:sz w:val="22"/>
        </w:rPr>
      </w:pPr>
      <w:r w:rsidRPr="006E0A55">
        <w:rPr>
          <w:rFonts w:cs="Arial"/>
          <w:sz w:val="22"/>
        </w:rPr>
        <w:t>Recomend</w:t>
      </w:r>
      <w:r w:rsidR="00471AAC" w:rsidRPr="006E0A55">
        <w:rPr>
          <w:rFonts w:cs="Arial"/>
          <w:sz w:val="22"/>
        </w:rPr>
        <w:t>a</w:t>
      </w:r>
      <w:r w:rsidRPr="006E0A55">
        <w:rPr>
          <w:rFonts w:cs="Arial"/>
          <w:sz w:val="22"/>
        </w:rPr>
        <w:t xml:space="preserve">ción </w:t>
      </w:r>
      <w:r w:rsidR="00471AAC" w:rsidRPr="006E0A55">
        <w:rPr>
          <w:rFonts w:cs="Arial"/>
          <w:sz w:val="22"/>
        </w:rPr>
        <w:t>85/2013 sobre el caso de la violación a los derechos a la educación, libertad de creencias y desarrollo, en agravio de los habitantes de la comunidad de nueva Jerusalén, municipio de Turicato, Michoacán, disponible en:</w:t>
      </w:r>
    </w:p>
    <w:p w14:paraId="1D24CC99" w14:textId="77777777" w:rsidR="00471AAC" w:rsidRPr="006E0A55" w:rsidRDefault="00471AAC" w:rsidP="00AE1F96">
      <w:pPr>
        <w:spacing w:after="0" w:line="240" w:lineRule="auto"/>
        <w:jc w:val="both"/>
        <w:rPr>
          <w:rFonts w:cs="Arial"/>
          <w:sz w:val="22"/>
        </w:rPr>
      </w:pPr>
    </w:p>
    <w:p w14:paraId="1D24CC9A" w14:textId="77777777" w:rsidR="00471AAC" w:rsidRPr="006E0A55" w:rsidRDefault="00741440" w:rsidP="00AE1F96">
      <w:pPr>
        <w:spacing w:after="0" w:line="240" w:lineRule="auto"/>
        <w:jc w:val="both"/>
        <w:rPr>
          <w:rFonts w:cs="Arial"/>
          <w:sz w:val="22"/>
        </w:rPr>
      </w:pPr>
      <w:hyperlink r:id="rId13" w:history="1">
        <w:r w:rsidR="00471AAC" w:rsidRPr="006E0A55">
          <w:rPr>
            <w:rStyle w:val="Hyperlink"/>
            <w:rFonts w:cs="Arial"/>
            <w:sz w:val="22"/>
          </w:rPr>
          <w:t>https://www.cndh.org.mx/sites/default/files/doc/Recomendaciones/2013/REC_2013_085.pdf</w:t>
        </w:r>
      </w:hyperlink>
    </w:p>
    <w:p w14:paraId="1D24CC9B" w14:textId="77777777" w:rsidR="00471AAC" w:rsidRPr="006E0A55" w:rsidRDefault="00471AAC" w:rsidP="00AE1F96">
      <w:pPr>
        <w:spacing w:after="0" w:line="240" w:lineRule="auto"/>
        <w:jc w:val="both"/>
        <w:rPr>
          <w:rFonts w:cs="Arial"/>
          <w:sz w:val="22"/>
        </w:rPr>
      </w:pPr>
    </w:p>
    <w:p w14:paraId="1D24CC9C" w14:textId="77777777" w:rsidR="00471AAC" w:rsidRPr="006E0A55" w:rsidRDefault="00471AAC" w:rsidP="00AE1F96">
      <w:pPr>
        <w:spacing w:after="0" w:line="240" w:lineRule="auto"/>
        <w:jc w:val="both"/>
        <w:rPr>
          <w:rFonts w:cs="Arial"/>
          <w:sz w:val="22"/>
        </w:rPr>
      </w:pPr>
      <w:r w:rsidRPr="006E0A55">
        <w:rPr>
          <w:sz w:val="22"/>
        </w:rPr>
        <w:t>Recomendación 25/2012 sobre el recurso de impugnación de miembros del comité de padres de familia, del centro de educación preescolar indígena “El Porvenir”.</w:t>
      </w:r>
    </w:p>
    <w:p w14:paraId="1D24CC9D" w14:textId="77777777" w:rsidR="00471AAC" w:rsidRPr="006E0A55" w:rsidRDefault="00471AAC" w:rsidP="00AE1F96">
      <w:pPr>
        <w:spacing w:after="0" w:line="240" w:lineRule="auto"/>
        <w:jc w:val="both"/>
        <w:rPr>
          <w:sz w:val="22"/>
        </w:rPr>
      </w:pPr>
    </w:p>
    <w:p w14:paraId="1D24CC9E" w14:textId="77777777" w:rsidR="00471AAC" w:rsidRPr="006E0A55" w:rsidRDefault="00741440" w:rsidP="00AE1F96">
      <w:pPr>
        <w:spacing w:after="0" w:line="240" w:lineRule="auto"/>
        <w:jc w:val="both"/>
        <w:rPr>
          <w:sz w:val="22"/>
        </w:rPr>
      </w:pPr>
      <w:hyperlink r:id="rId14" w:history="1">
        <w:r w:rsidR="00471AAC" w:rsidRPr="006E0A55">
          <w:rPr>
            <w:rStyle w:val="Hyperlink"/>
            <w:sz w:val="22"/>
          </w:rPr>
          <w:t>https://www.cndh.org.mx/sites/default/files/doc/Recomendaciones/2012/REC_2012_025.pdf</w:t>
        </w:r>
      </w:hyperlink>
    </w:p>
    <w:p w14:paraId="1D24CC9F" w14:textId="77777777" w:rsidR="00471AAC" w:rsidRPr="006E0A55" w:rsidRDefault="00471AAC" w:rsidP="00AE1F96">
      <w:pPr>
        <w:spacing w:after="0" w:line="240" w:lineRule="auto"/>
        <w:jc w:val="both"/>
        <w:rPr>
          <w:rFonts w:cs="Arial"/>
          <w:sz w:val="22"/>
        </w:rPr>
      </w:pPr>
    </w:p>
    <w:p w14:paraId="1D24CCA0" w14:textId="77777777" w:rsidR="00471AAC" w:rsidRPr="006E0A55" w:rsidRDefault="00471AAC" w:rsidP="00AE1F96">
      <w:pPr>
        <w:spacing w:after="0" w:line="240" w:lineRule="auto"/>
        <w:jc w:val="both"/>
        <w:rPr>
          <w:sz w:val="22"/>
        </w:rPr>
      </w:pPr>
      <w:r w:rsidRPr="006E0A55">
        <w:rPr>
          <w:sz w:val="22"/>
        </w:rPr>
        <w:t>Recomendación 56/2011 sobre la omisión de proveer libros de texto gratuitos actualizados en braille a nivel primaria para los niños con discapacidad visual.</w:t>
      </w:r>
    </w:p>
    <w:p w14:paraId="1D24CCA1" w14:textId="77777777" w:rsidR="00471AAC" w:rsidRPr="006E0A55" w:rsidRDefault="00471AAC" w:rsidP="00AE1F96">
      <w:pPr>
        <w:spacing w:after="0" w:line="240" w:lineRule="auto"/>
        <w:jc w:val="both"/>
        <w:rPr>
          <w:rFonts w:cs="Arial"/>
          <w:sz w:val="22"/>
        </w:rPr>
      </w:pPr>
    </w:p>
    <w:p w14:paraId="1D24CCA2" w14:textId="77777777" w:rsidR="00471AAC" w:rsidRDefault="00741440" w:rsidP="00AE1F96">
      <w:pPr>
        <w:spacing w:after="0" w:line="240" w:lineRule="auto"/>
        <w:jc w:val="both"/>
        <w:rPr>
          <w:rStyle w:val="Hyperlink"/>
          <w:sz w:val="22"/>
        </w:rPr>
      </w:pPr>
      <w:hyperlink r:id="rId15" w:history="1">
        <w:r w:rsidR="00471AAC" w:rsidRPr="006E0A55">
          <w:rPr>
            <w:rStyle w:val="Hyperlink"/>
            <w:sz w:val="22"/>
          </w:rPr>
          <w:t>https://www.cndh.org.mx/sites/default/files/doc/Recomendaciones/2011/REC_2011_056.pdf</w:t>
        </w:r>
      </w:hyperlink>
    </w:p>
    <w:p w14:paraId="1D24CCA3" w14:textId="77777777" w:rsidR="00152786" w:rsidRDefault="00152786" w:rsidP="00AE1F96">
      <w:pPr>
        <w:spacing w:after="0" w:line="240" w:lineRule="auto"/>
        <w:jc w:val="both"/>
        <w:rPr>
          <w:rFonts w:cs="Arial"/>
          <w:sz w:val="22"/>
        </w:rPr>
      </w:pPr>
    </w:p>
    <w:p w14:paraId="1D24CCA4" w14:textId="77777777" w:rsidR="00152786" w:rsidRDefault="00152786" w:rsidP="00152786">
      <w:pPr>
        <w:spacing w:after="0" w:line="240" w:lineRule="auto"/>
        <w:jc w:val="both"/>
        <w:rPr>
          <w:rFonts w:cs="Arial"/>
          <w:sz w:val="22"/>
        </w:rPr>
      </w:pPr>
      <w:r w:rsidRPr="00BD1E45">
        <w:rPr>
          <w:rFonts w:cs="Arial"/>
          <w:sz w:val="22"/>
        </w:rPr>
        <w:t>Recomendación General 35 sobre la protección del patrimonio cultural de los pueblos y comunidades indígenas de la República Mexicana.</w:t>
      </w:r>
    </w:p>
    <w:p w14:paraId="1D24CCA5" w14:textId="77777777" w:rsidR="00152786" w:rsidRPr="00BD1E45" w:rsidRDefault="00152786" w:rsidP="00152786">
      <w:pPr>
        <w:spacing w:after="0" w:line="240" w:lineRule="auto"/>
        <w:jc w:val="both"/>
        <w:rPr>
          <w:rFonts w:cs="Arial"/>
          <w:sz w:val="22"/>
        </w:rPr>
      </w:pPr>
    </w:p>
    <w:p w14:paraId="1D24CCA6" w14:textId="77777777" w:rsidR="00152786" w:rsidRPr="006E0A55" w:rsidRDefault="00741440" w:rsidP="00152786">
      <w:pPr>
        <w:spacing w:after="0" w:line="240" w:lineRule="auto"/>
        <w:jc w:val="both"/>
        <w:rPr>
          <w:rFonts w:cs="Arial"/>
          <w:sz w:val="22"/>
        </w:rPr>
      </w:pPr>
      <w:hyperlink r:id="rId16" w:history="1">
        <w:r w:rsidR="00152786" w:rsidRPr="00BD1E45">
          <w:rPr>
            <w:rStyle w:val="Hyperlink"/>
            <w:rFonts w:cs="Arial"/>
            <w:sz w:val="22"/>
          </w:rPr>
          <w:t>https://www.cndh.org.mx/documento/recomendacion-general-352019</w:t>
        </w:r>
      </w:hyperlink>
      <w:bookmarkEnd w:id="0"/>
    </w:p>
    <w:sectPr w:rsidR="00152786" w:rsidRPr="006E0A55" w:rsidSect="006E0A55">
      <w:headerReference w:type="default" r:id="rId17"/>
      <w:footerReference w:type="default" r:id="rId18"/>
      <w:pgSz w:w="12240" w:h="15840"/>
      <w:pgMar w:top="1417" w:right="1418" w:bottom="851" w:left="1701"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CCA9" w14:textId="77777777" w:rsidR="00961B8E" w:rsidRDefault="00961B8E" w:rsidP="00406A68">
      <w:pPr>
        <w:spacing w:after="0" w:line="240" w:lineRule="auto"/>
      </w:pPr>
      <w:r>
        <w:separator/>
      </w:r>
    </w:p>
  </w:endnote>
  <w:endnote w:type="continuationSeparator" w:id="0">
    <w:p w14:paraId="1D24CCAA" w14:textId="77777777" w:rsidR="00961B8E" w:rsidRDefault="00961B8E" w:rsidP="0040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22228024"/>
      <w:docPartObj>
        <w:docPartGallery w:val="Page Numbers (Bottom of Page)"/>
        <w:docPartUnique/>
      </w:docPartObj>
    </w:sdtPr>
    <w:sdtEndPr/>
    <w:sdtContent>
      <w:sdt>
        <w:sdtPr>
          <w:rPr>
            <w:sz w:val="18"/>
            <w:szCs w:val="18"/>
          </w:rPr>
          <w:id w:val="-1391111039"/>
          <w:docPartObj>
            <w:docPartGallery w:val="Page Numbers (Top of Page)"/>
            <w:docPartUnique/>
          </w:docPartObj>
        </w:sdtPr>
        <w:sdtEndPr/>
        <w:sdtContent>
          <w:p w14:paraId="1D24CCAE" w14:textId="77777777" w:rsidR="00CD755B" w:rsidRDefault="00CD755B">
            <w:pPr>
              <w:pStyle w:val="Footer"/>
              <w:jc w:val="right"/>
              <w:rPr>
                <w:sz w:val="18"/>
                <w:szCs w:val="18"/>
              </w:rPr>
            </w:pPr>
          </w:p>
          <w:p w14:paraId="1D24CCAF" w14:textId="571D03E9" w:rsidR="0074626B" w:rsidRPr="00CD755B" w:rsidRDefault="0074626B">
            <w:pPr>
              <w:pStyle w:val="Footer"/>
              <w:jc w:val="right"/>
              <w:rPr>
                <w:sz w:val="18"/>
                <w:szCs w:val="18"/>
              </w:rPr>
            </w:pPr>
            <w:r w:rsidRPr="00CD755B">
              <w:rPr>
                <w:sz w:val="18"/>
                <w:szCs w:val="18"/>
                <w:lang w:val="es-ES"/>
              </w:rPr>
              <w:t xml:space="preserve">Página </w:t>
            </w:r>
            <w:r w:rsidRPr="00CD755B">
              <w:rPr>
                <w:b/>
                <w:bCs/>
                <w:sz w:val="18"/>
                <w:szCs w:val="18"/>
              </w:rPr>
              <w:fldChar w:fldCharType="begin"/>
            </w:r>
            <w:r w:rsidRPr="00CD755B">
              <w:rPr>
                <w:b/>
                <w:bCs/>
                <w:sz w:val="18"/>
                <w:szCs w:val="18"/>
              </w:rPr>
              <w:instrText>PAGE</w:instrText>
            </w:r>
            <w:r w:rsidRPr="00CD755B">
              <w:rPr>
                <w:b/>
                <w:bCs/>
                <w:sz w:val="18"/>
                <w:szCs w:val="18"/>
              </w:rPr>
              <w:fldChar w:fldCharType="separate"/>
            </w:r>
            <w:r w:rsidR="00741440">
              <w:rPr>
                <w:b/>
                <w:bCs/>
                <w:noProof/>
                <w:sz w:val="18"/>
                <w:szCs w:val="18"/>
              </w:rPr>
              <w:t>4</w:t>
            </w:r>
            <w:r w:rsidRPr="00CD755B">
              <w:rPr>
                <w:b/>
                <w:bCs/>
                <w:sz w:val="18"/>
                <w:szCs w:val="18"/>
              </w:rPr>
              <w:fldChar w:fldCharType="end"/>
            </w:r>
            <w:r w:rsidRPr="00CD755B">
              <w:rPr>
                <w:sz w:val="18"/>
                <w:szCs w:val="18"/>
                <w:lang w:val="es-ES"/>
              </w:rPr>
              <w:t xml:space="preserve"> de </w:t>
            </w:r>
            <w:r w:rsidRPr="00CD755B">
              <w:rPr>
                <w:b/>
                <w:bCs/>
                <w:sz w:val="18"/>
                <w:szCs w:val="18"/>
              </w:rPr>
              <w:fldChar w:fldCharType="begin"/>
            </w:r>
            <w:r w:rsidRPr="00CD755B">
              <w:rPr>
                <w:b/>
                <w:bCs/>
                <w:sz w:val="18"/>
                <w:szCs w:val="18"/>
              </w:rPr>
              <w:instrText>NUMPAGES</w:instrText>
            </w:r>
            <w:r w:rsidRPr="00CD755B">
              <w:rPr>
                <w:b/>
                <w:bCs/>
                <w:sz w:val="18"/>
                <w:szCs w:val="18"/>
              </w:rPr>
              <w:fldChar w:fldCharType="separate"/>
            </w:r>
            <w:r w:rsidR="00741440">
              <w:rPr>
                <w:b/>
                <w:bCs/>
                <w:noProof/>
                <w:sz w:val="18"/>
                <w:szCs w:val="18"/>
              </w:rPr>
              <w:t>4</w:t>
            </w:r>
            <w:r w:rsidRPr="00CD755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CCA7" w14:textId="77777777" w:rsidR="00961B8E" w:rsidRDefault="00961B8E" w:rsidP="00406A68">
      <w:pPr>
        <w:spacing w:after="0" w:line="240" w:lineRule="auto"/>
      </w:pPr>
      <w:r>
        <w:separator/>
      </w:r>
    </w:p>
  </w:footnote>
  <w:footnote w:type="continuationSeparator" w:id="0">
    <w:p w14:paraId="1D24CCA8" w14:textId="77777777" w:rsidR="00961B8E" w:rsidRDefault="00961B8E" w:rsidP="00406A68">
      <w:pPr>
        <w:spacing w:after="0" w:line="240" w:lineRule="auto"/>
      </w:pPr>
      <w:r>
        <w:continuationSeparator/>
      </w:r>
    </w:p>
  </w:footnote>
  <w:footnote w:id="1">
    <w:p w14:paraId="1D24CCB4" w14:textId="77777777" w:rsidR="00F52886" w:rsidRPr="00CD755B" w:rsidRDefault="001548E1">
      <w:pPr>
        <w:pStyle w:val="FootnoteText"/>
        <w:rPr>
          <w:rFonts w:ascii="Arial" w:hAnsi="Arial" w:cs="Arial"/>
          <w:sz w:val="18"/>
          <w:szCs w:val="18"/>
        </w:rPr>
      </w:pPr>
      <w:r w:rsidRPr="00CD755B">
        <w:rPr>
          <w:rStyle w:val="FootnoteReference"/>
          <w:rFonts w:ascii="Arial" w:hAnsi="Arial" w:cs="Arial"/>
          <w:sz w:val="18"/>
          <w:szCs w:val="18"/>
        </w:rPr>
        <w:footnoteRef/>
      </w:r>
      <w:r w:rsidRPr="00CD755B">
        <w:rPr>
          <w:rFonts w:ascii="Arial" w:hAnsi="Arial" w:cs="Arial"/>
          <w:sz w:val="18"/>
          <w:szCs w:val="18"/>
        </w:rPr>
        <w:t xml:space="preserve"> </w:t>
      </w:r>
      <w:hyperlink r:id="rId1" w:history="1">
        <w:r w:rsidR="00F52886" w:rsidRPr="00CD755B">
          <w:rPr>
            <w:rStyle w:val="Hyperlink"/>
            <w:rFonts w:ascii="Arial" w:hAnsi="Arial" w:cs="Arial"/>
            <w:sz w:val="18"/>
            <w:szCs w:val="18"/>
          </w:rPr>
          <w:t>https://armonizacion.cndh.org.mx/Armonia/Armonizacion</w:t>
        </w:r>
      </w:hyperlink>
    </w:p>
  </w:footnote>
  <w:footnote w:id="2">
    <w:p w14:paraId="1D24CCB5" w14:textId="77777777" w:rsidR="00773FD2" w:rsidRPr="00CD755B" w:rsidRDefault="00773FD2" w:rsidP="00F52886">
      <w:pPr>
        <w:spacing w:after="0" w:line="240" w:lineRule="auto"/>
        <w:jc w:val="both"/>
        <w:rPr>
          <w:rFonts w:cs="Arial"/>
          <w:sz w:val="18"/>
          <w:szCs w:val="18"/>
        </w:rPr>
      </w:pPr>
      <w:r w:rsidRPr="00CD755B">
        <w:rPr>
          <w:rStyle w:val="FootnoteReference"/>
          <w:rFonts w:cs="Arial"/>
          <w:sz w:val="18"/>
          <w:szCs w:val="18"/>
        </w:rPr>
        <w:footnoteRef/>
      </w:r>
      <w:r w:rsidRPr="00CD755B">
        <w:rPr>
          <w:rFonts w:cs="Arial"/>
          <w:sz w:val="18"/>
          <w:szCs w:val="18"/>
        </w:rPr>
        <w:t xml:space="preserve"> </w:t>
      </w:r>
      <w:hyperlink r:id="rId2" w:history="1">
        <w:r w:rsidR="001548E1" w:rsidRPr="00CD755B">
          <w:rPr>
            <w:rStyle w:val="Hyperlink"/>
            <w:rFonts w:cs="Arial"/>
            <w:sz w:val="18"/>
            <w:szCs w:val="18"/>
          </w:rPr>
          <w:t>https://www.coneval.org.mx/Evaluacion/IEPSM/Documents/Derechos_Sociales/Estudio_Diag_Edu_2018.pdf</w:t>
        </w:r>
      </w:hyperlink>
    </w:p>
  </w:footnote>
  <w:footnote w:id="3">
    <w:p w14:paraId="1D24CCB6" w14:textId="77777777" w:rsidR="00CD755B" w:rsidRPr="00CD755B" w:rsidRDefault="00CD755B">
      <w:pPr>
        <w:pStyle w:val="FootnoteText"/>
        <w:rPr>
          <w:rFonts w:ascii="Arial" w:hAnsi="Arial" w:cs="Arial"/>
          <w:sz w:val="18"/>
          <w:szCs w:val="18"/>
        </w:rPr>
      </w:pPr>
      <w:r w:rsidRPr="00CD755B">
        <w:rPr>
          <w:rStyle w:val="FootnoteReference"/>
          <w:rFonts w:ascii="Arial" w:hAnsi="Arial" w:cs="Arial"/>
          <w:sz w:val="18"/>
          <w:szCs w:val="18"/>
        </w:rPr>
        <w:footnoteRef/>
      </w:r>
      <w:r w:rsidRPr="00CD755B">
        <w:rPr>
          <w:rFonts w:ascii="Arial" w:hAnsi="Arial" w:cs="Arial"/>
          <w:sz w:val="18"/>
          <w:szCs w:val="18"/>
        </w:rPr>
        <w:t xml:space="preserve"> </w:t>
      </w:r>
      <w:hyperlink r:id="rId3" w:history="1">
        <w:r w:rsidRPr="00CD755B">
          <w:rPr>
            <w:rStyle w:val="Hyperlink"/>
            <w:rFonts w:ascii="Arial" w:hAnsi="Arial" w:cs="Arial"/>
            <w:sz w:val="18"/>
            <w:szCs w:val="18"/>
          </w:rPr>
          <w:t>https://www.cndh.org.mx/documento/destaca-cndh-importancia-de-los-derechos-culturales-para-consolidar-el-respeto-proteccion</w:t>
        </w:r>
      </w:hyperlink>
    </w:p>
  </w:footnote>
  <w:footnote w:id="4">
    <w:p w14:paraId="1D24CCB7" w14:textId="77777777" w:rsidR="00CD755B" w:rsidRPr="00CD755B" w:rsidRDefault="00CD755B">
      <w:pPr>
        <w:pStyle w:val="FootnoteText"/>
        <w:rPr>
          <w:sz w:val="18"/>
          <w:szCs w:val="18"/>
        </w:rPr>
      </w:pPr>
      <w:r w:rsidRPr="00CD755B">
        <w:rPr>
          <w:rStyle w:val="FootnoteReference"/>
          <w:rFonts w:ascii="Arial" w:hAnsi="Arial" w:cs="Arial"/>
          <w:sz w:val="18"/>
          <w:szCs w:val="18"/>
        </w:rPr>
        <w:footnoteRef/>
      </w:r>
      <w:r w:rsidRPr="00CD755B">
        <w:rPr>
          <w:rFonts w:ascii="Arial" w:hAnsi="Arial" w:cs="Arial"/>
          <w:sz w:val="18"/>
          <w:szCs w:val="18"/>
        </w:rPr>
        <w:t xml:space="preserve"> </w:t>
      </w:r>
      <w:hyperlink r:id="rId4" w:history="1">
        <w:r w:rsidRPr="00CD755B">
          <w:rPr>
            <w:rStyle w:val="Hyperlink"/>
            <w:rFonts w:ascii="Arial" w:hAnsi="Arial" w:cs="Arial"/>
            <w:sz w:val="18"/>
            <w:szCs w:val="18"/>
          </w:rPr>
          <w:t>https://www.cndh.org.mx/documento/denuncia-cndh-persisistencia-de-discriminacion-etnica-en-el-pais-y-demanda-politica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CCAB" w14:textId="77777777" w:rsidR="00406A68" w:rsidRPr="00113951" w:rsidRDefault="00113951" w:rsidP="00113951">
    <w:pPr>
      <w:pStyle w:val="Header"/>
      <w:tabs>
        <w:tab w:val="clear" w:pos="8838"/>
      </w:tabs>
      <w:jc w:val="right"/>
    </w:pPr>
    <w:r w:rsidRPr="00113951">
      <w:rPr>
        <w:noProof/>
        <w:lang w:val="en-GB" w:eastAsia="en-GB"/>
      </w:rPr>
      <w:drawing>
        <wp:anchor distT="0" distB="0" distL="114300" distR="114300" simplePos="0" relativeHeight="251659264" behindDoc="0" locked="0" layoutInCell="1" allowOverlap="1" wp14:anchorId="1D24CCB0" wp14:editId="1D24CCB1">
          <wp:simplePos x="0" y="0"/>
          <wp:positionH relativeFrom="margin">
            <wp:align>right</wp:align>
          </wp:positionH>
          <wp:positionV relativeFrom="paragraph">
            <wp:posOffset>-253365</wp:posOffset>
          </wp:positionV>
          <wp:extent cx="4052570" cy="19685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196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6A68" w:rsidRPr="00113951">
      <w:rPr>
        <w:noProof/>
        <w:lang w:val="en-GB" w:eastAsia="en-GB"/>
      </w:rPr>
      <w:drawing>
        <wp:anchor distT="0" distB="0" distL="114300" distR="114300" simplePos="0" relativeHeight="251660288" behindDoc="1" locked="0" layoutInCell="1" allowOverlap="1" wp14:anchorId="1D24CCB2" wp14:editId="1D24CCB3">
          <wp:simplePos x="0" y="0"/>
          <wp:positionH relativeFrom="margin">
            <wp:posOffset>0</wp:posOffset>
          </wp:positionH>
          <wp:positionV relativeFrom="paragraph">
            <wp:posOffset>-377825</wp:posOffset>
          </wp:positionV>
          <wp:extent cx="698500" cy="828040"/>
          <wp:effectExtent l="0" t="0" r="6350" b="0"/>
          <wp:wrapThrough wrapText="bothSides">
            <wp:wrapPolygon edited="0">
              <wp:start x="0" y="0"/>
              <wp:lineTo x="0" y="20871"/>
              <wp:lineTo x="21207" y="20871"/>
              <wp:lineTo x="21207" y="0"/>
              <wp:lineTo x="0" y="0"/>
            </wp:wrapPolygon>
          </wp:wrapThrough>
          <wp:docPr id="12" name="Imagen 12"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tical_color"/>
                  <pic:cNvPicPr>
                    <a:picLocks noChangeAspect="1" noChangeArrowheads="1"/>
                  </pic:cNvPicPr>
                </pic:nvPicPr>
                <pic:blipFill>
                  <a:blip r:embed="rId2">
                    <a:lum bright="14000" contrast="14000"/>
                    <a:extLst>
                      <a:ext uri="{28A0092B-C50C-407E-A947-70E740481C1C}">
                        <a14:useLocalDpi xmlns:a14="http://schemas.microsoft.com/office/drawing/2010/main" val="0"/>
                      </a:ext>
                    </a:extLst>
                  </a:blip>
                  <a:srcRect/>
                  <a:stretch>
                    <a:fillRect/>
                  </a:stretch>
                </pic:blipFill>
                <pic:spPr bwMode="auto">
                  <a:xfrm>
                    <a:off x="0" y="0"/>
                    <a:ext cx="6985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4CCAC" w14:textId="77777777" w:rsidR="00406A68" w:rsidRDefault="00406A68" w:rsidP="00406A68">
    <w:pPr>
      <w:pStyle w:val="Header"/>
      <w:tabs>
        <w:tab w:val="clear" w:pos="8838"/>
      </w:tabs>
      <w:jc w:val="right"/>
    </w:pPr>
  </w:p>
  <w:p w14:paraId="1D24CCAD" w14:textId="77777777" w:rsidR="00530770" w:rsidRDefault="00530770" w:rsidP="00406A68">
    <w:pPr>
      <w:pStyle w:val="Header"/>
      <w:tabs>
        <w:tab w:val="clear" w:pos="88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3DA1098"/>
    <w:lvl w:ilvl="0" w:tplc="1C78757C">
      <w:start w:val="1"/>
      <w:numFmt w:val="decimal"/>
      <w:lvlText w:val="%1."/>
      <w:lvlJc w:val="left"/>
      <w:pPr>
        <w:ind w:left="360" w:hanging="360"/>
      </w:pPr>
      <w:rPr>
        <w:b/>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D1E24"/>
    <w:multiLevelType w:val="hybridMultilevel"/>
    <w:tmpl w:val="E8BAC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CD638C"/>
    <w:multiLevelType w:val="hybridMultilevel"/>
    <w:tmpl w:val="A5C26EB2"/>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8B4836"/>
    <w:multiLevelType w:val="hybridMultilevel"/>
    <w:tmpl w:val="2C70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214844"/>
    <w:multiLevelType w:val="hybridMultilevel"/>
    <w:tmpl w:val="CBD64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BB4D02"/>
    <w:multiLevelType w:val="hybridMultilevel"/>
    <w:tmpl w:val="14D0C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1517F6"/>
    <w:multiLevelType w:val="hybridMultilevel"/>
    <w:tmpl w:val="3774E3BC"/>
    <w:lvl w:ilvl="0" w:tplc="461C3536">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4B0932"/>
    <w:multiLevelType w:val="hybridMultilevel"/>
    <w:tmpl w:val="FE386C02"/>
    <w:lvl w:ilvl="0" w:tplc="B598116E">
      <w:start w:val="1"/>
      <w:numFmt w:val="decimal"/>
      <w:lvlText w:val="%1."/>
      <w:lvlJc w:val="left"/>
      <w:pPr>
        <w:ind w:left="1440" w:hanging="360"/>
      </w:pPr>
      <w:rPr>
        <w:rFonts w:ascii="Arial" w:hAnsi="Arial" w:cs="Arial" w:hint="default"/>
        <w:b/>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957B44"/>
    <w:multiLevelType w:val="hybridMultilevel"/>
    <w:tmpl w:val="2D2C4180"/>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5D7DC8"/>
    <w:multiLevelType w:val="hybridMultilevel"/>
    <w:tmpl w:val="3A52C32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9E40EB"/>
    <w:multiLevelType w:val="hybridMultilevel"/>
    <w:tmpl w:val="FBCEC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75B1B"/>
    <w:multiLevelType w:val="hybridMultilevel"/>
    <w:tmpl w:val="FD50AE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3428FD"/>
    <w:multiLevelType w:val="hybridMultilevel"/>
    <w:tmpl w:val="98E6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D653C1"/>
    <w:multiLevelType w:val="hybridMultilevel"/>
    <w:tmpl w:val="A5C26EB2"/>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400EA0"/>
    <w:multiLevelType w:val="hybridMultilevel"/>
    <w:tmpl w:val="6B10C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8B1BF7"/>
    <w:multiLevelType w:val="multilevel"/>
    <w:tmpl w:val="2C1CAC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983A0D"/>
    <w:multiLevelType w:val="hybridMultilevel"/>
    <w:tmpl w:val="A6E62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D32C33"/>
    <w:multiLevelType w:val="hybridMultilevel"/>
    <w:tmpl w:val="46BC0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5C695F"/>
    <w:multiLevelType w:val="hybridMultilevel"/>
    <w:tmpl w:val="5C64E9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1261E8"/>
    <w:multiLevelType w:val="hybridMultilevel"/>
    <w:tmpl w:val="8D741D8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0" w15:restartNumberingAfterBreak="0">
    <w:nsid w:val="383D423F"/>
    <w:multiLevelType w:val="hybridMultilevel"/>
    <w:tmpl w:val="4344D6D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1" w15:restartNumberingAfterBreak="0">
    <w:nsid w:val="386E0494"/>
    <w:multiLevelType w:val="hybridMultilevel"/>
    <w:tmpl w:val="D0FA9E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394F427E"/>
    <w:multiLevelType w:val="hybridMultilevel"/>
    <w:tmpl w:val="AFF27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401B22"/>
    <w:multiLevelType w:val="hybridMultilevel"/>
    <w:tmpl w:val="4874DE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3D6BA4"/>
    <w:multiLevelType w:val="hybridMultilevel"/>
    <w:tmpl w:val="73563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697431"/>
    <w:multiLevelType w:val="hybridMultilevel"/>
    <w:tmpl w:val="235C04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6D1E04"/>
    <w:multiLevelType w:val="hybridMultilevel"/>
    <w:tmpl w:val="BCD6E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43456E"/>
    <w:multiLevelType w:val="hybridMultilevel"/>
    <w:tmpl w:val="FC84F5F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9C25A8B"/>
    <w:multiLevelType w:val="hybridMultilevel"/>
    <w:tmpl w:val="CEB205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2A708B"/>
    <w:multiLevelType w:val="hybridMultilevel"/>
    <w:tmpl w:val="5302E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411B0E"/>
    <w:multiLevelType w:val="hybridMultilevel"/>
    <w:tmpl w:val="7248CFBA"/>
    <w:lvl w:ilvl="0" w:tplc="673CEA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E761A5"/>
    <w:multiLevelType w:val="hybridMultilevel"/>
    <w:tmpl w:val="E4B48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356E1D"/>
    <w:multiLevelType w:val="multilevel"/>
    <w:tmpl w:val="5204B8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D459B9"/>
    <w:multiLevelType w:val="hybridMultilevel"/>
    <w:tmpl w:val="57780690"/>
    <w:lvl w:ilvl="0" w:tplc="1AAEC6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2B2427"/>
    <w:multiLevelType w:val="hybridMultilevel"/>
    <w:tmpl w:val="011A90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1D36FF"/>
    <w:multiLevelType w:val="hybridMultilevel"/>
    <w:tmpl w:val="47ACFDA6"/>
    <w:lvl w:ilvl="0" w:tplc="080A0017">
      <w:start w:val="1"/>
      <w:numFmt w:val="lowerLetter"/>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6" w15:restartNumberingAfterBreak="0">
    <w:nsid w:val="60B6698E"/>
    <w:multiLevelType w:val="hybridMultilevel"/>
    <w:tmpl w:val="B07286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6E644EC"/>
    <w:multiLevelType w:val="hybridMultilevel"/>
    <w:tmpl w:val="BDB42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BE0DBD"/>
    <w:multiLevelType w:val="hybridMultilevel"/>
    <w:tmpl w:val="74B6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76093C"/>
    <w:multiLevelType w:val="hybridMultilevel"/>
    <w:tmpl w:val="C7C45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176072"/>
    <w:multiLevelType w:val="hybridMultilevel"/>
    <w:tmpl w:val="8E420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482251"/>
    <w:multiLevelType w:val="hybridMultilevel"/>
    <w:tmpl w:val="894A7D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6F4921D5"/>
    <w:multiLevelType w:val="hybridMultilevel"/>
    <w:tmpl w:val="8D3A63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255159"/>
    <w:multiLevelType w:val="hybridMultilevel"/>
    <w:tmpl w:val="A9E42CF2"/>
    <w:lvl w:ilvl="0" w:tplc="080A0013">
      <w:start w:val="1"/>
      <w:numFmt w:val="upperRoman"/>
      <w:lvlText w:val="%1."/>
      <w:lvlJc w:val="right"/>
      <w:pPr>
        <w:ind w:left="720" w:hanging="360"/>
      </w:pPr>
    </w:lvl>
    <w:lvl w:ilvl="1" w:tplc="B598116E">
      <w:start w:val="1"/>
      <w:numFmt w:val="decimal"/>
      <w:lvlText w:val="%2."/>
      <w:lvlJc w:val="left"/>
      <w:pPr>
        <w:ind w:left="1440" w:hanging="360"/>
      </w:pPr>
      <w:rPr>
        <w:rFonts w:ascii="Arial" w:hAnsi="Arial" w:cs="Arial" w:hint="default"/>
        <w:b/>
        <w:color w:val="auto"/>
        <w:sz w:val="28"/>
        <w:szCs w:val="2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A1886"/>
    <w:multiLevelType w:val="hybridMultilevel"/>
    <w:tmpl w:val="EF843C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1E6932"/>
    <w:multiLevelType w:val="hybridMultilevel"/>
    <w:tmpl w:val="58AC2078"/>
    <w:lvl w:ilvl="0" w:tplc="294E0D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CBA3445"/>
    <w:multiLevelType w:val="hybridMultilevel"/>
    <w:tmpl w:val="D318F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0"/>
  </w:num>
  <w:num w:numId="4">
    <w:abstractNumId w:val="29"/>
  </w:num>
  <w:num w:numId="5">
    <w:abstractNumId w:val="31"/>
  </w:num>
  <w:num w:numId="6">
    <w:abstractNumId w:val="37"/>
  </w:num>
  <w:num w:numId="7">
    <w:abstractNumId w:val="18"/>
  </w:num>
  <w:num w:numId="8">
    <w:abstractNumId w:val="4"/>
  </w:num>
  <w:num w:numId="9">
    <w:abstractNumId w:val="25"/>
  </w:num>
  <w:num w:numId="10">
    <w:abstractNumId w:val="44"/>
  </w:num>
  <w:num w:numId="11">
    <w:abstractNumId w:val="33"/>
  </w:num>
  <w:num w:numId="12">
    <w:abstractNumId w:val="11"/>
  </w:num>
  <w:num w:numId="13">
    <w:abstractNumId w:val="46"/>
  </w:num>
  <w:num w:numId="14">
    <w:abstractNumId w:val="9"/>
  </w:num>
  <w:num w:numId="15">
    <w:abstractNumId w:val="16"/>
  </w:num>
  <w:num w:numId="16">
    <w:abstractNumId w:val="5"/>
  </w:num>
  <w:num w:numId="17">
    <w:abstractNumId w:val="21"/>
  </w:num>
  <w:num w:numId="18">
    <w:abstractNumId w:val="26"/>
  </w:num>
  <w:num w:numId="19">
    <w:abstractNumId w:val="17"/>
  </w:num>
  <w:num w:numId="20">
    <w:abstractNumId w:val="36"/>
  </w:num>
  <w:num w:numId="21">
    <w:abstractNumId w:val="41"/>
  </w:num>
  <w:num w:numId="22">
    <w:abstractNumId w:val="42"/>
  </w:num>
  <w:num w:numId="23">
    <w:abstractNumId w:val="28"/>
  </w:num>
  <w:num w:numId="24">
    <w:abstractNumId w:val="10"/>
  </w:num>
  <w:num w:numId="25">
    <w:abstractNumId w:val="45"/>
  </w:num>
  <w:num w:numId="26">
    <w:abstractNumId w:val="20"/>
  </w:num>
  <w:num w:numId="27">
    <w:abstractNumId w:val="19"/>
  </w:num>
  <w:num w:numId="28">
    <w:abstractNumId w:val="39"/>
  </w:num>
  <w:num w:numId="29">
    <w:abstractNumId w:val="24"/>
  </w:num>
  <w:num w:numId="30">
    <w:abstractNumId w:val="15"/>
  </w:num>
  <w:num w:numId="31">
    <w:abstractNumId w:val="32"/>
  </w:num>
  <w:num w:numId="32">
    <w:abstractNumId w:val="3"/>
  </w:num>
  <w:num w:numId="33">
    <w:abstractNumId w:val="35"/>
  </w:num>
  <w:num w:numId="34">
    <w:abstractNumId w:val="12"/>
  </w:num>
  <w:num w:numId="35">
    <w:abstractNumId w:val="40"/>
  </w:num>
  <w:num w:numId="36">
    <w:abstractNumId w:val="22"/>
  </w:num>
  <w:num w:numId="37">
    <w:abstractNumId w:val="43"/>
  </w:num>
  <w:num w:numId="38">
    <w:abstractNumId w:val="6"/>
  </w:num>
  <w:num w:numId="39">
    <w:abstractNumId w:val="27"/>
  </w:num>
  <w:num w:numId="40">
    <w:abstractNumId w:val="7"/>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2"/>
  </w:num>
  <w:num w:numId="44">
    <w:abstractNumId w:val="13"/>
  </w:num>
  <w:num w:numId="45">
    <w:abstractNumId w:val="38"/>
  </w:num>
  <w:num w:numId="46">
    <w:abstractNumId w:val="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68"/>
    <w:rsid w:val="0000565C"/>
    <w:rsid w:val="000126BF"/>
    <w:rsid w:val="00017880"/>
    <w:rsid w:val="0002451D"/>
    <w:rsid w:val="000328A8"/>
    <w:rsid w:val="000363E6"/>
    <w:rsid w:val="000474FA"/>
    <w:rsid w:val="00071E90"/>
    <w:rsid w:val="000908CC"/>
    <w:rsid w:val="000919F2"/>
    <w:rsid w:val="000A0168"/>
    <w:rsid w:val="000A36A1"/>
    <w:rsid w:val="000B6E21"/>
    <w:rsid w:val="000C65AA"/>
    <w:rsid w:val="001063E5"/>
    <w:rsid w:val="00112107"/>
    <w:rsid w:val="00113951"/>
    <w:rsid w:val="00120BF1"/>
    <w:rsid w:val="001277CB"/>
    <w:rsid w:val="00152786"/>
    <w:rsid w:val="001548E1"/>
    <w:rsid w:val="001621C4"/>
    <w:rsid w:val="00162336"/>
    <w:rsid w:val="001670B0"/>
    <w:rsid w:val="001B037B"/>
    <w:rsid w:val="001B46CE"/>
    <w:rsid w:val="001B489F"/>
    <w:rsid w:val="001C2F63"/>
    <w:rsid w:val="001C5380"/>
    <w:rsid w:val="001D19A1"/>
    <w:rsid w:val="001F2D07"/>
    <w:rsid w:val="001F344A"/>
    <w:rsid w:val="00211536"/>
    <w:rsid w:val="00215EA9"/>
    <w:rsid w:val="00232F9F"/>
    <w:rsid w:val="00234015"/>
    <w:rsid w:val="0024385E"/>
    <w:rsid w:val="0024463C"/>
    <w:rsid w:val="0025265B"/>
    <w:rsid w:val="00252C77"/>
    <w:rsid w:val="00253EEA"/>
    <w:rsid w:val="00267000"/>
    <w:rsid w:val="00284DD6"/>
    <w:rsid w:val="002850A8"/>
    <w:rsid w:val="00285A78"/>
    <w:rsid w:val="002A1311"/>
    <w:rsid w:val="002D0178"/>
    <w:rsid w:val="002D0BE7"/>
    <w:rsid w:val="002E5B86"/>
    <w:rsid w:val="002E7627"/>
    <w:rsid w:val="002F2838"/>
    <w:rsid w:val="00300B02"/>
    <w:rsid w:val="0031206E"/>
    <w:rsid w:val="00312F9E"/>
    <w:rsid w:val="00314C1C"/>
    <w:rsid w:val="00337BF0"/>
    <w:rsid w:val="00353403"/>
    <w:rsid w:val="00353427"/>
    <w:rsid w:val="00367D61"/>
    <w:rsid w:val="00377CB6"/>
    <w:rsid w:val="003860E8"/>
    <w:rsid w:val="003A4267"/>
    <w:rsid w:val="003A738B"/>
    <w:rsid w:val="003B50EC"/>
    <w:rsid w:val="003B76E6"/>
    <w:rsid w:val="003C28B5"/>
    <w:rsid w:val="003D3FFD"/>
    <w:rsid w:val="003D60B8"/>
    <w:rsid w:val="003D647D"/>
    <w:rsid w:val="003D7565"/>
    <w:rsid w:val="003E0DCA"/>
    <w:rsid w:val="003E4883"/>
    <w:rsid w:val="003E6D16"/>
    <w:rsid w:val="003F3936"/>
    <w:rsid w:val="003F41DC"/>
    <w:rsid w:val="00406A68"/>
    <w:rsid w:val="004070FE"/>
    <w:rsid w:val="004120FF"/>
    <w:rsid w:val="00425EC4"/>
    <w:rsid w:val="004269D5"/>
    <w:rsid w:val="00431ABC"/>
    <w:rsid w:val="00434A05"/>
    <w:rsid w:val="0044338D"/>
    <w:rsid w:val="00451425"/>
    <w:rsid w:val="00453002"/>
    <w:rsid w:val="0045629B"/>
    <w:rsid w:val="00464DCA"/>
    <w:rsid w:val="004717E0"/>
    <w:rsid w:val="00471AAC"/>
    <w:rsid w:val="00476DE8"/>
    <w:rsid w:val="00482F62"/>
    <w:rsid w:val="00486532"/>
    <w:rsid w:val="00493FED"/>
    <w:rsid w:val="00495534"/>
    <w:rsid w:val="004C4938"/>
    <w:rsid w:val="004D0232"/>
    <w:rsid w:val="004D1AFA"/>
    <w:rsid w:val="004F2160"/>
    <w:rsid w:val="00516379"/>
    <w:rsid w:val="00517211"/>
    <w:rsid w:val="00522AFD"/>
    <w:rsid w:val="00525FA7"/>
    <w:rsid w:val="00530770"/>
    <w:rsid w:val="00534827"/>
    <w:rsid w:val="00535087"/>
    <w:rsid w:val="00541075"/>
    <w:rsid w:val="00550F27"/>
    <w:rsid w:val="00552416"/>
    <w:rsid w:val="005564BA"/>
    <w:rsid w:val="005567A7"/>
    <w:rsid w:val="00590819"/>
    <w:rsid w:val="00593E4D"/>
    <w:rsid w:val="005A1077"/>
    <w:rsid w:val="005A235B"/>
    <w:rsid w:val="005A4EB2"/>
    <w:rsid w:val="005B7899"/>
    <w:rsid w:val="005C684B"/>
    <w:rsid w:val="005D0376"/>
    <w:rsid w:val="00603F31"/>
    <w:rsid w:val="00606392"/>
    <w:rsid w:val="00611A3C"/>
    <w:rsid w:val="0061585C"/>
    <w:rsid w:val="00620AF3"/>
    <w:rsid w:val="006252C6"/>
    <w:rsid w:val="006318DE"/>
    <w:rsid w:val="006422F7"/>
    <w:rsid w:val="00654F3E"/>
    <w:rsid w:val="00661453"/>
    <w:rsid w:val="00666E70"/>
    <w:rsid w:val="00677F32"/>
    <w:rsid w:val="00683875"/>
    <w:rsid w:val="006A67B3"/>
    <w:rsid w:val="006B03D9"/>
    <w:rsid w:val="006B1321"/>
    <w:rsid w:val="006B3D8F"/>
    <w:rsid w:val="006B6C16"/>
    <w:rsid w:val="006C2509"/>
    <w:rsid w:val="006E0A55"/>
    <w:rsid w:val="00707F78"/>
    <w:rsid w:val="00712292"/>
    <w:rsid w:val="00723273"/>
    <w:rsid w:val="00733316"/>
    <w:rsid w:val="00741440"/>
    <w:rsid w:val="0074382B"/>
    <w:rsid w:val="0074626B"/>
    <w:rsid w:val="00753ED3"/>
    <w:rsid w:val="0075525D"/>
    <w:rsid w:val="007640E7"/>
    <w:rsid w:val="00773FD2"/>
    <w:rsid w:val="0078486C"/>
    <w:rsid w:val="00797F72"/>
    <w:rsid w:val="007A2A05"/>
    <w:rsid w:val="007B632A"/>
    <w:rsid w:val="007C4AC6"/>
    <w:rsid w:val="007E507E"/>
    <w:rsid w:val="007E6A2E"/>
    <w:rsid w:val="007F6DF8"/>
    <w:rsid w:val="00811C30"/>
    <w:rsid w:val="008200BF"/>
    <w:rsid w:val="00830783"/>
    <w:rsid w:val="00832189"/>
    <w:rsid w:val="0083219A"/>
    <w:rsid w:val="00865B94"/>
    <w:rsid w:val="00875944"/>
    <w:rsid w:val="00876B4B"/>
    <w:rsid w:val="008907FB"/>
    <w:rsid w:val="0089778E"/>
    <w:rsid w:val="008A40BE"/>
    <w:rsid w:val="008A5BE0"/>
    <w:rsid w:val="008A7FAC"/>
    <w:rsid w:val="008B31CD"/>
    <w:rsid w:val="008C3C0E"/>
    <w:rsid w:val="008C4B75"/>
    <w:rsid w:val="008D5FE0"/>
    <w:rsid w:val="008F7A38"/>
    <w:rsid w:val="0090396D"/>
    <w:rsid w:val="00907ED6"/>
    <w:rsid w:val="009205C6"/>
    <w:rsid w:val="0092185B"/>
    <w:rsid w:val="00927B10"/>
    <w:rsid w:val="00927C89"/>
    <w:rsid w:val="00930932"/>
    <w:rsid w:val="0094116E"/>
    <w:rsid w:val="009453FB"/>
    <w:rsid w:val="00950810"/>
    <w:rsid w:val="00956F98"/>
    <w:rsid w:val="00961B8E"/>
    <w:rsid w:val="00962E6B"/>
    <w:rsid w:val="009678F4"/>
    <w:rsid w:val="009707FF"/>
    <w:rsid w:val="00980CAE"/>
    <w:rsid w:val="00981C8D"/>
    <w:rsid w:val="00982E04"/>
    <w:rsid w:val="00983BBF"/>
    <w:rsid w:val="00987D5B"/>
    <w:rsid w:val="009914B7"/>
    <w:rsid w:val="00991D8C"/>
    <w:rsid w:val="009A22E7"/>
    <w:rsid w:val="009A5A22"/>
    <w:rsid w:val="009B3706"/>
    <w:rsid w:val="009C678A"/>
    <w:rsid w:val="009D5EB2"/>
    <w:rsid w:val="009E0675"/>
    <w:rsid w:val="009E234A"/>
    <w:rsid w:val="009E4FA4"/>
    <w:rsid w:val="009F1D1C"/>
    <w:rsid w:val="00A0427F"/>
    <w:rsid w:val="00A06E7B"/>
    <w:rsid w:val="00A12556"/>
    <w:rsid w:val="00A22969"/>
    <w:rsid w:val="00A23DF1"/>
    <w:rsid w:val="00A25C7F"/>
    <w:rsid w:val="00A46467"/>
    <w:rsid w:val="00A5600E"/>
    <w:rsid w:val="00A600D0"/>
    <w:rsid w:val="00A85D65"/>
    <w:rsid w:val="00A90AC2"/>
    <w:rsid w:val="00A958D8"/>
    <w:rsid w:val="00AA38C7"/>
    <w:rsid w:val="00AC308B"/>
    <w:rsid w:val="00AC58D7"/>
    <w:rsid w:val="00AD0AD5"/>
    <w:rsid w:val="00AE1F96"/>
    <w:rsid w:val="00AE3E9B"/>
    <w:rsid w:val="00AF3AD1"/>
    <w:rsid w:val="00B04F52"/>
    <w:rsid w:val="00B11E55"/>
    <w:rsid w:val="00B135ED"/>
    <w:rsid w:val="00B14353"/>
    <w:rsid w:val="00B14E10"/>
    <w:rsid w:val="00B23FBA"/>
    <w:rsid w:val="00B25877"/>
    <w:rsid w:val="00B32087"/>
    <w:rsid w:val="00B324F9"/>
    <w:rsid w:val="00B33E2F"/>
    <w:rsid w:val="00B35286"/>
    <w:rsid w:val="00B3702E"/>
    <w:rsid w:val="00B43C06"/>
    <w:rsid w:val="00B77C15"/>
    <w:rsid w:val="00B87416"/>
    <w:rsid w:val="00B87CEE"/>
    <w:rsid w:val="00B93F84"/>
    <w:rsid w:val="00BA0DB3"/>
    <w:rsid w:val="00BB03BE"/>
    <w:rsid w:val="00BC2117"/>
    <w:rsid w:val="00BC2A9E"/>
    <w:rsid w:val="00BC786E"/>
    <w:rsid w:val="00BE7282"/>
    <w:rsid w:val="00BF5322"/>
    <w:rsid w:val="00BF55CE"/>
    <w:rsid w:val="00C03C74"/>
    <w:rsid w:val="00C12DE1"/>
    <w:rsid w:val="00C15321"/>
    <w:rsid w:val="00C212F0"/>
    <w:rsid w:val="00C25A40"/>
    <w:rsid w:val="00C30264"/>
    <w:rsid w:val="00C32B0A"/>
    <w:rsid w:val="00C34C9B"/>
    <w:rsid w:val="00C36651"/>
    <w:rsid w:val="00C55674"/>
    <w:rsid w:val="00C56D65"/>
    <w:rsid w:val="00C72CE4"/>
    <w:rsid w:val="00C8299F"/>
    <w:rsid w:val="00C85B59"/>
    <w:rsid w:val="00C86E57"/>
    <w:rsid w:val="00C958AB"/>
    <w:rsid w:val="00C96420"/>
    <w:rsid w:val="00CA06A6"/>
    <w:rsid w:val="00CA28C0"/>
    <w:rsid w:val="00CB243D"/>
    <w:rsid w:val="00CC3751"/>
    <w:rsid w:val="00CD48B3"/>
    <w:rsid w:val="00CD755B"/>
    <w:rsid w:val="00CF634A"/>
    <w:rsid w:val="00D20782"/>
    <w:rsid w:val="00D255D1"/>
    <w:rsid w:val="00D3560F"/>
    <w:rsid w:val="00D411F9"/>
    <w:rsid w:val="00D43DB6"/>
    <w:rsid w:val="00D477C4"/>
    <w:rsid w:val="00D54306"/>
    <w:rsid w:val="00D63500"/>
    <w:rsid w:val="00D70B89"/>
    <w:rsid w:val="00D737F1"/>
    <w:rsid w:val="00D766F6"/>
    <w:rsid w:val="00DB18FA"/>
    <w:rsid w:val="00DB713D"/>
    <w:rsid w:val="00DD0494"/>
    <w:rsid w:val="00DD212B"/>
    <w:rsid w:val="00DE2A19"/>
    <w:rsid w:val="00DE5C9D"/>
    <w:rsid w:val="00DE5EA5"/>
    <w:rsid w:val="00E122A5"/>
    <w:rsid w:val="00E15EAF"/>
    <w:rsid w:val="00E24B0C"/>
    <w:rsid w:val="00E25BDB"/>
    <w:rsid w:val="00E474D8"/>
    <w:rsid w:val="00E542A5"/>
    <w:rsid w:val="00E65C43"/>
    <w:rsid w:val="00E6763E"/>
    <w:rsid w:val="00E7028A"/>
    <w:rsid w:val="00E85142"/>
    <w:rsid w:val="00E97635"/>
    <w:rsid w:val="00EA1131"/>
    <w:rsid w:val="00EA1BF8"/>
    <w:rsid w:val="00EA3665"/>
    <w:rsid w:val="00EB0906"/>
    <w:rsid w:val="00EB4ED4"/>
    <w:rsid w:val="00EF09BE"/>
    <w:rsid w:val="00F00EEF"/>
    <w:rsid w:val="00F0649E"/>
    <w:rsid w:val="00F122B8"/>
    <w:rsid w:val="00F337A9"/>
    <w:rsid w:val="00F37EE3"/>
    <w:rsid w:val="00F41E41"/>
    <w:rsid w:val="00F44730"/>
    <w:rsid w:val="00F44F13"/>
    <w:rsid w:val="00F52886"/>
    <w:rsid w:val="00F538E1"/>
    <w:rsid w:val="00F55074"/>
    <w:rsid w:val="00F6291A"/>
    <w:rsid w:val="00F80DA0"/>
    <w:rsid w:val="00F84866"/>
    <w:rsid w:val="00F8762E"/>
    <w:rsid w:val="00F87C04"/>
    <w:rsid w:val="00FA775A"/>
    <w:rsid w:val="00FA7804"/>
    <w:rsid w:val="00FB3886"/>
    <w:rsid w:val="00FC7108"/>
    <w:rsid w:val="00FD48C6"/>
    <w:rsid w:val="00FD5A6A"/>
    <w:rsid w:val="00FD79A6"/>
    <w:rsid w:val="00FE0886"/>
    <w:rsid w:val="00FF38D9"/>
    <w:rsid w:val="00FF6F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4CC4B"/>
  <w15:chartTrackingRefBased/>
  <w15:docId w15:val="{C212C646-7059-475A-A741-B9B67FED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87"/>
    <w:pPr>
      <w:spacing w:line="256" w:lineRule="auto"/>
    </w:pPr>
  </w:style>
  <w:style w:type="paragraph" w:styleId="Heading1">
    <w:name w:val="heading 1"/>
    <w:basedOn w:val="Normal"/>
    <w:next w:val="Normal"/>
    <w:link w:val="Heading1Char"/>
    <w:uiPriority w:val="9"/>
    <w:qFormat/>
    <w:rsid w:val="00F8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EE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406A68"/>
  </w:style>
  <w:style w:type="paragraph" w:styleId="Footer">
    <w:name w:val="footer"/>
    <w:basedOn w:val="Normal"/>
    <w:link w:val="FooterChar"/>
    <w:unhideWhenUsed/>
    <w:rsid w:val="00406A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406A68"/>
  </w:style>
  <w:style w:type="paragraph" w:styleId="ListParagraph">
    <w:name w:val="List Paragraph"/>
    <w:aliases w:val="Cita texto"/>
    <w:basedOn w:val="Normal"/>
    <w:link w:val="ListParagraphChar"/>
    <w:uiPriority w:val="34"/>
    <w:qFormat/>
    <w:rsid w:val="00406A68"/>
    <w:pPr>
      <w:ind w:left="720"/>
      <w:contextualSpacing/>
    </w:pPr>
  </w:style>
  <w:style w:type="paragraph" w:styleId="BalloonText">
    <w:name w:val="Balloon Text"/>
    <w:basedOn w:val="Normal"/>
    <w:link w:val="BalloonTextChar"/>
    <w:uiPriority w:val="99"/>
    <w:semiHidden/>
    <w:unhideWhenUsed/>
    <w:rsid w:val="0011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51"/>
    <w:rPr>
      <w:rFonts w:ascii="Segoe UI" w:hAnsi="Segoe UI" w:cs="Segoe UI"/>
      <w:sz w:val="18"/>
      <w:szCs w:val="18"/>
    </w:rPr>
  </w:style>
  <w:style w:type="character" w:styleId="Hyperlink">
    <w:name w:val="Hyperlink"/>
    <w:basedOn w:val="DefaultParagraphFont"/>
    <w:uiPriority w:val="99"/>
    <w:unhideWhenUsed/>
    <w:rsid w:val="00EA3665"/>
    <w:rPr>
      <w:color w:val="0563C1" w:themeColor="hyperlink"/>
      <w:u w:val="single"/>
    </w:rPr>
  </w:style>
  <w:style w:type="character" w:customStyle="1" w:styleId="Heading1Char">
    <w:name w:val="Heading 1 Char"/>
    <w:basedOn w:val="DefaultParagraphFont"/>
    <w:link w:val="Heading1"/>
    <w:uiPriority w:val="9"/>
    <w:rsid w:val="00F876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9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87CEE"/>
    <w:rPr>
      <w:vertAlign w:val="superscript"/>
    </w:rPr>
  </w:style>
  <w:style w:type="character" w:customStyle="1" w:styleId="Ninguno">
    <w:name w:val="Ninguno"/>
    <w:rsid w:val="0024385E"/>
    <w:rPr>
      <w:lang w:val="es-ES_tradnl"/>
    </w:rPr>
  </w:style>
  <w:style w:type="paragraph" w:customStyle="1" w:styleId="Cuerpo">
    <w:name w:val="Cuerpo"/>
    <w:rsid w:val="00907ED6"/>
    <w:pPr>
      <w:pBdr>
        <w:top w:val="nil"/>
        <w:left w:val="nil"/>
        <w:bottom w:val="nil"/>
        <w:right w:val="nil"/>
        <w:between w:val="nil"/>
        <w:bar w:val="nil"/>
      </w:pBdr>
    </w:pPr>
    <w:rPr>
      <w:rFonts w:eastAsia="Arial Unicode MS" w:cs="Arial Unicode MS"/>
      <w:color w:val="000000"/>
      <w:u w:color="000000"/>
      <w:bdr w:val="nil"/>
      <w:lang w:val="es-ES_tradnl" w:eastAsia="es-MX"/>
    </w:rPr>
  </w:style>
  <w:style w:type="character" w:customStyle="1" w:styleId="Heading3Char">
    <w:name w:val="Heading 3 Char"/>
    <w:basedOn w:val="DefaultParagraphFont"/>
    <w:link w:val="Heading3"/>
    <w:uiPriority w:val="9"/>
    <w:semiHidden/>
    <w:rsid w:val="00253EEA"/>
    <w:rPr>
      <w:rFonts w:asciiTheme="majorHAnsi" w:eastAsiaTheme="majorEastAsia" w:hAnsiTheme="majorHAnsi" w:cstheme="majorBidi"/>
      <w:color w:val="1F4D78" w:themeColor="accent1" w:themeShade="7F"/>
      <w:szCs w:val="24"/>
    </w:rPr>
  </w:style>
  <w:style w:type="character" w:customStyle="1" w:styleId="ListParagraphChar">
    <w:name w:val="List Paragraph Char"/>
    <w:aliases w:val="Cita texto Char"/>
    <w:link w:val="ListParagraph"/>
    <w:uiPriority w:val="34"/>
    <w:rsid w:val="00253EEA"/>
  </w:style>
  <w:style w:type="paragraph" w:customStyle="1" w:styleId="Default">
    <w:name w:val="Default"/>
    <w:rsid w:val="00253EEA"/>
    <w:pPr>
      <w:pBdr>
        <w:top w:val="nil"/>
        <w:left w:val="nil"/>
        <w:bottom w:val="nil"/>
        <w:right w:val="nil"/>
        <w:between w:val="nil"/>
        <w:bar w:val="nil"/>
      </w:pBdr>
      <w:spacing w:after="0" w:line="240" w:lineRule="auto"/>
    </w:pPr>
    <w:rPr>
      <w:rFonts w:eastAsia="Arial Unicode MS" w:cs="Arial Unicode MS"/>
      <w:color w:val="000000"/>
      <w:szCs w:val="24"/>
      <w:u w:color="000000"/>
      <w:bdr w:val="nil"/>
      <w:lang w:val="es-ES_tradnl" w:eastAsia="es-MX"/>
    </w:rPr>
  </w:style>
  <w:style w:type="paragraph" w:styleId="FootnoteText">
    <w:name w:val="footnote text"/>
    <w:basedOn w:val="Normal"/>
    <w:link w:val="FootnoteTextChar"/>
    <w:uiPriority w:val="99"/>
    <w:unhideWhenUsed/>
    <w:rsid w:val="00253EE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53EEA"/>
    <w:rPr>
      <w:rFonts w:asciiTheme="minorHAnsi" w:hAnsiTheme="minorHAnsi"/>
      <w:sz w:val="20"/>
      <w:szCs w:val="20"/>
    </w:rPr>
  </w:style>
  <w:style w:type="paragraph" w:styleId="EndnoteText">
    <w:name w:val="endnote text"/>
    <w:basedOn w:val="Normal"/>
    <w:link w:val="EndnoteTextChar"/>
    <w:uiPriority w:val="99"/>
    <w:semiHidden/>
    <w:unhideWhenUsed/>
    <w:rsid w:val="00253EEA"/>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253EEA"/>
    <w:rPr>
      <w:rFonts w:asciiTheme="minorHAnsi" w:hAnsiTheme="minorHAnsi"/>
      <w:sz w:val="20"/>
      <w:szCs w:val="20"/>
    </w:rPr>
  </w:style>
  <w:style w:type="character" w:styleId="EndnoteReference">
    <w:name w:val="endnote reference"/>
    <w:basedOn w:val="DefaultParagraphFont"/>
    <w:uiPriority w:val="99"/>
    <w:semiHidden/>
    <w:unhideWhenUsed/>
    <w:rsid w:val="00253EEA"/>
    <w:rPr>
      <w:vertAlign w:val="superscript"/>
    </w:rPr>
  </w:style>
  <w:style w:type="character" w:styleId="Emphasis">
    <w:name w:val="Emphasis"/>
    <w:basedOn w:val="DefaultParagraphFont"/>
    <w:uiPriority w:val="20"/>
    <w:qFormat/>
    <w:rsid w:val="00253EEA"/>
    <w:rPr>
      <w:i/>
      <w:iCs/>
    </w:rPr>
  </w:style>
  <w:style w:type="paragraph" w:styleId="NormalWeb">
    <w:name w:val="Normal (Web)"/>
    <w:basedOn w:val="Normal"/>
    <w:uiPriority w:val="99"/>
    <w:unhideWhenUsed/>
    <w:rsid w:val="0061585C"/>
    <w:pPr>
      <w:spacing w:before="100" w:beforeAutospacing="1" w:after="100" w:afterAutospacing="1" w:line="240" w:lineRule="auto"/>
    </w:pPr>
    <w:rPr>
      <w:rFonts w:ascii="Times New Roman" w:eastAsia="Times New Roman" w:hAnsi="Times New Roman" w:cs="Times New Roman"/>
      <w:szCs w:val="24"/>
      <w:lang w:eastAsia="es-MX"/>
    </w:rPr>
  </w:style>
  <w:style w:type="character" w:styleId="CommentReference">
    <w:name w:val="annotation reference"/>
    <w:basedOn w:val="DefaultParagraphFont"/>
    <w:uiPriority w:val="99"/>
    <w:semiHidden/>
    <w:unhideWhenUsed/>
    <w:rsid w:val="00C12DE1"/>
    <w:rPr>
      <w:sz w:val="16"/>
      <w:szCs w:val="16"/>
    </w:rPr>
  </w:style>
  <w:style w:type="paragraph" w:styleId="CommentText">
    <w:name w:val="annotation text"/>
    <w:basedOn w:val="Normal"/>
    <w:link w:val="CommentTextChar"/>
    <w:uiPriority w:val="99"/>
    <w:semiHidden/>
    <w:unhideWhenUsed/>
    <w:rsid w:val="00C12DE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12DE1"/>
    <w:rPr>
      <w:rFonts w:asciiTheme="minorHAnsi" w:hAnsiTheme="minorHAnsi"/>
      <w:sz w:val="20"/>
      <w:szCs w:val="20"/>
    </w:rPr>
  </w:style>
  <w:style w:type="character" w:customStyle="1" w:styleId="Heading2Char">
    <w:name w:val="Heading 2 Char"/>
    <w:basedOn w:val="DefaultParagraphFont"/>
    <w:link w:val="Heading2"/>
    <w:uiPriority w:val="9"/>
    <w:rsid w:val="003B50EC"/>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F528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37A9"/>
    <w:pPr>
      <w:spacing w:after="160"/>
    </w:pPr>
    <w:rPr>
      <w:rFonts w:ascii="Arial" w:hAnsi="Arial"/>
      <w:b/>
      <w:bCs/>
    </w:rPr>
  </w:style>
  <w:style w:type="character" w:customStyle="1" w:styleId="CommentSubjectChar">
    <w:name w:val="Comment Subject Char"/>
    <w:basedOn w:val="CommentTextChar"/>
    <w:link w:val="CommentSubject"/>
    <w:uiPriority w:val="99"/>
    <w:semiHidden/>
    <w:rsid w:val="00F337A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997">
      <w:bodyDiv w:val="1"/>
      <w:marLeft w:val="0"/>
      <w:marRight w:val="0"/>
      <w:marTop w:val="0"/>
      <w:marBottom w:val="0"/>
      <w:divBdr>
        <w:top w:val="none" w:sz="0" w:space="0" w:color="auto"/>
        <w:left w:val="none" w:sz="0" w:space="0" w:color="auto"/>
        <w:bottom w:val="none" w:sz="0" w:space="0" w:color="auto"/>
        <w:right w:val="none" w:sz="0" w:space="0" w:color="auto"/>
      </w:divBdr>
    </w:div>
    <w:div w:id="540213441">
      <w:bodyDiv w:val="1"/>
      <w:marLeft w:val="0"/>
      <w:marRight w:val="0"/>
      <w:marTop w:val="0"/>
      <w:marBottom w:val="0"/>
      <w:divBdr>
        <w:top w:val="none" w:sz="0" w:space="0" w:color="auto"/>
        <w:left w:val="none" w:sz="0" w:space="0" w:color="auto"/>
        <w:bottom w:val="none" w:sz="0" w:space="0" w:color="auto"/>
        <w:right w:val="none" w:sz="0" w:space="0" w:color="auto"/>
      </w:divBdr>
    </w:div>
    <w:div w:id="623540238">
      <w:bodyDiv w:val="1"/>
      <w:marLeft w:val="0"/>
      <w:marRight w:val="0"/>
      <w:marTop w:val="0"/>
      <w:marBottom w:val="0"/>
      <w:divBdr>
        <w:top w:val="none" w:sz="0" w:space="0" w:color="auto"/>
        <w:left w:val="none" w:sz="0" w:space="0" w:color="auto"/>
        <w:bottom w:val="none" w:sz="0" w:space="0" w:color="auto"/>
        <w:right w:val="none" w:sz="0" w:space="0" w:color="auto"/>
      </w:divBdr>
    </w:div>
    <w:div w:id="1334410594">
      <w:bodyDiv w:val="1"/>
      <w:marLeft w:val="0"/>
      <w:marRight w:val="0"/>
      <w:marTop w:val="0"/>
      <w:marBottom w:val="0"/>
      <w:divBdr>
        <w:top w:val="none" w:sz="0" w:space="0" w:color="auto"/>
        <w:left w:val="none" w:sz="0" w:space="0" w:color="auto"/>
        <w:bottom w:val="none" w:sz="0" w:space="0" w:color="auto"/>
        <w:right w:val="none" w:sz="0" w:space="0" w:color="auto"/>
      </w:divBdr>
      <w:divsChild>
        <w:div w:id="1246525290">
          <w:marLeft w:val="0"/>
          <w:marRight w:val="0"/>
          <w:marTop w:val="0"/>
          <w:marBottom w:val="0"/>
          <w:divBdr>
            <w:top w:val="none" w:sz="0" w:space="0" w:color="auto"/>
            <w:left w:val="none" w:sz="0" w:space="0" w:color="auto"/>
            <w:bottom w:val="none" w:sz="0" w:space="0" w:color="auto"/>
            <w:right w:val="none" w:sz="0" w:space="0" w:color="auto"/>
          </w:divBdr>
        </w:div>
      </w:divsChild>
    </w:div>
    <w:div w:id="1537695264">
      <w:bodyDiv w:val="1"/>
      <w:marLeft w:val="0"/>
      <w:marRight w:val="0"/>
      <w:marTop w:val="0"/>
      <w:marBottom w:val="0"/>
      <w:divBdr>
        <w:top w:val="none" w:sz="0" w:space="0" w:color="auto"/>
        <w:left w:val="none" w:sz="0" w:space="0" w:color="auto"/>
        <w:bottom w:val="none" w:sz="0" w:space="0" w:color="auto"/>
        <w:right w:val="none" w:sz="0" w:space="0" w:color="auto"/>
      </w:divBdr>
    </w:div>
    <w:div w:id="1629894113">
      <w:bodyDiv w:val="1"/>
      <w:marLeft w:val="0"/>
      <w:marRight w:val="0"/>
      <w:marTop w:val="0"/>
      <w:marBottom w:val="0"/>
      <w:divBdr>
        <w:top w:val="none" w:sz="0" w:space="0" w:color="auto"/>
        <w:left w:val="none" w:sz="0" w:space="0" w:color="auto"/>
        <w:bottom w:val="none" w:sz="0" w:space="0" w:color="auto"/>
        <w:right w:val="none" w:sz="0" w:space="0" w:color="auto"/>
      </w:divBdr>
    </w:div>
    <w:div w:id="1683584592">
      <w:bodyDiv w:val="1"/>
      <w:marLeft w:val="0"/>
      <w:marRight w:val="0"/>
      <w:marTop w:val="0"/>
      <w:marBottom w:val="0"/>
      <w:divBdr>
        <w:top w:val="none" w:sz="0" w:space="0" w:color="auto"/>
        <w:left w:val="none" w:sz="0" w:space="0" w:color="auto"/>
        <w:bottom w:val="none" w:sz="0" w:space="0" w:color="auto"/>
        <w:right w:val="none" w:sz="0" w:space="0" w:color="auto"/>
      </w:divBdr>
    </w:div>
    <w:div w:id="2096395159">
      <w:bodyDiv w:val="1"/>
      <w:marLeft w:val="0"/>
      <w:marRight w:val="0"/>
      <w:marTop w:val="0"/>
      <w:marBottom w:val="0"/>
      <w:divBdr>
        <w:top w:val="none" w:sz="0" w:space="0" w:color="auto"/>
        <w:left w:val="none" w:sz="0" w:space="0" w:color="auto"/>
        <w:bottom w:val="none" w:sz="0" w:space="0" w:color="auto"/>
        <w:right w:val="none" w:sz="0" w:space="0" w:color="auto"/>
      </w:divBdr>
    </w:div>
    <w:div w:id="21438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dh.org.mx/sites/default/files/doc/Recomendaciones/2013/REC_2013_08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dh.org.mx/sites/default/files/doc/Recomendaciones/2015/REC_2015_01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ndh.org.mx/documento/recomendacion-general-35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dh.org.mx/sites/default/files/doc/Recomendaciones/2017/Rec_2017_002.pdf" TargetMode="External"/><Relationship Id="rId5" Type="http://schemas.openxmlformats.org/officeDocument/2006/relationships/numbering" Target="numbering.xml"/><Relationship Id="rId15" Type="http://schemas.openxmlformats.org/officeDocument/2006/relationships/hyperlink" Target="https://www.cndh.org.mx/sites/default/files/doc/Recomendaciones/2011/REC_2011_056.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dh.org.mx/sites/default/files/doc/Recomendaciones/2012/REC_2012_02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documento/destaca-cndh-importancia-de-los-derechos-culturales-para-consolidar-el-respeto-proteccion" TargetMode="External"/><Relationship Id="rId2" Type="http://schemas.openxmlformats.org/officeDocument/2006/relationships/hyperlink" Target="https://www.coneval.org.mx/Evaluacion/IEPSM/Documents/Derechos_Sociales/Estudio_Diag_Edu_2018.pdf" TargetMode="External"/><Relationship Id="rId1" Type="http://schemas.openxmlformats.org/officeDocument/2006/relationships/hyperlink" Target="https://armonizacion.cndh.org.mx/Armonia/Armonizacion" TargetMode="External"/><Relationship Id="rId4" Type="http://schemas.openxmlformats.org/officeDocument/2006/relationships/hyperlink" Target="https://www.cndh.org.mx/documento/denuncia-cndh-persisistencia-de-discriminacion-etnica-en-el-pais-y-demanda-politi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97B8-8C4E-4E57-AC5E-30AE9FE335EA}">
  <ds:schemaRefs>
    <ds:schemaRef ds:uri="http://schemas.microsoft.com/sharepoint/v3/contenttype/forms"/>
  </ds:schemaRefs>
</ds:datastoreItem>
</file>

<file path=customXml/itemProps2.xml><?xml version="1.0" encoding="utf-8"?>
<ds:datastoreItem xmlns:ds="http://schemas.openxmlformats.org/officeDocument/2006/customXml" ds:itemID="{693D92FB-FB66-4651-9FAE-C045F911534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995FC4-214F-4DFC-ABC7-2296DDD5D571}"/>
</file>

<file path=customXml/itemProps4.xml><?xml version="1.0" encoding="utf-8"?>
<ds:datastoreItem xmlns:ds="http://schemas.openxmlformats.org/officeDocument/2006/customXml" ds:itemID="{BDA36230-8783-45B8-B8AC-FD37FC15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10327</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del Angel Pescador Bravo</dc:creator>
  <cp:keywords/>
  <dc:description/>
  <cp:lastModifiedBy>BIDAULT Mylene</cp:lastModifiedBy>
  <cp:revision>2</cp:revision>
  <cp:lastPrinted>2020-02-15T00:17:00Z</cp:lastPrinted>
  <dcterms:created xsi:type="dcterms:W3CDTF">2021-03-10T08:43:00Z</dcterms:created>
  <dcterms:modified xsi:type="dcterms:W3CDTF">2021-03-10T08:43:00Z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