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DD" w:rsidRPr="00840DDD" w:rsidRDefault="00840DDD" w:rsidP="00840DDD">
      <w:pPr>
        <w:spacing w:after="120" w:line="240" w:lineRule="auto"/>
        <w:ind w:left="-709" w:right="-896"/>
        <w:jc w:val="center"/>
        <w:rPr>
          <w:rFonts w:cs="Arial"/>
          <w:b/>
          <w:sz w:val="24"/>
          <w:szCs w:val="24"/>
          <w:lang w:val="en-GB"/>
        </w:rPr>
      </w:pPr>
      <w:proofErr w:type="gramStart"/>
      <w:r w:rsidRPr="00840DDD">
        <w:rPr>
          <w:rFonts w:cs="Arial"/>
          <w:b/>
          <w:sz w:val="24"/>
          <w:szCs w:val="24"/>
          <w:lang w:val="en-GB"/>
        </w:rPr>
        <w:t>33</w:t>
      </w:r>
      <w:r w:rsidRPr="00840DDD">
        <w:rPr>
          <w:rFonts w:cs="Arial"/>
          <w:b/>
          <w:sz w:val="24"/>
          <w:szCs w:val="24"/>
          <w:vertAlign w:val="superscript"/>
          <w:lang w:val="en-GB"/>
        </w:rPr>
        <w:t>rd</w:t>
      </w:r>
      <w:proofErr w:type="gramEnd"/>
      <w:r w:rsidRPr="00840DDD">
        <w:rPr>
          <w:rFonts w:cs="Arial"/>
          <w:b/>
          <w:sz w:val="24"/>
          <w:szCs w:val="24"/>
          <w:lang w:val="en-GB"/>
        </w:rPr>
        <w:t xml:space="preserve"> session of the Human Rights Council</w:t>
      </w:r>
    </w:p>
    <w:p w:rsidR="00971877" w:rsidRPr="00FC731E" w:rsidRDefault="00840DDD" w:rsidP="00840DDD">
      <w:pPr>
        <w:spacing w:before="40" w:after="0" w:line="240" w:lineRule="auto"/>
        <w:ind w:left="-709" w:right="-896"/>
        <w:jc w:val="center"/>
        <w:rPr>
          <w:rFonts w:eastAsia="Times New Roman" w:cs="Times New Roman"/>
          <w:sz w:val="24"/>
          <w:szCs w:val="24"/>
          <w:lang w:val="en-CA" w:eastAsia="en-CA"/>
        </w:rPr>
      </w:pPr>
      <w:r w:rsidRPr="00840DDD">
        <w:rPr>
          <w:rFonts w:cs="Arial"/>
          <w:b/>
          <w:sz w:val="28"/>
          <w:szCs w:val="28"/>
          <w:lang w:val="en-GB"/>
        </w:rPr>
        <w:t xml:space="preserve">High-level panel discussion on the implementation of the United Nations Declaration on </w:t>
      </w:r>
      <w:r w:rsidRPr="00840DDD">
        <w:rPr>
          <w:rFonts w:cs="Arial"/>
          <w:b/>
          <w:sz w:val="28"/>
          <w:szCs w:val="28"/>
          <w:lang w:val="en-GB"/>
        </w:rPr>
        <w:br/>
        <w:t>Human Rights Education and Training: good practices and challenges</w:t>
      </w:r>
      <w:r w:rsidRPr="00840DDD">
        <w:rPr>
          <w:rFonts w:cs="Arial"/>
          <w:b/>
          <w:sz w:val="28"/>
          <w:szCs w:val="28"/>
          <w:lang w:val="en-GB"/>
        </w:rPr>
        <w:br/>
      </w:r>
    </w:p>
    <w:p w:rsidR="00971877" w:rsidRPr="00840DDD" w:rsidRDefault="00840DDD" w:rsidP="0097187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CA"/>
        </w:rPr>
      </w:pPr>
      <w:r w:rsidRPr="00840DDD">
        <w:rPr>
          <w:rFonts w:eastAsia="Times New Roman" w:cs="Arial"/>
          <w:i/>
          <w:iCs/>
          <w:color w:val="000000"/>
          <w:sz w:val="28"/>
          <w:szCs w:val="28"/>
          <w:lang w:eastAsia="en-CA"/>
        </w:rPr>
        <w:t xml:space="preserve">Notes de </w:t>
      </w:r>
      <w:proofErr w:type="gramStart"/>
      <w:r w:rsidRPr="00840DDD">
        <w:rPr>
          <w:rFonts w:eastAsia="Times New Roman" w:cs="Arial"/>
          <w:i/>
          <w:iCs/>
          <w:color w:val="000000"/>
          <w:sz w:val="28"/>
          <w:szCs w:val="28"/>
          <w:lang w:eastAsia="en-CA"/>
        </w:rPr>
        <w:t>présentation</w:t>
      </w:r>
      <w:r>
        <w:rPr>
          <w:rFonts w:eastAsia="Times New Roman" w:cs="Arial"/>
          <w:i/>
          <w:iCs/>
          <w:color w:val="000000"/>
          <w:sz w:val="28"/>
          <w:szCs w:val="28"/>
          <w:lang w:eastAsia="en-CA"/>
        </w:rPr>
        <w:t>:</w:t>
      </w:r>
      <w:proofErr w:type="gramEnd"/>
      <w:r w:rsidRPr="00840DDD">
        <w:rPr>
          <w:rFonts w:cs="Arial" w:hint="eastAsia"/>
          <w:b/>
          <w:i/>
          <w:iCs/>
          <w:color w:val="000000"/>
          <w:sz w:val="28"/>
          <w:szCs w:val="28"/>
          <w:lang w:eastAsia="ko-KR"/>
        </w:rPr>
        <w:t xml:space="preserve"> </w:t>
      </w:r>
      <w:r w:rsidR="00FE62A4" w:rsidRPr="00840DDD">
        <w:rPr>
          <w:rFonts w:cs="Arial" w:hint="eastAsia"/>
          <w:b/>
          <w:i/>
          <w:iCs/>
          <w:color w:val="000000"/>
          <w:sz w:val="28"/>
          <w:szCs w:val="28"/>
          <w:lang w:eastAsia="ko-KR"/>
        </w:rPr>
        <w:t xml:space="preserve">Herman </w:t>
      </w:r>
      <w:proofErr w:type="spellStart"/>
      <w:r w:rsidR="00FE62A4" w:rsidRPr="00840DDD">
        <w:rPr>
          <w:rFonts w:cs="Arial" w:hint="eastAsia"/>
          <w:b/>
          <w:i/>
          <w:iCs/>
          <w:color w:val="000000"/>
          <w:sz w:val="28"/>
          <w:szCs w:val="28"/>
          <w:lang w:eastAsia="ko-KR"/>
        </w:rPr>
        <w:t>Deparice-Okomba</w:t>
      </w:r>
      <w:proofErr w:type="spellEnd"/>
    </w:p>
    <w:p w:rsidR="00971877" w:rsidRPr="00FC731E" w:rsidRDefault="00971877" w:rsidP="0097187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3AC0" w:rsidRPr="00FC731E" w:rsidRDefault="00003AC0" w:rsidP="00971877">
      <w:pPr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FC731E">
        <w:rPr>
          <w:rFonts w:eastAsia="Times New Roman" w:cs="Arial"/>
          <w:b/>
          <w:sz w:val="24"/>
          <w:szCs w:val="24"/>
          <w:lang w:eastAsia="en-CA"/>
        </w:rPr>
        <w:t>Introduction</w:t>
      </w:r>
    </w:p>
    <w:p w:rsidR="00003AC0" w:rsidRPr="00FC731E" w:rsidRDefault="00003AC0" w:rsidP="00971877">
      <w:pPr>
        <w:spacing w:after="0" w:line="240" w:lineRule="auto"/>
        <w:rPr>
          <w:rFonts w:eastAsia="Times New Roman" w:cs="Arial"/>
          <w:sz w:val="24"/>
          <w:szCs w:val="24"/>
          <w:lang w:eastAsia="en-CA"/>
        </w:rPr>
      </w:pPr>
    </w:p>
    <w:p w:rsidR="00003AC0" w:rsidRPr="00FC731E" w:rsidRDefault="00003AC0" w:rsidP="00FB6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CA"/>
        </w:rPr>
      </w:pPr>
      <w:r w:rsidRPr="00FC731E">
        <w:rPr>
          <w:rFonts w:eastAsia="Times New Roman" w:cs="Arial"/>
          <w:sz w:val="24"/>
          <w:szCs w:val="24"/>
          <w:lang w:eastAsia="en-CA"/>
        </w:rPr>
        <w:t xml:space="preserve">Si  nous voulons prévenir l’extrémisme violent, il est essentiel de </w:t>
      </w:r>
      <w:r w:rsidR="003A2EB1">
        <w:rPr>
          <w:rFonts w:eastAsia="Times New Roman" w:cs="Arial"/>
          <w:sz w:val="24"/>
          <w:szCs w:val="24"/>
          <w:lang w:eastAsia="en-CA"/>
        </w:rPr>
        <w:t xml:space="preserve">nous </w:t>
      </w:r>
      <w:r w:rsidRPr="00FC731E">
        <w:rPr>
          <w:rFonts w:eastAsia="Times New Roman" w:cs="Arial"/>
          <w:sz w:val="24"/>
          <w:szCs w:val="24"/>
          <w:lang w:eastAsia="en-CA"/>
        </w:rPr>
        <w:t xml:space="preserve">assurer que les droits de </w:t>
      </w:r>
      <w:r w:rsidR="00C72995">
        <w:rPr>
          <w:rFonts w:eastAsia="Times New Roman" w:cs="Arial"/>
          <w:sz w:val="24"/>
          <w:szCs w:val="24"/>
          <w:lang w:eastAsia="en-CA"/>
        </w:rPr>
        <w:t>la personne</w:t>
      </w:r>
      <w:r w:rsidR="00C72995" w:rsidRPr="00FC731E">
        <w:rPr>
          <w:rFonts w:eastAsia="Times New Roman" w:cs="Arial"/>
          <w:sz w:val="24"/>
          <w:szCs w:val="24"/>
          <w:lang w:eastAsia="en-CA"/>
        </w:rPr>
        <w:t xml:space="preserve"> </w:t>
      </w:r>
      <w:r w:rsidRPr="00FC731E">
        <w:rPr>
          <w:rFonts w:eastAsia="Times New Roman" w:cs="Arial"/>
          <w:sz w:val="24"/>
          <w:szCs w:val="24"/>
          <w:lang w:eastAsia="en-CA"/>
        </w:rPr>
        <w:t>continuent d’in</w:t>
      </w:r>
      <w:r w:rsidR="003A2EB1">
        <w:rPr>
          <w:rFonts w:eastAsia="Times New Roman" w:cs="Arial"/>
          <w:sz w:val="24"/>
          <w:szCs w:val="24"/>
          <w:lang w:eastAsia="en-CA"/>
        </w:rPr>
        <w:t>fluenc</w:t>
      </w:r>
      <w:r w:rsidRPr="00FC731E">
        <w:rPr>
          <w:rFonts w:eastAsia="Times New Roman" w:cs="Arial"/>
          <w:sz w:val="24"/>
          <w:szCs w:val="24"/>
          <w:lang w:eastAsia="en-CA"/>
        </w:rPr>
        <w:t xml:space="preserve">er la vie sociale et politique dans nos sociétés.  </w:t>
      </w:r>
    </w:p>
    <w:p w:rsidR="001213A3" w:rsidRPr="00FC731E" w:rsidRDefault="00747C27" w:rsidP="00FB6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CA"/>
        </w:rPr>
      </w:pPr>
      <w:r w:rsidRPr="00FC731E">
        <w:rPr>
          <w:rFonts w:eastAsia="Times New Roman" w:cs="Arial"/>
          <w:sz w:val="24"/>
          <w:szCs w:val="24"/>
          <w:lang w:eastAsia="en-CA"/>
        </w:rPr>
        <w:t>Avec l’expérience du Centre de prévention de la radicalisation menant à la violence(CPRMV), j</w:t>
      </w:r>
      <w:r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e suis de plus en plus </w:t>
      </w:r>
      <w:bookmarkStart w:id="0" w:name="_GoBack"/>
      <w:bookmarkEnd w:id="0"/>
      <w:r w:rsidRPr="00FC731E">
        <w:rPr>
          <w:rFonts w:eastAsia="Times New Roman" w:cs="Arial"/>
          <w:iCs/>
          <w:sz w:val="24"/>
          <w:szCs w:val="24"/>
          <w:lang w:val="fr-FR" w:eastAsia="en-CA"/>
        </w:rPr>
        <w:t>convaincu que toute stratégie de lutte ou de prévention à l’extrémisme violente</w:t>
      </w:r>
      <w:r w:rsidR="00146DB8">
        <w:rPr>
          <w:rFonts w:eastAsia="Times New Roman" w:cs="Arial"/>
          <w:iCs/>
          <w:sz w:val="24"/>
          <w:szCs w:val="24"/>
          <w:lang w:val="fr-FR" w:eastAsia="en-CA"/>
        </w:rPr>
        <w:t>s</w:t>
      </w:r>
      <w:r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, dépourvue d’une forte composante universelle des droits de </w:t>
      </w:r>
      <w:r w:rsidR="00C72995">
        <w:rPr>
          <w:rFonts w:eastAsia="Times New Roman" w:cs="Arial"/>
          <w:iCs/>
          <w:sz w:val="24"/>
          <w:szCs w:val="24"/>
          <w:lang w:val="fr-FR" w:eastAsia="en-CA"/>
        </w:rPr>
        <w:t>la personne</w:t>
      </w:r>
      <w:r w:rsidRPr="00FC731E">
        <w:rPr>
          <w:rFonts w:eastAsia="Times New Roman" w:cs="Arial"/>
          <w:iCs/>
          <w:sz w:val="24"/>
          <w:szCs w:val="24"/>
          <w:lang w:val="fr-FR" w:eastAsia="en-CA"/>
        </w:rPr>
        <w:t>, sera peu utile.</w:t>
      </w:r>
      <w:r w:rsidR="001213A3"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 </w:t>
      </w:r>
    </w:p>
    <w:p w:rsidR="000C05C2" w:rsidRPr="00FC731E" w:rsidRDefault="001213A3" w:rsidP="004458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iCs/>
          <w:sz w:val="24"/>
          <w:szCs w:val="24"/>
          <w:lang w:val="fr-FR" w:eastAsia="en-CA"/>
        </w:rPr>
        <w:t>Le constat qui se dégage des individus que nous prenons en charge au CPRMV</w:t>
      </w:r>
      <w:r w:rsidR="00FB6610"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 démontre </w:t>
      </w:r>
      <w:r w:rsidR="000C05C2"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clairement que </w:t>
      </w:r>
      <w:r w:rsidR="000C05C2" w:rsidRPr="00FC731E">
        <w:rPr>
          <w:rFonts w:eastAsia="Times New Roman" w:cs="Arial"/>
          <w:iCs/>
          <w:sz w:val="24"/>
          <w:szCs w:val="24"/>
          <w:lang w:eastAsia="en-CA"/>
        </w:rPr>
        <w:t xml:space="preserve">le manque d’éducation </w:t>
      </w:r>
      <w:r w:rsidR="003A2EB1">
        <w:rPr>
          <w:rFonts w:eastAsia="Times New Roman" w:cs="Arial"/>
          <w:iCs/>
          <w:sz w:val="24"/>
          <w:szCs w:val="24"/>
          <w:lang w:eastAsia="en-CA"/>
        </w:rPr>
        <w:t>en matière de</w:t>
      </w:r>
      <w:r w:rsidR="000C05C2" w:rsidRPr="00FC731E">
        <w:rPr>
          <w:rFonts w:eastAsia="Times New Roman" w:cs="Arial"/>
          <w:iCs/>
          <w:sz w:val="24"/>
          <w:szCs w:val="24"/>
          <w:lang w:eastAsia="en-CA"/>
        </w:rPr>
        <w:t xml:space="preserve"> droit</w:t>
      </w:r>
      <w:r w:rsidR="003A2EB1">
        <w:rPr>
          <w:rFonts w:eastAsia="Times New Roman" w:cs="Arial"/>
          <w:iCs/>
          <w:sz w:val="24"/>
          <w:szCs w:val="24"/>
          <w:lang w:eastAsia="en-CA"/>
        </w:rPr>
        <w:t>s</w:t>
      </w:r>
      <w:r w:rsidR="000C05C2" w:rsidRPr="00FC731E">
        <w:rPr>
          <w:rFonts w:eastAsia="Times New Roman" w:cs="Arial"/>
          <w:iCs/>
          <w:sz w:val="24"/>
          <w:szCs w:val="24"/>
          <w:lang w:eastAsia="en-CA"/>
        </w:rPr>
        <w:t xml:space="preserve"> de </w:t>
      </w:r>
      <w:r w:rsidR="00C72995">
        <w:rPr>
          <w:rFonts w:eastAsia="Times New Roman" w:cs="Arial"/>
          <w:iCs/>
          <w:sz w:val="24"/>
          <w:szCs w:val="24"/>
          <w:lang w:eastAsia="en-CA"/>
        </w:rPr>
        <w:t>la personne</w:t>
      </w:r>
      <w:r w:rsidR="00C72995" w:rsidRPr="00FC731E">
        <w:rPr>
          <w:rFonts w:eastAsia="Times New Roman" w:cs="Arial"/>
          <w:iCs/>
          <w:sz w:val="24"/>
          <w:szCs w:val="24"/>
          <w:lang w:eastAsia="en-CA"/>
        </w:rPr>
        <w:t xml:space="preserve"> </w:t>
      </w:r>
      <w:r w:rsidR="000C05C2" w:rsidRPr="00FC731E">
        <w:rPr>
          <w:rFonts w:eastAsia="Times New Roman" w:cs="Arial"/>
          <w:iCs/>
          <w:sz w:val="24"/>
          <w:szCs w:val="24"/>
          <w:lang w:eastAsia="en-CA"/>
        </w:rPr>
        <w:t xml:space="preserve">est un facteur déterminant </w:t>
      </w:r>
      <w:r w:rsidR="003A2EB1">
        <w:rPr>
          <w:rFonts w:eastAsia="Times New Roman" w:cs="Arial"/>
          <w:iCs/>
          <w:sz w:val="24"/>
          <w:szCs w:val="24"/>
          <w:lang w:eastAsia="en-CA"/>
        </w:rPr>
        <w:t>en ce qui concerne</w:t>
      </w:r>
      <w:r w:rsidR="000C05C2" w:rsidRPr="00FC731E">
        <w:rPr>
          <w:rFonts w:eastAsia="Times New Roman" w:cs="Arial"/>
          <w:iCs/>
          <w:sz w:val="24"/>
          <w:szCs w:val="24"/>
          <w:lang w:eastAsia="en-CA"/>
        </w:rPr>
        <w:t xml:space="preserve"> la violence. </w:t>
      </w:r>
    </w:p>
    <w:p w:rsidR="00FB6610" w:rsidRPr="00FC731E" w:rsidRDefault="000C05C2" w:rsidP="004458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Il devient donc </w:t>
      </w:r>
      <w:r w:rsidR="004876B1" w:rsidRPr="00FC731E">
        <w:rPr>
          <w:rFonts w:eastAsia="Times New Roman" w:cs="Arial"/>
          <w:iCs/>
          <w:sz w:val="24"/>
          <w:szCs w:val="24"/>
          <w:lang w:val="fr-FR" w:eastAsia="en-CA"/>
        </w:rPr>
        <w:t>urgent</w:t>
      </w:r>
      <w:r w:rsidR="00FB6610" w:rsidRPr="00FC731E">
        <w:rPr>
          <w:rFonts w:eastAsia="Times New Roman" w:cs="Arial"/>
          <w:iCs/>
          <w:sz w:val="24"/>
          <w:szCs w:val="24"/>
          <w:lang w:val="fr-FR" w:eastAsia="en-CA"/>
        </w:rPr>
        <w:t xml:space="preserve"> </w:t>
      </w:r>
      <w:r w:rsidR="00FB6610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de promouvoir l’éducation </w:t>
      </w:r>
      <w:r w:rsidR="003A2EB1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sur les</w:t>
      </w:r>
      <w:r w:rsidR="00FB6610"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 xml:space="preserve"> droits de </w:t>
      </w:r>
      <w:r w:rsidR="00C72995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la personne</w:t>
      </w:r>
      <w:r w:rsidR="00C72995"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 xml:space="preserve"> </w:t>
      </w:r>
      <w:r w:rsidR="00FB6610"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 xml:space="preserve">afin de lutter contre les </w:t>
      </w:r>
      <w:r w:rsidR="00FB6610" w:rsidRPr="00FC731E">
        <w:rPr>
          <w:rFonts w:eastAsia="Times New Roman" w:cs="Arial"/>
          <w:sz w:val="24"/>
          <w:szCs w:val="24"/>
          <w:lang w:val="fr-FR" w:eastAsia="en-CA"/>
        </w:rPr>
        <w:t>préjugés</w:t>
      </w:r>
      <w:r w:rsidR="003A2EB1">
        <w:rPr>
          <w:rFonts w:eastAsia="Times New Roman" w:cs="Arial"/>
          <w:sz w:val="24"/>
          <w:szCs w:val="24"/>
          <w:lang w:val="fr-FR" w:eastAsia="en-CA"/>
        </w:rPr>
        <w:t xml:space="preserve"> et</w:t>
      </w:r>
      <w:r w:rsidR="00FB6610" w:rsidRPr="00FC731E">
        <w:rPr>
          <w:rFonts w:eastAsia="Times New Roman" w:cs="Arial"/>
          <w:sz w:val="24"/>
          <w:szCs w:val="24"/>
          <w:lang w:val="fr-FR" w:eastAsia="en-CA"/>
        </w:rPr>
        <w:t xml:space="preserve"> de </w:t>
      </w:r>
      <w:r w:rsidR="003A2EB1">
        <w:rPr>
          <w:rFonts w:eastAsia="Times New Roman" w:cs="Arial"/>
          <w:sz w:val="24"/>
          <w:szCs w:val="24"/>
          <w:lang w:val="fr-FR" w:eastAsia="en-CA"/>
        </w:rPr>
        <w:t>préconiser</w:t>
      </w:r>
      <w:r w:rsidR="00FB6610" w:rsidRPr="00FC731E">
        <w:rPr>
          <w:rFonts w:eastAsia="Times New Roman" w:cs="Arial"/>
          <w:sz w:val="24"/>
          <w:szCs w:val="24"/>
          <w:lang w:val="fr-FR" w:eastAsia="en-CA"/>
        </w:rPr>
        <w:t xml:space="preserve"> l’utilisation de moyens non</w:t>
      </w:r>
      <w:r w:rsidR="00146DB8">
        <w:rPr>
          <w:rFonts w:eastAsia="Times New Roman" w:cs="Arial"/>
          <w:sz w:val="24"/>
          <w:szCs w:val="24"/>
          <w:lang w:val="fr-FR" w:eastAsia="en-CA"/>
        </w:rPr>
        <w:t xml:space="preserve"> </w:t>
      </w:r>
      <w:r w:rsidR="00FB6610" w:rsidRPr="00FC731E">
        <w:rPr>
          <w:rFonts w:eastAsia="Times New Roman" w:cs="Arial"/>
          <w:sz w:val="24"/>
          <w:szCs w:val="24"/>
          <w:lang w:val="fr-FR" w:eastAsia="en-CA"/>
        </w:rPr>
        <w:t>violents pour résoudre les différends. Cette éducation</w:t>
      </w:r>
      <w:r w:rsidRPr="00FC731E">
        <w:rPr>
          <w:rFonts w:eastAsia="Times New Roman" w:cs="Arial"/>
          <w:sz w:val="24"/>
          <w:szCs w:val="24"/>
          <w:lang w:val="fr-FR" w:eastAsia="en-CA"/>
        </w:rPr>
        <w:t xml:space="preserve"> doit renforcer la pensée critique des individus les plus vulnérables.  </w:t>
      </w:r>
    </w:p>
    <w:p w:rsidR="00747C27" w:rsidRPr="00FC731E" w:rsidRDefault="00747C27" w:rsidP="00971877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:rsidR="00971877" w:rsidRPr="00FC731E" w:rsidRDefault="00AB179C" w:rsidP="00FC73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Les facteurs favorisant l</w:t>
      </w:r>
      <w:r w:rsidR="00122709"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es</w:t>
      </w:r>
      <w:r w:rsidR="000C05C2"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trajectoires de radicalisation violente</w:t>
      </w:r>
    </w:p>
    <w:p w:rsidR="00971877" w:rsidRPr="00FC731E" w:rsidRDefault="00971877" w:rsidP="0097187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C05C2" w:rsidRPr="00FC731E" w:rsidRDefault="000C05C2" w:rsidP="000C05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Individuel</w:t>
      </w:r>
      <w:r w:rsidR="003A2EB1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s</w:t>
      </w:r>
    </w:p>
    <w:p w:rsidR="000C05C2" w:rsidRPr="00FC731E" w:rsidRDefault="000C05C2" w:rsidP="000C05C2">
      <w:pPr>
        <w:pStyle w:val="ListParagraph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:rsidR="004876B1" w:rsidRPr="00AB179C" w:rsidRDefault="004876B1" w:rsidP="00493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color w:val="000000"/>
          <w:sz w:val="24"/>
          <w:szCs w:val="24"/>
          <w:lang w:eastAsia="en-CA"/>
        </w:rPr>
        <w:t>L</w:t>
      </w:r>
      <w:r w:rsidR="000C05C2" w:rsidRPr="00AB179C">
        <w:rPr>
          <w:rFonts w:eastAsia="Times New Roman" w:cs="Arial"/>
          <w:color w:val="000000"/>
          <w:sz w:val="24"/>
          <w:szCs w:val="24"/>
          <w:lang w:eastAsia="en-CA"/>
        </w:rPr>
        <w:t>e faible sens critique</w:t>
      </w:r>
    </w:p>
    <w:p w:rsidR="000C05C2" w:rsidRPr="00AB179C" w:rsidRDefault="00146DB8" w:rsidP="00493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color w:val="000000"/>
          <w:sz w:val="24"/>
          <w:szCs w:val="24"/>
          <w:lang w:eastAsia="en-CA"/>
        </w:rPr>
        <w:t>L’</w:t>
      </w:r>
      <w:r w:rsidR="00971877" w:rsidRPr="00AB179C">
        <w:rPr>
          <w:rFonts w:eastAsia="Times New Roman" w:cs="Arial"/>
          <w:color w:val="000000"/>
          <w:sz w:val="24"/>
          <w:szCs w:val="24"/>
          <w:lang w:eastAsia="en-CA"/>
        </w:rPr>
        <w:t>intolérance à l'ambiguïté</w:t>
      </w:r>
    </w:p>
    <w:p w:rsidR="00971877" w:rsidRPr="00AB179C" w:rsidRDefault="00C72995" w:rsidP="00971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Le </w:t>
      </w:r>
      <w:r w:rsidR="004876B1" w:rsidRPr="00AB179C">
        <w:rPr>
          <w:rFonts w:eastAsia="Times New Roman" w:cs="Arial"/>
          <w:color w:val="000000"/>
          <w:sz w:val="24"/>
          <w:szCs w:val="24"/>
          <w:lang w:eastAsia="en-CA"/>
        </w:rPr>
        <w:t>manque d’empathie </w:t>
      </w:r>
    </w:p>
    <w:p w:rsidR="000C05C2" w:rsidRPr="00FC731E" w:rsidRDefault="000C05C2" w:rsidP="0097187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C05C2" w:rsidRPr="00FC731E" w:rsidRDefault="000C05C2" w:rsidP="000C05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Collectif</w:t>
      </w:r>
      <w:r w:rsidR="003A2EB1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s</w:t>
      </w:r>
    </w:p>
    <w:p w:rsidR="000C05C2" w:rsidRPr="00FC731E" w:rsidRDefault="000C05C2" w:rsidP="0097187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:rsidR="00FA6F2E" w:rsidRPr="00FC731E" w:rsidRDefault="00FA6F2E" w:rsidP="00FA6F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 w:rsidRPr="00FC731E">
        <w:rPr>
          <w:rFonts w:eastAsia="Times New Roman" w:cs="Times New Roman"/>
          <w:sz w:val="24"/>
          <w:szCs w:val="24"/>
          <w:lang w:eastAsia="en-CA"/>
        </w:rPr>
        <w:t xml:space="preserve">Les enjeux </w:t>
      </w:r>
      <w:r w:rsidR="00437F82" w:rsidRPr="00FC731E">
        <w:rPr>
          <w:rFonts w:eastAsia="Times New Roman" w:cs="Times New Roman"/>
          <w:sz w:val="24"/>
          <w:szCs w:val="24"/>
          <w:lang w:eastAsia="en-CA"/>
        </w:rPr>
        <w:t>collectifs</w:t>
      </w:r>
      <w:r w:rsidRPr="00FC731E">
        <w:rPr>
          <w:rFonts w:eastAsia="Times New Roman" w:cs="Times New Roman"/>
          <w:sz w:val="24"/>
          <w:szCs w:val="24"/>
          <w:lang w:eastAsia="en-CA"/>
        </w:rPr>
        <w:t xml:space="preserve"> suivant</w:t>
      </w:r>
      <w:r w:rsidR="00437F82" w:rsidRPr="00FC731E">
        <w:rPr>
          <w:rFonts w:eastAsia="Times New Roman" w:cs="Times New Roman"/>
          <w:sz w:val="24"/>
          <w:szCs w:val="24"/>
          <w:lang w:eastAsia="en-CA"/>
        </w:rPr>
        <w:t>s</w:t>
      </w:r>
      <w:r w:rsidRPr="00FC731E">
        <w:rPr>
          <w:rFonts w:eastAsia="Times New Roman" w:cs="Times New Roman"/>
          <w:sz w:val="24"/>
          <w:szCs w:val="24"/>
          <w:lang w:eastAsia="en-CA"/>
        </w:rPr>
        <w:t xml:space="preserve"> peuvent mener un individu à se radicaliser de façon violente :</w:t>
      </w:r>
    </w:p>
    <w:p w:rsidR="00FA6F2E" w:rsidRPr="00FC731E" w:rsidRDefault="00FA6F2E" w:rsidP="00FA6F2E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</w:p>
    <w:p w:rsidR="00FA6F2E" w:rsidRPr="00FC731E" w:rsidRDefault="00FA6F2E" w:rsidP="00FA6F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 w:rsidRPr="00FC731E">
        <w:rPr>
          <w:rFonts w:eastAsia="Times New Roman" w:cs="Arial"/>
          <w:color w:val="000000"/>
          <w:sz w:val="24"/>
          <w:szCs w:val="24"/>
          <w:lang w:eastAsia="en-CA"/>
        </w:rPr>
        <w:t>L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a non-reconnaissance des droits de </w:t>
      </w:r>
      <w:r w:rsidR="00C72995">
        <w:rPr>
          <w:rFonts w:eastAsia="Times New Roman" w:cs="Arial"/>
          <w:color w:val="000000"/>
          <w:sz w:val="24"/>
          <w:szCs w:val="24"/>
          <w:lang w:eastAsia="en-CA"/>
        </w:rPr>
        <w:t>la personne</w:t>
      </w:r>
      <w:r w:rsidR="00C72995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0C05C2" w:rsidRPr="00FC731E">
        <w:rPr>
          <w:rFonts w:eastAsia="Times New Roman" w:cs="Arial"/>
          <w:color w:val="000000"/>
          <w:sz w:val="24"/>
          <w:szCs w:val="24"/>
          <w:lang w:eastAsia="en-CA"/>
        </w:rPr>
        <w:t>et des droits internationaux</w:t>
      </w:r>
      <w:r w:rsidRPr="00FC731E">
        <w:rPr>
          <w:rFonts w:eastAsia="Times New Roman" w:cs="Arial"/>
          <w:color w:val="000000"/>
          <w:sz w:val="24"/>
          <w:szCs w:val="24"/>
          <w:lang w:eastAsia="en-CA"/>
        </w:rPr>
        <w:t> </w:t>
      </w:r>
    </w:p>
    <w:p w:rsidR="000C05C2" w:rsidRPr="00FC731E" w:rsidRDefault="00C72995" w:rsidP="000C05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L</w:t>
      </w:r>
      <w:r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a 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perception d’un double discours </w:t>
      </w:r>
      <w:r>
        <w:rPr>
          <w:rFonts w:eastAsia="Times New Roman" w:cs="Arial"/>
          <w:color w:val="000000"/>
          <w:sz w:val="24"/>
          <w:szCs w:val="24"/>
          <w:lang w:eastAsia="en-CA"/>
        </w:rPr>
        <w:t>en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ce qu</w:t>
      </w:r>
      <w:r w:rsidR="000C05C2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i </w:t>
      </w:r>
      <w:r>
        <w:rPr>
          <w:rFonts w:eastAsia="Times New Roman" w:cs="Arial"/>
          <w:color w:val="000000"/>
          <w:sz w:val="24"/>
          <w:szCs w:val="24"/>
          <w:lang w:eastAsia="en-CA"/>
        </w:rPr>
        <w:t>concerne</w:t>
      </w:r>
      <w:r w:rsidR="000C05C2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CA"/>
        </w:rPr>
        <w:t>les</w:t>
      </w:r>
      <w:r w:rsidR="000C05C2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droits communs</w:t>
      </w:r>
    </w:p>
    <w:p w:rsidR="00971877" w:rsidRPr="00FC731E" w:rsidRDefault="00146DB8" w:rsidP="000C05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L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e sentiment d’un déni de reconnaissance ou de respect </w:t>
      </w:r>
      <w:r w:rsidR="00C72995">
        <w:rPr>
          <w:rFonts w:eastAsia="Times New Roman" w:cs="Arial"/>
          <w:color w:val="000000"/>
          <w:sz w:val="24"/>
          <w:szCs w:val="24"/>
          <w:lang w:eastAsia="en-CA"/>
        </w:rPr>
        <w:t>envers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la diversité des pratiques culturelle</w:t>
      </w:r>
      <w:r w:rsidR="00C72995">
        <w:rPr>
          <w:rFonts w:eastAsia="Times New Roman" w:cs="Arial"/>
          <w:color w:val="000000"/>
          <w:sz w:val="24"/>
          <w:szCs w:val="24"/>
          <w:lang w:eastAsia="en-CA"/>
        </w:rPr>
        <w:t>s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ou religieuse</w:t>
      </w:r>
      <w:r w:rsidR="00C72995">
        <w:rPr>
          <w:rFonts w:eastAsia="Times New Roman" w:cs="Arial"/>
          <w:color w:val="000000"/>
          <w:sz w:val="24"/>
          <w:szCs w:val="24"/>
          <w:lang w:eastAsia="en-CA"/>
        </w:rPr>
        <w:t>s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qui peuvent différer des pratiques dites normatives ou majoritaires.</w:t>
      </w:r>
    </w:p>
    <w:p w:rsidR="00122709" w:rsidRDefault="00122709" w:rsidP="0097187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:rsidR="0032366F" w:rsidRPr="0032366F" w:rsidRDefault="0032366F" w:rsidP="00971877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32366F">
        <w:rPr>
          <w:rFonts w:eastAsia="Times New Roman" w:cs="Arial"/>
          <w:bCs/>
          <w:color w:val="000000"/>
          <w:sz w:val="24"/>
          <w:szCs w:val="24"/>
          <w:lang w:eastAsia="en-CA"/>
        </w:rPr>
        <w:lastRenderedPageBreak/>
        <w:t xml:space="preserve">L’éducation aux droits </w:t>
      </w:r>
      <w:r w:rsidR="00C72995">
        <w:rPr>
          <w:rFonts w:eastAsia="Times New Roman" w:cs="Arial"/>
          <w:bCs/>
          <w:color w:val="000000"/>
          <w:sz w:val="24"/>
          <w:szCs w:val="24"/>
          <w:lang w:eastAsia="en-CA"/>
        </w:rPr>
        <w:t>de la personne</w:t>
      </w:r>
      <w:r w:rsidRPr="0032366F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est donc un outil important afin de contrer la radicalisation violente, tant au niveau individuel qu’au niveau collectif. C’est pourquoi elle doit faire partie intégrante</w:t>
      </w:r>
      <w:r w:rsidR="00C72995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de</w:t>
      </w:r>
      <w:r w:rsidRPr="0032366F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toute recherche de solution à l’extrémisme violent.</w:t>
      </w:r>
    </w:p>
    <w:p w:rsidR="0032366F" w:rsidRPr="00FC731E" w:rsidRDefault="0032366F" w:rsidP="0097187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:rsidR="00260447" w:rsidRPr="00FC731E" w:rsidRDefault="00122709" w:rsidP="0097187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La réponse </w:t>
      </w:r>
      <w:r w:rsidR="00FF642E"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du CPRMV</w:t>
      </w:r>
      <w:r w:rsidRPr="00FC731E">
        <w:rPr>
          <w:sz w:val="24"/>
          <w:szCs w:val="24"/>
        </w:rPr>
        <w:t xml:space="preserve"> </w:t>
      </w: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aux trajectoires de radicalisation violente</w:t>
      </w:r>
    </w:p>
    <w:p w:rsidR="00AB179C" w:rsidRDefault="00AB179C" w:rsidP="00971877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n-CA"/>
        </w:rPr>
      </w:pPr>
    </w:p>
    <w:p w:rsidR="00FF642E" w:rsidRPr="00FC731E" w:rsidRDefault="00260447" w:rsidP="00971877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>Tous n</w:t>
      </w:r>
      <w:r w:rsidR="00FF642E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os </w:t>
      </w:r>
      <w:r w:rsidR="00C72995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>outils  pédagogiques,</w:t>
      </w:r>
      <w:r w:rsidR="00C72995" w:rsidRPr="00FC731E">
        <w:rPr>
          <w:sz w:val="24"/>
          <w:szCs w:val="24"/>
        </w:rPr>
        <w:t xml:space="preserve"> </w:t>
      </w:r>
      <w:r w:rsidR="00FF642E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>activités</w:t>
      </w:r>
      <w:r w:rsidR="00122709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>,</w:t>
      </w:r>
      <w:r w:rsidR="00FF642E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</w:t>
      </w:r>
      <w:r w:rsidR="00122709" w:rsidRPr="00FC731E">
        <w:rPr>
          <w:sz w:val="24"/>
          <w:szCs w:val="24"/>
        </w:rPr>
        <w:t xml:space="preserve"> </w:t>
      </w:r>
      <w:r w:rsidR="00122709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ateliers de formation et de sensibilisation </w:t>
      </w:r>
      <w:r w:rsidR="00FF642E"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>visent </w:t>
      </w:r>
      <w:r w:rsidRPr="00FC731E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à </w:t>
      </w:r>
      <w:r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favoriser la compréhension, la tolérance, l’égalité des sexes et le vivre</w:t>
      </w:r>
      <w:r w:rsidR="00C72995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>-</w:t>
      </w:r>
      <w:r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 xml:space="preserve">ensemble </w:t>
      </w:r>
      <w:r w:rsidR="00122709" w:rsidRPr="00FC731E">
        <w:rPr>
          <w:rFonts w:eastAsia="Times New Roman" w:cs="Arial"/>
          <w:bCs/>
          <w:iCs/>
          <w:color w:val="000000"/>
          <w:sz w:val="24"/>
          <w:szCs w:val="24"/>
          <w:lang w:eastAsia="en-CA"/>
        </w:rPr>
        <w:t xml:space="preserve">autour des stratégies suivantes : </w:t>
      </w:r>
    </w:p>
    <w:p w:rsidR="00567523" w:rsidRPr="00FC731E" w:rsidRDefault="00567523" w:rsidP="00971877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en-CA"/>
        </w:rPr>
      </w:pPr>
    </w:p>
    <w:p w:rsidR="00AB179C" w:rsidRPr="00AB179C" w:rsidRDefault="00122709" w:rsidP="00971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color w:val="000000"/>
          <w:sz w:val="24"/>
          <w:szCs w:val="24"/>
          <w:lang w:eastAsia="en-CA"/>
        </w:rPr>
        <w:t>Amener nos  jeunes à participer à la vie démocratique.</w:t>
      </w:r>
    </w:p>
    <w:p w:rsidR="00AB179C" w:rsidRPr="00AB179C" w:rsidRDefault="00122709" w:rsidP="00971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bCs/>
          <w:color w:val="000000"/>
          <w:sz w:val="24"/>
          <w:szCs w:val="24"/>
          <w:lang w:eastAsia="en-CA"/>
        </w:rPr>
        <w:t>Sensibiliser les citoyens aux droits et libertés de la personne, aux responsabilités, à la discrimination sous toutes ses formes et à ses effets.</w:t>
      </w:r>
    </w:p>
    <w:p w:rsidR="00AB179C" w:rsidRPr="00AB179C" w:rsidRDefault="00122709" w:rsidP="001227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bCs/>
          <w:color w:val="000000"/>
          <w:sz w:val="24"/>
          <w:szCs w:val="24"/>
          <w:lang w:eastAsia="en-CA"/>
        </w:rPr>
        <w:t>Développer chez les citoyens des attitudes et des comportements d’ouverture, de respect et d’acceptation de la diversité.</w:t>
      </w:r>
    </w:p>
    <w:p w:rsidR="00122709" w:rsidRPr="00AB179C" w:rsidRDefault="00122709" w:rsidP="001227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AB179C">
        <w:rPr>
          <w:rFonts w:eastAsia="Times New Roman" w:cs="Arial"/>
          <w:bCs/>
          <w:color w:val="000000"/>
          <w:sz w:val="24"/>
          <w:szCs w:val="24"/>
          <w:lang w:eastAsia="en-CA"/>
        </w:rPr>
        <w:t>Permettre aux citoyens d’agir de façon pragmatique pour dénoncer et combattre les situations discriminatoires.</w:t>
      </w:r>
    </w:p>
    <w:p w:rsidR="00971877" w:rsidRPr="00FC731E" w:rsidRDefault="00971877" w:rsidP="0097187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971877" w:rsidRPr="00FC731E" w:rsidRDefault="00FF642E" w:rsidP="0097187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Réinsertion</w:t>
      </w:r>
      <w:r w:rsidR="00AB179C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et non la </w:t>
      </w:r>
      <w:proofErr w:type="spellStart"/>
      <w:r w:rsidR="00AB179C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déradicalisation</w:t>
      </w:r>
      <w:proofErr w:type="spellEnd"/>
      <w:r w:rsidR="00AB179C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</w:p>
    <w:p w:rsidR="00AB179C" w:rsidRPr="00AB179C" w:rsidRDefault="00AB179C" w:rsidP="00AB179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FF642E" w:rsidRPr="00FC731E" w:rsidRDefault="00FF642E" w:rsidP="00FF64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color w:val="000000"/>
          <w:sz w:val="24"/>
          <w:szCs w:val="24"/>
          <w:lang w:eastAsia="en-CA"/>
        </w:rPr>
        <w:t>La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réinsertion est un point important qui doit être considéré avec précaution. En effet, la réalité géopolitique actuelle </w:t>
      </w:r>
      <w:r w:rsidR="00CD54C8">
        <w:rPr>
          <w:rFonts w:eastAsia="Times New Roman" w:cs="Arial"/>
          <w:color w:val="000000"/>
          <w:sz w:val="24"/>
          <w:szCs w:val="24"/>
          <w:lang w:eastAsia="en-CA"/>
        </w:rPr>
        <w:t>fait en sorte que</w:t>
      </w:r>
      <w:r w:rsidR="00CD54C8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beaucoup de pays occidentaux sont aux prises</w:t>
      </w:r>
      <w:r w:rsidR="00CD54C8">
        <w:rPr>
          <w:rFonts w:eastAsia="Times New Roman" w:cs="Arial"/>
          <w:color w:val="000000"/>
          <w:sz w:val="24"/>
          <w:szCs w:val="24"/>
          <w:lang w:eastAsia="en-CA"/>
        </w:rPr>
        <w:t xml:space="preserve"> avec</w:t>
      </w:r>
      <w:r w:rsidR="00CD54C8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le retour </w:t>
      </w:r>
      <w:r w:rsidR="00CD54C8">
        <w:rPr>
          <w:rFonts w:eastAsia="Times New Roman" w:cs="Arial"/>
          <w:color w:val="000000"/>
          <w:sz w:val="24"/>
          <w:szCs w:val="24"/>
          <w:lang w:eastAsia="en-CA"/>
        </w:rPr>
        <w:t>de leurs ressortissants partis combattre en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 Syrie et </w:t>
      </w:r>
      <w:r w:rsidR="00CD54C8">
        <w:rPr>
          <w:rFonts w:eastAsia="Times New Roman" w:cs="Arial"/>
          <w:color w:val="000000"/>
          <w:sz w:val="24"/>
          <w:szCs w:val="24"/>
          <w:lang w:eastAsia="en-CA"/>
        </w:rPr>
        <w:t>en Iraq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 xml:space="preserve">. </w:t>
      </w:r>
    </w:p>
    <w:p w:rsidR="00FF642E" w:rsidRPr="00FC731E" w:rsidRDefault="00FF642E" w:rsidP="00FF64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CA"/>
        </w:rPr>
      </w:pPr>
      <w:r w:rsidRPr="00FC731E">
        <w:rPr>
          <w:rFonts w:eastAsia="Times New Roman" w:cs="Arial"/>
          <w:color w:val="000000"/>
          <w:sz w:val="24"/>
          <w:szCs w:val="24"/>
          <w:lang w:eastAsia="en-CA"/>
        </w:rPr>
        <w:t>N</w:t>
      </w:r>
      <w:r w:rsidR="00971877" w:rsidRPr="00FC731E">
        <w:rPr>
          <w:rFonts w:eastAsia="Times New Roman" w:cs="Arial"/>
          <w:color w:val="000000"/>
          <w:sz w:val="24"/>
          <w:szCs w:val="24"/>
          <w:lang w:eastAsia="en-CA"/>
        </w:rPr>
        <w:t>ous souhaitons mettre de l’avant un modèle de réinsertion sociale multifacette qui vise autant une réinsertion économique, éducative, familiale et sociale.</w:t>
      </w:r>
      <w:r w:rsidRPr="00FC731E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</w:p>
    <w:p w:rsidR="00FF642E" w:rsidRPr="00FC731E" w:rsidRDefault="00FF642E" w:rsidP="00FF642E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sectPr w:rsidR="00FF642E" w:rsidRPr="00FC7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79" w:rsidRDefault="009D5279" w:rsidP="003A2EB1">
      <w:pPr>
        <w:spacing w:after="0" w:line="240" w:lineRule="auto"/>
      </w:pPr>
      <w:r>
        <w:separator/>
      </w:r>
    </w:p>
  </w:endnote>
  <w:endnote w:type="continuationSeparator" w:id="0">
    <w:p w:rsidR="009D5279" w:rsidRDefault="009D5279" w:rsidP="003A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79" w:rsidRDefault="009D5279" w:rsidP="003A2EB1">
      <w:pPr>
        <w:spacing w:after="0" w:line="240" w:lineRule="auto"/>
      </w:pPr>
      <w:r>
        <w:separator/>
      </w:r>
    </w:p>
  </w:footnote>
  <w:footnote w:type="continuationSeparator" w:id="0">
    <w:p w:rsidR="009D5279" w:rsidRDefault="009D5279" w:rsidP="003A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1" w:rsidRDefault="003A2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CA"/>
    <w:multiLevelType w:val="hybridMultilevel"/>
    <w:tmpl w:val="868C108E"/>
    <w:lvl w:ilvl="0" w:tplc="656EC6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50A"/>
    <w:multiLevelType w:val="hybridMultilevel"/>
    <w:tmpl w:val="60D074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1C9F"/>
    <w:multiLevelType w:val="hybridMultilevel"/>
    <w:tmpl w:val="841465A2"/>
    <w:lvl w:ilvl="0" w:tplc="656EC6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3B6"/>
    <w:multiLevelType w:val="hybridMultilevel"/>
    <w:tmpl w:val="CFDEF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891"/>
    <w:multiLevelType w:val="hybridMultilevel"/>
    <w:tmpl w:val="EB84E1EE"/>
    <w:lvl w:ilvl="0" w:tplc="FA8C96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7062E"/>
    <w:multiLevelType w:val="hybridMultilevel"/>
    <w:tmpl w:val="746CE7B8"/>
    <w:lvl w:ilvl="0" w:tplc="656EC6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63AE"/>
    <w:multiLevelType w:val="multilevel"/>
    <w:tmpl w:val="ABB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7"/>
    <w:rsid w:val="00003AC0"/>
    <w:rsid w:val="00020A3B"/>
    <w:rsid w:val="000B7C7A"/>
    <w:rsid w:val="000C05C2"/>
    <w:rsid w:val="00114EC5"/>
    <w:rsid w:val="001213A3"/>
    <w:rsid w:val="00122709"/>
    <w:rsid w:val="00130623"/>
    <w:rsid w:val="00146DB8"/>
    <w:rsid w:val="001617D1"/>
    <w:rsid w:val="00260447"/>
    <w:rsid w:val="0032366F"/>
    <w:rsid w:val="003A2EB1"/>
    <w:rsid w:val="00437F82"/>
    <w:rsid w:val="004876B1"/>
    <w:rsid w:val="00567523"/>
    <w:rsid w:val="006552B4"/>
    <w:rsid w:val="00733B44"/>
    <w:rsid w:val="00747C27"/>
    <w:rsid w:val="00840DDD"/>
    <w:rsid w:val="008F1487"/>
    <w:rsid w:val="00901479"/>
    <w:rsid w:val="00971877"/>
    <w:rsid w:val="009D5279"/>
    <w:rsid w:val="00AB179C"/>
    <w:rsid w:val="00B5170B"/>
    <w:rsid w:val="00C72995"/>
    <w:rsid w:val="00CD54C8"/>
    <w:rsid w:val="00F43B93"/>
    <w:rsid w:val="00FA6F2E"/>
    <w:rsid w:val="00FB6610"/>
    <w:rsid w:val="00FC731E"/>
    <w:rsid w:val="00FD3A3F"/>
    <w:rsid w:val="00FE62A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B1"/>
  </w:style>
  <w:style w:type="paragraph" w:styleId="Footer">
    <w:name w:val="footer"/>
    <w:basedOn w:val="Normal"/>
    <w:link w:val="FooterChar"/>
    <w:uiPriority w:val="99"/>
    <w:unhideWhenUsed/>
    <w:rsid w:val="003A2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B1"/>
  </w:style>
  <w:style w:type="paragraph" w:styleId="Footer">
    <w:name w:val="footer"/>
    <w:basedOn w:val="Normal"/>
    <w:link w:val="FooterChar"/>
    <w:uiPriority w:val="99"/>
    <w:unhideWhenUsed/>
    <w:rsid w:val="003A2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6AF4E-4079-414F-981B-FAEA3EA149AF}"/>
</file>

<file path=customXml/itemProps2.xml><?xml version="1.0" encoding="utf-8"?>
<ds:datastoreItem xmlns:ds="http://schemas.openxmlformats.org/officeDocument/2006/customXml" ds:itemID="{6A64BAEA-7FD0-4D5F-9DE0-F75111B4ED73}"/>
</file>

<file path=customXml/itemProps3.xml><?xml version="1.0" encoding="utf-8"?>
<ds:datastoreItem xmlns:ds="http://schemas.openxmlformats.org/officeDocument/2006/customXml" ds:itemID="{D358906B-79B3-4359-8C8E-C9B6DE744A56}"/>
</file>

<file path=customXml/itemProps4.xml><?xml version="1.0" encoding="utf-8"?>
<ds:datastoreItem xmlns:ds="http://schemas.openxmlformats.org/officeDocument/2006/customXml" ds:itemID="{D81945C8-872F-4B30-9574-603930C29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REBBANI-GOSSELIN</dc:creator>
  <cp:keywords/>
  <dc:description/>
  <cp:lastModifiedBy>Chanmi Kim</cp:lastModifiedBy>
  <cp:revision>4</cp:revision>
  <cp:lastPrinted>2016-09-01T14:26:00Z</cp:lastPrinted>
  <dcterms:created xsi:type="dcterms:W3CDTF">2016-09-01T20:07:00Z</dcterms:created>
  <dcterms:modified xsi:type="dcterms:W3CDTF">2016-09-15T07:15:00Z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3737400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