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30DDD" w14:paraId="7A1ADA69" w14:textId="77777777" w:rsidTr="00562621">
        <w:trPr>
          <w:trHeight w:val="851"/>
        </w:trPr>
        <w:tc>
          <w:tcPr>
            <w:tcW w:w="1259" w:type="dxa"/>
            <w:tcBorders>
              <w:top w:val="nil"/>
              <w:left w:val="nil"/>
              <w:bottom w:val="single" w:sz="4" w:space="0" w:color="auto"/>
              <w:right w:val="nil"/>
            </w:tcBorders>
          </w:tcPr>
          <w:p w14:paraId="222B926E" w14:textId="77777777" w:rsidR="00446DE4" w:rsidRPr="00530DDD"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7C9D4978" w14:textId="77777777" w:rsidR="00446DE4" w:rsidRPr="00530DDD" w:rsidRDefault="00B3317B" w:rsidP="00562621">
            <w:pPr>
              <w:spacing w:after="80" w:line="300" w:lineRule="exact"/>
              <w:rPr>
                <w:sz w:val="28"/>
                <w:szCs w:val="28"/>
              </w:rPr>
            </w:pPr>
            <w:r w:rsidRPr="00530DDD">
              <w:rPr>
                <w:sz w:val="28"/>
                <w:szCs w:val="28"/>
              </w:rPr>
              <w:t>United Nations</w:t>
            </w:r>
          </w:p>
        </w:tc>
        <w:tc>
          <w:tcPr>
            <w:tcW w:w="6144" w:type="dxa"/>
            <w:gridSpan w:val="2"/>
            <w:tcBorders>
              <w:top w:val="nil"/>
              <w:left w:val="nil"/>
              <w:bottom w:val="single" w:sz="4" w:space="0" w:color="auto"/>
              <w:right w:val="nil"/>
            </w:tcBorders>
            <w:vAlign w:val="bottom"/>
          </w:tcPr>
          <w:p w14:paraId="391873AF" w14:textId="77777777" w:rsidR="00446DE4" w:rsidRPr="00530DDD" w:rsidRDefault="00B4754C" w:rsidP="00B4754C">
            <w:pPr>
              <w:jc w:val="right"/>
            </w:pPr>
            <w:r w:rsidRPr="00530DDD">
              <w:rPr>
                <w:sz w:val="40"/>
              </w:rPr>
              <w:t>A</w:t>
            </w:r>
            <w:r w:rsidRPr="00530DDD">
              <w:t>/HRC/43/53</w:t>
            </w:r>
          </w:p>
        </w:tc>
      </w:tr>
      <w:tr w:rsidR="003107FA" w:rsidRPr="001B13F6" w14:paraId="6DFB0B3A" w14:textId="77777777" w:rsidTr="00562621">
        <w:trPr>
          <w:trHeight w:val="2835"/>
        </w:trPr>
        <w:tc>
          <w:tcPr>
            <w:tcW w:w="1259" w:type="dxa"/>
            <w:tcBorders>
              <w:top w:val="single" w:sz="4" w:space="0" w:color="auto"/>
              <w:left w:val="nil"/>
              <w:bottom w:val="single" w:sz="12" w:space="0" w:color="auto"/>
              <w:right w:val="nil"/>
            </w:tcBorders>
          </w:tcPr>
          <w:p w14:paraId="7339E62D" w14:textId="77777777" w:rsidR="003107FA" w:rsidRPr="001B13F6" w:rsidRDefault="000C59D8" w:rsidP="00562621">
            <w:pPr>
              <w:spacing w:before="120"/>
              <w:jc w:val="center"/>
            </w:pPr>
            <w:r w:rsidRPr="00463874">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F404C41" w14:textId="77777777" w:rsidR="003107FA" w:rsidRPr="001B13F6" w:rsidRDefault="00B3317B" w:rsidP="00562621">
            <w:pPr>
              <w:spacing w:before="120" w:line="420" w:lineRule="exact"/>
              <w:rPr>
                <w:b/>
                <w:sz w:val="40"/>
                <w:szCs w:val="40"/>
              </w:rPr>
            </w:pPr>
            <w:r w:rsidRPr="001B13F6">
              <w:rPr>
                <w:b/>
                <w:sz w:val="40"/>
                <w:szCs w:val="40"/>
              </w:rPr>
              <w:t>General Assembly</w:t>
            </w:r>
          </w:p>
        </w:tc>
        <w:tc>
          <w:tcPr>
            <w:tcW w:w="2930" w:type="dxa"/>
            <w:tcBorders>
              <w:top w:val="single" w:sz="4" w:space="0" w:color="auto"/>
              <w:left w:val="nil"/>
              <w:bottom w:val="single" w:sz="12" w:space="0" w:color="auto"/>
              <w:right w:val="nil"/>
            </w:tcBorders>
          </w:tcPr>
          <w:p w14:paraId="30BA0F7D" w14:textId="77777777" w:rsidR="003107FA" w:rsidRPr="001B13F6" w:rsidRDefault="00B4754C" w:rsidP="00B4754C">
            <w:pPr>
              <w:spacing w:before="240" w:line="240" w:lineRule="exact"/>
            </w:pPr>
            <w:r w:rsidRPr="001B13F6">
              <w:t>Distr.: General</w:t>
            </w:r>
          </w:p>
          <w:p w14:paraId="6CF0F8E3" w14:textId="34F9F296" w:rsidR="00B4754C" w:rsidRPr="001B13F6" w:rsidRDefault="007E620E" w:rsidP="00B4754C">
            <w:pPr>
              <w:spacing w:line="240" w:lineRule="exact"/>
            </w:pPr>
            <w:r w:rsidRPr="001B13F6">
              <w:t>30</w:t>
            </w:r>
            <w:r w:rsidR="00B4754C" w:rsidRPr="001B13F6">
              <w:t xml:space="preserve"> December 2019</w:t>
            </w:r>
          </w:p>
          <w:p w14:paraId="73890B6E" w14:textId="77777777" w:rsidR="00B4754C" w:rsidRPr="001B13F6" w:rsidRDefault="00B4754C" w:rsidP="00B4754C">
            <w:pPr>
              <w:spacing w:line="240" w:lineRule="exact"/>
            </w:pPr>
          </w:p>
          <w:p w14:paraId="6B887B9C" w14:textId="77777777" w:rsidR="00B4754C" w:rsidRPr="001B13F6" w:rsidRDefault="00B4754C" w:rsidP="00B4754C">
            <w:pPr>
              <w:spacing w:line="240" w:lineRule="exact"/>
            </w:pPr>
            <w:r w:rsidRPr="001B13F6">
              <w:t>Original: English</w:t>
            </w:r>
          </w:p>
        </w:tc>
      </w:tr>
    </w:tbl>
    <w:p w14:paraId="52EA9E24" w14:textId="77777777" w:rsidR="00200071" w:rsidRPr="001B13F6" w:rsidRDefault="00200071" w:rsidP="00200071">
      <w:pPr>
        <w:spacing w:before="120"/>
        <w:rPr>
          <w:sz w:val="24"/>
          <w:szCs w:val="24"/>
        </w:rPr>
      </w:pPr>
      <w:r w:rsidRPr="001B13F6">
        <w:rPr>
          <w:b/>
          <w:bCs/>
          <w:sz w:val="24"/>
          <w:szCs w:val="24"/>
        </w:rPr>
        <w:t xml:space="preserve">Human Rights Council </w:t>
      </w:r>
    </w:p>
    <w:p w14:paraId="0DC19E7A" w14:textId="77777777" w:rsidR="00200071" w:rsidRPr="001B13F6" w:rsidRDefault="00200071" w:rsidP="00200071">
      <w:r w:rsidRPr="001B13F6">
        <w:rPr>
          <w:b/>
          <w:bCs/>
        </w:rPr>
        <w:t>Forty-third session</w:t>
      </w:r>
    </w:p>
    <w:p w14:paraId="57E9682A" w14:textId="73DC4226" w:rsidR="00200071" w:rsidRPr="001B13F6" w:rsidRDefault="00200071" w:rsidP="00200071">
      <w:r w:rsidRPr="001B13F6">
        <w:t>24 February</w:t>
      </w:r>
      <w:r w:rsidR="005E369B" w:rsidRPr="001B13F6">
        <w:t>–</w:t>
      </w:r>
      <w:r w:rsidRPr="001B13F6">
        <w:t>20 March 2020</w:t>
      </w:r>
    </w:p>
    <w:p w14:paraId="304DF5CA" w14:textId="77777777" w:rsidR="00200071" w:rsidRPr="001B13F6" w:rsidRDefault="00200071" w:rsidP="00200071">
      <w:r w:rsidRPr="001B13F6">
        <w:t xml:space="preserve">Agenda item 3 </w:t>
      </w:r>
    </w:p>
    <w:p w14:paraId="39DB1AC1" w14:textId="77777777" w:rsidR="00200071" w:rsidRPr="001B13F6" w:rsidRDefault="00200071" w:rsidP="00200071">
      <w:pPr>
        <w:rPr>
          <w:b/>
          <w:bCs/>
        </w:rPr>
      </w:pPr>
      <w:r w:rsidRPr="001B13F6">
        <w:rPr>
          <w:b/>
          <w:bCs/>
        </w:rPr>
        <w:t xml:space="preserve">Promotion and protection of all human rights, civil, </w:t>
      </w:r>
      <w:r w:rsidRPr="001B13F6">
        <w:rPr>
          <w:b/>
          <w:bCs/>
        </w:rPr>
        <w:br/>
        <w:t xml:space="preserve">political, economic, social and cultural rights, </w:t>
      </w:r>
      <w:r w:rsidRPr="001B13F6">
        <w:rPr>
          <w:b/>
          <w:bCs/>
        </w:rPr>
        <w:br/>
        <w:t>including the right to development</w:t>
      </w:r>
    </w:p>
    <w:p w14:paraId="259E25D2" w14:textId="2E72B579" w:rsidR="00200071" w:rsidRPr="001B13F6" w:rsidRDefault="00200071" w:rsidP="008F4796">
      <w:pPr>
        <w:pStyle w:val="HChG"/>
      </w:pPr>
      <w:r w:rsidRPr="001B13F6">
        <w:tab/>
      </w:r>
      <w:r w:rsidRPr="001B13F6">
        <w:tab/>
        <w:t>Right to a healthy environment</w:t>
      </w:r>
      <w:r w:rsidR="009A7DB6" w:rsidRPr="001B13F6">
        <w:t xml:space="preserve">: </w:t>
      </w:r>
      <w:r w:rsidR="00076D6F" w:rsidRPr="001B13F6">
        <w:t>g</w:t>
      </w:r>
      <w:r w:rsidR="009A7DB6" w:rsidRPr="001B13F6">
        <w:t>ood practices</w:t>
      </w:r>
    </w:p>
    <w:p w14:paraId="3F1DBC9C" w14:textId="77777777" w:rsidR="00CF586F" w:rsidRPr="001B13F6" w:rsidRDefault="00200071" w:rsidP="00200071">
      <w:pPr>
        <w:pStyle w:val="H1G"/>
      </w:pPr>
      <w:r w:rsidRPr="001B13F6">
        <w:tab/>
      </w:r>
      <w:r w:rsidRPr="001B13F6">
        <w:tab/>
        <w:t>Report of the Special Rapporteur on the issue of human rights obligations relating to the enjoyment of a safe, clean, healthy and sustainable environment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00071" w:rsidRPr="001B13F6" w14:paraId="1DF3224C" w14:textId="77777777" w:rsidTr="00C4668D">
        <w:trPr>
          <w:jc w:val="center"/>
        </w:trPr>
        <w:tc>
          <w:tcPr>
            <w:tcW w:w="9637" w:type="dxa"/>
            <w:shd w:val="clear" w:color="auto" w:fill="auto"/>
          </w:tcPr>
          <w:p w14:paraId="72D985E9" w14:textId="77777777" w:rsidR="00200071" w:rsidRPr="001B13F6" w:rsidRDefault="00200071" w:rsidP="00C4668D">
            <w:pPr>
              <w:spacing w:before="240" w:after="120"/>
              <w:ind w:left="255"/>
              <w:rPr>
                <w:i/>
                <w:sz w:val="24"/>
              </w:rPr>
            </w:pPr>
            <w:r w:rsidRPr="001B13F6">
              <w:rPr>
                <w:i/>
                <w:sz w:val="24"/>
              </w:rPr>
              <w:t>Summary</w:t>
            </w:r>
          </w:p>
        </w:tc>
      </w:tr>
      <w:tr w:rsidR="00200071" w:rsidRPr="001B13F6" w14:paraId="6D1F7247" w14:textId="77777777" w:rsidTr="00C4668D">
        <w:trPr>
          <w:jc w:val="center"/>
        </w:trPr>
        <w:tc>
          <w:tcPr>
            <w:tcW w:w="9637" w:type="dxa"/>
            <w:shd w:val="clear" w:color="auto" w:fill="auto"/>
          </w:tcPr>
          <w:p w14:paraId="137791C2" w14:textId="16CF1AE9" w:rsidR="00200071" w:rsidRPr="001B13F6" w:rsidRDefault="00200071">
            <w:pPr>
              <w:pStyle w:val="SingleTxtG"/>
            </w:pPr>
            <w:r w:rsidRPr="001B13F6">
              <w:tab/>
            </w:r>
            <w:r w:rsidRPr="001B13F6">
              <w:tab/>
            </w:r>
            <w:r w:rsidR="000F09D9" w:rsidRPr="001B13F6">
              <w:t>In t</w:t>
            </w:r>
            <w:r w:rsidRPr="001B13F6">
              <w:t xml:space="preserve">he </w:t>
            </w:r>
            <w:r w:rsidR="000F09D9" w:rsidRPr="001B13F6">
              <w:t xml:space="preserve">present </w:t>
            </w:r>
            <w:r w:rsidRPr="001B13F6">
              <w:t>report</w:t>
            </w:r>
            <w:r w:rsidR="000F09D9" w:rsidRPr="001B13F6">
              <w:t>,</w:t>
            </w:r>
            <w:r w:rsidRPr="001B13F6">
              <w:t xml:space="preserve"> </w:t>
            </w:r>
            <w:r w:rsidR="000F09D9" w:rsidRPr="001B13F6">
              <w:t>the Special Rapporteur on the issue of human rights obligations relating to the enjoyment of a safe, clean, healthy and sustainable environment</w:t>
            </w:r>
            <w:r w:rsidRPr="001B13F6">
              <w:t xml:space="preserve"> describe</w:t>
            </w:r>
            <w:r w:rsidR="000F09D9" w:rsidRPr="001B13F6">
              <w:t>s</w:t>
            </w:r>
            <w:r w:rsidRPr="001B13F6">
              <w:t xml:space="preserve"> good practices </w:t>
            </w:r>
            <w:r w:rsidR="000F09D9" w:rsidRPr="001B13F6">
              <w:t xml:space="preserve">followed by </w:t>
            </w:r>
            <w:r w:rsidRPr="001B13F6">
              <w:t xml:space="preserve">States in recognizing the right to live in a safe, clean, healthy and sustainable environment and </w:t>
            </w:r>
            <w:r w:rsidR="000F09D9" w:rsidRPr="001B13F6">
              <w:t xml:space="preserve">in </w:t>
            </w:r>
            <w:r w:rsidRPr="001B13F6">
              <w:t>implementing the procedural and substantive elements of the right. This fundamental human right is now recognized in law by more than 80 per</w:t>
            </w:r>
            <w:r w:rsidR="000F09D9" w:rsidRPr="001B13F6">
              <w:t xml:space="preserve"> </w:t>
            </w:r>
            <w:r w:rsidRPr="001B13F6">
              <w:t xml:space="preserve">cent </w:t>
            </w:r>
            <w:r w:rsidR="000F09D9" w:rsidRPr="001B13F6">
              <w:t xml:space="preserve">(156 out of 193) </w:t>
            </w:r>
            <w:r w:rsidRPr="001B13F6">
              <w:t xml:space="preserve">of </w:t>
            </w:r>
            <w:r w:rsidR="000F09D9" w:rsidRPr="001B13F6">
              <w:t xml:space="preserve">States Members of the </w:t>
            </w:r>
            <w:r w:rsidRPr="001B13F6">
              <w:t>U</w:t>
            </w:r>
            <w:r w:rsidR="00F66FC9" w:rsidRPr="001B13F6">
              <w:t xml:space="preserve">nited </w:t>
            </w:r>
            <w:r w:rsidRPr="001B13F6">
              <w:t>N</w:t>
            </w:r>
            <w:r w:rsidR="00F66FC9" w:rsidRPr="001B13F6">
              <w:t>ations</w:t>
            </w:r>
            <w:r w:rsidRPr="001B13F6">
              <w:t>. The procedural elements are access to information, public participation, and access to justice</w:t>
            </w:r>
            <w:r w:rsidR="000F09D9" w:rsidRPr="001B13F6">
              <w:t xml:space="preserve"> and </w:t>
            </w:r>
            <w:r w:rsidRPr="001B13F6">
              <w:t>effective remedies. The substantive elements include clean air, a safe climate, access to safe water and adequate sanitation, healthy and sustainably produced food, non-toxic environments in which to live, work, study and play, and healthy biodiversity and ecosystems. In the context of the global environmental crisis, accelerated diffusion and adoption of good practices to protect human rights is imperative.</w:t>
            </w:r>
          </w:p>
        </w:tc>
      </w:tr>
      <w:tr w:rsidR="00200071" w:rsidRPr="001B13F6" w14:paraId="62F63982" w14:textId="77777777" w:rsidTr="00C4668D">
        <w:trPr>
          <w:jc w:val="center"/>
        </w:trPr>
        <w:tc>
          <w:tcPr>
            <w:tcW w:w="9637" w:type="dxa"/>
            <w:shd w:val="clear" w:color="auto" w:fill="auto"/>
          </w:tcPr>
          <w:p w14:paraId="6A6FED79" w14:textId="77777777" w:rsidR="00200071" w:rsidRPr="001B13F6" w:rsidRDefault="00200071" w:rsidP="00C4668D"/>
        </w:tc>
      </w:tr>
    </w:tbl>
    <w:p w14:paraId="1B09286A" w14:textId="77777777" w:rsidR="00F66FC9" w:rsidRPr="001B13F6" w:rsidRDefault="00F66FC9" w:rsidP="00200071"/>
    <w:p w14:paraId="49602B78" w14:textId="77777777" w:rsidR="00F66FC9" w:rsidRPr="001B13F6" w:rsidRDefault="00F66FC9">
      <w:pPr>
        <w:suppressAutoHyphens w:val="0"/>
        <w:spacing w:line="240" w:lineRule="auto"/>
      </w:pPr>
      <w:r w:rsidRPr="001B13F6">
        <w:br w:type="page"/>
      </w:r>
    </w:p>
    <w:p w14:paraId="097086F2" w14:textId="77777777" w:rsidR="00F66FC9" w:rsidRPr="001B13F6" w:rsidRDefault="00F66FC9" w:rsidP="00C4668D">
      <w:pPr>
        <w:spacing w:after="120"/>
        <w:rPr>
          <w:sz w:val="28"/>
        </w:rPr>
      </w:pPr>
      <w:r w:rsidRPr="001B13F6">
        <w:rPr>
          <w:sz w:val="28"/>
        </w:rPr>
        <w:lastRenderedPageBreak/>
        <w:t>Contents</w:t>
      </w:r>
    </w:p>
    <w:p w14:paraId="3CF5980E" w14:textId="77777777" w:rsidR="00F66FC9" w:rsidRPr="001B13F6" w:rsidRDefault="00F66FC9" w:rsidP="00C4668D">
      <w:pPr>
        <w:tabs>
          <w:tab w:val="right" w:pos="9638"/>
        </w:tabs>
        <w:spacing w:after="120"/>
        <w:ind w:left="283"/>
        <w:rPr>
          <w:sz w:val="18"/>
        </w:rPr>
      </w:pPr>
      <w:r w:rsidRPr="001B13F6">
        <w:rPr>
          <w:i/>
          <w:sz w:val="18"/>
        </w:rPr>
        <w:tab/>
        <w:t>Page</w:t>
      </w:r>
    </w:p>
    <w:p w14:paraId="22F31F8A" w14:textId="77777777" w:rsidR="00427D9E" w:rsidRPr="001B13F6" w:rsidRDefault="00427D9E" w:rsidP="00427D9E">
      <w:pPr>
        <w:tabs>
          <w:tab w:val="right" w:pos="850"/>
          <w:tab w:val="left" w:pos="1134"/>
          <w:tab w:val="left" w:pos="1559"/>
          <w:tab w:val="left" w:pos="1984"/>
          <w:tab w:val="left" w:leader="dot" w:pos="8929"/>
          <w:tab w:val="right" w:pos="9638"/>
        </w:tabs>
        <w:spacing w:after="120"/>
      </w:pPr>
      <w:r w:rsidRPr="001B13F6">
        <w:tab/>
        <w:t>I.</w:t>
      </w:r>
      <w:r w:rsidRPr="001B13F6">
        <w:tab/>
        <w:t xml:space="preserve">Introduction </w:t>
      </w:r>
      <w:r w:rsidRPr="001B13F6">
        <w:tab/>
      </w:r>
      <w:r w:rsidRPr="001B13F6">
        <w:tab/>
      </w:r>
      <w:r>
        <w:t>3</w:t>
      </w:r>
    </w:p>
    <w:p w14:paraId="640DB2C5" w14:textId="77777777" w:rsidR="00427D9E" w:rsidRPr="001B13F6" w:rsidRDefault="00427D9E" w:rsidP="00427D9E">
      <w:pPr>
        <w:tabs>
          <w:tab w:val="right" w:pos="850"/>
          <w:tab w:val="left" w:pos="1134"/>
          <w:tab w:val="left" w:pos="1559"/>
          <w:tab w:val="left" w:pos="1984"/>
          <w:tab w:val="left" w:leader="dot" w:pos="8929"/>
          <w:tab w:val="right" w:pos="9638"/>
        </w:tabs>
        <w:spacing w:after="120"/>
      </w:pPr>
      <w:r w:rsidRPr="001B13F6">
        <w:tab/>
        <w:t>II.</w:t>
      </w:r>
      <w:r w:rsidRPr="001B13F6">
        <w:tab/>
        <w:t xml:space="preserve">The process of compiling good practices </w:t>
      </w:r>
      <w:r w:rsidRPr="001B13F6">
        <w:tab/>
      </w:r>
      <w:r w:rsidRPr="001B13F6">
        <w:tab/>
      </w:r>
      <w:r>
        <w:t>3</w:t>
      </w:r>
    </w:p>
    <w:p w14:paraId="7C900DE6" w14:textId="77777777" w:rsidR="00427D9E" w:rsidRPr="001B13F6" w:rsidRDefault="00427D9E" w:rsidP="00427D9E">
      <w:pPr>
        <w:tabs>
          <w:tab w:val="right" w:pos="850"/>
          <w:tab w:val="left" w:pos="1134"/>
          <w:tab w:val="left" w:pos="1559"/>
          <w:tab w:val="left" w:pos="1984"/>
          <w:tab w:val="left" w:leader="dot" w:pos="8929"/>
          <w:tab w:val="right" w:pos="9638"/>
        </w:tabs>
        <w:spacing w:after="120"/>
      </w:pPr>
      <w:r w:rsidRPr="001B13F6">
        <w:tab/>
        <w:t>III.</w:t>
      </w:r>
      <w:r w:rsidRPr="001B13F6">
        <w:tab/>
        <w:t>Good practices in the implementation of the right to a safe, clean, healthy and sustainable</w:t>
      </w:r>
      <w:r w:rsidRPr="001B13F6">
        <w:br/>
      </w:r>
      <w:r w:rsidRPr="001B13F6">
        <w:tab/>
      </w:r>
      <w:r w:rsidRPr="001B13F6">
        <w:tab/>
        <w:t xml:space="preserve">environment </w:t>
      </w:r>
      <w:r w:rsidRPr="001B13F6">
        <w:tab/>
      </w:r>
      <w:r w:rsidRPr="001B13F6">
        <w:tab/>
      </w:r>
      <w:r>
        <w:t>4</w:t>
      </w:r>
    </w:p>
    <w:p w14:paraId="3D7224B2" w14:textId="77777777" w:rsidR="00427D9E" w:rsidRPr="001B13F6" w:rsidRDefault="00427D9E" w:rsidP="00427D9E">
      <w:pPr>
        <w:tabs>
          <w:tab w:val="right" w:pos="850"/>
          <w:tab w:val="left" w:pos="1134"/>
          <w:tab w:val="left" w:pos="1559"/>
          <w:tab w:val="left" w:pos="1984"/>
          <w:tab w:val="left" w:leader="dot" w:pos="8929"/>
          <w:tab w:val="right" w:pos="9638"/>
        </w:tabs>
        <w:spacing w:after="120"/>
      </w:pPr>
      <w:r w:rsidRPr="001B13F6">
        <w:tab/>
      </w:r>
      <w:r w:rsidRPr="001B13F6">
        <w:tab/>
        <w:t>A.</w:t>
      </w:r>
      <w:r w:rsidRPr="001B13F6">
        <w:tab/>
        <w:t xml:space="preserve">Legal recognition </w:t>
      </w:r>
      <w:r w:rsidRPr="001B13F6">
        <w:tab/>
      </w:r>
      <w:r w:rsidRPr="001B13F6">
        <w:tab/>
      </w:r>
      <w:r>
        <w:t>4</w:t>
      </w:r>
    </w:p>
    <w:p w14:paraId="5EF6891E" w14:textId="77777777" w:rsidR="00427D9E" w:rsidRPr="001B13F6" w:rsidRDefault="00427D9E" w:rsidP="00427D9E">
      <w:pPr>
        <w:tabs>
          <w:tab w:val="right" w:pos="850"/>
          <w:tab w:val="left" w:pos="1134"/>
          <w:tab w:val="left" w:pos="1559"/>
          <w:tab w:val="left" w:pos="1984"/>
          <w:tab w:val="left" w:leader="dot" w:pos="8929"/>
          <w:tab w:val="right" w:pos="9638"/>
        </w:tabs>
        <w:spacing w:after="120"/>
      </w:pPr>
      <w:r w:rsidRPr="001B13F6">
        <w:tab/>
      </w:r>
      <w:r w:rsidRPr="001B13F6">
        <w:tab/>
        <w:t>B.</w:t>
      </w:r>
      <w:r w:rsidRPr="001B13F6">
        <w:tab/>
        <w:t xml:space="preserve">Procedural elements </w:t>
      </w:r>
      <w:r w:rsidRPr="001B13F6">
        <w:tab/>
      </w:r>
      <w:r w:rsidRPr="001B13F6">
        <w:tab/>
      </w:r>
      <w:r>
        <w:t>5</w:t>
      </w:r>
    </w:p>
    <w:p w14:paraId="32F7368A" w14:textId="77777777" w:rsidR="00427D9E" w:rsidRPr="001B13F6" w:rsidRDefault="00427D9E" w:rsidP="00427D9E">
      <w:pPr>
        <w:tabs>
          <w:tab w:val="right" w:pos="850"/>
          <w:tab w:val="left" w:pos="1134"/>
          <w:tab w:val="left" w:pos="1559"/>
          <w:tab w:val="left" w:pos="1984"/>
          <w:tab w:val="left" w:leader="dot" w:pos="8929"/>
          <w:tab w:val="right" w:pos="9638"/>
        </w:tabs>
        <w:spacing w:after="120"/>
      </w:pPr>
      <w:r w:rsidRPr="001B13F6">
        <w:tab/>
      </w:r>
      <w:r w:rsidRPr="001B13F6">
        <w:tab/>
        <w:t>C.</w:t>
      </w:r>
      <w:r w:rsidRPr="001B13F6">
        <w:tab/>
        <w:t xml:space="preserve">Substantive elements </w:t>
      </w:r>
      <w:r w:rsidRPr="001B13F6">
        <w:tab/>
      </w:r>
      <w:r w:rsidRPr="001B13F6">
        <w:tab/>
      </w:r>
      <w:r>
        <w:t>8</w:t>
      </w:r>
    </w:p>
    <w:p w14:paraId="50F42286" w14:textId="77777777" w:rsidR="00427D9E" w:rsidRPr="001B13F6" w:rsidRDefault="00427D9E" w:rsidP="00427D9E">
      <w:pPr>
        <w:tabs>
          <w:tab w:val="right" w:pos="850"/>
          <w:tab w:val="left" w:pos="1134"/>
          <w:tab w:val="left" w:pos="1559"/>
          <w:tab w:val="left" w:pos="1984"/>
          <w:tab w:val="left" w:leader="dot" w:pos="8929"/>
          <w:tab w:val="right" w:pos="9638"/>
        </w:tabs>
        <w:spacing w:after="120"/>
      </w:pPr>
      <w:r w:rsidRPr="001B13F6">
        <w:tab/>
        <w:t xml:space="preserve">IV. </w:t>
      </w:r>
      <w:r w:rsidRPr="001B13F6">
        <w:tab/>
        <w:t xml:space="preserve">Conclusions </w:t>
      </w:r>
      <w:r w:rsidRPr="001B13F6">
        <w:tab/>
      </w:r>
      <w:r w:rsidRPr="001B13F6">
        <w:tab/>
      </w:r>
      <w:r>
        <w:t>18</w:t>
      </w:r>
    </w:p>
    <w:p w14:paraId="40DD5914" w14:textId="77777777" w:rsidR="00427D9E" w:rsidRPr="001B13F6" w:rsidRDefault="00427D9E" w:rsidP="00427D9E">
      <w:pPr>
        <w:tabs>
          <w:tab w:val="right" w:pos="850"/>
          <w:tab w:val="left" w:pos="1134"/>
          <w:tab w:val="left" w:pos="1559"/>
          <w:tab w:val="left" w:pos="1984"/>
          <w:tab w:val="left" w:leader="dot" w:pos="8929"/>
          <w:tab w:val="right" w:pos="9638"/>
        </w:tabs>
        <w:spacing w:after="120"/>
      </w:pPr>
      <w:r w:rsidRPr="001B13F6">
        <w:t>Annexes</w:t>
      </w:r>
    </w:p>
    <w:p w14:paraId="06AF2B69" w14:textId="77777777" w:rsidR="00427D9E" w:rsidRPr="001B13F6" w:rsidRDefault="00427D9E" w:rsidP="00427D9E">
      <w:pPr>
        <w:tabs>
          <w:tab w:val="right" w:pos="850"/>
          <w:tab w:val="left" w:pos="1134"/>
          <w:tab w:val="left" w:pos="1559"/>
          <w:tab w:val="left" w:pos="1984"/>
          <w:tab w:val="left" w:leader="dot" w:pos="8929"/>
          <w:tab w:val="right" w:pos="9638"/>
        </w:tabs>
        <w:spacing w:after="120"/>
      </w:pPr>
      <w:r w:rsidRPr="001B13F6">
        <w:tab/>
        <w:t>I.</w:t>
      </w:r>
      <w:r w:rsidRPr="001B13F6">
        <w:tab/>
      </w:r>
      <w:r w:rsidRPr="001B13F6">
        <w:rPr>
          <w:color w:val="000000" w:themeColor="text1"/>
        </w:rPr>
        <w:t>Contributors to the global online researchathon</w:t>
      </w:r>
      <w:r w:rsidRPr="001B13F6">
        <w:t xml:space="preserve"> </w:t>
      </w:r>
      <w:r w:rsidRPr="001B13F6">
        <w:tab/>
      </w:r>
      <w:r>
        <w:tab/>
        <w:t>20</w:t>
      </w:r>
    </w:p>
    <w:p w14:paraId="09211824" w14:textId="77777777" w:rsidR="00427D9E" w:rsidRPr="001B13F6" w:rsidRDefault="00427D9E" w:rsidP="00427D9E">
      <w:pPr>
        <w:tabs>
          <w:tab w:val="right" w:pos="850"/>
          <w:tab w:val="left" w:pos="1134"/>
          <w:tab w:val="left" w:pos="1559"/>
          <w:tab w:val="left" w:pos="1984"/>
          <w:tab w:val="left" w:leader="dot" w:pos="8929"/>
          <w:tab w:val="right" w:pos="9638"/>
        </w:tabs>
        <w:spacing w:after="120"/>
      </w:pPr>
      <w:r w:rsidRPr="001B13F6">
        <w:tab/>
        <w:t>II.</w:t>
      </w:r>
      <w:r w:rsidRPr="001B13F6">
        <w:tab/>
        <w:t>Legal recognition of the right to a healthy environment</w:t>
      </w:r>
      <w:r w:rsidRPr="001B13F6">
        <w:tab/>
      </w:r>
      <w:r w:rsidRPr="001B13F6">
        <w:tab/>
      </w:r>
      <w:r>
        <w:t>22</w:t>
      </w:r>
    </w:p>
    <w:p w14:paraId="3340604D" w14:textId="77777777" w:rsidR="00F66FC9" w:rsidRPr="001B13F6" w:rsidRDefault="00F66FC9">
      <w:pPr>
        <w:suppressAutoHyphens w:val="0"/>
        <w:spacing w:line="240" w:lineRule="auto"/>
      </w:pPr>
      <w:r w:rsidRPr="001B13F6">
        <w:br w:type="page"/>
      </w:r>
    </w:p>
    <w:p w14:paraId="47BB49E1" w14:textId="77777777" w:rsidR="00F66FC9" w:rsidRPr="001B13F6" w:rsidRDefault="00F66FC9" w:rsidP="00F66FC9">
      <w:pPr>
        <w:pStyle w:val="HChG"/>
      </w:pPr>
      <w:r w:rsidRPr="001B13F6">
        <w:lastRenderedPageBreak/>
        <w:tab/>
        <w:t>I.</w:t>
      </w:r>
      <w:r w:rsidRPr="001B13F6">
        <w:tab/>
        <w:t>Introduction</w:t>
      </w:r>
    </w:p>
    <w:p w14:paraId="770E29C2" w14:textId="24DA3CC9" w:rsidR="00F66FC9" w:rsidRPr="001B13F6" w:rsidRDefault="00F66FC9">
      <w:pPr>
        <w:pStyle w:val="SingleTxtG"/>
      </w:pPr>
      <w:r w:rsidRPr="001B13F6">
        <w:t>1.</w:t>
      </w:r>
      <w:r w:rsidRPr="001B13F6">
        <w:tab/>
        <w:t>In 2018, the Human Rights Council</w:t>
      </w:r>
      <w:r w:rsidR="004B255B" w:rsidRPr="001B13F6">
        <w:t xml:space="preserve"> </w:t>
      </w:r>
      <w:r w:rsidRPr="001B13F6">
        <w:t xml:space="preserve">appointed David R. Boyd Special Rapporteur on human rights obligations related to the enjoyment of a safe, clean, healthy and sustainable environment. Over the past year, the Special Rapporteur </w:t>
      </w:r>
      <w:r w:rsidR="005D67FD" w:rsidRPr="001B13F6">
        <w:t xml:space="preserve">has made </w:t>
      </w:r>
      <w:r w:rsidRPr="001B13F6">
        <w:t>country visits to Fiji and Norway (</w:t>
      </w:r>
      <w:r w:rsidR="005D67FD" w:rsidRPr="001B13F6">
        <w:t xml:space="preserve">see </w:t>
      </w:r>
      <w:r w:rsidRPr="001B13F6">
        <w:t xml:space="preserve">A/HRC/43/53/Add.1 and Add.2), presented thematic reports on clean air </w:t>
      </w:r>
      <w:r w:rsidR="005D67FD" w:rsidRPr="001B13F6">
        <w:t xml:space="preserve">(A/HRC/40/55) </w:t>
      </w:r>
      <w:r w:rsidRPr="001B13F6">
        <w:t xml:space="preserve">to the Council and on a safe climate to the General Assembly (A/74/161), </w:t>
      </w:r>
      <w:r w:rsidR="005D67FD" w:rsidRPr="001B13F6">
        <w:t xml:space="preserve">and </w:t>
      </w:r>
      <w:r w:rsidRPr="001B13F6">
        <w:t xml:space="preserve">hosted an expert meeting </w:t>
      </w:r>
      <w:r w:rsidRPr="001B13F6">
        <w:rPr>
          <w:rFonts w:eastAsia="Calibri"/>
        </w:rPr>
        <w:t xml:space="preserve">on </w:t>
      </w:r>
      <w:r w:rsidR="005D67FD" w:rsidRPr="001B13F6">
        <w:rPr>
          <w:rFonts w:eastAsia="Calibri"/>
        </w:rPr>
        <w:t xml:space="preserve">the theme of </w:t>
      </w:r>
      <w:r w:rsidRPr="001B13F6">
        <w:rPr>
          <w:rFonts w:eastAsia="Calibri"/>
        </w:rPr>
        <w:t>experience and best practices of States at the national and regional levels with regard to human rights obligations relating to the environment</w:t>
      </w:r>
      <w:r w:rsidRPr="001B13F6">
        <w:t xml:space="preserve"> (</w:t>
      </w:r>
      <w:r w:rsidR="005D67FD" w:rsidRPr="001B13F6">
        <w:t xml:space="preserve">see </w:t>
      </w:r>
      <w:r w:rsidRPr="001B13F6">
        <w:t>A/HRC/43/54).</w:t>
      </w:r>
    </w:p>
    <w:p w14:paraId="7564DC54" w14:textId="6EB52056" w:rsidR="00F66FC9" w:rsidRPr="001B13F6" w:rsidRDefault="00F66FC9">
      <w:pPr>
        <w:pStyle w:val="SingleTxtG"/>
      </w:pPr>
      <w:r w:rsidRPr="001B13F6">
        <w:t>2.</w:t>
      </w:r>
      <w:r w:rsidRPr="001B13F6">
        <w:tab/>
      </w:r>
      <w:r w:rsidR="005D67FD" w:rsidRPr="001B13F6">
        <w:t>In t</w:t>
      </w:r>
      <w:r w:rsidRPr="001B13F6">
        <w:t>he present report</w:t>
      </w:r>
      <w:r w:rsidR="005D67FD" w:rsidRPr="001B13F6">
        <w:t>, the Special Rapporteur</w:t>
      </w:r>
      <w:r w:rsidRPr="001B13F6">
        <w:t xml:space="preserve"> highlights good practices in the recognition and implementation of the human right to a safe, clean, healthy and sustainable environment.</w:t>
      </w:r>
      <w:r w:rsidRPr="001B13F6">
        <w:rPr>
          <w:rFonts w:eastAsia="SimSun"/>
        </w:rPr>
        <w:t xml:space="preserve"> The term “good practice” is defined broadly to include laws, policies, jurisprudence, strategies, program</w:t>
      </w:r>
      <w:r w:rsidR="005D67FD" w:rsidRPr="001B13F6">
        <w:rPr>
          <w:rFonts w:eastAsia="SimSun"/>
        </w:rPr>
        <w:t>me</w:t>
      </w:r>
      <w:r w:rsidRPr="001B13F6">
        <w:rPr>
          <w:rFonts w:eastAsia="SimSun"/>
        </w:rPr>
        <w:t xml:space="preserve">s, projects and other measures that contribute to reducing adverse </w:t>
      </w:r>
      <w:r w:rsidR="005D67FD" w:rsidRPr="001B13F6">
        <w:rPr>
          <w:rFonts w:eastAsia="SimSun"/>
        </w:rPr>
        <w:t>impact</w:t>
      </w:r>
      <w:r w:rsidR="00825B32" w:rsidRPr="001B13F6">
        <w:rPr>
          <w:rFonts w:eastAsia="SimSun"/>
        </w:rPr>
        <w:t>s</w:t>
      </w:r>
      <w:r w:rsidR="005D67FD" w:rsidRPr="001B13F6">
        <w:rPr>
          <w:rFonts w:eastAsia="SimSun"/>
        </w:rPr>
        <w:t xml:space="preserve"> on the </w:t>
      </w:r>
      <w:r w:rsidRPr="001B13F6">
        <w:rPr>
          <w:rFonts w:eastAsia="SimSun"/>
        </w:rPr>
        <w:t xml:space="preserve">environment, improving environmental quality and fulfilling human rights. The good practices address both the procedural and substantive elements of the </w:t>
      </w:r>
      <w:r w:rsidRPr="001B13F6">
        <w:t>right to a safe, clean, healthy and sustainable environment. The procedural elements are access to information, public participation, and access to justice</w:t>
      </w:r>
      <w:r w:rsidR="005D67FD" w:rsidRPr="001B13F6">
        <w:t xml:space="preserve"> and </w:t>
      </w:r>
      <w:r w:rsidRPr="001B13F6">
        <w:t>effective remedies. The substantive elements include clean air, a safe climate, access to safe water and adequate sanitation, healthy and sustainably produced food, non-toxic environments in which to live, work, study and play, and healthy biodiversity and ecosystems.</w:t>
      </w:r>
    </w:p>
    <w:p w14:paraId="39656F3D" w14:textId="77777777" w:rsidR="00F66FC9" w:rsidRPr="001B13F6" w:rsidRDefault="00F66FC9" w:rsidP="00463874">
      <w:pPr>
        <w:pStyle w:val="HChG"/>
        <w:spacing w:line="240" w:lineRule="atLeast"/>
      </w:pPr>
      <w:r w:rsidRPr="001B13F6">
        <w:tab/>
        <w:t>II.</w:t>
      </w:r>
      <w:r w:rsidRPr="001B13F6">
        <w:tab/>
        <w:t>The process of compiling good practices</w:t>
      </w:r>
    </w:p>
    <w:p w14:paraId="03694038" w14:textId="05842F5F" w:rsidR="00F66FC9" w:rsidRPr="001B13F6" w:rsidRDefault="00F66FC9">
      <w:pPr>
        <w:pStyle w:val="SingleTxtG"/>
      </w:pPr>
      <w:r w:rsidRPr="001B13F6">
        <w:t>3.</w:t>
      </w:r>
      <w:r w:rsidRPr="001B13F6">
        <w:tab/>
      </w:r>
      <w:r w:rsidR="005D67FD" w:rsidRPr="001B13F6">
        <w:t>In April 2019, t</w:t>
      </w:r>
      <w:r w:rsidRPr="001B13F6">
        <w:t xml:space="preserve">he Special Rapporteur </w:t>
      </w:r>
      <w:r w:rsidR="005D67FD" w:rsidRPr="001B13F6">
        <w:t xml:space="preserve">issued </w:t>
      </w:r>
      <w:r w:rsidRPr="001B13F6">
        <w:t>a call for inputs on good practices relat</w:t>
      </w:r>
      <w:r w:rsidR="005D67FD" w:rsidRPr="001B13F6">
        <w:t>ing</w:t>
      </w:r>
      <w:r w:rsidRPr="001B13F6">
        <w:t xml:space="preserve"> to the implementation of the human right to a safe, clean, healthy and sustainable environment. He thank</w:t>
      </w:r>
      <w:r w:rsidR="005D67FD" w:rsidRPr="001B13F6">
        <w:t>s</w:t>
      </w:r>
      <w:r w:rsidRPr="001B13F6">
        <w:t xml:space="preserve"> </w:t>
      </w:r>
      <w:r w:rsidR="007F35D4">
        <w:t xml:space="preserve">the Governments of </w:t>
      </w:r>
      <w:r w:rsidRPr="001B13F6">
        <w:t xml:space="preserve">Bosnia and Herzegovina, Brazil, Colombia, Honduras, Hungary, Italy, Kazakhstan, Mali, Mauritius, Mexico, Monaco, Norway, Senegal, Serbia, Slovenia, Sweden, Ukraine, Uruguay and </w:t>
      </w:r>
      <w:r w:rsidR="005D67FD" w:rsidRPr="001B13F6">
        <w:t xml:space="preserve">the Bolivarian Republic of </w:t>
      </w:r>
      <w:r w:rsidRPr="001B13F6">
        <w:t>Venezuela for their informative responses. A number of international organizations, civil society organizations and individuals also provided useful inputs.</w:t>
      </w:r>
      <w:r w:rsidRPr="001B13F6">
        <w:rPr>
          <w:rStyle w:val="FootnoteReference"/>
        </w:rPr>
        <w:footnoteReference w:id="2"/>
      </w:r>
      <w:r w:rsidRPr="001B13F6">
        <w:rPr>
          <w:rStyle w:val="FootnoteReference"/>
        </w:rPr>
        <w:t xml:space="preserve"> </w:t>
      </w:r>
      <w:r w:rsidRPr="001B13F6">
        <w:t>A</w:t>
      </w:r>
      <w:r w:rsidR="005D67FD" w:rsidRPr="001B13F6">
        <w:t>t the</w:t>
      </w:r>
      <w:r w:rsidRPr="001B13F6">
        <w:t xml:space="preserve"> request </w:t>
      </w:r>
      <w:r w:rsidR="005D67FD" w:rsidRPr="001B13F6">
        <w:t>of</w:t>
      </w:r>
      <w:r w:rsidRPr="001B13F6">
        <w:t xml:space="preserve"> the Human Rights Council, on 20</w:t>
      </w:r>
      <w:r w:rsidR="005D67FD" w:rsidRPr="001B13F6">
        <w:t xml:space="preserve"> and </w:t>
      </w:r>
      <w:r w:rsidRPr="001B13F6">
        <w:t xml:space="preserve">21 June 2019 the Special Rapporteur co-hosted, </w:t>
      </w:r>
      <w:r w:rsidR="00076D6F" w:rsidRPr="001B13F6">
        <w:t xml:space="preserve">with the </w:t>
      </w:r>
      <w:r w:rsidRPr="001B13F6">
        <w:t>U</w:t>
      </w:r>
      <w:r w:rsidR="00076D6F" w:rsidRPr="001B13F6">
        <w:t xml:space="preserve">nited </w:t>
      </w:r>
      <w:r w:rsidRPr="001B13F6">
        <w:t>N</w:t>
      </w:r>
      <w:r w:rsidR="00076D6F" w:rsidRPr="001B13F6">
        <w:t>ations</w:t>
      </w:r>
      <w:r w:rsidRPr="001B13F6">
        <w:t xml:space="preserve"> Environment</w:t>
      </w:r>
      <w:r w:rsidR="00076D6F" w:rsidRPr="001B13F6">
        <w:t xml:space="preserve"> Programme (UNEP)</w:t>
      </w:r>
      <w:r w:rsidRPr="001B13F6">
        <w:t xml:space="preserve">, an expert seminar to discuss the experiences and good practices of States with regard to the implementation of the right to a safe, clean, healthy and sustainable environment. </w:t>
      </w:r>
    </w:p>
    <w:p w14:paraId="0EBDA342" w14:textId="010C4E72" w:rsidR="00F66FC9" w:rsidRPr="001B13F6" w:rsidRDefault="00F66FC9">
      <w:pPr>
        <w:pStyle w:val="SingleTxtG"/>
      </w:pPr>
      <w:r w:rsidRPr="001B13F6">
        <w:t>4.</w:t>
      </w:r>
      <w:r w:rsidRPr="001B13F6">
        <w:tab/>
        <w:t>The Special Rapporteur also created a global online “researchathon”</w:t>
      </w:r>
      <w:r w:rsidR="00AD2867" w:rsidRPr="001B13F6">
        <w:t>,</w:t>
      </w:r>
      <w:r w:rsidRPr="001B13F6">
        <w:t xml:space="preserve"> which resulted in the submission of hundreds of good practices from more t</w:t>
      </w:r>
      <w:r w:rsidR="00204F21" w:rsidRPr="001B13F6">
        <w:t>han 175</w:t>
      </w:r>
      <w:r w:rsidRPr="001B13F6">
        <w:t xml:space="preserve"> </w:t>
      </w:r>
      <w:r w:rsidR="00AD2867" w:rsidRPr="001B13F6">
        <w:t xml:space="preserve">States </w:t>
      </w:r>
      <w:r w:rsidRPr="001B13F6">
        <w:t>Member</w:t>
      </w:r>
      <w:r w:rsidR="00AD2867" w:rsidRPr="001B13F6">
        <w:t>s of the United Nations</w:t>
      </w:r>
      <w:r w:rsidRPr="001B13F6">
        <w:t xml:space="preserve">. Contributors included government officials, representatives </w:t>
      </w:r>
      <w:r w:rsidR="00AD2867" w:rsidRPr="001B13F6">
        <w:t xml:space="preserve">of </w:t>
      </w:r>
      <w:r w:rsidRPr="001B13F6">
        <w:t>international agencies, civil society organizations, academics, students, lawyers and judges</w:t>
      </w:r>
      <w:r w:rsidR="00AD2867" w:rsidRPr="001B13F6">
        <w:t xml:space="preserve"> (see annex</w:t>
      </w:r>
      <w:r w:rsidR="00825B32" w:rsidRPr="001B13F6">
        <w:t xml:space="preserve"> I</w:t>
      </w:r>
      <w:r w:rsidR="00AD2867" w:rsidRPr="001B13F6">
        <w:t>)</w:t>
      </w:r>
      <w:r w:rsidRPr="001B13F6">
        <w:t>.</w:t>
      </w:r>
      <w:r w:rsidRPr="001B13F6">
        <w:rPr>
          <w:rStyle w:val="FootnoteReference"/>
        </w:rPr>
        <w:t xml:space="preserve"> </w:t>
      </w:r>
    </w:p>
    <w:p w14:paraId="0023D0DB" w14:textId="0FE5408A" w:rsidR="00F66FC9" w:rsidRPr="001B13F6" w:rsidRDefault="00F66FC9">
      <w:pPr>
        <w:pStyle w:val="SingleTxtG"/>
      </w:pPr>
      <w:r w:rsidRPr="001B13F6">
        <w:t>5.</w:t>
      </w:r>
      <w:r w:rsidRPr="001B13F6">
        <w:tab/>
        <w:t xml:space="preserve">In November 2019, the Special Rapporteur co-hosted five regional webinars on the role of </w:t>
      </w:r>
      <w:r w:rsidR="00AD2867" w:rsidRPr="001B13F6">
        <w:t>n</w:t>
      </w:r>
      <w:r w:rsidRPr="001B13F6">
        <w:t xml:space="preserve">ational </w:t>
      </w:r>
      <w:r w:rsidR="00AD2867" w:rsidRPr="001B13F6">
        <w:t>h</w:t>
      </w:r>
      <w:r w:rsidRPr="001B13F6">
        <w:t xml:space="preserve">uman </w:t>
      </w:r>
      <w:r w:rsidR="00AD2867" w:rsidRPr="001B13F6">
        <w:t>r</w:t>
      </w:r>
      <w:r w:rsidRPr="001B13F6">
        <w:t xml:space="preserve">ights </w:t>
      </w:r>
      <w:r w:rsidR="00AD2867" w:rsidRPr="001B13F6">
        <w:t>i</w:t>
      </w:r>
      <w:r w:rsidRPr="001B13F6">
        <w:t xml:space="preserve">nstitutions in protecting the right to a safe, clean, healthy and sustainable environment. Co-organized by </w:t>
      </w:r>
      <w:r w:rsidR="00AD2867" w:rsidRPr="001B13F6">
        <w:t>the United Nations Development Programme</w:t>
      </w:r>
      <w:r w:rsidRPr="001B13F6">
        <w:t xml:space="preserve">, UNEP, the Swedish Environmental Protection Agency and the Global Alliance of National Human Rights Institutions, these informative webinars also identified many good practices. </w:t>
      </w:r>
    </w:p>
    <w:p w14:paraId="79101ED9" w14:textId="0721E62B" w:rsidR="00F66FC9" w:rsidRPr="001B13F6" w:rsidRDefault="00F66FC9">
      <w:pPr>
        <w:pStyle w:val="SingleTxtG"/>
      </w:pPr>
      <w:r w:rsidRPr="001B13F6">
        <w:t>6.</w:t>
      </w:r>
      <w:r w:rsidRPr="001B13F6">
        <w:tab/>
      </w:r>
      <w:r w:rsidR="00AD4E53" w:rsidRPr="001B13F6">
        <w:t>In the present</w:t>
      </w:r>
      <w:r w:rsidRPr="001B13F6">
        <w:t xml:space="preserve"> report</w:t>
      </w:r>
      <w:r w:rsidR="00AD4E53" w:rsidRPr="001B13F6">
        <w:t>, the Special Rapporteur</w:t>
      </w:r>
      <w:r w:rsidRPr="001B13F6">
        <w:t xml:space="preserve"> summarizes only a subset of submitted good practices</w:t>
      </w:r>
      <w:r w:rsidR="00AD4E53" w:rsidRPr="001B13F6">
        <w:t>;</w:t>
      </w:r>
      <w:r w:rsidRPr="001B13F6">
        <w:t xml:space="preserve"> </w:t>
      </w:r>
      <w:r w:rsidR="00AD4E53" w:rsidRPr="001B13F6">
        <w:t>he describes additional</w:t>
      </w:r>
      <w:r w:rsidRPr="001B13F6">
        <w:t xml:space="preserve"> good practices </w:t>
      </w:r>
      <w:r w:rsidR="00AD4E53" w:rsidRPr="001B13F6">
        <w:t>in a document available on the webpage of the mandate.</w:t>
      </w:r>
      <w:r w:rsidR="00924C56">
        <w:rPr>
          <w:rStyle w:val="FootnoteReference"/>
        </w:rPr>
        <w:footnoteReference w:id="3"/>
      </w:r>
      <w:r w:rsidR="00924C56">
        <w:t xml:space="preserve"> </w:t>
      </w:r>
      <w:r w:rsidR="00AD4E53" w:rsidRPr="001B13F6">
        <w:t>A</w:t>
      </w:r>
      <w:r w:rsidRPr="001B13F6">
        <w:t xml:space="preserve">ll good practices collected will be added to the inventory compiled by the previous </w:t>
      </w:r>
      <w:r w:rsidR="00CF1A25">
        <w:t>mandate holder</w:t>
      </w:r>
      <w:r w:rsidRPr="001B13F6">
        <w:t xml:space="preserve"> and made available at </w:t>
      </w:r>
      <w:hyperlink r:id="rId12" w:history="1">
        <w:r w:rsidRPr="001B13F6">
          <w:t>www.environmentalrightsdatabase.org</w:t>
        </w:r>
      </w:hyperlink>
      <w:r w:rsidR="00AD4E53" w:rsidRPr="001B13F6">
        <w:t>.</w:t>
      </w:r>
      <w:r w:rsidRPr="001B13F6">
        <w:t xml:space="preserve"> There are many more good practices in addition to those identified in </w:t>
      </w:r>
      <w:r w:rsidR="00AD4E53" w:rsidRPr="001B13F6">
        <w:t xml:space="preserve">the present </w:t>
      </w:r>
      <w:r w:rsidRPr="001B13F6">
        <w:t xml:space="preserve">report. The practices highlighted by the Special Rapporteur are intended to illustrate the innovative and exemplary efforts being made to </w:t>
      </w:r>
      <w:r w:rsidR="003B0CBC" w:rsidRPr="001B13F6">
        <w:t>respect, protect and fulfil</w:t>
      </w:r>
      <w:r w:rsidRPr="001B13F6">
        <w:t xml:space="preserve"> the right to a safe, clean, healthy and sustainable environment. </w:t>
      </w:r>
    </w:p>
    <w:p w14:paraId="7A7C5AFF" w14:textId="3D3C6A39" w:rsidR="00F66FC9" w:rsidRPr="001B13F6" w:rsidRDefault="00F66FC9">
      <w:pPr>
        <w:pStyle w:val="SingleTxtG"/>
      </w:pPr>
      <w:r w:rsidRPr="001B13F6">
        <w:t>7.</w:t>
      </w:r>
      <w:r w:rsidRPr="001B13F6">
        <w:tab/>
        <w:t xml:space="preserve">These good practices </w:t>
      </w:r>
      <w:r w:rsidR="00AD4E53" w:rsidRPr="001B13F6">
        <w:t>show</w:t>
      </w:r>
      <w:r w:rsidRPr="001B13F6">
        <w:t xml:space="preserve"> that environmental progress and the protection of human rights from environmental harm </w:t>
      </w:r>
      <w:r w:rsidR="00AD4E53" w:rsidRPr="001B13F6">
        <w:t xml:space="preserve">are </w:t>
      </w:r>
      <w:r w:rsidRPr="001B13F6">
        <w:t xml:space="preserve">possible. While </w:t>
      </w:r>
      <w:r w:rsidR="00AD4E53" w:rsidRPr="001B13F6">
        <w:t>the contribution of</w:t>
      </w:r>
      <w:r w:rsidRPr="001B13F6">
        <w:t xml:space="preserve"> such a prodigious variety of good practices </w:t>
      </w:r>
      <w:r w:rsidR="00AD4E53" w:rsidRPr="001B13F6">
        <w:t xml:space="preserve">by </w:t>
      </w:r>
      <w:r w:rsidRPr="001B13F6">
        <w:t>such a large number of States</w:t>
      </w:r>
      <w:r w:rsidR="00AD4E53" w:rsidRPr="001B13F6">
        <w:t xml:space="preserve"> is encouraging</w:t>
      </w:r>
      <w:r w:rsidRPr="001B13F6">
        <w:t xml:space="preserve">, the Special Rapporteur cautions </w:t>
      </w:r>
      <w:r w:rsidR="00AD4E53" w:rsidRPr="001B13F6">
        <w:t>against</w:t>
      </w:r>
      <w:r w:rsidRPr="001B13F6">
        <w:t xml:space="preserve"> complacency. Humanity is embroiled in an unprecedented global environmental crisis. </w:t>
      </w:r>
      <w:r w:rsidR="00E82927" w:rsidRPr="001B13F6">
        <w:t xml:space="preserve">Its </w:t>
      </w:r>
      <w:r w:rsidRPr="001B13F6">
        <w:t xml:space="preserve">actions are causing a climate emergency, a massive decline in biodiversity, and pollution of air, water and soil that contributes to millions of premature deaths annually. </w:t>
      </w:r>
      <w:r w:rsidR="00414272" w:rsidRPr="001B13F6">
        <w:t xml:space="preserve">An </w:t>
      </w:r>
      <w:r w:rsidRPr="001B13F6">
        <w:t xml:space="preserve">accelerated </w:t>
      </w:r>
      <w:r w:rsidR="00414272" w:rsidRPr="001B13F6">
        <w:t xml:space="preserve">dissemination </w:t>
      </w:r>
      <w:r w:rsidRPr="001B13F6">
        <w:t xml:space="preserve">and adoption of good practices is imperative to transform society onto a genuinely sustainable pathway and </w:t>
      </w:r>
      <w:r w:rsidR="00414272" w:rsidRPr="001B13F6">
        <w:t xml:space="preserve">to </w:t>
      </w:r>
      <w:r w:rsidRPr="001B13F6">
        <w:t>protect human rights.</w:t>
      </w:r>
    </w:p>
    <w:p w14:paraId="0FBBF415" w14:textId="74652389" w:rsidR="00F66FC9" w:rsidRPr="001B13F6" w:rsidRDefault="00F66FC9">
      <w:pPr>
        <w:pStyle w:val="SingleTxtG"/>
      </w:pPr>
      <w:r w:rsidRPr="001B13F6">
        <w:t>8.</w:t>
      </w:r>
      <w:r w:rsidRPr="001B13F6">
        <w:tab/>
        <w:t>To be clear, all States have obligations relat</w:t>
      </w:r>
      <w:r w:rsidR="00414272" w:rsidRPr="001B13F6">
        <w:t>ing</w:t>
      </w:r>
      <w:r w:rsidRPr="001B13F6">
        <w:t xml:space="preserve"> to the enjoyment of a safe, clean, healthy and sustainable environment, including States that have not yet recognized the right to </w:t>
      </w:r>
      <w:r w:rsidR="00414272" w:rsidRPr="001B13F6">
        <w:t xml:space="preserve">a </w:t>
      </w:r>
      <w:r w:rsidRPr="001B13F6">
        <w:t xml:space="preserve">healthy and sustainable environment. These obligations are set forth in extensive detail in the </w:t>
      </w:r>
      <w:r w:rsidR="00414272" w:rsidRPr="001B13F6">
        <w:t>f</w:t>
      </w:r>
      <w:r w:rsidRPr="001B13F6">
        <w:t xml:space="preserve">ramework </w:t>
      </w:r>
      <w:r w:rsidR="00414272" w:rsidRPr="001B13F6">
        <w:t>p</w:t>
      </w:r>
      <w:r w:rsidRPr="001B13F6">
        <w:t xml:space="preserve">rinciples presented to the Human Rights Council by the previous </w:t>
      </w:r>
      <w:r w:rsidR="00414272" w:rsidRPr="001B13F6">
        <w:t>mandate holder (A/HRC/37/59, annex)</w:t>
      </w:r>
      <w:r w:rsidRPr="001B13F6">
        <w:t xml:space="preserve">. </w:t>
      </w:r>
    </w:p>
    <w:p w14:paraId="73F30426" w14:textId="77777777" w:rsidR="00F66FC9" w:rsidRPr="001B13F6" w:rsidRDefault="00D65C4B" w:rsidP="00463874">
      <w:pPr>
        <w:pStyle w:val="HChG"/>
        <w:spacing w:line="240" w:lineRule="atLeast"/>
      </w:pPr>
      <w:r w:rsidRPr="001B13F6">
        <w:tab/>
      </w:r>
      <w:r w:rsidR="00F66FC9" w:rsidRPr="001B13F6">
        <w:t>III.</w:t>
      </w:r>
      <w:r w:rsidRPr="001B13F6">
        <w:tab/>
      </w:r>
      <w:r w:rsidR="00F66FC9" w:rsidRPr="001B13F6">
        <w:t>Good practices in the implementation of the right to a safe, clean, healthy and sustainable environment</w:t>
      </w:r>
    </w:p>
    <w:p w14:paraId="4CF3281B" w14:textId="77777777" w:rsidR="00F66FC9" w:rsidRPr="001B13F6" w:rsidRDefault="00D65C4B" w:rsidP="00463874">
      <w:pPr>
        <w:pStyle w:val="H1G"/>
        <w:spacing w:line="240" w:lineRule="atLeast"/>
      </w:pPr>
      <w:r w:rsidRPr="001B13F6">
        <w:tab/>
      </w:r>
      <w:r w:rsidR="00F66FC9" w:rsidRPr="001B13F6">
        <w:t>A.</w:t>
      </w:r>
      <w:r w:rsidRPr="001B13F6">
        <w:tab/>
      </w:r>
      <w:r w:rsidR="00F66FC9" w:rsidRPr="001B13F6">
        <w:t>Legal recognition</w:t>
      </w:r>
    </w:p>
    <w:p w14:paraId="275668DB" w14:textId="1CC2A382" w:rsidR="00F66FC9" w:rsidRPr="001B13F6" w:rsidRDefault="00F66FC9">
      <w:pPr>
        <w:pStyle w:val="SingleTxtG"/>
      </w:pPr>
      <w:r w:rsidRPr="001B13F6">
        <w:t>9.</w:t>
      </w:r>
      <w:r w:rsidRPr="001B13F6">
        <w:tab/>
      </w:r>
      <w:r w:rsidR="005F3B36" w:rsidRPr="001B13F6">
        <w:t xml:space="preserve">In the present </w:t>
      </w:r>
      <w:r w:rsidRPr="001B13F6">
        <w:t>report</w:t>
      </w:r>
      <w:r w:rsidR="005F3B36" w:rsidRPr="001B13F6">
        <w:t>, the Special Rapporteur</w:t>
      </w:r>
      <w:r w:rsidRPr="001B13F6">
        <w:t xml:space="preserve"> focuses on the implementation of the right to a safe, clean, healthy and sustainable environment. The legal recognition of this right can itself be considered a good practice, whether by means of constitutional protection, inclusion in environmental legislation or through ratification of a regional treaty that includes the right.</w:t>
      </w:r>
    </w:p>
    <w:p w14:paraId="03873CA5" w14:textId="77777777" w:rsidR="00427D9E" w:rsidRDefault="00F66FC9" w:rsidP="00427D9E">
      <w:pPr>
        <w:pStyle w:val="SingleTxtG"/>
        <w:spacing w:before="120"/>
      </w:pPr>
      <w:r w:rsidRPr="001B13F6">
        <w:t>10.</w:t>
      </w:r>
      <w:r w:rsidRPr="001B13F6">
        <w:tab/>
        <w:t>In cooperation with the Vance Center for International Justice, the Special Rapporteur prepared an updated list of States that legally recognize the right to a safe, clean, healthy and sustainable environment (</w:t>
      </w:r>
      <w:r w:rsidR="00C72212" w:rsidRPr="001B13F6">
        <w:t>s</w:t>
      </w:r>
      <w:r w:rsidRPr="001B13F6">
        <w:t xml:space="preserve">ee </w:t>
      </w:r>
      <w:r w:rsidR="00C9749C" w:rsidRPr="001B13F6">
        <w:t>annex II</w:t>
      </w:r>
      <w:r w:rsidRPr="001B13F6">
        <w:t>). There are 11</w:t>
      </w:r>
      <w:r w:rsidR="00C37FE7" w:rsidRPr="001B13F6">
        <w:t>0</w:t>
      </w:r>
      <w:r w:rsidRPr="001B13F6">
        <w:t xml:space="preserve"> States where this right enjoys constitutional protection. Constitutional protection for human rights is essential</w:t>
      </w:r>
      <w:r w:rsidR="00C72212" w:rsidRPr="001B13F6">
        <w:t>,</w:t>
      </w:r>
      <w:r w:rsidRPr="001B13F6">
        <w:t xml:space="preserve"> because </w:t>
      </w:r>
      <w:r w:rsidR="00C72212" w:rsidRPr="001B13F6">
        <w:t xml:space="preserve">the </w:t>
      </w:r>
      <w:r w:rsidR="00D50B7D" w:rsidRPr="001B13F6">
        <w:t>c</w:t>
      </w:r>
      <w:r w:rsidRPr="001B13F6">
        <w:t>onstitution represent</w:t>
      </w:r>
      <w:r w:rsidR="00C72212" w:rsidRPr="001B13F6">
        <w:t>s</w:t>
      </w:r>
      <w:r w:rsidRPr="001B13F6">
        <w:t xml:space="preserve"> the highest and strongest law in </w:t>
      </w:r>
      <w:r w:rsidR="00C72212" w:rsidRPr="001B13F6">
        <w:t xml:space="preserve">a </w:t>
      </w:r>
      <w:r w:rsidRPr="001B13F6">
        <w:t xml:space="preserve">domestic legal system. </w:t>
      </w:r>
      <w:r w:rsidR="00C72212" w:rsidRPr="001B13F6">
        <w:t>Furthermore</w:t>
      </w:r>
      <w:r w:rsidRPr="001B13F6">
        <w:t xml:space="preserve">, </w:t>
      </w:r>
      <w:r w:rsidR="00BB52F2" w:rsidRPr="001B13F6">
        <w:t xml:space="preserve">the </w:t>
      </w:r>
      <w:r w:rsidR="00D50B7D" w:rsidRPr="001B13F6">
        <w:t>c</w:t>
      </w:r>
      <w:r w:rsidRPr="001B13F6">
        <w:t>onstitution play</w:t>
      </w:r>
      <w:r w:rsidR="00BB52F2" w:rsidRPr="001B13F6">
        <w:t>s</w:t>
      </w:r>
      <w:r w:rsidRPr="001B13F6">
        <w:t xml:space="preserve"> an important cultural role, reflecting a society’s values and aspirations. </w:t>
      </w:r>
    </w:p>
    <w:p w14:paraId="02E3B936" w14:textId="59D2B56F" w:rsidR="00F66FC9" w:rsidRPr="001B13F6" w:rsidRDefault="00F66FC9" w:rsidP="00427D9E">
      <w:pPr>
        <w:pStyle w:val="SingleTxtG"/>
        <w:spacing w:before="120"/>
      </w:pPr>
      <w:r w:rsidRPr="001B13F6">
        <w:t>11.</w:t>
      </w:r>
      <w:r w:rsidRPr="001B13F6">
        <w:tab/>
        <w:t>The right to a healthy environment is explicitly included in regional treaties ratified by 126 States. This includes 52 States that are parties to the African Charter on Human and Peoples</w:t>
      </w:r>
      <w:r w:rsidR="00BB52F2" w:rsidRPr="001B13F6">
        <w:t>’</w:t>
      </w:r>
      <w:r w:rsidRPr="001B13F6">
        <w:t xml:space="preserve"> Rights, 45 States that are parties to the Convention on Access to Information, Public Participation</w:t>
      </w:r>
      <w:r w:rsidR="00AF7AAB" w:rsidRPr="001B13F6">
        <w:t xml:space="preserve"> in Decision-Making</w:t>
      </w:r>
      <w:r w:rsidRPr="001B13F6">
        <w:t xml:space="preserve"> and Access to Justice in Environmental Matters</w:t>
      </w:r>
      <w:r w:rsidR="00AF7AAB" w:rsidRPr="001B13F6">
        <w:t xml:space="preserve"> (Aarhus Convention)</w:t>
      </w:r>
      <w:r w:rsidRPr="001B13F6">
        <w:t xml:space="preserve">, 16 States that are parties to the </w:t>
      </w:r>
      <w:r w:rsidR="00AF7AAB" w:rsidRPr="001B13F6">
        <w:t xml:space="preserve">Additional Protocol to the American Convention on Human Rights in the Area of Economic, Social and Cultural Rights (Protocol of </w:t>
      </w:r>
      <w:r w:rsidRPr="001B13F6">
        <w:t>San Salvador</w:t>
      </w:r>
      <w:r w:rsidR="00AF7AAB" w:rsidRPr="001B13F6">
        <w:t>)</w:t>
      </w:r>
      <w:r w:rsidRPr="001B13F6">
        <w:t xml:space="preserve"> and 16 States that are parties to the Arab Charter on Human Rights. As </w:t>
      </w:r>
      <w:r w:rsidR="00B54C93" w:rsidRPr="001B13F6">
        <w:t>at</w:t>
      </w:r>
      <w:r w:rsidR="00AF7AAB" w:rsidRPr="001B13F6">
        <w:t xml:space="preserve"> </w:t>
      </w:r>
      <w:r w:rsidRPr="001B13F6">
        <w:t>1 December 2019, five States ha</w:t>
      </w:r>
      <w:r w:rsidR="00AF7AAB" w:rsidRPr="001B13F6">
        <w:t>d</w:t>
      </w:r>
      <w:r w:rsidRPr="001B13F6">
        <w:t xml:space="preserve"> ratified the </w:t>
      </w:r>
      <w:r w:rsidR="00AF7AAB" w:rsidRPr="001B13F6">
        <w:t xml:space="preserve">Regional </w:t>
      </w:r>
      <w:r w:rsidRPr="001B13F6">
        <w:t>Agreement on Access to Information, Public Participation and Justice in Environmental Matters in Latin America and the Caribbean</w:t>
      </w:r>
      <w:r w:rsidR="00AF7AAB" w:rsidRPr="001B13F6">
        <w:t xml:space="preserve"> (Escazú Agreement)</w:t>
      </w:r>
      <w:r w:rsidR="00C206CE" w:rsidRPr="001B13F6">
        <w:t>;</w:t>
      </w:r>
      <w:r w:rsidRPr="001B13F6">
        <w:t xml:space="preserve"> this recent treaty requires</w:t>
      </w:r>
      <w:r w:rsidR="00C206CE" w:rsidRPr="001B13F6">
        <w:t>, however,</w:t>
      </w:r>
      <w:r w:rsidRPr="001B13F6">
        <w:t xml:space="preserve"> </w:t>
      </w:r>
      <w:r w:rsidR="00C206CE" w:rsidRPr="001B13F6">
        <w:t xml:space="preserve">11 </w:t>
      </w:r>
      <w:r w:rsidRPr="001B13F6">
        <w:t>ratifications to enter into force. Ten States adopted the non-binding Declaration on Human Rights</w:t>
      </w:r>
      <w:r w:rsidR="00C206CE" w:rsidRPr="001B13F6">
        <w:t xml:space="preserve"> of the Association of South-</w:t>
      </w:r>
      <w:r w:rsidR="00CC1D5F" w:rsidRPr="001B13F6">
        <w:t>E</w:t>
      </w:r>
      <w:r w:rsidR="00C206CE" w:rsidRPr="001B13F6">
        <w:t>ast Asian Nations</w:t>
      </w:r>
      <w:r w:rsidRPr="001B13F6">
        <w:t>.</w:t>
      </w:r>
    </w:p>
    <w:p w14:paraId="754502DD" w14:textId="19E1E001" w:rsidR="00F66FC9" w:rsidRPr="001B13F6" w:rsidRDefault="00F66FC9">
      <w:pPr>
        <w:pStyle w:val="SingleTxtG"/>
      </w:pPr>
      <w:r w:rsidRPr="001B13F6">
        <w:t>12.</w:t>
      </w:r>
      <w:r w:rsidRPr="001B13F6">
        <w:tab/>
        <w:t xml:space="preserve">It is also important that legislation be enacted and implemented to respect, protect and fulfil the right to a safe, clean, healthy and sustainable environment. There are 101 States where this right </w:t>
      </w:r>
      <w:r w:rsidR="00C206CE" w:rsidRPr="001B13F6">
        <w:t xml:space="preserve">has been </w:t>
      </w:r>
      <w:r w:rsidRPr="001B13F6">
        <w:t>incorporated in</w:t>
      </w:r>
      <w:r w:rsidR="00C206CE" w:rsidRPr="001B13F6">
        <w:t>to</w:t>
      </w:r>
      <w:r w:rsidRPr="001B13F6">
        <w:t xml:space="preserve"> national legislation. Especially good practices </w:t>
      </w:r>
      <w:r w:rsidR="00C206CE" w:rsidRPr="001B13F6">
        <w:t xml:space="preserve">can be seen in </w:t>
      </w:r>
      <w:r w:rsidRPr="001B13F6">
        <w:t xml:space="preserve">Argentina, Brazil, Colombia, Costa Rica, France, the Philippines, Portugal and South Africa, where the right to a healthy environment serves as a unifying principle that permeates legislation, regulations and policies. </w:t>
      </w:r>
    </w:p>
    <w:p w14:paraId="738BC59B" w14:textId="1F5F61F3" w:rsidR="00F66FC9" w:rsidRPr="001B13F6" w:rsidRDefault="00F66FC9" w:rsidP="00463874">
      <w:pPr>
        <w:ind w:left="1134" w:right="1134"/>
      </w:pPr>
      <w:r w:rsidRPr="001B13F6">
        <w:t>13.</w:t>
      </w:r>
      <w:r w:rsidRPr="001B13F6">
        <w:tab/>
        <w:t>In total, more than 80 per</w:t>
      </w:r>
      <w:r w:rsidR="00C206CE" w:rsidRPr="001B13F6">
        <w:t xml:space="preserve"> </w:t>
      </w:r>
      <w:r w:rsidRPr="001B13F6">
        <w:t xml:space="preserve">cent of </w:t>
      </w:r>
      <w:r w:rsidR="00C206CE" w:rsidRPr="001B13F6">
        <w:t xml:space="preserve">States </w:t>
      </w:r>
      <w:r w:rsidRPr="001B13F6">
        <w:t>Member</w:t>
      </w:r>
      <w:r w:rsidR="00C206CE" w:rsidRPr="001B13F6">
        <w:t>s of the United Nations</w:t>
      </w:r>
      <w:r w:rsidRPr="001B13F6">
        <w:t xml:space="preserve"> (156 out of 193) legally recognize the right to a safe, clean, healthy and sustainable environment.</w:t>
      </w:r>
      <w:r w:rsidR="00631BC8" w:rsidRPr="001B13F6">
        <w:rPr>
          <w:color w:val="000000" w:themeColor="text1"/>
        </w:rPr>
        <w:t xml:space="preserve"> The Special Rapporteur has collected the texts of the constitutional and legislative provisions that recognize this right.</w:t>
      </w:r>
      <w:r w:rsidR="00356520" w:rsidRPr="001B13F6">
        <w:rPr>
          <w:rStyle w:val="FootnoteReference"/>
          <w:color w:val="000000" w:themeColor="text1"/>
        </w:rPr>
        <w:footnoteReference w:id="4"/>
      </w:r>
    </w:p>
    <w:p w14:paraId="5428BCAD" w14:textId="77777777" w:rsidR="00F66FC9" w:rsidRPr="001B13F6" w:rsidRDefault="00D65C4B" w:rsidP="00463874">
      <w:pPr>
        <w:pStyle w:val="H1G"/>
        <w:spacing w:line="240" w:lineRule="atLeast"/>
      </w:pPr>
      <w:r w:rsidRPr="001B13F6">
        <w:tab/>
        <w:t>B.</w:t>
      </w:r>
      <w:r w:rsidRPr="001B13F6">
        <w:tab/>
      </w:r>
      <w:r w:rsidR="00F66FC9" w:rsidRPr="001B13F6">
        <w:t>Procedural elements</w:t>
      </w:r>
    </w:p>
    <w:p w14:paraId="39DB0BF2" w14:textId="77777777" w:rsidR="00F66FC9" w:rsidRPr="001B13F6" w:rsidRDefault="00D65C4B" w:rsidP="00463874">
      <w:pPr>
        <w:pStyle w:val="H23G"/>
        <w:spacing w:line="240" w:lineRule="atLeast"/>
      </w:pPr>
      <w:r w:rsidRPr="001B13F6">
        <w:tab/>
        <w:t>1.</w:t>
      </w:r>
      <w:r w:rsidRPr="001B13F6">
        <w:tab/>
      </w:r>
      <w:r w:rsidR="00F66FC9" w:rsidRPr="001B13F6">
        <w:t>Access to environmental information</w:t>
      </w:r>
    </w:p>
    <w:p w14:paraId="23660740" w14:textId="019B540C" w:rsidR="00F66FC9" w:rsidRPr="001B13F6" w:rsidRDefault="00F66FC9">
      <w:pPr>
        <w:pStyle w:val="SingleTxtG"/>
      </w:pPr>
      <w:r w:rsidRPr="001B13F6">
        <w:t>14.</w:t>
      </w:r>
      <w:r w:rsidRPr="001B13F6">
        <w:tab/>
        <w:t>Access to information is a widely recognized human right and is essential for people to be able to protect and defend their human rights from potentially harmful environmental impact. Some States have put in place laws, policies and program</w:t>
      </w:r>
      <w:r w:rsidR="00C206CE" w:rsidRPr="001B13F6">
        <w:t>me</w:t>
      </w:r>
      <w:r w:rsidRPr="001B13F6">
        <w:t xml:space="preserve">s that </w:t>
      </w:r>
      <w:r w:rsidR="00C206CE" w:rsidRPr="001B13F6">
        <w:t xml:space="preserve">afford </w:t>
      </w:r>
      <w:r w:rsidRPr="001B13F6">
        <w:t xml:space="preserve">enhanced access to environmental information, including at least </w:t>
      </w:r>
      <w:r w:rsidR="00BE0E45" w:rsidRPr="001B13F6">
        <w:t xml:space="preserve">20 </w:t>
      </w:r>
      <w:r w:rsidRPr="001B13F6">
        <w:t xml:space="preserve">States </w:t>
      </w:r>
      <w:r w:rsidR="00BE0E45" w:rsidRPr="001B13F6">
        <w:t>(such as Albania, Argentina, Azerbaijan, Belarus, the Plurinational State of Bolivia, Brazil, Czechia, France, Norway and Ukraine)</w:t>
      </w:r>
      <w:r w:rsidR="007F3363" w:rsidRPr="001B13F6">
        <w:t xml:space="preserve"> </w:t>
      </w:r>
      <w:r w:rsidR="00BE0E45" w:rsidRPr="001B13F6">
        <w:t xml:space="preserve">the </w:t>
      </w:r>
      <w:r w:rsidRPr="001B13F6">
        <w:t xml:space="preserve">constitutions </w:t>
      </w:r>
      <w:r w:rsidR="00BE0E45" w:rsidRPr="001B13F6">
        <w:t xml:space="preserve">of which </w:t>
      </w:r>
      <w:r w:rsidRPr="001B13F6">
        <w:t xml:space="preserve">guarantee the right of access to environmental information. </w:t>
      </w:r>
    </w:p>
    <w:p w14:paraId="1C30EEE7" w14:textId="5F6C9DEA" w:rsidR="00F66FC9" w:rsidRPr="001B13F6" w:rsidRDefault="00F66FC9">
      <w:pPr>
        <w:pStyle w:val="SingleTxtG"/>
      </w:pPr>
      <w:r w:rsidRPr="001B13F6">
        <w:t>15.</w:t>
      </w:r>
      <w:r w:rsidRPr="001B13F6">
        <w:tab/>
      </w:r>
      <w:r w:rsidR="00BE0E45" w:rsidRPr="001B13F6">
        <w:t>Other</w:t>
      </w:r>
      <w:r w:rsidRPr="001B13F6">
        <w:t xml:space="preserve"> States have enacted legislation specifically authorizing affordable access to environmental information. For example, </w:t>
      </w:r>
      <w:r w:rsidR="00BE0E45" w:rsidRPr="001B13F6">
        <w:t xml:space="preserve">in </w:t>
      </w:r>
      <w:r w:rsidRPr="001B13F6">
        <w:t>Norway</w:t>
      </w:r>
      <w:r w:rsidR="00BE0E45" w:rsidRPr="001B13F6">
        <w:t>,</w:t>
      </w:r>
      <w:r w:rsidRPr="001B13F6">
        <w:t xml:space="preserve"> </w:t>
      </w:r>
      <w:r w:rsidR="00BE0E45" w:rsidRPr="001B13F6">
        <w:t xml:space="preserve">the </w:t>
      </w:r>
      <w:r w:rsidRPr="001B13F6">
        <w:t xml:space="preserve">Environmental Information Act recognizes every person’s right to obtain a broad range of environmental information from public and private entities, subject to specified exceptions that are to be narrowly interpreted. </w:t>
      </w:r>
      <w:r w:rsidR="000D0DFB" w:rsidRPr="001B13F6">
        <w:t xml:space="preserve">In </w:t>
      </w:r>
      <w:r w:rsidRPr="001B13F6">
        <w:t>Slovenia</w:t>
      </w:r>
      <w:r w:rsidR="000D0DFB" w:rsidRPr="001B13F6">
        <w:t>, the</w:t>
      </w:r>
      <w:r w:rsidRPr="001B13F6">
        <w:t xml:space="preserve"> Environmental Act specifies that environmental information is public and everyone has the right to </w:t>
      </w:r>
      <w:r w:rsidR="000D0DFB" w:rsidRPr="001B13F6">
        <w:t xml:space="preserve">have </w:t>
      </w:r>
      <w:r w:rsidRPr="001B13F6">
        <w:t xml:space="preserve">access </w:t>
      </w:r>
      <w:r w:rsidR="000D0DFB" w:rsidRPr="001B13F6">
        <w:t xml:space="preserve">to </w:t>
      </w:r>
      <w:r w:rsidRPr="001B13F6">
        <w:t>environmental information.</w:t>
      </w:r>
    </w:p>
    <w:p w14:paraId="5A27A92D" w14:textId="1F6F0A99" w:rsidR="00F66FC9" w:rsidRPr="001B13F6" w:rsidRDefault="00F66FC9">
      <w:pPr>
        <w:pStyle w:val="SingleTxtG"/>
      </w:pPr>
      <w:r w:rsidRPr="001B13F6">
        <w:t>16.</w:t>
      </w:r>
      <w:r w:rsidRPr="001B13F6">
        <w:tab/>
        <w:t>A growing number of States have created websites that offer comprehensive information relat</w:t>
      </w:r>
      <w:r w:rsidR="00DD4249" w:rsidRPr="001B13F6">
        <w:t>ing</w:t>
      </w:r>
      <w:r w:rsidRPr="001B13F6">
        <w:t xml:space="preserve"> to the environment. </w:t>
      </w:r>
      <w:r w:rsidR="00DD4249" w:rsidRPr="001B13F6">
        <w:t xml:space="preserve">In </w:t>
      </w:r>
      <w:r w:rsidRPr="001B13F6">
        <w:t>Uruguay</w:t>
      </w:r>
      <w:r w:rsidR="00DD4249" w:rsidRPr="001B13F6">
        <w:t>,</w:t>
      </w:r>
      <w:r w:rsidRPr="001B13F6">
        <w:t xml:space="preserve"> a </w:t>
      </w:r>
      <w:r w:rsidR="00DD4249" w:rsidRPr="001B13F6">
        <w:t>n</w:t>
      </w:r>
      <w:r w:rsidRPr="001B13F6">
        <w:t xml:space="preserve">ational </w:t>
      </w:r>
      <w:r w:rsidR="00DD4249" w:rsidRPr="001B13F6">
        <w:t>e</w:t>
      </w:r>
      <w:r w:rsidRPr="001B13F6">
        <w:t xml:space="preserve">nvironmental </w:t>
      </w:r>
      <w:r w:rsidR="00DD4249" w:rsidRPr="001B13F6">
        <w:t>o</w:t>
      </w:r>
      <w:r w:rsidRPr="001B13F6">
        <w:t xml:space="preserve">bservatory </w:t>
      </w:r>
      <w:r w:rsidR="00DD4249" w:rsidRPr="001B13F6">
        <w:t xml:space="preserve">was created </w:t>
      </w:r>
      <w:r w:rsidRPr="001B13F6">
        <w:t>to organize and disseminate all available environmental information in a single portal.</w:t>
      </w:r>
      <w:r w:rsidRPr="001B13F6">
        <w:rPr>
          <w:rStyle w:val="FootnoteReference"/>
        </w:rPr>
        <w:footnoteReference w:id="5"/>
      </w:r>
      <w:r w:rsidRPr="001B13F6">
        <w:rPr>
          <w:rStyle w:val="FootnoteReference"/>
        </w:rPr>
        <w:t xml:space="preserve"> </w:t>
      </w:r>
      <w:r w:rsidRPr="001B13F6">
        <w:t xml:space="preserve">Environmental indicators identify </w:t>
      </w:r>
      <w:r w:rsidR="00B6398A" w:rsidRPr="001B13F6">
        <w:t xml:space="preserve">not only </w:t>
      </w:r>
      <w:r w:rsidRPr="001B13F6">
        <w:t xml:space="preserve">trends in the state of the environment, </w:t>
      </w:r>
      <w:r w:rsidR="00DD4249" w:rsidRPr="001B13F6">
        <w:t xml:space="preserve">such as </w:t>
      </w:r>
      <w:r w:rsidRPr="001B13F6">
        <w:t>pollutant emissions, waste, effects on the quality of water, air, soil and biodiversity</w:t>
      </w:r>
      <w:r w:rsidR="00B6398A" w:rsidRPr="001B13F6">
        <w:t>, but also</w:t>
      </w:r>
      <w:r w:rsidRPr="001B13F6">
        <w:t xml:space="preserve"> the protection and response measures </w:t>
      </w:r>
      <w:r w:rsidR="00B6398A" w:rsidRPr="001B13F6">
        <w:t xml:space="preserve">being </w:t>
      </w:r>
      <w:r w:rsidRPr="001B13F6">
        <w:t xml:space="preserve">developed by </w:t>
      </w:r>
      <w:r w:rsidR="00B6398A" w:rsidRPr="001B13F6">
        <w:t>G</w:t>
      </w:r>
      <w:r w:rsidRPr="001B13F6">
        <w:t xml:space="preserve">overnments. The </w:t>
      </w:r>
      <w:r w:rsidR="00B6398A" w:rsidRPr="001B13F6">
        <w:t>o</w:t>
      </w:r>
      <w:r w:rsidRPr="001B13F6">
        <w:t xml:space="preserve">bservatory also </w:t>
      </w:r>
      <w:r w:rsidR="00B6398A" w:rsidRPr="001B13F6">
        <w:t xml:space="preserve">provides </w:t>
      </w:r>
      <w:r w:rsidRPr="001B13F6">
        <w:t>information on territorial planning</w:t>
      </w:r>
      <w:r w:rsidR="00B6398A" w:rsidRPr="001B13F6">
        <w:t xml:space="preserve"> and</w:t>
      </w:r>
      <w:r w:rsidRPr="001B13F6">
        <w:t xml:space="preserve"> </w:t>
      </w:r>
      <w:r w:rsidR="00B6398A" w:rsidRPr="001B13F6">
        <w:t xml:space="preserve">the </w:t>
      </w:r>
      <w:r w:rsidRPr="001B13F6">
        <w:t xml:space="preserve">environmental management of river basins and aquifers, technical reports and open data </w:t>
      </w:r>
      <w:r w:rsidR="00B6398A" w:rsidRPr="001B13F6">
        <w:t>for</w:t>
      </w:r>
      <w:r w:rsidRPr="001B13F6">
        <w:t xml:space="preserve"> researchers. </w:t>
      </w:r>
      <w:r w:rsidR="00B6398A" w:rsidRPr="001B13F6">
        <w:t xml:space="preserve">One </w:t>
      </w:r>
      <w:r w:rsidRPr="001B13F6">
        <w:t xml:space="preserve">innovative </w:t>
      </w:r>
      <w:r w:rsidR="00B6398A" w:rsidRPr="001B13F6">
        <w:t xml:space="preserve">feature </w:t>
      </w:r>
      <w:r w:rsidRPr="001B13F6">
        <w:t xml:space="preserve">of the </w:t>
      </w:r>
      <w:r w:rsidR="00B6398A" w:rsidRPr="001B13F6">
        <w:t>o</w:t>
      </w:r>
      <w:r w:rsidRPr="001B13F6">
        <w:t xml:space="preserve">bservatory is </w:t>
      </w:r>
      <w:r w:rsidR="00B6398A" w:rsidRPr="001B13F6">
        <w:t xml:space="preserve">the fact </w:t>
      </w:r>
      <w:r w:rsidRPr="001B13F6">
        <w:t xml:space="preserve">that it provides </w:t>
      </w:r>
      <w:r w:rsidR="00B6398A" w:rsidRPr="001B13F6">
        <w:t xml:space="preserve">citizens with </w:t>
      </w:r>
      <w:r w:rsidRPr="001B13F6">
        <w:t xml:space="preserve">a simple </w:t>
      </w:r>
      <w:r w:rsidR="00B6398A" w:rsidRPr="001B13F6">
        <w:t>procedure for reporting</w:t>
      </w:r>
      <w:r w:rsidRPr="001B13F6">
        <w:t xml:space="preserve"> potential violations</w:t>
      </w:r>
      <w:r w:rsidR="00B6398A" w:rsidRPr="001B13F6">
        <w:t xml:space="preserve"> of environmental law</w:t>
      </w:r>
      <w:r w:rsidRPr="001B13F6">
        <w:t xml:space="preserve">. Citizens can also share information on </w:t>
      </w:r>
      <w:r w:rsidR="00B6398A" w:rsidRPr="001B13F6">
        <w:t xml:space="preserve">wildlife </w:t>
      </w:r>
      <w:r w:rsidRPr="001B13F6">
        <w:t xml:space="preserve">species sighting and coastal monitoring. </w:t>
      </w:r>
      <w:r w:rsidR="00B6398A" w:rsidRPr="001B13F6">
        <w:t>A</w:t>
      </w:r>
      <w:r w:rsidRPr="001B13F6">
        <w:t xml:space="preserve"> similar environmental observatory</w:t>
      </w:r>
      <w:r w:rsidR="00B6398A" w:rsidRPr="001B13F6">
        <w:t xml:space="preserve"> operates in El Salvador</w:t>
      </w:r>
      <w:r w:rsidRPr="001B13F6">
        <w:t>.</w:t>
      </w:r>
    </w:p>
    <w:p w14:paraId="018B4D89" w14:textId="40B6BAB5" w:rsidR="00F66FC9" w:rsidRPr="001B13F6" w:rsidRDefault="00F66FC9">
      <w:pPr>
        <w:pStyle w:val="SingleTxtG"/>
      </w:pPr>
      <w:r w:rsidRPr="001B13F6">
        <w:t>17.</w:t>
      </w:r>
      <w:r w:rsidRPr="001B13F6">
        <w:tab/>
        <w:t xml:space="preserve">Hungary has a comprehensive </w:t>
      </w:r>
      <w:r w:rsidR="001219E9" w:rsidRPr="001B13F6">
        <w:t>n</w:t>
      </w:r>
      <w:r w:rsidRPr="001B13F6">
        <w:t xml:space="preserve">ational </w:t>
      </w:r>
      <w:r w:rsidR="001219E9" w:rsidRPr="001B13F6">
        <w:t>e</w:t>
      </w:r>
      <w:r w:rsidRPr="001B13F6">
        <w:t xml:space="preserve">nvironmental </w:t>
      </w:r>
      <w:r w:rsidR="001219E9" w:rsidRPr="001B13F6">
        <w:t>i</w:t>
      </w:r>
      <w:r w:rsidRPr="001B13F6">
        <w:t xml:space="preserve">nformation </w:t>
      </w:r>
      <w:r w:rsidR="001219E9" w:rsidRPr="001B13F6">
        <w:t>s</w:t>
      </w:r>
      <w:r w:rsidRPr="001B13F6">
        <w:t xml:space="preserve">ystem. The </w:t>
      </w:r>
      <w:r w:rsidR="001219E9" w:rsidRPr="001B13F6">
        <w:t>n</w:t>
      </w:r>
      <w:r w:rsidRPr="001B13F6">
        <w:t xml:space="preserve">ational </w:t>
      </w:r>
      <w:r w:rsidR="001219E9" w:rsidRPr="001B13F6">
        <w:t>p</w:t>
      </w:r>
      <w:r w:rsidRPr="001B13F6">
        <w:t xml:space="preserve">ublic </w:t>
      </w:r>
      <w:r w:rsidR="001219E9" w:rsidRPr="001B13F6">
        <w:t>h</w:t>
      </w:r>
      <w:r w:rsidRPr="001B13F6">
        <w:t xml:space="preserve">ealth </w:t>
      </w:r>
      <w:r w:rsidR="001219E9" w:rsidRPr="001B13F6">
        <w:t>i</w:t>
      </w:r>
      <w:r w:rsidRPr="001B13F6">
        <w:t xml:space="preserve">nstitute publishes updated data online </w:t>
      </w:r>
      <w:r w:rsidR="001219E9" w:rsidRPr="001B13F6">
        <w:t xml:space="preserve">on </w:t>
      </w:r>
      <w:r w:rsidRPr="001B13F6">
        <w:t>air quality</w:t>
      </w:r>
      <w:r w:rsidR="001219E9" w:rsidRPr="001B13F6">
        <w:t xml:space="preserve"> and</w:t>
      </w:r>
      <w:r w:rsidRPr="001B13F6">
        <w:t xml:space="preserve"> the quality of drinking water and bathing water, pollen levels, and other </w:t>
      </w:r>
      <w:r w:rsidR="001219E9" w:rsidRPr="001B13F6">
        <w:t xml:space="preserve">factors posing a </w:t>
      </w:r>
      <w:r w:rsidRPr="001B13F6">
        <w:t>potential health risk.</w:t>
      </w:r>
      <w:r w:rsidRPr="001B13F6">
        <w:rPr>
          <w:rStyle w:val="FootnoteReference"/>
        </w:rPr>
        <w:footnoteReference w:id="6"/>
      </w:r>
      <w:r w:rsidRPr="001B13F6">
        <w:rPr>
          <w:rStyle w:val="FootnoteReference"/>
        </w:rPr>
        <w:t xml:space="preserve"> </w:t>
      </w:r>
      <w:r w:rsidRPr="001B13F6">
        <w:t xml:space="preserve">France, North Macedonia, Norway and Sweden also have excellent websites with comprehensive information on the state of the environment. </w:t>
      </w:r>
    </w:p>
    <w:p w14:paraId="67791D4A" w14:textId="418A6212" w:rsidR="00F66FC9" w:rsidRPr="001B13F6" w:rsidRDefault="00F66FC9">
      <w:pPr>
        <w:pStyle w:val="SingleTxtG"/>
      </w:pPr>
      <w:r w:rsidRPr="001B13F6">
        <w:t>18.</w:t>
      </w:r>
      <w:r w:rsidRPr="001B13F6">
        <w:tab/>
        <w:t xml:space="preserve">Fiji, Kiribati, </w:t>
      </w:r>
      <w:r w:rsidR="001219E9" w:rsidRPr="001B13F6">
        <w:t xml:space="preserve">the </w:t>
      </w:r>
      <w:r w:rsidRPr="001B13F6">
        <w:t xml:space="preserve">Marshall Islands, </w:t>
      </w:r>
      <w:r w:rsidR="001219E9" w:rsidRPr="001B13F6">
        <w:t xml:space="preserve">the Federated States of </w:t>
      </w:r>
      <w:r w:rsidRPr="001B13F6">
        <w:t xml:space="preserve">Micronesia, Nauru, Palau, Papua New Guinea, Samoa, </w:t>
      </w:r>
      <w:r w:rsidR="001219E9" w:rsidRPr="001B13F6">
        <w:t xml:space="preserve">the </w:t>
      </w:r>
      <w:r w:rsidRPr="001B13F6">
        <w:t>Solomon Islands, Tonga, Tuvalu and Vanuatu are collaborating on a Pacific island network of national and regional data repositories, reporting tools and public websites to monitor, evaluate and analy</w:t>
      </w:r>
      <w:r w:rsidR="001219E9" w:rsidRPr="001B13F6">
        <w:t>s</w:t>
      </w:r>
      <w:r w:rsidRPr="001B13F6">
        <w:t>e environmental information, supporting planning, forecasting and reporting requirements.</w:t>
      </w:r>
      <w:r w:rsidRPr="001B13F6">
        <w:rPr>
          <w:rStyle w:val="FootnoteReference"/>
        </w:rPr>
        <w:footnoteReference w:id="7"/>
      </w:r>
    </w:p>
    <w:p w14:paraId="4DECC981" w14:textId="477197B9" w:rsidR="00F66FC9" w:rsidRPr="001B13F6" w:rsidRDefault="00F66FC9">
      <w:pPr>
        <w:pStyle w:val="SingleTxtG"/>
      </w:pPr>
      <w:r w:rsidRPr="001B13F6">
        <w:t>19.</w:t>
      </w:r>
      <w:r w:rsidRPr="001B13F6">
        <w:tab/>
        <w:t xml:space="preserve">Another important type of environmental information is data about toxic substances. The Protocol on Pollutant Release and Transfer Registers </w:t>
      </w:r>
      <w:r w:rsidR="008D2253" w:rsidRPr="001B13F6">
        <w:t xml:space="preserve">to the Aarhus Convention </w:t>
      </w:r>
      <w:r w:rsidRPr="001B13F6">
        <w:t xml:space="preserve">requires its 35 </w:t>
      </w:r>
      <w:r w:rsidR="008D2253" w:rsidRPr="001B13F6">
        <w:t>p</w:t>
      </w:r>
      <w:r w:rsidRPr="001B13F6">
        <w:t xml:space="preserve">arties </w:t>
      </w:r>
      <w:r w:rsidR="008D2253" w:rsidRPr="001B13F6">
        <w:t xml:space="preserve">thereto </w:t>
      </w:r>
      <w:r w:rsidRPr="001B13F6">
        <w:t xml:space="preserve">to collect and publish information on pollution from industrial facilities. This information must be gathered annually, made available in </w:t>
      </w:r>
      <w:r w:rsidR="008D2253" w:rsidRPr="001B13F6">
        <w:t xml:space="preserve">a </w:t>
      </w:r>
      <w:r w:rsidRPr="001B13F6">
        <w:t xml:space="preserve">user-friendly way to the public for free, and must include at least 86 pollutants covered by the Protocol. Canada, Mexico and the United States </w:t>
      </w:r>
      <w:r w:rsidR="008D2253" w:rsidRPr="001B13F6">
        <w:t xml:space="preserve">of America </w:t>
      </w:r>
      <w:r w:rsidRPr="001B13F6">
        <w:t>also have comprehensive pollutant release inventories.</w:t>
      </w:r>
    </w:p>
    <w:p w14:paraId="0FFB4337" w14:textId="095BC03A" w:rsidR="00F66FC9" w:rsidRPr="001B13F6" w:rsidRDefault="00F66FC9">
      <w:pPr>
        <w:pStyle w:val="SingleTxtG"/>
      </w:pPr>
      <w:r w:rsidRPr="001B13F6">
        <w:t>20.</w:t>
      </w:r>
      <w:r w:rsidRPr="001B13F6">
        <w:tab/>
        <w:t>A growing number of States publish regular national reports on the state of the environment, including Hungary, Kazakhstan and Turkey. Kazakhstan also publishes monthly bulletins on topics relat</w:t>
      </w:r>
      <w:r w:rsidR="008D2253" w:rsidRPr="001B13F6">
        <w:t>ing</w:t>
      </w:r>
      <w:r w:rsidRPr="001B13F6">
        <w:t xml:space="preserve"> to the state of the environment and the use of natural resources. South Sudan published </w:t>
      </w:r>
      <w:r w:rsidR="008D2253" w:rsidRPr="001B13F6">
        <w:t>its first s</w:t>
      </w:r>
      <w:r w:rsidRPr="001B13F6">
        <w:t xml:space="preserve">tate of </w:t>
      </w:r>
      <w:r w:rsidR="008D2253" w:rsidRPr="001B13F6">
        <w:t>the e</w:t>
      </w:r>
      <w:r w:rsidRPr="001B13F6">
        <w:t xml:space="preserve">nvironment and </w:t>
      </w:r>
      <w:r w:rsidR="008D2253" w:rsidRPr="001B13F6">
        <w:t>o</w:t>
      </w:r>
      <w:r w:rsidRPr="001B13F6">
        <w:t xml:space="preserve">utlook </w:t>
      </w:r>
      <w:r w:rsidR="008D2253" w:rsidRPr="001B13F6">
        <w:t>r</w:t>
      </w:r>
      <w:r w:rsidRPr="001B13F6">
        <w:t xml:space="preserve">eport just one month after </w:t>
      </w:r>
      <w:r w:rsidR="008D2253" w:rsidRPr="001B13F6">
        <w:t xml:space="preserve">gaining </w:t>
      </w:r>
      <w:r w:rsidRPr="001B13F6">
        <w:t>independence.</w:t>
      </w:r>
    </w:p>
    <w:p w14:paraId="354E574B" w14:textId="57869C80" w:rsidR="00F66FC9" w:rsidRPr="001B13F6" w:rsidRDefault="00F66FC9">
      <w:pPr>
        <w:pStyle w:val="SingleTxtG"/>
      </w:pPr>
      <w:r w:rsidRPr="001B13F6">
        <w:t>21.</w:t>
      </w:r>
      <w:r w:rsidRPr="001B13F6">
        <w:tab/>
        <w:t xml:space="preserve">Laws in Armenia, Azerbaijan, Brazil, Montenegro, </w:t>
      </w:r>
      <w:r w:rsidR="008D2253" w:rsidRPr="001B13F6">
        <w:t xml:space="preserve">the </w:t>
      </w:r>
      <w:r w:rsidRPr="001B13F6">
        <w:t xml:space="preserve">Philippines, Portugal, </w:t>
      </w:r>
      <w:r w:rsidR="008D2253" w:rsidRPr="001B13F6">
        <w:t xml:space="preserve">the Republic of Korea and </w:t>
      </w:r>
      <w:r w:rsidRPr="001B13F6">
        <w:t xml:space="preserve">Senegal require </w:t>
      </w:r>
      <w:r w:rsidR="008D2253" w:rsidRPr="001B13F6">
        <w:t>the G</w:t>
      </w:r>
      <w:r w:rsidRPr="001B13F6">
        <w:t xml:space="preserve">overnment to provide environmental education. For example, </w:t>
      </w:r>
      <w:r w:rsidR="008D2253" w:rsidRPr="001B13F6">
        <w:t xml:space="preserve">in </w:t>
      </w:r>
      <w:r w:rsidRPr="001B13F6">
        <w:t>Montenegro</w:t>
      </w:r>
      <w:r w:rsidR="008D2253" w:rsidRPr="001B13F6">
        <w:t xml:space="preserve">, </w:t>
      </w:r>
      <w:r w:rsidRPr="001B13F6">
        <w:t xml:space="preserve">Law on the Protection of Nature </w:t>
      </w:r>
      <w:r w:rsidR="008D2253" w:rsidRPr="001B13F6">
        <w:t xml:space="preserve">(2016) </w:t>
      </w:r>
      <w:r w:rsidRPr="001B13F6">
        <w:t>calls for “emphasizing the importance and necessity of nature protection through the education system from pre-school to university”</w:t>
      </w:r>
      <w:r w:rsidR="008D2253" w:rsidRPr="001B13F6">
        <w:t>.</w:t>
      </w:r>
      <w:r w:rsidRPr="001B13F6">
        <w:t xml:space="preserve"> After </w:t>
      </w:r>
      <w:r w:rsidR="008D2253" w:rsidRPr="001B13F6">
        <w:t xml:space="preserve">adopting </w:t>
      </w:r>
      <w:r w:rsidRPr="001B13F6">
        <w:t xml:space="preserve">a </w:t>
      </w:r>
      <w:r w:rsidR="008D2253" w:rsidRPr="001B13F6">
        <w:t>n</w:t>
      </w:r>
      <w:r w:rsidRPr="001B13F6">
        <w:t xml:space="preserve">ational </w:t>
      </w:r>
      <w:r w:rsidR="008D2253" w:rsidRPr="001B13F6">
        <w:t>c</w:t>
      </w:r>
      <w:r w:rsidRPr="001B13F6">
        <w:t xml:space="preserve">limate </w:t>
      </w:r>
      <w:r w:rsidR="008D2253" w:rsidRPr="001B13F6">
        <w:t>c</w:t>
      </w:r>
      <w:r w:rsidRPr="001B13F6">
        <w:t xml:space="preserve">hange </w:t>
      </w:r>
      <w:r w:rsidR="008D2253" w:rsidRPr="001B13F6">
        <w:t>p</w:t>
      </w:r>
      <w:r w:rsidRPr="001B13F6">
        <w:t xml:space="preserve">olicy, Ghana is now implementing a national climate education strategy. </w:t>
      </w:r>
      <w:r w:rsidR="008D2253" w:rsidRPr="001B13F6">
        <w:t>Lessons on c</w:t>
      </w:r>
      <w:r w:rsidRPr="001B13F6">
        <w:t xml:space="preserve">limate change will be included in the primary school curriculum with </w:t>
      </w:r>
      <w:r w:rsidR="008D2253" w:rsidRPr="001B13F6">
        <w:t xml:space="preserve">a </w:t>
      </w:r>
      <w:r w:rsidRPr="001B13F6">
        <w:t xml:space="preserve">goal of </w:t>
      </w:r>
      <w:r w:rsidR="008D2253" w:rsidRPr="001B13F6">
        <w:t xml:space="preserve">raising schoolchildren’s awareness of </w:t>
      </w:r>
      <w:r w:rsidRPr="001B13F6">
        <w:t>environmental</w:t>
      </w:r>
      <w:r w:rsidR="008D2253" w:rsidRPr="001B13F6">
        <w:t xml:space="preserve"> issues</w:t>
      </w:r>
      <w:r w:rsidRPr="001B13F6">
        <w:t>.</w:t>
      </w:r>
    </w:p>
    <w:p w14:paraId="1E8AB817" w14:textId="77777777" w:rsidR="00F66FC9" w:rsidRPr="001B13F6" w:rsidRDefault="006760AA" w:rsidP="00463874">
      <w:pPr>
        <w:pStyle w:val="H23G"/>
        <w:spacing w:line="240" w:lineRule="atLeast"/>
      </w:pPr>
      <w:r w:rsidRPr="001B13F6">
        <w:tab/>
        <w:t>2.</w:t>
      </w:r>
      <w:r w:rsidRPr="001B13F6">
        <w:tab/>
      </w:r>
      <w:r w:rsidR="00F66FC9" w:rsidRPr="001B13F6">
        <w:t>Public participation in environmental decision-making</w:t>
      </w:r>
    </w:p>
    <w:p w14:paraId="4AC51608" w14:textId="622ED049" w:rsidR="00F66FC9" w:rsidRPr="001B13F6" w:rsidRDefault="00F66FC9">
      <w:pPr>
        <w:pStyle w:val="SingleTxtG"/>
      </w:pPr>
      <w:r w:rsidRPr="001B13F6">
        <w:t>22.</w:t>
      </w:r>
      <w:r w:rsidRPr="001B13F6">
        <w:tab/>
        <w:t xml:space="preserve">Ensuring broad, inclusive and gender-sensitive public participation not only fulfils human rights obligations but </w:t>
      </w:r>
      <w:r w:rsidR="008D2253" w:rsidRPr="001B13F6">
        <w:t xml:space="preserve">also </w:t>
      </w:r>
      <w:r w:rsidRPr="001B13F6">
        <w:t>results in better outcomes.</w:t>
      </w:r>
    </w:p>
    <w:p w14:paraId="05EB1C48" w14:textId="0F584E5C" w:rsidR="00F66FC9" w:rsidRPr="001B13F6" w:rsidRDefault="00F66FC9">
      <w:pPr>
        <w:pStyle w:val="SingleTxtG"/>
      </w:pPr>
      <w:r w:rsidRPr="001B13F6">
        <w:t>23.</w:t>
      </w:r>
      <w:r w:rsidRPr="001B13F6">
        <w:tab/>
        <w:t xml:space="preserve">In 2005, France enshrined in its </w:t>
      </w:r>
      <w:r w:rsidR="00C414A0" w:rsidRPr="001B13F6">
        <w:t>C</w:t>
      </w:r>
      <w:r w:rsidRPr="001B13F6">
        <w:t xml:space="preserve">onstitution the public’s right to participate in decisions affecting the environment. </w:t>
      </w:r>
      <w:r w:rsidR="00C414A0" w:rsidRPr="001B13F6">
        <w:t xml:space="preserve">The </w:t>
      </w:r>
      <w:r w:rsidRPr="001B13F6">
        <w:t xml:space="preserve">Economic, Social and Environmental Council is a consultative assembly that promotes dialogue and cooperation between different groups of stakeholders to ensure </w:t>
      </w:r>
      <w:r w:rsidR="00C414A0" w:rsidRPr="001B13F6">
        <w:t xml:space="preserve">that </w:t>
      </w:r>
      <w:r w:rsidRPr="001B13F6">
        <w:t xml:space="preserve">a diversity of views contribute to public policy development. The National Commission for Public Debate organizes public debates on proposals for major development projects, such as nuclear reactors, railways, highways, natural gas pipelines, hydroelectric dams, sports stadiums, and radioactive waste storage facilities. Between 2002 and 2014, the Commission </w:t>
      </w:r>
      <w:r w:rsidR="00C414A0" w:rsidRPr="001B13F6">
        <w:t xml:space="preserve">held </w:t>
      </w:r>
      <w:r w:rsidRPr="001B13F6">
        <w:t>70 public debates and 800 meetings involving</w:t>
      </w:r>
      <w:r w:rsidR="006760AA" w:rsidRPr="001B13F6">
        <w:t xml:space="preserve"> approximately 150,000 people.</w:t>
      </w:r>
    </w:p>
    <w:p w14:paraId="27A8B4CC" w14:textId="19AAA46B" w:rsidR="00F66FC9" w:rsidRPr="001B13F6" w:rsidRDefault="00F66FC9">
      <w:pPr>
        <w:pStyle w:val="SingleTxtG"/>
      </w:pPr>
      <w:r w:rsidRPr="001B13F6">
        <w:t>24.</w:t>
      </w:r>
      <w:r w:rsidRPr="001B13F6">
        <w:tab/>
      </w:r>
      <w:r w:rsidR="00C414A0" w:rsidRPr="001B13F6">
        <w:t xml:space="preserve">In </w:t>
      </w:r>
      <w:r w:rsidRPr="001B13F6">
        <w:t>Slovenia</w:t>
      </w:r>
      <w:r w:rsidR="00C414A0" w:rsidRPr="001B13F6">
        <w:t xml:space="preserve">, the </w:t>
      </w:r>
      <w:r w:rsidRPr="001B13F6">
        <w:t xml:space="preserve">Environmental Act articulates the public’s right to participate in a wide range </w:t>
      </w:r>
      <w:r w:rsidR="0080181B" w:rsidRPr="001B13F6">
        <w:t xml:space="preserve">of </w:t>
      </w:r>
      <w:r w:rsidRPr="001B13F6">
        <w:t xml:space="preserve">procedures relating to environmental protection. </w:t>
      </w:r>
      <w:r w:rsidR="0080181B" w:rsidRPr="001B13F6">
        <w:t xml:space="preserve">Laws adopted in </w:t>
      </w:r>
      <w:r w:rsidRPr="001B13F6">
        <w:t xml:space="preserve">Hungary also guarantee </w:t>
      </w:r>
      <w:r w:rsidR="0080181B" w:rsidRPr="001B13F6">
        <w:t xml:space="preserve">the </w:t>
      </w:r>
      <w:r w:rsidRPr="001B13F6">
        <w:t xml:space="preserve">involvement of </w:t>
      </w:r>
      <w:r w:rsidR="0080181B" w:rsidRPr="001B13F6">
        <w:t xml:space="preserve">the </w:t>
      </w:r>
      <w:r w:rsidRPr="001B13F6">
        <w:t>public in decision</w:t>
      </w:r>
      <w:r w:rsidR="0080181B" w:rsidRPr="001B13F6">
        <w:t>-</w:t>
      </w:r>
      <w:r w:rsidRPr="001B13F6">
        <w:t>making</w:t>
      </w:r>
      <w:r w:rsidR="0080181B" w:rsidRPr="001B13F6">
        <w:t xml:space="preserve"> processes</w:t>
      </w:r>
      <w:r w:rsidRPr="001B13F6">
        <w:t>.</w:t>
      </w:r>
    </w:p>
    <w:p w14:paraId="6757F8C7" w14:textId="4267AF0E" w:rsidR="00F66FC9" w:rsidRPr="001B13F6" w:rsidRDefault="00F66FC9">
      <w:pPr>
        <w:pStyle w:val="SingleTxtG"/>
      </w:pPr>
      <w:r w:rsidRPr="001B13F6">
        <w:t>25.</w:t>
      </w:r>
      <w:r w:rsidRPr="001B13F6">
        <w:tab/>
      </w:r>
      <w:r w:rsidR="008B03CC" w:rsidRPr="001B13F6">
        <w:t xml:space="preserve">In </w:t>
      </w:r>
      <w:r w:rsidRPr="001B13F6">
        <w:t>Norway</w:t>
      </w:r>
      <w:r w:rsidR="008B03CC" w:rsidRPr="001B13F6">
        <w:t>,</w:t>
      </w:r>
      <w:r w:rsidRPr="001B13F6">
        <w:t xml:space="preserve"> </w:t>
      </w:r>
      <w:r w:rsidR="008B03CC" w:rsidRPr="001B13F6">
        <w:t xml:space="preserve">the </w:t>
      </w:r>
      <w:r w:rsidRPr="001B13F6">
        <w:t xml:space="preserve">Environmental Information Act includes provisions for public participation in environmental decision-making, while the Planning and Building Act provides extensive opportunities for residents to advocate for local plans that advance sustainability. A national guide to public participation in planning was published in 2014, with special attention </w:t>
      </w:r>
      <w:r w:rsidR="008B03CC" w:rsidRPr="001B13F6">
        <w:t xml:space="preserve">paid to the </w:t>
      </w:r>
      <w:r w:rsidRPr="001B13F6">
        <w:t>protecti</w:t>
      </w:r>
      <w:r w:rsidR="008B03CC" w:rsidRPr="001B13F6">
        <w:t>o</w:t>
      </w:r>
      <w:r w:rsidRPr="001B13F6">
        <w:t xml:space="preserve">n </w:t>
      </w:r>
      <w:r w:rsidR="008B03CC" w:rsidRPr="001B13F6">
        <w:t xml:space="preserve">of </w:t>
      </w:r>
      <w:r w:rsidRPr="001B13F6">
        <w:t xml:space="preserve">the interests of vulnerable groups. In 2018, Norway adopted </w:t>
      </w:r>
      <w:r w:rsidR="007F3363" w:rsidRPr="001B13F6">
        <w:t>a new</w:t>
      </w:r>
      <w:r w:rsidR="008B03CC" w:rsidRPr="001B13F6">
        <w:t xml:space="preserve"> </w:t>
      </w:r>
      <w:r w:rsidRPr="001B13F6">
        <w:t>Local Government Act</w:t>
      </w:r>
      <w:r w:rsidR="008B03CC" w:rsidRPr="001B13F6">
        <w:t>,</w:t>
      </w:r>
      <w:r w:rsidRPr="001B13F6">
        <w:t xml:space="preserve"> </w:t>
      </w:r>
      <w:r w:rsidR="008B03CC" w:rsidRPr="001B13F6">
        <w:t>which</w:t>
      </w:r>
      <w:r w:rsidRPr="001B13F6">
        <w:t xml:space="preserve"> </w:t>
      </w:r>
      <w:r w:rsidR="008B03CC" w:rsidRPr="001B13F6">
        <w:t>requires</w:t>
      </w:r>
      <w:r w:rsidRPr="001B13F6">
        <w:t xml:space="preserve"> all local and regional authorities to establish three councils</w:t>
      </w:r>
      <w:r w:rsidR="008B03CC" w:rsidRPr="001B13F6">
        <w:t>, to</w:t>
      </w:r>
      <w:r w:rsidRPr="001B13F6">
        <w:t xml:space="preserve"> represent you</w:t>
      </w:r>
      <w:r w:rsidR="008B03CC" w:rsidRPr="001B13F6">
        <w:t>ng people</w:t>
      </w:r>
      <w:r w:rsidRPr="001B13F6">
        <w:t>, older persons and persons with disabilities. Norway also formalized a consultation procedure with the Sami indigenous people in 2005, fulfilling the right of indigenous peoples to participate in decision-making processes.</w:t>
      </w:r>
    </w:p>
    <w:p w14:paraId="34EFC9FA" w14:textId="300BABD6" w:rsidR="00F66FC9" w:rsidRPr="001B13F6" w:rsidRDefault="00F66FC9">
      <w:pPr>
        <w:pStyle w:val="SingleTxtG"/>
      </w:pPr>
      <w:r w:rsidRPr="001B13F6">
        <w:t>26.</w:t>
      </w:r>
      <w:r w:rsidRPr="001B13F6">
        <w:tab/>
        <w:t xml:space="preserve">In 2017, Finland created </w:t>
      </w:r>
      <w:r w:rsidR="008B03CC" w:rsidRPr="001B13F6">
        <w:t xml:space="preserve">the </w:t>
      </w:r>
      <w:r w:rsidRPr="001B13F6">
        <w:t xml:space="preserve">Agenda 2030 Youth Group to serve as an advocate for the Sustainable Development Goals and </w:t>
      </w:r>
      <w:r w:rsidR="008B03CC" w:rsidRPr="001B13F6">
        <w:t xml:space="preserve">to </w:t>
      </w:r>
      <w:r w:rsidRPr="001B13F6">
        <w:t>participate in national planning and implementation to achieve the</w:t>
      </w:r>
      <w:r w:rsidR="008B03CC" w:rsidRPr="001B13F6">
        <w:t>m</w:t>
      </w:r>
      <w:r w:rsidRPr="001B13F6">
        <w:t xml:space="preserve">. The Agenda 2030 Youth Group </w:t>
      </w:r>
      <w:r w:rsidR="008B03CC" w:rsidRPr="001B13F6">
        <w:t>comprises</w:t>
      </w:r>
      <w:r w:rsidRPr="001B13F6">
        <w:t xml:space="preserve"> </w:t>
      </w:r>
      <w:r w:rsidR="008B03CC" w:rsidRPr="001B13F6">
        <w:t xml:space="preserve">20 </w:t>
      </w:r>
      <w:r w:rsidRPr="001B13F6">
        <w:t xml:space="preserve">people </w:t>
      </w:r>
      <w:r w:rsidR="008B03CC" w:rsidRPr="001B13F6">
        <w:t xml:space="preserve">with diverse backgrounds, </w:t>
      </w:r>
      <w:r w:rsidRPr="001B13F6">
        <w:t xml:space="preserve">aged </w:t>
      </w:r>
      <w:r w:rsidR="008B03CC" w:rsidRPr="001B13F6">
        <w:t xml:space="preserve">between </w:t>
      </w:r>
      <w:r w:rsidRPr="001B13F6">
        <w:t xml:space="preserve">15 </w:t>
      </w:r>
      <w:r w:rsidR="008B03CC" w:rsidRPr="001B13F6">
        <w:t xml:space="preserve">and </w:t>
      </w:r>
      <w:r w:rsidRPr="001B13F6">
        <w:t>28 years</w:t>
      </w:r>
      <w:r w:rsidR="008B03CC" w:rsidRPr="001B13F6">
        <w:t>,</w:t>
      </w:r>
      <w:r w:rsidRPr="001B13F6">
        <w:t xml:space="preserve"> from all over Finland. The group organized a debate on climate change for presidential candidates and a youth climate summit in 2019, which involved 500 young people.</w:t>
      </w:r>
    </w:p>
    <w:p w14:paraId="6E2453EF" w14:textId="1A3F4E0C" w:rsidR="00F66FC9" w:rsidRPr="001B13F6" w:rsidRDefault="00F66FC9">
      <w:pPr>
        <w:pStyle w:val="SingleTxtG"/>
      </w:pPr>
      <w:r w:rsidRPr="001B13F6">
        <w:t>27.</w:t>
      </w:r>
      <w:r w:rsidRPr="001B13F6">
        <w:tab/>
        <w:t xml:space="preserve">A crucial aspect of public participation involves </w:t>
      </w:r>
      <w:r w:rsidR="008B03CC" w:rsidRPr="001B13F6">
        <w:t xml:space="preserve">the </w:t>
      </w:r>
      <w:r w:rsidRPr="001B13F6">
        <w:t>protecti</w:t>
      </w:r>
      <w:r w:rsidR="008B03CC" w:rsidRPr="001B13F6">
        <w:t>on</w:t>
      </w:r>
      <w:r w:rsidRPr="001B13F6">
        <w:t xml:space="preserve"> </w:t>
      </w:r>
      <w:r w:rsidR="008B03CC" w:rsidRPr="001B13F6">
        <w:t xml:space="preserve">of </w:t>
      </w:r>
      <w:r w:rsidRPr="001B13F6">
        <w:t xml:space="preserve">environmental human rights defenders, who are often harassed, intimidated, criminalized or even murdered. In 2018, Mali adopted </w:t>
      </w:r>
      <w:r w:rsidR="003E440A" w:rsidRPr="001B13F6">
        <w:rPr>
          <w:rFonts w:eastAsiaTheme="minorHAnsi"/>
        </w:rPr>
        <w:t>Law No. 2018-003</w:t>
      </w:r>
      <w:r w:rsidRPr="001B13F6">
        <w:t xml:space="preserve"> </w:t>
      </w:r>
      <w:r w:rsidR="003E440A" w:rsidRPr="001B13F6">
        <w:t xml:space="preserve">that affords </w:t>
      </w:r>
      <w:r w:rsidRPr="001B13F6">
        <w:t>protecti</w:t>
      </w:r>
      <w:r w:rsidR="003E440A" w:rsidRPr="001B13F6">
        <w:t>o</w:t>
      </w:r>
      <w:r w:rsidRPr="001B13F6">
        <w:t xml:space="preserve">n </w:t>
      </w:r>
      <w:r w:rsidR="003E440A" w:rsidRPr="001B13F6">
        <w:t xml:space="preserve">to </w:t>
      </w:r>
      <w:r w:rsidRPr="001B13F6">
        <w:t>human rights defenders, including environmentalists. Burkina Faso and C</w:t>
      </w:r>
      <w:r w:rsidR="003E440A" w:rsidRPr="001B13F6">
        <w:t>ô</w:t>
      </w:r>
      <w:r w:rsidRPr="001B13F6">
        <w:t>te d’Ivoire also enacted laws to safeguard human rights defenders.</w:t>
      </w:r>
      <w:r w:rsidRPr="001B13F6">
        <w:rPr>
          <w:rStyle w:val="FootnoteReference"/>
        </w:rPr>
        <w:footnoteReference w:id="8"/>
      </w:r>
    </w:p>
    <w:p w14:paraId="1A419B1D" w14:textId="7385D4A7" w:rsidR="00F66FC9" w:rsidRPr="001B13F6" w:rsidRDefault="00F66FC9">
      <w:pPr>
        <w:pStyle w:val="SingleTxtG"/>
      </w:pPr>
      <w:r w:rsidRPr="001B13F6">
        <w:t>28.</w:t>
      </w:r>
      <w:r w:rsidRPr="001B13F6">
        <w:tab/>
        <w:t xml:space="preserve">Honduras enacted a new law in 2015, establishing a national protection mechanism to safeguard the rights of human rights defenders, journalists and judges. Associated regulations were adopted in 2016. </w:t>
      </w:r>
      <w:r w:rsidR="00552053" w:rsidRPr="001B13F6">
        <w:t xml:space="preserve">The Office of the </w:t>
      </w:r>
      <w:r w:rsidRPr="001B13F6">
        <w:t xml:space="preserve">Special Prosecutor for </w:t>
      </w:r>
      <w:r w:rsidR="00552053" w:rsidRPr="001B13F6">
        <w:t>the P</w:t>
      </w:r>
      <w:r w:rsidRPr="001B13F6">
        <w:t>rotecti</w:t>
      </w:r>
      <w:r w:rsidR="00552053" w:rsidRPr="001B13F6">
        <w:t>o</w:t>
      </w:r>
      <w:r w:rsidRPr="001B13F6">
        <w:t xml:space="preserve">n </w:t>
      </w:r>
      <w:r w:rsidR="00552053" w:rsidRPr="001B13F6">
        <w:t xml:space="preserve">of </w:t>
      </w:r>
      <w:r w:rsidRPr="001B13F6">
        <w:t xml:space="preserve">Human Rights Defenders, Journalists, Media Professionals and Justice Officials was established in 2018 with six prosecutors, four assistant prosecutors, and </w:t>
      </w:r>
      <w:r w:rsidR="00552053" w:rsidRPr="001B13F6">
        <w:t xml:space="preserve">10 </w:t>
      </w:r>
      <w:r w:rsidRPr="001B13F6">
        <w:t>investigators</w:t>
      </w:r>
      <w:r w:rsidR="00552053" w:rsidRPr="001B13F6">
        <w:t xml:space="preserve"> (see A/HRC/40/60/Add.2)</w:t>
      </w:r>
      <w:r w:rsidRPr="001B13F6">
        <w:t>.</w:t>
      </w:r>
      <w:r w:rsidRPr="001B13F6">
        <w:rPr>
          <w:rStyle w:val="FootnoteReference"/>
        </w:rPr>
        <w:t xml:space="preserve"> </w:t>
      </w:r>
      <w:r w:rsidRPr="001B13F6">
        <w:t xml:space="preserve">These positive steps </w:t>
      </w:r>
      <w:r w:rsidR="00552053" w:rsidRPr="001B13F6">
        <w:t xml:space="preserve">were taken to </w:t>
      </w:r>
      <w:r w:rsidRPr="001B13F6">
        <w:t xml:space="preserve">respond to the murders of high-profile defenders, and implement recommendations </w:t>
      </w:r>
      <w:r w:rsidR="00552053" w:rsidRPr="001B13F6">
        <w:t xml:space="preserve">made by </w:t>
      </w:r>
      <w:r w:rsidRPr="001B13F6">
        <w:t>the Inter-American Commission o</w:t>
      </w:r>
      <w:r w:rsidR="00552053" w:rsidRPr="001B13F6">
        <w:t>n</w:t>
      </w:r>
      <w:r w:rsidRPr="001B13F6">
        <w:t xml:space="preserve"> Human Rights. In 2019, seven men were sentenced to at least 30 years in jail for their role in the murder of </w:t>
      </w:r>
      <w:r w:rsidR="00552053" w:rsidRPr="001B13F6">
        <w:t xml:space="preserve">Berta Cáceres, an </w:t>
      </w:r>
      <w:r w:rsidRPr="001B13F6">
        <w:t>indigenous environmental defender.</w:t>
      </w:r>
    </w:p>
    <w:p w14:paraId="4440AFE4" w14:textId="2AEF22DF" w:rsidR="00F66FC9" w:rsidRPr="001B13F6" w:rsidRDefault="00F66FC9">
      <w:pPr>
        <w:pStyle w:val="SingleTxtG"/>
      </w:pPr>
      <w:r w:rsidRPr="001B13F6">
        <w:t>29.</w:t>
      </w:r>
      <w:r w:rsidRPr="001B13F6">
        <w:tab/>
      </w:r>
      <w:r w:rsidR="00843397" w:rsidRPr="001B13F6">
        <w:t xml:space="preserve">In </w:t>
      </w:r>
      <w:r w:rsidRPr="001B13F6">
        <w:t>Peru</w:t>
      </w:r>
      <w:r w:rsidR="00843397" w:rsidRPr="001B13F6">
        <w:t>, the n</w:t>
      </w:r>
      <w:r w:rsidRPr="001B13F6">
        <w:t xml:space="preserve">ational </w:t>
      </w:r>
      <w:r w:rsidR="00843397" w:rsidRPr="001B13F6">
        <w:t>h</w:t>
      </w:r>
      <w:r w:rsidRPr="001B13F6">
        <w:t xml:space="preserve">uman </w:t>
      </w:r>
      <w:r w:rsidR="00843397" w:rsidRPr="001B13F6">
        <w:t>r</w:t>
      </w:r>
      <w:r w:rsidRPr="001B13F6">
        <w:t xml:space="preserve">ights </w:t>
      </w:r>
      <w:r w:rsidR="00843397" w:rsidRPr="001B13F6">
        <w:t>p</w:t>
      </w:r>
      <w:r w:rsidRPr="001B13F6">
        <w:t xml:space="preserve">lan </w:t>
      </w:r>
      <w:r w:rsidR="00843397" w:rsidRPr="001B13F6">
        <w:t xml:space="preserve">for </w:t>
      </w:r>
      <w:r w:rsidRPr="001B13F6">
        <w:t>2018</w:t>
      </w:r>
      <w:r w:rsidR="00843397" w:rsidRPr="001B13F6">
        <w:t>–</w:t>
      </w:r>
      <w:r w:rsidRPr="001B13F6">
        <w:t>2021 highlights the vital work of human rights defenders</w:t>
      </w:r>
      <w:r w:rsidR="00843397" w:rsidRPr="001B13F6">
        <w:t>.</w:t>
      </w:r>
      <w:r w:rsidRPr="001B13F6">
        <w:t xml:space="preserve"> </w:t>
      </w:r>
      <w:r w:rsidR="00843397" w:rsidRPr="001B13F6">
        <w:t>I</w:t>
      </w:r>
      <w:r w:rsidRPr="001B13F6">
        <w:t xml:space="preserve">n 2019, the Ministry of Justice </w:t>
      </w:r>
      <w:r w:rsidR="00843397" w:rsidRPr="001B13F6">
        <w:t xml:space="preserve">drafted </w:t>
      </w:r>
      <w:r w:rsidRPr="001B13F6">
        <w:t xml:space="preserve">a </w:t>
      </w:r>
      <w:r w:rsidR="00843397" w:rsidRPr="001B13F6">
        <w:t>p</w:t>
      </w:r>
      <w:r w:rsidRPr="001B13F6">
        <w:t xml:space="preserve">rotocol </w:t>
      </w:r>
      <w:r w:rsidR="00843397" w:rsidRPr="001B13F6">
        <w:t>g</w:t>
      </w:r>
      <w:r w:rsidRPr="001B13F6">
        <w:t>uarantee</w:t>
      </w:r>
      <w:r w:rsidR="00843397" w:rsidRPr="001B13F6">
        <w:t>ing</w:t>
      </w:r>
      <w:r w:rsidRPr="001B13F6">
        <w:t xml:space="preserve"> the </w:t>
      </w:r>
      <w:r w:rsidR="00843397" w:rsidRPr="001B13F6">
        <w:t>p</w:t>
      </w:r>
      <w:r w:rsidRPr="001B13F6">
        <w:t xml:space="preserve">rotection of </w:t>
      </w:r>
      <w:r w:rsidR="00843397" w:rsidRPr="001B13F6">
        <w:t>h</w:t>
      </w:r>
      <w:r w:rsidRPr="001B13F6">
        <w:t xml:space="preserve">uman </w:t>
      </w:r>
      <w:r w:rsidR="00843397" w:rsidRPr="001B13F6">
        <w:t>r</w:t>
      </w:r>
      <w:r w:rsidRPr="001B13F6">
        <w:t xml:space="preserve">ights </w:t>
      </w:r>
      <w:r w:rsidR="00843397" w:rsidRPr="001B13F6">
        <w:t>d</w:t>
      </w:r>
      <w:r w:rsidRPr="001B13F6">
        <w:t xml:space="preserve">efenders. The objectives are to promote the recognition of human rights defenders, </w:t>
      </w:r>
      <w:r w:rsidR="00843397" w:rsidRPr="001B13F6">
        <w:t xml:space="preserve">to take </w:t>
      </w:r>
      <w:r w:rsidRPr="001B13F6">
        <w:t xml:space="preserve">specific protection measures for those at risk, </w:t>
      </w:r>
      <w:r w:rsidR="00843397" w:rsidRPr="001B13F6">
        <w:t xml:space="preserve">to </w:t>
      </w:r>
      <w:r w:rsidRPr="001B13F6">
        <w:t xml:space="preserve">work towards </w:t>
      </w:r>
      <w:r w:rsidR="00F84350">
        <w:t xml:space="preserve">the implementation of </w:t>
      </w:r>
      <w:r w:rsidRPr="001B13F6">
        <w:t xml:space="preserve">preventive measures, and to ensure prompt and effective investigation of threats against defenders. In the first case of its kind, prosecutors are seeking </w:t>
      </w:r>
      <w:r w:rsidR="00843397" w:rsidRPr="001B13F6">
        <w:t xml:space="preserve">a </w:t>
      </w:r>
      <w:r w:rsidRPr="001B13F6">
        <w:t xml:space="preserve">35-year jail sentence for two businessmen and three loggers implicated in the murder of four </w:t>
      </w:r>
      <w:r w:rsidR="00843397" w:rsidRPr="001B13F6">
        <w:t>i</w:t>
      </w:r>
      <w:r w:rsidRPr="001B13F6">
        <w:t>ndigenous environmental human rights defenders.</w:t>
      </w:r>
      <w:r w:rsidRPr="001B13F6">
        <w:rPr>
          <w:rStyle w:val="FootnoteReference"/>
        </w:rPr>
        <w:footnoteReference w:id="9"/>
      </w:r>
      <w:r w:rsidR="00C4668D" w:rsidRPr="001B13F6">
        <w:t xml:space="preserve"> </w:t>
      </w:r>
    </w:p>
    <w:p w14:paraId="44144D5E" w14:textId="77777777" w:rsidR="00F66FC9" w:rsidRPr="001B13F6" w:rsidRDefault="00C4668D" w:rsidP="00463874">
      <w:pPr>
        <w:pStyle w:val="H23G"/>
        <w:spacing w:line="240" w:lineRule="atLeast"/>
      </w:pPr>
      <w:r w:rsidRPr="001B13F6">
        <w:tab/>
      </w:r>
      <w:r w:rsidR="00F66FC9" w:rsidRPr="001B13F6">
        <w:t>3.</w:t>
      </w:r>
      <w:r w:rsidRPr="001B13F6">
        <w:tab/>
      </w:r>
      <w:r w:rsidR="00F66FC9" w:rsidRPr="001B13F6">
        <w:t>Access to justice</w:t>
      </w:r>
    </w:p>
    <w:p w14:paraId="59E8F9D8" w14:textId="1CACC0D2" w:rsidR="00F66FC9" w:rsidRPr="001B13F6" w:rsidRDefault="00F66FC9">
      <w:pPr>
        <w:pStyle w:val="SingleTxtG"/>
      </w:pPr>
      <w:r w:rsidRPr="001B13F6">
        <w:t>30.</w:t>
      </w:r>
      <w:r w:rsidRPr="001B13F6">
        <w:tab/>
        <w:t>Good practices relat</w:t>
      </w:r>
      <w:r w:rsidR="005B0F66" w:rsidRPr="001B13F6">
        <w:t>ing</w:t>
      </w:r>
      <w:r w:rsidRPr="001B13F6">
        <w:t xml:space="preserve"> to access to justice and effective remedies </w:t>
      </w:r>
      <w:r w:rsidR="005B0F66" w:rsidRPr="001B13F6">
        <w:t xml:space="preserve">are </w:t>
      </w:r>
      <w:r w:rsidRPr="001B13F6">
        <w:t xml:space="preserve">often </w:t>
      </w:r>
      <w:r w:rsidR="005B0F66" w:rsidRPr="001B13F6">
        <w:t>aimed at</w:t>
      </w:r>
      <w:r w:rsidRPr="001B13F6">
        <w:t xml:space="preserve"> overcom</w:t>
      </w:r>
      <w:r w:rsidR="005B0F66" w:rsidRPr="001B13F6">
        <w:t>ing</w:t>
      </w:r>
      <w:r w:rsidRPr="001B13F6">
        <w:t xml:space="preserve"> three major obstacles</w:t>
      </w:r>
      <w:r w:rsidR="005B0F66" w:rsidRPr="001B13F6">
        <w:t xml:space="preserve">: </w:t>
      </w:r>
      <w:r w:rsidRPr="001B13F6">
        <w:t xml:space="preserve">standing to sue, economic barriers, and lack of judicial expertise in environmental matters. In most States where the right to a safe, clean, healthy and sustainable environment is recognized in the </w:t>
      </w:r>
      <w:r w:rsidR="005B0F66" w:rsidRPr="001B13F6">
        <w:t>C</w:t>
      </w:r>
      <w:r w:rsidRPr="001B13F6">
        <w:t xml:space="preserve">onstitution, individuals and </w:t>
      </w:r>
      <w:r w:rsidR="005B0F66" w:rsidRPr="001B13F6">
        <w:t>non-governmental organizations</w:t>
      </w:r>
      <w:r w:rsidRPr="001B13F6">
        <w:t xml:space="preserve"> have standing to bring lawsuits based on the violation of this right or </w:t>
      </w:r>
      <w:r w:rsidR="005B0F66" w:rsidRPr="001B13F6">
        <w:t xml:space="preserve">of </w:t>
      </w:r>
      <w:r w:rsidRPr="001B13F6">
        <w:t>environmental laws (</w:t>
      </w:r>
      <w:r w:rsidR="005B0F66" w:rsidRPr="001B13F6">
        <w:t>for example, in</w:t>
      </w:r>
      <w:r w:rsidRPr="001B13F6">
        <w:t xml:space="preserve"> Argentina, Colombia, Costa Rica, India, Portugal, Romania</w:t>
      </w:r>
      <w:r w:rsidR="005B0F66" w:rsidRPr="001B13F6">
        <w:t xml:space="preserve"> and</w:t>
      </w:r>
      <w:r w:rsidRPr="001B13F6">
        <w:t xml:space="preserve"> Slovenia). </w:t>
      </w:r>
    </w:p>
    <w:p w14:paraId="59C5C67C" w14:textId="71122820" w:rsidR="00F66FC9" w:rsidRPr="001B13F6" w:rsidRDefault="00F66FC9">
      <w:pPr>
        <w:pStyle w:val="SingleTxtG"/>
      </w:pPr>
      <w:r w:rsidRPr="001B13F6">
        <w:t>31.</w:t>
      </w:r>
      <w:r w:rsidRPr="001B13F6">
        <w:tab/>
        <w:t>Globally</w:t>
      </w:r>
      <w:r w:rsidR="005B0F66" w:rsidRPr="001B13F6">
        <w:t>,</w:t>
      </w:r>
      <w:r w:rsidRPr="001B13F6">
        <w:t xml:space="preserve"> there are more than 1,000 specialized environmental courts and tribunals at the national and subnational levels. </w:t>
      </w:r>
      <w:r w:rsidR="002F3FFE" w:rsidRPr="001B13F6">
        <w:t>T</w:t>
      </w:r>
      <w:r w:rsidRPr="001B13F6">
        <w:t xml:space="preserve">he advantages of these judicial and quasi-judicial bodies </w:t>
      </w:r>
      <w:r w:rsidR="002F3FFE" w:rsidRPr="001B13F6">
        <w:t>include</w:t>
      </w:r>
      <w:r w:rsidRPr="001B13F6">
        <w:t xml:space="preserve"> enhanced </w:t>
      </w:r>
      <w:r w:rsidR="002F3FFE" w:rsidRPr="001B13F6">
        <w:t xml:space="preserve">legal and scientific </w:t>
      </w:r>
      <w:r w:rsidRPr="001B13F6">
        <w:t xml:space="preserve">expertise, streamlined processes, flexibility, </w:t>
      </w:r>
      <w:r w:rsidR="002F3FFE" w:rsidRPr="001B13F6">
        <w:t xml:space="preserve">the </w:t>
      </w:r>
      <w:r w:rsidRPr="001B13F6">
        <w:t>use of alternative dispute resolution, comprehensive jurisdiction, open rules about standing (eligibility to file cases), effective remedies and enforcement powers, and unique case management tools.</w:t>
      </w:r>
      <w:r w:rsidRPr="001B13F6">
        <w:rPr>
          <w:rStyle w:val="FootnoteReference"/>
        </w:rPr>
        <w:footnoteReference w:id="10"/>
      </w:r>
      <w:r w:rsidRPr="001B13F6">
        <w:t xml:space="preserve"> Examples include </w:t>
      </w:r>
      <w:r w:rsidR="008E6F72" w:rsidRPr="001B13F6">
        <w:t xml:space="preserve">the </w:t>
      </w:r>
      <w:r w:rsidRPr="001B13F6">
        <w:t>National Green Tribunal</w:t>
      </w:r>
      <w:r w:rsidR="008E6F72" w:rsidRPr="001B13F6">
        <w:t xml:space="preserve"> in India</w:t>
      </w:r>
      <w:r w:rsidRPr="001B13F6">
        <w:t xml:space="preserve">, </w:t>
      </w:r>
      <w:r w:rsidR="008E6F72" w:rsidRPr="001B13F6">
        <w:t xml:space="preserve">the </w:t>
      </w:r>
      <w:r w:rsidRPr="001B13F6">
        <w:t>Environment and Land Courts and National Environmental Tribunal</w:t>
      </w:r>
      <w:r w:rsidR="008E6F72" w:rsidRPr="001B13F6">
        <w:t xml:space="preserve"> in Kenya</w:t>
      </w:r>
      <w:r w:rsidRPr="001B13F6">
        <w:t xml:space="preserve"> and </w:t>
      </w:r>
      <w:r w:rsidR="008E6F72" w:rsidRPr="001B13F6">
        <w:t xml:space="preserve">the </w:t>
      </w:r>
      <w:r w:rsidRPr="001B13F6">
        <w:t>Land and Environment Courts</w:t>
      </w:r>
      <w:r w:rsidR="008E6F72" w:rsidRPr="001B13F6">
        <w:t xml:space="preserve"> in Sweden</w:t>
      </w:r>
      <w:r w:rsidRPr="001B13F6">
        <w:t>.</w:t>
      </w:r>
    </w:p>
    <w:p w14:paraId="5858EE2A" w14:textId="45B2D7E0" w:rsidR="00F66FC9" w:rsidRPr="001B13F6" w:rsidRDefault="00F66FC9">
      <w:pPr>
        <w:pStyle w:val="SingleTxtG"/>
      </w:pPr>
      <w:r w:rsidRPr="001B13F6">
        <w:t>32.</w:t>
      </w:r>
      <w:r w:rsidRPr="001B13F6">
        <w:tab/>
      </w:r>
      <w:r w:rsidR="00ED1620" w:rsidRPr="001B13F6">
        <w:t xml:space="preserve">According to the Global Alliance for National Human Rights Institutions, more than </w:t>
      </w:r>
      <w:r w:rsidRPr="001B13F6">
        <w:t>100 States have national human rights institutions in the form of human rights commissions or human rights ombudspersons.</w:t>
      </w:r>
      <w:r w:rsidRPr="001B13F6">
        <w:rPr>
          <w:rStyle w:val="FootnoteReference"/>
        </w:rPr>
        <w:footnoteReference w:id="11"/>
      </w:r>
      <w:r w:rsidRPr="001B13F6">
        <w:t xml:space="preserve"> These institutions generally have two core functions: independent review of the nation’s human rights record, and addressing individual grievances or complaints alleging human rights violations. Some </w:t>
      </w:r>
      <w:r w:rsidR="00ED1620" w:rsidRPr="001B13F6">
        <w:t xml:space="preserve">national human rights institutions (such as those in Austria, Chile, Czechia, Hungary, Kenya and Romania) </w:t>
      </w:r>
      <w:r w:rsidRPr="001B13F6">
        <w:t xml:space="preserve">also have the power to file lawsuits or </w:t>
      </w:r>
      <w:r w:rsidR="00ED1620" w:rsidRPr="001B13F6">
        <w:t xml:space="preserve">to </w:t>
      </w:r>
      <w:r w:rsidRPr="001B13F6">
        <w:t xml:space="preserve">intervene in cases against the </w:t>
      </w:r>
      <w:r w:rsidR="00ED1620" w:rsidRPr="001B13F6">
        <w:t>G</w:t>
      </w:r>
      <w:r w:rsidRPr="001B13F6">
        <w:t xml:space="preserve">overnment on behalf of communities whose rights are being violated. </w:t>
      </w:r>
    </w:p>
    <w:p w14:paraId="5FEC412D" w14:textId="731DD6BB" w:rsidR="00F66FC9" w:rsidRPr="001B13F6" w:rsidRDefault="00F66FC9">
      <w:pPr>
        <w:pStyle w:val="SingleTxtG"/>
      </w:pPr>
      <w:r w:rsidRPr="001B13F6">
        <w:t>33.</w:t>
      </w:r>
      <w:r w:rsidRPr="001B13F6">
        <w:tab/>
        <w:t xml:space="preserve">Costa Rica has three exemplary institutions that provide access to justice. </w:t>
      </w:r>
      <w:r w:rsidR="00020F98" w:rsidRPr="001B13F6">
        <w:t>First, a</w:t>
      </w:r>
      <w:r w:rsidR="00ED1620" w:rsidRPr="001B13F6">
        <w:t xml:space="preserve">n </w:t>
      </w:r>
      <w:r w:rsidRPr="001B13F6">
        <w:t xml:space="preserve">independent </w:t>
      </w:r>
      <w:r w:rsidR="00ED1620" w:rsidRPr="001B13F6">
        <w:t>office of the o</w:t>
      </w:r>
      <w:r w:rsidRPr="001B13F6">
        <w:t xml:space="preserve">mbudsperson protects the rights of citizens by ensuring that the public sector meets </w:t>
      </w:r>
      <w:r w:rsidR="00ED1620" w:rsidRPr="001B13F6">
        <w:t xml:space="preserve">the </w:t>
      </w:r>
      <w:r w:rsidRPr="001B13F6">
        <w:t xml:space="preserve">standards set by the Constitution, statutes, treaties and general principles of law, as well as standards of morality and justice. The </w:t>
      </w:r>
      <w:r w:rsidR="00ED1620" w:rsidRPr="001B13F6">
        <w:t>office may,</w:t>
      </w:r>
      <w:r w:rsidRPr="001B13F6">
        <w:t xml:space="preserve"> either on its own initiative or upon request, investigate complaints of alleged human rights violations by public authorities, initiate judicial or administrative proceedings to address such violations, participate in parliamentary debates </w:t>
      </w:r>
      <w:r w:rsidR="00ED1620" w:rsidRPr="001B13F6">
        <w:t xml:space="preserve">or </w:t>
      </w:r>
      <w:r w:rsidRPr="001B13F6">
        <w:t>review legislative proposals. Much of the work of the Ombudsperson in recent years has concerned environmental issues, including the constitutional right to a healthy and ecologically balanced environment. Colombia, Croatia and Portugal also have ombudspersons who are active in environmental matters.</w:t>
      </w:r>
    </w:p>
    <w:p w14:paraId="058D3BB6" w14:textId="518B5A56" w:rsidR="00F66FC9" w:rsidRPr="001B13F6" w:rsidRDefault="00F66FC9">
      <w:pPr>
        <w:pStyle w:val="SingleTxtG"/>
      </w:pPr>
      <w:r w:rsidRPr="001B13F6">
        <w:t>34.</w:t>
      </w:r>
      <w:r w:rsidRPr="001B13F6">
        <w:tab/>
        <w:t>Second,</w:t>
      </w:r>
      <w:r w:rsidR="00ED1620" w:rsidRPr="001B13F6">
        <w:t xml:space="preserve"> </w:t>
      </w:r>
      <w:r w:rsidR="00FD4DB6" w:rsidRPr="001B13F6">
        <w:t>the</w:t>
      </w:r>
      <w:r w:rsidR="00ED1620" w:rsidRPr="001B13F6">
        <w:t xml:space="preserve"> </w:t>
      </w:r>
      <w:r w:rsidRPr="001B13F6">
        <w:t xml:space="preserve">Environmental Administrative Tribunal has jurisdiction to hear complaints for violations of all laws protecting the environment and natural resources. The Tribunal </w:t>
      </w:r>
      <w:r w:rsidR="00FD4DB6" w:rsidRPr="001B13F6">
        <w:t xml:space="preserve">may </w:t>
      </w:r>
      <w:r w:rsidRPr="001B13F6">
        <w:t xml:space="preserve">carry out site visits to determine the nature of environmental damage, require interim protection measures, and </w:t>
      </w:r>
      <w:r w:rsidR="00FD4DB6" w:rsidRPr="001B13F6">
        <w:t xml:space="preserve">levy </w:t>
      </w:r>
      <w:r w:rsidRPr="001B13F6">
        <w:t xml:space="preserve">fines and administrative sanctions to eliminate or mitigate environmental damage. </w:t>
      </w:r>
    </w:p>
    <w:p w14:paraId="163858DC" w14:textId="5205F04E" w:rsidR="00F66FC9" w:rsidRPr="001B13F6" w:rsidRDefault="00F66FC9">
      <w:pPr>
        <w:pStyle w:val="SingleTxtG"/>
      </w:pPr>
      <w:r w:rsidRPr="001B13F6">
        <w:t>35.</w:t>
      </w:r>
      <w:r w:rsidRPr="001B13F6">
        <w:tab/>
        <w:t xml:space="preserve">The third element of ensuring access to justice cases involving the right to a healthy environment is the Constitutional Chamber of the Supreme Court, which has applied this right </w:t>
      </w:r>
      <w:r w:rsidR="00020F98" w:rsidRPr="001B13F6">
        <w:t xml:space="preserve">to </w:t>
      </w:r>
      <w:r w:rsidRPr="001B13F6">
        <w:t xml:space="preserve">a wide range of cases involving mineral concessions, aerial pesticide spraying, toxic substances, deforestation, ecotourism, </w:t>
      </w:r>
      <w:r w:rsidR="00020F98" w:rsidRPr="001B13F6">
        <w:t xml:space="preserve">the </w:t>
      </w:r>
      <w:r w:rsidRPr="001B13F6">
        <w:t xml:space="preserve">protection of national parks, timber harvesting in the habitat of endangered species, and groundwater pollution. </w:t>
      </w:r>
    </w:p>
    <w:p w14:paraId="0AB5BC0D" w14:textId="4A992CBB" w:rsidR="00F66FC9" w:rsidRPr="001B13F6" w:rsidRDefault="00F66FC9">
      <w:pPr>
        <w:pStyle w:val="SingleTxtG"/>
      </w:pPr>
      <w:r w:rsidRPr="001B13F6">
        <w:t>36.</w:t>
      </w:r>
      <w:r w:rsidRPr="001B13F6">
        <w:tab/>
        <w:t>Under Indonesian law</w:t>
      </w:r>
      <w:r w:rsidR="00020F98" w:rsidRPr="001B13F6">
        <w:t xml:space="preserve"> (Act 32/2009 regarding Environmental Protection and Management)</w:t>
      </w:r>
      <w:r w:rsidRPr="001B13F6">
        <w:t xml:space="preserve">, every person has the rights of access to information, to participate in environmental decisions and to effective remedies if they are harmed by environmental degradation. </w:t>
      </w:r>
      <w:r w:rsidR="00020F98" w:rsidRPr="001B13F6">
        <w:t xml:space="preserve">The </w:t>
      </w:r>
      <w:r w:rsidRPr="001B13F6">
        <w:t xml:space="preserve">Supreme Court has </w:t>
      </w:r>
      <w:r w:rsidR="00020F98" w:rsidRPr="001B13F6">
        <w:t xml:space="preserve">adopted </w:t>
      </w:r>
      <w:r w:rsidRPr="001B13F6">
        <w:t xml:space="preserve">policies that require all environmental cases to be handled by a judge with environmental certification (obtained through specialized training). </w:t>
      </w:r>
    </w:p>
    <w:p w14:paraId="77AC3BFC" w14:textId="7155DB65" w:rsidR="00F66FC9" w:rsidRPr="001B13F6" w:rsidRDefault="00F66FC9">
      <w:pPr>
        <w:pStyle w:val="SingleTxtG"/>
      </w:pPr>
      <w:r w:rsidRPr="001B13F6">
        <w:t>37.</w:t>
      </w:r>
      <w:r w:rsidRPr="001B13F6">
        <w:tab/>
        <w:t>When access to justice and/or effective remedies are denied at the national level, regional courts, tribunals and committees can play an important role. Cases involving the right to a healthy environment have been decided by the African Commission on Human and Peoples’ Rights,</w:t>
      </w:r>
      <w:r w:rsidRPr="001B13F6">
        <w:rPr>
          <w:rStyle w:val="FootnoteReference"/>
        </w:rPr>
        <w:footnoteReference w:id="12"/>
      </w:r>
      <w:r w:rsidRPr="001B13F6">
        <w:rPr>
          <w:rStyle w:val="FootnoteReference"/>
        </w:rPr>
        <w:t xml:space="preserve"> </w:t>
      </w:r>
      <w:r w:rsidRPr="001B13F6">
        <w:t>the Inter-American Court of Human Rights,</w:t>
      </w:r>
      <w:r w:rsidRPr="001B13F6">
        <w:rPr>
          <w:rStyle w:val="FootnoteReference"/>
        </w:rPr>
        <w:footnoteReference w:id="13"/>
      </w:r>
      <w:r w:rsidRPr="001B13F6">
        <w:t xml:space="preserve"> the European Court of Human Rights,</w:t>
      </w:r>
      <w:r w:rsidRPr="001B13F6">
        <w:rPr>
          <w:rStyle w:val="FootnoteReference"/>
        </w:rPr>
        <w:footnoteReference w:id="14"/>
      </w:r>
      <w:r w:rsidRPr="001B13F6">
        <w:t xml:space="preserve"> the European Committee of Social Rights</w:t>
      </w:r>
      <w:r w:rsidRPr="001B13F6">
        <w:rPr>
          <w:rStyle w:val="FootnoteReference"/>
        </w:rPr>
        <w:footnoteReference w:id="15"/>
      </w:r>
      <w:r w:rsidRPr="001B13F6">
        <w:t xml:space="preserve"> and the Aarhus Co</w:t>
      </w:r>
      <w:r w:rsidR="00C93581" w:rsidRPr="001B13F6">
        <w:t>nvention Compliance Committee.</w:t>
      </w:r>
    </w:p>
    <w:p w14:paraId="58F6496A" w14:textId="77777777" w:rsidR="00F66FC9" w:rsidRPr="001B13F6" w:rsidRDefault="00C93581" w:rsidP="00463874">
      <w:pPr>
        <w:pStyle w:val="H1G"/>
        <w:spacing w:line="240" w:lineRule="atLeast"/>
      </w:pPr>
      <w:r w:rsidRPr="001B13F6">
        <w:tab/>
        <w:t>C.</w:t>
      </w:r>
      <w:r w:rsidRPr="001B13F6">
        <w:tab/>
      </w:r>
      <w:r w:rsidR="00F66FC9" w:rsidRPr="001B13F6">
        <w:t>Substantive elements</w:t>
      </w:r>
    </w:p>
    <w:p w14:paraId="7B6B483D" w14:textId="77777777" w:rsidR="00F66FC9" w:rsidRPr="001B13F6" w:rsidRDefault="00C93581" w:rsidP="00463874">
      <w:pPr>
        <w:pStyle w:val="H23G"/>
        <w:spacing w:line="240" w:lineRule="atLeast"/>
      </w:pPr>
      <w:r w:rsidRPr="001B13F6">
        <w:tab/>
      </w:r>
      <w:r w:rsidR="00F66FC9" w:rsidRPr="001B13F6">
        <w:t>1.</w:t>
      </w:r>
      <w:r w:rsidRPr="001B13F6">
        <w:tab/>
      </w:r>
      <w:r w:rsidR="00F66FC9" w:rsidRPr="001B13F6">
        <w:t>Clean air</w:t>
      </w:r>
    </w:p>
    <w:p w14:paraId="5DBF391B" w14:textId="171ED50F" w:rsidR="00F66FC9" w:rsidRPr="001B13F6" w:rsidRDefault="00F66FC9">
      <w:pPr>
        <w:pStyle w:val="SingleTxtG"/>
      </w:pPr>
      <w:r w:rsidRPr="001B13F6">
        <w:t>38.</w:t>
      </w:r>
      <w:r w:rsidRPr="001B13F6">
        <w:tab/>
        <w:t xml:space="preserve">Nine out of </w:t>
      </w:r>
      <w:r w:rsidR="002F07B1" w:rsidRPr="001B13F6">
        <w:t xml:space="preserve">10 </w:t>
      </w:r>
      <w:r w:rsidRPr="001B13F6">
        <w:t>pe</w:t>
      </w:r>
      <w:r w:rsidR="002F07B1" w:rsidRPr="001B13F6">
        <w:t>ople</w:t>
      </w:r>
      <w:r w:rsidRPr="001B13F6">
        <w:t xml:space="preserve"> globally live in areas that do not meet World Health Organization guidelines for air quality. Air pollution causes </w:t>
      </w:r>
      <w:r w:rsidR="002F07B1" w:rsidRPr="001B13F6">
        <w:t xml:space="preserve">7 </w:t>
      </w:r>
      <w:r w:rsidRPr="001B13F6">
        <w:t xml:space="preserve">million premature deaths annually, including 600,000 children under the age of </w:t>
      </w:r>
      <w:r w:rsidR="002F07B1" w:rsidRPr="001B13F6">
        <w:t>5</w:t>
      </w:r>
      <w:r w:rsidRPr="001B13F6">
        <w:t xml:space="preserve">. More than </w:t>
      </w:r>
      <w:r w:rsidR="002F07B1" w:rsidRPr="001B13F6">
        <w:t xml:space="preserve">2 </w:t>
      </w:r>
      <w:r w:rsidRPr="001B13F6">
        <w:t>billion people still rely on polluting cooking systems.</w:t>
      </w:r>
    </w:p>
    <w:p w14:paraId="0BFE9ED9" w14:textId="0B6AEBEC" w:rsidR="00F66FC9" w:rsidRPr="001B13F6" w:rsidRDefault="00F66FC9">
      <w:pPr>
        <w:pStyle w:val="SingleTxtG"/>
      </w:pPr>
      <w:r w:rsidRPr="001B13F6">
        <w:t>39.</w:t>
      </w:r>
      <w:r w:rsidRPr="001B13F6">
        <w:tab/>
        <w:t>To protect the clean air component of the right to a healthy environment, States must take seven key steps</w:t>
      </w:r>
      <w:r w:rsidR="002F07B1" w:rsidRPr="001B13F6">
        <w:t>,</w:t>
      </w:r>
      <w:r w:rsidRPr="001B13F6">
        <w:t xml:space="preserve"> including </w:t>
      </w:r>
      <w:r w:rsidR="002F07B1" w:rsidRPr="001B13F6">
        <w:t>(a</w:t>
      </w:r>
      <w:r w:rsidRPr="001B13F6">
        <w:t xml:space="preserve">) monitor air quality and impact on human health; </w:t>
      </w:r>
      <w:r w:rsidR="002F07B1" w:rsidRPr="001B13F6">
        <w:t>(b</w:t>
      </w:r>
      <w:r w:rsidRPr="001B13F6">
        <w:t xml:space="preserve">) assess sources of air pollution; </w:t>
      </w:r>
      <w:r w:rsidR="002F07B1" w:rsidRPr="001B13F6">
        <w:t>(c</w:t>
      </w:r>
      <w:r w:rsidRPr="001B13F6">
        <w:t>) mak</w:t>
      </w:r>
      <w:r w:rsidR="002F07B1" w:rsidRPr="001B13F6">
        <w:t>e</w:t>
      </w:r>
      <w:r w:rsidRPr="001B13F6">
        <w:t xml:space="preserve"> information publicly available, including public health advisories; </w:t>
      </w:r>
      <w:r w:rsidR="002F07B1" w:rsidRPr="001B13F6">
        <w:t>(d</w:t>
      </w:r>
      <w:r w:rsidRPr="001B13F6">
        <w:t xml:space="preserve">) establish air quality legislation, regulations, standards and policies; </w:t>
      </w:r>
      <w:r w:rsidR="002F07B1" w:rsidRPr="001B13F6">
        <w:t>(e</w:t>
      </w:r>
      <w:r w:rsidRPr="001B13F6">
        <w:t xml:space="preserve">) develop air quality action plans at the local, national and, if necessary, regional levels; </w:t>
      </w:r>
      <w:r w:rsidR="002F07B1" w:rsidRPr="001B13F6">
        <w:t>(f</w:t>
      </w:r>
      <w:r w:rsidRPr="001B13F6">
        <w:t>) implement air quality action plans</w:t>
      </w:r>
      <w:r w:rsidR="002F07B1" w:rsidRPr="001B13F6">
        <w:t>,</w:t>
      </w:r>
      <w:r w:rsidRPr="001B13F6">
        <w:t xml:space="preserve"> and enforc</w:t>
      </w:r>
      <w:r w:rsidR="002F07B1" w:rsidRPr="001B13F6">
        <w:t>e</w:t>
      </w:r>
      <w:r w:rsidRPr="001B13F6">
        <w:t xml:space="preserve"> the standards; and </w:t>
      </w:r>
      <w:r w:rsidR="002F07B1" w:rsidRPr="001B13F6">
        <w:t>(g</w:t>
      </w:r>
      <w:r w:rsidRPr="001B13F6">
        <w:t>) evaluat</w:t>
      </w:r>
      <w:r w:rsidR="002F07B1" w:rsidRPr="001B13F6">
        <w:t>e</w:t>
      </w:r>
      <w:r w:rsidRPr="001B13F6">
        <w:t xml:space="preserve"> progress and, if necessary, strengthen plans to ensure that the standards are met</w:t>
      </w:r>
      <w:r w:rsidR="00020F98" w:rsidRPr="001B13F6">
        <w:t xml:space="preserve"> (A/HRC/40/55)</w:t>
      </w:r>
      <w:r w:rsidRPr="001B13F6">
        <w:t xml:space="preserve">. As the good practices </w:t>
      </w:r>
      <w:r w:rsidR="002F07B1" w:rsidRPr="001B13F6">
        <w:t>described below show</w:t>
      </w:r>
      <w:r w:rsidRPr="001B13F6">
        <w:t xml:space="preserve">, many States are making dedicated efforts to improve air quality and </w:t>
      </w:r>
      <w:r w:rsidR="002F07B1" w:rsidRPr="001B13F6">
        <w:t xml:space="preserve">to </w:t>
      </w:r>
      <w:r w:rsidRPr="001B13F6">
        <w:t>protect their peoples’ right to live in a healthy and sustainable environment</w:t>
      </w:r>
      <w:r w:rsidR="00727C46" w:rsidRPr="001B13F6">
        <w:t xml:space="preserve"> (F</w:t>
      </w:r>
      <w:r w:rsidR="002F07B1" w:rsidRPr="001B13F6">
        <w:t>or a</w:t>
      </w:r>
      <w:r w:rsidRPr="001B13F6">
        <w:t>dditional good practices that relate to clean air</w:t>
      </w:r>
      <w:r w:rsidR="00727C46" w:rsidRPr="001B13F6">
        <w:t>,</w:t>
      </w:r>
      <w:r w:rsidRPr="001B13F6">
        <w:t xml:space="preserve"> </w:t>
      </w:r>
      <w:r w:rsidR="002F07B1" w:rsidRPr="001B13F6">
        <w:t xml:space="preserve">such as </w:t>
      </w:r>
      <w:r w:rsidRPr="001B13F6">
        <w:t>phasing out coal, accelerating renewable electricity generation and shifting to zero emission transportation</w:t>
      </w:r>
      <w:r w:rsidR="00727C46" w:rsidRPr="001B13F6">
        <w:t>, see paras. 48–72 below)</w:t>
      </w:r>
      <w:r w:rsidRPr="001B13F6">
        <w:t>.</w:t>
      </w:r>
    </w:p>
    <w:p w14:paraId="7829B115" w14:textId="58D3F7BE" w:rsidR="00F66FC9" w:rsidRPr="001B13F6" w:rsidRDefault="00F66FC9">
      <w:pPr>
        <w:pStyle w:val="SingleTxtG"/>
      </w:pPr>
      <w:r w:rsidRPr="001B13F6">
        <w:t>40.</w:t>
      </w:r>
      <w:r w:rsidRPr="001B13F6">
        <w:tab/>
        <w:t xml:space="preserve">Many States are establishing or improving air quality monitoring networks, including Azerbaijan, </w:t>
      </w:r>
      <w:r w:rsidR="00727C46" w:rsidRPr="001B13F6">
        <w:t xml:space="preserve">the Plurinational State of </w:t>
      </w:r>
      <w:r w:rsidRPr="001B13F6">
        <w:t xml:space="preserve">Bolivia, Jordan, Kuwait, Lebanon, Mali, Morocco and Qatar. </w:t>
      </w:r>
    </w:p>
    <w:p w14:paraId="727B7C32" w14:textId="473EF9A5" w:rsidR="00F66FC9" w:rsidRPr="001B13F6" w:rsidRDefault="00F66FC9">
      <w:pPr>
        <w:pStyle w:val="SingleTxtG"/>
      </w:pPr>
      <w:r w:rsidRPr="001B13F6">
        <w:t>41.</w:t>
      </w:r>
      <w:r w:rsidRPr="001B13F6">
        <w:tab/>
        <w:t xml:space="preserve">North Macedonia has a public air quality portal containing information on measures to improve air quality, sustainable transport, cleaner domestic heating practices, alert thresholds set for certain pollutants, and health advice from the </w:t>
      </w:r>
      <w:r w:rsidR="00727C46" w:rsidRPr="001B13F6">
        <w:t>i</w:t>
      </w:r>
      <w:r w:rsidRPr="001B13F6">
        <w:t xml:space="preserve">nstitute of </w:t>
      </w:r>
      <w:r w:rsidR="00727C46" w:rsidRPr="001B13F6">
        <w:t>p</w:t>
      </w:r>
      <w:r w:rsidRPr="001B13F6">
        <w:t xml:space="preserve">ublic </w:t>
      </w:r>
      <w:r w:rsidR="00727C46" w:rsidRPr="001B13F6">
        <w:t>h</w:t>
      </w:r>
      <w:r w:rsidRPr="001B13F6">
        <w:t xml:space="preserve">ealth. The portal also provides information on air quality monitoring, legislation and policies, projects, and emission inventories. </w:t>
      </w:r>
    </w:p>
    <w:p w14:paraId="065876E4" w14:textId="084406EB" w:rsidR="00F66FC9" w:rsidRPr="001B13F6" w:rsidRDefault="00F66FC9">
      <w:pPr>
        <w:pStyle w:val="SingleTxtG"/>
      </w:pPr>
      <w:r w:rsidRPr="001B13F6">
        <w:t>42.</w:t>
      </w:r>
      <w:r w:rsidRPr="001B13F6">
        <w:tab/>
        <w:t>The Dominican Republic, France and the Philippines explicitly recognize the right to breathe clean air</w:t>
      </w:r>
      <w:r w:rsidRPr="00463874">
        <w:rPr>
          <w:rStyle w:val="FootnoteReference"/>
          <w:vertAlign w:val="baseline"/>
        </w:rPr>
        <w:t>.</w:t>
      </w:r>
      <w:r w:rsidR="00026BDF" w:rsidRPr="001B13F6">
        <w:t xml:space="preserve"> In </w:t>
      </w:r>
      <w:r w:rsidRPr="001B13F6">
        <w:t xml:space="preserve">India and Pakistan, courts have clarified that the right to breathe clean air is constitutionally protected because it is essential to the rights to life and health. </w:t>
      </w:r>
      <w:r w:rsidR="00727C46" w:rsidRPr="001B13F6">
        <w:t xml:space="preserve">In </w:t>
      </w:r>
      <w:r w:rsidRPr="001B13F6">
        <w:t>Lebanon</w:t>
      </w:r>
      <w:r w:rsidR="00727C46" w:rsidRPr="001B13F6">
        <w:t>,</w:t>
      </w:r>
      <w:r w:rsidRPr="001B13F6">
        <w:t xml:space="preserve"> </w:t>
      </w:r>
      <w:r w:rsidR="00727C46" w:rsidRPr="001B13F6">
        <w:t xml:space="preserve">the </w:t>
      </w:r>
      <w:r w:rsidRPr="001B13F6">
        <w:t>National Strategy for Air Quality Management states</w:t>
      </w:r>
      <w:r w:rsidR="00727C46" w:rsidRPr="001B13F6">
        <w:t xml:space="preserve"> that </w:t>
      </w:r>
      <w:r w:rsidRPr="001B13F6">
        <w:t>“</w:t>
      </w:r>
      <w:r w:rsidR="00727C46" w:rsidRPr="001B13F6">
        <w:t>e</w:t>
      </w:r>
      <w:r w:rsidRPr="001B13F6">
        <w:t>very citizen has the right to enjoy clean air”</w:t>
      </w:r>
      <w:r w:rsidR="00727C46" w:rsidRPr="001B13F6">
        <w:t>.</w:t>
      </w:r>
      <w:r w:rsidRPr="001B13F6">
        <w:t xml:space="preserve"> </w:t>
      </w:r>
    </w:p>
    <w:p w14:paraId="4221EAFA" w14:textId="453C580C" w:rsidR="00F66FC9" w:rsidRPr="001B13F6" w:rsidRDefault="00F66FC9">
      <w:pPr>
        <w:pStyle w:val="SingleTxtG"/>
      </w:pPr>
      <w:r w:rsidRPr="001B13F6">
        <w:t>43.</w:t>
      </w:r>
      <w:r w:rsidRPr="001B13F6">
        <w:tab/>
        <w:t xml:space="preserve">There is compelling evidence </w:t>
      </w:r>
      <w:r w:rsidR="00BB1441" w:rsidRPr="001B13F6">
        <w:t xml:space="preserve">to suggest </w:t>
      </w:r>
      <w:r w:rsidRPr="001B13F6">
        <w:t>that enacting and enforcing strong air quality regulations save lives and prevent illnesses. Since the Clean Air Act was enacted in 1970, the American economy has grown by 262</w:t>
      </w:r>
      <w:r w:rsidR="00131E3C" w:rsidRPr="001B13F6">
        <w:t xml:space="preserve"> per cent</w:t>
      </w:r>
      <w:r w:rsidRPr="001B13F6">
        <w:t xml:space="preserve"> (measured by increased GDP) while achieving </w:t>
      </w:r>
      <w:r w:rsidR="00131E3C" w:rsidRPr="001B13F6">
        <w:t xml:space="preserve">an </w:t>
      </w:r>
      <w:r w:rsidRPr="001B13F6">
        <w:t>average reduction of 73</w:t>
      </w:r>
      <w:r w:rsidR="00131E3C" w:rsidRPr="001B13F6">
        <w:t xml:space="preserve"> per cent</w:t>
      </w:r>
      <w:r w:rsidRPr="001B13F6">
        <w:t xml:space="preserve"> for </w:t>
      </w:r>
      <w:r w:rsidR="00131E3C" w:rsidRPr="001B13F6">
        <w:t xml:space="preserve">the </w:t>
      </w:r>
      <w:r w:rsidRPr="001B13F6">
        <w:t>six main air pollutants. The costs of the Clean Air Act are measured in billions of dollars, while the benefits are in the trillions.</w:t>
      </w:r>
      <w:r w:rsidRPr="001B13F6">
        <w:rPr>
          <w:rStyle w:val="FootnoteReference"/>
        </w:rPr>
        <w:footnoteReference w:id="16"/>
      </w:r>
      <w:r w:rsidRPr="001B13F6">
        <w:rPr>
          <w:rStyle w:val="FootnoteReference"/>
        </w:rPr>
        <w:t xml:space="preserve"> </w:t>
      </w:r>
      <w:r w:rsidRPr="001B13F6">
        <w:t>Reduced air pollution in California resulted in significant improvements in children’s lung function.</w:t>
      </w:r>
      <w:r w:rsidRPr="001B13F6">
        <w:rPr>
          <w:rStyle w:val="FootnoteReference"/>
        </w:rPr>
        <w:footnoteReference w:id="17"/>
      </w:r>
    </w:p>
    <w:p w14:paraId="2B99F9B9" w14:textId="77777777" w:rsidR="00F66FC9" w:rsidRPr="001B13F6" w:rsidRDefault="00F66FC9">
      <w:pPr>
        <w:pStyle w:val="SingleTxtG"/>
      </w:pPr>
      <w:r w:rsidRPr="001B13F6">
        <w:t>44.</w:t>
      </w:r>
      <w:r w:rsidRPr="001B13F6">
        <w:tab/>
        <w:t xml:space="preserve">Bosnia and Herzegovina, Bulgaria, Costa Rica, Croatia, Singapore, Slovakia and Turkmenistan recently enacted stronger air quality laws or regulations. National action plans to improve air quality are being developed or implemented in Bahrain, Colombia, Ireland, Kuwait, Montenegro and Uruguay. </w:t>
      </w:r>
    </w:p>
    <w:p w14:paraId="4D0E062C" w14:textId="50B76F7B" w:rsidR="00F66FC9" w:rsidRPr="001B13F6" w:rsidRDefault="00F66FC9">
      <w:pPr>
        <w:pStyle w:val="SingleTxtG"/>
      </w:pPr>
      <w:r w:rsidRPr="001B13F6">
        <w:t>45.</w:t>
      </w:r>
      <w:r w:rsidRPr="001B13F6">
        <w:tab/>
        <w:t xml:space="preserve">Household air pollution from the use of inefficient stoves burning biomass, kerosene and coal causes millions of premature deaths every year. Women and children face the highest risks. The most rapid progress in providing access to clean cooking, through </w:t>
      </w:r>
      <w:r w:rsidR="00A95487" w:rsidRPr="001B13F6">
        <w:t xml:space="preserve">either </w:t>
      </w:r>
      <w:r w:rsidRPr="001B13F6">
        <w:t>liqu</w:t>
      </w:r>
      <w:r w:rsidR="004F5BD8" w:rsidRPr="001B13F6">
        <w:t>e</w:t>
      </w:r>
      <w:r w:rsidRPr="001B13F6">
        <w:t xml:space="preserve">fied petroleum gas, piped natural gas or electricity, has been achieved in India, Indonesia, Pakistan, </w:t>
      </w:r>
      <w:r w:rsidR="00A95487" w:rsidRPr="001B13F6">
        <w:t xml:space="preserve">the </w:t>
      </w:r>
      <w:r w:rsidRPr="001B13F6">
        <w:t>Sudan and Viet</w:t>
      </w:r>
      <w:r w:rsidR="00A95487" w:rsidRPr="001B13F6">
        <w:t xml:space="preserve"> N</w:t>
      </w:r>
      <w:r w:rsidRPr="001B13F6">
        <w:t>am.</w:t>
      </w:r>
      <w:r w:rsidRPr="001B13F6">
        <w:rPr>
          <w:rStyle w:val="FootnoteReference"/>
        </w:rPr>
        <w:footnoteReference w:id="18"/>
      </w:r>
      <w:r w:rsidRPr="001B13F6">
        <w:rPr>
          <w:rStyle w:val="FootnoteReference"/>
        </w:rPr>
        <w:t xml:space="preserve"> </w:t>
      </w:r>
    </w:p>
    <w:p w14:paraId="2B969F37" w14:textId="283CA258" w:rsidR="00F66FC9" w:rsidRPr="001B13F6" w:rsidRDefault="00F66FC9">
      <w:pPr>
        <w:pStyle w:val="SingleTxtG"/>
      </w:pPr>
      <w:r w:rsidRPr="001B13F6">
        <w:t>46.</w:t>
      </w:r>
      <w:r w:rsidRPr="001B13F6">
        <w:tab/>
        <w:t>Two initiatives that have dramatically improved air quality in many countries are the pha</w:t>
      </w:r>
      <w:r w:rsidR="00C46CDC" w:rsidRPr="001B13F6">
        <w:t>sing</w:t>
      </w:r>
      <w:r w:rsidRPr="001B13F6">
        <w:t>-out of leaded gasoline and major reductions in the sulphur content of transport fuels. These actions have produced enormous health, environmental and economic benefits, valued in the trillions of dollars.</w:t>
      </w:r>
      <w:r w:rsidRPr="001B13F6">
        <w:rPr>
          <w:rStyle w:val="FootnoteReference"/>
        </w:rPr>
        <w:footnoteReference w:id="19"/>
      </w:r>
    </w:p>
    <w:p w14:paraId="2135F858" w14:textId="430905F0" w:rsidR="00F66FC9" w:rsidRPr="001B13F6" w:rsidRDefault="00F66FC9">
      <w:pPr>
        <w:pStyle w:val="SingleTxtG"/>
      </w:pPr>
      <w:r w:rsidRPr="001B13F6">
        <w:t>47.</w:t>
      </w:r>
      <w:r w:rsidRPr="001B13F6">
        <w:tab/>
        <w:t xml:space="preserve">In large cities in States from Germany and the United Kingdom to China and Mexico, low emission zones have been established to reduce pollution from motor vehicles and </w:t>
      </w:r>
      <w:r w:rsidR="00FF1A16" w:rsidRPr="001B13F6">
        <w:t xml:space="preserve">to </w:t>
      </w:r>
      <w:r w:rsidRPr="001B13F6">
        <w:t>protect public health. Entry into low emission zones is restricted to vehicles that meet specific emission standards.</w:t>
      </w:r>
    </w:p>
    <w:p w14:paraId="2E84FAB2" w14:textId="392CC995" w:rsidR="00F66FC9" w:rsidRPr="001B13F6" w:rsidRDefault="004C6E4E" w:rsidP="00463874">
      <w:pPr>
        <w:pStyle w:val="H23G"/>
        <w:spacing w:line="240" w:lineRule="atLeast"/>
      </w:pPr>
      <w:r w:rsidRPr="001B13F6">
        <w:tab/>
      </w:r>
      <w:r w:rsidR="00F66FC9" w:rsidRPr="001B13F6">
        <w:t>2.</w:t>
      </w:r>
      <w:r w:rsidRPr="001B13F6">
        <w:tab/>
      </w:r>
      <w:r w:rsidR="00793C4D" w:rsidRPr="001B13F6">
        <w:t>A s</w:t>
      </w:r>
      <w:r w:rsidR="00F66FC9" w:rsidRPr="001B13F6">
        <w:t>afe climate</w:t>
      </w:r>
    </w:p>
    <w:p w14:paraId="3E925761" w14:textId="427CA145" w:rsidR="00F66FC9" w:rsidRPr="001B13F6" w:rsidRDefault="00F66FC9">
      <w:pPr>
        <w:pStyle w:val="SingleTxtG"/>
      </w:pPr>
      <w:r w:rsidRPr="001B13F6">
        <w:t>48.</w:t>
      </w:r>
      <w:r w:rsidRPr="001B13F6">
        <w:tab/>
        <w:t xml:space="preserve">Because of human activities, the concentrations of greenhouse gases in the atmosphere are at their highest level in millions of years, causing climate change and a devastating array of </w:t>
      </w:r>
      <w:r w:rsidR="00FF1A16" w:rsidRPr="001B13F6">
        <w:t xml:space="preserve">effects, </w:t>
      </w:r>
      <w:r w:rsidRPr="001B13F6">
        <w:t>from droughts and floods to</w:t>
      </w:r>
      <w:r w:rsidR="00FF1A16" w:rsidRPr="001B13F6">
        <w:t xml:space="preserve"> rising </w:t>
      </w:r>
      <w:r w:rsidRPr="001B13F6">
        <w:t>sea level</w:t>
      </w:r>
      <w:r w:rsidR="00FF1A16" w:rsidRPr="001B13F6">
        <w:t>s</w:t>
      </w:r>
      <w:r w:rsidRPr="001B13F6">
        <w:t xml:space="preserve"> and more intense extreme weather events. The U</w:t>
      </w:r>
      <w:r w:rsidR="002F07B1" w:rsidRPr="001B13F6">
        <w:t xml:space="preserve">nited </w:t>
      </w:r>
      <w:r w:rsidRPr="001B13F6">
        <w:t>N</w:t>
      </w:r>
      <w:r w:rsidR="002F07B1" w:rsidRPr="001B13F6">
        <w:t>ations</w:t>
      </w:r>
      <w:r w:rsidRPr="001B13F6">
        <w:t xml:space="preserve"> High Commissioner for Human Rights </w:t>
      </w:r>
      <w:r w:rsidR="00FF1A16" w:rsidRPr="001B13F6">
        <w:t xml:space="preserve">has </w:t>
      </w:r>
      <w:r w:rsidRPr="001B13F6">
        <w:t>warned that “</w:t>
      </w:r>
      <w:r w:rsidR="00FF1A16" w:rsidRPr="001B13F6">
        <w:t>t</w:t>
      </w:r>
      <w:r w:rsidRPr="001B13F6">
        <w:t>he world has never seen a human rights threat of this scope.”</w:t>
      </w:r>
      <w:r w:rsidRPr="001B13F6">
        <w:rPr>
          <w:rStyle w:val="FootnoteReference"/>
        </w:rPr>
        <w:footnoteReference w:id="20"/>
      </w:r>
      <w:r w:rsidRPr="001B13F6">
        <w:rPr>
          <w:rStyle w:val="FootnoteReference"/>
        </w:rPr>
        <w:t xml:space="preserve"> </w:t>
      </w:r>
    </w:p>
    <w:p w14:paraId="193212CD" w14:textId="77777777" w:rsidR="00F66FC9" w:rsidRPr="001B13F6" w:rsidRDefault="00F66FC9">
      <w:pPr>
        <w:pStyle w:val="SingleTxtG"/>
      </w:pPr>
      <w:r w:rsidRPr="001B13F6">
        <w:t>49.</w:t>
      </w:r>
      <w:r w:rsidRPr="001B13F6">
        <w:tab/>
        <w:t xml:space="preserve">The historic inclusion of human rights in the Paris Agreement indicated that human rights should be at the heart of all climate action, including legislation, mitigation, adaptation, finance, and loss and damage. </w:t>
      </w:r>
    </w:p>
    <w:p w14:paraId="31080B14" w14:textId="6FCCA369" w:rsidR="00F66FC9" w:rsidRPr="001B13F6" w:rsidRDefault="00F66FC9">
      <w:pPr>
        <w:pStyle w:val="SingleTxtG"/>
      </w:pPr>
      <w:r w:rsidRPr="001B13F6">
        <w:t>50.</w:t>
      </w:r>
      <w:r w:rsidRPr="001B13F6">
        <w:tab/>
        <w:t xml:space="preserve">Nine States now include responsibilities relating to climate change in their </w:t>
      </w:r>
      <w:r w:rsidR="00FF1A16" w:rsidRPr="001B13F6">
        <w:t>C</w:t>
      </w:r>
      <w:r w:rsidRPr="001B13F6">
        <w:t>onstitutions</w:t>
      </w:r>
      <w:r w:rsidR="00FF1A16" w:rsidRPr="001B13F6">
        <w:t>:</w:t>
      </w:r>
      <w:r w:rsidRPr="001B13F6">
        <w:t xml:space="preserve"> C</w:t>
      </w:r>
      <w:r w:rsidR="00FF1A16" w:rsidRPr="001B13F6">
        <w:t>ô</w:t>
      </w:r>
      <w:r w:rsidRPr="001B13F6">
        <w:t xml:space="preserve">te d’Ivoire, Cuba, </w:t>
      </w:r>
      <w:r w:rsidR="00FF1A16" w:rsidRPr="001B13F6">
        <w:t xml:space="preserve">the </w:t>
      </w:r>
      <w:r w:rsidRPr="001B13F6">
        <w:t xml:space="preserve">Dominican Republic, Ecuador, Thailand, Tunisia, </w:t>
      </w:r>
      <w:r w:rsidR="00FF1A16" w:rsidRPr="001B13F6">
        <w:t xml:space="preserve">the Bolivarian Republic of </w:t>
      </w:r>
      <w:r w:rsidRPr="001B13F6">
        <w:t>Venezuela, Viet</w:t>
      </w:r>
      <w:r w:rsidR="00FF1A16" w:rsidRPr="001B13F6">
        <w:t xml:space="preserve"> N</w:t>
      </w:r>
      <w:r w:rsidRPr="001B13F6">
        <w:t xml:space="preserve">am and Zambia. Draft constitutions in </w:t>
      </w:r>
      <w:r w:rsidR="00FF1A16" w:rsidRPr="001B13F6">
        <w:t>t</w:t>
      </w:r>
      <w:r w:rsidRPr="001B13F6">
        <w:t>he Gambia and Yemen also include references to addressing climate change.</w:t>
      </w:r>
    </w:p>
    <w:p w14:paraId="1C9DD87B" w14:textId="67A80885" w:rsidR="00F66FC9" w:rsidRPr="001B13F6" w:rsidRDefault="00F66FC9">
      <w:pPr>
        <w:pStyle w:val="SingleTxtG"/>
      </w:pPr>
      <w:r w:rsidRPr="001B13F6">
        <w:t>51.</w:t>
      </w:r>
      <w:r w:rsidRPr="001B13F6">
        <w:tab/>
        <w:t>Approximately 140 States have enacted framework climate legislation.</w:t>
      </w:r>
      <w:r w:rsidRPr="001B13F6">
        <w:rPr>
          <w:rStyle w:val="FootnoteReference"/>
        </w:rPr>
        <w:footnoteReference w:id="21"/>
      </w:r>
      <w:r w:rsidRPr="001B13F6">
        <w:rPr>
          <w:rStyle w:val="FootnoteReference"/>
        </w:rPr>
        <w:t xml:space="preserve"> </w:t>
      </w:r>
      <w:r w:rsidRPr="001B13F6">
        <w:t>The best laws include bold targets, timelines and accountability mechanisms.</w:t>
      </w:r>
      <w:r w:rsidRPr="001B13F6">
        <w:rPr>
          <w:rStyle w:val="FootnoteReference"/>
        </w:rPr>
        <w:footnoteReference w:id="22"/>
      </w:r>
      <w:r w:rsidRPr="001B13F6">
        <w:rPr>
          <w:rStyle w:val="FootnoteReference"/>
        </w:rPr>
        <w:t xml:space="preserve"> </w:t>
      </w:r>
      <w:r w:rsidRPr="001B13F6">
        <w:t>For example</w:t>
      </w:r>
      <w:r w:rsidR="005158A1" w:rsidRPr="001B13F6">
        <w:t>, in</w:t>
      </w:r>
      <w:r w:rsidRPr="001B13F6">
        <w:t xml:space="preserve"> the United Kingdom</w:t>
      </w:r>
      <w:r w:rsidR="005158A1" w:rsidRPr="001B13F6">
        <w:t xml:space="preserve"> of Great Britain and Northern Ireland, the </w:t>
      </w:r>
      <w:r w:rsidRPr="001B13F6">
        <w:t>Climate Change Act requires a reduction of greenhouse gas emissions by at least 80 per</w:t>
      </w:r>
      <w:r w:rsidR="005158A1" w:rsidRPr="001B13F6">
        <w:t xml:space="preserve"> </w:t>
      </w:r>
      <w:r w:rsidRPr="001B13F6">
        <w:t>cent by 2050 compared to 1990 levels, through legally binding caps on emissions, carbon budgets and various program</w:t>
      </w:r>
      <w:r w:rsidR="005158A1" w:rsidRPr="001B13F6">
        <w:t>me</w:t>
      </w:r>
      <w:r w:rsidRPr="001B13F6">
        <w:t xml:space="preserve">s. Elements of the British law have been emulated by other </w:t>
      </w:r>
      <w:r w:rsidR="002E5B52" w:rsidRPr="001B13F6">
        <w:t>States, such as</w:t>
      </w:r>
      <w:r w:rsidRPr="001B13F6">
        <w:t xml:space="preserve"> Denmark, France, Mexico, Norway and Sweden. </w:t>
      </w:r>
      <w:r w:rsidR="00DA4513" w:rsidRPr="001B13F6">
        <w:t xml:space="preserve">In </w:t>
      </w:r>
      <w:r w:rsidRPr="001B13F6">
        <w:t>Peru</w:t>
      </w:r>
      <w:r w:rsidR="00DA4513" w:rsidRPr="001B13F6">
        <w:t>, the f</w:t>
      </w:r>
      <w:r w:rsidRPr="001B13F6">
        <w:t xml:space="preserve">ramework </w:t>
      </w:r>
      <w:r w:rsidR="00DA4513" w:rsidRPr="001B13F6">
        <w:t>l</w:t>
      </w:r>
      <w:r w:rsidRPr="001B13F6">
        <w:t xml:space="preserve">aw on </w:t>
      </w:r>
      <w:r w:rsidR="00DA4513" w:rsidRPr="001B13F6">
        <w:t>c</w:t>
      </w:r>
      <w:r w:rsidRPr="001B13F6">
        <w:t xml:space="preserve">limate </w:t>
      </w:r>
      <w:r w:rsidR="00DA4513" w:rsidRPr="001B13F6">
        <w:t>c</w:t>
      </w:r>
      <w:r w:rsidRPr="001B13F6">
        <w:t xml:space="preserve">hange </w:t>
      </w:r>
      <w:r w:rsidR="00DA4513" w:rsidRPr="001B13F6">
        <w:t xml:space="preserve">(2018) </w:t>
      </w:r>
      <w:r w:rsidRPr="001B13F6">
        <w:t xml:space="preserve">mandates that climate change considerations be incorporated into public spending decisions at all levels of the </w:t>
      </w:r>
      <w:r w:rsidR="00DA4513" w:rsidRPr="001B13F6">
        <w:t>G</w:t>
      </w:r>
      <w:r w:rsidRPr="001B13F6">
        <w:t>overnment.</w:t>
      </w:r>
    </w:p>
    <w:p w14:paraId="28D61D4B" w14:textId="4B2CFFD9" w:rsidR="00F66FC9" w:rsidRPr="001B13F6" w:rsidRDefault="00F66FC9">
      <w:pPr>
        <w:pStyle w:val="SingleTxtG"/>
      </w:pPr>
      <w:r w:rsidRPr="001B13F6">
        <w:t>52.</w:t>
      </w:r>
      <w:r w:rsidRPr="001B13F6">
        <w:tab/>
        <w:t xml:space="preserve">Long-term plans for achieving deep </w:t>
      </w:r>
      <w:r w:rsidR="00DA4513" w:rsidRPr="001B13F6">
        <w:t xml:space="preserve">reductions in </w:t>
      </w:r>
      <w:r w:rsidRPr="001B13F6">
        <w:t xml:space="preserve">emissions by 2050 provide </w:t>
      </w:r>
      <w:r w:rsidR="00DA4513" w:rsidRPr="001B13F6">
        <w:t xml:space="preserve">an </w:t>
      </w:r>
      <w:r w:rsidRPr="001B13F6">
        <w:t>essential vision as well as certainty to investors that economies will shift away from fossil fuels over the next three decades. Thirteen States have filed long-term de-carbonization plans with the United Nations</w:t>
      </w:r>
      <w:r w:rsidR="00DA4513" w:rsidRPr="001B13F6">
        <w:t>:</w:t>
      </w:r>
      <w:r w:rsidRPr="001B13F6">
        <w:t xml:space="preserve"> Benin, Canada, Czechia, Fiji, France, Germany, Japan, the Marshall Islands, Mexico, Portugal, Ukraine, the United Kingdom </w:t>
      </w:r>
      <w:r w:rsidR="00DA4513" w:rsidRPr="001B13F6">
        <w:t xml:space="preserve">of Great Britain and Northern Ireland </w:t>
      </w:r>
      <w:r w:rsidRPr="001B13F6">
        <w:t>and the United States</w:t>
      </w:r>
      <w:r w:rsidR="00DA4513" w:rsidRPr="001B13F6">
        <w:t xml:space="preserve"> of America</w:t>
      </w:r>
      <w:r w:rsidRPr="001B13F6">
        <w:t>.</w:t>
      </w:r>
      <w:r w:rsidRPr="001B13F6">
        <w:rPr>
          <w:rStyle w:val="FootnoteReference"/>
        </w:rPr>
        <w:footnoteReference w:id="23"/>
      </w:r>
      <w:r w:rsidRPr="001B13F6">
        <w:rPr>
          <w:rStyle w:val="FootnoteReference"/>
        </w:rPr>
        <w:t xml:space="preserve"> </w:t>
      </w:r>
      <w:r w:rsidRPr="001B13F6">
        <w:t xml:space="preserve">The </w:t>
      </w:r>
      <w:r w:rsidR="00DA4513" w:rsidRPr="001B13F6">
        <w:t xml:space="preserve">2050 Climate Strategy adopted by the </w:t>
      </w:r>
      <w:r w:rsidRPr="001B13F6">
        <w:t>Marshall Islands emphasizes a rights-based approach, while Fiji and Mexico make multiple references to human rights in their plans.</w:t>
      </w:r>
    </w:p>
    <w:p w14:paraId="4A16FC50" w14:textId="4175E3FC" w:rsidR="00F66FC9" w:rsidRPr="001B13F6" w:rsidRDefault="00F66FC9">
      <w:pPr>
        <w:pStyle w:val="SingleTxtG"/>
      </w:pPr>
      <w:r w:rsidRPr="001B13F6">
        <w:t>53.</w:t>
      </w:r>
      <w:r w:rsidRPr="001B13F6">
        <w:tab/>
        <w:t>A growing number of States ha</w:t>
      </w:r>
      <w:r w:rsidR="00DA4513" w:rsidRPr="001B13F6">
        <w:t>s</w:t>
      </w:r>
      <w:r w:rsidRPr="001B13F6">
        <w:t xml:space="preserve"> incorporated, in law, specific timelines for achieving net-zero carbon emissions, </w:t>
      </w:r>
      <w:r w:rsidR="00DA4513" w:rsidRPr="001B13F6">
        <w:t xml:space="preserve">such as </w:t>
      </w:r>
      <w:r w:rsidRPr="001B13F6">
        <w:t xml:space="preserve">Norway (2030), Finland (2035), Sweden (2045), France (2050), New Zealand (2050) and the United Kingdom (2050). Bhutan is already carbon negative and intends to maintain carbon neutrality. Costa Rica, Fiji, Iceland, Ireland, </w:t>
      </w:r>
      <w:r w:rsidR="00DA4513" w:rsidRPr="001B13F6">
        <w:t xml:space="preserve">the </w:t>
      </w:r>
      <w:r w:rsidRPr="001B13F6">
        <w:t xml:space="preserve">Marshall Islands, Portugal and Uruguay have made similar but not legally binding commitments. Denmark recently raised its </w:t>
      </w:r>
      <w:r w:rsidR="00633AEE" w:rsidRPr="001B13F6">
        <w:t>ambition</w:t>
      </w:r>
      <w:r w:rsidR="00DA4513" w:rsidRPr="001B13F6">
        <w:t xml:space="preserve"> </w:t>
      </w:r>
      <w:r w:rsidRPr="001B13F6">
        <w:t>by setting a goal of reducing greenhouse gas emissions 70 per</w:t>
      </w:r>
      <w:r w:rsidR="00DA4513" w:rsidRPr="001B13F6">
        <w:t xml:space="preserve"> </w:t>
      </w:r>
      <w:r w:rsidRPr="001B13F6">
        <w:t>cent by 2030.</w:t>
      </w:r>
    </w:p>
    <w:p w14:paraId="6EDA740F" w14:textId="3BAC9AE2" w:rsidR="00F66FC9" w:rsidRPr="001B13F6" w:rsidRDefault="00F66FC9">
      <w:pPr>
        <w:pStyle w:val="SingleTxtG"/>
      </w:pPr>
      <w:r w:rsidRPr="001B13F6">
        <w:t>54.</w:t>
      </w:r>
      <w:r w:rsidRPr="001B13F6">
        <w:tab/>
        <w:t xml:space="preserve">Dozens of States </w:t>
      </w:r>
      <w:r w:rsidR="005C6F0A" w:rsidRPr="001B13F6">
        <w:t xml:space="preserve">have </w:t>
      </w:r>
      <w:r w:rsidRPr="001B13F6">
        <w:t xml:space="preserve">substantially reduced their greenhouse gas emissions, led by </w:t>
      </w:r>
      <w:r w:rsidR="00026BDF" w:rsidRPr="001B13F6">
        <w:t>Czech</w:t>
      </w:r>
      <w:r w:rsidR="005C6F0A" w:rsidRPr="001B13F6">
        <w:t>ia</w:t>
      </w:r>
      <w:r w:rsidRPr="001B13F6">
        <w:t xml:space="preserve">, Denmark, Hungary, Slovakia and the United Kingdom, where emissions </w:t>
      </w:r>
      <w:r w:rsidR="005C6F0A" w:rsidRPr="001B13F6">
        <w:t xml:space="preserve">declined by </w:t>
      </w:r>
      <w:r w:rsidRPr="001B13F6">
        <w:t>more than 30 per</w:t>
      </w:r>
      <w:r w:rsidR="005C6F0A" w:rsidRPr="001B13F6">
        <w:t xml:space="preserve"> </w:t>
      </w:r>
      <w:r w:rsidRPr="001B13F6">
        <w:t>cent between 1990 and 2017.</w:t>
      </w:r>
      <w:r w:rsidRPr="001B13F6">
        <w:rPr>
          <w:rStyle w:val="FootnoteReference"/>
        </w:rPr>
        <w:footnoteReference w:id="24"/>
      </w:r>
      <w:r w:rsidRPr="001B13F6">
        <w:rPr>
          <w:rStyle w:val="FootnoteReference"/>
        </w:rPr>
        <w:t xml:space="preserve"> </w:t>
      </w:r>
      <w:r w:rsidRPr="001B13F6">
        <w:t xml:space="preserve">Other </w:t>
      </w:r>
      <w:r w:rsidR="00CA725D" w:rsidRPr="001B13F6">
        <w:t>State p</w:t>
      </w:r>
      <w:r w:rsidRPr="001B13F6">
        <w:t xml:space="preserve">arties </w:t>
      </w:r>
      <w:r w:rsidR="00CA725D" w:rsidRPr="001B13F6">
        <w:t xml:space="preserve">included in annex I of the Paris Agreement </w:t>
      </w:r>
      <w:r w:rsidRPr="001B13F6">
        <w:t xml:space="preserve">making progress </w:t>
      </w:r>
      <w:r w:rsidR="004359D3" w:rsidRPr="001B13F6">
        <w:t>(</w:t>
      </w:r>
      <w:r w:rsidR="00187051">
        <w:t xml:space="preserve">namely, those having achieved </w:t>
      </w:r>
      <w:r w:rsidR="004359D3" w:rsidRPr="001B13F6">
        <w:t xml:space="preserve">at least a 20 per cent decline in emissions since 1990) </w:t>
      </w:r>
      <w:r w:rsidRPr="001B13F6">
        <w:t>include Belgium, Croatia, Estonia, Finland, Germany, Luxembourg, Portugal, Romania and Sweden.</w:t>
      </w:r>
      <w:r w:rsidRPr="001B13F6">
        <w:rPr>
          <w:rStyle w:val="FootnoteReference"/>
        </w:rPr>
        <w:footnoteReference w:id="25"/>
      </w:r>
      <w:r w:rsidRPr="001B13F6">
        <w:rPr>
          <w:rStyle w:val="FootnoteReference"/>
        </w:rPr>
        <w:t xml:space="preserve"> </w:t>
      </w:r>
      <w:r w:rsidRPr="001B13F6">
        <w:t xml:space="preserve">Sweden </w:t>
      </w:r>
      <w:r w:rsidR="00CA725D" w:rsidRPr="001B13F6">
        <w:t xml:space="preserve">has </w:t>
      </w:r>
      <w:r w:rsidRPr="001B13F6">
        <w:t xml:space="preserve">reduced emissions </w:t>
      </w:r>
      <w:r w:rsidR="00CA725D" w:rsidRPr="001B13F6">
        <w:t xml:space="preserve">by </w:t>
      </w:r>
      <w:r w:rsidRPr="001B13F6">
        <w:t>26 per</w:t>
      </w:r>
      <w:r w:rsidR="00CA725D" w:rsidRPr="001B13F6">
        <w:t xml:space="preserve"> </w:t>
      </w:r>
      <w:r w:rsidRPr="001B13F6">
        <w:t>cent since 1990, while enjoying an increase in GDP of 75 per</w:t>
      </w:r>
      <w:r w:rsidR="00CA725D" w:rsidRPr="001B13F6">
        <w:t xml:space="preserve"> </w:t>
      </w:r>
      <w:r w:rsidRPr="001B13F6">
        <w:t xml:space="preserve">cent over the same period. </w:t>
      </w:r>
    </w:p>
    <w:p w14:paraId="6961406A" w14:textId="38675558" w:rsidR="00F66FC9" w:rsidRPr="001B13F6" w:rsidRDefault="00F66FC9">
      <w:pPr>
        <w:pStyle w:val="SingleTxtG"/>
      </w:pPr>
      <w:r w:rsidRPr="001B13F6">
        <w:t>55.</w:t>
      </w:r>
      <w:r w:rsidRPr="001B13F6">
        <w:tab/>
        <w:t>Guatemala, Mexico, Morocco and the Philippines provide examples of climate change legislation addressing gender equality.</w:t>
      </w:r>
      <w:r w:rsidR="00CA725D" w:rsidRPr="001B13F6">
        <w:t xml:space="preserve"> In</w:t>
      </w:r>
      <w:r w:rsidRPr="001B13F6">
        <w:t xml:space="preserve"> Mexico</w:t>
      </w:r>
      <w:r w:rsidR="00CA725D" w:rsidRPr="001B13F6">
        <w:t>, the</w:t>
      </w:r>
      <w:r w:rsidRPr="001B13F6">
        <w:t xml:space="preserve"> General Law on Climate Change includes a specific focus on gender equality and empowering women. In the Philippines, the Climate Change Act of 2009 requires the State to incorporate </w:t>
      </w:r>
      <w:r w:rsidR="00896783" w:rsidRPr="001B13F6">
        <w:t>“</w:t>
      </w:r>
      <w:r w:rsidRPr="001B13F6">
        <w:t>a gender-sensitive, pro-children and pro-poor perspective</w:t>
      </w:r>
      <w:r w:rsidR="00896783" w:rsidRPr="001B13F6">
        <w:t>”</w:t>
      </w:r>
      <w:r w:rsidRPr="001B13F6">
        <w:t xml:space="preserve"> in all climate change and renewable energy efforts, plans and programmes</w:t>
      </w:r>
      <w:r w:rsidR="00896783" w:rsidRPr="001B13F6">
        <w:t>.</w:t>
      </w:r>
    </w:p>
    <w:p w14:paraId="52F10FAD" w14:textId="3A58E650" w:rsidR="00F66FC9" w:rsidRPr="001B13F6" w:rsidRDefault="00F66FC9">
      <w:pPr>
        <w:pStyle w:val="SingleTxtG"/>
      </w:pPr>
      <w:r w:rsidRPr="001B13F6">
        <w:t>56.</w:t>
      </w:r>
      <w:r w:rsidRPr="001B13F6">
        <w:tab/>
        <w:t>Uruguay has done an exemplary job of integrating human rights in</w:t>
      </w:r>
      <w:r w:rsidR="00896783" w:rsidRPr="001B13F6">
        <w:t>to</w:t>
      </w:r>
      <w:r w:rsidRPr="001B13F6">
        <w:t xml:space="preserve"> both the process of climate change policymaking and the substance of the policies produced, such as </w:t>
      </w:r>
      <w:r w:rsidR="00896783" w:rsidRPr="001B13F6">
        <w:t>its n</w:t>
      </w:r>
      <w:r w:rsidRPr="001B13F6">
        <w:t xml:space="preserve">ational </w:t>
      </w:r>
      <w:r w:rsidR="00896783" w:rsidRPr="001B13F6">
        <w:t>c</w:t>
      </w:r>
      <w:r w:rsidRPr="001B13F6">
        <w:t xml:space="preserve">limate </w:t>
      </w:r>
      <w:r w:rsidR="00896783" w:rsidRPr="001B13F6">
        <w:t>c</w:t>
      </w:r>
      <w:r w:rsidRPr="001B13F6">
        <w:t xml:space="preserve">hange </w:t>
      </w:r>
      <w:r w:rsidR="00896783" w:rsidRPr="001B13F6">
        <w:t>p</w:t>
      </w:r>
      <w:r w:rsidRPr="001B13F6">
        <w:t xml:space="preserve">lan. This integration flows from a partnership between </w:t>
      </w:r>
      <w:r w:rsidR="00896783" w:rsidRPr="001B13F6">
        <w:t xml:space="preserve">the </w:t>
      </w:r>
      <w:r w:rsidRPr="001B13F6">
        <w:t>Ministry of Housing, Territorial Planning and Environment and the Secretariat of Human Rights</w:t>
      </w:r>
      <w:r w:rsidR="00896783" w:rsidRPr="001B13F6">
        <w:t xml:space="preserve"> of the Office of the President</w:t>
      </w:r>
      <w:r w:rsidRPr="001B13F6">
        <w:t xml:space="preserve">. </w:t>
      </w:r>
    </w:p>
    <w:p w14:paraId="04F352A4" w14:textId="7EB2E67F" w:rsidR="00F66FC9" w:rsidRPr="001B13F6" w:rsidRDefault="00F66FC9">
      <w:pPr>
        <w:pStyle w:val="SingleTxtG"/>
      </w:pPr>
      <w:r w:rsidRPr="001B13F6">
        <w:t>57.</w:t>
      </w:r>
      <w:r w:rsidRPr="001B13F6">
        <w:tab/>
        <w:t xml:space="preserve">Nationally </w:t>
      </w:r>
      <w:r w:rsidR="00B67396" w:rsidRPr="001B13F6">
        <w:t>d</w:t>
      </w:r>
      <w:r w:rsidRPr="001B13F6">
        <w:t xml:space="preserve">etermined </w:t>
      </w:r>
      <w:r w:rsidR="00B67396" w:rsidRPr="001B13F6">
        <w:t>c</w:t>
      </w:r>
      <w:r w:rsidRPr="001B13F6">
        <w:t xml:space="preserve">ontributions comprise the commitments made by States pursuant to the Paris Agreement on a five-year cycle. </w:t>
      </w:r>
      <w:r w:rsidR="00B67396" w:rsidRPr="001B13F6">
        <w:t>In the first cycle, 24</w:t>
      </w:r>
      <w:r w:rsidR="00B67396" w:rsidRPr="001B13F6" w:rsidDel="00B67396">
        <w:t xml:space="preserve"> </w:t>
      </w:r>
      <w:r w:rsidR="00B67396" w:rsidRPr="001B13F6">
        <w:t xml:space="preserve">such contributions </w:t>
      </w:r>
      <w:r w:rsidRPr="001B13F6">
        <w:t>incorporated human rights. Seventeen States committed to taking a rights-based approach to climate action</w:t>
      </w:r>
      <w:r w:rsidR="00B67396" w:rsidRPr="001B13F6">
        <w:t>:</w:t>
      </w:r>
      <w:r w:rsidRPr="001B13F6">
        <w:t xml:space="preserve"> </w:t>
      </w:r>
      <w:r w:rsidR="00B67396" w:rsidRPr="001B13F6">
        <w:t xml:space="preserve">the Plurinational State of </w:t>
      </w:r>
      <w:r w:rsidRPr="001B13F6">
        <w:t xml:space="preserve">Bolivia, Brazil, Chad, Chile, Costa Rica, Ecuador, Georgia, Guatemala, Guyana, Honduras, Malawi, </w:t>
      </w:r>
      <w:r w:rsidR="00B67396" w:rsidRPr="001B13F6">
        <w:t xml:space="preserve">the </w:t>
      </w:r>
      <w:r w:rsidRPr="001B13F6">
        <w:t xml:space="preserve">Marshall Islands, Mexico, Morocco, </w:t>
      </w:r>
      <w:r w:rsidR="00B67396" w:rsidRPr="001B13F6">
        <w:t xml:space="preserve">the </w:t>
      </w:r>
      <w:r w:rsidRPr="001B13F6">
        <w:t>Philippines, South Sudan</w:t>
      </w:r>
      <w:r w:rsidR="00E469A3" w:rsidRPr="001B13F6">
        <w:t xml:space="preserve"> </w:t>
      </w:r>
      <w:r w:rsidRPr="001B13F6">
        <w:t xml:space="preserve">and Uganda. Seven States </w:t>
      </w:r>
      <w:r w:rsidR="00B67396" w:rsidRPr="001B13F6">
        <w:t xml:space="preserve">– Cuba, El Salvador, Indonesia, Nepal, </w:t>
      </w:r>
      <w:r w:rsidR="003A053D" w:rsidRPr="001B13F6">
        <w:t xml:space="preserve">the Bolivarian Republic of </w:t>
      </w:r>
      <w:r w:rsidR="00B67396" w:rsidRPr="001B13F6">
        <w:t xml:space="preserve">Venezuela, Yemen and Zimbabwe </w:t>
      </w:r>
      <w:r w:rsidR="003A053D" w:rsidRPr="001B13F6">
        <w:t xml:space="preserve">– </w:t>
      </w:r>
      <w:r w:rsidRPr="001B13F6">
        <w:t>identified human rights as a key element of the legal context in which actions would be taken. N</w:t>
      </w:r>
      <w:r w:rsidR="003A053D" w:rsidRPr="001B13F6">
        <w:t xml:space="preserve">ationally determined contributions </w:t>
      </w:r>
      <w:r w:rsidRPr="001B13F6">
        <w:t xml:space="preserve">from more than 50 States address gender issues, participation and the empowerment of women, while </w:t>
      </w:r>
      <w:r w:rsidR="003A053D" w:rsidRPr="001B13F6">
        <w:t xml:space="preserve">those </w:t>
      </w:r>
      <w:r w:rsidRPr="001B13F6">
        <w:t xml:space="preserve">from 19 </w:t>
      </w:r>
      <w:r w:rsidR="003A053D" w:rsidRPr="001B13F6">
        <w:t xml:space="preserve">other </w:t>
      </w:r>
      <w:r w:rsidRPr="001B13F6">
        <w:t xml:space="preserve">States include references to </w:t>
      </w:r>
      <w:r w:rsidR="003A053D" w:rsidRPr="001B13F6">
        <w:t>i</w:t>
      </w:r>
      <w:r w:rsidRPr="001B13F6">
        <w:t>ndigenous peoples and/or traditional knowledge.</w:t>
      </w:r>
      <w:r w:rsidRPr="001B13F6">
        <w:rPr>
          <w:rStyle w:val="FootnoteReference"/>
        </w:rPr>
        <w:footnoteReference w:id="26"/>
      </w:r>
      <w:r w:rsidRPr="001B13F6">
        <w:t xml:space="preserve"> </w:t>
      </w:r>
    </w:p>
    <w:p w14:paraId="364B85A7" w14:textId="793EC94E" w:rsidR="00F66FC9" w:rsidRPr="001B13F6" w:rsidRDefault="00F66FC9">
      <w:pPr>
        <w:pStyle w:val="SingleTxtG"/>
      </w:pPr>
      <w:r w:rsidRPr="001B13F6">
        <w:t>58.</w:t>
      </w:r>
      <w:r w:rsidRPr="001B13F6">
        <w:tab/>
        <w:t xml:space="preserve">France enacted a law in 2017 banning new fossil fuel exploration and development and requiring existing projects to be </w:t>
      </w:r>
      <w:r w:rsidR="00293E61" w:rsidRPr="001B13F6">
        <w:t xml:space="preserve">concluded </w:t>
      </w:r>
      <w:r w:rsidRPr="001B13F6">
        <w:t xml:space="preserve">by 2040 (including </w:t>
      </w:r>
      <w:r w:rsidR="00293E61" w:rsidRPr="001B13F6">
        <w:t xml:space="preserve">those in </w:t>
      </w:r>
      <w:r w:rsidRPr="001B13F6">
        <w:t xml:space="preserve">French territories overseas). An earlier law prohibiting the exploitation of shale gas by hydraulic fracturing was challenged by industry but upheld by the Constitutional Council. </w:t>
      </w:r>
    </w:p>
    <w:p w14:paraId="34545D43" w14:textId="78BD9D69" w:rsidR="00F66FC9" w:rsidRPr="001B13F6" w:rsidRDefault="00F66FC9">
      <w:pPr>
        <w:pStyle w:val="SingleTxtG"/>
        <w:rPr>
          <w:rStyle w:val="FootnoteReference"/>
        </w:rPr>
      </w:pPr>
      <w:r w:rsidRPr="00463874">
        <w:t>59.</w:t>
      </w:r>
      <w:r w:rsidRPr="001B13F6">
        <w:tab/>
        <w:t xml:space="preserve">Costa Rica </w:t>
      </w:r>
      <w:r w:rsidR="00F70283" w:rsidRPr="001B13F6">
        <w:t xml:space="preserve">(by </w:t>
      </w:r>
      <w:r w:rsidR="00F70283" w:rsidRPr="00463874">
        <w:t xml:space="preserve">Executive Decree No. 41578) </w:t>
      </w:r>
      <w:r w:rsidRPr="001B13F6">
        <w:t xml:space="preserve">and Belize </w:t>
      </w:r>
      <w:r w:rsidR="00F70283" w:rsidRPr="001B13F6">
        <w:t>(</w:t>
      </w:r>
      <w:r w:rsidR="00B502FB" w:rsidRPr="001B13F6">
        <w:t xml:space="preserve">by the </w:t>
      </w:r>
      <w:r w:rsidR="00F70283" w:rsidRPr="00463874">
        <w:t>Petroleum Operations (Maritime Zone Moratorium) Act, 2017)</w:t>
      </w:r>
      <w:r w:rsidR="00F70283" w:rsidRPr="001B13F6">
        <w:rPr>
          <w:sz w:val="18"/>
          <w:szCs w:val="18"/>
        </w:rPr>
        <w:t xml:space="preserve"> </w:t>
      </w:r>
      <w:r w:rsidRPr="001B13F6">
        <w:t>were the first States to prohibit all offshore oil and gas exploration and development, demonstrating climate leadership and protecting marine ecosystems. Denmark and New Zealand have also established limits on exploration for oil and gas.</w:t>
      </w:r>
      <w:r w:rsidRPr="001B13F6">
        <w:rPr>
          <w:rStyle w:val="FootnoteReference"/>
        </w:rPr>
        <w:footnoteReference w:id="27"/>
      </w:r>
    </w:p>
    <w:p w14:paraId="7C15283C" w14:textId="0549298D" w:rsidR="00F66FC9" w:rsidRPr="001B13F6" w:rsidRDefault="00F66FC9">
      <w:pPr>
        <w:pStyle w:val="SingleTxtG"/>
      </w:pPr>
      <w:r w:rsidRPr="001B13F6">
        <w:t>60.</w:t>
      </w:r>
      <w:r w:rsidRPr="001B13F6">
        <w:tab/>
      </w:r>
      <w:r w:rsidR="00B502FB" w:rsidRPr="001B13F6">
        <w:t xml:space="preserve">In a special report </w:t>
      </w:r>
      <w:r w:rsidR="00B502FB" w:rsidRPr="00463874">
        <w:rPr>
          <w:i/>
          <w:szCs w:val="18"/>
        </w:rPr>
        <w:t>Global Warming of 1.5</w:t>
      </w:r>
      <w:r w:rsidR="00B502FB" w:rsidRPr="00463874">
        <w:rPr>
          <w:i/>
          <w:szCs w:val="18"/>
          <w:vertAlign w:val="superscript"/>
        </w:rPr>
        <w:t>o</w:t>
      </w:r>
      <w:r w:rsidR="00B502FB" w:rsidRPr="00463874">
        <w:rPr>
          <w:i/>
          <w:szCs w:val="18"/>
        </w:rPr>
        <w:t>C</w:t>
      </w:r>
      <w:r w:rsidR="00B502FB" w:rsidRPr="001B13F6">
        <w:t>, t</w:t>
      </w:r>
      <w:r w:rsidRPr="001B13F6">
        <w:t>he Intergovernmental Panel on Climate Change concluded that a safe climate requires a two-thirds reduction in coal power generation in 2030 and</w:t>
      </w:r>
      <w:r w:rsidR="00B502FB" w:rsidRPr="001B13F6">
        <w:t xml:space="preserve"> its</w:t>
      </w:r>
      <w:r w:rsidRPr="001B13F6">
        <w:t xml:space="preserve"> near</w:t>
      </w:r>
      <w:r w:rsidR="00B502FB" w:rsidRPr="001B13F6">
        <w:t xml:space="preserve"> </w:t>
      </w:r>
      <w:r w:rsidRPr="001B13F6">
        <w:t>total elimination by 2050.</w:t>
      </w:r>
      <w:r w:rsidRPr="001B13F6">
        <w:rPr>
          <w:rStyle w:val="FootnoteReference"/>
        </w:rPr>
        <w:footnoteReference w:id="28"/>
      </w:r>
      <w:r w:rsidRPr="001B13F6">
        <w:rPr>
          <w:rStyle w:val="FootnoteReference"/>
        </w:rPr>
        <w:t xml:space="preserve"> </w:t>
      </w:r>
      <w:r w:rsidRPr="001B13F6">
        <w:t xml:space="preserve">Canada and the United Kingdom created the Powering Past Coal Alliance in 2017 and have been joined by 28 States and 22 subnational </w:t>
      </w:r>
      <w:r w:rsidR="00B502FB" w:rsidRPr="001B13F6">
        <w:t>G</w:t>
      </w:r>
      <w:r w:rsidRPr="001B13F6">
        <w:t>overnments pledging to end the use of coal to generate electricity by 2030</w:t>
      </w:r>
      <w:r w:rsidR="00B502FB" w:rsidRPr="001B13F6">
        <w:t>,</w:t>
      </w:r>
      <w:r w:rsidRPr="001B13F6">
        <w:t xml:space="preserve"> or in some States to never use coal for electricity.</w:t>
      </w:r>
      <w:r w:rsidRPr="001B13F6">
        <w:rPr>
          <w:rStyle w:val="FootnoteReference"/>
        </w:rPr>
        <w:footnoteReference w:id="29"/>
      </w:r>
      <w:r w:rsidRPr="001B13F6">
        <w:t xml:space="preserve"> In 2019, Finland enacted law </w:t>
      </w:r>
      <w:r w:rsidR="00B502FB" w:rsidRPr="001B13F6">
        <w:t xml:space="preserve">No. </w:t>
      </w:r>
      <w:r w:rsidR="00B502FB" w:rsidRPr="001B13F6">
        <w:rPr>
          <w:szCs w:val="18"/>
        </w:rPr>
        <w:t xml:space="preserve">416/2019 </w:t>
      </w:r>
      <w:r w:rsidRPr="001B13F6">
        <w:t>that bans the use of coal for electricity generation and heating as of 1 May 2029.</w:t>
      </w:r>
      <w:r w:rsidRPr="001B13F6">
        <w:rPr>
          <w:rStyle w:val="FootnoteReference"/>
        </w:rPr>
        <w:t xml:space="preserve"> </w:t>
      </w:r>
    </w:p>
    <w:p w14:paraId="18E54071" w14:textId="62CBC263" w:rsidR="00F66FC9" w:rsidRPr="001B13F6" w:rsidRDefault="00F66FC9">
      <w:pPr>
        <w:pStyle w:val="SingleTxtG"/>
      </w:pPr>
      <w:r w:rsidRPr="001B13F6">
        <w:t>61.</w:t>
      </w:r>
      <w:r w:rsidRPr="001B13F6">
        <w:tab/>
        <w:t>Spain and Germany are phasing out</w:t>
      </w:r>
      <w:r w:rsidR="00B502FB" w:rsidRPr="001B13F6">
        <w:t xml:space="preserve"> the</w:t>
      </w:r>
      <w:r w:rsidRPr="001B13F6">
        <w:t xml:space="preserve"> coal industr</w:t>
      </w:r>
      <w:r w:rsidR="00B502FB" w:rsidRPr="001B13F6">
        <w:t>y</w:t>
      </w:r>
      <w:r w:rsidRPr="001B13F6">
        <w:t xml:space="preserve"> and have put in place just transition strategies for workers.</w:t>
      </w:r>
      <w:r w:rsidRPr="001B13F6">
        <w:rPr>
          <w:rStyle w:val="FootnoteReference"/>
        </w:rPr>
        <w:footnoteReference w:id="30"/>
      </w:r>
      <w:r w:rsidRPr="001B13F6">
        <w:t xml:space="preserve"> </w:t>
      </w:r>
    </w:p>
    <w:p w14:paraId="68B9F4FF" w14:textId="3DED4AB3" w:rsidR="00F66FC9" w:rsidRPr="001B13F6" w:rsidRDefault="00F66FC9">
      <w:pPr>
        <w:pStyle w:val="SingleTxtG"/>
      </w:pPr>
      <w:r w:rsidRPr="001B13F6">
        <w:t>62.</w:t>
      </w:r>
      <w:r w:rsidRPr="001B13F6">
        <w:tab/>
        <w:t xml:space="preserve">Dramatic declines in the cost of renewable energy are accelerating the transition to clean energy. In many countries, wind and solar </w:t>
      </w:r>
      <w:r w:rsidR="00B502FB" w:rsidRPr="001B13F6">
        <w:t xml:space="preserve">power </w:t>
      </w:r>
      <w:r w:rsidRPr="001B13F6">
        <w:t xml:space="preserve">now provide cheaper electricity than fossil fuels. Global solar electricity generating capacity </w:t>
      </w:r>
      <w:r w:rsidR="00B502FB" w:rsidRPr="001B13F6">
        <w:t xml:space="preserve">has </w:t>
      </w:r>
      <w:r w:rsidRPr="001B13F6">
        <w:t>gr</w:t>
      </w:r>
      <w:r w:rsidR="00B502FB" w:rsidRPr="001B13F6">
        <w:t>o</w:t>
      </w:r>
      <w:r w:rsidRPr="001B13F6">
        <w:t>w</w:t>
      </w:r>
      <w:r w:rsidR="00B502FB" w:rsidRPr="001B13F6">
        <w:t>n</w:t>
      </w:r>
      <w:r w:rsidRPr="001B13F6">
        <w:t xml:space="preserve"> exponentially from one gigawatt in 2000 (one gigawatt equals one billion watts) to over 500 gigawatts in 2019. Thanks to supportive public policies, the top five solar electricity producing countries in the world are</w:t>
      </w:r>
      <w:r w:rsidR="00B502FB" w:rsidRPr="001B13F6">
        <w:t xml:space="preserve"> now</w:t>
      </w:r>
      <w:r w:rsidRPr="001B13F6">
        <w:t xml:space="preserve"> China, the U</w:t>
      </w:r>
      <w:r w:rsidR="00B502FB" w:rsidRPr="001B13F6">
        <w:t xml:space="preserve">nited </w:t>
      </w:r>
      <w:r w:rsidRPr="001B13F6">
        <w:t>S</w:t>
      </w:r>
      <w:r w:rsidR="00B502FB" w:rsidRPr="001B13F6">
        <w:t>tates</w:t>
      </w:r>
      <w:r w:rsidRPr="001B13F6">
        <w:t>, Japan, Germany and India.</w:t>
      </w:r>
    </w:p>
    <w:p w14:paraId="40F8BEE4" w14:textId="5E590B9E" w:rsidR="00F66FC9" w:rsidRPr="001B13F6" w:rsidRDefault="00F66FC9">
      <w:pPr>
        <w:pStyle w:val="SingleTxtG"/>
      </w:pPr>
      <w:r w:rsidRPr="001B13F6">
        <w:t>63.</w:t>
      </w:r>
      <w:r w:rsidRPr="001B13F6">
        <w:tab/>
        <w:t xml:space="preserve">The global total of wind electricity generating capacity grew from 17 gigawatts in 2000 to over 600 gigawatts in 2019. The top five countries in the world in generating electricity from wind, again </w:t>
      </w:r>
      <w:r w:rsidR="00B502FB" w:rsidRPr="001B13F6">
        <w:t xml:space="preserve">thanks </w:t>
      </w:r>
      <w:r w:rsidRPr="001B13F6">
        <w:t>to effective public policies, are China, the U</w:t>
      </w:r>
      <w:r w:rsidR="00B502FB" w:rsidRPr="001B13F6">
        <w:t xml:space="preserve">nited </w:t>
      </w:r>
      <w:r w:rsidRPr="001B13F6">
        <w:t>S</w:t>
      </w:r>
      <w:r w:rsidR="00B502FB" w:rsidRPr="001B13F6">
        <w:t>tates</w:t>
      </w:r>
      <w:r w:rsidRPr="001B13F6">
        <w:t xml:space="preserve">, Germany, India and Spain. </w:t>
      </w:r>
    </w:p>
    <w:p w14:paraId="21C00C05" w14:textId="3D1966A1" w:rsidR="00F66FC9" w:rsidRPr="001B13F6" w:rsidRDefault="00F66FC9">
      <w:pPr>
        <w:pStyle w:val="SingleTxtG"/>
      </w:pPr>
      <w:r w:rsidRPr="001B13F6">
        <w:t>64.</w:t>
      </w:r>
      <w:r w:rsidRPr="001B13F6">
        <w:tab/>
        <w:t xml:space="preserve">The steep decline in the cost of wind and solar </w:t>
      </w:r>
      <w:r w:rsidR="00B502FB" w:rsidRPr="001B13F6">
        <w:t xml:space="preserve">power </w:t>
      </w:r>
      <w:r w:rsidRPr="001B13F6">
        <w:t>mean</w:t>
      </w:r>
      <w:r w:rsidR="00B502FB" w:rsidRPr="001B13F6">
        <w:t>s</w:t>
      </w:r>
      <w:r w:rsidRPr="001B13F6">
        <w:t xml:space="preserve"> that rapidly shifting to 100 per</w:t>
      </w:r>
      <w:r w:rsidR="00B502FB" w:rsidRPr="001B13F6">
        <w:t xml:space="preserve"> </w:t>
      </w:r>
      <w:r w:rsidRPr="001B13F6">
        <w:t xml:space="preserve">cent renewable electricity is environmentally responsible and economically attractive. </w:t>
      </w:r>
      <w:r w:rsidR="00392B39" w:rsidRPr="001B13F6">
        <w:t xml:space="preserve">Albania, Costa Rica, Iceland, Namibia, Norway, Paraguay and Uruguay </w:t>
      </w:r>
      <w:r w:rsidRPr="001B13F6">
        <w:t xml:space="preserve">already secure </w:t>
      </w:r>
      <w:r w:rsidR="00B502FB" w:rsidRPr="001B13F6">
        <w:t xml:space="preserve">between </w:t>
      </w:r>
      <w:r w:rsidRPr="001B13F6">
        <w:t>98</w:t>
      </w:r>
      <w:r w:rsidR="00B502FB" w:rsidRPr="001B13F6">
        <w:t xml:space="preserve"> and </w:t>
      </w:r>
      <w:r w:rsidRPr="001B13F6">
        <w:t>100 per</w:t>
      </w:r>
      <w:r w:rsidR="00B502FB" w:rsidRPr="001B13F6">
        <w:t xml:space="preserve"> </w:t>
      </w:r>
      <w:r w:rsidRPr="001B13F6">
        <w:t xml:space="preserve">cent of their electricity from renewables including hydroelectric, solar, wind, geothermal and biomass. </w:t>
      </w:r>
      <w:r w:rsidR="00392B39" w:rsidRPr="001B13F6">
        <w:t xml:space="preserve">Belize, Bhutan, Burundi, the Democratic Republic of the Congo, Kyrgyzstan, the Lao People’s Democratic Republic, Mozambique, Nepal, Tajikistan and Zambia </w:t>
      </w:r>
      <w:r w:rsidRPr="001B13F6">
        <w:t>are above 90 per</w:t>
      </w:r>
      <w:r w:rsidR="00AC153A" w:rsidRPr="001B13F6">
        <w:t xml:space="preserve"> </w:t>
      </w:r>
      <w:r w:rsidRPr="001B13F6">
        <w:t xml:space="preserve">cent. </w:t>
      </w:r>
    </w:p>
    <w:p w14:paraId="5F99D177" w14:textId="47EECFAC" w:rsidR="00F66FC9" w:rsidRPr="001B13F6" w:rsidRDefault="00F66FC9">
      <w:pPr>
        <w:pStyle w:val="SingleTxtG"/>
      </w:pPr>
      <w:r w:rsidRPr="001B13F6">
        <w:t>65.</w:t>
      </w:r>
      <w:r w:rsidRPr="001B13F6">
        <w:tab/>
        <w:t>Distributed renewable energy program</w:t>
      </w:r>
      <w:r w:rsidR="00AC153A" w:rsidRPr="001B13F6">
        <w:t>me</w:t>
      </w:r>
      <w:r w:rsidRPr="001B13F6">
        <w:t>s (where electricity is produced at or near the point where it is used) offer an excellent way to extend reliable access to clean and affordable electricity</w:t>
      </w:r>
      <w:r w:rsidR="00AC153A" w:rsidRPr="001B13F6">
        <w:t>,</w:t>
      </w:r>
      <w:r w:rsidRPr="001B13F6">
        <w:t xml:space="preserve"> and have been established in many low- and middle-income countries in Asia, Africa and Latin America. For example, at least </w:t>
      </w:r>
      <w:r w:rsidR="00AC153A" w:rsidRPr="001B13F6">
        <w:t xml:space="preserve">20 </w:t>
      </w:r>
      <w:r w:rsidRPr="001B13F6">
        <w:t>million people in remote villages in Bangladesh have solar panels with batteries that store electricity, improving their quality of life.</w:t>
      </w:r>
      <w:r w:rsidRPr="001B13F6">
        <w:rPr>
          <w:rStyle w:val="FootnoteReference"/>
        </w:rPr>
        <w:footnoteReference w:id="31"/>
      </w:r>
      <w:r w:rsidRPr="001B13F6">
        <w:t xml:space="preserve"> </w:t>
      </w:r>
    </w:p>
    <w:p w14:paraId="1191AC98" w14:textId="6BAB460D" w:rsidR="00F66FC9" w:rsidRPr="001B13F6" w:rsidRDefault="00F66FC9">
      <w:pPr>
        <w:pStyle w:val="SingleTxtG"/>
      </w:pPr>
      <w:r w:rsidRPr="001B13F6">
        <w:t>66.</w:t>
      </w:r>
      <w:r w:rsidRPr="001B13F6">
        <w:tab/>
        <w:t>Nineteen West African States are collaborating in the Regional Off-Grid Electrification Project to increase access to electricity for households and businesses using off-grid solar systems. The $150 million project is expected to benefit 585,000 households (</w:t>
      </w:r>
      <w:r w:rsidR="0082352B" w:rsidRPr="001B13F6">
        <w:t xml:space="preserve">2 </w:t>
      </w:r>
      <w:r w:rsidRPr="001B13F6">
        <w:t>million people), as well as 65,000 small and medium-sized businesses.</w:t>
      </w:r>
      <w:r w:rsidRPr="001B13F6">
        <w:rPr>
          <w:rStyle w:val="FootnoteReference"/>
        </w:rPr>
        <w:footnoteReference w:id="32"/>
      </w:r>
      <w:r w:rsidRPr="001B13F6">
        <w:rPr>
          <w:rStyle w:val="FootnoteReference"/>
        </w:rPr>
        <w:t xml:space="preserve"> </w:t>
      </w:r>
      <w:r w:rsidRPr="001B13F6">
        <w:t>Participating States include Benin, Burkina Faso, Cabo Verde, Cameroon, the Central African Republic, Chad, Côte d’Ivoire, the Gambia, Ghana, Guinea, Guinea-Bissau, Liberia, Mali, Mauritania</w:t>
      </w:r>
      <w:r w:rsidR="00705EAC" w:rsidRPr="001B13F6">
        <w:t>, the</w:t>
      </w:r>
      <w:r w:rsidRPr="001B13F6">
        <w:t xml:space="preserve"> Niger, Nigeria, Senegal, Sierra Leone and Togo.</w:t>
      </w:r>
      <w:r w:rsidRPr="001B13F6">
        <w:rPr>
          <w:rStyle w:val="FootnoteReference"/>
        </w:rPr>
        <w:footnoteReference w:id="33"/>
      </w:r>
    </w:p>
    <w:p w14:paraId="768B85B9" w14:textId="65D0F371" w:rsidR="00F66FC9" w:rsidRPr="001B13F6" w:rsidRDefault="00F66FC9">
      <w:pPr>
        <w:pStyle w:val="SingleTxtG"/>
      </w:pPr>
      <w:r w:rsidRPr="001B13F6">
        <w:t>67.</w:t>
      </w:r>
      <w:r w:rsidRPr="001B13F6">
        <w:tab/>
        <w:t xml:space="preserve">Through the African Forest Landscape Restoration Initiative, </w:t>
      </w:r>
      <w:r w:rsidR="00705EAC" w:rsidRPr="001B13F6">
        <w:t>28</w:t>
      </w:r>
      <w:r w:rsidRPr="001B13F6">
        <w:t xml:space="preserve"> countries across Africa have committed to restore more than 100 million hectares of deforested and degraded landscapes. Funding includes $1 billion in development finance and $500 million in private sector funding. </w:t>
      </w:r>
      <w:r w:rsidR="00705EAC" w:rsidRPr="001B13F6">
        <w:t>Although t</w:t>
      </w:r>
      <w:r w:rsidRPr="001B13F6">
        <w:t xml:space="preserve">he focus is on improving livelihoods, the initiative will also increase carbon storage by creating healthy forests. Participating States include Benin, Burkina Faso, Burundi, Cameroon, </w:t>
      </w:r>
      <w:r w:rsidR="00705EAC" w:rsidRPr="001B13F6">
        <w:t xml:space="preserve">the </w:t>
      </w:r>
      <w:r w:rsidRPr="001B13F6">
        <w:t xml:space="preserve">Central African Republic, Chad, </w:t>
      </w:r>
      <w:r w:rsidR="00705EAC" w:rsidRPr="001B13F6">
        <w:t xml:space="preserve">the Congo, </w:t>
      </w:r>
      <w:r w:rsidRPr="001B13F6">
        <w:t>C</w:t>
      </w:r>
      <w:r w:rsidR="00705EAC" w:rsidRPr="001B13F6">
        <w:t>ô</w:t>
      </w:r>
      <w:r w:rsidRPr="001B13F6">
        <w:t xml:space="preserve">te d’Ivoire, </w:t>
      </w:r>
      <w:r w:rsidR="00705EAC" w:rsidRPr="001B13F6">
        <w:t xml:space="preserve">the </w:t>
      </w:r>
      <w:r w:rsidRPr="001B13F6">
        <w:t xml:space="preserve">Democratic Republic of the Congo, </w:t>
      </w:r>
      <w:r w:rsidR="00BF3086" w:rsidRPr="009425EA">
        <w:t xml:space="preserve">Eswatini, </w:t>
      </w:r>
      <w:r w:rsidRPr="001B13F6">
        <w:t xml:space="preserve">Ethiopia, Ghana, Guinea, Kenya, Liberia, Madagascar, Malawi, Mozambique, </w:t>
      </w:r>
      <w:r w:rsidR="00705EAC" w:rsidRPr="001B13F6">
        <w:t xml:space="preserve">the </w:t>
      </w:r>
      <w:r w:rsidRPr="001B13F6">
        <w:t xml:space="preserve">Niger, Nigeria, Rwanda, Senegal, South Africa, </w:t>
      </w:r>
      <w:r w:rsidR="00705EAC" w:rsidRPr="001B13F6">
        <w:t xml:space="preserve">the </w:t>
      </w:r>
      <w:r w:rsidRPr="001B13F6">
        <w:t>Sudan, Togo, Uganda</w:t>
      </w:r>
      <w:r w:rsidR="001B40B2" w:rsidRPr="001B13F6">
        <w:t>,</w:t>
      </w:r>
      <w:r w:rsidRPr="001B13F6">
        <w:t xml:space="preserve"> </w:t>
      </w:r>
      <w:r w:rsidR="00705EAC" w:rsidRPr="001B13F6">
        <w:t xml:space="preserve">the United Republic of Tanzania </w:t>
      </w:r>
      <w:r w:rsidRPr="001B13F6">
        <w:t>and Zimbabwe.</w:t>
      </w:r>
      <w:r w:rsidRPr="001B13F6">
        <w:rPr>
          <w:rStyle w:val="FootnoteReference"/>
        </w:rPr>
        <w:footnoteReference w:id="34"/>
      </w:r>
      <w:r w:rsidRPr="001B13F6">
        <w:rPr>
          <w:rStyle w:val="FootnoteReference"/>
        </w:rPr>
        <w:t xml:space="preserve"> </w:t>
      </w:r>
    </w:p>
    <w:p w14:paraId="51CCEA7A" w14:textId="62F56630" w:rsidR="00F66FC9" w:rsidRPr="001B13F6" w:rsidRDefault="00F66FC9">
      <w:pPr>
        <w:pStyle w:val="SingleTxtG"/>
      </w:pPr>
      <w:r w:rsidRPr="001B13F6">
        <w:t>68.</w:t>
      </w:r>
      <w:r w:rsidRPr="001B13F6">
        <w:tab/>
        <w:t xml:space="preserve">In 2018, Vanuatu </w:t>
      </w:r>
      <w:r w:rsidR="00705EAC" w:rsidRPr="001B13F6">
        <w:t>launched its</w:t>
      </w:r>
      <w:r w:rsidRPr="001B13F6">
        <w:t xml:space="preserve"> National Policy on Climate Change and Disaster-Induced Displacement, emphasizing a rights-based approach that draws on the Sendai Framework for Disaster Risk Reduction and the Guiding Principles on Internal Displacement. The policy is systemic and action-oriented, incorporating non-discrimination, gender responsiveness and community participation. It addresses prevention, protects persons during evacuation and throughout the term of displacement, and seeks durable solutions. </w:t>
      </w:r>
    </w:p>
    <w:p w14:paraId="3D4C3279" w14:textId="6A1A9667" w:rsidR="00F66FC9" w:rsidRPr="001B13F6" w:rsidRDefault="00F66FC9">
      <w:pPr>
        <w:pStyle w:val="SingleTxtG"/>
      </w:pPr>
      <w:r w:rsidRPr="001B13F6">
        <w:t>69.</w:t>
      </w:r>
      <w:r w:rsidRPr="001B13F6">
        <w:tab/>
        <w:t xml:space="preserve">Although relocating communities should be </w:t>
      </w:r>
      <w:r w:rsidR="00705EAC" w:rsidRPr="001B13F6">
        <w:t xml:space="preserve">the </w:t>
      </w:r>
      <w:r w:rsidRPr="001B13F6">
        <w:t>last resort, in cases where it is inevitable</w:t>
      </w:r>
      <w:r w:rsidR="00705EAC" w:rsidRPr="001B13F6">
        <w:t>,</w:t>
      </w:r>
      <w:r w:rsidRPr="001B13F6">
        <w:t xml:space="preserve"> plans should be developed in close cooperation with the affected communities. </w:t>
      </w:r>
      <w:r w:rsidR="00705EAC" w:rsidRPr="001B13F6">
        <w:t xml:space="preserve">In </w:t>
      </w:r>
      <w:r w:rsidRPr="001B13F6">
        <w:t>Fiji</w:t>
      </w:r>
      <w:r w:rsidR="00705EAC" w:rsidRPr="001B13F6">
        <w:t>,</w:t>
      </w:r>
      <w:r w:rsidRPr="001B13F6">
        <w:t xml:space="preserve"> </w:t>
      </w:r>
      <w:r w:rsidR="00705EAC" w:rsidRPr="001B13F6">
        <w:t xml:space="preserve">the </w:t>
      </w:r>
      <w:r w:rsidRPr="00463874">
        <w:rPr>
          <w:i/>
        </w:rPr>
        <w:t>Planned Relocation Guidelines</w:t>
      </w:r>
      <w:r w:rsidRPr="001B13F6">
        <w:t>, published in 2018, are a commendable example of a rights-based approach to relocation.</w:t>
      </w:r>
    </w:p>
    <w:p w14:paraId="2F3911DE" w14:textId="62F9C442" w:rsidR="00F66FC9" w:rsidRPr="001B13F6" w:rsidRDefault="00F66FC9">
      <w:pPr>
        <w:pStyle w:val="SingleTxtG"/>
      </w:pPr>
      <w:r w:rsidRPr="001B13F6">
        <w:t>70.</w:t>
      </w:r>
      <w:r w:rsidRPr="001B13F6">
        <w:tab/>
      </w:r>
      <w:r w:rsidR="001B40B2" w:rsidRPr="001B13F6">
        <w:t xml:space="preserve">Australia, </w:t>
      </w:r>
      <w:r w:rsidRPr="001B13F6">
        <w:t xml:space="preserve">Canada, Denmark, </w:t>
      </w:r>
      <w:r w:rsidR="001B40B2" w:rsidRPr="001B13F6">
        <w:t xml:space="preserve">the Netherlands, </w:t>
      </w:r>
      <w:r w:rsidRPr="001B13F6">
        <w:t>Sweden and Switzerland provide 98</w:t>
      </w:r>
      <w:r w:rsidR="00333FD7" w:rsidRPr="001B13F6">
        <w:t xml:space="preserve"> to </w:t>
      </w:r>
      <w:r w:rsidRPr="001B13F6">
        <w:t>100 per</w:t>
      </w:r>
      <w:r w:rsidR="00333FD7" w:rsidRPr="001B13F6">
        <w:t xml:space="preserve"> </w:t>
      </w:r>
      <w:r w:rsidRPr="001B13F6">
        <w:t xml:space="preserve">cent of bilateral public climate finance in the form of grants, which are much better for developing </w:t>
      </w:r>
      <w:r w:rsidR="00333FD7" w:rsidRPr="001B13F6">
        <w:t xml:space="preserve">countries </w:t>
      </w:r>
      <w:r w:rsidRPr="001B13F6">
        <w:t>than loans.</w:t>
      </w:r>
      <w:r w:rsidRPr="001B13F6">
        <w:rPr>
          <w:rStyle w:val="FootnoteReference"/>
        </w:rPr>
        <w:footnoteReference w:id="35"/>
      </w:r>
      <w:r w:rsidRPr="001B13F6">
        <w:t xml:space="preserve"> </w:t>
      </w:r>
    </w:p>
    <w:p w14:paraId="34A4CF21" w14:textId="737540C1" w:rsidR="00F66FC9" w:rsidRPr="001B13F6" w:rsidRDefault="00F66FC9">
      <w:pPr>
        <w:pStyle w:val="SingleTxtG"/>
      </w:pPr>
      <w:r w:rsidRPr="001B13F6">
        <w:t>71.</w:t>
      </w:r>
      <w:r w:rsidRPr="001B13F6">
        <w:tab/>
        <w:t xml:space="preserve">Germany funds projects in Mexico to foster women’s participation in climate action, </w:t>
      </w:r>
      <w:r w:rsidR="00333FD7" w:rsidRPr="001B13F6">
        <w:t xml:space="preserve">such as </w:t>
      </w:r>
      <w:r w:rsidR="00333FD7" w:rsidRPr="00463874">
        <w:rPr>
          <w:i/>
        </w:rPr>
        <w:t>Red Mujeres en Energía Renovable y Eficiencia Energética</w:t>
      </w:r>
      <w:r w:rsidR="00333FD7" w:rsidRPr="001B13F6">
        <w:t xml:space="preserve"> (</w:t>
      </w:r>
      <w:r w:rsidRPr="001B13F6">
        <w:t>Renewable Energy and Energy Efficiency</w:t>
      </w:r>
      <w:r w:rsidR="00333FD7" w:rsidRPr="001B13F6">
        <w:t xml:space="preserve"> Women’s Network)</w:t>
      </w:r>
      <w:r w:rsidRPr="001B13F6">
        <w:t xml:space="preserve">. Ireland promotes gender equality in access to renewable energy, developing climate-resilient agriculture and greening the health sector. </w:t>
      </w:r>
    </w:p>
    <w:p w14:paraId="31AB02A6" w14:textId="49592537" w:rsidR="00F66FC9" w:rsidRPr="001B13F6" w:rsidRDefault="00F66FC9">
      <w:pPr>
        <w:pStyle w:val="SingleTxtG"/>
      </w:pPr>
      <w:r w:rsidRPr="001B13F6">
        <w:t>72.</w:t>
      </w:r>
      <w:r w:rsidRPr="001B13F6">
        <w:tab/>
        <w:t xml:space="preserve">The Global Environment Facility established an </w:t>
      </w:r>
      <w:r w:rsidR="00333FD7" w:rsidRPr="001B13F6">
        <w:t>i</w:t>
      </w:r>
      <w:r w:rsidRPr="001B13F6">
        <w:t xml:space="preserve">ndigenous </w:t>
      </w:r>
      <w:r w:rsidR="00333FD7" w:rsidRPr="001B13F6">
        <w:t>p</w:t>
      </w:r>
      <w:r w:rsidRPr="001B13F6">
        <w:t xml:space="preserve">eoples </w:t>
      </w:r>
      <w:r w:rsidR="00333FD7" w:rsidRPr="001B13F6">
        <w:t>a</w:t>
      </w:r>
      <w:r w:rsidRPr="001B13F6">
        <w:t xml:space="preserve">dvisory </w:t>
      </w:r>
      <w:r w:rsidR="00333FD7" w:rsidRPr="001B13F6">
        <w:t>g</w:t>
      </w:r>
      <w:r w:rsidRPr="001B13F6">
        <w:t xml:space="preserve">roup and an </w:t>
      </w:r>
      <w:r w:rsidR="00333FD7" w:rsidRPr="001B13F6">
        <w:t>i</w:t>
      </w:r>
      <w:r w:rsidRPr="001B13F6">
        <w:t xml:space="preserve">ndigenous </w:t>
      </w:r>
      <w:r w:rsidR="00333FD7" w:rsidRPr="001B13F6">
        <w:t>p</w:t>
      </w:r>
      <w:r w:rsidRPr="001B13F6">
        <w:t xml:space="preserve">eoples </w:t>
      </w:r>
      <w:r w:rsidR="00333FD7" w:rsidRPr="001B13F6">
        <w:t>f</w:t>
      </w:r>
      <w:r w:rsidRPr="001B13F6">
        <w:t xml:space="preserve">ellowship </w:t>
      </w:r>
      <w:r w:rsidR="00333FD7" w:rsidRPr="001B13F6">
        <w:t>p</w:t>
      </w:r>
      <w:r w:rsidRPr="001B13F6">
        <w:t>rogram</w:t>
      </w:r>
      <w:r w:rsidR="00333FD7" w:rsidRPr="001B13F6">
        <w:t>me</w:t>
      </w:r>
      <w:r w:rsidRPr="001B13F6">
        <w:t xml:space="preserve">. These are important first steps towards increasing flows of climate finance to </w:t>
      </w:r>
      <w:r w:rsidR="00333FD7" w:rsidRPr="001B13F6">
        <w:t>i</w:t>
      </w:r>
      <w:r w:rsidRPr="001B13F6">
        <w:t xml:space="preserve">ndigenous peoples. </w:t>
      </w:r>
    </w:p>
    <w:p w14:paraId="08917618" w14:textId="77777777" w:rsidR="00F66FC9" w:rsidRPr="001B13F6" w:rsidRDefault="00143A8D" w:rsidP="00463874">
      <w:pPr>
        <w:pStyle w:val="H23G"/>
        <w:spacing w:line="240" w:lineRule="atLeast"/>
      </w:pPr>
      <w:r w:rsidRPr="001B13F6">
        <w:tab/>
        <w:t>3.</w:t>
      </w:r>
      <w:r w:rsidRPr="001B13F6">
        <w:tab/>
      </w:r>
      <w:r w:rsidR="00F66FC9" w:rsidRPr="001B13F6">
        <w:t>Healthy and sustainably produced food</w:t>
      </w:r>
    </w:p>
    <w:p w14:paraId="4F6C3DC0" w14:textId="2F5D7E59" w:rsidR="00F66FC9" w:rsidRPr="001B13F6" w:rsidRDefault="00F66FC9">
      <w:pPr>
        <w:pStyle w:val="SingleTxtG"/>
      </w:pPr>
      <w:r w:rsidRPr="001B13F6">
        <w:t>73.</w:t>
      </w:r>
      <w:r w:rsidRPr="001B13F6">
        <w:tab/>
        <w:t xml:space="preserve">More than 800 </w:t>
      </w:r>
      <w:r w:rsidR="001B40B2" w:rsidRPr="001B13F6">
        <w:t xml:space="preserve">million </w:t>
      </w:r>
      <w:r w:rsidRPr="001B13F6">
        <w:t xml:space="preserve">people were undernourished in 2017, marking the third consecutive year where hunger has increased globally. Faced with the immense </w:t>
      </w:r>
      <w:r w:rsidR="00CC0E2B" w:rsidRPr="001B13F6">
        <w:t xml:space="preserve">impact of industrial agriculture on the </w:t>
      </w:r>
      <w:r w:rsidRPr="001B13F6">
        <w:t xml:space="preserve">environment and the need to feed almost </w:t>
      </w:r>
      <w:r w:rsidR="00CC0E2B" w:rsidRPr="001B13F6">
        <w:t xml:space="preserve">8 </w:t>
      </w:r>
      <w:r w:rsidRPr="001B13F6">
        <w:t>billion humans, it is imperative that diets evolve and food be sustainably produced.</w:t>
      </w:r>
    </w:p>
    <w:p w14:paraId="0689D016" w14:textId="006CB902" w:rsidR="00F66FC9" w:rsidRPr="001B13F6" w:rsidRDefault="00F66FC9">
      <w:pPr>
        <w:pStyle w:val="SingleTxtG"/>
      </w:pPr>
      <w:r w:rsidRPr="001B13F6">
        <w:t>74.</w:t>
      </w:r>
      <w:r w:rsidRPr="001B13F6">
        <w:tab/>
        <w:t>The right to food is recognized in the Universal Declaration of Human Rights and the International Covenant on Economic, Social and Cultural Rights as part of the right to an adequate standard of living. Thirty</w:t>
      </w:r>
      <w:r w:rsidR="00CC0E2B" w:rsidRPr="001B13F6">
        <w:t>-one</w:t>
      </w:r>
      <w:r w:rsidRPr="001B13F6">
        <w:t xml:space="preserve"> States provide constitutional recognition of the right to food</w:t>
      </w:r>
      <w:r w:rsidR="00CC0E2B" w:rsidRPr="001B13F6">
        <w:t>:</w:t>
      </w:r>
      <w:r w:rsidRPr="001B13F6">
        <w:t xml:space="preserve"> Belarus, </w:t>
      </w:r>
      <w:r w:rsidR="00CC0E2B" w:rsidRPr="001B13F6">
        <w:t xml:space="preserve">the Plurinational State of </w:t>
      </w:r>
      <w:r w:rsidRPr="001B13F6">
        <w:t xml:space="preserve">Bolivia, Brazil, Colombia, Costa Rica, Cuba, </w:t>
      </w:r>
      <w:r w:rsidR="00CC0E2B" w:rsidRPr="001B13F6">
        <w:t xml:space="preserve">the </w:t>
      </w:r>
      <w:r w:rsidRPr="001B13F6">
        <w:t xml:space="preserve">Democratic Republic of the Congo, </w:t>
      </w:r>
      <w:r w:rsidR="00CC0E2B" w:rsidRPr="001B13F6">
        <w:t xml:space="preserve">the </w:t>
      </w:r>
      <w:r w:rsidRPr="001B13F6">
        <w:t>Dominican Republic, Ecuador, Egypt, Fiji, Guatemala, Guyana, Haiti, Honduras, India, Kenya, Malawi, Maldives, Mexico, Nepal, Nicaragua</w:t>
      </w:r>
      <w:r w:rsidR="00CC0E2B" w:rsidRPr="001B13F6">
        <w:t>,</w:t>
      </w:r>
      <w:r w:rsidRPr="001B13F6">
        <w:t xml:space="preserve"> </w:t>
      </w:r>
      <w:r w:rsidR="00CC0E2B" w:rsidRPr="001B13F6">
        <w:t xml:space="preserve">the </w:t>
      </w:r>
      <w:r w:rsidRPr="001B13F6">
        <w:t xml:space="preserve">Niger, Panama, Paraguay, </w:t>
      </w:r>
      <w:r w:rsidR="00CC0E2B" w:rsidRPr="001B13F6">
        <w:t xml:space="preserve">the </w:t>
      </w:r>
      <w:r w:rsidRPr="001B13F6">
        <w:t xml:space="preserve">Philippines, </w:t>
      </w:r>
      <w:r w:rsidR="00CC0E2B" w:rsidRPr="001B13F6">
        <w:t xml:space="preserve">the </w:t>
      </w:r>
      <w:r w:rsidRPr="001B13F6">
        <w:t xml:space="preserve">Republic of Moldova, South Africa, Suriname, Ukraine and Zimbabwe. </w:t>
      </w:r>
    </w:p>
    <w:p w14:paraId="70008D98" w14:textId="05D56E6A" w:rsidR="00F66FC9" w:rsidRPr="001B13F6" w:rsidRDefault="00F66FC9">
      <w:pPr>
        <w:pStyle w:val="SingleTxtG"/>
      </w:pPr>
      <w:r w:rsidRPr="001B13F6">
        <w:t>75.</w:t>
      </w:r>
      <w:r w:rsidRPr="001B13F6">
        <w:tab/>
        <w:t xml:space="preserve">Agroecological farming can help </w:t>
      </w:r>
      <w:r w:rsidR="00CC0E2B" w:rsidRPr="001B13F6">
        <w:t xml:space="preserve">to </w:t>
      </w:r>
      <w:r w:rsidRPr="001B13F6">
        <w:t>improve livelihoods for small-scale farmers and those living in poverty, including women, because it involves limited reliance on expensive external inputs. Agroecology improves air, soil, surface water and groundwater quality, is less energy</w:t>
      </w:r>
      <w:r w:rsidR="00CC0E2B" w:rsidRPr="001B13F6">
        <w:t>-</w:t>
      </w:r>
      <w:r w:rsidRPr="001B13F6">
        <w:t>intensive, reduces emissions of greenhouse gases and enhances carbon sinks</w:t>
      </w:r>
      <w:r w:rsidR="00CC0E2B" w:rsidRPr="001B13F6">
        <w:t xml:space="preserve"> (</w:t>
      </w:r>
      <w:r w:rsidR="00CC0E2B" w:rsidRPr="001B13F6">
        <w:rPr>
          <w:szCs w:val="18"/>
        </w:rPr>
        <w:t>A/HRC/16/49, para. 31)</w:t>
      </w:r>
      <w:r w:rsidRPr="001B13F6">
        <w:t>. The U</w:t>
      </w:r>
      <w:r w:rsidR="00CC0E2B" w:rsidRPr="001B13F6">
        <w:t xml:space="preserve">nited </w:t>
      </w:r>
      <w:r w:rsidRPr="001B13F6">
        <w:t>N</w:t>
      </w:r>
      <w:r w:rsidR="00CC0E2B" w:rsidRPr="001B13F6">
        <w:t>ations</w:t>
      </w:r>
      <w:r w:rsidRPr="001B13F6">
        <w:t xml:space="preserve"> Food and Agriculture Organization </w:t>
      </w:r>
      <w:r w:rsidR="00CC0E2B" w:rsidRPr="001B13F6">
        <w:t xml:space="preserve">has </w:t>
      </w:r>
      <w:r w:rsidRPr="001B13F6">
        <w:t>identified agroecology policies in Brazil, Denmark, Ecuador, India, the Philippines, Senegal and the United States as winners of Future Policy Awards in 2018 for scaling up agroecology, improving the livelihoods of small-scale food producers, ensuring sustainable food production systems and implementing climate-resilient agricultural practices.</w:t>
      </w:r>
      <w:r w:rsidRPr="001B13F6">
        <w:rPr>
          <w:rStyle w:val="FootnoteReference"/>
        </w:rPr>
        <w:footnoteReference w:id="36"/>
      </w:r>
      <w:r w:rsidRPr="001B13F6">
        <w:t xml:space="preserve"> Agroecology projects in Benin, Brazil, Cameroon, Cuba, Egypt, India, Mozambique, Nepal, </w:t>
      </w:r>
      <w:r w:rsidR="00A31EAE" w:rsidRPr="001B13F6">
        <w:t xml:space="preserve">the Niger </w:t>
      </w:r>
      <w:r w:rsidRPr="001B13F6">
        <w:t>and the Philippines were recognized for good practices by the World Future Council in 2019.</w:t>
      </w:r>
      <w:r w:rsidRPr="001B13F6">
        <w:rPr>
          <w:rStyle w:val="FootnoteReference"/>
        </w:rPr>
        <w:footnoteReference w:id="37"/>
      </w:r>
    </w:p>
    <w:p w14:paraId="7E141954" w14:textId="47C2A6F1" w:rsidR="00F66FC9" w:rsidRPr="001B13F6" w:rsidRDefault="00F66FC9">
      <w:pPr>
        <w:pStyle w:val="SingleTxtG"/>
      </w:pPr>
      <w:r w:rsidRPr="001B13F6">
        <w:t>76.</w:t>
      </w:r>
      <w:r w:rsidRPr="001B13F6">
        <w:tab/>
        <w:t xml:space="preserve">Turkey passed a </w:t>
      </w:r>
      <w:r w:rsidR="008302A0" w:rsidRPr="001B13F6">
        <w:t>l</w:t>
      </w:r>
      <w:r w:rsidRPr="001B13F6">
        <w:t xml:space="preserve">aw on </w:t>
      </w:r>
      <w:r w:rsidR="008302A0" w:rsidRPr="001B13F6">
        <w:t>o</w:t>
      </w:r>
      <w:r w:rsidRPr="001B13F6">
        <w:t xml:space="preserve">rganic </w:t>
      </w:r>
      <w:r w:rsidR="008302A0" w:rsidRPr="001B13F6">
        <w:t>a</w:t>
      </w:r>
      <w:r w:rsidRPr="001B13F6">
        <w:t xml:space="preserve">griculture in 2004 and a </w:t>
      </w:r>
      <w:r w:rsidR="008302A0" w:rsidRPr="001B13F6">
        <w:t>b</w:t>
      </w:r>
      <w:r w:rsidRPr="001B13F6">
        <w:t>y</w:t>
      </w:r>
      <w:r w:rsidR="008C6BC8" w:rsidRPr="001B13F6">
        <w:t>-</w:t>
      </w:r>
      <w:r w:rsidRPr="001B13F6">
        <w:t xml:space="preserve">law on </w:t>
      </w:r>
      <w:r w:rsidR="008302A0" w:rsidRPr="001B13F6">
        <w:t>o</w:t>
      </w:r>
      <w:r w:rsidRPr="001B13F6">
        <w:t xml:space="preserve">rganic </w:t>
      </w:r>
      <w:r w:rsidR="008302A0" w:rsidRPr="001B13F6">
        <w:t>a</w:t>
      </w:r>
      <w:r w:rsidRPr="001B13F6">
        <w:t xml:space="preserve">griculture </w:t>
      </w:r>
      <w:r w:rsidR="008302A0" w:rsidRPr="001B13F6">
        <w:t>p</w:t>
      </w:r>
      <w:r w:rsidRPr="001B13F6">
        <w:t xml:space="preserve">rinciples and </w:t>
      </w:r>
      <w:r w:rsidR="008302A0" w:rsidRPr="001B13F6">
        <w:t>p</w:t>
      </w:r>
      <w:r w:rsidRPr="001B13F6">
        <w:t>ractices in 2010. The number of farmers and area</w:t>
      </w:r>
      <w:r w:rsidR="008C6BC8" w:rsidRPr="001B13F6">
        <w:t>s</w:t>
      </w:r>
      <w:r w:rsidRPr="001B13F6">
        <w:t xml:space="preserve"> under organic cultivation ha</w:t>
      </w:r>
      <w:r w:rsidR="008C6BC8" w:rsidRPr="001B13F6">
        <w:t>s</w:t>
      </w:r>
      <w:r w:rsidRPr="001B13F6">
        <w:t xml:space="preserve"> grown rapidly since 2010, with the area in organic production jumping more than 60 per</w:t>
      </w:r>
      <w:r w:rsidR="008C6BC8" w:rsidRPr="001B13F6">
        <w:t xml:space="preserve"> </w:t>
      </w:r>
      <w:r w:rsidRPr="001B13F6">
        <w:t>cent between 2010 and 2014.</w:t>
      </w:r>
      <w:r w:rsidRPr="001B13F6">
        <w:rPr>
          <w:rStyle w:val="FootnoteReference"/>
        </w:rPr>
        <w:footnoteReference w:id="38"/>
      </w:r>
    </w:p>
    <w:p w14:paraId="3B649E9F" w14:textId="0A3D7CDC" w:rsidR="00F66FC9" w:rsidRPr="001B13F6" w:rsidRDefault="00F66FC9">
      <w:pPr>
        <w:pStyle w:val="SingleTxtG"/>
      </w:pPr>
      <w:r w:rsidRPr="001B13F6">
        <w:t>77.</w:t>
      </w:r>
      <w:r w:rsidRPr="001B13F6">
        <w:tab/>
        <w:t xml:space="preserve">The Great Green Wall is an extraordinary initiative to restore degraded land in </w:t>
      </w:r>
      <w:r w:rsidR="008C6BC8" w:rsidRPr="001B13F6">
        <w:t xml:space="preserve">the </w:t>
      </w:r>
      <w:r w:rsidRPr="001B13F6">
        <w:t>Sahel region</w:t>
      </w:r>
      <w:r w:rsidR="008C6BC8" w:rsidRPr="001B13F6">
        <w:t xml:space="preserve"> of Africa</w:t>
      </w:r>
      <w:r w:rsidRPr="001B13F6">
        <w:t xml:space="preserve">. </w:t>
      </w:r>
      <w:r w:rsidR="008C6BC8" w:rsidRPr="001B13F6">
        <w:t xml:space="preserve">The States </w:t>
      </w:r>
      <w:r w:rsidRPr="001B13F6">
        <w:t xml:space="preserve">involved include Algeria, Benin, Burkina Faso, Cameroon, Cabo Verde, Chad, Djibouti, Egypt, Eritrea, Ethiopia, </w:t>
      </w:r>
      <w:r w:rsidR="008C6BC8" w:rsidRPr="001B13F6">
        <w:t xml:space="preserve">the </w:t>
      </w:r>
      <w:r w:rsidRPr="001B13F6">
        <w:t xml:space="preserve">Gambia, Ghana, Libya, Mali, Mauritania, </w:t>
      </w:r>
      <w:r w:rsidR="008C6BC8" w:rsidRPr="001B13F6">
        <w:t xml:space="preserve">the </w:t>
      </w:r>
      <w:r w:rsidRPr="001B13F6">
        <w:t xml:space="preserve">Niger, Nigeria, Senegal, Somalia, </w:t>
      </w:r>
      <w:r w:rsidR="008C6BC8" w:rsidRPr="001B13F6">
        <w:t xml:space="preserve">the </w:t>
      </w:r>
      <w:r w:rsidRPr="001B13F6">
        <w:t xml:space="preserve">Sudan and Tunisia. The Great Green Wall will help </w:t>
      </w:r>
      <w:r w:rsidR="008C6BC8" w:rsidRPr="001B13F6">
        <w:t xml:space="preserve">to </w:t>
      </w:r>
      <w:r w:rsidRPr="001B13F6">
        <w:t xml:space="preserve">combat climate change, drought, famine, conflict and migration. Senegal has </w:t>
      </w:r>
      <w:r w:rsidR="008C6BC8" w:rsidRPr="001B13F6">
        <w:t xml:space="preserve">already </w:t>
      </w:r>
      <w:r w:rsidRPr="001B13F6">
        <w:t>planted more than 12 million drought-resistant trees. In Ethiopia</w:t>
      </w:r>
      <w:r w:rsidR="008C6BC8" w:rsidRPr="001B13F6">
        <w:t>,</w:t>
      </w:r>
      <w:r w:rsidRPr="001B13F6">
        <w:t xml:space="preserve"> 15 million hectares of degraded land have been restored and hundreds of millions of trees planted. In </w:t>
      </w:r>
      <w:r w:rsidR="008C6BC8" w:rsidRPr="001B13F6">
        <w:t xml:space="preserve">the </w:t>
      </w:r>
      <w:r w:rsidRPr="001B13F6">
        <w:t xml:space="preserve">Niger, </w:t>
      </w:r>
      <w:r w:rsidR="008C6BC8" w:rsidRPr="001B13F6">
        <w:t>5</w:t>
      </w:r>
      <w:r w:rsidRPr="001B13F6">
        <w:t xml:space="preserve"> million hectares of land have been restored, producing an additional 500,000 tonnes of grain annually, enough to feed 2.5 million people.</w:t>
      </w:r>
      <w:r w:rsidR="00C71261" w:rsidRPr="001B13F6">
        <w:rPr>
          <w:rStyle w:val="FootnoteReference"/>
        </w:rPr>
        <w:footnoteReference w:id="39"/>
      </w:r>
      <w:r w:rsidRPr="001B13F6">
        <w:t xml:space="preserve"> </w:t>
      </w:r>
    </w:p>
    <w:p w14:paraId="36B961E2" w14:textId="12F578E8" w:rsidR="00F66FC9" w:rsidRPr="001B13F6" w:rsidRDefault="00F66FC9">
      <w:pPr>
        <w:pStyle w:val="SingleTxtG"/>
        <w:rPr>
          <w:rFonts w:eastAsia="MS Mincho"/>
        </w:rPr>
      </w:pPr>
      <w:r w:rsidRPr="001B13F6">
        <w:t>78.</w:t>
      </w:r>
      <w:r w:rsidRPr="001B13F6">
        <w:tab/>
        <w:t xml:space="preserve">Field schools for farmers can significantly reduce pesticide use, as inputs are replaced by knowledge. Large-scale studies </w:t>
      </w:r>
      <w:r w:rsidR="00C71261" w:rsidRPr="001B13F6">
        <w:t xml:space="preserve">conducted in Bangladesh, </w:t>
      </w:r>
      <w:r w:rsidRPr="001B13F6">
        <w:t>Indonesia</w:t>
      </w:r>
      <w:r w:rsidR="00C71261" w:rsidRPr="001B13F6">
        <w:t xml:space="preserve"> and </w:t>
      </w:r>
      <w:r w:rsidRPr="001B13F6">
        <w:t>Viet</w:t>
      </w:r>
      <w:r w:rsidR="00C71261" w:rsidRPr="001B13F6">
        <w:t xml:space="preserve"> N</w:t>
      </w:r>
      <w:r w:rsidRPr="001B13F6">
        <w:t xml:space="preserve">am </w:t>
      </w:r>
      <w:r w:rsidR="00C71261" w:rsidRPr="001B13F6">
        <w:t>showed</w:t>
      </w:r>
      <w:r w:rsidRPr="001B13F6">
        <w:t xml:space="preserve"> decreases of 34 to 92 per</w:t>
      </w:r>
      <w:r w:rsidR="00215A7D" w:rsidRPr="001B13F6">
        <w:t xml:space="preserve"> </w:t>
      </w:r>
      <w:r w:rsidRPr="001B13F6">
        <w:t>cent in pesticides used on rice crops.</w:t>
      </w:r>
      <w:r w:rsidRPr="001B13F6">
        <w:rPr>
          <w:rStyle w:val="FootnoteReference"/>
        </w:rPr>
        <w:footnoteReference w:id="40"/>
      </w:r>
      <w:r w:rsidRPr="001B13F6">
        <w:t xml:space="preserve"> </w:t>
      </w:r>
    </w:p>
    <w:p w14:paraId="1DE7EE71" w14:textId="24C27618" w:rsidR="00F66FC9" w:rsidRPr="001B13F6" w:rsidRDefault="00F66FC9">
      <w:pPr>
        <w:pStyle w:val="SingleTxtG"/>
        <w:rPr>
          <w:rStyle w:val="FootnoteReference"/>
        </w:rPr>
      </w:pPr>
      <w:r w:rsidRPr="00463874">
        <w:t>79.</w:t>
      </w:r>
      <w:r w:rsidRPr="001B13F6">
        <w:tab/>
        <w:t xml:space="preserve">An important element of shifting to a healthy and sustainable food system is a decrease in the production and consumption of meat, particularly beef, because of the huge </w:t>
      </w:r>
      <w:r w:rsidR="00D2275A" w:rsidRPr="001B13F6">
        <w:t xml:space="preserve">impact on the </w:t>
      </w:r>
      <w:r w:rsidRPr="001B13F6">
        <w:t>environment.</w:t>
      </w:r>
      <w:r w:rsidRPr="001B13F6">
        <w:rPr>
          <w:rStyle w:val="FootnoteReference"/>
        </w:rPr>
        <w:footnoteReference w:id="41"/>
      </w:r>
      <w:r w:rsidRPr="001B13F6">
        <w:t xml:space="preserve"> Protein crops (</w:t>
      </w:r>
      <w:r w:rsidR="00A92B12" w:rsidRPr="001B13F6">
        <w:t>for example,</w:t>
      </w:r>
      <w:r w:rsidRPr="001B13F6">
        <w:t xml:space="preserve"> soybeans, lentils</w:t>
      </w:r>
      <w:r w:rsidR="00A92B12" w:rsidRPr="001B13F6">
        <w:t xml:space="preserve"> and</w:t>
      </w:r>
      <w:r w:rsidRPr="001B13F6">
        <w:t xml:space="preserve"> chickpeas) can provide benefits</w:t>
      </w:r>
      <w:r w:rsidR="00A92B12" w:rsidRPr="001B13F6">
        <w:t>,</w:t>
      </w:r>
      <w:r w:rsidRPr="001B13F6">
        <w:t xml:space="preserve"> such as less disease and pest pressure, improved nitrogen management, lower nitrogen emissions and increased opportunities for farmers. In 2015, Ireland introduced a program</w:t>
      </w:r>
      <w:r w:rsidR="00A92B12" w:rsidRPr="001B13F6">
        <w:t>me</w:t>
      </w:r>
      <w:r w:rsidRPr="001B13F6">
        <w:t xml:space="preserve"> offering incentives to farmers to grow protein crops. In the first year</w:t>
      </w:r>
      <w:r w:rsidR="00A92B12" w:rsidRPr="001B13F6">
        <w:t xml:space="preserve"> of the programme,</w:t>
      </w:r>
      <w:r w:rsidRPr="001B13F6">
        <w:t xml:space="preserve"> </w:t>
      </w:r>
      <w:r w:rsidR="001B40B2" w:rsidRPr="001B13F6">
        <w:t xml:space="preserve">a </w:t>
      </w:r>
      <w:r w:rsidRPr="001B13F6">
        <w:t>300 per</w:t>
      </w:r>
      <w:r w:rsidR="00187051">
        <w:t xml:space="preserve"> </w:t>
      </w:r>
      <w:r w:rsidRPr="001B13F6">
        <w:t>cent increase in production</w:t>
      </w:r>
      <w:r w:rsidR="00A92B12" w:rsidRPr="001B13F6">
        <w:t xml:space="preserve"> was reported</w:t>
      </w:r>
      <w:r w:rsidRPr="001B13F6">
        <w:t>.</w:t>
      </w:r>
      <w:r w:rsidRPr="001B13F6">
        <w:rPr>
          <w:rStyle w:val="FootnoteReference"/>
        </w:rPr>
        <w:footnoteReference w:id="42"/>
      </w:r>
    </w:p>
    <w:p w14:paraId="5DED9B4A" w14:textId="77777777" w:rsidR="00F66FC9" w:rsidRPr="001B13F6" w:rsidRDefault="00290197" w:rsidP="00463874">
      <w:pPr>
        <w:pStyle w:val="H23G"/>
        <w:spacing w:line="240" w:lineRule="atLeast"/>
      </w:pPr>
      <w:r w:rsidRPr="001B13F6">
        <w:tab/>
        <w:t>4.</w:t>
      </w:r>
      <w:r w:rsidRPr="001B13F6">
        <w:tab/>
      </w:r>
      <w:r w:rsidR="00F66FC9" w:rsidRPr="001B13F6">
        <w:t>Access to safe water and adequate sanitation</w:t>
      </w:r>
    </w:p>
    <w:p w14:paraId="7F6B4DCE" w14:textId="533936C8" w:rsidR="00F66FC9" w:rsidRPr="001B13F6" w:rsidRDefault="00F66FC9">
      <w:pPr>
        <w:pStyle w:val="SingleTxtG"/>
      </w:pPr>
      <w:r w:rsidRPr="001B13F6">
        <w:t>80.</w:t>
      </w:r>
      <w:r w:rsidRPr="001B13F6">
        <w:tab/>
        <w:t>In 2017, 785 million people still lacked access to basic water services and 700 million people still practiced open defecation due to lack of sanitation services. The lack of access to safe drinking water and adequate sanitation causes 870,000 premature deaths annually</w:t>
      </w:r>
      <w:r w:rsidR="00A92B12" w:rsidRPr="001B13F6">
        <w:t xml:space="preserve"> (see </w:t>
      </w:r>
      <w:r w:rsidR="00A92B12" w:rsidRPr="001B13F6">
        <w:rPr>
          <w:szCs w:val="18"/>
        </w:rPr>
        <w:t>E/2019/68)</w:t>
      </w:r>
      <w:r w:rsidRPr="001B13F6">
        <w:t>.</w:t>
      </w:r>
    </w:p>
    <w:p w14:paraId="32D1EDB9" w14:textId="39D0F175" w:rsidR="00F66FC9" w:rsidRPr="001B13F6" w:rsidRDefault="00F66FC9">
      <w:pPr>
        <w:pStyle w:val="SingleTxtG"/>
        <w:rPr>
          <w:rFonts w:eastAsia="MS Mincho"/>
        </w:rPr>
      </w:pPr>
      <w:r w:rsidRPr="001B13F6">
        <w:t>81.</w:t>
      </w:r>
      <w:r w:rsidRPr="001B13F6">
        <w:tab/>
      </w:r>
      <w:r w:rsidRPr="001B13F6">
        <w:rPr>
          <w:rFonts w:eastAsia="MS Mincho"/>
        </w:rPr>
        <w:t xml:space="preserve">The </w:t>
      </w:r>
      <w:r w:rsidR="00A92B12" w:rsidRPr="001B13F6">
        <w:rPr>
          <w:rFonts w:eastAsia="MS Mincho"/>
        </w:rPr>
        <w:t xml:space="preserve">human </w:t>
      </w:r>
      <w:r w:rsidRPr="001B13F6">
        <w:rPr>
          <w:rFonts w:eastAsia="MS Mincho"/>
        </w:rPr>
        <w:t>right</w:t>
      </w:r>
      <w:r w:rsidR="001B40B2" w:rsidRPr="001B13F6">
        <w:rPr>
          <w:rFonts w:eastAsia="MS Mincho"/>
        </w:rPr>
        <w:t>s</w:t>
      </w:r>
      <w:r w:rsidRPr="001B13F6">
        <w:rPr>
          <w:rFonts w:eastAsia="MS Mincho"/>
        </w:rPr>
        <w:t xml:space="preserve"> to water and sanitation were recognized in 2010 by the General Assembly </w:t>
      </w:r>
      <w:r w:rsidR="00A92B12" w:rsidRPr="001B13F6">
        <w:rPr>
          <w:rFonts w:eastAsia="MS Mincho"/>
        </w:rPr>
        <w:t xml:space="preserve">in its resolution </w:t>
      </w:r>
      <w:r w:rsidRPr="001B13F6">
        <w:rPr>
          <w:rFonts w:eastAsia="MS Mincho"/>
        </w:rPr>
        <w:t xml:space="preserve">64/292 and the Human Rights Council </w:t>
      </w:r>
      <w:r w:rsidR="00A92B12" w:rsidRPr="001B13F6">
        <w:rPr>
          <w:rFonts w:eastAsia="MS Mincho"/>
        </w:rPr>
        <w:t xml:space="preserve">in its resolution </w:t>
      </w:r>
      <w:r w:rsidRPr="001B13F6">
        <w:rPr>
          <w:rFonts w:eastAsia="MS Mincho"/>
        </w:rPr>
        <w:t>15/9</w:t>
      </w:r>
      <w:r w:rsidR="00A92B12" w:rsidRPr="001B13F6">
        <w:rPr>
          <w:rFonts w:eastAsia="MS Mincho"/>
        </w:rPr>
        <w:t>,</w:t>
      </w:r>
      <w:r w:rsidRPr="001B13F6">
        <w:rPr>
          <w:rFonts w:eastAsia="MS Mincho"/>
        </w:rPr>
        <w:t xml:space="preserve"> and have been repeatedly re-affirmed.</w:t>
      </w:r>
      <w:r w:rsidRPr="001B13F6">
        <w:rPr>
          <w:rStyle w:val="FootnoteReference"/>
          <w:rFonts w:eastAsia="MS Mincho"/>
        </w:rPr>
        <w:footnoteReference w:id="43"/>
      </w:r>
      <w:r w:rsidRPr="001B13F6">
        <w:t xml:space="preserve"> </w:t>
      </w:r>
      <w:r w:rsidR="00C66347" w:rsidRPr="001B13F6">
        <w:t>A</w:t>
      </w:r>
      <w:r w:rsidRPr="001B13F6">
        <w:t xml:space="preserve"> former Special Rapporteur</w:t>
      </w:r>
      <w:r w:rsidR="00C66347" w:rsidRPr="001B13F6">
        <w:t xml:space="preserve"> on the human rights to safe drinking water and sanitation</w:t>
      </w:r>
      <w:r w:rsidRPr="001B13F6">
        <w:t xml:space="preserve"> published a comprehensive set of good practices in implementing the rights to water and sanitation.</w:t>
      </w:r>
      <w:r w:rsidRPr="001B13F6">
        <w:rPr>
          <w:rStyle w:val="FootnoteReference"/>
        </w:rPr>
        <w:footnoteReference w:id="44"/>
      </w:r>
      <w:r w:rsidR="00E469A3" w:rsidRPr="001B13F6">
        <w:rPr>
          <w:rStyle w:val="FootnoteReference"/>
        </w:rPr>
        <w:t xml:space="preserve"> </w:t>
      </w:r>
      <w:r w:rsidR="002435F9" w:rsidRPr="001B13F6">
        <w:t>In t</w:t>
      </w:r>
      <w:r w:rsidRPr="001B13F6">
        <w:t>he handbook</w:t>
      </w:r>
      <w:r w:rsidR="002435F9" w:rsidRPr="001B13F6">
        <w:t>, the former mandate holder</w:t>
      </w:r>
      <w:r w:rsidRPr="001B13F6">
        <w:t xml:space="preserve"> emphasizes the need for clear articulation of the content of the rights to water and sanitation through laws, regulations and policies governing availability, physical accessibility, affordability, quality and safety, and acceptability. Also essential are legal frameworks to eliminate discrimination in the provision of water and sanitation services (</w:t>
      </w:r>
      <w:r w:rsidR="002435F9" w:rsidRPr="001B13F6">
        <w:t xml:space="preserve">as reported for example in Ghana, </w:t>
      </w:r>
      <w:r w:rsidRPr="001B13F6">
        <w:t xml:space="preserve">Honduras </w:t>
      </w:r>
      <w:r w:rsidR="002435F9" w:rsidRPr="001B13F6">
        <w:t xml:space="preserve">and </w:t>
      </w:r>
      <w:r w:rsidRPr="001B13F6">
        <w:t>Pakistan).</w:t>
      </w:r>
    </w:p>
    <w:p w14:paraId="10E19218" w14:textId="1FCBED66" w:rsidR="00F66FC9" w:rsidRPr="001B13F6" w:rsidRDefault="00F66FC9">
      <w:pPr>
        <w:pStyle w:val="SingleTxtG"/>
      </w:pPr>
      <w:r w:rsidRPr="001B13F6">
        <w:rPr>
          <w:rFonts w:eastAsia="MS Mincho"/>
        </w:rPr>
        <w:t>82.</w:t>
      </w:r>
      <w:r w:rsidRPr="001B13F6">
        <w:rPr>
          <w:rFonts w:eastAsia="MS Mincho"/>
        </w:rPr>
        <w:tab/>
        <w:t xml:space="preserve">Today, dozens of </w:t>
      </w:r>
      <w:r w:rsidRPr="001B13F6">
        <w:t>States recognize the human rights to water and/or sanitation in their constitutions and/or legislation</w:t>
      </w:r>
      <w:r w:rsidR="002435F9" w:rsidRPr="001B13F6">
        <w:t>,</w:t>
      </w:r>
      <w:r w:rsidRPr="001B13F6">
        <w:t xml:space="preserve"> including Belgium, </w:t>
      </w:r>
      <w:r w:rsidR="002435F9" w:rsidRPr="001B13F6">
        <w:t xml:space="preserve">the Plurinational State of </w:t>
      </w:r>
      <w:r w:rsidRPr="001B13F6">
        <w:t xml:space="preserve">Bolivia, Chile, </w:t>
      </w:r>
      <w:r w:rsidR="002435F9" w:rsidRPr="001B13F6">
        <w:t xml:space="preserve">the </w:t>
      </w:r>
      <w:r w:rsidRPr="001B13F6">
        <w:t xml:space="preserve">Democratic Republic of the Congo, Cuba, </w:t>
      </w:r>
      <w:r w:rsidR="002435F9" w:rsidRPr="001B13F6">
        <w:t xml:space="preserve">the </w:t>
      </w:r>
      <w:r w:rsidRPr="001B13F6">
        <w:t xml:space="preserve">Dominican Republic, Ecuador, Ethiopia, Fiji, France, Kenya, Maldives, Mexico, </w:t>
      </w:r>
      <w:r w:rsidR="002435F9" w:rsidRPr="001B13F6">
        <w:t xml:space="preserve">the </w:t>
      </w:r>
      <w:r w:rsidRPr="001B13F6">
        <w:t xml:space="preserve">Netherlands, Nicaragua, </w:t>
      </w:r>
      <w:r w:rsidR="002435F9" w:rsidRPr="001B13F6">
        <w:t xml:space="preserve">the </w:t>
      </w:r>
      <w:r w:rsidRPr="001B13F6">
        <w:t xml:space="preserve">Niger, Paraguay, Slovenia, </w:t>
      </w:r>
      <w:r w:rsidR="002435F9" w:rsidRPr="001B13F6">
        <w:t xml:space="preserve">the </w:t>
      </w:r>
      <w:r w:rsidRPr="001B13F6">
        <w:t xml:space="preserve">Solomon Islands, South Africa, Tunisia, </w:t>
      </w:r>
      <w:r w:rsidR="002435F9" w:rsidRPr="001B13F6">
        <w:t xml:space="preserve">the United Republic of Tanzania </w:t>
      </w:r>
      <w:r w:rsidRPr="001B13F6">
        <w:t>and Uruguay.</w:t>
      </w:r>
    </w:p>
    <w:p w14:paraId="38AE5D17" w14:textId="12DC8F33" w:rsidR="00F66FC9" w:rsidRPr="001B13F6" w:rsidRDefault="00F66FC9">
      <w:pPr>
        <w:pStyle w:val="SingleTxtG"/>
      </w:pPr>
      <w:r w:rsidRPr="001B13F6">
        <w:t>83.</w:t>
      </w:r>
      <w:r w:rsidRPr="001B13F6">
        <w:tab/>
        <w:t xml:space="preserve">Ideally, the rights to water and sanitation should be embedded throughout a State’s legal framework, including </w:t>
      </w:r>
      <w:r w:rsidR="00857456" w:rsidRPr="001B13F6">
        <w:t xml:space="preserve">in </w:t>
      </w:r>
      <w:r w:rsidRPr="001B13F6">
        <w:t xml:space="preserve">the </w:t>
      </w:r>
      <w:r w:rsidR="001B40B2" w:rsidRPr="001B13F6">
        <w:t>c</w:t>
      </w:r>
      <w:r w:rsidRPr="001B13F6">
        <w:t>onstitution, legislation, policies and program</w:t>
      </w:r>
      <w:r w:rsidR="00857456" w:rsidRPr="001B13F6">
        <w:t>me</w:t>
      </w:r>
      <w:r w:rsidRPr="001B13F6">
        <w:t xml:space="preserve">s. For example, </w:t>
      </w:r>
      <w:r w:rsidR="00857456" w:rsidRPr="001B13F6">
        <w:t xml:space="preserve">in South Africa, </w:t>
      </w:r>
      <w:r w:rsidRPr="001B13F6">
        <w:t xml:space="preserve">the right to water is enshrined in </w:t>
      </w:r>
      <w:r w:rsidR="00857456" w:rsidRPr="001B13F6">
        <w:t xml:space="preserve">the </w:t>
      </w:r>
      <w:r w:rsidRPr="001B13F6">
        <w:t xml:space="preserve">Constitution, the National Water Act, </w:t>
      </w:r>
      <w:r w:rsidR="00857456" w:rsidRPr="001B13F6">
        <w:t xml:space="preserve">the </w:t>
      </w:r>
      <w:r w:rsidRPr="001B13F6">
        <w:t xml:space="preserve">Water Services Act, </w:t>
      </w:r>
      <w:r w:rsidR="00857456" w:rsidRPr="001B13F6">
        <w:t xml:space="preserve">the </w:t>
      </w:r>
      <w:r w:rsidRPr="001B13F6">
        <w:t xml:space="preserve">Free Basic Water Implementation Strategy and </w:t>
      </w:r>
      <w:r w:rsidR="007E37B7" w:rsidRPr="001B13F6">
        <w:t xml:space="preserve">the </w:t>
      </w:r>
      <w:r w:rsidRPr="001B13F6">
        <w:t xml:space="preserve">National Framework for Municipal Indigent Policies. The Water Services Act also includes recognition of the right to sanitation. </w:t>
      </w:r>
      <w:r w:rsidR="007E37B7" w:rsidRPr="001B13F6">
        <w:t>The</w:t>
      </w:r>
      <w:r w:rsidRPr="001B13F6">
        <w:t xml:space="preserve"> legal framework helped </w:t>
      </w:r>
      <w:r w:rsidR="007E37B7" w:rsidRPr="001B13F6">
        <w:t xml:space="preserve">to </w:t>
      </w:r>
      <w:r w:rsidRPr="001B13F6">
        <w:t>secure financing to ensure implementation of rights. Between 2000 and 2017, 14 million South Africans gained access to basic water services</w:t>
      </w:r>
      <w:r w:rsidR="007E37B7" w:rsidRPr="001B13F6">
        <w:t>,</w:t>
      </w:r>
      <w:r w:rsidRPr="001B13F6">
        <w:t xml:space="preserve"> while 17 million people gained access to at least basic sanitation.</w:t>
      </w:r>
      <w:r w:rsidRPr="001B13F6">
        <w:rPr>
          <w:rStyle w:val="FootnoteReference"/>
        </w:rPr>
        <w:footnoteReference w:id="45"/>
      </w:r>
      <w:r w:rsidRPr="001B13F6">
        <w:t xml:space="preserve"> </w:t>
      </w:r>
    </w:p>
    <w:p w14:paraId="76F53212" w14:textId="2DB48874" w:rsidR="00F66FC9" w:rsidRPr="001B13F6" w:rsidRDefault="00F66FC9">
      <w:pPr>
        <w:pStyle w:val="SingleTxtG"/>
      </w:pPr>
      <w:r w:rsidRPr="001B13F6">
        <w:t>84.</w:t>
      </w:r>
      <w:r w:rsidRPr="001B13F6">
        <w:tab/>
      </w:r>
      <w:r w:rsidR="007E37B7" w:rsidRPr="001B13F6">
        <w:t xml:space="preserve">In </w:t>
      </w:r>
      <w:r w:rsidRPr="001B13F6">
        <w:t>Poland</w:t>
      </w:r>
      <w:r w:rsidR="007E37B7" w:rsidRPr="001B13F6">
        <w:t xml:space="preserve">, the </w:t>
      </w:r>
      <w:r w:rsidRPr="001B13F6">
        <w:t xml:space="preserve">National </w:t>
      </w:r>
      <w:r w:rsidR="007E37B7" w:rsidRPr="001B13F6">
        <w:t xml:space="preserve">Programme for </w:t>
      </w:r>
      <w:r w:rsidRPr="001B13F6">
        <w:t xml:space="preserve">Municipal Wastewater Treatment was </w:t>
      </w:r>
      <w:r w:rsidR="007E37B7" w:rsidRPr="001B13F6">
        <w:t xml:space="preserve">introduced </w:t>
      </w:r>
      <w:r w:rsidRPr="001B13F6">
        <w:t xml:space="preserve">to ensure compliance with upgraded water legislation. The policy fostered the construction of new and updated wastewater treatment plants that reduced water pollution and generated energy from waste. As </w:t>
      </w:r>
      <w:r w:rsidR="00156137">
        <w:t>at</w:t>
      </w:r>
      <w:r w:rsidR="007E37B7" w:rsidRPr="001B13F6">
        <w:t xml:space="preserve"> </w:t>
      </w:r>
      <w:r w:rsidRPr="001B13F6">
        <w:t>2017, 99 per</w:t>
      </w:r>
      <w:r w:rsidR="007E37B7" w:rsidRPr="001B13F6">
        <w:t xml:space="preserve"> </w:t>
      </w:r>
      <w:r w:rsidRPr="001B13F6">
        <w:t xml:space="preserve">cent of </w:t>
      </w:r>
      <w:r w:rsidR="007E37B7" w:rsidRPr="001B13F6">
        <w:t xml:space="preserve">the </w:t>
      </w:r>
      <w:r w:rsidRPr="001B13F6">
        <w:t xml:space="preserve">population </w:t>
      </w:r>
      <w:r w:rsidR="007E37B7" w:rsidRPr="001B13F6">
        <w:t>in Poland had</w:t>
      </w:r>
      <w:r w:rsidRPr="001B13F6">
        <w:t xml:space="preserve"> access to at least basic sanitation service, and 99 per</w:t>
      </w:r>
      <w:r w:rsidR="007E37B7" w:rsidRPr="001B13F6">
        <w:t xml:space="preserve"> </w:t>
      </w:r>
      <w:r w:rsidRPr="001B13F6">
        <w:t xml:space="preserve">cent of wastewater </w:t>
      </w:r>
      <w:r w:rsidR="007E37B7" w:rsidRPr="001B13F6">
        <w:t>was</w:t>
      </w:r>
      <w:r w:rsidRPr="001B13F6">
        <w:t xml:space="preserve"> treated at plants providing at least secondary treatment.</w:t>
      </w:r>
    </w:p>
    <w:p w14:paraId="378ECD3B" w14:textId="46CED995" w:rsidR="00F66FC9" w:rsidRPr="001B13F6" w:rsidRDefault="00F66FC9">
      <w:pPr>
        <w:pStyle w:val="SingleTxtG"/>
      </w:pPr>
      <w:r w:rsidRPr="001B13F6">
        <w:t>85.</w:t>
      </w:r>
      <w:r w:rsidRPr="001B13F6">
        <w:tab/>
        <w:t>Pro</w:t>
      </w:r>
      <w:r w:rsidR="007E37B7" w:rsidRPr="001B13F6">
        <w:t>-</w:t>
      </w:r>
      <w:r w:rsidRPr="001B13F6">
        <w:t>poor program</w:t>
      </w:r>
      <w:r w:rsidR="007E37B7" w:rsidRPr="001B13F6">
        <w:t>me</w:t>
      </w:r>
      <w:r w:rsidRPr="001B13F6">
        <w:t>s to ensure access to safe drinking water are a leading good practice. In France and Belgium, a type of subsidy, referred to as a solidarity mechanism, pays water bills for the most financially deprived people</w:t>
      </w:r>
      <w:r w:rsidR="007E37B7" w:rsidRPr="001B13F6">
        <w:t xml:space="preserve"> (</w:t>
      </w:r>
      <w:r w:rsidR="007E37B7" w:rsidRPr="001B13F6">
        <w:rPr>
          <w:szCs w:val="18"/>
        </w:rPr>
        <w:t>A/HRC/18/33/Add.1, para. 33)</w:t>
      </w:r>
      <w:r w:rsidRPr="001B13F6">
        <w:t xml:space="preserve">. Chile employs a similar approach, allowing connection costs to be paid in affordable monthly instalments over five years instead of a lump sum. </w:t>
      </w:r>
      <w:r w:rsidR="007E37B7" w:rsidRPr="001B13F6">
        <w:t xml:space="preserve">In </w:t>
      </w:r>
      <w:r w:rsidRPr="001B13F6">
        <w:t>Zambia</w:t>
      </w:r>
      <w:r w:rsidR="007E37B7" w:rsidRPr="001B13F6">
        <w:t>, the</w:t>
      </w:r>
      <w:r w:rsidRPr="001B13F6">
        <w:t xml:space="preserve"> Devolution Trust Fund was created in 2003 to finance water and sanitation services for poor urban areas and informal settlements. Funding came from development partners, government and water utilities and is replenished by a </w:t>
      </w:r>
      <w:r w:rsidR="007E37B7" w:rsidRPr="001B13F6">
        <w:t xml:space="preserve">3 </w:t>
      </w:r>
      <w:r w:rsidRPr="001B13F6">
        <w:t>per</w:t>
      </w:r>
      <w:r w:rsidR="007E37B7" w:rsidRPr="001B13F6">
        <w:t xml:space="preserve"> </w:t>
      </w:r>
      <w:r w:rsidRPr="001B13F6">
        <w:t>cent solidarity levy on the water bills of all customers.</w:t>
      </w:r>
      <w:r w:rsidRPr="001B13F6">
        <w:rPr>
          <w:rStyle w:val="FootnoteReference"/>
        </w:rPr>
        <w:footnoteReference w:id="46"/>
      </w:r>
      <w:r w:rsidRPr="001B13F6">
        <w:t xml:space="preserve"> Community members are represented in the project task team and decide where water distribution kiosks are to be placed, and local water watch groups serve as an accountability mechanism. </w:t>
      </w:r>
    </w:p>
    <w:p w14:paraId="3651217D" w14:textId="1B10EF32" w:rsidR="00F66FC9" w:rsidRPr="001B13F6" w:rsidRDefault="00F66FC9">
      <w:pPr>
        <w:pStyle w:val="SingleTxtG"/>
      </w:pPr>
      <w:r w:rsidRPr="001B13F6">
        <w:t>86.</w:t>
      </w:r>
      <w:r w:rsidRPr="001B13F6">
        <w:tab/>
        <w:t>Bangladesh, Hungary, Kenya, Mozambique and Peru also have strong laws, policies, or program</w:t>
      </w:r>
      <w:r w:rsidR="00F37228" w:rsidRPr="001B13F6">
        <w:t>me</w:t>
      </w:r>
      <w:r w:rsidRPr="001B13F6">
        <w:t xml:space="preserve">s in place to provide water and sanitation to poor and marginalized communities. </w:t>
      </w:r>
    </w:p>
    <w:p w14:paraId="617E922C" w14:textId="550EB1FB" w:rsidR="00F66FC9" w:rsidRPr="001B13F6" w:rsidRDefault="00F66FC9">
      <w:pPr>
        <w:pStyle w:val="SingleTxtG"/>
      </w:pPr>
      <w:r w:rsidRPr="001B13F6">
        <w:t>87.</w:t>
      </w:r>
      <w:r w:rsidRPr="001B13F6">
        <w:tab/>
        <w:t>Cabo Verde, Comoros, Maldives, Mauritius, S</w:t>
      </w:r>
      <w:r w:rsidR="00F37228" w:rsidRPr="001B13F6">
        <w:t>a</w:t>
      </w:r>
      <w:r w:rsidRPr="001B13F6">
        <w:t>o Tom</w:t>
      </w:r>
      <w:r w:rsidR="00F37228" w:rsidRPr="001B13F6">
        <w:t>e</w:t>
      </w:r>
      <w:r w:rsidRPr="001B13F6">
        <w:t xml:space="preserve"> </w:t>
      </w:r>
      <w:r w:rsidR="00F37228" w:rsidRPr="001B13F6">
        <w:t xml:space="preserve">and </w:t>
      </w:r>
      <w:r w:rsidRPr="001B13F6">
        <w:t>Príncipe and Seychelles have begun an initiative to fix problems relating to the scarcity and contamination of freshwater supplies</w:t>
      </w:r>
      <w:r w:rsidR="00F37228" w:rsidRPr="001B13F6">
        <w:t>,</w:t>
      </w:r>
      <w:r w:rsidRPr="001B13F6">
        <w:t xml:space="preserve"> over-exploitation and </w:t>
      </w:r>
      <w:r w:rsidR="00F37228" w:rsidRPr="001B13F6">
        <w:t xml:space="preserve">the </w:t>
      </w:r>
      <w:r w:rsidRPr="001B13F6">
        <w:t>poor management of groundwater resources</w:t>
      </w:r>
      <w:r w:rsidR="00F37228" w:rsidRPr="001B13F6">
        <w:t>,</w:t>
      </w:r>
      <w:r w:rsidRPr="001B13F6">
        <w:t xml:space="preserve"> and pollution in surface water.</w:t>
      </w:r>
      <w:r w:rsidRPr="001B13F6">
        <w:rPr>
          <w:rStyle w:val="FootnoteReference"/>
        </w:rPr>
        <w:footnoteReference w:id="47"/>
      </w:r>
      <w:r w:rsidRPr="001B13F6">
        <w:t xml:space="preserve"> About 100,000 community members </w:t>
      </w:r>
      <w:r w:rsidR="00AD0ED1" w:rsidRPr="001B13F6">
        <w:t xml:space="preserve">have </w:t>
      </w:r>
      <w:r w:rsidRPr="001B13F6">
        <w:t>already benefit</w:t>
      </w:r>
      <w:r w:rsidR="00AD0ED1" w:rsidRPr="001B13F6">
        <w:t>ed</w:t>
      </w:r>
      <w:r w:rsidRPr="001B13F6">
        <w:t xml:space="preserve"> from improved water quality. This project contributes to fulfilling the right to water, reduces poverty, improves health and facilitates climate change adaptation.</w:t>
      </w:r>
    </w:p>
    <w:p w14:paraId="43A8373C" w14:textId="06867D4B" w:rsidR="00F66FC9" w:rsidRPr="001B13F6" w:rsidRDefault="00F66FC9">
      <w:pPr>
        <w:pStyle w:val="SingleTxtG"/>
      </w:pPr>
      <w:r w:rsidRPr="001B13F6">
        <w:t>88.</w:t>
      </w:r>
      <w:r w:rsidRPr="001B13F6">
        <w:tab/>
        <w:t xml:space="preserve">The ultimate objective is to ensure universal access to safe water and adequate sanitation. Regarding sanitation, there is some very positive news. Between 2000 and 2017, Ethiopia, India and Nepal achieved </w:t>
      </w:r>
      <w:r w:rsidR="00AD0ED1" w:rsidRPr="001B13F6">
        <w:t xml:space="preserve">a </w:t>
      </w:r>
      <w:r w:rsidRPr="001B13F6">
        <w:t xml:space="preserve">substantial </w:t>
      </w:r>
      <w:r w:rsidR="00AD0ED1" w:rsidRPr="001B13F6">
        <w:t>reduction –</w:t>
      </w:r>
      <w:r w:rsidRPr="001B13F6">
        <w:t xml:space="preserve"> greater than 45 per</w:t>
      </w:r>
      <w:r w:rsidR="00AD0ED1" w:rsidRPr="001B13F6">
        <w:t xml:space="preserve"> </w:t>
      </w:r>
      <w:r w:rsidRPr="001B13F6">
        <w:t>cent</w:t>
      </w:r>
      <w:r w:rsidR="00AD0ED1" w:rsidRPr="001B13F6">
        <w:t xml:space="preserve"> –</w:t>
      </w:r>
      <w:r w:rsidRPr="001B13F6">
        <w:t xml:space="preserve"> in the number of people relying on open defecation. The proportion of the population using at least basic sanitation services </w:t>
      </w:r>
      <w:r w:rsidR="00AD0ED1" w:rsidRPr="001B13F6">
        <w:t xml:space="preserve">rose </w:t>
      </w:r>
      <w:r w:rsidRPr="001B13F6">
        <w:t>by more than 30 per</w:t>
      </w:r>
      <w:r w:rsidR="00AD0ED1" w:rsidRPr="001B13F6">
        <w:t xml:space="preserve"> </w:t>
      </w:r>
      <w:r w:rsidRPr="001B13F6">
        <w:t xml:space="preserve">cent between 2000 and 2017 in Cabo Verde, Cambodia, India, Indonesia, Lesotho, Mauritania, </w:t>
      </w:r>
      <w:r w:rsidR="00AD0ED1" w:rsidRPr="001B13F6">
        <w:t xml:space="preserve">the Federated States of </w:t>
      </w:r>
      <w:r w:rsidRPr="001B13F6">
        <w:t>Micronesia, Nepal and Viet</w:t>
      </w:r>
      <w:r w:rsidR="00AD0ED1" w:rsidRPr="001B13F6">
        <w:t xml:space="preserve"> N</w:t>
      </w:r>
      <w:r w:rsidRPr="001B13F6">
        <w:t xml:space="preserve">am. </w:t>
      </w:r>
    </w:p>
    <w:p w14:paraId="275BC6A6" w14:textId="05EAC90C" w:rsidR="00F66FC9" w:rsidRPr="001B13F6" w:rsidRDefault="00F66FC9">
      <w:pPr>
        <w:pStyle w:val="SingleTxtG"/>
      </w:pPr>
      <w:r w:rsidRPr="001B13F6">
        <w:t>89.</w:t>
      </w:r>
      <w:r w:rsidRPr="001B13F6">
        <w:tab/>
        <w:t xml:space="preserve">There has also been impressive progress in some States in access to safer drinking water. Use of basic water services </w:t>
      </w:r>
      <w:r w:rsidR="00D749B6">
        <w:t>rose</w:t>
      </w:r>
      <w:r w:rsidR="00D749B6" w:rsidRPr="001B13F6">
        <w:t xml:space="preserve"> </w:t>
      </w:r>
      <w:r w:rsidRPr="001B13F6">
        <w:t>by more than 30 per</w:t>
      </w:r>
      <w:r w:rsidR="00AD0ED1" w:rsidRPr="001B13F6">
        <w:t xml:space="preserve"> </w:t>
      </w:r>
      <w:r w:rsidRPr="001B13F6">
        <w:t xml:space="preserve">cent between 2000 and 2017 in Afghanistan, </w:t>
      </w:r>
      <w:r w:rsidR="00AD0ED1" w:rsidRPr="001B13F6">
        <w:t xml:space="preserve">the </w:t>
      </w:r>
      <w:r w:rsidRPr="001B13F6">
        <w:t>Lao</w:t>
      </w:r>
      <w:r w:rsidR="00AD0ED1" w:rsidRPr="001B13F6">
        <w:t xml:space="preserve"> People’s Democratic Republic</w:t>
      </w:r>
      <w:r w:rsidRPr="001B13F6">
        <w:t>, Mali, Mauritania, Mozambique, Myanmar and Somalia.</w:t>
      </w:r>
      <w:r w:rsidRPr="001B13F6">
        <w:rPr>
          <w:rStyle w:val="FootnoteReference"/>
        </w:rPr>
        <w:footnoteReference w:id="48"/>
      </w:r>
      <w:r w:rsidRPr="001B13F6">
        <w:t xml:space="preserve"> Rural access to basic water services in Paraguay improved rapidly</w:t>
      </w:r>
      <w:r w:rsidR="00AD0ED1" w:rsidRPr="001B13F6">
        <w:t>,</w:t>
      </w:r>
      <w:r w:rsidRPr="001B13F6">
        <w:t xml:space="preserve"> from 53 per</w:t>
      </w:r>
      <w:r w:rsidR="00AD0ED1" w:rsidRPr="001B13F6">
        <w:t xml:space="preserve"> </w:t>
      </w:r>
      <w:r w:rsidRPr="001B13F6">
        <w:t>cent in 2000 to 99 per</w:t>
      </w:r>
      <w:r w:rsidR="00AD0ED1" w:rsidRPr="001B13F6">
        <w:t xml:space="preserve"> </w:t>
      </w:r>
      <w:r w:rsidRPr="001B13F6">
        <w:t>cent in 2017. These examples of progress improve human health and well-being, and fulfil human rights.</w:t>
      </w:r>
      <w:r w:rsidRPr="001B13F6">
        <w:rPr>
          <w:rStyle w:val="FootnoteReference"/>
        </w:rPr>
        <w:footnoteReference w:id="49"/>
      </w:r>
    </w:p>
    <w:p w14:paraId="082E9058" w14:textId="77777777" w:rsidR="00F66FC9" w:rsidRPr="001B13F6" w:rsidRDefault="00CC6CFB" w:rsidP="00463874">
      <w:pPr>
        <w:pStyle w:val="H23G"/>
        <w:spacing w:line="240" w:lineRule="atLeast"/>
      </w:pPr>
      <w:r w:rsidRPr="001B13F6">
        <w:tab/>
        <w:t>5.</w:t>
      </w:r>
      <w:r w:rsidRPr="001B13F6">
        <w:tab/>
      </w:r>
      <w:r w:rsidR="00F66FC9" w:rsidRPr="001B13F6">
        <w:t>Non-toxic environments in which to live, work and play</w:t>
      </w:r>
    </w:p>
    <w:p w14:paraId="7D643FBB" w14:textId="4025B529" w:rsidR="00F66FC9" w:rsidRPr="001B13F6" w:rsidRDefault="00F66FC9">
      <w:pPr>
        <w:pStyle w:val="SingleTxtG"/>
      </w:pPr>
      <w:r w:rsidRPr="001B13F6">
        <w:t>90.</w:t>
      </w:r>
      <w:r w:rsidRPr="001B13F6">
        <w:tab/>
        <w:t>Toxic substances pose a direct threat to the rights to life, health, safe food and water, adequate housing</w:t>
      </w:r>
      <w:r w:rsidR="00AD0ED1" w:rsidRPr="001B13F6">
        <w:t>,</w:t>
      </w:r>
      <w:r w:rsidRPr="001B13F6">
        <w:t xml:space="preserve"> and the right to a safe, clean, healthy and sustainable environment. Pollution kills at least </w:t>
      </w:r>
      <w:r w:rsidR="00AD0ED1" w:rsidRPr="001B13F6">
        <w:t xml:space="preserve">9 </w:t>
      </w:r>
      <w:r w:rsidRPr="001B13F6">
        <w:t>million people annually.</w:t>
      </w:r>
      <w:r w:rsidRPr="001B13F6">
        <w:rPr>
          <w:rStyle w:val="FootnoteReference"/>
        </w:rPr>
        <w:footnoteReference w:id="50"/>
      </w:r>
      <w:r w:rsidRPr="001B13F6">
        <w:rPr>
          <w:rStyle w:val="FootnoteReference"/>
        </w:rPr>
        <w:t xml:space="preserve"> </w:t>
      </w:r>
      <w:r w:rsidRPr="001B13F6">
        <w:t>The burden of toxic substances often falls most heavily on vulnerable and marginalized populations.</w:t>
      </w:r>
      <w:r w:rsidRPr="001B13F6">
        <w:rPr>
          <w:rStyle w:val="FootnoteReference"/>
        </w:rPr>
        <w:t> </w:t>
      </w:r>
    </w:p>
    <w:p w14:paraId="6D326DD2" w14:textId="0229D31F" w:rsidR="00F66FC9" w:rsidRPr="001B13F6" w:rsidRDefault="00F66FC9">
      <w:pPr>
        <w:pStyle w:val="SingleTxtG"/>
      </w:pPr>
      <w:r w:rsidRPr="001B13F6">
        <w:t>91.</w:t>
      </w:r>
      <w:r w:rsidRPr="001B13F6">
        <w:tab/>
        <w:t>Important global treaties that prohibit, phase out or limit the use of certain toxic substances include the Basel Convention</w:t>
      </w:r>
      <w:r w:rsidR="001C241F" w:rsidRPr="001B13F6">
        <w:t xml:space="preserve"> on the Control of Transboundary Movements of Hazardous Wastes and Their Disposal</w:t>
      </w:r>
      <w:r w:rsidRPr="001B13F6">
        <w:t xml:space="preserve">, </w:t>
      </w:r>
      <w:r w:rsidR="001C241F" w:rsidRPr="001B13F6">
        <w:t xml:space="preserve">the </w:t>
      </w:r>
      <w:r w:rsidRPr="001B13F6">
        <w:t xml:space="preserve">Stockholm Convention on Persistent Organic Pollutants, Rotterdam Convention, </w:t>
      </w:r>
      <w:r w:rsidR="001C241F" w:rsidRPr="001B13F6">
        <w:t xml:space="preserve">the </w:t>
      </w:r>
      <w:r w:rsidRPr="001B13F6">
        <w:t xml:space="preserve">Minamata Convention on Mercury and the Vienna Convention </w:t>
      </w:r>
      <w:r w:rsidR="001C241F" w:rsidRPr="001B13F6">
        <w:t>for the Protection of</w:t>
      </w:r>
      <w:r w:rsidRPr="001B13F6">
        <w:t xml:space="preserve"> the Ozone Layer (including the Montreal Protocol </w:t>
      </w:r>
      <w:r w:rsidR="001C241F" w:rsidRPr="001B13F6">
        <w:t xml:space="preserve">on Substances that Deplete the Ozone Layer </w:t>
      </w:r>
      <w:r w:rsidRPr="001B13F6">
        <w:t>and associated amendments). The implementation of obligations relat</w:t>
      </w:r>
      <w:r w:rsidR="001C241F" w:rsidRPr="001B13F6">
        <w:t>ing</w:t>
      </w:r>
      <w:r w:rsidRPr="001B13F6">
        <w:t xml:space="preserve"> to these treaties constitute good practices in </w:t>
      </w:r>
      <w:r w:rsidR="001C241F" w:rsidRPr="001B13F6">
        <w:t xml:space="preserve">realizing </w:t>
      </w:r>
      <w:r w:rsidRPr="001B13F6">
        <w:t xml:space="preserve">the right to a healthy and sustainable environment. </w:t>
      </w:r>
    </w:p>
    <w:p w14:paraId="42ABF911" w14:textId="4E60ECAC" w:rsidR="00F66FC9" w:rsidRPr="001B13F6" w:rsidRDefault="00F66FC9">
      <w:pPr>
        <w:pStyle w:val="SingleTxtG"/>
      </w:pPr>
      <w:r w:rsidRPr="001B13F6">
        <w:t>92.</w:t>
      </w:r>
      <w:r w:rsidRPr="001B13F6">
        <w:tab/>
        <w:t>Human biomonitoring is an important good practice because it measures concentrations of toxic substances and their metabolites in bodily fluids, faeces, hair, teeth and nails. Biomonitoring data reveal levels of exposure and trends, help researchers to understand health effects and assist in developing and evaluating policies to reduce exposure. Ethical standards must be applied to protect human rights. Canada, Denmark, France, Germany, Norway, Spain and the United States have national biomonitoring program</w:t>
      </w:r>
      <w:r w:rsidR="00CA469E" w:rsidRPr="001B13F6">
        <w:t>me</w:t>
      </w:r>
      <w:r w:rsidRPr="001B13F6">
        <w:t>s.</w:t>
      </w:r>
      <w:r w:rsidRPr="001B13F6">
        <w:rPr>
          <w:rStyle w:val="FootnoteReference"/>
        </w:rPr>
        <w:footnoteReference w:id="51"/>
      </w:r>
      <w:r w:rsidRPr="001B13F6">
        <w:t xml:space="preserve"> </w:t>
      </w:r>
    </w:p>
    <w:p w14:paraId="4D325651" w14:textId="539CF5A2" w:rsidR="00F66FC9" w:rsidRPr="001B13F6" w:rsidRDefault="00F66FC9">
      <w:pPr>
        <w:pStyle w:val="SingleTxtG"/>
      </w:pPr>
      <w:r w:rsidRPr="001B13F6">
        <w:t>93.</w:t>
      </w:r>
      <w:r w:rsidRPr="001B13F6">
        <w:tab/>
        <w:t xml:space="preserve">The European Union has a relatively strong regulatory framework for toxic substances. </w:t>
      </w:r>
      <w:r w:rsidR="0060713F" w:rsidRPr="001B13F6">
        <w:t>Its</w:t>
      </w:r>
      <w:r w:rsidRPr="001B13F6">
        <w:t xml:space="preserve"> main legislation governing toxic chemicals, the Registration, Evaluation, Authorisation and Restriction of Chemicals (REACH) regulation, adopts a hazard-based approach to chemical management. The E</w:t>
      </w:r>
      <w:r w:rsidR="00CA469E" w:rsidRPr="001B13F6">
        <w:t xml:space="preserve">uropean </w:t>
      </w:r>
      <w:r w:rsidRPr="001B13F6">
        <w:t>U</w:t>
      </w:r>
      <w:r w:rsidR="00CA469E" w:rsidRPr="001B13F6">
        <w:t>nion</w:t>
      </w:r>
      <w:r w:rsidRPr="001B13F6">
        <w:t xml:space="preserve"> prohibits the use of carcinogens, mutagens and reproductive toxicants in cosmetics and personal care products. </w:t>
      </w:r>
    </w:p>
    <w:p w14:paraId="1F264ADA" w14:textId="259FC4D3" w:rsidR="00F66FC9" w:rsidRPr="001B13F6" w:rsidRDefault="00F66FC9">
      <w:pPr>
        <w:pStyle w:val="SingleTxtG"/>
      </w:pPr>
      <w:r w:rsidRPr="001B13F6">
        <w:t>94.</w:t>
      </w:r>
      <w:r w:rsidRPr="001B13F6">
        <w:tab/>
        <w:t xml:space="preserve">Sweden and Norway are international leaders in chemical regulation to reduce the risk of damage to health and the environment. Sweden </w:t>
      </w:r>
      <w:r w:rsidR="0060713F" w:rsidRPr="001B13F6">
        <w:t xml:space="preserve">has </w:t>
      </w:r>
      <w:r w:rsidRPr="001B13F6">
        <w:t>developed national objectives and timelines for phasing out mercury, lead, carcinogens, mutagens, substances that harm reproduction, and persistent and bioaccumulative substances. Norway has a priority list of more than 30 substances and groups of substances and reports on progress in reducing emission levels.</w:t>
      </w:r>
      <w:r w:rsidRPr="001B13F6">
        <w:rPr>
          <w:rStyle w:val="FootnoteReference"/>
        </w:rPr>
        <w:footnoteReference w:id="52"/>
      </w:r>
      <w:r w:rsidRPr="001B13F6">
        <w:rPr>
          <w:rStyle w:val="FootnoteReference"/>
        </w:rPr>
        <w:t xml:space="preserve"> </w:t>
      </w:r>
    </w:p>
    <w:p w14:paraId="298C5286" w14:textId="26113094" w:rsidR="00F66FC9" w:rsidRPr="001B13F6" w:rsidRDefault="00F66FC9">
      <w:pPr>
        <w:pStyle w:val="SingleTxtG"/>
      </w:pPr>
      <w:r w:rsidRPr="001B13F6">
        <w:t>95.</w:t>
      </w:r>
      <w:r w:rsidRPr="001B13F6">
        <w:tab/>
        <w:t>Viet</w:t>
      </w:r>
      <w:r w:rsidR="00996CBA" w:rsidRPr="001B13F6">
        <w:t xml:space="preserve"> N</w:t>
      </w:r>
      <w:r w:rsidRPr="001B13F6">
        <w:t xml:space="preserve">am </w:t>
      </w:r>
      <w:r w:rsidR="00996CBA" w:rsidRPr="001B13F6">
        <w:t xml:space="preserve">has </w:t>
      </w:r>
      <w:r w:rsidRPr="001B13F6">
        <w:t xml:space="preserve">strengthened its environmental regulatory system, </w:t>
      </w:r>
      <w:r w:rsidR="00996CBA" w:rsidRPr="001B13F6">
        <w:t xml:space="preserve">as </w:t>
      </w:r>
      <w:r w:rsidRPr="001B13F6">
        <w:t xml:space="preserve">highlighted by the inclusion of the right to a healthy environment in the Constitution (2013) and a new </w:t>
      </w:r>
      <w:r w:rsidR="00996CBA" w:rsidRPr="001B13F6">
        <w:t>l</w:t>
      </w:r>
      <w:r w:rsidRPr="001B13F6">
        <w:t xml:space="preserve">aw on </w:t>
      </w:r>
      <w:r w:rsidR="00996CBA" w:rsidRPr="001B13F6">
        <w:t>e</w:t>
      </w:r>
      <w:r w:rsidRPr="001B13F6">
        <w:t xml:space="preserve">nvironmental </w:t>
      </w:r>
      <w:r w:rsidR="00996CBA" w:rsidRPr="001B13F6">
        <w:t>p</w:t>
      </w:r>
      <w:r w:rsidRPr="001B13F6">
        <w:t xml:space="preserve">rotection (2014). In 2016, following massive discharges of toxic substances into the ocean that killed large </w:t>
      </w:r>
      <w:r w:rsidR="00996CBA" w:rsidRPr="001B13F6">
        <w:t xml:space="preserve">quantities </w:t>
      </w:r>
      <w:r w:rsidRPr="001B13F6">
        <w:t xml:space="preserve">of fish and shellfish, the Ministry of Natural Resources and Environment fined </w:t>
      </w:r>
      <w:r w:rsidR="00996CBA" w:rsidRPr="001B13F6">
        <w:t xml:space="preserve">the </w:t>
      </w:r>
      <w:r w:rsidRPr="001B13F6">
        <w:t xml:space="preserve">Formosa Steel </w:t>
      </w:r>
      <w:r w:rsidR="00996CBA" w:rsidRPr="001B13F6">
        <w:t xml:space="preserve">company </w:t>
      </w:r>
      <w:r w:rsidRPr="001B13F6">
        <w:t>$500 million for pollution exceeding permitted levels and required the company to carry out environmental remediation of damaged areas.</w:t>
      </w:r>
    </w:p>
    <w:p w14:paraId="0746AE1C" w14:textId="7C81591B" w:rsidR="00F66FC9" w:rsidRPr="001B13F6" w:rsidRDefault="00F66FC9">
      <w:pPr>
        <w:pStyle w:val="SingleTxtG"/>
      </w:pPr>
      <w:r w:rsidRPr="001B13F6">
        <w:t>96.</w:t>
      </w:r>
      <w:r w:rsidRPr="001B13F6">
        <w:tab/>
        <w:t xml:space="preserve">Plastic pollution is a huge global concern because of its impact on humans and biodiversity. The European Union </w:t>
      </w:r>
      <w:r w:rsidR="00996CBA" w:rsidRPr="001B13F6">
        <w:t xml:space="preserve">has </w:t>
      </w:r>
      <w:r w:rsidRPr="001B13F6">
        <w:t>enacted the most comprehensive legislation</w:t>
      </w:r>
      <w:r w:rsidR="00996CBA" w:rsidRPr="001B13F6">
        <w:t>,</w:t>
      </w:r>
      <w:r w:rsidR="00996CBA" w:rsidRPr="001B13F6">
        <w:rPr>
          <w:szCs w:val="18"/>
        </w:rPr>
        <w:t xml:space="preserve"> Directive (EU) 2019/904,</w:t>
      </w:r>
      <w:r w:rsidRPr="001B13F6">
        <w:t xml:space="preserve"> to reduce plastic waste.</w:t>
      </w:r>
      <w:r w:rsidRPr="001B13F6">
        <w:rPr>
          <w:rStyle w:val="FootnoteReference"/>
        </w:rPr>
        <w:t xml:space="preserve"> </w:t>
      </w:r>
      <w:r w:rsidRPr="001B13F6">
        <w:t>Banned items include plastic cutlery, plates, stirrers, straws, expanded polystyrene (foam) food and beverage containers, and balloon sticks. Extended producer responsibility rules cover additional plastic products and packaging. By 2029, 90 per</w:t>
      </w:r>
      <w:r w:rsidR="00996CBA" w:rsidRPr="001B13F6">
        <w:t xml:space="preserve"> </w:t>
      </w:r>
      <w:r w:rsidRPr="001B13F6">
        <w:t xml:space="preserve">cent of single-use plastic wastes must be collected for recycling. </w:t>
      </w:r>
    </w:p>
    <w:p w14:paraId="26951F80" w14:textId="1E7B8B27" w:rsidR="00F66FC9" w:rsidRPr="001B13F6" w:rsidRDefault="00F66FC9">
      <w:pPr>
        <w:pStyle w:val="SingleTxtG"/>
      </w:pPr>
      <w:r w:rsidRPr="001B13F6">
        <w:t>97.</w:t>
      </w:r>
      <w:r w:rsidRPr="001B13F6">
        <w:tab/>
        <w:t xml:space="preserve">Germany has an advanced waste management system, protecting human health, human rights and the environment through strong legislation and regulations, strong institutions to implement, monitor and enforce rules, adequate financing through </w:t>
      </w:r>
      <w:r w:rsidR="00996CBA" w:rsidRPr="001B13F6">
        <w:t xml:space="preserve">the </w:t>
      </w:r>
      <w:r w:rsidRPr="001B13F6">
        <w:t xml:space="preserve">application of the </w:t>
      </w:r>
      <w:r w:rsidR="00996CBA" w:rsidRPr="001B13F6">
        <w:t>“</w:t>
      </w:r>
      <w:r w:rsidRPr="001B13F6">
        <w:t>polluter pays</w:t>
      </w:r>
      <w:r w:rsidR="00996CBA" w:rsidRPr="001B13F6">
        <w:t>”</w:t>
      </w:r>
      <w:r w:rsidRPr="001B13F6">
        <w:t xml:space="preserve"> principle, and use of the best available technologies. In 2017, 68 per</w:t>
      </w:r>
      <w:r w:rsidR="00996CBA" w:rsidRPr="001B13F6">
        <w:t xml:space="preserve"> </w:t>
      </w:r>
      <w:r w:rsidRPr="001B13F6">
        <w:t xml:space="preserve">cent of municipal waste </w:t>
      </w:r>
      <w:r w:rsidR="00996CBA" w:rsidRPr="001B13F6">
        <w:t xml:space="preserve">in Germany </w:t>
      </w:r>
      <w:r w:rsidRPr="001B13F6">
        <w:t>was recycled, the highest rate in the world.</w:t>
      </w:r>
      <w:r w:rsidRPr="001B13F6">
        <w:rPr>
          <w:rStyle w:val="FootnoteReference"/>
        </w:rPr>
        <w:footnoteReference w:id="53"/>
      </w:r>
      <w:r w:rsidRPr="001B13F6">
        <w:rPr>
          <w:rStyle w:val="FootnoteReference"/>
        </w:rPr>
        <w:t xml:space="preserve"> </w:t>
      </w:r>
    </w:p>
    <w:p w14:paraId="371985FE" w14:textId="11A82D59" w:rsidR="00F66FC9" w:rsidRPr="001B13F6" w:rsidRDefault="00F66FC9">
      <w:pPr>
        <w:pStyle w:val="SingleTxtG"/>
      </w:pPr>
      <w:r w:rsidRPr="001B13F6">
        <w:t>98.</w:t>
      </w:r>
      <w:r w:rsidRPr="001B13F6">
        <w:tab/>
        <w:t>Albania, Bahrain, Burkina Faso, Kenya, Montenegro, Rwanda, Samoa, Senegal</w:t>
      </w:r>
      <w:r w:rsidR="000F1887" w:rsidRPr="001B13F6">
        <w:t xml:space="preserve"> and</w:t>
      </w:r>
      <w:r w:rsidRPr="001B13F6">
        <w:t xml:space="preserve"> Uzbekistan have banned plastic bags, </w:t>
      </w:r>
      <w:r w:rsidR="000F1887" w:rsidRPr="001B13F6">
        <w:t xml:space="preserve">thereby </w:t>
      </w:r>
      <w:r w:rsidRPr="001B13F6">
        <w:t>reducing plastic pollution</w:t>
      </w:r>
      <w:r w:rsidR="000F1887" w:rsidRPr="001B13F6">
        <w:t xml:space="preserve"> and </w:t>
      </w:r>
      <w:r w:rsidRPr="001B13F6">
        <w:t>animal deaths, and preventing clogged drains</w:t>
      </w:r>
      <w:r w:rsidR="000F1887" w:rsidRPr="001B13F6">
        <w:t>, which</w:t>
      </w:r>
      <w:r w:rsidRPr="001B13F6">
        <w:t xml:space="preserve"> can contribute to flooding and malaria. These policies also improve air quality, as plastic bags are no longer disposed of </w:t>
      </w:r>
      <w:r w:rsidR="000F1887" w:rsidRPr="001B13F6">
        <w:t xml:space="preserve">by </w:t>
      </w:r>
      <w:r w:rsidR="00C73A1A">
        <w:t>burning</w:t>
      </w:r>
      <w:r w:rsidRPr="001B13F6">
        <w:t xml:space="preserve">. </w:t>
      </w:r>
    </w:p>
    <w:p w14:paraId="69362023" w14:textId="7BE05ACA" w:rsidR="00F66FC9" w:rsidRPr="001B13F6" w:rsidRDefault="00F66FC9">
      <w:pPr>
        <w:pStyle w:val="SingleTxtG"/>
      </w:pPr>
      <w:r w:rsidRPr="001B13F6">
        <w:t>99.</w:t>
      </w:r>
      <w:r w:rsidRPr="001B13F6">
        <w:tab/>
        <w:t>Perverse subsidies are government subsidies that provide financial support for activities that cause environmental harm. For example, in most States</w:t>
      </w:r>
      <w:r w:rsidR="000F1887" w:rsidRPr="001B13F6">
        <w:t>,</w:t>
      </w:r>
      <w:r w:rsidRPr="001B13F6">
        <w:t xml:space="preserve"> taxes are lower on diesel fuel than gasoline despite </w:t>
      </w:r>
      <w:r w:rsidR="000F1887" w:rsidRPr="001B13F6">
        <w:t xml:space="preserve">the </w:t>
      </w:r>
      <w:r w:rsidRPr="001B13F6">
        <w:t xml:space="preserve">higher levels of toxic emissions from diesel. The United Kingdom was the first State </w:t>
      </w:r>
      <w:r w:rsidR="000F1887" w:rsidRPr="001B13F6">
        <w:t xml:space="preserve">member of the European Union </w:t>
      </w:r>
      <w:r w:rsidRPr="001B13F6">
        <w:t>to impose higher fuel excise duties on diesel fuel than regular gasoline.</w:t>
      </w:r>
      <w:r w:rsidRPr="001B13F6">
        <w:rPr>
          <w:rStyle w:val="FootnoteReference"/>
        </w:rPr>
        <w:footnoteReference w:id="54"/>
      </w:r>
    </w:p>
    <w:p w14:paraId="13AB7702" w14:textId="4CED8B99" w:rsidR="00F66FC9" w:rsidRPr="001B13F6" w:rsidRDefault="00F66FC9">
      <w:pPr>
        <w:pStyle w:val="SingleTxtG"/>
      </w:pPr>
      <w:r w:rsidRPr="001B13F6">
        <w:t>100.</w:t>
      </w:r>
      <w:r w:rsidRPr="001B13F6">
        <w:tab/>
        <w:t xml:space="preserve">Taxes can be used effectively to reduce environmental threats. Pollution fees are widely used. </w:t>
      </w:r>
      <w:r w:rsidR="000F1887" w:rsidRPr="001B13F6">
        <w:t>States that levy</w:t>
      </w:r>
      <w:r w:rsidRPr="001B13F6">
        <w:t xml:space="preserve"> water effluent charges include France, Germany, Malaysia, the Netherlands and the Philippines. Studies show that water pollution taxes lead to a significant decline in pollution levels.</w:t>
      </w:r>
      <w:r w:rsidRPr="001B13F6">
        <w:rPr>
          <w:rStyle w:val="FootnoteReference"/>
        </w:rPr>
        <w:footnoteReference w:id="55"/>
      </w:r>
      <w:r w:rsidRPr="001B13F6">
        <w:t xml:space="preserve"> Air emission charges are used in many </w:t>
      </w:r>
      <w:r w:rsidR="001A2DD6" w:rsidRPr="001B13F6">
        <w:t>States</w:t>
      </w:r>
      <w:r w:rsidRPr="001B13F6">
        <w:t xml:space="preserve">, including Finland, France, Germany, Japan, the Netherlands, Norway, Sweden and the United States. </w:t>
      </w:r>
    </w:p>
    <w:p w14:paraId="2F545F89" w14:textId="74F5E13A" w:rsidR="00F66FC9" w:rsidRPr="001B13F6" w:rsidRDefault="00F66FC9">
      <w:pPr>
        <w:pStyle w:val="SingleTxtG"/>
      </w:pPr>
      <w:r w:rsidRPr="001B13F6">
        <w:t>101.</w:t>
      </w:r>
      <w:r w:rsidRPr="001B13F6">
        <w:tab/>
        <w:t xml:space="preserve">The restoration of polluted or contaminated areas is also an important activity in ensuring a non-toxic environment. Pursuant to a federal law passed in 1999 and most recently amended in 2019, </w:t>
      </w:r>
      <w:r w:rsidR="001A2DD6" w:rsidRPr="001B13F6">
        <w:t xml:space="preserve">the </w:t>
      </w:r>
      <w:r w:rsidRPr="001B13F6">
        <w:t>Russia</w:t>
      </w:r>
      <w:r w:rsidR="001A2DD6" w:rsidRPr="001B13F6">
        <w:t>n Federation</w:t>
      </w:r>
      <w:r w:rsidRPr="001B13F6">
        <w:t xml:space="preserve"> is implementing a wide range of actions to protect Lake Baikal and the surrounding region, including the closure of a pulp and paper mill, </w:t>
      </w:r>
      <w:r w:rsidR="001A2DD6" w:rsidRPr="001B13F6">
        <w:t xml:space="preserve">the </w:t>
      </w:r>
      <w:r w:rsidRPr="001B13F6">
        <w:t>rehabilitati</w:t>
      </w:r>
      <w:r w:rsidR="001A2DD6" w:rsidRPr="001B13F6">
        <w:t>o</w:t>
      </w:r>
      <w:r w:rsidRPr="001B13F6">
        <w:t xml:space="preserve">n </w:t>
      </w:r>
      <w:r w:rsidR="001A2DD6" w:rsidRPr="001B13F6">
        <w:t xml:space="preserve">of </w:t>
      </w:r>
      <w:r w:rsidRPr="001B13F6">
        <w:t xml:space="preserve">polluted land, </w:t>
      </w:r>
      <w:r w:rsidR="001A2DD6" w:rsidRPr="001B13F6">
        <w:t xml:space="preserve">a </w:t>
      </w:r>
      <w:r w:rsidRPr="001B13F6">
        <w:t>reduc</w:t>
      </w:r>
      <w:r w:rsidR="001A2DD6" w:rsidRPr="001B13F6">
        <w:t xml:space="preserve">tion in </w:t>
      </w:r>
      <w:r w:rsidRPr="001B13F6">
        <w:t>the volume of polluted wastewater entering the lake, and increasing the amount of solid waste managed properly.</w:t>
      </w:r>
      <w:r w:rsidRPr="001B13F6">
        <w:rPr>
          <w:rStyle w:val="FootnoteReference"/>
        </w:rPr>
        <w:t xml:space="preserve"> </w:t>
      </w:r>
      <w:r w:rsidRPr="001B13F6">
        <w:t>To ensure implementation of and compliance with the legislation on environmental protection in the Lake Baikal watershed, as well as to protect the constitutional right of citizens to a favourable environment, the Baikal Interregional Environmental Prosecutor</w:t>
      </w:r>
      <w:r w:rsidR="001A2DD6" w:rsidRPr="001B13F6">
        <w:t>’</w:t>
      </w:r>
      <w:r w:rsidRPr="001B13F6">
        <w:t xml:space="preserve">s Office was </w:t>
      </w:r>
      <w:r w:rsidR="001A2DD6" w:rsidRPr="001B13F6">
        <w:t>opened</w:t>
      </w:r>
      <w:r w:rsidRPr="001B13F6">
        <w:t xml:space="preserve"> in 2017.</w:t>
      </w:r>
    </w:p>
    <w:p w14:paraId="3F092679" w14:textId="6515E900" w:rsidR="00F66FC9" w:rsidRPr="001B13F6" w:rsidRDefault="00F66FC9">
      <w:pPr>
        <w:pStyle w:val="SingleTxtG"/>
      </w:pPr>
      <w:r w:rsidRPr="001B13F6">
        <w:t>102.</w:t>
      </w:r>
      <w:r w:rsidRPr="001B13F6">
        <w:tab/>
        <w:t xml:space="preserve">It is essential that </w:t>
      </w:r>
      <w:r w:rsidR="001A2DD6" w:rsidRPr="001B13F6">
        <w:t>G</w:t>
      </w:r>
      <w:r w:rsidRPr="001B13F6">
        <w:t xml:space="preserve">overnments enforce environmental laws when polluters violate standards. </w:t>
      </w:r>
      <w:r w:rsidR="001A2DD6" w:rsidRPr="001B13F6">
        <w:t>L</w:t>
      </w:r>
      <w:r w:rsidRPr="001B13F6">
        <w:t>ack of adequate environmental enforcement is a global problem. In 2019, Ethiopia shut down four tanneries over toxic waste emissions.</w:t>
      </w:r>
      <w:r w:rsidRPr="001B13F6">
        <w:rPr>
          <w:rStyle w:val="FootnoteReference"/>
        </w:rPr>
        <w:footnoteReference w:id="56"/>
      </w:r>
      <w:r w:rsidRPr="001B13F6">
        <w:t xml:space="preserve"> Myanmar temporarily suspended operations at two tin mining sites and 17 factories for environmental non-compliance.</w:t>
      </w:r>
    </w:p>
    <w:p w14:paraId="28784272" w14:textId="77777777" w:rsidR="00F66FC9" w:rsidRPr="001B13F6" w:rsidRDefault="00746576" w:rsidP="00463874">
      <w:pPr>
        <w:pStyle w:val="H23G"/>
        <w:spacing w:line="240" w:lineRule="atLeast"/>
      </w:pPr>
      <w:r w:rsidRPr="001B13F6">
        <w:tab/>
        <w:t>6.</w:t>
      </w:r>
      <w:r w:rsidRPr="001B13F6">
        <w:tab/>
      </w:r>
      <w:r w:rsidR="00F66FC9" w:rsidRPr="001B13F6">
        <w:t>Healthy ecosystems and biodiversity</w:t>
      </w:r>
    </w:p>
    <w:p w14:paraId="2899DEB1" w14:textId="515D381F" w:rsidR="00F66FC9" w:rsidRPr="001B13F6" w:rsidRDefault="00F66FC9">
      <w:pPr>
        <w:pStyle w:val="SingleTxtG"/>
      </w:pPr>
      <w:r w:rsidRPr="001B13F6">
        <w:t>103.</w:t>
      </w:r>
      <w:r w:rsidRPr="001B13F6">
        <w:tab/>
        <w:t>Humanity depends on nature for a vast range of products and ecological services, from food, fibr</w:t>
      </w:r>
      <w:r w:rsidR="001A2DD6" w:rsidRPr="001B13F6">
        <w:t>e</w:t>
      </w:r>
      <w:r w:rsidRPr="001B13F6">
        <w:t xml:space="preserve"> and medicine to pollination, clean air, water and soil. Human rights may be jeopardized by lack of access to nature’s bounty or by actions taken to protect nature that fail to take rights into consideration</w:t>
      </w:r>
      <w:r w:rsidR="00872A4C" w:rsidRPr="001B13F6">
        <w:t xml:space="preserve"> (see A/HRC/34/49)</w:t>
      </w:r>
      <w:r w:rsidRPr="001B13F6">
        <w:t xml:space="preserve">. Globally, wildlife populations have declined </w:t>
      </w:r>
      <w:r w:rsidR="00872A4C" w:rsidRPr="001B13F6">
        <w:t>by 60</w:t>
      </w:r>
      <w:r w:rsidRPr="001B13F6">
        <w:t xml:space="preserve"> per</w:t>
      </w:r>
      <w:r w:rsidR="00872A4C" w:rsidRPr="001B13F6">
        <w:t xml:space="preserve"> </w:t>
      </w:r>
      <w:r w:rsidRPr="001B13F6">
        <w:t xml:space="preserve">cent since 1970, and as many as </w:t>
      </w:r>
      <w:r w:rsidR="00872A4C" w:rsidRPr="001B13F6">
        <w:t xml:space="preserve">1 </w:t>
      </w:r>
      <w:r w:rsidRPr="001B13F6">
        <w:t xml:space="preserve">million species are at risk of extinction. The decline or disappearance of a particular species could </w:t>
      </w:r>
      <w:r w:rsidR="004F5BD8" w:rsidRPr="001B13F6">
        <w:t xml:space="preserve">have a </w:t>
      </w:r>
      <w:r w:rsidRPr="001B13F6">
        <w:t xml:space="preserve">devastating </w:t>
      </w:r>
      <w:r w:rsidR="004F5BD8" w:rsidRPr="001B13F6">
        <w:t xml:space="preserve">impact on </w:t>
      </w:r>
      <w:r w:rsidRPr="001B13F6">
        <w:t xml:space="preserve">an </w:t>
      </w:r>
      <w:r w:rsidR="00872A4C" w:rsidRPr="001B13F6">
        <w:t>i</w:t>
      </w:r>
      <w:r w:rsidRPr="001B13F6">
        <w:t xml:space="preserve">ndigenous community and their rights. </w:t>
      </w:r>
      <w:r w:rsidR="00872A4C" w:rsidRPr="001B13F6">
        <w:t>T</w:t>
      </w:r>
      <w:r w:rsidRPr="001B13F6">
        <w:t xml:space="preserve">he creation of a new protected area without the consultation and consent of </w:t>
      </w:r>
      <w:r w:rsidR="00872A4C" w:rsidRPr="001B13F6">
        <w:t>i</w:t>
      </w:r>
      <w:r w:rsidRPr="001B13F6">
        <w:t>ndigenous peoples or local communities could</w:t>
      </w:r>
      <w:r w:rsidR="00872A4C" w:rsidRPr="001B13F6">
        <w:t>, however,</w:t>
      </w:r>
      <w:r w:rsidRPr="001B13F6">
        <w:t xml:space="preserve"> violate their rights</w:t>
      </w:r>
      <w:r w:rsidR="00872A4C" w:rsidRPr="001B13F6">
        <w:t xml:space="preserve"> (see</w:t>
      </w:r>
      <w:r w:rsidR="00872A4C" w:rsidRPr="00463874">
        <w:t xml:space="preserve"> A/71/229)</w:t>
      </w:r>
      <w:r w:rsidRPr="001B13F6">
        <w:t>.</w:t>
      </w:r>
      <w:r w:rsidRPr="001B13F6">
        <w:rPr>
          <w:rStyle w:val="FootnoteReference"/>
        </w:rPr>
        <w:t xml:space="preserve"> </w:t>
      </w:r>
    </w:p>
    <w:p w14:paraId="5AF46547" w14:textId="7BC7464E" w:rsidR="00F66FC9" w:rsidRPr="001B13F6" w:rsidRDefault="00F66FC9">
      <w:pPr>
        <w:pStyle w:val="SingleTxtG"/>
      </w:pPr>
      <w:r w:rsidRPr="001B13F6">
        <w:t>104.</w:t>
      </w:r>
      <w:r w:rsidRPr="001B13F6">
        <w:tab/>
        <w:t>International environmental law establishes norms and standards for the protection of the diversity and abundance of life on Earth through global treaties</w:t>
      </w:r>
      <w:r w:rsidR="00872A4C" w:rsidRPr="001B13F6">
        <w:t>,</w:t>
      </w:r>
      <w:r w:rsidRPr="001B13F6">
        <w:t xml:space="preserve"> including the Convention on Biological Diversity, </w:t>
      </w:r>
      <w:r w:rsidR="00872A4C" w:rsidRPr="001B13F6">
        <w:t xml:space="preserve">the </w:t>
      </w:r>
      <w:r w:rsidRPr="001B13F6">
        <w:t xml:space="preserve">Convention on International Trade in Endangered Species of Wild Fauna and Flora, </w:t>
      </w:r>
      <w:r w:rsidR="00872A4C" w:rsidRPr="001B13F6">
        <w:t xml:space="preserve">the </w:t>
      </w:r>
      <w:r w:rsidRPr="001B13F6">
        <w:t>Convention on Wetlands</w:t>
      </w:r>
      <w:r w:rsidR="00872A4C" w:rsidRPr="001B13F6">
        <w:t xml:space="preserve"> of International Importance especially as Waterfowl Habitat</w:t>
      </w:r>
      <w:r w:rsidRPr="001B13F6">
        <w:t xml:space="preserve">, </w:t>
      </w:r>
      <w:r w:rsidR="00872A4C" w:rsidRPr="001B13F6">
        <w:t xml:space="preserve">the Convention for the Protection of the </w:t>
      </w:r>
      <w:r w:rsidRPr="001B13F6">
        <w:t xml:space="preserve">World </w:t>
      </w:r>
      <w:r w:rsidR="00872A4C" w:rsidRPr="001B13F6">
        <w:t xml:space="preserve">Cultural and Natural </w:t>
      </w:r>
      <w:r w:rsidRPr="001B13F6">
        <w:t>Heritage, the U</w:t>
      </w:r>
      <w:r w:rsidR="00872A4C" w:rsidRPr="001B13F6">
        <w:t xml:space="preserve">nited </w:t>
      </w:r>
      <w:r w:rsidRPr="001B13F6">
        <w:t>N</w:t>
      </w:r>
      <w:r w:rsidR="00872A4C" w:rsidRPr="001B13F6">
        <w:t>ations</w:t>
      </w:r>
      <w:r w:rsidRPr="001B13F6">
        <w:t xml:space="preserve"> Convention on the Law of the Sea and International Convention for the Regulation of Whaling. For example, the Aichi </w:t>
      </w:r>
      <w:r w:rsidR="00B44323" w:rsidRPr="001B13F6">
        <w:t>Biodiversity T</w:t>
      </w:r>
      <w:r w:rsidRPr="001B13F6">
        <w:t xml:space="preserve">argets set pursuant to the Convention on Biological Diversity </w:t>
      </w:r>
      <w:r w:rsidR="00B44323" w:rsidRPr="001B13F6">
        <w:t xml:space="preserve">aim at </w:t>
      </w:r>
      <w:r w:rsidRPr="001B13F6">
        <w:t>protecting 17 per</w:t>
      </w:r>
      <w:r w:rsidR="00B44323" w:rsidRPr="001B13F6">
        <w:t xml:space="preserve"> </w:t>
      </w:r>
      <w:r w:rsidRPr="001B13F6">
        <w:t>cent of representative ecosystems on land and 10 per</w:t>
      </w:r>
      <w:r w:rsidR="00B44323" w:rsidRPr="001B13F6">
        <w:t xml:space="preserve"> </w:t>
      </w:r>
      <w:r w:rsidRPr="001B13F6">
        <w:t>cent in the oceans by 2020. Regional environmental treaties are also important.</w:t>
      </w:r>
    </w:p>
    <w:p w14:paraId="6CDE44BC" w14:textId="1FDE846C" w:rsidR="00F66FC9" w:rsidRPr="001B13F6" w:rsidRDefault="00F66FC9">
      <w:pPr>
        <w:pStyle w:val="SingleTxtG"/>
      </w:pPr>
      <w:r w:rsidRPr="001B13F6">
        <w:t>105.</w:t>
      </w:r>
      <w:r w:rsidRPr="001B13F6">
        <w:tab/>
        <w:t>A growing number of constitutions incorporate duties relat</w:t>
      </w:r>
      <w:r w:rsidR="00B44323" w:rsidRPr="001B13F6">
        <w:t>ing</w:t>
      </w:r>
      <w:r w:rsidRPr="001B13F6">
        <w:t xml:space="preserve"> to the protection of wildlife and nature, including </w:t>
      </w:r>
      <w:r w:rsidR="00B44323" w:rsidRPr="001B13F6">
        <w:t xml:space="preserve">those of </w:t>
      </w:r>
      <w:r w:rsidRPr="001B13F6">
        <w:t xml:space="preserve">Bhutan, </w:t>
      </w:r>
      <w:r w:rsidR="00B44323" w:rsidRPr="001B13F6">
        <w:t xml:space="preserve">the Plurinational State of </w:t>
      </w:r>
      <w:r w:rsidRPr="001B13F6">
        <w:t xml:space="preserve">Bolivia, Ecuador and Namibia. </w:t>
      </w:r>
      <w:r w:rsidR="00B44323" w:rsidRPr="001B13F6">
        <w:t xml:space="preserve">In </w:t>
      </w:r>
      <w:r w:rsidRPr="001B13F6">
        <w:t>Bhutan</w:t>
      </w:r>
      <w:r w:rsidR="00B44323" w:rsidRPr="001B13F6">
        <w:t>, the</w:t>
      </w:r>
      <w:r w:rsidRPr="001B13F6">
        <w:t xml:space="preserve"> Constitution requires 60 per</w:t>
      </w:r>
      <w:r w:rsidR="00B44323" w:rsidRPr="001B13F6">
        <w:t xml:space="preserve"> </w:t>
      </w:r>
      <w:r w:rsidRPr="001B13F6">
        <w:t xml:space="preserve">cent of land area to be maintained under forest cover for all time. The </w:t>
      </w:r>
      <w:r w:rsidR="00B44323" w:rsidRPr="001B13F6">
        <w:t>C</w:t>
      </w:r>
      <w:r w:rsidRPr="001B13F6">
        <w:t xml:space="preserve">onstitutions of </w:t>
      </w:r>
      <w:r w:rsidR="00B44323" w:rsidRPr="001B13F6">
        <w:t xml:space="preserve">the Plurinational State of </w:t>
      </w:r>
      <w:r w:rsidRPr="001B13F6">
        <w:t xml:space="preserve">Bolivia and Ecuador refer to the rights of non-human species, </w:t>
      </w:r>
      <w:r w:rsidR="00261FE5" w:rsidRPr="001B13F6">
        <w:t xml:space="preserve">while that of </w:t>
      </w:r>
      <w:r w:rsidRPr="001B13F6">
        <w:t xml:space="preserve">Ecuador </w:t>
      </w:r>
      <w:r w:rsidR="00261FE5" w:rsidRPr="001B13F6">
        <w:t>contains</w:t>
      </w:r>
      <w:r w:rsidRPr="001B13F6">
        <w:t xml:space="preserve"> comprehensive provisions relat</w:t>
      </w:r>
      <w:r w:rsidR="00261FE5" w:rsidRPr="001B13F6">
        <w:t>ing</w:t>
      </w:r>
      <w:r w:rsidRPr="001B13F6">
        <w:t xml:space="preserve"> to the rights of </w:t>
      </w:r>
      <w:r w:rsidRPr="00463874">
        <w:rPr>
          <w:i/>
        </w:rPr>
        <w:t>Pachamama</w:t>
      </w:r>
      <w:r w:rsidRPr="001B13F6">
        <w:t xml:space="preserve"> or Mother Earth. Recognizing the rights of </w:t>
      </w:r>
      <w:r w:rsidR="00261FE5" w:rsidRPr="001B13F6">
        <w:t>n</w:t>
      </w:r>
      <w:r w:rsidRPr="001B13F6">
        <w:t>ature could reduce environmental harm, potentially benefiting human rights.</w:t>
      </w:r>
    </w:p>
    <w:p w14:paraId="25FFC860" w14:textId="0BAE8401" w:rsidR="00F66FC9" w:rsidRPr="001B13F6" w:rsidRDefault="00F66FC9">
      <w:pPr>
        <w:pStyle w:val="SingleTxtG"/>
      </w:pPr>
      <w:r w:rsidRPr="001B13F6">
        <w:t>106.</w:t>
      </w:r>
      <w:r w:rsidRPr="001B13F6">
        <w:tab/>
        <w:t xml:space="preserve">At the legislative level, almost all States have specific laws protecting wildlife and wildlife habitat, and managing activities that could harm or overexploit other species, such as fishing, hunting, mining, agriculture and forestry. </w:t>
      </w:r>
    </w:p>
    <w:p w14:paraId="60B6C9E3" w14:textId="49D7CE2C" w:rsidR="00F66FC9" w:rsidRPr="001B13F6" w:rsidRDefault="00F66FC9">
      <w:pPr>
        <w:pStyle w:val="SingleTxtG"/>
      </w:pPr>
      <w:r w:rsidRPr="001B13F6">
        <w:t>107.</w:t>
      </w:r>
      <w:r w:rsidRPr="001B13F6">
        <w:tab/>
      </w:r>
      <w:r w:rsidR="00261FE5" w:rsidRPr="001B13F6">
        <w:t>The</w:t>
      </w:r>
      <w:r w:rsidRPr="001B13F6">
        <w:t xml:space="preserve"> States </w:t>
      </w:r>
      <w:r w:rsidR="00261FE5" w:rsidRPr="001B13F6">
        <w:t xml:space="preserve">that </w:t>
      </w:r>
      <w:r w:rsidRPr="001B13F6">
        <w:t>protect at least 25 per</w:t>
      </w:r>
      <w:r w:rsidR="00261FE5" w:rsidRPr="001B13F6">
        <w:t xml:space="preserve"> </w:t>
      </w:r>
      <w:r w:rsidRPr="001B13F6">
        <w:t>cent of their land includ</w:t>
      </w:r>
      <w:r w:rsidR="00261FE5" w:rsidRPr="001B13F6">
        <w:t>e</w:t>
      </w:r>
      <w:r w:rsidRPr="001B13F6">
        <w:t xml:space="preserve"> Andorra, Austria, </w:t>
      </w:r>
      <w:r w:rsidR="00261FE5" w:rsidRPr="001B13F6">
        <w:t xml:space="preserve">the </w:t>
      </w:r>
      <w:r w:rsidRPr="001B13F6">
        <w:t xml:space="preserve">Bahamas, Belize, Benin, Bhutan, </w:t>
      </w:r>
      <w:r w:rsidR="00261FE5" w:rsidRPr="001B13F6">
        <w:t xml:space="preserve">the Plurinational State of </w:t>
      </w:r>
      <w:r w:rsidRPr="001B13F6">
        <w:t xml:space="preserve">Bolivia, Botswana, Brazil, Brunei Darussalam, Bulgaria, Cambodia, </w:t>
      </w:r>
      <w:r w:rsidR="00261FE5" w:rsidRPr="001B13F6">
        <w:t xml:space="preserve">the </w:t>
      </w:r>
      <w:r w:rsidRPr="001B13F6">
        <w:t xml:space="preserve">Congo, Costa Rica, Croatia, </w:t>
      </w:r>
      <w:r w:rsidR="00261FE5" w:rsidRPr="001B13F6">
        <w:t xml:space="preserve">the </w:t>
      </w:r>
      <w:r w:rsidRPr="001B13F6">
        <w:t xml:space="preserve">Dominican Republic, France, Germany, Greece, Guinea, Japan, Luxembourg, Malta, Monaco, Morocco, Namibia, New Zealand, Nicaragua, Palau, Poland, Sao Tome and Principe, Senegal, Seychelles, Slovakia, Slovenia, Spain, Sri Lanka, Togo, Trinidad and Tobago, </w:t>
      </w:r>
      <w:r w:rsidR="00261FE5" w:rsidRPr="001B13F6">
        <w:t xml:space="preserve">the </w:t>
      </w:r>
      <w:r w:rsidRPr="001B13F6">
        <w:t>United Kingdom</w:t>
      </w:r>
      <w:r w:rsidR="00261FE5" w:rsidRPr="001B13F6">
        <w:t xml:space="preserve"> of Great Britain and Northern Ireland</w:t>
      </w:r>
      <w:r w:rsidRPr="001B13F6">
        <w:t xml:space="preserve">, </w:t>
      </w:r>
      <w:r w:rsidR="00261FE5" w:rsidRPr="001B13F6">
        <w:t xml:space="preserve">the United Republic of Tanzania, the Bolivarian Republic of </w:t>
      </w:r>
      <w:r w:rsidRPr="001B13F6">
        <w:t>Venezuela, Zambia and Zimbabwe.</w:t>
      </w:r>
      <w:r w:rsidRPr="001B13F6">
        <w:rPr>
          <w:rStyle w:val="FootnoteReference"/>
        </w:rPr>
        <w:footnoteReference w:id="57"/>
      </w:r>
      <w:r w:rsidRPr="001B13F6">
        <w:t xml:space="preserve"> In total, over 15 per</w:t>
      </w:r>
      <w:r w:rsidR="00261FE5" w:rsidRPr="001B13F6">
        <w:t xml:space="preserve"> </w:t>
      </w:r>
      <w:r w:rsidRPr="001B13F6">
        <w:t>cent of the world’s land</w:t>
      </w:r>
      <w:r w:rsidR="00261FE5" w:rsidRPr="001B13F6">
        <w:t xml:space="preserve"> – </w:t>
      </w:r>
      <w:r w:rsidRPr="001B13F6">
        <w:t>more than 25 million square kilometres (the size of North America)</w:t>
      </w:r>
      <w:r w:rsidR="00261FE5" w:rsidRPr="001B13F6">
        <w:t xml:space="preserve"> – </w:t>
      </w:r>
      <w:r w:rsidRPr="001B13F6">
        <w:t xml:space="preserve">is now protected, which should help </w:t>
      </w:r>
      <w:r w:rsidR="00261FE5" w:rsidRPr="001B13F6">
        <w:t xml:space="preserve">to </w:t>
      </w:r>
      <w:r w:rsidRPr="001B13F6">
        <w:t>conserve biodiversity.</w:t>
      </w:r>
      <w:r w:rsidRPr="001B13F6">
        <w:rPr>
          <w:rStyle w:val="FootnoteReference"/>
        </w:rPr>
        <w:footnoteReference w:id="58"/>
      </w:r>
      <w:r w:rsidRPr="001B13F6">
        <w:t xml:space="preserve"> </w:t>
      </w:r>
    </w:p>
    <w:p w14:paraId="168B8296" w14:textId="770D5C33" w:rsidR="00F66FC9" w:rsidRPr="001B13F6" w:rsidRDefault="00F66FC9">
      <w:pPr>
        <w:pStyle w:val="SingleTxtG"/>
      </w:pPr>
      <w:r w:rsidRPr="001B13F6">
        <w:t>108.</w:t>
      </w:r>
      <w:r w:rsidRPr="001B13F6">
        <w:tab/>
        <w:t>Sixteen States have protected at least 25 per</w:t>
      </w:r>
      <w:r w:rsidR="00A36E18" w:rsidRPr="001B13F6">
        <w:t xml:space="preserve"> </w:t>
      </w:r>
      <w:r w:rsidRPr="001B13F6">
        <w:t>cent of their marine territory</w:t>
      </w:r>
      <w:r w:rsidR="00A36E18" w:rsidRPr="001B13F6">
        <w:t xml:space="preserve">: </w:t>
      </w:r>
      <w:r w:rsidRPr="001B13F6">
        <w:t>Australia, Belgium, Brazil, Chile, France, Gabon, Germany, Jordan, Lithuania, Monaco, the Netherlands, New Zealand, Palau, Slovenia, the United Kingdom and the United States.</w:t>
      </w:r>
      <w:r w:rsidRPr="001B13F6">
        <w:rPr>
          <w:rStyle w:val="FootnoteReference"/>
        </w:rPr>
        <w:footnoteReference w:id="59"/>
      </w:r>
    </w:p>
    <w:p w14:paraId="630485EA" w14:textId="6D79502D" w:rsidR="00F66FC9" w:rsidRPr="001B13F6" w:rsidRDefault="00F66FC9">
      <w:pPr>
        <w:pStyle w:val="SingleTxtG"/>
      </w:pPr>
      <w:r w:rsidRPr="001B13F6">
        <w:t>109.</w:t>
      </w:r>
      <w:r w:rsidRPr="001B13F6">
        <w:tab/>
      </w:r>
      <w:r w:rsidR="00A36E18" w:rsidRPr="001B13F6">
        <w:t>L</w:t>
      </w:r>
      <w:r w:rsidRPr="001B13F6">
        <w:t xml:space="preserve">aws </w:t>
      </w:r>
      <w:r w:rsidR="00A36E18" w:rsidRPr="001B13F6">
        <w:t>that</w:t>
      </w:r>
      <w:r w:rsidRPr="001B13F6">
        <w:t xml:space="preserve"> recognize the land rights of indigenous people</w:t>
      </w:r>
      <w:r w:rsidR="00A36E18" w:rsidRPr="001B13F6">
        <w:t>s</w:t>
      </w:r>
      <w:r w:rsidRPr="001B13F6">
        <w:t xml:space="preserve"> and local communities</w:t>
      </w:r>
      <w:r w:rsidR="00A36E18" w:rsidRPr="001B13F6">
        <w:t xml:space="preserve"> have recently been passed by Kenya (the</w:t>
      </w:r>
      <w:r w:rsidR="00A36E18" w:rsidRPr="001B13F6">
        <w:rPr>
          <w:szCs w:val="18"/>
        </w:rPr>
        <w:t xml:space="preserve"> Community Land Act of 2016)</w:t>
      </w:r>
      <w:r w:rsidR="00A36E18" w:rsidRPr="001B13F6">
        <w:t>, Mali (</w:t>
      </w:r>
      <w:r w:rsidR="00A36E18" w:rsidRPr="001B13F6">
        <w:rPr>
          <w:szCs w:val="18"/>
        </w:rPr>
        <w:t xml:space="preserve">Agricultural Land Law of 2017) </w:t>
      </w:r>
      <w:r w:rsidR="00A36E18" w:rsidRPr="001B13F6">
        <w:t>and Zambia (</w:t>
      </w:r>
      <w:r w:rsidR="00A36E18" w:rsidRPr="001B13F6">
        <w:rPr>
          <w:szCs w:val="18"/>
        </w:rPr>
        <w:t>Forest Act</w:t>
      </w:r>
      <w:r w:rsidR="00A36E18" w:rsidRPr="001B13F6">
        <w:t xml:space="preserve"> of 2015)</w:t>
      </w:r>
      <w:r w:rsidRPr="001B13F6">
        <w:t>.</w:t>
      </w:r>
      <w:r w:rsidRPr="001B13F6">
        <w:rPr>
          <w:rStyle w:val="FootnoteReference"/>
        </w:rPr>
        <w:t xml:space="preserve"> </w:t>
      </w:r>
      <w:r w:rsidR="00A36E18" w:rsidRPr="001B13F6">
        <w:t xml:space="preserve">Indigenous peoples and local communities </w:t>
      </w:r>
      <w:r w:rsidRPr="001B13F6">
        <w:t xml:space="preserve">are more likely to invest in </w:t>
      </w:r>
      <w:r w:rsidR="004154AE">
        <w:t xml:space="preserve">the </w:t>
      </w:r>
      <w:r w:rsidRPr="001B13F6">
        <w:t xml:space="preserve">good management of forests, soil and water if they have clear user rights and security against eviction. They are more likely to invest in improving yields on existing land and less likely to extend cultivation into marginal or forest areas. Forests that are legally owned and/or designated for use by </w:t>
      </w:r>
      <w:r w:rsidR="00A36E18" w:rsidRPr="001B13F6">
        <w:t xml:space="preserve">indigenous peoples and local communities </w:t>
      </w:r>
      <w:r w:rsidRPr="001B13F6">
        <w:t>deliver a wide range of ecological and social benefits, including lower rates of deforestation and forest degradation, greater investments in forest restoration and maintenance, improved biodiversity conservation, lower carbon emissions and more carbon storage, reduced conflict, and poverty reduction.</w:t>
      </w:r>
      <w:r w:rsidRPr="001B13F6">
        <w:rPr>
          <w:rStyle w:val="FootnoteReference"/>
        </w:rPr>
        <w:footnoteReference w:id="60"/>
      </w:r>
      <w:r w:rsidRPr="001B13F6">
        <w:t xml:space="preserve"> </w:t>
      </w:r>
    </w:p>
    <w:p w14:paraId="2E78741B" w14:textId="3751E9C1" w:rsidR="00F66FC9" w:rsidRPr="001B13F6" w:rsidRDefault="00F66FC9" w:rsidP="004B5ACB">
      <w:pPr>
        <w:pStyle w:val="SingleTxtG"/>
      </w:pPr>
      <w:r w:rsidRPr="001B13F6">
        <w:t>110.</w:t>
      </w:r>
      <w:r w:rsidRPr="001B13F6">
        <w:tab/>
        <w:t xml:space="preserve">The Maya Biosphere Reserve in Guatemala is one of the world’s most biodiverse areas. To help </w:t>
      </w:r>
      <w:r w:rsidR="00E00665" w:rsidRPr="001B13F6">
        <w:t xml:space="preserve">to </w:t>
      </w:r>
      <w:r w:rsidRPr="001B13F6">
        <w:t>conserve the reserve, the Government ga</w:t>
      </w:r>
      <w:r w:rsidRPr="004B5ACB">
        <w:t>ve</w:t>
      </w:r>
      <w:r w:rsidRPr="001B13F6">
        <w:t xml:space="preserve"> nine local communities land concessions so they can make a sustainable living from the forest. The concessions have generated more than $5</w:t>
      </w:r>
      <w:r w:rsidR="00261FE5" w:rsidRPr="001B13F6">
        <w:t xml:space="preserve"> million</w:t>
      </w:r>
      <w:r w:rsidR="00261FE5" w:rsidRPr="001B13F6" w:rsidDel="00261FE5">
        <w:t xml:space="preserve"> </w:t>
      </w:r>
      <w:r w:rsidRPr="001B13F6">
        <w:t>in annual revenue</w:t>
      </w:r>
      <w:r w:rsidR="00E00665" w:rsidRPr="001B13F6">
        <w:t>,</w:t>
      </w:r>
      <w:r w:rsidRPr="001B13F6">
        <w:t xml:space="preserve"> as well as jobs for local community members. The forest concessions </w:t>
      </w:r>
      <w:r w:rsidR="00E00665" w:rsidRPr="001B13F6">
        <w:t xml:space="preserve">have </w:t>
      </w:r>
      <w:r w:rsidRPr="001B13F6">
        <w:t>had a near-zero deforestation rate for the past 14 years. According to research, there is a positive relationship between socioeconomic progress (income, investments, savings, capitalization of community enterprises</w:t>
      </w:r>
      <w:r w:rsidR="00E00665" w:rsidRPr="001B13F6">
        <w:t xml:space="preserve">, and </w:t>
      </w:r>
      <w:r w:rsidRPr="001B13F6">
        <w:t xml:space="preserve">asset building at </w:t>
      </w:r>
      <w:r w:rsidR="00E00665" w:rsidRPr="001B13F6">
        <w:t xml:space="preserve">the </w:t>
      </w:r>
      <w:r w:rsidRPr="001B13F6">
        <w:t>household and enterprise level</w:t>
      </w:r>
      <w:r w:rsidR="00E00665" w:rsidRPr="001B13F6">
        <w:t>s</w:t>
      </w:r>
      <w:r w:rsidRPr="001B13F6">
        <w:t>) and conservation of the concession areas.</w:t>
      </w:r>
      <w:r w:rsidRPr="001B13F6">
        <w:rPr>
          <w:rStyle w:val="FootnoteReference"/>
        </w:rPr>
        <w:footnoteReference w:id="61"/>
      </w:r>
      <w:r w:rsidRPr="001B13F6">
        <w:rPr>
          <w:rStyle w:val="FootnoteReference"/>
        </w:rPr>
        <w:t xml:space="preserve"> </w:t>
      </w:r>
    </w:p>
    <w:p w14:paraId="673C0575" w14:textId="36730BCC" w:rsidR="00F66FC9" w:rsidRPr="001B13F6" w:rsidRDefault="00F66FC9">
      <w:pPr>
        <w:pStyle w:val="SingleTxtG"/>
      </w:pPr>
      <w:r w:rsidRPr="001B13F6">
        <w:t>111.</w:t>
      </w:r>
      <w:r w:rsidRPr="001B13F6">
        <w:tab/>
      </w:r>
      <w:r w:rsidR="007B36A2" w:rsidRPr="001B13F6">
        <w:t xml:space="preserve">In </w:t>
      </w:r>
      <w:r w:rsidRPr="001B13F6">
        <w:t>Kenya</w:t>
      </w:r>
      <w:r w:rsidR="007B36A2" w:rsidRPr="001B13F6">
        <w:t xml:space="preserve">, the </w:t>
      </w:r>
      <w:r w:rsidRPr="001B13F6">
        <w:t>Green</w:t>
      </w:r>
      <w:r w:rsidR="007B36A2" w:rsidRPr="001B13F6">
        <w:t xml:space="preserve"> B</w:t>
      </w:r>
      <w:r w:rsidRPr="001B13F6">
        <w:t xml:space="preserve">elt </w:t>
      </w:r>
      <w:r w:rsidR="007B36A2" w:rsidRPr="001B13F6">
        <w:t>M</w:t>
      </w:r>
      <w:r w:rsidRPr="001B13F6">
        <w:t xml:space="preserve">ovement, for which Wangari Maathai won a Nobel Peace Prize in 2004, has planted </w:t>
      </w:r>
      <w:r w:rsidR="007B36A2" w:rsidRPr="001B13F6">
        <w:t xml:space="preserve">more than </w:t>
      </w:r>
      <w:r w:rsidRPr="001B13F6">
        <w:t>51 million trees. Th</w:t>
      </w:r>
      <w:r w:rsidR="00EB4FE4" w:rsidRPr="001B13F6">
        <w:t>is</w:t>
      </w:r>
      <w:r w:rsidRPr="001B13F6">
        <w:t xml:space="preserve"> grass</w:t>
      </w:r>
      <w:r w:rsidR="00EB4FE4" w:rsidRPr="001B13F6">
        <w:t>-</w:t>
      </w:r>
      <w:r w:rsidRPr="001B13F6">
        <w:t xml:space="preserve">roots organization sponsors 4,000 tree nurseries that produce </w:t>
      </w:r>
      <w:r w:rsidR="00EB4FE4" w:rsidRPr="001B13F6">
        <w:t xml:space="preserve">more than </w:t>
      </w:r>
      <w:r w:rsidRPr="001B13F6">
        <w:t xml:space="preserve">eight million native seedlings annually. More than 30,000 women received training in forestry, beekeeping, food processing and other trades, enabling them to earn a livelihood while protecting local lands and ecosystems. Similar movements now exist in Uganda, </w:t>
      </w:r>
      <w:r w:rsidR="00EB4FE4" w:rsidRPr="001B13F6">
        <w:t xml:space="preserve">the United Republic of Tanzania </w:t>
      </w:r>
      <w:r w:rsidRPr="001B13F6">
        <w:t xml:space="preserve">and other African </w:t>
      </w:r>
      <w:r w:rsidR="00EB4FE4" w:rsidRPr="001B13F6">
        <w:t>States</w:t>
      </w:r>
      <w:r w:rsidRPr="001B13F6">
        <w:t xml:space="preserve">. </w:t>
      </w:r>
    </w:p>
    <w:p w14:paraId="04AA5A76" w14:textId="33A426EC" w:rsidR="00F66FC9" w:rsidRPr="001B13F6" w:rsidRDefault="00F66FC9">
      <w:pPr>
        <w:pStyle w:val="SingleTxtG"/>
      </w:pPr>
      <w:r w:rsidRPr="001B13F6">
        <w:t>112.</w:t>
      </w:r>
      <w:r w:rsidRPr="001B13F6">
        <w:tab/>
        <w:t>Mauritius has established community-based program</w:t>
      </w:r>
      <w:r w:rsidR="00EB4FE4" w:rsidRPr="001B13F6">
        <w:t>me</w:t>
      </w:r>
      <w:r w:rsidRPr="001B13F6">
        <w:t xml:space="preserve">s </w:t>
      </w:r>
      <w:r w:rsidR="00EB4FE4" w:rsidRPr="001B13F6">
        <w:t>aimed at</w:t>
      </w:r>
      <w:r w:rsidRPr="001B13F6">
        <w:t xml:space="preserve"> restor</w:t>
      </w:r>
      <w:r w:rsidR="00EB4FE4" w:rsidRPr="001B13F6">
        <w:t>ing</w:t>
      </w:r>
      <w:r w:rsidRPr="001B13F6">
        <w:t xml:space="preserve"> important ecosystems</w:t>
      </w:r>
      <w:r w:rsidR="00EB4FE4" w:rsidRPr="001B13F6">
        <w:t>,</w:t>
      </w:r>
      <w:r w:rsidRPr="001B13F6">
        <w:t xml:space="preserve"> including coral reefs and mangrove forests. At least five vulnerable coastal communities </w:t>
      </w:r>
      <w:r w:rsidR="00EB4FE4" w:rsidRPr="001B13F6">
        <w:t xml:space="preserve">have </w:t>
      </w:r>
      <w:r w:rsidRPr="001B13F6">
        <w:t>participated in training program</w:t>
      </w:r>
      <w:r w:rsidR="00EB4FE4" w:rsidRPr="001B13F6">
        <w:t>me</w:t>
      </w:r>
      <w:r w:rsidRPr="001B13F6">
        <w:t xml:space="preserve">s and created coral nurseries. </w:t>
      </w:r>
      <w:r w:rsidRPr="001B13F6">
        <w:rPr>
          <w:rFonts w:eastAsiaTheme="minorEastAsia"/>
        </w:rPr>
        <w:t xml:space="preserve">Mangrove forests in Mauritius </w:t>
      </w:r>
      <w:r w:rsidR="00EB4FE4" w:rsidRPr="001B13F6">
        <w:rPr>
          <w:rFonts w:eastAsiaTheme="minorEastAsia"/>
        </w:rPr>
        <w:t xml:space="preserve">that have been </w:t>
      </w:r>
      <w:r w:rsidRPr="001B13F6">
        <w:rPr>
          <w:rFonts w:eastAsiaTheme="minorEastAsia"/>
        </w:rPr>
        <w:t>rehabilitated are now protected by the Fish</w:t>
      </w:r>
      <w:r w:rsidR="006057E6" w:rsidRPr="001B13F6">
        <w:rPr>
          <w:rFonts w:eastAsiaTheme="minorEastAsia"/>
        </w:rPr>
        <w:t>eries and Marine Resources Act.</w:t>
      </w:r>
    </w:p>
    <w:p w14:paraId="165D0523" w14:textId="039F6384" w:rsidR="00F66FC9" w:rsidRPr="001B13F6" w:rsidRDefault="00EB64CB" w:rsidP="00463874">
      <w:pPr>
        <w:pStyle w:val="HChG"/>
        <w:spacing w:line="240" w:lineRule="atLeast"/>
      </w:pPr>
      <w:r w:rsidRPr="001B13F6">
        <w:tab/>
        <w:t>IV.</w:t>
      </w:r>
      <w:r w:rsidRPr="001B13F6">
        <w:tab/>
      </w:r>
      <w:r w:rsidR="00F66FC9" w:rsidRPr="001B13F6">
        <w:t>Conclusion</w:t>
      </w:r>
      <w:r w:rsidR="00793C4D" w:rsidRPr="001B13F6">
        <w:t>s</w:t>
      </w:r>
      <w:r w:rsidR="00F66FC9" w:rsidRPr="001B13F6">
        <w:t xml:space="preserve"> </w:t>
      </w:r>
    </w:p>
    <w:p w14:paraId="099ABFE6" w14:textId="142921DE" w:rsidR="00F66FC9" w:rsidRPr="001B13F6" w:rsidRDefault="00F66FC9">
      <w:pPr>
        <w:pStyle w:val="SingleTxtG"/>
      </w:pPr>
      <w:r w:rsidRPr="001B13F6">
        <w:t>113.</w:t>
      </w:r>
      <w:r w:rsidRPr="001B13F6">
        <w:tab/>
      </w:r>
      <w:r w:rsidR="00EB4FE4" w:rsidRPr="00463874">
        <w:rPr>
          <w:b/>
        </w:rPr>
        <w:t>In the present</w:t>
      </w:r>
      <w:r w:rsidR="00EB4FE4" w:rsidRPr="001B13F6">
        <w:t xml:space="preserve"> </w:t>
      </w:r>
      <w:r w:rsidRPr="001B13F6">
        <w:rPr>
          <w:b/>
        </w:rPr>
        <w:t>report</w:t>
      </w:r>
      <w:r w:rsidR="00EB4FE4" w:rsidRPr="001B13F6">
        <w:rPr>
          <w:b/>
        </w:rPr>
        <w:t>, the Special Rapporteur has</w:t>
      </w:r>
      <w:r w:rsidRPr="001B13F6">
        <w:rPr>
          <w:b/>
        </w:rPr>
        <w:t xml:space="preserve"> summarize</w:t>
      </w:r>
      <w:r w:rsidR="00EB4FE4" w:rsidRPr="001B13F6">
        <w:rPr>
          <w:b/>
        </w:rPr>
        <w:t>d</w:t>
      </w:r>
      <w:r w:rsidRPr="001B13F6">
        <w:rPr>
          <w:b/>
        </w:rPr>
        <w:t xml:space="preserve"> </w:t>
      </w:r>
      <w:r w:rsidR="00C73A1A">
        <w:rPr>
          <w:b/>
        </w:rPr>
        <w:t>many</w:t>
      </w:r>
      <w:r w:rsidRPr="001B13F6">
        <w:rPr>
          <w:b/>
        </w:rPr>
        <w:t xml:space="preserve"> good practices in implementing the human right to a safe, clean, healthy and sustainable environment, drawn from more than 1</w:t>
      </w:r>
      <w:r w:rsidR="00026BDF" w:rsidRPr="001B13F6">
        <w:rPr>
          <w:b/>
        </w:rPr>
        <w:t>75</w:t>
      </w:r>
      <w:r w:rsidRPr="001B13F6">
        <w:rPr>
          <w:b/>
        </w:rPr>
        <w:t xml:space="preserve"> States.</w:t>
      </w:r>
      <w:r w:rsidR="00854783" w:rsidRPr="00463874">
        <w:rPr>
          <w:rStyle w:val="FootnoteReference"/>
        </w:rPr>
        <w:footnoteReference w:id="62"/>
      </w:r>
      <w:r w:rsidRPr="001B13F6">
        <w:rPr>
          <w:b/>
        </w:rPr>
        <w:t xml:space="preserve"> </w:t>
      </w:r>
      <w:r w:rsidR="00F14E51" w:rsidRPr="001B13F6">
        <w:rPr>
          <w:b/>
        </w:rPr>
        <w:t>A</w:t>
      </w:r>
      <w:r w:rsidRPr="001B13F6">
        <w:rPr>
          <w:b/>
        </w:rPr>
        <w:t xml:space="preserve"> </w:t>
      </w:r>
      <w:r w:rsidR="00854783">
        <w:rPr>
          <w:b/>
        </w:rPr>
        <w:t>remarkably</w:t>
      </w:r>
      <w:r w:rsidR="00854783" w:rsidRPr="001B13F6">
        <w:rPr>
          <w:b/>
        </w:rPr>
        <w:t xml:space="preserve"> </w:t>
      </w:r>
      <w:r w:rsidRPr="001B13F6">
        <w:rPr>
          <w:b/>
        </w:rPr>
        <w:t>divers</w:t>
      </w:r>
      <w:r w:rsidR="00854783">
        <w:rPr>
          <w:b/>
        </w:rPr>
        <w:t>e array</w:t>
      </w:r>
      <w:r w:rsidRPr="001B13F6">
        <w:rPr>
          <w:b/>
        </w:rPr>
        <w:t xml:space="preserve"> of actions can deliver on the imperatives of cleaner air, improved access to safe water</w:t>
      </w:r>
      <w:r w:rsidR="00EB4FE4" w:rsidRPr="001B13F6">
        <w:rPr>
          <w:b/>
        </w:rPr>
        <w:t xml:space="preserve"> and</w:t>
      </w:r>
      <w:r w:rsidRPr="001B13F6">
        <w:rPr>
          <w:b/>
        </w:rPr>
        <w:t xml:space="preserve"> adequate sanitation, and sustainably produced food, healthy environments and a safe climate. This is true even in difficult circumstances, such as in States or communities plagued by poverty, conflict or natural disasters. The most important beneficiaries of the good practices highlighted in </w:t>
      </w:r>
      <w:r w:rsidR="00EB4FE4" w:rsidRPr="001B13F6">
        <w:rPr>
          <w:b/>
        </w:rPr>
        <w:t xml:space="preserve">the </w:t>
      </w:r>
      <w:r w:rsidRPr="001B13F6">
        <w:rPr>
          <w:b/>
        </w:rPr>
        <w:t>report are the individuals and communities who are most vulnerable to the adverse effects of environmental harm and who lack access to basic environmental services.</w:t>
      </w:r>
    </w:p>
    <w:p w14:paraId="10C0862B" w14:textId="3DD29759" w:rsidR="00F66FC9" w:rsidRPr="001B13F6" w:rsidRDefault="00F66FC9">
      <w:pPr>
        <w:pStyle w:val="SingleTxtG"/>
      </w:pPr>
      <w:r w:rsidRPr="001B13F6">
        <w:t>114.</w:t>
      </w:r>
      <w:r w:rsidRPr="001B13F6">
        <w:tab/>
      </w:r>
      <w:r w:rsidRPr="001B13F6">
        <w:rPr>
          <w:b/>
        </w:rPr>
        <w:t xml:space="preserve">Protecting the environment contributes to the </w:t>
      </w:r>
      <w:r w:rsidR="00F14E51" w:rsidRPr="001B13F6">
        <w:rPr>
          <w:b/>
        </w:rPr>
        <w:t>fulfilment</w:t>
      </w:r>
      <w:r w:rsidRPr="001B13F6">
        <w:rPr>
          <w:b/>
        </w:rPr>
        <w:t xml:space="preserve"> of human rights, and protecting human rights contributes to safeguarding the environment. While in some States some aspects of the right to a safe, clean, healthy and sustainable environment are subject to progressive realization, all States must dedicate the maximum available resources to comply with their human rights obligations in addressing environmental challenges.</w:t>
      </w:r>
      <w:r w:rsidRPr="001B13F6">
        <w:t xml:space="preserve"> </w:t>
      </w:r>
    </w:p>
    <w:p w14:paraId="44E7C828" w14:textId="489C12E5" w:rsidR="00F66FC9" w:rsidRPr="001B13F6" w:rsidRDefault="00F66FC9">
      <w:pPr>
        <w:pStyle w:val="SingleTxtG"/>
      </w:pPr>
      <w:r w:rsidRPr="001B13F6">
        <w:t>115.</w:t>
      </w:r>
      <w:r w:rsidRPr="001B13F6">
        <w:tab/>
      </w:r>
      <w:r w:rsidRPr="001B13F6">
        <w:rPr>
          <w:b/>
        </w:rPr>
        <w:t xml:space="preserve">The Special Rapporteur hopes that these concrete examples of good practices will inspire States to accelerate their efforts to recognize, respect, protect and </w:t>
      </w:r>
      <w:r w:rsidR="00D50B7D" w:rsidRPr="001B13F6">
        <w:rPr>
          <w:b/>
        </w:rPr>
        <w:t>fulfil</w:t>
      </w:r>
      <w:r w:rsidRPr="001B13F6">
        <w:rPr>
          <w:b/>
        </w:rPr>
        <w:t xml:space="preserve"> the right to a safe, clean, healthy and sustainable environment. The adoption of a resolution recognizing the right to a safe, clean, healthy and sustainable environment would be a positive catalyst to accelerate efforts to ensure the enjoyment of this right. Indeed, this </w:t>
      </w:r>
      <w:r w:rsidR="00EB4FE4" w:rsidRPr="001B13F6">
        <w:rPr>
          <w:b/>
        </w:rPr>
        <w:t xml:space="preserve">was </w:t>
      </w:r>
      <w:r w:rsidRPr="001B13F6">
        <w:rPr>
          <w:b/>
        </w:rPr>
        <w:t xml:space="preserve">precisely </w:t>
      </w:r>
      <w:r w:rsidR="00EB4FE4" w:rsidRPr="001B13F6">
        <w:rPr>
          <w:b/>
        </w:rPr>
        <w:t>the effect witnessed</w:t>
      </w:r>
      <w:r w:rsidRPr="001B13F6">
        <w:rPr>
          <w:b/>
        </w:rPr>
        <w:t xml:space="preserve"> in many States following the </w:t>
      </w:r>
      <w:r w:rsidR="00EB4FE4" w:rsidRPr="001B13F6">
        <w:rPr>
          <w:b/>
        </w:rPr>
        <w:t xml:space="preserve">adoption by the </w:t>
      </w:r>
      <w:r w:rsidRPr="001B13F6">
        <w:rPr>
          <w:b/>
        </w:rPr>
        <w:t xml:space="preserve">General Assembly </w:t>
      </w:r>
      <w:r w:rsidR="00EB4FE4" w:rsidRPr="001B13F6">
        <w:rPr>
          <w:b/>
        </w:rPr>
        <w:t xml:space="preserve">of its resolution </w:t>
      </w:r>
      <w:r w:rsidRPr="001B13F6">
        <w:rPr>
          <w:b/>
        </w:rPr>
        <w:t xml:space="preserve">64/292 and </w:t>
      </w:r>
      <w:r w:rsidR="00EB4FE4" w:rsidRPr="001B13F6">
        <w:rPr>
          <w:b/>
        </w:rPr>
        <w:t xml:space="preserve">by the </w:t>
      </w:r>
      <w:r w:rsidRPr="001B13F6">
        <w:rPr>
          <w:b/>
        </w:rPr>
        <w:t xml:space="preserve">Human Rights Council </w:t>
      </w:r>
      <w:r w:rsidR="00EB4FE4" w:rsidRPr="001B13F6">
        <w:rPr>
          <w:b/>
        </w:rPr>
        <w:t xml:space="preserve">of its resolution </w:t>
      </w:r>
      <w:r w:rsidRPr="001B13F6">
        <w:rPr>
          <w:b/>
        </w:rPr>
        <w:t xml:space="preserve">15/9 on the rights to water and sanitation in 2010. A rights-based approach is not only helpful but </w:t>
      </w:r>
      <w:r w:rsidR="00EB4FE4" w:rsidRPr="001B13F6">
        <w:rPr>
          <w:b/>
        </w:rPr>
        <w:t xml:space="preserve">even </w:t>
      </w:r>
      <w:r w:rsidRPr="001B13F6">
        <w:rPr>
          <w:b/>
        </w:rPr>
        <w:t>essential to stimulating the many urgent actions needed to achieve the Sustainable Development Goals</w:t>
      </w:r>
      <w:r w:rsidR="00EB4FE4" w:rsidRPr="001B13F6">
        <w:rPr>
          <w:b/>
        </w:rPr>
        <w:t xml:space="preserve"> as outlined in the 2030 Agenda for Sustainable Development</w:t>
      </w:r>
      <w:r w:rsidRPr="001B13F6">
        <w:rPr>
          <w:b/>
        </w:rPr>
        <w:t>.</w:t>
      </w:r>
    </w:p>
    <w:p w14:paraId="1383BCB1" w14:textId="3AB944FC" w:rsidR="0074690D" w:rsidRPr="001B13F6" w:rsidRDefault="00F66FC9" w:rsidP="00463874">
      <w:pPr>
        <w:pStyle w:val="SingleTxtG"/>
      </w:pPr>
      <w:r w:rsidRPr="001B13F6">
        <w:t>116.</w:t>
      </w:r>
      <w:r w:rsidRPr="001B13F6">
        <w:tab/>
      </w:r>
      <w:r w:rsidRPr="001B13F6">
        <w:rPr>
          <w:b/>
        </w:rPr>
        <w:t xml:space="preserve">Ultimately, however, it must be emphasized that humanity faces a daunting and unprecedented global environmental crisis of </w:t>
      </w:r>
      <w:r w:rsidR="00EB4FE4" w:rsidRPr="001B13F6">
        <w:rPr>
          <w:b/>
        </w:rPr>
        <w:t xml:space="preserve">its </w:t>
      </w:r>
      <w:r w:rsidRPr="001B13F6">
        <w:rPr>
          <w:b/>
        </w:rPr>
        <w:t>own making. Despite the many good practices, they are not nearly enough. There is much, much more work to be done to transform today’s unjust and unsustainable society into an ecological civilization where human rights are universally respected, protected and fulfilled.</w:t>
      </w:r>
      <w:r w:rsidRPr="001B13F6">
        <w:t xml:space="preserve"> </w:t>
      </w:r>
      <w:r w:rsidR="0074690D" w:rsidRPr="001B13F6">
        <w:br w:type="page"/>
      </w:r>
    </w:p>
    <w:p w14:paraId="4867085D" w14:textId="131815FD" w:rsidR="0074690D" w:rsidRPr="001B13F6" w:rsidRDefault="0074690D" w:rsidP="0074690D">
      <w:pPr>
        <w:pStyle w:val="HChG"/>
      </w:pPr>
      <w:r w:rsidRPr="001B13F6">
        <w:t>Annex I</w:t>
      </w:r>
    </w:p>
    <w:p w14:paraId="35B64A4C" w14:textId="59D85D8E" w:rsidR="0074690D" w:rsidRPr="001B13F6" w:rsidRDefault="0074690D" w:rsidP="0074690D">
      <w:pPr>
        <w:pStyle w:val="HChG"/>
      </w:pPr>
      <w:r w:rsidRPr="00463874">
        <w:tab/>
      </w:r>
      <w:r w:rsidRPr="00463874">
        <w:tab/>
        <w:t>Contributors to the global online researchathon</w:t>
      </w:r>
    </w:p>
    <w:p w14:paraId="011B02C9" w14:textId="7DBC80D3" w:rsidR="0074690D" w:rsidRPr="00463874" w:rsidRDefault="00835CA0" w:rsidP="00F43EE5">
      <w:pPr>
        <w:pStyle w:val="SingleTxtG"/>
      </w:pPr>
      <w:r w:rsidRPr="00463874">
        <w:tab/>
        <w:t>The Special Rapporteur thanks the following contributors to the global online researchathon on good practices related to the implementation of a safe, clean, healthy and sustainable environment:</w:t>
      </w:r>
    </w:p>
    <w:p w14:paraId="2BB8DBA8" w14:textId="77777777" w:rsidR="00835CA0" w:rsidRPr="001B13F6" w:rsidRDefault="00835CA0" w:rsidP="00835CA0">
      <w:pPr>
        <w:pStyle w:val="SingleTxtG"/>
        <w:spacing w:after="0" w:line="240" w:lineRule="auto"/>
      </w:pPr>
      <w:r w:rsidRPr="001B13F6">
        <w:t>Adam Cassady</w:t>
      </w:r>
    </w:p>
    <w:p w14:paraId="6DCF8216" w14:textId="77777777" w:rsidR="00835CA0" w:rsidRPr="001B13F6" w:rsidRDefault="00835CA0" w:rsidP="00835CA0">
      <w:pPr>
        <w:pStyle w:val="SingleTxtG"/>
        <w:spacing w:after="0" w:line="240" w:lineRule="auto"/>
      </w:pPr>
      <w:r w:rsidRPr="001B13F6">
        <w:t>Adriana Giunta</w:t>
      </w:r>
    </w:p>
    <w:p w14:paraId="4CBE7FD3" w14:textId="77777777" w:rsidR="00835CA0" w:rsidRPr="001B13F6" w:rsidRDefault="00835CA0" w:rsidP="00835CA0">
      <w:pPr>
        <w:pStyle w:val="SingleTxtG"/>
        <w:spacing w:after="0" w:line="240" w:lineRule="auto"/>
      </w:pPr>
      <w:r w:rsidRPr="001B13F6">
        <w:t>Alexandra Wenzel</w:t>
      </w:r>
    </w:p>
    <w:p w14:paraId="433AA8FB" w14:textId="77777777" w:rsidR="00835CA0" w:rsidRPr="001B13F6" w:rsidRDefault="00835CA0" w:rsidP="00835CA0">
      <w:pPr>
        <w:pStyle w:val="SingleTxtG"/>
        <w:spacing w:after="0" w:line="240" w:lineRule="auto"/>
        <w:rPr>
          <w:iCs/>
          <w:lang w:eastAsia="en-GB"/>
        </w:rPr>
      </w:pPr>
      <w:r w:rsidRPr="001B13F6">
        <w:rPr>
          <w:iCs/>
          <w:lang w:eastAsia="en-GB"/>
        </w:rPr>
        <w:t>Alex Pan</w:t>
      </w:r>
    </w:p>
    <w:p w14:paraId="3C716B2B" w14:textId="77777777" w:rsidR="00835CA0" w:rsidRPr="001B13F6" w:rsidRDefault="00835CA0" w:rsidP="00835CA0">
      <w:pPr>
        <w:pStyle w:val="SingleTxtG"/>
        <w:spacing w:after="0" w:line="240" w:lineRule="auto"/>
      </w:pPr>
      <w:r w:rsidRPr="001B13F6">
        <w:t>Alfred Brownell</w:t>
      </w:r>
    </w:p>
    <w:p w14:paraId="66291D1F" w14:textId="77777777" w:rsidR="00835CA0" w:rsidRPr="001B13F6" w:rsidRDefault="00835CA0" w:rsidP="00835CA0">
      <w:pPr>
        <w:pStyle w:val="SingleTxtG"/>
        <w:spacing w:after="0" w:line="240" w:lineRule="auto"/>
      </w:pPr>
      <w:r w:rsidRPr="001B13F6">
        <w:t>Allison McMahon</w:t>
      </w:r>
    </w:p>
    <w:p w14:paraId="524F198F" w14:textId="77777777" w:rsidR="00835CA0" w:rsidRPr="001B13F6" w:rsidRDefault="00835CA0" w:rsidP="00835CA0">
      <w:pPr>
        <w:pStyle w:val="SingleTxtG"/>
        <w:spacing w:after="0" w:line="240" w:lineRule="auto"/>
      </w:pPr>
      <w:r w:rsidRPr="001B13F6">
        <w:t xml:space="preserve">Amy Auguston </w:t>
      </w:r>
    </w:p>
    <w:p w14:paraId="3F9460FC" w14:textId="77777777" w:rsidR="00835CA0" w:rsidRPr="001B13F6" w:rsidRDefault="00835CA0" w:rsidP="00835CA0">
      <w:pPr>
        <w:pStyle w:val="SingleTxtG"/>
        <w:spacing w:after="0" w:line="240" w:lineRule="auto"/>
      </w:pPr>
      <w:r w:rsidRPr="001B13F6">
        <w:t>Andy White</w:t>
      </w:r>
    </w:p>
    <w:p w14:paraId="3A597BD0" w14:textId="77777777" w:rsidR="00835CA0" w:rsidRPr="001B13F6" w:rsidRDefault="00835CA0" w:rsidP="00835CA0">
      <w:pPr>
        <w:pStyle w:val="SingleTxtG"/>
        <w:spacing w:after="0" w:line="240" w:lineRule="auto"/>
      </w:pPr>
      <w:r w:rsidRPr="001B13F6">
        <w:t>Anita Tran</w:t>
      </w:r>
    </w:p>
    <w:p w14:paraId="15EFB35B" w14:textId="77777777" w:rsidR="00835CA0" w:rsidRPr="001B13F6" w:rsidRDefault="00835CA0" w:rsidP="00835CA0">
      <w:pPr>
        <w:pStyle w:val="SingleTxtG"/>
        <w:spacing w:after="0" w:line="240" w:lineRule="auto"/>
        <w:rPr>
          <w:iCs/>
          <w:lang w:eastAsia="en-GB"/>
        </w:rPr>
      </w:pPr>
      <w:r w:rsidRPr="001B13F6">
        <w:rPr>
          <w:iCs/>
          <w:lang w:eastAsia="en-GB"/>
        </w:rPr>
        <w:t>Annabel Anderson</w:t>
      </w:r>
    </w:p>
    <w:p w14:paraId="27C066E7" w14:textId="77777777" w:rsidR="00835CA0" w:rsidRPr="001B13F6" w:rsidRDefault="00835CA0" w:rsidP="00835CA0">
      <w:pPr>
        <w:pStyle w:val="SingleTxtG"/>
        <w:spacing w:after="0" w:line="240" w:lineRule="auto"/>
        <w:rPr>
          <w:iCs/>
          <w:lang w:eastAsia="en-GB"/>
        </w:rPr>
      </w:pPr>
      <w:r w:rsidRPr="001B13F6">
        <w:rPr>
          <w:iCs/>
          <w:lang w:eastAsia="en-GB"/>
        </w:rPr>
        <w:t xml:space="preserve">Annie Renouf </w:t>
      </w:r>
    </w:p>
    <w:p w14:paraId="1B387247" w14:textId="77777777" w:rsidR="00835CA0" w:rsidRPr="001B13F6" w:rsidRDefault="00835CA0" w:rsidP="00835CA0">
      <w:pPr>
        <w:pStyle w:val="SingleTxtG"/>
        <w:spacing w:after="0" w:line="240" w:lineRule="auto"/>
      </w:pPr>
      <w:r w:rsidRPr="001B13F6">
        <w:t>Anonymous</w:t>
      </w:r>
    </w:p>
    <w:p w14:paraId="5F84D6C6" w14:textId="77777777" w:rsidR="00835CA0" w:rsidRPr="001B13F6" w:rsidRDefault="00835CA0" w:rsidP="00835CA0">
      <w:pPr>
        <w:pStyle w:val="SingleTxtG"/>
        <w:spacing w:after="0" w:line="240" w:lineRule="auto"/>
      </w:pPr>
      <w:r w:rsidRPr="001B13F6">
        <w:t>Anton Strukoff</w:t>
      </w:r>
    </w:p>
    <w:p w14:paraId="063040A0" w14:textId="77777777" w:rsidR="00835CA0" w:rsidRPr="001B13F6" w:rsidRDefault="00835CA0" w:rsidP="00835CA0">
      <w:pPr>
        <w:pStyle w:val="SingleTxtG"/>
        <w:spacing w:after="0" w:line="240" w:lineRule="auto"/>
      </w:pPr>
      <w:r w:rsidRPr="001B13F6">
        <w:t>Arif Nahumbang</w:t>
      </w:r>
    </w:p>
    <w:p w14:paraId="042BF3AD" w14:textId="77777777" w:rsidR="00835CA0" w:rsidRPr="001B13F6" w:rsidRDefault="00835CA0" w:rsidP="00835CA0">
      <w:pPr>
        <w:pStyle w:val="SingleTxtG"/>
        <w:spacing w:after="0" w:line="240" w:lineRule="auto"/>
      </w:pPr>
      <w:r w:rsidRPr="001B13F6">
        <w:t>Bach Dinh Dang</w:t>
      </w:r>
    </w:p>
    <w:p w14:paraId="252FD425" w14:textId="77777777" w:rsidR="00835CA0" w:rsidRPr="001B13F6" w:rsidRDefault="00835CA0" w:rsidP="00835CA0">
      <w:pPr>
        <w:pStyle w:val="SingleTxtG"/>
        <w:spacing w:after="0" w:line="240" w:lineRule="auto"/>
      </w:pPr>
      <w:r w:rsidRPr="001B13F6">
        <w:rPr>
          <w:shd w:val="clear" w:color="auto" w:fill="FFFFFF"/>
        </w:rPr>
        <w:t>Balsher Singh Sidhu</w:t>
      </w:r>
    </w:p>
    <w:p w14:paraId="36EA4DEF" w14:textId="77777777" w:rsidR="00835CA0" w:rsidRPr="001B13F6" w:rsidRDefault="00835CA0" w:rsidP="00835CA0">
      <w:pPr>
        <w:pStyle w:val="SingleTxtG"/>
        <w:spacing w:after="0" w:line="240" w:lineRule="auto"/>
      </w:pPr>
      <w:r w:rsidRPr="001B13F6">
        <w:t>Bassam Javed</w:t>
      </w:r>
    </w:p>
    <w:p w14:paraId="55BC9008" w14:textId="77777777" w:rsidR="00835CA0" w:rsidRPr="001B13F6" w:rsidRDefault="00835CA0" w:rsidP="00835CA0">
      <w:pPr>
        <w:pStyle w:val="SingleTxtG"/>
        <w:spacing w:after="0" w:line="240" w:lineRule="auto"/>
        <w:rPr>
          <w:iCs/>
          <w:lang w:eastAsia="en-GB"/>
        </w:rPr>
      </w:pPr>
      <w:r w:rsidRPr="001B13F6">
        <w:rPr>
          <w:iCs/>
          <w:lang w:eastAsia="en-GB"/>
        </w:rPr>
        <w:t>Bell Knowles</w:t>
      </w:r>
    </w:p>
    <w:p w14:paraId="3DEE6450" w14:textId="77777777" w:rsidR="00835CA0" w:rsidRPr="00DE454E" w:rsidRDefault="00835CA0" w:rsidP="00835CA0">
      <w:pPr>
        <w:pStyle w:val="SingleTxtG"/>
        <w:spacing w:after="0" w:line="240" w:lineRule="auto"/>
        <w:rPr>
          <w:lang w:val="es-ES"/>
        </w:rPr>
      </w:pPr>
      <w:r w:rsidRPr="00DE454E">
        <w:rPr>
          <w:lang w:val="es-ES"/>
        </w:rPr>
        <w:t>Brayden Pelham</w:t>
      </w:r>
    </w:p>
    <w:p w14:paraId="7D8B2FFE" w14:textId="77777777" w:rsidR="00835CA0" w:rsidRPr="00DE454E" w:rsidRDefault="00835CA0" w:rsidP="00835CA0">
      <w:pPr>
        <w:pStyle w:val="SingleTxtG"/>
        <w:spacing w:after="0" w:line="240" w:lineRule="auto"/>
        <w:rPr>
          <w:lang w:val="es-ES"/>
        </w:rPr>
      </w:pPr>
      <w:r w:rsidRPr="00DE454E">
        <w:rPr>
          <w:shd w:val="clear" w:color="auto" w:fill="FFFFFF"/>
          <w:lang w:val="es-ES"/>
        </w:rPr>
        <w:t>Calder Tsuyuki-Tomlinson</w:t>
      </w:r>
    </w:p>
    <w:p w14:paraId="5FBD28CB" w14:textId="77777777" w:rsidR="00835CA0" w:rsidRPr="00DE454E" w:rsidRDefault="00835CA0" w:rsidP="00835CA0">
      <w:pPr>
        <w:pStyle w:val="SingleTxtG"/>
        <w:spacing w:after="0" w:line="240" w:lineRule="auto"/>
        <w:rPr>
          <w:lang w:val="es-ES"/>
        </w:rPr>
      </w:pPr>
      <w:r w:rsidRPr="00DE454E">
        <w:rPr>
          <w:lang w:val="es-ES"/>
        </w:rPr>
        <w:t>Candice Kong (Xiaowen)</w:t>
      </w:r>
    </w:p>
    <w:p w14:paraId="76D2E7F5" w14:textId="77777777" w:rsidR="00835CA0" w:rsidRPr="00DE454E" w:rsidRDefault="00835CA0" w:rsidP="00835CA0">
      <w:pPr>
        <w:pStyle w:val="SingleTxtG"/>
        <w:spacing w:after="0" w:line="240" w:lineRule="auto"/>
        <w:rPr>
          <w:lang w:val="es-ES"/>
        </w:rPr>
      </w:pPr>
      <w:r w:rsidRPr="00DE454E">
        <w:rPr>
          <w:lang w:val="es-ES"/>
        </w:rPr>
        <w:t>Carlos Camacho</w:t>
      </w:r>
    </w:p>
    <w:p w14:paraId="141997A5" w14:textId="77777777" w:rsidR="00835CA0" w:rsidRPr="001B13F6" w:rsidRDefault="00835CA0" w:rsidP="00835CA0">
      <w:pPr>
        <w:pStyle w:val="SingleTxtG"/>
        <w:spacing w:after="0" w:line="240" w:lineRule="auto"/>
      </w:pPr>
      <w:r w:rsidRPr="001B13F6">
        <w:t>Christine Ramos</w:t>
      </w:r>
    </w:p>
    <w:p w14:paraId="34DB4F50" w14:textId="77777777" w:rsidR="00835CA0" w:rsidRPr="001B13F6" w:rsidRDefault="00835CA0" w:rsidP="00835CA0">
      <w:pPr>
        <w:pStyle w:val="SingleTxtG"/>
        <w:spacing w:after="0" w:line="240" w:lineRule="auto"/>
      </w:pPr>
      <w:r w:rsidRPr="001B13F6">
        <w:t>Claudia Ituarte-Lima</w:t>
      </w:r>
    </w:p>
    <w:p w14:paraId="5C7E76A5" w14:textId="77777777" w:rsidR="00835CA0" w:rsidRPr="001B13F6" w:rsidRDefault="00835CA0" w:rsidP="00835CA0">
      <w:pPr>
        <w:pStyle w:val="SingleTxtG"/>
        <w:spacing w:after="0" w:line="240" w:lineRule="auto"/>
      </w:pPr>
      <w:r w:rsidRPr="001B13F6">
        <w:rPr>
          <w:shd w:val="clear" w:color="auto" w:fill="FFFFFF"/>
        </w:rPr>
        <w:t>Claudia Kobetitch</w:t>
      </w:r>
    </w:p>
    <w:p w14:paraId="7A9A75D3" w14:textId="77777777" w:rsidR="00835CA0" w:rsidRPr="001B13F6" w:rsidRDefault="00835CA0" w:rsidP="00835CA0">
      <w:pPr>
        <w:pStyle w:val="SingleTxtG"/>
        <w:spacing w:after="0" w:line="240" w:lineRule="auto"/>
      </w:pPr>
      <w:r w:rsidRPr="001B13F6">
        <w:t>Commission on Human Rights, Philippines</w:t>
      </w:r>
    </w:p>
    <w:p w14:paraId="5F0E30C5" w14:textId="77777777" w:rsidR="00686344" w:rsidRPr="001B13F6" w:rsidRDefault="00686344" w:rsidP="00686344">
      <w:pPr>
        <w:pStyle w:val="SingleTxtG"/>
        <w:spacing w:after="0" w:line="240" w:lineRule="auto"/>
      </w:pPr>
      <w:r w:rsidRPr="001B13F6">
        <w:t xml:space="preserve">Dany Channraksmeychhoukroth </w:t>
      </w:r>
    </w:p>
    <w:p w14:paraId="12A71059" w14:textId="77777777" w:rsidR="00835CA0" w:rsidRPr="001B13F6" w:rsidRDefault="00835CA0" w:rsidP="00835CA0">
      <w:pPr>
        <w:pStyle w:val="SingleTxtG"/>
        <w:spacing w:after="0" w:line="240" w:lineRule="auto"/>
      </w:pPr>
      <w:r w:rsidRPr="001B13F6">
        <w:t>David Hunter</w:t>
      </w:r>
    </w:p>
    <w:p w14:paraId="2E2AE101" w14:textId="77777777" w:rsidR="00835CA0" w:rsidRPr="001B13F6" w:rsidRDefault="00835CA0" w:rsidP="00835CA0">
      <w:pPr>
        <w:pStyle w:val="SingleTxtG"/>
        <w:spacing w:after="0" w:line="240" w:lineRule="auto"/>
      </w:pPr>
      <w:r w:rsidRPr="001B13F6">
        <w:t>Denby McDonnell</w:t>
      </w:r>
    </w:p>
    <w:p w14:paraId="3E069F75" w14:textId="77777777" w:rsidR="00835CA0" w:rsidRPr="001B13F6" w:rsidRDefault="00835CA0" w:rsidP="00835CA0">
      <w:pPr>
        <w:pStyle w:val="SingleTxtG"/>
        <w:spacing w:after="0" w:line="240" w:lineRule="auto"/>
      </w:pPr>
      <w:r w:rsidRPr="001B13F6">
        <w:t>Dylan Bell</w:t>
      </w:r>
    </w:p>
    <w:p w14:paraId="1F2018E8" w14:textId="77777777" w:rsidR="00835CA0" w:rsidRPr="001B13F6" w:rsidRDefault="00835CA0" w:rsidP="00835CA0">
      <w:pPr>
        <w:pStyle w:val="SingleTxtG"/>
        <w:spacing w:after="0" w:line="240" w:lineRule="auto"/>
      </w:pPr>
      <w:r w:rsidRPr="001B13F6">
        <w:t>Dylan Thomason</w:t>
      </w:r>
    </w:p>
    <w:p w14:paraId="2D68481C" w14:textId="77777777" w:rsidR="00835CA0" w:rsidRPr="001B13F6" w:rsidRDefault="00835CA0" w:rsidP="00835CA0">
      <w:pPr>
        <w:pStyle w:val="SingleTxtG"/>
        <w:spacing w:after="0" w:line="240" w:lineRule="auto"/>
      </w:pPr>
      <w:r w:rsidRPr="001B13F6">
        <w:rPr>
          <w:shd w:val="clear" w:color="auto" w:fill="FFFFFF"/>
        </w:rPr>
        <w:t>Edyta Sysło</w:t>
      </w:r>
    </w:p>
    <w:p w14:paraId="14A32D1F" w14:textId="77777777" w:rsidR="00835CA0" w:rsidRPr="001B13F6" w:rsidRDefault="00835CA0" w:rsidP="00835CA0">
      <w:pPr>
        <w:pStyle w:val="SingleTxtG"/>
        <w:spacing w:after="0" w:line="240" w:lineRule="auto"/>
      </w:pPr>
      <w:r w:rsidRPr="001B13F6">
        <w:t>Eliza Bethune</w:t>
      </w:r>
    </w:p>
    <w:p w14:paraId="5306B4A9" w14:textId="77777777" w:rsidR="00835CA0" w:rsidRPr="001B13F6" w:rsidRDefault="00835CA0" w:rsidP="00835CA0">
      <w:pPr>
        <w:pStyle w:val="SingleTxtG"/>
        <w:spacing w:after="0" w:line="240" w:lineRule="auto"/>
      </w:pPr>
      <w:r w:rsidRPr="001B13F6">
        <w:t>Erica Sheeran</w:t>
      </w:r>
    </w:p>
    <w:p w14:paraId="434D8C4A" w14:textId="77777777" w:rsidR="00835CA0" w:rsidRPr="001B13F6" w:rsidRDefault="00835CA0" w:rsidP="00835CA0">
      <w:pPr>
        <w:pStyle w:val="SingleTxtG"/>
        <w:spacing w:after="0" w:line="240" w:lineRule="auto"/>
      </w:pPr>
      <w:r w:rsidRPr="001B13F6">
        <w:t>Eric Quetglas Larrauri</w:t>
      </w:r>
    </w:p>
    <w:p w14:paraId="110BC502" w14:textId="77777777" w:rsidR="00835CA0" w:rsidRPr="001B13F6" w:rsidRDefault="00835CA0" w:rsidP="00835CA0">
      <w:pPr>
        <w:pStyle w:val="SingleTxtG"/>
        <w:spacing w:after="0" w:line="240" w:lineRule="auto"/>
        <w:rPr>
          <w:shd w:val="clear" w:color="auto" w:fill="FFFFFF"/>
        </w:rPr>
      </w:pPr>
      <w:r w:rsidRPr="001B13F6">
        <w:t>Eti Koerniati</w:t>
      </w:r>
      <w:r w:rsidRPr="001B13F6">
        <w:rPr>
          <w:shd w:val="clear" w:color="auto" w:fill="FFFFFF"/>
        </w:rPr>
        <w:t xml:space="preserve"> </w:t>
      </w:r>
    </w:p>
    <w:p w14:paraId="0B919434" w14:textId="77777777" w:rsidR="00835CA0" w:rsidRPr="001B13F6" w:rsidRDefault="00835CA0" w:rsidP="00835CA0">
      <w:pPr>
        <w:pStyle w:val="SingleTxtG"/>
        <w:spacing w:after="0" w:line="240" w:lineRule="auto"/>
      </w:pPr>
      <w:r w:rsidRPr="001B13F6">
        <w:rPr>
          <w:shd w:val="clear" w:color="auto" w:fill="FFFFFF"/>
        </w:rPr>
        <w:t>Franziska Müller</w:t>
      </w:r>
    </w:p>
    <w:p w14:paraId="6AEF4463" w14:textId="77777777" w:rsidR="00835CA0" w:rsidRPr="001B13F6" w:rsidRDefault="00835CA0" w:rsidP="00835CA0">
      <w:pPr>
        <w:pStyle w:val="SingleTxtG"/>
        <w:spacing w:after="0" w:line="240" w:lineRule="auto"/>
      </w:pPr>
      <w:r w:rsidRPr="001B13F6">
        <w:t>Gabrielle Mercer</w:t>
      </w:r>
    </w:p>
    <w:p w14:paraId="781F7E53" w14:textId="77777777" w:rsidR="00835CA0" w:rsidRPr="001B13F6" w:rsidRDefault="00835CA0" w:rsidP="00835CA0">
      <w:pPr>
        <w:pStyle w:val="SingleTxtG"/>
        <w:spacing w:after="0" w:line="240" w:lineRule="auto"/>
      </w:pPr>
      <w:r w:rsidRPr="001B13F6">
        <w:t>George Andy Pantanosas</w:t>
      </w:r>
    </w:p>
    <w:p w14:paraId="6B3E39CD" w14:textId="77777777" w:rsidR="00835CA0" w:rsidRPr="001B13F6" w:rsidRDefault="00835CA0" w:rsidP="00835CA0">
      <w:pPr>
        <w:pStyle w:val="SingleTxtG"/>
        <w:spacing w:after="0" w:line="240" w:lineRule="auto"/>
        <w:rPr>
          <w:iCs/>
          <w:lang w:eastAsia="en-GB"/>
        </w:rPr>
      </w:pPr>
      <w:r w:rsidRPr="001B13F6">
        <w:rPr>
          <w:iCs/>
          <w:lang w:eastAsia="en-GB"/>
        </w:rPr>
        <w:t>Grace Vegesana</w:t>
      </w:r>
    </w:p>
    <w:p w14:paraId="4D3C4CDB" w14:textId="77777777" w:rsidR="00835CA0" w:rsidRPr="001B13F6" w:rsidRDefault="00835CA0" w:rsidP="00835CA0">
      <w:pPr>
        <w:pStyle w:val="SingleTxtG"/>
        <w:spacing w:after="0" w:line="240" w:lineRule="auto"/>
      </w:pPr>
      <w:r w:rsidRPr="001B13F6">
        <w:t>Hannah Edward</w:t>
      </w:r>
    </w:p>
    <w:p w14:paraId="1D5D503E" w14:textId="77777777" w:rsidR="00835CA0" w:rsidRPr="001B13F6" w:rsidRDefault="00835CA0" w:rsidP="00835CA0">
      <w:pPr>
        <w:pStyle w:val="SingleTxtG"/>
        <w:spacing w:after="0" w:line="240" w:lineRule="auto"/>
      </w:pPr>
      <w:r w:rsidRPr="001B13F6">
        <w:t>Handika Rahmawan</w:t>
      </w:r>
    </w:p>
    <w:p w14:paraId="1FDC1678" w14:textId="77777777" w:rsidR="00835CA0" w:rsidRPr="001B13F6" w:rsidRDefault="00835CA0" w:rsidP="00835CA0">
      <w:pPr>
        <w:pStyle w:val="SingleTxtG"/>
        <w:spacing w:after="0" w:line="240" w:lineRule="auto"/>
      </w:pPr>
      <w:r w:rsidRPr="001B13F6">
        <w:rPr>
          <w:bCs/>
        </w:rPr>
        <w:t>Hassan Hasan Abdulla Slais</w:t>
      </w:r>
    </w:p>
    <w:p w14:paraId="5956B90F" w14:textId="77777777" w:rsidR="00835CA0" w:rsidRPr="001B13F6" w:rsidRDefault="00835CA0" w:rsidP="00835CA0">
      <w:pPr>
        <w:pStyle w:val="SingleTxtG"/>
        <w:spacing w:after="0" w:line="240" w:lineRule="auto"/>
      </w:pPr>
      <w:r w:rsidRPr="001B13F6">
        <w:t>Heather Park</w:t>
      </w:r>
    </w:p>
    <w:p w14:paraId="6F064884" w14:textId="77777777" w:rsidR="00835CA0" w:rsidRPr="00DE454E" w:rsidRDefault="00835CA0" w:rsidP="00835CA0">
      <w:pPr>
        <w:pStyle w:val="SingleTxtG"/>
        <w:spacing w:after="0" w:line="240" w:lineRule="auto"/>
        <w:rPr>
          <w:lang w:val="es-ES"/>
        </w:rPr>
      </w:pPr>
      <w:r w:rsidRPr="00DE454E">
        <w:rPr>
          <w:lang w:val="es-ES"/>
        </w:rPr>
        <w:t>Helmizan Sakrani</w:t>
      </w:r>
    </w:p>
    <w:p w14:paraId="5F18E883" w14:textId="77777777" w:rsidR="00835CA0" w:rsidRPr="00DE454E" w:rsidRDefault="00835CA0" w:rsidP="00835CA0">
      <w:pPr>
        <w:pStyle w:val="SingleTxtG"/>
        <w:spacing w:after="0" w:line="240" w:lineRule="auto"/>
        <w:rPr>
          <w:lang w:val="es-ES"/>
        </w:rPr>
      </w:pPr>
      <w:r w:rsidRPr="00DE454E">
        <w:rPr>
          <w:lang w:val="es-ES"/>
        </w:rPr>
        <w:t>Heta-Elena Heiskanen</w:t>
      </w:r>
    </w:p>
    <w:p w14:paraId="599CCD78" w14:textId="77777777" w:rsidR="00835CA0" w:rsidRPr="00DE454E" w:rsidRDefault="00835CA0" w:rsidP="00835CA0">
      <w:pPr>
        <w:pStyle w:val="SingleTxtG"/>
        <w:spacing w:after="0" w:line="240" w:lineRule="auto"/>
        <w:rPr>
          <w:lang w:val="es-ES"/>
        </w:rPr>
      </w:pPr>
      <w:r w:rsidRPr="00DE454E">
        <w:rPr>
          <w:lang w:val="es-ES"/>
        </w:rPr>
        <w:t xml:space="preserve">Holy Greata </w:t>
      </w:r>
    </w:p>
    <w:p w14:paraId="6F83534D" w14:textId="77777777" w:rsidR="00835CA0" w:rsidRPr="00DE454E" w:rsidRDefault="00835CA0" w:rsidP="00835CA0">
      <w:pPr>
        <w:pStyle w:val="SingleTxtG"/>
        <w:spacing w:after="0" w:line="240" w:lineRule="auto"/>
        <w:rPr>
          <w:lang w:val="es-ES"/>
        </w:rPr>
      </w:pPr>
      <w:r w:rsidRPr="00DE454E">
        <w:rPr>
          <w:lang w:val="es-ES"/>
        </w:rPr>
        <w:t>Imranul Laskar</w:t>
      </w:r>
    </w:p>
    <w:p w14:paraId="1C1FA198" w14:textId="77777777" w:rsidR="00835CA0" w:rsidRPr="00DE454E" w:rsidRDefault="00835CA0" w:rsidP="00835CA0">
      <w:pPr>
        <w:pStyle w:val="SingleTxtG"/>
        <w:spacing w:after="0" w:line="240" w:lineRule="auto"/>
        <w:rPr>
          <w:lang w:val="es-ES"/>
        </w:rPr>
      </w:pPr>
      <w:r w:rsidRPr="00DE454E">
        <w:rPr>
          <w:lang w:val="es-ES"/>
        </w:rPr>
        <w:t>James Long</w:t>
      </w:r>
    </w:p>
    <w:p w14:paraId="0486F800" w14:textId="77777777" w:rsidR="00835CA0" w:rsidRPr="00DE454E" w:rsidRDefault="00835CA0" w:rsidP="00835CA0">
      <w:pPr>
        <w:pStyle w:val="SingleTxtG"/>
        <w:spacing w:after="0" w:line="240" w:lineRule="auto"/>
        <w:rPr>
          <w:lang w:val="es-ES"/>
        </w:rPr>
      </w:pPr>
      <w:r w:rsidRPr="00DE454E">
        <w:rPr>
          <w:bCs/>
          <w:lang w:val="es-ES"/>
        </w:rPr>
        <w:t>Jan van de Venis</w:t>
      </w:r>
    </w:p>
    <w:p w14:paraId="48E4B8D2" w14:textId="77777777" w:rsidR="00835CA0" w:rsidRPr="00DE454E" w:rsidRDefault="00835CA0" w:rsidP="00835CA0">
      <w:pPr>
        <w:pStyle w:val="SingleTxtG"/>
        <w:spacing w:after="0" w:line="240" w:lineRule="auto"/>
        <w:rPr>
          <w:lang w:val="es-ES"/>
        </w:rPr>
      </w:pPr>
      <w:r w:rsidRPr="00DE454E">
        <w:rPr>
          <w:lang w:val="es-ES"/>
        </w:rPr>
        <w:t>Jana Sobotová</w:t>
      </w:r>
    </w:p>
    <w:p w14:paraId="09931933" w14:textId="77777777" w:rsidR="00835CA0" w:rsidRPr="00DE454E" w:rsidRDefault="00835CA0" w:rsidP="00835CA0">
      <w:pPr>
        <w:pStyle w:val="SingleTxtG"/>
        <w:spacing w:after="0" w:line="240" w:lineRule="auto"/>
        <w:rPr>
          <w:lang w:val="es-ES"/>
        </w:rPr>
      </w:pPr>
      <w:r w:rsidRPr="00DE454E">
        <w:rPr>
          <w:lang w:val="es-ES"/>
        </w:rPr>
        <w:t>Joshua Kuepfer</w:t>
      </w:r>
    </w:p>
    <w:p w14:paraId="6B3A62E3" w14:textId="77777777" w:rsidR="00835CA0" w:rsidRPr="00DE454E" w:rsidRDefault="00835CA0" w:rsidP="00835CA0">
      <w:pPr>
        <w:pStyle w:val="SingleTxtG"/>
        <w:spacing w:after="0" w:line="240" w:lineRule="auto"/>
        <w:rPr>
          <w:lang w:val="es-ES"/>
        </w:rPr>
      </w:pPr>
      <w:r w:rsidRPr="00DE454E">
        <w:rPr>
          <w:lang w:val="es-ES"/>
        </w:rPr>
        <w:t>Julia Niebles</w:t>
      </w:r>
    </w:p>
    <w:p w14:paraId="39F0827F" w14:textId="77777777" w:rsidR="00835CA0" w:rsidRPr="001B13F6" w:rsidRDefault="00835CA0" w:rsidP="00835CA0">
      <w:pPr>
        <w:pStyle w:val="SingleTxtG"/>
        <w:spacing w:after="0" w:line="240" w:lineRule="auto"/>
      </w:pPr>
      <w:r w:rsidRPr="001B13F6">
        <w:t>Julia Park</w:t>
      </w:r>
    </w:p>
    <w:p w14:paraId="5ACB087E" w14:textId="77777777" w:rsidR="00835CA0" w:rsidRPr="001B13F6" w:rsidRDefault="00835CA0" w:rsidP="00835CA0">
      <w:pPr>
        <w:pStyle w:val="SingleTxtG"/>
        <w:spacing w:after="0" w:line="240" w:lineRule="auto"/>
      </w:pPr>
      <w:r w:rsidRPr="001B13F6">
        <w:t>Justin Dittmeier</w:t>
      </w:r>
    </w:p>
    <w:p w14:paraId="3A11B91E" w14:textId="77777777" w:rsidR="00835CA0" w:rsidRPr="001B13F6" w:rsidRDefault="00835CA0" w:rsidP="00835CA0">
      <w:pPr>
        <w:pStyle w:val="SingleTxtG"/>
        <w:spacing w:after="0" w:line="240" w:lineRule="auto"/>
      </w:pPr>
      <w:r w:rsidRPr="001B13F6">
        <w:t>Kate Meagher</w:t>
      </w:r>
    </w:p>
    <w:p w14:paraId="54F78A97" w14:textId="77777777" w:rsidR="00835CA0" w:rsidRPr="00DE454E" w:rsidRDefault="00835CA0" w:rsidP="00835CA0">
      <w:pPr>
        <w:pStyle w:val="SingleTxtG"/>
        <w:spacing w:after="0" w:line="240" w:lineRule="auto"/>
        <w:rPr>
          <w:lang w:val="es-ES"/>
        </w:rPr>
      </w:pPr>
      <w:r w:rsidRPr="00DE454E">
        <w:rPr>
          <w:lang w:val="es-ES"/>
        </w:rPr>
        <w:t>Katherine Dullea</w:t>
      </w:r>
    </w:p>
    <w:p w14:paraId="378CA2C4" w14:textId="77777777" w:rsidR="00835CA0" w:rsidRPr="00DE454E" w:rsidRDefault="00835CA0" w:rsidP="00835CA0">
      <w:pPr>
        <w:pStyle w:val="SingleTxtG"/>
        <w:spacing w:after="0" w:line="240" w:lineRule="auto"/>
        <w:rPr>
          <w:lang w:val="es-ES"/>
        </w:rPr>
      </w:pPr>
      <w:r w:rsidRPr="00DE454E">
        <w:rPr>
          <w:shd w:val="clear" w:color="auto" w:fill="FFFFFF"/>
          <w:lang w:val="es-ES"/>
        </w:rPr>
        <w:t>Kynan Pacunana</w:t>
      </w:r>
    </w:p>
    <w:p w14:paraId="294CFFDD" w14:textId="77777777" w:rsidR="00835CA0" w:rsidRPr="00DE454E" w:rsidRDefault="00835CA0" w:rsidP="00835CA0">
      <w:pPr>
        <w:pStyle w:val="SingleTxtG"/>
        <w:spacing w:after="0" w:line="240" w:lineRule="auto"/>
        <w:rPr>
          <w:lang w:val="es-ES"/>
        </w:rPr>
      </w:pPr>
      <w:r w:rsidRPr="00DE454E">
        <w:rPr>
          <w:lang w:val="es-ES"/>
        </w:rPr>
        <w:t>Laura Castrejon-Violante</w:t>
      </w:r>
    </w:p>
    <w:p w14:paraId="0A007FC7" w14:textId="77777777" w:rsidR="00835CA0" w:rsidRPr="001B13F6" w:rsidRDefault="00835CA0" w:rsidP="00835CA0">
      <w:pPr>
        <w:pStyle w:val="SingleTxtG"/>
        <w:spacing w:after="0" w:line="240" w:lineRule="auto"/>
        <w:rPr>
          <w:shd w:val="clear" w:color="auto" w:fill="FFFFFF"/>
        </w:rPr>
      </w:pPr>
      <w:r w:rsidRPr="001B13F6">
        <w:rPr>
          <w:shd w:val="clear" w:color="auto" w:fill="FFFFFF"/>
        </w:rPr>
        <w:t>Lauren Johnson</w:t>
      </w:r>
    </w:p>
    <w:p w14:paraId="5032BB80" w14:textId="77777777" w:rsidR="00835CA0" w:rsidRPr="001B13F6" w:rsidRDefault="00835CA0" w:rsidP="00835CA0">
      <w:pPr>
        <w:pStyle w:val="SingleTxtG"/>
        <w:spacing w:after="0" w:line="240" w:lineRule="auto"/>
        <w:rPr>
          <w:shd w:val="clear" w:color="auto" w:fill="FFFFFF"/>
        </w:rPr>
      </w:pPr>
      <w:r w:rsidRPr="001B13F6">
        <w:rPr>
          <w:shd w:val="clear" w:color="auto" w:fill="FFFFFF"/>
        </w:rPr>
        <w:t>Leonardo Amerigo Marchetti</w:t>
      </w:r>
    </w:p>
    <w:p w14:paraId="454FFEE8" w14:textId="77777777" w:rsidR="00835CA0" w:rsidRPr="001B13F6" w:rsidRDefault="00835CA0" w:rsidP="00835CA0">
      <w:pPr>
        <w:pStyle w:val="SingleTxtG"/>
        <w:spacing w:after="0" w:line="240" w:lineRule="auto"/>
      </w:pPr>
      <w:r w:rsidRPr="001B13F6">
        <w:rPr>
          <w:shd w:val="clear" w:color="auto" w:fill="FFFFFF"/>
        </w:rPr>
        <w:t>Lindsay Robbins</w:t>
      </w:r>
    </w:p>
    <w:p w14:paraId="28F2E938" w14:textId="77777777" w:rsidR="00835CA0" w:rsidRPr="00DE454E" w:rsidRDefault="00835CA0" w:rsidP="00835CA0">
      <w:pPr>
        <w:pStyle w:val="SingleTxtG"/>
        <w:spacing w:after="0" w:line="240" w:lineRule="auto"/>
        <w:rPr>
          <w:lang w:val="es-ES"/>
        </w:rPr>
      </w:pPr>
      <w:r w:rsidRPr="00DE454E">
        <w:rPr>
          <w:lang w:val="es-ES"/>
        </w:rPr>
        <w:t>Lynda Collins</w:t>
      </w:r>
    </w:p>
    <w:p w14:paraId="09E9C225" w14:textId="77777777" w:rsidR="00835CA0" w:rsidRPr="00DE454E" w:rsidRDefault="00835CA0" w:rsidP="00835CA0">
      <w:pPr>
        <w:pStyle w:val="SingleTxtG"/>
        <w:spacing w:after="0" w:line="240" w:lineRule="auto"/>
        <w:rPr>
          <w:lang w:val="es-ES"/>
        </w:rPr>
      </w:pPr>
      <w:r w:rsidRPr="00DE454E">
        <w:rPr>
          <w:lang w:val="es-ES"/>
        </w:rPr>
        <w:t>Madina Tauyekelova</w:t>
      </w:r>
    </w:p>
    <w:p w14:paraId="67C9ACC7" w14:textId="77777777" w:rsidR="00835CA0" w:rsidRPr="00DE454E" w:rsidRDefault="00835CA0" w:rsidP="00835CA0">
      <w:pPr>
        <w:pStyle w:val="SingleTxtG"/>
        <w:spacing w:after="0" w:line="240" w:lineRule="auto"/>
        <w:rPr>
          <w:lang w:val="es-ES"/>
        </w:rPr>
      </w:pPr>
      <w:r w:rsidRPr="00DE454E">
        <w:rPr>
          <w:lang w:val="es-ES"/>
        </w:rPr>
        <w:t>Malinda Reed</w:t>
      </w:r>
    </w:p>
    <w:p w14:paraId="3EF635FE" w14:textId="77777777" w:rsidR="00835CA0" w:rsidRPr="00DE454E" w:rsidRDefault="00835CA0" w:rsidP="00835CA0">
      <w:pPr>
        <w:pStyle w:val="SingleTxtG"/>
        <w:spacing w:after="0" w:line="240" w:lineRule="auto"/>
        <w:rPr>
          <w:lang w:val="es-ES"/>
        </w:rPr>
      </w:pPr>
      <w:r w:rsidRPr="00DE454E">
        <w:rPr>
          <w:lang w:val="es-ES"/>
        </w:rPr>
        <w:t>Mara Alisa Andrade</w:t>
      </w:r>
    </w:p>
    <w:p w14:paraId="06823A1A" w14:textId="77777777" w:rsidR="00835CA0" w:rsidRPr="00DE454E" w:rsidRDefault="00835CA0" w:rsidP="00835CA0">
      <w:pPr>
        <w:pStyle w:val="SingleTxtG"/>
        <w:spacing w:after="0" w:line="240" w:lineRule="auto"/>
        <w:rPr>
          <w:lang w:val="es-ES"/>
        </w:rPr>
      </w:pPr>
      <w:r w:rsidRPr="00DE454E">
        <w:rPr>
          <w:shd w:val="clear" w:color="auto" w:fill="FFFFFF"/>
          <w:lang w:val="es-ES"/>
        </w:rPr>
        <w:t>Marc Tucker</w:t>
      </w:r>
    </w:p>
    <w:p w14:paraId="4CFBAF57" w14:textId="77777777" w:rsidR="00835CA0" w:rsidRPr="00DE454E" w:rsidRDefault="00835CA0" w:rsidP="00835CA0">
      <w:pPr>
        <w:pStyle w:val="SingleTxtG"/>
        <w:spacing w:after="0" w:line="240" w:lineRule="auto"/>
        <w:rPr>
          <w:lang w:val="es-ES"/>
        </w:rPr>
      </w:pPr>
      <w:r w:rsidRPr="00DE454E">
        <w:rPr>
          <w:lang w:val="es-ES"/>
        </w:rPr>
        <w:t>Marek Prítyi</w:t>
      </w:r>
    </w:p>
    <w:p w14:paraId="6E8289C6" w14:textId="77777777" w:rsidR="00835CA0" w:rsidRPr="00DE454E" w:rsidRDefault="00835CA0" w:rsidP="00835CA0">
      <w:pPr>
        <w:pStyle w:val="SingleTxtG"/>
        <w:spacing w:after="0" w:line="240" w:lineRule="auto"/>
        <w:rPr>
          <w:lang w:val="es-ES"/>
        </w:rPr>
      </w:pPr>
      <w:r w:rsidRPr="00DE454E">
        <w:rPr>
          <w:shd w:val="clear" w:color="auto" w:fill="FFFFFF"/>
          <w:lang w:val="es-ES"/>
        </w:rPr>
        <w:t>Margarida Marcelino</w:t>
      </w:r>
    </w:p>
    <w:p w14:paraId="20EC63B9" w14:textId="77777777" w:rsidR="00835CA0" w:rsidRPr="00DE454E" w:rsidRDefault="00835CA0" w:rsidP="00835CA0">
      <w:pPr>
        <w:pStyle w:val="SingleTxtG"/>
        <w:spacing w:after="0" w:line="240" w:lineRule="auto"/>
        <w:rPr>
          <w:bCs/>
          <w:lang w:val="es-ES"/>
        </w:rPr>
      </w:pPr>
      <w:r w:rsidRPr="00DE454E">
        <w:rPr>
          <w:bCs/>
          <w:lang w:val="es-ES"/>
        </w:rPr>
        <w:t>Maria del Mar Requena Quesada</w:t>
      </w:r>
    </w:p>
    <w:p w14:paraId="27BA6E2D" w14:textId="77777777" w:rsidR="00835CA0" w:rsidRPr="00DE454E" w:rsidRDefault="00835CA0" w:rsidP="00835CA0">
      <w:pPr>
        <w:pStyle w:val="SingleTxtG"/>
        <w:spacing w:after="0" w:line="240" w:lineRule="auto"/>
        <w:rPr>
          <w:lang w:val="es-ES"/>
        </w:rPr>
      </w:pPr>
      <w:r w:rsidRPr="00DE454E">
        <w:rPr>
          <w:lang w:val="es-ES"/>
        </w:rPr>
        <w:t>Maria Ligaya V. Itliong-Rivera</w:t>
      </w:r>
    </w:p>
    <w:p w14:paraId="36217024" w14:textId="77777777" w:rsidR="00835CA0" w:rsidRPr="00DE454E" w:rsidRDefault="00835CA0" w:rsidP="00835CA0">
      <w:pPr>
        <w:pStyle w:val="SingleTxtG"/>
        <w:spacing w:after="0" w:line="240" w:lineRule="auto"/>
        <w:rPr>
          <w:lang w:val="fr-FR"/>
        </w:rPr>
      </w:pPr>
      <w:r w:rsidRPr="00DE454E">
        <w:rPr>
          <w:lang w:val="fr-FR"/>
        </w:rPr>
        <w:t>Maria Requena</w:t>
      </w:r>
    </w:p>
    <w:p w14:paraId="3BD7ECF8" w14:textId="77777777" w:rsidR="00835CA0" w:rsidRPr="00DE454E" w:rsidRDefault="00835CA0" w:rsidP="00835CA0">
      <w:pPr>
        <w:pStyle w:val="SingleTxtG"/>
        <w:spacing w:after="0" w:line="240" w:lineRule="auto"/>
        <w:rPr>
          <w:lang w:val="fr-FR"/>
        </w:rPr>
      </w:pPr>
      <w:r w:rsidRPr="00DE454E">
        <w:rPr>
          <w:lang w:val="fr-FR"/>
        </w:rPr>
        <w:t>Marie-Anne Cohendet</w:t>
      </w:r>
    </w:p>
    <w:p w14:paraId="65AAC267" w14:textId="77777777" w:rsidR="00835CA0" w:rsidRPr="00DE454E" w:rsidRDefault="00835CA0" w:rsidP="00835CA0">
      <w:pPr>
        <w:pStyle w:val="SingleTxtG"/>
        <w:spacing w:after="0" w:line="240" w:lineRule="auto"/>
        <w:rPr>
          <w:lang w:val="fr-FR"/>
        </w:rPr>
      </w:pPr>
      <w:r w:rsidRPr="00DE454E">
        <w:rPr>
          <w:shd w:val="clear" w:color="auto" w:fill="FFFFFF"/>
          <w:lang w:val="fr-FR"/>
        </w:rPr>
        <w:t>Marina Dowd</w:t>
      </w:r>
    </w:p>
    <w:p w14:paraId="62F0E13A" w14:textId="77777777" w:rsidR="00835CA0" w:rsidRPr="00DE454E" w:rsidRDefault="00835CA0" w:rsidP="00835CA0">
      <w:pPr>
        <w:pStyle w:val="SingleTxtG"/>
        <w:spacing w:after="0" w:line="240" w:lineRule="auto"/>
        <w:rPr>
          <w:lang w:val="fr-FR"/>
        </w:rPr>
      </w:pPr>
      <w:r w:rsidRPr="00DE454E">
        <w:rPr>
          <w:lang w:val="fr-FR"/>
        </w:rPr>
        <w:t>Maritess Filomena Rana-Bernales</w:t>
      </w:r>
    </w:p>
    <w:p w14:paraId="4DFD58EB" w14:textId="77777777" w:rsidR="00835CA0" w:rsidRPr="00DE454E" w:rsidRDefault="00835CA0" w:rsidP="00835CA0">
      <w:pPr>
        <w:pStyle w:val="SingleTxtG"/>
        <w:spacing w:after="0" w:line="240" w:lineRule="auto"/>
        <w:rPr>
          <w:lang w:val="fr-FR"/>
        </w:rPr>
      </w:pPr>
      <w:r w:rsidRPr="00DE454E">
        <w:rPr>
          <w:lang w:val="fr-FR"/>
        </w:rPr>
        <w:t>Michel Prieur</w:t>
      </w:r>
    </w:p>
    <w:p w14:paraId="0B4909F7" w14:textId="77777777" w:rsidR="00835CA0" w:rsidRPr="00DE454E" w:rsidRDefault="00835CA0" w:rsidP="00835CA0">
      <w:pPr>
        <w:pStyle w:val="SingleTxtG"/>
        <w:spacing w:after="0" w:line="240" w:lineRule="auto"/>
        <w:rPr>
          <w:lang w:val="fr-FR"/>
        </w:rPr>
      </w:pPr>
      <w:r w:rsidRPr="00DE454E">
        <w:rPr>
          <w:shd w:val="clear" w:color="auto" w:fill="FFFFFF"/>
          <w:lang w:val="fr-FR"/>
        </w:rPr>
        <w:t>Minnie Cheung</w:t>
      </w:r>
    </w:p>
    <w:p w14:paraId="0C0FED00" w14:textId="77777777" w:rsidR="00835CA0" w:rsidRPr="00DE454E" w:rsidRDefault="00835CA0" w:rsidP="00835CA0">
      <w:pPr>
        <w:pStyle w:val="SingleTxtG"/>
        <w:spacing w:after="0" w:line="240" w:lineRule="auto"/>
        <w:rPr>
          <w:lang w:val="fr-FR"/>
        </w:rPr>
      </w:pPr>
      <w:r w:rsidRPr="00DE454E">
        <w:rPr>
          <w:lang w:val="fr-FR"/>
        </w:rPr>
        <w:t>Mirjana Drenovak-Ivanović</w:t>
      </w:r>
    </w:p>
    <w:p w14:paraId="5A03C92D" w14:textId="77777777" w:rsidR="00835CA0" w:rsidRPr="00DE454E" w:rsidRDefault="00835CA0" w:rsidP="00835CA0">
      <w:pPr>
        <w:pStyle w:val="SingleTxtG"/>
        <w:spacing w:after="0" w:line="240" w:lineRule="auto"/>
        <w:rPr>
          <w:lang w:val="fr-FR"/>
        </w:rPr>
      </w:pPr>
      <w:r w:rsidRPr="00DE454E">
        <w:rPr>
          <w:lang w:val="fr-FR"/>
        </w:rPr>
        <w:t>Misrak Tekle Yacob</w:t>
      </w:r>
    </w:p>
    <w:p w14:paraId="5E49BBAE" w14:textId="77777777" w:rsidR="00835CA0" w:rsidRPr="00DE454E" w:rsidRDefault="00835CA0" w:rsidP="00835CA0">
      <w:pPr>
        <w:pStyle w:val="SingleTxtG"/>
        <w:spacing w:after="0" w:line="240" w:lineRule="auto"/>
        <w:rPr>
          <w:lang w:val="es-ES"/>
        </w:rPr>
      </w:pPr>
      <w:r w:rsidRPr="00DE454E">
        <w:rPr>
          <w:lang w:val="es-ES"/>
        </w:rPr>
        <w:t>Mochamad Felani Budi Hartanto</w:t>
      </w:r>
    </w:p>
    <w:p w14:paraId="4DB1F779" w14:textId="77777777" w:rsidR="00835CA0" w:rsidRPr="00DE454E" w:rsidRDefault="00835CA0" w:rsidP="00835CA0">
      <w:pPr>
        <w:pStyle w:val="SingleTxtG"/>
        <w:spacing w:after="0" w:line="240" w:lineRule="auto"/>
        <w:rPr>
          <w:lang w:val="es-ES"/>
        </w:rPr>
      </w:pPr>
      <w:r w:rsidRPr="00DE454E">
        <w:rPr>
          <w:shd w:val="clear" w:color="auto" w:fill="FFFFFF"/>
          <w:lang w:val="es-ES"/>
        </w:rPr>
        <w:t>Murad Madani</w:t>
      </w:r>
    </w:p>
    <w:p w14:paraId="3F6FC110" w14:textId="77777777" w:rsidR="00835CA0" w:rsidRPr="00DE454E" w:rsidRDefault="00835CA0" w:rsidP="00835CA0">
      <w:pPr>
        <w:pStyle w:val="SingleTxtG"/>
        <w:spacing w:after="0" w:line="240" w:lineRule="auto"/>
        <w:rPr>
          <w:lang w:val="fr-FR"/>
        </w:rPr>
      </w:pPr>
      <w:r w:rsidRPr="00DE454E">
        <w:rPr>
          <w:lang w:val="fr-FR"/>
        </w:rPr>
        <w:t>Nani Indrawati</w:t>
      </w:r>
    </w:p>
    <w:p w14:paraId="3D4E5010" w14:textId="77777777" w:rsidR="00835CA0" w:rsidRPr="00DE454E" w:rsidRDefault="00835CA0" w:rsidP="00835CA0">
      <w:pPr>
        <w:pStyle w:val="SingleTxtG"/>
        <w:spacing w:after="0" w:line="240" w:lineRule="auto"/>
        <w:rPr>
          <w:lang w:val="fr-FR"/>
        </w:rPr>
      </w:pPr>
      <w:r w:rsidRPr="00DE454E">
        <w:rPr>
          <w:shd w:val="clear" w:color="auto" w:fill="FFFFFF"/>
          <w:lang w:val="fr-FR"/>
        </w:rPr>
        <w:t>Naomi Luhde-Thompson</w:t>
      </w:r>
    </w:p>
    <w:p w14:paraId="00625A12" w14:textId="77777777" w:rsidR="00835CA0" w:rsidRPr="00DE454E" w:rsidRDefault="00835CA0" w:rsidP="00835CA0">
      <w:pPr>
        <w:pStyle w:val="SingleTxtG"/>
        <w:spacing w:after="0" w:line="240" w:lineRule="auto"/>
        <w:rPr>
          <w:lang w:val="fr-FR"/>
        </w:rPr>
      </w:pPr>
      <w:r w:rsidRPr="00DE454E">
        <w:rPr>
          <w:lang w:val="fr-FR"/>
        </w:rPr>
        <w:t>Nimesha Perera</w:t>
      </w:r>
    </w:p>
    <w:p w14:paraId="5826195D" w14:textId="77777777" w:rsidR="00835CA0" w:rsidRPr="00DE454E" w:rsidRDefault="00835CA0" w:rsidP="00835CA0">
      <w:pPr>
        <w:pStyle w:val="SingleTxtG"/>
        <w:spacing w:after="0" w:line="240" w:lineRule="auto"/>
        <w:rPr>
          <w:lang w:val="es-ES"/>
        </w:rPr>
      </w:pPr>
      <w:r w:rsidRPr="00DE454E">
        <w:rPr>
          <w:shd w:val="clear" w:color="auto" w:fill="FFFFFF"/>
          <w:lang w:val="es-ES"/>
        </w:rPr>
        <w:t>Olga Generalova-Kutuzova</w:t>
      </w:r>
    </w:p>
    <w:p w14:paraId="48A7E0CC" w14:textId="77777777" w:rsidR="00835CA0" w:rsidRPr="00DE454E" w:rsidRDefault="00835CA0" w:rsidP="00835CA0">
      <w:pPr>
        <w:pStyle w:val="SingleTxtG"/>
        <w:spacing w:after="0" w:line="240" w:lineRule="auto"/>
        <w:rPr>
          <w:lang w:val="es-ES"/>
        </w:rPr>
      </w:pPr>
      <w:r w:rsidRPr="00DE454E">
        <w:rPr>
          <w:lang w:val="es-ES"/>
        </w:rPr>
        <w:t>Paraskevi Batsikas</w:t>
      </w:r>
    </w:p>
    <w:p w14:paraId="6B67DC6E" w14:textId="77777777" w:rsidR="00835CA0" w:rsidRPr="00DE454E" w:rsidRDefault="00835CA0" w:rsidP="00835CA0">
      <w:pPr>
        <w:pStyle w:val="SingleTxtG"/>
        <w:spacing w:after="0" w:line="240" w:lineRule="auto"/>
        <w:rPr>
          <w:lang w:val="es-ES"/>
        </w:rPr>
      </w:pPr>
      <w:r w:rsidRPr="00DE454E">
        <w:rPr>
          <w:lang w:val="es-ES"/>
        </w:rPr>
        <w:t>Passent Moussa</w:t>
      </w:r>
    </w:p>
    <w:p w14:paraId="0A805E80" w14:textId="77777777" w:rsidR="00835CA0" w:rsidRPr="00DE454E" w:rsidRDefault="00835CA0" w:rsidP="00835CA0">
      <w:pPr>
        <w:pStyle w:val="SingleTxtG"/>
        <w:spacing w:after="0" w:line="240" w:lineRule="auto"/>
        <w:rPr>
          <w:lang w:val="es-ES"/>
        </w:rPr>
      </w:pPr>
      <w:r w:rsidRPr="00DE454E">
        <w:rPr>
          <w:color w:val="000000"/>
          <w:lang w:val="es-ES"/>
        </w:rPr>
        <w:t>Patricia Madrigal Cordero</w:t>
      </w:r>
    </w:p>
    <w:p w14:paraId="79B615C2" w14:textId="77777777" w:rsidR="00835CA0" w:rsidRPr="00DE454E" w:rsidRDefault="00835CA0" w:rsidP="00835CA0">
      <w:pPr>
        <w:pStyle w:val="SingleTxtG"/>
        <w:spacing w:after="0" w:line="240" w:lineRule="auto"/>
        <w:rPr>
          <w:lang w:val="fr-FR"/>
        </w:rPr>
      </w:pPr>
      <w:r w:rsidRPr="00DE454E">
        <w:rPr>
          <w:shd w:val="clear" w:color="auto" w:fill="FFFFFF"/>
          <w:lang w:val="fr-FR"/>
        </w:rPr>
        <w:t>Petru Botnaru</w:t>
      </w:r>
    </w:p>
    <w:p w14:paraId="596DBBB2" w14:textId="77777777" w:rsidR="00835CA0" w:rsidRPr="00DE454E" w:rsidRDefault="00835CA0" w:rsidP="00835CA0">
      <w:pPr>
        <w:pStyle w:val="SingleTxtG"/>
        <w:spacing w:after="0" w:line="240" w:lineRule="auto"/>
        <w:rPr>
          <w:lang w:val="fr-FR"/>
        </w:rPr>
      </w:pPr>
      <w:r w:rsidRPr="00DE454E">
        <w:rPr>
          <w:lang w:val="fr-FR"/>
        </w:rPr>
        <w:t>Plamen Peev</w:t>
      </w:r>
    </w:p>
    <w:p w14:paraId="61C67E31" w14:textId="77777777" w:rsidR="00835CA0" w:rsidRPr="00DE454E" w:rsidRDefault="00835CA0" w:rsidP="00835CA0">
      <w:pPr>
        <w:pStyle w:val="SingleTxtG"/>
        <w:spacing w:after="0" w:line="240" w:lineRule="auto"/>
        <w:rPr>
          <w:lang w:val="fr-FR"/>
        </w:rPr>
      </w:pPr>
      <w:r w:rsidRPr="00DE454E">
        <w:rPr>
          <w:lang w:val="fr-FR"/>
        </w:rPr>
        <w:t>Qaiser Imran</w:t>
      </w:r>
    </w:p>
    <w:p w14:paraId="16E41889" w14:textId="77777777" w:rsidR="00835CA0" w:rsidRPr="001B13F6" w:rsidRDefault="00835CA0" w:rsidP="00835CA0">
      <w:pPr>
        <w:pStyle w:val="SingleTxtG"/>
        <w:spacing w:after="0" w:line="240" w:lineRule="auto"/>
      </w:pPr>
      <w:r w:rsidRPr="001B13F6">
        <w:rPr>
          <w:shd w:val="clear" w:color="auto" w:fill="FFFFFF"/>
        </w:rPr>
        <w:t>Raphaël Roman</w:t>
      </w:r>
    </w:p>
    <w:p w14:paraId="478E077A" w14:textId="77777777" w:rsidR="00835CA0" w:rsidRPr="001B13F6" w:rsidRDefault="00835CA0" w:rsidP="00835CA0">
      <w:pPr>
        <w:pStyle w:val="SingleTxtG"/>
        <w:spacing w:after="0" w:line="240" w:lineRule="auto"/>
      </w:pPr>
      <w:r w:rsidRPr="001B13F6">
        <w:t>Rivkah Gardner-Frolick</w:t>
      </w:r>
    </w:p>
    <w:p w14:paraId="2EC1A6A4" w14:textId="77777777" w:rsidR="00835CA0" w:rsidRPr="001B13F6" w:rsidRDefault="00835CA0" w:rsidP="00835CA0">
      <w:pPr>
        <w:pStyle w:val="SingleTxtG"/>
        <w:spacing w:after="0" w:line="240" w:lineRule="auto"/>
      </w:pPr>
      <w:r w:rsidRPr="001B13F6">
        <w:t>Robert-Ian Greene</w:t>
      </w:r>
    </w:p>
    <w:p w14:paraId="5622BAD1" w14:textId="77777777" w:rsidR="00835CA0" w:rsidRPr="00DE454E" w:rsidRDefault="00835CA0" w:rsidP="00835CA0">
      <w:pPr>
        <w:pStyle w:val="SingleTxtG"/>
        <w:spacing w:after="0" w:line="240" w:lineRule="auto"/>
        <w:rPr>
          <w:lang w:val="es-ES"/>
        </w:rPr>
      </w:pPr>
      <w:r w:rsidRPr="00DE454E">
        <w:rPr>
          <w:shd w:val="clear" w:color="auto" w:fill="FFFFFF"/>
          <w:lang w:val="es-ES"/>
        </w:rPr>
        <w:t>Sabina Usoltseva</w:t>
      </w:r>
    </w:p>
    <w:p w14:paraId="7053CFB8" w14:textId="77777777" w:rsidR="001E6A58" w:rsidRPr="00DE454E" w:rsidRDefault="001E6A58" w:rsidP="00835CA0">
      <w:pPr>
        <w:pStyle w:val="SingleTxtG"/>
        <w:spacing w:after="0" w:line="240" w:lineRule="auto"/>
        <w:rPr>
          <w:lang w:val="es-ES"/>
        </w:rPr>
      </w:pPr>
      <w:r w:rsidRPr="00DE454E">
        <w:rPr>
          <w:lang w:val="es-ES"/>
        </w:rPr>
        <w:t>San Sophany</w:t>
      </w:r>
    </w:p>
    <w:p w14:paraId="0D65CA95" w14:textId="5A54AB25" w:rsidR="00835CA0" w:rsidRPr="00DE454E" w:rsidRDefault="00835CA0" w:rsidP="00835CA0">
      <w:pPr>
        <w:pStyle w:val="SingleTxtG"/>
        <w:spacing w:after="0" w:line="240" w:lineRule="auto"/>
        <w:rPr>
          <w:lang w:val="es-ES"/>
        </w:rPr>
      </w:pPr>
      <w:r w:rsidRPr="00DE454E">
        <w:rPr>
          <w:lang w:val="es-ES"/>
        </w:rPr>
        <w:t>Sean Hansen</w:t>
      </w:r>
    </w:p>
    <w:p w14:paraId="151963C3" w14:textId="77777777" w:rsidR="00835CA0" w:rsidRPr="00DE454E" w:rsidRDefault="00835CA0" w:rsidP="00835CA0">
      <w:pPr>
        <w:pStyle w:val="SingleTxtG"/>
        <w:spacing w:after="0" w:line="240" w:lineRule="auto"/>
        <w:rPr>
          <w:lang w:val="fr-FR"/>
        </w:rPr>
      </w:pPr>
      <w:r w:rsidRPr="00DE454E">
        <w:rPr>
          <w:lang w:val="fr-FR"/>
        </w:rPr>
        <w:t>Shannon Johnson</w:t>
      </w:r>
    </w:p>
    <w:p w14:paraId="0A14FB12" w14:textId="77777777" w:rsidR="00835CA0" w:rsidRPr="00DE454E" w:rsidRDefault="00835CA0" w:rsidP="00835CA0">
      <w:pPr>
        <w:pStyle w:val="SingleTxtG"/>
        <w:spacing w:after="0" w:line="240" w:lineRule="auto"/>
        <w:rPr>
          <w:lang w:val="fr-FR"/>
        </w:rPr>
      </w:pPr>
      <w:r w:rsidRPr="00DE454E">
        <w:rPr>
          <w:bCs/>
          <w:lang w:val="fr-FR"/>
        </w:rPr>
        <w:t>Sonia Marcantonio</w:t>
      </w:r>
    </w:p>
    <w:p w14:paraId="61F0A319" w14:textId="77777777" w:rsidR="00835CA0" w:rsidRPr="00DE454E" w:rsidRDefault="00835CA0" w:rsidP="00835CA0">
      <w:pPr>
        <w:pStyle w:val="SingleTxtG"/>
        <w:spacing w:after="0" w:line="240" w:lineRule="auto"/>
        <w:rPr>
          <w:iCs/>
          <w:lang w:val="fr-FR" w:eastAsia="en-GB"/>
        </w:rPr>
      </w:pPr>
      <w:r w:rsidRPr="00DE454E">
        <w:rPr>
          <w:iCs/>
          <w:lang w:val="fr-FR" w:eastAsia="en-GB"/>
        </w:rPr>
        <w:t>Sophie Maher</w:t>
      </w:r>
    </w:p>
    <w:p w14:paraId="67ADF3CF" w14:textId="77777777" w:rsidR="00835CA0" w:rsidRPr="00463874" w:rsidRDefault="00835CA0" w:rsidP="00835CA0">
      <w:pPr>
        <w:pStyle w:val="SingleTxtG"/>
        <w:spacing w:after="0" w:line="240" w:lineRule="auto"/>
      </w:pPr>
      <w:r w:rsidRPr="00463874">
        <w:rPr>
          <w:shd w:val="clear" w:color="auto" w:fill="FFFFFF"/>
        </w:rPr>
        <w:t>Tasimran (Simran) Thandi</w:t>
      </w:r>
    </w:p>
    <w:p w14:paraId="176F4476" w14:textId="77777777" w:rsidR="00835CA0" w:rsidRPr="001B13F6" w:rsidRDefault="00835CA0" w:rsidP="00835CA0">
      <w:pPr>
        <w:pStyle w:val="SingleTxtG"/>
        <w:spacing w:after="0" w:line="240" w:lineRule="auto"/>
      </w:pPr>
      <w:r w:rsidRPr="001B13F6">
        <w:t>Teny Karnila</w:t>
      </w:r>
    </w:p>
    <w:p w14:paraId="22A22ACD" w14:textId="77777777" w:rsidR="00835CA0" w:rsidRPr="001B13F6" w:rsidRDefault="00835CA0" w:rsidP="00835CA0">
      <w:pPr>
        <w:pStyle w:val="SingleTxtG"/>
        <w:spacing w:after="0" w:line="240" w:lineRule="auto"/>
        <w:rPr>
          <w:iCs/>
          <w:lang w:eastAsia="en-GB"/>
        </w:rPr>
      </w:pPr>
      <w:r w:rsidRPr="001B13F6">
        <w:rPr>
          <w:iCs/>
          <w:lang w:eastAsia="en-GB"/>
        </w:rPr>
        <w:t>Tessa Marsden</w:t>
      </w:r>
    </w:p>
    <w:p w14:paraId="4250BC56" w14:textId="77777777" w:rsidR="00835CA0" w:rsidRPr="001B13F6" w:rsidRDefault="00835CA0" w:rsidP="00835CA0">
      <w:pPr>
        <w:pStyle w:val="SingleTxtG"/>
        <w:spacing w:after="0" w:line="240" w:lineRule="auto"/>
      </w:pPr>
      <w:r w:rsidRPr="001B13F6">
        <w:rPr>
          <w:shd w:val="clear" w:color="auto" w:fill="FFFFFF"/>
        </w:rPr>
        <w:t>Theadora Mills</w:t>
      </w:r>
    </w:p>
    <w:p w14:paraId="2E55FC1F" w14:textId="77777777" w:rsidR="00835CA0" w:rsidRPr="001B13F6" w:rsidRDefault="00835CA0" w:rsidP="00835CA0">
      <w:pPr>
        <w:pStyle w:val="SingleTxtG"/>
        <w:spacing w:after="0" w:line="240" w:lineRule="auto"/>
      </w:pPr>
      <w:r w:rsidRPr="001B13F6">
        <w:t>Thitat Chavisschindha</w:t>
      </w:r>
    </w:p>
    <w:p w14:paraId="33B5F2AD" w14:textId="77777777" w:rsidR="00835CA0" w:rsidRPr="001B13F6" w:rsidRDefault="00835CA0" w:rsidP="00835CA0">
      <w:pPr>
        <w:pStyle w:val="SingleTxtG"/>
        <w:spacing w:after="0" w:line="240" w:lineRule="auto"/>
      </w:pPr>
      <w:r w:rsidRPr="001B13F6">
        <w:t>Tori Cooper</w:t>
      </w:r>
    </w:p>
    <w:p w14:paraId="662BA046" w14:textId="77777777" w:rsidR="00835CA0" w:rsidRPr="001B13F6" w:rsidRDefault="00835CA0" w:rsidP="00835CA0">
      <w:pPr>
        <w:pStyle w:val="SingleTxtG"/>
        <w:spacing w:after="0" w:line="240" w:lineRule="auto"/>
      </w:pPr>
      <w:r w:rsidRPr="001B13F6">
        <w:t>Ulziilkham Enkhbaatar</w:t>
      </w:r>
    </w:p>
    <w:p w14:paraId="32B09DEF" w14:textId="77777777" w:rsidR="00835CA0" w:rsidRPr="001B13F6" w:rsidRDefault="00835CA0" w:rsidP="00835CA0">
      <w:pPr>
        <w:pStyle w:val="SingleTxtG"/>
        <w:spacing w:after="0" w:line="240" w:lineRule="auto"/>
      </w:pPr>
      <w:r w:rsidRPr="001B13F6">
        <w:t>Yahe Li</w:t>
      </w:r>
    </w:p>
    <w:p w14:paraId="3CA7A102" w14:textId="77777777" w:rsidR="00835CA0" w:rsidRPr="001B13F6" w:rsidRDefault="00835CA0" w:rsidP="00835CA0">
      <w:pPr>
        <w:pStyle w:val="SingleTxtG"/>
        <w:spacing w:after="0" w:line="240" w:lineRule="auto"/>
      </w:pPr>
      <w:r w:rsidRPr="001B13F6">
        <w:t>Yatman Setiawan</w:t>
      </w:r>
    </w:p>
    <w:p w14:paraId="05D892A3" w14:textId="77777777" w:rsidR="00835CA0" w:rsidRPr="00DE454E" w:rsidRDefault="00835CA0" w:rsidP="00835CA0">
      <w:pPr>
        <w:pStyle w:val="SingleTxtG"/>
        <w:spacing w:after="0" w:line="240" w:lineRule="auto"/>
        <w:rPr>
          <w:lang w:val="es-ES"/>
        </w:rPr>
      </w:pPr>
      <w:r w:rsidRPr="00DE454E">
        <w:rPr>
          <w:lang w:val="es-ES"/>
        </w:rPr>
        <w:t>Yelyzaveta Aleksyeyeva</w:t>
      </w:r>
    </w:p>
    <w:p w14:paraId="607E2093" w14:textId="77777777" w:rsidR="00835CA0" w:rsidRPr="00DE454E" w:rsidRDefault="00835CA0" w:rsidP="00835CA0">
      <w:pPr>
        <w:pStyle w:val="SingleTxtG"/>
        <w:spacing w:after="0" w:line="240" w:lineRule="auto"/>
        <w:rPr>
          <w:lang w:val="es-ES"/>
        </w:rPr>
      </w:pPr>
      <w:r w:rsidRPr="00DE454E">
        <w:rPr>
          <w:lang w:val="es-ES"/>
        </w:rPr>
        <w:t>Žaneta Mikosa</w:t>
      </w:r>
    </w:p>
    <w:p w14:paraId="61B48B6E" w14:textId="77777777" w:rsidR="00835CA0" w:rsidRPr="00DE454E" w:rsidRDefault="00835CA0" w:rsidP="00835CA0">
      <w:pPr>
        <w:pStyle w:val="SingleTxtG"/>
        <w:spacing w:after="0" w:line="240" w:lineRule="auto"/>
        <w:rPr>
          <w:iCs/>
          <w:lang w:val="es-ES" w:eastAsia="en-GB"/>
        </w:rPr>
      </w:pPr>
      <w:r w:rsidRPr="00DE454E">
        <w:rPr>
          <w:iCs/>
          <w:lang w:val="es-ES" w:eastAsia="en-GB"/>
        </w:rPr>
        <w:t xml:space="preserve">Zara Bending </w:t>
      </w:r>
    </w:p>
    <w:p w14:paraId="6655E79B" w14:textId="77777777" w:rsidR="00835CA0" w:rsidRPr="00DE454E" w:rsidRDefault="00835CA0" w:rsidP="00835CA0">
      <w:pPr>
        <w:pStyle w:val="SingleTxtG"/>
        <w:spacing w:after="0" w:line="240" w:lineRule="auto"/>
        <w:rPr>
          <w:lang w:val="es-ES"/>
        </w:rPr>
      </w:pPr>
    </w:p>
    <w:p w14:paraId="67817A8E" w14:textId="471D685D" w:rsidR="005F3B36" w:rsidRPr="00924C56" w:rsidRDefault="00835CA0" w:rsidP="00463874">
      <w:pPr>
        <w:pStyle w:val="HChG"/>
      </w:pPr>
      <w:r w:rsidRPr="00463874">
        <w:t>Annex II</w:t>
      </w:r>
      <w:r w:rsidR="00A2507F" w:rsidRPr="00463874">
        <w:tab/>
      </w:r>
      <w:r w:rsidR="00A2507F" w:rsidRPr="00463874">
        <w:tab/>
      </w:r>
    </w:p>
    <w:p w14:paraId="28FA04AD" w14:textId="25D4CD5D" w:rsidR="005F3B36" w:rsidRPr="00463874" w:rsidRDefault="005F3B36" w:rsidP="005F3B36">
      <w:pPr>
        <w:pStyle w:val="SingleTxtG"/>
        <w:rPr>
          <w:b/>
          <w:sz w:val="24"/>
          <w:szCs w:val="24"/>
        </w:rPr>
      </w:pPr>
      <w:r w:rsidRPr="00463874">
        <w:rPr>
          <w:b/>
          <w:sz w:val="24"/>
          <w:szCs w:val="24"/>
        </w:rPr>
        <w:t xml:space="preserve">Legal recognition of the right to a healthy environment </w:t>
      </w:r>
    </w:p>
    <w:tbl>
      <w:tblPr>
        <w:tblW w:w="7370" w:type="dxa"/>
        <w:tblInd w:w="1134" w:type="dxa"/>
        <w:tblLayout w:type="fixed"/>
        <w:tblCellMar>
          <w:left w:w="0" w:type="dxa"/>
          <w:right w:w="0" w:type="dxa"/>
        </w:tblCellMar>
        <w:tblLook w:val="04A0" w:firstRow="1" w:lastRow="0" w:firstColumn="1" w:lastColumn="0" w:noHBand="0" w:noVBand="1"/>
      </w:tblPr>
      <w:tblGrid>
        <w:gridCol w:w="2924"/>
        <w:gridCol w:w="1529"/>
        <w:gridCol w:w="1408"/>
        <w:gridCol w:w="1509"/>
      </w:tblGrid>
      <w:tr w:rsidR="005F3B36" w:rsidRPr="001B13F6" w14:paraId="39360193" w14:textId="77777777" w:rsidTr="00843397">
        <w:trPr>
          <w:tblHeader/>
        </w:trPr>
        <w:tc>
          <w:tcPr>
            <w:tcW w:w="2924" w:type="dxa"/>
            <w:tcBorders>
              <w:top w:val="single" w:sz="4" w:space="0" w:color="auto"/>
              <w:bottom w:val="single" w:sz="12" w:space="0" w:color="auto"/>
            </w:tcBorders>
            <w:shd w:val="clear" w:color="auto" w:fill="auto"/>
            <w:vAlign w:val="bottom"/>
          </w:tcPr>
          <w:p w14:paraId="1A922EEE" w14:textId="77777777" w:rsidR="005F3B36" w:rsidRPr="001B13F6" w:rsidRDefault="005F3B36" w:rsidP="00843397">
            <w:pPr>
              <w:spacing w:before="80" w:after="80" w:line="200" w:lineRule="exact"/>
              <w:ind w:right="113"/>
              <w:rPr>
                <w:i/>
                <w:sz w:val="16"/>
              </w:rPr>
            </w:pPr>
          </w:p>
        </w:tc>
        <w:tc>
          <w:tcPr>
            <w:tcW w:w="1529" w:type="dxa"/>
            <w:tcBorders>
              <w:top w:val="single" w:sz="4" w:space="0" w:color="auto"/>
              <w:bottom w:val="single" w:sz="12" w:space="0" w:color="auto"/>
            </w:tcBorders>
            <w:shd w:val="clear" w:color="auto" w:fill="auto"/>
            <w:vAlign w:val="bottom"/>
          </w:tcPr>
          <w:p w14:paraId="751F0EEA" w14:textId="77777777" w:rsidR="005F3B36" w:rsidRPr="001B13F6" w:rsidRDefault="005F3B36" w:rsidP="00843397">
            <w:pPr>
              <w:spacing w:before="80" w:after="80" w:line="200" w:lineRule="exact"/>
              <w:ind w:right="113"/>
              <w:rPr>
                <w:i/>
                <w:sz w:val="16"/>
              </w:rPr>
            </w:pPr>
            <w:r w:rsidRPr="001B13F6">
              <w:rPr>
                <w:i/>
                <w:sz w:val="16"/>
              </w:rPr>
              <w:t>National Constitution</w:t>
            </w:r>
          </w:p>
        </w:tc>
        <w:tc>
          <w:tcPr>
            <w:tcW w:w="1408" w:type="dxa"/>
            <w:tcBorders>
              <w:top w:val="single" w:sz="4" w:space="0" w:color="auto"/>
              <w:bottom w:val="single" w:sz="12" w:space="0" w:color="auto"/>
            </w:tcBorders>
            <w:shd w:val="clear" w:color="auto" w:fill="auto"/>
            <w:vAlign w:val="bottom"/>
          </w:tcPr>
          <w:p w14:paraId="438C1886" w14:textId="213195A6" w:rsidR="005F3B36" w:rsidRPr="001B13F6" w:rsidRDefault="005F3B36" w:rsidP="00843397">
            <w:pPr>
              <w:spacing w:before="80" w:after="80" w:line="200" w:lineRule="exact"/>
              <w:ind w:right="113"/>
              <w:rPr>
                <w:i/>
                <w:sz w:val="16"/>
              </w:rPr>
            </w:pPr>
            <w:r w:rsidRPr="001B13F6">
              <w:rPr>
                <w:i/>
                <w:sz w:val="16"/>
              </w:rPr>
              <w:t>International treaty*</w:t>
            </w:r>
          </w:p>
        </w:tc>
        <w:tc>
          <w:tcPr>
            <w:tcW w:w="1509" w:type="dxa"/>
            <w:tcBorders>
              <w:top w:val="single" w:sz="4" w:space="0" w:color="auto"/>
              <w:bottom w:val="single" w:sz="12" w:space="0" w:color="auto"/>
            </w:tcBorders>
            <w:shd w:val="clear" w:color="auto" w:fill="auto"/>
            <w:vAlign w:val="bottom"/>
          </w:tcPr>
          <w:p w14:paraId="7095ADB6" w14:textId="60547C4C" w:rsidR="005F3B36" w:rsidRPr="001B13F6" w:rsidRDefault="005F3B36" w:rsidP="00843397">
            <w:pPr>
              <w:spacing w:before="80" w:after="80" w:line="200" w:lineRule="exact"/>
              <w:ind w:right="113"/>
              <w:rPr>
                <w:i/>
                <w:sz w:val="16"/>
              </w:rPr>
            </w:pPr>
            <w:r w:rsidRPr="001B13F6">
              <w:rPr>
                <w:i/>
                <w:sz w:val="16"/>
              </w:rPr>
              <w:t>National legislation</w:t>
            </w:r>
          </w:p>
        </w:tc>
      </w:tr>
      <w:tr w:rsidR="005F3B36" w:rsidRPr="001B13F6" w14:paraId="75DF18CC" w14:textId="77777777" w:rsidTr="00843397">
        <w:trPr>
          <w:trHeight w:hRule="exact" w:val="113"/>
        </w:trPr>
        <w:tc>
          <w:tcPr>
            <w:tcW w:w="2924" w:type="dxa"/>
            <w:tcBorders>
              <w:top w:val="single" w:sz="12" w:space="0" w:color="auto"/>
            </w:tcBorders>
            <w:shd w:val="clear" w:color="auto" w:fill="auto"/>
          </w:tcPr>
          <w:p w14:paraId="67E731F3" w14:textId="77777777" w:rsidR="005F3B36" w:rsidRPr="001B13F6" w:rsidRDefault="005F3B36" w:rsidP="00843397">
            <w:pPr>
              <w:spacing w:before="40" w:after="120"/>
              <w:ind w:right="113"/>
            </w:pPr>
          </w:p>
        </w:tc>
        <w:tc>
          <w:tcPr>
            <w:tcW w:w="1529" w:type="dxa"/>
            <w:tcBorders>
              <w:top w:val="single" w:sz="12" w:space="0" w:color="auto"/>
            </w:tcBorders>
            <w:shd w:val="clear" w:color="auto" w:fill="auto"/>
          </w:tcPr>
          <w:p w14:paraId="2B743768" w14:textId="77777777" w:rsidR="005F3B36" w:rsidRPr="001B13F6" w:rsidRDefault="005F3B36" w:rsidP="00843397">
            <w:pPr>
              <w:spacing w:before="40" w:after="120"/>
              <w:ind w:right="113"/>
            </w:pPr>
          </w:p>
        </w:tc>
        <w:tc>
          <w:tcPr>
            <w:tcW w:w="1408" w:type="dxa"/>
            <w:tcBorders>
              <w:top w:val="single" w:sz="12" w:space="0" w:color="auto"/>
            </w:tcBorders>
            <w:shd w:val="clear" w:color="auto" w:fill="auto"/>
          </w:tcPr>
          <w:p w14:paraId="247E5B7D" w14:textId="77777777" w:rsidR="005F3B36" w:rsidRPr="001B13F6" w:rsidRDefault="005F3B36" w:rsidP="00843397">
            <w:pPr>
              <w:spacing w:before="40" w:after="120"/>
              <w:ind w:right="113"/>
            </w:pPr>
          </w:p>
        </w:tc>
        <w:tc>
          <w:tcPr>
            <w:tcW w:w="1509" w:type="dxa"/>
            <w:tcBorders>
              <w:top w:val="single" w:sz="12" w:space="0" w:color="auto"/>
            </w:tcBorders>
            <w:shd w:val="clear" w:color="auto" w:fill="auto"/>
          </w:tcPr>
          <w:p w14:paraId="1E88818F" w14:textId="77777777" w:rsidR="005F3B36" w:rsidRPr="001B13F6" w:rsidRDefault="005F3B36" w:rsidP="00843397">
            <w:pPr>
              <w:spacing w:before="40" w:after="120"/>
              <w:ind w:right="113"/>
            </w:pPr>
          </w:p>
        </w:tc>
      </w:tr>
      <w:tr w:rsidR="005F3B36" w:rsidRPr="001B13F6" w14:paraId="6DF02B63" w14:textId="77777777" w:rsidTr="00843397">
        <w:tc>
          <w:tcPr>
            <w:tcW w:w="2924" w:type="dxa"/>
            <w:shd w:val="clear" w:color="auto" w:fill="auto"/>
          </w:tcPr>
          <w:p w14:paraId="0AC73FC0" w14:textId="77777777" w:rsidR="005F3B36" w:rsidRPr="001B13F6" w:rsidRDefault="005F3B36" w:rsidP="00843397">
            <w:pPr>
              <w:spacing w:before="40" w:after="120"/>
              <w:ind w:right="113"/>
            </w:pPr>
            <w:r w:rsidRPr="001B13F6">
              <w:t>Afghanistan</w:t>
            </w:r>
          </w:p>
        </w:tc>
        <w:tc>
          <w:tcPr>
            <w:tcW w:w="1529" w:type="dxa"/>
            <w:shd w:val="clear" w:color="auto" w:fill="auto"/>
          </w:tcPr>
          <w:p w14:paraId="18E5631F" w14:textId="77777777" w:rsidR="005F3B36" w:rsidRPr="001B13F6" w:rsidRDefault="005F3B36" w:rsidP="00843397">
            <w:pPr>
              <w:spacing w:before="40" w:after="120"/>
              <w:ind w:right="113"/>
            </w:pPr>
            <w:r w:rsidRPr="001B13F6">
              <w:t>N</w:t>
            </w:r>
          </w:p>
        </w:tc>
        <w:tc>
          <w:tcPr>
            <w:tcW w:w="1408" w:type="dxa"/>
            <w:shd w:val="clear" w:color="auto" w:fill="auto"/>
          </w:tcPr>
          <w:p w14:paraId="331862D8" w14:textId="77777777" w:rsidR="005F3B36" w:rsidRPr="001B13F6" w:rsidRDefault="005F3B36" w:rsidP="00843397">
            <w:pPr>
              <w:spacing w:before="40" w:after="120"/>
              <w:ind w:right="113"/>
            </w:pPr>
            <w:r w:rsidRPr="001B13F6">
              <w:t>N</w:t>
            </w:r>
          </w:p>
        </w:tc>
        <w:tc>
          <w:tcPr>
            <w:tcW w:w="1509" w:type="dxa"/>
            <w:shd w:val="clear" w:color="auto" w:fill="auto"/>
          </w:tcPr>
          <w:p w14:paraId="4994D65B" w14:textId="77777777" w:rsidR="005F3B36" w:rsidRPr="001B13F6" w:rsidRDefault="005F3B36" w:rsidP="00843397">
            <w:pPr>
              <w:spacing w:before="40" w:after="120"/>
              <w:ind w:right="113"/>
            </w:pPr>
            <w:r w:rsidRPr="001B13F6">
              <w:t>N</w:t>
            </w:r>
          </w:p>
        </w:tc>
      </w:tr>
      <w:tr w:rsidR="005F3B36" w:rsidRPr="001B13F6" w14:paraId="76F39A80" w14:textId="77777777" w:rsidTr="00843397">
        <w:tc>
          <w:tcPr>
            <w:tcW w:w="2924" w:type="dxa"/>
            <w:shd w:val="clear" w:color="auto" w:fill="auto"/>
          </w:tcPr>
          <w:p w14:paraId="31BD5600" w14:textId="77777777" w:rsidR="005F3B36" w:rsidRPr="001B13F6" w:rsidRDefault="005F3B36" w:rsidP="00843397">
            <w:pPr>
              <w:spacing w:before="40" w:after="120"/>
              <w:ind w:right="113"/>
            </w:pPr>
            <w:r w:rsidRPr="001B13F6">
              <w:t>Albania</w:t>
            </w:r>
          </w:p>
        </w:tc>
        <w:tc>
          <w:tcPr>
            <w:tcW w:w="1529" w:type="dxa"/>
            <w:shd w:val="clear" w:color="auto" w:fill="auto"/>
          </w:tcPr>
          <w:p w14:paraId="4798FA2B" w14:textId="77777777" w:rsidR="005F3B36" w:rsidRPr="001B13F6" w:rsidRDefault="005F3B36" w:rsidP="00843397">
            <w:pPr>
              <w:spacing w:before="40" w:after="120"/>
              <w:ind w:right="113"/>
            </w:pPr>
            <w:r w:rsidRPr="001B13F6">
              <w:t>N </w:t>
            </w:r>
          </w:p>
        </w:tc>
        <w:tc>
          <w:tcPr>
            <w:tcW w:w="1408" w:type="dxa"/>
            <w:shd w:val="clear" w:color="auto" w:fill="auto"/>
          </w:tcPr>
          <w:p w14:paraId="52C217FD" w14:textId="77777777" w:rsidR="005F3B36" w:rsidRPr="001B13F6" w:rsidRDefault="005F3B36" w:rsidP="00843397">
            <w:pPr>
              <w:spacing w:before="40" w:after="120"/>
              <w:ind w:right="113"/>
            </w:pPr>
            <w:r w:rsidRPr="001B13F6">
              <w:t>Y</w:t>
            </w:r>
          </w:p>
        </w:tc>
        <w:tc>
          <w:tcPr>
            <w:tcW w:w="1509" w:type="dxa"/>
            <w:shd w:val="clear" w:color="auto" w:fill="auto"/>
          </w:tcPr>
          <w:p w14:paraId="7B1F32FA" w14:textId="77777777" w:rsidR="005F3B36" w:rsidRPr="001B13F6" w:rsidRDefault="005F3B36" w:rsidP="00843397">
            <w:pPr>
              <w:spacing w:before="40" w:after="120"/>
              <w:ind w:right="113"/>
            </w:pPr>
            <w:r w:rsidRPr="001B13F6">
              <w:t>N</w:t>
            </w:r>
          </w:p>
        </w:tc>
      </w:tr>
      <w:tr w:rsidR="005F3B36" w:rsidRPr="001B13F6" w14:paraId="360E6CCB" w14:textId="77777777" w:rsidTr="00843397">
        <w:tc>
          <w:tcPr>
            <w:tcW w:w="2924" w:type="dxa"/>
            <w:shd w:val="clear" w:color="auto" w:fill="auto"/>
          </w:tcPr>
          <w:p w14:paraId="7A7B201A" w14:textId="77777777" w:rsidR="005F3B36" w:rsidRPr="001B13F6" w:rsidRDefault="005F3B36" w:rsidP="00843397">
            <w:pPr>
              <w:spacing w:before="40" w:after="120"/>
              <w:ind w:right="113"/>
            </w:pPr>
            <w:r w:rsidRPr="001B13F6">
              <w:t>Algeria</w:t>
            </w:r>
          </w:p>
        </w:tc>
        <w:tc>
          <w:tcPr>
            <w:tcW w:w="1529" w:type="dxa"/>
            <w:shd w:val="clear" w:color="auto" w:fill="auto"/>
          </w:tcPr>
          <w:p w14:paraId="608B6C2C" w14:textId="77777777" w:rsidR="005F3B36" w:rsidRPr="001B13F6" w:rsidRDefault="005F3B36" w:rsidP="00843397">
            <w:pPr>
              <w:spacing w:before="40" w:after="120"/>
              <w:ind w:right="113"/>
            </w:pPr>
            <w:r w:rsidRPr="001B13F6">
              <w:t>Y</w:t>
            </w:r>
          </w:p>
        </w:tc>
        <w:tc>
          <w:tcPr>
            <w:tcW w:w="1408" w:type="dxa"/>
            <w:shd w:val="clear" w:color="auto" w:fill="auto"/>
          </w:tcPr>
          <w:p w14:paraId="5FC1AF05" w14:textId="77777777" w:rsidR="005F3B36" w:rsidRPr="001B13F6" w:rsidRDefault="005F3B36" w:rsidP="00843397">
            <w:pPr>
              <w:spacing w:before="40" w:after="120"/>
              <w:ind w:right="113"/>
            </w:pPr>
            <w:r w:rsidRPr="001B13F6">
              <w:t>Y</w:t>
            </w:r>
          </w:p>
        </w:tc>
        <w:tc>
          <w:tcPr>
            <w:tcW w:w="1509" w:type="dxa"/>
            <w:shd w:val="clear" w:color="auto" w:fill="auto"/>
          </w:tcPr>
          <w:p w14:paraId="24644742" w14:textId="77777777" w:rsidR="005F3B36" w:rsidRPr="001B13F6" w:rsidRDefault="005F3B36" w:rsidP="00843397">
            <w:pPr>
              <w:spacing w:before="40" w:after="120"/>
              <w:ind w:right="113"/>
            </w:pPr>
            <w:r w:rsidRPr="001B13F6">
              <w:t>N</w:t>
            </w:r>
          </w:p>
        </w:tc>
      </w:tr>
      <w:tr w:rsidR="005F3B36" w:rsidRPr="001B13F6" w14:paraId="5EF25B8F" w14:textId="77777777" w:rsidTr="00843397">
        <w:tc>
          <w:tcPr>
            <w:tcW w:w="2924" w:type="dxa"/>
            <w:shd w:val="clear" w:color="auto" w:fill="auto"/>
          </w:tcPr>
          <w:p w14:paraId="62707BF7" w14:textId="77777777" w:rsidR="005F3B36" w:rsidRPr="001B13F6" w:rsidRDefault="005F3B36" w:rsidP="00843397">
            <w:pPr>
              <w:spacing w:before="40" w:after="120"/>
              <w:ind w:right="113"/>
            </w:pPr>
            <w:r w:rsidRPr="001B13F6">
              <w:t>Andorra</w:t>
            </w:r>
          </w:p>
        </w:tc>
        <w:tc>
          <w:tcPr>
            <w:tcW w:w="1529" w:type="dxa"/>
            <w:shd w:val="clear" w:color="auto" w:fill="auto"/>
          </w:tcPr>
          <w:p w14:paraId="105092DE" w14:textId="77777777" w:rsidR="005F3B36" w:rsidRPr="001B13F6" w:rsidRDefault="005F3B36" w:rsidP="00843397">
            <w:pPr>
              <w:spacing w:before="40" w:after="120"/>
              <w:ind w:right="113"/>
            </w:pPr>
            <w:r w:rsidRPr="001B13F6">
              <w:t>N</w:t>
            </w:r>
          </w:p>
        </w:tc>
        <w:tc>
          <w:tcPr>
            <w:tcW w:w="1408" w:type="dxa"/>
            <w:shd w:val="clear" w:color="auto" w:fill="auto"/>
          </w:tcPr>
          <w:p w14:paraId="7E1F03D8" w14:textId="77777777" w:rsidR="005F3B36" w:rsidRPr="001B13F6" w:rsidRDefault="005F3B36" w:rsidP="00843397">
            <w:pPr>
              <w:spacing w:before="40" w:after="120"/>
              <w:ind w:right="113"/>
            </w:pPr>
            <w:r w:rsidRPr="001B13F6">
              <w:t>N</w:t>
            </w:r>
          </w:p>
        </w:tc>
        <w:tc>
          <w:tcPr>
            <w:tcW w:w="1509" w:type="dxa"/>
            <w:shd w:val="clear" w:color="auto" w:fill="auto"/>
          </w:tcPr>
          <w:p w14:paraId="06E37453" w14:textId="77777777" w:rsidR="005F3B36" w:rsidRPr="001B13F6" w:rsidRDefault="005F3B36" w:rsidP="00843397">
            <w:pPr>
              <w:spacing w:before="40" w:after="120"/>
              <w:ind w:right="113"/>
            </w:pPr>
            <w:r w:rsidRPr="001B13F6">
              <w:t>N</w:t>
            </w:r>
          </w:p>
        </w:tc>
      </w:tr>
      <w:tr w:rsidR="005F3B36" w:rsidRPr="001B13F6" w14:paraId="7AF7C5FB" w14:textId="77777777" w:rsidTr="00843397">
        <w:tc>
          <w:tcPr>
            <w:tcW w:w="2924" w:type="dxa"/>
            <w:shd w:val="clear" w:color="auto" w:fill="auto"/>
          </w:tcPr>
          <w:p w14:paraId="12AF5AC3" w14:textId="77777777" w:rsidR="005F3B36" w:rsidRPr="001B13F6" w:rsidRDefault="005F3B36" w:rsidP="00843397">
            <w:pPr>
              <w:spacing w:before="40" w:after="120"/>
              <w:ind w:right="113"/>
            </w:pPr>
            <w:r w:rsidRPr="001B13F6">
              <w:t>Angola</w:t>
            </w:r>
          </w:p>
        </w:tc>
        <w:tc>
          <w:tcPr>
            <w:tcW w:w="1529" w:type="dxa"/>
            <w:shd w:val="clear" w:color="auto" w:fill="auto"/>
          </w:tcPr>
          <w:p w14:paraId="6C39AE33" w14:textId="77777777" w:rsidR="005F3B36" w:rsidRPr="001B13F6" w:rsidRDefault="005F3B36" w:rsidP="00843397">
            <w:pPr>
              <w:spacing w:before="40" w:after="120"/>
              <w:ind w:right="113"/>
            </w:pPr>
            <w:r w:rsidRPr="001B13F6">
              <w:t>Y</w:t>
            </w:r>
          </w:p>
        </w:tc>
        <w:tc>
          <w:tcPr>
            <w:tcW w:w="1408" w:type="dxa"/>
            <w:shd w:val="clear" w:color="auto" w:fill="auto"/>
          </w:tcPr>
          <w:p w14:paraId="7BDCBFAD" w14:textId="77777777" w:rsidR="005F3B36" w:rsidRPr="001B13F6" w:rsidRDefault="005F3B36" w:rsidP="00843397">
            <w:pPr>
              <w:spacing w:before="40" w:after="120"/>
              <w:ind w:right="113"/>
            </w:pPr>
            <w:r w:rsidRPr="001B13F6">
              <w:t>Y</w:t>
            </w:r>
          </w:p>
        </w:tc>
        <w:tc>
          <w:tcPr>
            <w:tcW w:w="1509" w:type="dxa"/>
            <w:shd w:val="clear" w:color="auto" w:fill="auto"/>
          </w:tcPr>
          <w:p w14:paraId="5EB25871" w14:textId="77777777" w:rsidR="005F3B36" w:rsidRPr="001B13F6" w:rsidRDefault="005F3B36" w:rsidP="00843397">
            <w:pPr>
              <w:spacing w:before="40" w:after="120"/>
              <w:ind w:right="113"/>
            </w:pPr>
            <w:r w:rsidRPr="001B13F6">
              <w:t>Y</w:t>
            </w:r>
          </w:p>
        </w:tc>
      </w:tr>
      <w:tr w:rsidR="005F3B36" w:rsidRPr="001B13F6" w14:paraId="67211DDE" w14:textId="77777777" w:rsidTr="00843397">
        <w:tc>
          <w:tcPr>
            <w:tcW w:w="2924" w:type="dxa"/>
            <w:shd w:val="clear" w:color="auto" w:fill="auto"/>
          </w:tcPr>
          <w:p w14:paraId="0E7333B6" w14:textId="77777777" w:rsidR="005F3B36" w:rsidRPr="001B13F6" w:rsidRDefault="005F3B36" w:rsidP="00843397">
            <w:pPr>
              <w:spacing w:before="40" w:after="120"/>
              <w:ind w:right="113"/>
            </w:pPr>
            <w:r w:rsidRPr="001B13F6">
              <w:t>Antigua and Barbuda</w:t>
            </w:r>
          </w:p>
        </w:tc>
        <w:tc>
          <w:tcPr>
            <w:tcW w:w="1529" w:type="dxa"/>
            <w:shd w:val="clear" w:color="auto" w:fill="auto"/>
          </w:tcPr>
          <w:p w14:paraId="7493749A" w14:textId="77777777" w:rsidR="005F3B36" w:rsidRPr="001B13F6" w:rsidRDefault="005F3B36" w:rsidP="00843397">
            <w:pPr>
              <w:spacing w:before="40" w:after="120"/>
              <w:ind w:right="113"/>
            </w:pPr>
            <w:r w:rsidRPr="001B13F6">
              <w:t>N</w:t>
            </w:r>
          </w:p>
        </w:tc>
        <w:tc>
          <w:tcPr>
            <w:tcW w:w="1408" w:type="dxa"/>
            <w:shd w:val="clear" w:color="auto" w:fill="auto"/>
          </w:tcPr>
          <w:p w14:paraId="57ED2D95" w14:textId="77777777" w:rsidR="005F3B36" w:rsidRPr="001B13F6" w:rsidRDefault="005F3B36" w:rsidP="00843397">
            <w:pPr>
              <w:spacing w:before="40" w:after="120"/>
              <w:ind w:right="113"/>
            </w:pPr>
            <w:r w:rsidRPr="001B13F6">
              <w:t>N</w:t>
            </w:r>
          </w:p>
        </w:tc>
        <w:tc>
          <w:tcPr>
            <w:tcW w:w="1509" w:type="dxa"/>
            <w:shd w:val="clear" w:color="auto" w:fill="auto"/>
          </w:tcPr>
          <w:p w14:paraId="40FA8DDD" w14:textId="77777777" w:rsidR="005F3B36" w:rsidRPr="001B13F6" w:rsidRDefault="005F3B36" w:rsidP="00843397">
            <w:pPr>
              <w:spacing w:before="40" w:after="120"/>
              <w:ind w:right="113"/>
            </w:pPr>
            <w:r w:rsidRPr="001B13F6">
              <w:t>N</w:t>
            </w:r>
          </w:p>
        </w:tc>
      </w:tr>
      <w:tr w:rsidR="005F3B36" w:rsidRPr="001B13F6" w14:paraId="0C40C4D4" w14:textId="77777777" w:rsidTr="00843397">
        <w:tc>
          <w:tcPr>
            <w:tcW w:w="2924" w:type="dxa"/>
            <w:shd w:val="clear" w:color="auto" w:fill="auto"/>
          </w:tcPr>
          <w:p w14:paraId="7C83AB88" w14:textId="77777777" w:rsidR="005F3B36" w:rsidRPr="001B13F6" w:rsidRDefault="005F3B36" w:rsidP="00843397">
            <w:pPr>
              <w:spacing w:before="40" w:after="120"/>
              <w:ind w:right="113"/>
            </w:pPr>
            <w:r w:rsidRPr="001B13F6">
              <w:t>Argentina</w:t>
            </w:r>
          </w:p>
        </w:tc>
        <w:tc>
          <w:tcPr>
            <w:tcW w:w="1529" w:type="dxa"/>
            <w:shd w:val="clear" w:color="auto" w:fill="auto"/>
          </w:tcPr>
          <w:p w14:paraId="62587119" w14:textId="77777777" w:rsidR="005F3B36" w:rsidRPr="001B13F6" w:rsidRDefault="005F3B36" w:rsidP="00843397">
            <w:pPr>
              <w:spacing w:before="40" w:after="120"/>
              <w:ind w:right="113"/>
            </w:pPr>
            <w:r w:rsidRPr="001B13F6">
              <w:t>Y</w:t>
            </w:r>
          </w:p>
        </w:tc>
        <w:tc>
          <w:tcPr>
            <w:tcW w:w="1408" w:type="dxa"/>
            <w:shd w:val="clear" w:color="auto" w:fill="auto"/>
          </w:tcPr>
          <w:p w14:paraId="75F7AD1C" w14:textId="77777777" w:rsidR="005F3B36" w:rsidRPr="001B13F6" w:rsidRDefault="005F3B36" w:rsidP="00843397">
            <w:pPr>
              <w:spacing w:before="40" w:after="120"/>
              <w:ind w:right="113"/>
            </w:pPr>
            <w:r w:rsidRPr="001B13F6">
              <w:t>Y</w:t>
            </w:r>
          </w:p>
        </w:tc>
        <w:tc>
          <w:tcPr>
            <w:tcW w:w="1509" w:type="dxa"/>
            <w:shd w:val="clear" w:color="auto" w:fill="auto"/>
          </w:tcPr>
          <w:p w14:paraId="39B913FE" w14:textId="77777777" w:rsidR="005F3B36" w:rsidRPr="001B13F6" w:rsidRDefault="005F3B36" w:rsidP="00843397">
            <w:pPr>
              <w:spacing w:before="40" w:after="120"/>
              <w:ind w:right="113"/>
            </w:pPr>
            <w:r w:rsidRPr="001B13F6">
              <w:t>Y</w:t>
            </w:r>
          </w:p>
        </w:tc>
      </w:tr>
      <w:tr w:rsidR="005F3B36" w:rsidRPr="001B13F6" w14:paraId="6C21FC32" w14:textId="77777777" w:rsidTr="00843397">
        <w:tc>
          <w:tcPr>
            <w:tcW w:w="2924" w:type="dxa"/>
            <w:shd w:val="clear" w:color="auto" w:fill="auto"/>
          </w:tcPr>
          <w:p w14:paraId="2BCBAC6B" w14:textId="77777777" w:rsidR="005F3B36" w:rsidRPr="001B13F6" w:rsidRDefault="005F3B36" w:rsidP="00843397">
            <w:pPr>
              <w:spacing w:before="40" w:after="120"/>
              <w:ind w:right="113"/>
            </w:pPr>
            <w:r w:rsidRPr="001B13F6">
              <w:t>Armenia</w:t>
            </w:r>
          </w:p>
        </w:tc>
        <w:tc>
          <w:tcPr>
            <w:tcW w:w="1529" w:type="dxa"/>
            <w:shd w:val="clear" w:color="auto" w:fill="auto"/>
          </w:tcPr>
          <w:p w14:paraId="3FA24F93" w14:textId="77777777" w:rsidR="005F3B36" w:rsidRPr="001B13F6" w:rsidRDefault="005F3B36" w:rsidP="00843397">
            <w:pPr>
              <w:spacing w:before="40" w:after="120"/>
              <w:ind w:right="113"/>
            </w:pPr>
            <w:r w:rsidRPr="001B13F6">
              <w:t>N</w:t>
            </w:r>
          </w:p>
        </w:tc>
        <w:tc>
          <w:tcPr>
            <w:tcW w:w="1408" w:type="dxa"/>
            <w:shd w:val="clear" w:color="auto" w:fill="auto"/>
          </w:tcPr>
          <w:p w14:paraId="50D397EA" w14:textId="77777777" w:rsidR="005F3B36" w:rsidRPr="001B13F6" w:rsidRDefault="005F3B36" w:rsidP="00843397">
            <w:pPr>
              <w:spacing w:before="40" w:after="120"/>
              <w:ind w:right="113"/>
            </w:pPr>
            <w:r w:rsidRPr="001B13F6">
              <w:t>Y</w:t>
            </w:r>
          </w:p>
        </w:tc>
        <w:tc>
          <w:tcPr>
            <w:tcW w:w="1509" w:type="dxa"/>
            <w:shd w:val="clear" w:color="auto" w:fill="auto"/>
          </w:tcPr>
          <w:p w14:paraId="6077B9DB" w14:textId="77777777" w:rsidR="005F3B36" w:rsidRPr="001B13F6" w:rsidRDefault="005F3B36" w:rsidP="00843397">
            <w:pPr>
              <w:spacing w:before="40" w:after="120"/>
              <w:ind w:right="113"/>
            </w:pPr>
            <w:r w:rsidRPr="001B13F6">
              <w:t>Y</w:t>
            </w:r>
          </w:p>
        </w:tc>
      </w:tr>
      <w:tr w:rsidR="005F3B36" w:rsidRPr="001B13F6" w14:paraId="22A02BC4" w14:textId="77777777" w:rsidTr="00843397">
        <w:tc>
          <w:tcPr>
            <w:tcW w:w="2924" w:type="dxa"/>
            <w:shd w:val="clear" w:color="auto" w:fill="auto"/>
          </w:tcPr>
          <w:p w14:paraId="6ED4EABE" w14:textId="77777777" w:rsidR="005F3B36" w:rsidRPr="001B13F6" w:rsidRDefault="005F3B36" w:rsidP="00843397">
            <w:pPr>
              <w:spacing w:before="40" w:after="120"/>
              <w:ind w:right="113"/>
            </w:pPr>
            <w:r w:rsidRPr="001B13F6">
              <w:t>Australia</w:t>
            </w:r>
          </w:p>
        </w:tc>
        <w:tc>
          <w:tcPr>
            <w:tcW w:w="1529" w:type="dxa"/>
            <w:shd w:val="clear" w:color="auto" w:fill="auto"/>
          </w:tcPr>
          <w:p w14:paraId="793E8078" w14:textId="77777777" w:rsidR="005F3B36" w:rsidRPr="001B13F6" w:rsidRDefault="005F3B36" w:rsidP="00843397">
            <w:pPr>
              <w:spacing w:before="40" w:after="120"/>
              <w:ind w:right="113"/>
            </w:pPr>
            <w:r w:rsidRPr="001B13F6">
              <w:t>N</w:t>
            </w:r>
          </w:p>
        </w:tc>
        <w:tc>
          <w:tcPr>
            <w:tcW w:w="1408" w:type="dxa"/>
            <w:shd w:val="clear" w:color="auto" w:fill="auto"/>
          </w:tcPr>
          <w:p w14:paraId="6DD368C3" w14:textId="77777777" w:rsidR="005F3B36" w:rsidRPr="001B13F6" w:rsidRDefault="005F3B36" w:rsidP="00843397">
            <w:pPr>
              <w:spacing w:before="40" w:after="120"/>
              <w:ind w:right="113"/>
            </w:pPr>
            <w:r w:rsidRPr="001B13F6">
              <w:t>N</w:t>
            </w:r>
          </w:p>
        </w:tc>
        <w:tc>
          <w:tcPr>
            <w:tcW w:w="1509" w:type="dxa"/>
            <w:shd w:val="clear" w:color="auto" w:fill="auto"/>
          </w:tcPr>
          <w:p w14:paraId="6266F3B4" w14:textId="77777777" w:rsidR="005F3B36" w:rsidRPr="001B13F6" w:rsidRDefault="005F3B36" w:rsidP="00843397">
            <w:pPr>
              <w:spacing w:before="40" w:after="120"/>
              <w:ind w:right="113"/>
            </w:pPr>
            <w:r w:rsidRPr="001B13F6">
              <w:t>N</w:t>
            </w:r>
          </w:p>
        </w:tc>
      </w:tr>
      <w:tr w:rsidR="005F3B36" w:rsidRPr="001B13F6" w14:paraId="69B123C5" w14:textId="77777777" w:rsidTr="00843397">
        <w:tc>
          <w:tcPr>
            <w:tcW w:w="2924" w:type="dxa"/>
            <w:shd w:val="clear" w:color="auto" w:fill="auto"/>
          </w:tcPr>
          <w:p w14:paraId="75BBBCD7" w14:textId="77777777" w:rsidR="005F3B36" w:rsidRPr="001B13F6" w:rsidRDefault="005F3B36" w:rsidP="00843397">
            <w:pPr>
              <w:spacing w:before="40" w:after="120"/>
              <w:ind w:right="113"/>
            </w:pPr>
            <w:r w:rsidRPr="001B13F6">
              <w:t>Austria</w:t>
            </w:r>
          </w:p>
        </w:tc>
        <w:tc>
          <w:tcPr>
            <w:tcW w:w="1529" w:type="dxa"/>
            <w:shd w:val="clear" w:color="auto" w:fill="auto"/>
          </w:tcPr>
          <w:p w14:paraId="3E487E9D" w14:textId="77777777" w:rsidR="005F3B36" w:rsidRPr="001B13F6" w:rsidRDefault="005F3B36" w:rsidP="00843397">
            <w:pPr>
              <w:spacing w:before="40" w:after="120"/>
              <w:ind w:right="113"/>
            </w:pPr>
            <w:r w:rsidRPr="001B13F6">
              <w:t>N</w:t>
            </w:r>
          </w:p>
        </w:tc>
        <w:tc>
          <w:tcPr>
            <w:tcW w:w="1408" w:type="dxa"/>
            <w:shd w:val="clear" w:color="auto" w:fill="auto"/>
          </w:tcPr>
          <w:p w14:paraId="7E2E2645" w14:textId="77777777" w:rsidR="005F3B36" w:rsidRPr="001B13F6" w:rsidRDefault="005F3B36" w:rsidP="00843397">
            <w:pPr>
              <w:spacing w:before="40" w:after="120"/>
              <w:ind w:right="113"/>
            </w:pPr>
            <w:r w:rsidRPr="001B13F6">
              <w:t>Y</w:t>
            </w:r>
          </w:p>
        </w:tc>
        <w:tc>
          <w:tcPr>
            <w:tcW w:w="1509" w:type="dxa"/>
            <w:shd w:val="clear" w:color="auto" w:fill="auto"/>
          </w:tcPr>
          <w:p w14:paraId="4B7F3215" w14:textId="77777777" w:rsidR="005F3B36" w:rsidRPr="001B13F6" w:rsidRDefault="005F3B36" w:rsidP="00843397">
            <w:pPr>
              <w:spacing w:before="40" w:after="120"/>
              <w:ind w:right="113"/>
            </w:pPr>
            <w:r w:rsidRPr="001B13F6">
              <w:t>N</w:t>
            </w:r>
          </w:p>
        </w:tc>
      </w:tr>
      <w:tr w:rsidR="005F3B36" w:rsidRPr="001B13F6" w14:paraId="7A079C35" w14:textId="77777777" w:rsidTr="00843397">
        <w:tc>
          <w:tcPr>
            <w:tcW w:w="2924" w:type="dxa"/>
            <w:shd w:val="clear" w:color="auto" w:fill="auto"/>
          </w:tcPr>
          <w:p w14:paraId="4BB63C18" w14:textId="77777777" w:rsidR="005F3B36" w:rsidRPr="001B13F6" w:rsidRDefault="005F3B36" w:rsidP="00843397">
            <w:pPr>
              <w:spacing w:before="40" w:after="120"/>
              <w:ind w:right="113"/>
            </w:pPr>
            <w:r w:rsidRPr="001B13F6">
              <w:t>Azerbaijan</w:t>
            </w:r>
          </w:p>
        </w:tc>
        <w:tc>
          <w:tcPr>
            <w:tcW w:w="1529" w:type="dxa"/>
            <w:shd w:val="clear" w:color="auto" w:fill="auto"/>
          </w:tcPr>
          <w:p w14:paraId="292C4467" w14:textId="77777777" w:rsidR="005F3B36" w:rsidRPr="001B13F6" w:rsidRDefault="005F3B36" w:rsidP="00843397">
            <w:pPr>
              <w:spacing w:before="40" w:after="120"/>
              <w:ind w:right="113"/>
            </w:pPr>
            <w:r w:rsidRPr="001B13F6">
              <w:t>Y</w:t>
            </w:r>
          </w:p>
        </w:tc>
        <w:tc>
          <w:tcPr>
            <w:tcW w:w="1408" w:type="dxa"/>
            <w:shd w:val="clear" w:color="auto" w:fill="auto"/>
          </w:tcPr>
          <w:p w14:paraId="2248FB89" w14:textId="77777777" w:rsidR="005F3B36" w:rsidRPr="001B13F6" w:rsidRDefault="005F3B36" w:rsidP="00843397">
            <w:pPr>
              <w:spacing w:before="40" w:after="120"/>
              <w:ind w:right="113"/>
            </w:pPr>
            <w:r w:rsidRPr="001B13F6">
              <w:t>Y</w:t>
            </w:r>
          </w:p>
        </w:tc>
        <w:tc>
          <w:tcPr>
            <w:tcW w:w="1509" w:type="dxa"/>
            <w:shd w:val="clear" w:color="auto" w:fill="auto"/>
          </w:tcPr>
          <w:p w14:paraId="64E6819F" w14:textId="77777777" w:rsidR="005F3B36" w:rsidRPr="001B13F6" w:rsidRDefault="005F3B36" w:rsidP="00843397">
            <w:pPr>
              <w:spacing w:before="40" w:after="120"/>
              <w:ind w:right="113"/>
            </w:pPr>
            <w:r w:rsidRPr="001B13F6">
              <w:t>Y</w:t>
            </w:r>
          </w:p>
        </w:tc>
      </w:tr>
      <w:tr w:rsidR="005F3B36" w:rsidRPr="001B13F6" w14:paraId="27F818CB" w14:textId="77777777" w:rsidTr="00843397">
        <w:tc>
          <w:tcPr>
            <w:tcW w:w="2924" w:type="dxa"/>
            <w:shd w:val="clear" w:color="auto" w:fill="auto"/>
          </w:tcPr>
          <w:p w14:paraId="1100893B" w14:textId="77777777" w:rsidR="005F3B36" w:rsidRPr="001B13F6" w:rsidRDefault="005F3B36" w:rsidP="00843397">
            <w:pPr>
              <w:spacing w:before="40" w:after="120"/>
              <w:ind w:right="113"/>
            </w:pPr>
            <w:r w:rsidRPr="001B13F6">
              <w:t>Bahamas</w:t>
            </w:r>
          </w:p>
        </w:tc>
        <w:tc>
          <w:tcPr>
            <w:tcW w:w="1529" w:type="dxa"/>
            <w:shd w:val="clear" w:color="auto" w:fill="auto"/>
          </w:tcPr>
          <w:p w14:paraId="5C9D462B" w14:textId="77777777" w:rsidR="005F3B36" w:rsidRPr="001B13F6" w:rsidRDefault="005F3B36" w:rsidP="00843397">
            <w:pPr>
              <w:spacing w:before="40" w:after="120"/>
              <w:ind w:right="113"/>
            </w:pPr>
            <w:r w:rsidRPr="001B13F6">
              <w:t>N</w:t>
            </w:r>
          </w:p>
        </w:tc>
        <w:tc>
          <w:tcPr>
            <w:tcW w:w="1408" w:type="dxa"/>
            <w:shd w:val="clear" w:color="auto" w:fill="auto"/>
          </w:tcPr>
          <w:p w14:paraId="1899C022" w14:textId="77777777" w:rsidR="005F3B36" w:rsidRPr="001B13F6" w:rsidRDefault="005F3B36" w:rsidP="00843397">
            <w:pPr>
              <w:spacing w:before="40" w:after="120"/>
              <w:ind w:right="113"/>
            </w:pPr>
            <w:r w:rsidRPr="001B13F6">
              <w:t>N</w:t>
            </w:r>
          </w:p>
        </w:tc>
        <w:tc>
          <w:tcPr>
            <w:tcW w:w="1509" w:type="dxa"/>
            <w:shd w:val="clear" w:color="auto" w:fill="auto"/>
          </w:tcPr>
          <w:p w14:paraId="5D6C8A07" w14:textId="77777777" w:rsidR="005F3B36" w:rsidRPr="001B13F6" w:rsidRDefault="005F3B36" w:rsidP="00843397">
            <w:pPr>
              <w:spacing w:before="40" w:after="120"/>
              <w:ind w:right="113"/>
            </w:pPr>
            <w:r w:rsidRPr="001B13F6">
              <w:t>N</w:t>
            </w:r>
          </w:p>
        </w:tc>
      </w:tr>
      <w:tr w:rsidR="005F3B36" w:rsidRPr="001B13F6" w14:paraId="083AEC3F" w14:textId="77777777" w:rsidTr="00843397">
        <w:tc>
          <w:tcPr>
            <w:tcW w:w="2924" w:type="dxa"/>
            <w:shd w:val="clear" w:color="auto" w:fill="auto"/>
          </w:tcPr>
          <w:p w14:paraId="73DBECF3" w14:textId="77777777" w:rsidR="005F3B36" w:rsidRPr="001B13F6" w:rsidRDefault="005F3B36" w:rsidP="00843397">
            <w:pPr>
              <w:spacing w:before="40" w:after="120"/>
              <w:ind w:right="113"/>
            </w:pPr>
            <w:r w:rsidRPr="001B13F6">
              <w:t>Bahrain</w:t>
            </w:r>
          </w:p>
        </w:tc>
        <w:tc>
          <w:tcPr>
            <w:tcW w:w="1529" w:type="dxa"/>
            <w:shd w:val="clear" w:color="auto" w:fill="auto"/>
          </w:tcPr>
          <w:p w14:paraId="571E11E0" w14:textId="77777777" w:rsidR="005F3B36" w:rsidRPr="001B13F6" w:rsidRDefault="005F3B36" w:rsidP="00843397">
            <w:pPr>
              <w:spacing w:before="40" w:after="120"/>
              <w:ind w:right="113"/>
            </w:pPr>
            <w:r w:rsidRPr="001B13F6">
              <w:t>N</w:t>
            </w:r>
          </w:p>
        </w:tc>
        <w:tc>
          <w:tcPr>
            <w:tcW w:w="1408" w:type="dxa"/>
            <w:shd w:val="clear" w:color="auto" w:fill="auto"/>
          </w:tcPr>
          <w:p w14:paraId="37A091EC" w14:textId="77777777" w:rsidR="005F3B36" w:rsidRPr="001B13F6" w:rsidRDefault="005F3B36" w:rsidP="00843397">
            <w:pPr>
              <w:spacing w:before="40" w:after="120"/>
              <w:ind w:right="113"/>
            </w:pPr>
            <w:r w:rsidRPr="001B13F6">
              <w:t>Y</w:t>
            </w:r>
          </w:p>
        </w:tc>
        <w:tc>
          <w:tcPr>
            <w:tcW w:w="1509" w:type="dxa"/>
            <w:shd w:val="clear" w:color="auto" w:fill="auto"/>
          </w:tcPr>
          <w:p w14:paraId="260AD285" w14:textId="77777777" w:rsidR="005F3B36" w:rsidRPr="001B13F6" w:rsidRDefault="005F3B36" w:rsidP="00843397">
            <w:pPr>
              <w:spacing w:before="40" w:after="120"/>
              <w:ind w:right="113"/>
            </w:pPr>
            <w:r w:rsidRPr="001B13F6">
              <w:t>N</w:t>
            </w:r>
          </w:p>
        </w:tc>
      </w:tr>
      <w:tr w:rsidR="005F3B36" w:rsidRPr="001B13F6" w14:paraId="4270E574" w14:textId="77777777" w:rsidTr="00843397">
        <w:tc>
          <w:tcPr>
            <w:tcW w:w="2924" w:type="dxa"/>
            <w:shd w:val="clear" w:color="auto" w:fill="auto"/>
          </w:tcPr>
          <w:p w14:paraId="5785DBA4" w14:textId="77777777" w:rsidR="005F3B36" w:rsidRPr="001B13F6" w:rsidRDefault="005F3B36" w:rsidP="00843397">
            <w:pPr>
              <w:spacing w:before="40" w:after="120"/>
              <w:ind w:right="113"/>
            </w:pPr>
            <w:r w:rsidRPr="001B13F6">
              <w:t>Bangladesh</w:t>
            </w:r>
          </w:p>
        </w:tc>
        <w:tc>
          <w:tcPr>
            <w:tcW w:w="1529" w:type="dxa"/>
            <w:shd w:val="clear" w:color="auto" w:fill="auto"/>
          </w:tcPr>
          <w:p w14:paraId="4548099B" w14:textId="77777777" w:rsidR="005F3B36" w:rsidRPr="001B13F6" w:rsidRDefault="005F3B36" w:rsidP="00843397">
            <w:pPr>
              <w:spacing w:before="40" w:after="120"/>
              <w:ind w:right="113"/>
            </w:pPr>
            <w:r w:rsidRPr="001B13F6">
              <w:t>Yi</w:t>
            </w:r>
          </w:p>
        </w:tc>
        <w:tc>
          <w:tcPr>
            <w:tcW w:w="1408" w:type="dxa"/>
            <w:shd w:val="clear" w:color="auto" w:fill="auto"/>
          </w:tcPr>
          <w:p w14:paraId="77A54FC7" w14:textId="77777777" w:rsidR="005F3B36" w:rsidRPr="001B13F6" w:rsidRDefault="005F3B36" w:rsidP="00843397">
            <w:pPr>
              <w:spacing w:before="40" w:after="120"/>
              <w:ind w:right="113"/>
            </w:pPr>
            <w:r w:rsidRPr="001B13F6">
              <w:t>N</w:t>
            </w:r>
          </w:p>
        </w:tc>
        <w:tc>
          <w:tcPr>
            <w:tcW w:w="1509" w:type="dxa"/>
            <w:shd w:val="clear" w:color="auto" w:fill="auto"/>
          </w:tcPr>
          <w:p w14:paraId="1BF288A5" w14:textId="77777777" w:rsidR="005F3B36" w:rsidRPr="001B13F6" w:rsidRDefault="005F3B36" w:rsidP="00843397">
            <w:pPr>
              <w:spacing w:before="40" w:after="120"/>
              <w:ind w:right="113"/>
            </w:pPr>
            <w:r w:rsidRPr="001B13F6">
              <w:t>N</w:t>
            </w:r>
          </w:p>
        </w:tc>
      </w:tr>
      <w:tr w:rsidR="005F3B36" w:rsidRPr="001B13F6" w14:paraId="7DE9F248" w14:textId="77777777" w:rsidTr="00843397">
        <w:tc>
          <w:tcPr>
            <w:tcW w:w="2924" w:type="dxa"/>
            <w:shd w:val="clear" w:color="auto" w:fill="auto"/>
          </w:tcPr>
          <w:p w14:paraId="001F5FDF" w14:textId="77777777" w:rsidR="005F3B36" w:rsidRPr="001B13F6" w:rsidRDefault="005F3B36" w:rsidP="00843397">
            <w:pPr>
              <w:spacing w:before="40" w:after="120"/>
              <w:ind w:right="113"/>
            </w:pPr>
            <w:r w:rsidRPr="001B13F6">
              <w:t>Barbados</w:t>
            </w:r>
          </w:p>
        </w:tc>
        <w:tc>
          <w:tcPr>
            <w:tcW w:w="1529" w:type="dxa"/>
            <w:shd w:val="clear" w:color="auto" w:fill="auto"/>
          </w:tcPr>
          <w:p w14:paraId="4EADA17D" w14:textId="77777777" w:rsidR="005F3B36" w:rsidRPr="001B13F6" w:rsidRDefault="005F3B36" w:rsidP="00843397">
            <w:pPr>
              <w:spacing w:before="40" w:after="120"/>
              <w:ind w:right="113"/>
            </w:pPr>
            <w:r w:rsidRPr="001B13F6">
              <w:t>N</w:t>
            </w:r>
          </w:p>
        </w:tc>
        <w:tc>
          <w:tcPr>
            <w:tcW w:w="1408" w:type="dxa"/>
            <w:shd w:val="clear" w:color="auto" w:fill="auto"/>
          </w:tcPr>
          <w:p w14:paraId="76190A15" w14:textId="77777777" w:rsidR="005F3B36" w:rsidRPr="001B13F6" w:rsidRDefault="005F3B36" w:rsidP="00843397">
            <w:pPr>
              <w:spacing w:before="40" w:after="120"/>
              <w:ind w:right="113"/>
            </w:pPr>
            <w:r w:rsidRPr="001B13F6">
              <w:t>N</w:t>
            </w:r>
          </w:p>
        </w:tc>
        <w:tc>
          <w:tcPr>
            <w:tcW w:w="1509" w:type="dxa"/>
            <w:shd w:val="clear" w:color="auto" w:fill="auto"/>
          </w:tcPr>
          <w:p w14:paraId="39A4AF68" w14:textId="77777777" w:rsidR="005F3B36" w:rsidRPr="001B13F6" w:rsidRDefault="005F3B36" w:rsidP="00843397">
            <w:pPr>
              <w:spacing w:before="40" w:after="120"/>
              <w:ind w:right="113"/>
            </w:pPr>
            <w:r w:rsidRPr="001B13F6">
              <w:t>N</w:t>
            </w:r>
          </w:p>
        </w:tc>
      </w:tr>
      <w:tr w:rsidR="005F3B36" w:rsidRPr="001B13F6" w14:paraId="48EA2CAD" w14:textId="77777777" w:rsidTr="00843397">
        <w:tc>
          <w:tcPr>
            <w:tcW w:w="2924" w:type="dxa"/>
            <w:shd w:val="clear" w:color="auto" w:fill="auto"/>
          </w:tcPr>
          <w:p w14:paraId="1300BBA1" w14:textId="77777777" w:rsidR="005F3B36" w:rsidRPr="001B13F6" w:rsidRDefault="005F3B36" w:rsidP="00843397">
            <w:pPr>
              <w:spacing w:before="40" w:after="120"/>
              <w:ind w:right="113"/>
            </w:pPr>
            <w:r w:rsidRPr="001B13F6">
              <w:t>Belarus</w:t>
            </w:r>
          </w:p>
        </w:tc>
        <w:tc>
          <w:tcPr>
            <w:tcW w:w="1529" w:type="dxa"/>
            <w:shd w:val="clear" w:color="auto" w:fill="auto"/>
          </w:tcPr>
          <w:p w14:paraId="1E2AD28D" w14:textId="77777777" w:rsidR="005F3B36" w:rsidRPr="001B13F6" w:rsidRDefault="005F3B36" w:rsidP="00843397">
            <w:pPr>
              <w:spacing w:before="40" w:after="120"/>
              <w:ind w:right="113"/>
            </w:pPr>
            <w:r w:rsidRPr="001B13F6">
              <w:t>Y</w:t>
            </w:r>
          </w:p>
        </w:tc>
        <w:tc>
          <w:tcPr>
            <w:tcW w:w="1408" w:type="dxa"/>
            <w:shd w:val="clear" w:color="auto" w:fill="auto"/>
          </w:tcPr>
          <w:p w14:paraId="6BDC3480" w14:textId="77777777" w:rsidR="005F3B36" w:rsidRPr="001B13F6" w:rsidRDefault="005F3B36" w:rsidP="00843397">
            <w:pPr>
              <w:spacing w:before="40" w:after="120"/>
              <w:ind w:right="113"/>
            </w:pPr>
            <w:r w:rsidRPr="001B13F6">
              <w:t>Y</w:t>
            </w:r>
          </w:p>
        </w:tc>
        <w:tc>
          <w:tcPr>
            <w:tcW w:w="1509" w:type="dxa"/>
            <w:shd w:val="clear" w:color="auto" w:fill="auto"/>
          </w:tcPr>
          <w:p w14:paraId="79D70510" w14:textId="77777777" w:rsidR="005F3B36" w:rsidRPr="001B13F6" w:rsidRDefault="005F3B36" w:rsidP="00843397">
            <w:pPr>
              <w:spacing w:before="40" w:after="120"/>
              <w:ind w:right="113"/>
            </w:pPr>
            <w:r w:rsidRPr="001B13F6">
              <w:t>Y</w:t>
            </w:r>
          </w:p>
        </w:tc>
      </w:tr>
      <w:tr w:rsidR="005F3B36" w:rsidRPr="001B13F6" w14:paraId="46D09A23" w14:textId="77777777" w:rsidTr="00843397">
        <w:tc>
          <w:tcPr>
            <w:tcW w:w="2924" w:type="dxa"/>
            <w:shd w:val="clear" w:color="auto" w:fill="auto"/>
          </w:tcPr>
          <w:p w14:paraId="5AC0B80C" w14:textId="77777777" w:rsidR="005F3B36" w:rsidRPr="001B13F6" w:rsidRDefault="005F3B36" w:rsidP="00843397">
            <w:pPr>
              <w:spacing w:before="40" w:after="120"/>
              <w:ind w:right="113"/>
            </w:pPr>
            <w:r w:rsidRPr="001B13F6">
              <w:t>Belgium</w:t>
            </w:r>
          </w:p>
        </w:tc>
        <w:tc>
          <w:tcPr>
            <w:tcW w:w="1529" w:type="dxa"/>
            <w:shd w:val="clear" w:color="auto" w:fill="auto"/>
          </w:tcPr>
          <w:p w14:paraId="2E617DFA" w14:textId="77777777" w:rsidR="005F3B36" w:rsidRPr="001B13F6" w:rsidRDefault="005F3B36" w:rsidP="00843397">
            <w:pPr>
              <w:spacing w:before="40" w:after="120"/>
              <w:ind w:right="113"/>
            </w:pPr>
            <w:r w:rsidRPr="001B13F6">
              <w:t>Y</w:t>
            </w:r>
          </w:p>
        </w:tc>
        <w:tc>
          <w:tcPr>
            <w:tcW w:w="1408" w:type="dxa"/>
            <w:shd w:val="clear" w:color="auto" w:fill="auto"/>
          </w:tcPr>
          <w:p w14:paraId="6D2A9C96" w14:textId="77777777" w:rsidR="005F3B36" w:rsidRPr="001B13F6" w:rsidRDefault="005F3B36" w:rsidP="00843397">
            <w:pPr>
              <w:spacing w:before="40" w:after="120"/>
              <w:ind w:right="113"/>
            </w:pPr>
            <w:r w:rsidRPr="001B13F6">
              <w:t>Y</w:t>
            </w:r>
          </w:p>
        </w:tc>
        <w:tc>
          <w:tcPr>
            <w:tcW w:w="1509" w:type="dxa"/>
            <w:shd w:val="clear" w:color="auto" w:fill="auto"/>
          </w:tcPr>
          <w:p w14:paraId="16C60C3F" w14:textId="77777777" w:rsidR="005F3B36" w:rsidRPr="001B13F6" w:rsidRDefault="005F3B36" w:rsidP="00843397">
            <w:pPr>
              <w:spacing w:before="40" w:after="120"/>
              <w:ind w:right="113"/>
            </w:pPr>
            <w:r w:rsidRPr="001B13F6">
              <w:t>Y</w:t>
            </w:r>
          </w:p>
        </w:tc>
      </w:tr>
      <w:tr w:rsidR="005F3B36" w:rsidRPr="001B13F6" w14:paraId="3046FEEB" w14:textId="77777777" w:rsidTr="00843397">
        <w:tc>
          <w:tcPr>
            <w:tcW w:w="2924" w:type="dxa"/>
            <w:shd w:val="clear" w:color="auto" w:fill="auto"/>
          </w:tcPr>
          <w:p w14:paraId="4BB614F8" w14:textId="77777777" w:rsidR="005F3B36" w:rsidRPr="001B13F6" w:rsidRDefault="005F3B36" w:rsidP="00843397">
            <w:pPr>
              <w:spacing w:before="40" w:after="120"/>
              <w:ind w:right="113"/>
            </w:pPr>
            <w:r w:rsidRPr="001B13F6">
              <w:t>Belize</w:t>
            </w:r>
          </w:p>
        </w:tc>
        <w:tc>
          <w:tcPr>
            <w:tcW w:w="1529" w:type="dxa"/>
            <w:shd w:val="clear" w:color="auto" w:fill="auto"/>
          </w:tcPr>
          <w:p w14:paraId="234F4949" w14:textId="77777777" w:rsidR="005F3B36" w:rsidRPr="001B13F6" w:rsidRDefault="005F3B36" w:rsidP="00843397">
            <w:pPr>
              <w:spacing w:before="40" w:after="120"/>
              <w:ind w:right="113"/>
            </w:pPr>
            <w:r w:rsidRPr="001B13F6">
              <w:t>N</w:t>
            </w:r>
          </w:p>
        </w:tc>
        <w:tc>
          <w:tcPr>
            <w:tcW w:w="1408" w:type="dxa"/>
            <w:shd w:val="clear" w:color="auto" w:fill="auto"/>
          </w:tcPr>
          <w:p w14:paraId="33BB2B2B" w14:textId="77777777" w:rsidR="005F3B36" w:rsidRPr="001B13F6" w:rsidRDefault="005F3B36" w:rsidP="00843397">
            <w:pPr>
              <w:spacing w:before="40" w:after="120"/>
              <w:ind w:right="113"/>
            </w:pPr>
            <w:r w:rsidRPr="001B13F6">
              <w:t>N</w:t>
            </w:r>
          </w:p>
        </w:tc>
        <w:tc>
          <w:tcPr>
            <w:tcW w:w="1509" w:type="dxa"/>
            <w:shd w:val="clear" w:color="auto" w:fill="auto"/>
          </w:tcPr>
          <w:p w14:paraId="2E73EC8F" w14:textId="77777777" w:rsidR="005F3B36" w:rsidRPr="001B13F6" w:rsidRDefault="005F3B36" w:rsidP="00843397">
            <w:pPr>
              <w:spacing w:before="40" w:after="120"/>
              <w:ind w:right="113"/>
            </w:pPr>
            <w:r w:rsidRPr="001B13F6">
              <w:t>N</w:t>
            </w:r>
          </w:p>
        </w:tc>
      </w:tr>
      <w:tr w:rsidR="005F3B36" w:rsidRPr="001B13F6" w14:paraId="313AB1F7" w14:textId="77777777" w:rsidTr="00843397">
        <w:tc>
          <w:tcPr>
            <w:tcW w:w="2924" w:type="dxa"/>
            <w:shd w:val="clear" w:color="auto" w:fill="auto"/>
          </w:tcPr>
          <w:p w14:paraId="2EAE5676" w14:textId="77777777" w:rsidR="005F3B36" w:rsidRPr="001B13F6" w:rsidRDefault="005F3B36" w:rsidP="00843397">
            <w:pPr>
              <w:spacing w:before="40" w:after="120"/>
              <w:ind w:right="113"/>
            </w:pPr>
            <w:r w:rsidRPr="001B13F6">
              <w:t>Benin</w:t>
            </w:r>
          </w:p>
        </w:tc>
        <w:tc>
          <w:tcPr>
            <w:tcW w:w="1529" w:type="dxa"/>
            <w:shd w:val="clear" w:color="auto" w:fill="auto"/>
          </w:tcPr>
          <w:p w14:paraId="7137C594" w14:textId="77777777" w:rsidR="005F3B36" w:rsidRPr="001B13F6" w:rsidRDefault="005F3B36" w:rsidP="00843397">
            <w:pPr>
              <w:spacing w:before="40" w:after="120"/>
              <w:ind w:right="113"/>
            </w:pPr>
            <w:r w:rsidRPr="001B13F6">
              <w:t>Y</w:t>
            </w:r>
          </w:p>
        </w:tc>
        <w:tc>
          <w:tcPr>
            <w:tcW w:w="1408" w:type="dxa"/>
            <w:shd w:val="clear" w:color="auto" w:fill="auto"/>
          </w:tcPr>
          <w:p w14:paraId="03A3C15F" w14:textId="77777777" w:rsidR="005F3B36" w:rsidRPr="001B13F6" w:rsidRDefault="005F3B36" w:rsidP="00843397">
            <w:pPr>
              <w:spacing w:before="40" w:after="120"/>
              <w:ind w:right="113"/>
            </w:pPr>
            <w:r w:rsidRPr="001B13F6">
              <w:t>Y</w:t>
            </w:r>
          </w:p>
        </w:tc>
        <w:tc>
          <w:tcPr>
            <w:tcW w:w="1509" w:type="dxa"/>
            <w:shd w:val="clear" w:color="auto" w:fill="auto"/>
          </w:tcPr>
          <w:p w14:paraId="3C3DFDB4" w14:textId="77777777" w:rsidR="005F3B36" w:rsidRPr="001B13F6" w:rsidRDefault="005F3B36" w:rsidP="00843397">
            <w:pPr>
              <w:spacing w:before="40" w:after="120"/>
              <w:ind w:right="113"/>
            </w:pPr>
            <w:r w:rsidRPr="001B13F6">
              <w:t>Y</w:t>
            </w:r>
          </w:p>
        </w:tc>
      </w:tr>
      <w:tr w:rsidR="005F3B36" w:rsidRPr="001B13F6" w14:paraId="3F5A9D50" w14:textId="77777777" w:rsidTr="00843397">
        <w:tc>
          <w:tcPr>
            <w:tcW w:w="2924" w:type="dxa"/>
            <w:shd w:val="clear" w:color="auto" w:fill="auto"/>
          </w:tcPr>
          <w:p w14:paraId="33CA26D3" w14:textId="77777777" w:rsidR="005F3B36" w:rsidRPr="001B13F6" w:rsidRDefault="005F3B36" w:rsidP="00843397">
            <w:pPr>
              <w:spacing w:before="40" w:after="120"/>
              <w:ind w:right="113"/>
            </w:pPr>
            <w:r w:rsidRPr="001B13F6">
              <w:t>Bhutan</w:t>
            </w:r>
          </w:p>
        </w:tc>
        <w:tc>
          <w:tcPr>
            <w:tcW w:w="1529" w:type="dxa"/>
            <w:shd w:val="clear" w:color="auto" w:fill="auto"/>
          </w:tcPr>
          <w:p w14:paraId="6D403B2D" w14:textId="77777777" w:rsidR="005F3B36" w:rsidRPr="001B13F6" w:rsidRDefault="005F3B36" w:rsidP="00843397">
            <w:pPr>
              <w:spacing w:before="40" w:after="120"/>
              <w:ind w:right="113"/>
            </w:pPr>
            <w:r w:rsidRPr="001B13F6">
              <w:t>N</w:t>
            </w:r>
          </w:p>
        </w:tc>
        <w:tc>
          <w:tcPr>
            <w:tcW w:w="1408" w:type="dxa"/>
            <w:shd w:val="clear" w:color="auto" w:fill="auto"/>
          </w:tcPr>
          <w:p w14:paraId="542B14F9" w14:textId="77777777" w:rsidR="005F3B36" w:rsidRPr="001B13F6" w:rsidRDefault="005F3B36" w:rsidP="00843397">
            <w:pPr>
              <w:spacing w:before="40" w:after="120"/>
              <w:ind w:right="113"/>
            </w:pPr>
            <w:r w:rsidRPr="001B13F6">
              <w:t>N</w:t>
            </w:r>
          </w:p>
        </w:tc>
        <w:tc>
          <w:tcPr>
            <w:tcW w:w="1509" w:type="dxa"/>
            <w:shd w:val="clear" w:color="auto" w:fill="auto"/>
          </w:tcPr>
          <w:p w14:paraId="13D07664" w14:textId="77777777" w:rsidR="005F3B36" w:rsidRPr="001B13F6" w:rsidRDefault="005F3B36" w:rsidP="00843397">
            <w:pPr>
              <w:spacing w:before="40" w:after="120"/>
              <w:ind w:right="113"/>
            </w:pPr>
            <w:r w:rsidRPr="001B13F6">
              <w:t>Y</w:t>
            </w:r>
          </w:p>
        </w:tc>
      </w:tr>
      <w:tr w:rsidR="005F3B36" w:rsidRPr="001B13F6" w14:paraId="3F0B7E38" w14:textId="77777777" w:rsidTr="00843397">
        <w:tc>
          <w:tcPr>
            <w:tcW w:w="2924" w:type="dxa"/>
            <w:shd w:val="clear" w:color="auto" w:fill="auto"/>
          </w:tcPr>
          <w:p w14:paraId="1251EEBE" w14:textId="71301094" w:rsidR="005F3B36" w:rsidRPr="001B13F6" w:rsidRDefault="005F3B36" w:rsidP="00843397">
            <w:pPr>
              <w:spacing w:before="40" w:after="120"/>
              <w:ind w:right="113"/>
            </w:pPr>
            <w:r w:rsidRPr="001B13F6">
              <w:t>Bolivia</w:t>
            </w:r>
            <w:r w:rsidR="00D10D78" w:rsidRPr="001B13F6">
              <w:t xml:space="preserve"> (Plurinational State of)</w:t>
            </w:r>
          </w:p>
        </w:tc>
        <w:tc>
          <w:tcPr>
            <w:tcW w:w="1529" w:type="dxa"/>
            <w:shd w:val="clear" w:color="auto" w:fill="auto"/>
          </w:tcPr>
          <w:p w14:paraId="6C4098FB" w14:textId="77777777" w:rsidR="005F3B36" w:rsidRPr="001B13F6" w:rsidRDefault="005F3B36" w:rsidP="00843397">
            <w:pPr>
              <w:spacing w:before="40" w:after="120"/>
              <w:ind w:right="113"/>
            </w:pPr>
            <w:r w:rsidRPr="001B13F6">
              <w:t>Y</w:t>
            </w:r>
          </w:p>
        </w:tc>
        <w:tc>
          <w:tcPr>
            <w:tcW w:w="1408" w:type="dxa"/>
            <w:shd w:val="clear" w:color="auto" w:fill="auto"/>
          </w:tcPr>
          <w:p w14:paraId="0539CA9A" w14:textId="77777777" w:rsidR="005F3B36" w:rsidRPr="001B13F6" w:rsidRDefault="005F3B36" w:rsidP="00843397">
            <w:pPr>
              <w:spacing w:before="40" w:after="120"/>
              <w:ind w:right="113"/>
            </w:pPr>
            <w:r w:rsidRPr="001B13F6">
              <w:t>Y</w:t>
            </w:r>
          </w:p>
        </w:tc>
        <w:tc>
          <w:tcPr>
            <w:tcW w:w="1509" w:type="dxa"/>
            <w:shd w:val="clear" w:color="auto" w:fill="auto"/>
          </w:tcPr>
          <w:p w14:paraId="151E1B56" w14:textId="77777777" w:rsidR="005F3B36" w:rsidRPr="001B13F6" w:rsidRDefault="005F3B36" w:rsidP="00843397">
            <w:pPr>
              <w:spacing w:before="40" w:after="120"/>
              <w:ind w:right="113"/>
            </w:pPr>
            <w:r w:rsidRPr="001B13F6">
              <w:t>Y</w:t>
            </w:r>
          </w:p>
        </w:tc>
      </w:tr>
      <w:tr w:rsidR="005F3B36" w:rsidRPr="001B13F6" w14:paraId="6F4BB6C0" w14:textId="77777777" w:rsidTr="00843397">
        <w:tc>
          <w:tcPr>
            <w:tcW w:w="2924" w:type="dxa"/>
            <w:shd w:val="clear" w:color="auto" w:fill="auto"/>
          </w:tcPr>
          <w:p w14:paraId="36F60B3A" w14:textId="77777777" w:rsidR="005F3B36" w:rsidRPr="001B13F6" w:rsidRDefault="005F3B36" w:rsidP="00843397">
            <w:pPr>
              <w:spacing w:before="40" w:after="120"/>
              <w:ind w:right="113"/>
            </w:pPr>
            <w:r w:rsidRPr="001B13F6">
              <w:t>Bosnia and Herzegovina</w:t>
            </w:r>
          </w:p>
        </w:tc>
        <w:tc>
          <w:tcPr>
            <w:tcW w:w="1529" w:type="dxa"/>
            <w:shd w:val="clear" w:color="auto" w:fill="auto"/>
          </w:tcPr>
          <w:p w14:paraId="18198498" w14:textId="77777777" w:rsidR="005F3B36" w:rsidRPr="001B13F6" w:rsidRDefault="005F3B36" w:rsidP="00843397">
            <w:pPr>
              <w:spacing w:before="40" w:after="120"/>
              <w:ind w:right="113"/>
            </w:pPr>
            <w:r w:rsidRPr="001B13F6">
              <w:t>N </w:t>
            </w:r>
          </w:p>
        </w:tc>
        <w:tc>
          <w:tcPr>
            <w:tcW w:w="1408" w:type="dxa"/>
            <w:shd w:val="clear" w:color="auto" w:fill="auto"/>
          </w:tcPr>
          <w:p w14:paraId="26006A80" w14:textId="77777777" w:rsidR="005F3B36" w:rsidRPr="001B13F6" w:rsidRDefault="005F3B36" w:rsidP="00843397">
            <w:pPr>
              <w:spacing w:before="40" w:after="120"/>
              <w:ind w:right="113"/>
            </w:pPr>
            <w:r w:rsidRPr="001B13F6">
              <w:t>Y</w:t>
            </w:r>
          </w:p>
        </w:tc>
        <w:tc>
          <w:tcPr>
            <w:tcW w:w="1509" w:type="dxa"/>
            <w:shd w:val="clear" w:color="auto" w:fill="auto"/>
          </w:tcPr>
          <w:p w14:paraId="79027B93" w14:textId="77777777" w:rsidR="005F3B36" w:rsidRPr="001B13F6" w:rsidRDefault="005F3B36" w:rsidP="00843397">
            <w:pPr>
              <w:spacing w:before="40" w:after="120"/>
              <w:ind w:right="113"/>
            </w:pPr>
            <w:r w:rsidRPr="001B13F6">
              <w:t>Y</w:t>
            </w:r>
          </w:p>
        </w:tc>
      </w:tr>
      <w:tr w:rsidR="005F3B36" w:rsidRPr="001B13F6" w14:paraId="13A183E3" w14:textId="77777777" w:rsidTr="00843397">
        <w:tc>
          <w:tcPr>
            <w:tcW w:w="2924" w:type="dxa"/>
            <w:shd w:val="clear" w:color="auto" w:fill="auto"/>
          </w:tcPr>
          <w:p w14:paraId="46AEE9CC" w14:textId="77777777" w:rsidR="005F3B36" w:rsidRPr="001B13F6" w:rsidRDefault="005F3B36" w:rsidP="00843397">
            <w:pPr>
              <w:spacing w:before="40" w:after="120"/>
              <w:ind w:right="113"/>
            </w:pPr>
            <w:r w:rsidRPr="001B13F6">
              <w:t>Botswana</w:t>
            </w:r>
          </w:p>
        </w:tc>
        <w:tc>
          <w:tcPr>
            <w:tcW w:w="1529" w:type="dxa"/>
            <w:shd w:val="clear" w:color="auto" w:fill="auto"/>
          </w:tcPr>
          <w:p w14:paraId="3F4C0F4D" w14:textId="77777777" w:rsidR="005F3B36" w:rsidRPr="001B13F6" w:rsidRDefault="005F3B36" w:rsidP="00843397">
            <w:pPr>
              <w:spacing w:before="40" w:after="120"/>
              <w:ind w:right="113"/>
            </w:pPr>
            <w:r w:rsidRPr="001B13F6">
              <w:t>N</w:t>
            </w:r>
          </w:p>
        </w:tc>
        <w:tc>
          <w:tcPr>
            <w:tcW w:w="1408" w:type="dxa"/>
            <w:shd w:val="clear" w:color="auto" w:fill="auto"/>
          </w:tcPr>
          <w:p w14:paraId="63F3CECB" w14:textId="77777777" w:rsidR="005F3B36" w:rsidRPr="001B13F6" w:rsidRDefault="005F3B36" w:rsidP="00843397">
            <w:pPr>
              <w:spacing w:before="40" w:after="120"/>
              <w:ind w:right="113"/>
            </w:pPr>
            <w:r w:rsidRPr="001B13F6">
              <w:t>Y</w:t>
            </w:r>
          </w:p>
        </w:tc>
        <w:tc>
          <w:tcPr>
            <w:tcW w:w="1509" w:type="dxa"/>
            <w:shd w:val="clear" w:color="auto" w:fill="auto"/>
          </w:tcPr>
          <w:p w14:paraId="1B512913" w14:textId="77777777" w:rsidR="005F3B36" w:rsidRPr="001B13F6" w:rsidRDefault="005F3B36" w:rsidP="00843397">
            <w:pPr>
              <w:spacing w:before="40" w:after="120"/>
              <w:ind w:right="113"/>
            </w:pPr>
            <w:r w:rsidRPr="001B13F6">
              <w:t>N</w:t>
            </w:r>
          </w:p>
        </w:tc>
      </w:tr>
      <w:tr w:rsidR="005F3B36" w:rsidRPr="001B13F6" w14:paraId="24ADB5B3" w14:textId="77777777" w:rsidTr="00843397">
        <w:tc>
          <w:tcPr>
            <w:tcW w:w="2924" w:type="dxa"/>
            <w:shd w:val="clear" w:color="auto" w:fill="auto"/>
          </w:tcPr>
          <w:p w14:paraId="364D67F8" w14:textId="77777777" w:rsidR="005F3B36" w:rsidRPr="001B13F6" w:rsidRDefault="005F3B36" w:rsidP="00843397">
            <w:pPr>
              <w:spacing w:before="40" w:after="120"/>
              <w:ind w:right="113"/>
            </w:pPr>
            <w:r w:rsidRPr="001B13F6">
              <w:t>Brazil</w:t>
            </w:r>
          </w:p>
        </w:tc>
        <w:tc>
          <w:tcPr>
            <w:tcW w:w="1529" w:type="dxa"/>
            <w:shd w:val="clear" w:color="auto" w:fill="auto"/>
          </w:tcPr>
          <w:p w14:paraId="529A5A07" w14:textId="77777777" w:rsidR="005F3B36" w:rsidRPr="001B13F6" w:rsidRDefault="005F3B36" w:rsidP="00843397">
            <w:pPr>
              <w:spacing w:before="40" w:after="120"/>
              <w:ind w:right="113"/>
            </w:pPr>
            <w:r w:rsidRPr="001B13F6">
              <w:t>Y</w:t>
            </w:r>
          </w:p>
        </w:tc>
        <w:tc>
          <w:tcPr>
            <w:tcW w:w="1408" w:type="dxa"/>
            <w:shd w:val="clear" w:color="auto" w:fill="auto"/>
          </w:tcPr>
          <w:p w14:paraId="067C9C95" w14:textId="77777777" w:rsidR="005F3B36" w:rsidRPr="001B13F6" w:rsidRDefault="005F3B36" w:rsidP="00843397">
            <w:pPr>
              <w:spacing w:before="40" w:after="120"/>
              <w:ind w:right="113"/>
            </w:pPr>
            <w:r w:rsidRPr="001B13F6">
              <w:t>Y</w:t>
            </w:r>
          </w:p>
        </w:tc>
        <w:tc>
          <w:tcPr>
            <w:tcW w:w="1509" w:type="dxa"/>
            <w:shd w:val="clear" w:color="auto" w:fill="auto"/>
          </w:tcPr>
          <w:p w14:paraId="758FB207" w14:textId="77777777" w:rsidR="005F3B36" w:rsidRPr="001B13F6" w:rsidRDefault="005F3B36" w:rsidP="00843397">
            <w:pPr>
              <w:spacing w:before="40" w:after="120"/>
              <w:ind w:right="113"/>
            </w:pPr>
            <w:r w:rsidRPr="001B13F6">
              <w:t>Y</w:t>
            </w:r>
          </w:p>
        </w:tc>
      </w:tr>
      <w:tr w:rsidR="005F3B36" w:rsidRPr="001B13F6" w14:paraId="2A407661" w14:textId="77777777" w:rsidTr="00843397">
        <w:tc>
          <w:tcPr>
            <w:tcW w:w="2924" w:type="dxa"/>
            <w:shd w:val="clear" w:color="auto" w:fill="auto"/>
          </w:tcPr>
          <w:p w14:paraId="372050F2" w14:textId="77777777" w:rsidR="005F3B36" w:rsidRPr="001B13F6" w:rsidRDefault="005F3B36" w:rsidP="00843397">
            <w:pPr>
              <w:spacing w:before="40" w:after="120"/>
              <w:ind w:right="113"/>
            </w:pPr>
            <w:r w:rsidRPr="001B13F6">
              <w:t>Brunei Darussalam</w:t>
            </w:r>
          </w:p>
        </w:tc>
        <w:tc>
          <w:tcPr>
            <w:tcW w:w="1529" w:type="dxa"/>
            <w:shd w:val="clear" w:color="auto" w:fill="auto"/>
          </w:tcPr>
          <w:p w14:paraId="6DCE213D" w14:textId="77777777" w:rsidR="005F3B36" w:rsidRPr="001B13F6" w:rsidRDefault="005F3B36" w:rsidP="00843397">
            <w:pPr>
              <w:spacing w:before="40" w:after="120"/>
              <w:ind w:right="113"/>
            </w:pPr>
            <w:r w:rsidRPr="001B13F6">
              <w:t>N</w:t>
            </w:r>
          </w:p>
        </w:tc>
        <w:tc>
          <w:tcPr>
            <w:tcW w:w="1408" w:type="dxa"/>
            <w:shd w:val="clear" w:color="auto" w:fill="auto"/>
          </w:tcPr>
          <w:p w14:paraId="17DE0C63" w14:textId="77777777" w:rsidR="005F3B36" w:rsidRPr="001B13F6" w:rsidRDefault="005F3B36" w:rsidP="00843397">
            <w:pPr>
              <w:spacing w:before="40" w:after="120"/>
              <w:ind w:right="113"/>
            </w:pPr>
            <w:r w:rsidRPr="001B13F6">
              <w:t>N</w:t>
            </w:r>
          </w:p>
        </w:tc>
        <w:tc>
          <w:tcPr>
            <w:tcW w:w="1509" w:type="dxa"/>
            <w:shd w:val="clear" w:color="auto" w:fill="auto"/>
          </w:tcPr>
          <w:p w14:paraId="3C8DE2BE" w14:textId="77777777" w:rsidR="005F3B36" w:rsidRPr="001B13F6" w:rsidRDefault="005F3B36" w:rsidP="00843397">
            <w:pPr>
              <w:spacing w:before="40" w:after="120"/>
              <w:ind w:right="113"/>
            </w:pPr>
            <w:r w:rsidRPr="001B13F6">
              <w:t>N</w:t>
            </w:r>
          </w:p>
        </w:tc>
      </w:tr>
      <w:tr w:rsidR="005F3B36" w:rsidRPr="001B13F6" w14:paraId="50E43AB8" w14:textId="77777777" w:rsidTr="00843397">
        <w:tc>
          <w:tcPr>
            <w:tcW w:w="2924" w:type="dxa"/>
            <w:shd w:val="clear" w:color="auto" w:fill="auto"/>
          </w:tcPr>
          <w:p w14:paraId="060A3B89" w14:textId="77777777" w:rsidR="005F3B36" w:rsidRPr="001B13F6" w:rsidRDefault="005F3B36" w:rsidP="00843397">
            <w:pPr>
              <w:spacing w:before="40" w:after="120"/>
              <w:ind w:right="113"/>
            </w:pPr>
            <w:r w:rsidRPr="001B13F6">
              <w:t>Bulgaria</w:t>
            </w:r>
          </w:p>
        </w:tc>
        <w:tc>
          <w:tcPr>
            <w:tcW w:w="1529" w:type="dxa"/>
            <w:shd w:val="clear" w:color="auto" w:fill="auto"/>
          </w:tcPr>
          <w:p w14:paraId="519AB782" w14:textId="77777777" w:rsidR="005F3B36" w:rsidRPr="001B13F6" w:rsidRDefault="005F3B36" w:rsidP="00843397">
            <w:pPr>
              <w:spacing w:before="40" w:after="120"/>
              <w:ind w:right="113"/>
            </w:pPr>
            <w:r w:rsidRPr="001B13F6">
              <w:t>Y</w:t>
            </w:r>
          </w:p>
        </w:tc>
        <w:tc>
          <w:tcPr>
            <w:tcW w:w="1408" w:type="dxa"/>
            <w:shd w:val="clear" w:color="auto" w:fill="auto"/>
          </w:tcPr>
          <w:p w14:paraId="377ECDAB" w14:textId="77777777" w:rsidR="005F3B36" w:rsidRPr="001B13F6" w:rsidRDefault="005F3B36" w:rsidP="00843397">
            <w:pPr>
              <w:spacing w:before="40" w:after="120"/>
              <w:ind w:right="113"/>
            </w:pPr>
            <w:r w:rsidRPr="001B13F6">
              <w:t>Y</w:t>
            </w:r>
          </w:p>
        </w:tc>
        <w:tc>
          <w:tcPr>
            <w:tcW w:w="1509" w:type="dxa"/>
            <w:shd w:val="clear" w:color="auto" w:fill="auto"/>
          </w:tcPr>
          <w:p w14:paraId="16A4F1FD" w14:textId="77777777" w:rsidR="005F3B36" w:rsidRPr="001B13F6" w:rsidRDefault="005F3B36" w:rsidP="00843397">
            <w:pPr>
              <w:spacing w:before="40" w:after="120"/>
              <w:ind w:right="113"/>
            </w:pPr>
            <w:r w:rsidRPr="001B13F6">
              <w:t>Y</w:t>
            </w:r>
          </w:p>
        </w:tc>
      </w:tr>
      <w:tr w:rsidR="005F3B36" w:rsidRPr="001B13F6" w14:paraId="6916E042" w14:textId="77777777" w:rsidTr="00843397">
        <w:tc>
          <w:tcPr>
            <w:tcW w:w="2924" w:type="dxa"/>
            <w:shd w:val="clear" w:color="auto" w:fill="auto"/>
          </w:tcPr>
          <w:p w14:paraId="5EAD8D71" w14:textId="77777777" w:rsidR="005F3B36" w:rsidRPr="001B13F6" w:rsidRDefault="005F3B36" w:rsidP="00843397">
            <w:pPr>
              <w:spacing w:before="40" w:after="120"/>
              <w:ind w:right="113"/>
            </w:pPr>
            <w:r w:rsidRPr="001B13F6">
              <w:t>Burkina Faso</w:t>
            </w:r>
          </w:p>
        </w:tc>
        <w:tc>
          <w:tcPr>
            <w:tcW w:w="1529" w:type="dxa"/>
            <w:shd w:val="clear" w:color="auto" w:fill="auto"/>
          </w:tcPr>
          <w:p w14:paraId="431817C5" w14:textId="77777777" w:rsidR="005F3B36" w:rsidRPr="001B13F6" w:rsidRDefault="005F3B36" w:rsidP="00843397">
            <w:pPr>
              <w:spacing w:before="40" w:after="120"/>
              <w:ind w:right="113"/>
            </w:pPr>
            <w:r w:rsidRPr="001B13F6">
              <w:t>Y</w:t>
            </w:r>
          </w:p>
        </w:tc>
        <w:tc>
          <w:tcPr>
            <w:tcW w:w="1408" w:type="dxa"/>
            <w:shd w:val="clear" w:color="auto" w:fill="auto"/>
          </w:tcPr>
          <w:p w14:paraId="0E54B3BD" w14:textId="77777777" w:rsidR="005F3B36" w:rsidRPr="001B13F6" w:rsidRDefault="005F3B36" w:rsidP="00843397">
            <w:pPr>
              <w:spacing w:before="40" w:after="120"/>
              <w:ind w:right="113"/>
            </w:pPr>
            <w:r w:rsidRPr="001B13F6">
              <w:t>Y</w:t>
            </w:r>
          </w:p>
        </w:tc>
        <w:tc>
          <w:tcPr>
            <w:tcW w:w="1509" w:type="dxa"/>
            <w:shd w:val="clear" w:color="auto" w:fill="auto"/>
          </w:tcPr>
          <w:p w14:paraId="628024F6" w14:textId="77777777" w:rsidR="005F3B36" w:rsidRPr="001B13F6" w:rsidRDefault="005F3B36" w:rsidP="00843397">
            <w:pPr>
              <w:spacing w:before="40" w:after="120"/>
              <w:ind w:right="113"/>
            </w:pPr>
            <w:r w:rsidRPr="001B13F6">
              <w:t>Y</w:t>
            </w:r>
          </w:p>
        </w:tc>
      </w:tr>
      <w:tr w:rsidR="005F3B36" w:rsidRPr="001B13F6" w14:paraId="6FF671C7" w14:textId="77777777" w:rsidTr="00843397">
        <w:tc>
          <w:tcPr>
            <w:tcW w:w="2924" w:type="dxa"/>
            <w:shd w:val="clear" w:color="auto" w:fill="auto"/>
          </w:tcPr>
          <w:p w14:paraId="15B1A65F" w14:textId="77777777" w:rsidR="005F3B36" w:rsidRDefault="005F3B36" w:rsidP="00843397">
            <w:pPr>
              <w:spacing w:before="40" w:after="120"/>
              <w:ind w:right="113"/>
            </w:pPr>
            <w:r w:rsidRPr="001B13F6">
              <w:t>Burundi</w:t>
            </w:r>
          </w:p>
          <w:p w14:paraId="2DA63D96" w14:textId="607329F0" w:rsidR="0051562E" w:rsidRPr="001B13F6" w:rsidRDefault="0051562E" w:rsidP="00843397">
            <w:pPr>
              <w:spacing w:before="40" w:after="120"/>
              <w:ind w:right="113"/>
            </w:pPr>
            <w:r>
              <w:t>Cambodia</w:t>
            </w:r>
          </w:p>
        </w:tc>
        <w:tc>
          <w:tcPr>
            <w:tcW w:w="1529" w:type="dxa"/>
            <w:shd w:val="clear" w:color="auto" w:fill="auto"/>
          </w:tcPr>
          <w:p w14:paraId="129FC69E" w14:textId="77777777" w:rsidR="005F3B36" w:rsidRDefault="005F3B36" w:rsidP="00843397">
            <w:pPr>
              <w:spacing w:before="40" w:after="120"/>
              <w:ind w:right="113"/>
            </w:pPr>
            <w:r w:rsidRPr="001B13F6">
              <w:t>Y</w:t>
            </w:r>
          </w:p>
          <w:p w14:paraId="5D9575C3" w14:textId="2E99B241" w:rsidR="0051562E" w:rsidRPr="001B13F6" w:rsidRDefault="0051562E" w:rsidP="00843397">
            <w:pPr>
              <w:spacing w:before="40" w:after="120"/>
              <w:ind w:right="113"/>
            </w:pPr>
            <w:r>
              <w:t>N</w:t>
            </w:r>
          </w:p>
        </w:tc>
        <w:tc>
          <w:tcPr>
            <w:tcW w:w="1408" w:type="dxa"/>
            <w:shd w:val="clear" w:color="auto" w:fill="auto"/>
          </w:tcPr>
          <w:p w14:paraId="149E3242" w14:textId="77777777" w:rsidR="005F3B36" w:rsidRDefault="005F3B36" w:rsidP="00843397">
            <w:pPr>
              <w:spacing w:before="40" w:after="120"/>
              <w:ind w:right="113"/>
            </w:pPr>
            <w:r w:rsidRPr="001B13F6">
              <w:t>Y</w:t>
            </w:r>
          </w:p>
          <w:p w14:paraId="49D3A49D" w14:textId="3A0FACFA" w:rsidR="0051562E" w:rsidRPr="001B13F6" w:rsidRDefault="0051562E" w:rsidP="00843397">
            <w:pPr>
              <w:spacing w:before="40" w:after="120"/>
              <w:ind w:right="113"/>
            </w:pPr>
            <w:r>
              <w:t>N</w:t>
            </w:r>
          </w:p>
        </w:tc>
        <w:tc>
          <w:tcPr>
            <w:tcW w:w="1509" w:type="dxa"/>
            <w:shd w:val="clear" w:color="auto" w:fill="auto"/>
          </w:tcPr>
          <w:p w14:paraId="4834374C" w14:textId="77777777" w:rsidR="005F3B36" w:rsidRDefault="005F3B36" w:rsidP="00843397">
            <w:pPr>
              <w:spacing w:before="40" w:after="120"/>
              <w:ind w:right="113"/>
            </w:pPr>
            <w:r w:rsidRPr="001B13F6">
              <w:t>N</w:t>
            </w:r>
          </w:p>
          <w:p w14:paraId="575EEEA7" w14:textId="38273A6B" w:rsidR="0051562E" w:rsidRPr="001B13F6" w:rsidRDefault="0051562E" w:rsidP="00843397">
            <w:pPr>
              <w:spacing w:before="40" w:after="120"/>
              <w:ind w:right="113"/>
            </w:pPr>
            <w:r>
              <w:t>N</w:t>
            </w:r>
          </w:p>
        </w:tc>
      </w:tr>
      <w:tr w:rsidR="00D10D78" w:rsidRPr="001B13F6" w14:paraId="32530573" w14:textId="77777777" w:rsidTr="00843397">
        <w:tc>
          <w:tcPr>
            <w:tcW w:w="2924" w:type="dxa"/>
            <w:shd w:val="clear" w:color="auto" w:fill="auto"/>
          </w:tcPr>
          <w:p w14:paraId="5C77DBD3" w14:textId="67C2EE81" w:rsidR="00D10D78" w:rsidRPr="001B13F6" w:rsidRDefault="00D10D78" w:rsidP="00D10D78">
            <w:pPr>
              <w:spacing w:before="40" w:after="120"/>
              <w:ind w:right="113"/>
            </w:pPr>
            <w:r w:rsidRPr="001B13F6">
              <w:t>Cabo Verde</w:t>
            </w:r>
          </w:p>
        </w:tc>
        <w:tc>
          <w:tcPr>
            <w:tcW w:w="1529" w:type="dxa"/>
            <w:shd w:val="clear" w:color="auto" w:fill="auto"/>
          </w:tcPr>
          <w:p w14:paraId="7D39034B" w14:textId="34447526" w:rsidR="00D10D78" w:rsidRPr="001B13F6" w:rsidRDefault="00D10D78" w:rsidP="00D10D78">
            <w:pPr>
              <w:spacing w:before="40" w:after="120"/>
              <w:ind w:right="113"/>
            </w:pPr>
            <w:r w:rsidRPr="001B13F6">
              <w:t>Y</w:t>
            </w:r>
          </w:p>
        </w:tc>
        <w:tc>
          <w:tcPr>
            <w:tcW w:w="1408" w:type="dxa"/>
            <w:shd w:val="clear" w:color="auto" w:fill="auto"/>
          </w:tcPr>
          <w:p w14:paraId="0F4045B1" w14:textId="0E7740B5" w:rsidR="00D10D78" w:rsidRPr="001B13F6" w:rsidRDefault="00D10D78" w:rsidP="00D10D78">
            <w:pPr>
              <w:spacing w:before="40" w:after="120"/>
              <w:ind w:right="113"/>
            </w:pPr>
            <w:r w:rsidRPr="001B13F6">
              <w:t>Y</w:t>
            </w:r>
          </w:p>
        </w:tc>
        <w:tc>
          <w:tcPr>
            <w:tcW w:w="1509" w:type="dxa"/>
            <w:shd w:val="clear" w:color="auto" w:fill="auto"/>
          </w:tcPr>
          <w:p w14:paraId="2FBE4B14" w14:textId="06C39B7D" w:rsidR="00D10D78" w:rsidRPr="001B13F6" w:rsidRDefault="00D10D78" w:rsidP="00D10D78">
            <w:pPr>
              <w:spacing w:before="40" w:after="120"/>
              <w:ind w:right="113"/>
            </w:pPr>
            <w:r w:rsidRPr="001B13F6">
              <w:t>Y</w:t>
            </w:r>
          </w:p>
        </w:tc>
      </w:tr>
      <w:tr w:rsidR="00D10D78" w:rsidRPr="001B13F6" w14:paraId="4BE2E62B" w14:textId="77777777" w:rsidTr="00843397">
        <w:tc>
          <w:tcPr>
            <w:tcW w:w="2924" w:type="dxa"/>
            <w:shd w:val="clear" w:color="auto" w:fill="auto"/>
          </w:tcPr>
          <w:p w14:paraId="3604D5AF" w14:textId="77777777" w:rsidR="00D10D78" w:rsidRPr="001B13F6" w:rsidRDefault="00D10D78" w:rsidP="00D10D78">
            <w:pPr>
              <w:spacing w:before="40" w:after="120"/>
              <w:ind w:right="113"/>
            </w:pPr>
            <w:r w:rsidRPr="001B13F6">
              <w:t>Cameroon</w:t>
            </w:r>
          </w:p>
        </w:tc>
        <w:tc>
          <w:tcPr>
            <w:tcW w:w="1529" w:type="dxa"/>
            <w:shd w:val="clear" w:color="auto" w:fill="auto"/>
          </w:tcPr>
          <w:p w14:paraId="72866A4C" w14:textId="77777777" w:rsidR="00D10D78" w:rsidRPr="001B13F6" w:rsidRDefault="00D10D78" w:rsidP="00D10D78">
            <w:pPr>
              <w:spacing w:before="40" w:after="120"/>
              <w:ind w:right="113"/>
            </w:pPr>
            <w:r w:rsidRPr="001B13F6">
              <w:t>Y</w:t>
            </w:r>
          </w:p>
        </w:tc>
        <w:tc>
          <w:tcPr>
            <w:tcW w:w="1408" w:type="dxa"/>
            <w:shd w:val="clear" w:color="auto" w:fill="auto"/>
          </w:tcPr>
          <w:p w14:paraId="29A8C9A4" w14:textId="77777777" w:rsidR="00D10D78" w:rsidRPr="001B13F6" w:rsidRDefault="00D10D78" w:rsidP="00D10D78">
            <w:pPr>
              <w:spacing w:before="40" w:after="120"/>
              <w:ind w:right="113"/>
            </w:pPr>
            <w:r w:rsidRPr="001B13F6">
              <w:t>Y</w:t>
            </w:r>
          </w:p>
        </w:tc>
        <w:tc>
          <w:tcPr>
            <w:tcW w:w="1509" w:type="dxa"/>
            <w:shd w:val="clear" w:color="auto" w:fill="auto"/>
          </w:tcPr>
          <w:p w14:paraId="4B4C5EEF" w14:textId="77777777" w:rsidR="00D10D78" w:rsidRPr="001B13F6" w:rsidRDefault="00D10D78" w:rsidP="00D10D78">
            <w:pPr>
              <w:spacing w:before="40" w:after="120"/>
              <w:ind w:right="113"/>
            </w:pPr>
            <w:r w:rsidRPr="001B13F6">
              <w:t>Y</w:t>
            </w:r>
          </w:p>
        </w:tc>
      </w:tr>
      <w:tr w:rsidR="00D10D78" w:rsidRPr="001B13F6" w14:paraId="57C50809" w14:textId="77777777" w:rsidTr="00843397">
        <w:tc>
          <w:tcPr>
            <w:tcW w:w="2924" w:type="dxa"/>
            <w:shd w:val="clear" w:color="auto" w:fill="auto"/>
          </w:tcPr>
          <w:p w14:paraId="5AA4D650" w14:textId="77777777" w:rsidR="00D10D78" w:rsidRPr="001B13F6" w:rsidRDefault="00D10D78" w:rsidP="00D10D78">
            <w:pPr>
              <w:spacing w:before="40" w:after="120"/>
              <w:ind w:right="113"/>
            </w:pPr>
            <w:r w:rsidRPr="001B13F6">
              <w:t>Canada</w:t>
            </w:r>
          </w:p>
        </w:tc>
        <w:tc>
          <w:tcPr>
            <w:tcW w:w="1529" w:type="dxa"/>
            <w:shd w:val="clear" w:color="auto" w:fill="auto"/>
          </w:tcPr>
          <w:p w14:paraId="00BE9AFA" w14:textId="77777777" w:rsidR="00D10D78" w:rsidRPr="001B13F6" w:rsidRDefault="00D10D78" w:rsidP="00D10D78">
            <w:pPr>
              <w:spacing w:before="40" w:after="120"/>
              <w:ind w:right="113"/>
            </w:pPr>
            <w:r w:rsidRPr="001B13F6">
              <w:t>N</w:t>
            </w:r>
          </w:p>
        </w:tc>
        <w:tc>
          <w:tcPr>
            <w:tcW w:w="1408" w:type="dxa"/>
            <w:shd w:val="clear" w:color="auto" w:fill="auto"/>
          </w:tcPr>
          <w:p w14:paraId="2B4C091E" w14:textId="77777777" w:rsidR="00D10D78" w:rsidRPr="001B13F6" w:rsidRDefault="00D10D78" w:rsidP="00D10D78">
            <w:pPr>
              <w:spacing w:before="40" w:after="120"/>
              <w:ind w:right="113"/>
            </w:pPr>
            <w:r w:rsidRPr="001B13F6">
              <w:t>N</w:t>
            </w:r>
          </w:p>
        </w:tc>
        <w:tc>
          <w:tcPr>
            <w:tcW w:w="1509" w:type="dxa"/>
            <w:shd w:val="clear" w:color="auto" w:fill="auto"/>
          </w:tcPr>
          <w:p w14:paraId="1F068264" w14:textId="77777777" w:rsidR="00D10D78" w:rsidRPr="001B13F6" w:rsidRDefault="00D10D78" w:rsidP="00D10D78">
            <w:pPr>
              <w:spacing w:before="40" w:after="120"/>
              <w:ind w:right="113"/>
            </w:pPr>
            <w:r w:rsidRPr="001B13F6">
              <w:t>N</w:t>
            </w:r>
          </w:p>
        </w:tc>
      </w:tr>
      <w:tr w:rsidR="00D10D78" w:rsidRPr="001B13F6" w14:paraId="17E61169" w14:textId="77777777" w:rsidTr="00843397">
        <w:tc>
          <w:tcPr>
            <w:tcW w:w="2924" w:type="dxa"/>
            <w:shd w:val="clear" w:color="auto" w:fill="auto"/>
          </w:tcPr>
          <w:p w14:paraId="57EFB000" w14:textId="77777777" w:rsidR="00D10D78" w:rsidRPr="001B13F6" w:rsidRDefault="00D10D78" w:rsidP="00D10D78">
            <w:pPr>
              <w:spacing w:before="40" w:after="120"/>
              <w:ind w:right="113"/>
            </w:pPr>
            <w:r w:rsidRPr="001B13F6">
              <w:t>Central African Republic</w:t>
            </w:r>
          </w:p>
        </w:tc>
        <w:tc>
          <w:tcPr>
            <w:tcW w:w="1529" w:type="dxa"/>
            <w:shd w:val="clear" w:color="auto" w:fill="auto"/>
          </w:tcPr>
          <w:p w14:paraId="213FDA53" w14:textId="77777777" w:rsidR="00D10D78" w:rsidRPr="001B13F6" w:rsidRDefault="00D10D78" w:rsidP="00D10D78">
            <w:pPr>
              <w:spacing w:before="40" w:after="120"/>
              <w:ind w:right="113"/>
            </w:pPr>
            <w:r w:rsidRPr="001B13F6">
              <w:t>Y</w:t>
            </w:r>
          </w:p>
        </w:tc>
        <w:tc>
          <w:tcPr>
            <w:tcW w:w="1408" w:type="dxa"/>
            <w:shd w:val="clear" w:color="auto" w:fill="auto"/>
          </w:tcPr>
          <w:p w14:paraId="29A77254" w14:textId="77777777" w:rsidR="00D10D78" w:rsidRPr="001B13F6" w:rsidRDefault="00D10D78" w:rsidP="00D10D78">
            <w:pPr>
              <w:spacing w:before="40" w:after="120"/>
              <w:ind w:right="113"/>
            </w:pPr>
            <w:r w:rsidRPr="001B13F6">
              <w:t>Y</w:t>
            </w:r>
          </w:p>
        </w:tc>
        <w:tc>
          <w:tcPr>
            <w:tcW w:w="1509" w:type="dxa"/>
            <w:shd w:val="clear" w:color="auto" w:fill="auto"/>
          </w:tcPr>
          <w:p w14:paraId="17D9C1A2" w14:textId="77777777" w:rsidR="00D10D78" w:rsidRPr="001B13F6" w:rsidRDefault="00D10D78" w:rsidP="00D10D78">
            <w:pPr>
              <w:spacing w:before="40" w:after="120"/>
              <w:ind w:right="113"/>
            </w:pPr>
            <w:r w:rsidRPr="001B13F6">
              <w:t>Y</w:t>
            </w:r>
          </w:p>
        </w:tc>
      </w:tr>
      <w:tr w:rsidR="00D10D78" w:rsidRPr="001B13F6" w14:paraId="2A9A4BD1" w14:textId="77777777" w:rsidTr="00843397">
        <w:tc>
          <w:tcPr>
            <w:tcW w:w="2924" w:type="dxa"/>
            <w:shd w:val="clear" w:color="auto" w:fill="auto"/>
          </w:tcPr>
          <w:p w14:paraId="7036AD67" w14:textId="77777777" w:rsidR="00D10D78" w:rsidRPr="001B13F6" w:rsidRDefault="00D10D78" w:rsidP="00D10D78">
            <w:pPr>
              <w:spacing w:before="40" w:after="120"/>
              <w:ind w:right="113"/>
            </w:pPr>
            <w:r w:rsidRPr="001B13F6">
              <w:t>Chad</w:t>
            </w:r>
          </w:p>
        </w:tc>
        <w:tc>
          <w:tcPr>
            <w:tcW w:w="1529" w:type="dxa"/>
            <w:shd w:val="clear" w:color="auto" w:fill="auto"/>
          </w:tcPr>
          <w:p w14:paraId="7CA73476" w14:textId="77777777" w:rsidR="00D10D78" w:rsidRPr="001B13F6" w:rsidRDefault="00D10D78" w:rsidP="00D10D78">
            <w:pPr>
              <w:spacing w:before="40" w:after="120"/>
              <w:ind w:right="113"/>
            </w:pPr>
            <w:r w:rsidRPr="001B13F6">
              <w:t>Y</w:t>
            </w:r>
          </w:p>
        </w:tc>
        <w:tc>
          <w:tcPr>
            <w:tcW w:w="1408" w:type="dxa"/>
            <w:shd w:val="clear" w:color="auto" w:fill="auto"/>
          </w:tcPr>
          <w:p w14:paraId="3594905F" w14:textId="77777777" w:rsidR="00D10D78" w:rsidRPr="001B13F6" w:rsidRDefault="00D10D78" w:rsidP="00D10D78">
            <w:pPr>
              <w:spacing w:before="40" w:after="120"/>
              <w:ind w:right="113"/>
            </w:pPr>
            <w:r w:rsidRPr="001B13F6">
              <w:t>Y</w:t>
            </w:r>
          </w:p>
        </w:tc>
        <w:tc>
          <w:tcPr>
            <w:tcW w:w="1509" w:type="dxa"/>
            <w:shd w:val="clear" w:color="auto" w:fill="auto"/>
          </w:tcPr>
          <w:p w14:paraId="1F736FF2" w14:textId="77777777" w:rsidR="00D10D78" w:rsidRPr="001B13F6" w:rsidRDefault="00D10D78" w:rsidP="00D10D78">
            <w:pPr>
              <w:spacing w:before="40" w:after="120"/>
              <w:ind w:right="113"/>
            </w:pPr>
            <w:r w:rsidRPr="001B13F6">
              <w:t>Y</w:t>
            </w:r>
          </w:p>
        </w:tc>
      </w:tr>
      <w:tr w:rsidR="00D10D78" w:rsidRPr="001B13F6" w14:paraId="70633AF4" w14:textId="77777777" w:rsidTr="00843397">
        <w:tc>
          <w:tcPr>
            <w:tcW w:w="2924" w:type="dxa"/>
            <w:shd w:val="clear" w:color="auto" w:fill="auto"/>
          </w:tcPr>
          <w:p w14:paraId="7C5B4D8A" w14:textId="77777777" w:rsidR="00D10D78" w:rsidRPr="001B13F6" w:rsidRDefault="00D10D78" w:rsidP="00D10D78">
            <w:pPr>
              <w:spacing w:before="40" w:after="120"/>
              <w:ind w:right="113"/>
            </w:pPr>
            <w:r w:rsidRPr="001B13F6">
              <w:t>Chile</w:t>
            </w:r>
          </w:p>
        </w:tc>
        <w:tc>
          <w:tcPr>
            <w:tcW w:w="1529" w:type="dxa"/>
            <w:shd w:val="clear" w:color="auto" w:fill="auto"/>
          </w:tcPr>
          <w:p w14:paraId="55BAA550" w14:textId="77777777" w:rsidR="00D10D78" w:rsidRPr="001B13F6" w:rsidRDefault="00D10D78" w:rsidP="00D10D78">
            <w:pPr>
              <w:spacing w:before="40" w:after="120"/>
              <w:ind w:right="113"/>
            </w:pPr>
            <w:r w:rsidRPr="001B13F6">
              <w:t>Y</w:t>
            </w:r>
          </w:p>
        </w:tc>
        <w:tc>
          <w:tcPr>
            <w:tcW w:w="1408" w:type="dxa"/>
            <w:shd w:val="clear" w:color="auto" w:fill="auto"/>
          </w:tcPr>
          <w:p w14:paraId="7464C367" w14:textId="77777777" w:rsidR="00D10D78" w:rsidRPr="001B13F6" w:rsidRDefault="00D10D78" w:rsidP="00D10D78">
            <w:pPr>
              <w:spacing w:before="40" w:after="120"/>
              <w:ind w:right="113"/>
            </w:pPr>
            <w:r w:rsidRPr="001B13F6">
              <w:t>N</w:t>
            </w:r>
          </w:p>
        </w:tc>
        <w:tc>
          <w:tcPr>
            <w:tcW w:w="1509" w:type="dxa"/>
            <w:shd w:val="clear" w:color="auto" w:fill="auto"/>
          </w:tcPr>
          <w:p w14:paraId="58A94259" w14:textId="77777777" w:rsidR="00D10D78" w:rsidRPr="001B13F6" w:rsidRDefault="00D10D78" w:rsidP="00D10D78">
            <w:pPr>
              <w:spacing w:before="40" w:after="120"/>
              <w:ind w:right="113"/>
            </w:pPr>
            <w:r w:rsidRPr="001B13F6">
              <w:t>Y</w:t>
            </w:r>
          </w:p>
        </w:tc>
      </w:tr>
      <w:tr w:rsidR="00D10D78" w:rsidRPr="001B13F6" w14:paraId="721D7B2F" w14:textId="77777777" w:rsidTr="00843397">
        <w:tc>
          <w:tcPr>
            <w:tcW w:w="2924" w:type="dxa"/>
            <w:shd w:val="clear" w:color="auto" w:fill="auto"/>
          </w:tcPr>
          <w:p w14:paraId="29D98EB0" w14:textId="77777777" w:rsidR="00D10D78" w:rsidRPr="001B13F6" w:rsidRDefault="00D10D78" w:rsidP="00D10D78">
            <w:pPr>
              <w:spacing w:before="40" w:after="120"/>
              <w:ind w:right="113"/>
            </w:pPr>
            <w:r w:rsidRPr="001B13F6">
              <w:t>China</w:t>
            </w:r>
          </w:p>
        </w:tc>
        <w:tc>
          <w:tcPr>
            <w:tcW w:w="1529" w:type="dxa"/>
            <w:shd w:val="clear" w:color="auto" w:fill="auto"/>
          </w:tcPr>
          <w:p w14:paraId="1A43CD15" w14:textId="77777777" w:rsidR="00D10D78" w:rsidRPr="001B13F6" w:rsidRDefault="00D10D78" w:rsidP="00D10D78">
            <w:pPr>
              <w:spacing w:before="40" w:after="120"/>
              <w:ind w:right="113"/>
            </w:pPr>
            <w:r w:rsidRPr="001B13F6">
              <w:t>N</w:t>
            </w:r>
          </w:p>
        </w:tc>
        <w:tc>
          <w:tcPr>
            <w:tcW w:w="1408" w:type="dxa"/>
            <w:shd w:val="clear" w:color="auto" w:fill="auto"/>
          </w:tcPr>
          <w:p w14:paraId="361F5B9F" w14:textId="77777777" w:rsidR="00D10D78" w:rsidRPr="001B13F6" w:rsidRDefault="00D10D78" w:rsidP="00D10D78">
            <w:pPr>
              <w:spacing w:before="40" w:after="120"/>
              <w:ind w:right="113"/>
            </w:pPr>
            <w:r w:rsidRPr="001B13F6">
              <w:t>N</w:t>
            </w:r>
          </w:p>
        </w:tc>
        <w:tc>
          <w:tcPr>
            <w:tcW w:w="1509" w:type="dxa"/>
            <w:shd w:val="clear" w:color="auto" w:fill="auto"/>
          </w:tcPr>
          <w:p w14:paraId="6C0AB70E" w14:textId="77777777" w:rsidR="00D10D78" w:rsidRPr="001B13F6" w:rsidRDefault="00D10D78" w:rsidP="00D10D78">
            <w:pPr>
              <w:spacing w:before="40" w:after="120"/>
              <w:ind w:right="113"/>
            </w:pPr>
            <w:r w:rsidRPr="001B13F6">
              <w:t>N</w:t>
            </w:r>
          </w:p>
        </w:tc>
      </w:tr>
      <w:tr w:rsidR="00D10D78" w:rsidRPr="001B13F6" w14:paraId="03B1C1F4" w14:textId="77777777" w:rsidTr="00843397">
        <w:tc>
          <w:tcPr>
            <w:tcW w:w="2924" w:type="dxa"/>
            <w:shd w:val="clear" w:color="auto" w:fill="auto"/>
          </w:tcPr>
          <w:p w14:paraId="700BB7E0" w14:textId="77777777" w:rsidR="00D10D78" w:rsidRPr="001B13F6" w:rsidRDefault="00D10D78" w:rsidP="00D10D78">
            <w:pPr>
              <w:spacing w:before="40" w:after="120"/>
              <w:ind w:right="113"/>
            </w:pPr>
            <w:r w:rsidRPr="001B13F6">
              <w:t>Colombia</w:t>
            </w:r>
          </w:p>
        </w:tc>
        <w:tc>
          <w:tcPr>
            <w:tcW w:w="1529" w:type="dxa"/>
            <w:shd w:val="clear" w:color="auto" w:fill="auto"/>
          </w:tcPr>
          <w:p w14:paraId="0C9A0BAE" w14:textId="77777777" w:rsidR="00D10D78" w:rsidRPr="001B13F6" w:rsidRDefault="00D10D78" w:rsidP="00D10D78">
            <w:pPr>
              <w:spacing w:before="40" w:after="120"/>
              <w:ind w:right="113"/>
            </w:pPr>
            <w:r w:rsidRPr="001B13F6">
              <w:t>Y</w:t>
            </w:r>
          </w:p>
        </w:tc>
        <w:tc>
          <w:tcPr>
            <w:tcW w:w="1408" w:type="dxa"/>
            <w:shd w:val="clear" w:color="auto" w:fill="auto"/>
          </w:tcPr>
          <w:p w14:paraId="0CBEDD11" w14:textId="77777777" w:rsidR="00D10D78" w:rsidRPr="001B13F6" w:rsidRDefault="00D10D78" w:rsidP="00D10D78">
            <w:pPr>
              <w:spacing w:before="40" w:after="120"/>
              <w:ind w:right="113"/>
            </w:pPr>
            <w:r w:rsidRPr="001B13F6">
              <w:t>Y</w:t>
            </w:r>
          </w:p>
        </w:tc>
        <w:tc>
          <w:tcPr>
            <w:tcW w:w="1509" w:type="dxa"/>
            <w:shd w:val="clear" w:color="auto" w:fill="auto"/>
          </w:tcPr>
          <w:p w14:paraId="11339A43" w14:textId="77777777" w:rsidR="00D10D78" w:rsidRPr="001B13F6" w:rsidRDefault="00D10D78" w:rsidP="00D10D78">
            <w:pPr>
              <w:spacing w:before="40" w:after="120"/>
              <w:ind w:right="113"/>
            </w:pPr>
            <w:r w:rsidRPr="001B13F6">
              <w:t>Y</w:t>
            </w:r>
          </w:p>
        </w:tc>
      </w:tr>
      <w:tr w:rsidR="00D10D78" w:rsidRPr="001B13F6" w14:paraId="47B83498" w14:textId="77777777" w:rsidTr="00843397">
        <w:tc>
          <w:tcPr>
            <w:tcW w:w="2924" w:type="dxa"/>
            <w:shd w:val="clear" w:color="auto" w:fill="auto"/>
          </w:tcPr>
          <w:p w14:paraId="556A574D" w14:textId="77777777" w:rsidR="00D10D78" w:rsidRPr="001B13F6" w:rsidRDefault="00D10D78" w:rsidP="00D10D78">
            <w:pPr>
              <w:spacing w:before="40" w:after="120"/>
              <w:ind w:right="113"/>
            </w:pPr>
            <w:r w:rsidRPr="001B13F6">
              <w:t>Comoros</w:t>
            </w:r>
          </w:p>
        </w:tc>
        <w:tc>
          <w:tcPr>
            <w:tcW w:w="1529" w:type="dxa"/>
            <w:shd w:val="clear" w:color="auto" w:fill="auto"/>
          </w:tcPr>
          <w:p w14:paraId="6BA3FE82" w14:textId="77777777" w:rsidR="00D10D78" w:rsidRPr="001B13F6" w:rsidRDefault="00D10D78" w:rsidP="00D10D78">
            <w:pPr>
              <w:spacing w:before="40" w:after="120"/>
              <w:ind w:right="113"/>
            </w:pPr>
            <w:r w:rsidRPr="001B13F6">
              <w:t>Y</w:t>
            </w:r>
          </w:p>
        </w:tc>
        <w:tc>
          <w:tcPr>
            <w:tcW w:w="1408" w:type="dxa"/>
            <w:shd w:val="clear" w:color="auto" w:fill="auto"/>
          </w:tcPr>
          <w:p w14:paraId="0D67C3C1" w14:textId="77777777" w:rsidR="00D10D78" w:rsidRPr="001B13F6" w:rsidRDefault="00D10D78" w:rsidP="00D10D78">
            <w:pPr>
              <w:spacing w:before="40" w:after="120"/>
              <w:ind w:right="113"/>
            </w:pPr>
            <w:r w:rsidRPr="001B13F6">
              <w:t>Y</w:t>
            </w:r>
          </w:p>
        </w:tc>
        <w:tc>
          <w:tcPr>
            <w:tcW w:w="1509" w:type="dxa"/>
            <w:shd w:val="clear" w:color="auto" w:fill="auto"/>
          </w:tcPr>
          <w:p w14:paraId="60CD86C6" w14:textId="77777777" w:rsidR="00D10D78" w:rsidRPr="001B13F6" w:rsidRDefault="00D10D78" w:rsidP="00D10D78">
            <w:pPr>
              <w:spacing w:before="40" w:after="120"/>
              <w:ind w:right="113"/>
            </w:pPr>
            <w:r w:rsidRPr="001B13F6">
              <w:t>Y</w:t>
            </w:r>
          </w:p>
        </w:tc>
      </w:tr>
      <w:tr w:rsidR="00D10D78" w:rsidRPr="001B13F6" w14:paraId="5BEB3A91" w14:textId="77777777" w:rsidTr="00843397">
        <w:tc>
          <w:tcPr>
            <w:tcW w:w="2924" w:type="dxa"/>
            <w:shd w:val="clear" w:color="auto" w:fill="auto"/>
          </w:tcPr>
          <w:p w14:paraId="00C67CD2" w14:textId="639966B3" w:rsidR="00D10D78" w:rsidRPr="001B13F6" w:rsidRDefault="00D10D78" w:rsidP="00D10D78">
            <w:pPr>
              <w:spacing w:before="40" w:after="120"/>
              <w:ind w:right="113"/>
            </w:pPr>
            <w:r w:rsidRPr="001B13F6">
              <w:t>Congo</w:t>
            </w:r>
          </w:p>
        </w:tc>
        <w:tc>
          <w:tcPr>
            <w:tcW w:w="1529" w:type="dxa"/>
            <w:shd w:val="clear" w:color="auto" w:fill="auto"/>
          </w:tcPr>
          <w:p w14:paraId="59AF3058" w14:textId="77777777" w:rsidR="00D10D78" w:rsidRPr="001B13F6" w:rsidRDefault="00D10D78" w:rsidP="00D10D78">
            <w:pPr>
              <w:spacing w:before="40" w:after="120"/>
              <w:ind w:right="113"/>
            </w:pPr>
            <w:r w:rsidRPr="001B13F6">
              <w:t>Y</w:t>
            </w:r>
          </w:p>
        </w:tc>
        <w:tc>
          <w:tcPr>
            <w:tcW w:w="1408" w:type="dxa"/>
            <w:shd w:val="clear" w:color="auto" w:fill="auto"/>
          </w:tcPr>
          <w:p w14:paraId="30DE98AE" w14:textId="77777777" w:rsidR="00D10D78" w:rsidRPr="001B13F6" w:rsidRDefault="00D10D78" w:rsidP="00D10D78">
            <w:pPr>
              <w:spacing w:before="40" w:after="120"/>
              <w:ind w:right="113"/>
            </w:pPr>
            <w:r w:rsidRPr="001B13F6">
              <w:t>Y</w:t>
            </w:r>
          </w:p>
        </w:tc>
        <w:tc>
          <w:tcPr>
            <w:tcW w:w="1509" w:type="dxa"/>
            <w:shd w:val="clear" w:color="auto" w:fill="auto"/>
          </w:tcPr>
          <w:p w14:paraId="6694220D" w14:textId="77777777" w:rsidR="00D10D78" w:rsidRPr="001B13F6" w:rsidRDefault="00D10D78" w:rsidP="00D10D78">
            <w:pPr>
              <w:spacing w:before="40" w:after="120"/>
              <w:ind w:right="113"/>
            </w:pPr>
            <w:r w:rsidRPr="001B13F6">
              <w:t>N</w:t>
            </w:r>
          </w:p>
        </w:tc>
      </w:tr>
      <w:tr w:rsidR="00D10D78" w:rsidRPr="001B13F6" w14:paraId="7DBEA089" w14:textId="77777777" w:rsidTr="00843397">
        <w:tc>
          <w:tcPr>
            <w:tcW w:w="2924" w:type="dxa"/>
            <w:shd w:val="clear" w:color="auto" w:fill="auto"/>
          </w:tcPr>
          <w:p w14:paraId="5C93358C" w14:textId="77777777" w:rsidR="00D10D78" w:rsidRPr="001B13F6" w:rsidRDefault="00D10D78" w:rsidP="00D10D78">
            <w:pPr>
              <w:spacing w:before="40" w:after="120"/>
              <w:ind w:right="113"/>
            </w:pPr>
            <w:r w:rsidRPr="001B13F6">
              <w:t>Costa Rica</w:t>
            </w:r>
          </w:p>
        </w:tc>
        <w:tc>
          <w:tcPr>
            <w:tcW w:w="1529" w:type="dxa"/>
            <w:shd w:val="clear" w:color="auto" w:fill="auto"/>
          </w:tcPr>
          <w:p w14:paraId="167A21B1" w14:textId="77777777" w:rsidR="00D10D78" w:rsidRPr="001B13F6" w:rsidRDefault="00D10D78" w:rsidP="00D10D78">
            <w:pPr>
              <w:spacing w:before="40" w:after="120"/>
              <w:ind w:right="113"/>
            </w:pPr>
            <w:r w:rsidRPr="001B13F6">
              <w:t>Y</w:t>
            </w:r>
          </w:p>
        </w:tc>
        <w:tc>
          <w:tcPr>
            <w:tcW w:w="1408" w:type="dxa"/>
            <w:shd w:val="clear" w:color="auto" w:fill="auto"/>
          </w:tcPr>
          <w:p w14:paraId="666B3101" w14:textId="77777777" w:rsidR="00D10D78" w:rsidRPr="001B13F6" w:rsidRDefault="00D10D78" w:rsidP="00D10D78">
            <w:pPr>
              <w:spacing w:before="40" w:after="120"/>
              <w:ind w:right="113"/>
            </w:pPr>
            <w:r w:rsidRPr="001B13F6">
              <w:t>Y</w:t>
            </w:r>
          </w:p>
        </w:tc>
        <w:tc>
          <w:tcPr>
            <w:tcW w:w="1509" w:type="dxa"/>
            <w:shd w:val="clear" w:color="auto" w:fill="auto"/>
          </w:tcPr>
          <w:p w14:paraId="3943EBEC" w14:textId="77777777" w:rsidR="00D10D78" w:rsidRPr="001B13F6" w:rsidRDefault="00D10D78" w:rsidP="00D10D78">
            <w:pPr>
              <w:spacing w:before="40" w:after="120"/>
              <w:ind w:right="113"/>
            </w:pPr>
            <w:r w:rsidRPr="001B13F6">
              <w:t>Y</w:t>
            </w:r>
          </w:p>
        </w:tc>
      </w:tr>
      <w:tr w:rsidR="00D10D78" w:rsidRPr="001B13F6" w14:paraId="08B861DC" w14:textId="77777777" w:rsidTr="00843397">
        <w:tc>
          <w:tcPr>
            <w:tcW w:w="2924" w:type="dxa"/>
            <w:shd w:val="clear" w:color="auto" w:fill="auto"/>
          </w:tcPr>
          <w:p w14:paraId="1521A5E0" w14:textId="321B80B1" w:rsidR="00D10D78" w:rsidRPr="001B13F6" w:rsidRDefault="00D10D78" w:rsidP="00D10D78">
            <w:pPr>
              <w:spacing w:before="40" w:after="120"/>
              <w:ind w:right="113"/>
            </w:pPr>
            <w:r w:rsidRPr="001B13F6">
              <w:t>Côte d’Ivoire</w:t>
            </w:r>
          </w:p>
        </w:tc>
        <w:tc>
          <w:tcPr>
            <w:tcW w:w="1529" w:type="dxa"/>
            <w:shd w:val="clear" w:color="auto" w:fill="auto"/>
          </w:tcPr>
          <w:p w14:paraId="46E550D3" w14:textId="77777777" w:rsidR="00D10D78" w:rsidRPr="001B13F6" w:rsidRDefault="00D10D78" w:rsidP="00D10D78">
            <w:pPr>
              <w:spacing w:before="40" w:after="120"/>
              <w:ind w:right="113"/>
            </w:pPr>
            <w:r w:rsidRPr="001B13F6">
              <w:t>Y</w:t>
            </w:r>
          </w:p>
        </w:tc>
        <w:tc>
          <w:tcPr>
            <w:tcW w:w="1408" w:type="dxa"/>
            <w:shd w:val="clear" w:color="auto" w:fill="auto"/>
          </w:tcPr>
          <w:p w14:paraId="665A8F4F" w14:textId="77777777" w:rsidR="00D10D78" w:rsidRPr="001B13F6" w:rsidRDefault="00D10D78" w:rsidP="00D10D78">
            <w:pPr>
              <w:spacing w:before="40" w:after="120"/>
              <w:ind w:right="113"/>
            </w:pPr>
            <w:r w:rsidRPr="001B13F6">
              <w:t>Y</w:t>
            </w:r>
          </w:p>
        </w:tc>
        <w:tc>
          <w:tcPr>
            <w:tcW w:w="1509" w:type="dxa"/>
            <w:shd w:val="clear" w:color="auto" w:fill="auto"/>
          </w:tcPr>
          <w:p w14:paraId="3B38AFAD" w14:textId="77777777" w:rsidR="00D10D78" w:rsidRPr="001B13F6" w:rsidRDefault="00D10D78" w:rsidP="00D10D78">
            <w:pPr>
              <w:spacing w:before="40" w:after="120"/>
              <w:ind w:right="113"/>
            </w:pPr>
            <w:r w:rsidRPr="001B13F6">
              <w:t>Y</w:t>
            </w:r>
          </w:p>
        </w:tc>
      </w:tr>
      <w:tr w:rsidR="00D10D78" w:rsidRPr="001B13F6" w14:paraId="4B0EB9BE" w14:textId="77777777" w:rsidTr="00843397">
        <w:tc>
          <w:tcPr>
            <w:tcW w:w="2924" w:type="dxa"/>
            <w:shd w:val="clear" w:color="auto" w:fill="auto"/>
          </w:tcPr>
          <w:p w14:paraId="248ED884" w14:textId="77777777" w:rsidR="00D10D78" w:rsidRPr="001B13F6" w:rsidRDefault="00D10D78" w:rsidP="00D10D78">
            <w:pPr>
              <w:spacing w:before="40" w:after="120"/>
              <w:ind w:right="113"/>
            </w:pPr>
            <w:r w:rsidRPr="001B13F6">
              <w:t>Croatia</w:t>
            </w:r>
          </w:p>
        </w:tc>
        <w:tc>
          <w:tcPr>
            <w:tcW w:w="1529" w:type="dxa"/>
            <w:shd w:val="clear" w:color="auto" w:fill="auto"/>
          </w:tcPr>
          <w:p w14:paraId="1714FE25" w14:textId="77777777" w:rsidR="00D10D78" w:rsidRPr="001B13F6" w:rsidRDefault="00D10D78" w:rsidP="00D10D78">
            <w:pPr>
              <w:spacing w:before="40" w:after="120"/>
              <w:ind w:right="113"/>
            </w:pPr>
            <w:r w:rsidRPr="001B13F6">
              <w:t>Y</w:t>
            </w:r>
          </w:p>
        </w:tc>
        <w:tc>
          <w:tcPr>
            <w:tcW w:w="1408" w:type="dxa"/>
            <w:shd w:val="clear" w:color="auto" w:fill="auto"/>
          </w:tcPr>
          <w:p w14:paraId="1B66A224" w14:textId="77777777" w:rsidR="00D10D78" w:rsidRPr="001B13F6" w:rsidRDefault="00D10D78" w:rsidP="00D10D78">
            <w:pPr>
              <w:spacing w:before="40" w:after="120"/>
              <w:ind w:right="113"/>
            </w:pPr>
            <w:r w:rsidRPr="001B13F6">
              <w:t>Y</w:t>
            </w:r>
          </w:p>
        </w:tc>
        <w:tc>
          <w:tcPr>
            <w:tcW w:w="1509" w:type="dxa"/>
            <w:shd w:val="clear" w:color="auto" w:fill="auto"/>
          </w:tcPr>
          <w:p w14:paraId="4B670A9B" w14:textId="77777777" w:rsidR="00D10D78" w:rsidRPr="001B13F6" w:rsidRDefault="00D10D78" w:rsidP="00D10D78">
            <w:pPr>
              <w:spacing w:before="40" w:after="120"/>
              <w:ind w:right="113"/>
            </w:pPr>
            <w:r w:rsidRPr="001B13F6">
              <w:t>Y</w:t>
            </w:r>
          </w:p>
        </w:tc>
      </w:tr>
      <w:tr w:rsidR="00D10D78" w:rsidRPr="001B13F6" w14:paraId="2EBF09B2" w14:textId="77777777" w:rsidTr="00843397">
        <w:tc>
          <w:tcPr>
            <w:tcW w:w="2924" w:type="dxa"/>
            <w:shd w:val="clear" w:color="auto" w:fill="auto"/>
          </w:tcPr>
          <w:p w14:paraId="0EF89B46" w14:textId="77777777" w:rsidR="00D10D78" w:rsidRPr="001B13F6" w:rsidRDefault="00D10D78" w:rsidP="00D10D78">
            <w:pPr>
              <w:spacing w:before="40" w:after="120"/>
              <w:ind w:right="113"/>
            </w:pPr>
            <w:r w:rsidRPr="001B13F6">
              <w:t>Cuba</w:t>
            </w:r>
          </w:p>
        </w:tc>
        <w:tc>
          <w:tcPr>
            <w:tcW w:w="1529" w:type="dxa"/>
            <w:shd w:val="clear" w:color="auto" w:fill="auto"/>
          </w:tcPr>
          <w:p w14:paraId="72697975" w14:textId="77777777" w:rsidR="00D10D78" w:rsidRPr="001B13F6" w:rsidRDefault="00D10D78" w:rsidP="00D10D78">
            <w:pPr>
              <w:spacing w:before="40" w:after="120"/>
              <w:ind w:right="113"/>
            </w:pPr>
            <w:r w:rsidRPr="001B13F6">
              <w:t>Y</w:t>
            </w:r>
          </w:p>
        </w:tc>
        <w:tc>
          <w:tcPr>
            <w:tcW w:w="1408" w:type="dxa"/>
            <w:shd w:val="clear" w:color="auto" w:fill="auto"/>
          </w:tcPr>
          <w:p w14:paraId="53658413" w14:textId="77777777" w:rsidR="00D10D78" w:rsidRPr="001B13F6" w:rsidRDefault="00D10D78" w:rsidP="00D10D78">
            <w:pPr>
              <w:spacing w:before="40" w:after="120"/>
              <w:ind w:right="113"/>
            </w:pPr>
            <w:r w:rsidRPr="001B13F6">
              <w:t>N</w:t>
            </w:r>
          </w:p>
        </w:tc>
        <w:tc>
          <w:tcPr>
            <w:tcW w:w="1509" w:type="dxa"/>
            <w:shd w:val="clear" w:color="auto" w:fill="auto"/>
          </w:tcPr>
          <w:p w14:paraId="7888AF6E" w14:textId="77777777" w:rsidR="00D10D78" w:rsidRPr="001B13F6" w:rsidRDefault="00D10D78" w:rsidP="00D10D78">
            <w:pPr>
              <w:spacing w:before="40" w:after="120"/>
              <w:ind w:right="113"/>
            </w:pPr>
            <w:r w:rsidRPr="001B13F6">
              <w:t>Y</w:t>
            </w:r>
          </w:p>
        </w:tc>
      </w:tr>
      <w:tr w:rsidR="00D10D78" w:rsidRPr="001B13F6" w14:paraId="3091453D" w14:textId="77777777" w:rsidTr="00843397">
        <w:tc>
          <w:tcPr>
            <w:tcW w:w="2924" w:type="dxa"/>
            <w:shd w:val="clear" w:color="auto" w:fill="auto"/>
          </w:tcPr>
          <w:p w14:paraId="71E3B984" w14:textId="77777777" w:rsidR="00D10D78" w:rsidRPr="001B13F6" w:rsidRDefault="00D10D78" w:rsidP="00D10D78">
            <w:pPr>
              <w:spacing w:before="40" w:after="120"/>
              <w:ind w:right="113"/>
            </w:pPr>
            <w:r w:rsidRPr="001B13F6">
              <w:t>Cyprus</w:t>
            </w:r>
          </w:p>
        </w:tc>
        <w:tc>
          <w:tcPr>
            <w:tcW w:w="1529" w:type="dxa"/>
            <w:shd w:val="clear" w:color="auto" w:fill="auto"/>
          </w:tcPr>
          <w:p w14:paraId="48510493" w14:textId="77777777" w:rsidR="00D10D78" w:rsidRPr="001B13F6" w:rsidRDefault="00D10D78" w:rsidP="00D10D78">
            <w:pPr>
              <w:spacing w:before="40" w:after="120"/>
              <w:ind w:right="113"/>
            </w:pPr>
            <w:r w:rsidRPr="001B13F6">
              <w:t>Yi</w:t>
            </w:r>
          </w:p>
        </w:tc>
        <w:tc>
          <w:tcPr>
            <w:tcW w:w="1408" w:type="dxa"/>
            <w:shd w:val="clear" w:color="auto" w:fill="auto"/>
          </w:tcPr>
          <w:p w14:paraId="67294C8C" w14:textId="77777777" w:rsidR="00D10D78" w:rsidRPr="001B13F6" w:rsidRDefault="00D10D78" w:rsidP="00D10D78">
            <w:pPr>
              <w:spacing w:before="40" w:after="120"/>
              <w:ind w:right="113"/>
            </w:pPr>
            <w:r w:rsidRPr="001B13F6">
              <w:t>Y</w:t>
            </w:r>
          </w:p>
        </w:tc>
        <w:tc>
          <w:tcPr>
            <w:tcW w:w="1509" w:type="dxa"/>
            <w:shd w:val="clear" w:color="auto" w:fill="auto"/>
          </w:tcPr>
          <w:p w14:paraId="366A8C33" w14:textId="77777777" w:rsidR="00D10D78" w:rsidRPr="001B13F6" w:rsidRDefault="00D10D78" w:rsidP="00D10D78">
            <w:pPr>
              <w:spacing w:before="40" w:after="120"/>
              <w:ind w:right="113"/>
            </w:pPr>
            <w:r w:rsidRPr="001B13F6">
              <w:t>Y </w:t>
            </w:r>
          </w:p>
        </w:tc>
      </w:tr>
      <w:tr w:rsidR="00D10D78" w:rsidRPr="001B13F6" w14:paraId="1B87F26A" w14:textId="77777777" w:rsidTr="00843397">
        <w:tc>
          <w:tcPr>
            <w:tcW w:w="2924" w:type="dxa"/>
            <w:shd w:val="clear" w:color="auto" w:fill="auto"/>
          </w:tcPr>
          <w:p w14:paraId="2B94AF22" w14:textId="77777777" w:rsidR="00D10D78" w:rsidRPr="001B13F6" w:rsidRDefault="00D10D78" w:rsidP="00D10D78">
            <w:pPr>
              <w:spacing w:before="40" w:after="120"/>
              <w:ind w:right="113"/>
            </w:pPr>
            <w:r w:rsidRPr="001B13F6">
              <w:t>Czechia</w:t>
            </w:r>
          </w:p>
          <w:p w14:paraId="5019FE4A" w14:textId="037195D6" w:rsidR="00C85A60" w:rsidRPr="001B13F6" w:rsidRDefault="00C85A60" w:rsidP="00D10D78">
            <w:pPr>
              <w:spacing w:before="40" w:after="120"/>
              <w:ind w:right="113"/>
            </w:pPr>
            <w:r w:rsidRPr="001B13F6">
              <w:t>Democratic People’s Republic of Korea</w:t>
            </w:r>
          </w:p>
        </w:tc>
        <w:tc>
          <w:tcPr>
            <w:tcW w:w="1529" w:type="dxa"/>
            <w:shd w:val="clear" w:color="auto" w:fill="auto"/>
          </w:tcPr>
          <w:p w14:paraId="2DD34589" w14:textId="77777777" w:rsidR="00D10D78" w:rsidRPr="001B13F6" w:rsidRDefault="00D10D78" w:rsidP="00D10D78">
            <w:pPr>
              <w:spacing w:before="40" w:after="120"/>
              <w:ind w:right="113"/>
            </w:pPr>
            <w:r w:rsidRPr="001B13F6">
              <w:t>Y</w:t>
            </w:r>
          </w:p>
          <w:p w14:paraId="103D4184" w14:textId="6955F575" w:rsidR="00C85A60" w:rsidRPr="001B13F6" w:rsidRDefault="00C85A60" w:rsidP="00D10D78">
            <w:pPr>
              <w:spacing w:before="40" w:after="120"/>
              <w:ind w:right="113"/>
            </w:pPr>
            <w:r w:rsidRPr="001B13F6">
              <w:t>N</w:t>
            </w:r>
          </w:p>
        </w:tc>
        <w:tc>
          <w:tcPr>
            <w:tcW w:w="1408" w:type="dxa"/>
            <w:shd w:val="clear" w:color="auto" w:fill="auto"/>
          </w:tcPr>
          <w:p w14:paraId="0143E8CF" w14:textId="77777777" w:rsidR="00D10D78" w:rsidRPr="001B13F6" w:rsidRDefault="00D10D78" w:rsidP="00D10D78">
            <w:pPr>
              <w:spacing w:before="40" w:after="120"/>
              <w:ind w:right="113"/>
            </w:pPr>
            <w:r w:rsidRPr="001B13F6">
              <w:t>Y</w:t>
            </w:r>
          </w:p>
          <w:p w14:paraId="19071642" w14:textId="5D0845FB" w:rsidR="00C85A60" w:rsidRPr="001B13F6" w:rsidRDefault="00C85A60" w:rsidP="00D10D78">
            <w:pPr>
              <w:spacing w:before="40" w:after="120"/>
              <w:ind w:right="113"/>
            </w:pPr>
            <w:r w:rsidRPr="001B13F6">
              <w:t>N</w:t>
            </w:r>
          </w:p>
        </w:tc>
        <w:tc>
          <w:tcPr>
            <w:tcW w:w="1509" w:type="dxa"/>
            <w:shd w:val="clear" w:color="auto" w:fill="auto"/>
          </w:tcPr>
          <w:p w14:paraId="2F81219B" w14:textId="2A9DFE5F" w:rsidR="00D10D78" w:rsidRPr="001B13F6" w:rsidRDefault="00D10D78" w:rsidP="00D10D78">
            <w:pPr>
              <w:spacing w:before="40" w:after="120"/>
              <w:ind w:right="113"/>
            </w:pPr>
            <w:r w:rsidRPr="001B13F6">
              <w:t>Y</w:t>
            </w:r>
          </w:p>
          <w:p w14:paraId="0A345649" w14:textId="79965E49" w:rsidR="00C85A60" w:rsidRPr="001B13F6" w:rsidRDefault="00C85A60" w:rsidP="00D10D78">
            <w:pPr>
              <w:spacing w:before="40" w:after="120"/>
              <w:ind w:right="113"/>
            </w:pPr>
            <w:r w:rsidRPr="001B13F6">
              <w:t>N</w:t>
            </w:r>
          </w:p>
          <w:p w14:paraId="3FEDA962" w14:textId="6934F3FD" w:rsidR="00C85A60" w:rsidRPr="001B13F6" w:rsidRDefault="00C85A60" w:rsidP="00D10D78">
            <w:pPr>
              <w:spacing w:before="40" w:after="120"/>
              <w:ind w:right="113"/>
            </w:pPr>
          </w:p>
        </w:tc>
      </w:tr>
      <w:tr w:rsidR="00D10D78" w:rsidRPr="001B13F6" w14:paraId="6C4889A8" w14:textId="77777777" w:rsidTr="00843397">
        <w:tc>
          <w:tcPr>
            <w:tcW w:w="2924" w:type="dxa"/>
            <w:shd w:val="clear" w:color="auto" w:fill="auto"/>
          </w:tcPr>
          <w:p w14:paraId="1744CC22" w14:textId="77777777" w:rsidR="00D10D78" w:rsidRDefault="00D10D78" w:rsidP="00D10D78">
            <w:pPr>
              <w:spacing w:before="40" w:after="120"/>
              <w:ind w:right="113"/>
            </w:pPr>
            <w:r w:rsidRPr="001B13F6">
              <w:t>Democratic Republic of the Congo</w:t>
            </w:r>
          </w:p>
          <w:p w14:paraId="496B8FDE" w14:textId="417677A7" w:rsidR="0051562E" w:rsidRPr="001B13F6" w:rsidRDefault="0051562E" w:rsidP="00D10D78">
            <w:pPr>
              <w:spacing w:before="40" w:after="120"/>
              <w:ind w:right="113"/>
            </w:pPr>
            <w:r>
              <w:t>Denmark</w:t>
            </w:r>
          </w:p>
        </w:tc>
        <w:tc>
          <w:tcPr>
            <w:tcW w:w="1529" w:type="dxa"/>
            <w:shd w:val="clear" w:color="auto" w:fill="auto"/>
          </w:tcPr>
          <w:p w14:paraId="2BCB5337" w14:textId="77777777" w:rsidR="00D10D78" w:rsidRDefault="00D10D78" w:rsidP="00D10D78">
            <w:pPr>
              <w:spacing w:before="40" w:after="120"/>
              <w:ind w:right="113"/>
            </w:pPr>
            <w:r w:rsidRPr="001B13F6">
              <w:t>Y</w:t>
            </w:r>
          </w:p>
          <w:p w14:paraId="3E7B1CCD" w14:textId="49229CA4" w:rsidR="0051562E" w:rsidRPr="001B13F6" w:rsidRDefault="0051562E" w:rsidP="00D10D78">
            <w:pPr>
              <w:spacing w:before="40" w:after="120"/>
              <w:ind w:right="113"/>
            </w:pPr>
            <w:r>
              <w:t>N</w:t>
            </w:r>
          </w:p>
        </w:tc>
        <w:tc>
          <w:tcPr>
            <w:tcW w:w="1408" w:type="dxa"/>
            <w:shd w:val="clear" w:color="auto" w:fill="auto"/>
          </w:tcPr>
          <w:p w14:paraId="2B7A97FE" w14:textId="77777777" w:rsidR="00D10D78" w:rsidRDefault="00D10D78" w:rsidP="00D10D78">
            <w:pPr>
              <w:spacing w:before="40" w:after="120"/>
              <w:ind w:right="113"/>
            </w:pPr>
            <w:r w:rsidRPr="001B13F6">
              <w:t>Y</w:t>
            </w:r>
          </w:p>
          <w:p w14:paraId="140CC68F" w14:textId="020D0F64" w:rsidR="0051562E" w:rsidRPr="001B13F6" w:rsidRDefault="0051562E" w:rsidP="00D10D78">
            <w:pPr>
              <w:spacing w:before="40" w:after="120"/>
              <w:ind w:right="113"/>
            </w:pPr>
            <w:r>
              <w:t>Y</w:t>
            </w:r>
          </w:p>
        </w:tc>
        <w:tc>
          <w:tcPr>
            <w:tcW w:w="1509" w:type="dxa"/>
            <w:shd w:val="clear" w:color="auto" w:fill="auto"/>
          </w:tcPr>
          <w:p w14:paraId="57BB461F" w14:textId="77777777" w:rsidR="00D10D78" w:rsidRDefault="00D10D78" w:rsidP="00D10D78">
            <w:pPr>
              <w:spacing w:before="40" w:after="120"/>
              <w:ind w:right="113"/>
            </w:pPr>
            <w:r w:rsidRPr="001B13F6">
              <w:t>Y</w:t>
            </w:r>
          </w:p>
          <w:p w14:paraId="492A0682" w14:textId="388A5A67" w:rsidR="0051562E" w:rsidRPr="001B13F6" w:rsidRDefault="0051562E" w:rsidP="00D10D78">
            <w:pPr>
              <w:spacing w:before="40" w:after="120"/>
              <w:ind w:right="113"/>
            </w:pPr>
            <w:r>
              <w:t>N</w:t>
            </w:r>
          </w:p>
        </w:tc>
      </w:tr>
      <w:tr w:rsidR="00D10D78" w:rsidRPr="001B13F6" w14:paraId="2D0B67EB" w14:textId="77777777" w:rsidTr="00843397">
        <w:tc>
          <w:tcPr>
            <w:tcW w:w="2924" w:type="dxa"/>
            <w:shd w:val="clear" w:color="auto" w:fill="auto"/>
          </w:tcPr>
          <w:p w14:paraId="35D5E978" w14:textId="77777777" w:rsidR="00D10D78" w:rsidRPr="001B13F6" w:rsidRDefault="00D10D78" w:rsidP="00D10D78">
            <w:pPr>
              <w:spacing w:before="40" w:after="120"/>
              <w:ind w:right="113"/>
            </w:pPr>
            <w:r w:rsidRPr="001B13F6">
              <w:t>Djibouti</w:t>
            </w:r>
          </w:p>
        </w:tc>
        <w:tc>
          <w:tcPr>
            <w:tcW w:w="1529" w:type="dxa"/>
            <w:shd w:val="clear" w:color="auto" w:fill="auto"/>
          </w:tcPr>
          <w:p w14:paraId="6A6A68BF" w14:textId="77777777" w:rsidR="00D10D78" w:rsidRPr="001B13F6" w:rsidRDefault="00D10D78" w:rsidP="00D10D78">
            <w:pPr>
              <w:spacing w:before="40" w:after="120"/>
              <w:ind w:right="113"/>
            </w:pPr>
            <w:r w:rsidRPr="001B13F6">
              <w:t>N</w:t>
            </w:r>
          </w:p>
        </w:tc>
        <w:tc>
          <w:tcPr>
            <w:tcW w:w="1408" w:type="dxa"/>
            <w:shd w:val="clear" w:color="auto" w:fill="auto"/>
          </w:tcPr>
          <w:p w14:paraId="0F416485" w14:textId="77777777" w:rsidR="00D10D78" w:rsidRPr="001B13F6" w:rsidRDefault="00D10D78" w:rsidP="00D10D78">
            <w:pPr>
              <w:spacing w:before="40" w:after="120"/>
              <w:ind w:right="113"/>
            </w:pPr>
            <w:r w:rsidRPr="001B13F6">
              <w:t>Y</w:t>
            </w:r>
          </w:p>
        </w:tc>
        <w:tc>
          <w:tcPr>
            <w:tcW w:w="1509" w:type="dxa"/>
            <w:shd w:val="clear" w:color="auto" w:fill="auto"/>
          </w:tcPr>
          <w:p w14:paraId="5ABA02D4" w14:textId="77777777" w:rsidR="00D10D78" w:rsidRPr="001B13F6" w:rsidRDefault="00D10D78" w:rsidP="00D10D78">
            <w:pPr>
              <w:spacing w:before="40" w:after="120"/>
              <w:ind w:right="113"/>
            </w:pPr>
            <w:r w:rsidRPr="001B13F6">
              <w:t>Y</w:t>
            </w:r>
          </w:p>
        </w:tc>
      </w:tr>
      <w:tr w:rsidR="00D10D78" w:rsidRPr="001B13F6" w14:paraId="3E4293F2" w14:textId="77777777" w:rsidTr="00843397">
        <w:tc>
          <w:tcPr>
            <w:tcW w:w="2924" w:type="dxa"/>
            <w:shd w:val="clear" w:color="auto" w:fill="auto"/>
          </w:tcPr>
          <w:p w14:paraId="299E613D" w14:textId="77777777" w:rsidR="00D10D78" w:rsidRPr="001B13F6" w:rsidRDefault="00D10D78" w:rsidP="00D10D78">
            <w:pPr>
              <w:spacing w:before="40" w:after="120"/>
              <w:ind w:right="113"/>
            </w:pPr>
            <w:r w:rsidRPr="001B13F6">
              <w:t>Dominica</w:t>
            </w:r>
          </w:p>
        </w:tc>
        <w:tc>
          <w:tcPr>
            <w:tcW w:w="1529" w:type="dxa"/>
            <w:shd w:val="clear" w:color="auto" w:fill="auto"/>
          </w:tcPr>
          <w:p w14:paraId="3C0523D9" w14:textId="77777777" w:rsidR="00D10D78" w:rsidRPr="001B13F6" w:rsidRDefault="00D10D78" w:rsidP="00D10D78">
            <w:pPr>
              <w:spacing w:before="40" w:after="120"/>
              <w:ind w:right="113"/>
            </w:pPr>
            <w:r w:rsidRPr="001B13F6">
              <w:t>N</w:t>
            </w:r>
          </w:p>
        </w:tc>
        <w:tc>
          <w:tcPr>
            <w:tcW w:w="1408" w:type="dxa"/>
            <w:shd w:val="clear" w:color="auto" w:fill="auto"/>
          </w:tcPr>
          <w:p w14:paraId="2C3D08A3" w14:textId="77777777" w:rsidR="00D10D78" w:rsidRPr="001B13F6" w:rsidRDefault="00D10D78" w:rsidP="00D10D78">
            <w:pPr>
              <w:spacing w:before="40" w:after="120"/>
              <w:ind w:right="113"/>
            </w:pPr>
            <w:r w:rsidRPr="001B13F6">
              <w:t>N</w:t>
            </w:r>
          </w:p>
        </w:tc>
        <w:tc>
          <w:tcPr>
            <w:tcW w:w="1509" w:type="dxa"/>
            <w:shd w:val="clear" w:color="auto" w:fill="auto"/>
          </w:tcPr>
          <w:p w14:paraId="3C810FA9" w14:textId="77777777" w:rsidR="00D10D78" w:rsidRPr="001B13F6" w:rsidRDefault="00D10D78" w:rsidP="00D10D78">
            <w:pPr>
              <w:spacing w:before="40" w:after="120"/>
              <w:ind w:right="113"/>
            </w:pPr>
            <w:r w:rsidRPr="001B13F6">
              <w:t>N</w:t>
            </w:r>
          </w:p>
        </w:tc>
      </w:tr>
      <w:tr w:rsidR="00D10D78" w:rsidRPr="001B13F6" w14:paraId="31FB7FE5" w14:textId="77777777" w:rsidTr="00843397">
        <w:tc>
          <w:tcPr>
            <w:tcW w:w="2924" w:type="dxa"/>
            <w:shd w:val="clear" w:color="auto" w:fill="auto"/>
          </w:tcPr>
          <w:p w14:paraId="1B3284AE" w14:textId="77777777" w:rsidR="00D10D78" w:rsidRPr="001B13F6" w:rsidRDefault="00D10D78" w:rsidP="00D10D78">
            <w:pPr>
              <w:spacing w:before="40" w:after="120"/>
              <w:ind w:right="113"/>
            </w:pPr>
            <w:r w:rsidRPr="001B13F6">
              <w:t>Dominican Republic</w:t>
            </w:r>
          </w:p>
        </w:tc>
        <w:tc>
          <w:tcPr>
            <w:tcW w:w="1529" w:type="dxa"/>
            <w:shd w:val="clear" w:color="auto" w:fill="auto"/>
          </w:tcPr>
          <w:p w14:paraId="7C18D1E9" w14:textId="77777777" w:rsidR="00D10D78" w:rsidRPr="001B13F6" w:rsidRDefault="00D10D78" w:rsidP="00D10D78">
            <w:pPr>
              <w:spacing w:before="40" w:after="120"/>
              <w:ind w:right="113"/>
            </w:pPr>
            <w:r w:rsidRPr="001B13F6">
              <w:t>Y</w:t>
            </w:r>
          </w:p>
        </w:tc>
        <w:tc>
          <w:tcPr>
            <w:tcW w:w="1408" w:type="dxa"/>
            <w:shd w:val="clear" w:color="auto" w:fill="auto"/>
          </w:tcPr>
          <w:p w14:paraId="5F39DB84" w14:textId="77777777" w:rsidR="00D10D78" w:rsidRPr="001B13F6" w:rsidRDefault="00D10D78" w:rsidP="00D10D78">
            <w:pPr>
              <w:spacing w:before="40" w:after="120"/>
              <w:ind w:right="113"/>
            </w:pPr>
            <w:r w:rsidRPr="001B13F6">
              <w:t>N</w:t>
            </w:r>
          </w:p>
        </w:tc>
        <w:tc>
          <w:tcPr>
            <w:tcW w:w="1509" w:type="dxa"/>
            <w:shd w:val="clear" w:color="auto" w:fill="auto"/>
          </w:tcPr>
          <w:p w14:paraId="49A74B2B" w14:textId="77777777" w:rsidR="00D10D78" w:rsidRPr="001B13F6" w:rsidRDefault="00D10D78" w:rsidP="00D10D78">
            <w:pPr>
              <w:spacing w:before="40" w:after="120"/>
              <w:ind w:right="113"/>
            </w:pPr>
            <w:r w:rsidRPr="001B13F6">
              <w:t>Y</w:t>
            </w:r>
          </w:p>
        </w:tc>
      </w:tr>
      <w:tr w:rsidR="00D10D78" w:rsidRPr="001B13F6" w14:paraId="1A05115F" w14:textId="77777777" w:rsidTr="00843397">
        <w:tc>
          <w:tcPr>
            <w:tcW w:w="2924" w:type="dxa"/>
            <w:shd w:val="clear" w:color="auto" w:fill="auto"/>
          </w:tcPr>
          <w:p w14:paraId="1AC397FE" w14:textId="77777777" w:rsidR="00D10D78" w:rsidRPr="001B13F6" w:rsidRDefault="00D10D78" w:rsidP="00D10D78">
            <w:pPr>
              <w:spacing w:before="40" w:after="120"/>
              <w:ind w:right="113"/>
            </w:pPr>
            <w:r w:rsidRPr="001B13F6">
              <w:t>Ecuador</w:t>
            </w:r>
          </w:p>
        </w:tc>
        <w:tc>
          <w:tcPr>
            <w:tcW w:w="1529" w:type="dxa"/>
            <w:shd w:val="clear" w:color="auto" w:fill="auto"/>
          </w:tcPr>
          <w:p w14:paraId="5CAAB4ED" w14:textId="77777777" w:rsidR="00D10D78" w:rsidRPr="001B13F6" w:rsidRDefault="00D10D78" w:rsidP="00D10D78">
            <w:pPr>
              <w:spacing w:before="40" w:after="120"/>
              <w:ind w:right="113"/>
            </w:pPr>
            <w:r w:rsidRPr="001B13F6">
              <w:t>Y</w:t>
            </w:r>
          </w:p>
        </w:tc>
        <w:tc>
          <w:tcPr>
            <w:tcW w:w="1408" w:type="dxa"/>
            <w:shd w:val="clear" w:color="auto" w:fill="auto"/>
          </w:tcPr>
          <w:p w14:paraId="1BEBD725" w14:textId="77777777" w:rsidR="00D10D78" w:rsidRPr="001B13F6" w:rsidRDefault="00D10D78" w:rsidP="00D10D78">
            <w:pPr>
              <w:spacing w:before="40" w:after="120"/>
              <w:ind w:right="113"/>
            </w:pPr>
            <w:r w:rsidRPr="001B13F6">
              <w:t>Y</w:t>
            </w:r>
          </w:p>
        </w:tc>
        <w:tc>
          <w:tcPr>
            <w:tcW w:w="1509" w:type="dxa"/>
            <w:shd w:val="clear" w:color="auto" w:fill="auto"/>
          </w:tcPr>
          <w:p w14:paraId="41A96143" w14:textId="77777777" w:rsidR="00D10D78" w:rsidRPr="001B13F6" w:rsidRDefault="00D10D78" w:rsidP="00D10D78">
            <w:pPr>
              <w:spacing w:before="40" w:after="120"/>
              <w:ind w:right="113"/>
            </w:pPr>
            <w:r w:rsidRPr="001B13F6">
              <w:t>Y</w:t>
            </w:r>
          </w:p>
        </w:tc>
      </w:tr>
      <w:tr w:rsidR="00D10D78" w:rsidRPr="001B13F6" w14:paraId="47744F55" w14:textId="77777777" w:rsidTr="00843397">
        <w:tc>
          <w:tcPr>
            <w:tcW w:w="2924" w:type="dxa"/>
            <w:shd w:val="clear" w:color="auto" w:fill="auto"/>
          </w:tcPr>
          <w:p w14:paraId="4F782EAB" w14:textId="77777777" w:rsidR="00D10D78" w:rsidRPr="001B13F6" w:rsidRDefault="00D10D78" w:rsidP="00D10D78">
            <w:pPr>
              <w:spacing w:before="40" w:after="120"/>
              <w:ind w:right="113"/>
            </w:pPr>
            <w:r w:rsidRPr="001B13F6">
              <w:t>Egypt</w:t>
            </w:r>
          </w:p>
        </w:tc>
        <w:tc>
          <w:tcPr>
            <w:tcW w:w="1529" w:type="dxa"/>
            <w:shd w:val="clear" w:color="auto" w:fill="auto"/>
          </w:tcPr>
          <w:p w14:paraId="50A3490F" w14:textId="77777777" w:rsidR="00D10D78" w:rsidRPr="001B13F6" w:rsidRDefault="00D10D78" w:rsidP="00D10D78">
            <w:pPr>
              <w:spacing w:before="40" w:after="120"/>
              <w:ind w:right="113"/>
            </w:pPr>
            <w:r w:rsidRPr="001B13F6">
              <w:t>Y</w:t>
            </w:r>
          </w:p>
        </w:tc>
        <w:tc>
          <w:tcPr>
            <w:tcW w:w="1408" w:type="dxa"/>
            <w:shd w:val="clear" w:color="auto" w:fill="auto"/>
          </w:tcPr>
          <w:p w14:paraId="2336B6B8" w14:textId="77777777" w:rsidR="00D10D78" w:rsidRPr="001B13F6" w:rsidRDefault="00D10D78" w:rsidP="00D10D78">
            <w:pPr>
              <w:spacing w:before="40" w:after="120"/>
              <w:ind w:right="113"/>
            </w:pPr>
            <w:r w:rsidRPr="001B13F6">
              <w:t>Y</w:t>
            </w:r>
          </w:p>
        </w:tc>
        <w:tc>
          <w:tcPr>
            <w:tcW w:w="1509" w:type="dxa"/>
            <w:shd w:val="clear" w:color="auto" w:fill="auto"/>
          </w:tcPr>
          <w:p w14:paraId="050C6466" w14:textId="77777777" w:rsidR="00D10D78" w:rsidRPr="001B13F6" w:rsidRDefault="00D10D78" w:rsidP="00D10D78">
            <w:pPr>
              <w:spacing w:before="40" w:after="120"/>
              <w:ind w:right="113"/>
            </w:pPr>
            <w:r w:rsidRPr="001B13F6">
              <w:t>N</w:t>
            </w:r>
          </w:p>
        </w:tc>
      </w:tr>
      <w:tr w:rsidR="00D10D78" w:rsidRPr="001B13F6" w14:paraId="2D3A3469" w14:textId="77777777" w:rsidTr="00843397">
        <w:tc>
          <w:tcPr>
            <w:tcW w:w="2924" w:type="dxa"/>
            <w:shd w:val="clear" w:color="auto" w:fill="auto"/>
          </w:tcPr>
          <w:p w14:paraId="54144525" w14:textId="77777777" w:rsidR="00D10D78" w:rsidRPr="001B13F6" w:rsidRDefault="00D10D78" w:rsidP="00D10D78">
            <w:pPr>
              <w:spacing w:before="40" w:after="120"/>
              <w:ind w:right="113"/>
            </w:pPr>
            <w:r w:rsidRPr="001B13F6">
              <w:t>El Salvador</w:t>
            </w:r>
          </w:p>
        </w:tc>
        <w:tc>
          <w:tcPr>
            <w:tcW w:w="1529" w:type="dxa"/>
            <w:shd w:val="clear" w:color="auto" w:fill="auto"/>
          </w:tcPr>
          <w:p w14:paraId="28AD9168" w14:textId="77777777" w:rsidR="00D10D78" w:rsidRPr="001B13F6" w:rsidRDefault="00D10D78" w:rsidP="00D10D78">
            <w:pPr>
              <w:spacing w:before="40" w:after="120"/>
              <w:ind w:right="113"/>
            </w:pPr>
            <w:r w:rsidRPr="001B13F6">
              <w:t>Yi</w:t>
            </w:r>
          </w:p>
        </w:tc>
        <w:tc>
          <w:tcPr>
            <w:tcW w:w="1408" w:type="dxa"/>
            <w:shd w:val="clear" w:color="auto" w:fill="auto"/>
          </w:tcPr>
          <w:p w14:paraId="25B00B04" w14:textId="77777777" w:rsidR="00D10D78" w:rsidRPr="001B13F6" w:rsidRDefault="00D10D78" w:rsidP="00D10D78">
            <w:pPr>
              <w:spacing w:before="40" w:after="120"/>
              <w:ind w:right="113"/>
            </w:pPr>
            <w:r w:rsidRPr="001B13F6">
              <w:t>Y</w:t>
            </w:r>
          </w:p>
        </w:tc>
        <w:tc>
          <w:tcPr>
            <w:tcW w:w="1509" w:type="dxa"/>
            <w:shd w:val="clear" w:color="auto" w:fill="auto"/>
          </w:tcPr>
          <w:p w14:paraId="6DA34FD3" w14:textId="77777777" w:rsidR="00D10D78" w:rsidRPr="001B13F6" w:rsidRDefault="00D10D78" w:rsidP="00D10D78">
            <w:pPr>
              <w:spacing w:before="40" w:after="120"/>
              <w:ind w:right="113"/>
            </w:pPr>
            <w:r w:rsidRPr="001B13F6">
              <w:t>Yi</w:t>
            </w:r>
          </w:p>
        </w:tc>
      </w:tr>
      <w:tr w:rsidR="00D10D78" w:rsidRPr="001B13F6" w14:paraId="36986921" w14:textId="77777777" w:rsidTr="00843397">
        <w:tc>
          <w:tcPr>
            <w:tcW w:w="2924" w:type="dxa"/>
            <w:shd w:val="clear" w:color="auto" w:fill="auto"/>
          </w:tcPr>
          <w:p w14:paraId="2CF96335" w14:textId="77777777" w:rsidR="00D10D78" w:rsidRPr="001B13F6" w:rsidRDefault="00D10D78" w:rsidP="00D10D78">
            <w:pPr>
              <w:spacing w:before="40" w:after="120"/>
              <w:ind w:right="113"/>
            </w:pPr>
            <w:r w:rsidRPr="001B13F6">
              <w:t>Equatorial Guinea</w:t>
            </w:r>
          </w:p>
        </w:tc>
        <w:tc>
          <w:tcPr>
            <w:tcW w:w="1529" w:type="dxa"/>
            <w:shd w:val="clear" w:color="auto" w:fill="auto"/>
          </w:tcPr>
          <w:p w14:paraId="765FB188" w14:textId="77777777" w:rsidR="00D10D78" w:rsidRPr="001B13F6" w:rsidRDefault="00D10D78" w:rsidP="00D10D78">
            <w:pPr>
              <w:spacing w:before="40" w:after="120"/>
              <w:ind w:right="113"/>
            </w:pPr>
            <w:r w:rsidRPr="001B13F6">
              <w:t>N</w:t>
            </w:r>
          </w:p>
        </w:tc>
        <w:tc>
          <w:tcPr>
            <w:tcW w:w="1408" w:type="dxa"/>
            <w:shd w:val="clear" w:color="auto" w:fill="auto"/>
          </w:tcPr>
          <w:p w14:paraId="502AA0F9" w14:textId="77777777" w:rsidR="00D10D78" w:rsidRPr="001B13F6" w:rsidRDefault="00D10D78" w:rsidP="00D10D78">
            <w:pPr>
              <w:spacing w:before="40" w:after="120"/>
              <w:ind w:right="113"/>
            </w:pPr>
            <w:r w:rsidRPr="001B13F6">
              <w:t>Y</w:t>
            </w:r>
          </w:p>
        </w:tc>
        <w:tc>
          <w:tcPr>
            <w:tcW w:w="1509" w:type="dxa"/>
            <w:shd w:val="clear" w:color="auto" w:fill="auto"/>
          </w:tcPr>
          <w:p w14:paraId="0E6E3FF6" w14:textId="77777777" w:rsidR="00D10D78" w:rsidRPr="001B13F6" w:rsidRDefault="00D10D78" w:rsidP="00D10D78">
            <w:pPr>
              <w:spacing w:before="40" w:after="120"/>
              <w:ind w:right="113"/>
            </w:pPr>
            <w:r w:rsidRPr="001B13F6">
              <w:t>N</w:t>
            </w:r>
          </w:p>
        </w:tc>
      </w:tr>
      <w:tr w:rsidR="00D10D78" w:rsidRPr="001B13F6" w14:paraId="0142745B" w14:textId="77777777" w:rsidTr="00843397">
        <w:tc>
          <w:tcPr>
            <w:tcW w:w="2924" w:type="dxa"/>
            <w:shd w:val="clear" w:color="auto" w:fill="auto"/>
          </w:tcPr>
          <w:p w14:paraId="1005E9A3" w14:textId="77777777" w:rsidR="00D10D78" w:rsidRPr="001B13F6" w:rsidRDefault="00D10D78" w:rsidP="00D10D78">
            <w:pPr>
              <w:spacing w:before="40" w:after="120"/>
              <w:ind w:right="113"/>
            </w:pPr>
            <w:r w:rsidRPr="001B13F6">
              <w:t>Eritrea</w:t>
            </w:r>
          </w:p>
        </w:tc>
        <w:tc>
          <w:tcPr>
            <w:tcW w:w="1529" w:type="dxa"/>
            <w:shd w:val="clear" w:color="auto" w:fill="auto"/>
          </w:tcPr>
          <w:p w14:paraId="4DE0D31A" w14:textId="77777777" w:rsidR="00D10D78" w:rsidRPr="001B13F6" w:rsidRDefault="00D10D78" w:rsidP="00D10D78">
            <w:pPr>
              <w:spacing w:before="40" w:after="120"/>
              <w:ind w:right="113"/>
            </w:pPr>
            <w:r w:rsidRPr="001B13F6">
              <w:t>N</w:t>
            </w:r>
          </w:p>
        </w:tc>
        <w:tc>
          <w:tcPr>
            <w:tcW w:w="1408" w:type="dxa"/>
            <w:shd w:val="clear" w:color="auto" w:fill="auto"/>
          </w:tcPr>
          <w:p w14:paraId="450F71D3" w14:textId="77777777" w:rsidR="00D10D78" w:rsidRPr="001B13F6" w:rsidRDefault="00D10D78" w:rsidP="00D10D78">
            <w:pPr>
              <w:spacing w:before="40" w:after="120"/>
              <w:ind w:right="113"/>
            </w:pPr>
            <w:r w:rsidRPr="001B13F6">
              <w:t>Y</w:t>
            </w:r>
          </w:p>
        </w:tc>
        <w:tc>
          <w:tcPr>
            <w:tcW w:w="1509" w:type="dxa"/>
            <w:shd w:val="clear" w:color="auto" w:fill="auto"/>
          </w:tcPr>
          <w:p w14:paraId="7C8E7C46" w14:textId="77777777" w:rsidR="00D10D78" w:rsidRPr="001B13F6" w:rsidRDefault="00D10D78" w:rsidP="00D10D78">
            <w:pPr>
              <w:spacing w:before="40" w:after="120"/>
              <w:ind w:right="113"/>
            </w:pPr>
            <w:r w:rsidRPr="001B13F6">
              <w:t>Y</w:t>
            </w:r>
          </w:p>
        </w:tc>
      </w:tr>
      <w:tr w:rsidR="00D10D78" w:rsidRPr="001B13F6" w14:paraId="1EB188F5" w14:textId="77777777" w:rsidTr="00843397">
        <w:tc>
          <w:tcPr>
            <w:tcW w:w="2924" w:type="dxa"/>
            <w:shd w:val="clear" w:color="auto" w:fill="auto"/>
          </w:tcPr>
          <w:p w14:paraId="6D768253" w14:textId="77777777" w:rsidR="00D10D78" w:rsidRPr="001B13F6" w:rsidRDefault="00D10D78" w:rsidP="00D10D78">
            <w:pPr>
              <w:spacing w:before="40" w:after="120"/>
              <w:ind w:right="113"/>
            </w:pPr>
            <w:r w:rsidRPr="001B13F6">
              <w:t>Estonia</w:t>
            </w:r>
          </w:p>
        </w:tc>
        <w:tc>
          <w:tcPr>
            <w:tcW w:w="1529" w:type="dxa"/>
            <w:shd w:val="clear" w:color="auto" w:fill="auto"/>
          </w:tcPr>
          <w:p w14:paraId="76729DFD" w14:textId="77777777" w:rsidR="00D10D78" w:rsidRPr="001B13F6" w:rsidRDefault="00D10D78" w:rsidP="00D10D78">
            <w:pPr>
              <w:spacing w:before="40" w:after="120"/>
              <w:ind w:right="113"/>
            </w:pPr>
            <w:r w:rsidRPr="001B13F6">
              <w:t>Yi</w:t>
            </w:r>
          </w:p>
        </w:tc>
        <w:tc>
          <w:tcPr>
            <w:tcW w:w="1408" w:type="dxa"/>
            <w:shd w:val="clear" w:color="auto" w:fill="auto"/>
          </w:tcPr>
          <w:p w14:paraId="2623F79C" w14:textId="77777777" w:rsidR="00D10D78" w:rsidRPr="001B13F6" w:rsidRDefault="00D10D78" w:rsidP="00D10D78">
            <w:pPr>
              <w:spacing w:before="40" w:after="120"/>
              <w:ind w:right="113"/>
            </w:pPr>
            <w:r w:rsidRPr="001B13F6">
              <w:t>Y</w:t>
            </w:r>
          </w:p>
        </w:tc>
        <w:tc>
          <w:tcPr>
            <w:tcW w:w="1509" w:type="dxa"/>
            <w:shd w:val="clear" w:color="auto" w:fill="auto"/>
          </w:tcPr>
          <w:p w14:paraId="4CDEE986" w14:textId="77777777" w:rsidR="00D10D78" w:rsidRPr="001B13F6" w:rsidRDefault="00D10D78" w:rsidP="00D10D78">
            <w:pPr>
              <w:spacing w:before="40" w:after="120"/>
              <w:ind w:right="113"/>
            </w:pPr>
            <w:r w:rsidRPr="001B13F6">
              <w:t>Yi</w:t>
            </w:r>
          </w:p>
        </w:tc>
      </w:tr>
      <w:tr w:rsidR="00D10D78" w:rsidRPr="001B13F6" w14:paraId="592D3932" w14:textId="77777777" w:rsidTr="00843397">
        <w:tc>
          <w:tcPr>
            <w:tcW w:w="2924" w:type="dxa"/>
            <w:shd w:val="clear" w:color="auto" w:fill="auto"/>
          </w:tcPr>
          <w:p w14:paraId="502190C6" w14:textId="491A8AFF" w:rsidR="00D10D78" w:rsidRPr="001B13F6" w:rsidRDefault="00D10D78" w:rsidP="00D10D78">
            <w:pPr>
              <w:spacing w:before="40" w:after="120"/>
              <w:ind w:right="113"/>
            </w:pPr>
            <w:r w:rsidRPr="001B13F6">
              <w:t>Eswatini</w:t>
            </w:r>
          </w:p>
          <w:p w14:paraId="1BDFD93A" w14:textId="110035ED" w:rsidR="00D10D78" w:rsidRPr="001B13F6" w:rsidRDefault="00D10D78" w:rsidP="00D10D78">
            <w:pPr>
              <w:spacing w:before="40" w:after="120"/>
              <w:ind w:right="113"/>
            </w:pPr>
            <w:r w:rsidRPr="001B13F6">
              <w:t>Ethiopia</w:t>
            </w:r>
          </w:p>
        </w:tc>
        <w:tc>
          <w:tcPr>
            <w:tcW w:w="1529" w:type="dxa"/>
            <w:shd w:val="clear" w:color="auto" w:fill="auto"/>
          </w:tcPr>
          <w:p w14:paraId="59D93F19" w14:textId="3E4C0BF2" w:rsidR="00D10D78" w:rsidRPr="001B13F6" w:rsidRDefault="00D10D78" w:rsidP="00D10D78">
            <w:pPr>
              <w:spacing w:before="40" w:after="120"/>
              <w:ind w:right="113"/>
            </w:pPr>
            <w:r w:rsidRPr="001B13F6">
              <w:t>N</w:t>
            </w:r>
          </w:p>
          <w:p w14:paraId="759D3EB7" w14:textId="17BA1C38" w:rsidR="00D10D78" w:rsidRPr="001B13F6" w:rsidRDefault="00D10D78" w:rsidP="00D10D78">
            <w:pPr>
              <w:spacing w:before="40" w:after="120"/>
              <w:ind w:right="113"/>
            </w:pPr>
            <w:r w:rsidRPr="001B13F6">
              <w:t>Y</w:t>
            </w:r>
          </w:p>
        </w:tc>
        <w:tc>
          <w:tcPr>
            <w:tcW w:w="1408" w:type="dxa"/>
            <w:shd w:val="clear" w:color="auto" w:fill="auto"/>
          </w:tcPr>
          <w:p w14:paraId="67970C04" w14:textId="7EC3C487" w:rsidR="00D10D78" w:rsidRPr="001B13F6" w:rsidRDefault="00D10D78" w:rsidP="00D10D78">
            <w:pPr>
              <w:spacing w:before="40" w:after="120"/>
              <w:ind w:right="113"/>
            </w:pPr>
            <w:r w:rsidRPr="001B13F6">
              <w:t>Y</w:t>
            </w:r>
          </w:p>
          <w:p w14:paraId="2C7BD89C" w14:textId="245B8F59" w:rsidR="00D10D78" w:rsidRPr="001B13F6" w:rsidRDefault="00D10D78" w:rsidP="00D10D78">
            <w:pPr>
              <w:spacing w:before="40" w:after="120"/>
              <w:ind w:right="113"/>
            </w:pPr>
            <w:r w:rsidRPr="001B13F6">
              <w:t>Y</w:t>
            </w:r>
          </w:p>
        </w:tc>
        <w:tc>
          <w:tcPr>
            <w:tcW w:w="1509" w:type="dxa"/>
            <w:shd w:val="clear" w:color="auto" w:fill="auto"/>
          </w:tcPr>
          <w:p w14:paraId="37FD9FAB" w14:textId="278BEB9B" w:rsidR="00D10D78" w:rsidRPr="001B13F6" w:rsidRDefault="00D10D78" w:rsidP="00D10D78">
            <w:pPr>
              <w:spacing w:before="40" w:after="120"/>
              <w:ind w:right="113"/>
            </w:pPr>
            <w:r w:rsidRPr="001B13F6">
              <w:t>N</w:t>
            </w:r>
          </w:p>
          <w:p w14:paraId="2631A254" w14:textId="02635697" w:rsidR="00D10D78" w:rsidRPr="001B13F6" w:rsidRDefault="00D10D78" w:rsidP="00D10D78">
            <w:pPr>
              <w:spacing w:before="40" w:after="120"/>
              <w:ind w:right="113"/>
            </w:pPr>
            <w:r w:rsidRPr="001B13F6">
              <w:t>N</w:t>
            </w:r>
          </w:p>
        </w:tc>
      </w:tr>
      <w:tr w:rsidR="00D10D78" w:rsidRPr="001B13F6" w14:paraId="0FE48CC2" w14:textId="77777777" w:rsidTr="00843397">
        <w:tc>
          <w:tcPr>
            <w:tcW w:w="2924" w:type="dxa"/>
            <w:shd w:val="clear" w:color="auto" w:fill="auto"/>
          </w:tcPr>
          <w:p w14:paraId="396057C3" w14:textId="77777777" w:rsidR="00D10D78" w:rsidRPr="001B13F6" w:rsidRDefault="00D10D78" w:rsidP="00D10D78">
            <w:pPr>
              <w:spacing w:before="40" w:after="120"/>
              <w:ind w:right="113"/>
            </w:pPr>
            <w:r w:rsidRPr="001B13F6">
              <w:t>Fiji</w:t>
            </w:r>
          </w:p>
        </w:tc>
        <w:tc>
          <w:tcPr>
            <w:tcW w:w="1529" w:type="dxa"/>
            <w:shd w:val="clear" w:color="auto" w:fill="auto"/>
          </w:tcPr>
          <w:p w14:paraId="4013AC7B" w14:textId="77777777" w:rsidR="00D10D78" w:rsidRPr="001B13F6" w:rsidRDefault="00D10D78" w:rsidP="00D10D78">
            <w:pPr>
              <w:spacing w:before="40" w:after="120"/>
              <w:ind w:right="113"/>
            </w:pPr>
            <w:r w:rsidRPr="001B13F6">
              <w:t>Y</w:t>
            </w:r>
          </w:p>
        </w:tc>
        <w:tc>
          <w:tcPr>
            <w:tcW w:w="1408" w:type="dxa"/>
            <w:shd w:val="clear" w:color="auto" w:fill="auto"/>
          </w:tcPr>
          <w:p w14:paraId="4DCCBFF4" w14:textId="77777777" w:rsidR="00D10D78" w:rsidRPr="001B13F6" w:rsidRDefault="00D10D78" w:rsidP="00D10D78">
            <w:pPr>
              <w:spacing w:before="40" w:after="120"/>
              <w:ind w:right="113"/>
            </w:pPr>
            <w:r w:rsidRPr="001B13F6">
              <w:t>N</w:t>
            </w:r>
          </w:p>
        </w:tc>
        <w:tc>
          <w:tcPr>
            <w:tcW w:w="1509" w:type="dxa"/>
            <w:shd w:val="clear" w:color="auto" w:fill="auto"/>
          </w:tcPr>
          <w:p w14:paraId="42ECC23E" w14:textId="77777777" w:rsidR="00D10D78" w:rsidRPr="001B13F6" w:rsidRDefault="00D10D78" w:rsidP="00D10D78">
            <w:pPr>
              <w:spacing w:before="40" w:after="120"/>
              <w:ind w:right="113"/>
            </w:pPr>
            <w:r w:rsidRPr="001B13F6">
              <w:t>N</w:t>
            </w:r>
          </w:p>
        </w:tc>
      </w:tr>
      <w:tr w:rsidR="00D10D78" w:rsidRPr="001B13F6" w14:paraId="42A57217" w14:textId="77777777" w:rsidTr="00843397">
        <w:tc>
          <w:tcPr>
            <w:tcW w:w="2924" w:type="dxa"/>
            <w:shd w:val="clear" w:color="auto" w:fill="auto"/>
          </w:tcPr>
          <w:p w14:paraId="4DF8A5D9" w14:textId="77777777" w:rsidR="00D10D78" w:rsidRPr="001B13F6" w:rsidRDefault="00D10D78" w:rsidP="00D10D78">
            <w:pPr>
              <w:spacing w:before="40" w:after="120"/>
              <w:ind w:right="113"/>
            </w:pPr>
            <w:r w:rsidRPr="001B13F6">
              <w:t>Finland</w:t>
            </w:r>
          </w:p>
        </w:tc>
        <w:tc>
          <w:tcPr>
            <w:tcW w:w="1529" w:type="dxa"/>
            <w:shd w:val="clear" w:color="auto" w:fill="auto"/>
          </w:tcPr>
          <w:p w14:paraId="56FF5896" w14:textId="77777777" w:rsidR="00D10D78" w:rsidRPr="001B13F6" w:rsidRDefault="00D10D78" w:rsidP="00D10D78">
            <w:pPr>
              <w:spacing w:before="40" w:after="120"/>
              <w:ind w:right="113"/>
            </w:pPr>
            <w:r w:rsidRPr="001B13F6">
              <w:t>Y</w:t>
            </w:r>
          </w:p>
        </w:tc>
        <w:tc>
          <w:tcPr>
            <w:tcW w:w="1408" w:type="dxa"/>
            <w:shd w:val="clear" w:color="auto" w:fill="auto"/>
          </w:tcPr>
          <w:p w14:paraId="1CF65BC5" w14:textId="77777777" w:rsidR="00D10D78" w:rsidRPr="001B13F6" w:rsidRDefault="00D10D78" w:rsidP="00D10D78">
            <w:pPr>
              <w:spacing w:before="40" w:after="120"/>
              <w:ind w:right="113"/>
            </w:pPr>
            <w:r w:rsidRPr="001B13F6">
              <w:t>Y</w:t>
            </w:r>
          </w:p>
        </w:tc>
        <w:tc>
          <w:tcPr>
            <w:tcW w:w="1509" w:type="dxa"/>
            <w:shd w:val="clear" w:color="auto" w:fill="auto"/>
          </w:tcPr>
          <w:p w14:paraId="322B4FE9" w14:textId="77777777" w:rsidR="00D10D78" w:rsidRPr="001B13F6" w:rsidRDefault="00D10D78" w:rsidP="00D10D78">
            <w:pPr>
              <w:spacing w:before="40" w:after="120"/>
              <w:ind w:right="113"/>
            </w:pPr>
            <w:r w:rsidRPr="001B13F6">
              <w:t>Y</w:t>
            </w:r>
          </w:p>
        </w:tc>
      </w:tr>
      <w:tr w:rsidR="00D10D78" w:rsidRPr="001B13F6" w14:paraId="69CFD189" w14:textId="77777777" w:rsidTr="00843397">
        <w:tc>
          <w:tcPr>
            <w:tcW w:w="2924" w:type="dxa"/>
            <w:shd w:val="clear" w:color="auto" w:fill="auto"/>
          </w:tcPr>
          <w:p w14:paraId="6016AB07" w14:textId="77777777" w:rsidR="00D10D78" w:rsidRPr="001B13F6" w:rsidRDefault="00D10D78" w:rsidP="00D10D78">
            <w:pPr>
              <w:spacing w:before="40" w:after="120"/>
              <w:ind w:right="113"/>
            </w:pPr>
            <w:r w:rsidRPr="001B13F6">
              <w:t>France</w:t>
            </w:r>
          </w:p>
        </w:tc>
        <w:tc>
          <w:tcPr>
            <w:tcW w:w="1529" w:type="dxa"/>
            <w:shd w:val="clear" w:color="auto" w:fill="auto"/>
          </w:tcPr>
          <w:p w14:paraId="60AC211B" w14:textId="77777777" w:rsidR="00D10D78" w:rsidRPr="001B13F6" w:rsidRDefault="00D10D78" w:rsidP="00D10D78">
            <w:pPr>
              <w:spacing w:before="40" w:after="120"/>
              <w:ind w:right="113"/>
            </w:pPr>
            <w:r w:rsidRPr="001B13F6">
              <w:t>Y</w:t>
            </w:r>
          </w:p>
        </w:tc>
        <w:tc>
          <w:tcPr>
            <w:tcW w:w="1408" w:type="dxa"/>
            <w:shd w:val="clear" w:color="auto" w:fill="auto"/>
          </w:tcPr>
          <w:p w14:paraId="467EE26C" w14:textId="77777777" w:rsidR="00D10D78" w:rsidRPr="001B13F6" w:rsidRDefault="00D10D78" w:rsidP="00D10D78">
            <w:pPr>
              <w:spacing w:before="40" w:after="120"/>
              <w:ind w:right="113"/>
            </w:pPr>
            <w:r w:rsidRPr="001B13F6">
              <w:t>Y</w:t>
            </w:r>
          </w:p>
        </w:tc>
        <w:tc>
          <w:tcPr>
            <w:tcW w:w="1509" w:type="dxa"/>
            <w:shd w:val="clear" w:color="auto" w:fill="auto"/>
          </w:tcPr>
          <w:p w14:paraId="0CC12C5E" w14:textId="77777777" w:rsidR="00D10D78" w:rsidRPr="001B13F6" w:rsidRDefault="00D10D78" w:rsidP="00D10D78">
            <w:pPr>
              <w:spacing w:before="40" w:after="120"/>
              <w:ind w:right="113"/>
            </w:pPr>
            <w:r w:rsidRPr="001B13F6">
              <w:t>Y</w:t>
            </w:r>
          </w:p>
        </w:tc>
      </w:tr>
      <w:tr w:rsidR="00D10D78" w:rsidRPr="001B13F6" w14:paraId="521AF841" w14:textId="77777777" w:rsidTr="00843397">
        <w:tc>
          <w:tcPr>
            <w:tcW w:w="2924" w:type="dxa"/>
            <w:shd w:val="clear" w:color="auto" w:fill="auto"/>
          </w:tcPr>
          <w:p w14:paraId="64A6683B" w14:textId="77777777" w:rsidR="00D10D78" w:rsidRPr="001B13F6" w:rsidRDefault="00D10D78" w:rsidP="00D10D78">
            <w:pPr>
              <w:spacing w:before="40" w:after="120"/>
              <w:ind w:right="113"/>
            </w:pPr>
            <w:r w:rsidRPr="001B13F6">
              <w:t>Gabon</w:t>
            </w:r>
          </w:p>
        </w:tc>
        <w:tc>
          <w:tcPr>
            <w:tcW w:w="1529" w:type="dxa"/>
            <w:shd w:val="clear" w:color="auto" w:fill="auto"/>
          </w:tcPr>
          <w:p w14:paraId="5EF99C1D" w14:textId="77777777" w:rsidR="00D10D78" w:rsidRPr="001B13F6" w:rsidRDefault="00D10D78" w:rsidP="00D10D78">
            <w:pPr>
              <w:spacing w:before="40" w:after="120"/>
              <w:ind w:right="113"/>
            </w:pPr>
            <w:r w:rsidRPr="001B13F6">
              <w:t>Y</w:t>
            </w:r>
          </w:p>
        </w:tc>
        <w:tc>
          <w:tcPr>
            <w:tcW w:w="1408" w:type="dxa"/>
            <w:shd w:val="clear" w:color="auto" w:fill="auto"/>
          </w:tcPr>
          <w:p w14:paraId="28E6E7F7" w14:textId="77777777" w:rsidR="00D10D78" w:rsidRPr="001B13F6" w:rsidRDefault="00D10D78" w:rsidP="00D10D78">
            <w:pPr>
              <w:spacing w:before="40" w:after="120"/>
              <w:ind w:right="113"/>
            </w:pPr>
            <w:r w:rsidRPr="001B13F6">
              <w:t>Y</w:t>
            </w:r>
          </w:p>
        </w:tc>
        <w:tc>
          <w:tcPr>
            <w:tcW w:w="1509" w:type="dxa"/>
            <w:shd w:val="clear" w:color="auto" w:fill="auto"/>
          </w:tcPr>
          <w:p w14:paraId="3D5DC9FE" w14:textId="77777777" w:rsidR="00D10D78" w:rsidRPr="001B13F6" w:rsidRDefault="00D10D78" w:rsidP="00D10D78">
            <w:pPr>
              <w:spacing w:before="40" w:after="120"/>
              <w:ind w:right="113"/>
            </w:pPr>
            <w:r w:rsidRPr="001B13F6">
              <w:t>Y</w:t>
            </w:r>
          </w:p>
        </w:tc>
      </w:tr>
      <w:tr w:rsidR="00D10D78" w:rsidRPr="001B13F6" w14:paraId="799CEB7A" w14:textId="77777777" w:rsidTr="00843397">
        <w:tc>
          <w:tcPr>
            <w:tcW w:w="2924" w:type="dxa"/>
            <w:shd w:val="clear" w:color="auto" w:fill="auto"/>
          </w:tcPr>
          <w:p w14:paraId="6FB2AD6D" w14:textId="77777777" w:rsidR="00D10D78" w:rsidRPr="001B13F6" w:rsidRDefault="00D10D78" w:rsidP="00D10D78">
            <w:pPr>
              <w:spacing w:before="40" w:after="120"/>
              <w:ind w:right="113"/>
            </w:pPr>
            <w:r w:rsidRPr="001B13F6">
              <w:t>Gambia</w:t>
            </w:r>
          </w:p>
        </w:tc>
        <w:tc>
          <w:tcPr>
            <w:tcW w:w="1529" w:type="dxa"/>
            <w:shd w:val="clear" w:color="auto" w:fill="auto"/>
          </w:tcPr>
          <w:p w14:paraId="34B42A4E" w14:textId="77777777" w:rsidR="00D10D78" w:rsidRPr="001B13F6" w:rsidRDefault="00D10D78" w:rsidP="00D10D78">
            <w:pPr>
              <w:spacing w:before="40" w:after="120"/>
              <w:ind w:right="113"/>
            </w:pPr>
            <w:r w:rsidRPr="001B13F6">
              <w:t>N</w:t>
            </w:r>
          </w:p>
        </w:tc>
        <w:tc>
          <w:tcPr>
            <w:tcW w:w="1408" w:type="dxa"/>
            <w:shd w:val="clear" w:color="auto" w:fill="auto"/>
          </w:tcPr>
          <w:p w14:paraId="7EC7C7FA" w14:textId="77777777" w:rsidR="00D10D78" w:rsidRPr="001B13F6" w:rsidRDefault="00D10D78" w:rsidP="00D10D78">
            <w:pPr>
              <w:spacing w:before="40" w:after="120"/>
              <w:ind w:right="113"/>
            </w:pPr>
            <w:r w:rsidRPr="001B13F6">
              <w:t>Y</w:t>
            </w:r>
          </w:p>
        </w:tc>
        <w:tc>
          <w:tcPr>
            <w:tcW w:w="1509" w:type="dxa"/>
            <w:shd w:val="clear" w:color="auto" w:fill="auto"/>
          </w:tcPr>
          <w:p w14:paraId="514FB343" w14:textId="77777777" w:rsidR="00D10D78" w:rsidRPr="001B13F6" w:rsidRDefault="00D10D78" w:rsidP="00D10D78">
            <w:pPr>
              <w:spacing w:before="40" w:after="120"/>
              <w:ind w:right="113"/>
            </w:pPr>
            <w:r w:rsidRPr="001B13F6">
              <w:t>Y</w:t>
            </w:r>
          </w:p>
        </w:tc>
      </w:tr>
      <w:tr w:rsidR="00D10D78" w:rsidRPr="001B13F6" w14:paraId="5FCD229F" w14:textId="77777777" w:rsidTr="00843397">
        <w:tc>
          <w:tcPr>
            <w:tcW w:w="2924" w:type="dxa"/>
            <w:shd w:val="clear" w:color="auto" w:fill="auto"/>
          </w:tcPr>
          <w:p w14:paraId="140294DE" w14:textId="77777777" w:rsidR="00D10D78" w:rsidRPr="001B13F6" w:rsidRDefault="00D10D78" w:rsidP="00D10D78">
            <w:pPr>
              <w:spacing w:before="40" w:after="120"/>
              <w:ind w:right="113"/>
            </w:pPr>
            <w:r w:rsidRPr="001B13F6">
              <w:t>Georgia</w:t>
            </w:r>
          </w:p>
        </w:tc>
        <w:tc>
          <w:tcPr>
            <w:tcW w:w="1529" w:type="dxa"/>
            <w:shd w:val="clear" w:color="auto" w:fill="auto"/>
          </w:tcPr>
          <w:p w14:paraId="4215D1B4" w14:textId="77777777" w:rsidR="00D10D78" w:rsidRPr="001B13F6" w:rsidRDefault="00D10D78" w:rsidP="00D10D78">
            <w:pPr>
              <w:spacing w:before="40" w:after="120"/>
              <w:ind w:right="113"/>
            </w:pPr>
            <w:r w:rsidRPr="001B13F6">
              <w:t>Y</w:t>
            </w:r>
          </w:p>
        </w:tc>
        <w:tc>
          <w:tcPr>
            <w:tcW w:w="1408" w:type="dxa"/>
            <w:shd w:val="clear" w:color="auto" w:fill="auto"/>
          </w:tcPr>
          <w:p w14:paraId="5A1AC40D" w14:textId="77777777" w:rsidR="00D10D78" w:rsidRPr="001B13F6" w:rsidRDefault="00D10D78" w:rsidP="00D10D78">
            <w:pPr>
              <w:spacing w:before="40" w:after="120"/>
              <w:ind w:right="113"/>
            </w:pPr>
            <w:r w:rsidRPr="001B13F6">
              <w:t>Y</w:t>
            </w:r>
          </w:p>
        </w:tc>
        <w:tc>
          <w:tcPr>
            <w:tcW w:w="1509" w:type="dxa"/>
            <w:shd w:val="clear" w:color="auto" w:fill="auto"/>
          </w:tcPr>
          <w:p w14:paraId="4FE00282" w14:textId="77777777" w:rsidR="00D10D78" w:rsidRPr="001B13F6" w:rsidRDefault="00D10D78" w:rsidP="00D10D78">
            <w:pPr>
              <w:spacing w:before="40" w:after="120"/>
              <w:ind w:right="113"/>
            </w:pPr>
            <w:r w:rsidRPr="001B13F6">
              <w:t>Y</w:t>
            </w:r>
          </w:p>
        </w:tc>
      </w:tr>
      <w:tr w:rsidR="00D10D78" w:rsidRPr="001B13F6" w14:paraId="04167A46" w14:textId="77777777" w:rsidTr="00843397">
        <w:tc>
          <w:tcPr>
            <w:tcW w:w="2924" w:type="dxa"/>
            <w:shd w:val="clear" w:color="auto" w:fill="auto"/>
          </w:tcPr>
          <w:p w14:paraId="5BB60F18" w14:textId="77777777" w:rsidR="00D10D78" w:rsidRPr="001B13F6" w:rsidRDefault="00D10D78" w:rsidP="00D10D78">
            <w:pPr>
              <w:spacing w:before="40" w:after="120"/>
              <w:ind w:right="113"/>
            </w:pPr>
            <w:r w:rsidRPr="001B13F6">
              <w:t>Germany</w:t>
            </w:r>
          </w:p>
        </w:tc>
        <w:tc>
          <w:tcPr>
            <w:tcW w:w="1529" w:type="dxa"/>
            <w:shd w:val="clear" w:color="auto" w:fill="auto"/>
          </w:tcPr>
          <w:p w14:paraId="726DE3AF" w14:textId="77777777" w:rsidR="00D10D78" w:rsidRPr="001B13F6" w:rsidRDefault="00D10D78" w:rsidP="00D10D78">
            <w:pPr>
              <w:spacing w:before="40" w:after="120"/>
              <w:ind w:right="113"/>
            </w:pPr>
            <w:r w:rsidRPr="001B13F6">
              <w:t>N</w:t>
            </w:r>
          </w:p>
        </w:tc>
        <w:tc>
          <w:tcPr>
            <w:tcW w:w="1408" w:type="dxa"/>
            <w:shd w:val="clear" w:color="auto" w:fill="auto"/>
          </w:tcPr>
          <w:p w14:paraId="7CC493DA" w14:textId="77777777" w:rsidR="00D10D78" w:rsidRPr="001B13F6" w:rsidRDefault="00D10D78" w:rsidP="00D10D78">
            <w:pPr>
              <w:spacing w:before="40" w:after="120"/>
              <w:ind w:right="113"/>
            </w:pPr>
            <w:r w:rsidRPr="001B13F6">
              <w:t>Y</w:t>
            </w:r>
          </w:p>
        </w:tc>
        <w:tc>
          <w:tcPr>
            <w:tcW w:w="1509" w:type="dxa"/>
            <w:shd w:val="clear" w:color="auto" w:fill="auto"/>
          </w:tcPr>
          <w:p w14:paraId="1C6905F6" w14:textId="77777777" w:rsidR="00D10D78" w:rsidRPr="001B13F6" w:rsidRDefault="00D10D78" w:rsidP="00D10D78">
            <w:pPr>
              <w:spacing w:before="40" w:after="120"/>
              <w:ind w:right="113"/>
            </w:pPr>
            <w:r w:rsidRPr="001B13F6">
              <w:t>N</w:t>
            </w:r>
          </w:p>
        </w:tc>
      </w:tr>
      <w:tr w:rsidR="00D10D78" w:rsidRPr="001B13F6" w14:paraId="0F3EC75E" w14:textId="77777777" w:rsidTr="00843397">
        <w:tc>
          <w:tcPr>
            <w:tcW w:w="2924" w:type="dxa"/>
            <w:shd w:val="clear" w:color="auto" w:fill="auto"/>
          </w:tcPr>
          <w:p w14:paraId="6D5D82FA" w14:textId="77777777" w:rsidR="00D10D78" w:rsidRPr="001B13F6" w:rsidRDefault="00D10D78" w:rsidP="00D10D78">
            <w:pPr>
              <w:spacing w:before="40" w:after="120"/>
              <w:ind w:right="113"/>
            </w:pPr>
            <w:r w:rsidRPr="001B13F6">
              <w:t>Ghana</w:t>
            </w:r>
          </w:p>
        </w:tc>
        <w:tc>
          <w:tcPr>
            <w:tcW w:w="1529" w:type="dxa"/>
            <w:shd w:val="clear" w:color="auto" w:fill="auto"/>
          </w:tcPr>
          <w:p w14:paraId="3776AFD3" w14:textId="77777777" w:rsidR="00D10D78" w:rsidRPr="001B13F6" w:rsidRDefault="00D10D78" w:rsidP="00D10D78">
            <w:pPr>
              <w:spacing w:before="40" w:after="120"/>
              <w:ind w:right="113"/>
            </w:pPr>
            <w:r w:rsidRPr="001B13F6">
              <w:t>Yi</w:t>
            </w:r>
          </w:p>
        </w:tc>
        <w:tc>
          <w:tcPr>
            <w:tcW w:w="1408" w:type="dxa"/>
            <w:shd w:val="clear" w:color="auto" w:fill="auto"/>
          </w:tcPr>
          <w:p w14:paraId="5F4406FE" w14:textId="77777777" w:rsidR="00D10D78" w:rsidRPr="001B13F6" w:rsidRDefault="00D10D78" w:rsidP="00D10D78">
            <w:pPr>
              <w:spacing w:before="40" w:after="120"/>
              <w:ind w:right="113"/>
            </w:pPr>
            <w:r w:rsidRPr="001B13F6">
              <w:t>Y</w:t>
            </w:r>
          </w:p>
        </w:tc>
        <w:tc>
          <w:tcPr>
            <w:tcW w:w="1509" w:type="dxa"/>
            <w:shd w:val="clear" w:color="auto" w:fill="auto"/>
          </w:tcPr>
          <w:p w14:paraId="4FCD3A34" w14:textId="77777777" w:rsidR="00D10D78" w:rsidRPr="001B13F6" w:rsidRDefault="00D10D78" w:rsidP="00D10D78">
            <w:pPr>
              <w:spacing w:before="40" w:after="120"/>
              <w:ind w:right="113"/>
            </w:pPr>
            <w:r w:rsidRPr="001B13F6">
              <w:t>N</w:t>
            </w:r>
          </w:p>
        </w:tc>
      </w:tr>
      <w:tr w:rsidR="00D10D78" w:rsidRPr="001B13F6" w14:paraId="6DAAE33E" w14:textId="77777777" w:rsidTr="00843397">
        <w:tc>
          <w:tcPr>
            <w:tcW w:w="2924" w:type="dxa"/>
            <w:shd w:val="clear" w:color="auto" w:fill="auto"/>
          </w:tcPr>
          <w:p w14:paraId="767318E4" w14:textId="77777777" w:rsidR="00D10D78" w:rsidRPr="001B13F6" w:rsidRDefault="00D10D78" w:rsidP="00D10D78">
            <w:pPr>
              <w:spacing w:before="40" w:after="120"/>
              <w:ind w:right="113"/>
            </w:pPr>
            <w:r w:rsidRPr="001B13F6">
              <w:t>Greece</w:t>
            </w:r>
          </w:p>
        </w:tc>
        <w:tc>
          <w:tcPr>
            <w:tcW w:w="1529" w:type="dxa"/>
            <w:shd w:val="clear" w:color="auto" w:fill="auto"/>
          </w:tcPr>
          <w:p w14:paraId="388EE86D" w14:textId="77777777" w:rsidR="00D10D78" w:rsidRPr="001B13F6" w:rsidRDefault="00D10D78" w:rsidP="00D10D78">
            <w:pPr>
              <w:spacing w:before="40" w:after="120"/>
              <w:ind w:right="113"/>
            </w:pPr>
            <w:r w:rsidRPr="001B13F6">
              <w:t>Y</w:t>
            </w:r>
          </w:p>
        </w:tc>
        <w:tc>
          <w:tcPr>
            <w:tcW w:w="1408" w:type="dxa"/>
            <w:shd w:val="clear" w:color="auto" w:fill="auto"/>
          </w:tcPr>
          <w:p w14:paraId="5D777257" w14:textId="77777777" w:rsidR="00D10D78" w:rsidRPr="001B13F6" w:rsidRDefault="00D10D78" w:rsidP="00D10D78">
            <w:pPr>
              <w:spacing w:before="40" w:after="120"/>
              <w:ind w:right="113"/>
            </w:pPr>
            <w:r w:rsidRPr="001B13F6">
              <w:t>Y</w:t>
            </w:r>
          </w:p>
        </w:tc>
        <w:tc>
          <w:tcPr>
            <w:tcW w:w="1509" w:type="dxa"/>
            <w:shd w:val="clear" w:color="auto" w:fill="auto"/>
          </w:tcPr>
          <w:p w14:paraId="4A6A5E27" w14:textId="77777777" w:rsidR="00D10D78" w:rsidRPr="001B13F6" w:rsidRDefault="00D10D78" w:rsidP="00D10D78">
            <w:pPr>
              <w:spacing w:before="40" w:after="120"/>
              <w:ind w:right="113"/>
            </w:pPr>
            <w:r w:rsidRPr="001B13F6">
              <w:t>Y </w:t>
            </w:r>
          </w:p>
        </w:tc>
      </w:tr>
      <w:tr w:rsidR="00D10D78" w:rsidRPr="001B13F6" w14:paraId="1A6E9AD3" w14:textId="77777777" w:rsidTr="00843397">
        <w:tc>
          <w:tcPr>
            <w:tcW w:w="2924" w:type="dxa"/>
            <w:shd w:val="clear" w:color="auto" w:fill="auto"/>
          </w:tcPr>
          <w:p w14:paraId="4FDCC300" w14:textId="77777777" w:rsidR="00D10D78" w:rsidRPr="001B13F6" w:rsidRDefault="00D10D78" w:rsidP="00D10D78">
            <w:pPr>
              <w:spacing w:before="40" w:after="120"/>
              <w:ind w:right="113"/>
            </w:pPr>
            <w:r w:rsidRPr="001B13F6">
              <w:t>Grenada</w:t>
            </w:r>
          </w:p>
        </w:tc>
        <w:tc>
          <w:tcPr>
            <w:tcW w:w="1529" w:type="dxa"/>
            <w:shd w:val="clear" w:color="auto" w:fill="auto"/>
          </w:tcPr>
          <w:p w14:paraId="6331AC0B" w14:textId="77777777" w:rsidR="00D10D78" w:rsidRPr="001B13F6" w:rsidRDefault="00D10D78" w:rsidP="00D10D78">
            <w:pPr>
              <w:spacing w:before="40" w:after="120"/>
              <w:ind w:right="113"/>
            </w:pPr>
            <w:r w:rsidRPr="001B13F6">
              <w:t>N</w:t>
            </w:r>
          </w:p>
        </w:tc>
        <w:tc>
          <w:tcPr>
            <w:tcW w:w="1408" w:type="dxa"/>
            <w:shd w:val="clear" w:color="auto" w:fill="auto"/>
          </w:tcPr>
          <w:p w14:paraId="03A2020F" w14:textId="77777777" w:rsidR="00D10D78" w:rsidRPr="001B13F6" w:rsidRDefault="00D10D78" w:rsidP="00D10D78">
            <w:pPr>
              <w:spacing w:before="40" w:after="120"/>
              <w:ind w:right="113"/>
            </w:pPr>
            <w:r w:rsidRPr="001B13F6">
              <w:t>N</w:t>
            </w:r>
          </w:p>
        </w:tc>
        <w:tc>
          <w:tcPr>
            <w:tcW w:w="1509" w:type="dxa"/>
            <w:shd w:val="clear" w:color="auto" w:fill="auto"/>
          </w:tcPr>
          <w:p w14:paraId="7935A7AD" w14:textId="77777777" w:rsidR="00D10D78" w:rsidRPr="001B13F6" w:rsidRDefault="00D10D78" w:rsidP="00D10D78">
            <w:pPr>
              <w:spacing w:before="40" w:after="120"/>
              <w:ind w:right="113"/>
            </w:pPr>
            <w:r w:rsidRPr="001B13F6">
              <w:t>N</w:t>
            </w:r>
          </w:p>
        </w:tc>
      </w:tr>
      <w:tr w:rsidR="00D10D78" w:rsidRPr="001B13F6" w14:paraId="2A05F094" w14:textId="77777777" w:rsidTr="00843397">
        <w:tc>
          <w:tcPr>
            <w:tcW w:w="2924" w:type="dxa"/>
            <w:shd w:val="clear" w:color="auto" w:fill="auto"/>
          </w:tcPr>
          <w:p w14:paraId="2036579D" w14:textId="77777777" w:rsidR="00D10D78" w:rsidRPr="001B13F6" w:rsidRDefault="00D10D78" w:rsidP="00D10D78">
            <w:pPr>
              <w:spacing w:before="40" w:after="120"/>
              <w:ind w:right="113"/>
            </w:pPr>
            <w:r w:rsidRPr="001B13F6">
              <w:t>Guatemala</w:t>
            </w:r>
          </w:p>
        </w:tc>
        <w:tc>
          <w:tcPr>
            <w:tcW w:w="1529" w:type="dxa"/>
            <w:shd w:val="clear" w:color="auto" w:fill="auto"/>
          </w:tcPr>
          <w:p w14:paraId="5FCBD609" w14:textId="77777777" w:rsidR="00D10D78" w:rsidRPr="001B13F6" w:rsidRDefault="00D10D78" w:rsidP="00D10D78">
            <w:pPr>
              <w:spacing w:before="40" w:after="120"/>
              <w:ind w:right="113"/>
            </w:pPr>
            <w:r w:rsidRPr="001B13F6">
              <w:t>Yi</w:t>
            </w:r>
          </w:p>
        </w:tc>
        <w:tc>
          <w:tcPr>
            <w:tcW w:w="1408" w:type="dxa"/>
            <w:shd w:val="clear" w:color="auto" w:fill="auto"/>
          </w:tcPr>
          <w:p w14:paraId="29DEF35C" w14:textId="77777777" w:rsidR="00D10D78" w:rsidRPr="001B13F6" w:rsidRDefault="00D10D78" w:rsidP="00D10D78">
            <w:pPr>
              <w:spacing w:before="40" w:after="120"/>
              <w:ind w:right="113"/>
            </w:pPr>
            <w:r w:rsidRPr="001B13F6">
              <w:t>Y</w:t>
            </w:r>
          </w:p>
        </w:tc>
        <w:tc>
          <w:tcPr>
            <w:tcW w:w="1509" w:type="dxa"/>
            <w:shd w:val="clear" w:color="auto" w:fill="auto"/>
          </w:tcPr>
          <w:p w14:paraId="692ACCF6" w14:textId="77777777" w:rsidR="00D10D78" w:rsidRPr="001B13F6" w:rsidRDefault="00D10D78" w:rsidP="00D10D78">
            <w:pPr>
              <w:spacing w:before="40" w:after="120"/>
              <w:ind w:right="113"/>
            </w:pPr>
            <w:r w:rsidRPr="001B13F6">
              <w:t>Y</w:t>
            </w:r>
          </w:p>
        </w:tc>
      </w:tr>
      <w:tr w:rsidR="00D10D78" w:rsidRPr="001B13F6" w14:paraId="6B77DC65" w14:textId="77777777" w:rsidTr="00843397">
        <w:tc>
          <w:tcPr>
            <w:tcW w:w="2924" w:type="dxa"/>
            <w:shd w:val="clear" w:color="auto" w:fill="auto"/>
          </w:tcPr>
          <w:p w14:paraId="40EB373B" w14:textId="77777777" w:rsidR="00D10D78" w:rsidRPr="001B13F6" w:rsidRDefault="00D10D78" w:rsidP="00D10D78">
            <w:pPr>
              <w:spacing w:before="40" w:after="120"/>
              <w:ind w:right="113"/>
            </w:pPr>
            <w:r w:rsidRPr="001B13F6">
              <w:t>Guinea</w:t>
            </w:r>
          </w:p>
        </w:tc>
        <w:tc>
          <w:tcPr>
            <w:tcW w:w="1529" w:type="dxa"/>
            <w:shd w:val="clear" w:color="auto" w:fill="auto"/>
          </w:tcPr>
          <w:p w14:paraId="1AB2A7A1" w14:textId="77777777" w:rsidR="00D10D78" w:rsidRPr="001B13F6" w:rsidRDefault="00D10D78" w:rsidP="00D10D78">
            <w:pPr>
              <w:spacing w:before="40" w:after="120"/>
              <w:ind w:right="113"/>
            </w:pPr>
            <w:r w:rsidRPr="001B13F6">
              <w:t>Y</w:t>
            </w:r>
          </w:p>
        </w:tc>
        <w:tc>
          <w:tcPr>
            <w:tcW w:w="1408" w:type="dxa"/>
            <w:shd w:val="clear" w:color="auto" w:fill="auto"/>
          </w:tcPr>
          <w:p w14:paraId="52D5931E" w14:textId="77777777" w:rsidR="00D10D78" w:rsidRPr="001B13F6" w:rsidRDefault="00D10D78" w:rsidP="00D10D78">
            <w:pPr>
              <w:spacing w:before="40" w:after="120"/>
              <w:ind w:right="113"/>
            </w:pPr>
            <w:r w:rsidRPr="001B13F6">
              <w:t>Y</w:t>
            </w:r>
          </w:p>
        </w:tc>
        <w:tc>
          <w:tcPr>
            <w:tcW w:w="1509" w:type="dxa"/>
            <w:shd w:val="clear" w:color="auto" w:fill="auto"/>
          </w:tcPr>
          <w:p w14:paraId="6679D89D" w14:textId="77777777" w:rsidR="00D10D78" w:rsidRPr="001B13F6" w:rsidRDefault="00D10D78" w:rsidP="00D10D78">
            <w:pPr>
              <w:spacing w:before="40" w:after="120"/>
              <w:ind w:right="113"/>
            </w:pPr>
            <w:r w:rsidRPr="001B13F6">
              <w:t>N</w:t>
            </w:r>
          </w:p>
        </w:tc>
      </w:tr>
      <w:tr w:rsidR="00D10D78" w:rsidRPr="001B13F6" w14:paraId="632D3F13" w14:textId="77777777" w:rsidTr="00843397">
        <w:tc>
          <w:tcPr>
            <w:tcW w:w="2924" w:type="dxa"/>
            <w:shd w:val="clear" w:color="auto" w:fill="auto"/>
          </w:tcPr>
          <w:p w14:paraId="704EF4F7" w14:textId="77777777" w:rsidR="00D10D78" w:rsidRPr="001B13F6" w:rsidRDefault="00D10D78" w:rsidP="00D10D78">
            <w:pPr>
              <w:spacing w:before="40" w:after="120"/>
              <w:ind w:right="113"/>
            </w:pPr>
            <w:r w:rsidRPr="001B13F6">
              <w:t>Guinea-Bissau</w:t>
            </w:r>
          </w:p>
        </w:tc>
        <w:tc>
          <w:tcPr>
            <w:tcW w:w="1529" w:type="dxa"/>
            <w:shd w:val="clear" w:color="auto" w:fill="auto"/>
          </w:tcPr>
          <w:p w14:paraId="2018A5B0" w14:textId="77777777" w:rsidR="00D10D78" w:rsidRPr="001B13F6" w:rsidRDefault="00D10D78" w:rsidP="00D10D78">
            <w:pPr>
              <w:spacing w:before="40" w:after="120"/>
              <w:ind w:right="113"/>
            </w:pPr>
            <w:r w:rsidRPr="001B13F6">
              <w:t>N</w:t>
            </w:r>
          </w:p>
        </w:tc>
        <w:tc>
          <w:tcPr>
            <w:tcW w:w="1408" w:type="dxa"/>
            <w:shd w:val="clear" w:color="auto" w:fill="auto"/>
          </w:tcPr>
          <w:p w14:paraId="6C991173" w14:textId="77777777" w:rsidR="00D10D78" w:rsidRPr="001B13F6" w:rsidRDefault="00D10D78" w:rsidP="00D10D78">
            <w:pPr>
              <w:spacing w:before="40" w:after="120"/>
              <w:ind w:right="113"/>
            </w:pPr>
            <w:r w:rsidRPr="001B13F6">
              <w:t>Y</w:t>
            </w:r>
          </w:p>
        </w:tc>
        <w:tc>
          <w:tcPr>
            <w:tcW w:w="1509" w:type="dxa"/>
            <w:shd w:val="clear" w:color="auto" w:fill="auto"/>
          </w:tcPr>
          <w:p w14:paraId="473F51AD" w14:textId="77777777" w:rsidR="00D10D78" w:rsidRPr="001B13F6" w:rsidRDefault="00D10D78" w:rsidP="00D10D78">
            <w:pPr>
              <w:spacing w:before="40" w:after="120"/>
              <w:ind w:right="113"/>
            </w:pPr>
            <w:r w:rsidRPr="001B13F6">
              <w:t>Y</w:t>
            </w:r>
          </w:p>
        </w:tc>
      </w:tr>
      <w:tr w:rsidR="00D10D78" w:rsidRPr="001B13F6" w14:paraId="2E81C8B9" w14:textId="77777777" w:rsidTr="00843397">
        <w:tc>
          <w:tcPr>
            <w:tcW w:w="2924" w:type="dxa"/>
            <w:shd w:val="clear" w:color="auto" w:fill="auto"/>
          </w:tcPr>
          <w:p w14:paraId="59D9A4F3" w14:textId="77777777" w:rsidR="00D10D78" w:rsidRPr="001B13F6" w:rsidRDefault="00D10D78" w:rsidP="00D10D78">
            <w:pPr>
              <w:spacing w:before="40" w:after="120"/>
              <w:ind w:right="113"/>
            </w:pPr>
            <w:r w:rsidRPr="001B13F6">
              <w:t>Guyana</w:t>
            </w:r>
          </w:p>
        </w:tc>
        <w:tc>
          <w:tcPr>
            <w:tcW w:w="1529" w:type="dxa"/>
            <w:shd w:val="clear" w:color="auto" w:fill="auto"/>
          </w:tcPr>
          <w:p w14:paraId="0D99F172" w14:textId="77777777" w:rsidR="00D10D78" w:rsidRPr="001B13F6" w:rsidRDefault="00D10D78" w:rsidP="00D10D78">
            <w:pPr>
              <w:spacing w:before="40" w:after="120"/>
              <w:ind w:right="113"/>
            </w:pPr>
            <w:r w:rsidRPr="001B13F6">
              <w:t>Y</w:t>
            </w:r>
          </w:p>
        </w:tc>
        <w:tc>
          <w:tcPr>
            <w:tcW w:w="1408" w:type="dxa"/>
            <w:shd w:val="clear" w:color="auto" w:fill="auto"/>
          </w:tcPr>
          <w:p w14:paraId="65D05CDB" w14:textId="77777777" w:rsidR="00D10D78" w:rsidRPr="001B13F6" w:rsidRDefault="00D10D78" w:rsidP="00D10D78">
            <w:pPr>
              <w:spacing w:before="40" w:after="120"/>
              <w:ind w:right="113"/>
            </w:pPr>
            <w:r w:rsidRPr="001B13F6">
              <w:t>Y</w:t>
            </w:r>
          </w:p>
        </w:tc>
        <w:tc>
          <w:tcPr>
            <w:tcW w:w="1509" w:type="dxa"/>
            <w:shd w:val="clear" w:color="auto" w:fill="auto"/>
          </w:tcPr>
          <w:p w14:paraId="0587317A" w14:textId="77777777" w:rsidR="00D10D78" w:rsidRPr="001B13F6" w:rsidRDefault="00D10D78" w:rsidP="00D10D78">
            <w:pPr>
              <w:spacing w:before="40" w:after="120"/>
              <w:ind w:right="113"/>
            </w:pPr>
            <w:r w:rsidRPr="001B13F6">
              <w:t>N</w:t>
            </w:r>
          </w:p>
        </w:tc>
      </w:tr>
      <w:tr w:rsidR="00D10D78" w:rsidRPr="001B13F6" w14:paraId="393A66F5" w14:textId="77777777" w:rsidTr="00843397">
        <w:tc>
          <w:tcPr>
            <w:tcW w:w="2924" w:type="dxa"/>
            <w:shd w:val="clear" w:color="auto" w:fill="auto"/>
          </w:tcPr>
          <w:p w14:paraId="43FE2BE9" w14:textId="77777777" w:rsidR="00D10D78" w:rsidRPr="001B13F6" w:rsidRDefault="00D10D78" w:rsidP="00D10D78">
            <w:pPr>
              <w:spacing w:before="40" w:after="120"/>
              <w:ind w:right="113"/>
            </w:pPr>
            <w:r w:rsidRPr="001B13F6">
              <w:t>Haiti</w:t>
            </w:r>
          </w:p>
        </w:tc>
        <w:tc>
          <w:tcPr>
            <w:tcW w:w="1529" w:type="dxa"/>
            <w:shd w:val="clear" w:color="auto" w:fill="auto"/>
          </w:tcPr>
          <w:p w14:paraId="08E76729" w14:textId="77777777" w:rsidR="00D10D78" w:rsidRPr="001B13F6" w:rsidRDefault="00D10D78" w:rsidP="00D10D78">
            <w:pPr>
              <w:spacing w:before="40" w:after="120"/>
              <w:ind w:right="113"/>
            </w:pPr>
            <w:r w:rsidRPr="001B13F6">
              <w:t>N</w:t>
            </w:r>
          </w:p>
        </w:tc>
        <w:tc>
          <w:tcPr>
            <w:tcW w:w="1408" w:type="dxa"/>
            <w:shd w:val="clear" w:color="auto" w:fill="auto"/>
          </w:tcPr>
          <w:p w14:paraId="306D3762" w14:textId="77777777" w:rsidR="00D10D78" w:rsidRPr="001B13F6" w:rsidRDefault="00D10D78" w:rsidP="00D10D78">
            <w:pPr>
              <w:spacing w:before="40" w:after="120"/>
              <w:ind w:right="113"/>
            </w:pPr>
            <w:r w:rsidRPr="001B13F6">
              <w:t>N</w:t>
            </w:r>
          </w:p>
        </w:tc>
        <w:tc>
          <w:tcPr>
            <w:tcW w:w="1509" w:type="dxa"/>
            <w:shd w:val="clear" w:color="auto" w:fill="auto"/>
          </w:tcPr>
          <w:p w14:paraId="68F279E0" w14:textId="77777777" w:rsidR="00D10D78" w:rsidRPr="001B13F6" w:rsidRDefault="00D10D78" w:rsidP="00D10D78">
            <w:pPr>
              <w:spacing w:before="40" w:after="120"/>
              <w:ind w:right="113"/>
            </w:pPr>
            <w:r w:rsidRPr="001B13F6">
              <w:t>Y</w:t>
            </w:r>
          </w:p>
        </w:tc>
      </w:tr>
      <w:tr w:rsidR="00D10D78" w:rsidRPr="001B13F6" w14:paraId="076AB13F" w14:textId="77777777" w:rsidTr="00843397">
        <w:tc>
          <w:tcPr>
            <w:tcW w:w="2924" w:type="dxa"/>
            <w:shd w:val="clear" w:color="auto" w:fill="auto"/>
          </w:tcPr>
          <w:p w14:paraId="108CA404" w14:textId="77777777" w:rsidR="00D10D78" w:rsidRPr="001B13F6" w:rsidRDefault="00D10D78" w:rsidP="00D10D78">
            <w:pPr>
              <w:spacing w:before="40" w:after="120"/>
              <w:ind w:right="113"/>
            </w:pPr>
            <w:r w:rsidRPr="001B13F6">
              <w:t>Honduras</w:t>
            </w:r>
          </w:p>
        </w:tc>
        <w:tc>
          <w:tcPr>
            <w:tcW w:w="1529" w:type="dxa"/>
            <w:shd w:val="clear" w:color="auto" w:fill="auto"/>
          </w:tcPr>
          <w:p w14:paraId="7E7CED37" w14:textId="77777777" w:rsidR="00D10D78" w:rsidRPr="001B13F6" w:rsidRDefault="00D10D78" w:rsidP="00D10D78">
            <w:pPr>
              <w:spacing w:before="40" w:after="120"/>
              <w:ind w:right="113"/>
            </w:pPr>
            <w:r w:rsidRPr="001B13F6">
              <w:t>Y</w:t>
            </w:r>
          </w:p>
        </w:tc>
        <w:tc>
          <w:tcPr>
            <w:tcW w:w="1408" w:type="dxa"/>
            <w:shd w:val="clear" w:color="auto" w:fill="auto"/>
          </w:tcPr>
          <w:p w14:paraId="19A546ED" w14:textId="77777777" w:rsidR="00D10D78" w:rsidRPr="001B13F6" w:rsidRDefault="00D10D78" w:rsidP="00D10D78">
            <w:pPr>
              <w:spacing w:before="40" w:after="120"/>
              <w:ind w:right="113"/>
            </w:pPr>
            <w:r w:rsidRPr="001B13F6">
              <w:t>Y</w:t>
            </w:r>
          </w:p>
        </w:tc>
        <w:tc>
          <w:tcPr>
            <w:tcW w:w="1509" w:type="dxa"/>
            <w:shd w:val="clear" w:color="auto" w:fill="auto"/>
          </w:tcPr>
          <w:p w14:paraId="749EB3F5" w14:textId="77777777" w:rsidR="00D10D78" w:rsidRPr="001B13F6" w:rsidRDefault="00D10D78" w:rsidP="00D10D78">
            <w:pPr>
              <w:spacing w:before="40" w:after="120"/>
              <w:ind w:right="113"/>
            </w:pPr>
            <w:r w:rsidRPr="001B13F6">
              <w:t>Y</w:t>
            </w:r>
          </w:p>
        </w:tc>
      </w:tr>
      <w:tr w:rsidR="00D10D78" w:rsidRPr="001B13F6" w14:paraId="7C096FFE" w14:textId="77777777" w:rsidTr="00843397">
        <w:tc>
          <w:tcPr>
            <w:tcW w:w="2924" w:type="dxa"/>
            <w:shd w:val="clear" w:color="auto" w:fill="auto"/>
          </w:tcPr>
          <w:p w14:paraId="231E7F73" w14:textId="77777777" w:rsidR="00D10D78" w:rsidRPr="001B13F6" w:rsidRDefault="00D10D78" w:rsidP="00D10D78">
            <w:pPr>
              <w:spacing w:before="40" w:after="120"/>
              <w:ind w:right="113"/>
            </w:pPr>
            <w:r w:rsidRPr="001B13F6">
              <w:t>Hungary</w:t>
            </w:r>
          </w:p>
        </w:tc>
        <w:tc>
          <w:tcPr>
            <w:tcW w:w="1529" w:type="dxa"/>
            <w:shd w:val="clear" w:color="auto" w:fill="auto"/>
          </w:tcPr>
          <w:p w14:paraId="640C3624" w14:textId="77777777" w:rsidR="00D10D78" w:rsidRPr="001B13F6" w:rsidRDefault="00D10D78" w:rsidP="00D10D78">
            <w:pPr>
              <w:spacing w:before="40" w:after="120"/>
              <w:ind w:right="113"/>
            </w:pPr>
            <w:r w:rsidRPr="001B13F6">
              <w:t>Y</w:t>
            </w:r>
          </w:p>
        </w:tc>
        <w:tc>
          <w:tcPr>
            <w:tcW w:w="1408" w:type="dxa"/>
            <w:shd w:val="clear" w:color="auto" w:fill="auto"/>
          </w:tcPr>
          <w:p w14:paraId="4385FB57" w14:textId="77777777" w:rsidR="00D10D78" w:rsidRPr="001B13F6" w:rsidRDefault="00D10D78" w:rsidP="00D10D78">
            <w:pPr>
              <w:spacing w:before="40" w:after="120"/>
              <w:ind w:right="113"/>
            </w:pPr>
            <w:r w:rsidRPr="001B13F6">
              <w:t>Y</w:t>
            </w:r>
          </w:p>
        </w:tc>
        <w:tc>
          <w:tcPr>
            <w:tcW w:w="1509" w:type="dxa"/>
            <w:shd w:val="clear" w:color="auto" w:fill="auto"/>
          </w:tcPr>
          <w:p w14:paraId="0608008A" w14:textId="77777777" w:rsidR="00D10D78" w:rsidRPr="001B13F6" w:rsidRDefault="00D10D78" w:rsidP="00D10D78">
            <w:pPr>
              <w:spacing w:before="40" w:after="120"/>
              <w:ind w:right="113"/>
            </w:pPr>
            <w:r w:rsidRPr="001B13F6">
              <w:t>Y</w:t>
            </w:r>
          </w:p>
        </w:tc>
      </w:tr>
      <w:tr w:rsidR="00D10D78" w:rsidRPr="001B13F6" w14:paraId="5D0CB0DE" w14:textId="77777777" w:rsidTr="00843397">
        <w:tc>
          <w:tcPr>
            <w:tcW w:w="2924" w:type="dxa"/>
            <w:shd w:val="clear" w:color="auto" w:fill="auto"/>
          </w:tcPr>
          <w:p w14:paraId="111A5684" w14:textId="77777777" w:rsidR="00D10D78" w:rsidRPr="001B13F6" w:rsidRDefault="00D10D78" w:rsidP="00D10D78">
            <w:pPr>
              <w:spacing w:before="40" w:after="120"/>
              <w:ind w:right="113"/>
            </w:pPr>
            <w:r w:rsidRPr="001B13F6">
              <w:t>Iceland</w:t>
            </w:r>
          </w:p>
        </w:tc>
        <w:tc>
          <w:tcPr>
            <w:tcW w:w="1529" w:type="dxa"/>
            <w:shd w:val="clear" w:color="auto" w:fill="auto"/>
          </w:tcPr>
          <w:p w14:paraId="3A75C784" w14:textId="77777777" w:rsidR="00D10D78" w:rsidRPr="001B13F6" w:rsidRDefault="00D10D78" w:rsidP="00D10D78">
            <w:pPr>
              <w:spacing w:before="40" w:after="120"/>
              <w:ind w:right="113"/>
            </w:pPr>
            <w:r w:rsidRPr="001B13F6">
              <w:t>N</w:t>
            </w:r>
          </w:p>
        </w:tc>
        <w:tc>
          <w:tcPr>
            <w:tcW w:w="1408" w:type="dxa"/>
            <w:shd w:val="clear" w:color="auto" w:fill="auto"/>
          </w:tcPr>
          <w:p w14:paraId="5373EA52" w14:textId="77777777" w:rsidR="00D10D78" w:rsidRPr="001B13F6" w:rsidRDefault="00D10D78" w:rsidP="00D10D78">
            <w:pPr>
              <w:spacing w:before="40" w:after="120"/>
              <w:ind w:right="113"/>
            </w:pPr>
            <w:r w:rsidRPr="001B13F6">
              <w:t>Y</w:t>
            </w:r>
          </w:p>
        </w:tc>
        <w:tc>
          <w:tcPr>
            <w:tcW w:w="1509" w:type="dxa"/>
            <w:shd w:val="clear" w:color="auto" w:fill="auto"/>
          </w:tcPr>
          <w:p w14:paraId="20F11DB0" w14:textId="77777777" w:rsidR="00D10D78" w:rsidRPr="001B13F6" w:rsidRDefault="00D10D78" w:rsidP="00D10D78">
            <w:pPr>
              <w:spacing w:before="40" w:after="120"/>
              <w:ind w:right="113"/>
            </w:pPr>
            <w:r w:rsidRPr="001B13F6">
              <w:t>N</w:t>
            </w:r>
          </w:p>
        </w:tc>
      </w:tr>
      <w:tr w:rsidR="00D10D78" w:rsidRPr="001B13F6" w14:paraId="33FFF499" w14:textId="77777777" w:rsidTr="00843397">
        <w:tc>
          <w:tcPr>
            <w:tcW w:w="2924" w:type="dxa"/>
            <w:shd w:val="clear" w:color="auto" w:fill="auto"/>
          </w:tcPr>
          <w:p w14:paraId="4AEA1CE0" w14:textId="77777777" w:rsidR="00D10D78" w:rsidRPr="001B13F6" w:rsidRDefault="00D10D78" w:rsidP="00D10D78">
            <w:pPr>
              <w:spacing w:before="40" w:after="120"/>
              <w:ind w:right="113"/>
            </w:pPr>
            <w:r w:rsidRPr="001B13F6">
              <w:t>India</w:t>
            </w:r>
          </w:p>
        </w:tc>
        <w:tc>
          <w:tcPr>
            <w:tcW w:w="1529" w:type="dxa"/>
            <w:shd w:val="clear" w:color="auto" w:fill="auto"/>
          </w:tcPr>
          <w:p w14:paraId="12628A41" w14:textId="77777777" w:rsidR="00D10D78" w:rsidRPr="001B13F6" w:rsidRDefault="00D10D78" w:rsidP="00D10D78">
            <w:pPr>
              <w:spacing w:before="40" w:after="120"/>
              <w:ind w:right="113"/>
            </w:pPr>
            <w:r w:rsidRPr="001B13F6">
              <w:t>Yi</w:t>
            </w:r>
          </w:p>
        </w:tc>
        <w:tc>
          <w:tcPr>
            <w:tcW w:w="1408" w:type="dxa"/>
            <w:shd w:val="clear" w:color="auto" w:fill="auto"/>
          </w:tcPr>
          <w:p w14:paraId="695EA106" w14:textId="77777777" w:rsidR="00D10D78" w:rsidRPr="001B13F6" w:rsidRDefault="00D10D78" w:rsidP="00D10D78">
            <w:pPr>
              <w:spacing w:before="40" w:after="120"/>
              <w:ind w:right="113"/>
            </w:pPr>
            <w:r w:rsidRPr="001B13F6">
              <w:t>N</w:t>
            </w:r>
          </w:p>
        </w:tc>
        <w:tc>
          <w:tcPr>
            <w:tcW w:w="1509" w:type="dxa"/>
            <w:shd w:val="clear" w:color="auto" w:fill="auto"/>
          </w:tcPr>
          <w:p w14:paraId="6E5452F8" w14:textId="77777777" w:rsidR="00D10D78" w:rsidRPr="001B13F6" w:rsidRDefault="00D10D78" w:rsidP="00D10D78">
            <w:pPr>
              <w:spacing w:before="40" w:after="120"/>
              <w:ind w:right="113"/>
            </w:pPr>
            <w:r w:rsidRPr="001B13F6">
              <w:t>Y</w:t>
            </w:r>
          </w:p>
        </w:tc>
      </w:tr>
      <w:tr w:rsidR="00D10D78" w:rsidRPr="001B13F6" w14:paraId="5527A624" w14:textId="77777777" w:rsidTr="00843397">
        <w:tc>
          <w:tcPr>
            <w:tcW w:w="2924" w:type="dxa"/>
            <w:shd w:val="clear" w:color="auto" w:fill="auto"/>
          </w:tcPr>
          <w:p w14:paraId="7D5758D6" w14:textId="77777777" w:rsidR="00D10D78" w:rsidRPr="001B13F6" w:rsidRDefault="00D10D78" w:rsidP="00D10D78">
            <w:pPr>
              <w:spacing w:before="40" w:after="120"/>
              <w:ind w:right="113"/>
            </w:pPr>
            <w:r w:rsidRPr="001B13F6">
              <w:t>Indonesia</w:t>
            </w:r>
          </w:p>
        </w:tc>
        <w:tc>
          <w:tcPr>
            <w:tcW w:w="1529" w:type="dxa"/>
            <w:shd w:val="clear" w:color="auto" w:fill="auto"/>
          </w:tcPr>
          <w:p w14:paraId="1AF7FFFB" w14:textId="77777777" w:rsidR="00D10D78" w:rsidRPr="001B13F6" w:rsidRDefault="00D10D78" w:rsidP="00D10D78">
            <w:pPr>
              <w:spacing w:before="40" w:after="120"/>
              <w:ind w:right="113"/>
            </w:pPr>
            <w:r w:rsidRPr="001B13F6">
              <w:t>Y</w:t>
            </w:r>
          </w:p>
        </w:tc>
        <w:tc>
          <w:tcPr>
            <w:tcW w:w="1408" w:type="dxa"/>
            <w:shd w:val="clear" w:color="auto" w:fill="auto"/>
          </w:tcPr>
          <w:p w14:paraId="37240BF0" w14:textId="77777777" w:rsidR="00D10D78" w:rsidRPr="001B13F6" w:rsidRDefault="00D10D78" w:rsidP="00D10D78">
            <w:pPr>
              <w:spacing w:before="40" w:after="120"/>
              <w:ind w:right="113"/>
            </w:pPr>
            <w:r w:rsidRPr="001B13F6">
              <w:t>N</w:t>
            </w:r>
          </w:p>
        </w:tc>
        <w:tc>
          <w:tcPr>
            <w:tcW w:w="1509" w:type="dxa"/>
            <w:shd w:val="clear" w:color="auto" w:fill="auto"/>
          </w:tcPr>
          <w:p w14:paraId="7CEAC229" w14:textId="77777777" w:rsidR="00D10D78" w:rsidRPr="001B13F6" w:rsidRDefault="00D10D78" w:rsidP="00D10D78">
            <w:pPr>
              <w:spacing w:before="40" w:after="120"/>
              <w:ind w:right="113"/>
            </w:pPr>
            <w:r w:rsidRPr="001B13F6">
              <w:t>Y</w:t>
            </w:r>
          </w:p>
        </w:tc>
      </w:tr>
      <w:tr w:rsidR="00D10D78" w:rsidRPr="001B13F6" w14:paraId="640C03B9" w14:textId="77777777" w:rsidTr="00843397">
        <w:tc>
          <w:tcPr>
            <w:tcW w:w="2924" w:type="dxa"/>
            <w:shd w:val="clear" w:color="auto" w:fill="auto"/>
          </w:tcPr>
          <w:p w14:paraId="6D1D87AB" w14:textId="4921EF31" w:rsidR="00D10D78" w:rsidRPr="001B13F6" w:rsidRDefault="00D10D78" w:rsidP="00D10D78">
            <w:pPr>
              <w:spacing w:before="40" w:after="120"/>
              <w:ind w:right="113"/>
            </w:pPr>
            <w:r w:rsidRPr="001B13F6">
              <w:t>Iran (Islamic Republic of)</w:t>
            </w:r>
          </w:p>
        </w:tc>
        <w:tc>
          <w:tcPr>
            <w:tcW w:w="1529" w:type="dxa"/>
            <w:shd w:val="clear" w:color="auto" w:fill="auto"/>
          </w:tcPr>
          <w:p w14:paraId="20EAAE19" w14:textId="77777777" w:rsidR="00D10D78" w:rsidRPr="001B13F6" w:rsidRDefault="00D10D78" w:rsidP="00D10D78">
            <w:pPr>
              <w:spacing w:before="40" w:after="120"/>
              <w:ind w:right="113"/>
            </w:pPr>
            <w:r w:rsidRPr="001B13F6">
              <w:t>Y </w:t>
            </w:r>
          </w:p>
        </w:tc>
        <w:tc>
          <w:tcPr>
            <w:tcW w:w="1408" w:type="dxa"/>
            <w:shd w:val="clear" w:color="auto" w:fill="auto"/>
          </w:tcPr>
          <w:p w14:paraId="6625BC0A" w14:textId="77777777" w:rsidR="00D10D78" w:rsidRPr="001B13F6" w:rsidRDefault="00D10D78" w:rsidP="00D10D78">
            <w:pPr>
              <w:spacing w:before="40" w:after="120"/>
              <w:ind w:right="113"/>
            </w:pPr>
            <w:r w:rsidRPr="001B13F6">
              <w:t>N</w:t>
            </w:r>
          </w:p>
        </w:tc>
        <w:tc>
          <w:tcPr>
            <w:tcW w:w="1509" w:type="dxa"/>
            <w:shd w:val="clear" w:color="auto" w:fill="auto"/>
          </w:tcPr>
          <w:p w14:paraId="50ABA5FF" w14:textId="77777777" w:rsidR="00D10D78" w:rsidRPr="001B13F6" w:rsidRDefault="00D10D78" w:rsidP="00D10D78">
            <w:pPr>
              <w:spacing w:before="40" w:after="120"/>
              <w:ind w:right="113"/>
            </w:pPr>
            <w:r w:rsidRPr="001B13F6">
              <w:t>N</w:t>
            </w:r>
          </w:p>
        </w:tc>
      </w:tr>
      <w:tr w:rsidR="00D10D78" w:rsidRPr="001B13F6" w14:paraId="4476C238" w14:textId="77777777" w:rsidTr="00843397">
        <w:tc>
          <w:tcPr>
            <w:tcW w:w="2924" w:type="dxa"/>
            <w:shd w:val="clear" w:color="auto" w:fill="auto"/>
          </w:tcPr>
          <w:p w14:paraId="3BF7B31D" w14:textId="77777777" w:rsidR="00D10D78" w:rsidRPr="001B13F6" w:rsidRDefault="00D10D78" w:rsidP="00D10D78">
            <w:pPr>
              <w:spacing w:before="40" w:after="120"/>
              <w:ind w:right="113"/>
            </w:pPr>
            <w:r w:rsidRPr="001B13F6">
              <w:t>Iraq</w:t>
            </w:r>
          </w:p>
        </w:tc>
        <w:tc>
          <w:tcPr>
            <w:tcW w:w="1529" w:type="dxa"/>
            <w:shd w:val="clear" w:color="auto" w:fill="auto"/>
          </w:tcPr>
          <w:p w14:paraId="289F3062" w14:textId="77777777" w:rsidR="00D10D78" w:rsidRPr="001B13F6" w:rsidRDefault="00D10D78" w:rsidP="00D10D78">
            <w:pPr>
              <w:spacing w:before="40" w:after="120"/>
              <w:ind w:right="113"/>
            </w:pPr>
            <w:r w:rsidRPr="001B13F6">
              <w:t>Y</w:t>
            </w:r>
          </w:p>
        </w:tc>
        <w:tc>
          <w:tcPr>
            <w:tcW w:w="1408" w:type="dxa"/>
            <w:shd w:val="clear" w:color="auto" w:fill="auto"/>
          </w:tcPr>
          <w:p w14:paraId="7E0FF910" w14:textId="77777777" w:rsidR="00D10D78" w:rsidRPr="001B13F6" w:rsidRDefault="00D10D78" w:rsidP="00D10D78">
            <w:pPr>
              <w:spacing w:before="40" w:after="120"/>
              <w:ind w:right="113"/>
            </w:pPr>
            <w:r w:rsidRPr="001B13F6">
              <w:t>Y</w:t>
            </w:r>
          </w:p>
        </w:tc>
        <w:tc>
          <w:tcPr>
            <w:tcW w:w="1509" w:type="dxa"/>
            <w:shd w:val="clear" w:color="auto" w:fill="auto"/>
          </w:tcPr>
          <w:p w14:paraId="45D2D65F" w14:textId="77777777" w:rsidR="00D10D78" w:rsidRPr="001B13F6" w:rsidRDefault="00D10D78" w:rsidP="00D10D78">
            <w:pPr>
              <w:spacing w:before="40" w:after="120"/>
              <w:ind w:right="113"/>
            </w:pPr>
            <w:r w:rsidRPr="001B13F6">
              <w:t>N </w:t>
            </w:r>
          </w:p>
        </w:tc>
      </w:tr>
      <w:tr w:rsidR="00D10D78" w:rsidRPr="001B13F6" w14:paraId="41D164F7" w14:textId="77777777" w:rsidTr="00843397">
        <w:tc>
          <w:tcPr>
            <w:tcW w:w="2924" w:type="dxa"/>
            <w:shd w:val="clear" w:color="auto" w:fill="auto"/>
          </w:tcPr>
          <w:p w14:paraId="1B05B1AB" w14:textId="77777777" w:rsidR="00D10D78" w:rsidRPr="001B13F6" w:rsidRDefault="00D10D78" w:rsidP="00D10D78">
            <w:pPr>
              <w:spacing w:before="40" w:after="120"/>
              <w:ind w:right="113"/>
            </w:pPr>
            <w:r w:rsidRPr="001B13F6">
              <w:t>Ireland</w:t>
            </w:r>
          </w:p>
        </w:tc>
        <w:tc>
          <w:tcPr>
            <w:tcW w:w="1529" w:type="dxa"/>
            <w:shd w:val="clear" w:color="auto" w:fill="auto"/>
          </w:tcPr>
          <w:p w14:paraId="447D9FFF" w14:textId="77777777" w:rsidR="00D10D78" w:rsidRPr="001B13F6" w:rsidRDefault="00D10D78" w:rsidP="00D10D78">
            <w:pPr>
              <w:spacing w:before="40" w:after="120"/>
              <w:ind w:right="113"/>
            </w:pPr>
            <w:r w:rsidRPr="001B13F6">
              <w:t>Yi</w:t>
            </w:r>
          </w:p>
        </w:tc>
        <w:tc>
          <w:tcPr>
            <w:tcW w:w="1408" w:type="dxa"/>
            <w:shd w:val="clear" w:color="auto" w:fill="auto"/>
          </w:tcPr>
          <w:p w14:paraId="226FE04A" w14:textId="77777777" w:rsidR="00D10D78" w:rsidRPr="001B13F6" w:rsidRDefault="00D10D78" w:rsidP="00D10D78">
            <w:pPr>
              <w:spacing w:before="40" w:after="120"/>
              <w:ind w:right="113"/>
            </w:pPr>
            <w:r w:rsidRPr="001B13F6">
              <w:t>Y</w:t>
            </w:r>
          </w:p>
        </w:tc>
        <w:tc>
          <w:tcPr>
            <w:tcW w:w="1509" w:type="dxa"/>
            <w:shd w:val="clear" w:color="auto" w:fill="auto"/>
          </w:tcPr>
          <w:p w14:paraId="38FC4AE1" w14:textId="77777777" w:rsidR="00D10D78" w:rsidRPr="001B13F6" w:rsidRDefault="00D10D78" w:rsidP="00D10D78">
            <w:pPr>
              <w:spacing w:before="40" w:after="120"/>
              <w:ind w:right="113"/>
            </w:pPr>
            <w:r w:rsidRPr="001B13F6">
              <w:t>N</w:t>
            </w:r>
          </w:p>
        </w:tc>
      </w:tr>
      <w:tr w:rsidR="00D10D78" w:rsidRPr="001B13F6" w14:paraId="19D7AE44" w14:textId="77777777" w:rsidTr="00843397">
        <w:tc>
          <w:tcPr>
            <w:tcW w:w="2924" w:type="dxa"/>
            <w:shd w:val="clear" w:color="auto" w:fill="auto"/>
          </w:tcPr>
          <w:p w14:paraId="191B3FA9" w14:textId="77777777" w:rsidR="00D10D78" w:rsidRPr="001B13F6" w:rsidRDefault="00D10D78" w:rsidP="00D10D78">
            <w:pPr>
              <w:spacing w:before="40" w:after="120"/>
              <w:ind w:right="113"/>
            </w:pPr>
            <w:r w:rsidRPr="001B13F6">
              <w:t>Israel</w:t>
            </w:r>
          </w:p>
        </w:tc>
        <w:tc>
          <w:tcPr>
            <w:tcW w:w="1529" w:type="dxa"/>
            <w:shd w:val="clear" w:color="auto" w:fill="auto"/>
          </w:tcPr>
          <w:p w14:paraId="4565E766" w14:textId="77777777" w:rsidR="00D10D78" w:rsidRPr="001B13F6" w:rsidRDefault="00D10D78" w:rsidP="00D10D78">
            <w:pPr>
              <w:spacing w:before="40" w:after="120"/>
              <w:ind w:right="113"/>
            </w:pPr>
            <w:r w:rsidRPr="001B13F6">
              <w:t>N</w:t>
            </w:r>
          </w:p>
        </w:tc>
        <w:tc>
          <w:tcPr>
            <w:tcW w:w="1408" w:type="dxa"/>
            <w:shd w:val="clear" w:color="auto" w:fill="auto"/>
          </w:tcPr>
          <w:p w14:paraId="716B05F3" w14:textId="77777777" w:rsidR="00D10D78" w:rsidRPr="001B13F6" w:rsidRDefault="00D10D78" w:rsidP="00D10D78">
            <w:pPr>
              <w:spacing w:before="40" w:after="120"/>
              <w:ind w:right="113"/>
            </w:pPr>
            <w:r w:rsidRPr="001B13F6">
              <w:t>N</w:t>
            </w:r>
          </w:p>
        </w:tc>
        <w:tc>
          <w:tcPr>
            <w:tcW w:w="1509" w:type="dxa"/>
            <w:shd w:val="clear" w:color="auto" w:fill="auto"/>
          </w:tcPr>
          <w:p w14:paraId="31D02993" w14:textId="77777777" w:rsidR="00D10D78" w:rsidRPr="001B13F6" w:rsidRDefault="00D10D78" w:rsidP="00D10D78">
            <w:pPr>
              <w:spacing w:before="40" w:after="120"/>
              <w:ind w:right="113"/>
            </w:pPr>
            <w:r w:rsidRPr="001B13F6">
              <w:t>N</w:t>
            </w:r>
          </w:p>
        </w:tc>
      </w:tr>
      <w:tr w:rsidR="00D10D78" w:rsidRPr="001B13F6" w14:paraId="3F76DAA4" w14:textId="77777777" w:rsidTr="00843397">
        <w:tc>
          <w:tcPr>
            <w:tcW w:w="2924" w:type="dxa"/>
            <w:shd w:val="clear" w:color="auto" w:fill="auto"/>
          </w:tcPr>
          <w:p w14:paraId="02453395" w14:textId="77777777" w:rsidR="00D10D78" w:rsidRPr="001B13F6" w:rsidRDefault="00D10D78" w:rsidP="00D10D78">
            <w:pPr>
              <w:spacing w:before="40" w:after="120"/>
              <w:ind w:right="113"/>
            </w:pPr>
            <w:r w:rsidRPr="001B13F6">
              <w:t>Italy</w:t>
            </w:r>
          </w:p>
        </w:tc>
        <w:tc>
          <w:tcPr>
            <w:tcW w:w="1529" w:type="dxa"/>
            <w:shd w:val="clear" w:color="auto" w:fill="auto"/>
          </w:tcPr>
          <w:p w14:paraId="33D89C8B" w14:textId="77777777" w:rsidR="00D10D78" w:rsidRPr="001B13F6" w:rsidRDefault="00D10D78" w:rsidP="00D10D78">
            <w:pPr>
              <w:spacing w:before="40" w:after="120"/>
              <w:ind w:right="113"/>
            </w:pPr>
            <w:r w:rsidRPr="001B13F6">
              <w:t>Yi</w:t>
            </w:r>
          </w:p>
        </w:tc>
        <w:tc>
          <w:tcPr>
            <w:tcW w:w="1408" w:type="dxa"/>
            <w:shd w:val="clear" w:color="auto" w:fill="auto"/>
          </w:tcPr>
          <w:p w14:paraId="17FA49EE" w14:textId="77777777" w:rsidR="00D10D78" w:rsidRPr="001B13F6" w:rsidRDefault="00D10D78" w:rsidP="00D10D78">
            <w:pPr>
              <w:spacing w:before="40" w:after="120"/>
              <w:ind w:right="113"/>
            </w:pPr>
            <w:r w:rsidRPr="001B13F6">
              <w:t>Y</w:t>
            </w:r>
          </w:p>
        </w:tc>
        <w:tc>
          <w:tcPr>
            <w:tcW w:w="1509" w:type="dxa"/>
            <w:shd w:val="clear" w:color="auto" w:fill="auto"/>
          </w:tcPr>
          <w:p w14:paraId="77F2FA3C" w14:textId="77777777" w:rsidR="00D10D78" w:rsidRPr="001B13F6" w:rsidRDefault="00D10D78" w:rsidP="00D10D78">
            <w:pPr>
              <w:spacing w:before="40" w:after="120"/>
              <w:ind w:right="113"/>
            </w:pPr>
            <w:r w:rsidRPr="001B13F6">
              <w:t>N</w:t>
            </w:r>
          </w:p>
        </w:tc>
      </w:tr>
      <w:tr w:rsidR="00D10D78" w:rsidRPr="001B13F6" w14:paraId="6E747916" w14:textId="77777777" w:rsidTr="00843397">
        <w:tc>
          <w:tcPr>
            <w:tcW w:w="2924" w:type="dxa"/>
            <w:shd w:val="clear" w:color="auto" w:fill="auto"/>
          </w:tcPr>
          <w:p w14:paraId="4DAE8F62" w14:textId="77777777" w:rsidR="00D10D78" w:rsidRPr="001B13F6" w:rsidRDefault="00D10D78" w:rsidP="00D10D78">
            <w:pPr>
              <w:spacing w:before="40" w:after="120"/>
              <w:ind w:right="113"/>
            </w:pPr>
            <w:r w:rsidRPr="001B13F6">
              <w:t>Jamaica</w:t>
            </w:r>
          </w:p>
        </w:tc>
        <w:tc>
          <w:tcPr>
            <w:tcW w:w="1529" w:type="dxa"/>
            <w:shd w:val="clear" w:color="auto" w:fill="auto"/>
          </w:tcPr>
          <w:p w14:paraId="3CBF7938" w14:textId="77777777" w:rsidR="00D10D78" w:rsidRPr="001B13F6" w:rsidRDefault="00D10D78" w:rsidP="00D10D78">
            <w:pPr>
              <w:spacing w:before="40" w:after="120"/>
              <w:ind w:right="113"/>
            </w:pPr>
            <w:r w:rsidRPr="001B13F6">
              <w:t>Y</w:t>
            </w:r>
          </w:p>
        </w:tc>
        <w:tc>
          <w:tcPr>
            <w:tcW w:w="1408" w:type="dxa"/>
            <w:shd w:val="clear" w:color="auto" w:fill="auto"/>
          </w:tcPr>
          <w:p w14:paraId="189A3249" w14:textId="77777777" w:rsidR="00D10D78" w:rsidRPr="001B13F6" w:rsidRDefault="00D10D78" w:rsidP="00D10D78">
            <w:pPr>
              <w:spacing w:before="40" w:after="120"/>
              <w:ind w:right="113"/>
            </w:pPr>
            <w:r w:rsidRPr="001B13F6">
              <w:t>N</w:t>
            </w:r>
          </w:p>
        </w:tc>
        <w:tc>
          <w:tcPr>
            <w:tcW w:w="1509" w:type="dxa"/>
            <w:shd w:val="clear" w:color="auto" w:fill="auto"/>
          </w:tcPr>
          <w:p w14:paraId="6E87E54C" w14:textId="77777777" w:rsidR="00D10D78" w:rsidRPr="001B13F6" w:rsidRDefault="00D10D78" w:rsidP="00D10D78">
            <w:pPr>
              <w:spacing w:before="40" w:after="120"/>
              <w:ind w:right="113"/>
            </w:pPr>
            <w:r w:rsidRPr="001B13F6">
              <w:t>N</w:t>
            </w:r>
          </w:p>
        </w:tc>
      </w:tr>
      <w:tr w:rsidR="00D10D78" w:rsidRPr="001B13F6" w14:paraId="1812EDC2" w14:textId="77777777" w:rsidTr="00843397">
        <w:tc>
          <w:tcPr>
            <w:tcW w:w="2924" w:type="dxa"/>
            <w:shd w:val="clear" w:color="auto" w:fill="auto"/>
          </w:tcPr>
          <w:p w14:paraId="0556312A" w14:textId="77777777" w:rsidR="00D10D78" w:rsidRPr="001B13F6" w:rsidRDefault="00D10D78" w:rsidP="00D10D78">
            <w:pPr>
              <w:spacing w:before="40" w:after="120"/>
              <w:ind w:right="113"/>
            </w:pPr>
            <w:r w:rsidRPr="001B13F6">
              <w:t>Japan</w:t>
            </w:r>
          </w:p>
        </w:tc>
        <w:tc>
          <w:tcPr>
            <w:tcW w:w="1529" w:type="dxa"/>
            <w:shd w:val="clear" w:color="auto" w:fill="auto"/>
          </w:tcPr>
          <w:p w14:paraId="56A8C896" w14:textId="77777777" w:rsidR="00D10D78" w:rsidRPr="001B13F6" w:rsidRDefault="00D10D78" w:rsidP="00D10D78">
            <w:pPr>
              <w:spacing w:before="40" w:after="120"/>
              <w:ind w:right="113"/>
            </w:pPr>
            <w:r w:rsidRPr="001B13F6">
              <w:t>N</w:t>
            </w:r>
          </w:p>
        </w:tc>
        <w:tc>
          <w:tcPr>
            <w:tcW w:w="1408" w:type="dxa"/>
            <w:shd w:val="clear" w:color="auto" w:fill="auto"/>
          </w:tcPr>
          <w:p w14:paraId="24240267" w14:textId="77777777" w:rsidR="00D10D78" w:rsidRPr="001B13F6" w:rsidRDefault="00D10D78" w:rsidP="00D10D78">
            <w:pPr>
              <w:spacing w:before="40" w:after="120"/>
              <w:ind w:right="113"/>
            </w:pPr>
            <w:r w:rsidRPr="001B13F6">
              <w:t>N</w:t>
            </w:r>
          </w:p>
        </w:tc>
        <w:tc>
          <w:tcPr>
            <w:tcW w:w="1509" w:type="dxa"/>
            <w:shd w:val="clear" w:color="auto" w:fill="auto"/>
          </w:tcPr>
          <w:p w14:paraId="147CF014" w14:textId="77777777" w:rsidR="00D10D78" w:rsidRPr="001B13F6" w:rsidRDefault="00D10D78" w:rsidP="00D10D78">
            <w:pPr>
              <w:spacing w:before="40" w:after="120"/>
              <w:ind w:right="113"/>
            </w:pPr>
            <w:r w:rsidRPr="001B13F6">
              <w:t>N</w:t>
            </w:r>
          </w:p>
        </w:tc>
      </w:tr>
      <w:tr w:rsidR="00D10D78" w:rsidRPr="001B13F6" w14:paraId="7337D226" w14:textId="77777777" w:rsidTr="00843397">
        <w:tc>
          <w:tcPr>
            <w:tcW w:w="2924" w:type="dxa"/>
            <w:shd w:val="clear" w:color="auto" w:fill="auto"/>
          </w:tcPr>
          <w:p w14:paraId="2937F1B0" w14:textId="77777777" w:rsidR="00D10D78" w:rsidRPr="001B13F6" w:rsidRDefault="00D10D78" w:rsidP="00D10D78">
            <w:pPr>
              <w:spacing w:before="40" w:after="120"/>
              <w:ind w:right="113"/>
            </w:pPr>
            <w:r w:rsidRPr="001B13F6">
              <w:t>Jordan</w:t>
            </w:r>
          </w:p>
        </w:tc>
        <w:tc>
          <w:tcPr>
            <w:tcW w:w="1529" w:type="dxa"/>
            <w:shd w:val="clear" w:color="auto" w:fill="auto"/>
          </w:tcPr>
          <w:p w14:paraId="623FA7FB" w14:textId="77777777" w:rsidR="00D10D78" w:rsidRPr="001B13F6" w:rsidRDefault="00D10D78" w:rsidP="00D10D78">
            <w:pPr>
              <w:spacing w:before="40" w:after="120"/>
              <w:ind w:right="113"/>
            </w:pPr>
            <w:r w:rsidRPr="001B13F6">
              <w:t>N</w:t>
            </w:r>
          </w:p>
        </w:tc>
        <w:tc>
          <w:tcPr>
            <w:tcW w:w="1408" w:type="dxa"/>
            <w:shd w:val="clear" w:color="auto" w:fill="auto"/>
          </w:tcPr>
          <w:p w14:paraId="3F1C271E" w14:textId="77777777" w:rsidR="00D10D78" w:rsidRPr="001B13F6" w:rsidRDefault="00D10D78" w:rsidP="00D10D78">
            <w:pPr>
              <w:spacing w:before="40" w:after="120"/>
              <w:ind w:right="113"/>
            </w:pPr>
            <w:r w:rsidRPr="001B13F6">
              <w:t>Y</w:t>
            </w:r>
          </w:p>
        </w:tc>
        <w:tc>
          <w:tcPr>
            <w:tcW w:w="1509" w:type="dxa"/>
            <w:shd w:val="clear" w:color="auto" w:fill="auto"/>
          </w:tcPr>
          <w:p w14:paraId="3615890F" w14:textId="77777777" w:rsidR="00D10D78" w:rsidRPr="001B13F6" w:rsidRDefault="00D10D78" w:rsidP="00D10D78">
            <w:pPr>
              <w:spacing w:before="40" w:after="120"/>
              <w:ind w:right="113"/>
            </w:pPr>
            <w:r w:rsidRPr="001B13F6">
              <w:t>N</w:t>
            </w:r>
          </w:p>
        </w:tc>
      </w:tr>
      <w:tr w:rsidR="00D10D78" w:rsidRPr="001B13F6" w14:paraId="1EE8C0AC" w14:textId="77777777" w:rsidTr="00843397">
        <w:tc>
          <w:tcPr>
            <w:tcW w:w="2924" w:type="dxa"/>
            <w:shd w:val="clear" w:color="auto" w:fill="auto"/>
          </w:tcPr>
          <w:p w14:paraId="3F85E381" w14:textId="77777777" w:rsidR="00D10D78" w:rsidRPr="001B13F6" w:rsidRDefault="00D10D78" w:rsidP="00D10D78">
            <w:pPr>
              <w:spacing w:before="40" w:after="120"/>
              <w:ind w:right="113"/>
            </w:pPr>
            <w:r w:rsidRPr="001B13F6">
              <w:t>Kazakhstan</w:t>
            </w:r>
          </w:p>
        </w:tc>
        <w:tc>
          <w:tcPr>
            <w:tcW w:w="1529" w:type="dxa"/>
            <w:shd w:val="clear" w:color="auto" w:fill="auto"/>
          </w:tcPr>
          <w:p w14:paraId="0E75B4B1" w14:textId="77777777" w:rsidR="00D10D78" w:rsidRPr="001B13F6" w:rsidRDefault="00D10D78" w:rsidP="00D10D78">
            <w:pPr>
              <w:spacing w:before="40" w:after="120"/>
              <w:ind w:right="113"/>
            </w:pPr>
            <w:r w:rsidRPr="001B13F6">
              <w:t>N</w:t>
            </w:r>
          </w:p>
        </w:tc>
        <w:tc>
          <w:tcPr>
            <w:tcW w:w="1408" w:type="dxa"/>
            <w:shd w:val="clear" w:color="auto" w:fill="auto"/>
          </w:tcPr>
          <w:p w14:paraId="54A1A232" w14:textId="77777777" w:rsidR="00D10D78" w:rsidRPr="001B13F6" w:rsidRDefault="00D10D78" w:rsidP="00D10D78">
            <w:pPr>
              <w:spacing w:before="40" w:after="120"/>
              <w:ind w:right="113"/>
            </w:pPr>
            <w:r w:rsidRPr="001B13F6">
              <w:t>Y</w:t>
            </w:r>
          </w:p>
        </w:tc>
        <w:tc>
          <w:tcPr>
            <w:tcW w:w="1509" w:type="dxa"/>
            <w:shd w:val="clear" w:color="auto" w:fill="auto"/>
          </w:tcPr>
          <w:p w14:paraId="57D84555" w14:textId="77777777" w:rsidR="00D10D78" w:rsidRPr="001B13F6" w:rsidRDefault="00D10D78" w:rsidP="00D10D78">
            <w:pPr>
              <w:spacing w:before="40" w:after="120"/>
              <w:ind w:right="113"/>
            </w:pPr>
            <w:r w:rsidRPr="001B13F6">
              <w:t>Y</w:t>
            </w:r>
          </w:p>
        </w:tc>
      </w:tr>
      <w:tr w:rsidR="00D10D78" w:rsidRPr="001B13F6" w14:paraId="39FF6232" w14:textId="77777777" w:rsidTr="00843397">
        <w:tc>
          <w:tcPr>
            <w:tcW w:w="2924" w:type="dxa"/>
            <w:shd w:val="clear" w:color="auto" w:fill="auto"/>
          </w:tcPr>
          <w:p w14:paraId="62344473" w14:textId="77777777" w:rsidR="00D10D78" w:rsidRPr="001B13F6" w:rsidRDefault="00D10D78" w:rsidP="00D10D78">
            <w:pPr>
              <w:spacing w:before="40" w:after="120"/>
              <w:ind w:right="113"/>
            </w:pPr>
            <w:r w:rsidRPr="001B13F6">
              <w:t>Kenya</w:t>
            </w:r>
          </w:p>
        </w:tc>
        <w:tc>
          <w:tcPr>
            <w:tcW w:w="1529" w:type="dxa"/>
            <w:shd w:val="clear" w:color="auto" w:fill="auto"/>
          </w:tcPr>
          <w:p w14:paraId="0A32D1F0" w14:textId="77777777" w:rsidR="00D10D78" w:rsidRPr="001B13F6" w:rsidRDefault="00D10D78" w:rsidP="00D10D78">
            <w:pPr>
              <w:spacing w:before="40" w:after="120"/>
              <w:ind w:right="113"/>
            </w:pPr>
            <w:r w:rsidRPr="001B13F6">
              <w:t>Y</w:t>
            </w:r>
          </w:p>
        </w:tc>
        <w:tc>
          <w:tcPr>
            <w:tcW w:w="1408" w:type="dxa"/>
            <w:shd w:val="clear" w:color="auto" w:fill="auto"/>
          </w:tcPr>
          <w:p w14:paraId="5AAC95B7" w14:textId="77777777" w:rsidR="00D10D78" w:rsidRPr="001B13F6" w:rsidRDefault="00D10D78" w:rsidP="00D10D78">
            <w:pPr>
              <w:spacing w:before="40" w:after="120"/>
              <w:ind w:right="113"/>
            </w:pPr>
            <w:r w:rsidRPr="001B13F6">
              <w:t>Y</w:t>
            </w:r>
          </w:p>
        </w:tc>
        <w:tc>
          <w:tcPr>
            <w:tcW w:w="1509" w:type="dxa"/>
            <w:shd w:val="clear" w:color="auto" w:fill="auto"/>
          </w:tcPr>
          <w:p w14:paraId="29F869CB" w14:textId="77777777" w:rsidR="00D10D78" w:rsidRPr="001B13F6" w:rsidRDefault="00D10D78" w:rsidP="00D10D78">
            <w:pPr>
              <w:spacing w:before="40" w:after="120"/>
              <w:ind w:right="113"/>
            </w:pPr>
            <w:r w:rsidRPr="001B13F6">
              <w:t>Y</w:t>
            </w:r>
          </w:p>
        </w:tc>
      </w:tr>
      <w:tr w:rsidR="00D10D78" w:rsidRPr="001B13F6" w14:paraId="7C4E846C" w14:textId="77777777" w:rsidTr="00843397">
        <w:tc>
          <w:tcPr>
            <w:tcW w:w="2924" w:type="dxa"/>
            <w:shd w:val="clear" w:color="auto" w:fill="auto"/>
          </w:tcPr>
          <w:p w14:paraId="1566DCA7" w14:textId="77777777" w:rsidR="00D10D78" w:rsidRPr="001B13F6" w:rsidRDefault="00D10D78" w:rsidP="00D10D78">
            <w:pPr>
              <w:spacing w:before="40" w:after="120"/>
              <w:ind w:right="113"/>
            </w:pPr>
            <w:r w:rsidRPr="001B13F6">
              <w:t>Kiribati</w:t>
            </w:r>
          </w:p>
        </w:tc>
        <w:tc>
          <w:tcPr>
            <w:tcW w:w="1529" w:type="dxa"/>
            <w:shd w:val="clear" w:color="auto" w:fill="auto"/>
          </w:tcPr>
          <w:p w14:paraId="262BA6E5" w14:textId="77777777" w:rsidR="00D10D78" w:rsidRPr="001B13F6" w:rsidRDefault="00D10D78" w:rsidP="00D10D78">
            <w:pPr>
              <w:spacing w:before="40" w:after="120"/>
              <w:ind w:right="113"/>
            </w:pPr>
            <w:r w:rsidRPr="001B13F6">
              <w:t>N</w:t>
            </w:r>
          </w:p>
        </w:tc>
        <w:tc>
          <w:tcPr>
            <w:tcW w:w="1408" w:type="dxa"/>
            <w:shd w:val="clear" w:color="auto" w:fill="auto"/>
          </w:tcPr>
          <w:p w14:paraId="73AE69D1" w14:textId="77777777" w:rsidR="00D10D78" w:rsidRPr="001B13F6" w:rsidRDefault="00D10D78" w:rsidP="00D10D78">
            <w:pPr>
              <w:spacing w:before="40" w:after="120"/>
              <w:ind w:right="113"/>
            </w:pPr>
            <w:r w:rsidRPr="001B13F6">
              <w:t>N</w:t>
            </w:r>
          </w:p>
        </w:tc>
        <w:tc>
          <w:tcPr>
            <w:tcW w:w="1509" w:type="dxa"/>
            <w:shd w:val="clear" w:color="auto" w:fill="auto"/>
          </w:tcPr>
          <w:p w14:paraId="051E73D6" w14:textId="77777777" w:rsidR="00D10D78" w:rsidRPr="001B13F6" w:rsidRDefault="00D10D78" w:rsidP="00D10D78">
            <w:pPr>
              <w:spacing w:before="40" w:after="120"/>
              <w:ind w:right="113"/>
            </w:pPr>
            <w:r w:rsidRPr="001B13F6">
              <w:t>N</w:t>
            </w:r>
          </w:p>
        </w:tc>
      </w:tr>
      <w:tr w:rsidR="00D10D78" w:rsidRPr="001B13F6" w14:paraId="64E6D3E7" w14:textId="77777777" w:rsidTr="00843397">
        <w:tc>
          <w:tcPr>
            <w:tcW w:w="2924" w:type="dxa"/>
            <w:shd w:val="clear" w:color="auto" w:fill="auto"/>
          </w:tcPr>
          <w:p w14:paraId="4DA4B581" w14:textId="77777777" w:rsidR="00D10D78" w:rsidRPr="001B13F6" w:rsidRDefault="00D10D78" w:rsidP="00D10D78">
            <w:pPr>
              <w:spacing w:before="40" w:after="120"/>
              <w:ind w:right="113"/>
            </w:pPr>
            <w:r w:rsidRPr="001B13F6">
              <w:t>Kuwait</w:t>
            </w:r>
          </w:p>
        </w:tc>
        <w:tc>
          <w:tcPr>
            <w:tcW w:w="1529" w:type="dxa"/>
            <w:shd w:val="clear" w:color="auto" w:fill="auto"/>
          </w:tcPr>
          <w:p w14:paraId="42D4050F" w14:textId="77777777" w:rsidR="00D10D78" w:rsidRPr="001B13F6" w:rsidRDefault="00D10D78" w:rsidP="00D10D78">
            <w:pPr>
              <w:spacing w:before="40" w:after="120"/>
              <w:ind w:right="113"/>
            </w:pPr>
            <w:r w:rsidRPr="001B13F6">
              <w:t>N</w:t>
            </w:r>
          </w:p>
        </w:tc>
        <w:tc>
          <w:tcPr>
            <w:tcW w:w="1408" w:type="dxa"/>
            <w:shd w:val="clear" w:color="auto" w:fill="auto"/>
          </w:tcPr>
          <w:p w14:paraId="5AD2D934" w14:textId="77777777" w:rsidR="00D10D78" w:rsidRPr="001B13F6" w:rsidRDefault="00D10D78" w:rsidP="00D10D78">
            <w:pPr>
              <w:spacing w:before="40" w:after="120"/>
              <w:ind w:right="113"/>
            </w:pPr>
            <w:r w:rsidRPr="001B13F6">
              <w:t>Y</w:t>
            </w:r>
          </w:p>
        </w:tc>
        <w:tc>
          <w:tcPr>
            <w:tcW w:w="1509" w:type="dxa"/>
            <w:shd w:val="clear" w:color="auto" w:fill="auto"/>
          </w:tcPr>
          <w:p w14:paraId="65E3880A" w14:textId="77777777" w:rsidR="00D10D78" w:rsidRPr="001B13F6" w:rsidRDefault="00D10D78" w:rsidP="00D10D78">
            <w:pPr>
              <w:spacing w:before="40" w:after="120"/>
              <w:ind w:right="113"/>
            </w:pPr>
            <w:r w:rsidRPr="001B13F6">
              <w:t>N</w:t>
            </w:r>
          </w:p>
        </w:tc>
      </w:tr>
      <w:tr w:rsidR="00D10D78" w:rsidRPr="001B13F6" w14:paraId="08943903" w14:textId="77777777" w:rsidTr="00843397">
        <w:tc>
          <w:tcPr>
            <w:tcW w:w="2924" w:type="dxa"/>
            <w:shd w:val="clear" w:color="auto" w:fill="auto"/>
          </w:tcPr>
          <w:p w14:paraId="065C30D2" w14:textId="77777777" w:rsidR="00D10D78" w:rsidRPr="001B13F6" w:rsidRDefault="00D10D78" w:rsidP="00D10D78">
            <w:pPr>
              <w:spacing w:before="40" w:after="120"/>
              <w:ind w:right="113"/>
            </w:pPr>
            <w:r w:rsidRPr="001B13F6">
              <w:t>Kyrgyzstan</w:t>
            </w:r>
          </w:p>
        </w:tc>
        <w:tc>
          <w:tcPr>
            <w:tcW w:w="1529" w:type="dxa"/>
            <w:shd w:val="clear" w:color="auto" w:fill="auto"/>
          </w:tcPr>
          <w:p w14:paraId="19C98AFC" w14:textId="77777777" w:rsidR="00D10D78" w:rsidRPr="001B13F6" w:rsidRDefault="00D10D78" w:rsidP="00D10D78">
            <w:pPr>
              <w:spacing w:before="40" w:after="120"/>
              <w:ind w:right="113"/>
            </w:pPr>
            <w:r w:rsidRPr="001B13F6">
              <w:t>Y</w:t>
            </w:r>
          </w:p>
        </w:tc>
        <w:tc>
          <w:tcPr>
            <w:tcW w:w="1408" w:type="dxa"/>
            <w:shd w:val="clear" w:color="auto" w:fill="auto"/>
          </w:tcPr>
          <w:p w14:paraId="63E59CD8" w14:textId="77777777" w:rsidR="00D10D78" w:rsidRPr="001B13F6" w:rsidRDefault="00D10D78" w:rsidP="00D10D78">
            <w:pPr>
              <w:spacing w:before="40" w:after="120"/>
              <w:ind w:right="113"/>
            </w:pPr>
            <w:r w:rsidRPr="001B13F6">
              <w:t>Y</w:t>
            </w:r>
          </w:p>
        </w:tc>
        <w:tc>
          <w:tcPr>
            <w:tcW w:w="1509" w:type="dxa"/>
            <w:shd w:val="clear" w:color="auto" w:fill="auto"/>
          </w:tcPr>
          <w:p w14:paraId="7ABEE641" w14:textId="77777777" w:rsidR="00D10D78" w:rsidRPr="001B13F6" w:rsidRDefault="00D10D78" w:rsidP="00D10D78">
            <w:pPr>
              <w:spacing w:before="40" w:after="120"/>
              <w:ind w:right="113"/>
            </w:pPr>
            <w:r w:rsidRPr="001B13F6">
              <w:t>Y</w:t>
            </w:r>
          </w:p>
        </w:tc>
      </w:tr>
      <w:tr w:rsidR="00D10D78" w:rsidRPr="001B13F6" w14:paraId="531E07FA" w14:textId="77777777" w:rsidTr="00843397">
        <w:tc>
          <w:tcPr>
            <w:tcW w:w="2924" w:type="dxa"/>
            <w:shd w:val="clear" w:color="auto" w:fill="auto"/>
          </w:tcPr>
          <w:p w14:paraId="395BE30F" w14:textId="4E3E99E0" w:rsidR="00D10D78" w:rsidRPr="001B13F6" w:rsidRDefault="00D10D78" w:rsidP="00D10D78">
            <w:pPr>
              <w:spacing w:before="40" w:after="120"/>
              <w:ind w:right="113"/>
            </w:pPr>
            <w:r w:rsidRPr="001B13F6">
              <w:t>Lao</w:t>
            </w:r>
            <w:r w:rsidR="00183D6F" w:rsidRPr="001B13F6">
              <w:t xml:space="preserve"> People’s Democratic Republic</w:t>
            </w:r>
          </w:p>
        </w:tc>
        <w:tc>
          <w:tcPr>
            <w:tcW w:w="1529" w:type="dxa"/>
            <w:shd w:val="clear" w:color="auto" w:fill="auto"/>
          </w:tcPr>
          <w:p w14:paraId="15228E6B" w14:textId="77777777" w:rsidR="00D10D78" w:rsidRPr="001B13F6" w:rsidRDefault="00D10D78" w:rsidP="00D10D78">
            <w:pPr>
              <w:spacing w:before="40" w:after="120"/>
              <w:ind w:right="113"/>
            </w:pPr>
            <w:r w:rsidRPr="001B13F6">
              <w:t>N</w:t>
            </w:r>
          </w:p>
        </w:tc>
        <w:tc>
          <w:tcPr>
            <w:tcW w:w="1408" w:type="dxa"/>
            <w:shd w:val="clear" w:color="auto" w:fill="auto"/>
          </w:tcPr>
          <w:p w14:paraId="69BE5BC9" w14:textId="77777777" w:rsidR="00D10D78" w:rsidRPr="001B13F6" w:rsidRDefault="00D10D78" w:rsidP="00D10D78">
            <w:pPr>
              <w:spacing w:before="40" w:after="120"/>
              <w:ind w:right="113"/>
            </w:pPr>
            <w:r w:rsidRPr="001B13F6">
              <w:t>N</w:t>
            </w:r>
          </w:p>
        </w:tc>
        <w:tc>
          <w:tcPr>
            <w:tcW w:w="1509" w:type="dxa"/>
            <w:shd w:val="clear" w:color="auto" w:fill="auto"/>
          </w:tcPr>
          <w:p w14:paraId="46D421B5" w14:textId="77777777" w:rsidR="00D10D78" w:rsidRPr="001B13F6" w:rsidRDefault="00D10D78" w:rsidP="00D10D78">
            <w:pPr>
              <w:spacing w:before="40" w:after="120"/>
              <w:ind w:right="113"/>
            </w:pPr>
            <w:r w:rsidRPr="001B13F6">
              <w:t>N</w:t>
            </w:r>
          </w:p>
        </w:tc>
      </w:tr>
      <w:tr w:rsidR="00D10D78" w:rsidRPr="001B13F6" w14:paraId="212D8205" w14:textId="77777777" w:rsidTr="00843397">
        <w:tc>
          <w:tcPr>
            <w:tcW w:w="2924" w:type="dxa"/>
            <w:shd w:val="clear" w:color="auto" w:fill="auto"/>
          </w:tcPr>
          <w:p w14:paraId="4224D8E3" w14:textId="77777777" w:rsidR="00D10D78" w:rsidRPr="001B13F6" w:rsidRDefault="00D10D78" w:rsidP="00D10D78">
            <w:pPr>
              <w:spacing w:before="40" w:after="120"/>
              <w:ind w:right="113"/>
            </w:pPr>
            <w:r w:rsidRPr="001B13F6">
              <w:t>Latvia</w:t>
            </w:r>
          </w:p>
        </w:tc>
        <w:tc>
          <w:tcPr>
            <w:tcW w:w="1529" w:type="dxa"/>
            <w:shd w:val="clear" w:color="auto" w:fill="auto"/>
          </w:tcPr>
          <w:p w14:paraId="1AA158DB" w14:textId="77777777" w:rsidR="00D10D78" w:rsidRPr="001B13F6" w:rsidRDefault="00D10D78" w:rsidP="00D10D78">
            <w:pPr>
              <w:spacing w:before="40" w:after="120"/>
              <w:ind w:right="113"/>
            </w:pPr>
            <w:r w:rsidRPr="001B13F6">
              <w:t>Y</w:t>
            </w:r>
          </w:p>
        </w:tc>
        <w:tc>
          <w:tcPr>
            <w:tcW w:w="1408" w:type="dxa"/>
            <w:shd w:val="clear" w:color="auto" w:fill="auto"/>
          </w:tcPr>
          <w:p w14:paraId="3ADA7B9D" w14:textId="77777777" w:rsidR="00D10D78" w:rsidRPr="001B13F6" w:rsidRDefault="00D10D78" w:rsidP="00D10D78">
            <w:pPr>
              <w:spacing w:before="40" w:after="120"/>
              <w:ind w:right="113"/>
            </w:pPr>
            <w:r w:rsidRPr="001B13F6">
              <w:t>Y</w:t>
            </w:r>
          </w:p>
        </w:tc>
        <w:tc>
          <w:tcPr>
            <w:tcW w:w="1509" w:type="dxa"/>
            <w:shd w:val="clear" w:color="auto" w:fill="auto"/>
          </w:tcPr>
          <w:p w14:paraId="6AC4F665" w14:textId="77777777" w:rsidR="00D10D78" w:rsidRPr="001B13F6" w:rsidRDefault="00D10D78" w:rsidP="00D10D78">
            <w:pPr>
              <w:spacing w:before="40" w:after="120"/>
              <w:ind w:right="113"/>
            </w:pPr>
            <w:r w:rsidRPr="001B13F6">
              <w:t>Y</w:t>
            </w:r>
          </w:p>
        </w:tc>
      </w:tr>
      <w:tr w:rsidR="00D10D78" w:rsidRPr="001B13F6" w14:paraId="0B0A0F59" w14:textId="77777777" w:rsidTr="00843397">
        <w:tc>
          <w:tcPr>
            <w:tcW w:w="2924" w:type="dxa"/>
            <w:shd w:val="clear" w:color="auto" w:fill="auto"/>
          </w:tcPr>
          <w:p w14:paraId="69E1C112" w14:textId="77777777" w:rsidR="00D10D78" w:rsidRPr="001B13F6" w:rsidRDefault="00D10D78" w:rsidP="00D10D78">
            <w:pPr>
              <w:spacing w:before="40" w:after="120"/>
              <w:ind w:right="113"/>
            </w:pPr>
            <w:r w:rsidRPr="001B13F6">
              <w:t>Lebanon</w:t>
            </w:r>
          </w:p>
        </w:tc>
        <w:tc>
          <w:tcPr>
            <w:tcW w:w="1529" w:type="dxa"/>
            <w:shd w:val="clear" w:color="auto" w:fill="auto"/>
          </w:tcPr>
          <w:p w14:paraId="14B8C5C7" w14:textId="77777777" w:rsidR="00D10D78" w:rsidRPr="001B13F6" w:rsidRDefault="00D10D78" w:rsidP="00D10D78">
            <w:pPr>
              <w:spacing w:before="40" w:after="120"/>
              <w:ind w:right="113"/>
            </w:pPr>
            <w:r w:rsidRPr="001B13F6">
              <w:t>N</w:t>
            </w:r>
          </w:p>
        </w:tc>
        <w:tc>
          <w:tcPr>
            <w:tcW w:w="1408" w:type="dxa"/>
            <w:shd w:val="clear" w:color="auto" w:fill="auto"/>
          </w:tcPr>
          <w:p w14:paraId="0F882EE6" w14:textId="77777777" w:rsidR="00D10D78" w:rsidRPr="001B13F6" w:rsidRDefault="00D10D78" w:rsidP="00D10D78">
            <w:pPr>
              <w:spacing w:before="40" w:after="120"/>
              <w:ind w:right="113"/>
            </w:pPr>
            <w:r w:rsidRPr="001B13F6">
              <w:t>Y</w:t>
            </w:r>
          </w:p>
        </w:tc>
        <w:tc>
          <w:tcPr>
            <w:tcW w:w="1509" w:type="dxa"/>
            <w:shd w:val="clear" w:color="auto" w:fill="auto"/>
          </w:tcPr>
          <w:p w14:paraId="767BEB98" w14:textId="77777777" w:rsidR="00D10D78" w:rsidRPr="001B13F6" w:rsidRDefault="00D10D78" w:rsidP="00D10D78">
            <w:pPr>
              <w:spacing w:before="40" w:after="120"/>
              <w:ind w:right="113"/>
            </w:pPr>
            <w:r w:rsidRPr="001B13F6">
              <w:t>Y</w:t>
            </w:r>
          </w:p>
        </w:tc>
      </w:tr>
      <w:tr w:rsidR="00D10D78" w:rsidRPr="001B13F6" w14:paraId="7EF92F2C" w14:textId="77777777" w:rsidTr="00843397">
        <w:tc>
          <w:tcPr>
            <w:tcW w:w="2924" w:type="dxa"/>
            <w:shd w:val="clear" w:color="auto" w:fill="auto"/>
          </w:tcPr>
          <w:p w14:paraId="1BFB76D1" w14:textId="77777777" w:rsidR="00D10D78" w:rsidRPr="001B13F6" w:rsidRDefault="00D10D78" w:rsidP="00D10D78">
            <w:pPr>
              <w:spacing w:before="40" w:after="120"/>
              <w:ind w:right="113"/>
            </w:pPr>
            <w:r w:rsidRPr="001B13F6">
              <w:t>Lesotho</w:t>
            </w:r>
          </w:p>
        </w:tc>
        <w:tc>
          <w:tcPr>
            <w:tcW w:w="1529" w:type="dxa"/>
            <w:shd w:val="clear" w:color="auto" w:fill="auto"/>
          </w:tcPr>
          <w:p w14:paraId="1909ED38" w14:textId="77777777" w:rsidR="00D10D78" w:rsidRPr="001B13F6" w:rsidRDefault="00D10D78" w:rsidP="00D10D78">
            <w:pPr>
              <w:spacing w:before="40" w:after="120"/>
              <w:ind w:right="113"/>
            </w:pPr>
            <w:r w:rsidRPr="001B13F6">
              <w:t>N</w:t>
            </w:r>
          </w:p>
        </w:tc>
        <w:tc>
          <w:tcPr>
            <w:tcW w:w="1408" w:type="dxa"/>
            <w:shd w:val="clear" w:color="auto" w:fill="auto"/>
          </w:tcPr>
          <w:p w14:paraId="2CDE4726" w14:textId="77777777" w:rsidR="00D10D78" w:rsidRPr="001B13F6" w:rsidRDefault="00D10D78" w:rsidP="00D10D78">
            <w:pPr>
              <w:spacing w:before="40" w:after="120"/>
              <w:ind w:right="113"/>
            </w:pPr>
            <w:r w:rsidRPr="001B13F6">
              <w:t>Y</w:t>
            </w:r>
          </w:p>
        </w:tc>
        <w:tc>
          <w:tcPr>
            <w:tcW w:w="1509" w:type="dxa"/>
            <w:shd w:val="clear" w:color="auto" w:fill="auto"/>
          </w:tcPr>
          <w:p w14:paraId="665C536B" w14:textId="77777777" w:rsidR="00D10D78" w:rsidRPr="001B13F6" w:rsidRDefault="00D10D78" w:rsidP="00D10D78">
            <w:pPr>
              <w:spacing w:before="40" w:after="120"/>
              <w:ind w:right="113"/>
            </w:pPr>
            <w:r w:rsidRPr="001B13F6">
              <w:t>Y</w:t>
            </w:r>
          </w:p>
        </w:tc>
      </w:tr>
      <w:tr w:rsidR="00D10D78" w:rsidRPr="001B13F6" w14:paraId="0B12E820" w14:textId="77777777" w:rsidTr="00843397">
        <w:tc>
          <w:tcPr>
            <w:tcW w:w="2924" w:type="dxa"/>
            <w:shd w:val="clear" w:color="auto" w:fill="auto"/>
          </w:tcPr>
          <w:p w14:paraId="38939C20" w14:textId="77777777" w:rsidR="00D10D78" w:rsidRPr="001B13F6" w:rsidRDefault="00D10D78" w:rsidP="00D10D78">
            <w:pPr>
              <w:spacing w:before="40" w:after="120"/>
              <w:ind w:right="113"/>
            </w:pPr>
            <w:r w:rsidRPr="001B13F6">
              <w:t>Liberia</w:t>
            </w:r>
          </w:p>
        </w:tc>
        <w:tc>
          <w:tcPr>
            <w:tcW w:w="1529" w:type="dxa"/>
            <w:shd w:val="clear" w:color="auto" w:fill="auto"/>
          </w:tcPr>
          <w:p w14:paraId="11D95C42" w14:textId="77777777" w:rsidR="00D10D78" w:rsidRPr="001B13F6" w:rsidRDefault="00D10D78" w:rsidP="00D10D78">
            <w:pPr>
              <w:spacing w:before="40" w:after="120"/>
              <w:ind w:right="113"/>
            </w:pPr>
            <w:r w:rsidRPr="001B13F6">
              <w:t>Yi</w:t>
            </w:r>
          </w:p>
        </w:tc>
        <w:tc>
          <w:tcPr>
            <w:tcW w:w="1408" w:type="dxa"/>
            <w:shd w:val="clear" w:color="auto" w:fill="auto"/>
          </w:tcPr>
          <w:p w14:paraId="5AB50147" w14:textId="77777777" w:rsidR="00D10D78" w:rsidRPr="001B13F6" w:rsidRDefault="00D10D78" w:rsidP="00D10D78">
            <w:pPr>
              <w:spacing w:before="40" w:after="120"/>
              <w:ind w:right="113"/>
            </w:pPr>
            <w:r w:rsidRPr="001B13F6">
              <w:t>Y</w:t>
            </w:r>
          </w:p>
        </w:tc>
        <w:tc>
          <w:tcPr>
            <w:tcW w:w="1509" w:type="dxa"/>
            <w:shd w:val="clear" w:color="auto" w:fill="auto"/>
          </w:tcPr>
          <w:p w14:paraId="6CFEEE8F" w14:textId="77777777" w:rsidR="00D10D78" w:rsidRPr="001B13F6" w:rsidRDefault="00D10D78" w:rsidP="00D10D78">
            <w:pPr>
              <w:spacing w:before="40" w:after="120"/>
              <w:ind w:right="113"/>
            </w:pPr>
            <w:r w:rsidRPr="001B13F6">
              <w:t>Y</w:t>
            </w:r>
          </w:p>
        </w:tc>
      </w:tr>
      <w:tr w:rsidR="00D10D78" w:rsidRPr="001B13F6" w14:paraId="50A07EEF" w14:textId="77777777" w:rsidTr="00843397">
        <w:tc>
          <w:tcPr>
            <w:tcW w:w="2924" w:type="dxa"/>
            <w:shd w:val="clear" w:color="auto" w:fill="auto"/>
          </w:tcPr>
          <w:p w14:paraId="6F5FD6FC" w14:textId="77777777" w:rsidR="00D10D78" w:rsidRPr="001B13F6" w:rsidRDefault="00D10D78" w:rsidP="00D10D78">
            <w:pPr>
              <w:spacing w:before="40" w:after="120"/>
              <w:ind w:right="113"/>
            </w:pPr>
            <w:r w:rsidRPr="001B13F6">
              <w:t>Libya</w:t>
            </w:r>
          </w:p>
        </w:tc>
        <w:tc>
          <w:tcPr>
            <w:tcW w:w="1529" w:type="dxa"/>
            <w:shd w:val="clear" w:color="auto" w:fill="auto"/>
          </w:tcPr>
          <w:p w14:paraId="4AC766B3" w14:textId="77777777" w:rsidR="00D10D78" w:rsidRPr="001B13F6" w:rsidRDefault="00D10D78" w:rsidP="00D10D78">
            <w:pPr>
              <w:spacing w:before="40" w:after="120"/>
              <w:ind w:right="113"/>
            </w:pPr>
            <w:r w:rsidRPr="001B13F6">
              <w:t>N</w:t>
            </w:r>
          </w:p>
        </w:tc>
        <w:tc>
          <w:tcPr>
            <w:tcW w:w="1408" w:type="dxa"/>
            <w:shd w:val="clear" w:color="auto" w:fill="auto"/>
          </w:tcPr>
          <w:p w14:paraId="5EBBC342" w14:textId="77777777" w:rsidR="00D10D78" w:rsidRPr="001B13F6" w:rsidRDefault="00D10D78" w:rsidP="00D10D78">
            <w:pPr>
              <w:spacing w:before="40" w:after="120"/>
              <w:ind w:right="113"/>
            </w:pPr>
            <w:r w:rsidRPr="001B13F6">
              <w:t>Y</w:t>
            </w:r>
          </w:p>
        </w:tc>
        <w:tc>
          <w:tcPr>
            <w:tcW w:w="1509" w:type="dxa"/>
            <w:shd w:val="clear" w:color="auto" w:fill="auto"/>
          </w:tcPr>
          <w:p w14:paraId="643E99D5" w14:textId="77777777" w:rsidR="00D10D78" w:rsidRPr="001B13F6" w:rsidRDefault="00D10D78" w:rsidP="00D10D78">
            <w:pPr>
              <w:spacing w:before="40" w:after="120"/>
              <w:ind w:right="113"/>
            </w:pPr>
            <w:r w:rsidRPr="001B13F6">
              <w:t>N</w:t>
            </w:r>
          </w:p>
        </w:tc>
      </w:tr>
      <w:tr w:rsidR="00D10D78" w:rsidRPr="001B13F6" w14:paraId="61DCB69E" w14:textId="77777777" w:rsidTr="00843397">
        <w:tc>
          <w:tcPr>
            <w:tcW w:w="2924" w:type="dxa"/>
            <w:shd w:val="clear" w:color="auto" w:fill="auto"/>
          </w:tcPr>
          <w:p w14:paraId="383268A6" w14:textId="77777777" w:rsidR="00D10D78" w:rsidRPr="001B13F6" w:rsidRDefault="00D10D78" w:rsidP="00D10D78">
            <w:pPr>
              <w:spacing w:before="40" w:after="120"/>
              <w:ind w:right="113"/>
            </w:pPr>
            <w:r w:rsidRPr="001B13F6">
              <w:t>Liechtenstein</w:t>
            </w:r>
          </w:p>
        </w:tc>
        <w:tc>
          <w:tcPr>
            <w:tcW w:w="1529" w:type="dxa"/>
            <w:shd w:val="clear" w:color="auto" w:fill="auto"/>
          </w:tcPr>
          <w:p w14:paraId="00E56946" w14:textId="77777777" w:rsidR="00D10D78" w:rsidRPr="001B13F6" w:rsidRDefault="00D10D78" w:rsidP="00D10D78">
            <w:pPr>
              <w:spacing w:before="40" w:after="120"/>
              <w:ind w:right="113"/>
            </w:pPr>
            <w:r w:rsidRPr="001B13F6">
              <w:t>N</w:t>
            </w:r>
          </w:p>
        </w:tc>
        <w:tc>
          <w:tcPr>
            <w:tcW w:w="1408" w:type="dxa"/>
            <w:shd w:val="clear" w:color="auto" w:fill="auto"/>
          </w:tcPr>
          <w:p w14:paraId="7C04420C" w14:textId="77777777" w:rsidR="00D10D78" w:rsidRPr="001B13F6" w:rsidRDefault="00D10D78" w:rsidP="00D10D78">
            <w:pPr>
              <w:spacing w:before="40" w:after="120"/>
              <w:ind w:right="113"/>
            </w:pPr>
            <w:r w:rsidRPr="001B13F6">
              <w:t>N</w:t>
            </w:r>
          </w:p>
        </w:tc>
        <w:tc>
          <w:tcPr>
            <w:tcW w:w="1509" w:type="dxa"/>
            <w:shd w:val="clear" w:color="auto" w:fill="auto"/>
          </w:tcPr>
          <w:p w14:paraId="4A66B93A" w14:textId="77777777" w:rsidR="00D10D78" w:rsidRPr="001B13F6" w:rsidRDefault="00D10D78" w:rsidP="00D10D78">
            <w:pPr>
              <w:spacing w:before="40" w:after="120"/>
              <w:ind w:right="113"/>
            </w:pPr>
            <w:r w:rsidRPr="001B13F6">
              <w:t>N</w:t>
            </w:r>
          </w:p>
        </w:tc>
      </w:tr>
      <w:tr w:rsidR="00D10D78" w:rsidRPr="001B13F6" w14:paraId="09C79D14" w14:textId="77777777" w:rsidTr="00843397">
        <w:tc>
          <w:tcPr>
            <w:tcW w:w="2924" w:type="dxa"/>
            <w:shd w:val="clear" w:color="auto" w:fill="auto"/>
          </w:tcPr>
          <w:p w14:paraId="6B56AF5A" w14:textId="77777777" w:rsidR="00D10D78" w:rsidRPr="001B13F6" w:rsidRDefault="00D10D78" w:rsidP="00D10D78">
            <w:pPr>
              <w:spacing w:before="40" w:after="120"/>
              <w:ind w:right="113"/>
            </w:pPr>
            <w:r w:rsidRPr="001B13F6">
              <w:t>Lithuania</w:t>
            </w:r>
          </w:p>
        </w:tc>
        <w:tc>
          <w:tcPr>
            <w:tcW w:w="1529" w:type="dxa"/>
            <w:shd w:val="clear" w:color="auto" w:fill="auto"/>
          </w:tcPr>
          <w:p w14:paraId="7791F55F" w14:textId="77777777" w:rsidR="00D10D78" w:rsidRPr="001B13F6" w:rsidRDefault="00D10D78" w:rsidP="00D10D78">
            <w:pPr>
              <w:spacing w:before="40" w:after="120"/>
              <w:ind w:right="113"/>
            </w:pPr>
            <w:r w:rsidRPr="001B13F6">
              <w:t>Yi</w:t>
            </w:r>
          </w:p>
        </w:tc>
        <w:tc>
          <w:tcPr>
            <w:tcW w:w="1408" w:type="dxa"/>
            <w:shd w:val="clear" w:color="auto" w:fill="auto"/>
          </w:tcPr>
          <w:p w14:paraId="357F2A15" w14:textId="77777777" w:rsidR="00D10D78" w:rsidRPr="001B13F6" w:rsidRDefault="00D10D78" w:rsidP="00D10D78">
            <w:pPr>
              <w:spacing w:before="40" w:after="120"/>
              <w:ind w:right="113"/>
            </w:pPr>
            <w:r w:rsidRPr="001B13F6">
              <w:t>Y</w:t>
            </w:r>
          </w:p>
        </w:tc>
        <w:tc>
          <w:tcPr>
            <w:tcW w:w="1509" w:type="dxa"/>
            <w:shd w:val="clear" w:color="auto" w:fill="auto"/>
          </w:tcPr>
          <w:p w14:paraId="6A7E491C" w14:textId="77777777" w:rsidR="00D10D78" w:rsidRPr="001B13F6" w:rsidRDefault="00D10D78" w:rsidP="00D10D78">
            <w:pPr>
              <w:spacing w:before="40" w:after="120"/>
              <w:ind w:right="113"/>
            </w:pPr>
            <w:r w:rsidRPr="001B13F6">
              <w:t>Y</w:t>
            </w:r>
          </w:p>
        </w:tc>
      </w:tr>
      <w:tr w:rsidR="00D10D78" w:rsidRPr="001B13F6" w14:paraId="54F85C97" w14:textId="77777777" w:rsidTr="00843397">
        <w:tc>
          <w:tcPr>
            <w:tcW w:w="2924" w:type="dxa"/>
            <w:shd w:val="clear" w:color="auto" w:fill="auto"/>
          </w:tcPr>
          <w:p w14:paraId="49E1BCF1" w14:textId="77777777" w:rsidR="00D10D78" w:rsidRPr="001B13F6" w:rsidRDefault="00D10D78" w:rsidP="00D10D78">
            <w:pPr>
              <w:spacing w:before="40" w:after="120"/>
              <w:ind w:right="113"/>
            </w:pPr>
            <w:r w:rsidRPr="001B13F6">
              <w:t>Luxembourg</w:t>
            </w:r>
          </w:p>
        </w:tc>
        <w:tc>
          <w:tcPr>
            <w:tcW w:w="1529" w:type="dxa"/>
            <w:shd w:val="clear" w:color="auto" w:fill="auto"/>
          </w:tcPr>
          <w:p w14:paraId="741A37A0" w14:textId="77777777" w:rsidR="00D10D78" w:rsidRPr="001B13F6" w:rsidRDefault="00D10D78" w:rsidP="00D10D78">
            <w:pPr>
              <w:spacing w:before="40" w:after="120"/>
              <w:ind w:right="113"/>
            </w:pPr>
            <w:r w:rsidRPr="001B13F6">
              <w:t>N</w:t>
            </w:r>
          </w:p>
        </w:tc>
        <w:tc>
          <w:tcPr>
            <w:tcW w:w="1408" w:type="dxa"/>
            <w:shd w:val="clear" w:color="auto" w:fill="auto"/>
          </w:tcPr>
          <w:p w14:paraId="2CD4D94E" w14:textId="77777777" w:rsidR="00D10D78" w:rsidRPr="001B13F6" w:rsidRDefault="00D10D78" w:rsidP="00D10D78">
            <w:pPr>
              <w:spacing w:before="40" w:after="120"/>
              <w:ind w:right="113"/>
            </w:pPr>
            <w:r w:rsidRPr="001B13F6">
              <w:t>Y</w:t>
            </w:r>
          </w:p>
        </w:tc>
        <w:tc>
          <w:tcPr>
            <w:tcW w:w="1509" w:type="dxa"/>
            <w:shd w:val="clear" w:color="auto" w:fill="auto"/>
          </w:tcPr>
          <w:p w14:paraId="7CA159A0" w14:textId="77777777" w:rsidR="00D10D78" w:rsidRPr="001B13F6" w:rsidRDefault="00D10D78" w:rsidP="00D10D78">
            <w:pPr>
              <w:spacing w:before="40" w:after="120"/>
              <w:ind w:right="113"/>
            </w:pPr>
            <w:r w:rsidRPr="001B13F6">
              <w:t>N</w:t>
            </w:r>
          </w:p>
        </w:tc>
      </w:tr>
      <w:tr w:rsidR="00D10D78" w:rsidRPr="001B13F6" w14:paraId="2F4E3815" w14:textId="77777777" w:rsidTr="00843397">
        <w:tc>
          <w:tcPr>
            <w:tcW w:w="2924" w:type="dxa"/>
            <w:shd w:val="clear" w:color="auto" w:fill="auto"/>
          </w:tcPr>
          <w:p w14:paraId="5704E44C" w14:textId="77777777" w:rsidR="00D10D78" w:rsidRPr="001B13F6" w:rsidRDefault="00D10D78" w:rsidP="00D10D78">
            <w:pPr>
              <w:spacing w:before="40" w:after="120"/>
              <w:ind w:right="113"/>
            </w:pPr>
            <w:r w:rsidRPr="001B13F6">
              <w:t>Madagascar</w:t>
            </w:r>
          </w:p>
        </w:tc>
        <w:tc>
          <w:tcPr>
            <w:tcW w:w="1529" w:type="dxa"/>
            <w:shd w:val="clear" w:color="auto" w:fill="auto"/>
          </w:tcPr>
          <w:p w14:paraId="71B71079" w14:textId="77777777" w:rsidR="00D10D78" w:rsidRPr="001B13F6" w:rsidRDefault="00D10D78" w:rsidP="00D10D78">
            <w:pPr>
              <w:spacing w:before="40" w:after="120"/>
              <w:ind w:right="113"/>
            </w:pPr>
            <w:r w:rsidRPr="001B13F6">
              <w:t>N</w:t>
            </w:r>
          </w:p>
        </w:tc>
        <w:tc>
          <w:tcPr>
            <w:tcW w:w="1408" w:type="dxa"/>
            <w:shd w:val="clear" w:color="auto" w:fill="auto"/>
          </w:tcPr>
          <w:p w14:paraId="16FFDC22" w14:textId="77777777" w:rsidR="00D10D78" w:rsidRPr="001B13F6" w:rsidRDefault="00D10D78" w:rsidP="00D10D78">
            <w:pPr>
              <w:spacing w:before="40" w:after="120"/>
              <w:ind w:right="113"/>
            </w:pPr>
            <w:r w:rsidRPr="001B13F6">
              <w:t>Y</w:t>
            </w:r>
          </w:p>
        </w:tc>
        <w:tc>
          <w:tcPr>
            <w:tcW w:w="1509" w:type="dxa"/>
            <w:shd w:val="clear" w:color="auto" w:fill="auto"/>
          </w:tcPr>
          <w:p w14:paraId="70ACC6A9" w14:textId="77777777" w:rsidR="00D10D78" w:rsidRPr="001B13F6" w:rsidRDefault="00D10D78" w:rsidP="00D10D78">
            <w:pPr>
              <w:spacing w:before="40" w:after="120"/>
              <w:ind w:right="113"/>
            </w:pPr>
            <w:r w:rsidRPr="001B13F6">
              <w:t>Y</w:t>
            </w:r>
          </w:p>
        </w:tc>
      </w:tr>
      <w:tr w:rsidR="00D10D78" w:rsidRPr="001B13F6" w14:paraId="2540BA68" w14:textId="77777777" w:rsidTr="00843397">
        <w:tc>
          <w:tcPr>
            <w:tcW w:w="2924" w:type="dxa"/>
            <w:shd w:val="clear" w:color="auto" w:fill="auto"/>
          </w:tcPr>
          <w:p w14:paraId="66CA4CAD" w14:textId="77777777" w:rsidR="00D10D78" w:rsidRPr="001B13F6" w:rsidRDefault="00D10D78" w:rsidP="00D10D78">
            <w:pPr>
              <w:spacing w:before="40" w:after="120"/>
              <w:ind w:right="113"/>
            </w:pPr>
            <w:r w:rsidRPr="001B13F6">
              <w:t>Malawi</w:t>
            </w:r>
          </w:p>
        </w:tc>
        <w:tc>
          <w:tcPr>
            <w:tcW w:w="1529" w:type="dxa"/>
            <w:shd w:val="clear" w:color="auto" w:fill="auto"/>
          </w:tcPr>
          <w:p w14:paraId="79EC7AE3" w14:textId="77777777" w:rsidR="00D10D78" w:rsidRPr="001B13F6" w:rsidRDefault="00D10D78" w:rsidP="00D10D78">
            <w:pPr>
              <w:spacing w:before="40" w:after="120"/>
              <w:ind w:right="113"/>
            </w:pPr>
            <w:r w:rsidRPr="001B13F6">
              <w:t>Y</w:t>
            </w:r>
          </w:p>
        </w:tc>
        <w:tc>
          <w:tcPr>
            <w:tcW w:w="1408" w:type="dxa"/>
            <w:shd w:val="clear" w:color="auto" w:fill="auto"/>
          </w:tcPr>
          <w:p w14:paraId="003341D7" w14:textId="77777777" w:rsidR="00D10D78" w:rsidRPr="001B13F6" w:rsidRDefault="00D10D78" w:rsidP="00D10D78">
            <w:pPr>
              <w:spacing w:before="40" w:after="120"/>
              <w:ind w:right="113"/>
            </w:pPr>
            <w:r w:rsidRPr="001B13F6">
              <w:t>Y</w:t>
            </w:r>
          </w:p>
        </w:tc>
        <w:tc>
          <w:tcPr>
            <w:tcW w:w="1509" w:type="dxa"/>
            <w:shd w:val="clear" w:color="auto" w:fill="auto"/>
          </w:tcPr>
          <w:p w14:paraId="497193D2" w14:textId="77777777" w:rsidR="00D10D78" w:rsidRPr="001B13F6" w:rsidRDefault="00D10D78" w:rsidP="00D10D78">
            <w:pPr>
              <w:spacing w:before="40" w:after="120"/>
              <w:ind w:right="113"/>
            </w:pPr>
            <w:r w:rsidRPr="001B13F6">
              <w:t>Y</w:t>
            </w:r>
          </w:p>
        </w:tc>
      </w:tr>
      <w:tr w:rsidR="00D10D78" w:rsidRPr="001B13F6" w14:paraId="5F186CAE" w14:textId="77777777" w:rsidTr="00843397">
        <w:tc>
          <w:tcPr>
            <w:tcW w:w="2924" w:type="dxa"/>
            <w:shd w:val="clear" w:color="auto" w:fill="auto"/>
          </w:tcPr>
          <w:p w14:paraId="3F3BE4D9" w14:textId="77777777" w:rsidR="00D10D78" w:rsidRPr="001B13F6" w:rsidRDefault="00D10D78" w:rsidP="00D10D78">
            <w:pPr>
              <w:spacing w:before="40" w:after="120"/>
              <w:ind w:right="113"/>
            </w:pPr>
            <w:r w:rsidRPr="001B13F6">
              <w:t>Malaysia</w:t>
            </w:r>
          </w:p>
        </w:tc>
        <w:tc>
          <w:tcPr>
            <w:tcW w:w="1529" w:type="dxa"/>
            <w:shd w:val="clear" w:color="auto" w:fill="auto"/>
          </w:tcPr>
          <w:p w14:paraId="77C73417" w14:textId="77777777" w:rsidR="00D10D78" w:rsidRPr="001B13F6" w:rsidRDefault="00D10D78" w:rsidP="00D10D78">
            <w:pPr>
              <w:spacing w:before="40" w:after="120"/>
              <w:ind w:right="113"/>
            </w:pPr>
            <w:r w:rsidRPr="001B13F6">
              <w:t>Yi</w:t>
            </w:r>
          </w:p>
        </w:tc>
        <w:tc>
          <w:tcPr>
            <w:tcW w:w="1408" w:type="dxa"/>
            <w:shd w:val="clear" w:color="auto" w:fill="auto"/>
          </w:tcPr>
          <w:p w14:paraId="30265FB3" w14:textId="77777777" w:rsidR="00D10D78" w:rsidRPr="001B13F6" w:rsidRDefault="00D10D78" w:rsidP="00D10D78">
            <w:pPr>
              <w:spacing w:before="40" w:after="120"/>
              <w:ind w:right="113"/>
            </w:pPr>
            <w:r w:rsidRPr="001B13F6">
              <w:t>N</w:t>
            </w:r>
          </w:p>
        </w:tc>
        <w:tc>
          <w:tcPr>
            <w:tcW w:w="1509" w:type="dxa"/>
            <w:shd w:val="clear" w:color="auto" w:fill="auto"/>
          </w:tcPr>
          <w:p w14:paraId="4B322DEB" w14:textId="77777777" w:rsidR="00D10D78" w:rsidRPr="001B13F6" w:rsidRDefault="00D10D78" w:rsidP="00D10D78">
            <w:pPr>
              <w:spacing w:before="40" w:after="120"/>
              <w:ind w:right="113"/>
            </w:pPr>
            <w:r w:rsidRPr="001B13F6">
              <w:t>N</w:t>
            </w:r>
          </w:p>
        </w:tc>
      </w:tr>
      <w:tr w:rsidR="00D10D78" w:rsidRPr="001B13F6" w14:paraId="10D890EA" w14:textId="77777777" w:rsidTr="00843397">
        <w:tc>
          <w:tcPr>
            <w:tcW w:w="2924" w:type="dxa"/>
            <w:shd w:val="clear" w:color="auto" w:fill="auto"/>
          </w:tcPr>
          <w:p w14:paraId="470E4705" w14:textId="77777777" w:rsidR="00D10D78" w:rsidRPr="001B13F6" w:rsidRDefault="00D10D78" w:rsidP="00D10D78">
            <w:pPr>
              <w:spacing w:before="40" w:after="120"/>
              <w:ind w:right="113"/>
            </w:pPr>
            <w:r w:rsidRPr="001B13F6">
              <w:t>Maldives</w:t>
            </w:r>
          </w:p>
        </w:tc>
        <w:tc>
          <w:tcPr>
            <w:tcW w:w="1529" w:type="dxa"/>
            <w:shd w:val="clear" w:color="auto" w:fill="auto"/>
          </w:tcPr>
          <w:p w14:paraId="09C775AB" w14:textId="77777777" w:rsidR="00D10D78" w:rsidRPr="001B13F6" w:rsidRDefault="00D10D78" w:rsidP="00D10D78">
            <w:pPr>
              <w:spacing w:before="40" w:after="120"/>
              <w:ind w:right="113"/>
            </w:pPr>
            <w:r w:rsidRPr="001B13F6">
              <w:t>Y</w:t>
            </w:r>
          </w:p>
        </w:tc>
        <w:tc>
          <w:tcPr>
            <w:tcW w:w="1408" w:type="dxa"/>
            <w:shd w:val="clear" w:color="auto" w:fill="auto"/>
          </w:tcPr>
          <w:p w14:paraId="43F9D559" w14:textId="77777777" w:rsidR="00D10D78" w:rsidRPr="001B13F6" w:rsidRDefault="00D10D78" w:rsidP="00D10D78">
            <w:pPr>
              <w:spacing w:before="40" w:after="120"/>
              <w:ind w:right="113"/>
            </w:pPr>
            <w:r w:rsidRPr="001B13F6">
              <w:t>N</w:t>
            </w:r>
          </w:p>
        </w:tc>
        <w:tc>
          <w:tcPr>
            <w:tcW w:w="1509" w:type="dxa"/>
            <w:shd w:val="clear" w:color="auto" w:fill="auto"/>
          </w:tcPr>
          <w:p w14:paraId="627A81F5" w14:textId="77777777" w:rsidR="00D10D78" w:rsidRPr="001B13F6" w:rsidRDefault="00D10D78" w:rsidP="00D10D78">
            <w:pPr>
              <w:spacing w:before="40" w:after="120"/>
              <w:ind w:right="113"/>
            </w:pPr>
            <w:r w:rsidRPr="001B13F6">
              <w:t>N</w:t>
            </w:r>
          </w:p>
        </w:tc>
      </w:tr>
      <w:tr w:rsidR="00D10D78" w:rsidRPr="001B13F6" w14:paraId="42269643" w14:textId="77777777" w:rsidTr="00843397">
        <w:tc>
          <w:tcPr>
            <w:tcW w:w="2924" w:type="dxa"/>
            <w:shd w:val="clear" w:color="auto" w:fill="auto"/>
          </w:tcPr>
          <w:p w14:paraId="5F3C0C9D" w14:textId="77777777" w:rsidR="00D10D78" w:rsidRPr="001B13F6" w:rsidRDefault="00D10D78" w:rsidP="00D10D78">
            <w:pPr>
              <w:spacing w:before="40" w:after="120"/>
              <w:ind w:right="113"/>
            </w:pPr>
            <w:r w:rsidRPr="001B13F6">
              <w:t>Mali</w:t>
            </w:r>
          </w:p>
        </w:tc>
        <w:tc>
          <w:tcPr>
            <w:tcW w:w="1529" w:type="dxa"/>
            <w:shd w:val="clear" w:color="auto" w:fill="auto"/>
          </w:tcPr>
          <w:p w14:paraId="1DBCD84D" w14:textId="77777777" w:rsidR="00D10D78" w:rsidRPr="001B13F6" w:rsidRDefault="00D10D78" w:rsidP="00D10D78">
            <w:pPr>
              <w:spacing w:before="40" w:after="120"/>
              <w:ind w:right="113"/>
            </w:pPr>
            <w:r w:rsidRPr="001B13F6">
              <w:t>Y</w:t>
            </w:r>
          </w:p>
        </w:tc>
        <w:tc>
          <w:tcPr>
            <w:tcW w:w="1408" w:type="dxa"/>
            <w:shd w:val="clear" w:color="auto" w:fill="auto"/>
          </w:tcPr>
          <w:p w14:paraId="70C2BFB6" w14:textId="77777777" w:rsidR="00D10D78" w:rsidRPr="001B13F6" w:rsidRDefault="00D10D78" w:rsidP="00D10D78">
            <w:pPr>
              <w:spacing w:before="40" w:after="120"/>
              <w:ind w:right="113"/>
            </w:pPr>
            <w:r w:rsidRPr="001B13F6">
              <w:t>Y</w:t>
            </w:r>
          </w:p>
        </w:tc>
        <w:tc>
          <w:tcPr>
            <w:tcW w:w="1509" w:type="dxa"/>
            <w:shd w:val="clear" w:color="auto" w:fill="auto"/>
          </w:tcPr>
          <w:p w14:paraId="7A419CBA" w14:textId="77777777" w:rsidR="00D10D78" w:rsidRPr="001B13F6" w:rsidRDefault="00D10D78" w:rsidP="00D10D78">
            <w:pPr>
              <w:spacing w:before="40" w:after="120"/>
              <w:ind w:right="113"/>
            </w:pPr>
            <w:r w:rsidRPr="001B13F6">
              <w:t>N</w:t>
            </w:r>
          </w:p>
        </w:tc>
      </w:tr>
      <w:tr w:rsidR="00D10D78" w:rsidRPr="001B13F6" w14:paraId="4ED23194" w14:textId="77777777" w:rsidTr="00843397">
        <w:tc>
          <w:tcPr>
            <w:tcW w:w="2924" w:type="dxa"/>
            <w:shd w:val="clear" w:color="auto" w:fill="auto"/>
          </w:tcPr>
          <w:p w14:paraId="5D5F6A92" w14:textId="77777777" w:rsidR="00D10D78" w:rsidRPr="001B13F6" w:rsidRDefault="00D10D78" w:rsidP="00D10D78">
            <w:pPr>
              <w:spacing w:before="40" w:after="120"/>
              <w:ind w:right="113"/>
            </w:pPr>
            <w:r w:rsidRPr="001B13F6">
              <w:t>Malta</w:t>
            </w:r>
          </w:p>
        </w:tc>
        <w:tc>
          <w:tcPr>
            <w:tcW w:w="1529" w:type="dxa"/>
            <w:shd w:val="clear" w:color="auto" w:fill="auto"/>
          </w:tcPr>
          <w:p w14:paraId="308841E6" w14:textId="77777777" w:rsidR="00D10D78" w:rsidRPr="001B13F6" w:rsidRDefault="00D10D78" w:rsidP="00D10D78">
            <w:pPr>
              <w:spacing w:before="40" w:after="120"/>
              <w:ind w:right="113"/>
            </w:pPr>
            <w:r w:rsidRPr="001B13F6">
              <w:t>N</w:t>
            </w:r>
          </w:p>
        </w:tc>
        <w:tc>
          <w:tcPr>
            <w:tcW w:w="1408" w:type="dxa"/>
            <w:shd w:val="clear" w:color="auto" w:fill="auto"/>
          </w:tcPr>
          <w:p w14:paraId="7654ECBE" w14:textId="77777777" w:rsidR="00D10D78" w:rsidRPr="001B13F6" w:rsidRDefault="00D10D78" w:rsidP="00D10D78">
            <w:pPr>
              <w:spacing w:before="40" w:after="120"/>
              <w:ind w:right="113"/>
            </w:pPr>
            <w:r w:rsidRPr="001B13F6">
              <w:t>Y</w:t>
            </w:r>
          </w:p>
        </w:tc>
        <w:tc>
          <w:tcPr>
            <w:tcW w:w="1509" w:type="dxa"/>
            <w:shd w:val="clear" w:color="auto" w:fill="auto"/>
          </w:tcPr>
          <w:p w14:paraId="330B2D36" w14:textId="77777777" w:rsidR="00D10D78" w:rsidRPr="001B13F6" w:rsidRDefault="00D10D78" w:rsidP="00D10D78">
            <w:pPr>
              <w:spacing w:before="40" w:after="120"/>
              <w:ind w:right="113"/>
            </w:pPr>
            <w:r w:rsidRPr="001B13F6">
              <w:t>N</w:t>
            </w:r>
          </w:p>
        </w:tc>
      </w:tr>
      <w:tr w:rsidR="00D10D78" w:rsidRPr="001B13F6" w14:paraId="1EE67447" w14:textId="77777777" w:rsidTr="00843397">
        <w:tc>
          <w:tcPr>
            <w:tcW w:w="2924" w:type="dxa"/>
            <w:shd w:val="clear" w:color="auto" w:fill="auto"/>
          </w:tcPr>
          <w:p w14:paraId="70C4E71C" w14:textId="77777777" w:rsidR="00D10D78" w:rsidRPr="001B13F6" w:rsidRDefault="00D10D78" w:rsidP="00D10D78">
            <w:pPr>
              <w:spacing w:before="40" w:after="120"/>
              <w:ind w:right="113"/>
            </w:pPr>
            <w:r w:rsidRPr="001B13F6">
              <w:t>Marshall Islands</w:t>
            </w:r>
          </w:p>
        </w:tc>
        <w:tc>
          <w:tcPr>
            <w:tcW w:w="1529" w:type="dxa"/>
            <w:shd w:val="clear" w:color="auto" w:fill="auto"/>
          </w:tcPr>
          <w:p w14:paraId="4CE31009" w14:textId="77777777" w:rsidR="00D10D78" w:rsidRPr="001B13F6" w:rsidRDefault="00D10D78" w:rsidP="00D10D78">
            <w:pPr>
              <w:spacing w:before="40" w:after="120"/>
              <w:ind w:right="113"/>
            </w:pPr>
            <w:r w:rsidRPr="001B13F6">
              <w:t>N</w:t>
            </w:r>
          </w:p>
        </w:tc>
        <w:tc>
          <w:tcPr>
            <w:tcW w:w="1408" w:type="dxa"/>
            <w:shd w:val="clear" w:color="auto" w:fill="auto"/>
          </w:tcPr>
          <w:p w14:paraId="3DEB14A4" w14:textId="77777777" w:rsidR="00D10D78" w:rsidRPr="001B13F6" w:rsidRDefault="00D10D78" w:rsidP="00D10D78">
            <w:pPr>
              <w:spacing w:before="40" w:after="120"/>
              <w:ind w:right="113"/>
            </w:pPr>
            <w:r w:rsidRPr="001B13F6">
              <w:t>N</w:t>
            </w:r>
          </w:p>
        </w:tc>
        <w:tc>
          <w:tcPr>
            <w:tcW w:w="1509" w:type="dxa"/>
            <w:shd w:val="clear" w:color="auto" w:fill="auto"/>
          </w:tcPr>
          <w:p w14:paraId="7E83BC94" w14:textId="77777777" w:rsidR="00D10D78" w:rsidRPr="001B13F6" w:rsidRDefault="00D10D78" w:rsidP="00D10D78">
            <w:pPr>
              <w:spacing w:before="40" w:after="120"/>
              <w:ind w:right="113"/>
            </w:pPr>
            <w:r w:rsidRPr="001B13F6">
              <w:t>N</w:t>
            </w:r>
          </w:p>
        </w:tc>
      </w:tr>
      <w:tr w:rsidR="00D10D78" w:rsidRPr="001B13F6" w14:paraId="2121FA15" w14:textId="77777777" w:rsidTr="00843397">
        <w:tc>
          <w:tcPr>
            <w:tcW w:w="2924" w:type="dxa"/>
            <w:shd w:val="clear" w:color="auto" w:fill="auto"/>
          </w:tcPr>
          <w:p w14:paraId="0A077AAC" w14:textId="77777777" w:rsidR="00D10D78" w:rsidRPr="001B13F6" w:rsidRDefault="00D10D78" w:rsidP="00D10D78">
            <w:pPr>
              <w:spacing w:before="40" w:after="120"/>
              <w:ind w:right="113"/>
            </w:pPr>
            <w:r w:rsidRPr="001B13F6">
              <w:t>Mauritania</w:t>
            </w:r>
          </w:p>
        </w:tc>
        <w:tc>
          <w:tcPr>
            <w:tcW w:w="1529" w:type="dxa"/>
            <w:shd w:val="clear" w:color="auto" w:fill="auto"/>
          </w:tcPr>
          <w:p w14:paraId="5BF9D8C5" w14:textId="77777777" w:rsidR="00D10D78" w:rsidRPr="001B13F6" w:rsidRDefault="00D10D78" w:rsidP="00D10D78">
            <w:pPr>
              <w:spacing w:before="40" w:after="120"/>
              <w:ind w:right="113"/>
            </w:pPr>
            <w:r w:rsidRPr="001B13F6">
              <w:t>Y</w:t>
            </w:r>
          </w:p>
        </w:tc>
        <w:tc>
          <w:tcPr>
            <w:tcW w:w="1408" w:type="dxa"/>
            <w:shd w:val="clear" w:color="auto" w:fill="auto"/>
          </w:tcPr>
          <w:p w14:paraId="1AFDF7ED" w14:textId="77777777" w:rsidR="00D10D78" w:rsidRPr="001B13F6" w:rsidRDefault="00D10D78" w:rsidP="00D10D78">
            <w:pPr>
              <w:spacing w:before="40" w:after="120"/>
              <w:ind w:right="113"/>
            </w:pPr>
            <w:r w:rsidRPr="001B13F6">
              <w:t>Y</w:t>
            </w:r>
          </w:p>
        </w:tc>
        <w:tc>
          <w:tcPr>
            <w:tcW w:w="1509" w:type="dxa"/>
            <w:shd w:val="clear" w:color="auto" w:fill="auto"/>
          </w:tcPr>
          <w:p w14:paraId="1C1D0A54" w14:textId="77777777" w:rsidR="00D10D78" w:rsidRPr="001B13F6" w:rsidRDefault="00D10D78" w:rsidP="00D10D78">
            <w:pPr>
              <w:spacing w:before="40" w:after="120"/>
              <w:ind w:right="113"/>
            </w:pPr>
            <w:r w:rsidRPr="001B13F6">
              <w:t>Y</w:t>
            </w:r>
          </w:p>
        </w:tc>
      </w:tr>
      <w:tr w:rsidR="00D10D78" w:rsidRPr="001B13F6" w14:paraId="02CF1991" w14:textId="77777777" w:rsidTr="00843397">
        <w:tc>
          <w:tcPr>
            <w:tcW w:w="2924" w:type="dxa"/>
            <w:shd w:val="clear" w:color="auto" w:fill="auto"/>
          </w:tcPr>
          <w:p w14:paraId="2F83A8A2" w14:textId="77777777" w:rsidR="00D10D78" w:rsidRPr="001B13F6" w:rsidRDefault="00D10D78" w:rsidP="00D10D78">
            <w:pPr>
              <w:spacing w:before="40" w:after="120"/>
              <w:ind w:right="113"/>
            </w:pPr>
            <w:r w:rsidRPr="001B13F6">
              <w:t>Mauritius</w:t>
            </w:r>
          </w:p>
        </w:tc>
        <w:tc>
          <w:tcPr>
            <w:tcW w:w="1529" w:type="dxa"/>
            <w:shd w:val="clear" w:color="auto" w:fill="auto"/>
          </w:tcPr>
          <w:p w14:paraId="68E920BF" w14:textId="77777777" w:rsidR="00D10D78" w:rsidRPr="001B13F6" w:rsidRDefault="00D10D78" w:rsidP="00D10D78">
            <w:pPr>
              <w:spacing w:before="40" w:after="120"/>
              <w:ind w:right="113"/>
            </w:pPr>
            <w:r w:rsidRPr="001B13F6">
              <w:t>N</w:t>
            </w:r>
          </w:p>
        </w:tc>
        <w:tc>
          <w:tcPr>
            <w:tcW w:w="1408" w:type="dxa"/>
            <w:shd w:val="clear" w:color="auto" w:fill="auto"/>
          </w:tcPr>
          <w:p w14:paraId="529A2DAE" w14:textId="77777777" w:rsidR="00D10D78" w:rsidRPr="001B13F6" w:rsidRDefault="00D10D78" w:rsidP="00D10D78">
            <w:pPr>
              <w:spacing w:before="40" w:after="120"/>
              <w:ind w:right="113"/>
            </w:pPr>
            <w:r w:rsidRPr="001B13F6">
              <w:t>Y</w:t>
            </w:r>
          </w:p>
        </w:tc>
        <w:tc>
          <w:tcPr>
            <w:tcW w:w="1509" w:type="dxa"/>
            <w:shd w:val="clear" w:color="auto" w:fill="auto"/>
          </w:tcPr>
          <w:p w14:paraId="7FD7546F" w14:textId="77777777" w:rsidR="00D10D78" w:rsidRPr="001B13F6" w:rsidRDefault="00D10D78" w:rsidP="00D10D78">
            <w:pPr>
              <w:spacing w:before="40" w:after="120"/>
              <w:ind w:right="113"/>
            </w:pPr>
            <w:r w:rsidRPr="001B13F6">
              <w:t>N</w:t>
            </w:r>
          </w:p>
        </w:tc>
      </w:tr>
      <w:tr w:rsidR="00D10D78" w:rsidRPr="001B13F6" w14:paraId="6CC7386A" w14:textId="77777777" w:rsidTr="00843397">
        <w:tc>
          <w:tcPr>
            <w:tcW w:w="2924" w:type="dxa"/>
            <w:shd w:val="clear" w:color="auto" w:fill="auto"/>
          </w:tcPr>
          <w:p w14:paraId="5E14913D" w14:textId="77777777" w:rsidR="00D10D78" w:rsidRPr="001B13F6" w:rsidRDefault="00D10D78" w:rsidP="00D10D78">
            <w:pPr>
              <w:spacing w:before="40" w:after="120"/>
              <w:ind w:right="113"/>
            </w:pPr>
            <w:r w:rsidRPr="001B13F6">
              <w:t>Mexico</w:t>
            </w:r>
          </w:p>
        </w:tc>
        <w:tc>
          <w:tcPr>
            <w:tcW w:w="1529" w:type="dxa"/>
            <w:shd w:val="clear" w:color="auto" w:fill="auto"/>
          </w:tcPr>
          <w:p w14:paraId="5614A887" w14:textId="77777777" w:rsidR="00D10D78" w:rsidRPr="001B13F6" w:rsidRDefault="00D10D78" w:rsidP="00D10D78">
            <w:pPr>
              <w:spacing w:before="40" w:after="120"/>
              <w:ind w:right="113"/>
            </w:pPr>
            <w:r w:rsidRPr="001B13F6">
              <w:t>Y</w:t>
            </w:r>
          </w:p>
        </w:tc>
        <w:tc>
          <w:tcPr>
            <w:tcW w:w="1408" w:type="dxa"/>
            <w:shd w:val="clear" w:color="auto" w:fill="auto"/>
          </w:tcPr>
          <w:p w14:paraId="71922BF1" w14:textId="77777777" w:rsidR="00D10D78" w:rsidRPr="001B13F6" w:rsidRDefault="00D10D78" w:rsidP="00D10D78">
            <w:pPr>
              <w:spacing w:before="40" w:after="120"/>
              <w:ind w:right="113"/>
            </w:pPr>
            <w:r w:rsidRPr="001B13F6">
              <w:t>Y</w:t>
            </w:r>
          </w:p>
        </w:tc>
        <w:tc>
          <w:tcPr>
            <w:tcW w:w="1509" w:type="dxa"/>
            <w:shd w:val="clear" w:color="auto" w:fill="auto"/>
          </w:tcPr>
          <w:p w14:paraId="0FACA1C8" w14:textId="77777777" w:rsidR="00D10D78" w:rsidRPr="001B13F6" w:rsidRDefault="00D10D78" w:rsidP="00D10D78">
            <w:pPr>
              <w:spacing w:before="40" w:after="120"/>
              <w:ind w:right="113"/>
            </w:pPr>
            <w:r w:rsidRPr="001B13F6">
              <w:t>Y</w:t>
            </w:r>
          </w:p>
        </w:tc>
      </w:tr>
      <w:tr w:rsidR="00D10D78" w:rsidRPr="001B13F6" w14:paraId="232409CE" w14:textId="77777777" w:rsidTr="00843397">
        <w:tc>
          <w:tcPr>
            <w:tcW w:w="2924" w:type="dxa"/>
            <w:shd w:val="clear" w:color="auto" w:fill="auto"/>
          </w:tcPr>
          <w:p w14:paraId="31CC34A4" w14:textId="13951D2B" w:rsidR="00D10D78" w:rsidRPr="001B13F6" w:rsidRDefault="00D10D78" w:rsidP="00D10D78">
            <w:pPr>
              <w:spacing w:before="40" w:after="120"/>
              <w:ind w:right="113"/>
            </w:pPr>
            <w:r w:rsidRPr="001B13F6">
              <w:t>Micronesia</w:t>
            </w:r>
            <w:r w:rsidR="00183D6F" w:rsidRPr="001B13F6">
              <w:t xml:space="preserve"> (Federated States of)</w:t>
            </w:r>
          </w:p>
        </w:tc>
        <w:tc>
          <w:tcPr>
            <w:tcW w:w="1529" w:type="dxa"/>
            <w:shd w:val="clear" w:color="auto" w:fill="auto"/>
          </w:tcPr>
          <w:p w14:paraId="020C546B" w14:textId="77777777" w:rsidR="00D10D78" w:rsidRPr="001B13F6" w:rsidRDefault="00D10D78" w:rsidP="00D10D78">
            <w:pPr>
              <w:spacing w:before="40" w:after="120"/>
              <w:ind w:right="113"/>
            </w:pPr>
            <w:r w:rsidRPr="001B13F6">
              <w:t>N</w:t>
            </w:r>
          </w:p>
        </w:tc>
        <w:tc>
          <w:tcPr>
            <w:tcW w:w="1408" w:type="dxa"/>
            <w:shd w:val="clear" w:color="auto" w:fill="auto"/>
          </w:tcPr>
          <w:p w14:paraId="2E0F425F" w14:textId="77777777" w:rsidR="00D10D78" w:rsidRPr="001B13F6" w:rsidRDefault="00D10D78" w:rsidP="00D10D78">
            <w:pPr>
              <w:spacing w:before="40" w:after="120"/>
              <w:ind w:right="113"/>
            </w:pPr>
            <w:r w:rsidRPr="001B13F6">
              <w:t>N</w:t>
            </w:r>
          </w:p>
        </w:tc>
        <w:tc>
          <w:tcPr>
            <w:tcW w:w="1509" w:type="dxa"/>
            <w:shd w:val="clear" w:color="auto" w:fill="auto"/>
          </w:tcPr>
          <w:p w14:paraId="1A720484" w14:textId="77777777" w:rsidR="00D10D78" w:rsidRPr="001B13F6" w:rsidRDefault="00D10D78" w:rsidP="00D10D78">
            <w:pPr>
              <w:spacing w:before="40" w:after="120"/>
              <w:ind w:right="113"/>
            </w:pPr>
            <w:r w:rsidRPr="001B13F6">
              <w:t>N</w:t>
            </w:r>
          </w:p>
        </w:tc>
      </w:tr>
      <w:tr w:rsidR="00D10D78" w:rsidRPr="001B13F6" w14:paraId="33CA3945" w14:textId="77777777" w:rsidTr="00843397">
        <w:tc>
          <w:tcPr>
            <w:tcW w:w="2924" w:type="dxa"/>
            <w:shd w:val="clear" w:color="auto" w:fill="auto"/>
          </w:tcPr>
          <w:p w14:paraId="158D005C" w14:textId="77777777" w:rsidR="00D10D78" w:rsidRPr="001B13F6" w:rsidRDefault="00D10D78" w:rsidP="00D10D78">
            <w:pPr>
              <w:spacing w:before="40" w:after="120"/>
              <w:ind w:right="113"/>
            </w:pPr>
            <w:r w:rsidRPr="001B13F6">
              <w:t>Monaco</w:t>
            </w:r>
          </w:p>
        </w:tc>
        <w:tc>
          <w:tcPr>
            <w:tcW w:w="1529" w:type="dxa"/>
            <w:shd w:val="clear" w:color="auto" w:fill="auto"/>
          </w:tcPr>
          <w:p w14:paraId="5D53885D" w14:textId="77777777" w:rsidR="00D10D78" w:rsidRPr="001B13F6" w:rsidRDefault="00D10D78" w:rsidP="00D10D78">
            <w:pPr>
              <w:spacing w:before="40" w:after="120"/>
              <w:ind w:right="113"/>
            </w:pPr>
            <w:r w:rsidRPr="001B13F6">
              <w:t>N</w:t>
            </w:r>
          </w:p>
        </w:tc>
        <w:tc>
          <w:tcPr>
            <w:tcW w:w="1408" w:type="dxa"/>
            <w:shd w:val="clear" w:color="auto" w:fill="auto"/>
          </w:tcPr>
          <w:p w14:paraId="68A32CF0" w14:textId="77777777" w:rsidR="00D10D78" w:rsidRPr="001B13F6" w:rsidRDefault="00D10D78" w:rsidP="00D10D78">
            <w:pPr>
              <w:spacing w:before="40" w:after="120"/>
              <w:ind w:right="113"/>
            </w:pPr>
            <w:r w:rsidRPr="001B13F6">
              <w:t>N</w:t>
            </w:r>
          </w:p>
        </w:tc>
        <w:tc>
          <w:tcPr>
            <w:tcW w:w="1509" w:type="dxa"/>
            <w:shd w:val="clear" w:color="auto" w:fill="auto"/>
          </w:tcPr>
          <w:p w14:paraId="56FFF0EB" w14:textId="77777777" w:rsidR="00D10D78" w:rsidRPr="001B13F6" w:rsidRDefault="00D10D78" w:rsidP="00D10D78">
            <w:pPr>
              <w:spacing w:before="40" w:after="120"/>
              <w:ind w:right="113"/>
            </w:pPr>
            <w:r w:rsidRPr="001B13F6">
              <w:t>Y</w:t>
            </w:r>
          </w:p>
        </w:tc>
      </w:tr>
      <w:tr w:rsidR="00D10D78" w:rsidRPr="001B13F6" w14:paraId="5420B1CE" w14:textId="77777777" w:rsidTr="00843397">
        <w:tc>
          <w:tcPr>
            <w:tcW w:w="2924" w:type="dxa"/>
            <w:shd w:val="clear" w:color="auto" w:fill="auto"/>
          </w:tcPr>
          <w:p w14:paraId="7003D3FF" w14:textId="77777777" w:rsidR="00D10D78" w:rsidRPr="001B13F6" w:rsidRDefault="00D10D78" w:rsidP="00D10D78">
            <w:pPr>
              <w:spacing w:before="40" w:after="120"/>
              <w:ind w:right="113"/>
            </w:pPr>
            <w:r w:rsidRPr="001B13F6">
              <w:t>Mongolia</w:t>
            </w:r>
          </w:p>
        </w:tc>
        <w:tc>
          <w:tcPr>
            <w:tcW w:w="1529" w:type="dxa"/>
            <w:shd w:val="clear" w:color="auto" w:fill="auto"/>
          </w:tcPr>
          <w:p w14:paraId="5DE8C5DC" w14:textId="77777777" w:rsidR="00D10D78" w:rsidRPr="001B13F6" w:rsidRDefault="00D10D78" w:rsidP="00D10D78">
            <w:pPr>
              <w:spacing w:before="40" w:after="120"/>
              <w:ind w:right="113"/>
            </w:pPr>
            <w:r w:rsidRPr="001B13F6">
              <w:t>Y</w:t>
            </w:r>
          </w:p>
        </w:tc>
        <w:tc>
          <w:tcPr>
            <w:tcW w:w="1408" w:type="dxa"/>
            <w:shd w:val="clear" w:color="auto" w:fill="auto"/>
          </w:tcPr>
          <w:p w14:paraId="45FB7C3D" w14:textId="77777777" w:rsidR="00D10D78" w:rsidRPr="001B13F6" w:rsidRDefault="00D10D78" w:rsidP="00D10D78">
            <w:pPr>
              <w:spacing w:before="40" w:after="120"/>
              <w:ind w:right="113"/>
            </w:pPr>
            <w:r w:rsidRPr="001B13F6">
              <w:t>N</w:t>
            </w:r>
          </w:p>
        </w:tc>
        <w:tc>
          <w:tcPr>
            <w:tcW w:w="1509" w:type="dxa"/>
            <w:shd w:val="clear" w:color="auto" w:fill="auto"/>
          </w:tcPr>
          <w:p w14:paraId="5BD9F88A" w14:textId="77777777" w:rsidR="00D10D78" w:rsidRPr="001B13F6" w:rsidRDefault="00D10D78" w:rsidP="00D10D78">
            <w:pPr>
              <w:spacing w:before="40" w:after="120"/>
              <w:ind w:right="113"/>
            </w:pPr>
            <w:r w:rsidRPr="001B13F6">
              <w:t>Y</w:t>
            </w:r>
          </w:p>
        </w:tc>
      </w:tr>
      <w:tr w:rsidR="00D10D78" w:rsidRPr="001B13F6" w14:paraId="785B1E41" w14:textId="77777777" w:rsidTr="00843397">
        <w:tc>
          <w:tcPr>
            <w:tcW w:w="2924" w:type="dxa"/>
            <w:shd w:val="clear" w:color="auto" w:fill="auto"/>
          </w:tcPr>
          <w:p w14:paraId="0552065A" w14:textId="77777777" w:rsidR="00D10D78" w:rsidRPr="001B13F6" w:rsidRDefault="00D10D78" w:rsidP="00D10D78">
            <w:pPr>
              <w:spacing w:before="40" w:after="120"/>
              <w:ind w:right="113"/>
            </w:pPr>
            <w:r w:rsidRPr="001B13F6">
              <w:t>Montenegro</w:t>
            </w:r>
          </w:p>
        </w:tc>
        <w:tc>
          <w:tcPr>
            <w:tcW w:w="1529" w:type="dxa"/>
            <w:shd w:val="clear" w:color="auto" w:fill="auto"/>
          </w:tcPr>
          <w:p w14:paraId="36CA6E5B" w14:textId="77777777" w:rsidR="00D10D78" w:rsidRPr="001B13F6" w:rsidRDefault="00D10D78" w:rsidP="00D10D78">
            <w:pPr>
              <w:spacing w:before="40" w:after="120"/>
              <w:ind w:right="113"/>
            </w:pPr>
            <w:r w:rsidRPr="001B13F6">
              <w:t>Y</w:t>
            </w:r>
          </w:p>
        </w:tc>
        <w:tc>
          <w:tcPr>
            <w:tcW w:w="1408" w:type="dxa"/>
            <w:shd w:val="clear" w:color="auto" w:fill="auto"/>
          </w:tcPr>
          <w:p w14:paraId="0EF873BA" w14:textId="77777777" w:rsidR="00D10D78" w:rsidRPr="001B13F6" w:rsidRDefault="00D10D78" w:rsidP="00D10D78">
            <w:pPr>
              <w:spacing w:before="40" w:after="120"/>
              <w:ind w:right="113"/>
            </w:pPr>
            <w:r w:rsidRPr="001B13F6">
              <w:t>Y</w:t>
            </w:r>
          </w:p>
        </w:tc>
        <w:tc>
          <w:tcPr>
            <w:tcW w:w="1509" w:type="dxa"/>
            <w:shd w:val="clear" w:color="auto" w:fill="auto"/>
          </w:tcPr>
          <w:p w14:paraId="6C7C51CD" w14:textId="77777777" w:rsidR="00D10D78" w:rsidRPr="001B13F6" w:rsidRDefault="00D10D78" w:rsidP="00D10D78">
            <w:pPr>
              <w:spacing w:before="40" w:after="120"/>
              <w:ind w:right="113"/>
            </w:pPr>
            <w:r w:rsidRPr="001B13F6">
              <w:t>Y</w:t>
            </w:r>
          </w:p>
        </w:tc>
      </w:tr>
      <w:tr w:rsidR="00D10D78" w:rsidRPr="001B13F6" w14:paraId="45C5125F" w14:textId="77777777" w:rsidTr="00843397">
        <w:tc>
          <w:tcPr>
            <w:tcW w:w="2924" w:type="dxa"/>
            <w:shd w:val="clear" w:color="auto" w:fill="auto"/>
          </w:tcPr>
          <w:p w14:paraId="5AA49C52" w14:textId="77777777" w:rsidR="00D10D78" w:rsidRPr="001B13F6" w:rsidRDefault="00D10D78" w:rsidP="00D10D78">
            <w:pPr>
              <w:spacing w:before="40" w:after="120"/>
              <w:ind w:right="113"/>
            </w:pPr>
            <w:r w:rsidRPr="001B13F6">
              <w:t>Morocco</w:t>
            </w:r>
          </w:p>
        </w:tc>
        <w:tc>
          <w:tcPr>
            <w:tcW w:w="1529" w:type="dxa"/>
            <w:shd w:val="clear" w:color="auto" w:fill="auto"/>
          </w:tcPr>
          <w:p w14:paraId="780DE79A" w14:textId="77777777" w:rsidR="00D10D78" w:rsidRPr="001B13F6" w:rsidRDefault="00D10D78" w:rsidP="00D10D78">
            <w:pPr>
              <w:spacing w:before="40" w:after="120"/>
              <w:ind w:right="113"/>
            </w:pPr>
            <w:r w:rsidRPr="001B13F6">
              <w:t>Y</w:t>
            </w:r>
          </w:p>
        </w:tc>
        <w:tc>
          <w:tcPr>
            <w:tcW w:w="1408" w:type="dxa"/>
            <w:shd w:val="clear" w:color="auto" w:fill="auto"/>
          </w:tcPr>
          <w:p w14:paraId="487AFBC7" w14:textId="77777777" w:rsidR="00D10D78" w:rsidRPr="001B13F6" w:rsidRDefault="00D10D78" w:rsidP="00D10D78">
            <w:pPr>
              <w:spacing w:before="40" w:after="120"/>
              <w:ind w:right="113"/>
            </w:pPr>
            <w:r w:rsidRPr="001B13F6">
              <w:t>N</w:t>
            </w:r>
          </w:p>
        </w:tc>
        <w:tc>
          <w:tcPr>
            <w:tcW w:w="1509" w:type="dxa"/>
            <w:shd w:val="clear" w:color="auto" w:fill="auto"/>
          </w:tcPr>
          <w:p w14:paraId="3119CC73" w14:textId="77777777" w:rsidR="00D10D78" w:rsidRPr="001B13F6" w:rsidRDefault="00D10D78" w:rsidP="00D10D78">
            <w:pPr>
              <w:spacing w:before="40" w:after="120"/>
              <w:ind w:right="113"/>
            </w:pPr>
            <w:r w:rsidRPr="001B13F6">
              <w:t>Y</w:t>
            </w:r>
          </w:p>
        </w:tc>
      </w:tr>
      <w:tr w:rsidR="00D10D78" w:rsidRPr="001B13F6" w14:paraId="2E2BF04B" w14:textId="77777777" w:rsidTr="00843397">
        <w:tc>
          <w:tcPr>
            <w:tcW w:w="2924" w:type="dxa"/>
            <w:shd w:val="clear" w:color="auto" w:fill="auto"/>
          </w:tcPr>
          <w:p w14:paraId="345EA200" w14:textId="77777777" w:rsidR="00D10D78" w:rsidRPr="001B13F6" w:rsidRDefault="00D10D78" w:rsidP="00D10D78">
            <w:pPr>
              <w:spacing w:before="40" w:after="120"/>
              <w:ind w:right="113"/>
            </w:pPr>
            <w:r w:rsidRPr="001B13F6">
              <w:t>Mozambique</w:t>
            </w:r>
          </w:p>
        </w:tc>
        <w:tc>
          <w:tcPr>
            <w:tcW w:w="1529" w:type="dxa"/>
            <w:shd w:val="clear" w:color="auto" w:fill="auto"/>
          </w:tcPr>
          <w:p w14:paraId="2D79AB86" w14:textId="77777777" w:rsidR="00D10D78" w:rsidRPr="001B13F6" w:rsidRDefault="00D10D78" w:rsidP="00D10D78">
            <w:pPr>
              <w:spacing w:before="40" w:after="120"/>
              <w:ind w:right="113"/>
            </w:pPr>
            <w:r w:rsidRPr="001B13F6">
              <w:t>Y</w:t>
            </w:r>
          </w:p>
        </w:tc>
        <w:tc>
          <w:tcPr>
            <w:tcW w:w="1408" w:type="dxa"/>
            <w:shd w:val="clear" w:color="auto" w:fill="auto"/>
          </w:tcPr>
          <w:p w14:paraId="2FB5FF22" w14:textId="77777777" w:rsidR="00D10D78" w:rsidRPr="001B13F6" w:rsidRDefault="00D10D78" w:rsidP="00D10D78">
            <w:pPr>
              <w:spacing w:before="40" w:after="120"/>
              <w:ind w:right="113"/>
            </w:pPr>
            <w:r w:rsidRPr="001B13F6">
              <w:t>Y</w:t>
            </w:r>
          </w:p>
        </w:tc>
        <w:tc>
          <w:tcPr>
            <w:tcW w:w="1509" w:type="dxa"/>
            <w:shd w:val="clear" w:color="auto" w:fill="auto"/>
          </w:tcPr>
          <w:p w14:paraId="740991D1" w14:textId="77777777" w:rsidR="00D10D78" w:rsidRPr="001B13F6" w:rsidRDefault="00D10D78" w:rsidP="00D10D78">
            <w:pPr>
              <w:spacing w:before="40" w:after="120"/>
              <w:ind w:right="113"/>
            </w:pPr>
            <w:r w:rsidRPr="001B13F6">
              <w:t>Y</w:t>
            </w:r>
          </w:p>
        </w:tc>
      </w:tr>
      <w:tr w:rsidR="00D10D78" w:rsidRPr="001B13F6" w14:paraId="3C6A7A73" w14:textId="77777777" w:rsidTr="00843397">
        <w:tc>
          <w:tcPr>
            <w:tcW w:w="2924" w:type="dxa"/>
            <w:shd w:val="clear" w:color="auto" w:fill="auto"/>
          </w:tcPr>
          <w:p w14:paraId="66AE4057" w14:textId="77777777" w:rsidR="00D10D78" w:rsidRPr="001B13F6" w:rsidRDefault="00D10D78" w:rsidP="00D10D78">
            <w:pPr>
              <w:spacing w:before="40" w:after="120"/>
              <w:ind w:right="113"/>
            </w:pPr>
            <w:r w:rsidRPr="001B13F6">
              <w:t>Myanmar</w:t>
            </w:r>
          </w:p>
        </w:tc>
        <w:tc>
          <w:tcPr>
            <w:tcW w:w="1529" w:type="dxa"/>
            <w:shd w:val="clear" w:color="auto" w:fill="auto"/>
          </w:tcPr>
          <w:p w14:paraId="45E7344E" w14:textId="77777777" w:rsidR="00D10D78" w:rsidRPr="001B13F6" w:rsidRDefault="00D10D78" w:rsidP="00D10D78">
            <w:pPr>
              <w:spacing w:before="40" w:after="120"/>
              <w:ind w:right="113"/>
            </w:pPr>
            <w:r w:rsidRPr="001B13F6">
              <w:t>N</w:t>
            </w:r>
          </w:p>
        </w:tc>
        <w:tc>
          <w:tcPr>
            <w:tcW w:w="1408" w:type="dxa"/>
            <w:shd w:val="clear" w:color="auto" w:fill="auto"/>
          </w:tcPr>
          <w:p w14:paraId="51CE60FD" w14:textId="77777777" w:rsidR="00D10D78" w:rsidRPr="001B13F6" w:rsidRDefault="00D10D78" w:rsidP="00D10D78">
            <w:pPr>
              <w:spacing w:before="40" w:after="120"/>
              <w:ind w:right="113"/>
            </w:pPr>
            <w:r w:rsidRPr="001B13F6">
              <w:t>N</w:t>
            </w:r>
          </w:p>
        </w:tc>
        <w:tc>
          <w:tcPr>
            <w:tcW w:w="1509" w:type="dxa"/>
            <w:shd w:val="clear" w:color="auto" w:fill="auto"/>
          </w:tcPr>
          <w:p w14:paraId="756B9CC7" w14:textId="77777777" w:rsidR="00D10D78" w:rsidRPr="001B13F6" w:rsidRDefault="00D10D78" w:rsidP="00D10D78">
            <w:pPr>
              <w:spacing w:before="40" w:after="120"/>
              <w:ind w:right="113"/>
            </w:pPr>
            <w:r w:rsidRPr="001B13F6">
              <w:t>N</w:t>
            </w:r>
          </w:p>
        </w:tc>
      </w:tr>
      <w:tr w:rsidR="00D10D78" w:rsidRPr="001B13F6" w14:paraId="7B3BEEDE" w14:textId="77777777" w:rsidTr="00843397">
        <w:tc>
          <w:tcPr>
            <w:tcW w:w="2924" w:type="dxa"/>
            <w:shd w:val="clear" w:color="auto" w:fill="auto"/>
          </w:tcPr>
          <w:p w14:paraId="5BE866DE" w14:textId="77777777" w:rsidR="00D10D78" w:rsidRPr="001B13F6" w:rsidRDefault="00D10D78" w:rsidP="00D10D78">
            <w:pPr>
              <w:spacing w:before="40" w:after="120"/>
              <w:ind w:right="113"/>
            </w:pPr>
            <w:r w:rsidRPr="001B13F6">
              <w:t>Namibia</w:t>
            </w:r>
          </w:p>
        </w:tc>
        <w:tc>
          <w:tcPr>
            <w:tcW w:w="1529" w:type="dxa"/>
            <w:shd w:val="clear" w:color="auto" w:fill="auto"/>
          </w:tcPr>
          <w:p w14:paraId="7DBF2B5C" w14:textId="77777777" w:rsidR="00D10D78" w:rsidRPr="001B13F6" w:rsidRDefault="00D10D78" w:rsidP="00D10D78">
            <w:pPr>
              <w:spacing w:before="40" w:after="120"/>
              <w:ind w:right="113"/>
            </w:pPr>
            <w:r w:rsidRPr="001B13F6">
              <w:t>Yi</w:t>
            </w:r>
          </w:p>
        </w:tc>
        <w:tc>
          <w:tcPr>
            <w:tcW w:w="1408" w:type="dxa"/>
            <w:shd w:val="clear" w:color="auto" w:fill="auto"/>
          </w:tcPr>
          <w:p w14:paraId="29EF6B06" w14:textId="77777777" w:rsidR="00D10D78" w:rsidRPr="001B13F6" w:rsidRDefault="00D10D78" w:rsidP="00D10D78">
            <w:pPr>
              <w:spacing w:before="40" w:after="120"/>
              <w:ind w:right="113"/>
            </w:pPr>
            <w:r w:rsidRPr="001B13F6">
              <w:t>Y</w:t>
            </w:r>
          </w:p>
        </w:tc>
        <w:tc>
          <w:tcPr>
            <w:tcW w:w="1509" w:type="dxa"/>
            <w:shd w:val="clear" w:color="auto" w:fill="auto"/>
          </w:tcPr>
          <w:p w14:paraId="60E98FBB" w14:textId="77777777" w:rsidR="00D10D78" w:rsidRPr="001B13F6" w:rsidRDefault="00D10D78" w:rsidP="00D10D78">
            <w:pPr>
              <w:spacing w:before="40" w:after="120"/>
              <w:ind w:right="113"/>
            </w:pPr>
            <w:r w:rsidRPr="001B13F6">
              <w:t>N</w:t>
            </w:r>
          </w:p>
        </w:tc>
      </w:tr>
      <w:tr w:rsidR="00D10D78" w:rsidRPr="001B13F6" w14:paraId="7C33D06D" w14:textId="77777777" w:rsidTr="00843397">
        <w:tc>
          <w:tcPr>
            <w:tcW w:w="2924" w:type="dxa"/>
            <w:shd w:val="clear" w:color="auto" w:fill="auto"/>
          </w:tcPr>
          <w:p w14:paraId="4547B71B" w14:textId="77777777" w:rsidR="00D10D78" w:rsidRPr="001B13F6" w:rsidRDefault="00D10D78" w:rsidP="00D10D78">
            <w:pPr>
              <w:spacing w:before="40" w:after="120"/>
              <w:ind w:right="113"/>
            </w:pPr>
            <w:r w:rsidRPr="001B13F6">
              <w:t>Nauru</w:t>
            </w:r>
          </w:p>
        </w:tc>
        <w:tc>
          <w:tcPr>
            <w:tcW w:w="1529" w:type="dxa"/>
            <w:shd w:val="clear" w:color="auto" w:fill="auto"/>
          </w:tcPr>
          <w:p w14:paraId="6B485568" w14:textId="77777777" w:rsidR="00D10D78" w:rsidRPr="001B13F6" w:rsidRDefault="00D10D78" w:rsidP="00D10D78">
            <w:pPr>
              <w:spacing w:before="40" w:after="120"/>
              <w:ind w:right="113"/>
            </w:pPr>
            <w:r w:rsidRPr="001B13F6">
              <w:t>N</w:t>
            </w:r>
          </w:p>
        </w:tc>
        <w:tc>
          <w:tcPr>
            <w:tcW w:w="1408" w:type="dxa"/>
            <w:shd w:val="clear" w:color="auto" w:fill="auto"/>
          </w:tcPr>
          <w:p w14:paraId="51016560" w14:textId="77777777" w:rsidR="00D10D78" w:rsidRPr="001B13F6" w:rsidRDefault="00D10D78" w:rsidP="00D10D78">
            <w:pPr>
              <w:spacing w:before="40" w:after="120"/>
              <w:ind w:right="113"/>
            </w:pPr>
            <w:r w:rsidRPr="001B13F6">
              <w:t>N</w:t>
            </w:r>
          </w:p>
        </w:tc>
        <w:tc>
          <w:tcPr>
            <w:tcW w:w="1509" w:type="dxa"/>
            <w:shd w:val="clear" w:color="auto" w:fill="auto"/>
          </w:tcPr>
          <w:p w14:paraId="3D9AF19C" w14:textId="77777777" w:rsidR="00D10D78" w:rsidRPr="001B13F6" w:rsidRDefault="00D10D78" w:rsidP="00D10D78">
            <w:pPr>
              <w:spacing w:before="40" w:after="120"/>
              <w:ind w:right="113"/>
            </w:pPr>
            <w:r w:rsidRPr="001B13F6">
              <w:t>N</w:t>
            </w:r>
          </w:p>
        </w:tc>
      </w:tr>
      <w:tr w:rsidR="00D10D78" w:rsidRPr="001B13F6" w14:paraId="56F5B13E" w14:textId="77777777" w:rsidTr="00843397">
        <w:tc>
          <w:tcPr>
            <w:tcW w:w="2924" w:type="dxa"/>
            <w:shd w:val="clear" w:color="auto" w:fill="auto"/>
          </w:tcPr>
          <w:p w14:paraId="6ACFCEDF" w14:textId="77777777" w:rsidR="00D10D78" w:rsidRPr="001B13F6" w:rsidRDefault="00D10D78" w:rsidP="00D10D78">
            <w:pPr>
              <w:spacing w:before="40" w:after="120"/>
              <w:ind w:right="113"/>
            </w:pPr>
            <w:r w:rsidRPr="001B13F6">
              <w:t>Nepal</w:t>
            </w:r>
          </w:p>
        </w:tc>
        <w:tc>
          <w:tcPr>
            <w:tcW w:w="1529" w:type="dxa"/>
            <w:shd w:val="clear" w:color="auto" w:fill="auto"/>
          </w:tcPr>
          <w:p w14:paraId="414022CB" w14:textId="77777777" w:rsidR="00D10D78" w:rsidRPr="001B13F6" w:rsidRDefault="00D10D78" w:rsidP="00D10D78">
            <w:pPr>
              <w:spacing w:before="40" w:after="120"/>
              <w:ind w:right="113"/>
            </w:pPr>
            <w:r w:rsidRPr="001B13F6">
              <w:t>Y</w:t>
            </w:r>
          </w:p>
        </w:tc>
        <w:tc>
          <w:tcPr>
            <w:tcW w:w="1408" w:type="dxa"/>
            <w:shd w:val="clear" w:color="auto" w:fill="auto"/>
          </w:tcPr>
          <w:p w14:paraId="5483A13C" w14:textId="77777777" w:rsidR="00D10D78" w:rsidRPr="001B13F6" w:rsidRDefault="00D10D78" w:rsidP="00D10D78">
            <w:pPr>
              <w:spacing w:before="40" w:after="120"/>
              <w:ind w:right="113"/>
            </w:pPr>
            <w:r w:rsidRPr="001B13F6">
              <w:t>N</w:t>
            </w:r>
          </w:p>
        </w:tc>
        <w:tc>
          <w:tcPr>
            <w:tcW w:w="1509" w:type="dxa"/>
            <w:shd w:val="clear" w:color="auto" w:fill="auto"/>
          </w:tcPr>
          <w:p w14:paraId="58CD4C51" w14:textId="77777777" w:rsidR="00D10D78" w:rsidRPr="001B13F6" w:rsidRDefault="00D10D78" w:rsidP="00D10D78">
            <w:pPr>
              <w:spacing w:before="40" w:after="120"/>
              <w:ind w:right="113"/>
            </w:pPr>
            <w:r w:rsidRPr="001B13F6">
              <w:t>N</w:t>
            </w:r>
          </w:p>
        </w:tc>
      </w:tr>
      <w:tr w:rsidR="00D10D78" w:rsidRPr="001B13F6" w14:paraId="2B546B05" w14:textId="77777777" w:rsidTr="00843397">
        <w:tc>
          <w:tcPr>
            <w:tcW w:w="2924" w:type="dxa"/>
            <w:shd w:val="clear" w:color="auto" w:fill="auto"/>
          </w:tcPr>
          <w:p w14:paraId="2A9D6DFE" w14:textId="77777777" w:rsidR="00D10D78" w:rsidRPr="001B13F6" w:rsidRDefault="00D10D78" w:rsidP="00D10D78">
            <w:pPr>
              <w:spacing w:before="40" w:after="120"/>
              <w:ind w:right="113"/>
            </w:pPr>
            <w:r w:rsidRPr="001B13F6">
              <w:t>Netherlands</w:t>
            </w:r>
          </w:p>
        </w:tc>
        <w:tc>
          <w:tcPr>
            <w:tcW w:w="1529" w:type="dxa"/>
            <w:shd w:val="clear" w:color="auto" w:fill="auto"/>
          </w:tcPr>
          <w:p w14:paraId="74917446" w14:textId="4E3989AE" w:rsidR="00D10D78" w:rsidRPr="001B13F6" w:rsidRDefault="00D50B7D" w:rsidP="00D10D78">
            <w:pPr>
              <w:spacing w:before="40" w:after="120"/>
              <w:ind w:right="113"/>
            </w:pPr>
            <w:r w:rsidRPr="001B13F6">
              <w:t>N</w:t>
            </w:r>
          </w:p>
        </w:tc>
        <w:tc>
          <w:tcPr>
            <w:tcW w:w="1408" w:type="dxa"/>
            <w:shd w:val="clear" w:color="auto" w:fill="auto"/>
          </w:tcPr>
          <w:p w14:paraId="0B269AD1" w14:textId="77777777" w:rsidR="00D10D78" w:rsidRPr="001B13F6" w:rsidRDefault="00D10D78" w:rsidP="00D10D78">
            <w:pPr>
              <w:spacing w:before="40" w:after="120"/>
              <w:ind w:right="113"/>
            </w:pPr>
            <w:r w:rsidRPr="001B13F6">
              <w:t>Y</w:t>
            </w:r>
          </w:p>
        </w:tc>
        <w:tc>
          <w:tcPr>
            <w:tcW w:w="1509" w:type="dxa"/>
            <w:shd w:val="clear" w:color="auto" w:fill="auto"/>
          </w:tcPr>
          <w:p w14:paraId="630E014A" w14:textId="77777777" w:rsidR="00D10D78" w:rsidRPr="001B13F6" w:rsidRDefault="00D10D78" w:rsidP="00D10D78">
            <w:pPr>
              <w:spacing w:before="40" w:after="120"/>
              <w:ind w:right="113"/>
            </w:pPr>
            <w:r w:rsidRPr="001B13F6">
              <w:t>N</w:t>
            </w:r>
          </w:p>
        </w:tc>
      </w:tr>
      <w:tr w:rsidR="00D10D78" w:rsidRPr="001B13F6" w14:paraId="4469F5B1" w14:textId="77777777" w:rsidTr="00843397">
        <w:tc>
          <w:tcPr>
            <w:tcW w:w="2924" w:type="dxa"/>
            <w:shd w:val="clear" w:color="auto" w:fill="auto"/>
          </w:tcPr>
          <w:p w14:paraId="609A7150" w14:textId="77777777" w:rsidR="00D10D78" w:rsidRPr="001B13F6" w:rsidRDefault="00D10D78" w:rsidP="00D10D78">
            <w:pPr>
              <w:spacing w:before="40" w:after="120"/>
              <w:ind w:right="113"/>
            </w:pPr>
            <w:r w:rsidRPr="001B13F6">
              <w:t>New Zealand</w:t>
            </w:r>
          </w:p>
        </w:tc>
        <w:tc>
          <w:tcPr>
            <w:tcW w:w="1529" w:type="dxa"/>
            <w:shd w:val="clear" w:color="auto" w:fill="auto"/>
          </w:tcPr>
          <w:p w14:paraId="1FF9E361" w14:textId="77777777" w:rsidR="00D10D78" w:rsidRPr="001B13F6" w:rsidRDefault="00D10D78" w:rsidP="00D10D78">
            <w:pPr>
              <w:spacing w:before="40" w:after="120"/>
              <w:ind w:right="113"/>
            </w:pPr>
            <w:r w:rsidRPr="001B13F6">
              <w:t>N</w:t>
            </w:r>
          </w:p>
        </w:tc>
        <w:tc>
          <w:tcPr>
            <w:tcW w:w="1408" w:type="dxa"/>
            <w:shd w:val="clear" w:color="auto" w:fill="auto"/>
          </w:tcPr>
          <w:p w14:paraId="5094C77F" w14:textId="77777777" w:rsidR="00D10D78" w:rsidRPr="001B13F6" w:rsidRDefault="00D10D78" w:rsidP="00D10D78">
            <w:pPr>
              <w:spacing w:before="40" w:after="120"/>
              <w:ind w:right="113"/>
            </w:pPr>
            <w:r w:rsidRPr="001B13F6">
              <w:t>N</w:t>
            </w:r>
          </w:p>
        </w:tc>
        <w:tc>
          <w:tcPr>
            <w:tcW w:w="1509" w:type="dxa"/>
            <w:shd w:val="clear" w:color="auto" w:fill="auto"/>
          </w:tcPr>
          <w:p w14:paraId="76B62302" w14:textId="77777777" w:rsidR="00D10D78" w:rsidRPr="001B13F6" w:rsidRDefault="00D10D78" w:rsidP="00D10D78">
            <w:pPr>
              <w:spacing w:before="40" w:after="120"/>
              <w:ind w:right="113"/>
            </w:pPr>
            <w:r w:rsidRPr="001B13F6">
              <w:t>N</w:t>
            </w:r>
          </w:p>
        </w:tc>
      </w:tr>
      <w:tr w:rsidR="00D10D78" w:rsidRPr="001B13F6" w14:paraId="72E38F7C" w14:textId="77777777" w:rsidTr="00843397">
        <w:tc>
          <w:tcPr>
            <w:tcW w:w="2924" w:type="dxa"/>
            <w:shd w:val="clear" w:color="auto" w:fill="auto"/>
          </w:tcPr>
          <w:p w14:paraId="30036BC8" w14:textId="77777777" w:rsidR="00D10D78" w:rsidRPr="001B13F6" w:rsidRDefault="00D10D78" w:rsidP="00D10D78">
            <w:pPr>
              <w:spacing w:before="40" w:after="120"/>
              <w:ind w:right="113"/>
            </w:pPr>
            <w:r w:rsidRPr="001B13F6">
              <w:t>Nicaragua</w:t>
            </w:r>
          </w:p>
        </w:tc>
        <w:tc>
          <w:tcPr>
            <w:tcW w:w="1529" w:type="dxa"/>
            <w:shd w:val="clear" w:color="auto" w:fill="auto"/>
          </w:tcPr>
          <w:p w14:paraId="0E4AA164" w14:textId="77777777" w:rsidR="00D10D78" w:rsidRPr="001B13F6" w:rsidRDefault="00D10D78" w:rsidP="00D10D78">
            <w:pPr>
              <w:spacing w:before="40" w:after="120"/>
              <w:ind w:right="113"/>
            </w:pPr>
            <w:r w:rsidRPr="001B13F6">
              <w:t>Y</w:t>
            </w:r>
          </w:p>
        </w:tc>
        <w:tc>
          <w:tcPr>
            <w:tcW w:w="1408" w:type="dxa"/>
            <w:shd w:val="clear" w:color="auto" w:fill="auto"/>
          </w:tcPr>
          <w:p w14:paraId="601E229D" w14:textId="77777777" w:rsidR="00D10D78" w:rsidRPr="001B13F6" w:rsidRDefault="00D10D78" w:rsidP="00D10D78">
            <w:pPr>
              <w:spacing w:before="40" w:after="120"/>
              <w:ind w:right="113"/>
            </w:pPr>
            <w:r w:rsidRPr="001B13F6">
              <w:t>Y</w:t>
            </w:r>
          </w:p>
        </w:tc>
        <w:tc>
          <w:tcPr>
            <w:tcW w:w="1509" w:type="dxa"/>
            <w:shd w:val="clear" w:color="auto" w:fill="auto"/>
          </w:tcPr>
          <w:p w14:paraId="7F22BE18" w14:textId="77777777" w:rsidR="00D10D78" w:rsidRPr="001B13F6" w:rsidRDefault="00D10D78" w:rsidP="00D10D78">
            <w:pPr>
              <w:spacing w:before="40" w:after="120"/>
              <w:ind w:right="113"/>
            </w:pPr>
            <w:r w:rsidRPr="001B13F6">
              <w:t>Y</w:t>
            </w:r>
          </w:p>
        </w:tc>
      </w:tr>
      <w:tr w:rsidR="00D10D78" w:rsidRPr="001B13F6" w14:paraId="1AD6B656" w14:textId="77777777" w:rsidTr="00843397">
        <w:tc>
          <w:tcPr>
            <w:tcW w:w="2924" w:type="dxa"/>
            <w:shd w:val="clear" w:color="auto" w:fill="auto"/>
          </w:tcPr>
          <w:p w14:paraId="1F047020" w14:textId="77777777" w:rsidR="00D10D78" w:rsidRPr="001B13F6" w:rsidRDefault="00D10D78" w:rsidP="00D10D78">
            <w:pPr>
              <w:spacing w:before="40" w:after="120"/>
              <w:ind w:right="113"/>
            </w:pPr>
            <w:r w:rsidRPr="001B13F6">
              <w:t>Niger</w:t>
            </w:r>
          </w:p>
        </w:tc>
        <w:tc>
          <w:tcPr>
            <w:tcW w:w="1529" w:type="dxa"/>
            <w:shd w:val="clear" w:color="auto" w:fill="auto"/>
          </w:tcPr>
          <w:p w14:paraId="084E3AA5" w14:textId="77777777" w:rsidR="00D10D78" w:rsidRPr="001B13F6" w:rsidRDefault="00D10D78" w:rsidP="00D10D78">
            <w:pPr>
              <w:spacing w:before="40" w:after="120"/>
              <w:ind w:right="113"/>
            </w:pPr>
            <w:r w:rsidRPr="001B13F6">
              <w:t>Y</w:t>
            </w:r>
          </w:p>
        </w:tc>
        <w:tc>
          <w:tcPr>
            <w:tcW w:w="1408" w:type="dxa"/>
            <w:shd w:val="clear" w:color="auto" w:fill="auto"/>
          </w:tcPr>
          <w:p w14:paraId="3C2C7634" w14:textId="77777777" w:rsidR="00D10D78" w:rsidRPr="001B13F6" w:rsidRDefault="00D10D78" w:rsidP="00D10D78">
            <w:pPr>
              <w:spacing w:before="40" w:after="120"/>
              <w:ind w:right="113"/>
            </w:pPr>
            <w:r w:rsidRPr="001B13F6">
              <w:t>Y</w:t>
            </w:r>
          </w:p>
        </w:tc>
        <w:tc>
          <w:tcPr>
            <w:tcW w:w="1509" w:type="dxa"/>
            <w:shd w:val="clear" w:color="auto" w:fill="auto"/>
          </w:tcPr>
          <w:p w14:paraId="10BF6D74" w14:textId="77777777" w:rsidR="00D10D78" w:rsidRPr="001B13F6" w:rsidRDefault="00D10D78" w:rsidP="00D10D78">
            <w:pPr>
              <w:spacing w:before="40" w:after="120"/>
              <w:ind w:right="113"/>
            </w:pPr>
            <w:r w:rsidRPr="001B13F6">
              <w:t>Y</w:t>
            </w:r>
          </w:p>
        </w:tc>
      </w:tr>
      <w:tr w:rsidR="00D10D78" w:rsidRPr="001B13F6" w14:paraId="4CE090A4" w14:textId="77777777" w:rsidTr="00843397">
        <w:tc>
          <w:tcPr>
            <w:tcW w:w="2924" w:type="dxa"/>
            <w:shd w:val="clear" w:color="auto" w:fill="auto"/>
          </w:tcPr>
          <w:p w14:paraId="3A1DC7C0" w14:textId="77777777" w:rsidR="00D10D78" w:rsidRPr="001B13F6" w:rsidRDefault="00D10D78" w:rsidP="00D10D78">
            <w:pPr>
              <w:spacing w:before="40" w:after="120"/>
              <w:ind w:right="113"/>
            </w:pPr>
            <w:r w:rsidRPr="001B13F6">
              <w:t>Nigeria</w:t>
            </w:r>
          </w:p>
        </w:tc>
        <w:tc>
          <w:tcPr>
            <w:tcW w:w="1529" w:type="dxa"/>
            <w:shd w:val="clear" w:color="auto" w:fill="auto"/>
          </w:tcPr>
          <w:p w14:paraId="2384E7AB" w14:textId="77777777" w:rsidR="00D10D78" w:rsidRPr="001B13F6" w:rsidRDefault="00D10D78" w:rsidP="00D10D78">
            <w:pPr>
              <w:spacing w:before="40" w:after="120"/>
              <w:ind w:right="113"/>
            </w:pPr>
            <w:r w:rsidRPr="001B13F6">
              <w:t>Yi</w:t>
            </w:r>
          </w:p>
        </w:tc>
        <w:tc>
          <w:tcPr>
            <w:tcW w:w="1408" w:type="dxa"/>
            <w:shd w:val="clear" w:color="auto" w:fill="auto"/>
          </w:tcPr>
          <w:p w14:paraId="3CB85992" w14:textId="77777777" w:rsidR="00D10D78" w:rsidRPr="001B13F6" w:rsidRDefault="00D10D78" w:rsidP="00D10D78">
            <w:pPr>
              <w:spacing w:before="40" w:after="120"/>
              <w:ind w:right="113"/>
            </w:pPr>
            <w:r w:rsidRPr="001B13F6">
              <w:t>Y</w:t>
            </w:r>
          </w:p>
        </w:tc>
        <w:tc>
          <w:tcPr>
            <w:tcW w:w="1509" w:type="dxa"/>
            <w:shd w:val="clear" w:color="auto" w:fill="auto"/>
          </w:tcPr>
          <w:p w14:paraId="075116B3" w14:textId="77777777" w:rsidR="00D10D78" w:rsidRPr="001B13F6" w:rsidRDefault="00D10D78" w:rsidP="00D10D78">
            <w:pPr>
              <w:spacing w:before="40" w:after="120"/>
              <w:ind w:right="113"/>
            </w:pPr>
            <w:r w:rsidRPr="001B13F6">
              <w:t>Y</w:t>
            </w:r>
          </w:p>
        </w:tc>
      </w:tr>
      <w:tr w:rsidR="00D10D78" w:rsidRPr="001B13F6" w14:paraId="0BE9B347" w14:textId="77777777" w:rsidTr="00843397">
        <w:tc>
          <w:tcPr>
            <w:tcW w:w="2924" w:type="dxa"/>
            <w:shd w:val="clear" w:color="auto" w:fill="auto"/>
          </w:tcPr>
          <w:p w14:paraId="5E19C595" w14:textId="77777777" w:rsidR="00D10D78" w:rsidRPr="001B13F6" w:rsidRDefault="00D10D78" w:rsidP="00D10D78">
            <w:pPr>
              <w:spacing w:before="40" w:after="120"/>
              <w:ind w:right="113"/>
            </w:pPr>
            <w:r w:rsidRPr="001B13F6">
              <w:t>North Macedonia</w:t>
            </w:r>
          </w:p>
        </w:tc>
        <w:tc>
          <w:tcPr>
            <w:tcW w:w="1529" w:type="dxa"/>
            <w:shd w:val="clear" w:color="auto" w:fill="auto"/>
          </w:tcPr>
          <w:p w14:paraId="1DBDD573" w14:textId="77777777" w:rsidR="00D10D78" w:rsidRPr="001B13F6" w:rsidRDefault="00D10D78" w:rsidP="00D10D78">
            <w:pPr>
              <w:spacing w:before="40" w:after="120"/>
              <w:ind w:right="113"/>
            </w:pPr>
            <w:r w:rsidRPr="001B13F6">
              <w:t>Y</w:t>
            </w:r>
          </w:p>
        </w:tc>
        <w:tc>
          <w:tcPr>
            <w:tcW w:w="1408" w:type="dxa"/>
            <w:shd w:val="clear" w:color="auto" w:fill="auto"/>
          </w:tcPr>
          <w:p w14:paraId="16B25AF8" w14:textId="77777777" w:rsidR="00D10D78" w:rsidRPr="001B13F6" w:rsidRDefault="00D10D78" w:rsidP="00D10D78">
            <w:pPr>
              <w:spacing w:before="40" w:after="120"/>
              <w:ind w:right="113"/>
            </w:pPr>
            <w:r w:rsidRPr="001B13F6">
              <w:t>Y</w:t>
            </w:r>
          </w:p>
        </w:tc>
        <w:tc>
          <w:tcPr>
            <w:tcW w:w="1509" w:type="dxa"/>
            <w:shd w:val="clear" w:color="auto" w:fill="auto"/>
          </w:tcPr>
          <w:p w14:paraId="5358ACCA" w14:textId="77777777" w:rsidR="00D10D78" w:rsidRPr="001B13F6" w:rsidRDefault="00D10D78" w:rsidP="00D10D78">
            <w:pPr>
              <w:spacing w:before="40" w:after="120"/>
              <w:ind w:right="113"/>
            </w:pPr>
            <w:r w:rsidRPr="001B13F6">
              <w:t>Y</w:t>
            </w:r>
          </w:p>
        </w:tc>
      </w:tr>
      <w:tr w:rsidR="00D10D78" w:rsidRPr="001B13F6" w14:paraId="349669BE" w14:textId="77777777" w:rsidTr="00843397">
        <w:tc>
          <w:tcPr>
            <w:tcW w:w="2924" w:type="dxa"/>
            <w:shd w:val="clear" w:color="auto" w:fill="auto"/>
          </w:tcPr>
          <w:p w14:paraId="1F8F61DE" w14:textId="77777777" w:rsidR="00D10D78" w:rsidRPr="001B13F6" w:rsidRDefault="00D10D78" w:rsidP="00D10D78">
            <w:pPr>
              <w:spacing w:before="40" w:after="120"/>
              <w:ind w:right="113"/>
            </w:pPr>
            <w:r w:rsidRPr="001B13F6">
              <w:t>Norway</w:t>
            </w:r>
          </w:p>
        </w:tc>
        <w:tc>
          <w:tcPr>
            <w:tcW w:w="1529" w:type="dxa"/>
            <w:shd w:val="clear" w:color="auto" w:fill="auto"/>
          </w:tcPr>
          <w:p w14:paraId="5AAA4888" w14:textId="77777777" w:rsidR="00D10D78" w:rsidRPr="001B13F6" w:rsidRDefault="00D10D78" w:rsidP="00D10D78">
            <w:pPr>
              <w:spacing w:before="40" w:after="120"/>
              <w:ind w:right="113"/>
            </w:pPr>
            <w:r w:rsidRPr="001B13F6">
              <w:t>Y</w:t>
            </w:r>
          </w:p>
        </w:tc>
        <w:tc>
          <w:tcPr>
            <w:tcW w:w="1408" w:type="dxa"/>
            <w:shd w:val="clear" w:color="auto" w:fill="auto"/>
          </w:tcPr>
          <w:p w14:paraId="51AD5CCD" w14:textId="77777777" w:rsidR="00D10D78" w:rsidRPr="001B13F6" w:rsidRDefault="00D10D78" w:rsidP="00D10D78">
            <w:pPr>
              <w:spacing w:before="40" w:after="120"/>
              <w:ind w:right="113"/>
            </w:pPr>
            <w:r w:rsidRPr="001B13F6">
              <w:t>Y</w:t>
            </w:r>
          </w:p>
        </w:tc>
        <w:tc>
          <w:tcPr>
            <w:tcW w:w="1509" w:type="dxa"/>
            <w:shd w:val="clear" w:color="auto" w:fill="auto"/>
          </w:tcPr>
          <w:p w14:paraId="02CE04AF" w14:textId="77777777" w:rsidR="00D10D78" w:rsidRPr="001B13F6" w:rsidRDefault="00D10D78" w:rsidP="00D10D78">
            <w:pPr>
              <w:spacing w:before="40" w:after="120"/>
              <w:ind w:right="113"/>
            </w:pPr>
            <w:r w:rsidRPr="001B13F6">
              <w:t>Y</w:t>
            </w:r>
          </w:p>
        </w:tc>
      </w:tr>
      <w:tr w:rsidR="00D10D78" w:rsidRPr="001B13F6" w14:paraId="0289D997" w14:textId="77777777" w:rsidTr="00843397">
        <w:tc>
          <w:tcPr>
            <w:tcW w:w="2924" w:type="dxa"/>
            <w:shd w:val="clear" w:color="auto" w:fill="auto"/>
          </w:tcPr>
          <w:p w14:paraId="09637266" w14:textId="77777777" w:rsidR="00D10D78" w:rsidRPr="001B13F6" w:rsidRDefault="00D10D78" w:rsidP="00D10D78">
            <w:pPr>
              <w:spacing w:before="40" w:after="120"/>
              <w:ind w:right="113"/>
            </w:pPr>
            <w:r w:rsidRPr="001B13F6">
              <w:t>Oman</w:t>
            </w:r>
          </w:p>
        </w:tc>
        <w:tc>
          <w:tcPr>
            <w:tcW w:w="1529" w:type="dxa"/>
            <w:shd w:val="clear" w:color="auto" w:fill="auto"/>
          </w:tcPr>
          <w:p w14:paraId="47286B67" w14:textId="77777777" w:rsidR="00D10D78" w:rsidRPr="001B13F6" w:rsidRDefault="00D10D78" w:rsidP="00D10D78">
            <w:pPr>
              <w:spacing w:before="40" w:after="120"/>
              <w:ind w:right="113"/>
            </w:pPr>
            <w:r w:rsidRPr="001B13F6">
              <w:t>N</w:t>
            </w:r>
          </w:p>
        </w:tc>
        <w:tc>
          <w:tcPr>
            <w:tcW w:w="1408" w:type="dxa"/>
            <w:shd w:val="clear" w:color="auto" w:fill="auto"/>
          </w:tcPr>
          <w:p w14:paraId="74AD18AB" w14:textId="77777777" w:rsidR="00D10D78" w:rsidRPr="001B13F6" w:rsidRDefault="00D10D78" w:rsidP="00D10D78">
            <w:pPr>
              <w:spacing w:before="40" w:after="120"/>
              <w:ind w:right="113"/>
            </w:pPr>
            <w:r w:rsidRPr="001B13F6">
              <w:t>N</w:t>
            </w:r>
          </w:p>
        </w:tc>
        <w:tc>
          <w:tcPr>
            <w:tcW w:w="1509" w:type="dxa"/>
            <w:shd w:val="clear" w:color="auto" w:fill="auto"/>
          </w:tcPr>
          <w:p w14:paraId="2F98588D" w14:textId="77777777" w:rsidR="00D10D78" w:rsidRPr="001B13F6" w:rsidRDefault="00D10D78" w:rsidP="00D10D78">
            <w:pPr>
              <w:spacing w:before="40" w:after="120"/>
              <w:ind w:right="113"/>
            </w:pPr>
            <w:r w:rsidRPr="001B13F6">
              <w:t>N</w:t>
            </w:r>
          </w:p>
        </w:tc>
      </w:tr>
      <w:tr w:rsidR="00D10D78" w:rsidRPr="001B13F6" w14:paraId="6111DB0F" w14:textId="77777777" w:rsidTr="00843397">
        <w:tc>
          <w:tcPr>
            <w:tcW w:w="2924" w:type="dxa"/>
            <w:shd w:val="clear" w:color="auto" w:fill="auto"/>
          </w:tcPr>
          <w:p w14:paraId="7D6D2A74" w14:textId="77777777" w:rsidR="00D10D78" w:rsidRPr="001B13F6" w:rsidRDefault="00D10D78" w:rsidP="00D10D78">
            <w:pPr>
              <w:spacing w:before="40" w:after="120"/>
              <w:ind w:right="113"/>
            </w:pPr>
            <w:r w:rsidRPr="001B13F6">
              <w:t>Pakistan</w:t>
            </w:r>
          </w:p>
        </w:tc>
        <w:tc>
          <w:tcPr>
            <w:tcW w:w="1529" w:type="dxa"/>
            <w:shd w:val="clear" w:color="auto" w:fill="auto"/>
          </w:tcPr>
          <w:p w14:paraId="6002919D" w14:textId="77777777" w:rsidR="00D10D78" w:rsidRPr="001B13F6" w:rsidRDefault="00D10D78" w:rsidP="00D10D78">
            <w:pPr>
              <w:spacing w:before="40" w:after="120"/>
              <w:ind w:right="113"/>
            </w:pPr>
            <w:r w:rsidRPr="001B13F6">
              <w:t>Yi</w:t>
            </w:r>
          </w:p>
        </w:tc>
        <w:tc>
          <w:tcPr>
            <w:tcW w:w="1408" w:type="dxa"/>
            <w:shd w:val="clear" w:color="auto" w:fill="auto"/>
          </w:tcPr>
          <w:p w14:paraId="5D990CF9" w14:textId="77777777" w:rsidR="00D10D78" w:rsidRPr="001B13F6" w:rsidRDefault="00D10D78" w:rsidP="00D10D78">
            <w:pPr>
              <w:spacing w:before="40" w:after="120"/>
              <w:ind w:right="113"/>
            </w:pPr>
            <w:r w:rsidRPr="001B13F6">
              <w:t>N</w:t>
            </w:r>
          </w:p>
        </w:tc>
        <w:tc>
          <w:tcPr>
            <w:tcW w:w="1509" w:type="dxa"/>
            <w:shd w:val="clear" w:color="auto" w:fill="auto"/>
          </w:tcPr>
          <w:p w14:paraId="53939D99" w14:textId="77777777" w:rsidR="00D10D78" w:rsidRPr="001B13F6" w:rsidRDefault="00D10D78" w:rsidP="00D10D78">
            <w:pPr>
              <w:spacing w:before="40" w:after="120"/>
              <w:ind w:right="113"/>
            </w:pPr>
            <w:r w:rsidRPr="001B13F6">
              <w:t>N</w:t>
            </w:r>
          </w:p>
        </w:tc>
      </w:tr>
      <w:tr w:rsidR="00D10D78" w:rsidRPr="001B13F6" w14:paraId="0E101573" w14:textId="77777777" w:rsidTr="00843397">
        <w:tc>
          <w:tcPr>
            <w:tcW w:w="2924" w:type="dxa"/>
            <w:shd w:val="clear" w:color="auto" w:fill="auto"/>
          </w:tcPr>
          <w:p w14:paraId="050DBE8C" w14:textId="77777777" w:rsidR="00D10D78" w:rsidRPr="001B13F6" w:rsidRDefault="00D10D78" w:rsidP="00D10D78">
            <w:pPr>
              <w:spacing w:before="40" w:after="120"/>
              <w:ind w:right="113"/>
            </w:pPr>
            <w:r w:rsidRPr="001B13F6">
              <w:t>Palau</w:t>
            </w:r>
          </w:p>
        </w:tc>
        <w:tc>
          <w:tcPr>
            <w:tcW w:w="1529" w:type="dxa"/>
            <w:shd w:val="clear" w:color="auto" w:fill="auto"/>
          </w:tcPr>
          <w:p w14:paraId="7B53AA24" w14:textId="77777777" w:rsidR="00D10D78" w:rsidRPr="001B13F6" w:rsidRDefault="00D10D78" w:rsidP="00D10D78">
            <w:pPr>
              <w:spacing w:before="40" w:after="120"/>
              <w:ind w:right="113"/>
            </w:pPr>
            <w:r w:rsidRPr="001B13F6">
              <w:t>N</w:t>
            </w:r>
          </w:p>
        </w:tc>
        <w:tc>
          <w:tcPr>
            <w:tcW w:w="1408" w:type="dxa"/>
            <w:shd w:val="clear" w:color="auto" w:fill="auto"/>
          </w:tcPr>
          <w:p w14:paraId="53B32A80" w14:textId="77777777" w:rsidR="00D10D78" w:rsidRPr="001B13F6" w:rsidRDefault="00D10D78" w:rsidP="00D10D78">
            <w:pPr>
              <w:spacing w:before="40" w:after="120"/>
              <w:ind w:right="113"/>
            </w:pPr>
            <w:r w:rsidRPr="001B13F6">
              <w:t>N</w:t>
            </w:r>
          </w:p>
        </w:tc>
        <w:tc>
          <w:tcPr>
            <w:tcW w:w="1509" w:type="dxa"/>
            <w:shd w:val="clear" w:color="auto" w:fill="auto"/>
          </w:tcPr>
          <w:p w14:paraId="1B72616B" w14:textId="77777777" w:rsidR="00D10D78" w:rsidRPr="001B13F6" w:rsidRDefault="00D10D78" w:rsidP="00D10D78">
            <w:pPr>
              <w:spacing w:before="40" w:after="120"/>
              <w:ind w:right="113"/>
            </w:pPr>
            <w:r w:rsidRPr="001B13F6">
              <w:t>Y</w:t>
            </w:r>
          </w:p>
        </w:tc>
      </w:tr>
      <w:tr w:rsidR="00D10D78" w:rsidRPr="001B13F6" w14:paraId="3E900A2F" w14:textId="77777777" w:rsidTr="00843397">
        <w:tc>
          <w:tcPr>
            <w:tcW w:w="2924" w:type="dxa"/>
            <w:shd w:val="clear" w:color="auto" w:fill="auto"/>
          </w:tcPr>
          <w:p w14:paraId="1A138C82" w14:textId="77777777" w:rsidR="00D10D78" w:rsidRPr="001B13F6" w:rsidRDefault="00D10D78" w:rsidP="00D10D78">
            <w:pPr>
              <w:spacing w:before="40" w:after="120"/>
              <w:ind w:right="113"/>
            </w:pPr>
            <w:r w:rsidRPr="001B13F6">
              <w:t>Panama</w:t>
            </w:r>
          </w:p>
        </w:tc>
        <w:tc>
          <w:tcPr>
            <w:tcW w:w="1529" w:type="dxa"/>
            <w:shd w:val="clear" w:color="auto" w:fill="auto"/>
          </w:tcPr>
          <w:p w14:paraId="7B0225C0" w14:textId="77777777" w:rsidR="00D10D78" w:rsidRPr="001B13F6" w:rsidRDefault="00D10D78" w:rsidP="00D10D78">
            <w:pPr>
              <w:spacing w:before="40" w:after="120"/>
              <w:ind w:right="113"/>
            </w:pPr>
            <w:r w:rsidRPr="001B13F6">
              <w:t>Yi</w:t>
            </w:r>
          </w:p>
        </w:tc>
        <w:tc>
          <w:tcPr>
            <w:tcW w:w="1408" w:type="dxa"/>
            <w:shd w:val="clear" w:color="auto" w:fill="auto"/>
          </w:tcPr>
          <w:p w14:paraId="1C6F1E61" w14:textId="77777777" w:rsidR="00D10D78" w:rsidRPr="001B13F6" w:rsidRDefault="00D10D78" w:rsidP="00D10D78">
            <w:pPr>
              <w:spacing w:before="40" w:after="120"/>
              <w:ind w:right="113"/>
            </w:pPr>
            <w:r w:rsidRPr="001B13F6">
              <w:t>Y</w:t>
            </w:r>
          </w:p>
        </w:tc>
        <w:tc>
          <w:tcPr>
            <w:tcW w:w="1509" w:type="dxa"/>
            <w:shd w:val="clear" w:color="auto" w:fill="auto"/>
          </w:tcPr>
          <w:p w14:paraId="6DED2ACE" w14:textId="77777777" w:rsidR="00D10D78" w:rsidRPr="001B13F6" w:rsidRDefault="00D10D78" w:rsidP="00D10D78">
            <w:pPr>
              <w:spacing w:before="40" w:after="120"/>
              <w:ind w:right="113"/>
            </w:pPr>
            <w:r w:rsidRPr="001B13F6">
              <w:t>Y</w:t>
            </w:r>
          </w:p>
        </w:tc>
      </w:tr>
      <w:tr w:rsidR="00D10D78" w:rsidRPr="001B13F6" w14:paraId="6B45DB89" w14:textId="77777777" w:rsidTr="00843397">
        <w:tc>
          <w:tcPr>
            <w:tcW w:w="2924" w:type="dxa"/>
            <w:shd w:val="clear" w:color="auto" w:fill="auto"/>
          </w:tcPr>
          <w:p w14:paraId="36E395E6" w14:textId="77777777" w:rsidR="00D10D78" w:rsidRPr="001B13F6" w:rsidRDefault="00D10D78" w:rsidP="00D10D78">
            <w:pPr>
              <w:spacing w:before="40" w:after="120"/>
              <w:ind w:right="113"/>
            </w:pPr>
            <w:r w:rsidRPr="001B13F6">
              <w:t>Papua New Guinea</w:t>
            </w:r>
          </w:p>
        </w:tc>
        <w:tc>
          <w:tcPr>
            <w:tcW w:w="1529" w:type="dxa"/>
            <w:shd w:val="clear" w:color="auto" w:fill="auto"/>
          </w:tcPr>
          <w:p w14:paraId="53FA76D0" w14:textId="77777777" w:rsidR="00D10D78" w:rsidRPr="001B13F6" w:rsidRDefault="00D10D78" w:rsidP="00D10D78">
            <w:pPr>
              <w:spacing w:before="40" w:after="120"/>
              <w:ind w:right="113"/>
            </w:pPr>
            <w:r w:rsidRPr="001B13F6">
              <w:t>N</w:t>
            </w:r>
          </w:p>
        </w:tc>
        <w:tc>
          <w:tcPr>
            <w:tcW w:w="1408" w:type="dxa"/>
            <w:shd w:val="clear" w:color="auto" w:fill="auto"/>
          </w:tcPr>
          <w:p w14:paraId="4AACF6BC" w14:textId="77777777" w:rsidR="00D10D78" w:rsidRPr="001B13F6" w:rsidRDefault="00D10D78" w:rsidP="00D10D78">
            <w:pPr>
              <w:spacing w:before="40" w:after="120"/>
              <w:ind w:right="113"/>
            </w:pPr>
            <w:r w:rsidRPr="001B13F6">
              <w:t>N</w:t>
            </w:r>
          </w:p>
        </w:tc>
        <w:tc>
          <w:tcPr>
            <w:tcW w:w="1509" w:type="dxa"/>
            <w:shd w:val="clear" w:color="auto" w:fill="auto"/>
          </w:tcPr>
          <w:p w14:paraId="688256B9" w14:textId="77777777" w:rsidR="00D10D78" w:rsidRPr="001B13F6" w:rsidRDefault="00D10D78" w:rsidP="00D10D78">
            <w:pPr>
              <w:spacing w:before="40" w:after="120"/>
              <w:ind w:right="113"/>
            </w:pPr>
            <w:r w:rsidRPr="001B13F6">
              <w:t>N</w:t>
            </w:r>
          </w:p>
        </w:tc>
      </w:tr>
      <w:tr w:rsidR="00D10D78" w:rsidRPr="001B13F6" w14:paraId="2176EE50" w14:textId="77777777" w:rsidTr="00843397">
        <w:tc>
          <w:tcPr>
            <w:tcW w:w="2924" w:type="dxa"/>
            <w:shd w:val="clear" w:color="auto" w:fill="auto"/>
          </w:tcPr>
          <w:p w14:paraId="7203F8EC" w14:textId="77777777" w:rsidR="00D10D78" w:rsidRPr="001B13F6" w:rsidRDefault="00D10D78" w:rsidP="00D10D78">
            <w:pPr>
              <w:spacing w:before="40" w:after="120"/>
              <w:ind w:right="113"/>
            </w:pPr>
            <w:r w:rsidRPr="001B13F6">
              <w:t>Paraguay</w:t>
            </w:r>
          </w:p>
        </w:tc>
        <w:tc>
          <w:tcPr>
            <w:tcW w:w="1529" w:type="dxa"/>
            <w:shd w:val="clear" w:color="auto" w:fill="auto"/>
          </w:tcPr>
          <w:p w14:paraId="1D717424" w14:textId="77777777" w:rsidR="00D10D78" w:rsidRPr="001B13F6" w:rsidRDefault="00D10D78" w:rsidP="00D10D78">
            <w:pPr>
              <w:spacing w:before="40" w:after="120"/>
              <w:ind w:right="113"/>
            </w:pPr>
            <w:r w:rsidRPr="001B13F6">
              <w:t>Y</w:t>
            </w:r>
          </w:p>
        </w:tc>
        <w:tc>
          <w:tcPr>
            <w:tcW w:w="1408" w:type="dxa"/>
            <w:shd w:val="clear" w:color="auto" w:fill="auto"/>
          </w:tcPr>
          <w:p w14:paraId="24814D0A" w14:textId="77777777" w:rsidR="00D10D78" w:rsidRPr="001B13F6" w:rsidRDefault="00D10D78" w:rsidP="00D10D78">
            <w:pPr>
              <w:spacing w:before="40" w:after="120"/>
              <w:ind w:right="113"/>
            </w:pPr>
            <w:r w:rsidRPr="001B13F6">
              <w:t>Y</w:t>
            </w:r>
          </w:p>
        </w:tc>
        <w:tc>
          <w:tcPr>
            <w:tcW w:w="1509" w:type="dxa"/>
            <w:shd w:val="clear" w:color="auto" w:fill="auto"/>
          </w:tcPr>
          <w:p w14:paraId="0F7548CF" w14:textId="77777777" w:rsidR="00D10D78" w:rsidRPr="001B13F6" w:rsidRDefault="00D10D78" w:rsidP="00D10D78">
            <w:pPr>
              <w:spacing w:before="40" w:after="120"/>
              <w:ind w:right="113"/>
            </w:pPr>
            <w:r w:rsidRPr="001B13F6">
              <w:t>Y</w:t>
            </w:r>
          </w:p>
        </w:tc>
      </w:tr>
      <w:tr w:rsidR="00D10D78" w:rsidRPr="001B13F6" w14:paraId="40B29236" w14:textId="77777777" w:rsidTr="00843397">
        <w:tc>
          <w:tcPr>
            <w:tcW w:w="2924" w:type="dxa"/>
            <w:shd w:val="clear" w:color="auto" w:fill="auto"/>
          </w:tcPr>
          <w:p w14:paraId="6AA146FB" w14:textId="77777777" w:rsidR="00D10D78" w:rsidRPr="001B13F6" w:rsidRDefault="00D10D78" w:rsidP="00D10D78">
            <w:pPr>
              <w:spacing w:before="40" w:after="120"/>
              <w:ind w:right="113"/>
            </w:pPr>
            <w:r w:rsidRPr="001B13F6">
              <w:t>Peru</w:t>
            </w:r>
          </w:p>
        </w:tc>
        <w:tc>
          <w:tcPr>
            <w:tcW w:w="1529" w:type="dxa"/>
            <w:shd w:val="clear" w:color="auto" w:fill="auto"/>
          </w:tcPr>
          <w:p w14:paraId="482CF5CE" w14:textId="77777777" w:rsidR="00D10D78" w:rsidRPr="001B13F6" w:rsidRDefault="00D10D78" w:rsidP="00D10D78">
            <w:pPr>
              <w:spacing w:before="40" w:after="120"/>
              <w:ind w:right="113"/>
            </w:pPr>
            <w:r w:rsidRPr="001B13F6">
              <w:t>Y</w:t>
            </w:r>
          </w:p>
        </w:tc>
        <w:tc>
          <w:tcPr>
            <w:tcW w:w="1408" w:type="dxa"/>
            <w:shd w:val="clear" w:color="auto" w:fill="auto"/>
          </w:tcPr>
          <w:p w14:paraId="7FDECBE1" w14:textId="77777777" w:rsidR="00D10D78" w:rsidRPr="001B13F6" w:rsidRDefault="00D10D78" w:rsidP="00D10D78">
            <w:pPr>
              <w:spacing w:before="40" w:after="120"/>
              <w:ind w:right="113"/>
            </w:pPr>
            <w:r w:rsidRPr="001B13F6">
              <w:t>Y</w:t>
            </w:r>
          </w:p>
        </w:tc>
        <w:tc>
          <w:tcPr>
            <w:tcW w:w="1509" w:type="dxa"/>
            <w:shd w:val="clear" w:color="auto" w:fill="auto"/>
          </w:tcPr>
          <w:p w14:paraId="21407418" w14:textId="77777777" w:rsidR="00D10D78" w:rsidRPr="001B13F6" w:rsidRDefault="00D10D78" w:rsidP="00D10D78">
            <w:pPr>
              <w:spacing w:before="40" w:after="120"/>
              <w:ind w:right="113"/>
            </w:pPr>
            <w:r w:rsidRPr="001B13F6">
              <w:t>Y</w:t>
            </w:r>
          </w:p>
        </w:tc>
      </w:tr>
      <w:tr w:rsidR="00D10D78" w:rsidRPr="001B13F6" w14:paraId="264932D2" w14:textId="77777777" w:rsidTr="00843397">
        <w:tc>
          <w:tcPr>
            <w:tcW w:w="2924" w:type="dxa"/>
            <w:shd w:val="clear" w:color="auto" w:fill="auto"/>
          </w:tcPr>
          <w:p w14:paraId="1DA00520" w14:textId="77777777" w:rsidR="00D10D78" w:rsidRPr="001B13F6" w:rsidRDefault="00D10D78" w:rsidP="00D10D78">
            <w:pPr>
              <w:spacing w:before="40" w:after="120"/>
              <w:ind w:right="113"/>
            </w:pPr>
            <w:r w:rsidRPr="001B13F6">
              <w:t>Philippines</w:t>
            </w:r>
          </w:p>
        </w:tc>
        <w:tc>
          <w:tcPr>
            <w:tcW w:w="1529" w:type="dxa"/>
            <w:shd w:val="clear" w:color="auto" w:fill="auto"/>
          </w:tcPr>
          <w:p w14:paraId="1EF1587F" w14:textId="77777777" w:rsidR="00D10D78" w:rsidRPr="001B13F6" w:rsidRDefault="00D10D78" w:rsidP="00D10D78">
            <w:pPr>
              <w:spacing w:before="40" w:after="120"/>
              <w:ind w:right="113"/>
            </w:pPr>
            <w:r w:rsidRPr="001B13F6">
              <w:t>Y</w:t>
            </w:r>
          </w:p>
        </w:tc>
        <w:tc>
          <w:tcPr>
            <w:tcW w:w="1408" w:type="dxa"/>
            <w:shd w:val="clear" w:color="auto" w:fill="auto"/>
          </w:tcPr>
          <w:p w14:paraId="2BDCB8A2" w14:textId="77777777" w:rsidR="00D10D78" w:rsidRPr="001B13F6" w:rsidRDefault="00D10D78" w:rsidP="00D10D78">
            <w:pPr>
              <w:spacing w:before="40" w:after="120"/>
              <w:ind w:right="113"/>
            </w:pPr>
            <w:r w:rsidRPr="001B13F6">
              <w:t>N</w:t>
            </w:r>
          </w:p>
        </w:tc>
        <w:tc>
          <w:tcPr>
            <w:tcW w:w="1509" w:type="dxa"/>
            <w:shd w:val="clear" w:color="auto" w:fill="auto"/>
          </w:tcPr>
          <w:p w14:paraId="4DA3F70B" w14:textId="77777777" w:rsidR="00D10D78" w:rsidRPr="001B13F6" w:rsidRDefault="00D10D78" w:rsidP="00D10D78">
            <w:pPr>
              <w:spacing w:before="40" w:after="120"/>
              <w:ind w:right="113"/>
            </w:pPr>
            <w:r w:rsidRPr="001B13F6">
              <w:t>Y</w:t>
            </w:r>
          </w:p>
        </w:tc>
      </w:tr>
      <w:tr w:rsidR="00D10D78" w:rsidRPr="001B13F6" w14:paraId="27157E15" w14:textId="77777777" w:rsidTr="00843397">
        <w:tc>
          <w:tcPr>
            <w:tcW w:w="2924" w:type="dxa"/>
            <w:shd w:val="clear" w:color="auto" w:fill="auto"/>
          </w:tcPr>
          <w:p w14:paraId="612F6340" w14:textId="77777777" w:rsidR="00D10D78" w:rsidRPr="001B13F6" w:rsidRDefault="00D10D78" w:rsidP="00D10D78">
            <w:pPr>
              <w:spacing w:before="40" w:after="120"/>
              <w:ind w:right="113"/>
            </w:pPr>
            <w:r w:rsidRPr="001B13F6">
              <w:t>Poland</w:t>
            </w:r>
          </w:p>
        </w:tc>
        <w:tc>
          <w:tcPr>
            <w:tcW w:w="1529" w:type="dxa"/>
            <w:shd w:val="clear" w:color="auto" w:fill="auto"/>
          </w:tcPr>
          <w:p w14:paraId="71FF7A98" w14:textId="77777777" w:rsidR="00D10D78" w:rsidRPr="001B13F6" w:rsidRDefault="00D10D78" w:rsidP="00D10D78">
            <w:pPr>
              <w:spacing w:before="40" w:after="120"/>
              <w:ind w:right="113"/>
            </w:pPr>
            <w:r w:rsidRPr="001B13F6">
              <w:t>N</w:t>
            </w:r>
          </w:p>
        </w:tc>
        <w:tc>
          <w:tcPr>
            <w:tcW w:w="1408" w:type="dxa"/>
            <w:shd w:val="clear" w:color="auto" w:fill="auto"/>
          </w:tcPr>
          <w:p w14:paraId="710F0C15" w14:textId="77777777" w:rsidR="00D10D78" w:rsidRPr="001B13F6" w:rsidRDefault="00D10D78" w:rsidP="00D10D78">
            <w:pPr>
              <w:spacing w:before="40" w:after="120"/>
              <w:ind w:right="113"/>
            </w:pPr>
            <w:r w:rsidRPr="001B13F6">
              <w:t>Y</w:t>
            </w:r>
          </w:p>
        </w:tc>
        <w:tc>
          <w:tcPr>
            <w:tcW w:w="1509" w:type="dxa"/>
            <w:shd w:val="clear" w:color="auto" w:fill="auto"/>
          </w:tcPr>
          <w:p w14:paraId="694F6D00" w14:textId="77777777" w:rsidR="00D10D78" w:rsidRPr="001B13F6" w:rsidRDefault="00D10D78" w:rsidP="00D10D78">
            <w:pPr>
              <w:spacing w:before="40" w:after="120"/>
              <w:ind w:right="113"/>
            </w:pPr>
            <w:r w:rsidRPr="001B13F6">
              <w:t>N</w:t>
            </w:r>
          </w:p>
        </w:tc>
      </w:tr>
      <w:tr w:rsidR="00D10D78" w:rsidRPr="001B13F6" w14:paraId="4BE0C7E7" w14:textId="77777777" w:rsidTr="00843397">
        <w:tc>
          <w:tcPr>
            <w:tcW w:w="2924" w:type="dxa"/>
            <w:shd w:val="clear" w:color="auto" w:fill="auto"/>
          </w:tcPr>
          <w:p w14:paraId="7E92A060" w14:textId="77777777" w:rsidR="00D10D78" w:rsidRPr="001B13F6" w:rsidRDefault="00D10D78" w:rsidP="00D10D78">
            <w:pPr>
              <w:spacing w:before="40" w:after="120"/>
              <w:ind w:right="113"/>
            </w:pPr>
            <w:r w:rsidRPr="001B13F6">
              <w:t>Portugal</w:t>
            </w:r>
          </w:p>
        </w:tc>
        <w:tc>
          <w:tcPr>
            <w:tcW w:w="1529" w:type="dxa"/>
            <w:shd w:val="clear" w:color="auto" w:fill="auto"/>
          </w:tcPr>
          <w:p w14:paraId="5A1F7E48" w14:textId="77777777" w:rsidR="00D10D78" w:rsidRPr="001B13F6" w:rsidRDefault="00D10D78" w:rsidP="00D10D78">
            <w:pPr>
              <w:spacing w:before="40" w:after="120"/>
              <w:ind w:right="113"/>
            </w:pPr>
            <w:r w:rsidRPr="001B13F6">
              <w:t>Y</w:t>
            </w:r>
          </w:p>
        </w:tc>
        <w:tc>
          <w:tcPr>
            <w:tcW w:w="1408" w:type="dxa"/>
            <w:shd w:val="clear" w:color="auto" w:fill="auto"/>
          </w:tcPr>
          <w:p w14:paraId="053C704B" w14:textId="77777777" w:rsidR="00D10D78" w:rsidRPr="001B13F6" w:rsidRDefault="00D10D78" w:rsidP="00D10D78">
            <w:pPr>
              <w:spacing w:before="40" w:after="120"/>
              <w:ind w:right="113"/>
            </w:pPr>
            <w:r w:rsidRPr="001B13F6">
              <w:t>Y</w:t>
            </w:r>
          </w:p>
        </w:tc>
        <w:tc>
          <w:tcPr>
            <w:tcW w:w="1509" w:type="dxa"/>
            <w:shd w:val="clear" w:color="auto" w:fill="auto"/>
          </w:tcPr>
          <w:p w14:paraId="7AACA271" w14:textId="77777777" w:rsidR="00D10D78" w:rsidRPr="001B13F6" w:rsidRDefault="00D10D78" w:rsidP="00D10D78">
            <w:pPr>
              <w:spacing w:before="40" w:after="120"/>
              <w:ind w:right="113"/>
            </w:pPr>
            <w:r w:rsidRPr="001B13F6">
              <w:t>Y</w:t>
            </w:r>
          </w:p>
        </w:tc>
      </w:tr>
      <w:tr w:rsidR="00D10D78" w:rsidRPr="001B13F6" w14:paraId="6AE0253B" w14:textId="77777777" w:rsidTr="00843397">
        <w:tc>
          <w:tcPr>
            <w:tcW w:w="2924" w:type="dxa"/>
            <w:shd w:val="clear" w:color="auto" w:fill="auto"/>
          </w:tcPr>
          <w:p w14:paraId="0961D6B1" w14:textId="77777777" w:rsidR="00D10D78" w:rsidRPr="001B13F6" w:rsidRDefault="00D10D78" w:rsidP="00D10D78">
            <w:pPr>
              <w:spacing w:before="40" w:after="120"/>
              <w:ind w:right="113"/>
            </w:pPr>
            <w:r w:rsidRPr="001B13F6">
              <w:t>Qatar</w:t>
            </w:r>
          </w:p>
        </w:tc>
        <w:tc>
          <w:tcPr>
            <w:tcW w:w="1529" w:type="dxa"/>
            <w:shd w:val="clear" w:color="auto" w:fill="auto"/>
          </w:tcPr>
          <w:p w14:paraId="0975FBC0" w14:textId="77777777" w:rsidR="00D10D78" w:rsidRPr="001B13F6" w:rsidRDefault="00D10D78" w:rsidP="00D10D78">
            <w:pPr>
              <w:spacing w:before="40" w:after="120"/>
              <w:ind w:right="113"/>
            </w:pPr>
            <w:r w:rsidRPr="001B13F6">
              <w:t>N</w:t>
            </w:r>
          </w:p>
        </w:tc>
        <w:tc>
          <w:tcPr>
            <w:tcW w:w="1408" w:type="dxa"/>
            <w:shd w:val="clear" w:color="auto" w:fill="auto"/>
          </w:tcPr>
          <w:p w14:paraId="0E47B81D" w14:textId="77777777" w:rsidR="00D10D78" w:rsidRPr="001B13F6" w:rsidRDefault="00D10D78" w:rsidP="00D10D78">
            <w:pPr>
              <w:spacing w:before="40" w:after="120"/>
              <w:ind w:right="113"/>
            </w:pPr>
            <w:r w:rsidRPr="001B13F6">
              <w:t>Y</w:t>
            </w:r>
          </w:p>
        </w:tc>
        <w:tc>
          <w:tcPr>
            <w:tcW w:w="1509" w:type="dxa"/>
            <w:shd w:val="clear" w:color="auto" w:fill="auto"/>
          </w:tcPr>
          <w:p w14:paraId="706EEF53" w14:textId="77777777" w:rsidR="00D10D78" w:rsidRPr="001B13F6" w:rsidRDefault="00D10D78" w:rsidP="00D10D78">
            <w:pPr>
              <w:spacing w:before="40" w:after="120"/>
              <w:ind w:right="113"/>
            </w:pPr>
            <w:r w:rsidRPr="001B13F6">
              <w:t>N</w:t>
            </w:r>
          </w:p>
        </w:tc>
      </w:tr>
      <w:tr w:rsidR="00183D6F" w:rsidRPr="001B13F6" w14:paraId="3CA33B6F" w14:textId="77777777" w:rsidTr="00843397">
        <w:tc>
          <w:tcPr>
            <w:tcW w:w="2924" w:type="dxa"/>
            <w:shd w:val="clear" w:color="auto" w:fill="auto"/>
          </w:tcPr>
          <w:p w14:paraId="73B48279" w14:textId="77777777" w:rsidR="00183D6F" w:rsidRPr="001B13F6" w:rsidRDefault="00183D6F" w:rsidP="00183D6F">
            <w:pPr>
              <w:spacing w:before="40" w:after="120"/>
              <w:ind w:right="113"/>
            </w:pPr>
            <w:r w:rsidRPr="001B13F6">
              <w:t>Republic of Korea</w:t>
            </w:r>
          </w:p>
          <w:p w14:paraId="3910FD5D" w14:textId="77777777" w:rsidR="00183D6F" w:rsidRDefault="00183D6F" w:rsidP="00183D6F">
            <w:pPr>
              <w:spacing w:before="40" w:after="120"/>
              <w:ind w:right="113"/>
            </w:pPr>
            <w:r w:rsidRPr="001B13F6">
              <w:t>Republic of Moldova</w:t>
            </w:r>
          </w:p>
          <w:p w14:paraId="34013FCC" w14:textId="663CAFFF" w:rsidR="0051562E" w:rsidRPr="001B13F6" w:rsidRDefault="0051562E" w:rsidP="00183D6F">
            <w:pPr>
              <w:spacing w:before="40" w:after="120"/>
              <w:ind w:right="113"/>
            </w:pPr>
            <w:r>
              <w:t>Romania</w:t>
            </w:r>
          </w:p>
        </w:tc>
        <w:tc>
          <w:tcPr>
            <w:tcW w:w="1529" w:type="dxa"/>
            <w:shd w:val="clear" w:color="auto" w:fill="auto"/>
          </w:tcPr>
          <w:p w14:paraId="56D30C02" w14:textId="77777777" w:rsidR="00183D6F" w:rsidRPr="001B13F6" w:rsidRDefault="00183D6F" w:rsidP="00183D6F">
            <w:pPr>
              <w:spacing w:before="40" w:after="120"/>
              <w:ind w:right="113"/>
            </w:pPr>
            <w:r w:rsidRPr="001B13F6">
              <w:t>Y</w:t>
            </w:r>
          </w:p>
          <w:p w14:paraId="061D4F43" w14:textId="77777777" w:rsidR="00183D6F" w:rsidRDefault="00183D6F" w:rsidP="00183D6F">
            <w:pPr>
              <w:spacing w:before="40" w:after="120"/>
              <w:ind w:right="113"/>
            </w:pPr>
            <w:r w:rsidRPr="001B13F6">
              <w:t>Y</w:t>
            </w:r>
          </w:p>
          <w:p w14:paraId="2EF93639" w14:textId="5C5B4E82" w:rsidR="0051562E" w:rsidRPr="001B13F6" w:rsidRDefault="0051562E" w:rsidP="00183D6F">
            <w:pPr>
              <w:spacing w:before="40" w:after="120"/>
              <w:ind w:right="113"/>
            </w:pPr>
            <w:r>
              <w:t>Y</w:t>
            </w:r>
          </w:p>
        </w:tc>
        <w:tc>
          <w:tcPr>
            <w:tcW w:w="1408" w:type="dxa"/>
            <w:shd w:val="clear" w:color="auto" w:fill="auto"/>
          </w:tcPr>
          <w:p w14:paraId="3D3E07F5" w14:textId="77777777" w:rsidR="00183D6F" w:rsidRPr="001B13F6" w:rsidRDefault="00183D6F" w:rsidP="00183D6F">
            <w:pPr>
              <w:spacing w:before="40" w:after="120"/>
              <w:ind w:right="113"/>
            </w:pPr>
            <w:r w:rsidRPr="001B13F6">
              <w:t>N</w:t>
            </w:r>
          </w:p>
          <w:p w14:paraId="7704441B" w14:textId="77777777" w:rsidR="00183D6F" w:rsidRDefault="00183D6F" w:rsidP="00183D6F">
            <w:pPr>
              <w:spacing w:before="40" w:after="120"/>
              <w:ind w:right="113"/>
            </w:pPr>
            <w:r w:rsidRPr="001B13F6">
              <w:t>Y</w:t>
            </w:r>
          </w:p>
          <w:p w14:paraId="29A1FCA1" w14:textId="7E31E147" w:rsidR="0051562E" w:rsidRPr="001B13F6" w:rsidRDefault="0051562E" w:rsidP="00183D6F">
            <w:pPr>
              <w:spacing w:before="40" w:after="120"/>
              <w:ind w:right="113"/>
            </w:pPr>
            <w:r>
              <w:t>Y</w:t>
            </w:r>
          </w:p>
        </w:tc>
        <w:tc>
          <w:tcPr>
            <w:tcW w:w="1509" w:type="dxa"/>
            <w:shd w:val="clear" w:color="auto" w:fill="auto"/>
          </w:tcPr>
          <w:p w14:paraId="4210ADB7" w14:textId="77777777" w:rsidR="00183D6F" w:rsidRPr="001B13F6" w:rsidRDefault="00183D6F" w:rsidP="00183D6F">
            <w:pPr>
              <w:spacing w:before="40" w:after="120"/>
              <w:ind w:right="113"/>
            </w:pPr>
            <w:r w:rsidRPr="001B13F6">
              <w:t>Y</w:t>
            </w:r>
          </w:p>
          <w:p w14:paraId="7E86D6D5" w14:textId="77777777" w:rsidR="00183D6F" w:rsidRDefault="00183D6F" w:rsidP="00183D6F">
            <w:pPr>
              <w:spacing w:before="40" w:after="120"/>
              <w:ind w:right="113"/>
            </w:pPr>
            <w:r w:rsidRPr="001B13F6">
              <w:t>Y</w:t>
            </w:r>
          </w:p>
          <w:p w14:paraId="466570BF" w14:textId="6B805DFA" w:rsidR="0051562E" w:rsidRPr="001B13F6" w:rsidRDefault="0051562E" w:rsidP="00183D6F">
            <w:pPr>
              <w:spacing w:before="40" w:after="120"/>
              <w:ind w:right="113"/>
            </w:pPr>
            <w:r>
              <w:t>Y</w:t>
            </w:r>
          </w:p>
        </w:tc>
      </w:tr>
      <w:tr w:rsidR="00183D6F" w:rsidRPr="001B13F6" w14:paraId="4B3019D6" w14:textId="77777777" w:rsidTr="00843397">
        <w:tc>
          <w:tcPr>
            <w:tcW w:w="2924" w:type="dxa"/>
            <w:shd w:val="clear" w:color="auto" w:fill="auto"/>
          </w:tcPr>
          <w:p w14:paraId="5D2BE851" w14:textId="337197E6" w:rsidR="00183D6F" w:rsidRPr="001B13F6" w:rsidRDefault="00183D6F" w:rsidP="00183D6F">
            <w:pPr>
              <w:spacing w:before="40" w:after="120"/>
              <w:ind w:right="113"/>
            </w:pPr>
            <w:r w:rsidRPr="001B13F6">
              <w:t>Russian Federation</w:t>
            </w:r>
          </w:p>
        </w:tc>
        <w:tc>
          <w:tcPr>
            <w:tcW w:w="1529" w:type="dxa"/>
            <w:shd w:val="clear" w:color="auto" w:fill="auto"/>
          </w:tcPr>
          <w:p w14:paraId="787C40D7" w14:textId="77777777" w:rsidR="00183D6F" w:rsidRPr="001B13F6" w:rsidRDefault="00183D6F" w:rsidP="00183D6F">
            <w:pPr>
              <w:spacing w:before="40" w:after="120"/>
              <w:ind w:right="113"/>
            </w:pPr>
            <w:r w:rsidRPr="001B13F6">
              <w:t>Y</w:t>
            </w:r>
          </w:p>
        </w:tc>
        <w:tc>
          <w:tcPr>
            <w:tcW w:w="1408" w:type="dxa"/>
            <w:shd w:val="clear" w:color="auto" w:fill="auto"/>
          </w:tcPr>
          <w:p w14:paraId="51D07B01" w14:textId="77777777" w:rsidR="00183D6F" w:rsidRPr="001B13F6" w:rsidRDefault="00183D6F" w:rsidP="00183D6F">
            <w:pPr>
              <w:spacing w:before="40" w:after="120"/>
              <w:ind w:right="113"/>
            </w:pPr>
            <w:r w:rsidRPr="001B13F6">
              <w:t>N</w:t>
            </w:r>
          </w:p>
        </w:tc>
        <w:tc>
          <w:tcPr>
            <w:tcW w:w="1509" w:type="dxa"/>
            <w:shd w:val="clear" w:color="auto" w:fill="auto"/>
          </w:tcPr>
          <w:p w14:paraId="460BBBCA" w14:textId="77777777" w:rsidR="00183D6F" w:rsidRPr="001B13F6" w:rsidRDefault="00183D6F" w:rsidP="00183D6F">
            <w:pPr>
              <w:spacing w:before="40" w:after="120"/>
              <w:ind w:right="113"/>
            </w:pPr>
            <w:r w:rsidRPr="001B13F6">
              <w:t>Y</w:t>
            </w:r>
          </w:p>
        </w:tc>
      </w:tr>
      <w:tr w:rsidR="00183D6F" w:rsidRPr="001B13F6" w14:paraId="3CF37E46" w14:textId="77777777" w:rsidTr="00843397">
        <w:tc>
          <w:tcPr>
            <w:tcW w:w="2924" w:type="dxa"/>
            <w:shd w:val="clear" w:color="auto" w:fill="auto"/>
          </w:tcPr>
          <w:p w14:paraId="0F5BFE56" w14:textId="77777777" w:rsidR="00183D6F" w:rsidRPr="001B13F6" w:rsidRDefault="00183D6F" w:rsidP="00183D6F">
            <w:pPr>
              <w:spacing w:before="40" w:after="120"/>
              <w:ind w:right="113"/>
            </w:pPr>
            <w:r w:rsidRPr="001B13F6">
              <w:t>Rwanda</w:t>
            </w:r>
          </w:p>
        </w:tc>
        <w:tc>
          <w:tcPr>
            <w:tcW w:w="1529" w:type="dxa"/>
            <w:shd w:val="clear" w:color="auto" w:fill="auto"/>
          </w:tcPr>
          <w:p w14:paraId="5738E9AE" w14:textId="77777777" w:rsidR="00183D6F" w:rsidRPr="001B13F6" w:rsidRDefault="00183D6F" w:rsidP="00183D6F">
            <w:pPr>
              <w:spacing w:before="40" w:after="120"/>
              <w:ind w:right="113"/>
            </w:pPr>
            <w:r w:rsidRPr="001B13F6">
              <w:t>Y</w:t>
            </w:r>
          </w:p>
        </w:tc>
        <w:tc>
          <w:tcPr>
            <w:tcW w:w="1408" w:type="dxa"/>
            <w:shd w:val="clear" w:color="auto" w:fill="auto"/>
          </w:tcPr>
          <w:p w14:paraId="3D699A25" w14:textId="77777777" w:rsidR="00183D6F" w:rsidRPr="001B13F6" w:rsidRDefault="00183D6F" w:rsidP="00183D6F">
            <w:pPr>
              <w:spacing w:before="40" w:after="120"/>
              <w:ind w:right="113"/>
            </w:pPr>
            <w:r w:rsidRPr="001B13F6">
              <w:t>Y</w:t>
            </w:r>
          </w:p>
        </w:tc>
        <w:tc>
          <w:tcPr>
            <w:tcW w:w="1509" w:type="dxa"/>
            <w:shd w:val="clear" w:color="auto" w:fill="auto"/>
          </w:tcPr>
          <w:p w14:paraId="174B406E" w14:textId="77777777" w:rsidR="00183D6F" w:rsidRPr="001B13F6" w:rsidRDefault="00183D6F" w:rsidP="00183D6F">
            <w:pPr>
              <w:spacing w:before="40" w:after="120"/>
              <w:ind w:right="113"/>
            </w:pPr>
            <w:r w:rsidRPr="001B13F6">
              <w:t>Y</w:t>
            </w:r>
          </w:p>
        </w:tc>
      </w:tr>
      <w:tr w:rsidR="00183D6F" w:rsidRPr="001B13F6" w14:paraId="3DC81F2B" w14:textId="77777777" w:rsidTr="00843397">
        <w:tc>
          <w:tcPr>
            <w:tcW w:w="2924" w:type="dxa"/>
            <w:shd w:val="clear" w:color="auto" w:fill="auto"/>
          </w:tcPr>
          <w:p w14:paraId="644013C0" w14:textId="77777777" w:rsidR="00183D6F" w:rsidRPr="001B13F6" w:rsidRDefault="00183D6F" w:rsidP="00183D6F">
            <w:pPr>
              <w:spacing w:before="40" w:after="120"/>
              <w:ind w:right="113"/>
            </w:pPr>
            <w:r w:rsidRPr="001B13F6">
              <w:t>Saint Kitts and Nevis</w:t>
            </w:r>
          </w:p>
        </w:tc>
        <w:tc>
          <w:tcPr>
            <w:tcW w:w="1529" w:type="dxa"/>
            <w:shd w:val="clear" w:color="auto" w:fill="auto"/>
          </w:tcPr>
          <w:p w14:paraId="0942A22B" w14:textId="77777777" w:rsidR="00183D6F" w:rsidRPr="001B13F6" w:rsidRDefault="00183D6F" w:rsidP="00183D6F">
            <w:pPr>
              <w:spacing w:before="40" w:after="120"/>
              <w:ind w:right="113"/>
            </w:pPr>
            <w:r w:rsidRPr="001B13F6">
              <w:t>N</w:t>
            </w:r>
          </w:p>
        </w:tc>
        <w:tc>
          <w:tcPr>
            <w:tcW w:w="1408" w:type="dxa"/>
            <w:shd w:val="clear" w:color="auto" w:fill="auto"/>
          </w:tcPr>
          <w:p w14:paraId="5C53F0EF" w14:textId="77777777" w:rsidR="00183D6F" w:rsidRPr="001B13F6" w:rsidRDefault="00183D6F" w:rsidP="00183D6F">
            <w:pPr>
              <w:spacing w:before="40" w:after="120"/>
              <w:ind w:right="113"/>
            </w:pPr>
            <w:r w:rsidRPr="001B13F6">
              <w:t>Y</w:t>
            </w:r>
          </w:p>
        </w:tc>
        <w:tc>
          <w:tcPr>
            <w:tcW w:w="1509" w:type="dxa"/>
            <w:shd w:val="clear" w:color="auto" w:fill="auto"/>
          </w:tcPr>
          <w:p w14:paraId="1B4EEC33" w14:textId="77777777" w:rsidR="00183D6F" w:rsidRPr="001B13F6" w:rsidRDefault="00183D6F" w:rsidP="00183D6F">
            <w:pPr>
              <w:spacing w:before="40" w:after="120"/>
              <w:ind w:right="113"/>
            </w:pPr>
            <w:r w:rsidRPr="001B13F6">
              <w:t>N</w:t>
            </w:r>
          </w:p>
        </w:tc>
      </w:tr>
      <w:tr w:rsidR="00183D6F" w:rsidRPr="001B13F6" w14:paraId="7B7A26FD" w14:textId="77777777" w:rsidTr="00843397">
        <w:tc>
          <w:tcPr>
            <w:tcW w:w="2924" w:type="dxa"/>
            <w:shd w:val="clear" w:color="auto" w:fill="auto"/>
          </w:tcPr>
          <w:p w14:paraId="416088C4" w14:textId="77777777" w:rsidR="00183D6F" w:rsidRPr="001B13F6" w:rsidRDefault="00183D6F" w:rsidP="00183D6F">
            <w:pPr>
              <w:spacing w:before="40" w:after="120"/>
              <w:ind w:right="113"/>
            </w:pPr>
            <w:r w:rsidRPr="001B13F6">
              <w:t>Saint Lucia</w:t>
            </w:r>
          </w:p>
        </w:tc>
        <w:tc>
          <w:tcPr>
            <w:tcW w:w="1529" w:type="dxa"/>
            <w:shd w:val="clear" w:color="auto" w:fill="auto"/>
          </w:tcPr>
          <w:p w14:paraId="2F6BA05E" w14:textId="77777777" w:rsidR="00183D6F" w:rsidRPr="001B13F6" w:rsidRDefault="00183D6F" w:rsidP="00183D6F">
            <w:pPr>
              <w:spacing w:before="40" w:after="120"/>
              <w:ind w:right="113"/>
            </w:pPr>
            <w:r w:rsidRPr="001B13F6">
              <w:t>N</w:t>
            </w:r>
          </w:p>
        </w:tc>
        <w:tc>
          <w:tcPr>
            <w:tcW w:w="1408" w:type="dxa"/>
            <w:shd w:val="clear" w:color="auto" w:fill="auto"/>
          </w:tcPr>
          <w:p w14:paraId="4EF415D5" w14:textId="77777777" w:rsidR="00183D6F" w:rsidRPr="001B13F6" w:rsidRDefault="00183D6F" w:rsidP="00183D6F">
            <w:pPr>
              <w:spacing w:before="40" w:after="120"/>
              <w:ind w:right="113"/>
            </w:pPr>
            <w:r w:rsidRPr="001B13F6">
              <w:t>N</w:t>
            </w:r>
          </w:p>
        </w:tc>
        <w:tc>
          <w:tcPr>
            <w:tcW w:w="1509" w:type="dxa"/>
            <w:shd w:val="clear" w:color="auto" w:fill="auto"/>
          </w:tcPr>
          <w:p w14:paraId="04F66480" w14:textId="77777777" w:rsidR="00183D6F" w:rsidRPr="001B13F6" w:rsidRDefault="00183D6F" w:rsidP="00183D6F">
            <w:pPr>
              <w:spacing w:before="40" w:after="120"/>
              <w:ind w:right="113"/>
            </w:pPr>
            <w:r w:rsidRPr="001B13F6">
              <w:t>N</w:t>
            </w:r>
          </w:p>
        </w:tc>
      </w:tr>
      <w:tr w:rsidR="00183D6F" w:rsidRPr="001B13F6" w14:paraId="0DC3F793" w14:textId="77777777" w:rsidTr="00843397">
        <w:tc>
          <w:tcPr>
            <w:tcW w:w="2924" w:type="dxa"/>
            <w:shd w:val="clear" w:color="auto" w:fill="auto"/>
          </w:tcPr>
          <w:p w14:paraId="1836A35C" w14:textId="77777777" w:rsidR="00183D6F" w:rsidRPr="001B13F6" w:rsidRDefault="00183D6F" w:rsidP="00183D6F">
            <w:pPr>
              <w:spacing w:before="40" w:after="120"/>
              <w:ind w:right="113"/>
            </w:pPr>
            <w:r w:rsidRPr="001B13F6">
              <w:t>Saint Vincent and the Grenadines</w:t>
            </w:r>
          </w:p>
        </w:tc>
        <w:tc>
          <w:tcPr>
            <w:tcW w:w="1529" w:type="dxa"/>
            <w:shd w:val="clear" w:color="auto" w:fill="auto"/>
          </w:tcPr>
          <w:p w14:paraId="0325C62F" w14:textId="77777777" w:rsidR="00183D6F" w:rsidRPr="001B13F6" w:rsidRDefault="00183D6F" w:rsidP="00183D6F">
            <w:pPr>
              <w:spacing w:before="40" w:after="120"/>
              <w:ind w:right="113"/>
            </w:pPr>
            <w:r w:rsidRPr="001B13F6">
              <w:t>N</w:t>
            </w:r>
          </w:p>
        </w:tc>
        <w:tc>
          <w:tcPr>
            <w:tcW w:w="1408" w:type="dxa"/>
            <w:shd w:val="clear" w:color="auto" w:fill="auto"/>
          </w:tcPr>
          <w:p w14:paraId="5B30B0AB" w14:textId="77777777" w:rsidR="00183D6F" w:rsidRPr="001B13F6" w:rsidRDefault="00183D6F" w:rsidP="00183D6F">
            <w:pPr>
              <w:spacing w:before="40" w:after="120"/>
              <w:ind w:right="113"/>
            </w:pPr>
            <w:r w:rsidRPr="001B13F6">
              <w:t>Y</w:t>
            </w:r>
          </w:p>
        </w:tc>
        <w:tc>
          <w:tcPr>
            <w:tcW w:w="1509" w:type="dxa"/>
            <w:shd w:val="clear" w:color="auto" w:fill="auto"/>
          </w:tcPr>
          <w:p w14:paraId="75F687C8" w14:textId="77777777" w:rsidR="00183D6F" w:rsidRPr="001B13F6" w:rsidRDefault="00183D6F" w:rsidP="00183D6F">
            <w:pPr>
              <w:spacing w:before="40" w:after="120"/>
              <w:ind w:right="113"/>
            </w:pPr>
            <w:r w:rsidRPr="001B13F6">
              <w:t>N</w:t>
            </w:r>
          </w:p>
        </w:tc>
      </w:tr>
      <w:tr w:rsidR="00183D6F" w:rsidRPr="001B13F6" w14:paraId="2F4F1264" w14:textId="77777777" w:rsidTr="00843397">
        <w:tc>
          <w:tcPr>
            <w:tcW w:w="2924" w:type="dxa"/>
            <w:shd w:val="clear" w:color="auto" w:fill="auto"/>
          </w:tcPr>
          <w:p w14:paraId="31FD75E1" w14:textId="77777777" w:rsidR="00183D6F" w:rsidRPr="001B13F6" w:rsidRDefault="00183D6F" w:rsidP="00183D6F">
            <w:pPr>
              <w:spacing w:before="40" w:after="120"/>
              <w:ind w:right="113"/>
            </w:pPr>
            <w:r w:rsidRPr="001B13F6">
              <w:t>Samoa</w:t>
            </w:r>
          </w:p>
        </w:tc>
        <w:tc>
          <w:tcPr>
            <w:tcW w:w="1529" w:type="dxa"/>
            <w:shd w:val="clear" w:color="auto" w:fill="auto"/>
          </w:tcPr>
          <w:p w14:paraId="63A00A69" w14:textId="77777777" w:rsidR="00183D6F" w:rsidRPr="001B13F6" w:rsidRDefault="00183D6F" w:rsidP="00183D6F">
            <w:pPr>
              <w:spacing w:before="40" w:after="120"/>
              <w:ind w:right="113"/>
            </w:pPr>
            <w:r w:rsidRPr="001B13F6">
              <w:t>N</w:t>
            </w:r>
          </w:p>
        </w:tc>
        <w:tc>
          <w:tcPr>
            <w:tcW w:w="1408" w:type="dxa"/>
            <w:shd w:val="clear" w:color="auto" w:fill="auto"/>
          </w:tcPr>
          <w:p w14:paraId="0DBC378A" w14:textId="77777777" w:rsidR="00183D6F" w:rsidRPr="001B13F6" w:rsidRDefault="00183D6F" w:rsidP="00183D6F">
            <w:pPr>
              <w:spacing w:before="40" w:after="120"/>
              <w:ind w:right="113"/>
            </w:pPr>
            <w:r w:rsidRPr="001B13F6">
              <w:t>N</w:t>
            </w:r>
          </w:p>
        </w:tc>
        <w:tc>
          <w:tcPr>
            <w:tcW w:w="1509" w:type="dxa"/>
            <w:shd w:val="clear" w:color="auto" w:fill="auto"/>
          </w:tcPr>
          <w:p w14:paraId="08AB5100" w14:textId="77777777" w:rsidR="00183D6F" w:rsidRPr="001B13F6" w:rsidRDefault="00183D6F" w:rsidP="00183D6F">
            <w:pPr>
              <w:spacing w:before="40" w:after="120"/>
              <w:ind w:right="113"/>
            </w:pPr>
            <w:r w:rsidRPr="001B13F6">
              <w:t>N</w:t>
            </w:r>
          </w:p>
        </w:tc>
      </w:tr>
      <w:tr w:rsidR="00183D6F" w:rsidRPr="001B13F6" w14:paraId="27497B8A" w14:textId="77777777" w:rsidTr="00843397">
        <w:tc>
          <w:tcPr>
            <w:tcW w:w="2924" w:type="dxa"/>
            <w:shd w:val="clear" w:color="auto" w:fill="auto"/>
          </w:tcPr>
          <w:p w14:paraId="0781524F" w14:textId="77777777" w:rsidR="00183D6F" w:rsidRPr="001B13F6" w:rsidRDefault="00183D6F" w:rsidP="00183D6F">
            <w:pPr>
              <w:spacing w:before="40" w:after="120"/>
              <w:ind w:right="113"/>
            </w:pPr>
            <w:r w:rsidRPr="001B13F6">
              <w:t>San Marino</w:t>
            </w:r>
          </w:p>
        </w:tc>
        <w:tc>
          <w:tcPr>
            <w:tcW w:w="1529" w:type="dxa"/>
            <w:shd w:val="clear" w:color="auto" w:fill="auto"/>
          </w:tcPr>
          <w:p w14:paraId="073F5B39" w14:textId="77777777" w:rsidR="00183D6F" w:rsidRPr="001B13F6" w:rsidRDefault="00183D6F" w:rsidP="00183D6F">
            <w:pPr>
              <w:spacing w:before="40" w:after="120"/>
              <w:ind w:right="113"/>
            </w:pPr>
            <w:r w:rsidRPr="001B13F6">
              <w:t>N</w:t>
            </w:r>
          </w:p>
        </w:tc>
        <w:tc>
          <w:tcPr>
            <w:tcW w:w="1408" w:type="dxa"/>
            <w:shd w:val="clear" w:color="auto" w:fill="auto"/>
          </w:tcPr>
          <w:p w14:paraId="249B47DD" w14:textId="77777777" w:rsidR="00183D6F" w:rsidRPr="001B13F6" w:rsidRDefault="00183D6F" w:rsidP="00183D6F">
            <w:pPr>
              <w:spacing w:before="40" w:after="120"/>
              <w:ind w:right="113"/>
            </w:pPr>
            <w:r w:rsidRPr="001B13F6">
              <w:t>N</w:t>
            </w:r>
          </w:p>
        </w:tc>
        <w:tc>
          <w:tcPr>
            <w:tcW w:w="1509" w:type="dxa"/>
            <w:shd w:val="clear" w:color="auto" w:fill="auto"/>
          </w:tcPr>
          <w:p w14:paraId="7420BEED" w14:textId="77777777" w:rsidR="00183D6F" w:rsidRPr="001B13F6" w:rsidRDefault="00183D6F" w:rsidP="00183D6F">
            <w:pPr>
              <w:spacing w:before="40" w:after="120"/>
              <w:ind w:right="113"/>
            </w:pPr>
            <w:r w:rsidRPr="001B13F6">
              <w:t>N</w:t>
            </w:r>
          </w:p>
        </w:tc>
      </w:tr>
      <w:tr w:rsidR="00183D6F" w:rsidRPr="001B13F6" w14:paraId="21E7BC76" w14:textId="77777777" w:rsidTr="00843397">
        <w:tc>
          <w:tcPr>
            <w:tcW w:w="2924" w:type="dxa"/>
            <w:shd w:val="clear" w:color="auto" w:fill="auto"/>
          </w:tcPr>
          <w:p w14:paraId="49153745" w14:textId="77777777" w:rsidR="00183D6F" w:rsidRPr="001B13F6" w:rsidRDefault="00183D6F" w:rsidP="00183D6F">
            <w:pPr>
              <w:spacing w:before="40" w:after="120"/>
              <w:ind w:right="113"/>
            </w:pPr>
            <w:r w:rsidRPr="001B13F6">
              <w:t>Sao Tome and Principe</w:t>
            </w:r>
          </w:p>
        </w:tc>
        <w:tc>
          <w:tcPr>
            <w:tcW w:w="1529" w:type="dxa"/>
            <w:shd w:val="clear" w:color="auto" w:fill="auto"/>
          </w:tcPr>
          <w:p w14:paraId="4DF63F9C" w14:textId="77777777" w:rsidR="00183D6F" w:rsidRPr="001B13F6" w:rsidRDefault="00183D6F" w:rsidP="00183D6F">
            <w:pPr>
              <w:spacing w:before="40" w:after="120"/>
              <w:ind w:right="113"/>
            </w:pPr>
            <w:r w:rsidRPr="001B13F6">
              <w:t>Y</w:t>
            </w:r>
          </w:p>
        </w:tc>
        <w:tc>
          <w:tcPr>
            <w:tcW w:w="1408" w:type="dxa"/>
            <w:shd w:val="clear" w:color="auto" w:fill="auto"/>
          </w:tcPr>
          <w:p w14:paraId="7AF332F0" w14:textId="77777777" w:rsidR="00183D6F" w:rsidRPr="001B13F6" w:rsidRDefault="00183D6F" w:rsidP="00183D6F">
            <w:pPr>
              <w:spacing w:before="40" w:after="120"/>
              <w:ind w:right="113"/>
            </w:pPr>
            <w:r w:rsidRPr="001B13F6">
              <w:t>Y</w:t>
            </w:r>
          </w:p>
        </w:tc>
        <w:tc>
          <w:tcPr>
            <w:tcW w:w="1509" w:type="dxa"/>
            <w:shd w:val="clear" w:color="auto" w:fill="auto"/>
          </w:tcPr>
          <w:p w14:paraId="5EF61746" w14:textId="77777777" w:rsidR="00183D6F" w:rsidRPr="001B13F6" w:rsidRDefault="00183D6F" w:rsidP="00183D6F">
            <w:pPr>
              <w:spacing w:before="40" w:after="120"/>
              <w:ind w:right="113"/>
            </w:pPr>
            <w:r w:rsidRPr="001B13F6">
              <w:t>Y</w:t>
            </w:r>
          </w:p>
        </w:tc>
      </w:tr>
      <w:tr w:rsidR="00183D6F" w:rsidRPr="001B13F6" w14:paraId="0E00363D" w14:textId="77777777" w:rsidTr="00843397">
        <w:tc>
          <w:tcPr>
            <w:tcW w:w="2924" w:type="dxa"/>
            <w:shd w:val="clear" w:color="auto" w:fill="auto"/>
          </w:tcPr>
          <w:p w14:paraId="5235C126" w14:textId="77777777" w:rsidR="00183D6F" w:rsidRPr="001B13F6" w:rsidRDefault="00183D6F" w:rsidP="00183D6F">
            <w:pPr>
              <w:spacing w:before="40" w:after="120"/>
              <w:ind w:right="113"/>
            </w:pPr>
            <w:r w:rsidRPr="001B13F6">
              <w:t>Saudi Arabia</w:t>
            </w:r>
          </w:p>
        </w:tc>
        <w:tc>
          <w:tcPr>
            <w:tcW w:w="1529" w:type="dxa"/>
            <w:shd w:val="clear" w:color="auto" w:fill="auto"/>
          </w:tcPr>
          <w:p w14:paraId="733FB72D" w14:textId="77777777" w:rsidR="00183D6F" w:rsidRPr="001B13F6" w:rsidRDefault="00183D6F" w:rsidP="00183D6F">
            <w:pPr>
              <w:spacing w:before="40" w:after="120"/>
              <w:ind w:right="113"/>
            </w:pPr>
            <w:r w:rsidRPr="001B13F6">
              <w:t>N</w:t>
            </w:r>
          </w:p>
        </w:tc>
        <w:tc>
          <w:tcPr>
            <w:tcW w:w="1408" w:type="dxa"/>
            <w:shd w:val="clear" w:color="auto" w:fill="auto"/>
          </w:tcPr>
          <w:p w14:paraId="6E633A86" w14:textId="77777777" w:rsidR="00183D6F" w:rsidRPr="001B13F6" w:rsidRDefault="00183D6F" w:rsidP="00183D6F">
            <w:pPr>
              <w:spacing w:before="40" w:after="120"/>
              <w:ind w:right="113"/>
            </w:pPr>
            <w:r w:rsidRPr="001B13F6">
              <w:t>Y</w:t>
            </w:r>
          </w:p>
        </w:tc>
        <w:tc>
          <w:tcPr>
            <w:tcW w:w="1509" w:type="dxa"/>
            <w:shd w:val="clear" w:color="auto" w:fill="auto"/>
          </w:tcPr>
          <w:p w14:paraId="6FC90636" w14:textId="77777777" w:rsidR="00183D6F" w:rsidRPr="001B13F6" w:rsidRDefault="00183D6F" w:rsidP="00183D6F">
            <w:pPr>
              <w:spacing w:before="40" w:after="120"/>
              <w:ind w:right="113"/>
            </w:pPr>
            <w:r w:rsidRPr="001B13F6">
              <w:t>Y</w:t>
            </w:r>
          </w:p>
        </w:tc>
      </w:tr>
      <w:tr w:rsidR="00183D6F" w:rsidRPr="001B13F6" w14:paraId="01294B41" w14:textId="77777777" w:rsidTr="00843397">
        <w:tc>
          <w:tcPr>
            <w:tcW w:w="2924" w:type="dxa"/>
            <w:shd w:val="clear" w:color="auto" w:fill="auto"/>
          </w:tcPr>
          <w:p w14:paraId="392D75F0" w14:textId="77777777" w:rsidR="00183D6F" w:rsidRPr="001B13F6" w:rsidRDefault="00183D6F" w:rsidP="00183D6F">
            <w:pPr>
              <w:spacing w:before="40" w:after="120"/>
              <w:ind w:right="113"/>
            </w:pPr>
            <w:r w:rsidRPr="001B13F6">
              <w:t>Senegal</w:t>
            </w:r>
          </w:p>
        </w:tc>
        <w:tc>
          <w:tcPr>
            <w:tcW w:w="1529" w:type="dxa"/>
            <w:shd w:val="clear" w:color="auto" w:fill="auto"/>
          </w:tcPr>
          <w:p w14:paraId="20123F5F" w14:textId="77777777" w:rsidR="00183D6F" w:rsidRPr="001B13F6" w:rsidRDefault="00183D6F" w:rsidP="00183D6F">
            <w:pPr>
              <w:spacing w:before="40" w:after="120"/>
              <w:ind w:right="113"/>
            </w:pPr>
            <w:r w:rsidRPr="001B13F6">
              <w:t>Y</w:t>
            </w:r>
          </w:p>
        </w:tc>
        <w:tc>
          <w:tcPr>
            <w:tcW w:w="1408" w:type="dxa"/>
            <w:shd w:val="clear" w:color="auto" w:fill="auto"/>
          </w:tcPr>
          <w:p w14:paraId="7715E86A" w14:textId="77777777" w:rsidR="00183D6F" w:rsidRPr="001B13F6" w:rsidRDefault="00183D6F" w:rsidP="00183D6F">
            <w:pPr>
              <w:spacing w:before="40" w:after="120"/>
              <w:ind w:right="113"/>
            </w:pPr>
            <w:r w:rsidRPr="001B13F6">
              <w:t>Y</w:t>
            </w:r>
          </w:p>
        </w:tc>
        <w:tc>
          <w:tcPr>
            <w:tcW w:w="1509" w:type="dxa"/>
            <w:shd w:val="clear" w:color="auto" w:fill="auto"/>
          </w:tcPr>
          <w:p w14:paraId="1E822099" w14:textId="77777777" w:rsidR="00183D6F" w:rsidRPr="001B13F6" w:rsidRDefault="00183D6F" w:rsidP="00183D6F">
            <w:pPr>
              <w:spacing w:before="40" w:after="120"/>
              <w:ind w:right="113"/>
            </w:pPr>
            <w:r w:rsidRPr="001B13F6">
              <w:t>Y</w:t>
            </w:r>
          </w:p>
        </w:tc>
      </w:tr>
      <w:tr w:rsidR="00183D6F" w:rsidRPr="001B13F6" w14:paraId="59123D62" w14:textId="77777777" w:rsidTr="00843397">
        <w:tc>
          <w:tcPr>
            <w:tcW w:w="2924" w:type="dxa"/>
            <w:shd w:val="clear" w:color="auto" w:fill="auto"/>
          </w:tcPr>
          <w:p w14:paraId="28389C89" w14:textId="77777777" w:rsidR="00183D6F" w:rsidRPr="001B13F6" w:rsidRDefault="00183D6F" w:rsidP="00183D6F">
            <w:pPr>
              <w:spacing w:before="40" w:after="120"/>
              <w:ind w:right="113"/>
            </w:pPr>
            <w:r w:rsidRPr="001B13F6">
              <w:t>Serbia</w:t>
            </w:r>
          </w:p>
        </w:tc>
        <w:tc>
          <w:tcPr>
            <w:tcW w:w="1529" w:type="dxa"/>
            <w:shd w:val="clear" w:color="auto" w:fill="auto"/>
          </w:tcPr>
          <w:p w14:paraId="1ED9F5C9" w14:textId="77777777" w:rsidR="00183D6F" w:rsidRPr="001B13F6" w:rsidRDefault="00183D6F" w:rsidP="00183D6F">
            <w:pPr>
              <w:spacing w:before="40" w:after="120"/>
              <w:ind w:right="113"/>
            </w:pPr>
            <w:r w:rsidRPr="001B13F6">
              <w:t>Y</w:t>
            </w:r>
          </w:p>
        </w:tc>
        <w:tc>
          <w:tcPr>
            <w:tcW w:w="1408" w:type="dxa"/>
            <w:shd w:val="clear" w:color="auto" w:fill="auto"/>
          </w:tcPr>
          <w:p w14:paraId="2AB6DFF9" w14:textId="77777777" w:rsidR="00183D6F" w:rsidRPr="001B13F6" w:rsidRDefault="00183D6F" w:rsidP="00183D6F">
            <w:pPr>
              <w:spacing w:before="40" w:after="120"/>
              <w:ind w:right="113"/>
            </w:pPr>
            <w:r w:rsidRPr="001B13F6">
              <w:t>Y</w:t>
            </w:r>
          </w:p>
        </w:tc>
        <w:tc>
          <w:tcPr>
            <w:tcW w:w="1509" w:type="dxa"/>
            <w:shd w:val="clear" w:color="auto" w:fill="auto"/>
          </w:tcPr>
          <w:p w14:paraId="44BB1B47" w14:textId="77777777" w:rsidR="00183D6F" w:rsidRPr="001B13F6" w:rsidRDefault="00183D6F" w:rsidP="00183D6F">
            <w:pPr>
              <w:spacing w:before="40" w:after="120"/>
              <w:ind w:right="113"/>
            </w:pPr>
            <w:r w:rsidRPr="001B13F6">
              <w:t>Y</w:t>
            </w:r>
          </w:p>
        </w:tc>
      </w:tr>
      <w:tr w:rsidR="00183D6F" w:rsidRPr="001B13F6" w14:paraId="6B1B0393" w14:textId="77777777" w:rsidTr="00843397">
        <w:tc>
          <w:tcPr>
            <w:tcW w:w="2924" w:type="dxa"/>
            <w:shd w:val="clear" w:color="auto" w:fill="auto"/>
          </w:tcPr>
          <w:p w14:paraId="2BC9BECE" w14:textId="77777777" w:rsidR="00183D6F" w:rsidRPr="001B13F6" w:rsidRDefault="00183D6F" w:rsidP="00183D6F">
            <w:pPr>
              <w:spacing w:before="40" w:after="120"/>
              <w:ind w:right="113"/>
            </w:pPr>
            <w:r w:rsidRPr="001B13F6">
              <w:t>Seychelles</w:t>
            </w:r>
          </w:p>
        </w:tc>
        <w:tc>
          <w:tcPr>
            <w:tcW w:w="1529" w:type="dxa"/>
            <w:shd w:val="clear" w:color="auto" w:fill="auto"/>
          </w:tcPr>
          <w:p w14:paraId="75A9B562" w14:textId="77777777" w:rsidR="00183D6F" w:rsidRPr="001B13F6" w:rsidRDefault="00183D6F" w:rsidP="00183D6F">
            <w:pPr>
              <w:spacing w:before="40" w:after="120"/>
              <w:ind w:right="113"/>
            </w:pPr>
            <w:r w:rsidRPr="001B13F6">
              <w:t>Y</w:t>
            </w:r>
          </w:p>
        </w:tc>
        <w:tc>
          <w:tcPr>
            <w:tcW w:w="1408" w:type="dxa"/>
            <w:shd w:val="clear" w:color="auto" w:fill="auto"/>
          </w:tcPr>
          <w:p w14:paraId="0AA0548F" w14:textId="77777777" w:rsidR="00183D6F" w:rsidRPr="001B13F6" w:rsidRDefault="00183D6F" w:rsidP="00183D6F">
            <w:pPr>
              <w:spacing w:before="40" w:after="120"/>
              <w:ind w:right="113"/>
            </w:pPr>
            <w:r w:rsidRPr="001B13F6">
              <w:t>Y</w:t>
            </w:r>
          </w:p>
        </w:tc>
        <w:tc>
          <w:tcPr>
            <w:tcW w:w="1509" w:type="dxa"/>
            <w:shd w:val="clear" w:color="auto" w:fill="auto"/>
          </w:tcPr>
          <w:p w14:paraId="43D8B16A" w14:textId="77777777" w:rsidR="00183D6F" w:rsidRPr="001B13F6" w:rsidRDefault="00183D6F" w:rsidP="00183D6F">
            <w:pPr>
              <w:spacing w:before="40" w:after="120"/>
              <w:ind w:right="113"/>
            </w:pPr>
            <w:r w:rsidRPr="001B13F6">
              <w:t>N</w:t>
            </w:r>
          </w:p>
        </w:tc>
      </w:tr>
      <w:tr w:rsidR="00183D6F" w:rsidRPr="001B13F6" w14:paraId="104928E2" w14:textId="77777777" w:rsidTr="00843397">
        <w:tc>
          <w:tcPr>
            <w:tcW w:w="2924" w:type="dxa"/>
            <w:shd w:val="clear" w:color="auto" w:fill="auto"/>
          </w:tcPr>
          <w:p w14:paraId="066516F7" w14:textId="77777777" w:rsidR="00183D6F" w:rsidRPr="001B13F6" w:rsidRDefault="00183D6F" w:rsidP="00183D6F">
            <w:pPr>
              <w:spacing w:before="40" w:after="120"/>
              <w:ind w:right="113"/>
            </w:pPr>
            <w:r w:rsidRPr="001B13F6">
              <w:t>Sierra Leone</w:t>
            </w:r>
          </w:p>
        </w:tc>
        <w:tc>
          <w:tcPr>
            <w:tcW w:w="1529" w:type="dxa"/>
            <w:shd w:val="clear" w:color="auto" w:fill="auto"/>
          </w:tcPr>
          <w:p w14:paraId="6F2EBF3E" w14:textId="77777777" w:rsidR="00183D6F" w:rsidRPr="001B13F6" w:rsidRDefault="00183D6F" w:rsidP="00183D6F">
            <w:pPr>
              <w:spacing w:before="40" w:after="120"/>
              <w:ind w:right="113"/>
            </w:pPr>
            <w:r w:rsidRPr="001B13F6">
              <w:t>N</w:t>
            </w:r>
          </w:p>
        </w:tc>
        <w:tc>
          <w:tcPr>
            <w:tcW w:w="1408" w:type="dxa"/>
            <w:shd w:val="clear" w:color="auto" w:fill="auto"/>
          </w:tcPr>
          <w:p w14:paraId="6F6BB298" w14:textId="77777777" w:rsidR="00183D6F" w:rsidRPr="001B13F6" w:rsidRDefault="00183D6F" w:rsidP="00183D6F">
            <w:pPr>
              <w:spacing w:before="40" w:after="120"/>
              <w:ind w:right="113"/>
            </w:pPr>
            <w:r w:rsidRPr="001B13F6">
              <w:t>Y</w:t>
            </w:r>
          </w:p>
        </w:tc>
        <w:tc>
          <w:tcPr>
            <w:tcW w:w="1509" w:type="dxa"/>
            <w:shd w:val="clear" w:color="auto" w:fill="auto"/>
          </w:tcPr>
          <w:p w14:paraId="11AF61D7" w14:textId="77777777" w:rsidR="00183D6F" w:rsidRPr="001B13F6" w:rsidRDefault="00183D6F" w:rsidP="00183D6F">
            <w:pPr>
              <w:spacing w:before="40" w:after="120"/>
              <w:ind w:right="113"/>
            </w:pPr>
            <w:r w:rsidRPr="001B13F6">
              <w:t>N</w:t>
            </w:r>
          </w:p>
        </w:tc>
      </w:tr>
      <w:tr w:rsidR="00183D6F" w:rsidRPr="001B13F6" w14:paraId="36C2FE93" w14:textId="77777777" w:rsidTr="00843397">
        <w:tc>
          <w:tcPr>
            <w:tcW w:w="2924" w:type="dxa"/>
            <w:shd w:val="clear" w:color="auto" w:fill="auto"/>
          </w:tcPr>
          <w:p w14:paraId="61B22D48" w14:textId="77777777" w:rsidR="00183D6F" w:rsidRPr="001B13F6" w:rsidRDefault="00183D6F" w:rsidP="00183D6F">
            <w:pPr>
              <w:spacing w:before="40" w:after="120"/>
              <w:ind w:right="113"/>
            </w:pPr>
            <w:r w:rsidRPr="001B13F6">
              <w:t>Singapore</w:t>
            </w:r>
          </w:p>
        </w:tc>
        <w:tc>
          <w:tcPr>
            <w:tcW w:w="1529" w:type="dxa"/>
            <w:shd w:val="clear" w:color="auto" w:fill="auto"/>
          </w:tcPr>
          <w:p w14:paraId="0B80126E" w14:textId="77777777" w:rsidR="00183D6F" w:rsidRPr="001B13F6" w:rsidRDefault="00183D6F" w:rsidP="00183D6F">
            <w:pPr>
              <w:spacing w:before="40" w:after="120"/>
              <w:ind w:right="113"/>
            </w:pPr>
            <w:r w:rsidRPr="001B13F6">
              <w:t>N</w:t>
            </w:r>
          </w:p>
        </w:tc>
        <w:tc>
          <w:tcPr>
            <w:tcW w:w="1408" w:type="dxa"/>
            <w:shd w:val="clear" w:color="auto" w:fill="auto"/>
          </w:tcPr>
          <w:p w14:paraId="4B4FAF52" w14:textId="77777777" w:rsidR="00183D6F" w:rsidRPr="001B13F6" w:rsidRDefault="00183D6F" w:rsidP="00183D6F">
            <w:pPr>
              <w:spacing w:before="40" w:after="120"/>
              <w:ind w:right="113"/>
            </w:pPr>
            <w:r w:rsidRPr="001B13F6">
              <w:t>N</w:t>
            </w:r>
          </w:p>
        </w:tc>
        <w:tc>
          <w:tcPr>
            <w:tcW w:w="1509" w:type="dxa"/>
            <w:shd w:val="clear" w:color="auto" w:fill="auto"/>
          </w:tcPr>
          <w:p w14:paraId="4B05C0D1" w14:textId="77777777" w:rsidR="00183D6F" w:rsidRPr="001B13F6" w:rsidRDefault="00183D6F" w:rsidP="00183D6F">
            <w:pPr>
              <w:spacing w:before="40" w:after="120"/>
              <w:ind w:right="113"/>
            </w:pPr>
            <w:r w:rsidRPr="001B13F6">
              <w:t>N</w:t>
            </w:r>
          </w:p>
        </w:tc>
      </w:tr>
      <w:tr w:rsidR="00183D6F" w:rsidRPr="001B13F6" w14:paraId="346FC320" w14:textId="77777777" w:rsidTr="00843397">
        <w:tc>
          <w:tcPr>
            <w:tcW w:w="2924" w:type="dxa"/>
            <w:shd w:val="clear" w:color="auto" w:fill="auto"/>
          </w:tcPr>
          <w:p w14:paraId="71AD0F69" w14:textId="77777777" w:rsidR="00183D6F" w:rsidRPr="001B13F6" w:rsidRDefault="00183D6F" w:rsidP="00183D6F">
            <w:pPr>
              <w:spacing w:before="40" w:after="120"/>
              <w:ind w:right="113"/>
            </w:pPr>
            <w:r w:rsidRPr="001B13F6">
              <w:t>Slovakia</w:t>
            </w:r>
          </w:p>
        </w:tc>
        <w:tc>
          <w:tcPr>
            <w:tcW w:w="1529" w:type="dxa"/>
            <w:shd w:val="clear" w:color="auto" w:fill="auto"/>
          </w:tcPr>
          <w:p w14:paraId="17353053" w14:textId="77777777" w:rsidR="00183D6F" w:rsidRPr="001B13F6" w:rsidRDefault="00183D6F" w:rsidP="00183D6F">
            <w:pPr>
              <w:spacing w:before="40" w:after="120"/>
              <w:ind w:right="113"/>
            </w:pPr>
            <w:r w:rsidRPr="001B13F6">
              <w:t>Y</w:t>
            </w:r>
          </w:p>
        </w:tc>
        <w:tc>
          <w:tcPr>
            <w:tcW w:w="1408" w:type="dxa"/>
            <w:shd w:val="clear" w:color="auto" w:fill="auto"/>
          </w:tcPr>
          <w:p w14:paraId="6E8B9952" w14:textId="77777777" w:rsidR="00183D6F" w:rsidRPr="001B13F6" w:rsidRDefault="00183D6F" w:rsidP="00183D6F">
            <w:pPr>
              <w:spacing w:before="40" w:after="120"/>
              <w:ind w:right="113"/>
            </w:pPr>
            <w:r w:rsidRPr="001B13F6">
              <w:t>Y</w:t>
            </w:r>
          </w:p>
        </w:tc>
        <w:tc>
          <w:tcPr>
            <w:tcW w:w="1509" w:type="dxa"/>
            <w:shd w:val="clear" w:color="auto" w:fill="auto"/>
          </w:tcPr>
          <w:p w14:paraId="7C85CF54" w14:textId="77777777" w:rsidR="00183D6F" w:rsidRPr="001B13F6" w:rsidRDefault="00183D6F" w:rsidP="00183D6F">
            <w:pPr>
              <w:spacing w:before="40" w:after="120"/>
              <w:ind w:right="113"/>
            </w:pPr>
            <w:r w:rsidRPr="001B13F6">
              <w:t>Y</w:t>
            </w:r>
          </w:p>
        </w:tc>
      </w:tr>
      <w:tr w:rsidR="00183D6F" w:rsidRPr="001B13F6" w14:paraId="7786ABF3" w14:textId="77777777" w:rsidTr="00843397">
        <w:tc>
          <w:tcPr>
            <w:tcW w:w="2924" w:type="dxa"/>
            <w:shd w:val="clear" w:color="auto" w:fill="auto"/>
          </w:tcPr>
          <w:p w14:paraId="3E9D74F9" w14:textId="77777777" w:rsidR="00183D6F" w:rsidRPr="001B13F6" w:rsidRDefault="00183D6F" w:rsidP="00183D6F">
            <w:pPr>
              <w:spacing w:before="40" w:after="120"/>
              <w:ind w:right="113"/>
            </w:pPr>
            <w:r w:rsidRPr="001B13F6">
              <w:t>Slovenia</w:t>
            </w:r>
          </w:p>
        </w:tc>
        <w:tc>
          <w:tcPr>
            <w:tcW w:w="1529" w:type="dxa"/>
            <w:shd w:val="clear" w:color="auto" w:fill="auto"/>
          </w:tcPr>
          <w:p w14:paraId="399D3FD6" w14:textId="77777777" w:rsidR="00183D6F" w:rsidRPr="001B13F6" w:rsidRDefault="00183D6F" w:rsidP="00183D6F">
            <w:pPr>
              <w:spacing w:before="40" w:after="120"/>
              <w:ind w:right="113"/>
            </w:pPr>
            <w:r w:rsidRPr="001B13F6">
              <w:t>Y</w:t>
            </w:r>
          </w:p>
        </w:tc>
        <w:tc>
          <w:tcPr>
            <w:tcW w:w="1408" w:type="dxa"/>
            <w:shd w:val="clear" w:color="auto" w:fill="auto"/>
          </w:tcPr>
          <w:p w14:paraId="60A6C43D" w14:textId="77777777" w:rsidR="00183D6F" w:rsidRPr="001B13F6" w:rsidRDefault="00183D6F" w:rsidP="00183D6F">
            <w:pPr>
              <w:spacing w:before="40" w:after="120"/>
              <w:ind w:right="113"/>
            </w:pPr>
            <w:r w:rsidRPr="001B13F6">
              <w:t>Y</w:t>
            </w:r>
          </w:p>
        </w:tc>
        <w:tc>
          <w:tcPr>
            <w:tcW w:w="1509" w:type="dxa"/>
            <w:shd w:val="clear" w:color="auto" w:fill="auto"/>
          </w:tcPr>
          <w:p w14:paraId="78C34DA5" w14:textId="77777777" w:rsidR="00183D6F" w:rsidRPr="001B13F6" w:rsidRDefault="00183D6F" w:rsidP="00183D6F">
            <w:pPr>
              <w:spacing w:before="40" w:after="120"/>
              <w:ind w:right="113"/>
            </w:pPr>
            <w:r w:rsidRPr="001B13F6">
              <w:t>Y</w:t>
            </w:r>
          </w:p>
        </w:tc>
      </w:tr>
      <w:tr w:rsidR="00183D6F" w:rsidRPr="001B13F6" w14:paraId="7C590AE2" w14:textId="77777777" w:rsidTr="00843397">
        <w:tc>
          <w:tcPr>
            <w:tcW w:w="2924" w:type="dxa"/>
            <w:shd w:val="clear" w:color="auto" w:fill="auto"/>
          </w:tcPr>
          <w:p w14:paraId="047F709C" w14:textId="77777777" w:rsidR="00183D6F" w:rsidRPr="001B13F6" w:rsidRDefault="00183D6F" w:rsidP="00183D6F">
            <w:pPr>
              <w:spacing w:before="40" w:after="120"/>
              <w:ind w:right="113"/>
            </w:pPr>
            <w:r w:rsidRPr="001B13F6">
              <w:t>Solomon Islands</w:t>
            </w:r>
          </w:p>
        </w:tc>
        <w:tc>
          <w:tcPr>
            <w:tcW w:w="1529" w:type="dxa"/>
            <w:shd w:val="clear" w:color="auto" w:fill="auto"/>
          </w:tcPr>
          <w:p w14:paraId="280FB05E" w14:textId="77777777" w:rsidR="00183D6F" w:rsidRPr="001B13F6" w:rsidRDefault="00183D6F" w:rsidP="00183D6F">
            <w:pPr>
              <w:spacing w:before="40" w:after="120"/>
              <w:ind w:right="113"/>
            </w:pPr>
            <w:r w:rsidRPr="001B13F6">
              <w:t>N</w:t>
            </w:r>
          </w:p>
        </w:tc>
        <w:tc>
          <w:tcPr>
            <w:tcW w:w="1408" w:type="dxa"/>
            <w:shd w:val="clear" w:color="auto" w:fill="auto"/>
          </w:tcPr>
          <w:p w14:paraId="7CEDD99D" w14:textId="77777777" w:rsidR="00183D6F" w:rsidRPr="001B13F6" w:rsidRDefault="00183D6F" w:rsidP="00183D6F">
            <w:pPr>
              <w:spacing w:before="40" w:after="120"/>
              <w:ind w:right="113"/>
            </w:pPr>
            <w:r w:rsidRPr="001B13F6">
              <w:t>N</w:t>
            </w:r>
          </w:p>
        </w:tc>
        <w:tc>
          <w:tcPr>
            <w:tcW w:w="1509" w:type="dxa"/>
            <w:shd w:val="clear" w:color="auto" w:fill="auto"/>
          </w:tcPr>
          <w:p w14:paraId="4BC26993" w14:textId="77777777" w:rsidR="00183D6F" w:rsidRPr="001B13F6" w:rsidRDefault="00183D6F" w:rsidP="00183D6F">
            <w:pPr>
              <w:spacing w:before="40" w:after="120"/>
              <w:ind w:right="113"/>
            </w:pPr>
            <w:r w:rsidRPr="001B13F6">
              <w:t>N</w:t>
            </w:r>
          </w:p>
        </w:tc>
      </w:tr>
      <w:tr w:rsidR="00183D6F" w:rsidRPr="001B13F6" w14:paraId="4F8AE27E" w14:textId="77777777" w:rsidTr="00843397">
        <w:tc>
          <w:tcPr>
            <w:tcW w:w="2924" w:type="dxa"/>
            <w:shd w:val="clear" w:color="auto" w:fill="auto"/>
          </w:tcPr>
          <w:p w14:paraId="7F03822C" w14:textId="77777777" w:rsidR="00183D6F" w:rsidRPr="001B13F6" w:rsidRDefault="00183D6F" w:rsidP="00183D6F">
            <w:pPr>
              <w:spacing w:before="40" w:after="120"/>
              <w:ind w:right="113"/>
            </w:pPr>
            <w:r w:rsidRPr="001B13F6">
              <w:t>Somalia</w:t>
            </w:r>
          </w:p>
        </w:tc>
        <w:tc>
          <w:tcPr>
            <w:tcW w:w="1529" w:type="dxa"/>
            <w:shd w:val="clear" w:color="auto" w:fill="auto"/>
          </w:tcPr>
          <w:p w14:paraId="44A5DEC6" w14:textId="77777777" w:rsidR="00183D6F" w:rsidRPr="001B13F6" w:rsidRDefault="00183D6F" w:rsidP="00183D6F">
            <w:pPr>
              <w:spacing w:before="40" w:after="120"/>
              <w:ind w:right="113"/>
            </w:pPr>
            <w:r w:rsidRPr="001B13F6">
              <w:t>Y</w:t>
            </w:r>
          </w:p>
        </w:tc>
        <w:tc>
          <w:tcPr>
            <w:tcW w:w="1408" w:type="dxa"/>
            <w:shd w:val="clear" w:color="auto" w:fill="auto"/>
          </w:tcPr>
          <w:p w14:paraId="2A603776" w14:textId="77777777" w:rsidR="00183D6F" w:rsidRPr="001B13F6" w:rsidRDefault="00183D6F" w:rsidP="00183D6F">
            <w:pPr>
              <w:spacing w:before="40" w:after="120"/>
              <w:ind w:right="113"/>
            </w:pPr>
            <w:r w:rsidRPr="001B13F6">
              <w:t>Y</w:t>
            </w:r>
          </w:p>
        </w:tc>
        <w:tc>
          <w:tcPr>
            <w:tcW w:w="1509" w:type="dxa"/>
            <w:shd w:val="clear" w:color="auto" w:fill="auto"/>
          </w:tcPr>
          <w:p w14:paraId="483C6210" w14:textId="77777777" w:rsidR="00183D6F" w:rsidRPr="001B13F6" w:rsidRDefault="00183D6F" w:rsidP="00183D6F">
            <w:pPr>
              <w:spacing w:before="40" w:after="120"/>
              <w:ind w:right="113"/>
            </w:pPr>
            <w:r w:rsidRPr="001B13F6">
              <w:t>N</w:t>
            </w:r>
          </w:p>
        </w:tc>
      </w:tr>
      <w:tr w:rsidR="00183D6F" w:rsidRPr="001B13F6" w14:paraId="2E62EF92" w14:textId="77777777" w:rsidTr="00843397">
        <w:tc>
          <w:tcPr>
            <w:tcW w:w="2924" w:type="dxa"/>
            <w:shd w:val="clear" w:color="auto" w:fill="auto"/>
          </w:tcPr>
          <w:p w14:paraId="1E1FDE15" w14:textId="77777777" w:rsidR="00183D6F" w:rsidRPr="001B13F6" w:rsidRDefault="00183D6F" w:rsidP="00183D6F">
            <w:pPr>
              <w:spacing w:before="40" w:after="120"/>
              <w:ind w:right="113"/>
            </w:pPr>
            <w:r w:rsidRPr="001B13F6">
              <w:t>South Africa</w:t>
            </w:r>
          </w:p>
        </w:tc>
        <w:tc>
          <w:tcPr>
            <w:tcW w:w="1529" w:type="dxa"/>
            <w:shd w:val="clear" w:color="auto" w:fill="auto"/>
          </w:tcPr>
          <w:p w14:paraId="47978B18" w14:textId="77777777" w:rsidR="00183D6F" w:rsidRPr="001B13F6" w:rsidRDefault="00183D6F" w:rsidP="00183D6F">
            <w:pPr>
              <w:spacing w:before="40" w:after="120"/>
              <w:ind w:right="113"/>
            </w:pPr>
            <w:r w:rsidRPr="001B13F6">
              <w:t>Y</w:t>
            </w:r>
          </w:p>
        </w:tc>
        <w:tc>
          <w:tcPr>
            <w:tcW w:w="1408" w:type="dxa"/>
            <w:shd w:val="clear" w:color="auto" w:fill="auto"/>
          </w:tcPr>
          <w:p w14:paraId="1BBFEBCA" w14:textId="77777777" w:rsidR="00183D6F" w:rsidRPr="001B13F6" w:rsidRDefault="00183D6F" w:rsidP="00183D6F">
            <w:pPr>
              <w:spacing w:before="40" w:after="120"/>
              <w:ind w:right="113"/>
            </w:pPr>
            <w:r w:rsidRPr="001B13F6">
              <w:t>Y</w:t>
            </w:r>
          </w:p>
        </w:tc>
        <w:tc>
          <w:tcPr>
            <w:tcW w:w="1509" w:type="dxa"/>
            <w:shd w:val="clear" w:color="auto" w:fill="auto"/>
          </w:tcPr>
          <w:p w14:paraId="2CC57695" w14:textId="77777777" w:rsidR="00183D6F" w:rsidRPr="001B13F6" w:rsidRDefault="00183D6F" w:rsidP="00183D6F">
            <w:pPr>
              <w:spacing w:before="40" w:after="120"/>
              <w:ind w:right="113"/>
            </w:pPr>
            <w:r w:rsidRPr="001B13F6">
              <w:t>Y</w:t>
            </w:r>
          </w:p>
        </w:tc>
      </w:tr>
      <w:tr w:rsidR="00183D6F" w:rsidRPr="001B13F6" w14:paraId="77031C0E" w14:textId="77777777" w:rsidTr="00843397">
        <w:tc>
          <w:tcPr>
            <w:tcW w:w="2924" w:type="dxa"/>
            <w:shd w:val="clear" w:color="auto" w:fill="auto"/>
          </w:tcPr>
          <w:p w14:paraId="248D8BC8" w14:textId="77777777" w:rsidR="00183D6F" w:rsidRPr="001B13F6" w:rsidRDefault="00183D6F" w:rsidP="00183D6F">
            <w:pPr>
              <w:spacing w:before="40" w:after="120"/>
              <w:ind w:right="113"/>
            </w:pPr>
            <w:r w:rsidRPr="001B13F6">
              <w:t>South Sudan</w:t>
            </w:r>
          </w:p>
        </w:tc>
        <w:tc>
          <w:tcPr>
            <w:tcW w:w="1529" w:type="dxa"/>
            <w:shd w:val="clear" w:color="auto" w:fill="auto"/>
          </w:tcPr>
          <w:p w14:paraId="65384608" w14:textId="77777777" w:rsidR="00183D6F" w:rsidRPr="001B13F6" w:rsidRDefault="00183D6F" w:rsidP="00183D6F">
            <w:pPr>
              <w:spacing w:before="40" w:after="120"/>
              <w:ind w:right="113"/>
            </w:pPr>
            <w:r w:rsidRPr="001B13F6">
              <w:t>Y</w:t>
            </w:r>
          </w:p>
        </w:tc>
        <w:tc>
          <w:tcPr>
            <w:tcW w:w="1408" w:type="dxa"/>
            <w:shd w:val="clear" w:color="auto" w:fill="auto"/>
          </w:tcPr>
          <w:p w14:paraId="3AE37A99" w14:textId="77777777" w:rsidR="00183D6F" w:rsidRPr="001B13F6" w:rsidRDefault="00183D6F" w:rsidP="00183D6F">
            <w:pPr>
              <w:spacing w:before="40" w:after="120"/>
              <w:ind w:right="113"/>
            </w:pPr>
            <w:r w:rsidRPr="001B13F6">
              <w:t>N</w:t>
            </w:r>
          </w:p>
        </w:tc>
        <w:tc>
          <w:tcPr>
            <w:tcW w:w="1509" w:type="dxa"/>
            <w:shd w:val="clear" w:color="auto" w:fill="auto"/>
          </w:tcPr>
          <w:p w14:paraId="43E30351" w14:textId="77777777" w:rsidR="00183D6F" w:rsidRPr="001B13F6" w:rsidRDefault="00183D6F" w:rsidP="00183D6F">
            <w:pPr>
              <w:spacing w:before="40" w:after="120"/>
              <w:ind w:right="113"/>
            </w:pPr>
            <w:r w:rsidRPr="001B13F6">
              <w:t>N</w:t>
            </w:r>
          </w:p>
        </w:tc>
      </w:tr>
      <w:tr w:rsidR="00183D6F" w:rsidRPr="001B13F6" w14:paraId="487376A2" w14:textId="77777777" w:rsidTr="00843397">
        <w:tc>
          <w:tcPr>
            <w:tcW w:w="2924" w:type="dxa"/>
            <w:shd w:val="clear" w:color="auto" w:fill="auto"/>
          </w:tcPr>
          <w:p w14:paraId="4D5838ED" w14:textId="77777777" w:rsidR="00183D6F" w:rsidRPr="001B13F6" w:rsidRDefault="00183D6F" w:rsidP="00183D6F">
            <w:pPr>
              <w:spacing w:before="40" w:after="120"/>
              <w:ind w:right="113"/>
            </w:pPr>
            <w:r w:rsidRPr="001B13F6">
              <w:t>Spain</w:t>
            </w:r>
          </w:p>
        </w:tc>
        <w:tc>
          <w:tcPr>
            <w:tcW w:w="1529" w:type="dxa"/>
            <w:shd w:val="clear" w:color="auto" w:fill="auto"/>
          </w:tcPr>
          <w:p w14:paraId="4C8CAF0B" w14:textId="77777777" w:rsidR="00183D6F" w:rsidRPr="001B13F6" w:rsidRDefault="00183D6F" w:rsidP="00183D6F">
            <w:pPr>
              <w:spacing w:before="40" w:after="120"/>
              <w:ind w:right="113"/>
            </w:pPr>
            <w:r w:rsidRPr="001B13F6">
              <w:t>Y</w:t>
            </w:r>
          </w:p>
        </w:tc>
        <w:tc>
          <w:tcPr>
            <w:tcW w:w="1408" w:type="dxa"/>
            <w:shd w:val="clear" w:color="auto" w:fill="auto"/>
          </w:tcPr>
          <w:p w14:paraId="4C2415C2" w14:textId="77777777" w:rsidR="00183D6F" w:rsidRPr="001B13F6" w:rsidRDefault="00183D6F" w:rsidP="00183D6F">
            <w:pPr>
              <w:spacing w:before="40" w:after="120"/>
              <w:ind w:right="113"/>
            </w:pPr>
            <w:r w:rsidRPr="001B13F6">
              <w:t>Y</w:t>
            </w:r>
          </w:p>
        </w:tc>
        <w:tc>
          <w:tcPr>
            <w:tcW w:w="1509" w:type="dxa"/>
            <w:shd w:val="clear" w:color="auto" w:fill="auto"/>
          </w:tcPr>
          <w:p w14:paraId="1F63885F" w14:textId="77777777" w:rsidR="00183D6F" w:rsidRPr="001B13F6" w:rsidRDefault="00183D6F" w:rsidP="00183D6F">
            <w:pPr>
              <w:spacing w:before="40" w:after="120"/>
              <w:ind w:right="113"/>
            </w:pPr>
            <w:r w:rsidRPr="001B13F6">
              <w:t>Y</w:t>
            </w:r>
          </w:p>
        </w:tc>
      </w:tr>
      <w:tr w:rsidR="00183D6F" w:rsidRPr="001B13F6" w14:paraId="5B191AF6" w14:textId="77777777" w:rsidTr="00843397">
        <w:tc>
          <w:tcPr>
            <w:tcW w:w="2924" w:type="dxa"/>
            <w:shd w:val="clear" w:color="auto" w:fill="auto"/>
          </w:tcPr>
          <w:p w14:paraId="109B01B1" w14:textId="77777777" w:rsidR="00183D6F" w:rsidRPr="001B13F6" w:rsidRDefault="00183D6F" w:rsidP="00183D6F">
            <w:pPr>
              <w:spacing w:before="40" w:after="120"/>
              <w:ind w:right="113"/>
            </w:pPr>
            <w:r w:rsidRPr="001B13F6">
              <w:t>Sri Lanka</w:t>
            </w:r>
          </w:p>
        </w:tc>
        <w:tc>
          <w:tcPr>
            <w:tcW w:w="1529" w:type="dxa"/>
            <w:shd w:val="clear" w:color="auto" w:fill="auto"/>
          </w:tcPr>
          <w:p w14:paraId="259C98CD" w14:textId="77777777" w:rsidR="00183D6F" w:rsidRPr="001B13F6" w:rsidRDefault="00183D6F" w:rsidP="00183D6F">
            <w:pPr>
              <w:spacing w:before="40" w:after="120"/>
              <w:ind w:right="113"/>
            </w:pPr>
            <w:r w:rsidRPr="001B13F6">
              <w:t>Yi</w:t>
            </w:r>
          </w:p>
        </w:tc>
        <w:tc>
          <w:tcPr>
            <w:tcW w:w="1408" w:type="dxa"/>
            <w:shd w:val="clear" w:color="auto" w:fill="auto"/>
          </w:tcPr>
          <w:p w14:paraId="039EBE7A" w14:textId="77777777" w:rsidR="00183D6F" w:rsidRPr="001B13F6" w:rsidRDefault="00183D6F" w:rsidP="00183D6F">
            <w:pPr>
              <w:spacing w:before="40" w:after="120"/>
              <w:ind w:right="113"/>
            </w:pPr>
            <w:r w:rsidRPr="001B13F6">
              <w:t>N</w:t>
            </w:r>
          </w:p>
        </w:tc>
        <w:tc>
          <w:tcPr>
            <w:tcW w:w="1509" w:type="dxa"/>
            <w:shd w:val="clear" w:color="auto" w:fill="auto"/>
          </w:tcPr>
          <w:p w14:paraId="7BFE052A" w14:textId="77777777" w:rsidR="00183D6F" w:rsidRPr="001B13F6" w:rsidRDefault="00183D6F" w:rsidP="00183D6F">
            <w:pPr>
              <w:spacing w:before="40" w:after="120"/>
              <w:ind w:right="113"/>
            </w:pPr>
            <w:r w:rsidRPr="001B13F6">
              <w:t>N</w:t>
            </w:r>
          </w:p>
        </w:tc>
      </w:tr>
      <w:tr w:rsidR="00183D6F" w:rsidRPr="001B13F6" w14:paraId="2DE66745" w14:textId="77777777" w:rsidTr="00843397">
        <w:tc>
          <w:tcPr>
            <w:tcW w:w="2924" w:type="dxa"/>
            <w:shd w:val="clear" w:color="auto" w:fill="auto"/>
          </w:tcPr>
          <w:p w14:paraId="6D2C2F33" w14:textId="77777777" w:rsidR="00183D6F" w:rsidRPr="001B13F6" w:rsidRDefault="00183D6F" w:rsidP="00183D6F">
            <w:pPr>
              <w:spacing w:before="40" w:after="120"/>
              <w:ind w:right="113"/>
            </w:pPr>
            <w:r w:rsidRPr="001B13F6">
              <w:t>Sudan</w:t>
            </w:r>
          </w:p>
        </w:tc>
        <w:tc>
          <w:tcPr>
            <w:tcW w:w="1529" w:type="dxa"/>
            <w:shd w:val="clear" w:color="auto" w:fill="auto"/>
          </w:tcPr>
          <w:p w14:paraId="531B9D94" w14:textId="77777777" w:rsidR="00183D6F" w:rsidRPr="001B13F6" w:rsidRDefault="00183D6F" w:rsidP="00183D6F">
            <w:pPr>
              <w:spacing w:before="40" w:after="120"/>
              <w:ind w:right="113"/>
            </w:pPr>
            <w:r w:rsidRPr="001B13F6">
              <w:t>Y</w:t>
            </w:r>
          </w:p>
        </w:tc>
        <w:tc>
          <w:tcPr>
            <w:tcW w:w="1408" w:type="dxa"/>
            <w:shd w:val="clear" w:color="auto" w:fill="auto"/>
          </w:tcPr>
          <w:p w14:paraId="65791FE3" w14:textId="77777777" w:rsidR="00183D6F" w:rsidRPr="001B13F6" w:rsidRDefault="00183D6F" w:rsidP="00183D6F">
            <w:pPr>
              <w:spacing w:before="40" w:after="120"/>
              <w:ind w:right="113"/>
            </w:pPr>
            <w:r w:rsidRPr="001B13F6">
              <w:t>Y</w:t>
            </w:r>
          </w:p>
        </w:tc>
        <w:tc>
          <w:tcPr>
            <w:tcW w:w="1509" w:type="dxa"/>
            <w:shd w:val="clear" w:color="auto" w:fill="auto"/>
          </w:tcPr>
          <w:p w14:paraId="72C94198" w14:textId="77777777" w:rsidR="00183D6F" w:rsidRPr="001B13F6" w:rsidRDefault="00183D6F" w:rsidP="00183D6F">
            <w:pPr>
              <w:spacing w:before="40" w:after="120"/>
              <w:ind w:right="113"/>
            </w:pPr>
            <w:r w:rsidRPr="001B13F6">
              <w:t>N</w:t>
            </w:r>
          </w:p>
        </w:tc>
      </w:tr>
      <w:tr w:rsidR="00183D6F" w:rsidRPr="001B13F6" w14:paraId="009D02F5" w14:textId="77777777" w:rsidTr="00843397">
        <w:tc>
          <w:tcPr>
            <w:tcW w:w="2924" w:type="dxa"/>
            <w:shd w:val="clear" w:color="auto" w:fill="auto"/>
          </w:tcPr>
          <w:p w14:paraId="7B149010" w14:textId="77777777" w:rsidR="00183D6F" w:rsidRPr="001B13F6" w:rsidRDefault="00183D6F" w:rsidP="00183D6F">
            <w:pPr>
              <w:spacing w:before="40" w:after="120"/>
              <w:ind w:right="113"/>
            </w:pPr>
            <w:r w:rsidRPr="001B13F6">
              <w:t>Suriname</w:t>
            </w:r>
          </w:p>
        </w:tc>
        <w:tc>
          <w:tcPr>
            <w:tcW w:w="1529" w:type="dxa"/>
            <w:shd w:val="clear" w:color="auto" w:fill="auto"/>
          </w:tcPr>
          <w:p w14:paraId="5EE7B963" w14:textId="77777777" w:rsidR="00183D6F" w:rsidRPr="001B13F6" w:rsidRDefault="00183D6F" w:rsidP="00183D6F">
            <w:pPr>
              <w:spacing w:before="40" w:after="120"/>
              <w:ind w:right="113"/>
            </w:pPr>
            <w:r w:rsidRPr="001B13F6">
              <w:t>N</w:t>
            </w:r>
          </w:p>
        </w:tc>
        <w:tc>
          <w:tcPr>
            <w:tcW w:w="1408" w:type="dxa"/>
            <w:shd w:val="clear" w:color="auto" w:fill="auto"/>
          </w:tcPr>
          <w:p w14:paraId="7ABFE34D" w14:textId="77777777" w:rsidR="00183D6F" w:rsidRPr="001B13F6" w:rsidRDefault="00183D6F" w:rsidP="00183D6F">
            <w:pPr>
              <w:spacing w:before="40" w:after="120"/>
              <w:ind w:right="113"/>
            </w:pPr>
            <w:r w:rsidRPr="001B13F6">
              <w:t>Y</w:t>
            </w:r>
          </w:p>
        </w:tc>
        <w:tc>
          <w:tcPr>
            <w:tcW w:w="1509" w:type="dxa"/>
            <w:shd w:val="clear" w:color="auto" w:fill="auto"/>
          </w:tcPr>
          <w:p w14:paraId="2E800718" w14:textId="77777777" w:rsidR="00183D6F" w:rsidRPr="001B13F6" w:rsidRDefault="00183D6F" w:rsidP="00183D6F">
            <w:pPr>
              <w:spacing w:before="40" w:after="120"/>
              <w:ind w:right="113"/>
            </w:pPr>
            <w:r w:rsidRPr="001B13F6">
              <w:t>N</w:t>
            </w:r>
          </w:p>
        </w:tc>
      </w:tr>
      <w:tr w:rsidR="00183D6F" w:rsidRPr="001B13F6" w14:paraId="5B1505DF" w14:textId="77777777" w:rsidTr="00843397">
        <w:tc>
          <w:tcPr>
            <w:tcW w:w="2924" w:type="dxa"/>
            <w:shd w:val="clear" w:color="auto" w:fill="auto"/>
          </w:tcPr>
          <w:p w14:paraId="22871F50" w14:textId="77777777" w:rsidR="00183D6F" w:rsidRPr="001B13F6" w:rsidRDefault="00183D6F" w:rsidP="00183D6F">
            <w:pPr>
              <w:spacing w:before="40" w:after="120"/>
              <w:ind w:right="113"/>
            </w:pPr>
            <w:r w:rsidRPr="001B13F6">
              <w:t>Sweden</w:t>
            </w:r>
          </w:p>
        </w:tc>
        <w:tc>
          <w:tcPr>
            <w:tcW w:w="1529" w:type="dxa"/>
            <w:shd w:val="clear" w:color="auto" w:fill="auto"/>
          </w:tcPr>
          <w:p w14:paraId="34C8FD48" w14:textId="77777777" w:rsidR="00183D6F" w:rsidRPr="001B13F6" w:rsidRDefault="00183D6F" w:rsidP="00183D6F">
            <w:pPr>
              <w:spacing w:before="40" w:after="120"/>
              <w:ind w:right="113"/>
            </w:pPr>
            <w:r w:rsidRPr="001B13F6">
              <w:t>N</w:t>
            </w:r>
          </w:p>
        </w:tc>
        <w:tc>
          <w:tcPr>
            <w:tcW w:w="1408" w:type="dxa"/>
            <w:shd w:val="clear" w:color="auto" w:fill="auto"/>
          </w:tcPr>
          <w:p w14:paraId="1DA9817F" w14:textId="77777777" w:rsidR="00183D6F" w:rsidRPr="001B13F6" w:rsidRDefault="00183D6F" w:rsidP="00183D6F">
            <w:pPr>
              <w:spacing w:before="40" w:after="120"/>
              <w:ind w:right="113"/>
            </w:pPr>
            <w:r w:rsidRPr="001B13F6">
              <w:t>Y</w:t>
            </w:r>
          </w:p>
        </w:tc>
        <w:tc>
          <w:tcPr>
            <w:tcW w:w="1509" w:type="dxa"/>
            <w:shd w:val="clear" w:color="auto" w:fill="auto"/>
          </w:tcPr>
          <w:p w14:paraId="0AD9A82A" w14:textId="77777777" w:rsidR="00183D6F" w:rsidRPr="001B13F6" w:rsidRDefault="00183D6F" w:rsidP="00183D6F">
            <w:pPr>
              <w:spacing w:before="40" w:after="120"/>
              <w:ind w:right="113"/>
            </w:pPr>
            <w:r w:rsidRPr="001B13F6">
              <w:t>N</w:t>
            </w:r>
          </w:p>
        </w:tc>
      </w:tr>
      <w:tr w:rsidR="00183D6F" w:rsidRPr="001B13F6" w14:paraId="719B67BA" w14:textId="77777777" w:rsidTr="00843397">
        <w:tc>
          <w:tcPr>
            <w:tcW w:w="2924" w:type="dxa"/>
            <w:shd w:val="clear" w:color="auto" w:fill="auto"/>
          </w:tcPr>
          <w:p w14:paraId="508F1D75" w14:textId="77777777" w:rsidR="00183D6F" w:rsidRPr="001B13F6" w:rsidRDefault="00183D6F" w:rsidP="00183D6F">
            <w:pPr>
              <w:spacing w:before="40" w:after="120"/>
              <w:ind w:right="113"/>
            </w:pPr>
            <w:r w:rsidRPr="001B13F6">
              <w:t>Switzerland</w:t>
            </w:r>
          </w:p>
        </w:tc>
        <w:tc>
          <w:tcPr>
            <w:tcW w:w="1529" w:type="dxa"/>
            <w:shd w:val="clear" w:color="auto" w:fill="auto"/>
          </w:tcPr>
          <w:p w14:paraId="1D69E0C8" w14:textId="77777777" w:rsidR="00183D6F" w:rsidRPr="001B13F6" w:rsidRDefault="00183D6F" w:rsidP="00183D6F">
            <w:pPr>
              <w:spacing w:before="40" w:after="120"/>
              <w:ind w:right="113"/>
            </w:pPr>
            <w:r w:rsidRPr="001B13F6">
              <w:t>N</w:t>
            </w:r>
          </w:p>
        </w:tc>
        <w:tc>
          <w:tcPr>
            <w:tcW w:w="1408" w:type="dxa"/>
            <w:shd w:val="clear" w:color="auto" w:fill="auto"/>
          </w:tcPr>
          <w:p w14:paraId="01E112E1" w14:textId="77777777" w:rsidR="00183D6F" w:rsidRPr="001B13F6" w:rsidRDefault="00183D6F" w:rsidP="00183D6F">
            <w:pPr>
              <w:spacing w:before="40" w:after="120"/>
              <w:ind w:right="113"/>
            </w:pPr>
            <w:r w:rsidRPr="001B13F6">
              <w:t>Y</w:t>
            </w:r>
          </w:p>
        </w:tc>
        <w:tc>
          <w:tcPr>
            <w:tcW w:w="1509" w:type="dxa"/>
            <w:shd w:val="clear" w:color="auto" w:fill="auto"/>
          </w:tcPr>
          <w:p w14:paraId="329DFA63" w14:textId="77777777" w:rsidR="00183D6F" w:rsidRPr="001B13F6" w:rsidRDefault="00183D6F" w:rsidP="00183D6F">
            <w:pPr>
              <w:spacing w:before="40" w:after="120"/>
              <w:ind w:right="113"/>
            </w:pPr>
            <w:r w:rsidRPr="001B13F6">
              <w:t>N</w:t>
            </w:r>
          </w:p>
        </w:tc>
      </w:tr>
      <w:tr w:rsidR="00183D6F" w:rsidRPr="001B13F6" w14:paraId="3F1C75A6" w14:textId="77777777" w:rsidTr="00843397">
        <w:tc>
          <w:tcPr>
            <w:tcW w:w="2924" w:type="dxa"/>
            <w:shd w:val="clear" w:color="auto" w:fill="auto"/>
          </w:tcPr>
          <w:p w14:paraId="71E75183" w14:textId="77777777" w:rsidR="00183D6F" w:rsidRPr="001B13F6" w:rsidRDefault="00183D6F" w:rsidP="00183D6F">
            <w:pPr>
              <w:spacing w:before="40" w:after="120"/>
              <w:ind w:right="113"/>
            </w:pPr>
            <w:r w:rsidRPr="001B13F6">
              <w:t>Syrian Arab Republic</w:t>
            </w:r>
          </w:p>
        </w:tc>
        <w:tc>
          <w:tcPr>
            <w:tcW w:w="1529" w:type="dxa"/>
            <w:shd w:val="clear" w:color="auto" w:fill="auto"/>
          </w:tcPr>
          <w:p w14:paraId="522F1409" w14:textId="77777777" w:rsidR="00183D6F" w:rsidRPr="001B13F6" w:rsidRDefault="00183D6F" w:rsidP="00183D6F">
            <w:pPr>
              <w:spacing w:before="40" w:after="120"/>
              <w:ind w:right="113"/>
            </w:pPr>
            <w:r w:rsidRPr="001B13F6">
              <w:t>N</w:t>
            </w:r>
          </w:p>
        </w:tc>
        <w:tc>
          <w:tcPr>
            <w:tcW w:w="1408" w:type="dxa"/>
            <w:shd w:val="clear" w:color="auto" w:fill="auto"/>
          </w:tcPr>
          <w:p w14:paraId="73208A70" w14:textId="77777777" w:rsidR="00183D6F" w:rsidRPr="001B13F6" w:rsidRDefault="00183D6F" w:rsidP="00183D6F">
            <w:pPr>
              <w:spacing w:before="40" w:after="120"/>
              <w:ind w:right="113"/>
            </w:pPr>
            <w:r w:rsidRPr="001B13F6">
              <w:t>Y</w:t>
            </w:r>
          </w:p>
        </w:tc>
        <w:tc>
          <w:tcPr>
            <w:tcW w:w="1509" w:type="dxa"/>
            <w:shd w:val="clear" w:color="auto" w:fill="auto"/>
          </w:tcPr>
          <w:p w14:paraId="426BDD7A" w14:textId="77777777" w:rsidR="00183D6F" w:rsidRPr="001B13F6" w:rsidRDefault="00183D6F" w:rsidP="00183D6F">
            <w:pPr>
              <w:spacing w:before="40" w:after="120"/>
              <w:ind w:right="113"/>
            </w:pPr>
            <w:r w:rsidRPr="001B13F6">
              <w:t>N</w:t>
            </w:r>
          </w:p>
        </w:tc>
      </w:tr>
      <w:tr w:rsidR="00183D6F" w:rsidRPr="001B13F6" w14:paraId="0027DCDE" w14:textId="77777777" w:rsidTr="00843397">
        <w:tc>
          <w:tcPr>
            <w:tcW w:w="2924" w:type="dxa"/>
            <w:shd w:val="clear" w:color="auto" w:fill="auto"/>
          </w:tcPr>
          <w:p w14:paraId="41DA4376" w14:textId="77777777" w:rsidR="00183D6F" w:rsidRPr="001B13F6" w:rsidRDefault="00183D6F" w:rsidP="00183D6F">
            <w:pPr>
              <w:spacing w:before="40" w:after="120"/>
              <w:ind w:right="113"/>
            </w:pPr>
            <w:r w:rsidRPr="001B13F6">
              <w:t>Tajikistan</w:t>
            </w:r>
          </w:p>
        </w:tc>
        <w:tc>
          <w:tcPr>
            <w:tcW w:w="1529" w:type="dxa"/>
            <w:shd w:val="clear" w:color="auto" w:fill="auto"/>
          </w:tcPr>
          <w:p w14:paraId="6D5ADDC1" w14:textId="77777777" w:rsidR="00183D6F" w:rsidRPr="001B13F6" w:rsidRDefault="00183D6F" w:rsidP="00183D6F">
            <w:pPr>
              <w:spacing w:before="40" w:after="120"/>
              <w:ind w:right="113"/>
            </w:pPr>
            <w:r w:rsidRPr="001B13F6">
              <w:t>N</w:t>
            </w:r>
          </w:p>
        </w:tc>
        <w:tc>
          <w:tcPr>
            <w:tcW w:w="1408" w:type="dxa"/>
            <w:shd w:val="clear" w:color="auto" w:fill="auto"/>
          </w:tcPr>
          <w:p w14:paraId="51FA37CA" w14:textId="77777777" w:rsidR="00183D6F" w:rsidRPr="001B13F6" w:rsidRDefault="00183D6F" w:rsidP="00183D6F">
            <w:pPr>
              <w:spacing w:before="40" w:after="120"/>
              <w:ind w:right="113"/>
            </w:pPr>
            <w:r w:rsidRPr="001B13F6">
              <w:t>Y</w:t>
            </w:r>
          </w:p>
        </w:tc>
        <w:tc>
          <w:tcPr>
            <w:tcW w:w="1509" w:type="dxa"/>
            <w:shd w:val="clear" w:color="auto" w:fill="auto"/>
          </w:tcPr>
          <w:p w14:paraId="073B11D5" w14:textId="77777777" w:rsidR="00183D6F" w:rsidRPr="001B13F6" w:rsidRDefault="00183D6F" w:rsidP="00183D6F">
            <w:pPr>
              <w:spacing w:before="40" w:after="120"/>
              <w:ind w:right="113"/>
            </w:pPr>
            <w:r w:rsidRPr="001B13F6">
              <w:t>Y</w:t>
            </w:r>
          </w:p>
        </w:tc>
      </w:tr>
      <w:tr w:rsidR="00183D6F" w:rsidRPr="001B13F6" w14:paraId="04C9AB1A" w14:textId="77777777" w:rsidTr="00843397">
        <w:tc>
          <w:tcPr>
            <w:tcW w:w="2924" w:type="dxa"/>
            <w:shd w:val="clear" w:color="auto" w:fill="auto"/>
          </w:tcPr>
          <w:p w14:paraId="097FF10D" w14:textId="77777777" w:rsidR="00183D6F" w:rsidRPr="001B13F6" w:rsidRDefault="00183D6F" w:rsidP="00183D6F">
            <w:pPr>
              <w:spacing w:before="40" w:after="120"/>
              <w:ind w:right="113"/>
            </w:pPr>
            <w:r w:rsidRPr="001B13F6">
              <w:t>Thailand</w:t>
            </w:r>
          </w:p>
        </w:tc>
        <w:tc>
          <w:tcPr>
            <w:tcW w:w="1529" w:type="dxa"/>
            <w:shd w:val="clear" w:color="auto" w:fill="auto"/>
          </w:tcPr>
          <w:p w14:paraId="0C4F35F9" w14:textId="77777777" w:rsidR="00183D6F" w:rsidRPr="001B13F6" w:rsidRDefault="00183D6F" w:rsidP="00183D6F">
            <w:pPr>
              <w:spacing w:before="40" w:after="120"/>
              <w:ind w:right="113"/>
            </w:pPr>
            <w:r w:rsidRPr="001B13F6">
              <w:t>Y</w:t>
            </w:r>
          </w:p>
        </w:tc>
        <w:tc>
          <w:tcPr>
            <w:tcW w:w="1408" w:type="dxa"/>
            <w:shd w:val="clear" w:color="auto" w:fill="auto"/>
          </w:tcPr>
          <w:p w14:paraId="55D6586A" w14:textId="77777777" w:rsidR="00183D6F" w:rsidRPr="001B13F6" w:rsidRDefault="00183D6F" w:rsidP="00183D6F">
            <w:pPr>
              <w:spacing w:before="40" w:after="120"/>
              <w:ind w:right="113"/>
            </w:pPr>
            <w:r w:rsidRPr="001B13F6">
              <w:t>N</w:t>
            </w:r>
          </w:p>
        </w:tc>
        <w:tc>
          <w:tcPr>
            <w:tcW w:w="1509" w:type="dxa"/>
            <w:shd w:val="clear" w:color="auto" w:fill="auto"/>
          </w:tcPr>
          <w:p w14:paraId="1B0AB4E0" w14:textId="77777777" w:rsidR="00183D6F" w:rsidRPr="001B13F6" w:rsidRDefault="00183D6F" w:rsidP="00183D6F">
            <w:pPr>
              <w:spacing w:before="40" w:after="120"/>
              <w:ind w:right="113"/>
            </w:pPr>
            <w:r w:rsidRPr="001B13F6">
              <w:t>Y</w:t>
            </w:r>
          </w:p>
        </w:tc>
      </w:tr>
      <w:tr w:rsidR="00183D6F" w:rsidRPr="001B13F6" w14:paraId="7E353604" w14:textId="77777777" w:rsidTr="00843397">
        <w:tc>
          <w:tcPr>
            <w:tcW w:w="2924" w:type="dxa"/>
            <w:shd w:val="clear" w:color="auto" w:fill="auto"/>
          </w:tcPr>
          <w:p w14:paraId="4CDE3523" w14:textId="77777777" w:rsidR="00183D6F" w:rsidRDefault="00183D6F" w:rsidP="00183D6F">
            <w:pPr>
              <w:spacing w:before="40" w:after="120"/>
              <w:ind w:right="113"/>
            </w:pPr>
            <w:r w:rsidRPr="001B13F6">
              <w:t>Timor-Leste</w:t>
            </w:r>
          </w:p>
          <w:p w14:paraId="47B5C0FD" w14:textId="3CFE4FF4" w:rsidR="00A43EF7" w:rsidRPr="001B13F6" w:rsidRDefault="00A43EF7" w:rsidP="00183D6F">
            <w:pPr>
              <w:spacing w:before="40" w:after="120"/>
              <w:ind w:right="113"/>
            </w:pPr>
            <w:r>
              <w:t>Togo</w:t>
            </w:r>
          </w:p>
        </w:tc>
        <w:tc>
          <w:tcPr>
            <w:tcW w:w="1529" w:type="dxa"/>
            <w:shd w:val="clear" w:color="auto" w:fill="auto"/>
          </w:tcPr>
          <w:p w14:paraId="7A96070D" w14:textId="77777777" w:rsidR="00183D6F" w:rsidRDefault="00183D6F" w:rsidP="00183D6F">
            <w:pPr>
              <w:spacing w:before="40" w:after="120"/>
              <w:ind w:right="113"/>
            </w:pPr>
            <w:r w:rsidRPr="001B13F6">
              <w:t>Y</w:t>
            </w:r>
          </w:p>
          <w:p w14:paraId="22B97AC3" w14:textId="1A54542D" w:rsidR="00A43EF7" w:rsidRPr="001B13F6" w:rsidRDefault="00A43EF7" w:rsidP="00183D6F">
            <w:pPr>
              <w:spacing w:before="40" w:after="120"/>
              <w:ind w:right="113"/>
            </w:pPr>
            <w:r>
              <w:t>Y</w:t>
            </w:r>
          </w:p>
        </w:tc>
        <w:tc>
          <w:tcPr>
            <w:tcW w:w="1408" w:type="dxa"/>
            <w:shd w:val="clear" w:color="auto" w:fill="auto"/>
          </w:tcPr>
          <w:p w14:paraId="31FBAE4A" w14:textId="77777777" w:rsidR="00183D6F" w:rsidRDefault="00183D6F" w:rsidP="00183D6F">
            <w:pPr>
              <w:spacing w:before="40" w:after="120"/>
              <w:ind w:right="113"/>
            </w:pPr>
            <w:r w:rsidRPr="001B13F6">
              <w:t>N</w:t>
            </w:r>
          </w:p>
          <w:p w14:paraId="40A73DF1" w14:textId="22994D57" w:rsidR="00A43EF7" w:rsidRPr="001B13F6" w:rsidRDefault="00A43EF7" w:rsidP="00183D6F">
            <w:pPr>
              <w:spacing w:before="40" w:after="120"/>
              <w:ind w:right="113"/>
            </w:pPr>
            <w:r>
              <w:t>Y</w:t>
            </w:r>
          </w:p>
        </w:tc>
        <w:tc>
          <w:tcPr>
            <w:tcW w:w="1509" w:type="dxa"/>
            <w:shd w:val="clear" w:color="auto" w:fill="auto"/>
          </w:tcPr>
          <w:p w14:paraId="585C5BC7" w14:textId="348E41BB" w:rsidR="00183D6F" w:rsidRDefault="00183D6F" w:rsidP="00183D6F">
            <w:pPr>
              <w:spacing w:before="40" w:after="120"/>
              <w:ind w:right="113"/>
            </w:pPr>
            <w:r w:rsidRPr="001B13F6">
              <w:t>Y</w:t>
            </w:r>
          </w:p>
          <w:p w14:paraId="6B001BBE" w14:textId="5B9372E6" w:rsidR="00A43EF7" w:rsidRPr="001B13F6" w:rsidRDefault="00A43EF7" w:rsidP="006A0D84">
            <w:pPr>
              <w:spacing w:before="40" w:after="120"/>
              <w:ind w:right="113"/>
            </w:pPr>
            <w:r>
              <w:t>Y</w:t>
            </w:r>
          </w:p>
        </w:tc>
      </w:tr>
      <w:tr w:rsidR="00183D6F" w:rsidRPr="001B13F6" w14:paraId="716138A3" w14:textId="77777777" w:rsidTr="00843397">
        <w:tc>
          <w:tcPr>
            <w:tcW w:w="2924" w:type="dxa"/>
            <w:shd w:val="clear" w:color="auto" w:fill="auto"/>
          </w:tcPr>
          <w:p w14:paraId="5A662A2B" w14:textId="77777777" w:rsidR="00183D6F" w:rsidRPr="001B13F6" w:rsidRDefault="00183D6F" w:rsidP="00183D6F">
            <w:pPr>
              <w:spacing w:before="40" w:after="120"/>
              <w:ind w:right="113"/>
            </w:pPr>
            <w:r w:rsidRPr="001B13F6">
              <w:t>Tonga</w:t>
            </w:r>
          </w:p>
        </w:tc>
        <w:tc>
          <w:tcPr>
            <w:tcW w:w="1529" w:type="dxa"/>
            <w:shd w:val="clear" w:color="auto" w:fill="auto"/>
          </w:tcPr>
          <w:p w14:paraId="1C6C910F" w14:textId="77777777" w:rsidR="00183D6F" w:rsidRPr="001B13F6" w:rsidRDefault="00183D6F" w:rsidP="00183D6F">
            <w:pPr>
              <w:spacing w:before="40" w:after="120"/>
              <w:ind w:right="113"/>
            </w:pPr>
            <w:r w:rsidRPr="001B13F6">
              <w:t>N</w:t>
            </w:r>
          </w:p>
        </w:tc>
        <w:tc>
          <w:tcPr>
            <w:tcW w:w="1408" w:type="dxa"/>
            <w:shd w:val="clear" w:color="auto" w:fill="auto"/>
          </w:tcPr>
          <w:p w14:paraId="0C05B356" w14:textId="77777777" w:rsidR="00183D6F" w:rsidRPr="001B13F6" w:rsidRDefault="00183D6F" w:rsidP="00183D6F">
            <w:pPr>
              <w:spacing w:before="40" w:after="120"/>
              <w:ind w:right="113"/>
            </w:pPr>
            <w:r w:rsidRPr="001B13F6">
              <w:t>N</w:t>
            </w:r>
          </w:p>
        </w:tc>
        <w:tc>
          <w:tcPr>
            <w:tcW w:w="1509" w:type="dxa"/>
            <w:shd w:val="clear" w:color="auto" w:fill="auto"/>
          </w:tcPr>
          <w:p w14:paraId="51BD9746" w14:textId="77777777" w:rsidR="00183D6F" w:rsidRPr="001B13F6" w:rsidRDefault="00183D6F" w:rsidP="00183D6F">
            <w:pPr>
              <w:spacing w:before="40" w:after="120"/>
              <w:ind w:right="113"/>
            </w:pPr>
            <w:r w:rsidRPr="001B13F6">
              <w:t>N</w:t>
            </w:r>
          </w:p>
        </w:tc>
      </w:tr>
      <w:tr w:rsidR="00183D6F" w:rsidRPr="001B13F6" w14:paraId="7268B222" w14:textId="77777777" w:rsidTr="00843397">
        <w:tc>
          <w:tcPr>
            <w:tcW w:w="2924" w:type="dxa"/>
            <w:shd w:val="clear" w:color="auto" w:fill="auto"/>
          </w:tcPr>
          <w:p w14:paraId="39C6A7BF" w14:textId="77777777" w:rsidR="00183D6F" w:rsidRPr="001B13F6" w:rsidRDefault="00183D6F" w:rsidP="00183D6F">
            <w:pPr>
              <w:spacing w:before="40" w:after="120"/>
              <w:ind w:right="113"/>
            </w:pPr>
            <w:r w:rsidRPr="001B13F6">
              <w:t>Trinidad and Tobago</w:t>
            </w:r>
          </w:p>
        </w:tc>
        <w:tc>
          <w:tcPr>
            <w:tcW w:w="1529" w:type="dxa"/>
            <w:shd w:val="clear" w:color="auto" w:fill="auto"/>
          </w:tcPr>
          <w:p w14:paraId="151E1ED5" w14:textId="77777777" w:rsidR="00183D6F" w:rsidRPr="001B13F6" w:rsidRDefault="00183D6F" w:rsidP="00183D6F">
            <w:pPr>
              <w:spacing w:before="40" w:after="120"/>
              <w:ind w:right="113"/>
            </w:pPr>
            <w:r w:rsidRPr="001B13F6">
              <w:t>N</w:t>
            </w:r>
          </w:p>
        </w:tc>
        <w:tc>
          <w:tcPr>
            <w:tcW w:w="1408" w:type="dxa"/>
            <w:shd w:val="clear" w:color="auto" w:fill="auto"/>
          </w:tcPr>
          <w:p w14:paraId="3F91A00E" w14:textId="77777777" w:rsidR="00183D6F" w:rsidRPr="001B13F6" w:rsidRDefault="00183D6F" w:rsidP="00183D6F">
            <w:pPr>
              <w:spacing w:before="40" w:after="120"/>
              <w:ind w:right="113"/>
            </w:pPr>
            <w:r w:rsidRPr="001B13F6">
              <w:t>N</w:t>
            </w:r>
          </w:p>
        </w:tc>
        <w:tc>
          <w:tcPr>
            <w:tcW w:w="1509" w:type="dxa"/>
            <w:shd w:val="clear" w:color="auto" w:fill="auto"/>
          </w:tcPr>
          <w:p w14:paraId="50B60849" w14:textId="77777777" w:rsidR="00183D6F" w:rsidRPr="001B13F6" w:rsidRDefault="00183D6F" w:rsidP="00183D6F">
            <w:pPr>
              <w:spacing w:before="40" w:after="120"/>
              <w:ind w:right="113"/>
            </w:pPr>
            <w:r w:rsidRPr="001B13F6">
              <w:t>N</w:t>
            </w:r>
          </w:p>
        </w:tc>
      </w:tr>
      <w:tr w:rsidR="00183D6F" w:rsidRPr="001B13F6" w14:paraId="6BE62BA8" w14:textId="77777777" w:rsidTr="00843397">
        <w:tc>
          <w:tcPr>
            <w:tcW w:w="2924" w:type="dxa"/>
            <w:shd w:val="clear" w:color="auto" w:fill="auto"/>
          </w:tcPr>
          <w:p w14:paraId="3586A57C" w14:textId="77777777" w:rsidR="00183D6F" w:rsidRPr="001B13F6" w:rsidRDefault="00183D6F" w:rsidP="00183D6F">
            <w:pPr>
              <w:spacing w:before="40" w:after="120"/>
              <w:ind w:right="113"/>
            </w:pPr>
            <w:r w:rsidRPr="001B13F6">
              <w:t>Tunisia</w:t>
            </w:r>
          </w:p>
        </w:tc>
        <w:tc>
          <w:tcPr>
            <w:tcW w:w="1529" w:type="dxa"/>
            <w:shd w:val="clear" w:color="auto" w:fill="auto"/>
          </w:tcPr>
          <w:p w14:paraId="09874584" w14:textId="77777777" w:rsidR="00183D6F" w:rsidRPr="001B13F6" w:rsidRDefault="00183D6F" w:rsidP="00183D6F">
            <w:pPr>
              <w:spacing w:before="40" w:after="120"/>
              <w:ind w:right="113"/>
            </w:pPr>
            <w:r w:rsidRPr="001B13F6">
              <w:t>Y</w:t>
            </w:r>
          </w:p>
        </w:tc>
        <w:tc>
          <w:tcPr>
            <w:tcW w:w="1408" w:type="dxa"/>
            <w:shd w:val="clear" w:color="auto" w:fill="auto"/>
          </w:tcPr>
          <w:p w14:paraId="258286A9" w14:textId="77777777" w:rsidR="00183D6F" w:rsidRPr="001B13F6" w:rsidRDefault="00183D6F" w:rsidP="00183D6F">
            <w:pPr>
              <w:spacing w:before="40" w:after="120"/>
              <w:ind w:right="113"/>
            </w:pPr>
            <w:r w:rsidRPr="001B13F6">
              <w:t>Y</w:t>
            </w:r>
          </w:p>
        </w:tc>
        <w:tc>
          <w:tcPr>
            <w:tcW w:w="1509" w:type="dxa"/>
            <w:shd w:val="clear" w:color="auto" w:fill="auto"/>
          </w:tcPr>
          <w:p w14:paraId="1B74D398" w14:textId="77777777" w:rsidR="00183D6F" w:rsidRPr="001B13F6" w:rsidRDefault="00183D6F" w:rsidP="00183D6F">
            <w:pPr>
              <w:spacing w:before="40" w:after="120"/>
              <w:ind w:right="113"/>
            </w:pPr>
            <w:r w:rsidRPr="001B13F6">
              <w:t>Y</w:t>
            </w:r>
          </w:p>
        </w:tc>
      </w:tr>
      <w:tr w:rsidR="00183D6F" w:rsidRPr="001B13F6" w14:paraId="69D75B71" w14:textId="77777777" w:rsidTr="00843397">
        <w:tc>
          <w:tcPr>
            <w:tcW w:w="2924" w:type="dxa"/>
            <w:shd w:val="clear" w:color="auto" w:fill="auto"/>
          </w:tcPr>
          <w:p w14:paraId="7825CA22" w14:textId="77777777" w:rsidR="00183D6F" w:rsidRPr="001B13F6" w:rsidRDefault="00183D6F" w:rsidP="00183D6F">
            <w:pPr>
              <w:spacing w:before="40" w:after="120"/>
              <w:ind w:right="113"/>
            </w:pPr>
            <w:r w:rsidRPr="001B13F6">
              <w:t>Turkey</w:t>
            </w:r>
          </w:p>
        </w:tc>
        <w:tc>
          <w:tcPr>
            <w:tcW w:w="1529" w:type="dxa"/>
            <w:shd w:val="clear" w:color="auto" w:fill="auto"/>
          </w:tcPr>
          <w:p w14:paraId="5CC86F2A" w14:textId="77777777" w:rsidR="00183D6F" w:rsidRPr="001B13F6" w:rsidRDefault="00183D6F" w:rsidP="00183D6F">
            <w:pPr>
              <w:spacing w:before="40" w:after="120"/>
              <w:ind w:right="113"/>
            </w:pPr>
            <w:r w:rsidRPr="001B13F6">
              <w:t>Y</w:t>
            </w:r>
          </w:p>
        </w:tc>
        <w:tc>
          <w:tcPr>
            <w:tcW w:w="1408" w:type="dxa"/>
            <w:shd w:val="clear" w:color="auto" w:fill="auto"/>
          </w:tcPr>
          <w:p w14:paraId="105D7EFE" w14:textId="77777777" w:rsidR="00183D6F" w:rsidRPr="001B13F6" w:rsidRDefault="00183D6F" w:rsidP="00183D6F">
            <w:pPr>
              <w:spacing w:before="40" w:after="120"/>
              <w:ind w:right="113"/>
            </w:pPr>
            <w:r w:rsidRPr="001B13F6">
              <w:t>N</w:t>
            </w:r>
          </w:p>
        </w:tc>
        <w:tc>
          <w:tcPr>
            <w:tcW w:w="1509" w:type="dxa"/>
            <w:shd w:val="clear" w:color="auto" w:fill="auto"/>
          </w:tcPr>
          <w:p w14:paraId="6DDD9CDA" w14:textId="77777777" w:rsidR="00183D6F" w:rsidRPr="001B13F6" w:rsidRDefault="00183D6F" w:rsidP="00183D6F">
            <w:pPr>
              <w:spacing w:before="40" w:after="120"/>
              <w:ind w:right="113"/>
            </w:pPr>
            <w:r w:rsidRPr="001B13F6">
              <w:t>N</w:t>
            </w:r>
          </w:p>
        </w:tc>
      </w:tr>
      <w:tr w:rsidR="00183D6F" w:rsidRPr="001B13F6" w14:paraId="176DBAC1" w14:textId="77777777" w:rsidTr="00843397">
        <w:tc>
          <w:tcPr>
            <w:tcW w:w="2924" w:type="dxa"/>
            <w:shd w:val="clear" w:color="auto" w:fill="auto"/>
          </w:tcPr>
          <w:p w14:paraId="05DBEED2" w14:textId="77777777" w:rsidR="00183D6F" w:rsidRPr="001B13F6" w:rsidRDefault="00183D6F" w:rsidP="00183D6F">
            <w:pPr>
              <w:spacing w:before="40" w:after="120"/>
              <w:ind w:right="113"/>
            </w:pPr>
            <w:r w:rsidRPr="001B13F6">
              <w:t>Turkmenistan</w:t>
            </w:r>
          </w:p>
        </w:tc>
        <w:tc>
          <w:tcPr>
            <w:tcW w:w="1529" w:type="dxa"/>
            <w:shd w:val="clear" w:color="auto" w:fill="auto"/>
          </w:tcPr>
          <w:p w14:paraId="6165AFED" w14:textId="77777777" w:rsidR="00183D6F" w:rsidRPr="001B13F6" w:rsidRDefault="00183D6F" w:rsidP="00183D6F">
            <w:pPr>
              <w:spacing w:before="40" w:after="120"/>
              <w:ind w:right="113"/>
            </w:pPr>
            <w:r w:rsidRPr="001B13F6">
              <w:t>Y</w:t>
            </w:r>
          </w:p>
        </w:tc>
        <w:tc>
          <w:tcPr>
            <w:tcW w:w="1408" w:type="dxa"/>
            <w:shd w:val="clear" w:color="auto" w:fill="auto"/>
          </w:tcPr>
          <w:p w14:paraId="151AF56F" w14:textId="77777777" w:rsidR="00183D6F" w:rsidRPr="001B13F6" w:rsidRDefault="00183D6F" w:rsidP="00183D6F">
            <w:pPr>
              <w:spacing w:before="40" w:after="120"/>
              <w:ind w:right="113"/>
            </w:pPr>
            <w:r w:rsidRPr="001B13F6">
              <w:t>Y</w:t>
            </w:r>
          </w:p>
        </w:tc>
        <w:tc>
          <w:tcPr>
            <w:tcW w:w="1509" w:type="dxa"/>
            <w:shd w:val="clear" w:color="auto" w:fill="auto"/>
          </w:tcPr>
          <w:p w14:paraId="4646711A" w14:textId="77777777" w:rsidR="00183D6F" w:rsidRPr="001B13F6" w:rsidRDefault="00183D6F" w:rsidP="00183D6F">
            <w:pPr>
              <w:spacing w:before="40" w:after="120"/>
              <w:ind w:right="113"/>
            </w:pPr>
            <w:r w:rsidRPr="001B13F6">
              <w:t>Y</w:t>
            </w:r>
          </w:p>
        </w:tc>
      </w:tr>
      <w:tr w:rsidR="00183D6F" w:rsidRPr="001B13F6" w14:paraId="652C887A" w14:textId="77777777" w:rsidTr="00843397">
        <w:tc>
          <w:tcPr>
            <w:tcW w:w="2924" w:type="dxa"/>
            <w:shd w:val="clear" w:color="auto" w:fill="auto"/>
          </w:tcPr>
          <w:p w14:paraId="67A23C74" w14:textId="77777777" w:rsidR="00183D6F" w:rsidRPr="001B13F6" w:rsidRDefault="00183D6F" w:rsidP="00183D6F">
            <w:pPr>
              <w:spacing w:before="40" w:after="120"/>
              <w:ind w:right="113"/>
            </w:pPr>
            <w:r w:rsidRPr="001B13F6">
              <w:t>Tuvalu</w:t>
            </w:r>
          </w:p>
        </w:tc>
        <w:tc>
          <w:tcPr>
            <w:tcW w:w="1529" w:type="dxa"/>
            <w:shd w:val="clear" w:color="auto" w:fill="auto"/>
          </w:tcPr>
          <w:p w14:paraId="55F60CC6" w14:textId="77777777" w:rsidR="00183D6F" w:rsidRPr="001B13F6" w:rsidRDefault="00183D6F" w:rsidP="00183D6F">
            <w:pPr>
              <w:spacing w:before="40" w:after="120"/>
              <w:ind w:right="113"/>
            </w:pPr>
            <w:r w:rsidRPr="001B13F6">
              <w:t>N</w:t>
            </w:r>
          </w:p>
        </w:tc>
        <w:tc>
          <w:tcPr>
            <w:tcW w:w="1408" w:type="dxa"/>
            <w:shd w:val="clear" w:color="auto" w:fill="auto"/>
          </w:tcPr>
          <w:p w14:paraId="5B54F194" w14:textId="77777777" w:rsidR="00183D6F" w:rsidRPr="001B13F6" w:rsidRDefault="00183D6F" w:rsidP="00183D6F">
            <w:pPr>
              <w:spacing w:before="40" w:after="120"/>
              <w:ind w:right="113"/>
            </w:pPr>
            <w:r w:rsidRPr="001B13F6">
              <w:t>N</w:t>
            </w:r>
          </w:p>
        </w:tc>
        <w:tc>
          <w:tcPr>
            <w:tcW w:w="1509" w:type="dxa"/>
            <w:shd w:val="clear" w:color="auto" w:fill="auto"/>
          </w:tcPr>
          <w:p w14:paraId="64C498F3" w14:textId="77777777" w:rsidR="00183D6F" w:rsidRPr="001B13F6" w:rsidRDefault="00183D6F" w:rsidP="00183D6F">
            <w:pPr>
              <w:spacing w:before="40" w:after="120"/>
              <w:ind w:right="113"/>
            </w:pPr>
            <w:r w:rsidRPr="001B13F6">
              <w:t>N</w:t>
            </w:r>
          </w:p>
        </w:tc>
      </w:tr>
      <w:tr w:rsidR="00183D6F" w:rsidRPr="001B13F6" w14:paraId="338AD820" w14:textId="77777777" w:rsidTr="00843397">
        <w:tc>
          <w:tcPr>
            <w:tcW w:w="2924" w:type="dxa"/>
            <w:shd w:val="clear" w:color="auto" w:fill="auto"/>
          </w:tcPr>
          <w:p w14:paraId="787CA73A" w14:textId="77777777" w:rsidR="00183D6F" w:rsidRPr="001B13F6" w:rsidRDefault="00183D6F" w:rsidP="00183D6F">
            <w:pPr>
              <w:spacing w:before="40" w:after="120"/>
              <w:ind w:right="113"/>
            </w:pPr>
            <w:r w:rsidRPr="001B13F6">
              <w:t>Uganda</w:t>
            </w:r>
          </w:p>
        </w:tc>
        <w:tc>
          <w:tcPr>
            <w:tcW w:w="1529" w:type="dxa"/>
            <w:shd w:val="clear" w:color="auto" w:fill="auto"/>
          </w:tcPr>
          <w:p w14:paraId="61286663" w14:textId="77777777" w:rsidR="00183D6F" w:rsidRPr="001B13F6" w:rsidRDefault="00183D6F" w:rsidP="00183D6F">
            <w:pPr>
              <w:spacing w:before="40" w:after="120"/>
              <w:ind w:right="113"/>
            </w:pPr>
            <w:r w:rsidRPr="001B13F6">
              <w:t>Y</w:t>
            </w:r>
          </w:p>
        </w:tc>
        <w:tc>
          <w:tcPr>
            <w:tcW w:w="1408" w:type="dxa"/>
            <w:shd w:val="clear" w:color="auto" w:fill="auto"/>
          </w:tcPr>
          <w:p w14:paraId="65ECC9CA" w14:textId="77777777" w:rsidR="00183D6F" w:rsidRPr="001B13F6" w:rsidRDefault="00183D6F" w:rsidP="00183D6F">
            <w:pPr>
              <w:spacing w:before="40" w:after="120"/>
              <w:ind w:right="113"/>
            </w:pPr>
            <w:r w:rsidRPr="001B13F6">
              <w:t>Y</w:t>
            </w:r>
          </w:p>
        </w:tc>
        <w:tc>
          <w:tcPr>
            <w:tcW w:w="1509" w:type="dxa"/>
            <w:shd w:val="clear" w:color="auto" w:fill="auto"/>
          </w:tcPr>
          <w:p w14:paraId="480644D1" w14:textId="77777777" w:rsidR="00183D6F" w:rsidRPr="001B13F6" w:rsidRDefault="00183D6F" w:rsidP="00183D6F">
            <w:pPr>
              <w:spacing w:before="40" w:after="120"/>
              <w:ind w:right="113"/>
            </w:pPr>
            <w:r w:rsidRPr="001B13F6">
              <w:t>Y</w:t>
            </w:r>
          </w:p>
        </w:tc>
      </w:tr>
      <w:tr w:rsidR="00183D6F" w:rsidRPr="001B13F6" w14:paraId="0200CEE5" w14:textId="77777777" w:rsidTr="00843397">
        <w:tc>
          <w:tcPr>
            <w:tcW w:w="2924" w:type="dxa"/>
            <w:shd w:val="clear" w:color="auto" w:fill="auto"/>
          </w:tcPr>
          <w:p w14:paraId="70920110" w14:textId="77777777" w:rsidR="00183D6F" w:rsidRPr="001B13F6" w:rsidRDefault="00183D6F" w:rsidP="00183D6F">
            <w:pPr>
              <w:spacing w:before="40" w:after="120"/>
              <w:ind w:right="113"/>
            </w:pPr>
            <w:r w:rsidRPr="001B13F6">
              <w:t>Ukraine</w:t>
            </w:r>
          </w:p>
        </w:tc>
        <w:tc>
          <w:tcPr>
            <w:tcW w:w="1529" w:type="dxa"/>
            <w:shd w:val="clear" w:color="auto" w:fill="auto"/>
          </w:tcPr>
          <w:p w14:paraId="2C3FC0EB" w14:textId="77777777" w:rsidR="00183D6F" w:rsidRPr="001B13F6" w:rsidRDefault="00183D6F" w:rsidP="00183D6F">
            <w:pPr>
              <w:spacing w:before="40" w:after="120"/>
              <w:ind w:right="113"/>
            </w:pPr>
            <w:r w:rsidRPr="001B13F6">
              <w:t>Y</w:t>
            </w:r>
          </w:p>
        </w:tc>
        <w:tc>
          <w:tcPr>
            <w:tcW w:w="1408" w:type="dxa"/>
            <w:shd w:val="clear" w:color="auto" w:fill="auto"/>
          </w:tcPr>
          <w:p w14:paraId="24D8C5D3" w14:textId="77777777" w:rsidR="00183D6F" w:rsidRPr="001B13F6" w:rsidRDefault="00183D6F" w:rsidP="00183D6F">
            <w:pPr>
              <w:spacing w:before="40" w:after="120"/>
              <w:ind w:right="113"/>
            </w:pPr>
            <w:r w:rsidRPr="001B13F6">
              <w:t>Y</w:t>
            </w:r>
          </w:p>
        </w:tc>
        <w:tc>
          <w:tcPr>
            <w:tcW w:w="1509" w:type="dxa"/>
            <w:shd w:val="clear" w:color="auto" w:fill="auto"/>
          </w:tcPr>
          <w:p w14:paraId="2B29E9F3" w14:textId="77777777" w:rsidR="00183D6F" w:rsidRPr="001B13F6" w:rsidRDefault="00183D6F" w:rsidP="00183D6F">
            <w:pPr>
              <w:spacing w:before="40" w:after="120"/>
              <w:ind w:right="113"/>
            </w:pPr>
            <w:r w:rsidRPr="001B13F6">
              <w:t>Y</w:t>
            </w:r>
          </w:p>
        </w:tc>
      </w:tr>
      <w:tr w:rsidR="00183D6F" w:rsidRPr="001B13F6" w14:paraId="366B50F5" w14:textId="77777777" w:rsidTr="00843397">
        <w:tc>
          <w:tcPr>
            <w:tcW w:w="2924" w:type="dxa"/>
            <w:shd w:val="clear" w:color="auto" w:fill="auto"/>
          </w:tcPr>
          <w:p w14:paraId="740DE2D5" w14:textId="0E4594D1" w:rsidR="00183D6F" w:rsidRPr="001B13F6" w:rsidRDefault="00183D6F" w:rsidP="00183D6F">
            <w:pPr>
              <w:spacing w:before="40" w:after="120"/>
              <w:ind w:right="113"/>
            </w:pPr>
            <w:r w:rsidRPr="001B13F6">
              <w:t>United Arab Emirates</w:t>
            </w:r>
          </w:p>
        </w:tc>
        <w:tc>
          <w:tcPr>
            <w:tcW w:w="1529" w:type="dxa"/>
            <w:shd w:val="clear" w:color="auto" w:fill="auto"/>
          </w:tcPr>
          <w:p w14:paraId="53C3F5B3" w14:textId="77777777" w:rsidR="00183D6F" w:rsidRPr="001B13F6" w:rsidRDefault="00183D6F" w:rsidP="00183D6F">
            <w:pPr>
              <w:spacing w:before="40" w:after="120"/>
              <w:ind w:right="113"/>
            </w:pPr>
            <w:r w:rsidRPr="001B13F6">
              <w:t>N</w:t>
            </w:r>
          </w:p>
        </w:tc>
        <w:tc>
          <w:tcPr>
            <w:tcW w:w="1408" w:type="dxa"/>
            <w:shd w:val="clear" w:color="auto" w:fill="auto"/>
          </w:tcPr>
          <w:p w14:paraId="1FB5A939" w14:textId="77777777" w:rsidR="00183D6F" w:rsidRPr="001B13F6" w:rsidRDefault="00183D6F" w:rsidP="00183D6F">
            <w:pPr>
              <w:spacing w:before="40" w:after="120"/>
              <w:ind w:right="113"/>
            </w:pPr>
            <w:r w:rsidRPr="001B13F6">
              <w:t>Y</w:t>
            </w:r>
          </w:p>
        </w:tc>
        <w:tc>
          <w:tcPr>
            <w:tcW w:w="1509" w:type="dxa"/>
            <w:shd w:val="clear" w:color="auto" w:fill="auto"/>
          </w:tcPr>
          <w:p w14:paraId="1729B757" w14:textId="77777777" w:rsidR="00183D6F" w:rsidRPr="001B13F6" w:rsidRDefault="00183D6F" w:rsidP="00183D6F">
            <w:pPr>
              <w:spacing w:before="40" w:after="120"/>
              <w:ind w:right="113"/>
            </w:pPr>
            <w:r w:rsidRPr="001B13F6">
              <w:t>N</w:t>
            </w:r>
          </w:p>
        </w:tc>
      </w:tr>
      <w:tr w:rsidR="00183D6F" w:rsidRPr="001B13F6" w14:paraId="53B31162" w14:textId="77777777" w:rsidTr="00843397">
        <w:tc>
          <w:tcPr>
            <w:tcW w:w="2924" w:type="dxa"/>
            <w:shd w:val="clear" w:color="auto" w:fill="auto"/>
          </w:tcPr>
          <w:p w14:paraId="4E0DA45D" w14:textId="2CB3CE13" w:rsidR="00183D6F" w:rsidRPr="001B13F6" w:rsidRDefault="00183D6F" w:rsidP="00183D6F">
            <w:pPr>
              <w:spacing w:before="40" w:after="120"/>
              <w:ind w:right="113"/>
            </w:pPr>
            <w:r w:rsidRPr="001B13F6">
              <w:t>United Kingdom</w:t>
            </w:r>
            <w:r w:rsidR="00EA29A8" w:rsidRPr="001B13F6">
              <w:t xml:space="preserve"> of Great Britain and Northern Ireland</w:t>
            </w:r>
          </w:p>
        </w:tc>
        <w:tc>
          <w:tcPr>
            <w:tcW w:w="1529" w:type="dxa"/>
            <w:shd w:val="clear" w:color="auto" w:fill="auto"/>
          </w:tcPr>
          <w:p w14:paraId="7C676A0F" w14:textId="77777777" w:rsidR="00183D6F" w:rsidRPr="001B13F6" w:rsidRDefault="00183D6F" w:rsidP="00183D6F">
            <w:pPr>
              <w:spacing w:before="40" w:after="120"/>
              <w:ind w:right="113"/>
            </w:pPr>
            <w:r w:rsidRPr="001B13F6">
              <w:t>N</w:t>
            </w:r>
          </w:p>
        </w:tc>
        <w:tc>
          <w:tcPr>
            <w:tcW w:w="1408" w:type="dxa"/>
            <w:shd w:val="clear" w:color="auto" w:fill="auto"/>
          </w:tcPr>
          <w:p w14:paraId="265CBF55" w14:textId="77777777" w:rsidR="00183D6F" w:rsidRPr="001B13F6" w:rsidRDefault="00183D6F" w:rsidP="00183D6F">
            <w:pPr>
              <w:spacing w:before="40" w:after="120"/>
              <w:ind w:right="113"/>
            </w:pPr>
            <w:r w:rsidRPr="001B13F6">
              <w:t>N</w:t>
            </w:r>
          </w:p>
        </w:tc>
        <w:tc>
          <w:tcPr>
            <w:tcW w:w="1509" w:type="dxa"/>
            <w:shd w:val="clear" w:color="auto" w:fill="auto"/>
          </w:tcPr>
          <w:p w14:paraId="4F24D959" w14:textId="77777777" w:rsidR="00183D6F" w:rsidRPr="001B13F6" w:rsidRDefault="00183D6F" w:rsidP="00183D6F">
            <w:pPr>
              <w:spacing w:before="40" w:after="120"/>
              <w:ind w:right="113"/>
            </w:pPr>
            <w:r w:rsidRPr="001B13F6">
              <w:t>N</w:t>
            </w:r>
          </w:p>
        </w:tc>
      </w:tr>
      <w:tr w:rsidR="00183D6F" w:rsidRPr="001B13F6" w14:paraId="1AE8A87E" w14:textId="77777777" w:rsidTr="00843397">
        <w:tc>
          <w:tcPr>
            <w:tcW w:w="2924" w:type="dxa"/>
            <w:shd w:val="clear" w:color="auto" w:fill="auto"/>
          </w:tcPr>
          <w:p w14:paraId="6D7B0637" w14:textId="7D373430" w:rsidR="00183D6F" w:rsidRPr="001B13F6" w:rsidRDefault="00183D6F" w:rsidP="00183D6F">
            <w:pPr>
              <w:spacing w:before="40" w:after="120"/>
              <w:ind w:right="113"/>
            </w:pPr>
            <w:r w:rsidRPr="001B13F6">
              <w:t>United Republic of Tanzania</w:t>
            </w:r>
          </w:p>
          <w:p w14:paraId="17AEC594" w14:textId="06CC49F2" w:rsidR="00183D6F" w:rsidRPr="001B13F6" w:rsidRDefault="00183D6F" w:rsidP="00183D6F">
            <w:pPr>
              <w:spacing w:before="40" w:after="120"/>
              <w:ind w:right="113"/>
            </w:pPr>
            <w:r w:rsidRPr="001B13F6">
              <w:t>United States</w:t>
            </w:r>
            <w:r w:rsidR="00EA29A8" w:rsidRPr="001B13F6">
              <w:t xml:space="preserve"> of America</w:t>
            </w:r>
          </w:p>
        </w:tc>
        <w:tc>
          <w:tcPr>
            <w:tcW w:w="1529" w:type="dxa"/>
            <w:shd w:val="clear" w:color="auto" w:fill="auto"/>
          </w:tcPr>
          <w:p w14:paraId="0C6411F8" w14:textId="61ADE4B0" w:rsidR="00183D6F" w:rsidRPr="001B13F6" w:rsidRDefault="00183D6F" w:rsidP="00183D6F">
            <w:pPr>
              <w:spacing w:before="40" w:after="120"/>
              <w:ind w:right="113"/>
            </w:pPr>
            <w:r w:rsidRPr="001B13F6">
              <w:t>Yi</w:t>
            </w:r>
          </w:p>
          <w:p w14:paraId="26DE849A" w14:textId="032A64A7" w:rsidR="00183D6F" w:rsidRPr="001B13F6" w:rsidRDefault="00183D6F" w:rsidP="00183D6F">
            <w:pPr>
              <w:spacing w:before="40" w:after="120"/>
              <w:ind w:right="113"/>
            </w:pPr>
            <w:r w:rsidRPr="001B13F6">
              <w:t>N</w:t>
            </w:r>
          </w:p>
        </w:tc>
        <w:tc>
          <w:tcPr>
            <w:tcW w:w="1408" w:type="dxa"/>
            <w:shd w:val="clear" w:color="auto" w:fill="auto"/>
          </w:tcPr>
          <w:p w14:paraId="0093A0A9" w14:textId="72B57321" w:rsidR="00183D6F" w:rsidRPr="001B13F6" w:rsidRDefault="00183D6F" w:rsidP="00183D6F">
            <w:pPr>
              <w:spacing w:before="40" w:after="120"/>
              <w:ind w:right="113"/>
            </w:pPr>
            <w:r w:rsidRPr="001B13F6">
              <w:t>Y</w:t>
            </w:r>
          </w:p>
          <w:p w14:paraId="4191C683" w14:textId="58D50E54" w:rsidR="00183D6F" w:rsidRPr="001B13F6" w:rsidRDefault="00183D6F" w:rsidP="00183D6F">
            <w:pPr>
              <w:spacing w:before="40" w:after="120"/>
              <w:ind w:right="113"/>
            </w:pPr>
            <w:r w:rsidRPr="001B13F6">
              <w:t>N</w:t>
            </w:r>
          </w:p>
        </w:tc>
        <w:tc>
          <w:tcPr>
            <w:tcW w:w="1509" w:type="dxa"/>
            <w:shd w:val="clear" w:color="auto" w:fill="auto"/>
          </w:tcPr>
          <w:p w14:paraId="44D99AE9" w14:textId="224EF294" w:rsidR="00183D6F" w:rsidRPr="001B13F6" w:rsidRDefault="00183D6F" w:rsidP="00183D6F">
            <w:pPr>
              <w:spacing w:before="40" w:after="120"/>
              <w:ind w:right="113"/>
            </w:pPr>
            <w:r w:rsidRPr="001B13F6">
              <w:t>Y</w:t>
            </w:r>
          </w:p>
          <w:p w14:paraId="10795CC5" w14:textId="59985AA0" w:rsidR="00183D6F" w:rsidRPr="001B13F6" w:rsidRDefault="00183D6F" w:rsidP="00183D6F">
            <w:pPr>
              <w:spacing w:before="40" w:after="120"/>
              <w:ind w:right="113"/>
            </w:pPr>
            <w:r w:rsidRPr="001B13F6">
              <w:t>N</w:t>
            </w:r>
          </w:p>
        </w:tc>
      </w:tr>
      <w:tr w:rsidR="00183D6F" w:rsidRPr="001B13F6" w14:paraId="1ACAD9E3" w14:textId="77777777" w:rsidTr="00843397">
        <w:tc>
          <w:tcPr>
            <w:tcW w:w="2924" w:type="dxa"/>
            <w:shd w:val="clear" w:color="auto" w:fill="auto"/>
          </w:tcPr>
          <w:p w14:paraId="6A94A2B7" w14:textId="77777777" w:rsidR="00183D6F" w:rsidRPr="001B13F6" w:rsidRDefault="00183D6F" w:rsidP="00183D6F">
            <w:pPr>
              <w:spacing w:before="40" w:after="120"/>
              <w:ind w:right="113"/>
            </w:pPr>
            <w:r w:rsidRPr="001B13F6">
              <w:t>Uruguay</w:t>
            </w:r>
          </w:p>
        </w:tc>
        <w:tc>
          <w:tcPr>
            <w:tcW w:w="1529" w:type="dxa"/>
            <w:shd w:val="clear" w:color="auto" w:fill="auto"/>
          </w:tcPr>
          <w:p w14:paraId="6333487B" w14:textId="77777777" w:rsidR="00183D6F" w:rsidRPr="001B13F6" w:rsidRDefault="00183D6F" w:rsidP="00183D6F">
            <w:pPr>
              <w:spacing w:before="40" w:after="120"/>
              <w:ind w:right="113"/>
            </w:pPr>
            <w:r w:rsidRPr="001B13F6">
              <w:t>N</w:t>
            </w:r>
          </w:p>
        </w:tc>
        <w:tc>
          <w:tcPr>
            <w:tcW w:w="1408" w:type="dxa"/>
            <w:shd w:val="clear" w:color="auto" w:fill="auto"/>
          </w:tcPr>
          <w:p w14:paraId="41707624" w14:textId="77777777" w:rsidR="00183D6F" w:rsidRPr="001B13F6" w:rsidRDefault="00183D6F" w:rsidP="00183D6F">
            <w:pPr>
              <w:spacing w:before="40" w:after="120"/>
              <w:ind w:right="113"/>
            </w:pPr>
            <w:r w:rsidRPr="001B13F6">
              <w:t>Y</w:t>
            </w:r>
          </w:p>
        </w:tc>
        <w:tc>
          <w:tcPr>
            <w:tcW w:w="1509" w:type="dxa"/>
            <w:shd w:val="clear" w:color="auto" w:fill="auto"/>
          </w:tcPr>
          <w:p w14:paraId="12712CA8" w14:textId="77777777" w:rsidR="00183D6F" w:rsidRPr="001B13F6" w:rsidRDefault="00183D6F" w:rsidP="00183D6F">
            <w:pPr>
              <w:spacing w:before="40" w:after="120"/>
              <w:ind w:right="113"/>
            </w:pPr>
            <w:r w:rsidRPr="001B13F6">
              <w:t>Y</w:t>
            </w:r>
          </w:p>
        </w:tc>
      </w:tr>
      <w:tr w:rsidR="00183D6F" w:rsidRPr="001B13F6" w14:paraId="7E073F69" w14:textId="77777777" w:rsidTr="00843397">
        <w:tc>
          <w:tcPr>
            <w:tcW w:w="2924" w:type="dxa"/>
            <w:shd w:val="clear" w:color="auto" w:fill="auto"/>
          </w:tcPr>
          <w:p w14:paraId="73159D6C" w14:textId="77777777" w:rsidR="00183D6F" w:rsidRPr="001B13F6" w:rsidRDefault="00183D6F" w:rsidP="00183D6F">
            <w:pPr>
              <w:spacing w:before="40" w:after="120"/>
              <w:ind w:right="113"/>
            </w:pPr>
            <w:r w:rsidRPr="001B13F6">
              <w:t>Uzbekistan</w:t>
            </w:r>
          </w:p>
        </w:tc>
        <w:tc>
          <w:tcPr>
            <w:tcW w:w="1529" w:type="dxa"/>
            <w:shd w:val="clear" w:color="auto" w:fill="auto"/>
          </w:tcPr>
          <w:p w14:paraId="1F452EC6" w14:textId="77777777" w:rsidR="00183D6F" w:rsidRPr="001B13F6" w:rsidRDefault="00183D6F" w:rsidP="00183D6F">
            <w:pPr>
              <w:spacing w:before="40" w:after="120"/>
              <w:ind w:right="113"/>
            </w:pPr>
            <w:r w:rsidRPr="001B13F6">
              <w:t>N</w:t>
            </w:r>
          </w:p>
        </w:tc>
        <w:tc>
          <w:tcPr>
            <w:tcW w:w="1408" w:type="dxa"/>
            <w:shd w:val="clear" w:color="auto" w:fill="auto"/>
          </w:tcPr>
          <w:p w14:paraId="3C202331" w14:textId="77777777" w:rsidR="00183D6F" w:rsidRPr="001B13F6" w:rsidRDefault="00183D6F" w:rsidP="00183D6F">
            <w:pPr>
              <w:spacing w:before="40" w:after="120"/>
              <w:ind w:right="113"/>
            </w:pPr>
            <w:r w:rsidRPr="001B13F6">
              <w:t>N</w:t>
            </w:r>
          </w:p>
        </w:tc>
        <w:tc>
          <w:tcPr>
            <w:tcW w:w="1509" w:type="dxa"/>
            <w:shd w:val="clear" w:color="auto" w:fill="auto"/>
          </w:tcPr>
          <w:p w14:paraId="37F2F0A8" w14:textId="77777777" w:rsidR="00183D6F" w:rsidRPr="001B13F6" w:rsidRDefault="00183D6F" w:rsidP="00183D6F">
            <w:pPr>
              <w:spacing w:before="40" w:after="120"/>
              <w:ind w:right="113"/>
            </w:pPr>
            <w:r w:rsidRPr="001B13F6">
              <w:t>Y</w:t>
            </w:r>
          </w:p>
        </w:tc>
      </w:tr>
      <w:tr w:rsidR="00183D6F" w:rsidRPr="001B13F6" w14:paraId="6CB7BAAD" w14:textId="77777777" w:rsidTr="00843397">
        <w:tc>
          <w:tcPr>
            <w:tcW w:w="2924" w:type="dxa"/>
            <w:shd w:val="clear" w:color="auto" w:fill="auto"/>
          </w:tcPr>
          <w:p w14:paraId="77188BF0" w14:textId="77777777" w:rsidR="00183D6F" w:rsidRPr="001B13F6" w:rsidRDefault="00183D6F" w:rsidP="00183D6F">
            <w:pPr>
              <w:spacing w:before="40" w:after="120"/>
              <w:ind w:right="113"/>
            </w:pPr>
            <w:r w:rsidRPr="001B13F6">
              <w:t>Vanuatu</w:t>
            </w:r>
          </w:p>
        </w:tc>
        <w:tc>
          <w:tcPr>
            <w:tcW w:w="1529" w:type="dxa"/>
            <w:shd w:val="clear" w:color="auto" w:fill="auto"/>
          </w:tcPr>
          <w:p w14:paraId="03BD6C81" w14:textId="77777777" w:rsidR="00183D6F" w:rsidRPr="001B13F6" w:rsidRDefault="00183D6F" w:rsidP="00183D6F">
            <w:pPr>
              <w:spacing w:before="40" w:after="120"/>
              <w:ind w:right="113"/>
            </w:pPr>
            <w:r w:rsidRPr="001B13F6">
              <w:t>N</w:t>
            </w:r>
          </w:p>
        </w:tc>
        <w:tc>
          <w:tcPr>
            <w:tcW w:w="1408" w:type="dxa"/>
            <w:shd w:val="clear" w:color="auto" w:fill="auto"/>
          </w:tcPr>
          <w:p w14:paraId="14F83D26" w14:textId="77777777" w:rsidR="00183D6F" w:rsidRPr="001B13F6" w:rsidRDefault="00183D6F" w:rsidP="00183D6F">
            <w:pPr>
              <w:spacing w:before="40" w:after="120"/>
              <w:ind w:right="113"/>
            </w:pPr>
            <w:r w:rsidRPr="001B13F6">
              <w:t>N</w:t>
            </w:r>
          </w:p>
        </w:tc>
        <w:tc>
          <w:tcPr>
            <w:tcW w:w="1509" w:type="dxa"/>
            <w:shd w:val="clear" w:color="auto" w:fill="auto"/>
          </w:tcPr>
          <w:p w14:paraId="124E9BB2" w14:textId="77777777" w:rsidR="00183D6F" w:rsidRPr="001B13F6" w:rsidRDefault="00183D6F" w:rsidP="00183D6F">
            <w:pPr>
              <w:spacing w:before="40" w:after="120"/>
              <w:ind w:right="113"/>
            </w:pPr>
            <w:r w:rsidRPr="001B13F6">
              <w:t>N</w:t>
            </w:r>
          </w:p>
        </w:tc>
      </w:tr>
      <w:tr w:rsidR="00183D6F" w:rsidRPr="001B13F6" w14:paraId="2403C900" w14:textId="77777777" w:rsidTr="00843397">
        <w:tc>
          <w:tcPr>
            <w:tcW w:w="2924" w:type="dxa"/>
            <w:shd w:val="clear" w:color="auto" w:fill="auto"/>
          </w:tcPr>
          <w:p w14:paraId="5F8175D5" w14:textId="479BC443" w:rsidR="00183D6F" w:rsidRPr="001B13F6" w:rsidRDefault="00183D6F" w:rsidP="00183D6F">
            <w:pPr>
              <w:spacing w:before="40" w:after="120"/>
              <w:ind w:right="113"/>
            </w:pPr>
            <w:r w:rsidRPr="001B13F6">
              <w:t>Venezuela</w:t>
            </w:r>
            <w:r w:rsidR="00EA29A8" w:rsidRPr="001B13F6">
              <w:t xml:space="preserve"> (Bolivarian Republic of)</w:t>
            </w:r>
          </w:p>
        </w:tc>
        <w:tc>
          <w:tcPr>
            <w:tcW w:w="1529" w:type="dxa"/>
            <w:shd w:val="clear" w:color="auto" w:fill="auto"/>
          </w:tcPr>
          <w:p w14:paraId="0492574E" w14:textId="77777777" w:rsidR="00183D6F" w:rsidRPr="001B13F6" w:rsidRDefault="00183D6F" w:rsidP="00183D6F">
            <w:pPr>
              <w:spacing w:before="40" w:after="120"/>
              <w:ind w:right="113"/>
            </w:pPr>
            <w:r w:rsidRPr="001B13F6">
              <w:t>Y</w:t>
            </w:r>
          </w:p>
        </w:tc>
        <w:tc>
          <w:tcPr>
            <w:tcW w:w="1408" w:type="dxa"/>
            <w:shd w:val="clear" w:color="auto" w:fill="auto"/>
          </w:tcPr>
          <w:p w14:paraId="7D2C0687" w14:textId="77777777" w:rsidR="00183D6F" w:rsidRPr="001B13F6" w:rsidRDefault="00183D6F" w:rsidP="00183D6F">
            <w:pPr>
              <w:spacing w:before="40" w:after="120"/>
              <w:ind w:right="113"/>
            </w:pPr>
            <w:r w:rsidRPr="001B13F6">
              <w:t>N</w:t>
            </w:r>
          </w:p>
        </w:tc>
        <w:tc>
          <w:tcPr>
            <w:tcW w:w="1509" w:type="dxa"/>
            <w:shd w:val="clear" w:color="auto" w:fill="auto"/>
          </w:tcPr>
          <w:p w14:paraId="1D0355EB" w14:textId="77777777" w:rsidR="00183D6F" w:rsidRPr="001B13F6" w:rsidRDefault="00183D6F" w:rsidP="00183D6F">
            <w:pPr>
              <w:spacing w:before="40" w:after="120"/>
              <w:ind w:right="113"/>
            </w:pPr>
            <w:r w:rsidRPr="001B13F6">
              <w:t>Y</w:t>
            </w:r>
          </w:p>
        </w:tc>
      </w:tr>
      <w:tr w:rsidR="00183D6F" w:rsidRPr="001B13F6" w14:paraId="65E31A74" w14:textId="77777777" w:rsidTr="00843397">
        <w:tc>
          <w:tcPr>
            <w:tcW w:w="2924" w:type="dxa"/>
            <w:shd w:val="clear" w:color="auto" w:fill="auto"/>
          </w:tcPr>
          <w:p w14:paraId="4042DA6B" w14:textId="685F12CE" w:rsidR="00183D6F" w:rsidRPr="001B13F6" w:rsidRDefault="00183D6F" w:rsidP="00463874">
            <w:pPr>
              <w:spacing w:before="40" w:after="120"/>
              <w:ind w:right="113"/>
            </w:pPr>
            <w:r w:rsidRPr="001B13F6">
              <w:t>Viet</w:t>
            </w:r>
            <w:r w:rsidR="00EA29A8" w:rsidRPr="001B13F6">
              <w:t xml:space="preserve"> N</w:t>
            </w:r>
            <w:r w:rsidRPr="001B13F6">
              <w:t>am</w:t>
            </w:r>
          </w:p>
        </w:tc>
        <w:tc>
          <w:tcPr>
            <w:tcW w:w="1529" w:type="dxa"/>
            <w:shd w:val="clear" w:color="auto" w:fill="auto"/>
          </w:tcPr>
          <w:p w14:paraId="5FC21768" w14:textId="77777777" w:rsidR="00183D6F" w:rsidRPr="001B13F6" w:rsidRDefault="00183D6F" w:rsidP="00183D6F">
            <w:pPr>
              <w:spacing w:before="40" w:after="120"/>
              <w:ind w:right="113"/>
            </w:pPr>
            <w:r w:rsidRPr="001B13F6">
              <w:t>Y</w:t>
            </w:r>
          </w:p>
        </w:tc>
        <w:tc>
          <w:tcPr>
            <w:tcW w:w="1408" w:type="dxa"/>
            <w:shd w:val="clear" w:color="auto" w:fill="auto"/>
          </w:tcPr>
          <w:p w14:paraId="3408D722" w14:textId="77777777" w:rsidR="00183D6F" w:rsidRPr="001B13F6" w:rsidRDefault="00183D6F" w:rsidP="00183D6F">
            <w:pPr>
              <w:spacing w:before="40" w:after="120"/>
              <w:ind w:right="113"/>
            </w:pPr>
            <w:r w:rsidRPr="001B13F6">
              <w:t>N</w:t>
            </w:r>
          </w:p>
        </w:tc>
        <w:tc>
          <w:tcPr>
            <w:tcW w:w="1509" w:type="dxa"/>
            <w:shd w:val="clear" w:color="auto" w:fill="auto"/>
          </w:tcPr>
          <w:p w14:paraId="523211D6" w14:textId="77777777" w:rsidR="00183D6F" w:rsidRPr="001B13F6" w:rsidRDefault="00183D6F" w:rsidP="00183D6F">
            <w:pPr>
              <w:spacing w:before="40" w:after="120"/>
              <w:ind w:right="113"/>
            </w:pPr>
            <w:r w:rsidRPr="001B13F6">
              <w:t>Y</w:t>
            </w:r>
          </w:p>
        </w:tc>
      </w:tr>
      <w:tr w:rsidR="00183D6F" w:rsidRPr="001B13F6" w14:paraId="12E9C29D" w14:textId="77777777" w:rsidTr="00843397">
        <w:tc>
          <w:tcPr>
            <w:tcW w:w="2924" w:type="dxa"/>
            <w:shd w:val="clear" w:color="auto" w:fill="auto"/>
          </w:tcPr>
          <w:p w14:paraId="547ABA91" w14:textId="77777777" w:rsidR="00183D6F" w:rsidRPr="001B13F6" w:rsidRDefault="00183D6F" w:rsidP="00183D6F">
            <w:pPr>
              <w:spacing w:before="40" w:after="120"/>
              <w:ind w:right="113"/>
            </w:pPr>
            <w:r w:rsidRPr="001B13F6">
              <w:t>Yemen</w:t>
            </w:r>
          </w:p>
        </w:tc>
        <w:tc>
          <w:tcPr>
            <w:tcW w:w="1529" w:type="dxa"/>
            <w:shd w:val="clear" w:color="auto" w:fill="auto"/>
          </w:tcPr>
          <w:p w14:paraId="03543222" w14:textId="77777777" w:rsidR="00183D6F" w:rsidRPr="001B13F6" w:rsidRDefault="00183D6F" w:rsidP="00183D6F">
            <w:pPr>
              <w:spacing w:before="40" w:after="120"/>
              <w:ind w:right="113"/>
            </w:pPr>
            <w:r w:rsidRPr="001B13F6">
              <w:t>N</w:t>
            </w:r>
          </w:p>
        </w:tc>
        <w:tc>
          <w:tcPr>
            <w:tcW w:w="1408" w:type="dxa"/>
            <w:shd w:val="clear" w:color="auto" w:fill="auto"/>
          </w:tcPr>
          <w:p w14:paraId="5013F394" w14:textId="77777777" w:rsidR="00183D6F" w:rsidRPr="001B13F6" w:rsidRDefault="00183D6F" w:rsidP="00183D6F">
            <w:pPr>
              <w:spacing w:before="40" w:after="120"/>
              <w:ind w:right="113"/>
            </w:pPr>
            <w:r w:rsidRPr="001B13F6">
              <w:t>Y</w:t>
            </w:r>
          </w:p>
        </w:tc>
        <w:tc>
          <w:tcPr>
            <w:tcW w:w="1509" w:type="dxa"/>
            <w:shd w:val="clear" w:color="auto" w:fill="auto"/>
          </w:tcPr>
          <w:p w14:paraId="28745B92" w14:textId="77777777" w:rsidR="00183D6F" w:rsidRPr="001B13F6" w:rsidRDefault="00183D6F" w:rsidP="00183D6F">
            <w:pPr>
              <w:spacing w:before="40" w:after="120"/>
              <w:ind w:right="113"/>
            </w:pPr>
            <w:r w:rsidRPr="001B13F6">
              <w:t>Y</w:t>
            </w:r>
          </w:p>
        </w:tc>
      </w:tr>
      <w:tr w:rsidR="00183D6F" w:rsidRPr="001B13F6" w14:paraId="793BBC61" w14:textId="77777777" w:rsidTr="00843397">
        <w:tc>
          <w:tcPr>
            <w:tcW w:w="2924" w:type="dxa"/>
            <w:shd w:val="clear" w:color="auto" w:fill="auto"/>
          </w:tcPr>
          <w:p w14:paraId="2CDBBAF5" w14:textId="77777777" w:rsidR="00183D6F" w:rsidRPr="001B13F6" w:rsidRDefault="00183D6F" w:rsidP="00183D6F">
            <w:pPr>
              <w:spacing w:before="40" w:after="120"/>
              <w:ind w:right="113"/>
            </w:pPr>
            <w:r w:rsidRPr="001B13F6">
              <w:t>Zambia</w:t>
            </w:r>
          </w:p>
        </w:tc>
        <w:tc>
          <w:tcPr>
            <w:tcW w:w="1529" w:type="dxa"/>
            <w:shd w:val="clear" w:color="auto" w:fill="auto"/>
          </w:tcPr>
          <w:p w14:paraId="04A00C25" w14:textId="77777777" w:rsidR="00183D6F" w:rsidRPr="001B13F6" w:rsidRDefault="00183D6F" w:rsidP="00183D6F">
            <w:pPr>
              <w:spacing w:before="40" w:after="120"/>
              <w:ind w:right="113"/>
            </w:pPr>
            <w:r w:rsidRPr="001B13F6">
              <w:t>N</w:t>
            </w:r>
          </w:p>
        </w:tc>
        <w:tc>
          <w:tcPr>
            <w:tcW w:w="1408" w:type="dxa"/>
            <w:shd w:val="clear" w:color="auto" w:fill="auto"/>
          </w:tcPr>
          <w:p w14:paraId="0AFE9154" w14:textId="77777777" w:rsidR="00183D6F" w:rsidRPr="001B13F6" w:rsidRDefault="00183D6F" w:rsidP="00183D6F">
            <w:pPr>
              <w:spacing w:before="40" w:after="120"/>
              <w:ind w:right="113"/>
            </w:pPr>
            <w:r w:rsidRPr="001B13F6">
              <w:t>Y</w:t>
            </w:r>
          </w:p>
        </w:tc>
        <w:tc>
          <w:tcPr>
            <w:tcW w:w="1509" w:type="dxa"/>
            <w:shd w:val="clear" w:color="auto" w:fill="auto"/>
          </w:tcPr>
          <w:p w14:paraId="631A0B98" w14:textId="77777777" w:rsidR="00183D6F" w:rsidRPr="001B13F6" w:rsidRDefault="00183D6F" w:rsidP="00183D6F">
            <w:pPr>
              <w:spacing w:before="40" w:after="120"/>
              <w:ind w:right="113"/>
            </w:pPr>
            <w:r w:rsidRPr="001B13F6">
              <w:t>Y</w:t>
            </w:r>
          </w:p>
        </w:tc>
      </w:tr>
      <w:tr w:rsidR="00183D6F" w:rsidRPr="001B13F6" w14:paraId="634AF186" w14:textId="77777777" w:rsidTr="00843397">
        <w:tc>
          <w:tcPr>
            <w:tcW w:w="2924" w:type="dxa"/>
            <w:shd w:val="clear" w:color="auto" w:fill="auto"/>
          </w:tcPr>
          <w:p w14:paraId="03B6C03D" w14:textId="77777777" w:rsidR="00183D6F" w:rsidRPr="001B13F6" w:rsidRDefault="00183D6F" w:rsidP="00183D6F">
            <w:pPr>
              <w:spacing w:before="40" w:after="120"/>
              <w:ind w:right="113"/>
            </w:pPr>
            <w:r w:rsidRPr="001B13F6">
              <w:t>Zimbabwe</w:t>
            </w:r>
          </w:p>
        </w:tc>
        <w:tc>
          <w:tcPr>
            <w:tcW w:w="1529" w:type="dxa"/>
            <w:shd w:val="clear" w:color="auto" w:fill="auto"/>
          </w:tcPr>
          <w:p w14:paraId="14F9A653" w14:textId="77777777" w:rsidR="00183D6F" w:rsidRPr="001B13F6" w:rsidRDefault="00183D6F" w:rsidP="00183D6F">
            <w:pPr>
              <w:spacing w:before="40" w:after="120"/>
              <w:ind w:right="113"/>
            </w:pPr>
            <w:r w:rsidRPr="001B13F6">
              <w:t>Y</w:t>
            </w:r>
          </w:p>
        </w:tc>
        <w:tc>
          <w:tcPr>
            <w:tcW w:w="1408" w:type="dxa"/>
            <w:shd w:val="clear" w:color="auto" w:fill="auto"/>
          </w:tcPr>
          <w:p w14:paraId="486E808A" w14:textId="77777777" w:rsidR="00183D6F" w:rsidRPr="001B13F6" w:rsidRDefault="00183D6F" w:rsidP="00183D6F">
            <w:pPr>
              <w:spacing w:before="40" w:after="120"/>
              <w:ind w:right="113"/>
            </w:pPr>
            <w:r w:rsidRPr="001B13F6">
              <w:t>Y</w:t>
            </w:r>
          </w:p>
        </w:tc>
        <w:tc>
          <w:tcPr>
            <w:tcW w:w="1509" w:type="dxa"/>
            <w:shd w:val="clear" w:color="auto" w:fill="auto"/>
          </w:tcPr>
          <w:p w14:paraId="5246056C" w14:textId="77777777" w:rsidR="00183D6F" w:rsidRPr="001B13F6" w:rsidRDefault="00183D6F" w:rsidP="00183D6F">
            <w:pPr>
              <w:spacing w:before="40" w:after="120"/>
              <w:ind w:right="113"/>
            </w:pPr>
            <w:r w:rsidRPr="001B13F6">
              <w:t>Y</w:t>
            </w:r>
          </w:p>
        </w:tc>
      </w:tr>
      <w:tr w:rsidR="00183D6F" w:rsidRPr="001B13F6" w14:paraId="52C27A41" w14:textId="77777777" w:rsidTr="00843397">
        <w:tc>
          <w:tcPr>
            <w:tcW w:w="2924" w:type="dxa"/>
            <w:tcBorders>
              <w:bottom w:val="single" w:sz="12" w:space="0" w:color="auto"/>
            </w:tcBorders>
            <w:shd w:val="clear" w:color="auto" w:fill="auto"/>
          </w:tcPr>
          <w:p w14:paraId="4D209418" w14:textId="77777777" w:rsidR="00183D6F" w:rsidRPr="001B13F6" w:rsidRDefault="00183D6F" w:rsidP="00183D6F">
            <w:pPr>
              <w:spacing w:before="40" w:after="120"/>
              <w:ind w:right="113"/>
            </w:pPr>
          </w:p>
        </w:tc>
        <w:tc>
          <w:tcPr>
            <w:tcW w:w="1529" w:type="dxa"/>
            <w:tcBorders>
              <w:bottom w:val="single" w:sz="12" w:space="0" w:color="auto"/>
            </w:tcBorders>
            <w:shd w:val="clear" w:color="auto" w:fill="auto"/>
          </w:tcPr>
          <w:p w14:paraId="75DE4491" w14:textId="1063C682" w:rsidR="00183D6F" w:rsidRPr="001B13F6" w:rsidRDefault="00183D6F" w:rsidP="00183D6F">
            <w:pPr>
              <w:spacing w:before="40" w:after="120"/>
              <w:ind w:right="113"/>
            </w:pPr>
            <w:r w:rsidRPr="001B13F6">
              <w:t>11</w:t>
            </w:r>
            <w:r w:rsidR="00D50B7D" w:rsidRPr="001B13F6">
              <w:t>0</w:t>
            </w:r>
          </w:p>
        </w:tc>
        <w:tc>
          <w:tcPr>
            <w:tcW w:w="1408" w:type="dxa"/>
            <w:tcBorders>
              <w:bottom w:val="single" w:sz="12" w:space="0" w:color="auto"/>
            </w:tcBorders>
            <w:shd w:val="clear" w:color="auto" w:fill="auto"/>
          </w:tcPr>
          <w:p w14:paraId="6AF9656F" w14:textId="77777777" w:rsidR="00183D6F" w:rsidRPr="001B13F6" w:rsidRDefault="00183D6F" w:rsidP="00183D6F">
            <w:pPr>
              <w:spacing w:before="40" w:after="120"/>
              <w:ind w:right="113"/>
            </w:pPr>
            <w:r w:rsidRPr="001B13F6">
              <w:t>126</w:t>
            </w:r>
          </w:p>
        </w:tc>
        <w:tc>
          <w:tcPr>
            <w:tcW w:w="1509" w:type="dxa"/>
            <w:tcBorders>
              <w:bottom w:val="single" w:sz="12" w:space="0" w:color="auto"/>
            </w:tcBorders>
            <w:shd w:val="clear" w:color="auto" w:fill="auto"/>
          </w:tcPr>
          <w:p w14:paraId="7CB54FC7" w14:textId="77777777" w:rsidR="00183D6F" w:rsidRPr="001B13F6" w:rsidRDefault="00183D6F" w:rsidP="00183D6F">
            <w:pPr>
              <w:spacing w:before="40" w:after="120"/>
              <w:ind w:right="113"/>
            </w:pPr>
            <w:r w:rsidRPr="001B13F6">
              <w:t>101</w:t>
            </w:r>
          </w:p>
        </w:tc>
      </w:tr>
    </w:tbl>
    <w:p w14:paraId="09D8FE49" w14:textId="77777777" w:rsidR="005F3B36" w:rsidRPr="00603760" w:rsidRDefault="005F3B36" w:rsidP="005F3B36">
      <w:pPr>
        <w:pStyle w:val="SingleTxtG"/>
        <w:rPr>
          <w:lang w:val="es-ES"/>
        </w:rPr>
      </w:pPr>
      <w:r w:rsidRPr="00603760">
        <w:rPr>
          <w:lang w:val="es-ES"/>
        </w:rPr>
        <w:t>Y = Yes, Yi= implicit, N = No</w:t>
      </w:r>
    </w:p>
    <w:p w14:paraId="4F7C4448" w14:textId="52470EC3" w:rsidR="00717FE9" w:rsidRPr="00463874" w:rsidRDefault="00463874" w:rsidP="00463874">
      <w:pPr>
        <w:pStyle w:val="SingleTxtG"/>
        <w:tabs>
          <w:tab w:val="left" w:pos="1276"/>
          <w:tab w:val="left" w:pos="1560"/>
        </w:tabs>
        <w:rPr>
          <w:b/>
        </w:rPr>
      </w:pPr>
      <w:r w:rsidRPr="00603760">
        <w:rPr>
          <w:lang w:val="es-ES"/>
        </w:rPr>
        <w:tab/>
      </w:r>
      <w:r>
        <w:t>*</w:t>
      </w:r>
      <w:r>
        <w:tab/>
      </w:r>
      <w:r w:rsidR="005F3B36" w:rsidRPr="00924C56">
        <w:t xml:space="preserve">Includes </w:t>
      </w:r>
      <w:r w:rsidR="00530DDD">
        <w:t xml:space="preserve">the </w:t>
      </w:r>
      <w:r w:rsidR="005F3B36" w:rsidRPr="00924C56">
        <w:t xml:space="preserve">African Charter, </w:t>
      </w:r>
      <w:r w:rsidR="00530DDD">
        <w:t xml:space="preserve">the </w:t>
      </w:r>
      <w:r w:rsidR="005F3B36" w:rsidRPr="00924C56">
        <w:t xml:space="preserve">San Salvador Protocol, </w:t>
      </w:r>
      <w:r w:rsidR="008E10E6">
        <w:t xml:space="preserve">the </w:t>
      </w:r>
      <w:r w:rsidR="005F3B36" w:rsidRPr="00924C56">
        <w:t xml:space="preserve">Aarhus Convention, </w:t>
      </w:r>
      <w:r w:rsidR="008E10E6">
        <w:t xml:space="preserve">the </w:t>
      </w:r>
      <w:r w:rsidR="005F3B36" w:rsidRPr="00924C56">
        <w:t xml:space="preserve">Arab Charter and </w:t>
      </w:r>
      <w:r w:rsidR="008E10E6">
        <w:t xml:space="preserve">the </w:t>
      </w:r>
      <w:r w:rsidR="00686344" w:rsidRPr="00924C56">
        <w:t>Escazú</w:t>
      </w:r>
      <w:r w:rsidR="005F3B36" w:rsidRPr="00463874">
        <w:t xml:space="preserve"> Agreement</w:t>
      </w:r>
      <w:r w:rsidR="00C9749C" w:rsidRPr="00463874">
        <w:t>.</w:t>
      </w:r>
    </w:p>
    <w:p w14:paraId="708C4C45" w14:textId="443F0E7E" w:rsidR="00F43EE5" w:rsidRPr="001B13F6" w:rsidRDefault="00F43EE5" w:rsidP="00F43EE5">
      <w:pPr>
        <w:pStyle w:val="SingleTxtG"/>
        <w:spacing w:before="240" w:after="0"/>
        <w:jc w:val="center"/>
        <w:rPr>
          <w:u w:val="single"/>
        </w:rPr>
      </w:pPr>
      <w:r w:rsidRPr="001B13F6">
        <w:rPr>
          <w:u w:val="single"/>
        </w:rPr>
        <w:tab/>
      </w:r>
      <w:r w:rsidRPr="001B13F6">
        <w:rPr>
          <w:u w:val="single"/>
        </w:rPr>
        <w:tab/>
      </w:r>
      <w:r w:rsidRPr="001B13F6">
        <w:rPr>
          <w:u w:val="single"/>
        </w:rPr>
        <w:tab/>
      </w:r>
      <w:r w:rsidR="00463874">
        <w:rPr>
          <w:u w:val="single"/>
        </w:rPr>
        <w:tab/>
      </w:r>
    </w:p>
    <w:sectPr w:rsidR="00F43EE5" w:rsidRPr="001B13F6" w:rsidSect="008F4796">
      <w:headerReference w:type="even" r:id="rId13"/>
      <w:headerReference w:type="default" r:id="rId14"/>
      <w:footerReference w:type="even" r:id="rId15"/>
      <w:footerReference w:type="defaul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68E8" w14:textId="77777777" w:rsidR="00603760" w:rsidRDefault="00603760"/>
  </w:endnote>
  <w:endnote w:type="continuationSeparator" w:id="0">
    <w:p w14:paraId="17CBAF78" w14:textId="77777777" w:rsidR="00603760" w:rsidRDefault="00603760"/>
  </w:endnote>
  <w:endnote w:type="continuationNotice" w:id="1">
    <w:p w14:paraId="243473DE" w14:textId="77777777" w:rsidR="00603760" w:rsidRDefault="0060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0EEE" w14:textId="1B0B24E1" w:rsidR="00603760" w:rsidRPr="00B4754C" w:rsidRDefault="00603760" w:rsidP="00B4754C">
    <w:pPr>
      <w:pStyle w:val="Footer"/>
      <w:tabs>
        <w:tab w:val="right" w:pos="9638"/>
      </w:tabs>
      <w:rPr>
        <w:sz w:val="18"/>
      </w:rPr>
    </w:pPr>
    <w:r w:rsidRPr="00B4754C">
      <w:rPr>
        <w:b/>
        <w:sz w:val="18"/>
      </w:rPr>
      <w:fldChar w:fldCharType="begin"/>
    </w:r>
    <w:r w:rsidRPr="00B4754C">
      <w:rPr>
        <w:b/>
        <w:sz w:val="18"/>
      </w:rPr>
      <w:instrText xml:space="preserve"> PAGE  \* MERGEFORMAT </w:instrText>
    </w:r>
    <w:r w:rsidRPr="00B4754C">
      <w:rPr>
        <w:b/>
        <w:sz w:val="18"/>
      </w:rPr>
      <w:fldChar w:fldCharType="separate"/>
    </w:r>
    <w:r w:rsidR="005D2854">
      <w:rPr>
        <w:b/>
        <w:noProof/>
        <w:sz w:val="18"/>
      </w:rPr>
      <w:t>26</w:t>
    </w:r>
    <w:r w:rsidRPr="00B4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D7AD" w14:textId="52343A27" w:rsidR="00603760" w:rsidRPr="00B4754C" w:rsidRDefault="00603760" w:rsidP="00B4754C">
    <w:pPr>
      <w:pStyle w:val="Footer"/>
      <w:tabs>
        <w:tab w:val="right" w:pos="9638"/>
      </w:tabs>
      <w:rPr>
        <w:b/>
        <w:sz w:val="18"/>
      </w:rPr>
    </w:pPr>
    <w:r>
      <w:tab/>
    </w:r>
    <w:r w:rsidRPr="00B4754C">
      <w:rPr>
        <w:b/>
        <w:sz w:val="18"/>
      </w:rPr>
      <w:fldChar w:fldCharType="begin"/>
    </w:r>
    <w:r w:rsidRPr="00B4754C">
      <w:rPr>
        <w:b/>
        <w:sz w:val="18"/>
      </w:rPr>
      <w:instrText xml:space="preserve"> PAGE  \* MERGEFORMAT </w:instrText>
    </w:r>
    <w:r w:rsidRPr="00B4754C">
      <w:rPr>
        <w:b/>
        <w:sz w:val="18"/>
      </w:rPr>
      <w:fldChar w:fldCharType="separate"/>
    </w:r>
    <w:r w:rsidR="005D2854">
      <w:rPr>
        <w:b/>
        <w:noProof/>
        <w:sz w:val="18"/>
      </w:rPr>
      <w:t>25</w:t>
    </w:r>
    <w:r w:rsidRPr="00B4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F7049" w14:textId="77777777" w:rsidR="00603760" w:rsidRPr="000B175B" w:rsidRDefault="00603760" w:rsidP="000B175B">
      <w:pPr>
        <w:tabs>
          <w:tab w:val="right" w:pos="2155"/>
        </w:tabs>
        <w:spacing w:after="80"/>
        <w:ind w:left="680"/>
        <w:rPr>
          <w:u w:val="single"/>
        </w:rPr>
      </w:pPr>
      <w:r>
        <w:rPr>
          <w:u w:val="single"/>
        </w:rPr>
        <w:tab/>
      </w:r>
    </w:p>
  </w:footnote>
  <w:footnote w:type="continuationSeparator" w:id="0">
    <w:p w14:paraId="5C2401D7" w14:textId="77777777" w:rsidR="00603760" w:rsidRPr="00FC68B7" w:rsidRDefault="00603760" w:rsidP="00FC68B7">
      <w:pPr>
        <w:tabs>
          <w:tab w:val="left" w:pos="2155"/>
        </w:tabs>
        <w:spacing w:after="80"/>
        <w:ind w:left="680"/>
        <w:rPr>
          <w:u w:val="single"/>
        </w:rPr>
      </w:pPr>
      <w:r>
        <w:rPr>
          <w:u w:val="single"/>
        </w:rPr>
        <w:tab/>
      </w:r>
    </w:p>
  </w:footnote>
  <w:footnote w:type="continuationNotice" w:id="1">
    <w:p w14:paraId="5AC9C109" w14:textId="77777777" w:rsidR="00603760" w:rsidRDefault="00603760"/>
  </w:footnote>
  <w:footnote w:id="2">
    <w:p w14:paraId="172BD54C" w14:textId="6643CCD9" w:rsidR="00603760" w:rsidRPr="00463874" w:rsidRDefault="00603760" w:rsidP="00D65C4B">
      <w:pPr>
        <w:pStyle w:val="FootnoteText"/>
        <w:tabs>
          <w:tab w:val="left" w:pos="0"/>
        </w:tabs>
        <w:rPr>
          <w:szCs w:val="18"/>
        </w:rPr>
      </w:pPr>
      <w:r w:rsidRPr="00A36E18">
        <w:rPr>
          <w:szCs w:val="18"/>
        </w:rPr>
        <w:tab/>
      </w:r>
      <w:r w:rsidRPr="00A36E18">
        <w:rPr>
          <w:rStyle w:val="FootnoteReference"/>
          <w:szCs w:val="18"/>
        </w:rPr>
        <w:footnoteRef/>
      </w:r>
      <w:r w:rsidRPr="00A36E18">
        <w:rPr>
          <w:szCs w:val="18"/>
        </w:rPr>
        <w:tab/>
        <w:t>All s</w:t>
      </w:r>
      <w:r w:rsidRPr="00D50B7D">
        <w:rPr>
          <w:szCs w:val="18"/>
        </w:rPr>
        <w:t xml:space="preserve">ubmissions are available at </w:t>
      </w:r>
      <w:hyperlink r:id="rId1" w:history="1">
        <w:r w:rsidRPr="00463874">
          <w:rPr>
            <w:rStyle w:val="Hyperlink"/>
            <w:szCs w:val="18"/>
          </w:rPr>
          <w:t>www.ohchr.org/EN/Issues/Environment/SREnvironment/Pages/GoodPracticesRight2HESubmissions.aspx</w:t>
        </w:r>
      </w:hyperlink>
      <w:r w:rsidRPr="00463874">
        <w:rPr>
          <w:szCs w:val="18"/>
        </w:rPr>
        <w:t>.</w:t>
      </w:r>
    </w:p>
  </w:footnote>
  <w:footnote w:id="3">
    <w:p w14:paraId="07E5308A" w14:textId="507799B5" w:rsidR="00603760" w:rsidRPr="00463874" w:rsidRDefault="00603760" w:rsidP="00463874">
      <w:pPr>
        <w:pStyle w:val="FootnoteText"/>
        <w:rPr>
          <w:lang w:val="en-US"/>
        </w:rPr>
      </w:pPr>
      <w:r>
        <w:tab/>
      </w:r>
      <w:r>
        <w:rPr>
          <w:rStyle w:val="FootnoteReference"/>
        </w:rPr>
        <w:footnoteRef/>
      </w:r>
      <w:r>
        <w:tab/>
      </w:r>
      <w:r w:rsidRPr="00924C56">
        <w:rPr>
          <w:lang w:val="en-US"/>
        </w:rPr>
        <w:t>Additional Good Practices in the Implementation of the Right to a Safe, Clean, Healthy and Sustainable Environment</w:t>
      </w:r>
      <w:r>
        <w:rPr>
          <w:lang w:val="en-US"/>
        </w:rPr>
        <w:t xml:space="preserve">. Available at </w:t>
      </w:r>
      <w:hyperlink r:id="rId2" w:history="1">
        <w:r w:rsidRPr="004D7940">
          <w:rPr>
            <w:rStyle w:val="Hyperlink"/>
          </w:rPr>
          <w:t>www.ohchr.org/EN/Issues/Environment/SREnvironment/Pages/Annualreports.aspx</w:t>
        </w:r>
      </w:hyperlink>
      <w:r>
        <w:t>.</w:t>
      </w:r>
    </w:p>
  </w:footnote>
  <w:footnote w:id="4">
    <w:p w14:paraId="7F72DEA2" w14:textId="0EE832C3" w:rsidR="00603760" w:rsidRPr="00463874" w:rsidRDefault="00603760" w:rsidP="00463874">
      <w:pPr>
        <w:pStyle w:val="FootnoteText"/>
        <w:rPr>
          <w:lang w:val="en-US"/>
        </w:rPr>
      </w:pPr>
      <w:r>
        <w:tab/>
      </w:r>
      <w:r w:rsidRPr="00937A18">
        <w:rPr>
          <w:rStyle w:val="FootnoteReference"/>
        </w:rPr>
        <w:footnoteRef/>
      </w:r>
      <w:r>
        <w:tab/>
      </w:r>
      <w:r w:rsidRPr="00E65275">
        <w:rPr>
          <w:lang w:val="en-US"/>
        </w:rPr>
        <w:t>S</w:t>
      </w:r>
      <w:r w:rsidRPr="006F36F5">
        <w:rPr>
          <w:lang w:val="en-US"/>
        </w:rPr>
        <w:t>ee</w:t>
      </w:r>
      <w:r>
        <w:rPr>
          <w:lang w:val="en-US"/>
        </w:rPr>
        <w:t xml:space="preserve"> </w:t>
      </w:r>
      <w:r w:rsidRPr="000917A4">
        <w:rPr>
          <w:lang w:val="en-US"/>
        </w:rPr>
        <w:t>www.ohchr.org/EN/Issues/Environment/SREnvironment/Right2HE/Pages/national.aspx</w:t>
      </w:r>
      <w:r>
        <w:rPr>
          <w:lang w:val="en-US"/>
        </w:rPr>
        <w:t>.</w:t>
      </w:r>
    </w:p>
  </w:footnote>
  <w:footnote w:id="5">
    <w:p w14:paraId="2F583F3E" w14:textId="6CD0C273" w:rsidR="00603760" w:rsidRPr="00463874" w:rsidRDefault="00603760" w:rsidP="00D65C4B">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r>
      <w:r w:rsidRPr="00D50B7D">
        <w:rPr>
          <w:szCs w:val="18"/>
        </w:rPr>
        <w:t xml:space="preserve">See </w:t>
      </w:r>
      <w:hyperlink r:id="rId3" w:history="1">
        <w:r w:rsidRPr="00D50B7D">
          <w:rPr>
            <w:rStyle w:val="Hyperlink"/>
            <w:szCs w:val="18"/>
          </w:rPr>
          <w:t>www.dinama.gub.uy/oan/</w:t>
        </w:r>
      </w:hyperlink>
      <w:r w:rsidRPr="00A36E18">
        <w:rPr>
          <w:szCs w:val="18"/>
        </w:rPr>
        <w:t>.</w:t>
      </w:r>
    </w:p>
  </w:footnote>
  <w:footnote w:id="6">
    <w:p w14:paraId="677EF168" w14:textId="2666D94D" w:rsidR="00603760" w:rsidRPr="00463874" w:rsidRDefault="00603760" w:rsidP="00D65C4B">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t xml:space="preserve">See </w:t>
      </w:r>
      <w:r w:rsidRPr="00D50B7D">
        <w:rPr>
          <w:szCs w:val="18"/>
        </w:rPr>
        <w:t>http://oki.antsz.hu/.</w:t>
      </w:r>
    </w:p>
  </w:footnote>
  <w:footnote w:id="7">
    <w:p w14:paraId="79CCCBED" w14:textId="1FC095EA" w:rsidR="00603760" w:rsidRPr="00463874" w:rsidRDefault="00603760" w:rsidP="00D65C4B">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t xml:space="preserve">See </w:t>
      </w:r>
      <w:r w:rsidRPr="00D50B7D">
        <w:rPr>
          <w:szCs w:val="18"/>
        </w:rPr>
        <w:t>www.sprep.org/inform/data-portals.</w:t>
      </w:r>
    </w:p>
  </w:footnote>
  <w:footnote w:id="8">
    <w:p w14:paraId="7C0DCD1C" w14:textId="5A0C949D" w:rsidR="00603760" w:rsidRPr="00463874" w:rsidRDefault="00603760" w:rsidP="006760AA">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t xml:space="preserve">See </w:t>
      </w:r>
      <w:r w:rsidRPr="00D50B7D">
        <w:rPr>
          <w:szCs w:val="18"/>
        </w:rPr>
        <w:t xml:space="preserve">Front Line, </w:t>
      </w:r>
      <w:r w:rsidRPr="00463874">
        <w:rPr>
          <w:i/>
          <w:szCs w:val="18"/>
        </w:rPr>
        <w:t>Front Line Defenders: Global Analysis 2018</w:t>
      </w:r>
      <w:r w:rsidRPr="00A36E18">
        <w:rPr>
          <w:szCs w:val="18"/>
        </w:rPr>
        <w:t>, 2019.</w:t>
      </w:r>
    </w:p>
  </w:footnote>
  <w:footnote w:id="9">
    <w:p w14:paraId="4510FADB" w14:textId="2FAE349C" w:rsidR="00603760" w:rsidRPr="00D50B7D" w:rsidRDefault="00603760" w:rsidP="0008333C">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 xml:space="preserve">See </w:t>
      </w:r>
      <w:r w:rsidRPr="00D50B7D">
        <w:rPr>
          <w:szCs w:val="18"/>
        </w:rPr>
        <w:t>www.voanoticias.com/a/peru-fiscalia-asesinato-ambientalistas-/5148352.html.</w:t>
      </w:r>
    </w:p>
  </w:footnote>
  <w:footnote w:id="10">
    <w:p w14:paraId="37747C0D" w14:textId="41BCE1C8" w:rsidR="00603760" w:rsidRPr="00463874" w:rsidRDefault="00603760" w:rsidP="0008333C">
      <w:pPr>
        <w:pStyle w:val="FootnoteText"/>
        <w:tabs>
          <w:tab w:val="left" w:pos="0"/>
        </w:tabs>
        <w:rPr>
          <w:color w:val="000000" w:themeColor="text1"/>
          <w:szCs w:val="18"/>
        </w:rPr>
      </w:pPr>
      <w:r w:rsidRPr="00D50B7D">
        <w:rPr>
          <w:szCs w:val="18"/>
        </w:rPr>
        <w:tab/>
      </w:r>
      <w:r w:rsidRPr="00A36E18">
        <w:rPr>
          <w:rStyle w:val="FootnoteReference"/>
          <w:szCs w:val="18"/>
        </w:rPr>
        <w:footnoteRef/>
      </w:r>
      <w:r w:rsidRPr="00A36E18">
        <w:rPr>
          <w:szCs w:val="18"/>
        </w:rPr>
        <w:tab/>
      </w:r>
      <w:r>
        <w:rPr>
          <w:szCs w:val="18"/>
        </w:rPr>
        <w:t xml:space="preserve">George Pring and Catherine Pring, </w:t>
      </w:r>
      <w:r w:rsidRPr="00463874">
        <w:rPr>
          <w:i/>
          <w:szCs w:val="18"/>
        </w:rPr>
        <w:t xml:space="preserve">Environmental Courts </w:t>
      </w:r>
      <w:r>
        <w:rPr>
          <w:i/>
          <w:szCs w:val="18"/>
        </w:rPr>
        <w:t>&amp;</w:t>
      </w:r>
      <w:r w:rsidRPr="00463874">
        <w:rPr>
          <w:i/>
          <w:szCs w:val="18"/>
        </w:rPr>
        <w:t xml:space="preserve"> Tribunals: A Guide for Policy Makers</w:t>
      </w:r>
      <w:r>
        <w:rPr>
          <w:szCs w:val="18"/>
        </w:rPr>
        <w:t>,</w:t>
      </w:r>
      <w:r w:rsidRPr="00613960">
        <w:rPr>
          <w:szCs w:val="18"/>
        </w:rPr>
        <w:t xml:space="preserve"> </w:t>
      </w:r>
      <w:r w:rsidRPr="00A36E18">
        <w:rPr>
          <w:szCs w:val="18"/>
        </w:rPr>
        <w:t>UNE</w:t>
      </w:r>
      <w:r>
        <w:rPr>
          <w:szCs w:val="18"/>
        </w:rPr>
        <w:t xml:space="preserve">P, </w:t>
      </w:r>
      <w:r w:rsidRPr="00A36E18">
        <w:rPr>
          <w:szCs w:val="18"/>
        </w:rPr>
        <w:t>2016.</w:t>
      </w:r>
    </w:p>
  </w:footnote>
  <w:footnote w:id="11">
    <w:p w14:paraId="0AC7C60F" w14:textId="14A876B2" w:rsidR="00603760" w:rsidRPr="00463874" w:rsidRDefault="00603760" w:rsidP="0008333C">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r>
      <w:r w:rsidRPr="00D50B7D">
        <w:rPr>
          <w:szCs w:val="18"/>
        </w:rPr>
        <w:t xml:space="preserve">See </w:t>
      </w:r>
      <w:hyperlink r:id="rId4" w:history="1">
        <w:r w:rsidRPr="00A36E18">
          <w:rPr>
            <w:szCs w:val="18"/>
          </w:rPr>
          <w:t>https://nhri.ohchr.org/EN/Pages/default.aspx</w:t>
        </w:r>
      </w:hyperlink>
      <w:r w:rsidRPr="00A36E18">
        <w:rPr>
          <w:szCs w:val="18"/>
        </w:rPr>
        <w:t xml:space="preserve">. </w:t>
      </w:r>
    </w:p>
  </w:footnote>
  <w:footnote w:id="12">
    <w:p w14:paraId="551FBAF1" w14:textId="1DDE5405" w:rsidR="00603760" w:rsidRPr="00D50B7D" w:rsidRDefault="00603760" w:rsidP="00C93581">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Social and Economic Rights Action Centre and Centre for Economic and Social Rights v. Nigeria</w:t>
      </w:r>
      <w:r w:rsidRPr="00D50B7D">
        <w:rPr>
          <w:szCs w:val="18"/>
        </w:rPr>
        <w:t xml:space="preserve"> (communication No. 155/96), 2001.</w:t>
      </w:r>
    </w:p>
  </w:footnote>
  <w:footnote w:id="13">
    <w:p w14:paraId="3D539454" w14:textId="754A16FC" w:rsidR="00603760" w:rsidRPr="00D50B7D" w:rsidRDefault="00603760" w:rsidP="00C93581">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Advisory Opinion</w:t>
      </w:r>
      <w:r w:rsidRPr="00D50B7D">
        <w:rPr>
          <w:szCs w:val="18"/>
        </w:rPr>
        <w:t xml:space="preserve"> OC-23-17, 15 November 2017. </w:t>
      </w:r>
    </w:p>
  </w:footnote>
  <w:footnote w:id="14">
    <w:p w14:paraId="4A6E401E" w14:textId="77777777" w:rsidR="00603760" w:rsidRPr="00A36E18" w:rsidRDefault="00603760" w:rsidP="00C93581">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r>
      <w:r w:rsidRPr="00463874">
        <w:rPr>
          <w:i/>
          <w:szCs w:val="18"/>
        </w:rPr>
        <w:t>Tatar v. Romania</w:t>
      </w:r>
      <w:r w:rsidRPr="00A36E18">
        <w:rPr>
          <w:szCs w:val="18"/>
        </w:rPr>
        <w:t xml:space="preserve">, Application No. 67021/01, Judgment, 27 January 2009, paras. 107 and 112. </w:t>
      </w:r>
    </w:p>
  </w:footnote>
  <w:footnote w:id="15">
    <w:p w14:paraId="029EA46E" w14:textId="77777777" w:rsidR="00603760" w:rsidRPr="00A36E18" w:rsidRDefault="00603760" w:rsidP="00C93581">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r>
      <w:r w:rsidRPr="00463874">
        <w:rPr>
          <w:i/>
          <w:szCs w:val="18"/>
        </w:rPr>
        <w:t>Marangopoulos Foundation for Human Rights v. Greece</w:t>
      </w:r>
      <w:r w:rsidRPr="00A36E18">
        <w:rPr>
          <w:szCs w:val="18"/>
        </w:rPr>
        <w:t xml:space="preserve">, Complaint No. 30/2005, Decision on the Merits, 6 December 2006, para. 195. </w:t>
      </w:r>
    </w:p>
  </w:footnote>
  <w:footnote w:id="16">
    <w:p w14:paraId="0CE1D5EE" w14:textId="36C80D96" w:rsidR="00603760" w:rsidRPr="00D50B7D" w:rsidRDefault="00603760" w:rsidP="004C6E4E">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 xml:space="preserve">See </w:t>
      </w:r>
      <w:r w:rsidRPr="00463874">
        <w:rPr>
          <w:i/>
          <w:szCs w:val="18"/>
        </w:rPr>
        <w:t>The Benefits and Costs of the Clean Air Act from 1990 to 2020</w:t>
      </w:r>
      <w:r w:rsidRPr="00A36E18">
        <w:rPr>
          <w:szCs w:val="18"/>
        </w:rPr>
        <w:t>, U</w:t>
      </w:r>
      <w:r w:rsidRPr="00D50B7D">
        <w:rPr>
          <w:szCs w:val="18"/>
        </w:rPr>
        <w:t>nited States Environmental Protection Agency, 2011.</w:t>
      </w:r>
    </w:p>
  </w:footnote>
  <w:footnote w:id="17">
    <w:p w14:paraId="4ED8C1DC" w14:textId="7D72E0FE" w:rsidR="00603760" w:rsidRPr="00D50B7D" w:rsidRDefault="00603760" w:rsidP="004C6E4E">
      <w:pPr>
        <w:pStyle w:val="FootnoteText"/>
        <w:tabs>
          <w:tab w:val="left" w:pos="0"/>
        </w:tabs>
        <w:rPr>
          <w:szCs w:val="18"/>
        </w:rPr>
      </w:pPr>
      <w:r w:rsidRPr="00D50B7D">
        <w:rPr>
          <w:szCs w:val="18"/>
        </w:rPr>
        <w:tab/>
      </w:r>
      <w:r w:rsidRPr="00A36E18">
        <w:rPr>
          <w:rStyle w:val="FootnoteReference"/>
          <w:szCs w:val="18"/>
        </w:rPr>
        <w:footnoteRef/>
      </w:r>
      <w:r w:rsidRPr="00463874">
        <w:rPr>
          <w:szCs w:val="18"/>
        </w:rPr>
        <w:tab/>
        <w:t>W. James Gauderman, Robert Urman, Edward Avol et al</w:t>
      </w:r>
      <w:r>
        <w:rPr>
          <w:szCs w:val="18"/>
        </w:rPr>
        <w:t>.</w:t>
      </w:r>
      <w:r w:rsidRPr="00463874">
        <w:rPr>
          <w:szCs w:val="18"/>
        </w:rPr>
        <w:t xml:space="preserve">, </w:t>
      </w:r>
      <w:r w:rsidRPr="00A36E18">
        <w:rPr>
          <w:szCs w:val="18"/>
        </w:rPr>
        <w:t>“Association of improved air quality with lung development in children</w:t>
      </w:r>
      <w:r w:rsidRPr="00D50B7D">
        <w:rPr>
          <w:szCs w:val="18"/>
        </w:rPr>
        <w:t xml:space="preserve">”, </w:t>
      </w:r>
      <w:r w:rsidRPr="00463874">
        <w:rPr>
          <w:i/>
          <w:szCs w:val="18"/>
        </w:rPr>
        <w:t>New England Journal of Medicine</w:t>
      </w:r>
      <w:r w:rsidRPr="00A36E18">
        <w:rPr>
          <w:szCs w:val="18"/>
        </w:rPr>
        <w:t xml:space="preserve">, </w:t>
      </w:r>
      <w:r w:rsidRPr="00D50B7D">
        <w:rPr>
          <w:szCs w:val="18"/>
        </w:rPr>
        <w:t>vol. 372, pp. 905–913.</w:t>
      </w:r>
    </w:p>
  </w:footnote>
  <w:footnote w:id="18">
    <w:p w14:paraId="6C91E9D0" w14:textId="6DB72EBA" w:rsidR="00603760" w:rsidRPr="00D50B7D" w:rsidRDefault="00603760" w:rsidP="004C6E4E">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r>
      <w:r w:rsidRPr="00463874">
        <w:rPr>
          <w:i/>
          <w:szCs w:val="18"/>
        </w:rPr>
        <w:t>Tracking SDG 7: The Energy Progress Report 2018</w:t>
      </w:r>
      <w:r w:rsidRPr="00A36E18">
        <w:rPr>
          <w:szCs w:val="18"/>
        </w:rPr>
        <w:t xml:space="preserve">, International </w:t>
      </w:r>
      <w:r w:rsidRPr="00D50B7D">
        <w:rPr>
          <w:szCs w:val="18"/>
        </w:rPr>
        <w:t>Energy Agency, World Bank et al., 2019.</w:t>
      </w:r>
    </w:p>
  </w:footnote>
  <w:footnote w:id="19">
    <w:p w14:paraId="34C3C90C" w14:textId="27889660" w:rsidR="00603760" w:rsidRPr="00D50B7D" w:rsidRDefault="00603760" w:rsidP="004C6E4E">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Elise</w:t>
      </w:r>
      <w:r w:rsidRPr="00D50B7D">
        <w:rPr>
          <w:szCs w:val="18"/>
        </w:rPr>
        <w:t xml:space="preserve"> Gould, “Childhood lead poisoning: conservative estimates of the social and economic benefits of lead hazard control”, </w:t>
      </w:r>
      <w:r w:rsidRPr="00463874">
        <w:rPr>
          <w:i/>
          <w:szCs w:val="18"/>
        </w:rPr>
        <w:t>Environmental Health Perspectives</w:t>
      </w:r>
      <w:r w:rsidRPr="00A36E18">
        <w:rPr>
          <w:szCs w:val="18"/>
        </w:rPr>
        <w:t>, vol. 117, No. 7 (July 2009), pp. 1162–1167.</w:t>
      </w:r>
    </w:p>
  </w:footnote>
  <w:footnote w:id="20">
    <w:p w14:paraId="5604AE32" w14:textId="231CE141" w:rsidR="00603760" w:rsidRPr="00D50B7D" w:rsidRDefault="00603760" w:rsidP="004C6E4E">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“Climate change is greatest ever threat to human rights, UN warns</w:t>
      </w:r>
      <w:r w:rsidRPr="00D50B7D">
        <w:rPr>
          <w:szCs w:val="18"/>
        </w:rPr>
        <w:t xml:space="preserve">”, </w:t>
      </w:r>
      <w:r w:rsidRPr="00463874">
        <w:rPr>
          <w:i/>
          <w:szCs w:val="18"/>
        </w:rPr>
        <w:t>Guardian</w:t>
      </w:r>
      <w:r w:rsidRPr="00A36E18">
        <w:rPr>
          <w:szCs w:val="18"/>
        </w:rPr>
        <w:t>,</w:t>
      </w:r>
      <w:r w:rsidRPr="00D50B7D">
        <w:rPr>
          <w:szCs w:val="18"/>
        </w:rPr>
        <w:t xml:space="preserve"> 9 September 2019. </w:t>
      </w:r>
    </w:p>
  </w:footnote>
  <w:footnote w:id="21">
    <w:p w14:paraId="0C9B9008" w14:textId="5C25A94C" w:rsidR="00603760" w:rsidRPr="00463874" w:rsidRDefault="00603760" w:rsidP="004B280C">
      <w:pPr>
        <w:pStyle w:val="FootnoteText"/>
        <w:tabs>
          <w:tab w:val="left" w:pos="0"/>
        </w:tabs>
        <w:rPr>
          <w:color w:val="000000" w:themeColor="text1"/>
          <w:szCs w:val="18"/>
        </w:rPr>
      </w:pPr>
      <w:r w:rsidRPr="00D50B7D">
        <w:rPr>
          <w:szCs w:val="18"/>
        </w:rPr>
        <w:tab/>
      </w:r>
      <w:r w:rsidRPr="00463874">
        <w:rPr>
          <w:szCs w:val="18"/>
          <w:vertAlign w:val="superscript"/>
        </w:rPr>
        <w:footnoteRef/>
      </w:r>
      <w:r w:rsidRPr="00A36E18">
        <w:rPr>
          <w:szCs w:val="18"/>
        </w:rPr>
        <w:tab/>
      </w:r>
      <w:r w:rsidRPr="00D50B7D">
        <w:rPr>
          <w:szCs w:val="18"/>
        </w:rPr>
        <w:t>Global trends in climate change legislation and litigation: 2018 snapshot, Grantham Research Institute on Climate Change and the Environment.</w:t>
      </w:r>
    </w:p>
  </w:footnote>
  <w:footnote w:id="22">
    <w:p w14:paraId="46F12A8B" w14:textId="095752C4" w:rsidR="00603760" w:rsidRPr="00463874" w:rsidRDefault="00603760" w:rsidP="004B280C">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t>Alina</w:t>
      </w:r>
      <w:r w:rsidRPr="00D50B7D">
        <w:rPr>
          <w:szCs w:val="18"/>
        </w:rPr>
        <w:t xml:space="preserve"> Averchenkova </w:t>
      </w:r>
      <w:r w:rsidRPr="00463874">
        <w:rPr>
          <w:i/>
          <w:szCs w:val="18"/>
        </w:rPr>
        <w:t>Legislating for a low carbon and climate resilient transition: learning from international experiences</w:t>
      </w:r>
      <w:r w:rsidRPr="00A36E18">
        <w:rPr>
          <w:szCs w:val="18"/>
        </w:rPr>
        <w:t>,</w:t>
      </w:r>
      <w:r w:rsidRPr="00D50B7D">
        <w:rPr>
          <w:szCs w:val="18"/>
        </w:rPr>
        <w:t xml:space="preserve"> Elcano Policy Paper, 2019.</w:t>
      </w:r>
    </w:p>
  </w:footnote>
  <w:footnote w:id="23">
    <w:p w14:paraId="2CF9F3B5" w14:textId="760EDA94" w:rsidR="00603760" w:rsidRPr="00463874" w:rsidRDefault="00603760" w:rsidP="004B280C">
      <w:pPr>
        <w:pStyle w:val="FootnoteText"/>
        <w:tabs>
          <w:tab w:val="left" w:pos="0"/>
        </w:tabs>
        <w:rPr>
          <w:color w:val="000000" w:themeColor="text1"/>
          <w:szCs w:val="18"/>
        </w:rPr>
      </w:pPr>
      <w:r w:rsidRPr="00A36E18">
        <w:rPr>
          <w:szCs w:val="18"/>
        </w:rPr>
        <w:tab/>
      </w:r>
      <w:r w:rsidRPr="00A36E18">
        <w:rPr>
          <w:rStyle w:val="FootnoteReference"/>
          <w:szCs w:val="18"/>
        </w:rPr>
        <w:footnoteRef/>
      </w:r>
      <w:r w:rsidRPr="00463874">
        <w:rPr>
          <w:szCs w:val="18"/>
        </w:rPr>
        <w:tab/>
        <w:t>See https://unfccc.int/process/the-paris-agreement/long-term-strategies</w:t>
      </w:r>
      <w:r w:rsidRPr="00A36E18">
        <w:rPr>
          <w:szCs w:val="18"/>
        </w:rPr>
        <w:t>.</w:t>
      </w:r>
    </w:p>
  </w:footnote>
  <w:footnote w:id="24">
    <w:p w14:paraId="0C073F19" w14:textId="24369FF2" w:rsidR="00603760" w:rsidRPr="00463874" w:rsidRDefault="00603760" w:rsidP="004B280C">
      <w:pPr>
        <w:pStyle w:val="FootnoteText"/>
        <w:tabs>
          <w:tab w:val="left" w:pos="0"/>
        </w:tabs>
        <w:rPr>
          <w:color w:val="000000" w:themeColor="text1"/>
          <w:szCs w:val="18"/>
        </w:rPr>
      </w:pPr>
      <w:r w:rsidRPr="00463874">
        <w:rPr>
          <w:szCs w:val="18"/>
        </w:rPr>
        <w:tab/>
      </w:r>
      <w:r w:rsidRPr="00A36E18">
        <w:rPr>
          <w:rStyle w:val="FootnoteReference"/>
          <w:szCs w:val="18"/>
        </w:rPr>
        <w:footnoteRef/>
      </w:r>
      <w:r w:rsidRPr="00463874">
        <w:rPr>
          <w:szCs w:val="18"/>
        </w:rPr>
        <w:tab/>
        <w:t xml:space="preserve">Corinne Le Quéré et al., </w:t>
      </w:r>
      <w:r w:rsidRPr="00A36E18">
        <w:rPr>
          <w:szCs w:val="18"/>
        </w:rPr>
        <w:t>“Drivers of declining CO2 emissions in 18 developed economies</w:t>
      </w:r>
      <w:r w:rsidRPr="00D50B7D">
        <w:rPr>
          <w:szCs w:val="18"/>
        </w:rPr>
        <w:t xml:space="preserve">”, </w:t>
      </w:r>
      <w:r w:rsidRPr="00463874">
        <w:rPr>
          <w:i/>
          <w:szCs w:val="18"/>
        </w:rPr>
        <w:t>Nature Climate Change</w:t>
      </w:r>
      <w:r w:rsidRPr="00A36E18">
        <w:rPr>
          <w:szCs w:val="18"/>
        </w:rPr>
        <w:t>, vol.</w:t>
      </w:r>
      <w:r w:rsidRPr="00D50B7D">
        <w:rPr>
          <w:szCs w:val="18"/>
        </w:rPr>
        <w:t xml:space="preserve"> 9, </w:t>
      </w:r>
      <w:r w:rsidRPr="00463874">
        <w:rPr>
          <w:szCs w:val="18"/>
        </w:rPr>
        <w:t>2019</w:t>
      </w:r>
      <w:r w:rsidRPr="00A36E18">
        <w:rPr>
          <w:szCs w:val="18"/>
        </w:rPr>
        <w:t>,</w:t>
      </w:r>
      <w:r w:rsidRPr="00D50B7D">
        <w:rPr>
          <w:szCs w:val="18"/>
        </w:rPr>
        <w:t xml:space="preserve"> pp. 213–17.</w:t>
      </w:r>
    </w:p>
  </w:footnote>
  <w:footnote w:id="25">
    <w:p w14:paraId="0D0C5B7B" w14:textId="68AA0589" w:rsidR="00603760" w:rsidRPr="00463874" w:rsidRDefault="00603760" w:rsidP="004B280C">
      <w:pPr>
        <w:pStyle w:val="FootnoteText"/>
        <w:tabs>
          <w:tab w:val="left" w:pos="0"/>
        </w:tabs>
        <w:rPr>
          <w:color w:val="000000" w:themeColor="text1"/>
          <w:szCs w:val="18"/>
        </w:rPr>
      </w:pPr>
      <w:r w:rsidRPr="00A36E18">
        <w:rPr>
          <w:szCs w:val="18"/>
        </w:rPr>
        <w:tab/>
      </w:r>
      <w:r w:rsidRPr="00A36E18">
        <w:rPr>
          <w:szCs w:val="18"/>
          <w:vertAlign w:val="superscript"/>
        </w:rPr>
        <w:footnoteRef/>
      </w:r>
      <w:r w:rsidRPr="00A36E18">
        <w:rPr>
          <w:szCs w:val="18"/>
        </w:rPr>
        <w:tab/>
        <w:t xml:space="preserve">See </w:t>
      </w:r>
      <w:hyperlink r:id="rId5" w:history="1">
        <w:r w:rsidRPr="00A36E18">
          <w:rPr>
            <w:szCs w:val="18"/>
          </w:rPr>
          <w:t>https://di.unfccc.int/time_series</w:t>
        </w:r>
      </w:hyperlink>
      <w:r w:rsidRPr="00A36E18">
        <w:rPr>
          <w:szCs w:val="18"/>
        </w:rPr>
        <w:t xml:space="preserve">. </w:t>
      </w:r>
    </w:p>
  </w:footnote>
  <w:footnote w:id="26">
    <w:p w14:paraId="2E1E3668" w14:textId="7CCAA6AC" w:rsidR="00603760" w:rsidRPr="00D50B7D" w:rsidRDefault="00603760" w:rsidP="00225727">
      <w:pPr>
        <w:pStyle w:val="FootnoteText"/>
        <w:tabs>
          <w:tab w:val="left" w:pos="0"/>
        </w:tabs>
        <w:rPr>
          <w:szCs w:val="18"/>
        </w:rPr>
      </w:pPr>
      <w:r w:rsidRPr="00A36E18">
        <w:rPr>
          <w:szCs w:val="18"/>
        </w:rPr>
        <w:tab/>
      </w:r>
      <w:r w:rsidRPr="00A36E18">
        <w:rPr>
          <w:rStyle w:val="FootnoteReference"/>
          <w:szCs w:val="18"/>
        </w:rPr>
        <w:footnoteRef/>
      </w:r>
      <w:r w:rsidRPr="00A36E18">
        <w:rPr>
          <w:szCs w:val="18"/>
        </w:rPr>
        <w:tab/>
        <w:t>Sébastian</w:t>
      </w:r>
      <w:r w:rsidRPr="00D50B7D">
        <w:rPr>
          <w:szCs w:val="18"/>
        </w:rPr>
        <w:t xml:space="preserve"> Duyck et al., “Human rights and the Paris Agreement’s Implementation Guidelines: opportunities to develop a rights-based approach”, </w:t>
      </w:r>
      <w:r w:rsidRPr="00463874">
        <w:rPr>
          <w:i/>
          <w:szCs w:val="18"/>
        </w:rPr>
        <w:t>Carbon and Climate Law Review</w:t>
      </w:r>
      <w:r w:rsidRPr="00A36E18">
        <w:rPr>
          <w:szCs w:val="18"/>
        </w:rPr>
        <w:t xml:space="preserve">, vol. </w:t>
      </w:r>
      <w:r w:rsidRPr="00D50B7D">
        <w:rPr>
          <w:szCs w:val="18"/>
        </w:rPr>
        <w:t>12, No. 3, pp. 191–202.</w:t>
      </w:r>
    </w:p>
  </w:footnote>
  <w:footnote w:id="27">
    <w:p w14:paraId="2AD52799" w14:textId="491B6589" w:rsidR="00603760" w:rsidRPr="00463874" w:rsidRDefault="00603760" w:rsidP="00225727">
      <w:pPr>
        <w:pStyle w:val="FootnoteText"/>
        <w:tabs>
          <w:tab w:val="left" w:pos="0"/>
        </w:tabs>
        <w:rPr>
          <w:szCs w:val="18"/>
        </w:rPr>
      </w:pPr>
      <w:r w:rsidRPr="00D50B7D">
        <w:rPr>
          <w:szCs w:val="18"/>
        </w:rPr>
        <w:tab/>
      </w:r>
      <w:r w:rsidRPr="00A36E18">
        <w:rPr>
          <w:rStyle w:val="FootnoteReference"/>
          <w:szCs w:val="18"/>
        </w:rPr>
        <w:footnoteRef/>
      </w:r>
      <w:r w:rsidRPr="00463874">
        <w:rPr>
          <w:szCs w:val="18"/>
        </w:rPr>
        <w:tab/>
      </w:r>
      <w:r w:rsidRPr="00463874">
        <w:rPr>
          <w:i/>
          <w:szCs w:val="18"/>
        </w:rPr>
        <w:t>The Production Gap, 2019 Report</w:t>
      </w:r>
      <w:r w:rsidRPr="00463874">
        <w:rPr>
          <w:szCs w:val="18"/>
        </w:rPr>
        <w:t>, United Nations Environment Programme</w:t>
      </w:r>
      <w:r w:rsidRPr="00A36E18">
        <w:rPr>
          <w:szCs w:val="18"/>
        </w:rPr>
        <w:t xml:space="preserve"> (UNEP)</w:t>
      </w:r>
      <w:r>
        <w:rPr>
          <w:szCs w:val="18"/>
        </w:rPr>
        <w:t>.</w:t>
      </w:r>
    </w:p>
  </w:footnote>
  <w:footnote w:id="28">
    <w:p w14:paraId="4E5CD426" w14:textId="0FF6E1D7" w:rsidR="00603760" w:rsidRPr="00A36E18" w:rsidRDefault="00603760" w:rsidP="00225727">
      <w:pPr>
        <w:pStyle w:val="FootnoteText"/>
        <w:tabs>
          <w:tab w:val="left" w:pos="0"/>
        </w:tabs>
        <w:rPr>
          <w:szCs w:val="18"/>
        </w:rPr>
      </w:pPr>
      <w:r w:rsidRPr="00463874">
        <w:rPr>
          <w:szCs w:val="18"/>
        </w:rPr>
        <w:tab/>
      </w:r>
      <w:r w:rsidRPr="00A36E18">
        <w:rPr>
          <w:rStyle w:val="FootnoteReference"/>
          <w:szCs w:val="18"/>
        </w:rPr>
        <w:footnoteRef/>
      </w:r>
      <w:r w:rsidRPr="00A36E18">
        <w:rPr>
          <w:szCs w:val="18"/>
        </w:rPr>
        <w:tab/>
        <w:t>www.ipcc.ch/sr15/.</w:t>
      </w:r>
    </w:p>
  </w:footnote>
  <w:footnote w:id="29">
    <w:p w14:paraId="5A439F27" w14:textId="0D42A61D" w:rsidR="00603760" w:rsidRPr="00D50B7D" w:rsidRDefault="00603760" w:rsidP="0026648F">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See https://poweringpastcoal.org.</w:t>
      </w:r>
    </w:p>
  </w:footnote>
  <w:footnote w:id="30">
    <w:p w14:paraId="25F7C5CB" w14:textId="6EB84478" w:rsidR="00603760" w:rsidRPr="00A36E18" w:rsidRDefault="00603760" w:rsidP="0026648F">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 xml:space="preserve">See UNEP, </w:t>
      </w:r>
      <w:r w:rsidRPr="00463874">
        <w:rPr>
          <w:i/>
          <w:szCs w:val="18"/>
        </w:rPr>
        <w:t>The Production Gap</w:t>
      </w:r>
      <w:r w:rsidRPr="00A36E18">
        <w:rPr>
          <w:szCs w:val="18"/>
        </w:rPr>
        <w:t>.</w:t>
      </w:r>
    </w:p>
  </w:footnote>
  <w:footnote w:id="31">
    <w:p w14:paraId="2D6BCBCC" w14:textId="5072B810" w:rsidR="00603760" w:rsidRPr="00463874" w:rsidRDefault="00603760" w:rsidP="008F3B89">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Ehsanul Kabir, Ki-Hyun Kim and Jan E. Szulejko, “Social Impacts of Solar Home Systems in Rural Areas: A Case Study in Ban</w:t>
      </w:r>
      <w:r w:rsidRPr="00D50B7D">
        <w:rPr>
          <w:szCs w:val="18"/>
        </w:rPr>
        <w:t>gladesh</w:t>
      </w:r>
      <w:r w:rsidRPr="00A36E18">
        <w:rPr>
          <w:szCs w:val="18"/>
        </w:rPr>
        <w:t>”,</w:t>
      </w:r>
      <w:r w:rsidRPr="00D50B7D">
        <w:rPr>
          <w:szCs w:val="18"/>
        </w:rPr>
        <w:t> </w:t>
      </w:r>
      <w:r w:rsidRPr="00463874">
        <w:rPr>
          <w:i/>
          <w:szCs w:val="18"/>
        </w:rPr>
        <w:t>Energies</w:t>
      </w:r>
      <w:r w:rsidRPr="00463874">
        <w:rPr>
          <w:szCs w:val="18"/>
        </w:rPr>
        <w:t xml:space="preserve">, </w:t>
      </w:r>
      <w:r w:rsidRPr="00A36E18">
        <w:rPr>
          <w:szCs w:val="18"/>
        </w:rPr>
        <w:t>v</w:t>
      </w:r>
      <w:r w:rsidRPr="00463874">
        <w:rPr>
          <w:szCs w:val="18"/>
        </w:rPr>
        <w:t xml:space="preserve">ol. 10, </w:t>
      </w:r>
      <w:r w:rsidRPr="00A36E18">
        <w:rPr>
          <w:szCs w:val="18"/>
        </w:rPr>
        <w:t>N</w:t>
      </w:r>
      <w:r w:rsidRPr="00463874">
        <w:rPr>
          <w:szCs w:val="18"/>
        </w:rPr>
        <w:t>o. 10</w:t>
      </w:r>
      <w:r w:rsidRPr="00A36E18">
        <w:rPr>
          <w:szCs w:val="18"/>
        </w:rPr>
        <w:t>, pp. 1–12</w:t>
      </w:r>
      <w:r w:rsidRPr="00463874">
        <w:rPr>
          <w:szCs w:val="18"/>
        </w:rPr>
        <w:t>.</w:t>
      </w:r>
    </w:p>
  </w:footnote>
  <w:footnote w:id="32">
    <w:p w14:paraId="1B761CCA" w14:textId="36C06195" w:rsidR="00603760" w:rsidRPr="00463874" w:rsidRDefault="00603760" w:rsidP="008F3B89">
      <w:pPr>
        <w:pStyle w:val="FootnoteText"/>
        <w:tabs>
          <w:tab w:val="left" w:pos="0"/>
        </w:tabs>
        <w:rPr>
          <w:szCs w:val="18"/>
        </w:rPr>
      </w:pPr>
      <w:r w:rsidRPr="00463874">
        <w:rPr>
          <w:szCs w:val="18"/>
        </w:rPr>
        <w:tab/>
      </w:r>
      <w:r w:rsidRPr="00A36E18">
        <w:rPr>
          <w:rStyle w:val="FootnoteReference"/>
          <w:szCs w:val="18"/>
        </w:rPr>
        <w:footnoteRef/>
      </w:r>
      <w:r w:rsidRPr="00463874">
        <w:rPr>
          <w:szCs w:val="18"/>
        </w:rPr>
        <w:tab/>
        <w:t>https://projects.worldbank.org/en/projects-operations/project-detail/P160708?lang=en</w:t>
      </w:r>
      <w:r w:rsidRPr="00A36E18">
        <w:rPr>
          <w:szCs w:val="18"/>
        </w:rPr>
        <w:t>.</w:t>
      </w:r>
    </w:p>
  </w:footnote>
  <w:footnote w:id="33">
    <w:p w14:paraId="1D3B3665" w14:textId="5C0C1E18" w:rsidR="00603760" w:rsidRPr="00463874" w:rsidRDefault="00603760" w:rsidP="008F3B89">
      <w:pPr>
        <w:pStyle w:val="FootnoteText"/>
        <w:tabs>
          <w:tab w:val="left" w:pos="0"/>
        </w:tabs>
        <w:rPr>
          <w:szCs w:val="18"/>
        </w:rPr>
      </w:pPr>
      <w:r w:rsidRPr="00463874">
        <w:rPr>
          <w:szCs w:val="18"/>
        </w:rPr>
        <w:tab/>
      </w:r>
      <w:r w:rsidRPr="00A36E18">
        <w:rPr>
          <w:rStyle w:val="FootnoteReference"/>
          <w:szCs w:val="18"/>
        </w:rPr>
        <w:footnoteRef/>
      </w:r>
      <w:r w:rsidRPr="00463874">
        <w:rPr>
          <w:szCs w:val="18"/>
        </w:rPr>
        <w:tab/>
        <w:t>www.lightingafrica.org/publication/regional-off-grid-electrification-project-rogep-overview/.</w:t>
      </w:r>
    </w:p>
  </w:footnote>
  <w:footnote w:id="34">
    <w:p w14:paraId="03A27F56" w14:textId="7A0FC105" w:rsidR="00603760" w:rsidRPr="00D50B7D" w:rsidRDefault="00603760" w:rsidP="008F3B89">
      <w:pPr>
        <w:pStyle w:val="FootnoteText"/>
        <w:tabs>
          <w:tab w:val="left" w:pos="0"/>
        </w:tabs>
        <w:rPr>
          <w:szCs w:val="18"/>
        </w:rPr>
      </w:pPr>
      <w:r w:rsidRPr="00463874">
        <w:rPr>
          <w:szCs w:val="18"/>
        </w:rPr>
        <w:tab/>
      </w:r>
      <w:r w:rsidRPr="00A36E18">
        <w:rPr>
          <w:rStyle w:val="FootnoteReference"/>
          <w:szCs w:val="18"/>
        </w:rPr>
        <w:footnoteRef/>
      </w:r>
      <w:r w:rsidRPr="00A36E18">
        <w:rPr>
          <w:szCs w:val="18"/>
        </w:rPr>
        <w:tab/>
        <w:t xml:space="preserve">See </w:t>
      </w:r>
      <w:hyperlink r:id="rId6" w:history="1">
        <w:r w:rsidRPr="00D50B7D">
          <w:rPr>
            <w:szCs w:val="18"/>
          </w:rPr>
          <w:t>https://afr100.org/content/home</w:t>
        </w:r>
      </w:hyperlink>
      <w:r w:rsidRPr="00A36E18">
        <w:rPr>
          <w:szCs w:val="18"/>
        </w:rPr>
        <w:t xml:space="preserve">. </w:t>
      </w:r>
    </w:p>
  </w:footnote>
  <w:footnote w:id="35">
    <w:p w14:paraId="0BFBB407" w14:textId="7609D731" w:rsidR="00603760" w:rsidRPr="00D50B7D" w:rsidRDefault="00603760" w:rsidP="008F3B89">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Tracy Carty and Armelie le Comte, Climate Finance Shadow Report 2018: Assessing progress towards the $100 billion commitment, Oxfam, 2018.</w:t>
      </w:r>
    </w:p>
  </w:footnote>
  <w:footnote w:id="36">
    <w:p w14:paraId="01F6C6A8" w14:textId="72916A3C" w:rsidR="00603760" w:rsidRPr="00D50B7D" w:rsidRDefault="00603760" w:rsidP="00F30F1C">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 xml:space="preserve">See </w:t>
      </w:r>
      <w:r w:rsidRPr="00D50B7D">
        <w:rPr>
          <w:szCs w:val="18"/>
        </w:rPr>
        <w:t>www.fao.org/agroecology/slideshow/news-article/en/c/1187596/</w:t>
      </w:r>
      <w:r w:rsidRPr="00A36E18">
        <w:rPr>
          <w:szCs w:val="18"/>
        </w:rPr>
        <w:t>.</w:t>
      </w:r>
    </w:p>
  </w:footnote>
  <w:footnote w:id="37">
    <w:p w14:paraId="732FCCC8" w14:textId="4FA56E51" w:rsidR="00603760" w:rsidRPr="00D50B7D" w:rsidRDefault="00603760" w:rsidP="00F30F1C">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See www.worldfuturecouncil.org/press-release-opa-2019/.</w:t>
      </w:r>
    </w:p>
  </w:footnote>
  <w:footnote w:id="38">
    <w:p w14:paraId="0BD005E1" w14:textId="3DA503DC" w:rsidR="00603760" w:rsidRPr="00D50B7D" w:rsidRDefault="00603760" w:rsidP="00F30F1C">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r>
      <w:r w:rsidRPr="00463874">
        <w:rPr>
          <w:i/>
          <w:szCs w:val="18"/>
        </w:rPr>
        <w:t>State of the Environment Report for Republic of Turkey</w:t>
      </w:r>
      <w:r w:rsidRPr="00A36E18">
        <w:rPr>
          <w:szCs w:val="18"/>
        </w:rPr>
        <w:t>, Ministry of Environment and Urbanisation, 2016.</w:t>
      </w:r>
    </w:p>
  </w:footnote>
  <w:footnote w:id="39">
    <w:p w14:paraId="6CC9DA6E" w14:textId="30876E22" w:rsidR="00603760" w:rsidRPr="00A36E18" w:rsidRDefault="00603760" w:rsidP="00C71261">
      <w:pPr>
        <w:pStyle w:val="FootnoteText"/>
        <w:tabs>
          <w:tab w:val="left" w:pos="0"/>
        </w:tabs>
        <w:rPr>
          <w:szCs w:val="18"/>
        </w:rPr>
      </w:pPr>
      <w:r w:rsidRPr="00A36E18">
        <w:rPr>
          <w:szCs w:val="18"/>
        </w:rPr>
        <w:tab/>
      </w:r>
      <w:r w:rsidRPr="00A36E18">
        <w:rPr>
          <w:rStyle w:val="FootnoteReference"/>
          <w:szCs w:val="18"/>
        </w:rPr>
        <w:footnoteRef/>
      </w:r>
      <w:r w:rsidRPr="00A36E18">
        <w:rPr>
          <w:szCs w:val="18"/>
        </w:rPr>
        <w:tab/>
        <w:t>www.greatgreenwall.org.</w:t>
      </w:r>
    </w:p>
  </w:footnote>
  <w:footnote w:id="40">
    <w:p w14:paraId="742F17C5" w14:textId="566D0331" w:rsidR="00603760" w:rsidRPr="00D50B7D" w:rsidRDefault="00603760" w:rsidP="00F30F1C">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 xml:space="preserve">Henk Van den Berg and Janice Jiggins, “Investing in Farmers: the Impacts of Farmer Field Schools in Relation to Integrated Pest Management”, </w:t>
      </w:r>
      <w:r w:rsidRPr="00463874">
        <w:rPr>
          <w:i/>
          <w:szCs w:val="18"/>
        </w:rPr>
        <w:t>World Development</w:t>
      </w:r>
      <w:r w:rsidRPr="00A36E18">
        <w:rPr>
          <w:szCs w:val="18"/>
        </w:rPr>
        <w:t>, vol. 35, No. 4, April 2007, pp. 663–686.</w:t>
      </w:r>
    </w:p>
  </w:footnote>
  <w:footnote w:id="41">
    <w:p w14:paraId="4DAFD7C7" w14:textId="6270E289" w:rsidR="00603760" w:rsidRPr="00463874" w:rsidRDefault="00603760" w:rsidP="00F30F1C">
      <w:pPr>
        <w:pStyle w:val="FootnoteText"/>
        <w:tabs>
          <w:tab w:val="left" w:pos="0"/>
        </w:tabs>
        <w:rPr>
          <w:color w:val="000000" w:themeColor="text1"/>
          <w:szCs w:val="18"/>
        </w:rPr>
      </w:pPr>
      <w:r w:rsidRPr="00D50B7D">
        <w:rPr>
          <w:szCs w:val="18"/>
        </w:rPr>
        <w:tab/>
      </w:r>
      <w:r w:rsidRPr="00A36E18">
        <w:rPr>
          <w:rStyle w:val="FootnoteReference"/>
          <w:szCs w:val="18"/>
        </w:rPr>
        <w:footnoteRef/>
      </w:r>
      <w:r w:rsidRPr="00A36E18">
        <w:rPr>
          <w:szCs w:val="18"/>
        </w:rPr>
        <w:tab/>
        <w:t>Special Report on Climate Change a</w:t>
      </w:r>
      <w:r w:rsidRPr="00D50B7D">
        <w:rPr>
          <w:szCs w:val="18"/>
        </w:rPr>
        <w:t>nd Land: Summary for Policymakers</w:t>
      </w:r>
      <w:r w:rsidRPr="00A36E18">
        <w:rPr>
          <w:szCs w:val="18"/>
        </w:rPr>
        <w:t xml:space="preserve">, IPCC, 2019 (available from </w:t>
      </w:r>
      <w:r w:rsidRPr="00D50B7D">
        <w:rPr>
          <w:szCs w:val="18"/>
        </w:rPr>
        <w:t>www.ipcc.ch/srccl/chapter/summary-for-policymakers</w:t>
      </w:r>
      <w:r w:rsidRPr="00A36E18">
        <w:rPr>
          <w:szCs w:val="18"/>
        </w:rPr>
        <w:t>).</w:t>
      </w:r>
    </w:p>
  </w:footnote>
  <w:footnote w:id="42">
    <w:p w14:paraId="6DF5C6D4" w14:textId="02C5872C" w:rsidR="00603760" w:rsidRPr="00D50B7D" w:rsidRDefault="00603760" w:rsidP="00EA2AC5">
      <w:pPr>
        <w:pStyle w:val="FootnoteText"/>
        <w:tabs>
          <w:tab w:val="left" w:pos="0"/>
        </w:tabs>
        <w:rPr>
          <w:szCs w:val="18"/>
        </w:rPr>
      </w:pPr>
      <w:r w:rsidRPr="00A36E18">
        <w:rPr>
          <w:szCs w:val="18"/>
        </w:rPr>
        <w:tab/>
      </w:r>
      <w:r w:rsidRPr="00A36E18">
        <w:rPr>
          <w:szCs w:val="18"/>
          <w:vertAlign w:val="superscript"/>
        </w:rPr>
        <w:footnoteRef/>
      </w:r>
      <w:r w:rsidRPr="00A36E18">
        <w:rPr>
          <w:szCs w:val="18"/>
        </w:rPr>
        <w:tab/>
        <w:t>Solutions for the Farm of the Future: Go Green, New Economics Foundation. 2017.</w:t>
      </w:r>
    </w:p>
  </w:footnote>
  <w:footnote w:id="43">
    <w:p w14:paraId="23165929" w14:textId="5121ED4B" w:rsidR="00603760" w:rsidRPr="00463874" w:rsidRDefault="00603760" w:rsidP="00EA2AC5">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t>See for example General Assembly resolution 68/157 and Human Rights Council resolution 27/7.</w:t>
      </w:r>
    </w:p>
  </w:footnote>
  <w:footnote w:id="44">
    <w:p w14:paraId="2B672E32" w14:textId="23EF61B2" w:rsidR="00603760" w:rsidRPr="00463874" w:rsidRDefault="00603760" w:rsidP="00EA2AC5">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t xml:space="preserve">Caterina de Albuquerque, </w:t>
      </w:r>
      <w:r w:rsidRPr="00463874">
        <w:rPr>
          <w:i/>
          <w:szCs w:val="18"/>
        </w:rPr>
        <w:t>Realising the Human Rights to Water and Sanitation: A Handbook</w:t>
      </w:r>
      <w:r w:rsidRPr="00A36E18">
        <w:rPr>
          <w:szCs w:val="18"/>
        </w:rPr>
        <w:t xml:space="preserve">, 2014. </w:t>
      </w:r>
    </w:p>
  </w:footnote>
  <w:footnote w:id="45">
    <w:p w14:paraId="306405C3" w14:textId="68597FCE" w:rsidR="00603760" w:rsidRPr="00463874" w:rsidRDefault="00603760" w:rsidP="00EA2AC5">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r>
      <w:r w:rsidRPr="00463874">
        <w:rPr>
          <w:i/>
          <w:szCs w:val="18"/>
        </w:rPr>
        <w:t>Progress on household drinking water, sanitation, and hygiene 2000-2017: Special focus on inequalities</w:t>
      </w:r>
      <w:r w:rsidRPr="00A36E18">
        <w:rPr>
          <w:szCs w:val="18"/>
        </w:rPr>
        <w:t>, UNICEF and World Health Organization, 2019.</w:t>
      </w:r>
    </w:p>
  </w:footnote>
  <w:footnote w:id="46">
    <w:p w14:paraId="4837C8B0" w14:textId="7A5970B4" w:rsidR="00603760" w:rsidRPr="00463874" w:rsidRDefault="00603760" w:rsidP="00EA2AC5">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t>Robert Bos et al</w:t>
      </w:r>
      <w:r>
        <w:rPr>
          <w:szCs w:val="18"/>
        </w:rPr>
        <w:t>.</w:t>
      </w:r>
      <w:r w:rsidRPr="00A36E18">
        <w:rPr>
          <w:szCs w:val="18"/>
        </w:rPr>
        <w:t xml:space="preserve">, </w:t>
      </w:r>
      <w:r w:rsidRPr="00463874">
        <w:rPr>
          <w:i/>
          <w:szCs w:val="18"/>
        </w:rPr>
        <w:t>Manual of the Human Rights to Safe Drinking Water and Sanitation for Practitioners</w:t>
      </w:r>
      <w:r w:rsidRPr="00A36E18">
        <w:rPr>
          <w:szCs w:val="18"/>
        </w:rPr>
        <w:t xml:space="preserve"> (London, IWA Publishing, 2016).</w:t>
      </w:r>
    </w:p>
  </w:footnote>
  <w:footnote w:id="47">
    <w:p w14:paraId="1F1AD351" w14:textId="13321E99" w:rsidR="00603760" w:rsidRPr="00A36E18" w:rsidRDefault="00603760" w:rsidP="00D2031A">
      <w:pPr>
        <w:pStyle w:val="FootnoteText"/>
        <w:tabs>
          <w:tab w:val="left" w:pos="0"/>
        </w:tabs>
        <w:rPr>
          <w:szCs w:val="18"/>
        </w:rPr>
      </w:pPr>
      <w:r w:rsidRPr="00A36E18">
        <w:rPr>
          <w:szCs w:val="18"/>
        </w:rPr>
        <w:tab/>
      </w:r>
      <w:r w:rsidRPr="00A36E18">
        <w:rPr>
          <w:rStyle w:val="FootnoteReference"/>
          <w:szCs w:val="18"/>
        </w:rPr>
        <w:footnoteRef/>
      </w:r>
      <w:r w:rsidRPr="00A36E18">
        <w:rPr>
          <w:szCs w:val="18"/>
        </w:rPr>
        <w:tab/>
        <w:t xml:space="preserve">Implementing Integrated Water Resources Management in the Atlantic and Indian Ocean Small Island Developing States; see </w:t>
      </w:r>
      <w:hyperlink r:id="rId7" w:history="1">
        <w:r w:rsidRPr="00463874">
          <w:rPr>
            <w:rStyle w:val="Hyperlink"/>
            <w:szCs w:val="18"/>
          </w:rPr>
          <w:t>www.thegef.org/news/life-aquatic-small-islands-atlantic-indian-oceans-working-together-fight-tough-water-challenges</w:t>
        </w:r>
      </w:hyperlink>
      <w:r w:rsidRPr="00A36E18">
        <w:rPr>
          <w:szCs w:val="18"/>
        </w:rPr>
        <w:t>.</w:t>
      </w:r>
    </w:p>
  </w:footnote>
  <w:footnote w:id="48">
    <w:p w14:paraId="632999EC" w14:textId="04CCA21C" w:rsidR="00603760" w:rsidRPr="00D50B7D" w:rsidRDefault="00603760" w:rsidP="00D2031A">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r>
      <w:r w:rsidRPr="00A36E18">
        <w:rPr>
          <w:i/>
          <w:szCs w:val="18"/>
        </w:rPr>
        <w:t>Progress on household drinking water, sanitation, and hygiene 2000-2017: Special focus on inequalities</w:t>
      </w:r>
      <w:r w:rsidRPr="00A36E18">
        <w:rPr>
          <w:szCs w:val="18"/>
        </w:rPr>
        <w:t>, UNICEF and World Health Organization, 2019.</w:t>
      </w:r>
    </w:p>
  </w:footnote>
  <w:footnote w:id="49">
    <w:p w14:paraId="4E02E839" w14:textId="2A9CFD2F" w:rsidR="00603760" w:rsidRPr="00D50B7D" w:rsidRDefault="00603760" w:rsidP="00D2031A">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Ibid</w:t>
      </w:r>
      <w:r w:rsidRPr="00D50B7D">
        <w:rPr>
          <w:szCs w:val="18"/>
        </w:rPr>
        <w:t>.</w:t>
      </w:r>
    </w:p>
  </w:footnote>
  <w:footnote w:id="50">
    <w:p w14:paraId="6093A55A" w14:textId="63A9B017" w:rsidR="00603760" w:rsidRPr="00D50B7D" w:rsidRDefault="00603760" w:rsidP="00D2031A">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t>See www.thelancet.com/commissions/pollution-and-health.</w:t>
      </w:r>
    </w:p>
  </w:footnote>
  <w:footnote w:id="51">
    <w:p w14:paraId="4E36AD4B" w14:textId="551E324A" w:rsidR="00603760" w:rsidRPr="00463874" w:rsidRDefault="00603760" w:rsidP="00D2031A">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r>
      <w:r w:rsidRPr="00463874">
        <w:rPr>
          <w:i/>
          <w:szCs w:val="18"/>
        </w:rPr>
        <w:t>Human biomonitoring: facts and figures</w:t>
      </w:r>
      <w:r w:rsidRPr="00A36E18">
        <w:rPr>
          <w:szCs w:val="18"/>
        </w:rPr>
        <w:t>, World Health Organization Regional Office for Europe, Copenhagen, 2015.</w:t>
      </w:r>
    </w:p>
  </w:footnote>
  <w:footnote w:id="52">
    <w:p w14:paraId="22A2E6DF" w14:textId="4EF02BE2" w:rsidR="00603760" w:rsidRPr="00463874" w:rsidRDefault="00603760" w:rsidP="000316BD">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r>
      <w:hyperlink r:id="rId8" w:history="1">
        <w:r w:rsidRPr="00A36E18">
          <w:rPr>
            <w:rStyle w:val="Hyperlink"/>
            <w:szCs w:val="18"/>
          </w:rPr>
          <w:t>See</w:t>
        </w:r>
      </w:hyperlink>
      <w:r w:rsidRPr="00A36E18">
        <w:rPr>
          <w:szCs w:val="18"/>
        </w:rPr>
        <w:t xml:space="preserve"> www.environment.no/topics/hazardous-chemicals/list-of-priority-substances/.</w:t>
      </w:r>
    </w:p>
  </w:footnote>
  <w:footnote w:id="53">
    <w:p w14:paraId="65986B98" w14:textId="6ED06D91" w:rsidR="00603760" w:rsidRPr="00463874" w:rsidRDefault="00603760" w:rsidP="000316BD">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t>See</w:t>
      </w:r>
      <w:r w:rsidRPr="00A36E18">
        <w:t xml:space="preserve"> </w:t>
      </w:r>
      <w:hyperlink r:id="rId9" w:history="1">
        <w:r w:rsidRPr="00A36E18">
          <w:rPr>
            <w:rStyle w:val="Hyperlink"/>
          </w:rPr>
          <w:t>https://ec.europa.eu/eurostat/statistics-explained/index.php?title=Municipal_waste_statistics</w:t>
        </w:r>
      </w:hyperlink>
      <w:r w:rsidRPr="00A36E18">
        <w:rPr>
          <w:szCs w:val="18"/>
        </w:rPr>
        <w:t>.</w:t>
      </w:r>
    </w:p>
  </w:footnote>
  <w:footnote w:id="54">
    <w:p w14:paraId="23649317" w14:textId="4D08462A" w:rsidR="00603760" w:rsidRPr="00463874" w:rsidRDefault="00603760" w:rsidP="000316BD">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t xml:space="preserve">See European Environment Agency, Transport fuel prices and taxes in Europe, at </w:t>
      </w:r>
      <w:hyperlink r:id="rId10" w:history="1">
        <w:r w:rsidRPr="00A36E18">
          <w:rPr>
            <w:rStyle w:val="Hyperlink"/>
          </w:rPr>
          <w:t>https://www.eea.europa.eu/data-and-maps/indicators/fuel-prices-and-taxes/assessment-4</w:t>
        </w:r>
      </w:hyperlink>
      <w:r w:rsidRPr="00A36E18">
        <w:rPr>
          <w:szCs w:val="18"/>
        </w:rPr>
        <w:t>.</w:t>
      </w:r>
    </w:p>
  </w:footnote>
  <w:footnote w:id="55">
    <w:p w14:paraId="646BB045" w14:textId="64DE17EC" w:rsidR="00603760" w:rsidRPr="00463874" w:rsidRDefault="00603760" w:rsidP="000316BD">
      <w:pPr>
        <w:pStyle w:val="FootnoteText"/>
        <w:tabs>
          <w:tab w:val="left" w:pos="0"/>
        </w:tabs>
        <w:rPr>
          <w:color w:val="000000" w:themeColor="text1"/>
          <w:szCs w:val="18"/>
        </w:rPr>
      </w:pPr>
      <w:r w:rsidRPr="00A36E18">
        <w:rPr>
          <w:szCs w:val="18"/>
        </w:rPr>
        <w:tab/>
      </w:r>
      <w:r w:rsidRPr="00A36E18">
        <w:rPr>
          <w:rStyle w:val="FootnoteReference"/>
          <w:szCs w:val="18"/>
        </w:rPr>
        <w:footnoteRef/>
      </w:r>
      <w:r w:rsidRPr="00A36E18">
        <w:rPr>
          <w:szCs w:val="18"/>
        </w:rPr>
        <w:tab/>
        <w:t xml:space="preserve">Organization for Economic Cooperation and Development, </w:t>
      </w:r>
      <w:r w:rsidRPr="00D50B7D">
        <w:rPr>
          <w:szCs w:val="18"/>
        </w:rPr>
        <w:t>Environmental Taxation: A Guide for Policymakers</w:t>
      </w:r>
      <w:r w:rsidRPr="00A36E18">
        <w:rPr>
          <w:szCs w:val="18"/>
        </w:rPr>
        <w:t>, 2011.</w:t>
      </w:r>
    </w:p>
  </w:footnote>
  <w:footnote w:id="56">
    <w:p w14:paraId="11440766" w14:textId="2F62B7E7" w:rsidR="00603760" w:rsidRPr="00463874" w:rsidRDefault="00603760" w:rsidP="00463874">
      <w:pPr>
        <w:pStyle w:val="FootnoteText"/>
      </w:pPr>
      <w:r w:rsidRPr="00463874">
        <w:tab/>
      </w:r>
      <w:r w:rsidRPr="00A36E18">
        <w:rPr>
          <w:rStyle w:val="FootnoteReference"/>
          <w:szCs w:val="18"/>
        </w:rPr>
        <w:footnoteRef/>
      </w:r>
      <w:r>
        <w:tab/>
      </w:r>
      <w:r w:rsidRPr="00463874">
        <w:t xml:space="preserve">A/HRC/WG.6/33/ETH/1, </w:t>
      </w:r>
      <w:r w:rsidRPr="00A36E18">
        <w:t>para. 38</w:t>
      </w:r>
      <w:r w:rsidRPr="00463874">
        <w:t>.</w:t>
      </w:r>
    </w:p>
  </w:footnote>
  <w:footnote w:id="57">
    <w:p w14:paraId="631160F1" w14:textId="5FEB2166" w:rsidR="00603760" w:rsidRPr="00463874" w:rsidRDefault="00603760" w:rsidP="00463874">
      <w:pPr>
        <w:pStyle w:val="FootnoteText"/>
      </w:pPr>
      <w:r w:rsidRPr="00463874">
        <w:tab/>
      </w:r>
      <w:r w:rsidRPr="00A36E18">
        <w:rPr>
          <w:rStyle w:val="FootnoteReference"/>
          <w:szCs w:val="18"/>
        </w:rPr>
        <w:footnoteRef/>
      </w:r>
      <w:r>
        <w:tab/>
      </w:r>
      <w:r w:rsidRPr="00A36E18">
        <w:t>See</w:t>
      </w:r>
      <w:r w:rsidRPr="00463874">
        <w:t xml:space="preserve"> https://data.worldbank.org/indicator/ER.LND.PTLD.ZS</w:t>
      </w:r>
      <w:r>
        <w:t>.</w:t>
      </w:r>
    </w:p>
  </w:footnote>
  <w:footnote w:id="58">
    <w:p w14:paraId="2CC0E21B" w14:textId="082A52C3" w:rsidR="00603760" w:rsidRPr="00463874" w:rsidRDefault="00603760" w:rsidP="00463874">
      <w:pPr>
        <w:pStyle w:val="FootnoteText"/>
      </w:pPr>
      <w:r w:rsidRPr="00463874">
        <w:tab/>
      </w:r>
      <w:r w:rsidRPr="00A36E18">
        <w:rPr>
          <w:rStyle w:val="FootnoteReference"/>
          <w:szCs w:val="18"/>
        </w:rPr>
        <w:footnoteRef/>
      </w:r>
      <w:r>
        <w:tab/>
      </w:r>
      <w:r w:rsidRPr="00463874">
        <w:t xml:space="preserve">James E.M. Watson et al., </w:t>
      </w:r>
      <w:r w:rsidRPr="00A36E18">
        <w:t>“</w:t>
      </w:r>
      <w:r w:rsidRPr="00463874">
        <w:t>The performance and potential of protected areas</w:t>
      </w:r>
      <w:r w:rsidRPr="00A36E18">
        <w:t>”,</w:t>
      </w:r>
      <w:r w:rsidRPr="00463874">
        <w:t xml:space="preserve"> </w:t>
      </w:r>
      <w:r w:rsidRPr="00463874">
        <w:rPr>
          <w:i/>
        </w:rPr>
        <w:t>Nature</w:t>
      </w:r>
      <w:r w:rsidRPr="00A36E18">
        <w:t xml:space="preserve">, vol. </w:t>
      </w:r>
      <w:r w:rsidRPr="00463874">
        <w:t>515</w:t>
      </w:r>
      <w:r w:rsidRPr="00A36E18">
        <w:t>, pp.</w:t>
      </w:r>
      <w:r w:rsidRPr="00463874">
        <w:t xml:space="preserve"> 67</w:t>
      </w:r>
      <w:r w:rsidRPr="00A36E18">
        <w:t>–</w:t>
      </w:r>
      <w:r w:rsidRPr="00463874">
        <w:t>73.</w:t>
      </w:r>
    </w:p>
  </w:footnote>
  <w:footnote w:id="59">
    <w:p w14:paraId="7EAEF681" w14:textId="5CEA412D" w:rsidR="00603760" w:rsidRPr="00D50B7D" w:rsidRDefault="00603760" w:rsidP="00EB64CB">
      <w:pPr>
        <w:pStyle w:val="FootnoteText"/>
        <w:tabs>
          <w:tab w:val="left" w:pos="0"/>
        </w:tabs>
        <w:rPr>
          <w:szCs w:val="18"/>
        </w:rPr>
      </w:pPr>
      <w:r>
        <w:rPr>
          <w:szCs w:val="18"/>
        </w:rPr>
        <w:tab/>
      </w:r>
      <w:r w:rsidRPr="00A36E18">
        <w:rPr>
          <w:rStyle w:val="FootnoteReference"/>
          <w:szCs w:val="18"/>
        </w:rPr>
        <w:footnoteRef/>
      </w:r>
      <w:r w:rsidRPr="00A36E18">
        <w:rPr>
          <w:szCs w:val="18"/>
        </w:rPr>
        <w:tab/>
      </w:r>
      <w:r>
        <w:rPr>
          <w:szCs w:val="18"/>
        </w:rPr>
        <w:t>See</w:t>
      </w:r>
      <w:r w:rsidRPr="00A36E18">
        <w:rPr>
          <w:szCs w:val="18"/>
        </w:rPr>
        <w:t xml:space="preserve"> https://data.worldbank.org/indicator/ER.MRN.PTMR.ZS</w:t>
      </w:r>
      <w:r>
        <w:rPr>
          <w:szCs w:val="18"/>
        </w:rPr>
        <w:t>.</w:t>
      </w:r>
    </w:p>
  </w:footnote>
  <w:footnote w:id="60">
    <w:p w14:paraId="6D445D8C" w14:textId="2188054C" w:rsidR="00603760" w:rsidRPr="00D50B7D" w:rsidRDefault="00603760" w:rsidP="00EB64CB">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r>
      <w:r>
        <w:rPr>
          <w:szCs w:val="18"/>
        </w:rPr>
        <w:t xml:space="preserve">See </w:t>
      </w:r>
      <w:r w:rsidRPr="00463874">
        <w:rPr>
          <w:i/>
          <w:szCs w:val="18"/>
        </w:rPr>
        <w:t xml:space="preserve">Global </w:t>
      </w:r>
      <w:r>
        <w:rPr>
          <w:i/>
          <w:szCs w:val="18"/>
        </w:rPr>
        <w:t>A</w:t>
      </w:r>
      <w:r w:rsidRPr="00463874">
        <w:rPr>
          <w:i/>
          <w:szCs w:val="18"/>
        </w:rPr>
        <w:t xml:space="preserve">ssessment </w:t>
      </w:r>
      <w:r>
        <w:rPr>
          <w:i/>
          <w:szCs w:val="18"/>
        </w:rPr>
        <w:t>R</w:t>
      </w:r>
      <w:r w:rsidRPr="00463874">
        <w:rPr>
          <w:i/>
          <w:szCs w:val="18"/>
        </w:rPr>
        <w:t xml:space="preserve">eport on </w:t>
      </w:r>
      <w:r>
        <w:rPr>
          <w:i/>
          <w:szCs w:val="18"/>
        </w:rPr>
        <w:t>B</w:t>
      </w:r>
      <w:r w:rsidRPr="00463874">
        <w:rPr>
          <w:i/>
          <w:szCs w:val="18"/>
        </w:rPr>
        <w:t xml:space="preserve">iodiversity and </w:t>
      </w:r>
      <w:r>
        <w:rPr>
          <w:i/>
          <w:szCs w:val="18"/>
        </w:rPr>
        <w:t>E</w:t>
      </w:r>
      <w:r w:rsidRPr="00463874">
        <w:rPr>
          <w:i/>
          <w:szCs w:val="18"/>
        </w:rPr>
        <w:t xml:space="preserve">cosystem </w:t>
      </w:r>
      <w:r>
        <w:rPr>
          <w:i/>
          <w:szCs w:val="18"/>
        </w:rPr>
        <w:t>S</w:t>
      </w:r>
      <w:r w:rsidRPr="00463874">
        <w:rPr>
          <w:i/>
          <w:szCs w:val="18"/>
        </w:rPr>
        <w:t>ervices</w:t>
      </w:r>
      <w:r>
        <w:rPr>
          <w:szCs w:val="18"/>
        </w:rPr>
        <w:t>,</w:t>
      </w:r>
      <w:r w:rsidRPr="00D50B7D">
        <w:rPr>
          <w:szCs w:val="18"/>
        </w:rPr>
        <w:t xml:space="preserve"> </w:t>
      </w:r>
      <w:r w:rsidRPr="00EC7869">
        <w:rPr>
          <w:szCs w:val="18"/>
        </w:rPr>
        <w:t>Intergovernmental Science</w:t>
      </w:r>
      <w:r>
        <w:rPr>
          <w:szCs w:val="18"/>
        </w:rPr>
        <w:t>-</w:t>
      </w:r>
      <w:r w:rsidRPr="00EC7869">
        <w:rPr>
          <w:szCs w:val="18"/>
        </w:rPr>
        <w:t>Policy Platform on Biodiversity and Ecosystem Services</w:t>
      </w:r>
      <w:r>
        <w:rPr>
          <w:szCs w:val="18"/>
        </w:rPr>
        <w:t>,</w:t>
      </w:r>
      <w:r w:rsidRPr="00EC7869">
        <w:rPr>
          <w:szCs w:val="18"/>
        </w:rPr>
        <w:t xml:space="preserve"> 2019. </w:t>
      </w:r>
    </w:p>
  </w:footnote>
  <w:footnote w:id="61">
    <w:p w14:paraId="72C5B11A" w14:textId="0457DBE5" w:rsidR="00603760" w:rsidRPr="00A36E18" w:rsidRDefault="00603760" w:rsidP="00EB64CB">
      <w:pPr>
        <w:pStyle w:val="FootnoteText"/>
        <w:tabs>
          <w:tab w:val="left" w:pos="0"/>
        </w:tabs>
        <w:rPr>
          <w:szCs w:val="18"/>
        </w:rPr>
      </w:pPr>
      <w:r w:rsidRPr="00D50B7D">
        <w:rPr>
          <w:szCs w:val="18"/>
        </w:rPr>
        <w:tab/>
      </w:r>
      <w:r w:rsidRPr="00A36E18">
        <w:rPr>
          <w:rStyle w:val="FootnoteReference"/>
          <w:szCs w:val="18"/>
        </w:rPr>
        <w:footnoteRef/>
      </w:r>
      <w:r w:rsidRPr="00A36E18">
        <w:rPr>
          <w:szCs w:val="18"/>
        </w:rPr>
        <w:tab/>
      </w:r>
      <w:r w:rsidRPr="00E00665">
        <w:rPr>
          <w:szCs w:val="18"/>
        </w:rPr>
        <w:t>Dietmar Stoian</w:t>
      </w:r>
      <w:r>
        <w:rPr>
          <w:szCs w:val="18"/>
        </w:rPr>
        <w:t xml:space="preserve"> et al., “</w:t>
      </w:r>
      <w:r w:rsidRPr="00E00665">
        <w:rPr>
          <w:szCs w:val="18"/>
        </w:rPr>
        <w:t>Forest concessions in Petén, Guatemala</w:t>
      </w:r>
      <w:r>
        <w:rPr>
          <w:szCs w:val="18"/>
        </w:rPr>
        <w:t>:</w:t>
      </w:r>
      <w:r w:rsidRPr="00E00665">
        <w:rPr>
          <w:szCs w:val="18"/>
        </w:rPr>
        <w:t xml:space="preserve"> A systematic analysis of the socioeconomic performance of community enterprises in the Maya Biosphere Reserve</w:t>
      </w:r>
      <w:r>
        <w:rPr>
          <w:szCs w:val="18"/>
        </w:rPr>
        <w:t xml:space="preserve">”, </w:t>
      </w:r>
      <w:r w:rsidRPr="00A36E18">
        <w:rPr>
          <w:szCs w:val="18"/>
        </w:rPr>
        <w:t>Center for International Forestry Research</w:t>
      </w:r>
      <w:r>
        <w:rPr>
          <w:szCs w:val="18"/>
        </w:rPr>
        <w:t>, 2019.</w:t>
      </w:r>
    </w:p>
  </w:footnote>
  <w:footnote w:id="62">
    <w:p w14:paraId="4AABBF9F" w14:textId="4A2421C4" w:rsidR="00603760" w:rsidRPr="00463874" w:rsidRDefault="00603760">
      <w:pPr>
        <w:pStyle w:val="FootnoteText"/>
        <w:rPr>
          <w:lang w:val="en-US"/>
        </w:rPr>
      </w:pPr>
      <w:r>
        <w:tab/>
      </w:r>
      <w:r>
        <w:rPr>
          <w:rStyle w:val="FootnoteReference"/>
        </w:rPr>
        <w:footnoteRef/>
      </w:r>
      <w:r>
        <w:tab/>
      </w:r>
      <w:r>
        <w:rPr>
          <w:lang w:val="en-US"/>
        </w:rPr>
        <w:t>See also “</w:t>
      </w:r>
      <w:r>
        <w:t xml:space="preserve">Additional Good Practices in the Implementation of the Right to a Safe, Clean, Healthy and Sustainable Environment”, available at </w:t>
      </w:r>
      <w:hyperlink r:id="rId11" w:history="1">
        <w:r w:rsidRPr="004D7940">
          <w:rPr>
            <w:rStyle w:val="Hyperlink"/>
          </w:rPr>
          <w:t>www.ohchr.org/EN/Issues/Environment/SREnvironment/Pages/Annualreports.aspx</w:t>
        </w:r>
      </w:hyperlink>
      <w:r>
        <w:t>.</w:t>
      </w:r>
      <w:r w:rsidDel="00032D9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C4C0" w14:textId="73A45834" w:rsidR="00603760" w:rsidRPr="00B4754C" w:rsidRDefault="005D2854">
    <w:pPr>
      <w:pStyle w:val="Header"/>
    </w:pPr>
    <w:fldSimple w:instr=" TITLE  \* MERGEFORMAT ">
      <w:r w:rsidR="00A03968">
        <w:t>A/HRC/43/53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852F" w14:textId="4F9C0EA8" w:rsidR="00603760" w:rsidRPr="00B4754C" w:rsidRDefault="005D2854" w:rsidP="00B4754C">
    <w:pPr>
      <w:pStyle w:val="Header"/>
      <w:jc w:val="right"/>
    </w:pPr>
    <w:fldSimple w:instr=" TITLE  \* MERGEFORMAT ">
      <w:r w:rsidR="00A03968">
        <w:t>A/HRC/43/53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4C"/>
    <w:rsid w:val="00007F7F"/>
    <w:rsid w:val="00020F98"/>
    <w:rsid w:val="00022DB5"/>
    <w:rsid w:val="00026BDF"/>
    <w:rsid w:val="000316BD"/>
    <w:rsid w:val="00032D93"/>
    <w:rsid w:val="000403D1"/>
    <w:rsid w:val="000449AA"/>
    <w:rsid w:val="000468D2"/>
    <w:rsid w:val="00050F6B"/>
    <w:rsid w:val="000558ED"/>
    <w:rsid w:val="0005662A"/>
    <w:rsid w:val="00072C8C"/>
    <w:rsid w:val="00073E70"/>
    <w:rsid w:val="00076D6F"/>
    <w:rsid w:val="0008333C"/>
    <w:rsid w:val="000876EB"/>
    <w:rsid w:val="00091419"/>
    <w:rsid w:val="000917A4"/>
    <w:rsid w:val="000931C0"/>
    <w:rsid w:val="000B175B"/>
    <w:rsid w:val="000B2851"/>
    <w:rsid w:val="000B3A0F"/>
    <w:rsid w:val="000B4A3B"/>
    <w:rsid w:val="000C59D8"/>
    <w:rsid w:val="000D0DFB"/>
    <w:rsid w:val="000D1851"/>
    <w:rsid w:val="000D54AE"/>
    <w:rsid w:val="000E0415"/>
    <w:rsid w:val="000F09D9"/>
    <w:rsid w:val="000F0E8E"/>
    <w:rsid w:val="000F1887"/>
    <w:rsid w:val="00113907"/>
    <w:rsid w:val="001219E9"/>
    <w:rsid w:val="00131E3C"/>
    <w:rsid w:val="00143A8D"/>
    <w:rsid w:val="00146D32"/>
    <w:rsid w:val="001509BA"/>
    <w:rsid w:val="00150B10"/>
    <w:rsid w:val="00156137"/>
    <w:rsid w:val="00183C72"/>
    <w:rsid w:val="00183D6F"/>
    <w:rsid w:val="00187051"/>
    <w:rsid w:val="001A119A"/>
    <w:rsid w:val="001A2DD6"/>
    <w:rsid w:val="001B0DE4"/>
    <w:rsid w:val="001B13F6"/>
    <w:rsid w:val="001B40B2"/>
    <w:rsid w:val="001B4B04"/>
    <w:rsid w:val="001C241F"/>
    <w:rsid w:val="001C6663"/>
    <w:rsid w:val="001C7895"/>
    <w:rsid w:val="001D26DF"/>
    <w:rsid w:val="001E2790"/>
    <w:rsid w:val="001E3549"/>
    <w:rsid w:val="001E6A58"/>
    <w:rsid w:val="001F17D8"/>
    <w:rsid w:val="001F2789"/>
    <w:rsid w:val="00200071"/>
    <w:rsid w:val="00204F21"/>
    <w:rsid w:val="00211E0B"/>
    <w:rsid w:val="00211E72"/>
    <w:rsid w:val="00214047"/>
    <w:rsid w:val="00215A7D"/>
    <w:rsid w:val="0022130F"/>
    <w:rsid w:val="00225727"/>
    <w:rsid w:val="00237785"/>
    <w:rsid w:val="002410DD"/>
    <w:rsid w:val="00241466"/>
    <w:rsid w:val="002435F9"/>
    <w:rsid w:val="00252E95"/>
    <w:rsid w:val="00253D58"/>
    <w:rsid w:val="00261FE5"/>
    <w:rsid w:val="0026648F"/>
    <w:rsid w:val="00271A0D"/>
    <w:rsid w:val="0027725F"/>
    <w:rsid w:val="00290197"/>
    <w:rsid w:val="00293E61"/>
    <w:rsid w:val="002A1548"/>
    <w:rsid w:val="002A7BAB"/>
    <w:rsid w:val="002C18AD"/>
    <w:rsid w:val="002C216B"/>
    <w:rsid w:val="002C21F0"/>
    <w:rsid w:val="002C6727"/>
    <w:rsid w:val="002E5B52"/>
    <w:rsid w:val="002F07B1"/>
    <w:rsid w:val="002F13E5"/>
    <w:rsid w:val="002F34F3"/>
    <w:rsid w:val="002F3FFE"/>
    <w:rsid w:val="003107FA"/>
    <w:rsid w:val="003229D8"/>
    <w:rsid w:val="003314D1"/>
    <w:rsid w:val="00333FD7"/>
    <w:rsid w:val="00335722"/>
    <w:rsid w:val="00335A2F"/>
    <w:rsid w:val="003368C5"/>
    <w:rsid w:val="00341937"/>
    <w:rsid w:val="00356520"/>
    <w:rsid w:val="00366794"/>
    <w:rsid w:val="0039277A"/>
    <w:rsid w:val="00392B39"/>
    <w:rsid w:val="003972E0"/>
    <w:rsid w:val="003975ED"/>
    <w:rsid w:val="003A053D"/>
    <w:rsid w:val="003A23B6"/>
    <w:rsid w:val="003B0CBC"/>
    <w:rsid w:val="003C2CC4"/>
    <w:rsid w:val="003C7D86"/>
    <w:rsid w:val="003D4B23"/>
    <w:rsid w:val="003E440A"/>
    <w:rsid w:val="003F5FF1"/>
    <w:rsid w:val="004067FA"/>
    <w:rsid w:val="0041008E"/>
    <w:rsid w:val="00414272"/>
    <w:rsid w:val="004154AE"/>
    <w:rsid w:val="00424C80"/>
    <w:rsid w:val="00427D9E"/>
    <w:rsid w:val="004325CB"/>
    <w:rsid w:val="004355DD"/>
    <w:rsid w:val="004359D3"/>
    <w:rsid w:val="0044503A"/>
    <w:rsid w:val="00446DE4"/>
    <w:rsid w:val="00447761"/>
    <w:rsid w:val="00451EC3"/>
    <w:rsid w:val="00463874"/>
    <w:rsid w:val="004721B1"/>
    <w:rsid w:val="004859EC"/>
    <w:rsid w:val="00496A15"/>
    <w:rsid w:val="004B255B"/>
    <w:rsid w:val="004B280C"/>
    <w:rsid w:val="004B5ACB"/>
    <w:rsid w:val="004B75D2"/>
    <w:rsid w:val="004C6E4E"/>
    <w:rsid w:val="004D1140"/>
    <w:rsid w:val="004F55ED"/>
    <w:rsid w:val="004F5BD8"/>
    <w:rsid w:val="0051562E"/>
    <w:rsid w:val="005158A1"/>
    <w:rsid w:val="0052176C"/>
    <w:rsid w:val="005261E5"/>
    <w:rsid w:val="00526DE4"/>
    <w:rsid w:val="00530DDD"/>
    <w:rsid w:val="005420F2"/>
    <w:rsid w:val="00542574"/>
    <w:rsid w:val="005436AB"/>
    <w:rsid w:val="00546924"/>
    <w:rsid w:val="00546DBF"/>
    <w:rsid w:val="00552053"/>
    <w:rsid w:val="00553D76"/>
    <w:rsid w:val="005552B5"/>
    <w:rsid w:val="0056117B"/>
    <w:rsid w:val="00562621"/>
    <w:rsid w:val="00566F22"/>
    <w:rsid w:val="00571365"/>
    <w:rsid w:val="00594373"/>
    <w:rsid w:val="005A0E16"/>
    <w:rsid w:val="005A7139"/>
    <w:rsid w:val="005B0F66"/>
    <w:rsid w:val="005B3DB3"/>
    <w:rsid w:val="005B6E48"/>
    <w:rsid w:val="005C531E"/>
    <w:rsid w:val="005C6F0A"/>
    <w:rsid w:val="005D2854"/>
    <w:rsid w:val="005D53BE"/>
    <w:rsid w:val="005D67FD"/>
    <w:rsid w:val="005E1712"/>
    <w:rsid w:val="005E308D"/>
    <w:rsid w:val="005E369B"/>
    <w:rsid w:val="005E53F9"/>
    <w:rsid w:val="005F3B36"/>
    <w:rsid w:val="00603760"/>
    <w:rsid w:val="006057E6"/>
    <w:rsid w:val="0060713F"/>
    <w:rsid w:val="00607CF7"/>
    <w:rsid w:val="00611FC4"/>
    <w:rsid w:val="00613960"/>
    <w:rsid w:val="006176FB"/>
    <w:rsid w:val="00631BC8"/>
    <w:rsid w:val="00633AEE"/>
    <w:rsid w:val="00640B26"/>
    <w:rsid w:val="00655B60"/>
    <w:rsid w:val="00670741"/>
    <w:rsid w:val="006760AA"/>
    <w:rsid w:val="006812D7"/>
    <w:rsid w:val="00686344"/>
    <w:rsid w:val="00692520"/>
    <w:rsid w:val="00696BD6"/>
    <w:rsid w:val="006A0D84"/>
    <w:rsid w:val="006A6B9D"/>
    <w:rsid w:val="006A7392"/>
    <w:rsid w:val="006B1CF5"/>
    <w:rsid w:val="006B3189"/>
    <w:rsid w:val="006B7D65"/>
    <w:rsid w:val="006D6DA6"/>
    <w:rsid w:val="006D7AB3"/>
    <w:rsid w:val="006E25F4"/>
    <w:rsid w:val="006E564B"/>
    <w:rsid w:val="006F13F0"/>
    <w:rsid w:val="006F36F5"/>
    <w:rsid w:val="006F5035"/>
    <w:rsid w:val="00705EAC"/>
    <w:rsid w:val="00706452"/>
    <w:rsid w:val="007065EB"/>
    <w:rsid w:val="007137D0"/>
    <w:rsid w:val="00717FE9"/>
    <w:rsid w:val="00720183"/>
    <w:rsid w:val="0072632A"/>
    <w:rsid w:val="00727C46"/>
    <w:rsid w:val="007363C7"/>
    <w:rsid w:val="0074200B"/>
    <w:rsid w:val="00746576"/>
    <w:rsid w:val="0074690D"/>
    <w:rsid w:val="00793C4D"/>
    <w:rsid w:val="007A6296"/>
    <w:rsid w:val="007A79E4"/>
    <w:rsid w:val="007B36A2"/>
    <w:rsid w:val="007B6BA5"/>
    <w:rsid w:val="007C1B62"/>
    <w:rsid w:val="007C3152"/>
    <w:rsid w:val="007C3390"/>
    <w:rsid w:val="007C4F4B"/>
    <w:rsid w:val="007D1E7C"/>
    <w:rsid w:val="007D2CDC"/>
    <w:rsid w:val="007D37B0"/>
    <w:rsid w:val="007D5327"/>
    <w:rsid w:val="007E37B7"/>
    <w:rsid w:val="007E620E"/>
    <w:rsid w:val="007F2753"/>
    <w:rsid w:val="007F3363"/>
    <w:rsid w:val="007F35D4"/>
    <w:rsid w:val="007F6611"/>
    <w:rsid w:val="0080181B"/>
    <w:rsid w:val="008155C3"/>
    <w:rsid w:val="008175E9"/>
    <w:rsid w:val="0082243E"/>
    <w:rsid w:val="0082352B"/>
    <w:rsid w:val="008242D7"/>
    <w:rsid w:val="00825B32"/>
    <w:rsid w:val="008302A0"/>
    <w:rsid w:val="00831D93"/>
    <w:rsid w:val="00835CA0"/>
    <w:rsid w:val="00843397"/>
    <w:rsid w:val="00852881"/>
    <w:rsid w:val="00854783"/>
    <w:rsid w:val="00856CD2"/>
    <w:rsid w:val="00857456"/>
    <w:rsid w:val="00861BC6"/>
    <w:rsid w:val="00864787"/>
    <w:rsid w:val="00871FD5"/>
    <w:rsid w:val="00872A4C"/>
    <w:rsid w:val="00874E2B"/>
    <w:rsid w:val="008814D5"/>
    <w:rsid w:val="008847BB"/>
    <w:rsid w:val="00896783"/>
    <w:rsid w:val="008979B1"/>
    <w:rsid w:val="008A6B25"/>
    <w:rsid w:val="008A6C4F"/>
    <w:rsid w:val="008B03CC"/>
    <w:rsid w:val="008B7E22"/>
    <w:rsid w:val="008C1E4D"/>
    <w:rsid w:val="008C6BC8"/>
    <w:rsid w:val="008D2253"/>
    <w:rsid w:val="008E0E46"/>
    <w:rsid w:val="008E10E6"/>
    <w:rsid w:val="008E6F72"/>
    <w:rsid w:val="008F3B89"/>
    <w:rsid w:val="008F4796"/>
    <w:rsid w:val="008F6283"/>
    <w:rsid w:val="008F79F4"/>
    <w:rsid w:val="0090452C"/>
    <w:rsid w:val="00907C3F"/>
    <w:rsid w:val="0092237C"/>
    <w:rsid w:val="00922F06"/>
    <w:rsid w:val="00924C56"/>
    <w:rsid w:val="0093707B"/>
    <w:rsid w:val="00937A18"/>
    <w:rsid w:val="009400EB"/>
    <w:rsid w:val="009427E3"/>
    <w:rsid w:val="00946575"/>
    <w:rsid w:val="00952CFD"/>
    <w:rsid w:val="00956D9B"/>
    <w:rsid w:val="00963CBA"/>
    <w:rsid w:val="009654B7"/>
    <w:rsid w:val="009758C0"/>
    <w:rsid w:val="00975CA6"/>
    <w:rsid w:val="00991261"/>
    <w:rsid w:val="00996CBA"/>
    <w:rsid w:val="009A0B83"/>
    <w:rsid w:val="009A7DB6"/>
    <w:rsid w:val="009B3800"/>
    <w:rsid w:val="009C4585"/>
    <w:rsid w:val="009D22AC"/>
    <w:rsid w:val="009D50DB"/>
    <w:rsid w:val="009E1C4E"/>
    <w:rsid w:val="009E220D"/>
    <w:rsid w:val="00A0036A"/>
    <w:rsid w:val="00A03968"/>
    <w:rsid w:val="00A05E0B"/>
    <w:rsid w:val="00A1427D"/>
    <w:rsid w:val="00A2507F"/>
    <w:rsid w:val="00A31EAE"/>
    <w:rsid w:val="00A36E18"/>
    <w:rsid w:val="00A43EF7"/>
    <w:rsid w:val="00A4634F"/>
    <w:rsid w:val="00A51CF3"/>
    <w:rsid w:val="00A72F22"/>
    <w:rsid w:val="00A73D32"/>
    <w:rsid w:val="00A748A6"/>
    <w:rsid w:val="00A772F8"/>
    <w:rsid w:val="00A879A4"/>
    <w:rsid w:val="00A87E95"/>
    <w:rsid w:val="00A92B12"/>
    <w:rsid w:val="00A92E29"/>
    <w:rsid w:val="00A95487"/>
    <w:rsid w:val="00A97F81"/>
    <w:rsid w:val="00AA64B8"/>
    <w:rsid w:val="00AB3D89"/>
    <w:rsid w:val="00AB73BB"/>
    <w:rsid w:val="00AC153A"/>
    <w:rsid w:val="00AC5AE2"/>
    <w:rsid w:val="00AD09E9"/>
    <w:rsid w:val="00AD0ED1"/>
    <w:rsid w:val="00AD1A89"/>
    <w:rsid w:val="00AD2867"/>
    <w:rsid w:val="00AD4E53"/>
    <w:rsid w:val="00AF0576"/>
    <w:rsid w:val="00AF3829"/>
    <w:rsid w:val="00AF7AAB"/>
    <w:rsid w:val="00B037F0"/>
    <w:rsid w:val="00B2327D"/>
    <w:rsid w:val="00B2718F"/>
    <w:rsid w:val="00B30179"/>
    <w:rsid w:val="00B3317B"/>
    <w:rsid w:val="00B334DC"/>
    <w:rsid w:val="00B3631A"/>
    <w:rsid w:val="00B44323"/>
    <w:rsid w:val="00B4754C"/>
    <w:rsid w:val="00B502FB"/>
    <w:rsid w:val="00B53013"/>
    <w:rsid w:val="00B54C93"/>
    <w:rsid w:val="00B6398A"/>
    <w:rsid w:val="00B67396"/>
    <w:rsid w:val="00B67F5E"/>
    <w:rsid w:val="00B73E65"/>
    <w:rsid w:val="00B750C7"/>
    <w:rsid w:val="00B81E12"/>
    <w:rsid w:val="00B87110"/>
    <w:rsid w:val="00B97FA8"/>
    <w:rsid w:val="00BB1441"/>
    <w:rsid w:val="00BB52F2"/>
    <w:rsid w:val="00BC0487"/>
    <w:rsid w:val="00BC1385"/>
    <w:rsid w:val="00BC74E9"/>
    <w:rsid w:val="00BE0E45"/>
    <w:rsid w:val="00BE618E"/>
    <w:rsid w:val="00BE655C"/>
    <w:rsid w:val="00BF3086"/>
    <w:rsid w:val="00C206CE"/>
    <w:rsid w:val="00C217E7"/>
    <w:rsid w:val="00C24693"/>
    <w:rsid w:val="00C35F0B"/>
    <w:rsid w:val="00C37FE7"/>
    <w:rsid w:val="00C414A0"/>
    <w:rsid w:val="00C463DD"/>
    <w:rsid w:val="00C4668D"/>
    <w:rsid w:val="00C46CDC"/>
    <w:rsid w:val="00C51F20"/>
    <w:rsid w:val="00C550FD"/>
    <w:rsid w:val="00C64458"/>
    <w:rsid w:val="00C66347"/>
    <w:rsid w:val="00C71261"/>
    <w:rsid w:val="00C72212"/>
    <w:rsid w:val="00C73A1A"/>
    <w:rsid w:val="00C745C3"/>
    <w:rsid w:val="00C85A60"/>
    <w:rsid w:val="00C93581"/>
    <w:rsid w:val="00C9749C"/>
    <w:rsid w:val="00CA2A58"/>
    <w:rsid w:val="00CA469E"/>
    <w:rsid w:val="00CA725D"/>
    <w:rsid w:val="00CC0B55"/>
    <w:rsid w:val="00CC0E2B"/>
    <w:rsid w:val="00CC1D5F"/>
    <w:rsid w:val="00CC6CFB"/>
    <w:rsid w:val="00CD6995"/>
    <w:rsid w:val="00CE4A8F"/>
    <w:rsid w:val="00CF0214"/>
    <w:rsid w:val="00CF1A25"/>
    <w:rsid w:val="00CF586F"/>
    <w:rsid w:val="00CF7D43"/>
    <w:rsid w:val="00D10D78"/>
    <w:rsid w:val="00D11129"/>
    <w:rsid w:val="00D2031A"/>
    <w:rsid w:val="00D2031B"/>
    <w:rsid w:val="00D22332"/>
    <w:rsid w:val="00D2275A"/>
    <w:rsid w:val="00D25D2E"/>
    <w:rsid w:val="00D25FE2"/>
    <w:rsid w:val="00D43252"/>
    <w:rsid w:val="00D447C0"/>
    <w:rsid w:val="00D50B7D"/>
    <w:rsid w:val="00D52741"/>
    <w:rsid w:val="00D550F9"/>
    <w:rsid w:val="00D572B0"/>
    <w:rsid w:val="00D62E90"/>
    <w:rsid w:val="00D65C4B"/>
    <w:rsid w:val="00D749B6"/>
    <w:rsid w:val="00D76803"/>
    <w:rsid w:val="00D76BE5"/>
    <w:rsid w:val="00D9528A"/>
    <w:rsid w:val="00D978C6"/>
    <w:rsid w:val="00DA4513"/>
    <w:rsid w:val="00DA67AD"/>
    <w:rsid w:val="00DB18CE"/>
    <w:rsid w:val="00DB5566"/>
    <w:rsid w:val="00DD4249"/>
    <w:rsid w:val="00DE3EC0"/>
    <w:rsid w:val="00DE454E"/>
    <w:rsid w:val="00E00665"/>
    <w:rsid w:val="00E11148"/>
    <w:rsid w:val="00E11593"/>
    <w:rsid w:val="00E12B6B"/>
    <w:rsid w:val="00E130AB"/>
    <w:rsid w:val="00E438D9"/>
    <w:rsid w:val="00E469A3"/>
    <w:rsid w:val="00E524CF"/>
    <w:rsid w:val="00E5644E"/>
    <w:rsid w:val="00E65275"/>
    <w:rsid w:val="00E70897"/>
    <w:rsid w:val="00E7260F"/>
    <w:rsid w:val="00E806EE"/>
    <w:rsid w:val="00E82927"/>
    <w:rsid w:val="00E96630"/>
    <w:rsid w:val="00EA29A8"/>
    <w:rsid w:val="00EA2AC5"/>
    <w:rsid w:val="00EB0FB9"/>
    <w:rsid w:val="00EB4FE4"/>
    <w:rsid w:val="00EB64CB"/>
    <w:rsid w:val="00ED0CA9"/>
    <w:rsid w:val="00ED1620"/>
    <w:rsid w:val="00ED7A2A"/>
    <w:rsid w:val="00EF1D7F"/>
    <w:rsid w:val="00EF5BDB"/>
    <w:rsid w:val="00EF6676"/>
    <w:rsid w:val="00F07FD9"/>
    <w:rsid w:val="00F121F1"/>
    <w:rsid w:val="00F14E51"/>
    <w:rsid w:val="00F16878"/>
    <w:rsid w:val="00F23933"/>
    <w:rsid w:val="00F24119"/>
    <w:rsid w:val="00F30F1C"/>
    <w:rsid w:val="00F33B4F"/>
    <w:rsid w:val="00F37228"/>
    <w:rsid w:val="00F40E75"/>
    <w:rsid w:val="00F42CD9"/>
    <w:rsid w:val="00F43EE5"/>
    <w:rsid w:val="00F52936"/>
    <w:rsid w:val="00F54083"/>
    <w:rsid w:val="00F66FC9"/>
    <w:rsid w:val="00F677CB"/>
    <w:rsid w:val="00F67B04"/>
    <w:rsid w:val="00F70283"/>
    <w:rsid w:val="00F84350"/>
    <w:rsid w:val="00FA7DF3"/>
    <w:rsid w:val="00FC68B7"/>
    <w:rsid w:val="00FD4DB6"/>
    <w:rsid w:val="00FD7C12"/>
    <w:rsid w:val="00FE366D"/>
    <w:rsid w:val="00FF1A16"/>
    <w:rsid w:val="00FF1BEB"/>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AC7943"/>
  <w15:docId w15:val="{8C03626E-24E9-4351-AD69-3AD0B203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90D"/>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de nota al pie,[0],-E Fußnotenzeichen,(Diplomarbeit FZ),(Diplomarbeit FZ)1,(Diplomarbeit FZ)2,(Diplomarbeit FZ)3,(Diplomarbeit FZ)4,(Diplomarbeit FZ)5,(Diplomarbeit FZ)6,(Diplomarbeit FZ)7,(Diplomarbeit FZ)8,(Diplomarbeit FZ)9"/>
    <w:basedOn w:val="DefaultParagraphFont"/>
    <w:link w:val="FootnotesymbolCarZchn"/>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t,Footnote Text Char Char Char Char Char Char Char,Footnote Text1,Footnote Text1 Char,Footnote Text2,Footnote Text Char Char Char Char Char Char Char1,Footnote Text Char Char Char Char Char Char Char1 Char,fn,FOOTNOTES,Genev,Footnote"/>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t Char,Footnote Text Char Char Char Char Char Char Char Char,Footnote Text1 Char1,Footnote Text1 Char Char,Footnote Text2 Char,Footnote Text Char Char Char Char Char Char Char1 Char1,fn Char,FOOTNOTES Char,Genev Char"/>
    <w:basedOn w:val="DefaultParagraphFont"/>
    <w:link w:val="FootnoteText"/>
    <w:uiPriority w:val="99"/>
    <w:qFormat/>
    <w:rsid w:val="00D65C4B"/>
    <w:rPr>
      <w:sz w:val="18"/>
      <w:lang w:val="en-GB" w:eastAsia="en-US"/>
    </w:rPr>
  </w:style>
  <w:style w:type="paragraph" w:customStyle="1" w:styleId="Default">
    <w:name w:val="Default"/>
    <w:rsid w:val="00835CA0"/>
    <w:pPr>
      <w:widowControl w:val="0"/>
      <w:autoSpaceDE w:val="0"/>
      <w:autoSpaceDN w:val="0"/>
      <w:adjustRightInd w:val="0"/>
    </w:pPr>
    <w:rPr>
      <w:rFonts w:eastAsiaTheme="minorEastAsia"/>
      <w:color w:val="000000"/>
      <w:sz w:val="24"/>
      <w:szCs w:val="24"/>
      <w:lang w:val="en-US" w:eastAsia="en-US"/>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qFormat/>
    <w:rsid w:val="003C7D86"/>
    <w:pPr>
      <w:suppressAutoHyphens w:val="0"/>
      <w:spacing w:after="160" w:line="240" w:lineRule="exact"/>
      <w:jc w:val="both"/>
    </w:pPr>
    <w:rPr>
      <w:sz w:val="18"/>
      <w:vertAlign w:val="superscript"/>
      <w:lang w:val="fr-FR" w:eastAsia="fr-FR"/>
    </w:rPr>
  </w:style>
  <w:style w:type="paragraph" w:styleId="NormalWeb">
    <w:name w:val="Normal (Web)"/>
    <w:basedOn w:val="Normal"/>
    <w:uiPriority w:val="99"/>
    <w:unhideWhenUsed/>
    <w:rsid w:val="008F6283"/>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basedOn w:val="DefaultParagraphFont"/>
    <w:link w:val="SingleTxtG"/>
    <w:rsid w:val="00717FE9"/>
    <w:rPr>
      <w:lang w:val="en-GB" w:eastAsia="en-US"/>
    </w:rPr>
  </w:style>
  <w:style w:type="paragraph" w:styleId="ListParagraph">
    <w:name w:val="List Paragraph"/>
    <w:aliases w:val="Style List Paragraph-HSEQ MS,List Paragraph1,Medium Grid 1 - Accent 21,Table/Figure Heading,En tête 1,List Paragraph (numbered (a)),Lapis Bulleted List,Dot pt,F5 List Paragraph,No Spacing1,List Paragraph Char Char Char,Indicator Text,L"/>
    <w:basedOn w:val="Normal"/>
    <w:link w:val="ListParagraphChar"/>
    <w:uiPriority w:val="34"/>
    <w:qFormat/>
    <w:rsid w:val="00717FE9"/>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Style List Paragraph-HSEQ MS Char,List Paragraph1 Char,Medium Grid 1 - Accent 21 Char,Table/Figure Heading Char,En tête 1 Char,List Paragraph (numbered (a)) Char,Lapis Bulleted List Char,Dot pt Char,F5 List Paragraph Char,L Char"/>
    <w:link w:val="ListParagraph"/>
    <w:uiPriority w:val="34"/>
    <w:locked/>
    <w:rsid w:val="00717FE9"/>
    <w:rPr>
      <w:rFonts w:asciiTheme="minorHAnsi" w:eastAsiaTheme="minorHAnsi" w:hAnsiTheme="minorHAnsi" w:cstheme="minorBidi"/>
      <w:sz w:val="22"/>
      <w:szCs w:val="22"/>
      <w:lang w:val="en-US" w:eastAsia="en-US"/>
    </w:rPr>
  </w:style>
  <w:style w:type="character" w:customStyle="1" w:styleId="FontStyle11">
    <w:name w:val="Font Style11"/>
    <w:uiPriority w:val="99"/>
    <w:rsid w:val="00717FE9"/>
    <w:rPr>
      <w:rFonts w:ascii="Angsana New" w:hAnsi="Angsana New" w:cs="Angsana New"/>
      <w:sz w:val="32"/>
      <w:szCs w:val="32"/>
    </w:rPr>
  </w:style>
  <w:style w:type="character" w:styleId="Strong">
    <w:name w:val="Strong"/>
    <w:basedOn w:val="DefaultParagraphFont"/>
    <w:uiPriority w:val="22"/>
    <w:qFormat/>
    <w:rsid w:val="00717FE9"/>
    <w:rPr>
      <w:b/>
      <w:bCs/>
    </w:rPr>
  </w:style>
  <w:style w:type="character" w:customStyle="1" w:styleId="apple-converted-space">
    <w:name w:val="apple-converted-space"/>
    <w:basedOn w:val="DefaultParagraphFont"/>
    <w:rsid w:val="00717FE9"/>
  </w:style>
  <w:style w:type="character" w:customStyle="1" w:styleId="italic">
    <w:name w:val="italic"/>
    <w:basedOn w:val="DefaultParagraphFont"/>
    <w:rsid w:val="00717FE9"/>
  </w:style>
  <w:style w:type="paragraph" w:customStyle="1" w:styleId="Style">
    <w:name w:val="Style"/>
    <w:rsid w:val="00717FE9"/>
    <w:pPr>
      <w:widowControl w:val="0"/>
      <w:autoSpaceDE w:val="0"/>
      <w:autoSpaceDN w:val="0"/>
      <w:adjustRightInd w:val="0"/>
    </w:pPr>
    <w:rPr>
      <w:rFonts w:eastAsiaTheme="minorEastAsia"/>
      <w:sz w:val="24"/>
      <w:szCs w:val="24"/>
      <w:lang w:val="en-US" w:eastAsia="en-US"/>
    </w:rPr>
  </w:style>
  <w:style w:type="paragraph" w:customStyle="1" w:styleId="Body">
    <w:name w:val="Body"/>
    <w:rsid w:val="00717FE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character" w:styleId="CommentReference">
    <w:name w:val="annotation reference"/>
    <w:basedOn w:val="DefaultParagraphFont"/>
    <w:semiHidden/>
    <w:unhideWhenUsed/>
    <w:rsid w:val="000F09D9"/>
    <w:rPr>
      <w:sz w:val="16"/>
      <w:szCs w:val="16"/>
    </w:rPr>
  </w:style>
  <w:style w:type="paragraph" w:styleId="CommentText">
    <w:name w:val="annotation text"/>
    <w:basedOn w:val="Normal"/>
    <w:link w:val="CommentTextChar"/>
    <w:semiHidden/>
    <w:unhideWhenUsed/>
    <w:rsid w:val="000F09D9"/>
    <w:pPr>
      <w:spacing w:line="240" w:lineRule="auto"/>
    </w:pPr>
  </w:style>
  <w:style w:type="character" w:customStyle="1" w:styleId="CommentTextChar">
    <w:name w:val="Comment Text Char"/>
    <w:basedOn w:val="DefaultParagraphFont"/>
    <w:link w:val="CommentText"/>
    <w:semiHidden/>
    <w:rsid w:val="000F09D9"/>
    <w:rPr>
      <w:lang w:val="en-GB" w:eastAsia="en-US"/>
    </w:rPr>
  </w:style>
  <w:style w:type="paragraph" w:styleId="CommentSubject">
    <w:name w:val="annotation subject"/>
    <w:basedOn w:val="CommentText"/>
    <w:next w:val="CommentText"/>
    <w:link w:val="CommentSubjectChar"/>
    <w:semiHidden/>
    <w:unhideWhenUsed/>
    <w:rsid w:val="000F09D9"/>
    <w:rPr>
      <w:b/>
      <w:bCs/>
    </w:rPr>
  </w:style>
  <w:style w:type="character" w:customStyle="1" w:styleId="CommentSubjectChar">
    <w:name w:val="Comment Subject Char"/>
    <w:basedOn w:val="CommentTextChar"/>
    <w:link w:val="CommentSubject"/>
    <w:semiHidden/>
    <w:rsid w:val="000F09D9"/>
    <w:rPr>
      <w:b/>
      <w:bCs/>
      <w:lang w:val="en-GB" w:eastAsia="en-US"/>
    </w:rPr>
  </w:style>
  <w:style w:type="paragraph" w:styleId="Revision">
    <w:name w:val="Revision"/>
    <w:hidden/>
    <w:uiPriority w:val="99"/>
    <w:semiHidden/>
    <w:rsid w:val="000F09D9"/>
    <w:rPr>
      <w:lang w:val="en-GB" w:eastAsia="en-US"/>
    </w:rPr>
  </w:style>
  <w:style w:type="character" w:customStyle="1" w:styleId="UnresolvedMention1">
    <w:name w:val="Unresolved Mention1"/>
    <w:basedOn w:val="DefaultParagraphFont"/>
    <w:uiPriority w:val="99"/>
    <w:semiHidden/>
    <w:unhideWhenUsed/>
    <w:rsid w:val="005D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vironmentalrightsdatabas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file:///C:/Users/shwan/Downloads/See" TargetMode="External"/><Relationship Id="rId3" Type="http://schemas.openxmlformats.org/officeDocument/2006/relationships/hyperlink" Target="file:///C:/Users/mcparland/AppData/Local/Microsoft/Windows/INetCache/Content.Outlook/NLNNPU2P/www.dinama.gub.uy/oan/" TargetMode="External"/><Relationship Id="rId7" Type="http://schemas.openxmlformats.org/officeDocument/2006/relationships/hyperlink" Target="file:///C:/Users/shwan/Downloads/www.thegef.org/news/life-aquatic-small-islands-atlantic-indian-oceans-working-together-fight-tough-water-challenges" TargetMode="External"/><Relationship Id="rId2" Type="http://schemas.openxmlformats.org/officeDocument/2006/relationships/hyperlink" Target="http://www.ohchr.org/EN/Issues/Environment/SREnvironment/Pages/Annualreports.aspx" TargetMode="External"/><Relationship Id="rId1" Type="http://schemas.openxmlformats.org/officeDocument/2006/relationships/hyperlink" Target="file:///C:/Users/mcparland/AppData/Local/Microsoft/Windows/INetCache/Content.Outlook/NLNNPU2P/www.ohchr.org/EN/Issues/Environment/SREnvironment/Pages/GoodPracticesRight2HESubmissions.aspx" TargetMode="External"/><Relationship Id="rId6" Type="http://schemas.openxmlformats.org/officeDocument/2006/relationships/hyperlink" Target="https://afr100.org/content/home" TargetMode="External"/><Relationship Id="rId11" Type="http://schemas.openxmlformats.org/officeDocument/2006/relationships/hyperlink" Target="http://www.ohchr.org/EN/Issues/Environment/SREnvironment/Pages/Annualreports.aspx" TargetMode="External"/><Relationship Id="rId5" Type="http://schemas.openxmlformats.org/officeDocument/2006/relationships/hyperlink" Target="https://di.unfccc.int/time_series" TargetMode="External"/><Relationship Id="rId10" Type="http://schemas.openxmlformats.org/officeDocument/2006/relationships/hyperlink" Target="https://www.eea.europa.eu/data-and-maps/indicators/fuel-prices-and-taxes/assessment-4" TargetMode="External"/><Relationship Id="rId4" Type="http://schemas.openxmlformats.org/officeDocument/2006/relationships/hyperlink" Target="https://nhri.ohchr.org/EN/Pages/default.aspx" TargetMode="External"/><Relationship Id="rId9" Type="http://schemas.openxmlformats.org/officeDocument/2006/relationships/hyperlink" Target="https://ec.europa.eu/eurostat/statistics-explained/index.php?title=Municipal_waste_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F911-7201-4EE0-90C9-776B7AF43224}"/>
</file>

<file path=customXml/itemProps2.xml><?xml version="1.0" encoding="utf-8"?>
<ds:datastoreItem xmlns:ds="http://schemas.openxmlformats.org/officeDocument/2006/customXml" ds:itemID="{2B66B3F6-B81E-4F10-B4D3-DBDF002424E3}">
  <ds:schemaRefs>
    <ds:schemaRef ds:uri="http://schemas.microsoft.com/sharepoint/v3/contenttype/forms"/>
  </ds:schemaRefs>
</ds:datastoreItem>
</file>

<file path=customXml/itemProps3.xml><?xml version="1.0" encoding="utf-8"?>
<ds:datastoreItem xmlns:ds="http://schemas.openxmlformats.org/officeDocument/2006/customXml" ds:itemID="{CD3CA7F5-C161-41B7-ABA1-58359380E2D4}">
  <ds:schemaRef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87FE75A-A836-4F08-B105-1F6C8E90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10407</Words>
  <Characters>59321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A/HRC/43/53</vt:lpstr>
    </vt:vector>
  </TitlesOfParts>
  <Company>CSD</Company>
  <LinksUpToDate>false</LinksUpToDate>
  <CharactersWithSpaces>69589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A/HRC/43/53</dc:title>
  <dc:creator>FOPPIANO Francesca</dc:creator>
  <cp:lastModifiedBy>Soo-Young Hwang</cp:lastModifiedBy>
  <cp:revision>2</cp:revision>
  <cp:lastPrinted>2020-01-07T10:56:00Z</cp:lastPrinted>
  <dcterms:created xsi:type="dcterms:W3CDTF">2020-01-14T19:50:00Z</dcterms:created>
  <dcterms:modified xsi:type="dcterms:W3CDTF">2020-01-14T19:50:00Z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