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F23DE" w14:textId="34A475ED" w:rsidR="00F7108C" w:rsidRPr="006B1E44" w:rsidRDefault="00C170A5" w:rsidP="006B1E44">
      <w:pPr>
        <w:ind w:left="-90" w:right="-180"/>
        <w:jc w:val="center"/>
        <w:rPr>
          <w:sz w:val="26"/>
          <w:szCs w:val="26"/>
        </w:rPr>
      </w:pPr>
      <w:r w:rsidRPr="006B1E44">
        <w:rPr>
          <w:b/>
          <w:bCs/>
          <w:sz w:val="26"/>
          <w:szCs w:val="26"/>
        </w:rPr>
        <w:t xml:space="preserve">Submission </w:t>
      </w:r>
      <w:r w:rsidR="00F7108C" w:rsidRPr="006B1E44">
        <w:rPr>
          <w:b/>
          <w:bCs/>
          <w:sz w:val="26"/>
          <w:szCs w:val="26"/>
        </w:rPr>
        <w:t>to the UN Special Rapporteur on Human Rights and the Environment</w:t>
      </w:r>
      <w:r w:rsidR="006B1E44">
        <w:rPr>
          <w:rStyle w:val="FootnoteReference"/>
          <w:b/>
          <w:bCs/>
          <w:sz w:val="26"/>
          <w:szCs w:val="26"/>
        </w:rPr>
        <w:footnoteReference w:id="1"/>
      </w:r>
      <w:r w:rsidR="00F7108C" w:rsidRPr="006B1E44">
        <w:rPr>
          <w:b/>
          <w:bCs/>
          <w:sz w:val="26"/>
          <w:szCs w:val="26"/>
        </w:rPr>
        <w:t xml:space="preserve"> </w:t>
      </w:r>
    </w:p>
    <w:p w14:paraId="2D251F3D" w14:textId="77777777" w:rsidR="00C170A5" w:rsidRDefault="00C170A5" w:rsidP="00C170A5">
      <w:pPr>
        <w:ind w:firstLine="720"/>
        <w:jc w:val="both"/>
      </w:pPr>
    </w:p>
    <w:p w14:paraId="2EEF03E2" w14:textId="71227521" w:rsidR="00C170A5" w:rsidRDefault="00F7108C" w:rsidP="00C170A5">
      <w:pPr>
        <w:ind w:firstLine="720"/>
        <w:jc w:val="both"/>
      </w:pPr>
      <w:r>
        <w:t xml:space="preserve">The </w:t>
      </w:r>
      <w:r w:rsidR="00C56894" w:rsidRPr="00C56894">
        <w:t>Uni</w:t>
      </w:r>
      <w:r w:rsidR="00C56894">
        <w:t>ted States has a long and well-established history of biodiversity and ecological protections</w:t>
      </w:r>
      <w:r>
        <w:t xml:space="preserve"> and international cooperation</w:t>
      </w:r>
      <w:r w:rsidR="00C56894">
        <w:t>.</w:t>
      </w:r>
      <w:r>
        <w:t xml:space="preserve"> </w:t>
      </w:r>
      <w:r w:rsidR="00DC7945">
        <w:t>It was the first nation to establish a national park,</w:t>
      </w:r>
      <w:r w:rsidR="00DC7945">
        <w:rPr>
          <w:rStyle w:val="FootnoteReference"/>
        </w:rPr>
        <w:footnoteReference w:id="2"/>
      </w:r>
      <w:r w:rsidR="00DC7945">
        <w:t xml:space="preserve"> </w:t>
      </w:r>
      <w:r>
        <w:t xml:space="preserve">and </w:t>
      </w:r>
      <w:r w:rsidR="00C56894">
        <w:t xml:space="preserve">among the first to adopt </w:t>
      </w:r>
      <w:r w:rsidR="0068745D">
        <w:t>anti-poaching legislation,</w:t>
      </w:r>
      <w:r w:rsidR="0068745D">
        <w:rPr>
          <w:rStyle w:val="FootnoteReference"/>
        </w:rPr>
        <w:footnoteReference w:id="3"/>
      </w:r>
      <w:r w:rsidR="0068745D">
        <w:t xml:space="preserve"> </w:t>
      </w:r>
      <w:r w:rsidR="00D63050">
        <w:t xml:space="preserve">bilateral </w:t>
      </w:r>
      <w:r w:rsidR="00C56894">
        <w:t xml:space="preserve">treaties </w:t>
      </w:r>
      <w:r w:rsidR="00A961D3">
        <w:t xml:space="preserve">protecting </w:t>
      </w:r>
      <w:r w:rsidR="00C56894">
        <w:t>biodiversity</w:t>
      </w:r>
      <w:r w:rsidR="00C56894">
        <w:rPr>
          <w:rStyle w:val="FootnoteReference"/>
        </w:rPr>
        <w:footnoteReference w:id="4"/>
      </w:r>
      <w:r w:rsidR="00C56894">
        <w:t xml:space="preserve"> </w:t>
      </w:r>
      <w:r w:rsidR="0068745D">
        <w:t>and ecological stewardship,</w:t>
      </w:r>
      <w:r w:rsidR="00C56894">
        <w:rPr>
          <w:rStyle w:val="FootnoteReference"/>
        </w:rPr>
        <w:footnoteReference w:id="5"/>
      </w:r>
      <w:r w:rsidR="00A961D3">
        <w:t xml:space="preserve"> </w:t>
      </w:r>
      <w:r w:rsidR="00821290">
        <w:t xml:space="preserve">and international </w:t>
      </w:r>
      <w:r w:rsidR="0068745D">
        <w:t>institution</w:t>
      </w:r>
      <w:r>
        <w:t>s</w:t>
      </w:r>
      <w:r w:rsidR="0068745D">
        <w:t xml:space="preserve"> for their enforcement.</w:t>
      </w:r>
      <w:r w:rsidR="0068745D">
        <w:rPr>
          <w:rStyle w:val="FootnoteReference"/>
        </w:rPr>
        <w:footnoteReference w:id="6"/>
      </w:r>
      <w:r w:rsidR="00821290">
        <w:t xml:space="preserve"> </w:t>
      </w:r>
      <w:r w:rsidR="00D12F32">
        <w:t xml:space="preserve">However, </w:t>
      </w:r>
      <w:r w:rsidR="00BA58D3">
        <w:t xml:space="preserve">analyzing </w:t>
      </w:r>
      <w:r w:rsidR="00390EA0">
        <w:t xml:space="preserve">human rights standards in the environmental context is complicated by </w:t>
      </w:r>
      <w:r w:rsidR="00E320CA">
        <w:t xml:space="preserve">the </w:t>
      </w:r>
      <w:r w:rsidR="00390EA0">
        <w:t>federalist constitution</w:t>
      </w:r>
      <w:r w:rsidR="00E320CA">
        <w:t>’s</w:t>
      </w:r>
      <w:r w:rsidR="00390EA0">
        <w:t xml:space="preserve"> </w:t>
      </w:r>
      <w:r w:rsidR="00E320CA">
        <w:t xml:space="preserve">division of </w:t>
      </w:r>
      <w:r w:rsidR="00390EA0">
        <w:t xml:space="preserve">responsibility for environmental and human rights </w:t>
      </w:r>
      <w:r w:rsidR="00E320CA">
        <w:t xml:space="preserve">matters </w:t>
      </w:r>
      <w:r w:rsidR="00390EA0">
        <w:t>between state, federal, and municipal jurisdictions</w:t>
      </w:r>
      <w:r w:rsidR="00821290">
        <w:t>.</w:t>
      </w:r>
      <w:r w:rsidR="00390EA0">
        <w:rPr>
          <w:rStyle w:val="FootnoteReference"/>
        </w:rPr>
        <w:footnoteReference w:id="7"/>
      </w:r>
      <w:r w:rsidR="00390EA0">
        <w:t xml:space="preserve"> </w:t>
      </w:r>
      <w:r w:rsidR="00821290">
        <w:t xml:space="preserve"> Jurisdictional divisions inherent to U.S. federalism</w:t>
      </w:r>
      <w:r w:rsidR="00561074">
        <w:t xml:space="preserve"> </w:t>
      </w:r>
      <w:r w:rsidR="00821290">
        <w:t xml:space="preserve">also complicate the ratification of international treaties it has signed due to the </w:t>
      </w:r>
      <w:r w:rsidR="00561074">
        <w:t>U.S. Senate’s policy of certifying</w:t>
      </w:r>
      <w:r w:rsidR="00390EA0">
        <w:t xml:space="preserve"> </w:t>
      </w:r>
      <w:r w:rsidR="00821290">
        <w:t>U.S. law</w:t>
      </w:r>
      <w:r w:rsidR="00E320CA">
        <w:t>’s compliance with a treaty’s provisions</w:t>
      </w:r>
      <w:r w:rsidR="00821290">
        <w:t xml:space="preserve"> as a precondition to </w:t>
      </w:r>
      <w:r w:rsidR="00390EA0">
        <w:t>ratification</w:t>
      </w:r>
      <w:r w:rsidR="00E320CA">
        <w:t>.</w:t>
      </w:r>
      <w:r w:rsidR="00C0011E">
        <w:rPr>
          <w:rStyle w:val="FootnoteReference"/>
        </w:rPr>
        <w:footnoteReference w:id="8"/>
      </w:r>
      <w:r w:rsidR="0068745D">
        <w:t xml:space="preserve"> </w:t>
      </w:r>
      <w:r w:rsidR="0034233E">
        <w:t xml:space="preserve">Nonetheless, </w:t>
      </w:r>
      <w:r w:rsidR="00BA58D3">
        <w:t>its ratification most notably of the</w:t>
      </w:r>
      <w:r w:rsidR="00BA58D3" w:rsidRPr="00BA58D3">
        <w:t xml:space="preserve"> </w:t>
      </w:r>
      <w:r w:rsidR="00BA58D3" w:rsidRPr="00BA58D3">
        <w:rPr>
          <w:i/>
          <w:iCs/>
        </w:rPr>
        <w:t>International Covenant on Civil and Political Rights</w:t>
      </w:r>
      <w:r w:rsidR="007265C0">
        <w:rPr>
          <w:rStyle w:val="FootnoteReference"/>
          <w:i/>
          <w:iCs/>
        </w:rPr>
        <w:footnoteReference w:id="9"/>
      </w:r>
      <w:r w:rsidR="00BA58D3">
        <w:t xml:space="preserve"> and the </w:t>
      </w:r>
      <w:r w:rsidR="00BA58D3" w:rsidRPr="00BA58D3">
        <w:rPr>
          <w:i/>
          <w:iCs/>
        </w:rPr>
        <w:t>International Convention On the Elimination of All Forms of Racial Discrimination</w:t>
      </w:r>
      <w:r w:rsidR="007265C0">
        <w:rPr>
          <w:rStyle w:val="FootnoteReference"/>
          <w:i/>
          <w:iCs/>
        </w:rPr>
        <w:footnoteReference w:id="10"/>
      </w:r>
      <w:r w:rsidR="00BA58D3">
        <w:t xml:space="preserve"> provide a framework for analyzing the </w:t>
      </w:r>
      <w:r w:rsidR="00715E85">
        <w:t>human rights implications of its environmental enforcement</w:t>
      </w:r>
      <w:r w:rsidR="00BA58D3">
        <w:t xml:space="preserve">, particularly </w:t>
      </w:r>
      <w:r w:rsidR="00715E85">
        <w:t xml:space="preserve">concerning </w:t>
      </w:r>
      <w:r w:rsidR="00BA58D3">
        <w:t xml:space="preserve">governance and the rule of law in environmental decision-making </w:t>
      </w:r>
      <w:r w:rsidR="00715E85">
        <w:t xml:space="preserve">that impacts </w:t>
      </w:r>
      <w:r w:rsidR="00BA58D3">
        <w:t>vulnerable populations in the United States.</w:t>
      </w:r>
      <w:r w:rsidR="00BA58D3">
        <w:rPr>
          <w:rStyle w:val="FootnoteReference"/>
        </w:rPr>
        <w:footnoteReference w:id="11"/>
      </w:r>
      <w:r w:rsidR="00AF6960">
        <w:t xml:space="preserve"> </w:t>
      </w:r>
      <w:r w:rsidR="003171D6">
        <w:t xml:space="preserve">Conversely, insufficient protections for the rule of law and fundamental human rights can negatively impact international biodiversity conservation efforts for critically endangered species. </w:t>
      </w:r>
      <w:r w:rsidR="00D24F93">
        <w:t xml:space="preserve">Our submission highlights several contemporaneous U.S. examples of the interconnectedness of human rights with biodiversity and </w:t>
      </w:r>
      <w:proofErr w:type="spellStart"/>
      <w:r w:rsidR="00D24F93">
        <w:t>ecology</w:t>
      </w:r>
      <w:r w:rsidR="00DD6E9C">
        <w:t>ical</w:t>
      </w:r>
      <w:proofErr w:type="spellEnd"/>
      <w:r w:rsidR="00DD6E9C">
        <w:t xml:space="preserve"> </w:t>
      </w:r>
      <w:r w:rsidR="00D24F93">
        <w:t xml:space="preserve">protections </w:t>
      </w:r>
      <w:r w:rsidR="00DD6E9C">
        <w:t xml:space="preserve">which </w:t>
      </w:r>
      <w:r w:rsidR="00F448FB">
        <w:t>serve to protect both human and non-human life</w:t>
      </w:r>
      <w:r w:rsidR="00DD6E9C">
        <w:t>, and the rule of law</w:t>
      </w:r>
      <w:r w:rsidR="00F448FB">
        <w:t>.</w:t>
      </w:r>
    </w:p>
    <w:p w14:paraId="356FD25A" w14:textId="042C34B7" w:rsidR="00F448FB" w:rsidRDefault="00F448FB" w:rsidP="00C170A5">
      <w:pPr>
        <w:ind w:firstLine="720"/>
        <w:jc w:val="both"/>
      </w:pPr>
      <w:r>
        <w:t xml:space="preserve"> </w:t>
      </w:r>
    </w:p>
    <w:p w14:paraId="383426E7" w14:textId="270F6070" w:rsidR="00EE3EC9" w:rsidRPr="00AC628F" w:rsidRDefault="00382A96" w:rsidP="00EE3EC9">
      <w:pPr>
        <w:jc w:val="both"/>
        <w:rPr>
          <w:b/>
          <w:bCs/>
        </w:rPr>
      </w:pPr>
      <w:r>
        <w:rPr>
          <w:b/>
          <w:bCs/>
        </w:rPr>
        <w:t>Public Participation and Vulnerable Communities’ Ability to Reduce Environmental Harms</w:t>
      </w:r>
    </w:p>
    <w:p w14:paraId="43C5509F" w14:textId="36986454" w:rsidR="00EE3EC9" w:rsidRDefault="00EE3EC9" w:rsidP="00EE3EC9">
      <w:pPr>
        <w:jc w:val="both"/>
      </w:pPr>
    </w:p>
    <w:p w14:paraId="6492AF6E" w14:textId="4EADD84A" w:rsidR="00224495" w:rsidRDefault="00EE3EC9" w:rsidP="00604F65">
      <w:pPr>
        <w:jc w:val="both"/>
        <w:rPr>
          <w:rStyle w:val="fontstyle01"/>
          <w:rFonts w:ascii="Times New Roman" w:hAnsi="Times New Roman" w:cs="Times New Roman"/>
          <w:sz w:val="24"/>
          <w:szCs w:val="24"/>
        </w:rPr>
      </w:pPr>
      <w:r>
        <w:tab/>
      </w:r>
      <w:r w:rsidR="00286138">
        <w:t>T</w:t>
      </w:r>
      <w:r w:rsidR="002D07F6">
        <w:t>he I</w:t>
      </w:r>
      <w:r w:rsidR="002D07F6" w:rsidRPr="009E1E73">
        <w:t xml:space="preserve">CCPR provides that </w:t>
      </w:r>
      <w:r w:rsidR="00286138" w:rsidRPr="009E1E73">
        <w:t xml:space="preserve">State parties to the convention establish procedural rights to </w:t>
      </w:r>
      <w:r w:rsidR="00286138" w:rsidRPr="009E1E73">
        <w:rPr>
          <w:rStyle w:val="fontstyle01"/>
          <w:rFonts w:ascii="Times New Roman" w:hAnsi="Times New Roman" w:cs="Times New Roman"/>
          <w:sz w:val="24"/>
          <w:szCs w:val="24"/>
        </w:rPr>
        <w:t>take part in public affairs</w:t>
      </w:r>
      <w:r w:rsidR="003041C0">
        <w:rPr>
          <w:rStyle w:val="fontstyle01"/>
          <w:rFonts w:ascii="Times New Roman" w:hAnsi="Times New Roman" w:cs="Times New Roman"/>
          <w:sz w:val="24"/>
          <w:szCs w:val="24"/>
        </w:rPr>
        <w:t>,</w:t>
      </w:r>
      <w:r w:rsidR="007A1BDA">
        <w:rPr>
          <w:rStyle w:val="fontstyle01"/>
          <w:rFonts w:ascii="Times New Roman" w:hAnsi="Times New Roman" w:cs="Times New Roman"/>
          <w:sz w:val="24"/>
          <w:szCs w:val="24"/>
        </w:rPr>
        <w:t xml:space="preserve"> </w:t>
      </w:r>
      <w:r w:rsidR="009E1E73" w:rsidRPr="009E1E73">
        <w:rPr>
          <w:rStyle w:val="fontstyle01"/>
          <w:rFonts w:ascii="Times New Roman" w:hAnsi="Times New Roman" w:cs="Times New Roman"/>
          <w:sz w:val="24"/>
          <w:szCs w:val="24"/>
        </w:rPr>
        <w:t xml:space="preserve">to have </w:t>
      </w:r>
      <w:r w:rsidR="003041C0">
        <w:rPr>
          <w:rStyle w:val="fontstyle01"/>
          <w:rFonts w:ascii="Times New Roman" w:hAnsi="Times New Roman" w:cs="Times New Roman"/>
          <w:sz w:val="24"/>
          <w:szCs w:val="24"/>
        </w:rPr>
        <w:t xml:space="preserve">equal </w:t>
      </w:r>
      <w:r w:rsidR="009E1E73" w:rsidRPr="009E1E73">
        <w:rPr>
          <w:rStyle w:val="fontstyle01"/>
          <w:rFonts w:ascii="Times New Roman" w:hAnsi="Times New Roman" w:cs="Times New Roman"/>
          <w:sz w:val="24"/>
          <w:szCs w:val="24"/>
        </w:rPr>
        <w:t>access</w:t>
      </w:r>
      <w:r w:rsidR="009E1E73">
        <w:rPr>
          <w:rStyle w:val="fontstyle01"/>
          <w:rFonts w:ascii="Times New Roman" w:hAnsi="Times New Roman" w:cs="Times New Roman"/>
          <w:sz w:val="24"/>
          <w:szCs w:val="24"/>
        </w:rPr>
        <w:t xml:space="preserve"> </w:t>
      </w:r>
      <w:r w:rsidR="009E1E73" w:rsidRPr="009E1E73">
        <w:rPr>
          <w:rStyle w:val="fontstyle01"/>
          <w:rFonts w:ascii="Times New Roman" w:hAnsi="Times New Roman" w:cs="Times New Roman"/>
          <w:sz w:val="24"/>
          <w:szCs w:val="24"/>
        </w:rPr>
        <w:t>to public service</w:t>
      </w:r>
      <w:r w:rsidR="007A1BDA">
        <w:rPr>
          <w:rStyle w:val="fontstyle01"/>
          <w:rFonts w:ascii="Times New Roman" w:hAnsi="Times New Roman" w:cs="Times New Roman"/>
          <w:sz w:val="24"/>
          <w:szCs w:val="24"/>
        </w:rPr>
        <w:t>s</w:t>
      </w:r>
      <w:r w:rsidR="003041C0">
        <w:rPr>
          <w:rStyle w:val="fontstyle01"/>
          <w:rFonts w:ascii="Times New Roman" w:hAnsi="Times New Roman" w:cs="Times New Roman"/>
          <w:sz w:val="24"/>
          <w:szCs w:val="24"/>
        </w:rPr>
        <w:t>,</w:t>
      </w:r>
      <w:r w:rsidR="007A1BDA">
        <w:rPr>
          <w:rStyle w:val="fontstyle01"/>
          <w:rFonts w:ascii="Times New Roman" w:hAnsi="Times New Roman" w:cs="Times New Roman"/>
          <w:sz w:val="24"/>
          <w:szCs w:val="24"/>
        </w:rPr>
        <w:t xml:space="preserve"> </w:t>
      </w:r>
      <w:r w:rsidR="009E1E73">
        <w:rPr>
          <w:rStyle w:val="fontstyle01"/>
          <w:rFonts w:ascii="Times New Roman" w:hAnsi="Times New Roman" w:cs="Times New Roman"/>
          <w:sz w:val="24"/>
          <w:szCs w:val="24"/>
        </w:rPr>
        <w:t>to equal protection against non-discrimination on any ground</w:t>
      </w:r>
      <w:r w:rsidR="007A1BDA">
        <w:rPr>
          <w:rStyle w:val="fontstyle01"/>
          <w:rFonts w:ascii="Times New Roman" w:hAnsi="Times New Roman" w:cs="Times New Roman"/>
          <w:sz w:val="24"/>
          <w:szCs w:val="24"/>
        </w:rPr>
        <w:t xml:space="preserve"> listed in Article 2 of the Covenant</w:t>
      </w:r>
      <w:r w:rsidR="003041C0">
        <w:rPr>
          <w:rStyle w:val="fontstyle01"/>
          <w:rFonts w:ascii="Times New Roman" w:hAnsi="Times New Roman" w:cs="Times New Roman"/>
          <w:sz w:val="24"/>
          <w:szCs w:val="24"/>
        </w:rPr>
        <w:t>,</w:t>
      </w:r>
      <w:r w:rsidR="00F17F7B">
        <w:rPr>
          <w:rStyle w:val="fontstyle01"/>
          <w:rFonts w:ascii="Times New Roman" w:hAnsi="Times New Roman" w:cs="Times New Roman"/>
          <w:sz w:val="24"/>
          <w:szCs w:val="24"/>
        </w:rPr>
        <w:t xml:space="preserve"> and </w:t>
      </w:r>
      <w:r w:rsidR="003041C0">
        <w:rPr>
          <w:rStyle w:val="fontstyle01"/>
          <w:rFonts w:ascii="Times New Roman" w:hAnsi="Times New Roman" w:cs="Times New Roman"/>
          <w:sz w:val="24"/>
          <w:szCs w:val="24"/>
        </w:rPr>
        <w:t xml:space="preserve">for </w:t>
      </w:r>
      <w:r w:rsidR="00F17F7B">
        <w:rPr>
          <w:rStyle w:val="fontstyle01"/>
          <w:rFonts w:ascii="Times New Roman" w:hAnsi="Times New Roman" w:cs="Times New Roman"/>
          <w:sz w:val="24"/>
          <w:szCs w:val="24"/>
        </w:rPr>
        <w:t xml:space="preserve">ethnic, religious, or </w:t>
      </w:r>
      <w:r w:rsidR="00F17F7B">
        <w:rPr>
          <w:rStyle w:val="fontstyle01"/>
          <w:rFonts w:ascii="Times New Roman" w:hAnsi="Times New Roman" w:cs="Times New Roman"/>
          <w:sz w:val="24"/>
          <w:szCs w:val="24"/>
        </w:rPr>
        <w:lastRenderedPageBreak/>
        <w:t xml:space="preserve">linguistic minorities </w:t>
      </w:r>
      <w:r w:rsidR="00F17F7B" w:rsidRPr="00F17F7B">
        <w:rPr>
          <w:rStyle w:val="fontstyle01"/>
          <w:rFonts w:ascii="Times New Roman" w:hAnsi="Times New Roman" w:cs="Times New Roman"/>
          <w:sz w:val="24"/>
          <w:szCs w:val="24"/>
        </w:rPr>
        <w:t>to enjoy their own culture, language</w:t>
      </w:r>
      <w:r w:rsidR="003041C0">
        <w:rPr>
          <w:rStyle w:val="fontstyle01"/>
          <w:rFonts w:ascii="Times New Roman" w:hAnsi="Times New Roman" w:cs="Times New Roman"/>
          <w:sz w:val="24"/>
          <w:szCs w:val="24"/>
        </w:rPr>
        <w:t>, or religious practice</w:t>
      </w:r>
      <w:r w:rsidR="00F17F7B">
        <w:rPr>
          <w:rStyle w:val="fontstyle01"/>
          <w:rFonts w:ascii="Times New Roman" w:hAnsi="Times New Roman" w:cs="Times New Roman"/>
          <w:sz w:val="24"/>
          <w:szCs w:val="24"/>
        </w:rPr>
        <w:t xml:space="preserve"> in community with one another</w:t>
      </w:r>
      <w:r w:rsidR="007A1BDA">
        <w:rPr>
          <w:rStyle w:val="fontstyle01"/>
          <w:rFonts w:ascii="Times New Roman" w:hAnsi="Times New Roman" w:cs="Times New Roman"/>
          <w:sz w:val="24"/>
          <w:szCs w:val="24"/>
        </w:rPr>
        <w:t>.</w:t>
      </w:r>
      <w:r w:rsidR="009E1E73">
        <w:rPr>
          <w:rStyle w:val="FootnoteReference"/>
          <w:color w:val="000000"/>
        </w:rPr>
        <w:footnoteReference w:id="12"/>
      </w:r>
      <w:r w:rsidR="009E1E73">
        <w:rPr>
          <w:rStyle w:val="fontstyle01"/>
          <w:rFonts w:ascii="Times New Roman" w:hAnsi="Times New Roman" w:cs="Times New Roman"/>
          <w:sz w:val="24"/>
          <w:szCs w:val="24"/>
        </w:rPr>
        <w:t xml:space="preserve"> </w:t>
      </w:r>
      <w:r w:rsidR="007A1BDA">
        <w:rPr>
          <w:rStyle w:val="fontstyle01"/>
          <w:rFonts w:ascii="Times New Roman" w:hAnsi="Times New Roman" w:cs="Times New Roman"/>
          <w:sz w:val="24"/>
          <w:szCs w:val="24"/>
        </w:rPr>
        <w:t xml:space="preserve">The </w:t>
      </w:r>
      <w:r w:rsidR="00CA231D">
        <w:rPr>
          <w:rStyle w:val="fontstyle01"/>
          <w:rFonts w:ascii="Times New Roman" w:hAnsi="Times New Roman" w:cs="Times New Roman"/>
          <w:sz w:val="24"/>
          <w:szCs w:val="24"/>
        </w:rPr>
        <w:t xml:space="preserve">CERD provides </w:t>
      </w:r>
      <w:r w:rsidR="000C5621">
        <w:rPr>
          <w:rStyle w:val="fontstyle01"/>
          <w:rFonts w:ascii="Times New Roman" w:hAnsi="Times New Roman" w:cs="Times New Roman"/>
          <w:sz w:val="24"/>
          <w:szCs w:val="24"/>
        </w:rPr>
        <w:t xml:space="preserve">a </w:t>
      </w:r>
      <w:r w:rsidR="003041C0">
        <w:rPr>
          <w:rStyle w:val="fontstyle01"/>
          <w:rFonts w:ascii="Times New Roman" w:hAnsi="Times New Roman" w:cs="Times New Roman"/>
          <w:sz w:val="24"/>
          <w:szCs w:val="24"/>
        </w:rPr>
        <w:t xml:space="preserve">reciprocal </w:t>
      </w:r>
      <w:r w:rsidR="00CA231D">
        <w:rPr>
          <w:rStyle w:val="fontstyle01"/>
          <w:rFonts w:ascii="Times New Roman" w:hAnsi="Times New Roman" w:cs="Times New Roman"/>
          <w:sz w:val="24"/>
          <w:szCs w:val="24"/>
        </w:rPr>
        <w:t>right</w:t>
      </w:r>
      <w:r w:rsidR="009E65BE">
        <w:rPr>
          <w:rStyle w:val="fontstyle01"/>
          <w:rFonts w:ascii="Times New Roman" w:hAnsi="Times New Roman" w:cs="Times New Roman"/>
          <w:sz w:val="24"/>
          <w:szCs w:val="24"/>
        </w:rPr>
        <w:t xml:space="preserve"> </w:t>
      </w:r>
      <w:r w:rsidR="009E65BE" w:rsidRPr="00CA231D">
        <w:rPr>
          <w:rStyle w:val="fontstyle01"/>
          <w:rFonts w:ascii="Times New Roman" w:hAnsi="Times New Roman" w:cs="Times New Roman"/>
          <w:sz w:val="24"/>
          <w:szCs w:val="24"/>
        </w:rPr>
        <w:t xml:space="preserve">to take part in the conduct of public affairs </w:t>
      </w:r>
      <w:r w:rsidR="0005124B">
        <w:rPr>
          <w:rStyle w:val="fontstyle01"/>
          <w:rFonts w:ascii="Times New Roman" w:hAnsi="Times New Roman" w:cs="Times New Roman"/>
          <w:sz w:val="24"/>
          <w:szCs w:val="24"/>
        </w:rPr>
        <w:t>“</w:t>
      </w:r>
      <w:r w:rsidR="009E65BE" w:rsidRPr="00CA231D">
        <w:rPr>
          <w:rStyle w:val="fontstyle01"/>
          <w:rFonts w:ascii="Times New Roman" w:hAnsi="Times New Roman" w:cs="Times New Roman"/>
          <w:sz w:val="24"/>
          <w:szCs w:val="24"/>
        </w:rPr>
        <w:t>at any level</w:t>
      </w:r>
      <w:r w:rsidR="009E65BE">
        <w:rPr>
          <w:rStyle w:val="fontstyle01"/>
          <w:rFonts w:ascii="Times New Roman" w:hAnsi="Times New Roman" w:cs="Times New Roman"/>
          <w:sz w:val="24"/>
          <w:szCs w:val="24"/>
        </w:rPr>
        <w:t>,</w:t>
      </w:r>
      <w:r w:rsidR="003041C0">
        <w:rPr>
          <w:rStyle w:val="fontstyle01"/>
          <w:rFonts w:ascii="Times New Roman" w:hAnsi="Times New Roman" w:cs="Times New Roman"/>
          <w:sz w:val="24"/>
          <w:szCs w:val="24"/>
        </w:rPr>
        <w:t>”</w:t>
      </w:r>
      <w:r w:rsidR="009E65BE" w:rsidRPr="00CA231D">
        <w:rPr>
          <w:rStyle w:val="fontstyle01"/>
          <w:rFonts w:ascii="Times New Roman" w:hAnsi="Times New Roman" w:cs="Times New Roman"/>
          <w:sz w:val="24"/>
          <w:szCs w:val="24"/>
        </w:rPr>
        <w:t xml:space="preserve"> </w:t>
      </w:r>
      <w:r w:rsidR="003041C0">
        <w:rPr>
          <w:rStyle w:val="fontstyle01"/>
          <w:rFonts w:ascii="Times New Roman" w:hAnsi="Times New Roman" w:cs="Times New Roman"/>
          <w:sz w:val="24"/>
          <w:szCs w:val="24"/>
        </w:rPr>
        <w:t xml:space="preserve">the </w:t>
      </w:r>
      <w:r w:rsidR="0005124B">
        <w:rPr>
          <w:rStyle w:val="fontstyle01"/>
          <w:rFonts w:ascii="Times New Roman" w:hAnsi="Times New Roman" w:cs="Times New Roman"/>
          <w:sz w:val="24"/>
          <w:szCs w:val="24"/>
        </w:rPr>
        <w:t xml:space="preserve">equal right to </w:t>
      </w:r>
      <w:r w:rsidR="003041C0">
        <w:rPr>
          <w:rStyle w:val="fontstyle01"/>
          <w:rFonts w:ascii="Times New Roman" w:hAnsi="Times New Roman" w:cs="Times New Roman"/>
          <w:sz w:val="24"/>
          <w:szCs w:val="24"/>
        </w:rPr>
        <w:t>public health</w:t>
      </w:r>
      <w:r w:rsidR="0005124B">
        <w:rPr>
          <w:rStyle w:val="fontstyle01"/>
          <w:rFonts w:ascii="Times New Roman" w:hAnsi="Times New Roman" w:cs="Times New Roman"/>
          <w:sz w:val="24"/>
          <w:szCs w:val="24"/>
        </w:rPr>
        <w:t xml:space="preserve">, public and </w:t>
      </w:r>
      <w:r w:rsidR="003041C0">
        <w:rPr>
          <w:rStyle w:val="fontstyle01"/>
          <w:rFonts w:ascii="Times New Roman" w:hAnsi="Times New Roman" w:cs="Times New Roman"/>
          <w:sz w:val="24"/>
          <w:szCs w:val="24"/>
        </w:rPr>
        <w:t>social services,</w:t>
      </w:r>
      <w:r w:rsidR="003041C0" w:rsidRPr="000B2383">
        <w:rPr>
          <w:rStyle w:val="fontstyle01"/>
          <w:rFonts w:ascii="Times New Roman" w:hAnsi="Times New Roman" w:cs="Times New Roman"/>
          <w:sz w:val="24"/>
          <w:szCs w:val="24"/>
        </w:rPr>
        <w:t xml:space="preserve"> </w:t>
      </w:r>
      <w:r w:rsidR="003041C0" w:rsidRPr="00703FD7">
        <w:rPr>
          <w:rStyle w:val="fontstyle01"/>
          <w:rFonts w:ascii="Times New Roman" w:hAnsi="Times New Roman" w:cs="Times New Roman"/>
          <w:sz w:val="24"/>
          <w:szCs w:val="24"/>
        </w:rPr>
        <w:t xml:space="preserve">access </w:t>
      </w:r>
      <w:r w:rsidR="0005124B">
        <w:rPr>
          <w:rStyle w:val="fontstyle01"/>
          <w:rFonts w:ascii="Times New Roman" w:hAnsi="Times New Roman" w:cs="Times New Roman"/>
          <w:sz w:val="24"/>
          <w:szCs w:val="24"/>
        </w:rPr>
        <w:t xml:space="preserve">to </w:t>
      </w:r>
      <w:r w:rsidR="003041C0" w:rsidRPr="00703FD7">
        <w:rPr>
          <w:rStyle w:val="fontstyle01"/>
          <w:rFonts w:ascii="Times New Roman" w:hAnsi="Times New Roman" w:cs="Times New Roman"/>
          <w:sz w:val="24"/>
          <w:szCs w:val="24"/>
        </w:rPr>
        <w:t>place</w:t>
      </w:r>
      <w:r w:rsidR="003041C0">
        <w:rPr>
          <w:rStyle w:val="fontstyle01"/>
          <w:rFonts w:ascii="Times New Roman" w:hAnsi="Times New Roman" w:cs="Times New Roman"/>
          <w:sz w:val="24"/>
          <w:szCs w:val="24"/>
        </w:rPr>
        <w:t>s</w:t>
      </w:r>
      <w:r w:rsidR="003041C0" w:rsidRPr="00703FD7">
        <w:rPr>
          <w:rStyle w:val="fontstyle01"/>
          <w:rFonts w:ascii="Times New Roman" w:hAnsi="Times New Roman" w:cs="Times New Roman"/>
          <w:sz w:val="24"/>
          <w:szCs w:val="24"/>
        </w:rPr>
        <w:t xml:space="preserve"> intended for public</w:t>
      </w:r>
      <w:r w:rsidR="003041C0">
        <w:rPr>
          <w:rStyle w:val="fontstyle01"/>
          <w:rFonts w:ascii="Times New Roman" w:hAnsi="Times New Roman" w:cs="Times New Roman"/>
          <w:sz w:val="24"/>
          <w:szCs w:val="24"/>
        </w:rPr>
        <w:t xml:space="preserve"> use,</w:t>
      </w:r>
      <w:r w:rsidR="00CA231D">
        <w:rPr>
          <w:rStyle w:val="fontstyle01"/>
          <w:rFonts w:ascii="Times New Roman" w:hAnsi="Times New Roman" w:cs="Times New Roman"/>
          <w:sz w:val="24"/>
          <w:szCs w:val="24"/>
        </w:rPr>
        <w:t xml:space="preserve"> </w:t>
      </w:r>
      <w:r w:rsidR="0005124B">
        <w:rPr>
          <w:rStyle w:val="fontstyle01"/>
          <w:rFonts w:ascii="Times New Roman" w:hAnsi="Times New Roman" w:cs="Times New Roman"/>
          <w:sz w:val="24"/>
          <w:szCs w:val="24"/>
        </w:rPr>
        <w:t xml:space="preserve">and </w:t>
      </w:r>
      <w:r w:rsidR="009E65BE">
        <w:rPr>
          <w:rStyle w:val="fontstyle01"/>
          <w:rFonts w:ascii="Times New Roman" w:hAnsi="Times New Roman" w:cs="Times New Roman"/>
          <w:sz w:val="24"/>
          <w:szCs w:val="24"/>
        </w:rPr>
        <w:t xml:space="preserve">to </w:t>
      </w:r>
      <w:r w:rsidR="0005124B">
        <w:rPr>
          <w:rStyle w:val="fontstyle01"/>
          <w:rFonts w:ascii="Times New Roman" w:hAnsi="Times New Roman" w:cs="Times New Roman"/>
          <w:sz w:val="24"/>
          <w:szCs w:val="24"/>
        </w:rPr>
        <w:t xml:space="preserve">the equal protection of </w:t>
      </w:r>
      <w:r w:rsidR="00CA231D">
        <w:rPr>
          <w:rStyle w:val="fontstyle01"/>
          <w:rFonts w:ascii="Times New Roman" w:hAnsi="Times New Roman" w:cs="Times New Roman"/>
          <w:sz w:val="24"/>
          <w:szCs w:val="24"/>
        </w:rPr>
        <w:t>law</w:t>
      </w:r>
      <w:r w:rsidR="009E65BE">
        <w:rPr>
          <w:rStyle w:val="fontstyle01"/>
          <w:rFonts w:ascii="Times New Roman" w:hAnsi="Times New Roman" w:cs="Times New Roman"/>
          <w:sz w:val="24"/>
          <w:szCs w:val="24"/>
        </w:rPr>
        <w:t xml:space="preserve">, including </w:t>
      </w:r>
      <w:r w:rsidR="00CA231D">
        <w:rPr>
          <w:rStyle w:val="fontstyle01"/>
          <w:rFonts w:ascii="Times New Roman" w:hAnsi="Times New Roman" w:cs="Times New Roman"/>
          <w:sz w:val="24"/>
          <w:szCs w:val="24"/>
        </w:rPr>
        <w:t xml:space="preserve">against bodily harm </w:t>
      </w:r>
      <w:r w:rsidR="000C5621">
        <w:rPr>
          <w:rStyle w:val="fontstyle01"/>
          <w:rFonts w:ascii="Times New Roman" w:hAnsi="Times New Roman" w:cs="Times New Roman"/>
          <w:sz w:val="24"/>
          <w:szCs w:val="24"/>
        </w:rPr>
        <w:t xml:space="preserve">by </w:t>
      </w:r>
      <w:r w:rsidR="00CA231D">
        <w:rPr>
          <w:rStyle w:val="fontstyle01"/>
          <w:rFonts w:ascii="Times New Roman" w:hAnsi="Times New Roman" w:cs="Times New Roman"/>
          <w:sz w:val="24"/>
          <w:szCs w:val="24"/>
        </w:rPr>
        <w:t xml:space="preserve">the state “or </w:t>
      </w:r>
      <w:r w:rsidR="00CA231D" w:rsidRPr="00CA231D">
        <w:rPr>
          <w:rStyle w:val="fontstyle01"/>
          <w:rFonts w:ascii="Times New Roman" w:hAnsi="Times New Roman" w:cs="Times New Roman"/>
          <w:sz w:val="24"/>
          <w:szCs w:val="24"/>
        </w:rPr>
        <w:t>by any individual group or institution</w:t>
      </w:r>
      <w:r w:rsidR="00CA231D">
        <w:rPr>
          <w:rStyle w:val="fontstyle01"/>
          <w:rFonts w:ascii="Times New Roman" w:hAnsi="Times New Roman" w:cs="Times New Roman"/>
          <w:sz w:val="24"/>
          <w:szCs w:val="24"/>
        </w:rPr>
        <w:t>,”</w:t>
      </w:r>
      <w:r w:rsidR="00703FD7" w:rsidRPr="00703FD7">
        <w:rPr>
          <w:rStyle w:val="fontstyle01"/>
          <w:rFonts w:ascii="Times New Roman" w:hAnsi="Times New Roman" w:cs="Times New Roman"/>
          <w:sz w:val="24"/>
          <w:szCs w:val="24"/>
        </w:rPr>
        <w:t xml:space="preserve"> </w:t>
      </w:r>
      <w:r w:rsidR="000C5621">
        <w:rPr>
          <w:rStyle w:val="fontstyle01"/>
          <w:rFonts w:ascii="Times New Roman" w:hAnsi="Times New Roman" w:cs="Times New Roman"/>
          <w:sz w:val="24"/>
          <w:szCs w:val="24"/>
        </w:rPr>
        <w:t xml:space="preserve">as well as </w:t>
      </w:r>
      <w:r w:rsidR="00703FD7">
        <w:rPr>
          <w:rStyle w:val="fontstyle01"/>
          <w:rFonts w:ascii="Times New Roman" w:hAnsi="Times New Roman" w:cs="Times New Roman"/>
          <w:sz w:val="24"/>
          <w:szCs w:val="24"/>
        </w:rPr>
        <w:t>judicial remedies</w:t>
      </w:r>
      <w:r w:rsidR="0005124B">
        <w:rPr>
          <w:rStyle w:val="fontstyle01"/>
          <w:rFonts w:ascii="Times New Roman" w:hAnsi="Times New Roman" w:cs="Times New Roman"/>
          <w:sz w:val="24"/>
          <w:szCs w:val="24"/>
        </w:rPr>
        <w:t xml:space="preserve"> against the same</w:t>
      </w:r>
      <w:r w:rsidR="000B2383">
        <w:rPr>
          <w:rStyle w:val="fontstyle01"/>
          <w:rFonts w:ascii="Times New Roman" w:hAnsi="Times New Roman" w:cs="Times New Roman"/>
          <w:sz w:val="24"/>
          <w:szCs w:val="24"/>
        </w:rPr>
        <w:t>,</w:t>
      </w:r>
      <w:r w:rsidR="003041C0">
        <w:rPr>
          <w:rStyle w:val="fontstyle01"/>
          <w:rFonts w:ascii="Times New Roman" w:hAnsi="Times New Roman" w:cs="Times New Roman"/>
          <w:sz w:val="24"/>
          <w:szCs w:val="24"/>
        </w:rPr>
        <w:t xml:space="preserve"> </w:t>
      </w:r>
      <w:r w:rsidR="00703FD7">
        <w:rPr>
          <w:rStyle w:val="fontstyle01"/>
          <w:rFonts w:ascii="Times New Roman" w:hAnsi="Times New Roman" w:cs="Times New Roman"/>
          <w:sz w:val="24"/>
          <w:szCs w:val="24"/>
        </w:rPr>
        <w:t xml:space="preserve">and </w:t>
      </w:r>
      <w:r w:rsidR="003041C0">
        <w:rPr>
          <w:rStyle w:val="fontstyle01"/>
          <w:rFonts w:ascii="Times New Roman" w:hAnsi="Times New Roman" w:cs="Times New Roman"/>
          <w:sz w:val="24"/>
          <w:szCs w:val="24"/>
        </w:rPr>
        <w:t xml:space="preserve">for </w:t>
      </w:r>
      <w:r w:rsidR="00703FD7">
        <w:rPr>
          <w:rStyle w:val="fontstyle01"/>
          <w:rFonts w:ascii="Times New Roman" w:hAnsi="Times New Roman" w:cs="Times New Roman"/>
          <w:sz w:val="24"/>
          <w:szCs w:val="24"/>
        </w:rPr>
        <w:t>public education “</w:t>
      </w:r>
      <w:r w:rsidR="00703FD7" w:rsidRPr="00703FD7">
        <w:rPr>
          <w:rStyle w:val="fontstyle01"/>
          <w:rFonts w:ascii="Times New Roman" w:hAnsi="Times New Roman" w:cs="Times New Roman"/>
          <w:sz w:val="24"/>
          <w:szCs w:val="24"/>
        </w:rPr>
        <w:t>promoting understanding, tolerance and friendship</w:t>
      </w:r>
      <w:r w:rsidR="0005124B">
        <w:rPr>
          <w:rStyle w:val="fontstyle01"/>
          <w:rFonts w:ascii="Times New Roman" w:hAnsi="Times New Roman" w:cs="Times New Roman"/>
          <w:sz w:val="24"/>
          <w:szCs w:val="24"/>
        </w:rPr>
        <w:t>”</w:t>
      </w:r>
      <w:r w:rsidR="00703FD7" w:rsidRPr="00703FD7">
        <w:rPr>
          <w:rStyle w:val="fontstyle01"/>
          <w:rFonts w:ascii="Times New Roman" w:hAnsi="Times New Roman" w:cs="Times New Roman"/>
          <w:sz w:val="24"/>
          <w:szCs w:val="24"/>
        </w:rPr>
        <w:t xml:space="preserve"> among </w:t>
      </w:r>
      <w:r w:rsidR="0005124B">
        <w:rPr>
          <w:rStyle w:val="fontstyle01"/>
          <w:rFonts w:ascii="Times New Roman" w:hAnsi="Times New Roman" w:cs="Times New Roman"/>
          <w:sz w:val="24"/>
          <w:szCs w:val="24"/>
        </w:rPr>
        <w:t xml:space="preserve">ethnic </w:t>
      </w:r>
      <w:r w:rsidR="00703FD7" w:rsidRPr="00703FD7">
        <w:rPr>
          <w:rStyle w:val="fontstyle01"/>
          <w:rFonts w:ascii="Times New Roman" w:hAnsi="Times New Roman" w:cs="Times New Roman"/>
          <w:sz w:val="24"/>
          <w:szCs w:val="24"/>
        </w:rPr>
        <w:t>groups</w:t>
      </w:r>
      <w:r w:rsidR="00703FD7">
        <w:rPr>
          <w:rStyle w:val="fontstyle01"/>
          <w:rFonts w:ascii="Times New Roman" w:hAnsi="Times New Roman" w:cs="Times New Roman"/>
          <w:sz w:val="24"/>
          <w:szCs w:val="24"/>
        </w:rPr>
        <w:t>.</w:t>
      </w:r>
      <w:r w:rsidR="00703FD7">
        <w:rPr>
          <w:rStyle w:val="FootnoteReference"/>
          <w:color w:val="000000"/>
        </w:rPr>
        <w:footnoteReference w:id="13"/>
      </w:r>
      <w:r w:rsidR="003041C0">
        <w:rPr>
          <w:rStyle w:val="fontstyle01"/>
          <w:rFonts w:ascii="Times New Roman" w:hAnsi="Times New Roman" w:cs="Times New Roman"/>
          <w:sz w:val="24"/>
          <w:szCs w:val="24"/>
        </w:rPr>
        <w:t xml:space="preserve"> </w:t>
      </w:r>
      <w:r w:rsidR="0005124B">
        <w:rPr>
          <w:rStyle w:val="fontstyle01"/>
          <w:rFonts w:ascii="Times New Roman" w:hAnsi="Times New Roman" w:cs="Times New Roman"/>
          <w:sz w:val="24"/>
          <w:szCs w:val="24"/>
        </w:rPr>
        <w:t xml:space="preserve">The </w:t>
      </w:r>
      <w:r w:rsidR="000D40D2">
        <w:rPr>
          <w:rStyle w:val="fontstyle01"/>
          <w:rFonts w:ascii="Times New Roman" w:hAnsi="Times New Roman" w:cs="Times New Roman"/>
          <w:sz w:val="24"/>
          <w:szCs w:val="24"/>
        </w:rPr>
        <w:t xml:space="preserve">U.S. applies these standards in </w:t>
      </w:r>
      <w:r w:rsidR="0005124B">
        <w:rPr>
          <w:rStyle w:val="fontstyle01"/>
          <w:rFonts w:ascii="Times New Roman" w:hAnsi="Times New Roman" w:cs="Times New Roman"/>
          <w:sz w:val="24"/>
          <w:szCs w:val="24"/>
        </w:rPr>
        <w:t xml:space="preserve">environmental matters in </w:t>
      </w:r>
      <w:r w:rsidR="000D40D2">
        <w:rPr>
          <w:rStyle w:val="fontstyle01"/>
          <w:rFonts w:ascii="Times New Roman" w:hAnsi="Times New Roman" w:cs="Times New Roman"/>
          <w:sz w:val="24"/>
          <w:szCs w:val="24"/>
        </w:rPr>
        <w:t xml:space="preserve">part through </w:t>
      </w:r>
      <w:r w:rsidR="003041C0" w:rsidRPr="003041C0">
        <w:rPr>
          <w:rStyle w:val="fontstyle01"/>
          <w:rFonts w:ascii="Times New Roman" w:hAnsi="Times New Roman" w:cs="Times New Roman"/>
          <w:sz w:val="24"/>
          <w:szCs w:val="24"/>
        </w:rPr>
        <w:t xml:space="preserve">Executive Order 12,898 </w:t>
      </w:r>
      <w:r w:rsidR="000D40D2">
        <w:rPr>
          <w:rStyle w:val="fontstyle01"/>
          <w:rFonts w:ascii="Times New Roman" w:hAnsi="Times New Roman" w:cs="Times New Roman"/>
          <w:sz w:val="24"/>
          <w:szCs w:val="24"/>
        </w:rPr>
        <w:t xml:space="preserve">requiring </w:t>
      </w:r>
      <w:r w:rsidR="003041C0" w:rsidRPr="003041C0">
        <w:rPr>
          <w:rStyle w:val="fontstyle01"/>
          <w:rFonts w:ascii="Times New Roman" w:hAnsi="Times New Roman" w:cs="Times New Roman"/>
          <w:sz w:val="24"/>
          <w:szCs w:val="24"/>
        </w:rPr>
        <w:t xml:space="preserve">federal agencies to collect data on the health and environmental impact of their activities on communities of color and low-income populations, and </w:t>
      </w:r>
      <w:r w:rsidR="000D40D2">
        <w:rPr>
          <w:rStyle w:val="fontstyle01"/>
          <w:rFonts w:ascii="Times New Roman" w:hAnsi="Times New Roman" w:cs="Times New Roman"/>
          <w:sz w:val="24"/>
          <w:szCs w:val="24"/>
        </w:rPr>
        <w:t xml:space="preserve">to incorporate </w:t>
      </w:r>
      <w:r w:rsidR="003041C0" w:rsidRPr="003041C0">
        <w:rPr>
          <w:rStyle w:val="fontstyle01"/>
          <w:rFonts w:ascii="Times New Roman" w:hAnsi="Times New Roman" w:cs="Times New Roman"/>
          <w:sz w:val="24"/>
          <w:szCs w:val="24"/>
        </w:rPr>
        <w:t>principles of environmental justice into their mission.</w:t>
      </w:r>
      <w:r w:rsidR="000D40D2">
        <w:rPr>
          <w:rStyle w:val="FootnoteReference"/>
          <w:color w:val="000000"/>
        </w:rPr>
        <w:footnoteReference w:id="14"/>
      </w:r>
      <w:r w:rsidR="00456089" w:rsidRPr="00456089">
        <w:t xml:space="preserve"> </w:t>
      </w:r>
      <w:r w:rsidR="00456089">
        <w:t>Title VI of the Civil Rights Act</w:t>
      </w:r>
      <w:r w:rsidR="00456089">
        <w:rPr>
          <w:rStyle w:val="FootnoteReference"/>
        </w:rPr>
        <w:footnoteReference w:id="15"/>
      </w:r>
      <w:r w:rsidR="00456089">
        <w:t xml:space="preserve"> enforces standards that parallel those of the ICCPR and CERD’s guarantees of equal protection of law and equal benefit of “any program or activity receiving federal financial assistance</w:t>
      </w:r>
      <w:r w:rsidR="0005124B">
        <w:t>,</w:t>
      </w:r>
      <w:r w:rsidR="00456089">
        <w:t>”</w:t>
      </w:r>
      <w:r w:rsidR="0005124B">
        <w:t xml:space="preserve"> and applies these to environmental protection.</w:t>
      </w:r>
      <w:r w:rsidR="00456089">
        <w:rPr>
          <w:rStyle w:val="FootnoteReference"/>
        </w:rPr>
        <w:footnoteReference w:id="16"/>
      </w:r>
    </w:p>
    <w:p w14:paraId="1F1B2365" w14:textId="6A3D4C0C" w:rsidR="00604F65" w:rsidRDefault="00224495" w:rsidP="00224495">
      <w:pPr>
        <w:ind w:firstLine="720"/>
        <w:jc w:val="both"/>
      </w:pPr>
      <w:r>
        <w:t>Despite the</w:t>
      </w:r>
      <w:r w:rsidR="000D40D2">
        <w:t>se</w:t>
      </w:r>
      <w:r>
        <w:t xml:space="preserve"> </w:t>
      </w:r>
      <w:r w:rsidR="000D40D2">
        <w:t>human rights protections</w:t>
      </w:r>
      <w:r w:rsidR="00604F65">
        <w:t xml:space="preserve">, </w:t>
      </w:r>
      <w:r w:rsidR="000B2383">
        <w:t xml:space="preserve">vulnerable communities throughout the United States </w:t>
      </w:r>
      <w:r w:rsidR="000D40D2">
        <w:t xml:space="preserve">continue to </w:t>
      </w:r>
      <w:r w:rsidR="000B2383">
        <w:t>suffer disproportionate impacts to their security and health</w:t>
      </w:r>
      <w:r w:rsidR="00604F65">
        <w:t xml:space="preserve"> from environmental pollutants and lax environmental enforcement</w:t>
      </w:r>
      <w:r w:rsidR="000B2383">
        <w:t xml:space="preserve">, limited access to </w:t>
      </w:r>
      <w:r w:rsidR="00C170A5">
        <w:t>beneficial environmental resources</w:t>
      </w:r>
      <w:r w:rsidR="000B2383">
        <w:t xml:space="preserve"> and green space</w:t>
      </w:r>
      <w:r w:rsidR="00C170A5">
        <w:t xml:space="preserve">, </w:t>
      </w:r>
      <w:r w:rsidR="000B2383">
        <w:t xml:space="preserve">and effective participation in environmental decision-making, </w:t>
      </w:r>
      <w:r w:rsidR="00703FD7">
        <w:t xml:space="preserve">access to information, </w:t>
      </w:r>
      <w:r w:rsidR="000B2383">
        <w:t xml:space="preserve">and </w:t>
      </w:r>
      <w:r w:rsidR="000D40D2">
        <w:t xml:space="preserve">reasonable protection against </w:t>
      </w:r>
      <w:r w:rsidR="000B2383">
        <w:t xml:space="preserve">foreseeable </w:t>
      </w:r>
      <w:r w:rsidR="00703FD7">
        <w:t xml:space="preserve">environmental </w:t>
      </w:r>
      <w:r w:rsidR="000D40D2">
        <w:t xml:space="preserve">harms </w:t>
      </w:r>
      <w:r w:rsidR="000B2383">
        <w:t>or effective remedies for the same.</w:t>
      </w:r>
      <w:r w:rsidR="0005124B">
        <w:rPr>
          <w:rStyle w:val="FootnoteReference"/>
        </w:rPr>
        <w:footnoteReference w:id="17"/>
      </w:r>
      <w:r w:rsidR="00703FD7">
        <w:t xml:space="preserve"> </w:t>
      </w:r>
      <w:r w:rsidR="000B2383">
        <w:t xml:space="preserve"> </w:t>
      </w:r>
      <w:r w:rsidR="0005124B">
        <w:t>In particular, t</w:t>
      </w:r>
      <w:r w:rsidR="000D40D2">
        <w:t xml:space="preserve">he transfer and storage of </w:t>
      </w:r>
      <w:r w:rsidR="0005124B">
        <w:t>coal ash</w:t>
      </w:r>
      <w:r w:rsidR="0005124B">
        <w:rPr>
          <w:rStyle w:val="FootnoteReference"/>
        </w:rPr>
        <w:footnoteReference w:id="18"/>
      </w:r>
      <w:r w:rsidR="0005124B">
        <w:t xml:space="preserve"> and</w:t>
      </w:r>
      <w:r w:rsidR="000D40D2">
        <w:t xml:space="preserve"> </w:t>
      </w:r>
      <w:r w:rsidR="0005124B">
        <w:t>petroleum coke</w:t>
      </w:r>
      <w:r w:rsidR="0005124B">
        <w:rPr>
          <w:rStyle w:val="FootnoteReference"/>
        </w:rPr>
        <w:footnoteReference w:id="19"/>
      </w:r>
      <w:r w:rsidR="0005124B">
        <w:t xml:space="preserve"> </w:t>
      </w:r>
      <w:r w:rsidR="000D40D2">
        <w:t xml:space="preserve">aggravate disparate health impacts </w:t>
      </w:r>
      <w:r w:rsidR="009517B0">
        <w:t xml:space="preserve">from which </w:t>
      </w:r>
      <w:r w:rsidR="00C6042A">
        <w:t xml:space="preserve">these </w:t>
      </w:r>
      <w:r w:rsidR="000D40D2">
        <w:t>communities already suffer</w:t>
      </w:r>
      <w:r w:rsidR="00972670">
        <w:t>.</w:t>
      </w:r>
      <w:r w:rsidR="000D40D2">
        <w:rPr>
          <w:rStyle w:val="FootnoteReference"/>
        </w:rPr>
        <w:footnoteReference w:id="20"/>
      </w:r>
      <w:r w:rsidR="00972670">
        <w:t xml:space="preserve"> </w:t>
      </w:r>
    </w:p>
    <w:p w14:paraId="56751850" w14:textId="77777777" w:rsidR="009517B0" w:rsidRDefault="009517B0" w:rsidP="00B74B12">
      <w:pPr>
        <w:ind w:firstLine="720"/>
        <w:jc w:val="both"/>
      </w:pPr>
      <w:r>
        <w:lastRenderedPageBreak/>
        <w:t>New federal coal ash regulations issued in 2015 were criticized for exposing vulnerable communities to increased risk from the transportation of coal ash pollutants.</w:t>
      </w:r>
      <w:r>
        <w:rPr>
          <w:rStyle w:val="FootnoteReference"/>
        </w:rPr>
        <w:footnoteReference w:id="21"/>
      </w:r>
      <w:r>
        <w:t xml:space="preserve"> However they also advanced transparency around previously unpublished industry pollution monitoring data, and a first-ever nationwide analysis of that data by the Environmental Integrity Project found that 91% of 265 coal ash storage sites in 39 U.S. states were leaking unsafe levels of toxins into drinking water and groundwater at concentrations hundreds of times greater than minimum safe levels.</w:t>
      </w:r>
      <w:r>
        <w:rPr>
          <w:rStyle w:val="FootnoteReference"/>
        </w:rPr>
        <w:footnoteReference w:id="22"/>
      </w:r>
      <w:r>
        <w:t xml:space="preserve"> Illinois is the most-affected state with sixteen coal ash ponds, followed by </w:t>
      </w:r>
      <w:r w:rsidRPr="00973556">
        <w:t>Indiana, Kentucky, Michigan, Missouri</w:t>
      </w:r>
      <w:r>
        <w:t xml:space="preserve">, North Carolina, and </w:t>
      </w:r>
      <w:r w:rsidRPr="00973556">
        <w:t>Texas</w:t>
      </w:r>
      <w:r>
        <w:t xml:space="preserve"> with at least ten each.</w:t>
      </w:r>
      <w:r>
        <w:rPr>
          <w:rStyle w:val="FootnoteReference"/>
        </w:rPr>
        <w:footnoteReference w:id="23"/>
      </w:r>
      <w:r>
        <w:t xml:space="preserve"> Despite this problem existing for decades, Illinois passed the </w:t>
      </w:r>
      <w:r w:rsidRPr="00816204">
        <w:rPr>
          <w:i/>
          <w:iCs/>
        </w:rPr>
        <w:t>Coal Ash Pollution Prevention Act</w:t>
      </w:r>
      <w:r>
        <w:t xml:space="preserve"> within months of the report’s release.</w:t>
      </w:r>
      <w:r>
        <w:rPr>
          <w:rStyle w:val="FootnoteReference"/>
        </w:rPr>
        <w:footnoteReference w:id="24"/>
      </w:r>
      <w:r>
        <w:t xml:space="preserve"> North Carolina, by contrast, only passed the </w:t>
      </w:r>
      <w:r w:rsidRPr="002A6A16">
        <w:rPr>
          <w:i/>
          <w:iCs/>
        </w:rPr>
        <w:t>Coal Ash Management Act (CAMA)</w:t>
      </w:r>
      <w:r>
        <w:rPr>
          <w:i/>
          <w:iCs/>
        </w:rPr>
        <w:t xml:space="preserve"> </w:t>
      </w:r>
      <w:r>
        <w:t>following Duke Energy’s disastrous spill in February 2014 (prior to the rule change) of 39,000 tons of coal ash and 29 million gallons of wastewater into the Dan River in Eden, North Carolina. The disaster decimated the river’s riparian ecosystem in two states and the local population’s access to clean drinking water, and the fallout for the cost of the disaster is still being litigated.</w:t>
      </w:r>
      <w:r>
        <w:rPr>
          <w:rStyle w:val="FootnoteReference"/>
        </w:rPr>
        <w:footnoteReference w:id="25"/>
      </w:r>
    </w:p>
    <w:p w14:paraId="56276811" w14:textId="6553A0CD" w:rsidR="00C170A5" w:rsidRDefault="009517B0" w:rsidP="006122EA">
      <w:pPr>
        <w:ind w:firstLine="720"/>
        <w:jc w:val="both"/>
      </w:pPr>
      <w:r>
        <w:t xml:space="preserve">Another </w:t>
      </w:r>
      <w:r w:rsidR="00301D0F">
        <w:t xml:space="preserve">particularly egregious </w:t>
      </w:r>
      <w:r w:rsidR="00E70A4F">
        <w:t xml:space="preserve">recent example </w:t>
      </w:r>
      <w:r w:rsidR="00B74B12">
        <w:t xml:space="preserve">of inadequate </w:t>
      </w:r>
      <w:r>
        <w:t xml:space="preserve">public participation or protection against airborne coal ash was </w:t>
      </w:r>
      <w:r w:rsidR="002B47DB">
        <w:t xml:space="preserve">the </w:t>
      </w:r>
      <w:r w:rsidR="00B74B12">
        <w:t xml:space="preserve">recent </w:t>
      </w:r>
      <w:r w:rsidR="002B47DB">
        <w:t xml:space="preserve">demolition of the smokestack </w:t>
      </w:r>
      <w:r w:rsidR="00B74B12">
        <w:t xml:space="preserve">of </w:t>
      </w:r>
      <w:r w:rsidR="002B47DB">
        <w:t xml:space="preserve">the </w:t>
      </w:r>
      <w:r w:rsidR="00382A96">
        <w:t xml:space="preserve">former </w:t>
      </w:r>
      <w:r w:rsidR="002B47DB">
        <w:t xml:space="preserve">Crawford Coal-Fired Power Generation Plant in the </w:t>
      </w:r>
      <w:r w:rsidR="00E70A4F">
        <w:t xml:space="preserve">mostly Spanish-speaking </w:t>
      </w:r>
      <w:r w:rsidR="002B47DB">
        <w:t>immigrant community of Little Village in Chicago</w:t>
      </w:r>
      <w:r>
        <w:t xml:space="preserve"> which, like the Duke Energy plant, had been decommissioned in 2012</w:t>
      </w:r>
      <w:r w:rsidR="00E70A4F">
        <w:t>.</w:t>
      </w:r>
      <w:r w:rsidR="002B47DB">
        <w:t xml:space="preserve"> </w:t>
      </w:r>
      <w:r>
        <w:t>Y</w:t>
      </w:r>
      <w:r w:rsidR="00E70A4F">
        <w:t xml:space="preserve">ears of prior community advocacy lead to the plant’s closure, </w:t>
      </w:r>
      <w:r>
        <w:t xml:space="preserve">and </w:t>
      </w:r>
      <w:r w:rsidR="00E70A4F">
        <w:t>the state designat</w:t>
      </w:r>
      <w:r>
        <w:t>ed</w:t>
      </w:r>
      <w:r w:rsidR="00E70A4F">
        <w:t xml:space="preserve"> the site </w:t>
      </w:r>
      <w:r>
        <w:t xml:space="preserve">one </w:t>
      </w:r>
      <w:r w:rsidR="00E70A4F">
        <w:t>of “Environmental Justice concern</w:t>
      </w:r>
      <w:r w:rsidR="00301D0F">
        <w:t>,</w:t>
      </w:r>
      <w:r w:rsidR="00E70A4F">
        <w:t>”</w:t>
      </w:r>
      <w:r w:rsidR="00E70A4F">
        <w:rPr>
          <w:rStyle w:val="FootnoteReference"/>
        </w:rPr>
        <w:footnoteReference w:id="26"/>
      </w:r>
      <w:r w:rsidR="00E70A4F">
        <w:t xml:space="preserve"> </w:t>
      </w:r>
      <w:r>
        <w:t xml:space="preserve">however the </w:t>
      </w:r>
      <w:r w:rsidR="00301D0F">
        <w:t>community</w:t>
      </w:r>
      <w:r>
        <w:t>’s subsequent attempts</w:t>
      </w:r>
      <w:r w:rsidR="00301D0F">
        <w:t xml:space="preserve"> </w:t>
      </w:r>
      <w:r>
        <w:t xml:space="preserve">to voice concerns about air quality </w:t>
      </w:r>
      <w:r w:rsidR="001B1A23">
        <w:t>from</w:t>
      </w:r>
      <w:r>
        <w:t xml:space="preserve"> the heavy truck traffic </w:t>
      </w:r>
      <w:r w:rsidR="001B1A23">
        <w:t xml:space="preserve">anticipated in the </w:t>
      </w:r>
      <w:r>
        <w:t>site redevelopment plans for a regional transportation hub,</w:t>
      </w:r>
      <w:r>
        <w:rPr>
          <w:rStyle w:val="FootnoteReference"/>
        </w:rPr>
        <w:footnoteReference w:id="27"/>
      </w:r>
      <w:r>
        <w:t xml:space="preserve"> </w:t>
      </w:r>
      <w:r w:rsidR="001B1A23">
        <w:t xml:space="preserve">as well as concerns about air quality monitoring in the </w:t>
      </w:r>
      <w:r w:rsidR="001B1A23">
        <w:lastRenderedPageBreak/>
        <w:t>decommissioning process,</w:t>
      </w:r>
      <w:r>
        <w:t xml:space="preserve"> </w:t>
      </w:r>
      <w:r w:rsidR="001B1A23">
        <w:t xml:space="preserve">were </w:t>
      </w:r>
      <w:r w:rsidR="00382A96">
        <w:t>not taken seriously</w:t>
      </w:r>
      <w:r>
        <w:t>.</w:t>
      </w:r>
      <w:r w:rsidR="00301D0F">
        <w:rPr>
          <w:rStyle w:val="FootnoteReference"/>
        </w:rPr>
        <w:footnoteReference w:id="28"/>
      </w:r>
      <w:r w:rsidR="00301D0F">
        <w:t xml:space="preserve"> </w:t>
      </w:r>
      <w:r>
        <w:t xml:space="preserve"> </w:t>
      </w:r>
      <w:r w:rsidR="001B1A23">
        <w:t>T</w:t>
      </w:r>
      <w:r w:rsidR="009B7906">
        <w:t xml:space="preserve">he plant’s new owner, </w:t>
      </w:r>
      <w:r w:rsidR="00301D0F">
        <w:t>Hil</w:t>
      </w:r>
      <w:r w:rsidR="009B7906">
        <w:t>c</w:t>
      </w:r>
      <w:r w:rsidR="00301D0F">
        <w:t>o</w:t>
      </w:r>
      <w:r w:rsidR="009B7906">
        <w:t xml:space="preserve"> </w:t>
      </w:r>
      <w:r w:rsidR="001F79FC">
        <w:t>Redevelopment Partners</w:t>
      </w:r>
      <w:r w:rsidR="00301D0F">
        <w:t xml:space="preserve">, </w:t>
      </w:r>
      <w:r w:rsidR="001B1A23">
        <w:t xml:space="preserve">then proceeded to </w:t>
      </w:r>
      <w:r w:rsidR="00E70A4F">
        <w:t xml:space="preserve">demolish </w:t>
      </w:r>
      <w:r w:rsidR="00301D0F">
        <w:t xml:space="preserve">its smokestack with </w:t>
      </w:r>
      <w:r w:rsidR="001B1A23">
        <w:t xml:space="preserve">high explosives, giving residents </w:t>
      </w:r>
      <w:r w:rsidR="00301D0F">
        <w:t xml:space="preserve">less than 24 hours’ notice over the Easter holiday weekend, </w:t>
      </w:r>
      <w:r w:rsidR="001B1A23">
        <w:t xml:space="preserve">and releasing </w:t>
      </w:r>
      <w:r w:rsidR="002B47DB">
        <w:t>a</w:t>
      </w:r>
      <w:r w:rsidR="001B1A23">
        <w:t>n uncontrolled</w:t>
      </w:r>
      <w:r w:rsidR="002B47DB">
        <w:t xml:space="preserve"> toxic cloud of coal dust </w:t>
      </w:r>
      <w:r w:rsidR="001B1A23">
        <w:t xml:space="preserve">over </w:t>
      </w:r>
      <w:r w:rsidR="00301D0F">
        <w:t xml:space="preserve">a </w:t>
      </w:r>
      <w:r w:rsidR="002B47DB">
        <w:t>neighborhood</w:t>
      </w:r>
      <w:r w:rsidR="003A59AC">
        <w:t xml:space="preserve"> </w:t>
      </w:r>
      <w:r w:rsidR="001B1A23">
        <w:t xml:space="preserve">already </w:t>
      </w:r>
      <w:r w:rsidR="003A59AC">
        <w:t xml:space="preserve">disproportionately impacted by </w:t>
      </w:r>
      <w:r w:rsidR="00FE0DF4">
        <w:t>poor air quality</w:t>
      </w:r>
      <w:r w:rsidR="001B1A23">
        <w:t xml:space="preserve">, </w:t>
      </w:r>
      <w:r w:rsidR="003A59AC">
        <w:t xml:space="preserve">the COVID </w:t>
      </w:r>
      <w:r w:rsidR="00301D0F">
        <w:t>pandemic</w:t>
      </w:r>
      <w:r w:rsidR="001B1A23">
        <w:t>, and limited access to health care</w:t>
      </w:r>
      <w:r w:rsidR="00301D0F">
        <w:t>.</w:t>
      </w:r>
      <w:r w:rsidR="002B47DB">
        <w:rPr>
          <w:rStyle w:val="FootnoteReference"/>
        </w:rPr>
        <w:footnoteReference w:id="29"/>
      </w:r>
      <w:r w:rsidR="00301D0F">
        <w:t xml:space="preserve"> </w:t>
      </w:r>
      <w:r w:rsidR="00604F65">
        <w:t xml:space="preserve"> </w:t>
      </w:r>
      <w:r w:rsidR="00BD2BE6">
        <w:t xml:space="preserve">Similarly, the notorious Flint Water Crisis was enabled in part by an “Emergency Manager” law </w:t>
      </w:r>
      <w:r w:rsidR="001B1A23">
        <w:t xml:space="preserve">that allowed the governor to replace </w:t>
      </w:r>
      <w:r w:rsidR="00BD2BE6">
        <w:t xml:space="preserve">local governments in financial distress </w:t>
      </w:r>
      <w:r w:rsidR="001B1A23">
        <w:t xml:space="preserve">with </w:t>
      </w:r>
      <w:r w:rsidR="00BD2BE6">
        <w:t xml:space="preserve">an “emergency manager” </w:t>
      </w:r>
      <w:r w:rsidR="001B1A23">
        <w:t xml:space="preserve">who ruled </w:t>
      </w:r>
      <w:r w:rsidR="00BD2BE6">
        <w:t>by decree.</w:t>
      </w:r>
      <w:r w:rsidR="00BD2BE6">
        <w:rPr>
          <w:rStyle w:val="FootnoteReference"/>
        </w:rPr>
        <w:footnoteReference w:id="30"/>
      </w:r>
      <w:r w:rsidR="00BD2BE6">
        <w:t xml:space="preserve">  These are one of many </w:t>
      </w:r>
      <w:r w:rsidR="00D927CC">
        <w:t xml:space="preserve">examples of </w:t>
      </w:r>
      <w:r w:rsidR="00BD2BE6">
        <w:t>how limit</w:t>
      </w:r>
      <w:r w:rsidR="001B1A23">
        <w:t>ing</w:t>
      </w:r>
      <w:r w:rsidR="00BD2BE6">
        <w:t xml:space="preserve"> </w:t>
      </w:r>
      <w:r w:rsidR="001B1A23">
        <w:t xml:space="preserve">the rights of </w:t>
      </w:r>
      <w:r w:rsidR="00BD2BE6">
        <w:t xml:space="preserve">vulnerable communities </w:t>
      </w:r>
      <w:r w:rsidR="001B1A23">
        <w:t xml:space="preserve">to participate in public life and decision-making that affects them </w:t>
      </w:r>
      <w:r w:rsidR="00BD2BE6">
        <w:t xml:space="preserve">exacerbates </w:t>
      </w:r>
      <w:r w:rsidR="001B1A23">
        <w:t xml:space="preserve">the heavy </w:t>
      </w:r>
      <w:r w:rsidR="00BD2BE6">
        <w:t xml:space="preserve">environmental </w:t>
      </w:r>
      <w:r w:rsidR="00FE0DF4">
        <w:t>burden</w:t>
      </w:r>
      <w:r w:rsidR="00BD2BE6">
        <w:t>s</w:t>
      </w:r>
      <w:r w:rsidR="00FE0DF4">
        <w:t xml:space="preserve"> </w:t>
      </w:r>
      <w:r w:rsidR="001B1A23">
        <w:t>they already bear throughout the United States</w:t>
      </w:r>
      <w:r w:rsidR="00FE0DF4">
        <w:t>.</w:t>
      </w:r>
      <w:r w:rsidR="001B1A23">
        <w:t xml:space="preserve">  </w:t>
      </w:r>
      <w:r w:rsidR="006122EA">
        <w:t xml:space="preserve">These </w:t>
      </w:r>
      <w:r w:rsidR="002D07F6">
        <w:t xml:space="preserve">incidents highlight </w:t>
      </w:r>
      <w:r w:rsidR="00C436FE">
        <w:t>how environmental disasters in vulnerable communities are inextricably linked to their political rights to inclusive public participation and transparent access to environmental data, in order to spur proactive pollution control legislation at the state, local, and federal levels, as well as more aggressive environmental enforcement to prevent</w:t>
      </w:r>
      <w:r w:rsidR="00F81BC5">
        <w:t xml:space="preserve"> </w:t>
      </w:r>
      <w:r w:rsidR="00421A9E">
        <w:t xml:space="preserve">predictable and avoidable </w:t>
      </w:r>
      <w:r w:rsidR="00C436FE">
        <w:t xml:space="preserve">environmental </w:t>
      </w:r>
      <w:r w:rsidR="00382A96">
        <w:t xml:space="preserve">disasters </w:t>
      </w:r>
      <w:r w:rsidR="00C436FE">
        <w:t xml:space="preserve">from </w:t>
      </w:r>
      <w:r w:rsidR="00421A9E">
        <w:t>materializing</w:t>
      </w:r>
      <w:r w:rsidR="00CA231D">
        <w:t>.</w:t>
      </w:r>
    </w:p>
    <w:p w14:paraId="22D09D6D" w14:textId="0DECEA00" w:rsidR="00EE3EC9" w:rsidRDefault="00EE3EC9" w:rsidP="00D12F32">
      <w:pPr>
        <w:jc w:val="both"/>
      </w:pPr>
    </w:p>
    <w:p w14:paraId="5E82A72A" w14:textId="3FCE77AF" w:rsidR="00877D4C" w:rsidRPr="00F448FB" w:rsidRDefault="00877D4C" w:rsidP="00877D4C">
      <w:pPr>
        <w:jc w:val="both"/>
        <w:rPr>
          <w:b/>
          <w:bCs/>
        </w:rPr>
      </w:pPr>
      <w:r w:rsidRPr="00F448FB">
        <w:rPr>
          <w:b/>
          <w:bCs/>
        </w:rPr>
        <w:t xml:space="preserve">Native American </w:t>
      </w:r>
      <w:r w:rsidR="00E51A59">
        <w:rPr>
          <w:b/>
          <w:bCs/>
        </w:rPr>
        <w:t>T</w:t>
      </w:r>
      <w:r w:rsidRPr="00F448FB">
        <w:rPr>
          <w:b/>
          <w:bCs/>
        </w:rPr>
        <w:t xml:space="preserve">reaty </w:t>
      </w:r>
      <w:r w:rsidR="00E51A59">
        <w:rPr>
          <w:b/>
          <w:bCs/>
        </w:rPr>
        <w:t>R</w:t>
      </w:r>
      <w:r w:rsidRPr="00F448FB">
        <w:rPr>
          <w:b/>
          <w:bCs/>
        </w:rPr>
        <w:t>ights</w:t>
      </w:r>
      <w:r w:rsidR="00E51A59">
        <w:rPr>
          <w:b/>
          <w:bCs/>
        </w:rPr>
        <w:t>, Wild Rice,</w:t>
      </w:r>
      <w:r w:rsidRPr="00F448FB">
        <w:rPr>
          <w:b/>
          <w:bCs/>
        </w:rPr>
        <w:t xml:space="preserve"> </w:t>
      </w:r>
      <w:r w:rsidR="008C7141">
        <w:rPr>
          <w:b/>
          <w:bCs/>
        </w:rPr>
        <w:t xml:space="preserve">and </w:t>
      </w:r>
      <w:r w:rsidR="00E51A59">
        <w:rPr>
          <w:b/>
          <w:bCs/>
        </w:rPr>
        <w:t xml:space="preserve">the Equal Right to </w:t>
      </w:r>
      <w:r w:rsidR="008C7141">
        <w:rPr>
          <w:b/>
          <w:bCs/>
        </w:rPr>
        <w:t xml:space="preserve">Water </w:t>
      </w:r>
      <w:r w:rsidRPr="00F448FB">
        <w:rPr>
          <w:b/>
          <w:bCs/>
        </w:rPr>
        <w:t xml:space="preserve">Regulation </w:t>
      </w:r>
    </w:p>
    <w:p w14:paraId="5553EE84" w14:textId="77777777" w:rsidR="00877D4C" w:rsidRDefault="00877D4C" w:rsidP="00877D4C">
      <w:pPr>
        <w:jc w:val="both"/>
        <w:rPr>
          <w:b/>
          <w:bCs/>
        </w:rPr>
      </w:pPr>
    </w:p>
    <w:p w14:paraId="7C89AABB" w14:textId="20C2FDC1" w:rsidR="002A71EB" w:rsidRDefault="0029155A" w:rsidP="00877D4C">
      <w:pPr>
        <w:ind w:firstLine="720"/>
        <w:jc w:val="both"/>
      </w:pPr>
      <w:r>
        <w:t xml:space="preserve">In their 2012 modification to the Boundary Waters Treaty, the U.S. and Canada established the </w:t>
      </w:r>
      <w:r w:rsidRPr="0029155A">
        <w:rPr>
          <w:i/>
          <w:iCs/>
        </w:rPr>
        <w:t>Great Lakes Water Quality Agreement</w:t>
      </w:r>
      <w:r>
        <w:t xml:space="preserve"> to more effectively manage the North American Great Lakes which contain 20% of the world’s fresh water, in invaluable environmental resource.</w:t>
      </w:r>
      <w:r>
        <w:rPr>
          <w:rStyle w:val="FootnoteReference"/>
        </w:rPr>
        <w:footnoteReference w:id="31"/>
      </w:r>
      <w:r>
        <w:t xml:space="preserve">  The 2012 Agreement, like its predecessors, is novel both for the consistent bipartisan support it enjoys in the United States (rare for an environmental resource management treaty) but also in its inclusion of sub-national and Tribal governments</w:t>
      </w:r>
      <w:r w:rsidR="004A4193">
        <w:t>, as well as local public agencies</w:t>
      </w:r>
      <w:r>
        <w:t xml:space="preserve"> </w:t>
      </w:r>
      <w:r w:rsidR="00AB12B2">
        <w:t xml:space="preserve">and </w:t>
      </w:r>
      <w:r>
        <w:t>governance structures</w:t>
      </w:r>
      <w:r w:rsidR="004A4193">
        <w:t>,</w:t>
      </w:r>
      <w:r>
        <w:rPr>
          <w:rStyle w:val="FootnoteReference"/>
        </w:rPr>
        <w:footnoteReference w:id="32"/>
      </w:r>
      <w:r w:rsidR="004A4193">
        <w:t xml:space="preserve"> </w:t>
      </w:r>
      <w:r w:rsidR="004A4193">
        <w:lastRenderedPageBreak/>
        <w:t xml:space="preserve">thereby enabling and promoting the parties’ observance of Art. 5(c) of the CERD for with respect to the </w:t>
      </w:r>
      <w:r w:rsidR="00DC3302">
        <w:t>environmental</w:t>
      </w:r>
      <w:r w:rsidR="004A4193">
        <w:t xml:space="preserve"> stewardship of the indigenous peoples of North America.</w:t>
      </w:r>
      <w:r w:rsidR="004A4193">
        <w:rPr>
          <w:rStyle w:val="FootnoteReference"/>
        </w:rPr>
        <w:footnoteReference w:id="33"/>
      </w:r>
      <w:r w:rsidR="004A4193">
        <w:t xml:space="preserve">  </w:t>
      </w:r>
      <w:r w:rsidR="002A71EB">
        <w:t>Its provisions concerning public engagement also actively solicit feedback from local communities in both nations throughout the Great Lakes region, and a Great Lakes Public Forum in preparation for its tri-annual Progress Report of the Parties, reporting on progress made under the Agreement.</w:t>
      </w:r>
      <w:r w:rsidR="002A71EB">
        <w:rPr>
          <w:rStyle w:val="FootnoteReference"/>
        </w:rPr>
        <w:footnoteReference w:id="34"/>
      </w:r>
      <w:r w:rsidR="002A71EB">
        <w:t xml:space="preserve"> The Agreement also adopts an “ecosystem approach” to water quality management, “</w:t>
      </w:r>
      <w:r w:rsidR="002A71EB" w:rsidRPr="002A71EB">
        <w:t>taking management actions that integrate the interacting components of air, land, water, and living organisms, including humans</w:t>
      </w:r>
      <w:r w:rsidR="002A71EB">
        <w:t>”</w:t>
      </w:r>
      <w:r w:rsidR="002A71EB">
        <w:rPr>
          <w:rStyle w:val="FootnoteReference"/>
        </w:rPr>
        <w:footnoteReference w:id="35"/>
      </w:r>
      <w:r w:rsidR="00C747C3">
        <w:t xml:space="preserve"> and proactive establishment of </w:t>
      </w:r>
      <w:proofErr w:type="spellStart"/>
      <w:r w:rsidR="00C747C3">
        <w:t>Lakewide</w:t>
      </w:r>
      <w:proofErr w:type="spellEnd"/>
      <w:r w:rsidR="00C747C3">
        <w:t xml:space="preserve"> Action Management Plans, and a Progress Report outlining progress in achieving the Agreement’s objectives for the restauration and preservation of healthy ecosystems and their protection against threats of pollution, invasive species, and climate change.</w:t>
      </w:r>
      <w:r w:rsidR="00C747C3">
        <w:rPr>
          <w:rStyle w:val="FootnoteReference"/>
        </w:rPr>
        <w:footnoteReference w:id="36"/>
      </w:r>
      <w:r w:rsidR="00C747C3">
        <w:t xml:space="preserve"> </w:t>
      </w:r>
    </w:p>
    <w:p w14:paraId="5E6D0598" w14:textId="218996AF" w:rsidR="00AD608A" w:rsidRDefault="00DC3302" w:rsidP="00877D4C">
      <w:pPr>
        <w:ind w:firstLine="720"/>
        <w:jc w:val="both"/>
      </w:pPr>
      <w:r>
        <w:t>In addition to direct participation of Tribal governments, it also includes regional inter-tribal organizations established to jointly manage natural resources</w:t>
      </w:r>
      <w:r w:rsidR="00E11C2A">
        <w:t xml:space="preserve">, such as the </w:t>
      </w:r>
      <w:r w:rsidR="00E11C2A" w:rsidRPr="00E11C2A">
        <w:t>Chippewa Ottawa Resource Authority (CORA)</w:t>
      </w:r>
      <w:r w:rsidR="00E11C2A">
        <w:rPr>
          <w:rStyle w:val="FootnoteReference"/>
        </w:rPr>
        <w:footnoteReference w:id="37"/>
      </w:r>
      <w:r w:rsidR="00E11C2A" w:rsidRPr="00E11C2A">
        <w:t xml:space="preserve"> </w:t>
      </w:r>
      <w:r w:rsidR="00E11C2A">
        <w:t xml:space="preserve">and </w:t>
      </w:r>
      <w:r>
        <w:t>t</w:t>
      </w:r>
      <w:r w:rsidRPr="00F25B1E">
        <w:t>he Great Lakes Indian Fish &amp; Wildlife Commission</w:t>
      </w:r>
      <w:r w:rsidR="00E11C2A">
        <w:t xml:space="preserve"> (</w:t>
      </w:r>
      <w:r>
        <w:t>“</w:t>
      </w:r>
      <w:r w:rsidRPr="00F25B1E">
        <w:t>GLIFWC</w:t>
      </w:r>
      <w:r>
        <w:t>”</w:t>
      </w:r>
      <w:r w:rsidR="00E11C2A">
        <w:t>).</w:t>
      </w:r>
      <w:r w:rsidR="00E11C2A">
        <w:rPr>
          <w:rStyle w:val="FootnoteReference"/>
        </w:rPr>
        <w:footnoteReference w:id="38"/>
      </w:r>
      <w:r w:rsidRPr="00F25B1E">
        <w:t xml:space="preserve"> </w:t>
      </w:r>
      <w:r w:rsidR="00E11C2A">
        <w:t xml:space="preserve">Formed in 1984, the latter </w:t>
      </w:r>
      <w:r w:rsidRPr="00F25B1E">
        <w:t>represents eleven Ojibwe</w:t>
      </w:r>
      <w:r>
        <w:t xml:space="preserve"> tribes</w:t>
      </w:r>
      <w:r>
        <w:rPr>
          <w:rStyle w:val="FootnoteReference"/>
        </w:rPr>
        <w:footnoteReference w:id="39"/>
      </w:r>
      <w:r w:rsidRPr="00F25B1E">
        <w:t xml:space="preserve"> in Minnesota, Wisconsin, and Michigan who </w:t>
      </w:r>
      <w:r>
        <w:t xml:space="preserve">enjoy usufructuary rights reserved by them </w:t>
      </w:r>
      <w:r w:rsidRPr="00F25B1E">
        <w:t>in the</w:t>
      </w:r>
      <w:r w:rsidR="000E3349">
        <w:t xml:space="preserve"> Treaties </w:t>
      </w:r>
      <w:r w:rsidR="000E3349" w:rsidRPr="00F25B1E">
        <w:t xml:space="preserve">with the United States </w:t>
      </w:r>
      <w:r w:rsidR="000E3349">
        <w:t>of</w:t>
      </w:r>
      <w:r w:rsidRPr="00F25B1E">
        <w:t xml:space="preserve"> </w:t>
      </w:r>
      <w:r w:rsidR="008C7141">
        <w:t xml:space="preserve">1836, </w:t>
      </w:r>
      <w:r w:rsidRPr="00F25B1E">
        <w:t xml:space="preserve">1837, 1842, and 1854 </w:t>
      </w:r>
      <w:r>
        <w:t>to hunt, fish, and gather in those territories ceded by them to the United States via those treaties</w:t>
      </w:r>
      <w:r w:rsidR="000E3349">
        <w:t>.</w:t>
      </w:r>
      <w:r w:rsidR="00E11C2A">
        <w:t xml:space="preserve"> </w:t>
      </w:r>
      <w:r w:rsidR="000E3349">
        <w:t xml:space="preserve">GLIFWC </w:t>
      </w:r>
      <w:r w:rsidR="008C7141">
        <w:t>monitor</w:t>
      </w:r>
      <w:r w:rsidR="000E3349">
        <w:t>s</w:t>
      </w:r>
      <w:r w:rsidR="008C7141">
        <w:t xml:space="preserve"> and regulate</w:t>
      </w:r>
      <w:r w:rsidR="000E3349">
        <w:t>s</w:t>
      </w:r>
      <w:r w:rsidR="008C7141">
        <w:t xml:space="preserve"> the fisheries and other natural resources to which they’re entitled by virtue of the rights recognized in those treaties</w:t>
      </w:r>
      <w:r w:rsidR="008C7141">
        <w:rPr>
          <w:rStyle w:val="FootnoteReference"/>
        </w:rPr>
        <w:footnoteReference w:id="40"/>
      </w:r>
      <w:r w:rsidR="008C7141">
        <w:t xml:space="preserve"> </w:t>
      </w:r>
      <w:r w:rsidR="00E11C2A">
        <w:t xml:space="preserve">rights </w:t>
      </w:r>
      <w:r w:rsidR="00E11C2A">
        <w:lastRenderedPageBreak/>
        <w:t xml:space="preserve">which they have </w:t>
      </w:r>
      <w:r w:rsidR="000E3349">
        <w:t xml:space="preserve">had to </w:t>
      </w:r>
      <w:r w:rsidR="00E11C2A">
        <w:t>defend</w:t>
      </w:r>
      <w:r w:rsidR="000E3349">
        <w:t xml:space="preserve"> successfully</w:t>
      </w:r>
      <w:r w:rsidR="00E11C2A">
        <w:t xml:space="preserve"> in federal court against attempts by the State of Wisconsin</w:t>
      </w:r>
      <w:r>
        <w:t xml:space="preserve"> </w:t>
      </w:r>
      <w:r w:rsidR="00E11C2A">
        <w:t xml:space="preserve">to limit </w:t>
      </w:r>
      <w:r w:rsidR="000E3349">
        <w:t xml:space="preserve">or disregard </w:t>
      </w:r>
      <w:r w:rsidR="00E11C2A">
        <w:t>them.</w:t>
      </w:r>
      <w:r w:rsidR="00E11C2A">
        <w:rPr>
          <w:rStyle w:val="FootnoteReference"/>
        </w:rPr>
        <w:footnoteReference w:id="41"/>
      </w:r>
      <w:r>
        <w:t xml:space="preserve"> </w:t>
      </w:r>
    </w:p>
    <w:p w14:paraId="2544D245" w14:textId="01530B9E" w:rsidR="003A2DA2" w:rsidRDefault="000E3349" w:rsidP="00877D4C">
      <w:pPr>
        <w:ind w:firstLine="720"/>
        <w:jc w:val="both"/>
      </w:pPr>
      <w:r>
        <w:t>GLIFWC’s constituent members also include representative Committees composed of member tribes convened to regulate and manage their usufructuary treaty rights and ensure the sustainable conservation of these natural resources.</w:t>
      </w:r>
      <w:r>
        <w:rPr>
          <w:rStyle w:val="FootnoteReference"/>
        </w:rPr>
        <w:footnoteReference w:id="42"/>
      </w:r>
      <w:r>
        <w:t xml:space="preserve">  </w:t>
      </w:r>
      <w:r w:rsidR="00DA6C58">
        <w:t xml:space="preserve">Among the most important of </w:t>
      </w:r>
      <w:r w:rsidR="00AD608A">
        <w:t xml:space="preserve">these natural resources is the habitat of </w:t>
      </w:r>
      <w:r w:rsidR="00DA6C58">
        <w:t>wild rice in the tribes lands ceded to the United States in Wisconsin and Minnesota</w:t>
      </w:r>
      <w:r w:rsidR="003A2DA2">
        <w:t>, the cultivation of which is an important staple and central to cultural teachings and practice</w:t>
      </w:r>
      <w:r w:rsidR="00AD608A">
        <w:t>,</w:t>
      </w:r>
      <w:r w:rsidR="003A2DA2">
        <w:rPr>
          <w:rStyle w:val="FootnoteReference"/>
        </w:rPr>
        <w:footnoteReference w:id="43"/>
      </w:r>
      <w:r w:rsidR="00AD608A">
        <w:t xml:space="preserve"> but which has been consistently declining</w:t>
      </w:r>
      <w:r w:rsidR="00DA6C58">
        <w:t xml:space="preserve"> </w:t>
      </w:r>
      <w:r w:rsidR="00AD608A">
        <w:t>due to poor water quality</w:t>
      </w:r>
      <w:r w:rsidR="008C7141">
        <w:t>, climate change, invasive species, and competing agricultural use through water flow management, with successful harvests in the Rainy River Basin occurring only twice in the past 13 years, as of 2018.</w:t>
      </w:r>
      <w:r w:rsidR="008C7141">
        <w:rPr>
          <w:rStyle w:val="FootnoteReference"/>
        </w:rPr>
        <w:footnoteReference w:id="44"/>
      </w:r>
      <w:r w:rsidR="003A2DA2">
        <w:t xml:space="preserve"> </w:t>
      </w:r>
      <w:r w:rsidR="008C7141">
        <w:t xml:space="preserve"> That same year, </w:t>
      </w:r>
      <w:r w:rsidR="003A2DA2" w:rsidRPr="00DA6C58">
        <w:t xml:space="preserve">the White Earth band of the Chippewa Nation adopted the “Rights of the </w:t>
      </w:r>
      <w:proofErr w:type="spellStart"/>
      <w:r w:rsidR="003A2DA2" w:rsidRPr="00DA6C58">
        <w:t>Manoomin</w:t>
      </w:r>
      <w:proofErr w:type="spellEnd"/>
      <w:r w:rsidR="003A2DA2" w:rsidRPr="00DA6C58">
        <w:t xml:space="preserve">” law securing legal rights of </w:t>
      </w:r>
      <w:proofErr w:type="spellStart"/>
      <w:r w:rsidR="003A2DA2" w:rsidRPr="00DA6C58">
        <w:t>manoomin</w:t>
      </w:r>
      <w:proofErr w:type="spellEnd"/>
      <w:r w:rsidR="003A2DA2" w:rsidRPr="00DA6C58">
        <w:t>, or wild rice, a traditional staple crop of the Anishinaabe people</w:t>
      </w:r>
      <w:r w:rsidR="003A2DA2">
        <w:t>,</w:t>
      </w:r>
      <w:r w:rsidR="003A2DA2" w:rsidRPr="00DA6C58">
        <w:t xml:space="preserve"> </w:t>
      </w:r>
      <w:r w:rsidR="003A2DA2">
        <w:t xml:space="preserve">and </w:t>
      </w:r>
      <w:r w:rsidR="003A2DA2" w:rsidRPr="00DA6C58">
        <w:t>the first law to secure legal rights of a particular plant species.</w:t>
      </w:r>
      <w:r w:rsidR="003A2DA2">
        <w:rPr>
          <w:rStyle w:val="FootnoteReference"/>
        </w:rPr>
        <w:footnoteReference w:id="45"/>
      </w:r>
      <w:r w:rsidR="0050687C">
        <w:t xml:space="preserve">  The Rights of </w:t>
      </w:r>
      <w:proofErr w:type="spellStart"/>
      <w:r w:rsidR="0050687C">
        <w:t>Manoomin</w:t>
      </w:r>
      <w:proofErr w:type="spellEnd"/>
      <w:r w:rsidR="0050687C">
        <w:t xml:space="preserve"> was also adopted by the 1855 Treaty Authority</w:t>
      </w:r>
      <w:r w:rsidR="008C7141" w:rsidRPr="008C7141">
        <w:t xml:space="preserve"> </w:t>
      </w:r>
      <w:r w:rsidR="008C7141">
        <w:t>which gave explicit recognition to the importance of wild rice in its own legislation governing Native natural resource use,</w:t>
      </w:r>
      <w:r w:rsidR="0050687C">
        <w:rPr>
          <w:rStyle w:val="FootnoteReference"/>
        </w:rPr>
        <w:footnoteReference w:id="46"/>
      </w:r>
      <w:r w:rsidR="0050687C">
        <w:t xml:space="preserve"> demonstrat</w:t>
      </w:r>
      <w:r w:rsidR="008C7141">
        <w:t>ing</w:t>
      </w:r>
      <w:r w:rsidR="0050687C">
        <w:t xml:space="preserve"> the inalienability of the human right of Native American cultural and religio</w:t>
      </w:r>
      <w:r w:rsidR="0023099C">
        <w:t>u</w:t>
      </w:r>
      <w:r w:rsidR="0050687C">
        <w:t xml:space="preserve">s practices, per </w:t>
      </w:r>
      <w:r w:rsidR="000350F3">
        <w:t xml:space="preserve">the </w:t>
      </w:r>
      <w:r w:rsidR="0050687C">
        <w:t xml:space="preserve">ICCPR Art. 27 and </w:t>
      </w:r>
      <w:r w:rsidR="000350F3">
        <w:t xml:space="preserve">the </w:t>
      </w:r>
      <w:r w:rsidR="0050687C">
        <w:t>CERD Art.</w:t>
      </w:r>
      <w:r w:rsidR="000350F3">
        <w:t>5(e)(vi)</w:t>
      </w:r>
      <w:r w:rsidR="0050687C">
        <w:t xml:space="preserve">, with </w:t>
      </w:r>
      <w:r w:rsidR="000350F3">
        <w:t xml:space="preserve">necessary </w:t>
      </w:r>
      <w:r w:rsidR="0050687C">
        <w:t xml:space="preserve">ecological protections </w:t>
      </w:r>
      <w:r w:rsidR="000350F3">
        <w:t>for wild rice habitat.</w:t>
      </w:r>
    </w:p>
    <w:p w14:paraId="07BCFA27" w14:textId="3CA43F5C" w:rsidR="00561525" w:rsidRDefault="000350F3" w:rsidP="00561525">
      <w:pPr>
        <w:ind w:firstLine="720"/>
        <w:jc w:val="both"/>
        <w:rPr>
          <w:color w:val="1A1818"/>
          <w:shd w:val="clear" w:color="auto" w:fill="FFFFFF"/>
        </w:rPr>
      </w:pPr>
      <w:r>
        <w:t>This is important to bear in mind in considering potential threats to that habitat which are now evident in recent permitting developments for the St. Louis River, the largest freshwater estuary in the world, and the largest tributary to Lake Superior, itself the world’s largest body of fresh water.</w:t>
      </w:r>
      <w:r>
        <w:rPr>
          <w:rStyle w:val="FootnoteReference"/>
        </w:rPr>
        <w:footnoteReference w:id="47"/>
      </w:r>
      <w:r>
        <w:t xml:space="preserve"> </w:t>
      </w:r>
      <w:r w:rsidR="00512ACA">
        <w:t xml:space="preserve">Since 1973, the </w:t>
      </w:r>
      <w:r>
        <w:t xml:space="preserve">minimum </w:t>
      </w:r>
      <w:r w:rsidR="00512ACA">
        <w:t xml:space="preserve">sulfate </w:t>
      </w:r>
      <w:r>
        <w:t xml:space="preserve">water quality </w:t>
      </w:r>
      <w:r w:rsidR="00512ACA">
        <w:t xml:space="preserve">standard </w:t>
      </w:r>
      <w:r>
        <w:t xml:space="preserve">necessary to support </w:t>
      </w:r>
      <w:r w:rsidR="00512ACA">
        <w:t>wild rice habitat has been set in Minnesota state law and regulations at 10 ppm. per liter to be discharged in waters that produce wild rice, however this standard has rarely been adequately implemented</w:t>
      </w:r>
      <w:r w:rsidR="00512ACA">
        <w:rPr>
          <w:rStyle w:val="FootnoteReference"/>
        </w:rPr>
        <w:footnoteReference w:id="48"/>
      </w:r>
      <w:r w:rsidR="004F13FB">
        <w:t xml:space="preserve"> </w:t>
      </w:r>
      <w:r w:rsidR="00474A03">
        <w:t xml:space="preserve">and went largely unenforced until the Minnesota </w:t>
      </w:r>
      <w:r w:rsidR="00C47C40">
        <w:t xml:space="preserve">Pollution </w:t>
      </w:r>
      <w:r w:rsidR="00474A03">
        <w:t xml:space="preserve">Control </w:t>
      </w:r>
      <w:r w:rsidR="00C47C40">
        <w:t xml:space="preserve">Agency </w:t>
      </w:r>
      <w:r w:rsidR="00474A03">
        <w:t xml:space="preserve">revisited the rule following a triannual review of state regulations required by the </w:t>
      </w:r>
      <w:r w:rsidR="00474A03" w:rsidRPr="007B541D">
        <w:rPr>
          <w:i/>
          <w:iCs/>
        </w:rPr>
        <w:t>Clean Water Act</w:t>
      </w:r>
      <w:r w:rsidR="00474A03">
        <w:rPr>
          <w:i/>
          <w:iCs/>
        </w:rPr>
        <w:t xml:space="preserve"> </w:t>
      </w:r>
      <w:r w:rsidR="00474A03">
        <w:t>in 2008.</w:t>
      </w:r>
      <w:r w:rsidR="00474A03">
        <w:rPr>
          <w:rStyle w:val="FootnoteReference"/>
          <w:i/>
          <w:iCs/>
        </w:rPr>
        <w:footnoteReference w:id="49"/>
      </w:r>
      <w:r w:rsidR="00474A03">
        <w:t xml:space="preserve"> </w:t>
      </w:r>
      <w:r w:rsidR="00C070DB">
        <w:t>W</w:t>
      </w:r>
      <w:r w:rsidR="004F13FB">
        <w:t xml:space="preserve">astewater </w:t>
      </w:r>
      <w:r w:rsidR="004F13FB">
        <w:lastRenderedPageBreak/>
        <w:t xml:space="preserve">treatment plants </w:t>
      </w:r>
      <w:r w:rsidR="00C070DB">
        <w:t xml:space="preserve">and taconite mine operators – notably U.S. Steel – </w:t>
      </w:r>
      <w:r w:rsidR="004F13FB">
        <w:t>found it difficult and costly to reduce sulfate content of wastewater to levels necessary to meet the standard</w:t>
      </w:r>
      <w:r w:rsidR="00C47C40">
        <w:t>.</w:t>
      </w:r>
      <w:r w:rsidR="00CE570C">
        <w:rPr>
          <w:rStyle w:val="FootnoteReference"/>
        </w:rPr>
        <w:footnoteReference w:id="50"/>
      </w:r>
      <w:r w:rsidR="00474A03">
        <w:t xml:space="preserve"> </w:t>
      </w:r>
      <w:r w:rsidR="00C47C40">
        <w:t xml:space="preserve">After the MPCA requested mine and wastewater operators survey </w:t>
      </w:r>
      <w:r w:rsidR="002978D6">
        <w:t xml:space="preserve">their discharge waters for </w:t>
      </w:r>
      <w:r w:rsidR="00C47C40">
        <w:t xml:space="preserve">the presence of natural wild rice and </w:t>
      </w:r>
      <w:proofErr w:type="spellStart"/>
      <w:r w:rsidR="00C47C40">
        <w:t>PolyMet</w:t>
      </w:r>
      <w:proofErr w:type="spellEnd"/>
      <w:r w:rsidR="00C47C40">
        <w:t xml:space="preserve"> Mining</w:t>
      </w:r>
      <w:r w:rsidR="002978D6">
        <w:t xml:space="preserve"> proposed a new copper-nickel mine whose wastewater discharge would be incompatible with the rule</w:t>
      </w:r>
      <w:r w:rsidR="00C47C40">
        <w:t xml:space="preserve">, </w:t>
      </w:r>
      <w:r w:rsidR="002978D6">
        <w:t>the Minnesota Chamber of Commerce sued</w:t>
      </w:r>
      <w:r w:rsidR="00400478">
        <w:t>, but the Minnesota Court of Appeals found no record of enforcement sufficient to challenge the rule,</w:t>
      </w:r>
      <w:r w:rsidR="00474A03">
        <w:rPr>
          <w:rStyle w:val="FootnoteReference"/>
        </w:rPr>
        <w:footnoteReference w:id="51"/>
      </w:r>
      <w:r w:rsidR="00400478">
        <w:t xml:space="preserve"> and </w:t>
      </w:r>
      <w:r w:rsidR="002978D6">
        <w:t>b</w:t>
      </w:r>
      <w:r w:rsidR="00CE570C">
        <w:t xml:space="preserve">ecause the EPA had approved </w:t>
      </w:r>
      <w:r w:rsidR="00400478">
        <w:t xml:space="preserve">the </w:t>
      </w:r>
      <w:r w:rsidR="00CE570C">
        <w:t xml:space="preserve">standard, </w:t>
      </w:r>
      <w:r w:rsidR="00400478">
        <w:t xml:space="preserve">the National Pollutant Discharge Elimination System (NPDES) </w:t>
      </w:r>
      <w:r w:rsidR="00341ED0">
        <w:t xml:space="preserve">applied to wastewater discharge permitting and is </w:t>
      </w:r>
      <w:r w:rsidR="00400478">
        <w:t>subject to EPA review, and any justification for water quality standards</w:t>
      </w:r>
      <w:r w:rsidR="00CE570C">
        <w:t xml:space="preserve"> below </w:t>
      </w:r>
      <w:r w:rsidR="005A02DA">
        <w:t xml:space="preserve">levels </w:t>
      </w:r>
      <w:r w:rsidR="00400478">
        <w:t xml:space="preserve">approved </w:t>
      </w:r>
      <w:r w:rsidR="00CE570C">
        <w:t>by the EPA</w:t>
      </w:r>
      <w:r w:rsidR="00C47C40">
        <w:t xml:space="preserve"> </w:t>
      </w:r>
      <w:r w:rsidR="00400478">
        <w:t xml:space="preserve">would require a scientific basis </w:t>
      </w:r>
      <w:r w:rsidR="005A02DA">
        <w:t xml:space="preserve">to </w:t>
      </w:r>
      <w:r w:rsidR="00C47C40">
        <w:t>do so</w:t>
      </w:r>
      <w:r w:rsidR="00341ED0">
        <w:t>.</w:t>
      </w:r>
      <w:r w:rsidR="00341ED0">
        <w:rPr>
          <w:rStyle w:val="FootnoteReference"/>
        </w:rPr>
        <w:footnoteReference w:id="52"/>
      </w:r>
      <w:r w:rsidR="005A02DA">
        <w:t xml:space="preserve"> </w:t>
      </w:r>
      <w:r w:rsidR="00F72AA0">
        <w:rPr>
          <w:color w:val="1A1818"/>
          <w:shd w:val="clear" w:color="auto" w:fill="FFFFFF"/>
        </w:rPr>
        <w:t>A</w:t>
      </w:r>
      <w:r w:rsidR="005A02DA">
        <w:t xml:space="preserve"> </w:t>
      </w:r>
      <w:r w:rsidR="00AB0C03">
        <w:t xml:space="preserve">long and </w:t>
      </w:r>
      <w:r w:rsidR="005A02DA">
        <w:t>protracted</w:t>
      </w:r>
      <w:r w:rsidR="00341ED0">
        <w:t xml:space="preserve"> </w:t>
      </w:r>
      <w:r w:rsidR="00AB0C03">
        <w:t xml:space="preserve">effort </w:t>
      </w:r>
      <w:r w:rsidR="00F72AA0">
        <w:t xml:space="preserve">by state officials </w:t>
      </w:r>
      <w:r w:rsidR="00AB0C03">
        <w:t>ensued</w:t>
      </w:r>
      <w:r w:rsidR="00F72AA0">
        <w:t>,</w:t>
      </w:r>
      <w:r w:rsidR="00AB0C03">
        <w:t xml:space="preserve"> </w:t>
      </w:r>
      <w:r w:rsidR="005A02DA">
        <w:t xml:space="preserve">to </w:t>
      </w:r>
      <w:r w:rsidR="00AB0C03">
        <w:t xml:space="preserve">generate </w:t>
      </w:r>
      <w:r w:rsidR="00FF5C9B">
        <w:t xml:space="preserve">a plethora of </w:t>
      </w:r>
      <w:r w:rsidR="00AB0C03">
        <w:t xml:space="preserve">scientific studies </w:t>
      </w:r>
      <w:r w:rsidR="00FF5C9B">
        <w:t xml:space="preserve">ostensibly </w:t>
      </w:r>
      <w:r w:rsidR="00AB0C03">
        <w:t>in support of new rule-making</w:t>
      </w:r>
      <w:r w:rsidR="00AB0C03">
        <w:rPr>
          <w:rStyle w:val="FootnoteReference"/>
        </w:rPr>
        <w:footnoteReference w:id="53"/>
      </w:r>
      <w:r w:rsidR="00561525">
        <w:t xml:space="preserve"> </w:t>
      </w:r>
      <w:r w:rsidR="00F72AA0">
        <w:t xml:space="preserve">but contradicting </w:t>
      </w:r>
      <w:r w:rsidR="00561525">
        <w:t>Tribal leaders own scienti</w:t>
      </w:r>
      <w:r w:rsidR="00F72AA0">
        <w:t>sts’</w:t>
      </w:r>
      <w:r w:rsidR="00561525">
        <w:t xml:space="preserve"> conclusions,</w:t>
      </w:r>
      <w:r w:rsidR="00561525">
        <w:rPr>
          <w:rStyle w:val="FootnoteReference"/>
        </w:rPr>
        <w:footnoteReference w:id="54"/>
      </w:r>
      <w:r w:rsidR="00F72AA0">
        <w:t xml:space="preserve"> and to legislate means to </w:t>
      </w:r>
      <w:r w:rsidR="00341ED0">
        <w:t xml:space="preserve">frustrate, </w:t>
      </w:r>
      <w:r w:rsidR="00F72AA0">
        <w:t>evade</w:t>
      </w:r>
      <w:r w:rsidR="00341ED0">
        <w:t xml:space="preserve">, or nullify the </w:t>
      </w:r>
      <w:r w:rsidR="00AB0C03">
        <w:t>R</w:t>
      </w:r>
      <w:r w:rsidR="00341ED0">
        <w:t>ule</w:t>
      </w:r>
      <w:r w:rsidR="00FF5C9B">
        <w:t>,</w:t>
      </w:r>
      <w:r w:rsidR="00341ED0">
        <w:rPr>
          <w:rStyle w:val="FootnoteReference"/>
        </w:rPr>
        <w:footnoteReference w:id="55"/>
      </w:r>
      <w:r w:rsidR="00AB0C03">
        <w:t xml:space="preserve"> </w:t>
      </w:r>
      <w:r w:rsidR="00FF5C9B">
        <w:t xml:space="preserve">amounting to what one </w:t>
      </w:r>
      <w:r w:rsidR="00F72AA0">
        <w:t xml:space="preserve">reporter </w:t>
      </w:r>
      <w:r w:rsidR="00FF5C9B" w:rsidRPr="00FF5C9B">
        <w:t>called “</w:t>
      </w:r>
      <w:r w:rsidR="00FF5C9B" w:rsidRPr="00FF5C9B">
        <w:rPr>
          <w:color w:val="1A1818"/>
          <w:shd w:val="clear" w:color="auto" w:fill="FFFFFF"/>
        </w:rPr>
        <w:t>a long and winding road back to square one for Minnesota’s wild rice standard</w:t>
      </w:r>
      <w:r w:rsidR="00F72AA0">
        <w:rPr>
          <w:color w:val="1A1818"/>
          <w:shd w:val="clear" w:color="auto" w:fill="FFFFFF"/>
        </w:rPr>
        <w:t>,</w:t>
      </w:r>
      <w:r w:rsidR="00FF5C9B" w:rsidRPr="00FF5C9B">
        <w:rPr>
          <w:color w:val="1A1818"/>
          <w:shd w:val="clear" w:color="auto" w:fill="FFFFFF"/>
        </w:rPr>
        <w:t>”</w:t>
      </w:r>
      <w:r w:rsidR="00FF5C9B">
        <w:rPr>
          <w:rStyle w:val="FootnoteReference"/>
          <w:color w:val="1A1818"/>
          <w:shd w:val="clear" w:color="auto" w:fill="FFFFFF"/>
        </w:rPr>
        <w:footnoteReference w:id="56"/>
      </w:r>
      <w:r w:rsidR="00F72AA0">
        <w:rPr>
          <w:color w:val="1A1818"/>
          <w:shd w:val="clear" w:color="auto" w:fill="FFFFFF"/>
        </w:rPr>
        <w:t xml:space="preserve"> with still no effective enforcement of the Wild Rice Rule.</w:t>
      </w:r>
      <w:r w:rsidR="00F72AA0">
        <w:rPr>
          <w:rStyle w:val="FootnoteReference"/>
          <w:color w:val="1A1818"/>
          <w:shd w:val="clear" w:color="auto" w:fill="FFFFFF"/>
        </w:rPr>
        <w:footnoteReference w:id="57"/>
      </w:r>
    </w:p>
    <w:p w14:paraId="3C1AAF9D" w14:textId="4C3A8E5C" w:rsidR="000350F3" w:rsidRDefault="00F72AA0" w:rsidP="00561525">
      <w:pPr>
        <w:ind w:firstLine="720"/>
        <w:jc w:val="both"/>
      </w:pPr>
      <w:r>
        <w:rPr>
          <w:color w:val="1A1818"/>
          <w:shd w:val="clear" w:color="auto" w:fill="FFFFFF"/>
        </w:rPr>
        <w:t>What is clear is that Minnesota’s Tribes are not receiving equal benefit of state environmental laws in place to protect</w:t>
      </w:r>
      <w:r w:rsidR="0023099C">
        <w:rPr>
          <w:color w:val="1A1818"/>
          <w:shd w:val="clear" w:color="auto" w:fill="FFFFFF"/>
        </w:rPr>
        <w:t>, in part,</w:t>
      </w:r>
      <w:r>
        <w:rPr>
          <w:color w:val="1A1818"/>
          <w:shd w:val="clear" w:color="auto" w:fill="FFFFFF"/>
        </w:rPr>
        <w:t xml:space="preserve"> their </w:t>
      </w:r>
      <w:r w:rsidR="003C791B">
        <w:rPr>
          <w:color w:val="1A1818"/>
          <w:shd w:val="clear" w:color="auto" w:fill="FFFFFF"/>
        </w:rPr>
        <w:t>fundamental rights</w:t>
      </w:r>
      <w:r w:rsidR="0023099C">
        <w:rPr>
          <w:color w:val="1A1818"/>
          <w:shd w:val="clear" w:color="auto" w:fill="FFFFFF"/>
        </w:rPr>
        <w:t xml:space="preserve"> to wild rice cultivation as a cultural practice</w:t>
      </w:r>
      <w:r>
        <w:rPr>
          <w:color w:val="1A1818"/>
          <w:shd w:val="clear" w:color="auto" w:fill="FFFFFF"/>
        </w:rPr>
        <w:t>. This arbitrary non-enforcement risks an irreparable loss not only to Minnesota’s biodiversity, but to the cultural practices of its indigenous peoples</w:t>
      </w:r>
      <w:r w:rsidR="00E51A59">
        <w:rPr>
          <w:color w:val="1A1818"/>
          <w:shd w:val="clear" w:color="auto" w:fill="FFFFFF"/>
        </w:rPr>
        <w:t xml:space="preserve">, as well as a possible violation of </w:t>
      </w:r>
      <w:r w:rsidR="001E03B6">
        <w:rPr>
          <w:color w:val="1A1818"/>
          <w:shd w:val="clear" w:color="auto" w:fill="FFFFFF"/>
        </w:rPr>
        <w:t xml:space="preserve">international </w:t>
      </w:r>
      <w:r w:rsidR="00E51A59">
        <w:rPr>
          <w:color w:val="1A1818"/>
          <w:shd w:val="clear" w:color="auto" w:fill="FFFFFF"/>
        </w:rPr>
        <w:t xml:space="preserve">obligations </w:t>
      </w:r>
      <w:r w:rsidR="001E03B6">
        <w:rPr>
          <w:color w:val="1A1818"/>
          <w:shd w:val="clear" w:color="auto" w:fill="FFFFFF"/>
        </w:rPr>
        <w:t xml:space="preserve">in </w:t>
      </w:r>
      <w:r w:rsidR="00E51A59">
        <w:rPr>
          <w:color w:val="1A1818"/>
          <w:shd w:val="clear" w:color="auto" w:fill="FFFFFF"/>
        </w:rPr>
        <w:t xml:space="preserve">the </w:t>
      </w:r>
      <w:r w:rsidR="00E51A59" w:rsidRPr="00E51A59">
        <w:rPr>
          <w:i/>
          <w:iCs/>
          <w:color w:val="1A1818"/>
          <w:shd w:val="clear" w:color="auto" w:fill="FFFFFF"/>
        </w:rPr>
        <w:t>Great Lakes Water Quality Agreement</w:t>
      </w:r>
      <w:r w:rsidR="00E51A59">
        <w:rPr>
          <w:color w:val="1A1818"/>
          <w:shd w:val="clear" w:color="auto" w:fill="FFFFFF"/>
        </w:rPr>
        <w:t xml:space="preserve"> </w:t>
      </w:r>
      <w:r w:rsidR="001E03B6">
        <w:rPr>
          <w:color w:val="1A1818"/>
          <w:shd w:val="clear" w:color="auto" w:fill="FFFFFF"/>
        </w:rPr>
        <w:t xml:space="preserve">under </w:t>
      </w:r>
      <w:r w:rsidR="00E51A59">
        <w:rPr>
          <w:color w:val="1A1818"/>
          <w:shd w:val="clear" w:color="auto" w:fill="FFFFFF"/>
        </w:rPr>
        <w:t xml:space="preserve">which the St. Louis River Basin </w:t>
      </w:r>
      <w:r w:rsidR="001E03B6">
        <w:rPr>
          <w:color w:val="1A1818"/>
          <w:shd w:val="clear" w:color="auto" w:fill="FFFFFF"/>
        </w:rPr>
        <w:t xml:space="preserve">has already been designated </w:t>
      </w:r>
      <w:r w:rsidR="00E51A59">
        <w:rPr>
          <w:color w:val="1A1818"/>
          <w:shd w:val="clear" w:color="auto" w:fill="FFFFFF"/>
        </w:rPr>
        <w:t>as an Area of Concern</w:t>
      </w:r>
      <w:r w:rsidR="00CC4666">
        <w:rPr>
          <w:color w:val="1A1818"/>
          <w:shd w:val="clear" w:color="auto" w:fill="FFFFFF"/>
        </w:rPr>
        <w:t>.</w:t>
      </w:r>
      <w:r w:rsidR="00E51A59">
        <w:rPr>
          <w:rStyle w:val="FootnoteReference"/>
          <w:color w:val="1A1818"/>
          <w:shd w:val="clear" w:color="auto" w:fill="FFFFFF"/>
        </w:rPr>
        <w:footnoteReference w:id="58"/>
      </w:r>
      <w:r>
        <w:rPr>
          <w:color w:val="1A1818"/>
          <w:shd w:val="clear" w:color="auto" w:fill="FFFFFF"/>
        </w:rPr>
        <w:t xml:space="preserve"> </w:t>
      </w:r>
      <w:r w:rsidR="00CC4666">
        <w:rPr>
          <w:color w:val="1A1818"/>
          <w:shd w:val="clear" w:color="auto" w:fill="FFFFFF"/>
        </w:rPr>
        <w:t xml:space="preserve">There may be harm to Minnesota’s democratic institutions as well, which have little to show for many years of effort </w:t>
      </w:r>
      <w:r w:rsidR="001E03B6">
        <w:rPr>
          <w:color w:val="1A1818"/>
          <w:shd w:val="clear" w:color="auto" w:fill="FFFFFF"/>
        </w:rPr>
        <w:t xml:space="preserve">of futile legislation </w:t>
      </w:r>
      <w:r w:rsidR="00CC4666">
        <w:rPr>
          <w:color w:val="1A1818"/>
          <w:shd w:val="clear" w:color="auto" w:fill="FFFFFF"/>
        </w:rPr>
        <w:t xml:space="preserve">by </w:t>
      </w:r>
      <w:r w:rsidR="001E03B6">
        <w:rPr>
          <w:color w:val="1A1818"/>
          <w:shd w:val="clear" w:color="auto" w:fill="FFFFFF"/>
        </w:rPr>
        <w:t>state lawmakers,</w:t>
      </w:r>
      <w:r w:rsidR="00CC4666">
        <w:rPr>
          <w:color w:val="1A1818"/>
          <w:shd w:val="clear" w:color="auto" w:fill="FFFFFF"/>
        </w:rPr>
        <w:t xml:space="preserve"> </w:t>
      </w:r>
      <w:r w:rsidR="001E03B6">
        <w:rPr>
          <w:color w:val="1A1818"/>
          <w:shd w:val="clear" w:color="auto" w:fill="FFFFFF"/>
        </w:rPr>
        <w:t xml:space="preserve">and a plethora of science research from state researchers, all </w:t>
      </w:r>
      <w:r w:rsidR="00CC4666">
        <w:rPr>
          <w:color w:val="1A1818"/>
          <w:shd w:val="clear" w:color="auto" w:fill="FFFFFF"/>
        </w:rPr>
        <w:t xml:space="preserve">with little to show for it. Worse still, </w:t>
      </w:r>
      <w:r w:rsidR="002672E3">
        <w:rPr>
          <w:color w:val="1A1818"/>
          <w:shd w:val="clear" w:color="auto" w:fill="FFFFFF"/>
        </w:rPr>
        <w:t xml:space="preserve">the Wild Rice Rule </w:t>
      </w:r>
      <w:r w:rsidR="003C791B">
        <w:rPr>
          <w:color w:val="1A1818"/>
          <w:shd w:val="clear" w:color="auto" w:fill="FFFFFF"/>
        </w:rPr>
        <w:t xml:space="preserve">remains unenforced, </w:t>
      </w:r>
      <w:r w:rsidR="001E03B6">
        <w:rPr>
          <w:color w:val="1A1818"/>
          <w:shd w:val="clear" w:color="auto" w:fill="FFFFFF"/>
        </w:rPr>
        <w:t xml:space="preserve">and the conflict around it ongoing, </w:t>
      </w:r>
      <w:r w:rsidR="003C791B">
        <w:rPr>
          <w:color w:val="1A1818"/>
          <w:shd w:val="clear" w:color="auto" w:fill="FFFFFF"/>
        </w:rPr>
        <w:t xml:space="preserve">endangering not only Minnesota’s biodiversity and Native Americans’ cultural practices, but the ecology of the world’s largest freshwater estuary. At the same time, </w:t>
      </w:r>
      <w:r w:rsidR="002672E3">
        <w:rPr>
          <w:color w:val="1A1818"/>
          <w:shd w:val="clear" w:color="auto" w:fill="FFFFFF"/>
        </w:rPr>
        <w:t xml:space="preserve">the MCPA and </w:t>
      </w:r>
      <w:r w:rsidR="00561525">
        <w:rPr>
          <w:color w:val="1A1818"/>
          <w:shd w:val="clear" w:color="auto" w:fill="FFFFFF"/>
        </w:rPr>
        <w:t xml:space="preserve">EPA officials </w:t>
      </w:r>
      <w:r w:rsidR="003C791B">
        <w:rPr>
          <w:color w:val="1A1818"/>
          <w:shd w:val="clear" w:color="auto" w:fill="FFFFFF"/>
        </w:rPr>
        <w:t xml:space="preserve">have undertaken </w:t>
      </w:r>
      <w:r w:rsidR="003C791B">
        <w:rPr>
          <w:color w:val="1A1818"/>
          <w:shd w:val="clear" w:color="auto" w:fill="FFFFFF"/>
        </w:rPr>
        <w:lastRenderedPageBreak/>
        <w:t xml:space="preserve">highly-irregular actions to </w:t>
      </w:r>
      <w:r w:rsidR="001E03B6">
        <w:rPr>
          <w:color w:val="1A1818"/>
          <w:shd w:val="clear" w:color="auto" w:fill="FFFFFF"/>
        </w:rPr>
        <w:t xml:space="preserve">issue </w:t>
      </w:r>
      <w:proofErr w:type="spellStart"/>
      <w:r w:rsidR="001E03B6">
        <w:rPr>
          <w:color w:val="1A1818"/>
          <w:shd w:val="clear" w:color="auto" w:fill="FFFFFF"/>
        </w:rPr>
        <w:t>PolyMet</w:t>
      </w:r>
      <w:proofErr w:type="spellEnd"/>
      <w:r w:rsidR="001E03B6">
        <w:rPr>
          <w:color w:val="1A1818"/>
          <w:shd w:val="clear" w:color="auto" w:fill="FFFFFF"/>
        </w:rPr>
        <w:t xml:space="preserve"> wastewater permits while avoiding the inclusion of contrary </w:t>
      </w:r>
      <w:r w:rsidR="003C791B">
        <w:rPr>
          <w:color w:val="1A1818"/>
          <w:shd w:val="clear" w:color="auto" w:fill="FFFFFF"/>
        </w:rPr>
        <w:t xml:space="preserve">EPA </w:t>
      </w:r>
      <w:r w:rsidR="001E03B6">
        <w:rPr>
          <w:color w:val="1A1818"/>
          <w:shd w:val="clear" w:color="auto" w:fill="FFFFFF"/>
        </w:rPr>
        <w:t xml:space="preserve">scientific </w:t>
      </w:r>
      <w:r w:rsidR="003C791B">
        <w:rPr>
          <w:color w:val="1A1818"/>
          <w:shd w:val="clear" w:color="auto" w:fill="FFFFFF"/>
        </w:rPr>
        <w:t>findings from entering the public record</w:t>
      </w:r>
      <w:r w:rsidR="00DD6E9C">
        <w:rPr>
          <w:color w:val="1A1818"/>
          <w:shd w:val="clear" w:color="auto" w:fill="FFFFFF"/>
        </w:rPr>
        <w:t xml:space="preserve">, </w:t>
      </w:r>
      <w:r w:rsidR="001E03B6">
        <w:rPr>
          <w:color w:val="1A1818"/>
          <w:shd w:val="clear" w:color="auto" w:fill="FFFFFF"/>
        </w:rPr>
        <w:t xml:space="preserve">the discovery of which has caused state courts to </w:t>
      </w:r>
      <w:r w:rsidR="00DD6E9C">
        <w:rPr>
          <w:color w:val="1A1818"/>
          <w:shd w:val="clear" w:color="auto" w:fill="FFFFFF"/>
        </w:rPr>
        <w:t>temporar</w:t>
      </w:r>
      <w:r w:rsidR="001E03B6">
        <w:rPr>
          <w:color w:val="1A1818"/>
          <w:shd w:val="clear" w:color="auto" w:fill="FFFFFF"/>
        </w:rPr>
        <w:t>il</w:t>
      </w:r>
      <w:r w:rsidR="00DD6E9C">
        <w:rPr>
          <w:color w:val="1A1818"/>
          <w:shd w:val="clear" w:color="auto" w:fill="FFFFFF"/>
        </w:rPr>
        <w:t xml:space="preserve">y </w:t>
      </w:r>
      <w:r w:rsidR="001E03B6">
        <w:rPr>
          <w:color w:val="1A1818"/>
          <w:shd w:val="clear" w:color="auto" w:fill="FFFFFF"/>
        </w:rPr>
        <w:t xml:space="preserve">suspend </w:t>
      </w:r>
      <w:r w:rsidR="00DD6E9C">
        <w:rPr>
          <w:color w:val="1A1818"/>
          <w:shd w:val="clear" w:color="auto" w:fill="FFFFFF"/>
        </w:rPr>
        <w:t xml:space="preserve">the permits </w:t>
      </w:r>
      <w:r w:rsidR="0023099C">
        <w:rPr>
          <w:color w:val="1A1818"/>
          <w:shd w:val="clear" w:color="auto" w:fill="FFFFFF"/>
        </w:rPr>
        <w:t xml:space="preserve">pending </w:t>
      </w:r>
      <w:r w:rsidR="001E03B6">
        <w:rPr>
          <w:color w:val="1A1818"/>
          <w:shd w:val="clear" w:color="auto" w:fill="FFFFFF"/>
        </w:rPr>
        <w:t xml:space="preserve">the outcome of </w:t>
      </w:r>
      <w:r w:rsidR="00DD6E9C">
        <w:rPr>
          <w:color w:val="1A1818"/>
          <w:shd w:val="clear" w:color="auto" w:fill="FFFFFF"/>
        </w:rPr>
        <w:t>further litigation</w:t>
      </w:r>
      <w:r w:rsidR="00561525">
        <w:rPr>
          <w:color w:val="1A1818"/>
          <w:shd w:val="clear" w:color="auto" w:fill="FFFFFF"/>
        </w:rPr>
        <w:t>.</w:t>
      </w:r>
      <w:r w:rsidR="00561525">
        <w:rPr>
          <w:rStyle w:val="FootnoteReference"/>
          <w:color w:val="1A1818"/>
          <w:shd w:val="clear" w:color="auto" w:fill="FFFFFF"/>
        </w:rPr>
        <w:footnoteReference w:id="59"/>
      </w:r>
      <w:r>
        <w:rPr>
          <w:color w:val="1A1818"/>
          <w:shd w:val="clear" w:color="auto" w:fill="FFFFFF"/>
        </w:rPr>
        <w:t xml:space="preserve">  </w:t>
      </w:r>
    </w:p>
    <w:p w14:paraId="5898551C" w14:textId="77777777" w:rsidR="00877D4C" w:rsidRDefault="00877D4C" w:rsidP="00877D4C">
      <w:pPr>
        <w:jc w:val="both"/>
      </w:pPr>
    </w:p>
    <w:p w14:paraId="6468145B" w14:textId="37ACDEDB" w:rsidR="00FD724D" w:rsidRDefault="0060085C" w:rsidP="00D12F32">
      <w:pPr>
        <w:jc w:val="both"/>
        <w:rPr>
          <w:b/>
          <w:bCs/>
        </w:rPr>
      </w:pPr>
      <w:r>
        <w:rPr>
          <w:b/>
          <w:bCs/>
        </w:rPr>
        <w:t>Monarch Butterflies</w:t>
      </w:r>
      <w:r w:rsidR="000412C7">
        <w:rPr>
          <w:b/>
          <w:bCs/>
        </w:rPr>
        <w:t>, Rights Defenders,</w:t>
      </w:r>
      <w:r>
        <w:rPr>
          <w:b/>
          <w:bCs/>
        </w:rPr>
        <w:t xml:space="preserve"> and the Rule of Law</w:t>
      </w:r>
    </w:p>
    <w:p w14:paraId="0951AF00" w14:textId="77777777" w:rsidR="0023099C" w:rsidRDefault="0023099C" w:rsidP="00D12F32">
      <w:pPr>
        <w:jc w:val="both"/>
        <w:rPr>
          <w:b/>
          <w:bCs/>
        </w:rPr>
      </w:pPr>
    </w:p>
    <w:p w14:paraId="7204DDED" w14:textId="3A2FBAB6" w:rsidR="00C67826" w:rsidRDefault="00636B22" w:rsidP="004E77F9">
      <w:pPr>
        <w:ind w:firstLine="720"/>
        <w:jc w:val="both"/>
      </w:pPr>
      <w:r>
        <w:t>The m</w:t>
      </w:r>
      <w:r w:rsidR="0060085C">
        <w:t>onarch butterfl</w:t>
      </w:r>
      <w:r>
        <w:t xml:space="preserve">y </w:t>
      </w:r>
      <w:r w:rsidR="0060085C">
        <w:t xml:space="preserve">is the only butterfly species known to follow a migration route </w:t>
      </w:r>
      <w:r>
        <w:t xml:space="preserve">similar to </w:t>
      </w:r>
      <w:r w:rsidR="0060085C">
        <w:t xml:space="preserve">birds, crossing the North American continent from Canada to the United States to Mexico over 3,000 miles </w:t>
      </w:r>
      <w:r>
        <w:t>annually</w:t>
      </w:r>
      <w:r w:rsidR="0083718D">
        <w:t>.</w:t>
      </w:r>
      <w:r w:rsidR="0060085C">
        <w:rPr>
          <w:rStyle w:val="FootnoteReference"/>
        </w:rPr>
        <w:footnoteReference w:id="60"/>
      </w:r>
      <w:r w:rsidR="0060085C">
        <w:t xml:space="preserve"> </w:t>
      </w:r>
      <w:r w:rsidR="00B74B12">
        <w:t>M</w:t>
      </w:r>
      <w:r w:rsidR="00680437">
        <w:t xml:space="preserve">onarch butterflies migrate to coastal California </w:t>
      </w:r>
      <w:r w:rsidR="00B74B12">
        <w:t xml:space="preserve">and </w:t>
      </w:r>
      <w:r w:rsidR="0060085C">
        <w:t xml:space="preserve">to </w:t>
      </w:r>
      <w:r w:rsidR="00680437">
        <w:t xml:space="preserve">the </w:t>
      </w:r>
      <w:r w:rsidR="00331279" w:rsidRPr="00331279">
        <w:t xml:space="preserve">oyamel fir forests </w:t>
      </w:r>
      <w:r w:rsidR="00B74B12">
        <w:t xml:space="preserve">of </w:t>
      </w:r>
      <w:r w:rsidR="00331279">
        <w:t xml:space="preserve">the </w:t>
      </w:r>
      <w:r w:rsidR="00680437">
        <w:t>Monarch Butterfly Biosphere Reserve, a UNESCO World Heritage site</w:t>
      </w:r>
      <w:r w:rsidR="00B74B12" w:rsidRPr="00B74B12">
        <w:t xml:space="preserve"> </w:t>
      </w:r>
      <w:r w:rsidR="00B74B12">
        <w:t>in the Mexican states of Michoacán and México</w:t>
      </w:r>
      <w:r w:rsidR="00680437">
        <w:t>.</w:t>
      </w:r>
      <w:r w:rsidR="00680437">
        <w:rPr>
          <w:rStyle w:val="FootnoteReference"/>
        </w:rPr>
        <w:footnoteReference w:id="61"/>
      </w:r>
      <w:r w:rsidR="00680437">
        <w:t xml:space="preserve">  </w:t>
      </w:r>
      <w:r w:rsidR="0060085C">
        <w:t>The</w:t>
      </w:r>
      <w:r w:rsidR="00B74B12">
        <w:t>y</w:t>
      </w:r>
      <w:r w:rsidR="0060085C">
        <w:t xml:space="preserve"> </w:t>
      </w:r>
      <w:r w:rsidR="00680437">
        <w:t xml:space="preserve">are highly vulnerable to disruptions in their habitat and migration routes, given their </w:t>
      </w:r>
      <w:r w:rsidR="0060085C">
        <w:t xml:space="preserve">dependence on milkweed </w:t>
      </w:r>
      <w:r w:rsidR="00680437">
        <w:t xml:space="preserve">to lay </w:t>
      </w:r>
      <w:r w:rsidR="00B74B12">
        <w:t xml:space="preserve">their </w:t>
      </w:r>
      <w:r w:rsidR="00680437">
        <w:t xml:space="preserve">eggs and feed </w:t>
      </w:r>
      <w:r w:rsidR="00B74B12">
        <w:t xml:space="preserve">their </w:t>
      </w:r>
      <w:r w:rsidR="00680437">
        <w:t>caterpillars</w:t>
      </w:r>
      <w:r w:rsidR="00331279">
        <w:t>. T</w:t>
      </w:r>
      <w:r w:rsidR="0060085C">
        <w:t xml:space="preserve">heir numbers have dropped </w:t>
      </w:r>
      <w:r w:rsidR="000074AC">
        <w:t>90% from their historic population</w:t>
      </w:r>
      <w:r w:rsidR="0060085C">
        <w:t xml:space="preserve">, prompting an outpouring of initiatives to </w:t>
      </w:r>
      <w:r w:rsidR="000074AC">
        <w:t>save the species</w:t>
      </w:r>
      <w:r w:rsidR="001610C2">
        <w:t xml:space="preserve">.  </w:t>
      </w:r>
      <w:r w:rsidR="000074AC">
        <w:t>O</w:t>
      </w:r>
      <w:r w:rsidR="001610C2">
        <w:t xml:space="preserve">ne such initiative, the Monarch Joint Venture, </w:t>
      </w:r>
      <w:r w:rsidR="000074AC">
        <w:t xml:space="preserve">has </w:t>
      </w:r>
      <w:r w:rsidR="0038498A">
        <w:t xml:space="preserve">partnered with </w:t>
      </w:r>
      <w:r w:rsidR="000074AC">
        <w:t xml:space="preserve">multiple universities, museums, and </w:t>
      </w:r>
      <w:r w:rsidR="0038498A" w:rsidRPr="0038498A">
        <w:t>national parks</w:t>
      </w:r>
      <w:r w:rsidR="0003254D">
        <w:t>, and agencies at all levels of government throughout the U.S</w:t>
      </w:r>
      <w:r w:rsidR="000074AC">
        <w:t>.</w:t>
      </w:r>
      <w:r w:rsidR="0003254D">
        <w:t xml:space="preserve"> as well as internationally.</w:t>
      </w:r>
      <w:r w:rsidR="0038498A">
        <w:t xml:space="preserve"> </w:t>
      </w:r>
      <w:r w:rsidR="000074AC">
        <w:t xml:space="preserve"> Last year, they established </w:t>
      </w:r>
      <w:r w:rsidR="001610C2">
        <w:t xml:space="preserve">225 </w:t>
      </w:r>
      <w:r w:rsidR="0038498A">
        <w:t xml:space="preserve">habitat </w:t>
      </w:r>
      <w:r w:rsidR="001610C2">
        <w:t xml:space="preserve">sites </w:t>
      </w:r>
      <w:r w:rsidR="000074AC">
        <w:t xml:space="preserve">across </w:t>
      </w:r>
      <w:r w:rsidR="001610C2">
        <w:t>23 states</w:t>
      </w:r>
      <w:r w:rsidR="0003254D">
        <w:t>,</w:t>
      </w:r>
      <w:r w:rsidR="001610C2">
        <w:rPr>
          <w:rStyle w:val="FootnoteReference"/>
        </w:rPr>
        <w:footnoteReference w:id="62"/>
      </w:r>
      <w:r w:rsidR="001610C2">
        <w:t xml:space="preserve"> </w:t>
      </w:r>
      <w:r w:rsidR="00B74B12">
        <w:t xml:space="preserve">and an </w:t>
      </w:r>
      <w:r w:rsidR="0003254D">
        <w:t xml:space="preserve">Integrated Monarch Monitoring Program (IMMP) to </w:t>
      </w:r>
      <w:r w:rsidR="00B74B12">
        <w:t xml:space="preserve">develop </w:t>
      </w:r>
      <w:r w:rsidR="001610C2">
        <w:t xml:space="preserve">peer-reviewed scientific research </w:t>
      </w:r>
      <w:r w:rsidR="00B74B12">
        <w:t xml:space="preserve">measuring their </w:t>
      </w:r>
      <w:r w:rsidR="000074AC">
        <w:t>habitat conservation and restauration</w:t>
      </w:r>
      <w:r w:rsidR="0003254D">
        <w:t>.</w:t>
      </w:r>
      <w:r w:rsidR="000074AC">
        <w:rPr>
          <w:rStyle w:val="FootnoteReference"/>
        </w:rPr>
        <w:footnoteReference w:id="63"/>
      </w:r>
      <w:r w:rsidR="00CA7F07">
        <w:t xml:space="preserve"> </w:t>
      </w:r>
      <w:r w:rsidR="00E6327B">
        <w:t>Other initiatives include t</w:t>
      </w:r>
      <w:r w:rsidR="00CA7F07">
        <w:t xml:space="preserve">he “Mayors Monarch Pledge” </w:t>
      </w:r>
      <w:r w:rsidR="00B74B12">
        <w:t xml:space="preserve">of </w:t>
      </w:r>
      <w:r w:rsidR="00E6327B">
        <w:t xml:space="preserve">400 </w:t>
      </w:r>
      <w:r w:rsidR="0003254D">
        <w:t xml:space="preserve">municipalities </w:t>
      </w:r>
      <w:r w:rsidR="00E6327B">
        <w:t xml:space="preserve">across Canada, Mexico, and the United States </w:t>
      </w:r>
      <w:r w:rsidR="00CA7F07" w:rsidRPr="00CA7F07">
        <w:t xml:space="preserve">to </w:t>
      </w:r>
      <w:r w:rsidR="00CA7F07">
        <w:t xml:space="preserve">create </w:t>
      </w:r>
      <w:r w:rsidR="00CA7F07" w:rsidRPr="00CA7F07">
        <w:t>habitat</w:t>
      </w:r>
      <w:r w:rsidR="00E6327B">
        <w:t>;</w:t>
      </w:r>
      <w:r w:rsidR="00CA7F07">
        <w:rPr>
          <w:rStyle w:val="FootnoteReference"/>
        </w:rPr>
        <w:footnoteReference w:id="64"/>
      </w:r>
      <w:r w:rsidR="00E6327B">
        <w:t xml:space="preserve"> the </w:t>
      </w:r>
      <w:r w:rsidR="00B74B12">
        <w:t xml:space="preserve">state-level </w:t>
      </w:r>
      <w:r w:rsidR="00E6327B">
        <w:t>Illinois Monarch Project,</w:t>
      </w:r>
      <w:r w:rsidR="009975AF">
        <w:rPr>
          <w:rStyle w:val="FootnoteReference"/>
        </w:rPr>
        <w:footnoteReference w:id="65"/>
      </w:r>
      <w:r w:rsidR="00E6327B">
        <w:t xml:space="preserve"> </w:t>
      </w:r>
      <w:r w:rsidR="009975AF">
        <w:t xml:space="preserve">as well as </w:t>
      </w:r>
      <w:r w:rsidR="00E6327B">
        <w:t>p</w:t>
      </w:r>
      <w:r w:rsidR="00680437">
        <w:t xml:space="preserve">ublic-private partnerships </w:t>
      </w:r>
      <w:r w:rsidR="00B74B12">
        <w:t xml:space="preserve">including </w:t>
      </w:r>
      <w:r w:rsidR="009975AF">
        <w:t xml:space="preserve">the </w:t>
      </w:r>
      <w:r w:rsidR="00B74B12">
        <w:t xml:space="preserve">Illinois </w:t>
      </w:r>
      <w:r w:rsidR="009975AF">
        <w:t>Department of Transportation creating 80,000 acres of roadside habitat</w:t>
      </w:r>
      <w:r w:rsidR="00B74B12">
        <w:t xml:space="preserve"> through its mowing policy updates</w:t>
      </w:r>
      <w:r w:rsidR="009975AF">
        <w:t>,</w:t>
      </w:r>
      <w:r w:rsidR="009975AF">
        <w:rPr>
          <w:rStyle w:val="FootnoteReference"/>
        </w:rPr>
        <w:footnoteReference w:id="66"/>
      </w:r>
      <w:r w:rsidR="009975AF">
        <w:t xml:space="preserve"> non-profit </w:t>
      </w:r>
      <w:r w:rsidR="00E51046">
        <w:t xml:space="preserve">and </w:t>
      </w:r>
      <w:r w:rsidR="009975AF">
        <w:t xml:space="preserve">energy transportation companies </w:t>
      </w:r>
      <w:r w:rsidR="00C67826">
        <w:t>plant</w:t>
      </w:r>
      <w:r w:rsidR="00B74B12">
        <w:t>ing</w:t>
      </w:r>
      <w:r w:rsidR="00C67826">
        <w:t xml:space="preserve"> milkweed </w:t>
      </w:r>
      <w:r w:rsidR="00E6327B">
        <w:t xml:space="preserve">underneath </w:t>
      </w:r>
      <w:r w:rsidR="00680437" w:rsidRPr="00680437">
        <w:t xml:space="preserve">electric transmission </w:t>
      </w:r>
      <w:r w:rsidR="009975AF">
        <w:t>and transport</w:t>
      </w:r>
      <w:r w:rsidR="00B74B12">
        <w:t>ation</w:t>
      </w:r>
      <w:r w:rsidR="009975AF">
        <w:t xml:space="preserve"> </w:t>
      </w:r>
      <w:r w:rsidR="00680437" w:rsidRPr="00680437">
        <w:t>line</w:t>
      </w:r>
      <w:r w:rsidR="00E6327B">
        <w:t>s</w:t>
      </w:r>
      <w:r w:rsidR="006122EA">
        <w:t>,</w:t>
      </w:r>
      <w:r w:rsidR="00E6327B">
        <w:rPr>
          <w:rStyle w:val="FootnoteReference"/>
        </w:rPr>
        <w:footnoteReference w:id="67"/>
      </w:r>
      <w:r w:rsidR="006122EA">
        <w:t xml:space="preserve"> which was recently expanded nationally to prevent declaring the monarch endangered,</w:t>
      </w:r>
      <w:r w:rsidR="006122EA">
        <w:rPr>
          <w:rStyle w:val="FootnoteReference"/>
        </w:rPr>
        <w:footnoteReference w:id="68"/>
      </w:r>
      <w:r w:rsidR="006122EA">
        <w:t xml:space="preserve"> and one </w:t>
      </w:r>
      <w:r w:rsidR="00AF7056">
        <w:t>million urban garden</w:t>
      </w:r>
      <w:r w:rsidR="006122EA">
        <w:t>er</w:t>
      </w:r>
      <w:r w:rsidR="00AF7056">
        <w:t xml:space="preserve">s </w:t>
      </w:r>
      <w:r w:rsidR="006122EA">
        <w:t xml:space="preserve">creating </w:t>
      </w:r>
      <w:r w:rsidR="00AF7056">
        <w:t>healthy pollinator habitat</w:t>
      </w:r>
      <w:r w:rsidR="006122EA">
        <w:t>.</w:t>
      </w:r>
      <w:r w:rsidR="00921DF7">
        <w:rPr>
          <w:rStyle w:val="FootnoteReference"/>
        </w:rPr>
        <w:footnoteReference w:id="69"/>
      </w:r>
      <w:r w:rsidR="00AF7056">
        <w:t xml:space="preserve"> </w:t>
      </w:r>
    </w:p>
    <w:p w14:paraId="0108DEA0" w14:textId="26C31F61" w:rsidR="00F448FB" w:rsidRDefault="00E51046" w:rsidP="0073764E">
      <w:pPr>
        <w:ind w:firstLine="720"/>
        <w:jc w:val="both"/>
      </w:pPr>
      <w:r>
        <w:t xml:space="preserve">Unfortunately these multifaceted conservation efforts are threatened by </w:t>
      </w:r>
      <w:r w:rsidR="007B2607">
        <w:t xml:space="preserve">multiple breakdowns in the rule of law, from </w:t>
      </w:r>
      <w:r w:rsidR="006D7C6F">
        <w:t xml:space="preserve">the inadequate enforcement of existing environmental laws to </w:t>
      </w:r>
      <w:r w:rsidR="007B2607">
        <w:t xml:space="preserve">systemic </w:t>
      </w:r>
      <w:r w:rsidR="007B2607">
        <w:lastRenderedPageBreak/>
        <w:t>impunity for the murder of environmental and indigenous rights defenders in Mexico</w:t>
      </w:r>
      <w:r w:rsidR="007B2607">
        <w:rPr>
          <w:rStyle w:val="FootnoteReference"/>
        </w:rPr>
        <w:footnoteReference w:id="70"/>
      </w:r>
      <w:r w:rsidR="007B2607">
        <w:t xml:space="preserve"> </w:t>
      </w:r>
      <w:r w:rsidR="006D7C6F">
        <w:t xml:space="preserve">and </w:t>
      </w:r>
      <w:r w:rsidR="000071A4">
        <w:t>the suppression of the</w:t>
      </w:r>
      <w:r w:rsidR="002B47DB">
        <w:t>ir</w:t>
      </w:r>
      <w:r w:rsidR="000071A4">
        <w:t xml:space="preserve"> </w:t>
      </w:r>
      <w:r w:rsidR="000071A4" w:rsidRPr="000071A4">
        <w:t xml:space="preserve">freedom and security to exercise </w:t>
      </w:r>
      <w:r w:rsidR="000071A4">
        <w:t xml:space="preserve">their </w:t>
      </w:r>
      <w:r w:rsidR="000071A4" w:rsidRPr="000071A4">
        <w:t>right to defend human rights</w:t>
      </w:r>
      <w:r w:rsidR="002B47DB">
        <w:t xml:space="preserve"> and the environment</w:t>
      </w:r>
      <w:r w:rsidR="006D7C6F">
        <w:t>.</w:t>
      </w:r>
      <w:r w:rsidR="000071A4">
        <w:rPr>
          <w:rStyle w:val="FootnoteReference"/>
        </w:rPr>
        <w:footnoteReference w:id="71"/>
      </w:r>
      <w:r w:rsidR="000071A4">
        <w:t xml:space="preserve"> </w:t>
      </w:r>
      <w:r w:rsidR="006122EA">
        <w:t xml:space="preserve">The Monarch </w:t>
      </w:r>
      <w:r w:rsidR="00AB12B2">
        <w:t xml:space="preserve">Butterfly </w:t>
      </w:r>
      <w:r w:rsidR="006122EA">
        <w:t>Biosphere Reserve’s habitat is first among the “biodiversity hotspots”</w:t>
      </w:r>
      <w:r w:rsidR="006122EA" w:rsidRPr="001443FA">
        <w:t xml:space="preserve"> </w:t>
      </w:r>
      <w:r w:rsidR="006122EA">
        <w:t>identified by the Forest Stewardship Council in its most recent report on Mexico.</w:t>
      </w:r>
      <w:r w:rsidR="006122EA">
        <w:rPr>
          <w:rStyle w:val="FootnoteReference"/>
        </w:rPr>
        <w:footnoteReference w:id="72"/>
      </w:r>
      <w:r w:rsidR="006122EA">
        <w:t xml:space="preserve"> Despite appropriate laws and regulations and recent success in reducing the rate of deforestation,</w:t>
      </w:r>
      <w:r w:rsidR="006122EA">
        <w:rPr>
          <w:rStyle w:val="FootnoteReference"/>
        </w:rPr>
        <w:footnoteReference w:id="73"/>
      </w:r>
      <w:r w:rsidR="006122EA">
        <w:t xml:space="preserve"> illegal logging remains a major threat, enabled by “a </w:t>
      </w:r>
      <w:r w:rsidR="006122EA" w:rsidRPr="00274971">
        <w:t>generalized national context of illegal overexploitation and lack of law enforcement</w:t>
      </w:r>
      <w:r w:rsidR="006122EA">
        <w:t>.”</w:t>
      </w:r>
      <w:r w:rsidR="006122EA">
        <w:rPr>
          <w:rStyle w:val="FootnoteReference"/>
        </w:rPr>
        <w:footnoteReference w:id="74"/>
      </w:r>
      <w:r w:rsidR="006122EA">
        <w:t xml:space="preserve"> In January, </w:t>
      </w:r>
      <w:r w:rsidR="004E77F9">
        <w:t xml:space="preserve">two butterfly conservationist protectors – </w:t>
      </w:r>
      <w:proofErr w:type="spellStart"/>
      <w:r w:rsidR="004E77F9" w:rsidRPr="003340B5">
        <w:t>Homero</w:t>
      </w:r>
      <w:proofErr w:type="spellEnd"/>
      <w:r w:rsidR="004E77F9" w:rsidRPr="003340B5">
        <w:t xml:space="preserve"> Gómez González</w:t>
      </w:r>
      <w:r w:rsidR="004E77F9">
        <w:t xml:space="preserve"> and </w:t>
      </w:r>
      <w:r w:rsidR="004E77F9" w:rsidRPr="003340B5">
        <w:t>Raúl Hernández Romero</w:t>
      </w:r>
      <w:r w:rsidR="004E77F9">
        <w:t xml:space="preserve"> – were killed</w:t>
      </w:r>
      <w:r w:rsidR="00F448FB">
        <w:t>,</w:t>
      </w:r>
      <w:r w:rsidR="004E77F9">
        <w:rPr>
          <w:rStyle w:val="FootnoteReference"/>
        </w:rPr>
        <w:footnoteReference w:id="75"/>
      </w:r>
      <w:r w:rsidR="004E77F9">
        <w:t xml:space="preserve"> </w:t>
      </w:r>
      <w:r w:rsidR="006122EA">
        <w:t xml:space="preserve">possibly </w:t>
      </w:r>
      <w:r w:rsidR="00F448FB">
        <w:t xml:space="preserve">targeted for </w:t>
      </w:r>
      <w:r w:rsidR="006122EA">
        <w:t xml:space="preserve">their </w:t>
      </w:r>
      <w:r w:rsidR="004E77F9">
        <w:t xml:space="preserve">advocacy </w:t>
      </w:r>
      <w:r w:rsidR="00F448FB">
        <w:t xml:space="preserve">opposing </w:t>
      </w:r>
      <w:r w:rsidR="004E77F9">
        <w:t>illegal logging</w:t>
      </w:r>
      <w:r w:rsidR="006122EA">
        <w:t>,</w:t>
      </w:r>
      <w:r w:rsidR="00F448FB">
        <w:t xml:space="preserve"> according to news reports</w:t>
      </w:r>
      <w:r w:rsidR="004E77F9">
        <w:t>.</w:t>
      </w:r>
      <w:r w:rsidR="004E77F9">
        <w:rPr>
          <w:rStyle w:val="FootnoteReference"/>
        </w:rPr>
        <w:footnoteReference w:id="76"/>
      </w:r>
      <w:r w:rsidR="004E77F9">
        <w:t xml:space="preserve"> Drug cartels have been linked to the illegal logging industry, and thus benefit from both the non-enforcement of environmental laws</w:t>
      </w:r>
      <w:r w:rsidR="00A3183C">
        <w:t>,</w:t>
      </w:r>
      <w:r w:rsidR="004E77F9">
        <w:rPr>
          <w:rStyle w:val="FootnoteReference"/>
        </w:rPr>
        <w:footnoteReference w:id="77"/>
      </w:r>
      <w:r w:rsidR="004E77F9">
        <w:t xml:space="preserve"> </w:t>
      </w:r>
      <w:r w:rsidR="00A3183C">
        <w:t>repressive state-sponsored criminalization and violence to environmental and human rights defenders,</w:t>
      </w:r>
      <w:r w:rsidR="00A3183C">
        <w:rPr>
          <w:rStyle w:val="FootnoteReference"/>
        </w:rPr>
        <w:footnoteReference w:id="78"/>
      </w:r>
      <w:r w:rsidR="00A3183C">
        <w:t xml:space="preserve"> </w:t>
      </w:r>
      <w:r w:rsidR="004E77F9">
        <w:t>and impunity for the intimidation, kidnapping, torture, and murder of those who oppose their environmental exploitation.</w:t>
      </w:r>
      <w:r w:rsidR="004E77F9">
        <w:rPr>
          <w:rStyle w:val="FootnoteReference"/>
        </w:rPr>
        <w:footnoteReference w:id="79"/>
      </w:r>
      <w:r w:rsidR="004E77F9">
        <w:t xml:space="preserve"> Indigenous leader advocating against logging elsewhere have been subject to arbitrary detention under dubious criminal charges and impunity for murdered family members.</w:t>
      </w:r>
      <w:r w:rsidR="004E77F9">
        <w:rPr>
          <w:rStyle w:val="FootnoteReference"/>
        </w:rPr>
        <w:footnoteReference w:id="80"/>
      </w:r>
      <w:r w:rsidR="004E77F9">
        <w:t xml:space="preserve">  </w:t>
      </w:r>
      <w:r w:rsidR="002F573F">
        <w:t>The plundering of this UNESCO World Heritage site of its unique butterfly habitat</w:t>
      </w:r>
      <w:r w:rsidR="002F573F">
        <w:t>,</w:t>
      </w:r>
      <w:r w:rsidR="002F573F">
        <w:t xml:space="preserve"> </w:t>
      </w:r>
      <w:r w:rsidR="002F573F">
        <w:t>e</w:t>
      </w:r>
      <w:r w:rsidR="00AD1AE7">
        <w:t xml:space="preserve">nabled by the murder of its most ardent defenders, is </w:t>
      </w:r>
      <w:r w:rsidR="00EE3EC9">
        <w:t xml:space="preserve">a bloody harvest that </w:t>
      </w:r>
      <w:r w:rsidR="00F448FB">
        <w:t>shows little sign of abating</w:t>
      </w:r>
      <w:r w:rsidR="00515FCD">
        <w:t xml:space="preserve">. </w:t>
      </w:r>
    </w:p>
    <w:p w14:paraId="720D47CA" w14:textId="423EA42A" w:rsidR="00680437" w:rsidRDefault="00F448FB" w:rsidP="0073764E">
      <w:pPr>
        <w:ind w:firstLine="720"/>
        <w:jc w:val="both"/>
      </w:pPr>
      <w:r>
        <w:t xml:space="preserve">Non-enforcement of environmental laws linked with human rights abuses against environmental and human rights defenders is </w:t>
      </w:r>
      <w:r w:rsidR="000B743A">
        <w:t>not a problem limited to Mexico. Past c</w:t>
      </w:r>
      <w:r w:rsidR="00037A26">
        <w:t xml:space="preserve">omprehensive reports </w:t>
      </w:r>
      <w:r w:rsidR="000B743A">
        <w:t xml:space="preserve">have </w:t>
      </w:r>
      <w:r w:rsidR="00037A26">
        <w:t>indicate</w:t>
      </w:r>
      <w:r w:rsidR="000B743A">
        <w:t>d</w:t>
      </w:r>
      <w:r w:rsidR="00037A26">
        <w:t xml:space="preserve"> more than half </w:t>
      </w:r>
      <w:r w:rsidR="000B743A">
        <w:t xml:space="preserve">and even as much as 90% </w:t>
      </w:r>
      <w:r w:rsidR="00037A26">
        <w:t>of all timber harvested in Latin America is done illegally</w:t>
      </w:r>
      <w:r w:rsidR="000B743A">
        <w:t>.</w:t>
      </w:r>
      <w:r w:rsidR="00515FCD">
        <w:rPr>
          <w:rStyle w:val="FootnoteReference"/>
        </w:rPr>
        <w:footnoteReference w:id="81"/>
      </w:r>
      <w:r>
        <w:t xml:space="preserve"> </w:t>
      </w:r>
      <w:r w:rsidR="000B743A">
        <w:t xml:space="preserve">While </w:t>
      </w:r>
      <w:r w:rsidR="00037A26">
        <w:t xml:space="preserve">there has been greater enforcement of CITES convention </w:t>
      </w:r>
      <w:r w:rsidR="00037A26">
        <w:lastRenderedPageBreak/>
        <w:t xml:space="preserve">protections for illegally-harvested timber in </w:t>
      </w:r>
      <w:r w:rsidR="000B743A">
        <w:t xml:space="preserve">the U.S. in </w:t>
      </w:r>
      <w:r w:rsidR="00037A26">
        <w:t>recent years</w:t>
      </w:r>
      <w:r w:rsidR="000B743A">
        <w:t>,</w:t>
      </w:r>
      <w:r w:rsidR="00037A26">
        <w:rPr>
          <w:rStyle w:val="FootnoteReference"/>
        </w:rPr>
        <w:footnoteReference w:id="82"/>
      </w:r>
      <w:r w:rsidR="00037A26">
        <w:t xml:space="preserve"> </w:t>
      </w:r>
      <w:r w:rsidR="000B743A">
        <w:t>more effective protections for the human rights of environmental defenders and human rights activists or limiting access to international timber markets may be the only effective mechanism to save the monarch butterfly, a</w:t>
      </w:r>
      <w:r w:rsidR="00A3183C">
        <w:t>bsent greater domestic enforcement in Mexico or a reversal of its declining rule of law, which seems unlikely</w:t>
      </w:r>
      <w:r w:rsidR="000B743A">
        <w:t>.</w:t>
      </w:r>
      <w:r w:rsidR="00A3183C">
        <w:rPr>
          <w:rStyle w:val="FootnoteReference"/>
        </w:rPr>
        <w:footnoteReference w:id="83"/>
      </w:r>
      <w:r w:rsidR="00A3183C">
        <w:t xml:space="preserve"> </w:t>
      </w:r>
      <w:r w:rsidR="003F2235">
        <w:t xml:space="preserve">At the international level, real economic consequences for consumers of </w:t>
      </w:r>
      <w:r w:rsidR="00C6042A">
        <w:t xml:space="preserve">the </w:t>
      </w:r>
      <w:r w:rsidR="003F2235">
        <w:t xml:space="preserve">product of human rights abuses and environmental crimes by cartels and poachers is likely necessary to save monarch butterfly habitat and other UNESCO World Heritage sites in Mexico.  </w:t>
      </w:r>
      <w:r w:rsidR="001019A4">
        <w:t>Increasing support for the identification of the natural persons who are beneficial owners of Mexican corporations is an important step for reducing internal anti-corruption controls.</w:t>
      </w:r>
      <w:r w:rsidR="001019A4">
        <w:rPr>
          <w:rStyle w:val="FootnoteReference"/>
        </w:rPr>
        <w:footnoteReference w:id="84"/>
      </w:r>
      <w:r w:rsidR="001019A4">
        <w:t xml:space="preserve"> </w:t>
      </w:r>
      <w:r w:rsidR="000B743A">
        <w:t xml:space="preserve">Without such protections, </w:t>
      </w:r>
      <w:r w:rsidR="00393C00">
        <w:t xml:space="preserve">the </w:t>
      </w:r>
      <w:r w:rsidR="00A3183C">
        <w:t xml:space="preserve">viability of </w:t>
      </w:r>
      <w:r w:rsidR="000B743A">
        <w:t xml:space="preserve">these </w:t>
      </w:r>
      <w:r w:rsidR="00A3183C">
        <w:t xml:space="preserve">good-faith </w:t>
      </w:r>
      <w:r w:rsidR="00A2060D">
        <w:t xml:space="preserve">efforts of </w:t>
      </w:r>
      <w:r w:rsidR="006E2190">
        <w:t xml:space="preserve">millions of citizens </w:t>
      </w:r>
      <w:r w:rsidR="00A2060D">
        <w:t xml:space="preserve">in </w:t>
      </w:r>
      <w:r w:rsidR="000B743A">
        <w:t>Canada, Mexico, and the United States</w:t>
      </w:r>
      <w:r w:rsidR="00A2060D">
        <w:t xml:space="preserve">, </w:t>
      </w:r>
      <w:r w:rsidR="00A3183C">
        <w:t xml:space="preserve">and </w:t>
      </w:r>
      <w:r w:rsidR="000B743A">
        <w:t xml:space="preserve">those of </w:t>
      </w:r>
      <w:r w:rsidR="00393C00">
        <w:t xml:space="preserve">their </w:t>
      </w:r>
      <w:r w:rsidR="00A2060D">
        <w:t xml:space="preserve">museums, research </w:t>
      </w:r>
      <w:r w:rsidR="006E2190">
        <w:t>institutions, federal and state agencies, and public-private partnerships</w:t>
      </w:r>
      <w:r w:rsidR="00151406">
        <w:t>,</w:t>
      </w:r>
      <w:r w:rsidR="000B743A">
        <w:t xml:space="preserve"> may well be in vain, as </w:t>
      </w:r>
      <w:r w:rsidR="004E47C6">
        <w:t xml:space="preserve">well </w:t>
      </w:r>
      <w:r w:rsidR="000B743A">
        <w:t>may be</w:t>
      </w:r>
      <w:r w:rsidR="00151406">
        <w:t xml:space="preserve"> the </w:t>
      </w:r>
      <w:r w:rsidR="000B743A">
        <w:t xml:space="preserve">broader fight against </w:t>
      </w:r>
      <w:r w:rsidR="00151406">
        <w:t>climate change.</w:t>
      </w:r>
    </w:p>
    <w:p w14:paraId="4481FE9D" w14:textId="151C6D69" w:rsidR="00680437" w:rsidRDefault="00680437" w:rsidP="001610C2">
      <w:pPr>
        <w:jc w:val="both"/>
      </w:pPr>
    </w:p>
    <w:p w14:paraId="7A37DA51" w14:textId="2A4A872E" w:rsidR="00151406" w:rsidRDefault="008D7780" w:rsidP="00D12F32">
      <w:pPr>
        <w:jc w:val="both"/>
        <w:rPr>
          <w:b/>
          <w:bCs/>
        </w:rPr>
      </w:pPr>
      <w:r w:rsidRPr="008D7780">
        <w:rPr>
          <w:b/>
          <w:bCs/>
        </w:rPr>
        <w:t>Conclusion</w:t>
      </w:r>
    </w:p>
    <w:p w14:paraId="0830BBFE" w14:textId="77777777" w:rsidR="00DD6E9C" w:rsidRPr="008D7780" w:rsidRDefault="00DD6E9C" w:rsidP="00D12F32">
      <w:pPr>
        <w:jc w:val="both"/>
        <w:rPr>
          <w:b/>
          <w:bCs/>
        </w:rPr>
      </w:pPr>
    </w:p>
    <w:p w14:paraId="234C5707" w14:textId="0C7FC35F" w:rsidR="008D7780" w:rsidRPr="00C56894" w:rsidRDefault="008D7780" w:rsidP="00CC4666">
      <w:pPr>
        <w:ind w:firstLine="720"/>
        <w:jc w:val="both"/>
      </w:pPr>
      <w:r>
        <w:t>Selective or irregular enforcement of environmental laws threatens vulnerable populations’ right to life and security</w:t>
      </w:r>
      <w:r w:rsidR="00C6042A">
        <w:t xml:space="preserve"> against environmental harms</w:t>
      </w:r>
      <w:r>
        <w:t xml:space="preserve">, and equal </w:t>
      </w:r>
      <w:r w:rsidR="00C6042A">
        <w:t xml:space="preserve">protections </w:t>
      </w:r>
      <w:r>
        <w:t>before the law, relative to competing values of economic development to which they are often rendered subordinate.</w:t>
      </w:r>
      <w:r>
        <w:rPr>
          <w:rStyle w:val="FootnoteReference"/>
        </w:rPr>
        <w:footnoteReference w:id="85"/>
      </w:r>
      <w:r w:rsidR="00CC4666">
        <w:t xml:space="preserve"> P</w:t>
      </w:r>
      <w:r>
        <w:t xml:space="preserve">ersistent efforts </w:t>
      </w:r>
      <w:r w:rsidR="00C6042A">
        <w:t xml:space="preserve">by </w:t>
      </w:r>
      <w:r>
        <w:t>citizens actively campaigning to resist this trend</w:t>
      </w:r>
      <w:r w:rsidR="00CC4666">
        <w:t xml:space="preserve"> may be </w:t>
      </w:r>
      <w:r w:rsidR="00C6042A">
        <w:t>mis</w:t>
      </w:r>
      <w:r w:rsidR="00CC4666">
        <w:t xml:space="preserve">characterized as </w:t>
      </w:r>
      <w:r>
        <w:t xml:space="preserve">competing </w:t>
      </w:r>
      <w:r w:rsidR="00CC4666">
        <w:t xml:space="preserve">with </w:t>
      </w:r>
      <w:r>
        <w:t>economic policy goals</w:t>
      </w:r>
      <w:r w:rsidR="00CC4666">
        <w:t xml:space="preserve">, but </w:t>
      </w:r>
      <w:r w:rsidR="00C6042A">
        <w:t xml:space="preserve">opposition of </w:t>
      </w:r>
      <w:r>
        <w:t xml:space="preserve">economic development </w:t>
      </w:r>
      <w:r w:rsidR="00C6042A">
        <w:t xml:space="preserve">against </w:t>
      </w:r>
      <w:r>
        <w:t xml:space="preserve">the survival of </w:t>
      </w:r>
      <w:r w:rsidR="00CC4666">
        <w:t>human and non-human life</w:t>
      </w:r>
      <w:r w:rsidR="00C6042A">
        <w:t xml:space="preserve"> is a false one</w:t>
      </w:r>
      <w:r>
        <w:t xml:space="preserve">.  </w:t>
      </w:r>
      <w:r w:rsidR="00CC4666">
        <w:t xml:space="preserve">As recent events have shown, </w:t>
      </w:r>
      <w:r>
        <w:t xml:space="preserve">prosperity </w:t>
      </w:r>
      <w:r w:rsidR="00CC4666">
        <w:t xml:space="preserve">is impossible in environments </w:t>
      </w:r>
      <w:r>
        <w:t>generative of ill-health</w:t>
      </w:r>
      <w:r w:rsidR="00C6042A">
        <w:t xml:space="preserve"> from </w:t>
      </w:r>
      <w:r w:rsidR="00412129">
        <w:t>environmental pollution</w:t>
      </w:r>
      <w:r w:rsidR="00C6042A">
        <w:t xml:space="preserve"> </w:t>
      </w:r>
      <w:r w:rsidR="00EE72F4">
        <w:t xml:space="preserve">which impacts </w:t>
      </w:r>
      <w:r w:rsidR="00C6042A">
        <w:t xml:space="preserve">the </w:t>
      </w:r>
      <w:r w:rsidR="00412129">
        <w:t xml:space="preserve">water and air on which </w:t>
      </w:r>
      <w:r w:rsidR="00EE72F4">
        <w:t xml:space="preserve">both </w:t>
      </w:r>
      <w:r>
        <w:t xml:space="preserve">human and non-human life depend. </w:t>
      </w:r>
      <w:r w:rsidR="00C6042A">
        <w:t xml:space="preserve">Without </w:t>
      </w:r>
      <w:r w:rsidR="00412129">
        <w:t>minimum safe levels of air</w:t>
      </w:r>
      <w:r w:rsidR="00C6042A">
        <w:t xml:space="preserve"> and </w:t>
      </w:r>
      <w:r w:rsidR="00412129">
        <w:t xml:space="preserve">water, and by extension, </w:t>
      </w:r>
      <w:r w:rsidR="00C6042A">
        <w:t xml:space="preserve">minimum </w:t>
      </w:r>
      <w:r w:rsidR="00412129">
        <w:t xml:space="preserve">legal protections for human rights and environmental </w:t>
      </w:r>
      <w:r w:rsidR="00C6042A">
        <w:t xml:space="preserve">rights, these will not be </w:t>
      </w:r>
      <w:r w:rsidR="00412129">
        <w:t>reciprocal and mutually reinforcing</w:t>
      </w:r>
      <w:r w:rsidR="00C6042A">
        <w:t>.</w:t>
      </w:r>
      <w:r w:rsidR="00412129">
        <w:t xml:space="preserve"> </w:t>
      </w:r>
      <w:r w:rsidR="00C6042A">
        <w:t xml:space="preserve"> T</w:t>
      </w:r>
      <w:r w:rsidR="00412129">
        <w:t>he rule of law ensure</w:t>
      </w:r>
      <w:r w:rsidR="00C6042A">
        <w:t>s</w:t>
      </w:r>
      <w:r w:rsidR="00412129">
        <w:t xml:space="preserve"> those protections are available in reality and not just on paper.</w:t>
      </w:r>
      <w:r w:rsidR="00412129">
        <w:rPr>
          <w:rStyle w:val="FootnoteReference"/>
        </w:rPr>
        <w:footnoteReference w:id="86"/>
      </w:r>
      <w:r w:rsidR="00412129">
        <w:t xml:space="preserve"> </w:t>
      </w:r>
      <w:r w:rsidR="00EE72F4">
        <w:t xml:space="preserve"> </w:t>
      </w:r>
      <w:r w:rsidR="00C6042A">
        <w:t>N</w:t>
      </w:r>
      <w:r w:rsidR="00412129">
        <w:t xml:space="preserve">either our institutions nor our ecosystems can survive </w:t>
      </w:r>
      <w:r>
        <w:t xml:space="preserve">the regular application of environmental laws for the benefit of </w:t>
      </w:r>
      <w:r w:rsidR="00C6042A">
        <w:t xml:space="preserve">the powerful </w:t>
      </w:r>
      <w:r>
        <w:t xml:space="preserve">at the expense of </w:t>
      </w:r>
      <w:r w:rsidR="00C6042A">
        <w:t xml:space="preserve">the </w:t>
      </w:r>
      <w:r>
        <w:t>vulnerable.  This is not (merely) a policy issue, or an access to justice issue, but a</w:t>
      </w:r>
      <w:r w:rsidR="00C6042A">
        <w:t xml:space="preserve"> </w:t>
      </w:r>
      <w:r>
        <w:t xml:space="preserve">governance and </w:t>
      </w:r>
      <w:r w:rsidR="00C6042A">
        <w:t xml:space="preserve">a </w:t>
      </w:r>
      <w:r>
        <w:t>rule of law issue</w:t>
      </w:r>
      <w:r w:rsidR="00412129">
        <w:t xml:space="preserve">. </w:t>
      </w:r>
      <w:r w:rsidR="00EE72F4">
        <w:t xml:space="preserve">The lack of </w:t>
      </w:r>
      <w:r w:rsidR="00412129">
        <w:t>minimally necessary and equal p</w:t>
      </w:r>
      <w:r>
        <w:t xml:space="preserve">rotections </w:t>
      </w:r>
      <w:r w:rsidR="00EE72F4">
        <w:t xml:space="preserve">against environmental harms to </w:t>
      </w:r>
      <w:r>
        <w:t xml:space="preserve">the security </w:t>
      </w:r>
      <w:r w:rsidR="00EE72F4">
        <w:t xml:space="preserve">and well-being </w:t>
      </w:r>
      <w:r>
        <w:t>of citizens</w:t>
      </w:r>
      <w:r w:rsidR="00EE72F4">
        <w:t xml:space="preserve"> calls into question </w:t>
      </w:r>
      <w:r w:rsidR="00412129">
        <w:t xml:space="preserve">not merely the wisdom of policy choices, but </w:t>
      </w:r>
      <w:r>
        <w:t xml:space="preserve">the legitimacy of the legal system itself.  </w:t>
      </w:r>
      <w:r w:rsidR="00412129">
        <w:t xml:space="preserve">When </w:t>
      </w:r>
      <w:r>
        <w:t xml:space="preserve">laws meant to protect </w:t>
      </w:r>
      <w:r w:rsidR="00412129">
        <w:t xml:space="preserve">vulnerable populations instead </w:t>
      </w:r>
      <w:r w:rsidR="00EE72F4">
        <w:t xml:space="preserve">victimize them and </w:t>
      </w:r>
      <w:r w:rsidR="00412129">
        <w:t>render them more vulnerable</w:t>
      </w:r>
      <w:r>
        <w:t xml:space="preserve">, a necessary precondition for law and order is itself threatened – namely, the social contract </w:t>
      </w:r>
      <w:r w:rsidR="002672E3">
        <w:t xml:space="preserve">upon which </w:t>
      </w:r>
      <w:r w:rsidR="00DD6E9C">
        <w:t xml:space="preserve">peace, order, and </w:t>
      </w:r>
      <w:r w:rsidR="00EE72F4">
        <w:t>good government depend</w:t>
      </w:r>
      <w:r>
        <w:t xml:space="preserve">.  As </w:t>
      </w:r>
      <w:r w:rsidR="00412129">
        <w:lastRenderedPageBreak/>
        <w:t xml:space="preserve">recent </w:t>
      </w:r>
      <w:r>
        <w:t xml:space="preserve">experience has shown, </w:t>
      </w:r>
      <w:r w:rsidR="002672E3">
        <w:t xml:space="preserve">when that contract is broken, </w:t>
      </w:r>
      <w:r w:rsidR="00412129">
        <w:t xml:space="preserve">instability </w:t>
      </w:r>
      <w:r w:rsidR="00DD6E9C">
        <w:t xml:space="preserve">and violence </w:t>
      </w:r>
      <w:r w:rsidR="00412129">
        <w:t>in human societ</w:t>
      </w:r>
      <w:r w:rsidR="00EE72F4">
        <w:t>ies</w:t>
      </w:r>
      <w:r w:rsidR="00412129">
        <w:t xml:space="preserve"> and the natural </w:t>
      </w:r>
      <w:r w:rsidR="002672E3">
        <w:t xml:space="preserve">world </w:t>
      </w:r>
      <w:r w:rsidR="00DD6E9C">
        <w:t xml:space="preserve">are </w:t>
      </w:r>
      <w:r w:rsidR="00412129">
        <w:t>the inevitable result</w:t>
      </w:r>
      <w:r w:rsidR="002672E3">
        <w:t>.</w:t>
      </w:r>
      <w:r w:rsidR="00412129">
        <w:t xml:space="preserve"> </w:t>
      </w:r>
      <w:r w:rsidR="00DD6E9C">
        <w:t>This is why h</w:t>
      </w:r>
      <w:r w:rsidR="002672E3">
        <w:t xml:space="preserve">uman rights abuses and environmental crimes will only be prevented when they are not seen in isolation from </w:t>
      </w:r>
      <w:r w:rsidR="00EE72F4">
        <w:t xml:space="preserve">or in opposition to </w:t>
      </w:r>
      <w:r w:rsidR="00412129">
        <w:t xml:space="preserve">economic </w:t>
      </w:r>
      <w:r w:rsidR="002672E3">
        <w:t xml:space="preserve">development, </w:t>
      </w:r>
      <w:r>
        <w:t xml:space="preserve">but </w:t>
      </w:r>
      <w:r w:rsidR="002672E3">
        <w:t xml:space="preserve">as a </w:t>
      </w:r>
      <w:r>
        <w:t xml:space="preserve">holistic and </w:t>
      </w:r>
      <w:r w:rsidR="00412129">
        <w:t>inextricabl</w:t>
      </w:r>
      <w:r w:rsidR="00EE72F4">
        <w:t>y necessary</w:t>
      </w:r>
      <w:r w:rsidR="00412129">
        <w:t xml:space="preserve"> </w:t>
      </w:r>
      <w:r w:rsidR="002672E3">
        <w:t xml:space="preserve">part of it, through democratic institutions that uphold and affirm, rather than undermine, the rights of all to equally benefit from </w:t>
      </w:r>
      <w:r w:rsidR="0086552A">
        <w:t xml:space="preserve">both </w:t>
      </w:r>
      <w:r w:rsidR="00DD6E9C">
        <w:t xml:space="preserve">human rights </w:t>
      </w:r>
      <w:r w:rsidR="002672E3">
        <w:t>and environment</w:t>
      </w:r>
      <w:r w:rsidR="00DD6E9C">
        <w:t>al protections</w:t>
      </w:r>
      <w:r w:rsidR="002672E3">
        <w:t xml:space="preserve">. </w:t>
      </w:r>
    </w:p>
    <w:sectPr w:rsidR="008D7780" w:rsidRPr="00C56894" w:rsidSect="003C791B">
      <w:pgSz w:w="12240" w:h="15840"/>
      <w:pgMar w:top="900" w:right="126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02C61" w14:textId="77777777" w:rsidR="0030470E" w:rsidRDefault="0030470E" w:rsidP="00C56894">
      <w:r>
        <w:separator/>
      </w:r>
    </w:p>
  </w:endnote>
  <w:endnote w:type="continuationSeparator" w:id="0">
    <w:p w14:paraId="5FF551C1" w14:textId="77777777" w:rsidR="0030470E" w:rsidRDefault="0030470E" w:rsidP="00C5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F1658" w14:textId="77777777" w:rsidR="0030470E" w:rsidRDefault="0030470E" w:rsidP="00C56894">
      <w:r>
        <w:separator/>
      </w:r>
    </w:p>
  </w:footnote>
  <w:footnote w:type="continuationSeparator" w:id="0">
    <w:p w14:paraId="0627D3CB" w14:textId="77777777" w:rsidR="0030470E" w:rsidRDefault="0030470E" w:rsidP="00C56894">
      <w:r>
        <w:continuationSeparator/>
      </w:r>
    </w:p>
  </w:footnote>
  <w:footnote w:id="1">
    <w:p w14:paraId="244CCF5B" w14:textId="1BFDB67E" w:rsidR="006B1E44" w:rsidRDefault="006B1E44">
      <w:pPr>
        <w:pStyle w:val="FootnoteText"/>
      </w:pPr>
      <w:r>
        <w:rPr>
          <w:rStyle w:val="FootnoteReference"/>
        </w:rPr>
        <w:footnoteRef/>
      </w:r>
      <w:r>
        <w:t xml:space="preserve"> Submission prepared by William B. Shipley, Esq., Program Manager of the Human Rights and Poverty Alleviation Program of the Centre for International Sustainable Development Law</w:t>
      </w:r>
      <w:r w:rsidR="009B2A31">
        <w:t>, submitted June 15, 2020.</w:t>
      </w:r>
    </w:p>
  </w:footnote>
  <w:footnote w:id="2">
    <w:p w14:paraId="1B44973A" w14:textId="7E77C584" w:rsidR="00F81BC5" w:rsidRPr="00DC7945" w:rsidRDefault="00F81BC5" w:rsidP="00F81BC5">
      <w:pPr>
        <w:pStyle w:val="FootnoteText"/>
        <w:jc w:val="both"/>
      </w:pPr>
      <w:r>
        <w:rPr>
          <w:rStyle w:val="FootnoteReference"/>
        </w:rPr>
        <w:footnoteRef/>
      </w:r>
      <w:r>
        <w:t xml:space="preserve"> Yellowstone National Park in 1872, via the </w:t>
      </w:r>
      <w:r>
        <w:rPr>
          <w:i/>
          <w:iCs/>
        </w:rPr>
        <w:t xml:space="preserve">Yellowstone Act </w:t>
      </w:r>
      <w:r>
        <w:t>(U.S.C. title 16, sec. 21), online (</w:t>
      </w:r>
      <w:hyperlink r:id="rId1" w:history="1">
        <w:r w:rsidRPr="000575F1">
          <w:rPr>
            <w:rStyle w:val="Hyperlink"/>
          </w:rPr>
          <w:t>www.nps.gov</w:t>
        </w:r>
      </w:hyperlink>
      <w:r>
        <w:t>).</w:t>
      </w:r>
    </w:p>
  </w:footnote>
  <w:footnote w:id="3">
    <w:p w14:paraId="53542A21" w14:textId="5FD883C5" w:rsidR="00F81BC5" w:rsidRDefault="00F81BC5" w:rsidP="00F81BC5">
      <w:pPr>
        <w:pStyle w:val="FootnoteText"/>
        <w:jc w:val="both"/>
      </w:pPr>
      <w:r>
        <w:rPr>
          <w:rStyle w:val="FootnoteReference"/>
        </w:rPr>
        <w:footnoteRef/>
      </w:r>
      <w:r>
        <w:t xml:space="preserve"> The </w:t>
      </w:r>
      <w:r w:rsidRPr="00BF41DF">
        <w:rPr>
          <w:i/>
          <w:iCs/>
        </w:rPr>
        <w:t>Lacey Act</w:t>
      </w:r>
      <w:r>
        <w:t xml:space="preserve"> of 1900, </w:t>
      </w:r>
      <w:r w:rsidRPr="00C56894">
        <w:t>16 U.S.C. §§ 3371–3378</w:t>
      </w:r>
      <w:r>
        <w:t xml:space="preserve">, </w:t>
      </w:r>
      <w:r w:rsidRPr="00C56894">
        <w:t xml:space="preserve">amended by the </w:t>
      </w:r>
      <w:r w:rsidRPr="00BF41DF">
        <w:rPr>
          <w:i/>
          <w:iCs/>
        </w:rPr>
        <w:t>Food, Conservation, and Energy Act</w:t>
      </w:r>
      <w:r w:rsidRPr="00C56894">
        <w:t xml:space="preserve"> of 2008 (</w:t>
      </w:r>
      <w:proofErr w:type="spellStart"/>
      <w:r w:rsidRPr="00C56894">
        <w:t>Pub.L</w:t>
      </w:r>
      <w:proofErr w:type="spellEnd"/>
      <w:r w:rsidRPr="00C56894">
        <w:t>. 110–234, H.R. 2419, 122 Stat. 923, enacted May 22, 2008</w:t>
      </w:r>
      <w:r>
        <w:t xml:space="preserve">) which </w:t>
      </w:r>
      <w:r w:rsidRPr="00C56894">
        <w:t>expanded its protection to a broader range of plants and plant products (Sec</w:t>
      </w:r>
      <w:r>
        <w:t>.</w:t>
      </w:r>
      <w:r w:rsidRPr="00C56894">
        <w:t xml:space="preserve"> 8204. Prevention of Illegal Logging Practices)</w:t>
      </w:r>
      <w:r>
        <w:t>.</w:t>
      </w:r>
    </w:p>
  </w:footnote>
  <w:footnote w:id="4">
    <w:p w14:paraId="0485B890" w14:textId="74E31F4F" w:rsidR="00F81BC5" w:rsidRDefault="00F81BC5" w:rsidP="00F81BC5">
      <w:pPr>
        <w:pStyle w:val="FootnoteText"/>
        <w:jc w:val="both"/>
      </w:pPr>
      <w:r>
        <w:rPr>
          <w:rStyle w:val="FootnoteReference"/>
        </w:rPr>
        <w:footnoteRef/>
      </w:r>
      <w:r>
        <w:t xml:space="preserve"> </w:t>
      </w:r>
      <w:r w:rsidRPr="00E41BBA">
        <w:rPr>
          <w:i/>
          <w:iCs/>
        </w:rPr>
        <w:t>Convention Between The United States And Great Britain For The Protection Of Migratory Birds</w:t>
      </w:r>
      <w:r w:rsidRPr="00051282">
        <w:t xml:space="preserve"> </w:t>
      </w:r>
      <w:r>
        <w:t xml:space="preserve">(16 August 1916) </w:t>
      </w:r>
      <w:r w:rsidRPr="00051282">
        <w:t>U.S.T.S. No. 628</w:t>
      </w:r>
      <w:r>
        <w:t xml:space="preserve">, 11:2 </w:t>
      </w:r>
      <w:r w:rsidRPr="00051282">
        <w:rPr>
          <w:i/>
          <w:iCs/>
        </w:rPr>
        <w:t>Am J Int</w:t>
      </w:r>
      <w:r>
        <w:rPr>
          <w:i/>
          <w:iCs/>
        </w:rPr>
        <w:t xml:space="preserve"> </w:t>
      </w:r>
      <w:r w:rsidRPr="00051282">
        <w:rPr>
          <w:i/>
          <w:iCs/>
        </w:rPr>
        <w:t>Law</w:t>
      </w:r>
      <w:r w:rsidRPr="00051282">
        <w:t>, Supplement: Official Documents (Apr., 1917), pp. 62-66</w:t>
      </w:r>
      <w:r>
        <w:t xml:space="preserve">; enacted in the U.S. by the </w:t>
      </w:r>
      <w:r w:rsidRPr="00051282">
        <w:rPr>
          <w:i/>
          <w:iCs/>
        </w:rPr>
        <w:t>Migratory Bird Treaty Act</w:t>
      </w:r>
      <w:r>
        <w:rPr>
          <w:i/>
          <w:iCs/>
        </w:rPr>
        <w:t xml:space="preserve"> </w:t>
      </w:r>
      <w:r>
        <w:t>of 1918</w:t>
      </w:r>
      <w:r w:rsidRPr="00051282">
        <w:t xml:space="preserve">, </w:t>
      </w:r>
      <w:r>
        <w:t xml:space="preserve">40 Stat. 755, </w:t>
      </w:r>
      <w:r w:rsidRPr="00051282">
        <w:t>16 U.S.C. §§ 703–712</w:t>
      </w:r>
      <w:r>
        <w:t>;</w:t>
      </w:r>
      <w:r w:rsidRPr="00051282">
        <w:t xml:space="preserve"> </w:t>
      </w:r>
      <w:r>
        <w:t xml:space="preserve">see also </w:t>
      </w:r>
      <w:r w:rsidRPr="00051282">
        <w:rPr>
          <w:i/>
          <w:iCs/>
        </w:rPr>
        <w:t>Missouri v. Holland</w:t>
      </w:r>
      <w:r w:rsidRPr="00051282">
        <w:t>, 252 U.S. 416 (1920)</w:t>
      </w:r>
      <w:r>
        <w:t xml:space="preserve"> (Holmes, J.) (upholding the constitutionality of the Treaty and its legislation); </w:t>
      </w:r>
      <w:r w:rsidRPr="00E41BBA">
        <w:rPr>
          <w:i/>
          <w:iCs/>
        </w:rPr>
        <w:t>Solid Waste Agency of Northern Cook County v. United States Army Corps of Engineers</w:t>
      </w:r>
      <w:r w:rsidRPr="00E41BBA">
        <w:t>, 531 US 159 (2001)</w:t>
      </w:r>
      <w:r>
        <w:t xml:space="preserve"> (limiting </w:t>
      </w:r>
      <w:r w:rsidRPr="00DC7945">
        <w:rPr>
          <w:i/>
          <w:iCs/>
        </w:rPr>
        <w:t>Clean Water Act</w:t>
      </w:r>
      <w:r>
        <w:t xml:space="preserve">’s protections to “navigable waters” notwithstanding migratory birds’ use of intrastate waters). For biodiversity treaties in force and related legislation, see the </w:t>
      </w:r>
      <w:r w:rsidRPr="00561074">
        <w:t>U.S. Fish and Wildlife Service, "Digest of Federal Resource Laws of Interest to the U.S. Fish and Wildlife</w:t>
      </w:r>
      <w:r>
        <w:t xml:space="preserve"> </w:t>
      </w:r>
      <w:r w:rsidRPr="00561074">
        <w:t>Service</w:t>
      </w:r>
      <w:r>
        <w:t>,</w:t>
      </w:r>
      <w:r w:rsidRPr="00561074">
        <w:t>"</w:t>
      </w:r>
      <w:r>
        <w:t xml:space="preserve"> online: </w:t>
      </w:r>
      <w:r w:rsidRPr="00561074">
        <w:t>(</w:t>
      </w:r>
      <w:hyperlink r:id="rId2" w:anchor=":~:text=CITES%20was%20signed%20by%2080,force%20on%20July%201%2C%201975." w:history="1">
        <w:r w:rsidRPr="000575F1">
          <w:rPr>
            <w:rStyle w:val="Hyperlink"/>
          </w:rPr>
          <w:t>https://www.fws.gov/laws/lawsdigest/treaty.html</w:t>
        </w:r>
      </w:hyperlink>
      <w:r w:rsidRPr="00561074">
        <w:t>) [accessed June 2020]</w:t>
      </w:r>
      <w:r>
        <w:t>.</w:t>
      </w:r>
    </w:p>
  </w:footnote>
  <w:footnote w:id="5">
    <w:p w14:paraId="766A8CA2" w14:textId="10440E16" w:rsidR="00F81BC5" w:rsidRPr="00DC7945" w:rsidRDefault="00F81BC5" w:rsidP="00F81BC5">
      <w:pPr>
        <w:pStyle w:val="FootnoteText"/>
        <w:jc w:val="both"/>
      </w:pPr>
      <w:r>
        <w:rPr>
          <w:rStyle w:val="FootnoteReference"/>
        </w:rPr>
        <w:footnoteRef/>
      </w:r>
      <w:r>
        <w:t xml:space="preserve"> </w:t>
      </w:r>
      <w:r w:rsidRPr="00A961D3">
        <w:rPr>
          <w:i/>
          <w:iCs/>
        </w:rPr>
        <w:t>Treaty Between the United States and Great Britain Relating to Boundary Waters between the United States and Canada</w:t>
      </w:r>
      <w:r>
        <w:t>, United Kingdom-U.S., Jan. 11, 1909, 36 Stat. 2448, T.S. 548.</w:t>
      </w:r>
      <w:r w:rsidRPr="00821290">
        <w:t xml:space="preserve"> </w:t>
      </w:r>
      <w:r>
        <w:t xml:space="preserve">For other environmental treaties and their respective ratification and entry into force, see </w:t>
      </w:r>
      <w:r w:rsidRPr="00390EA0">
        <w:t>U.S. Environmental Protection Agency [EPA] "Selected Multilateral Environmental Instruments In Force for the U.S.", online</w:t>
      </w:r>
      <w:r>
        <w:t>:</w:t>
      </w:r>
      <w:r w:rsidRPr="00390EA0">
        <w:t xml:space="preserve"> (</w:t>
      </w:r>
      <w:hyperlink r:id="rId3" w:history="1">
        <w:r w:rsidRPr="000575F1">
          <w:rPr>
            <w:rStyle w:val="Hyperlink"/>
          </w:rPr>
          <w:t>https://www.epa.gov/international-cooperation/selected-multilateral-environmental-instruments-force-us</w:t>
        </w:r>
      </w:hyperlink>
      <w:r w:rsidRPr="00390EA0">
        <w:t>)</w:t>
      </w:r>
      <w:r>
        <w:t>.</w:t>
      </w:r>
    </w:p>
  </w:footnote>
  <w:footnote w:id="6">
    <w:p w14:paraId="63CF789B" w14:textId="032043CD" w:rsidR="00F81BC5" w:rsidRPr="0068745D" w:rsidRDefault="00F81BC5" w:rsidP="00F81BC5">
      <w:pPr>
        <w:pStyle w:val="FootnoteText"/>
        <w:jc w:val="both"/>
      </w:pPr>
      <w:r>
        <w:rPr>
          <w:rStyle w:val="FootnoteReference"/>
        </w:rPr>
        <w:footnoteRef/>
      </w:r>
      <w:r>
        <w:t xml:space="preserve"> The International Joint Commission under by the </w:t>
      </w:r>
      <w:r>
        <w:rPr>
          <w:i/>
          <w:iCs/>
        </w:rPr>
        <w:t>Boundary Waters Treaty</w:t>
      </w:r>
      <w:r>
        <w:t xml:space="preserve"> has resolved over 100 environmental disputes since its inception; “History of the ICJ,” online (</w:t>
      </w:r>
      <w:hyperlink r:id="rId4" w:history="1">
        <w:r>
          <w:rPr>
            <w:rStyle w:val="Hyperlink"/>
          </w:rPr>
          <w:t>https://www.ijc.org/en/who/history</w:t>
        </w:r>
      </w:hyperlink>
      <w:r>
        <w:t>) [accessed June 2020].</w:t>
      </w:r>
    </w:p>
  </w:footnote>
  <w:footnote w:id="7">
    <w:p w14:paraId="236ABCAF" w14:textId="1DDD1C97" w:rsidR="00F81BC5" w:rsidRDefault="00F81BC5" w:rsidP="00F81BC5">
      <w:pPr>
        <w:pStyle w:val="FootnoteText"/>
        <w:jc w:val="both"/>
      </w:pPr>
      <w:r>
        <w:rPr>
          <w:rStyle w:val="FootnoteReference"/>
        </w:rPr>
        <w:footnoteRef/>
      </w:r>
      <w:r>
        <w:t xml:space="preserve"> See generally UN OHCHR, “United States of America Common Core document forming part of the reports of State Parties to International Human Rights Instruments”</w:t>
      </w:r>
      <w:r w:rsidRPr="00390EA0">
        <w:t xml:space="preserve"> </w:t>
      </w:r>
      <w:r>
        <w:t xml:space="preserve">(30 Dec 2011), UN Doc HRI/CORE/USA/2011 and Annex. </w:t>
      </w:r>
    </w:p>
  </w:footnote>
  <w:footnote w:id="8">
    <w:p w14:paraId="48474425" w14:textId="45076216" w:rsidR="00F81BC5" w:rsidRPr="007B1407" w:rsidRDefault="00F81BC5" w:rsidP="00F81BC5">
      <w:pPr>
        <w:pStyle w:val="FootnoteText"/>
        <w:jc w:val="both"/>
      </w:pPr>
      <w:r>
        <w:rPr>
          <w:rStyle w:val="FootnoteReference"/>
        </w:rPr>
        <w:footnoteRef/>
      </w:r>
      <w:r>
        <w:t xml:space="preserve"> </w:t>
      </w:r>
      <w:r>
        <w:rPr>
          <w:i/>
          <w:iCs/>
        </w:rPr>
        <w:t>Ibid</w:t>
      </w:r>
      <w:r>
        <w:t>.</w:t>
      </w:r>
      <w:r>
        <w:rPr>
          <w:i/>
          <w:iCs/>
        </w:rPr>
        <w:t xml:space="preserve"> </w:t>
      </w:r>
      <w:r>
        <w:t>at para. 105..</w:t>
      </w:r>
    </w:p>
  </w:footnote>
  <w:footnote w:id="9">
    <w:p w14:paraId="31EE1921" w14:textId="7C9313E2" w:rsidR="00F81BC5" w:rsidRDefault="00F81BC5" w:rsidP="00F81BC5">
      <w:pPr>
        <w:pStyle w:val="FootnoteText"/>
        <w:jc w:val="both"/>
      </w:pPr>
      <w:r>
        <w:rPr>
          <w:rStyle w:val="FootnoteReference"/>
        </w:rPr>
        <w:footnoteRef/>
      </w:r>
      <w:r>
        <w:t xml:space="preserve"> 19 Dec 1966, 999 UNTS 171, </w:t>
      </w:r>
      <w:r w:rsidRPr="007265C0">
        <w:t>TIAS 92-908</w:t>
      </w:r>
      <w:r>
        <w:t xml:space="preserve"> (entered into force 23 Mar 1976). </w:t>
      </w:r>
    </w:p>
  </w:footnote>
  <w:footnote w:id="10">
    <w:p w14:paraId="19ACEC39" w14:textId="7DB15F09" w:rsidR="00F81BC5" w:rsidRDefault="00F81BC5" w:rsidP="00F81BC5">
      <w:pPr>
        <w:pStyle w:val="FootnoteText"/>
        <w:jc w:val="both"/>
      </w:pPr>
      <w:r>
        <w:rPr>
          <w:rStyle w:val="FootnoteReference"/>
        </w:rPr>
        <w:footnoteRef/>
      </w:r>
      <w:r>
        <w:t xml:space="preserve"> 7 Mar 1966, 660 UNTS 195, TIAS 94-1120 (entered into force 4 Jan 1969). </w:t>
      </w:r>
    </w:p>
  </w:footnote>
  <w:footnote w:id="11">
    <w:p w14:paraId="70A510CA" w14:textId="447120FB" w:rsidR="00F81BC5" w:rsidRDefault="00F81BC5" w:rsidP="00F81BC5">
      <w:pPr>
        <w:pStyle w:val="FootnoteText"/>
        <w:jc w:val="both"/>
      </w:pPr>
      <w:r>
        <w:rPr>
          <w:rStyle w:val="FootnoteReference"/>
        </w:rPr>
        <w:footnoteRef/>
      </w:r>
      <w:r>
        <w:t xml:space="preserve"> For a complete list of U.S. bilateral and multilateral treaties in force as of January 2019, see U.S. Department of State, “Treaties in Force” (1 Jan 2019), online: (</w:t>
      </w:r>
      <w:hyperlink r:id="rId5" w:history="1">
        <w:r w:rsidRPr="000575F1">
          <w:rPr>
            <w:rStyle w:val="Hyperlink"/>
          </w:rPr>
          <w:t>https://www.state.gov/treaties-in-force/</w:t>
        </w:r>
      </w:hyperlink>
      <w:r>
        <w:t>) [accessed June 2020].</w:t>
      </w:r>
    </w:p>
  </w:footnote>
  <w:footnote w:id="12">
    <w:p w14:paraId="3C838F1C" w14:textId="3D7D8D60" w:rsidR="00F81BC5" w:rsidRPr="009E1E73" w:rsidRDefault="00F81BC5" w:rsidP="00F81BC5">
      <w:pPr>
        <w:pStyle w:val="FootnoteText"/>
        <w:ind w:right="-90"/>
        <w:jc w:val="both"/>
      </w:pPr>
      <w:r>
        <w:rPr>
          <w:rStyle w:val="FootnoteReference"/>
        </w:rPr>
        <w:footnoteRef/>
      </w:r>
      <w:r>
        <w:t xml:space="preserve"> Art. 2 (State parties undertake to respect and ensure the rights in the Covenant “</w:t>
      </w:r>
      <w:r w:rsidRPr="007A1BDA">
        <w:t xml:space="preserve">without distinction of any kind, such as race, </w:t>
      </w:r>
      <w:proofErr w:type="spellStart"/>
      <w:r w:rsidRPr="007A1BDA">
        <w:t>colour</w:t>
      </w:r>
      <w:proofErr w:type="spellEnd"/>
      <w:r w:rsidRPr="007A1BDA">
        <w:t>, sex, language, religion, political or other opinion, national or social origin, property, birth or other status.</w:t>
      </w:r>
      <w:r>
        <w:t xml:space="preserve">”), Art. 25(a) (right to </w:t>
      </w:r>
      <w:r w:rsidRPr="00286138">
        <w:rPr>
          <w:rStyle w:val="fontstyle01"/>
          <w:rFonts w:ascii="Times New Roman" w:hAnsi="Times New Roman" w:cs="Times New Roman"/>
          <w:sz w:val="20"/>
          <w:szCs w:val="20"/>
        </w:rPr>
        <w:t>take part in conduct of public affairs</w:t>
      </w:r>
      <w:r>
        <w:rPr>
          <w:rStyle w:val="fontstyle01"/>
          <w:rFonts w:ascii="Times New Roman" w:hAnsi="Times New Roman" w:cs="Times New Roman"/>
          <w:sz w:val="20"/>
          <w:szCs w:val="20"/>
        </w:rPr>
        <w:t xml:space="preserve">), </w:t>
      </w:r>
      <w:r>
        <w:t>Art. 25</w:t>
      </w:r>
      <w:r w:rsidRPr="00286138">
        <w:rPr>
          <w:rStyle w:val="fontstyle01"/>
          <w:rFonts w:ascii="Times New Roman" w:hAnsi="Times New Roman" w:cs="Times New Roman"/>
          <w:sz w:val="20"/>
          <w:szCs w:val="20"/>
        </w:rPr>
        <w:t>(c)</w:t>
      </w:r>
      <w:r>
        <w:rPr>
          <w:rStyle w:val="fontstyle01"/>
          <w:rFonts w:ascii="Times New Roman" w:hAnsi="Times New Roman" w:cs="Times New Roman"/>
          <w:sz w:val="20"/>
          <w:szCs w:val="20"/>
        </w:rPr>
        <w:t xml:space="preserve"> (right to</w:t>
      </w:r>
      <w:r w:rsidRPr="007A1BDA">
        <w:t xml:space="preserve"> </w:t>
      </w:r>
      <w:r w:rsidRPr="007A1BDA">
        <w:rPr>
          <w:rStyle w:val="fontstyle01"/>
          <w:rFonts w:ascii="Times New Roman" w:hAnsi="Times New Roman" w:cs="Times New Roman"/>
          <w:sz w:val="20"/>
          <w:szCs w:val="20"/>
        </w:rPr>
        <w:t>access</w:t>
      </w:r>
      <w:r>
        <w:rPr>
          <w:rStyle w:val="fontstyle01"/>
          <w:rFonts w:ascii="Times New Roman" w:hAnsi="Times New Roman" w:cs="Times New Roman"/>
          <w:sz w:val="20"/>
          <w:szCs w:val="20"/>
        </w:rPr>
        <w:t xml:space="preserve"> </w:t>
      </w:r>
      <w:r w:rsidRPr="007A1BDA">
        <w:rPr>
          <w:rStyle w:val="fontstyle01"/>
          <w:rFonts w:ascii="Times New Roman" w:hAnsi="Times New Roman" w:cs="Times New Roman"/>
          <w:sz w:val="20"/>
          <w:szCs w:val="20"/>
        </w:rPr>
        <w:t>public service</w:t>
      </w:r>
      <w:r>
        <w:rPr>
          <w:rStyle w:val="fontstyle01"/>
          <w:rFonts w:ascii="Times New Roman" w:hAnsi="Times New Roman" w:cs="Times New Roman"/>
          <w:sz w:val="20"/>
          <w:szCs w:val="20"/>
        </w:rPr>
        <w:t>s “</w:t>
      </w:r>
      <w:r w:rsidRPr="007A1BDA">
        <w:rPr>
          <w:rStyle w:val="fontstyle01"/>
          <w:rFonts w:ascii="Times New Roman" w:hAnsi="Times New Roman" w:cs="Times New Roman"/>
          <w:sz w:val="20"/>
          <w:szCs w:val="20"/>
        </w:rPr>
        <w:t>on general terms of equality</w:t>
      </w:r>
      <w:r>
        <w:rPr>
          <w:rStyle w:val="fontstyle01"/>
          <w:rFonts w:ascii="Times New Roman" w:hAnsi="Times New Roman" w:cs="Times New Roman"/>
          <w:sz w:val="20"/>
          <w:szCs w:val="20"/>
        </w:rPr>
        <w:t xml:space="preserve">”), Art. </w:t>
      </w:r>
      <w:r>
        <w:t>26 (</w:t>
      </w:r>
      <w:r w:rsidRPr="000C5621">
        <w:t>persons equal before the law and entitled to equal protection of the law</w:t>
      </w:r>
      <w:r>
        <w:t>), Art. 27 (ethnic, religious, or linguistic minority communities’ right to enjoy culture, practice religion, and use language).</w:t>
      </w:r>
    </w:p>
  </w:footnote>
  <w:footnote w:id="13">
    <w:p w14:paraId="7BD119F0" w14:textId="57241513" w:rsidR="00F81BC5" w:rsidRDefault="00F81BC5" w:rsidP="00F81BC5">
      <w:pPr>
        <w:pStyle w:val="FootnoteText"/>
        <w:jc w:val="both"/>
      </w:pPr>
      <w:r>
        <w:rPr>
          <w:rStyle w:val="FootnoteReference"/>
        </w:rPr>
        <w:footnoteRef/>
      </w:r>
      <w:r>
        <w:t xml:space="preserve"> CERD Art. 5 (equality before the law); Art.5(b) (security of the person and protection from bodily harm); Art. 5(e)(iv) (equal right to public health and social services);</w:t>
      </w:r>
      <w:r w:rsidRPr="000C5621">
        <w:t xml:space="preserve"> </w:t>
      </w:r>
      <w:r>
        <w:t xml:space="preserve">Art.5(f) (right of access to public places and services intended for general use); Art. 5(c) (public participation rights); Art. 6 (access to judicial remedies); Art. </w:t>
      </w:r>
      <w:r w:rsidRPr="009E65BE">
        <w:t>7 (</w:t>
      </w:r>
      <w:r w:rsidRPr="009E65BE">
        <w:rPr>
          <w:rStyle w:val="fontstyle01"/>
          <w:rFonts w:ascii="Times New Roman" w:hAnsi="Times New Roman" w:cs="Times New Roman"/>
          <w:sz w:val="20"/>
          <w:szCs w:val="20"/>
        </w:rPr>
        <w:t>promoting understanding, tolerance and friendship among nations and racial or ethnical groups</w:t>
      </w:r>
      <w:r>
        <w:rPr>
          <w:rStyle w:val="fontstyle01"/>
          <w:rFonts w:ascii="Times New Roman" w:hAnsi="Times New Roman" w:cs="Times New Roman"/>
          <w:sz w:val="20"/>
          <w:szCs w:val="20"/>
        </w:rPr>
        <w:t>); see also</w:t>
      </w:r>
      <w:r w:rsidRPr="001B01E8">
        <w:t xml:space="preserve"> </w:t>
      </w:r>
      <w:r w:rsidRPr="00EA264C">
        <w:t xml:space="preserve">CERD </w:t>
      </w:r>
      <w:r w:rsidRPr="00F81BC5">
        <w:t>General Recommendation No. 23</w:t>
      </w:r>
      <w:r w:rsidRPr="00B74B12">
        <w:rPr>
          <w:i/>
          <w:iCs/>
        </w:rPr>
        <w:t xml:space="preserve"> </w:t>
      </w:r>
      <w:r w:rsidRPr="00F81BC5">
        <w:t>(on the rights of indigenous peoples</w:t>
      </w:r>
      <w:r>
        <w:t xml:space="preserve">), UN Doc CERD/C/GC/23 (1997) at paras. 4-6; </w:t>
      </w:r>
      <w:r w:rsidRPr="00EA264C">
        <w:t>CERD Gen</w:t>
      </w:r>
      <w:r>
        <w:t xml:space="preserve">eral </w:t>
      </w:r>
      <w:r w:rsidRPr="00EA264C">
        <w:t xml:space="preserve">Recommendation No. 34, </w:t>
      </w:r>
      <w:r w:rsidRPr="001B01E8">
        <w:rPr>
          <w:i/>
          <w:iCs/>
        </w:rPr>
        <w:t>Racial discrimination against people of African descent</w:t>
      </w:r>
      <w:r>
        <w:t>,</w:t>
      </w:r>
      <w:r w:rsidRPr="001B01E8">
        <w:t xml:space="preserve"> </w:t>
      </w:r>
      <w:r w:rsidRPr="00EA264C">
        <w:t xml:space="preserve">UN Doc CERD/C/GC/34 (2011) at paras. </w:t>
      </w:r>
      <w:r>
        <w:t xml:space="preserve">6, 25, 35; CERD General Recommendation No. 30, </w:t>
      </w:r>
      <w:r w:rsidRPr="001B01E8">
        <w:rPr>
          <w:i/>
          <w:iCs/>
        </w:rPr>
        <w:t>Discrimination against Non-citizens</w:t>
      </w:r>
      <w:r w:rsidRPr="001B01E8">
        <w:t>, UN Doc CERD/C/64/Misc.11/rev.3 (2004)</w:t>
      </w:r>
      <w:r>
        <w:t xml:space="preserve"> at paras. 7, 18, 36, and 38.</w:t>
      </w:r>
    </w:p>
  </w:footnote>
  <w:footnote w:id="14">
    <w:p w14:paraId="1321A695" w14:textId="342FC412" w:rsidR="00F81BC5" w:rsidRDefault="00F81BC5" w:rsidP="00F81BC5">
      <w:pPr>
        <w:pStyle w:val="FootnoteText"/>
        <w:jc w:val="both"/>
      </w:pPr>
      <w:r>
        <w:rPr>
          <w:rStyle w:val="FootnoteReference"/>
        </w:rPr>
        <w:footnoteRef/>
      </w:r>
      <w:r>
        <w:t xml:space="preserve"> </w:t>
      </w:r>
      <w:r w:rsidRPr="000D40D2">
        <w:rPr>
          <w:rFonts w:ascii="TimesNewRomanPSMT" w:hAnsi="TimesNewRomanPSMT"/>
          <w:color w:val="000000"/>
        </w:rPr>
        <w:t xml:space="preserve">Exec. Order No. 12,898, 3 C.F.R. § 859 (1995), </w:t>
      </w:r>
      <w:r w:rsidRPr="000D40D2">
        <w:rPr>
          <w:rFonts w:ascii="TimesNewRomanPS-ItalicMT" w:hAnsi="TimesNewRomanPS-ItalicMT"/>
          <w:i/>
          <w:iCs/>
          <w:color w:val="000000"/>
        </w:rPr>
        <w:t xml:space="preserve">reprinted as amended </w:t>
      </w:r>
      <w:r w:rsidRPr="000D40D2">
        <w:rPr>
          <w:rFonts w:ascii="TimesNewRomanPSMT" w:hAnsi="TimesNewRomanPSMT"/>
          <w:color w:val="000000"/>
        </w:rPr>
        <w:t>in 42 U.S.C. § 4321 (hereinafter “</w:t>
      </w:r>
      <w:r>
        <w:rPr>
          <w:rFonts w:ascii="TimesNewRomanPSMT" w:hAnsi="TimesNewRomanPSMT"/>
          <w:color w:val="000000"/>
        </w:rPr>
        <w:t>Environmental Justice E.O.</w:t>
      </w:r>
      <w:r w:rsidRPr="000D40D2">
        <w:rPr>
          <w:rFonts w:ascii="TimesNewRomanPSMT" w:hAnsi="TimesNewRomanPSMT"/>
          <w:color w:val="000000"/>
        </w:rPr>
        <w:t>”)</w:t>
      </w:r>
      <w:r>
        <w:rPr>
          <w:rFonts w:ascii="TimesNewRomanPSMT" w:hAnsi="TimesNewRomanPSMT"/>
          <w:color w:val="000000"/>
        </w:rPr>
        <w:t>, (</w:t>
      </w:r>
      <w:proofErr w:type="spellStart"/>
      <w:r>
        <w:rPr>
          <w:rFonts w:ascii="TimesNewRomanPSMT" w:hAnsi="TimesNewRomanPSMT"/>
          <w:color w:val="000000"/>
        </w:rPr>
        <w:t>amm</w:t>
      </w:r>
      <w:proofErr w:type="spellEnd"/>
      <w:r>
        <w:rPr>
          <w:rFonts w:ascii="TimesNewRomanPSMT" w:hAnsi="TimesNewRomanPSMT"/>
          <w:color w:val="000000"/>
        </w:rPr>
        <w:t xml:space="preserve">. </w:t>
      </w:r>
      <w:r w:rsidRPr="00773B23">
        <w:rPr>
          <w:rFonts w:ascii="TimesNewRomanPSMT" w:hAnsi="TimesNewRomanPSMT"/>
          <w:color w:val="000000"/>
        </w:rPr>
        <w:t>59 FR 7629 (Feb. 16, 1994)</w:t>
      </w:r>
      <w:r>
        <w:rPr>
          <w:rFonts w:ascii="TimesNewRomanPSMT" w:hAnsi="TimesNewRomanPSMT"/>
          <w:color w:val="000000"/>
        </w:rPr>
        <w:t>).</w:t>
      </w:r>
    </w:p>
  </w:footnote>
  <w:footnote w:id="15">
    <w:p w14:paraId="7FA258EE" w14:textId="77777777" w:rsidR="00F81BC5" w:rsidRDefault="00F81BC5" w:rsidP="00F81BC5">
      <w:pPr>
        <w:pStyle w:val="FootnoteText"/>
        <w:jc w:val="both"/>
      </w:pPr>
      <w:r>
        <w:rPr>
          <w:rStyle w:val="FootnoteReference"/>
        </w:rPr>
        <w:footnoteRef/>
      </w:r>
      <w:r>
        <w:t xml:space="preserve"> 42 U.S.C. §2000(d), Sec. 601 (</w:t>
      </w:r>
      <w:r w:rsidRPr="00965900">
        <w:t>“no person in the United States shall, on the ground of race, color, or national origin, be excluded from participation in, be denied the benefits of, or be subjected to discrimination under any program or activity receiving federal financial assistance”</w:t>
      </w:r>
      <w:r>
        <w:t xml:space="preserve">) and Sec. 602 (directing </w:t>
      </w:r>
      <w:r w:rsidRPr="00965900">
        <w:t xml:space="preserve">agencies distributing federal funds to </w:t>
      </w:r>
      <w:r>
        <w:t xml:space="preserve">implement Sec. </w:t>
      </w:r>
      <w:r w:rsidRPr="00965900">
        <w:t>601</w:t>
      </w:r>
      <w:r>
        <w:t xml:space="preserve"> with regulations and </w:t>
      </w:r>
      <w:r w:rsidRPr="00965900">
        <w:t xml:space="preserve">mechanism for processing </w:t>
      </w:r>
      <w:r>
        <w:t xml:space="preserve">complaints of </w:t>
      </w:r>
      <w:r w:rsidRPr="00965900">
        <w:t>racial discrimination</w:t>
      </w:r>
      <w:r>
        <w:t>).</w:t>
      </w:r>
    </w:p>
  </w:footnote>
  <w:footnote w:id="16">
    <w:p w14:paraId="123A8D89" w14:textId="48CF617A" w:rsidR="00F81BC5" w:rsidRPr="00F81BC5" w:rsidRDefault="00F81BC5" w:rsidP="00F81BC5">
      <w:pPr>
        <w:pStyle w:val="FootnoteText"/>
        <w:jc w:val="both"/>
      </w:pPr>
      <w:r>
        <w:rPr>
          <w:rStyle w:val="FootnoteReference"/>
        </w:rPr>
        <w:footnoteRef/>
      </w:r>
      <w:r>
        <w:t xml:space="preserve"> Sec. 601 of Title VI generally corresponds to ICCPR Art. 25(c), Art. 26 and CERD Art.5(b) and Art. 5(e)(iv), however the ICCPR has additional grounds of protection against discrimination on the basis of </w:t>
      </w:r>
      <w:r w:rsidRPr="00DE3FB3">
        <w:t xml:space="preserve">sex, language, religion, political or other opinion, social origin, property, birth or </w:t>
      </w:r>
      <w:r>
        <w:t>“</w:t>
      </w:r>
      <w:r w:rsidRPr="00DE3FB3">
        <w:t>other status.</w:t>
      </w:r>
      <w:r>
        <w:t xml:space="preserve">” See ICCPR, Art. 2, </w:t>
      </w:r>
      <w:r>
        <w:rPr>
          <w:i/>
          <w:iCs/>
        </w:rPr>
        <w:t>supra</w:t>
      </w:r>
      <w:r>
        <w:t>.</w:t>
      </w:r>
    </w:p>
  </w:footnote>
  <w:footnote w:id="17">
    <w:p w14:paraId="385E4175" w14:textId="76FF5068" w:rsidR="00F81BC5" w:rsidRPr="0005124B" w:rsidRDefault="00F81BC5" w:rsidP="00F81BC5">
      <w:pPr>
        <w:pStyle w:val="FootnoteText"/>
        <w:jc w:val="both"/>
      </w:pPr>
      <w:r>
        <w:rPr>
          <w:rStyle w:val="FootnoteReference"/>
        </w:rPr>
        <w:footnoteRef/>
      </w:r>
      <w:r w:rsidRPr="0005124B">
        <w:t xml:space="preserve"> </w:t>
      </w:r>
      <w:r>
        <w:t>See M. Castro, U.S. Commission on Civil Rights  “</w:t>
      </w:r>
      <w:r w:rsidRPr="00A40D1A">
        <w:t>Environmental Justice: Examining the Environmental Protection Agency’s Compliance and Enforcement of Title VI and Executive Order 12,898</w:t>
      </w:r>
      <w:r>
        <w:t>,” [USCCR Report], online: (</w:t>
      </w:r>
      <w:hyperlink r:id="rId6" w:history="1">
        <w:r>
          <w:rPr>
            <w:rStyle w:val="Hyperlink"/>
          </w:rPr>
          <w:t>https://www.usccr.gov/pubs/2016/Statutory_Enforcement_Report2016.pdf</w:t>
        </w:r>
      </w:hyperlink>
      <w:r>
        <w:t>) (finding EPA failed to meet non-discrimination requirements under Title VI of the Civil Rights Act in its regulation of coal ash and its environmental enforcement generally-speaking, both substantially and procedurally);</w:t>
      </w:r>
      <w:r w:rsidRPr="001B01E8">
        <w:t xml:space="preserve"> </w:t>
      </w:r>
      <w:r>
        <w:t xml:space="preserve">UN HRC, </w:t>
      </w:r>
      <w:r w:rsidRPr="00EA264C">
        <w:rPr>
          <w:i/>
          <w:iCs/>
        </w:rPr>
        <w:t>Report of the Working Group of Experts on People of African Descent on its mission to United States of America</w:t>
      </w:r>
      <w:r w:rsidRPr="00EA264C">
        <w:t>, UN Doc A/HRC/33/61/Add.2 (2016)</w:t>
      </w:r>
      <w:r>
        <w:t xml:space="preserve"> at para. </w:t>
      </w:r>
      <w:r w:rsidRPr="00EA264C">
        <w:t xml:space="preserve">52 (disproportionate exposure of </w:t>
      </w:r>
      <w:r>
        <w:t xml:space="preserve">poor and minority communities </w:t>
      </w:r>
      <w:r w:rsidRPr="00EA264C">
        <w:t>to</w:t>
      </w:r>
      <w:r>
        <w:t xml:space="preserve"> environmental hazards and pollutants), and 121-122 (recommending funding for better implementation of the E.O. on Environmental Justice</w:t>
      </w:r>
      <w:r w:rsidRPr="00EA264C">
        <w:t>)</w:t>
      </w:r>
      <w:r>
        <w:t>.</w:t>
      </w:r>
    </w:p>
  </w:footnote>
  <w:footnote w:id="18">
    <w:p w14:paraId="42830DE3" w14:textId="47EA97B1" w:rsidR="00F81BC5" w:rsidRDefault="00F81BC5" w:rsidP="00F81BC5">
      <w:pPr>
        <w:pStyle w:val="FootnoteText"/>
        <w:jc w:val="both"/>
      </w:pPr>
      <w:r>
        <w:rPr>
          <w:rStyle w:val="FootnoteReference"/>
        </w:rPr>
        <w:footnoteRef/>
      </w:r>
      <w:r>
        <w:t xml:space="preserve"> US CCR Report, </w:t>
      </w:r>
      <w:r>
        <w:rPr>
          <w:i/>
          <w:iCs/>
        </w:rPr>
        <w:t>supra</w:t>
      </w:r>
      <w:r>
        <w:t xml:space="preserve"> at pp. 51-88 (“EPA’s Enforcement Efforts and Coal Ash”).</w:t>
      </w:r>
    </w:p>
  </w:footnote>
  <w:footnote w:id="19">
    <w:p w14:paraId="215E360C" w14:textId="77777777" w:rsidR="00F81BC5" w:rsidRDefault="00F81BC5" w:rsidP="00F81BC5">
      <w:pPr>
        <w:pStyle w:val="FootnoteText"/>
        <w:jc w:val="both"/>
      </w:pPr>
      <w:r>
        <w:rPr>
          <w:rStyle w:val="FootnoteReference"/>
        </w:rPr>
        <w:footnoteRef/>
      </w:r>
      <w:r w:rsidRPr="003F29D0">
        <w:rPr>
          <w:lang w:val="fr-FR"/>
        </w:rPr>
        <w:t xml:space="preserve"> Caruso, Joseph A et al. </w:t>
      </w:r>
      <w:r w:rsidRPr="003F29D0">
        <w:t xml:space="preserve">“Petroleum coke in the urban environment: a review of potential health effects.” </w:t>
      </w:r>
      <w:r w:rsidRPr="003F29D0">
        <w:rPr>
          <w:lang w:val="fr-FR"/>
        </w:rPr>
        <w:t xml:space="preserve">12:6 </w:t>
      </w:r>
      <w:r w:rsidRPr="003F29D0">
        <w:rPr>
          <w:i/>
          <w:iCs/>
          <w:lang w:val="fr-FR"/>
        </w:rPr>
        <w:t xml:space="preserve">Int J Environ </w:t>
      </w:r>
      <w:proofErr w:type="spellStart"/>
      <w:r w:rsidRPr="003F29D0">
        <w:rPr>
          <w:i/>
          <w:iCs/>
          <w:lang w:val="fr-FR"/>
        </w:rPr>
        <w:t>Res</w:t>
      </w:r>
      <w:proofErr w:type="spellEnd"/>
      <w:r w:rsidRPr="003F29D0">
        <w:rPr>
          <w:i/>
          <w:iCs/>
          <w:lang w:val="fr-FR"/>
        </w:rPr>
        <w:t xml:space="preserve"> Public </w:t>
      </w:r>
      <w:proofErr w:type="spellStart"/>
      <w:r w:rsidRPr="003F29D0">
        <w:rPr>
          <w:i/>
          <w:iCs/>
          <w:lang w:val="fr-FR"/>
        </w:rPr>
        <w:t>Health</w:t>
      </w:r>
      <w:proofErr w:type="spellEnd"/>
      <w:r w:rsidRPr="003F29D0">
        <w:rPr>
          <w:lang w:val="fr-FR"/>
        </w:rPr>
        <w:t xml:space="preserve"> (Jun 2015) 6218‐6231, </w:t>
      </w:r>
      <w:proofErr w:type="spellStart"/>
      <w:r w:rsidRPr="003F29D0">
        <w:rPr>
          <w:lang w:val="fr-FR"/>
        </w:rPr>
        <w:t>doi</w:t>
      </w:r>
      <w:proofErr w:type="spellEnd"/>
      <w:r w:rsidRPr="003F29D0">
        <w:rPr>
          <w:lang w:val="fr-FR"/>
        </w:rPr>
        <w:t xml:space="preserve"> 10.3390/ijerph120606218; </w:t>
      </w:r>
      <w:proofErr w:type="spellStart"/>
      <w:r w:rsidRPr="003F29D0">
        <w:rPr>
          <w:lang w:val="fr-FR"/>
        </w:rPr>
        <w:t>Dourson</w:t>
      </w:r>
      <w:proofErr w:type="spellEnd"/>
      <w:r w:rsidRPr="003F29D0">
        <w:rPr>
          <w:lang w:val="fr-FR"/>
        </w:rPr>
        <w:t xml:space="preserve">, Michael L et al. </w:t>
      </w:r>
      <w:r w:rsidRPr="003F29D0">
        <w:t xml:space="preserve">"A Case Study of Potential Human Health Impacts From Petroleum Coke Transfer Facilities." 66:11 J Air Waste </w:t>
      </w:r>
      <w:proofErr w:type="spellStart"/>
      <w:r w:rsidRPr="003F29D0">
        <w:t>Manag</w:t>
      </w:r>
      <w:proofErr w:type="spellEnd"/>
      <w:r w:rsidRPr="003F29D0">
        <w:t xml:space="preserve"> Assoc 1061-1076 (Nov 2016), </w:t>
      </w:r>
      <w:proofErr w:type="spellStart"/>
      <w:r w:rsidRPr="003F29D0">
        <w:t>doi</w:t>
      </w:r>
      <w:proofErr w:type="spellEnd"/>
      <w:r w:rsidRPr="003F29D0">
        <w:t>: 10.1080/10962247.2016.1180328.</w:t>
      </w:r>
    </w:p>
  </w:footnote>
  <w:footnote w:id="20">
    <w:p w14:paraId="133C8EE4" w14:textId="5DACC411" w:rsidR="00F81BC5" w:rsidRDefault="00F81BC5" w:rsidP="00F81BC5">
      <w:pPr>
        <w:pStyle w:val="FootnoteText"/>
        <w:jc w:val="both"/>
      </w:pPr>
      <w:r>
        <w:rPr>
          <w:rStyle w:val="FootnoteReference"/>
        </w:rPr>
        <w:footnoteRef/>
      </w:r>
      <w:r>
        <w:t>USCCR Report at 4; American Lung Association, “</w:t>
      </w:r>
      <w:r w:rsidRPr="00E70A4F">
        <w:t>Disparities in the Impact of Air Pollution</w:t>
      </w:r>
      <w:r>
        <w:t>” (20 April 2020), online (</w:t>
      </w:r>
      <w:hyperlink r:id="rId7" w:history="1">
        <w:r>
          <w:rPr>
            <w:rStyle w:val="Hyperlink"/>
          </w:rPr>
          <w:t>https://www.lung.org/clean-air/outdoors/who-is-at-risk/disparities</w:t>
        </w:r>
      </w:hyperlink>
      <w:r>
        <w:t>) [accessed June 2020];</w:t>
      </w:r>
      <w:r w:rsidRPr="00E70A4F">
        <w:t xml:space="preserve"> </w:t>
      </w:r>
      <w:r w:rsidRPr="003F29D0">
        <w:t>Cushing, Lara et al. “Racial/Ethnic Disparities in Cumulative Environmental Health Impacts in California: Evidence From a Statewide Environmental Justice Screening Tool (</w:t>
      </w:r>
      <w:proofErr w:type="spellStart"/>
      <w:r w:rsidRPr="003F29D0">
        <w:t>CalEnviroScreen</w:t>
      </w:r>
      <w:proofErr w:type="spellEnd"/>
      <w:r w:rsidRPr="003F29D0">
        <w:t xml:space="preserve"> 1.1).” 105:11 </w:t>
      </w:r>
      <w:r w:rsidRPr="00E70A4F">
        <w:rPr>
          <w:i/>
          <w:iCs/>
        </w:rPr>
        <w:t>Am J Public Health</w:t>
      </w:r>
      <w:r w:rsidRPr="003F29D0">
        <w:t xml:space="preserve"> 2341‐2348 (2015), doi:10.2105/AJPH.2015.302643</w:t>
      </w:r>
      <w:r>
        <w:t>.</w:t>
      </w:r>
    </w:p>
  </w:footnote>
  <w:footnote w:id="21">
    <w:p w14:paraId="6CD24B86" w14:textId="50809EEA" w:rsidR="00F81BC5" w:rsidRPr="00BD2BE6" w:rsidRDefault="00F81BC5" w:rsidP="00F81BC5">
      <w:pPr>
        <w:pStyle w:val="FootnoteText"/>
        <w:jc w:val="both"/>
      </w:pPr>
      <w:r>
        <w:rPr>
          <w:rStyle w:val="FootnoteReference"/>
        </w:rPr>
        <w:footnoteRef/>
      </w:r>
      <w:r>
        <w:t xml:space="preserve"> See USCCR Statutory Enforcement Report, </w:t>
      </w:r>
      <w:r>
        <w:rPr>
          <w:i/>
          <w:iCs/>
        </w:rPr>
        <w:t>supra</w:t>
      </w:r>
      <w:r>
        <w:t xml:space="preserve">; James </w:t>
      </w:r>
      <w:proofErr w:type="spellStart"/>
      <w:r>
        <w:t>Bruggers</w:t>
      </w:r>
      <w:proofErr w:type="spellEnd"/>
      <w:r>
        <w:t>, “</w:t>
      </w:r>
      <w:r w:rsidRPr="00973556">
        <w:t>Coal Ash Contaminates Groundwater at 91% of U.S. Coal Plants, Tests Show</w:t>
      </w:r>
      <w:r>
        <w:t>” (4 Mar 2019), online:  (</w:t>
      </w:r>
      <w:hyperlink r:id="rId8" w:history="1">
        <w:r w:rsidRPr="000575F1">
          <w:rPr>
            <w:rStyle w:val="Hyperlink"/>
          </w:rPr>
          <w:t>https://insideclimatenews.org/news/04032019/coal-ash-groundwater-contamination-toxic-arsenic-memphis-texas-eip</w:t>
        </w:r>
      </w:hyperlink>
      <w:r>
        <w:t>);  Environmental Integrity Project, “</w:t>
      </w:r>
      <w:r w:rsidRPr="0084466D">
        <w:t>First Comprehensive, National Study of Coal Ash Pollution Finds Widespread Groundwater Contamination</w:t>
      </w:r>
      <w:r>
        <w:t>” (4 Mar 2019) online (</w:t>
      </w:r>
      <w:hyperlink r:id="rId9" w:history="1">
        <w:r>
          <w:rPr>
            <w:rStyle w:val="Hyperlink"/>
          </w:rPr>
          <w:t>https://environmentalintegrity.org/news/first-comprehensive-national-study-of-coal-ash-pollution-finds-widespread-groundwater-contamination/</w:t>
        </w:r>
      </w:hyperlink>
      <w:r>
        <w:t>) [June 2020].</w:t>
      </w:r>
    </w:p>
  </w:footnote>
  <w:footnote w:id="22">
    <w:p w14:paraId="5AA85468" w14:textId="77777777" w:rsidR="00F81BC5" w:rsidRPr="0084466D" w:rsidRDefault="00F81BC5" w:rsidP="00F81BC5">
      <w:pPr>
        <w:pStyle w:val="FootnoteText"/>
        <w:jc w:val="both"/>
      </w:pPr>
      <w:r>
        <w:rPr>
          <w:rStyle w:val="FootnoteReference"/>
        </w:rPr>
        <w:footnoteRef/>
      </w:r>
      <w:r>
        <w:t xml:space="preserve"> </w:t>
      </w:r>
      <w:r>
        <w:rPr>
          <w:i/>
          <w:iCs/>
        </w:rPr>
        <w:t>Ibid</w:t>
      </w:r>
      <w:r>
        <w:t>.</w:t>
      </w:r>
    </w:p>
  </w:footnote>
  <w:footnote w:id="23">
    <w:p w14:paraId="06BAF606" w14:textId="77777777" w:rsidR="00F81BC5" w:rsidRPr="0084466D" w:rsidRDefault="00F81BC5" w:rsidP="00F81BC5">
      <w:pPr>
        <w:pStyle w:val="FootnoteText"/>
        <w:jc w:val="both"/>
      </w:pPr>
      <w:r>
        <w:rPr>
          <w:rStyle w:val="FootnoteReference"/>
        </w:rPr>
        <w:footnoteRef/>
      </w:r>
      <w:r>
        <w:t xml:space="preserve"> </w:t>
      </w:r>
      <w:r>
        <w:rPr>
          <w:i/>
          <w:iCs/>
        </w:rPr>
        <w:t>Ibid</w:t>
      </w:r>
      <w:r>
        <w:t>.</w:t>
      </w:r>
    </w:p>
  </w:footnote>
  <w:footnote w:id="24">
    <w:p w14:paraId="4D7CE84B" w14:textId="715D5F15" w:rsidR="00F81BC5" w:rsidRDefault="00F81BC5" w:rsidP="00F81BC5">
      <w:pPr>
        <w:pStyle w:val="FootnoteText"/>
        <w:jc w:val="both"/>
      </w:pPr>
      <w:r>
        <w:rPr>
          <w:rStyle w:val="FootnoteReference"/>
        </w:rPr>
        <w:footnoteRef/>
      </w:r>
      <w:r>
        <w:t xml:space="preserve"> Nina </w:t>
      </w:r>
      <w:proofErr w:type="spellStart"/>
      <w:r>
        <w:t>Pullano</w:t>
      </w:r>
      <w:proofErr w:type="spellEnd"/>
      <w:r>
        <w:t>, “</w:t>
      </w:r>
      <w:r w:rsidRPr="002B47DB">
        <w:t>"Illinois Passes Tougher Rules on Toxic Coal Ash Over Risks to Health and Rivers" (31 May 2019), online (</w:t>
      </w:r>
      <w:hyperlink r:id="rId10" w:history="1">
        <w:r w:rsidRPr="000575F1">
          <w:rPr>
            <w:rStyle w:val="Hyperlink"/>
          </w:rPr>
          <w:t>https://insideclimatenews.org/news/31052019/illinois-coal-ash-power-plant-law-health-hazard-groundwater-contamination-pritzker</w:t>
        </w:r>
      </w:hyperlink>
      <w:r w:rsidRPr="002B47DB">
        <w:t>) [accessed June 2020]</w:t>
      </w:r>
      <w:r>
        <w:t>; Office of the Governor of the State of Illinois Press Release, “</w:t>
      </w:r>
      <w:r w:rsidRPr="00816204">
        <w:t>Gov. Pritzker Signs Coal Ash Pollution Prevention Act</w:t>
      </w:r>
      <w:r>
        <w:t>” (30 July 2019), online (</w:t>
      </w:r>
      <w:hyperlink r:id="rId11" w:history="1">
        <w:r w:rsidRPr="000575F1">
          <w:rPr>
            <w:rStyle w:val="Hyperlink"/>
          </w:rPr>
          <w:t>https://www2.illinois.gov/Pages/news-item.aspx?ReleaseID=20368</w:t>
        </w:r>
      </w:hyperlink>
      <w:r>
        <w:t>).</w:t>
      </w:r>
    </w:p>
  </w:footnote>
  <w:footnote w:id="25">
    <w:p w14:paraId="4BE87437" w14:textId="77777777" w:rsidR="00F81BC5" w:rsidRDefault="00F81BC5" w:rsidP="00F81BC5">
      <w:pPr>
        <w:pStyle w:val="FootnoteText"/>
        <w:jc w:val="both"/>
      </w:pPr>
      <w:r>
        <w:rPr>
          <w:rStyle w:val="FootnoteReference"/>
        </w:rPr>
        <w:footnoteRef/>
      </w:r>
      <w:r>
        <w:t xml:space="preserve"> See Memorandum of Plea Agreement, </w:t>
      </w:r>
      <w:r w:rsidRPr="007064D2">
        <w:rPr>
          <w:i/>
          <w:iCs/>
        </w:rPr>
        <w:t>U.S. v. Duke Energy Carolinas, LLC</w:t>
      </w:r>
      <w:r>
        <w:t>,  Case 5:15-CR-67-H-2, E.D.N.C., online (</w:t>
      </w:r>
      <w:hyperlink r:id="rId12" w:history="1">
        <w:r>
          <w:rPr>
            <w:rStyle w:val="Hyperlink"/>
          </w:rPr>
          <w:t>https://www.sec.gov/Archives/edgar/data/17797/000132616015000151/duk-20150630x10qxexx103.htm</w:t>
        </w:r>
      </w:hyperlink>
      <w:r>
        <w:t>); N.C. Dept. of Environmental Quality, “Dan River Coal Ash Spill”, online (</w:t>
      </w:r>
      <w:hyperlink r:id="rId13" w:history="1">
        <w:r w:rsidRPr="000575F1">
          <w:rPr>
            <w:rStyle w:val="Hyperlink"/>
          </w:rPr>
          <w:t>https://deq.nc.gov/news/key-issues/coal-ash-nc/coal-ash-archive/dan-river-coal-ash-spill</w:t>
        </w:r>
      </w:hyperlink>
      <w:r>
        <w:t>); NC DOJ Press Release, “</w:t>
      </w:r>
      <w:r w:rsidRPr="00D54D7E">
        <w:t>Attorney General Josh Stein Appeals Duke Energy Coal Ash Rate Case to Supreme Court of North Carolina</w:t>
      </w:r>
      <w:r>
        <w:t>” (26 Apr 2019) (</w:t>
      </w:r>
      <w:hyperlink r:id="rId14" w:history="1">
        <w:r w:rsidRPr="000575F1">
          <w:rPr>
            <w:rStyle w:val="Hyperlink"/>
          </w:rPr>
          <w:t>https://ncdoj.gov/attorney-general-josh-stein-appeals-duke-energy-co/</w:t>
        </w:r>
      </w:hyperlink>
      <w:r>
        <w:t>); Downey, John, “</w:t>
      </w:r>
      <w:r w:rsidRPr="00000BDB">
        <w:t>Attorney General appeals Duke Energy rates, saying new coal-ash info ‘materially affects merits of the case’</w:t>
      </w:r>
      <w:r>
        <w:t xml:space="preserve">,” (28 Apr 2018), </w:t>
      </w:r>
      <w:r>
        <w:rPr>
          <w:i/>
          <w:iCs/>
        </w:rPr>
        <w:t>Charlotte Business Journal</w:t>
      </w:r>
      <w:r>
        <w:t xml:space="preserve">. </w:t>
      </w:r>
    </w:p>
  </w:footnote>
  <w:footnote w:id="26">
    <w:p w14:paraId="25F5760E" w14:textId="040A76F9" w:rsidR="00F81BC5" w:rsidRPr="003A59AC" w:rsidRDefault="00F81BC5" w:rsidP="00F81BC5">
      <w:pPr>
        <w:pStyle w:val="FootnoteText"/>
        <w:jc w:val="both"/>
      </w:pPr>
      <w:r>
        <w:rPr>
          <w:rStyle w:val="FootnoteReference"/>
        </w:rPr>
        <w:footnoteRef/>
      </w:r>
      <w:r>
        <w:t xml:space="preserve"> This despite the site being designated </w:t>
      </w:r>
      <w:r w:rsidRPr="003A59AC">
        <w:t xml:space="preserve">area of </w:t>
      </w:r>
      <w:r>
        <w:t>“</w:t>
      </w:r>
      <w:r w:rsidRPr="003A59AC">
        <w:t>Environmental Justice (EJ) concern,</w:t>
      </w:r>
      <w:r>
        <w:t>”</w:t>
      </w:r>
      <w:r w:rsidRPr="003A59AC">
        <w:t xml:space="preserve"> </w:t>
      </w:r>
      <w:r>
        <w:t>determined</w:t>
      </w:r>
      <w:r w:rsidRPr="003A59AC">
        <w:t xml:space="preserve"> based on census block group data identifying higher concentrations of low-income and minority populations where a disproportionate environmental burden may occur</w:t>
      </w:r>
      <w:r>
        <w:t>; IEPA, “</w:t>
      </w:r>
      <w:r w:rsidRPr="003A59AC">
        <w:t>Former Crawford Power Plant site - Hilco Development Partners Chicago</w:t>
      </w:r>
      <w:r>
        <w:t>”, online (</w:t>
      </w:r>
      <w:hyperlink r:id="rId15" w:history="1">
        <w:r w:rsidRPr="000575F1">
          <w:rPr>
            <w:rStyle w:val="Hyperlink"/>
          </w:rPr>
          <w:t>https://www2.illinois.gov/epa/topics/community-relations/sites/hilco/Pages/default.aspx</w:t>
        </w:r>
      </w:hyperlink>
      <w:r>
        <w:t>) [accessed June 2020].</w:t>
      </w:r>
    </w:p>
  </w:footnote>
  <w:footnote w:id="27">
    <w:p w14:paraId="40FA5044" w14:textId="77777777" w:rsidR="00F81BC5" w:rsidRPr="00604F65" w:rsidRDefault="00F81BC5" w:rsidP="00F81BC5">
      <w:pPr>
        <w:pStyle w:val="FootnoteText"/>
        <w:jc w:val="both"/>
      </w:pPr>
      <w:r>
        <w:rPr>
          <w:rStyle w:val="FootnoteReference"/>
        </w:rPr>
        <w:footnoteRef/>
      </w:r>
      <w:r w:rsidRPr="00604F65">
        <w:t xml:space="preserve"> </w:t>
      </w:r>
      <w:proofErr w:type="spellStart"/>
      <w:r w:rsidRPr="00604F65">
        <w:t>Lydersen</w:t>
      </w:r>
      <w:proofErr w:type="spellEnd"/>
      <w:r w:rsidRPr="00604F65">
        <w:t>, Kari. "As Chicago coal plant cleanup proceeds, residents demand air pollution monitors" (7 Aug 2019)</w:t>
      </w:r>
      <w:r>
        <w:t xml:space="preserve">, </w:t>
      </w:r>
      <w:r w:rsidRPr="00604F65">
        <w:rPr>
          <w:i/>
          <w:iCs/>
        </w:rPr>
        <w:t>Energy News Network</w:t>
      </w:r>
      <w:r w:rsidRPr="00604F65">
        <w:t>, online (</w:t>
      </w:r>
      <w:hyperlink r:id="rId16" w:history="1">
        <w:r w:rsidRPr="000575F1">
          <w:rPr>
            <w:rStyle w:val="Hyperlink"/>
          </w:rPr>
          <w:t>https://energynews.us/2019/08/07/midwest/as-chicago-coal-plant-cleanup-proceeds-residents-demand-air-pollution-monitors/</w:t>
        </w:r>
      </w:hyperlink>
      <w:r w:rsidRPr="00604F65">
        <w:t>)</w:t>
      </w:r>
      <w:r>
        <w:t xml:space="preserve"> (residents demanded air quality monitors for the decommissioning in anticipation of the very harms from particulate matter and toxic dust they wound up suffering from).</w:t>
      </w:r>
    </w:p>
  </w:footnote>
  <w:footnote w:id="28">
    <w:p w14:paraId="5563E8C4" w14:textId="3C2C95E0" w:rsidR="00F81BC5" w:rsidRPr="009B7906" w:rsidRDefault="00F81BC5" w:rsidP="00F81BC5">
      <w:pPr>
        <w:pStyle w:val="FootnoteText"/>
        <w:jc w:val="both"/>
      </w:pPr>
      <w:r>
        <w:rPr>
          <w:rStyle w:val="FootnoteReference"/>
        </w:rPr>
        <w:footnoteRef/>
      </w:r>
      <w:r w:rsidRPr="009B7906">
        <w:t xml:space="preserve"> </w:t>
      </w:r>
      <w:r>
        <w:t xml:space="preserve">Goldman Environmental Prize, Profile of 2013 Recipient Kimberly Wasserman, </w:t>
      </w:r>
      <w:r w:rsidRPr="009B7906">
        <w:t>Little Village Environmental Justice Organization</w:t>
      </w:r>
      <w:r>
        <w:t xml:space="preserve"> founder [LVEJO] (</w:t>
      </w:r>
      <w:hyperlink r:id="rId17" w:history="1">
        <w:r w:rsidRPr="003D6145">
          <w:rPr>
            <w:rStyle w:val="Hyperlink"/>
          </w:rPr>
          <w:t>https://www.goldmanprize.org/recipient/kimberly-wasserman/</w:t>
        </w:r>
      </w:hyperlink>
      <w:r>
        <w:t>); LVEJO</w:t>
      </w:r>
      <w:r w:rsidRPr="009B7906">
        <w:t xml:space="preserve"> “Support Little Village’s Right to Brea</w:t>
      </w:r>
      <w:r>
        <w:t>the” (15 Jan 2019), online (</w:t>
      </w:r>
      <w:hyperlink r:id="rId18" w:history="1">
        <w:r w:rsidRPr="000575F1">
          <w:rPr>
            <w:rStyle w:val="Hyperlink"/>
          </w:rPr>
          <w:t>http://www.lvejo.org/support-little-villages-right-to-breathe/</w:t>
        </w:r>
      </w:hyperlink>
      <w:r>
        <w:t>) (outlining LVEJO’s public testimony despite the City of Chicago’s last-minute cancellation of hearings on tax incentives for the site’s redevelopment), “</w:t>
      </w:r>
      <w:r w:rsidRPr="009B7906">
        <w:t>LVEJO Response To Hilco: Little Village’s Fight For The Right To Breathe</w:t>
      </w:r>
      <w:r>
        <w:t>,” online: (</w:t>
      </w:r>
      <w:hyperlink r:id="rId19" w:history="1">
        <w:r>
          <w:rPr>
            <w:rStyle w:val="Hyperlink"/>
          </w:rPr>
          <w:t>http://www.lvejo.org/lvejo-response-to-hilco-little-villages-fight-for-the-right-to-breathe/</w:t>
        </w:r>
      </w:hyperlink>
      <w:r>
        <w:t>) (</w:t>
      </w:r>
      <w:r w:rsidR="00421A9E">
        <w:t xml:space="preserve">concerning </w:t>
      </w:r>
      <w:r>
        <w:t xml:space="preserve">Hilco’s community meetings with inadequate public accommodation and limited answers to </w:t>
      </w:r>
      <w:r w:rsidR="00421A9E">
        <w:t xml:space="preserve">development and environmental </w:t>
      </w:r>
      <w:r>
        <w:t>matters of public concern) [accessed May 2020].</w:t>
      </w:r>
    </w:p>
  </w:footnote>
  <w:footnote w:id="29">
    <w:p w14:paraId="55565326" w14:textId="313419C1" w:rsidR="00F81BC5" w:rsidRDefault="00F81BC5" w:rsidP="00F81BC5">
      <w:pPr>
        <w:pStyle w:val="FootnoteText"/>
        <w:jc w:val="both"/>
      </w:pPr>
      <w:r>
        <w:rPr>
          <w:rStyle w:val="FootnoteReference"/>
        </w:rPr>
        <w:footnoteRef/>
      </w:r>
      <w:r>
        <w:t xml:space="preserve"> See </w:t>
      </w:r>
      <w:r w:rsidRPr="001F79FC">
        <w:rPr>
          <w:i/>
          <w:iCs/>
        </w:rPr>
        <w:t>Block Club Chicago</w:t>
      </w:r>
      <w:r>
        <w:t xml:space="preserve"> “</w:t>
      </w:r>
      <w:r w:rsidRPr="008A6E76">
        <w:t>Planned Explosion Covered Little Village In Dust During Respiratory Pandemic</w:t>
      </w:r>
      <w:r>
        <w:t xml:space="preserve"> – </w:t>
      </w:r>
      <w:r w:rsidRPr="008A6E76">
        <w:t>Why Did The City Let It Happen?</w:t>
      </w:r>
      <w:r>
        <w:t>” (12 Apr 2020), online (</w:t>
      </w:r>
      <w:hyperlink r:id="rId20" w:history="1">
        <w:r w:rsidRPr="000575F1">
          <w:rPr>
            <w:rStyle w:val="Hyperlink"/>
          </w:rPr>
          <w:t>https://blockclubchicago.org/2020/04/12/extremely-angry-lightfoot-blames-developer-for-massive-little-village-dust-cloud-alderman-apologizes/</w:t>
        </w:r>
      </w:hyperlink>
      <w:r>
        <w:t>)</w:t>
      </w:r>
      <w:r>
        <w:rPr>
          <w:rStyle w:val="Hyperlink"/>
        </w:rPr>
        <w:t>;</w:t>
      </w:r>
      <w:r>
        <w:t xml:space="preserve"> “</w:t>
      </w:r>
      <w:r w:rsidRPr="008A6E76">
        <w:t>Little Village Neighbors Blindsided Again By Demolition At Hilco Site</w:t>
      </w:r>
      <w:r>
        <w:t xml:space="preserve"> – </w:t>
      </w:r>
      <w:r w:rsidRPr="008A6E76">
        <w:t>A Month After Dust Cloud Fiasco</w:t>
      </w:r>
      <w:r>
        <w:t>” (14 May 2020), online  (</w:t>
      </w:r>
      <w:hyperlink r:id="rId21" w:history="1">
        <w:r w:rsidRPr="000575F1">
          <w:rPr>
            <w:rStyle w:val="Hyperlink"/>
          </w:rPr>
          <w:t>https://blockclubchicago.org/2020/05/14/little-village-neighbors-get-no-notice-another-demolition-is-happening-at-dust-cloud-site/</w:t>
        </w:r>
      </w:hyperlink>
      <w:r>
        <w:t xml:space="preserve">); Moser, Whet, </w:t>
      </w:r>
      <w:r w:rsidRPr="001F79FC">
        <w:t>"This Chicago neighborhood is battling coronavirus</w:t>
      </w:r>
      <w:r>
        <w:t xml:space="preserve"> –</w:t>
      </w:r>
      <w:r w:rsidRPr="001F79FC">
        <w:t xml:space="preserve"> then the demolition happened" </w:t>
      </w:r>
      <w:r>
        <w:t xml:space="preserve">(8 June 2020) </w:t>
      </w:r>
      <w:r>
        <w:rPr>
          <w:i/>
          <w:iCs/>
        </w:rPr>
        <w:t>MarketWatch</w:t>
      </w:r>
      <w:r>
        <w:t>, online (</w:t>
      </w:r>
      <w:hyperlink r:id="rId22" w:history="1">
        <w:r w:rsidRPr="000575F1">
          <w:rPr>
            <w:rStyle w:val="Hyperlink"/>
          </w:rPr>
          <w:t>https://www.marketwatch.com/story/this-chicago-neighborhood-was-already-combating-air-pollution-when-the-coronavirus-pandemic-hit-it-hard-2020-06-04</w:t>
        </w:r>
      </w:hyperlink>
      <w:r>
        <w:t xml:space="preserve">); Bynum, Steve, </w:t>
      </w:r>
      <w:r w:rsidRPr="002D07F6">
        <w:t xml:space="preserve">"How Environmental Racism Hurts Chicago's Marginalized Communities" (30 Apr 2020) </w:t>
      </w:r>
      <w:r w:rsidRPr="00DB40FE">
        <w:rPr>
          <w:i/>
          <w:iCs/>
        </w:rPr>
        <w:t>Chicago Public Radio</w:t>
      </w:r>
      <w:r>
        <w:t>,</w:t>
      </w:r>
      <w:r w:rsidRPr="002D07F6">
        <w:t xml:space="preserve"> online </w:t>
      </w:r>
      <w:r>
        <w:t>(</w:t>
      </w:r>
      <w:hyperlink r:id="rId23" w:history="1">
        <w:r w:rsidRPr="000575F1">
          <w:rPr>
            <w:rStyle w:val="Hyperlink"/>
          </w:rPr>
          <w:t>https://www.wbez.org/stories/how-environmental-racism-hurts-chicagos-marginalized-communities/86c8165c-5213-4dac-912b-71bda3a35e69</w:t>
        </w:r>
      </w:hyperlink>
      <w:r>
        <w:t>) [accessed June 2020].</w:t>
      </w:r>
    </w:p>
  </w:footnote>
  <w:footnote w:id="30">
    <w:p w14:paraId="148F388B" w14:textId="69357420" w:rsidR="00F81BC5" w:rsidRDefault="00F81BC5" w:rsidP="0023099C">
      <w:pPr>
        <w:pStyle w:val="FootnoteText"/>
        <w:jc w:val="both"/>
      </w:pPr>
      <w:r>
        <w:rPr>
          <w:rStyle w:val="FootnoteReference"/>
        </w:rPr>
        <w:footnoteRef/>
      </w:r>
      <w:r>
        <w:t xml:space="preserve"> </w:t>
      </w:r>
      <w:r w:rsidRPr="00B960D4">
        <w:t xml:space="preserve">See </w:t>
      </w:r>
      <w:proofErr w:type="spellStart"/>
      <w:r w:rsidRPr="00B960D4">
        <w:t>Fonger</w:t>
      </w:r>
      <w:proofErr w:type="spellEnd"/>
      <w:r w:rsidRPr="00B960D4">
        <w:t xml:space="preserve">, Ron, "Near total authority of emergency managers impacted Flint water crisis, UM study says" </w:t>
      </w:r>
      <w:proofErr w:type="spellStart"/>
      <w:r w:rsidRPr="00DB40FE">
        <w:rPr>
          <w:i/>
          <w:iCs/>
        </w:rPr>
        <w:t>Mlive</w:t>
      </w:r>
      <w:proofErr w:type="spellEnd"/>
      <w:r w:rsidRPr="00B960D4">
        <w:t xml:space="preserve"> (29 Apr 2020), online</w:t>
      </w:r>
      <w:r>
        <w:t xml:space="preserve"> </w:t>
      </w:r>
      <w:r w:rsidRPr="00B960D4">
        <w:t>(</w:t>
      </w:r>
      <w:hyperlink r:id="rId24" w:history="1">
        <w:r w:rsidRPr="000575F1">
          <w:rPr>
            <w:rStyle w:val="Hyperlink"/>
          </w:rPr>
          <w:t>https://www.mlive.com/news/flint/2020/04/near-total-authority-of-emergency-managers-aided-flint-water-crisis-um-study-says.html</w:t>
        </w:r>
      </w:hyperlink>
      <w:r w:rsidRPr="00B960D4">
        <w:t>) ("The state’s emergency manager law effectively silenced the voices of Flint citizens during the city’s water crisis, allowing it to develop and grow, according to a new study by the University of Michigan School of Public Health.</w:t>
      </w:r>
      <w:r>
        <w:t>”) [accessed June 2020]</w:t>
      </w:r>
    </w:p>
  </w:footnote>
  <w:footnote w:id="31">
    <w:p w14:paraId="7A3B6C92" w14:textId="3B4001ED" w:rsidR="00F81BC5" w:rsidRDefault="00F81BC5" w:rsidP="0023099C">
      <w:pPr>
        <w:pStyle w:val="FootnoteText"/>
        <w:jc w:val="both"/>
      </w:pPr>
      <w:r>
        <w:rPr>
          <w:rStyle w:val="FootnoteReference"/>
        </w:rPr>
        <w:footnoteRef/>
      </w:r>
      <w:r>
        <w:t xml:space="preserve"> </w:t>
      </w:r>
      <w:r w:rsidRPr="0029155A">
        <w:rPr>
          <w:i/>
          <w:iCs/>
        </w:rPr>
        <w:t>Agreement Between Canada and the United States of America on Great Lakes Water Quality, 2012</w:t>
      </w:r>
      <w:r>
        <w:t>;</w:t>
      </w:r>
      <w:r w:rsidRPr="0029155A">
        <w:t xml:space="preserve"> Washington, D.C.</w:t>
      </w:r>
      <w:r>
        <w:t>;</w:t>
      </w:r>
      <w:r w:rsidRPr="0029155A">
        <w:t xml:space="preserve"> Ottawa, Ontario</w:t>
      </w:r>
      <w:r>
        <w:t>; online (</w:t>
      </w:r>
      <w:hyperlink r:id="rId25" w:history="1">
        <w:r w:rsidRPr="000575F1">
          <w:rPr>
            <w:rStyle w:val="Hyperlink"/>
          </w:rPr>
          <w:t>https://www.ijc.org/en/who/mission/glwqa</w:t>
        </w:r>
      </w:hyperlink>
      <w:r>
        <w:t xml:space="preserve">).  The authors are indebted to Susan </w:t>
      </w:r>
      <w:proofErr w:type="spellStart"/>
      <w:r>
        <w:t>Hedman</w:t>
      </w:r>
      <w:proofErr w:type="spellEnd"/>
      <w:r>
        <w:t xml:space="preserve">, former EPA Region 5 Administrator and Head of the U.S. Delegation to the Water Quality Agreement Negotiations, and Reynaldo </w:t>
      </w:r>
      <w:r w:rsidR="008519B7">
        <w:t xml:space="preserve">A. </w:t>
      </w:r>
      <w:r>
        <w:t xml:space="preserve">Morales, </w:t>
      </w:r>
      <w:r w:rsidRPr="00F004B8">
        <w:t xml:space="preserve">International </w:t>
      </w:r>
      <w:r>
        <w:t xml:space="preserve">Research </w:t>
      </w:r>
      <w:r w:rsidRPr="00F004B8">
        <w:t xml:space="preserve">Fellow with </w:t>
      </w:r>
      <w:r>
        <w:t xml:space="preserve">the </w:t>
      </w:r>
      <w:r w:rsidRPr="00F004B8">
        <w:t>Forum for Law, Environment, Development, and Governance</w:t>
      </w:r>
      <w:r>
        <w:t xml:space="preserve"> (FLEDGE</w:t>
      </w:r>
      <w:r w:rsidRPr="00F004B8">
        <w:t>)</w:t>
      </w:r>
      <w:r>
        <w:t xml:space="preserve"> and </w:t>
      </w:r>
      <w:r w:rsidRPr="00F004B8">
        <w:t>Graduate Researcher</w:t>
      </w:r>
      <w:r>
        <w:t xml:space="preserve"> with the </w:t>
      </w:r>
      <w:r w:rsidRPr="00F004B8">
        <w:t>Great Lakes Indigenous Law Center</w:t>
      </w:r>
      <w:r>
        <w:t>, for their consultations on the Great Lakes Water Quality Agreement and Native American resource rights issues.</w:t>
      </w:r>
    </w:p>
  </w:footnote>
  <w:footnote w:id="32">
    <w:p w14:paraId="0AA56DDA" w14:textId="2957865D" w:rsidR="00F81BC5" w:rsidRPr="0029155A" w:rsidRDefault="00F81BC5" w:rsidP="0023099C">
      <w:pPr>
        <w:pStyle w:val="FootnoteText"/>
        <w:jc w:val="both"/>
      </w:pPr>
      <w:r>
        <w:rPr>
          <w:rStyle w:val="FootnoteReference"/>
        </w:rPr>
        <w:footnoteRef/>
      </w:r>
      <w:r>
        <w:t xml:space="preserve"> </w:t>
      </w:r>
      <w:r>
        <w:rPr>
          <w:i/>
          <w:iCs/>
        </w:rPr>
        <w:t>Ibid</w:t>
      </w:r>
      <w:r>
        <w:t>., Principle 4(e) (“</w:t>
      </w:r>
      <w:r w:rsidRPr="0029155A">
        <w:t>The Parties shall be guided by the following principles and approaches in order to achieve the purpose of this Agreement:</w:t>
      </w:r>
      <w:r>
        <w:t xml:space="preserve"> </w:t>
      </w:r>
      <w:r w:rsidRPr="004A4193">
        <w:t>(e) coordination – developing and implementing coordinated planning processes and best management practices by the Parties, as well as among State and Provincial Governments, Tribal Governments, First Nations, Métis, Municipal Governments, watershed management agencies, and local public agencies</w:t>
      </w:r>
      <w:r>
        <w:t>); Art. 3, para. 1(b) “Specific Objectives” (“</w:t>
      </w:r>
      <w:r w:rsidRPr="00C747C3">
        <w:t>The Parties</w:t>
      </w:r>
      <w:r>
        <w:t>…</w:t>
      </w:r>
      <w:r w:rsidRPr="00C747C3">
        <w:t>shall, in cooperation and consultation with State and Provincial Governments, Tribal Governments, First Nations, Métis, Municipal Governments, watershed management agencies, other local public agencies, downstream jurisdictions, and the Public, identify and work to attain Specific Objectives for the Waters of the Great Lakes</w:t>
      </w:r>
      <w:r>
        <w:t>”) para. 2 “Implementation” (“</w:t>
      </w:r>
      <w:r w:rsidRPr="00C747C3">
        <w:t>The Parties shall use best efforts to ensure that water quality standards and other regulatory requirements of the Parties, State and Provincial Governments, Tribal Governments, First Nations, Métis, Municipal Governments, watershed management agencies, and other local public agencies are consistent with all of these objectives</w:t>
      </w:r>
      <w:r>
        <w:t xml:space="preserve">”); Art. 4 (cooperation and consultation with </w:t>
      </w:r>
      <w:r w:rsidRPr="003A2DA2">
        <w:t xml:space="preserve">Tribal Governments, First Nations, Métis, Municipal Governments </w:t>
      </w:r>
      <w:r>
        <w:t>in program implementation).</w:t>
      </w:r>
    </w:p>
  </w:footnote>
  <w:footnote w:id="33">
    <w:p w14:paraId="732259ED" w14:textId="0DB37ACB" w:rsidR="00F81BC5" w:rsidRPr="004A4193" w:rsidRDefault="00F81BC5">
      <w:pPr>
        <w:pStyle w:val="FootnoteText"/>
      </w:pPr>
      <w:r>
        <w:rPr>
          <w:rStyle w:val="FootnoteReference"/>
        </w:rPr>
        <w:footnoteRef/>
      </w:r>
      <w:r>
        <w:t xml:space="preserve"> See </w:t>
      </w:r>
      <w:r w:rsidRPr="00DC3302">
        <w:t>UN</w:t>
      </w:r>
      <w:r>
        <w:t xml:space="preserve"> GAOR,</w:t>
      </w:r>
      <w:r w:rsidRPr="004A4193">
        <w:rPr>
          <w:i/>
          <w:iCs/>
        </w:rPr>
        <w:t xml:space="preserve"> Declaration on the Rights of Indigenous Peoples</w:t>
      </w:r>
      <w:r>
        <w:t xml:space="preserve">, Resolution 61/295 (13 Sep 2007), 61st Sess., 107th Plenary Mtg., UN Doc A/Res/61/295 [UNDRIP], Arts. 5, 19, 20, 32, and 34; CERD </w:t>
      </w:r>
      <w:proofErr w:type="spellStart"/>
      <w:r>
        <w:t>Gen.Rec</w:t>
      </w:r>
      <w:proofErr w:type="spellEnd"/>
      <w:r>
        <w:t xml:space="preserve">. No. 23, </w:t>
      </w:r>
      <w:r>
        <w:rPr>
          <w:i/>
          <w:iCs/>
        </w:rPr>
        <w:t>supra</w:t>
      </w:r>
      <w:r>
        <w:t>.</w:t>
      </w:r>
    </w:p>
  </w:footnote>
  <w:footnote w:id="34">
    <w:p w14:paraId="10B26EDD" w14:textId="4235AC27" w:rsidR="00F81BC5" w:rsidRPr="002A71EB" w:rsidRDefault="00F81BC5" w:rsidP="0023099C">
      <w:pPr>
        <w:pStyle w:val="FootnoteText"/>
        <w:jc w:val="both"/>
      </w:pPr>
      <w:r>
        <w:rPr>
          <w:rStyle w:val="FootnoteReference"/>
        </w:rPr>
        <w:footnoteRef/>
      </w:r>
      <w:r>
        <w:t xml:space="preserve"> GLWQA Art. 4(j) (Principle of Public Engagement </w:t>
      </w:r>
      <w:r w:rsidRPr="002A71EB">
        <w:t>incorporating Public opinion and advice, as appropriate, and providing information and opportunities for the Public to participate in activities that contribute to the achievement of the objectives of this Agreement</w:t>
      </w:r>
      <w:r>
        <w:t>); Art. 5.1 (“</w:t>
      </w:r>
      <w:r w:rsidRPr="002A71EB">
        <w:t>Recognizing the importance of Public input and advice, the Parties shall convene, with the Commission, a Great Lakes Public Forum</w:t>
      </w:r>
      <w:r>
        <w:t xml:space="preserve"> [to] </w:t>
      </w:r>
      <w:r w:rsidRPr="002A71EB">
        <w:t>provide an opportunity</w:t>
      </w:r>
      <w:r>
        <w:t xml:space="preserve"> for…</w:t>
      </w:r>
      <w:r w:rsidRPr="002A71EB">
        <w:t>(a) the Parties to discuss and receive Public comments on the state of the lakes and binational priorities for science and action...and (b) to discuss and receive Public input on the Progress Report of the Parties</w:t>
      </w:r>
      <w:r>
        <w:t>”); Art. 7(g) (“</w:t>
      </w:r>
      <w:r w:rsidRPr="002A71EB">
        <w:t>consulting on a regular basis with the Public about issues related to the quality of the Waters of the Great Lakes, and about options for restoring and protecting these waters</w:t>
      </w:r>
      <w:r>
        <w:t>”); Annex 4 – Reporting</w:t>
      </w:r>
      <w:r w:rsidR="002B385A">
        <w:t>.</w:t>
      </w:r>
    </w:p>
  </w:footnote>
  <w:footnote w:id="35">
    <w:p w14:paraId="40A25D0C" w14:textId="201A2B16" w:rsidR="00F81BC5" w:rsidRPr="002A71EB" w:rsidRDefault="00F81BC5" w:rsidP="0023099C">
      <w:pPr>
        <w:pStyle w:val="FootnoteText"/>
        <w:jc w:val="both"/>
      </w:pPr>
      <w:r>
        <w:rPr>
          <w:rStyle w:val="FootnoteReference"/>
        </w:rPr>
        <w:footnoteRef/>
      </w:r>
      <w:r>
        <w:t xml:space="preserve"> </w:t>
      </w:r>
      <w:r>
        <w:rPr>
          <w:i/>
          <w:iCs/>
        </w:rPr>
        <w:t>Ibid</w:t>
      </w:r>
      <w:r>
        <w:t>., Art. 4(f)</w:t>
      </w:r>
      <w:r w:rsidR="002B385A">
        <w:t>.</w:t>
      </w:r>
    </w:p>
  </w:footnote>
  <w:footnote w:id="36">
    <w:p w14:paraId="7A10B36E" w14:textId="25ADBAD7" w:rsidR="00F81BC5" w:rsidRPr="00C747C3" w:rsidRDefault="00F81BC5" w:rsidP="0023099C">
      <w:pPr>
        <w:pStyle w:val="FootnoteText"/>
        <w:jc w:val="both"/>
      </w:pPr>
      <w:r>
        <w:rPr>
          <w:rStyle w:val="FootnoteReference"/>
        </w:rPr>
        <w:footnoteRef/>
      </w:r>
      <w:r>
        <w:t xml:space="preserve"> </w:t>
      </w:r>
      <w:r>
        <w:rPr>
          <w:i/>
          <w:iCs/>
        </w:rPr>
        <w:t>Ibid</w:t>
      </w:r>
      <w:r>
        <w:t>. Art. 3, para. 1 (“General and Specific Objectives”), para. 2 (“Implementation”), para. 4 (“Reporting”).</w:t>
      </w:r>
    </w:p>
  </w:footnote>
  <w:footnote w:id="37">
    <w:p w14:paraId="51F14233" w14:textId="2B7C87C5" w:rsidR="00F81BC5" w:rsidRDefault="00F81BC5" w:rsidP="0023099C">
      <w:pPr>
        <w:pStyle w:val="FootnoteText"/>
        <w:jc w:val="both"/>
      </w:pPr>
      <w:r>
        <w:rPr>
          <w:rStyle w:val="FootnoteReference"/>
        </w:rPr>
        <w:footnoteRef/>
      </w:r>
      <w:r>
        <w:t xml:space="preserve"> See </w:t>
      </w:r>
      <w:r w:rsidRPr="00963869">
        <w:t>Chippewa Ottawa Resource Authority</w:t>
      </w:r>
      <w:r>
        <w:t xml:space="preserve"> [“CORA”], </w:t>
      </w:r>
      <w:r w:rsidRPr="00AD608A">
        <w:t>Intertribal management for 1836 Treaty fishery</w:t>
      </w:r>
      <w:r>
        <w:t>,</w:t>
      </w:r>
      <w:r w:rsidRPr="00AD608A">
        <w:t xml:space="preserve"> online (</w:t>
      </w:r>
      <w:hyperlink r:id="rId26" w:history="1">
        <w:r w:rsidRPr="000575F1">
          <w:rPr>
            <w:rStyle w:val="Hyperlink"/>
          </w:rPr>
          <w:t>http://www.1836cora.org</w:t>
        </w:r>
      </w:hyperlink>
      <w:r w:rsidRPr="00AD608A">
        <w:t>)</w:t>
      </w:r>
      <w:r>
        <w:t>;</w:t>
      </w:r>
      <w:r w:rsidRPr="00963869">
        <w:t xml:space="preserve"> Chippewa Ottawa Resource Authority</w:t>
      </w:r>
      <w:r>
        <w:t xml:space="preserve">, </w:t>
      </w:r>
      <w:r w:rsidRPr="00AD608A">
        <w:rPr>
          <w:i/>
          <w:iCs/>
        </w:rPr>
        <w:t>Commercial, Subsistence, And Recreational Fishing Regulations For The 1836 Treaty Ceded Waters Of Lakes Superior, Huron, And Michigan</w:t>
      </w:r>
      <w:r>
        <w:t>, online (</w:t>
      </w:r>
      <w:hyperlink r:id="rId27" w:history="1">
        <w:r w:rsidRPr="000575F1">
          <w:rPr>
            <w:rStyle w:val="Hyperlink"/>
          </w:rPr>
          <w:t>http://www.1836cora.org/wp-content/uploads/2017/04/CORA-Regulations-Revised-April-3-2017.pdf</w:t>
        </w:r>
      </w:hyperlink>
      <w:r>
        <w:t xml:space="preserve">). </w:t>
      </w:r>
    </w:p>
  </w:footnote>
  <w:footnote w:id="38">
    <w:p w14:paraId="5AA276A1" w14:textId="089F57D5" w:rsidR="00F81BC5" w:rsidRDefault="00F81BC5" w:rsidP="0023099C">
      <w:pPr>
        <w:pStyle w:val="FootnoteText"/>
        <w:jc w:val="both"/>
      </w:pPr>
      <w:r>
        <w:rPr>
          <w:rStyle w:val="FootnoteReference"/>
        </w:rPr>
        <w:footnoteRef/>
      </w:r>
      <w:r>
        <w:t xml:space="preserve"> GLIFWC Member Tribes are the Bad River, Bay Mills, Danbury, Fond du Lac, Keweenaw Bay, Lac Courte Oreilles, Lac du Flambeau, Lac Vieux Desert, Mille Lacs, Mole Lake / Sokaogon, and Red Cliff Tribes; see generally </w:t>
      </w:r>
      <w:r w:rsidRPr="00BF41DF">
        <w:t>Great Lakes Indian Fish &amp; Wildlife Commission (GLIFWC)</w:t>
      </w:r>
      <w:r>
        <w:t>, online (</w:t>
      </w:r>
      <w:hyperlink r:id="rId28" w:history="1">
        <w:r w:rsidRPr="000575F1">
          <w:rPr>
            <w:rStyle w:val="Hyperlink"/>
          </w:rPr>
          <w:t>http://www.glifwc.org/About/</w:t>
        </w:r>
      </w:hyperlink>
      <w:r>
        <w:t>).</w:t>
      </w:r>
    </w:p>
  </w:footnote>
  <w:footnote w:id="39">
    <w:p w14:paraId="6BAA76A1" w14:textId="37560C86" w:rsidR="00F81BC5" w:rsidRDefault="00F81BC5" w:rsidP="0023099C">
      <w:pPr>
        <w:pStyle w:val="FootnoteText"/>
        <w:jc w:val="both"/>
      </w:pPr>
      <w:r>
        <w:rPr>
          <w:rStyle w:val="FootnoteReference"/>
        </w:rPr>
        <w:footnoteRef/>
      </w:r>
      <w:r>
        <w:t xml:space="preserve"> Also known by their anglicized name “Chippewa,” or their endonym “</w:t>
      </w:r>
      <w:r w:rsidRPr="00F42A0E">
        <w:t>Anishinaabe</w:t>
      </w:r>
      <w:r>
        <w:t>,”</w:t>
      </w:r>
      <w:r w:rsidRPr="00F42A0E">
        <w:t xml:space="preserve"> </w:t>
      </w:r>
      <w:r>
        <w:t xml:space="preserve">the  Ojibwe are </w:t>
      </w:r>
      <w:proofErr w:type="spellStart"/>
      <w:r>
        <w:t>Alongquin</w:t>
      </w:r>
      <w:proofErr w:type="spellEnd"/>
      <w:r>
        <w:t xml:space="preserve">-speaking peoples originally from the Lake Huron region, with communities in Montana and North Dakota and the Canadian provinces of Alberta, Manitoba, </w:t>
      </w:r>
      <w:r w:rsidRPr="00F42A0E">
        <w:t xml:space="preserve">Ontario, </w:t>
      </w:r>
      <w:r>
        <w:t xml:space="preserve">Quebec, and </w:t>
      </w:r>
      <w:r w:rsidRPr="00F42A0E">
        <w:t>Saskatchewan</w:t>
      </w:r>
      <w:r>
        <w:t xml:space="preserve">, numbering 170,742 people in the U.S., the fifth-largest Native American population (per 2010 U.S. Census Data); see also Dr. </w:t>
      </w:r>
      <w:proofErr w:type="spellStart"/>
      <w:r>
        <w:t>Loriane</w:t>
      </w:r>
      <w:proofErr w:type="spellEnd"/>
      <w:r>
        <w:t xml:space="preserve"> Roy, “Ojibwa”, World Culture Encyclopedia, online (</w:t>
      </w:r>
      <w:hyperlink r:id="rId29" w:history="1">
        <w:r w:rsidRPr="000575F1">
          <w:rPr>
            <w:rStyle w:val="Hyperlink"/>
          </w:rPr>
          <w:t>https://www.everyculture.com/multi/Le-Pa/Ojibwa.html</w:t>
        </w:r>
      </w:hyperlink>
      <w:r>
        <w:t>) [accessed May 2020].</w:t>
      </w:r>
    </w:p>
  </w:footnote>
  <w:footnote w:id="40">
    <w:p w14:paraId="584F285F" w14:textId="6920AB4D" w:rsidR="00F81BC5" w:rsidRDefault="00F81BC5" w:rsidP="0023099C">
      <w:pPr>
        <w:pStyle w:val="FootnoteText"/>
        <w:jc w:val="both"/>
      </w:pPr>
      <w:r>
        <w:rPr>
          <w:rStyle w:val="FootnoteReference"/>
        </w:rPr>
        <w:footnoteRef/>
      </w:r>
      <w:r>
        <w:t xml:space="preserve"> GLIFWC, “Treaties”, online (</w:t>
      </w:r>
      <w:hyperlink r:id="rId30" w:history="1">
        <w:r>
          <w:rPr>
            <w:rStyle w:val="Hyperlink"/>
          </w:rPr>
          <w:t>https://www.glifwc.org/TreatyRights/treaties.html</w:t>
        </w:r>
      </w:hyperlink>
      <w:r>
        <w:t>) [accessed June 2020].</w:t>
      </w:r>
    </w:p>
  </w:footnote>
  <w:footnote w:id="41">
    <w:p w14:paraId="5AB14AD3" w14:textId="7DD1BB23" w:rsidR="00F81BC5" w:rsidRPr="00E11C2A" w:rsidRDefault="00F81BC5" w:rsidP="0023099C">
      <w:pPr>
        <w:pStyle w:val="FootnoteText"/>
        <w:jc w:val="both"/>
      </w:pPr>
      <w:r>
        <w:rPr>
          <w:rStyle w:val="FootnoteReference"/>
        </w:rPr>
        <w:footnoteRef/>
      </w:r>
      <w:r>
        <w:t xml:space="preserve"> See </w:t>
      </w:r>
      <w:r w:rsidRPr="00E11C2A">
        <w:rPr>
          <w:i/>
          <w:iCs/>
        </w:rPr>
        <w:t>Lac Courte Oreilles v. Voigt, et al.</w:t>
      </w:r>
      <w:r w:rsidRPr="00E11C2A">
        <w:t>, 700 F.2d 341 (7th Cir., 1983),</w:t>
      </w:r>
      <w:r w:rsidRPr="00E11C2A">
        <w:rPr>
          <w:i/>
          <w:iCs/>
        </w:rPr>
        <w:t xml:space="preserve"> cert. denied </w:t>
      </w:r>
      <w:r w:rsidRPr="00E11C2A">
        <w:t xml:space="preserve">464 U.S. 805, 105 </w:t>
      </w:r>
      <w:proofErr w:type="spellStart"/>
      <w:r w:rsidRPr="00E11C2A">
        <w:t>S.Ct</w:t>
      </w:r>
      <w:proofErr w:type="spellEnd"/>
      <w:r w:rsidRPr="00E11C2A">
        <w:t>. 53, 78 L.Ed.2d 72 (1983)</w:t>
      </w:r>
      <w:r>
        <w:t>; GLIFWC and Pierson, Brian L.</w:t>
      </w:r>
      <w:r w:rsidRPr="00E11C2A">
        <w:t xml:space="preserve"> </w:t>
      </w:r>
      <w:r>
        <w:t>“</w:t>
      </w:r>
      <w:r w:rsidRPr="00E11C2A">
        <w:t xml:space="preserve">The Spearfishing Civil Rights Case: </w:t>
      </w:r>
      <w:r w:rsidRPr="00F81BC5">
        <w:rPr>
          <w:i/>
          <w:iCs/>
        </w:rPr>
        <w:t>Lac Du Flambeau Band v. Stop Treaty Abuse-Wisconsin</w:t>
      </w:r>
      <w:r>
        <w:t>”, online: (</w:t>
      </w:r>
      <w:hyperlink r:id="rId31" w:history="1">
        <w:r w:rsidRPr="000575F1">
          <w:rPr>
            <w:rStyle w:val="Hyperlink"/>
          </w:rPr>
          <w:t>https://www.glifwc.org/minwaajimo/Papers/3%20-%20Pierson%20--%20The%20Spearfishing%20Civil%20Rights%20Case%20(GLIFWC).pdf</w:t>
        </w:r>
      </w:hyperlink>
      <w:r>
        <w:t xml:space="preserve">); GLIFWC, </w:t>
      </w:r>
      <w:r w:rsidRPr="00512ACA">
        <w:rPr>
          <w:i/>
          <w:iCs/>
        </w:rPr>
        <w:t>Voigt Model Off-Reservation Conservation Code</w:t>
      </w:r>
      <w:r>
        <w:t xml:space="preserve"> (Rev. 04/2018) (a model indigenous natural resource management code intended to incorporate and implement all stipulations and court decisions entered into as a result of the </w:t>
      </w:r>
      <w:r>
        <w:rPr>
          <w:i/>
          <w:iCs/>
        </w:rPr>
        <w:t xml:space="preserve">Voigt </w:t>
      </w:r>
      <w:r>
        <w:t>judgment), online: (</w:t>
      </w:r>
      <w:hyperlink r:id="rId32" w:history="1">
        <w:r>
          <w:rPr>
            <w:rStyle w:val="Hyperlink"/>
          </w:rPr>
          <w:t>https://www.glifwc.org/Regulations/VoigtModelCode.2018.internal.links.pdf</w:t>
        </w:r>
      </w:hyperlink>
      <w:r>
        <w:t xml:space="preserve">); </w:t>
      </w:r>
      <w:r w:rsidRPr="00E11C2A">
        <w:rPr>
          <w:i/>
          <w:iCs/>
        </w:rPr>
        <w:t>Lac Courte Oreilles v. State of Wisconsin</w:t>
      </w:r>
      <w:r w:rsidRPr="00E11C2A">
        <w:t xml:space="preserve">, 758 </w:t>
      </w:r>
      <w:proofErr w:type="spellStart"/>
      <w:r w:rsidRPr="00E11C2A">
        <w:t>F.Supp</w:t>
      </w:r>
      <w:proofErr w:type="spellEnd"/>
      <w:r w:rsidRPr="00E11C2A">
        <w:t>. 1262 (W.D. Wis. 1991);</w:t>
      </w:r>
      <w:r w:rsidRPr="00E11C2A">
        <w:rPr>
          <w:i/>
          <w:iCs/>
        </w:rPr>
        <w:t xml:space="preserve"> Lac du Flambeau Band of Lake Superior Chippewa Indians v. Stop Treaty Abuse-Wisconsin, Inc</w:t>
      </w:r>
      <w:r w:rsidRPr="00E11C2A">
        <w:t>, 781 F. Supp. 1385 (</w:t>
      </w:r>
      <w:proofErr w:type="spellStart"/>
      <w:r w:rsidRPr="00E11C2A">
        <w:t>W.D.Wis</w:t>
      </w:r>
      <w:proofErr w:type="spellEnd"/>
      <w:r w:rsidRPr="00E11C2A">
        <w:t>. 1992)</w:t>
      </w:r>
      <w:r>
        <w:t xml:space="preserve"> [accessed June 2020].</w:t>
      </w:r>
    </w:p>
  </w:footnote>
  <w:footnote w:id="42">
    <w:p w14:paraId="75EAE3A9" w14:textId="72052AD8" w:rsidR="00F81BC5" w:rsidRDefault="00F81BC5" w:rsidP="0023099C">
      <w:pPr>
        <w:pStyle w:val="FootnoteText"/>
        <w:jc w:val="both"/>
      </w:pPr>
      <w:r>
        <w:rPr>
          <w:rStyle w:val="FootnoteReference"/>
        </w:rPr>
        <w:footnoteRef/>
      </w:r>
      <w:r>
        <w:t xml:space="preserve"> See GLIFWC, “Regulation Summaries, online: (</w:t>
      </w:r>
      <w:hyperlink r:id="rId33" w:history="1">
        <w:r w:rsidRPr="000575F1">
          <w:rPr>
            <w:rStyle w:val="Hyperlink"/>
          </w:rPr>
          <w:t>https://www.glifwc.org/Regulations/index.html</w:t>
        </w:r>
      </w:hyperlink>
      <w:r>
        <w:t xml:space="preserve">) (including regulations for hunting, trapping, fishing, camping, and ricing). </w:t>
      </w:r>
    </w:p>
  </w:footnote>
  <w:footnote w:id="43">
    <w:p w14:paraId="1D775C85" w14:textId="71F8A39E" w:rsidR="00F81BC5" w:rsidRDefault="00F81BC5" w:rsidP="0023099C">
      <w:pPr>
        <w:pStyle w:val="FootnoteText"/>
        <w:jc w:val="both"/>
      </w:pPr>
      <w:r>
        <w:rPr>
          <w:rStyle w:val="FootnoteReference"/>
        </w:rPr>
        <w:footnoteRef/>
      </w:r>
      <w:r>
        <w:t xml:space="preserve"> GLIFWC, “</w:t>
      </w:r>
      <w:proofErr w:type="spellStart"/>
      <w:r>
        <w:t>Manoomin</w:t>
      </w:r>
      <w:proofErr w:type="spellEnd"/>
      <w:r>
        <w:t xml:space="preserve"> (Wild Rice)” online (</w:t>
      </w:r>
      <w:hyperlink r:id="rId34" w:history="1">
        <w:r>
          <w:rPr>
            <w:rStyle w:val="Hyperlink"/>
          </w:rPr>
          <w:t>https://www.glifwc.org/WildRice/</w:t>
        </w:r>
      </w:hyperlink>
      <w:r>
        <w:t>) [accessed June 2020]</w:t>
      </w:r>
    </w:p>
  </w:footnote>
  <w:footnote w:id="44">
    <w:p w14:paraId="29726D36" w14:textId="6FBA4526" w:rsidR="00F81BC5" w:rsidRDefault="00F81BC5" w:rsidP="0023099C">
      <w:pPr>
        <w:pStyle w:val="FootnoteText"/>
        <w:jc w:val="both"/>
      </w:pPr>
      <w:r>
        <w:rPr>
          <w:rStyle w:val="FootnoteReference"/>
        </w:rPr>
        <w:footnoteRef/>
      </w:r>
      <w:r>
        <w:t xml:space="preserve"> See ICJ and  </w:t>
      </w:r>
      <w:r w:rsidRPr="008C7141">
        <w:t>Bunch, Kevin. "Climate Change and Dams Present Challenges for Wild Rice at Rainy Lake" (21 Aug 2018)</w:t>
      </w:r>
      <w:r>
        <w:t>,</w:t>
      </w:r>
      <w:r w:rsidRPr="008C7141">
        <w:t xml:space="preserve"> online: (</w:t>
      </w:r>
      <w:hyperlink r:id="rId35" w:anchor=":~:text=The%20damming%20and%20water%20management,Allan%20Yerxa%2C%20lands%20and%20resources" w:history="1">
        <w:r w:rsidRPr="000575F1">
          <w:rPr>
            <w:rStyle w:val="Hyperlink"/>
          </w:rPr>
          <w:t>https://ijc.org/en/climate-change-and-dams-present-challenges-wild-rice-rainy-lake#:~:text=The%20damming%20and%20water%20management,Allan%20Yerxa%2C%20lands%20and%20resources</w:t>
        </w:r>
      </w:hyperlink>
      <w:r w:rsidRPr="008C7141">
        <w:t>)</w:t>
      </w:r>
      <w:r>
        <w:t xml:space="preserve"> [accessed June 2020].</w:t>
      </w:r>
    </w:p>
  </w:footnote>
  <w:footnote w:id="45">
    <w:p w14:paraId="1191DE14" w14:textId="5FF3A55D" w:rsidR="00F81BC5" w:rsidRDefault="00F81BC5" w:rsidP="0023099C">
      <w:pPr>
        <w:pStyle w:val="FootnoteText"/>
        <w:jc w:val="both"/>
      </w:pPr>
      <w:r>
        <w:rPr>
          <w:rStyle w:val="FootnoteReference"/>
        </w:rPr>
        <w:footnoteRef/>
      </w:r>
      <w:r>
        <w:t xml:space="preserve"> See Community Environmental Legal Defense Fund, “Advancing the Legal Rights of Nature: Timeline” online: (</w:t>
      </w:r>
      <w:hyperlink r:id="rId36" w:history="1">
        <w:r w:rsidRPr="000575F1">
          <w:rPr>
            <w:rStyle w:val="Hyperlink"/>
          </w:rPr>
          <w:t>https://celdf.org/advancing-community-rights/rights-of-nature/rights-nature-timeline/</w:t>
        </w:r>
      </w:hyperlink>
      <w:r>
        <w:t xml:space="preserve">); Slagle, Nicolette, Comment to the ICJ, </w:t>
      </w:r>
      <w:r w:rsidRPr="003A2DA2">
        <w:rPr>
          <w:i/>
          <w:iCs/>
        </w:rPr>
        <w:t>Rights of Nature FAQ</w:t>
      </w:r>
      <w:r>
        <w:t xml:space="preserve"> (Oct 2019), online: (</w:t>
      </w:r>
      <w:hyperlink r:id="rId37" w:history="1">
        <w:r>
          <w:rPr>
            <w:rStyle w:val="Hyperlink"/>
          </w:rPr>
          <w:t>https://ijc.org/system/files/commentfiles/2019-10-Nicolette%20Slagle/FAQ.pdf</w:t>
        </w:r>
      </w:hyperlink>
      <w:r>
        <w:t>) [accessed June 2020].</w:t>
      </w:r>
    </w:p>
  </w:footnote>
  <w:footnote w:id="46">
    <w:p w14:paraId="0AB57565" w14:textId="145D7625" w:rsidR="00F81BC5" w:rsidRDefault="00F81BC5" w:rsidP="0023099C">
      <w:pPr>
        <w:pStyle w:val="FootnoteText"/>
        <w:jc w:val="both"/>
      </w:pPr>
      <w:r>
        <w:rPr>
          <w:rStyle w:val="FootnoteReference"/>
        </w:rPr>
        <w:footnoteRef/>
      </w:r>
      <w:r>
        <w:t xml:space="preserve"> See 1855 Treaty Authority, “</w:t>
      </w:r>
      <w:r w:rsidRPr="0050687C">
        <w:t xml:space="preserve">Chippewa Establish Rights Of </w:t>
      </w:r>
      <w:proofErr w:type="spellStart"/>
      <w:r w:rsidRPr="0050687C">
        <w:t>Manoomin</w:t>
      </w:r>
      <w:proofErr w:type="spellEnd"/>
      <w:r w:rsidRPr="0050687C">
        <w:t xml:space="preserve"> On White Earth Reservation And Throughout 1855 Ceded Territory</w:t>
      </w:r>
      <w:r>
        <w:t>” Press Release (11 Jan 2019) (“</w:t>
      </w:r>
      <w:r w:rsidRPr="0050687C">
        <w:t xml:space="preserve">The Rights of </w:t>
      </w:r>
      <w:proofErr w:type="spellStart"/>
      <w:r w:rsidRPr="0050687C">
        <w:t>Manoomin</w:t>
      </w:r>
      <w:proofErr w:type="spellEnd"/>
      <w:r w:rsidRPr="0050687C">
        <w:t xml:space="preserve"> were adopted because </w:t>
      </w:r>
      <w:r>
        <w:t>‘</w:t>
      </w:r>
      <w:r w:rsidRPr="0050687C">
        <w:t>it has become necessary to provide a legal basis to protect wild rice and fresh water resources as part of our primary treaty foods for future generations</w:t>
      </w:r>
      <w:r>
        <w:t>’</w:t>
      </w:r>
      <w:r w:rsidRPr="0050687C">
        <w:t xml:space="preserve"> according to resolutions.</w:t>
      </w:r>
      <w:r>
        <w:t xml:space="preserve">”) </w:t>
      </w:r>
    </w:p>
  </w:footnote>
  <w:footnote w:id="47">
    <w:p w14:paraId="28A6C7CD" w14:textId="0C07CB39" w:rsidR="00F81BC5" w:rsidRDefault="00F81BC5" w:rsidP="0023099C">
      <w:pPr>
        <w:pStyle w:val="FootnoteText"/>
        <w:jc w:val="both"/>
      </w:pPr>
      <w:r>
        <w:rPr>
          <w:rStyle w:val="FootnoteReference"/>
        </w:rPr>
        <w:footnoteRef/>
      </w:r>
      <w:r>
        <w:t xml:space="preserve"> See Minnesota Nutrient Planning Portal, St. Louis River Watershed, online (</w:t>
      </w:r>
      <w:hyperlink r:id="rId38" w:history="1">
        <w:r>
          <w:rPr>
            <w:rStyle w:val="Hyperlink"/>
          </w:rPr>
          <w:t>https://mrbdc.mnsu.edu/mnnutrients/watersheds/st-louis-river-watershed</w:t>
        </w:r>
      </w:hyperlink>
      <w:r>
        <w:t>) [accessed June 2020].</w:t>
      </w:r>
    </w:p>
  </w:footnote>
  <w:footnote w:id="48">
    <w:p w14:paraId="66574BAB" w14:textId="72070F6F" w:rsidR="00F81BC5" w:rsidRDefault="00F81BC5" w:rsidP="0023099C">
      <w:pPr>
        <w:pStyle w:val="FootnoteText"/>
        <w:jc w:val="both"/>
      </w:pPr>
      <w:r>
        <w:rPr>
          <w:rStyle w:val="FootnoteReference"/>
        </w:rPr>
        <w:footnoteRef/>
      </w:r>
      <w:r>
        <w:t xml:space="preserve"> Dunbar, Elizabeth. “Timeline: Wild Rice Regulation in Minnesota” (25 Mar 2018), </w:t>
      </w:r>
      <w:r w:rsidRPr="00512ACA">
        <w:rPr>
          <w:i/>
          <w:iCs/>
        </w:rPr>
        <w:t>Minnesota Public Radio</w:t>
      </w:r>
      <w:r>
        <w:t>, online: (</w:t>
      </w:r>
      <w:hyperlink r:id="rId39" w:history="1">
        <w:r>
          <w:rPr>
            <w:rStyle w:val="Hyperlink"/>
          </w:rPr>
          <w:t>https://www.mprnews.org/story/2015/03/25/timeline-wild-rice-regulations-in-minnesota</w:t>
        </w:r>
      </w:hyperlink>
      <w:r>
        <w:t>) [</w:t>
      </w:r>
      <w:proofErr w:type="spellStart"/>
      <w:r>
        <w:t>acc.June</w:t>
      </w:r>
      <w:proofErr w:type="spellEnd"/>
      <w:r>
        <w:t xml:space="preserve"> 2020] </w:t>
      </w:r>
    </w:p>
  </w:footnote>
  <w:footnote w:id="49">
    <w:p w14:paraId="67C7C1CE" w14:textId="77777777" w:rsidR="00F81BC5" w:rsidRPr="007B541D" w:rsidRDefault="00F81BC5" w:rsidP="0023099C">
      <w:pPr>
        <w:pStyle w:val="FootnoteText"/>
        <w:jc w:val="both"/>
      </w:pPr>
      <w:r>
        <w:rPr>
          <w:rStyle w:val="FootnoteReference"/>
        </w:rPr>
        <w:footnoteRef/>
      </w:r>
      <w:r>
        <w:t xml:space="preserve"> </w:t>
      </w:r>
      <w:r w:rsidRPr="007B541D">
        <w:t>33 U.S.C. §1251 et seq. (1972)</w:t>
      </w:r>
      <w:r>
        <w:t xml:space="preserve">; </w:t>
      </w:r>
      <w:r w:rsidRPr="007B541D">
        <w:t>33 U.S.C. § 1313(c)(1)</w:t>
      </w:r>
      <w:r>
        <w:t xml:space="preserve">; </w:t>
      </w:r>
      <w:r w:rsidRPr="007B541D">
        <w:rPr>
          <w:i/>
          <w:iCs/>
        </w:rPr>
        <w:t>National Pollutant Discharge Elimination System (NPDES)</w:t>
      </w:r>
      <w:r>
        <w:rPr>
          <w:i/>
          <w:iCs/>
        </w:rPr>
        <w:t xml:space="preserve"> Water Transfer Rule</w:t>
      </w:r>
      <w:r>
        <w:t>, 40 CFR Part 122, 73 FR 115 (Jun. 13, 2008) at 33697-33708 (rule then-in-force).</w:t>
      </w:r>
    </w:p>
  </w:footnote>
  <w:footnote w:id="50">
    <w:p w14:paraId="17D1430D" w14:textId="7678E0CD" w:rsidR="00F81BC5" w:rsidRDefault="00F81BC5" w:rsidP="0023099C">
      <w:pPr>
        <w:pStyle w:val="FootnoteText"/>
        <w:jc w:val="both"/>
      </w:pPr>
      <w:r>
        <w:rPr>
          <w:rStyle w:val="FootnoteReference"/>
        </w:rPr>
        <w:footnoteRef/>
      </w:r>
      <w:r>
        <w:t xml:space="preserve"> Iron Mining Association of Minnesota, “MPCA’s Wild Rice Sulfate Standard Frequently Asked Questions,” online (</w:t>
      </w:r>
      <w:hyperlink r:id="rId40" w:history="1">
        <w:r w:rsidRPr="000575F1">
          <w:rPr>
            <w:rStyle w:val="Hyperlink"/>
          </w:rPr>
          <w:t>https://www.taconite.org/_site_components/files/FAQ%20wild%20rice%20sulfate(1).pdf</w:t>
        </w:r>
      </w:hyperlink>
      <w:r>
        <w:t xml:space="preserve">) [accessed June 2020]. </w:t>
      </w:r>
    </w:p>
  </w:footnote>
  <w:footnote w:id="51">
    <w:p w14:paraId="188A1D7D" w14:textId="31399BDD" w:rsidR="00F81BC5" w:rsidRDefault="00F81BC5" w:rsidP="00E51A59">
      <w:pPr>
        <w:pStyle w:val="FootnoteText"/>
        <w:jc w:val="both"/>
      </w:pPr>
      <w:r>
        <w:rPr>
          <w:rStyle w:val="FootnoteReference"/>
        </w:rPr>
        <w:footnoteRef/>
      </w:r>
      <w:r>
        <w:t xml:space="preserve"> See </w:t>
      </w:r>
      <w:r w:rsidRPr="00474A03">
        <w:rPr>
          <w:i/>
          <w:iCs/>
        </w:rPr>
        <w:t>Minn. Chamber of Commerce v. Minn. Pollution Control Agency</w:t>
      </w:r>
      <w:r w:rsidRPr="00474A03">
        <w:t>, No. 62-CV-10-11824</w:t>
      </w:r>
      <w:r>
        <w:t xml:space="preserve"> (17 Dec </w:t>
      </w:r>
      <w:r w:rsidRPr="00474A03">
        <w:t>2012</w:t>
      </w:r>
      <w:r>
        <w:t>), online:</w:t>
      </w:r>
      <w:r w:rsidRPr="005A02DA">
        <w:t xml:space="preserve"> </w:t>
      </w:r>
      <w:r>
        <w:t>(</w:t>
      </w:r>
      <w:hyperlink r:id="rId41" w:history="1">
        <w:r w:rsidRPr="000575F1">
          <w:rPr>
            <w:rStyle w:val="Hyperlink"/>
          </w:rPr>
          <w:t>https://mn.gov/law-library-stat/archive/ctapun/1212/opa120950-121712.pdf</w:t>
        </w:r>
      </w:hyperlink>
      <w:r>
        <w:t xml:space="preserve">) (the decision suggests a paucity of evidence of Wild Rice Rule enforcement: “[Re] </w:t>
      </w:r>
      <w:r w:rsidRPr="002978D6">
        <w:t xml:space="preserve">U.S. Steel, no record exists to enable us to review the agency’s actions; nor do we know whether the agency would have granted a variance or waiver if U.S. Steel had </w:t>
      </w:r>
      <w:r>
        <w:t>challenged the permit”).</w:t>
      </w:r>
    </w:p>
  </w:footnote>
  <w:footnote w:id="52">
    <w:p w14:paraId="7871FF3D" w14:textId="5ADEB2D0" w:rsidR="00F81BC5" w:rsidRDefault="00F81BC5" w:rsidP="00E51A59">
      <w:pPr>
        <w:pStyle w:val="FootnoteText"/>
        <w:jc w:val="both"/>
      </w:pPr>
      <w:r>
        <w:rPr>
          <w:rStyle w:val="FootnoteReference"/>
        </w:rPr>
        <w:footnoteRef/>
      </w:r>
      <w:r>
        <w:t xml:space="preserve"> See generally 40 C.F.R. §131 Subpart B, and 40 C.F.R. §§ 131.5, 131.11, 131.20, and 131.21)</w:t>
      </w:r>
    </w:p>
  </w:footnote>
  <w:footnote w:id="53">
    <w:p w14:paraId="50D59223" w14:textId="6EFC47B9" w:rsidR="00F81BC5" w:rsidRDefault="00F81BC5" w:rsidP="00E51A59">
      <w:pPr>
        <w:pStyle w:val="FootnoteText"/>
        <w:jc w:val="both"/>
      </w:pPr>
      <w:r>
        <w:rPr>
          <w:rStyle w:val="FootnoteReference"/>
        </w:rPr>
        <w:footnoteRef/>
      </w:r>
      <w:r>
        <w:t xml:space="preserve"> MPCA, “</w:t>
      </w:r>
      <w:r w:rsidRPr="00AB0C03">
        <w:t>Wild rice sulfate standard study</w:t>
      </w:r>
      <w:r>
        <w:t xml:space="preserve">”, online: </w:t>
      </w:r>
      <w:hyperlink r:id="rId42" w:history="1">
        <w:r>
          <w:rPr>
            <w:rStyle w:val="Hyperlink"/>
          </w:rPr>
          <w:t>https://www.pca.state.mn.us/water/wild-rice-sulfate-standard-study</w:t>
        </w:r>
      </w:hyperlink>
      <w:r>
        <w:t xml:space="preserve"> (studies include the Wild Rice Sulfate Standard [WRSS] Hydroponic Experiment, WRSS Mesocosm Studies, WRSS </w:t>
      </w:r>
      <w:proofErr w:type="spellStart"/>
      <w:r>
        <w:t>Prelimenary</w:t>
      </w:r>
      <w:proofErr w:type="spellEnd"/>
      <w:r>
        <w:t xml:space="preserve"> Field Survey (2011), WRSS Field Survey (2013), WRSS Sediment Incubation Experiment, Peer Review of the WRSS studies, Draft Analysis of the Peer Review, Advisory Committee Feedback on Draft Analysis of the Peer Review, Review of the Sulfide Data for the Hydroponic Wild Rice Seedling Test, etc.) </w:t>
      </w:r>
    </w:p>
  </w:footnote>
  <w:footnote w:id="54">
    <w:p w14:paraId="2F4C22A0" w14:textId="13E99C02" w:rsidR="00F81BC5" w:rsidRPr="00561525" w:rsidRDefault="00F81BC5" w:rsidP="00E51A59">
      <w:pPr>
        <w:pStyle w:val="FootnoteText"/>
        <w:jc w:val="both"/>
      </w:pPr>
      <w:r>
        <w:rPr>
          <w:rStyle w:val="FootnoteReference"/>
        </w:rPr>
        <w:footnoteRef/>
      </w:r>
      <w:r w:rsidRPr="00561525">
        <w:t xml:space="preserve"> </w:t>
      </w:r>
      <w:proofErr w:type="spellStart"/>
      <w:r w:rsidRPr="00561525">
        <w:t>Bjorhus</w:t>
      </w:r>
      <w:proofErr w:type="spellEnd"/>
      <w:r w:rsidRPr="00561525">
        <w:t xml:space="preserve">, Jennifer, </w:t>
      </w:r>
      <w:r>
        <w:t>“</w:t>
      </w:r>
      <w:r w:rsidRPr="00561525">
        <w:t>Tribal leaders fault state plan, say wild rice in Minnesota is endangered</w:t>
      </w:r>
      <w:r>
        <w:t xml:space="preserve">” (12 Jan 2019) </w:t>
      </w:r>
      <w:r w:rsidRPr="00561525">
        <w:rPr>
          <w:i/>
          <w:iCs/>
        </w:rPr>
        <w:t>Minnesota Star Tribune</w:t>
      </w:r>
      <w:r>
        <w:t xml:space="preserve">, online: </w:t>
      </w:r>
      <w:hyperlink r:id="rId43" w:history="1">
        <w:r>
          <w:rPr>
            <w:rStyle w:val="Hyperlink"/>
          </w:rPr>
          <w:t>https://www.startribune.com/tribal-leaders-fault-state-plan-say-wild-rice-in-minnesota-is-endangered/504271862/</w:t>
        </w:r>
      </w:hyperlink>
      <w:r>
        <w:t xml:space="preserve"> (</w:t>
      </w:r>
      <w:r w:rsidRPr="00561525">
        <w:t xml:space="preserve">scientists working for Minnesota’s American Indian tribes issued a separate set of recommendations </w:t>
      </w:r>
      <w:r>
        <w:t xml:space="preserve">on the basis of </w:t>
      </w:r>
      <w:r w:rsidRPr="00561525">
        <w:t xml:space="preserve">wild rice </w:t>
      </w:r>
      <w:r>
        <w:t>being endangered)</w:t>
      </w:r>
      <w:r w:rsidRPr="00561525">
        <w:t>.</w:t>
      </w:r>
    </w:p>
  </w:footnote>
  <w:footnote w:id="55">
    <w:p w14:paraId="09FE366C" w14:textId="1AFD081D" w:rsidR="00F81BC5" w:rsidRPr="00A348E0" w:rsidRDefault="00F81BC5" w:rsidP="00E51A59">
      <w:pPr>
        <w:pStyle w:val="FootnoteText"/>
        <w:jc w:val="both"/>
      </w:pPr>
      <w:r>
        <w:rPr>
          <w:rStyle w:val="FootnoteReference"/>
        </w:rPr>
        <w:footnoteRef/>
      </w:r>
      <w:r>
        <w:t xml:space="preserve"> See </w:t>
      </w:r>
      <w:proofErr w:type="spellStart"/>
      <w:r>
        <w:t>MPRNews</w:t>
      </w:r>
      <w:proofErr w:type="spellEnd"/>
      <w:r>
        <w:t xml:space="preserve"> timeline, </w:t>
      </w:r>
      <w:r>
        <w:rPr>
          <w:i/>
          <w:iCs/>
        </w:rPr>
        <w:t>supra</w:t>
      </w:r>
      <w:r>
        <w:t>; MPCA, “Background” on wild rice rulemaking from 2012 onwards, online: (</w:t>
      </w:r>
      <w:hyperlink r:id="rId44" w:history="1">
        <w:r>
          <w:rPr>
            <w:rStyle w:val="Hyperlink"/>
          </w:rPr>
          <w:t>https://www.pca.state.mn.us/water/background</w:t>
        </w:r>
      </w:hyperlink>
      <w:r>
        <w:t>)</w:t>
      </w:r>
      <w:r w:rsidRPr="00341ED0">
        <w:t xml:space="preserve"> </w:t>
      </w:r>
      <w:r>
        <w:t>(showing the results of a plethora of scientific studies undertaken to craft several subsequent versions of the rule in consultation with multiple stakeholders); Water Legacy, “Current Developments”, online (</w:t>
      </w:r>
      <w:hyperlink r:id="rId45" w:history="1">
        <w:r w:rsidRPr="000575F1">
          <w:rPr>
            <w:rStyle w:val="Hyperlink"/>
          </w:rPr>
          <w:t>https://waterlegacy.org/sulfate-legislation/</w:t>
        </w:r>
      </w:hyperlink>
      <w:r>
        <w:t>); (showing multiple laws to support scientific research to serve as a basis for establishing an alternative rule and/or prohibiting enforcement of the Wild Rice rule (2015-2016), litigation successfully challenging rule modification due to its overly-complex nature, vetoes of additional bills seeking to nullify the rule or restart the rulemaking process).</w:t>
      </w:r>
    </w:p>
  </w:footnote>
  <w:footnote w:id="56">
    <w:p w14:paraId="38711256" w14:textId="3CE15200" w:rsidR="00F81BC5" w:rsidRPr="00FF5C9B" w:rsidRDefault="00F81BC5" w:rsidP="00E51A59">
      <w:pPr>
        <w:pStyle w:val="FootnoteText"/>
        <w:jc w:val="both"/>
      </w:pPr>
      <w:r>
        <w:rPr>
          <w:rStyle w:val="FootnoteReference"/>
        </w:rPr>
        <w:footnoteRef/>
      </w:r>
      <w:r>
        <w:t xml:space="preserve"> Orenstein, Walker, “</w:t>
      </w:r>
      <w:r w:rsidRPr="00FF5C9B">
        <w:t>Minnesota has convened yet another panel on wild rice. Can it actually get anything done?</w:t>
      </w:r>
      <w:r>
        <w:t xml:space="preserve">” (1 Oct 2018) </w:t>
      </w:r>
      <w:r>
        <w:rPr>
          <w:i/>
          <w:iCs/>
        </w:rPr>
        <w:t>Minnesota Post</w:t>
      </w:r>
      <w:r>
        <w:t>, online (</w:t>
      </w:r>
      <w:hyperlink r:id="rId46" w:history="1">
        <w:r w:rsidRPr="000575F1">
          <w:rPr>
            <w:rStyle w:val="Hyperlink"/>
          </w:rPr>
          <w:t>https://www.minnpost.com/environment/2018/10/minnesota-has-yet-another-task-force-on-wild-rice-can-it-actually-get-anything-done/</w:t>
        </w:r>
      </w:hyperlink>
      <w:r>
        <w:t>) (following Wild Rice Rule Task Force announcement, convened by Executive Order of the Governor).</w:t>
      </w:r>
    </w:p>
  </w:footnote>
  <w:footnote w:id="57">
    <w:p w14:paraId="041F9181" w14:textId="59F53F28" w:rsidR="00F81BC5" w:rsidRPr="00F72AA0" w:rsidRDefault="00F81BC5" w:rsidP="00E51A59">
      <w:pPr>
        <w:pStyle w:val="FootnoteText"/>
        <w:jc w:val="both"/>
      </w:pPr>
      <w:r>
        <w:rPr>
          <w:rStyle w:val="FootnoteReference"/>
        </w:rPr>
        <w:footnoteRef/>
      </w:r>
      <w:r>
        <w:t xml:space="preserve"> </w:t>
      </w:r>
      <w:r>
        <w:rPr>
          <w:i/>
          <w:iCs/>
        </w:rPr>
        <w:t>Ibid</w:t>
      </w:r>
      <w:r>
        <w:t xml:space="preserve">. </w:t>
      </w:r>
    </w:p>
  </w:footnote>
  <w:footnote w:id="58">
    <w:p w14:paraId="0BEEB7D6" w14:textId="61F9627F" w:rsidR="00E51A59" w:rsidRDefault="00E51A59">
      <w:pPr>
        <w:pStyle w:val="FootnoteText"/>
      </w:pPr>
      <w:r>
        <w:rPr>
          <w:rStyle w:val="FootnoteReference"/>
        </w:rPr>
        <w:footnoteRef/>
      </w:r>
      <w:r>
        <w:t xml:space="preserve"> </w:t>
      </w:r>
      <w:r w:rsidR="001E03B6">
        <w:t>See EPA, “</w:t>
      </w:r>
      <w:r w:rsidR="001E03B6" w:rsidRPr="001E03B6">
        <w:t>St. Louis River AOC</w:t>
      </w:r>
      <w:r w:rsidR="001E03B6">
        <w:t>,” online:</w:t>
      </w:r>
      <w:r w:rsidR="001E03B6" w:rsidRPr="001E03B6">
        <w:t xml:space="preserve"> </w:t>
      </w:r>
      <w:hyperlink r:id="rId47" w:anchor="news" w:history="1">
        <w:r w:rsidR="001E03B6" w:rsidRPr="000575F1">
          <w:rPr>
            <w:rStyle w:val="Hyperlink"/>
          </w:rPr>
          <w:t>https://www.epa.gov/great-lakes-aocs/st-louis-river-aoc#news</w:t>
        </w:r>
      </w:hyperlink>
      <w:r w:rsidR="001E03B6">
        <w:t xml:space="preserve"> [accessed June 2020].</w:t>
      </w:r>
    </w:p>
  </w:footnote>
  <w:footnote w:id="59">
    <w:p w14:paraId="4F12A788" w14:textId="140DAED3" w:rsidR="00F81BC5" w:rsidRDefault="00F81BC5" w:rsidP="00E51A59">
      <w:pPr>
        <w:pStyle w:val="FootnoteText"/>
        <w:jc w:val="both"/>
      </w:pPr>
      <w:r>
        <w:rPr>
          <w:rStyle w:val="FootnoteReference"/>
        </w:rPr>
        <w:footnoteRef/>
      </w:r>
      <w:r>
        <w:t xml:space="preserve"> </w:t>
      </w:r>
      <w:proofErr w:type="spellStart"/>
      <w:r w:rsidRPr="00DD6E9C">
        <w:t>Kraker</w:t>
      </w:r>
      <w:proofErr w:type="spellEnd"/>
      <w:r w:rsidRPr="00DD6E9C">
        <w:t xml:space="preserve">, Dan, "Court reverses </w:t>
      </w:r>
      <w:proofErr w:type="spellStart"/>
      <w:r w:rsidRPr="00DD6E9C">
        <w:t>PolyMet's</w:t>
      </w:r>
      <w:proofErr w:type="spellEnd"/>
      <w:r w:rsidRPr="00DD6E9C">
        <w:t xml:space="preserve"> key DNR permits; calls for contested case hearing" (13 Jan 2020), </w:t>
      </w:r>
      <w:proofErr w:type="spellStart"/>
      <w:r w:rsidRPr="00E51A59">
        <w:rPr>
          <w:i/>
          <w:iCs/>
        </w:rPr>
        <w:t>MPRNews</w:t>
      </w:r>
      <w:proofErr w:type="spellEnd"/>
      <w:r w:rsidRPr="00DD6E9C">
        <w:t xml:space="preserve">, online: </w:t>
      </w:r>
      <w:r>
        <w:t>(</w:t>
      </w:r>
      <w:hyperlink r:id="rId48" w:history="1">
        <w:r w:rsidRPr="000575F1">
          <w:rPr>
            <w:rStyle w:val="Hyperlink"/>
          </w:rPr>
          <w:t>https://www.mprnews.org/story/2020/01/13/court-reverses-dnr-polymet-permits</w:t>
        </w:r>
      </w:hyperlink>
      <w:r>
        <w:t>).</w:t>
      </w:r>
    </w:p>
  </w:footnote>
  <w:footnote w:id="60">
    <w:p w14:paraId="3BCD171D" w14:textId="7A9C3CBE" w:rsidR="00F81BC5" w:rsidRDefault="00F81BC5" w:rsidP="0060085C">
      <w:pPr>
        <w:pStyle w:val="FootnoteText"/>
      </w:pPr>
      <w:r>
        <w:rPr>
          <w:rStyle w:val="FootnoteReference"/>
        </w:rPr>
        <w:footnoteRef/>
      </w:r>
      <w:r>
        <w:t xml:space="preserve"> The Monarch Joint Venture </w:t>
      </w:r>
      <w:r w:rsidRPr="001610C2">
        <w:t>Annual Report (2019)</w:t>
      </w:r>
      <w:r w:rsidRPr="0086552A">
        <w:t xml:space="preserve"> </w:t>
      </w:r>
      <w:r>
        <w:t>[“MJV Report”]</w:t>
      </w:r>
      <w:r w:rsidRPr="001610C2">
        <w:t>, online</w:t>
      </w:r>
      <w:r>
        <w:t>:</w:t>
      </w:r>
      <w:r w:rsidRPr="001610C2">
        <w:t xml:space="preserve"> (</w:t>
      </w:r>
      <w:hyperlink r:id="rId49" w:history="1">
        <w:r>
          <w:rPr>
            <w:rStyle w:val="Hyperlink"/>
          </w:rPr>
          <w:t>https://monarchjointventure.org/images/uploads/documents/2019_MJV_Annual_Report.pdf</w:t>
        </w:r>
      </w:hyperlink>
      <w:r>
        <w:t>)</w:t>
      </w:r>
      <w:r w:rsidRPr="001610C2">
        <w:t xml:space="preserve"> [</w:t>
      </w:r>
      <w:r w:rsidR="008766B2">
        <w:t>accessed June 2020</w:t>
      </w:r>
      <w:r w:rsidRPr="001610C2">
        <w:t>]</w:t>
      </w:r>
      <w:r>
        <w:t xml:space="preserve"> </w:t>
      </w:r>
    </w:p>
  </w:footnote>
  <w:footnote w:id="61">
    <w:p w14:paraId="47D487E8" w14:textId="7A9871EC" w:rsidR="00F81BC5" w:rsidRPr="00CC7968" w:rsidRDefault="00F81BC5" w:rsidP="00680437">
      <w:pPr>
        <w:pStyle w:val="FootnoteText"/>
      </w:pPr>
      <w:r>
        <w:rPr>
          <w:rStyle w:val="FootnoteReference"/>
        </w:rPr>
        <w:footnoteRef/>
      </w:r>
      <w:r w:rsidRPr="00CC7968">
        <w:t xml:space="preserve"> UNESCO Wo</w:t>
      </w:r>
      <w:r>
        <w:t>rld Heritage Convention List, Monarch Butterfly Biosphere Reserve, online: (</w:t>
      </w:r>
      <w:hyperlink r:id="rId50" w:history="1">
        <w:r w:rsidRPr="003D6145">
          <w:rPr>
            <w:rStyle w:val="Hyperlink"/>
          </w:rPr>
          <w:t>https://whc.unesco.org/en/list/1290/</w:t>
        </w:r>
      </w:hyperlink>
      <w:r>
        <w:t xml:space="preserve">) </w:t>
      </w:r>
      <w:r w:rsidRPr="001610C2">
        <w:t xml:space="preserve">[accessed </w:t>
      </w:r>
      <w:r>
        <w:t>7</w:t>
      </w:r>
      <w:r w:rsidRPr="001610C2">
        <w:t xml:space="preserve"> June 2020]</w:t>
      </w:r>
      <w:r w:rsidR="00E51A59">
        <w:t>.</w:t>
      </w:r>
    </w:p>
  </w:footnote>
  <w:footnote w:id="62">
    <w:p w14:paraId="6C923436" w14:textId="1E1075CA" w:rsidR="00F81BC5" w:rsidRPr="001610C2" w:rsidRDefault="00F81BC5">
      <w:pPr>
        <w:pStyle w:val="FootnoteText"/>
      </w:pPr>
      <w:r>
        <w:rPr>
          <w:rStyle w:val="FootnoteReference"/>
        </w:rPr>
        <w:footnoteRef/>
      </w:r>
      <w:r>
        <w:t xml:space="preserve"> MJV Report, </w:t>
      </w:r>
      <w:r>
        <w:rPr>
          <w:i/>
          <w:iCs/>
        </w:rPr>
        <w:t>supra</w:t>
      </w:r>
      <w:r>
        <w:t xml:space="preserve"> at p.6.</w:t>
      </w:r>
    </w:p>
  </w:footnote>
  <w:footnote w:id="63">
    <w:p w14:paraId="77FAFD2C" w14:textId="7E7E9CFE" w:rsidR="00F81BC5" w:rsidRPr="000074AC" w:rsidRDefault="00F81BC5">
      <w:pPr>
        <w:pStyle w:val="FootnoteText"/>
      </w:pPr>
      <w:r>
        <w:rPr>
          <w:rStyle w:val="FootnoteReference"/>
        </w:rPr>
        <w:footnoteRef/>
      </w:r>
      <w:r>
        <w:t xml:space="preserve"> </w:t>
      </w:r>
      <w:r>
        <w:rPr>
          <w:i/>
          <w:iCs/>
        </w:rPr>
        <w:t>Ibid</w:t>
      </w:r>
      <w:r>
        <w:t>;</w:t>
      </w:r>
      <w:r>
        <w:rPr>
          <w:i/>
          <w:iCs/>
        </w:rPr>
        <w:t xml:space="preserve"> </w:t>
      </w:r>
      <w:proofErr w:type="spellStart"/>
      <w:r w:rsidRPr="00636B22">
        <w:t>A.B.Cariveau</w:t>
      </w:r>
      <w:proofErr w:type="spellEnd"/>
      <w:r w:rsidRPr="00636B22">
        <w:t xml:space="preserve">, </w:t>
      </w:r>
      <w:proofErr w:type="spellStart"/>
      <w:r w:rsidRPr="00636B22">
        <w:t>H.L.Holt</w:t>
      </w:r>
      <w:proofErr w:type="spellEnd"/>
      <w:r w:rsidRPr="00636B22">
        <w:t xml:space="preserve">, </w:t>
      </w:r>
      <w:proofErr w:type="spellStart"/>
      <w:r w:rsidRPr="00636B22">
        <w:t>J.P.Ward</w:t>
      </w:r>
      <w:proofErr w:type="spellEnd"/>
      <w:r w:rsidRPr="00636B22">
        <w:t xml:space="preserve">, </w:t>
      </w:r>
      <w:proofErr w:type="spellStart"/>
      <w:r w:rsidRPr="00636B22">
        <w:t>L.Lukens</w:t>
      </w:r>
      <w:proofErr w:type="spellEnd"/>
      <w:r w:rsidRPr="00636B22">
        <w:t xml:space="preserve">, </w:t>
      </w:r>
      <w:proofErr w:type="spellStart"/>
      <w:r w:rsidRPr="00636B22">
        <w:t>K.Kasten</w:t>
      </w:r>
      <w:proofErr w:type="spellEnd"/>
      <w:r w:rsidRPr="00636B22">
        <w:t xml:space="preserve">, </w:t>
      </w:r>
      <w:proofErr w:type="spellStart"/>
      <w:r w:rsidRPr="00636B22">
        <w:t>J.Thieme</w:t>
      </w:r>
      <w:proofErr w:type="spellEnd"/>
      <w:r w:rsidRPr="00636B22">
        <w:t xml:space="preserve">, </w:t>
      </w:r>
      <w:proofErr w:type="spellStart"/>
      <w:r w:rsidRPr="00636B22">
        <w:t>W.Caldwell</w:t>
      </w:r>
      <w:proofErr w:type="spellEnd"/>
      <w:r w:rsidRPr="00636B22">
        <w:t xml:space="preserve">, </w:t>
      </w:r>
      <w:proofErr w:type="spellStart"/>
      <w:r w:rsidRPr="00636B22">
        <w:t>K.Tuerk</w:t>
      </w:r>
      <w:proofErr w:type="spellEnd"/>
      <w:r w:rsidRPr="00636B22">
        <w:t xml:space="preserve">, </w:t>
      </w:r>
      <w:proofErr w:type="spellStart"/>
      <w:r w:rsidRPr="00636B22">
        <w:t>K.A.Baum</w:t>
      </w:r>
      <w:proofErr w:type="spellEnd"/>
      <w:r w:rsidRPr="00636B22">
        <w:t xml:space="preserve">, </w:t>
      </w:r>
      <w:proofErr w:type="spellStart"/>
      <w:r w:rsidRPr="00636B22">
        <w:t>P.Drobney</w:t>
      </w:r>
      <w:proofErr w:type="spellEnd"/>
      <w:r w:rsidRPr="00636B22">
        <w:t xml:space="preserve">, </w:t>
      </w:r>
      <w:proofErr w:type="spellStart"/>
      <w:r w:rsidRPr="00636B22">
        <w:t>R.G.Drum</w:t>
      </w:r>
      <w:proofErr w:type="spellEnd"/>
      <w:r w:rsidRPr="00636B22">
        <w:t xml:space="preserve">, </w:t>
      </w:r>
      <w:proofErr w:type="spellStart"/>
      <w:r w:rsidRPr="00636B22">
        <w:t>R.Grunde</w:t>
      </w:r>
      <w:proofErr w:type="spellEnd"/>
      <w:r w:rsidRPr="00636B22">
        <w:t xml:space="preserve">, </w:t>
      </w:r>
      <w:proofErr w:type="spellStart"/>
      <w:r w:rsidRPr="00636B22">
        <w:t>K.Hamilton</w:t>
      </w:r>
      <w:proofErr w:type="spellEnd"/>
      <w:r w:rsidRPr="00636B22">
        <w:t xml:space="preserve">, </w:t>
      </w:r>
      <w:proofErr w:type="spellStart"/>
      <w:r w:rsidRPr="00636B22">
        <w:t>C.Hoang</w:t>
      </w:r>
      <w:proofErr w:type="spellEnd"/>
      <w:r w:rsidRPr="00636B22">
        <w:t xml:space="preserve">, </w:t>
      </w:r>
      <w:proofErr w:type="spellStart"/>
      <w:r w:rsidRPr="00636B22">
        <w:t>K.Kinkead</w:t>
      </w:r>
      <w:proofErr w:type="spellEnd"/>
      <w:r w:rsidRPr="00636B22">
        <w:t xml:space="preserve">, </w:t>
      </w:r>
      <w:proofErr w:type="spellStart"/>
      <w:r w:rsidRPr="00636B22">
        <w:t>J.McIntyre</w:t>
      </w:r>
      <w:proofErr w:type="spellEnd"/>
      <w:r w:rsidRPr="00636B22">
        <w:t xml:space="preserve">, </w:t>
      </w:r>
      <w:proofErr w:type="spellStart"/>
      <w:r w:rsidRPr="00636B22">
        <w:t>W.E.Thogmartin</w:t>
      </w:r>
      <w:proofErr w:type="spellEnd"/>
      <w:r w:rsidRPr="00636B22">
        <w:t xml:space="preserve">, </w:t>
      </w:r>
      <w:proofErr w:type="spellStart"/>
      <w:r w:rsidRPr="00636B22">
        <w:t>T.Turner</w:t>
      </w:r>
      <w:proofErr w:type="spellEnd"/>
      <w:r w:rsidRPr="00636B22">
        <w:t xml:space="preserve">, </w:t>
      </w:r>
      <w:proofErr w:type="spellStart"/>
      <w:r w:rsidRPr="00636B22">
        <w:t>E.L.Weiser</w:t>
      </w:r>
      <w:proofErr w:type="spellEnd"/>
      <w:r w:rsidRPr="00636B22">
        <w:t xml:space="preserve">, and </w:t>
      </w:r>
      <w:proofErr w:type="spellStart"/>
      <w:r w:rsidRPr="00636B22">
        <w:t>K.Oberhauser</w:t>
      </w:r>
      <w:proofErr w:type="spellEnd"/>
      <w:r>
        <w:t xml:space="preserve">, </w:t>
      </w:r>
      <w:r w:rsidRPr="00636B22">
        <w:t>"The Integrated Monarch Monitoring Program: From Design to Implementation"</w:t>
      </w:r>
      <w:r>
        <w:t xml:space="preserve">, </w:t>
      </w:r>
      <w:r w:rsidRPr="00636B22">
        <w:t xml:space="preserve">Front. Ecol. </w:t>
      </w:r>
      <w:proofErr w:type="spellStart"/>
      <w:r w:rsidRPr="00636B22">
        <w:t>Evol</w:t>
      </w:r>
      <w:proofErr w:type="spellEnd"/>
      <w:r w:rsidRPr="00636B22">
        <w:t>., 29 May 2019</w:t>
      </w:r>
      <w:r>
        <w:t>, online</w:t>
      </w:r>
      <w:r w:rsidRPr="00636B22">
        <w:t xml:space="preserve"> </w:t>
      </w:r>
      <w:r>
        <w:t>(</w:t>
      </w:r>
      <w:hyperlink r:id="rId51" w:history="1">
        <w:r w:rsidRPr="001A62CD">
          <w:rPr>
            <w:rStyle w:val="Hyperlink"/>
          </w:rPr>
          <w:t>https://doi.org/10.3389/fevo.2019.00167</w:t>
        </w:r>
      </w:hyperlink>
      <w:r>
        <w:t>) [</w:t>
      </w:r>
      <w:r w:rsidR="008766B2">
        <w:t>accessed June 2020</w:t>
      </w:r>
      <w:r>
        <w:t>].</w:t>
      </w:r>
    </w:p>
  </w:footnote>
  <w:footnote w:id="64">
    <w:p w14:paraId="45CB24F0" w14:textId="3B435E08" w:rsidR="00F81BC5" w:rsidRDefault="00F81BC5" w:rsidP="009774B4">
      <w:pPr>
        <w:pStyle w:val="FootnoteText"/>
        <w:ind w:right="-630"/>
      </w:pPr>
      <w:r>
        <w:rPr>
          <w:rStyle w:val="FootnoteReference"/>
        </w:rPr>
        <w:footnoteRef/>
      </w:r>
      <w:r>
        <w:t xml:space="preserve"> National Wildlife Federation, “Mayors Monarch Pledge”, online (</w:t>
      </w:r>
      <w:hyperlink r:id="rId52" w:history="1">
        <w:r>
          <w:rPr>
            <w:rStyle w:val="Hyperlink"/>
          </w:rPr>
          <w:t>https://www.nwf.org/MayorsMonarchPledge/</w:t>
        </w:r>
      </w:hyperlink>
      <w:r>
        <w:t>) [accessed June 2020].</w:t>
      </w:r>
    </w:p>
  </w:footnote>
  <w:footnote w:id="65">
    <w:p w14:paraId="436FF3F2" w14:textId="052F7D08" w:rsidR="00F81BC5" w:rsidRDefault="00F81BC5">
      <w:pPr>
        <w:pStyle w:val="FootnoteText"/>
      </w:pPr>
      <w:r>
        <w:rPr>
          <w:rStyle w:val="FootnoteReference"/>
        </w:rPr>
        <w:footnoteRef/>
      </w:r>
      <w:r>
        <w:t xml:space="preserve"> Lindsey Ramsey, “</w:t>
      </w:r>
      <w:r w:rsidRPr="009975AF">
        <w:t>Illinois Monarch Project: A Multi-Sector Approach to Conservation Success</w:t>
      </w:r>
      <w:r>
        <w:t>” (10 April 2019), Illinois Farm Bureau [</w:t>
      </w:r>
      <w:r w:rsidR="008766B2">
        <w:t>“</w:t>
      </w:r>
      <w:r>
        <w:t>IL Monarch Project</w:t>
      </w:r>
      <w:r w:rsidR="008766B2">
        <w:t>”</w:t>
      </w:r>
      <w:r>
        <w:t>].</w:t>
      </w:r>
    </w:p>
  </w:footnote>
  <w:footnote w:id="66">
    <w:p w14:paraId="13F4019B" w14:textId="0E172516" w:rsidR="00F81BC5" w:rsidRPr="00AF7056" w:rsidRDefault="00F81BC5">
      <w:pPr>
        <w:pStyle w:val="FootnoteText"/>
      </w:pPr>
      <w:r>
        <w:rPr>
          <w:rStyle w:val="FootnoteReference"/>
        </w:rPr>
        <w:footnoteRef/>
      </w:r>
      <w:r>
        <w:t xml:space="preserve"> </w:t>
      </w:r>
      <w:r>
        <w:rPr>
          <w:i/>
          <w:iCs/>
        </w:rPr>
        <w:t>Ibid</w:t>
      </w:r>
      <w:r>
        <w:t>.</w:t>
      </w:r>
      <w:r>
        <w:rPr>
          <w:i/>
          <w:iCs/>
        </w:rPr>
        <w:t xml:space="preserve"> </w:t>
      </w:r>
      <w:r>
        <w:t xml:space="preserve">at 13; see also </w:t>
      </w:r>
      <w:r w:rsidRPr="00AF7056">
        <w:t>MJV Report</w:t>
      </w:r>
      <w:r>
        <w:rPr>
          <w:i/>
          <w:iCs/>
        </w:rPr>
        <w:t>, supra</w:t>
      </w:r>
      <w:r>
        <w:t>.</w:t>
      </w:r>
    </w:p>
  </w:footnote>
  <w:footnote w:id="67">
    <w:p w14:paraId="7CD59293" w14:textId="4118F533" w:rsidR="00F81BC5" w:rsidRDefault="00F81BC5">
      <w:pPr>
        <w:pStyle w:val="FootnoteText"/>
      </w:pPr>
      <w:r>
        <w:rPr>
          <w:rStyle w:val="FootnoteReference"/>
        </w:rPr>
        <w:footnoteRef/>
      </w:r>
      <w:r>
        <w:t xml:space="preserve"> </w:t>
      </w:r>
      <w:r w:rsidRPr="009975AF">
        <w:rPr>
          <w:i/>
          <w:iCs/>
        </w:rPr>
        <w:t>Ibid</w:t>
      </w:r>
      <w:r>
        <w:rPr>
          <w:i/>
          <w:iCs/>
        </w:rPr>
        <w:t>;</w:t>
      </w:r>
      <w:r>
        <w:t xml:space="preserve"> see also </w:t>
      </w:r>
      <w:r w:rsidRPr="009975AF">
        <w:t>U</w:t>
      </w:r>
      <w:r>
        <w:t>.S. Fish and Wildlife Service, “</w:t>
      </w:r>
      <w:r w:rsidRPr="00E6327B">
        <w:t>Creatively restoring monarch habitat on an Illinois right-of-way</w:t>
      </w:r>
      <w:r>
        <w:t>” (28 June 2017), online: (</w:t>
      </w:r>
      <w:hyperlink r:id="rId53" w:history="1">
        <w:r>
          <w:rPr>
            <w:rStyle w:val="Hyperlink"/>
          </w:rPr>
          <w:t>https://www.fws.gov/midwest/news/IllinoisROW.html</w:t>
        </w:r>
      </w:hyperlink>
      <w:r>
        <w:t>) [</w:t>
      </w:r>
      <w:r w:rsidR="008766B2">
        <w:t>accessed June 2020</w:t>
      </w:r>
      <w:r>
        <w:t>].</w:t>
      </w:r>
    </w:p>
  </w:footnote>
  <w:footnote w:id="68">
    <w:p w14:paraId="44B6955B" w14:textId="65B79928" w:rsidR="00F81BC5" w:rsidRDefault="00F81BC5" w:rsidP="006122EA">
      <w:pPr>
        <w:pStyle w:val="FootnoteText"/>
      </w:pPr>
      <w:r>
        <w:rPr>
          <w:rStyle w:val="FootnoteReference"/>
        </w:rPr>
        <w:footnoteRef/>
      </w:r>
      <w:r>
        <w:t xml:space="preserve"> Bobby McGill, “</w:t>
      </w:r>
      <w:r w:rsidRPr="00AF7056">
        <w:t>Monarch Butterfly Plan Seen as Model for Protecting Other Species</w:t>
      </w:r>
      <w:r>
        <w:t xml:space="preserve">” (13 Apr 2020), </w:t>
      </w:r>
      <w:r>
        <w:rPr>
          <w:i/>
          <w:iCs/>
        </w:rPr>
        <w:t xml:space="preserve">Bloomberg Law News </w:t>
      </w:r>
      <w:r>
        <w:t>online</w:t>
      </w:r>
      <w:r w:rsidR="00603B63">
        <w:t>:</w:t>
      </w:r>
      <w:r>
        <w:t xml:space="preserve"> (</w:t>
      </w:r>
      <w:hyperlink r:id="rId54" w:history="1">
        <w:r>
          <w:rPr>
            <w:rStyle w:val="Hyperlink"/>
          </w:rPr>
          <w:t>https://news.bloomberglaw.com/environment-and-energy/monarch-butterfly-plan-seen-as-model-for-protecting-other-species</w:t>
        </w:r>
      </w:hyperlink>
      <w:r>
        <w:t>) [accessed June 2020].</w:t>
      </w:r>
    </w:p>
  </w:footnote>
  <w:footnote w:id="69">
    <w:p w14:paraId="7E34EB2D" w14:textId="6B3CBC38" w:rsidR="00F81BC5" w:rsidRDefault="00F81BC5">
      <w:pPr>
        <w:pStyle w:val="FootnoteText"/>
      </w:pPr>
      <w:r>
        <w:rPr>
          <w:rStyle w:val="FootnoteReference"/>
        </w:rPr>
        <w:footnoteRef/>
      </w:r>
      <w:r>
        <w:t xml:space="preserve"> The </w:t>
      </w:r>
      <w:r w:rsidRPr="00921DF7">
        <w:t>Million Pollinator Garden Challenge</w:t>
      </w:r>
      <w:r>
        <w:t xml:space="preserve">; see </w:t>
      </w:r>
      <w:r w:rsidRPr="007B2607">
        <w:t>Cindy Dampier, "Chicagoans have planted more than 14,000 gardens to help pollinators like monarch butterflies" Chicago Tribune (01 March 2019), online: (</w:t>
      </w:r>
      <w:hyperlink r:id="rId55" w:history="1">
        <w:r w:rsidRPr="001A62CD">
          <w:rPr>
            <w:rStyle w:val="Hyperlink"/>
          </w:rPr>
          <w:t>https://www.chicagotribune.com/lifestyles/ct-life-pollinator-gardens-chicago-20190228-story.html</w:t>
        </w:r>
      </w:hyperlink>
      <w:r w:rsidRPr="007B2607">
        <w:t>) [June 2020]</w:t>
      </w:r>
      <w:r>
        <w:t>.</w:t>
      </w:r>
    </w:p>
  </w:footnote>
  <w:footnote w:id="70">
    <w:p w14:paraId="1E110C54" w14:textId="12F5407C" w:rsidR="00F81BC5" w:rsidRPr="007B2607" w:rsidRDefault="00F81BC5">
      <w:pPr>
        <w:pStyle w:val="FootnoteText"/>
      </w:pPr>
      <w:r>
        <w:rPr>
          <w:rStyle w:val="FootnoteReference"/>
        </w:rPr>
        <w:footnoteRef/>
      </w:r>
      <w:r>
        <w:t xml:space="preserve"> </w:t>
      </w:r>
      <w:r>
        <w:rPr>
          <w:i/>
          <w:iCs/>
        </w:rPr>
        <w:t>The Guardian</w:t>
      </w:r>
      <w:r>
        <w:t>, “</w:t>
      </w:r>
      <w:r w:rsidRPr="007B2607">
        <w:t>Mexico's deadly toll of environment and land defenders catalogued in report</w:t>
      </w:r>
      <w:r>
        <w:t>” (20 March 2020), online</w:t>
      </w:r>
      <w:r w:rsidR="00603B63">
        <w:t>:</w:t>
      </w:r>
      <w:r>
        <w:t xml:space="preserve"> (</w:t>
      </w:r>
      <w:hyperlink r:id="rId56" w:history="1">
        <w:r>
          <w:rPr>
            <w:rStyle w:val="Hyperlink"/>
          </w:rPr>
          <w:t>https://www.theguardian.com/environment/2020/mar/20/mexico-environment-land-defenders-murdered-rights-indigenous</w:t>
        </w:r>
      </w:hyperlink>
      <w:r>
        <w:t xml:space="preserve">). </w:t>
      </w:r>
    </w:p>
  </w:footnote>
  <w:footnote w:id="71">
    <w:p w14:paraId="23A062F8" w14:textId="782DE25C" w:rsidR="00F81BC5" w:rsidRPr="000071A4" w:rsidRDefault="00F81BC5" w:rsidP="000071A4">
      <w:pPr>
        <w:pStyle w:val="FootnoteText"/>
        <w:ind w:right="-270"/>
        <w:rPr>
          <w:lang w:val="fr-FR"/>
        </w:rPr>
      </w:pPr>
      <w:r>
        <w:rPr>
          <w:rStyle w:val="FootnoteReference"/>
        </w:rPr>
        <w:footnoteRef/>
      </w:r>
      <w:r w:rsidRPr="000071A4">
        <w:rPr>
          <w:lang w:val="fr-FR"/>
        </w:rPr>
        <w:t xml:space="preserve"> CEMDA, "Informe Sobre la </w:t>
      </w:r>
      <w:proofErr w:type="spellStart"/>
      <w:r w:rsidRPr="000071A4">
        <w:rPr>
          <w:lang w:val="fr-FR"/>
        </w:rPr>
        <w:t>Situaci</w:t>
      </w:r>
      <w:r>
        <w:rPr>
          <w:lang w:val="fr-FR"/>
        </w:rPr>
        <w:t>ó</w:t>
      </w:r>
      <w:r w:rsidRPr="000071A4">
        <w:rPr>
          <w:lang w:val="fr-FR"/>
        </w:rPr>
        <w:t>n</w:t>
      </w:r>
      <w:proofErr w:type="spellEnd"/>
      <w:r w:rsidRPr="000071A4">
        <w:rPr>
          <w:lang w:val="fr-FR"/>
        </w:rPr>
        <w:t xml:space="preserve"> de las </w:t>
      </w:r>
      <w:proofErr w:type="spellStart"/>
      <w:r w:rsidRPr="000071A4">
        <w:rPr>
          <w:lang w:val="fr-FR"/>
        </w:rPr>
        <w:t>Personas</w:t>
      </w:r>
      <w:proofErr w:type="spellEnd"/>
      <w:r w:rsidRPr="000071A4">
        <w:rPr>
          <w:lang w:val="fr-FR"/>
        </w:rPr>
        <w:t xml:space="preserve"> </w:t>
      </w:r>
      <w:proofErr w:type="spellStart"/>
      <w:r w:rsidRPr="000071A4">
        <w:rPr>
          <w:lang w:val="fr-FR"/>
        </w:rPr>
        <w:t>Defensoras</w:t>
      </w:r>
      <w:proofErr w:type="spellEnd"/>
      <w:r w:rsidRPr="000071A4">
        <w:rPr>
          <w:lang w:val="fr-FR"/>
        </w:rPr>
        <w:t xml:space="preserve"> de los Derechos Humanos", online</w:t>
      </w:r>
      <w:r w:rsidR="00E51A59">
        <w:rPr>
          <w:lang w:val="fr-FR"/>
        </w:rPr>
        <w:t>:</w:t>
      </w:r>
      <w:r w:rsidRPr="000071A4">
        <w:rPr>
          <w:lang w:val="fr-FR"/>
        </w:rPr>
        <w:t xml:space="preserve"> (</w:t>
      </w:r>
      <w:hyperlink r:id="rId57" w:history="1">
        <w:r w:rsidRPr="001A62CD">
          <w:rPr>
            <w:rStyle w:val="Hyperlink"/>
            <w:lang w:val="fr-FR"/>
          </w:rPr>
          <w:t>https://www.cemda.org.mx/wp-content/uploads/2020/03/informe-personas-defensoras-2019.pdf</w:t>
        </w:r>
      </w:hyperlink>
      <w:r w:rsidRPr="000071A4">
        <w:rPr>
          <w:lang w:val="fr-FR"/>
        </w:rPr>
        <w:t>)</w:t>
      </w:r>
      <w:r>
        <w:rPr>
          <w:lang w:val="fr-FR"/>
        </w:rPr>
        <w:t xml:space="preserve"> [</w:t>
      </w:r>
      <w:proofErr w:type="spellStart"/>
      <w:r>
        <w:rPr>
          <w:lang w:val="fr-FR"/>
        </w:rPr>
        <w:t>accessed</w:t>
      </w:r>
      <w:proofErr w:type="spellEnd"/>
      <w:r>
        <w:rPr>
          <w:lang w:val="fr-FR"/>
        </w:rPr>
        <w:t xml:space="preserve"> June 2020]</w:t>
      </w:r>
    </w:p>
  </w:footnote>
  <w:footnote w:id="72">
    <w:p w14:paraId="25BDFD29" w14:textId="77777777" w:rsidR="00F81BC5" w:rsidRPr="008C1946" w:rsidRDefault="00F81BC5" w:rsidP="006122EA">
      <w:pPr>
        <w:pStyle w:val="FootnoteText"/>
      </w:pPr>
      <w:r>
        <w:rPr>
          <w:rStyle w:val="FootnoteReference"/>
        </w:rPr>
        <w:footnoteRef/>
      </w:r>
      <w:r>
        <w:t xml:space="preserve"> Defined as </w:t>
      </w:r>
      <w:r w:rsidRPr="008C1946">
        <w:t>regions with at least 1500 endemic species of vascular flowering plants</w:t>
      </w:r>
      <w:r>
        <w:t xml:space="preserve"> </w:t>
      </w:r>
      <w:r w:rsidRPr="008C1946">
        <w:t>which have lost at least 70% of the original extent of their habitat</w:t>
      </w:r>
      <w:r>
        <w:t xml:space="preserve">; </w:t>
      </w:r>
      <w:r w:rsidRPr="00525541">
        <w:t>Forest Stewardship Council</w:t>
      </w:r>
      <w:r>
        <w:t xml:space="preserve">, 2019 </w:t>
      </w:r>
      <w:r w:rsidRPr="00525541">
        <w:t>Centralized National Risk Assessment for Mexico</w:t>
      </w:r>
      <w:r>
        <w:t xml:space="preserve"> [FSC Mexico Risk Assessment], online (</w:t>
      </w:r>
      <w:hyperlink r:id="rId58" w:history="1">
        <w:r>
          <w:rPr>
            <w:rStyle w:val="Hyperlink"/>
          </w:rPr>
          <w:t>https://fsc.org/en/document-centre/documents/resource/160</w:t>
        </w:r>
      </w:hyperlink>
      <w:r>
        <w:t xml:space="preserve">) at 218. </w:t>
      </w:r>
    </w:p>
  </w:footnote>
  <w:footnote w:id="73">
    <w:p w14:paraId="04A5D72E" w14:textId="77777777" w:rsidR="00F81BC5" w:rsidRDefault="00F81BC5" w:rsidP="0086552A">
      <w:pPr>
        <w:pStyle w:val="FootnoteText"/>
        <w:jc w:val="both"/>
      </w:pPr>
      <w:r>
        <w:rPr>
          <w:rStyle w:val="FootnoteReference"/>
        </w:rPr>
        <w:footnoteRef/>
      </w:r>
      <w:r>
        <w:t xml:space="preserve"> </w:t>
      </w:r>
      <w:r w:rsidRPr="00390C7A">
        <w:t xml:space="preserve">Martha </w:t>
      </w:r>
      <w:proofErr w:type="spellStart"/>
      <w:r w:rsidRPr="00390C7A">
        <w:t>Pskowski</w:t>
      </w:r>
      <w:proofErr w:type="spellEnd"/>
      <w:r w:rsidRPr="00390C7A">
        <w:t xml:space="preserve">, "Deforestation and mining threaten a monarch butterfly reserve in Mexico" (19 </w:t>
      </w:r>
      <w:r>
        <w:t xml:space="preserve">Dec </w:t>
      </w:r>
      <w:r w:rsidRPr="00390C7A">
        <w:t xml:space="preserve">2018), </w:t>
      </w:r>
      <w:proofErr w:type="spellStart"/>
      <w:r w:rsidRPr="00390C7A">
        <w:rPr>
          <w:i/>
          <w:iCs/>
        </w:rPr>
        <w:t>Mongabay</w:t>
      </w:r>
      <w:proofErr w:type="spellEnd"/>
      <w:r w:rsidRPr="00390C7A">
        <w:t>, online (</w:t>
      </w:r>
      <w:hyperlink r:id="rId59" w:history="1">
        <w:r w:rsidRPr="001A62CD">
          <w:rPr>
            <w:rStyle w:val="Hyperlink"/>
          </w:rPr>
          <w:t>https://news.mongabay.com/2018/12/deforestation-and-mining-threaten-a-monarch-butterfly-reserve-in-mexico/</w:t>
        </w:r>
      </w:hyperlink>
      <w:r w:rsidRPr="00390C7A">
        <w:t>)</w:t>
      </w:r>
      <w:r>
        <w:t xml:space="preserve"> [accessed June 2020].</w:t>
      </w:r>
    </w:p>
  </w:footnote>
  <w:footnote w:id="74">
    <w:p w14:paraId="693CA58C" w14:textId="77777777" w:rsidR="00F81BC5" w:rsidRDefault="00F81BC5" w:rsidP="0086552A">
      <w:pPr>
        <w:pStyle w:val="FootnoteText"/>
        <w:ind w:right="-360"/>
        <w:jc w:val="both"/>
      </w:pPr>
      <w:r>
        <w:rPr>
          <w:rStyle w:val="FootnoteReference"/>
        </w:rPr>
        <w:footnoteRef/>
      </w:r>
      <w:r>
        <w:t xml:space="preserve"> </w:t>
      </w:r>
      <w:r w:rsidRPr="00306AD4">
        <w:t>FSC Mexico Risk Assessment</w:t>
      </w:r>
      <w:r>
        <w:rPr>
          <w:i/>
          <w:iCs/>
        </w:rPr>
        <w:t xml:space="preserve"> </w:t>
      </w:r>
      <w:r>
        <w:t>at 246.</w:t>
      </w:r>
    </w:p>
  </w:footnote>
  <w:footnote w:id="75">
    <w:p w14:paraId="24EE49B4" w14:textId="0E6314A9" w:rsidR="00F81BC5" w:rsidRDefault="00F81BC5" w:rsidP="0086552A">
      <w:pPr>
        <w:pStyle w:val="FootnoteText"/>
        <w:jc w:val="both"/>
      </w:pPr>
      <w:r>
        <w:rPr>
          <w:rStyle w:val="FootnoteReference"/>
        </w:rPr>
        <w:footnoteRef/>
      </w:r>
      <w:r>
        <w:t xml:space="preserve"> Laurel </w:t>
      </w:r>
      <w:proofErr w:type="spellStart"/>
      <w:r>
        <w:t>Wamsey</w:t>
      </w:r>
      <w:proofErr w:type="spellEnd"/>
      <w:r>
        <w:t>, “</w:t>
      </w:r>
      <w:r w:rsidRPr="006261EE">
        <w:t>Sadness And Worry After 2 Men Connected To Butterfly Sanctuary Are Found Dead</w:t>
      </w:r>
      <w:r>
        <w:t xml:space="preserve">”, </w:t>
      </w:r>
      <w:r w:rsidRPr="006261EE">
        <w:rPr>
          <w:i/>
          <w:iCs/>
        </w:rPr>
        <w:t>NPR</w:t>
      </w:r>
      <w:r>
        <w:t xml:space="preserve"> (3 Feb 2020), online (</w:t>
      </w:r>
      <w:hyperlink r:id="rId60" w:history="1">
        <w:r w:rsidRPr="001A62CD">
          <w:rPr>
            <w:rStyle w:val="Hyperlink"/>
          </w:rPr>
          <w:t>https://www.npr.org/2020/02/03/802359415/sadness-and-worry-after-2-men-connected-to-butterfly-sanctuary-are-found-dead</w:t>
        </w:r>
      </w:hyperlink>
      <w:r>
        <w:t>) [</w:t>
      </w:r>
      <w:r w:rsidR="008766B2">
        <w:t>accessed June 2020</w:t>
      </w:r>
      <w:r>
        <w:t>]</w:t>
      </w:r>
      <w:r w:rsidR="00E51A59">
        <w:t>.</w:t>
      </w:r>
    </w:p>
  </w:footnote>
  <w:footnote w:id="76">
    <w:p w14:paraId="648E54A2" w14:textId="4ACC93B9" w:rsidR="00F81BC5" w:rsidRPr="002A03B3" w:rsidRDefault="00F81BC5" w:rsidP="0086552A">
      <w:pPr>
        <w:pStyle w:val="FootnoteText"/>
        <w:jc w:val="both"/>
        <w:rPr>
          <w:i/>
          <w:iCs/>
        </w:rPr>
      </w:pPr>
      <w:r>
        <w:rPr>
          <w:rStyle w:val="FootnoteReference"/>
        </w:rPr>
        <w:footnoteRef/>
      </w:r>
      <w:r>
        <w:t xml:space="preserve"> </w:t>
      </w:r>
      <w:r>
        <w:rPr>
          <w:i/>
          <w:iCs/>
        </w:rPr>
        <w:t>Ibid</w:t>
      </w:r>
      <w:r>
        <w:t xml:space="preserve">., </w:t>
      </w:r>
      <w:r w:rsidRPr="002A03B3">
        <w:t xml:space="preserve">David </w:t>
      </w:r>
      <w:proofErr w:type="spellStart"/>
      <w:r w:rsidRPr="002A03B3">
        <w:t>Agren</w:t>
      </w:r>
      <w:proofErr w:type="spellEnd"/>
      <w:r>
        <w:t>, “</w:t>
      </w:r>
      <w:r w:rsidRPr="002A03B3">
        <w:t>Mexico: defender of monarch butterflies found dead two weeks after he vanished</w:t>
      </w:r>
      <w:r>
        <w:t xml:space="preserve">”, </w:t>
      </w:r>
      <w:r>
        <w:rPr>
          <w:i/>
          <w:iCs/>
        </w:rPr>
        <w:t>The Guardian</w:t>
      </w:r>
      <w:r>
        <w:t xml:space="preserve"> (30 Jan 2020), online</w:t>
      </w:r>
      <w:r w:rsidR="008766B2">
        <w:t>:</w:t>
      </w:r>
      <w:r>
        <w:t xml:space="preserve"> (</w:t>
      </w:r>
      <w:hyperlink r:id="rId61" w:history="1">
        <w:r>
          <w:rPr>
            <w:rStyle w:val="Hyperlink"/>
          </w:rPr>
          <w:t>https://www.theguardian.com/world/2020/jan/30/mexico-activist-monarch-butterflies-dead-homero-gomez-gonzalez</w:t>
        </w:r>
      </w:hyperlink>
      <w:r>
        <w:t>) [accessed June 2020].</w:t>
      </w:r>
    </w:p>
  </w:footnote>
  <w:footnote w:id="77">
    <w:p w14:paraId="3D3DC4E3" w14:textId="09DC4BCA" w:rsidR="00F81BC5" w:rsidRDefault="00F81BC5" w:rsidP="0086552A">
      <w:pPr>
        <w:pStyle w:val="FootnoteText"/>
        <w:jc w:val="both"/>
      </w:pPr>
      <w:r>
        <w:rPr>
          <w:rStyle w:val="FootnoteReference"/>
        </w:rPr>
        <w:footnoteRef/>
      </w:r>
      <w:r>
        <w:t xml:space="preserve"> </w:t>
      </w:r>
      <w:r w:rsidRPr="00420FFB">
        <w:t>Chatham House</w:t>
      </w:r>
      <w:r>
        <w:t>,</w:t>
      </w:r>
      <w:r w:rsidRPr="00420FFB">
        <w:t xml:space="preserve"> </w:t>
      </w:r>
      <w:r>
        <w:t>“</w:t>
      </w:r>
      <w:r w:rsidRPr="00420FFB">
        <w:t>Illegal Logging Indicators Country Report Card</w:t>
      </w:r>
      <w:r>
        <w:t>,”</w:t>
      </w:r>
      <w:r w:rsidRPr="00420FFB">
        <w:t xml:space="preserve"> online</w:t>
      </w:r>
      <w:r w:rsidR="008766B2">
        <w:t>:</w:t>
      </w:r>
      <w:r w:rsidRPr="00420FFB">
        <w:t xml:space="preserve"> (</w:t>
      </w:r>
      <w:hyperlink r:id="rId62" w:history="1">
        <w:r w:rsidRPr="001A62CD">
          <w:rPr>
            <w:rStyle w:val="Hyperlink"/>
          </w:rPr>
          <w:t>http://www.illegal-logging.info/regions/mexico</w:t>
        </w:r>
      </w:hyperlink>
      <w:r w:rsidRPr="00420FFB">
        <w:t>)</w:t>
      </w:r>
      <w:r>
        <w:t xml:space="preserve"> (“There is widespread illegal logging in the country and much of the illegal timber trade is thought to be controlled by criminal syndicates”);  cited in FSC Mexico Risk Assessment at 138-139.</w:t>
      </w:r>
    </w:p>
  </w:footnote>
  <w:footnote w:id="78">
    <w:p w14:paraId="6307A464" w14:textId="0E5AA71F" w:rsidR="00F81BC5" w:rsidRDefault="00F81BC5" w:rsidP="0086552A">
      <w:pPr>
        <w:pStyle w:val="FootnoteText"/>
        <w:jc w:val="both"/>
      </w:pPr>
      <w:r>
        <w:rPr>
          <w:rStyle w:val="FootnoteReference"/>
        </w:rPr>
        <w:footnoteRef/>
      </w:r>
      <w:r>
        <w:t xml:space="preserve"> Global Witness, “Enemies of the State? </w:t>
      </w:r>
      <w:r w:rsidRPr="00A3183C">
        <w:t>How governments and business silence land and environmental defenders</w:t>
      </w:r>
      <w:r>
        <w:t>” (July 2019) online (</w:t>
      </w:r>
      <w:hyperlink r:id="rId63" w:history="1">
        <w:r>
          <w:rPr>
            <w:rStyle w:val="Hyperlink"/>
          </w:rPr>
          <w:t>https://www.globalwitness.org/en/campaigns/environmental-activists/enemies-state/</w:t>
        </w:r>
      </w:hyperlink>
      <w:r>
        <w:t>)</w:t>
      </w:r>
      <w:r w:rsidR="00E51A59">
        <w:t>.</w:t>
      </w:r>
    </w:p>
  </w:footnote>
  <w:footnote w:id="79">
    <w:p w14:paraId="05B71BE6" w14:textId="35C980B0" w:rsidR="00F81BC5" w:rsidRDefault="00F81BC5" w:rsidP="0086552A">
      <w:pPr>
        <w:pStyle w:val="FootnoteText"/>
        <w:jc w:val="both"/>
      </w:pPr>
      <w:r>
        <w:rPr>
          <w:rStyle w:val="FootnoteReference"/>
        </w:rPr>
        <w:footnoteRef/>
      </w:r>
      <w:r>
        <w:t xml:space="preserve"> </w:t>
      </w:r>
      <w:r>
        <w:rPr>
          <w:i/>
          <w:iCs/>
        </w:rPr>
        <w:t>Ibid</w:t>
      </w:r>
      <w:r>
        <w:t>; FSC Report at 139, citing</w:t>
      </w:r>
      <w:r>
        <w:rPr>
          <w:i/>
          <w:iCs/>
        </w:rPr>
        <w:t xml:space="preserve"> </w:t>
      </w:r>
      <w:r w:rsidRPr="006D7C6F">
        <w:t>Grace Wyler, "Now Mexican Drug Cartels Are Shooting Villagers For Timber"</w:t>
      </w:r>
      <w:r>
        <w:t xml:space="preserve"> (6 Jul 2011) </w:t>
      </w:r>
      <w:r>
        <w:rPr>
          <w:i/>
          <w:iCs/>
        </w:rPr>
        <w:t>Business Insider</w:t>
      </w:r>
      <w:r>
        <w:t xml:space="preserve"> </w:t>
      </w:r>
      <w:r w:rsidRPr="006D7C6F">
        <w:t>online (</w:t>
      </w:r>
      <w:hyperlink r:id="rId64" w:history="1">
        <w:r w:rsidRPr="001A62CD">
          <w:rPr>
            <w:rStyle w:val="Hyperlink"/>
          </w:rPr>
          <w:t>https://www.businessinsider.com/now-mexican-drug-cartels-are-illegally-logging-ancient-forests-2011-7</w:t>
        </w:r>
      </w:hyperlink>
      <w:r w:rsidRPr="006D7C6F">
        <w:t>)</w:t>
      </w:r>
      <w:r w:rsidR="00E51A59">
        <w:t>.</w:t>
      </w:r>
      <w:r>
        <w:t xml:space="preserve"> </w:t>
      </w:r>
    </w:p>
  </w:footnote>
  <w:footnote w:id="80">
    <w:p w14:paraId="5CB5FB74" w14:textId="083B94EB" w:rsidR="00F81BC5" w:rsidRDefault="00F81BC5" w:rsidP="0086552A">
      <w:pPr>
        <w:pStyle w:val="FootnoteText"/>
        <w:jc w:val="both"/>
      </w:pPr>
      <w:r>
        <w:rPr>
          <w:rStyle w:val="FootnoteReference"/>
        </w:rPr>
        <w:footnoteRef/>
      </w:r>
      <w:r>
        <w:t xml:space="preserve"> </w:t>
      </w:r>
      <w:r w:rsidRPr="000B2C7B">
        <w:t xml:space="preserve">Ildefonso Zamora </w:t>
      </w:r>
      <w:proofErr w:type="spellStart"/>
      <w:r w:rsidRPr="000B2C7B">
        <w:t>Baldomero</w:t>
      </w:r>
      <w:proofErr w:type="spellEnd"/>
      <w:r>
        <w:t xml:space="preserve">, an anti-logging activist and leader of the indigenous </w:t>
      </w:r>
      <w:proofErr w:type="spellStart"/>
      <w:r w:rsidRPr="000B2C7B">
        <w:t>Tlahuica</w:t>
      </w:r>
      <w:proofErr w:type="spellEnd"/>
      <w:r w:rsidRPr="000B2C7B">
        <w:t xml:space="preserve"> community of San Juan </w:t>
      </w:r>
      <w:proofErr w:type="spellStart"/>
      <w:r w:rsidRPr="000B2C7B">
        <w:t>Atzingo</w:t>
      </w:r>
      <w:proofErr w:type="spellEnd"/>
      <w:r>
        <w:t xml:space="preserve"> 80 km southwest of Mexico City; see Amnesty International</w:t>
      </w:r>
      <w:r w:rsidR="008766B2">
        <w:t>,</w:t>
      </w:r>
      <w:r>
        <w:t xml:space="preserve"> “Mexican indigenous environmental activist named prisoner of conscience” (9 May 2016), online</w:t>
      </w:r>
      <w:r w:rsidR="00104948">
        <w:t>:</w:t>
      </w:r>
      <w:r>
        <w:t xml:space="preserve"> (</w:t>
      </w:r>
      <w:hyperlink r:id="rId65" w:history="1">
        <w:r w:rsidRPr="001A62CD">
          <w:rPr>
            <w:rStyle w:val="Hyperlink"/>
          </w:rPr>
          <w:t>https://www.amnestyusa.org/press-releases/mexican-indigenous-environmental-activist-named-prisoner-of-conscience/</w:t>
        </w:r>
      </w:hyperlink>
      <w:r>
        <w:t>) [accessed June 2020].</w:t>
      </w:r>
    </w:p>
  </w:footnote>
  <w:footnote w:id="81">
    <w:p w14:paraId="3B93DD71" w14:textId="70CCBBE2" w:rsidR="00F81BC5" w:rsidRDefault="00F81BC5" w:rsidP="0086552A">
      <w:pPr>
        <w:pStyle w:val="FootnoteText"/>
        <w:jc w:val="both"/>
      </w:pPr>
      <w:r>
        <w:rPr>
          <w:rStyle w:val="FootnoteReference"/>
        </w:rPr>
        <w:footnoteRef/>
      </w:r>
      <w:r>
        <w:t xml:space="preserve"> </w:t>
      </w:r>
      <w:proofErr w:type="spellStart"/>
      <w:r w:rsidRPr="00AD1290">
        <w:t>Klooster</w:t>
      </w:r>
      <w:proofErr w:type="spellEnd"/>
      <w:r w:rsidRPr="00AD1290">
        <w:t xml:space="preserve">, Dan. (2006). Environmental Certification of Forests in Mexico: The Political Ecology of a Nongovernmental Market Intervention. </w:t>
      </w:r>
      <w:r w:rsidRPr="00AD1290">
        <w:rPr>
          <w:i/>
          <w:iCs/>
        </w:rPr>
        <w:t>Annals of the Association of American Geographers</w:t>
      </w:r>
      <w:r w:rsidRPr="00AD1290">
        <w:t>. 96</w:t>
      </w:r>
      <w:r>
        <w:t>:3,</w:t>
      </w:r>
      <w:r w:rsidRPr="00AD1290">
        <w:t xml:space="preserve"> 541 - 565. 10.1111/j.1467-8306.2006.00705.x</w:t>
      </w:r>
      <w:r>
        <w:t xml:space="preserve">; </w:t>
      </w:r>
      <w:r w:rsidRPr="00897E12">
        <w:t>William M. Rhodes, Elizabeth P. Allen, and Myfanwy Callahan, "Illegal Logging: A Market-Based Analysis of Trafficking in Illegal Timber"</w:t>
      </w:r>
      <w:r>
        <w:t xml:space="preserve"> (August 2006), U.S. Department of Justice-funded report, online</w:t>
      </w:r>
      <w:r w:rsidR="00104948">
        <w:t>:</w:t>
      </w:r>
      <w:r>
        <w:t xml:space="preserve"> (</w:t>
      </w:r>
      <w:hyperlink r:id="rId66" w:history="1">
        <w:r>
          <w:rPr>
            <w:rStyle w:val="Hyperlink"/>
          </w:rPr>
          <w:t>https://www.ncjrs.gov/pdffiles1/nij/grants/215344.pdf</w:t>
        </w:r>
      </w:hyperlink>
      <w:r>
        <w:t>) [</w:t>
      </w:r>
      <w:r w:rsidR="008766B2">
        <w:t>accessed June 2020</w:t>
      </w:r>
      <w:r>
        <w:t xml:space="preserve">] at 13. </w:t>
      </w:r>
    </w:p>
  </w:footnote>
  <w:footnote w:id="82">
    <w:p w14:paraId="7DE3607D" w14:textId="7950B5FF" w:rsidR="00F81BC5" w:rsidRDefault="00F81BC5" w:rsidP="0086552A">
      <w:pPr>
        <w:pStyle w:val="FootnoteText"/>
        <w:jc w:val="both"/>
      </w:pPr>
      <w:r>
        <w:rPr>
          <w:rStyle w:val="FootnoteReference"/>
        </w:rPr>
        <w:footnoteRef/>
      </w:r>
      <w:r>
        <w:t xml:space="preserve"> In 2008, timber was added to the Lacey Act of 1900 </w:t>
      </w:r>
      <w:r w:rsidRPr="00F6553F">
        <w:t>16 U.S.C. §§ 3371–3378</w:t>
      </w:r>
      <w:r>
        <w:t>, the U.S.’s oldest wildlife conservation legislation, and the U.S. has advanced CITES enforcement through Lacey Act seizure of illegally-harvested lumber from Peru, and prosecution for importation of timber illegally logged from endangered species habitat in the Russian Far East; see U.S. DOJ “</w:t>
      </w:r>
      <w:r w:rsidRPr="00F6553F">
        <w:t>Justice Department Reaches Agreement to Ensure Destruction of Timber Believed to Have Been Harvested in Violation of Peruvian Law</w:t>
      </w:r>
      <w:r>
        <w:t>” (18 Jan 2017), online</w:t>
      </w:r>
      <w:r w:rsidR="00104948">
        <w:t>:</w:t>
      </w:r>
      <w:r>
        <w:t xml:space="preserve"> (</w:t>
      </w:r>
      <w:hyperlink r:id="rId67" w:history="1">
        <w:r>
          <w:rPr>
            <w:rStyle w:val="Hyperlink"/>
          </w:rPr>
          <w:t>https://www.justice.gov/opa/pr/justice-department-reaches-agreement-ensure-destruction-timber-believed-have-been-harvested</w:t>
        </w:r>
      </w:hyperlink>
      <w:r>
        <w:t>), “</w:t>
      </w:r>
      <w:r w:rsidRPr="00F6553F">
        <w:t>Lumber Liquidators Inc. Sentenced for Illegal Importation of Hardwood and Related Environmental Crimes</w:t>
      </w:r>
      <w:r>
        <w:t>” (1 Feb 2016), online</w:t>
      </w:r>
      <w:r w:rsidR="008766B2">
        <w:t>:</w:t>
      </w:r>
      <w:r>
        <w:t xml:space="preserve"> (</w:t>
      </w:r>
      <w:hyperlink r:id="rId68" w:history="1">
        <w:r>
          <w:rPr>
            <w:rStyle w:val="Hyperlink"/>
          </w:rPr>
          <w:t>https://www.justice.gov/opa/pr/lumber-liquidators-inc-sentenced-illegal-importation-hardwood-and-related-environmental</w:t>
        </w:r>
      </w:hyperlink>
      <w:r>
        <w:t xml:space="preserve">) [accessed June 2020]. The latter was the DOJ’s largest fine but also only its first felony prosecution, perhaps indicating </w:t>
      </w:r>
      <w:r w:rsidR="00E51A59">
        <w:t xml:space="preserve">few violations are prosecuted </w:t>
      </w:r>
      <w:r>
        <w:t>criminally.</w:t>
      </w:r>
    </w:p>
  </w:footnote>
  <w:footnote w:id="83">
    <w:p w14:paraId="04E80F50" w14:textId="77777777" w:rsidR="00F81BC5" w:rsidRDefault="00F81BC5" w:rsidP="00A3183C">
      <w:pPr>
        <w:pStyle w:val="FootnoteText"/>
      </w:pPr>
      <w:r>
        <w:rPr>
          <w:rStyle w:val="FootnoteReference"/>
        </w:rPr>
        <w:footnoteRef/>
      </w:r>
      <w:r>
        <w:t xml:space="preserve"> See generally World Justice Project, </w:t>
      </w:r>
      <w:r w:rsidRPr="00393C00">
        <w:rPr>
          <w:i/>
          <w:iCs/>
        </w:rPr>
        <w:t xml:space="preserve">WJP Mexico States Rule of Law Index 2019-2020 </w:t>
      </w:r>
      <w:r>
        <w:t>(Feb 2020), online (</w:t>
      </w:r>
      <w:hyperlink r:id="rId69" w:history="1">
        <w:r w:rsidRPr="001A62CD">
          <w:rPr>
            <w:rStyle w:val="Hyperlink"/>
          </w:rPr>
          <w:t>https://worldjusticeproject.org/our-work/research-and-data/special-reports/rule-law-mexico</w:t>
        </w:r>
      </w:hyperlink>
      <w:r>
        <w:t>) [accessed June 2020].</w:t>
      </w:r>
    </w:p>
  </w:footnote>
  <w:footnote w:id="84">
    <w:p w14:paraId="01529C85" w14:textId="1E47278D" w:rsidR="00F81BC5" w:rsidRDefault="00F81BC5">
      <w:pPr>
        <w:pStyle w:val="FootnoteText"/>
      </w:pPr>
      <w:r>
        <w:rPr>
          <w:rStyle w:val="FootnoteReference"/>
        </w:rPr>
        <w:footnoteRef/>
      </w:r>
      <w:r>
        <w:t xml:space="preserve"> See IMF Country Report No. 17/405 “Recommended Actions” (Dec 2017) at 96; IMF Country Report No. 19/336, “Combatting corruption and money laundering” at 16, online [accessed June 2020]: (</w:t>
      </w:r>
      <w:hyperlink r:id="rId70" w:anchor="whatsnew" w:history="1">
        <w:r>
          <w:rPr>
            <w:rStyle w:val="Hyperlink"/>
          </w:rPr>
          <w:t>https://www.imf.org/en/countries/mex?selectedfilters=Article%20IV%20Staff%20Reports#whatsnew</w:t>
        </w:r>
      </w:hyperlink>
      <w:r>
        <w:t>)</w:t>
      </w:r>
    </w:p>
  </w:footnote>
  <w:footnote w:id="85">
    <w:p w14:paraId="398C83D8" w14:textId="0663000C" w:rsidR="00F81BC5" w:rsidRPr="004C4A00" w:rsidRDefault="00F81BC5" w:rsidP="008D7780">
      <w:pPr>
        <w:pStyle w:val="FootnoteText"/>
      </w:pPr>
      <w:r>
        <w:rPr>
          <w:rStyle w:val="FootnoteReference"/>
        </w:rPr>
        <w:footnoteRef/>
      </w:r>
      <w:r>
        <w:t xml:space="preserve"> See Karen Morrow, “Sustainable Development, Major Groups and Stakeholder Dialogue – Lessons from the UN”, in </w:t>
      </w:r>
      <w:r w:rsidRPr="004C4A00">
        <w:rPr>
          <w:u w:val="single"/>
        </w:rPr>
        <w:t>Global Justice and Sustainable Development</w:t>
      </w:r>
      <w:r>
        <w:t xml:space="preserve">, Duncan French, ed., </w:t>
      </w:r>
      <w:r>
        <w:rPr>
          <w:i/>
          <w:iCs/>
        </w:rPr>
        <w:t>Legal Aspects of Sustainable Development Series</w:t>
      </w:r>
      <w:r>
        <w:t xml:space="preserve">, </w:t>
      </w:r>
      <w:proofErr w:type="spellStart"/>
      <w:r>
        <w:t>Martinus</w:t>
      </w:r>
      <w:proofErr w:type="spellEnd"/>
      <w:r>
        <w:t xml:space="preserve"> </w:t>
      </w:r>
      <w:proofErr w:type="spellStart"/>
      <w:r>
        <w:t>Nijhoff</w:t>
      </w:r>
      <w:proofErr w:type="spellEnd"/>
      <w:r>
        <w:t xml:space="preserve"> (Boston, 2010), 89-107 [Morrow]. </w:t>
      </w:r>
    </w:p>
  </w:footnote>
  <w:footnote w:id="86">
    <w:p w14:paraId="56736560" w14:textId="434E2393" w:rsidR="00F81BC5" w:rsidRDefault="00F81BC5" w:rsidP="00412129">
      <w:pPr>
        <w:pStyle w:val="FootnoteText"/>
      </w:pPr>
      <w:r>
        <w:rPr>
          <w:rStyle w:val="FootnoteReference"/>
        </w:rPr>
        <w:footnoteRef/>
      </w:r>
      <w:r>
        <w:t xml:space="preserve"> </w:t>
      </w:r>
      <w:r w:rsidRPr="003A1935">
        <w:t>World Commission on Environment and Development</w:t>
      </w:r>
      <w:r>
        <w:t>,</w:t>
      </w:r>
      <w:r w:rsidRPr="003A1935">
        <w:t xml:space="preserve"> </w:t>
      </w:r>
      <w:r w:rsidRPr="003A1935">
        <w:rPr>
          <w:i/>
          <w:iCs/>
        </w:rPr>
        <w:t>Our Common Future</w:t>
      </w:r>
      <w:r>
        <w:t xml:space="preserve"> </w:t>
      </w:r>
      <w:r w:rsidRPr="003A1935">
        <w:t>(1987)</w:t>
      </w:r>
      <w:r>
        <w:t xml:space="preserve"> UN GAOR Res 42/187, 42nd </w:t>
      </w:r>
      <w:proofErr w:type="spellStart"/>
      <w:r>
        <w:t>Sess</w:t>
      </w:r>
      <w:proofErr w:type="spellEnd"/>
      <w:r>
        <w:t>, 96</w:t>
      </w:r>
      <w:r w:rsidRPr="003171D6">
        <w:rPr>
          <w:vertAlign w:val="superscript"/>
        </w:rPr>
        <w:t>th</w:t>
      </w:r>
      <w:r>
        <w:t xml:space="preserve"> Plenary Mtg, Annex [</w:t>
      </w:r>
      <w:proofErr w:type="spellStart"/>
      <w:r>
        <w:t>Bruntland</w:t>
      </w:r>
      <w:proofErr w:type="spellEnd"/>
      <w:r>
        <w:t xml:space="preserve"> Commission]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9002A"/>
    <w:multiLevelType w:val="hybridMultilevel"/>
    <w:tmpl w:val="1C368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84651"/>
    <w:multiLevelType w:val="hybridMultilevel"/>
    <w:tmpl w:val="71BCD01A"/>
    <w:lvl w:ilvl="0" w:tplc="ECD06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94"/>
    <w:rsid w:val="00000BDB"/>
    <w:rsid w:val="000019C3"/>
    <w:rsid w:val="000071A4"/>
    <w:rsid w:val="000074AC"/>
    <w:rsid w:val="000152D7"/>
    <w:rsid w:val="000201F9"/>
    <w:rsid w:val="0003254D"/>
    <w:rsid w:val="000350F3"/>
    <w:rsid w:val="00037A26"/>
    <w:rsid w:val="000412C7"/>
    <w:rsid w:val="0005124B"/>
    <w:rsid w:val="00051282"/>
    <w:rsid w:val="000608AC"/>
    <w:rsid w:val="0007592F"/>
    <w:rsid w:val="00081A64"/>
    <w:rsid w:val="00091051"/>
    <w:rsid w:val="000B2383"/>
    <w:rsid w:val="000B2C7B"/>
    <w:rsid w:val="000B743A"/>
    <w:rsid w:val="000C3D9C"/>
    <w:rsid w:val="000C5621"/>
    <w:rsid w:val="000C65FD"/>
    <w:rsid w:val="000D40D2"/>
    <w:rsid w:val="000E2B7D"/>
    <w:rsid w:val="000E3349"/>
    <w:rsid w:val="001019A4"/>
    <w:rsid w:val="00104948"/>
    <w:rsid w:val="00116149"/>
    <w:rsid w:val="0013598F"/>
    <w:rsid w:val="001443FA"/>
    <w:rsid w:val="00151406"/>
    <w:rsid w:val="00152A34"/>
    <w:rsid w:val="001610C2"/>
    <w:rsid w:val="001A16B2"/>
    <w:rsid w:val="001B01E8"/>
    <w:rsid w:val="001B1A23"/>
    <w:rsid w:val="001E03B6"/>
    <w:rsid w:val="001F79FC"/>
    <w:rsid w:val="00216B63"/>
    <w:rsid w:val="00217730"/>
    <w:rsid w:val="00224495"/>
    <w:rsid w:val="0022742D"/>
    <w:rsid w:val="0023099C"/>
    <w:rsid w:val="00256C72"/>
    <w:rsid w:val="002672E3"/>
    <w:rsid w:val="00274971"/>
    <w:rsid w:val="002828F7"/>
    <w:rsid w:val="00286138"/>
    <w:rsid w:val="0028790C"/>
    <w:rsid w:val="0029155A"/>
    <w:rsid w:val="002978D6"/>
    <w:rsid w:val="002A03B3"/>
    <w:rsid w:val="002A6A16"/>
    <w:rsid w:val="002A71EB"/>
    <w:rsid w:val="002B385A"/>
    <w:rsid w:val="002B47DB"/>
    <w:rsid w:val="002D07F6"/>
    <w:rsid w:val="002D21F4"/>
    <w:rsid w:val="002D254B"/>
    <w:rsid w:val="002E6980"/>
    <w:rsid w:val="002F2F27"/>
    <w:rsid w:val="002F573F"/>
    <w:rsid w:val="00301D0F"/>
    <w:rsid w:val="003041C0"/>
    <w:rsid w:val="0030470E"/>
    <w:rsid w:val="00306AD4"/>
    <w:rsid w:val="003171D6"/>
    <w:rsid w:val="003302F6"/>
    <w:rsid w:val="00331279"/>
    <w:rsid w:val="003340B5"/>
    <w:rsid w:val="00341ED0"/>
    <w:rsid w:val="0034233E"/>
    <w:rsid w:val="00382A96"/>
    <w:rsid w:val="0038498A"/>
    <w:rsid w:val="00390C7A"/>
    <w:rsid w:val="00390EA0"/>
    <w:rsid w:val="00393C00"/>
    <w:rsid w:val="003A1935"/>
    <w:rsid w:val="003A2DA2"/>
    <w:rsid w:val="003A59AC"/>
    <w:rsid w:val="003C791B"/>
    <w:rsid w:val="003D3772"/>
    <w:rsid w:val="003D47EE"/>
    <w:rsid w:val="003F2235"/>
    <w:rsid w:val="003F29D0"/>
    <w:rsid w:val="00400478"/>
    <w:rsid w:val="00412129"/>
    <w:rsid w:val="00420FFB"/>
    <w:rsid w:val="00421A9E"/>
    <w:rsid w:val="00456089"/>
    <w:rsid w:val="00474A03"/>
    <w:rsid w:val="00495B61"/>
    <w:rsid w:val="00495EF3"/>
    <w:rsid w:val="004A2337"/>
    <w:rsid w:val="004A4193"/>
    <w:rsid w:val="004C4A00"/>
    <w:rsid w:val="004E47C6"/>
    <w:rsid w:val="004E77F9"/>
    <w:rsid w:val="004F13FB"/>
    <w:rsid w:val="0050687C"/>
    <w:rsid w:val="00512A10"/>
    <w:rsid w:val="00512ACA"/>
    <w:rsid w:val="0051315D"/>
    <w:rsid w:val="00515FCD"/>
    <w:rsid w:val="00525541"/>
    <w:rsid w:val="00541546"/>
    <w:rsid w:val="0055432F"/>
    <w:rsid w:val="00561074"/>
    <w:rsid w:val="00561525"/>
    <w:rsid w:val="005918A3"/>
    <w:rsid w:val="005A02DA"/>
    <w:rsid w:val="005A0F07"/>
    <w:rsid w:val="005A4753"/>
    <w:rsid w:val="005C120E"/>
    <w:rsid w:val="005D089E"/>
    <w:rsid w:val="005E6AEA"/>
    <w:rsid w:val="0060085C"/>
    <w:rsid w:val="00603B63"/>
    <w:rsid w:val="006045C3"/>
    <w:rsid w:val="00604F65"/>
    <w:rsid w:val="006122EA"/>
    <w:rsid w:val="00614CDC"/>
    <w:rsid w:val="006261EE"/>
    <w:rsid w:val="006336FD"/>
    <w:rsid w:val="00636B22"/>
    <w:rsid w:val="00680437"/>
    <w:rsid w:val="0068745D"/>
    <w:rsid w:val="00697F41"/>
    <w:rsid w:val="006B0309"/>
    <w:rsid w:val="006B1E44"/>
    <w:rsid w:val="006D5D59"/>
    <w:rsid w:val="006D7C6F"/>
    <w:rsid w:val="006E2190"/>
    <w:rsid w:val="006E7C25"/>
    <w:rsid w:val="00703FD7"/>
    <w:rsid w:val="007064D2"/>
    <w:rsid w:val="007078ED"/>
    <w:rsid w:val="00715E85"/>
    <w:rsid w:val="007265C0"/>
    <w:rsid w:val="0073764E"/>
    <w:rsid w:val="00740248"/>
    <w:rsid w:val="00747F0D"/>
    <w:rsid w:val="00755687"/>
    <w:rsid w:val="00773B23"/>
    <w:rsid w:val="00775433"/>
    <w:rsid w:val="007A1BDA"/>
    <w:rsid w:val="007B1407"/>
    <w:rsid w:val="007B2607"/>
    <w:rsid w:val="007B541D"/>
    <w:rsid w:val="007B6F4E"/>
    <w:rsid w:val="0080597B"/>
    <w:rsid w:val="00814FA1"/>
    <w:rsid w:val="00816204"/>
    <w:rsid w:val="00820406"/>
    <w:rsid w:val="00821290"/>
    <w:rsid w:val="0083718D"/>
    <w:rsid w:val="0084466D"/>
    <w:rsid w:val="00850C82"/>
    <w:rsid w:val="008519B7"/>
    <w:rsid w:val="00861469"/>
    <w:rsid w:val="0086552A"/>
    <w:rsid w:val="008658F2"/>
    <w:rsid w:val="008727F3"/>
    <w:rsid w:val="008766B2"/>
    <w:rsid w:val="00877D4C"/>
    <w:rsid w:val="00897E12"/>
    <w:rsid w:val="008A547E"/>
    <w:rsid w:val="008C1946"/>
    <w:rsid w:val="008C7141"/>
    <w:rsid w:val="008D7780"/>
    <w:rsid w:val="0090157B"/>
    <w:rsid w:val="00920F6C"/>
    <w:rsid w:val="00921DF7"/>
    <w:rsid w:val="009517B0"/>
    <w:rsid w:val="00965900"/>
    <w:rsid w:val="00972670"/>
    <w:rsid w:val="00973556"/>
    <w:rsid w:val="009774B4"/>
    <w:rsid w:val="00980E3F"/>
    <w:rsid w:val="009975AF"/>
    <w:rsid w:val="009B2A31"/>
    <w:rsid w:val="009B7906"/>
    <w:rsid w:val="009C73A3"/>
    <w:rsid w:val="009E1E73"/>
    <w:rsid w:val="009E65BE"/>
    <w:rsid w:val="009F571A"/>
    <w:rsid w:val="00A2060D"/>
    <w:rsid w:val="00A3183C"/>
    <w:rsid w:val="00A348E0"/>
    <w:rsid w:val="00A36083"/>
    <w:rsid w:val="00A40D1A"/>
    <w:rsid w:val="00A43663"/>
    <w:rsid w:val="00A46BE0"/>
    <w:rsid w:val="00A52590"/>
    <w:rsid w:val="00A961D3"/>
    <w:rsid w:val="00AB0C03"/>
    <w:rsid w:val="00AB12B2"/>
    <w:rsid w:val="00AB56DE"/>
    <w:rsid w:val="00AC628F"/>
    <w:rsid w:val="00AD1290"/>
    <w:rsid w:val="00AD1AE7"/>
    <w:rsid w:val="00AD608A"/>
    <w:rsid w:val="00AD726F"/>
    <w:rsid w:val="00AF6960"/>
    <w:rsid w:val="00AF7056"/>
    <w:rsid w:val="00B3504A"/>
    <w:rsid w:val="00B4286A"/>
    <w:rsid w:val="00B57E90"/>
    <w:rsid w:val="00B74B12"/>
    <w:rsid w:val="00B960D4"/>
    <w:rsid w:val="00BA4FB2"/>
    <w:rsid w:val="00BA58D3"/>
    <w:rsid w:val="00BD2BE6"/>
    <w:rsid w:val="00BF41DF"/>
    <w:rsid w:val="00C0011E"/>
    <w:rsid w:val="00C070DB"/>
    <w:rsid w:val="00C15D96"/>
    <w:rsid w:val="00C170A5"/>
    <w:rsid w:val="00C23DCC"/>
    <w:rsid w:val="00C2712D"/>
    <w:rsid w:val="00C436FE"/>
    <w:rsid w:val="00C47C40"/>
    <w:rsid w:val="00C56894"/>
    <w:rsid w:val="00C6042A"/>
    <w:rsid w:val="00C6241C"/>
    <w:rsid w:val="00C67826"/>
    <w:rsid w:val="00C747C3"/>
    <w:rsid w:val="00C80E8E"/>
    <w:rsid w:val="00CA231D"/>
    <w:rsid w:val="00CA7F07"/>
    <w:rsid w:val="00CC4666"/>
    <w:rsid w:val="00CC7968"/>
    <w:rsid w:val="00CE570C"/>
    <w:rsid w:val="00D12F32"/>
    <w:rsid w:val="00D15EA0"/>
    <w:rsid w:val="00D24F93"/>
    <w:rsid w:val="00D30307"/>
    <w:rsid w:val="00D507DB"/>
    <w:rsid w:val="00D54D7E"/>
    <w:rsid w:val="00D63050"/>
    <w:rsid w:val="00D648F3"/>
    <w:rsid w:val="00D64F76"/>
    <w:rsid w:val="00D927CC"/>
    <w:rsid w:val="00DA6C58"/>
    <w:rsid w:val="00DB40FE"/>
    <w:rsid w:val="00DC3302"/>
    <w:rsid w:val="00DC7945"/>
    <w:rsid w:val="00DD6E9C"/>
    <w:rsid w:val="00DE3FB3"/>
    <w:rsid w:val="00E02FE2"/>
    <w:rsid w:val="00E11C2A"/>
    <w:rsid w:val="00E320CA"/>
    <w:rsid w:val="00E40A97"/>
    <w:rsid w:val="00E41BBA"/>
    <w:rsid w:val="00E51046"/>
    <w:rsid w:val="00E51A59"/>
    <w:rsid w:val="00E6327B"/>
    <w:rsid w:val="00E70A4F"/>
    <w:rsid w:val="00EA264C"/>
    <w:rsid w:val="00EA4DA2"/>
    <w:rsid w:val="00EE3EC9"/>
    <w:rsid w:val="00EE72F4"/>
    <w:rsid w:val="00F004B8"/>
    <w:rsid w:val="00F17F7B"/>
    <w:rsid w:val="00F25B1E"/>
    <w:rsid w:val="00F42A0E"/>
    <w:rsid w:val="00F448FB"/>
    <w:rsid w:val="00F47271"/>
    <w:rsid w:val="00F6553F"/>
    <w:rsid w:val="00F7108C"/>
    <w:rsid w:val="00F72AA0"/>
    <w:rsid w:val="00F81BC5"/>
    <w:rsid w:val="00F93ABE"/>
    <w:rsid w:val="00F95979"/>
    <w:rsid w:val="00FD724D"/>
    <w:rsid w:val="00FE0DF4"/>
    <w:rsid w:val="00FF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9358"/>
  <w15:chartTrackingRefBased/>
  <w15:docId w15:val="{122E52BA-1A3A-463B-8760-4D65E121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894"/>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F95979"/>
    <w:pPr>
      <w:keepNext/>
      <w:keepLines/>
      <w:spacing w:before="120" w:after="120"/>
      <w:outlineLvl w:val="0"/>
    </w:pPr>
    <w:rPr>
      <w:rFonts w:eastAsiaTheme="majorEastAsia" w:cstheme="majorBidi"/>
      <w:b/>
      <w:color w:val="2F5496" w:themeColor="accent1" w:themeShade="BF"/>
      <w:sz w:val="32"/>
      <w:szCs w:val="32"/>
      <w:u w:val="single"/>
    </w:rPr>
  </w:style>
  <w:style w:type="paragraph" w:styleId="Heading3">
    <w:name w:val="heading 3"/>
    <w:basedOn w:val="Normal"/>
    <w:next w:val="Normal"/>
    <w:link w:val="Heading3Char"/>
    <w:uiPriority w:val="9"/>
    <w:semiHidden/>
    <w:unhideWhenUsed/>
    <w:qFormat/>
    <w:rsid w:val="0084466D"/>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604F6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979"/>
    <w:rPr>
      <w:rFonts w:ascii="Times New Roman" w:eastAsiaTheme="majorEastAsia" w:hAnsi="Times New Roman" w:cstheme="majorBidi"/>
      <w:b/>
      <w:color w:val="2F5496" w:themeColor="accent1" w:themeShade="BF"/>
      <w:sz w:val="32"/>
      <w:szCs w:val="32"/>
      <w:u w:val="single"/>
    </w:rPr>
  </w:style>
  <w:style w:type="paragraph" w:styleId="FootnoteText">
    <w:name w:val="footnote text"/>
    <w:basedOn w:val="Normal"/>
    <w:link w:val="FootnoteTextChar"/>
    <w:uiPriority w:val="99"/>
    <w:unhideWhenUsed/>
    <w:rsid w:val="00C56894"/>
    <w:rPr>
      <w:sz w:val="20"/>
      <w:szCs w:val="20"/>
    </w:rPr>
  </w:style>
  <w:style w:type="character" w:customStyle="1" w:styleId="FootnoteTextChar">
    <w:name w:val="Footnote Text Char"/>
    <w:basedOn w:val="DefaultParagraphFont"/>
    <w:link w:val="FootnoteText"/>
    <w:uiPriority w:val="99"/>
    <w:rsid w:val="00C5689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56894"/>
    <w:rPr>
      <w:vertAlign w:val="superscript"/>
    </w:rPr>
  </w:style>
  <w:style w:type="character" w:styleId="Hyperlink">
    <w:name w:val="Hyperlink"/>
    <w:basedOn w:val="DefaultParagraphFont"/>
    <w:uiPriority w:val="99"/>
    <w:unhideWhenUsed/>
    <w:rsid w:val="00BF41DF"/>
    <w:rPr>
      <w:color w:val="0000FF"/>
      <w:u w:val="single"/>
    </w:rPr>
  </w:style>
  <w:style w:type="paragraph" w:styleId="ListParagraph">
    <w:name w:val="List Paragraph"/>
    <w:basedOn w:val="Normal"/>
    <w:uiPriority w:val="34"/>
    <w:qFormat/>
    <w:rsid w:val="00D15EA0"/>
    <w:pPr>
      <w:ind w:left="720"/>
      <w:contextualSpacing/>
    </w:pPr>
  </w:style>
  <w:style w:type="character" w:styleId="UnresolvedMention">
    <w:name w:val="Unresolved Mention"/>
    <w:basedOn w:val="DefaultParagraphFont"/>
    <w:uiPriority w:val="99"/>
    <w:semiHidden/>
    <w:unhideWhenUsed/>
    <w:rsid w:val="003302F6"/>
    <w:rPr>
      <w:color w:val="605E5C"/>
      <w:shd w:val="clear" w:color="auto" w:fill="E1DFDD"/>
    </w:rPr>
  </w:style>
  <w:style w:type="character" w:customStyle="1" w:styleId="Heading3Char">
    <w:name w:val="Heading 3 Char"/>
    <w:basedOn w:val="DefaultParagraphFont"/>
    <w:link w:val="Heading3"/>
    <w:uiPriority w:val="9"/>
    <w:semiHidden/>
    <w:rsid w:val="0084466D"/>
    <w:rPr>
      <w:rFonts w:asciiTheme="majorHAnsi" w:eastAsiaTheme="majorEastAsia" w:hAnsiTheme="majorHAnsi" w:cstheme="majorBidi"/>
      <w:color w:val="1F3763" w:themeColor="accent1" w:themeShade="7F"/>
      <w:sz w:val="24"/>
      <w:szCs w:val="24"/>
    </w:rPr>
  </w:style>
  <w:style w:type="character" w:customStyle="1" w:styleId="fontstyle01">
    <w:name w:val="fontstyle01"/>
    <w:basedOn w:val="DefaultParagraphFont"/>
    <w:rsid w:val="00286138"/>
    <w:rPr>
      <w:rFonts w:ascii="Calibri" w:hAnsi="Calibri" w:cs="Calibri" w:hint="default"/>
      <w:b w:val="0"/>
      <w:bCs w:val="0"/>
      <w:i w:val="0"/>
      <w:iCs w:val="0"/>
      <w:color w:val="000000"/>
      <w:sz w:val="22"/>
      <w:szCs w:val="22"/>
    </w:rPr>
  </w:style>
  <w:style w:type="character" w:customStyle="1" w:styleId="Heading5Char">
    <w:name w:val="Heading 5 Char"/>
    <w:basedOn w:val="DefaultParagraphFont"/>
    <w:link w:val="Heading5"/>
    <w:uiPriority w:val="9"/>
    <w:semiHidden/>
    <w:rsid w:val="00604F65"/>
    <w:rPr>
      <w:rFonts w:asciiTheme="majorHAnsi" w:eastAsiaTheme="majorEastAsia" w:hAnsiTheme="majorHAnsi" w:cstheme="majorBidi"/>
      <w:color w:val="2F5496" w:themeColor="accent1" w:themeShade="BF"/>
      <w:sz w:val="24"/>
      <w:szCs w:val="24"/>
    </w:rPr>
  </w:style>
  <w:style w:type="character" w:customStyle="1" w:styleId="fontstyle21">
    <w:name w:val="fontstyle21"/>
    <w:basedOn w:val="DefaultParagraphFont"/>
    <w:rsid w:val="000D40D2"/>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99171">
      <w:bodyDiv w:val="1"/>
      <w:marLeft w:val="0"/>
      <w:marRight w:val="0"/>
      <w:marTop w:val="0"/>
      <w:marBottom w:val="0"/>
      <w:divBdr>
        <w:top w:val="none" w:sz="0" w:space="0" w:color="auto"/>
        <w:left w:val="none" w:sz="0" w:space="0" w:color="auto"/>
        <w:bottom w:val="none" w:sz="0" w:space="0" w:color="auto"/>
        <w:right w:val="none" w:sz="0" w:space="0" w:color="auto"/>
      </w:divBdr>
    </w:div>
    <w:div w:id="1555847521">
      <w:bodyDiv w:val="1"/>
      <w:marLeft w:val="0"/>
      <w:marRight w:val="0"/>
      <w:marTop w:val="0"/>
      <w:marBottom w:val="0"/>
      <w:divBdr>
        <w:top w:val="none" w:sz="0" w:space="0" w:color="auto"/>
        <w:left w:val="none" w:sz="0" w:space="0" w:color="auto"/>
        <w:bottom w:val="none" w:sz="0" w:space="0" w:color="auto"/>
        <w:right w:val="none" w:sz="0" w:space="0" w:color="auto"/>
      </w:divBdr>
    </w:div>
    <w:div w:id="1784880114">
      <w:bodyDiv w:val="1"/>
      <w:marLeft w:val="0"/>
      <w:marRight w:val="0"/>
      <w:marTop w:val="0"/>
      <w:marBottom w:val="0"/>
      <w:divBdr>
        <w:top w:val="none" w:sz="0" w:space="0" w:color="auto"/>
        <w:left w:val="none" w:sz="0" w:space="0" w:color="auto"/>
        <w:bottom w:val="none" w:sz="0" w:space="0" w:color="auto"/>
        <w:right w:val="none" w:sz="0" w:space="0" w:color="auto"/>
      </w:divBdr>
    </w:div>
    <w:div w:id="185468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deq.nc.gov/news/key-issues/coal-ash-nc/coal-ash-archive/dan-river-coal-ash-spill" TargetMode="External"/><Relationship Id="rId18" Type="http://schemas.openxmlformats.org/officeDocument/2006/relationships/hyperlink" Target="http://www.lvejo.org/support-little-villages-right-to-breathe/" TargetMode="External"/><Relationship Id="rId26" Type="http://schemas.openxmlformats.org/officeDocument/2006/relationships/hyperlink" Target="http://www.1836cora.org" TargetMode="External"/><Relationship Id="rId39" Type="http://schemas.openxmlformats.org/officeDocument/2006/relationships/hyperlink" Target="https://www.mprnews.org/story/2015/03/25/timeline-wild-rice-regulations-in-minnesota" TargetMode="External"/><Relationship Id="rId21" Type="http://schemas.openxmlformats.org/officeDocument/2006/relationships/hyperlink" Target="https://blockclubchicago.org/2020/05/14/little-village-neighbors-get-no-notice-another-demolition-is-happening-at-dust-cloud-site/" TargetMode="External"/><Relationship Id="rId34" Type="http://schemas.openxmlformats.org/officeDocument/2006/relationships/hyperlink" Target="https://www.glifwc.org/WildRice/" TargetMode="External"/><Relationship Id="rId42" Type="http://schemas.openxmlformats.org/officeDocument/2006/relationships/hyperlink" Target="https://www.pca.state.mn.us/water/wild-rice-sulfate-standard-study" TargetMode="External"/><Relationship Id="rId47" Type="http://schemas.openxmlformats.org/officeDocument/2006/relationships/hyperlink" Target="https://www.epa.gov/great-lakes-aocs/st-louis-river-aoc" TargetMode="External"/><Relationship Id="rId50" Type="http://schemas.openxmlformats.org/officeDocument/2006/relationships/hyperlink" Target="https://whc.unesco.org/en/list/1290/" TargetMode="External"/><Relationship Id="rId55" Type="http://schemas.openxmlformats.org/officeDocument/2006/relationships/hyperlink" Target="https://www.chicagotribune.com/lifestyles/ct-life-pollinator-gardens-chicago-20190228-story.html" TargetMode="External"/><Relationship Id="rId63" Type="http://schemas.openxmlformats.org/officeDocument/2006/relationships/hyperlink" Target="https://www.globalwitness.org/en/campaigns/environmental-activists/enemies-state/" TargetMode="External"/><Relationship Id="rId68" Type="http://schemas.openxmlformats.org/officeDocument/2006/relationships/hyperlink" Target="https://www.justice.gov/opa/pr/lumber-liquidators-inc-sentenced-illegal-importation-hardwood-and-related-environmental" TargetMode="External"/><Relationship Id="rId7" Type="http://schemas.openxmlformats.org/officeDocument/2006/relationships/hyperlink" Target="https://www.lung.org/clean-air/outdoors/who-is-at-risk/disparities" TargetMode="External"/><Relationship Id="rId2" Type="http://schemas.openxmlformats.org/officeDocument/2006/relationships/hyperlink" Target="https://www.fws.gov/laws/lawsdigest/treaty.html" TargetMode="External"/><Relationship Id="rId16" Type="http://schemas.openxmlformats.org/officeDocument/2006/relationships/hyperlink" Target="https://energynews.us/2019/08/07/midwest/as-chicago-coal-plant-cleanup-proceeds-residents-demand-air-pollution-monitors/" TargetMode="External"/><Relationship Id="rId29" Type="http://schemas.openxmlformats.org/officeDocument/2006/relationships/hyperlink" Target="https://www.everyculture.com/multi/Le-Pa/Ojibwa.html" TargetMode="External"/><Relationship Id="rId1" Type="http://schemas.openxmlformats.org/officeDocument/2006/relationships/hyperlink" Target="http://www.nps.gov" TargetMode="External"/><Relationship Id="rId6" Type="http://schemas.openxmlformats.org/officeDocument/2006/relationships/hyperlink" Target="https://www.usccr.gov/pubs/2016/Statutory_Enforcement_Report2016.pdf" TargetMode="External"/><Relationship Id="rId11" Type="http://schemas.openxmlformats.org/officeDocument/2006/relationships/hyperlink" Target="https://www2.illinois.gov/Pages/news-item.aspx?ReleaseID=20368" TargetMode="External"/><Relationship Id="rId24" Type="http://schemas.openxmlformats.org/officeDocument/2006/relationships/hyperlink" Target="https://www.mlive.com/news/flint/2020/04/near-total-authority-of-emergency-managers-aided-flint-water-crisis-um-study-says.html" TargetMode="External"/><Relationship Id="rId32" Type="http://schemas.openxmlformats.org/officeDocument/2006/relationships/hyperlink" Target="https://www.glifwc.org/Regulations/VoigtModelCode.2018.internal.links.pdf" TargetMode="External"/><Relationship Id="rId37" Type="http://schemas.openxmlformats.org/officeDocument/2006/relationships/hyperlink" Target="https://ijc.org/system/files/commentfiles/2019-10-Nicolette%20Slagle/FAQ.pdf" TargetMode="External"/><Relationship Id="rId40" Type="http://schemas.openxmlformats.org/officeDocument/2006/relationships/hyperlink" Target="https://www.taconite.org/_site_components/files/FAQ%20wild%20rice%20sulfate(1).pdf" TargetMode="External"/><Relationship Id="rId45" Type="http://schemas.openxmlformats.org/officeDocument/2006/relationships/hyperlink" Target="https://waterlegacy.org/sulfate-legislation/" TargetMode="External"/><Relationship Id="rId53" Type="http://schemas.openxmlformats.org/officeDocument/2006/relationships/hyperlink" Target="https://www.fws.gov/midwest/news/IllinoisROW.html" TargetMode="External"/><Relationship Id="rId58" Type="http://schemas.openxmlformats.org/officeDocument/2006/relationships/hyperlink" Target="https://fsc.org/en/document-centre/documents/resource/160" TargetMode="External"/><Relationship Id="rId66" Type="http://schemas.openxmlformats.org/officeDocument/2006/relationships/hyperlink" Target="https://www.ncjrs.gov/pdffiles1/nij/grants/215344.pdf" TargetMode="External"/><Relationship Id="rId5" Type="http://schemas.openxmlformats.org/officeDocument/2006/relationships/hyperlink" Target="https://www.state.gov/treaties-in-force/" TargetMode="External"/><Relationship Id="rId15" Type="http://schemas.openxmlformats.org/officeDocument/2006/relationships/hyperlink" Target="https://www2.illinois.gov/epa/topics/community-relations/sites/hilco/Pages/default.aspx" TargetMode="External"/><Relationship Id="rId23" Type="http://schemas.openxmlformats.org/officeDocument/2006/relationships/hyperlink" Target="https://www.wbez.org/stories/how-environmental-racism-hurts-chicagos-marginalized-communities/86c8165c-5213-4dac-912b-71bda3a35e69" TargetMode="External"/><Relationship Id="rId28" Type="http://schemas.openxmlformats.org/officeDocument/2006/relationships/hyperlink" Target="http://www.glifwc.org/About/" TargetMode="External"/><Relationship Id="rId36" Type="http://schemas.openxmlformats.org/officeDocument/2006/relationships/hyperlink" Target="https://celdf.org/advancing-community-rights/rights-of-nature/rights-nature-timeline/" TargetMode="External"/><Relationship Id="rId49" Type="http://schemas.openxmlformats.org/officeDocument/2006/relationships/hyperlink" Target="https://monarchjointventure.org/images/uploads/documents/2019_MJV_Annual_Report.pdf" TargetMode="External"/><Relationship Id="rId57" Type="http://schemas.openxmlformats.org/officeDocument/2006/relationships/hyperlink" Target="https://www.cemda.org.mx/wp-content/uploads/2020/03/informe-personas-defensoras-2019.pdf" TargetMode="External"/><Relationship Id="rId61" Type="http://schemas.openxmlformats.org/officeDocument/2006/relationships/hyperlink" Target="https://www.theguardian.com/world/2020/jan/30/mexico-activist-monarch-butterflies-dead-homero-gomez-gonzalez" TargetMode="External"/><Relationship Id="rId10" Type="http://schemas.openxmlformats.org/officeDocument/2006/relationships/hyperlink" Target="https://insideclimatenews.org/news/31052019/illinois-coal-ash-power-plant-law-health-hazard-groundwater-contamination-pritzker" TargetMode="External"/><Relationship Id="rId19" Type="http://schemas.openxmlformats.org/officeDocument/2006/relationships/hyperlink" Target="http://www.lvejo.org/lvejo-response-to-hilco-little-villages-fight-for-the-right-to-breathe/" TargetMode="External"/><Relationship Id="rId31" Type="http://schemas.openxmlformats.org/officeDocument/2006/relationships/hyperlink" Target="https://www.glifwc.org/minwaajimo/Papers/3%20-%20Pierson%20--%20The%20Spearfishing%20Civil%20Rights%20Case%20(GLIFWC).pdf" TargetMode="External"/><Relationship Id="rId44" Type="http://schemas.openxmlformats.org/officeDocument/2006/relationships/hyperlink" Target="https://www.pca.state.mn.us/water/background" TargetMode="External"/><Relationship Id="rId52" Type="http://schemas.openxmlformats.org/officeDocument/2006/relationships/hyperlink" Target="https://www.nwf.org/MayorsMonarchPledge/Signatories" TargetMode="External"/><Relationship Id="rId60" Type="http://schemas.openxmlformats.org/officeDocument/2006/relationships/hyperlink" Target="https://www.npr.org/2020/02/03/802359415/sadness-and-worry-after-2-men-connected-to-butterfly-sanctuary-are-found-dead" TargetMode="External"/><Relationship Id="rId65" Type="http://schemas.openxmlformats.org/officeDocument/2006/relationships/hyperlink" Target="https://www.amnestyusa.org/press-releases/mexican-indigenous-environmental-activist-named-prisoner-of-conscience/" TargetMode="External"/><Relationship Id="rId4" Type="http://schemas.openxmlformats.org/officeDocument/2006/relationships/hyperlink" Target="https://www.ijc.org/en/who/history" TargetMode="External"/><Relationship Id="rId9" Type="http://schemas.openxmlformats.org/officeDocument/2006/relationships/hyperlink" Target="https://environmentalintegrity.org/news/first-comprehensive-national-study-of-coal-ash-pollution-finds-widespread-groundwater-contamination/" TargetMode="External"/><Relationship Id="rId14" Type="http://schemas.openxmlformats.org/officeDocument/2006/relationships/hyperlink" Target="https://ncdoj.gov/attorney-general-josh-stein-appeals-duke-energy-co/" TargetMode="External"/><Relationship Id="rId22" Type="http://schemas.openxmlformats.org/officeDocument/2006/relationships/hyperlink" Target="https://www.marketwatch.com/story/this-chicago-neighborhood-was-already-combating-air-pollution-when-the-coronavirus-pandemic-hit-it-hard-2020-06-04" TargetMode="External"/><Relationship Id="rId27" Type="http://schemas.openxmlformats.org/officeDocument/2006/relationships/hyperlink" Target="http://www.1836cora.org/wp-content/uploads/2017/04/CORA-Regulations-Revised-April-3-2017.pdf" TargetMode="External"/><Relationship Id="rId30" Type="http://schemas.openxmlformats.org/officeDocument/2006/relationships/hyperlink" Target="https://www.glifwc.org/TreatyRights/treaties.html" TargetMode="External"/><Relationship Id="rId35" Type="http://schemas.openxmlformats.org/officeDocument/2006/relationships/hyperlink" Target="https://ijc.org/en/climate-change-and-dams-present-challenges-wild-rice-rainy-lake" TargetMode="External"/><Relationship Id="rId43" Type="http://schemas.openxmlformats.org/officeDocument/2006/relationships/hyperlink" Target="https://www.startribune.com/tribal-leaders-fault-state-plan-say-wild-rice-in-minnesota-is-endangered/504271862/" TargetMode="External"/><Relationship Id="rId48" Type="http://schemas.openxmlformats.org/officeDocument/2006/relationships/hyperlink" Target="https://www.mprnews.org/story/2020/01/13/court-reverses-dnr-polymet-permits" TargetMode="External"/><Relationship Id="rId56" Type="http://schemas.openxmlformats.org/officeDocument/2006/relationships/hyperlink" Target="https://www.theguardian.com/environment/2020/mar/20/mexico-environment-land-defenders-murdered-rights-indigenous" TargetMode="External"/><Relationship Id="rId64" Type="http://schemas.openxmlformats.org/officeDocument/2006/relationships/hyperlink" Target="https://www.businessinsider.com/now-mexican-drug-cartels-are-illegally-logging-ancient-forests-2011-7" TargetMode="External"/><Relationship Id="rId69" Type="http://schemas.openxmlformats.org/officeDocument/2006/relationships/hyperlink" Target="https://worldjusticeproject.org/our-work/research-and-data/special-reports/rule-law-mexico" TargetMode="External"/><Relationship Id="rId8" Type="http://schemas.openxmlformats.org/officeDocument/2006/relationships/hyperlink" Target="https://insideclimatenews.org/news/04032019/coal-ash-groundwater-contamination-toxic-arsenic-memphis-texas-eip" TargetMode="External"/><Relationship Id="rId51" Type="http://schemas.openxmlformats.org/officeDocument/2006/relationships/hyperlink" Target="https://doi.org/10.3389/fevo.2019.00167" TargetMode="External"/><Relationship Id="rId3" Type="http://schemas.openxmlformats.org/officeDocument/2006/relationships/hyperlink" Target="https://www.epa.gov/international-cooperation/selected-multilateral-environmental-instruments-force-us" TargetMode="External"/><Relationship Id="rId12" Type="http://schemas.openxmlformats.org/officeDocument/2006/relationships/hyperlink" Target="https://www.sec.gov/Archives/edgar/data/17797/000132616015000151/duk-20150630x10qxexx103.htm" TargetMode="External"/><Relationship Id="rId17" Type="http://schemas.openxmlformats.org/officeDocument/2006/relationships/hyperlink" Target="https://www.goldmanprize.org/recipient/kimberly-wasserman/" TargetMode="External"/><Relationship Id="rId25" Type="http://schemas.openxmlformats.org/officeDocument/2006/relationships/hyperlink" Target="https://www.ijc.org/en/who/mission/glwqa" TargetMode="External"/><Relationship Id="rId33" Type="http://schemas.openxmlformats.org/officeDocument/2006/relationships/hyperlink" Target="https://www.glifwc.org/Regulations/index.html" TargetMode="External"/><Relationship Id="rId38" Type="http://schemas.openxmlformats.org/officeDocument/2006/relationships/hyperlink" Target="https://mrbdc.mnsu.edu/mnnutrients/watersheds/st-louis-river-watershed" TargetMode="External"/><Relationship Id="rId46" Type="http://schemas.openxmlformats.org/officeDocument/2006/relationships/hyperlink" Target="https://www.minnpost.com/environment/2018/10/minnesota-has-yet-another-task-force-on-wild-rice-can-it-actually-get-anything-done/" TargetMode="External"/><Relationship Id="rId59" Type="http://schemas.openxmlformats.org/officeDocument/2006/relationships/hyperlink" Target="https://news.mongabay.com/2018/12/deforestation-and-mining-threaten-a-monarch-butterfly-reserve-in-mexico/" TargetMode="External"/><Relationship Id="rId67" Type="http://schemas.openxmlformats.org/officeDocument/2006/relationships/hyperlink" Target="https://www.justice.gov/opa/pr/justice-department-reaches-agreement-ensure-destruction-timber-believed-have-been-harvested" TargetMode="External"/><Relationship Id="rId20" Type="http://schemas.openxmlformats.org/officeDocument/2006/relationships/hyperlink" Target="https://blockclubchicago.org/2020/04/12/extremely-angry-lightfoot-blames-developer-for-massive-little-village-dust-cloud-alderman-apologizes/" TargetMode="External"/><Relationship Id="rId41" Type="http://schemas.openxmlformats.org/officeDocument/2006/relationships/hyperlink" Target="https://mn.gov/law-library-stat/archive/ctapun/1212/opa120950-121712.pdf" TargetMode="External"/><Relationship Id="rId54" Type="http://schemas.openxmlformats.org/officeDocument/2006/relationships/hyperlink" Target="https://news.bloomberglaw.com/environment-and-energy/monarch-butterfly-plan-seen-as-model-for-protecting-other-species" TargetMode="External"/><Relationship Id="rId62" Type="http://schemas.openxmlformats.org/officeDocument/2006/relationships/hyperlink" Target="http://www.illegal-logging.info/regions/mexico" TargetMode="External"/><Relationship Id="rId70" Type="http://schemas.openxmlformats.org/officeDocument/2006/relationships/hyperlink" Target="https://www.imf.org/en/countries/mex?selectedfilters=Article%20IV%20Staff%20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7A0DA9-DB88-41DC-B55A-CC4AC1BD1047}">
  <ds:schemaRefs>
    <ds:schemaRef ds:uri="http://schemas.openxmlformats.org/officeDocument/2006/bibliography"/>
  </ds:schemaRefs>
</ds:datastoreItem>
</file>

<file path=customXml/itemProps2.xml><?xml version="1.0" encoding="utf-8"?>
<ds:datastoreItem xmlns:ds="http://schemas.openxmlformats.org/officeDocument/2006/customXml" ds:itemID="{46C67BF1-2CE0-4775-9047-2AF38CF686FB}"/>
</file>

<file path=customXml/itemProps3.xml><?xml version="1.0" encoding="utf-8"?>
<ds:datastoreItem xmlns:ds="http://schemas.openxmlformats.org/officeDocument/2006/customXml" ds:itemID="{75223067-5B46-45ED-99B9-5089B4C2277B}"/>
</file>

<file path=customXml/itemProps4.xml><?xml version="1.0" encoding="utf-8"?>
<ds:datastoreItem xmlns:ds="http://schemas.openxmlformats.org/officeDocument/2006/customXml" ds:itemID="{8641EB3D-7D2E-48CC-84C4-CC7683823EE8}"/>
</file>

<file path=docProps/app.xml><?xml version="1.0" encoding="utf-8"?>
<Properties xmlns="http://schemas.openxmlformats.org/officeDocument/2006/extended-properties" xmlns:vt="http://schemas.openxmlformats.org/officeDocument/2006/docPropsVTypes">
  <Template>Normal.dotm</Template>
  <TotalTime>0</TotalTime>
  <Pages>11</Pages>
  <Words>3334</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Shipley</dc:creator>
  <cp:keywords/>
  <dc:description/>
  <cp:lastModifiedBy>Bill Shipley</cp:lastModifiedBy>
  <cp:revision>37</cp:revision>
  <dcterms:created xsi:type="dcterms:W3CDTF">2020-06-12T10:20:00Z</dcterms:created>
  <dcterms:modified xsi:type="dcterms:W3CDTF">2020-06-16T11:30:00Z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