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30" w:rsidRDefault="00805D30" w:rsidP="001F45CC">
      <w:pPr>
        <w:spacing w:line="276" w:lineRule="auto"/>
        <w:jc w:val="center"/>
        <w:rPr>
          <w:rFonts w:cs="Times New Roman"/>
          <w:sz w:val="22"/>
          <w:szCs w:val="22"/>
        </w:rPr>
      </w:pPr>
    </w:p>
    <w:p w:rsidR="00805D30" w:rsidRDefault="00805D30" w:rsidP="001F45CC">
      <w:pPr>
        <w:spacing w:line="276" w:lineRule="auto"/>
        <w:jc w:val="center"/>
        <w:rPr>
          <w:rFonts w:cs="Times New Roman"/>
          <w:sz w:val="22"/>
          <w:szCs w:val="22"/>
        </w:rPr>
      </w:pPr>
      <w:bookmarkStart w:id="0" w:name="_GoBack"/>
      <w:bookmarkEnd w:id="0"/>
    </w:p>
    <w:p w:rsidR="00805D30" w:rsidRDefault="00805D30" w:rsidP="001F45CC">
      <w:pPr>
        <w:spacing w:line="276" w:lineRule="auto"/>
        <w:jc w:val="center"/>
        <w:rPr>
          <w:rFonts w:cs="Times New Roman"/>
          <w:sz w:val="22"/>
          <w:szCs w:val="22"/>
        </w:rPr>
      </w:pPr>
    </w:p>
    <w:p w:rsidR="00805D30" w:rsidRDefault="00805D30" w:rsidP="001F45CC">
      <w:pPr>
        <w:spacing w:line="276" w:lineRule="auto"/>
        <w:jc w:val="center"/>
        <w:rPr>
          <w:rFonts w:cs="Times New Roman"/>
          <w:sz w:val="22"/>
          <w:szCs w:val="22"/>
        </w:rPr>
      </w:pPr>
    </w:p>
    <w:p w:rsidR="008177AE" w:rsidRDefault="008177AE" w:rsidP="001F45CC">
      <w:pPr>
        <w:spacing w:line="276" w:lineRule="auto"/>
        <w:jc w:val="center"/>
        <w:rPr>
          <w:rFonts w:cs="Times New Roman"/>
          <w:sz w:val="22"/>
          <w:szCs w:val="22"/>
        </w:rPr>
      </w:pPr>
    </w:p>
    <w:p w:rsidR="009A783A" w:rsidRPr="00265953" w:rsidRDefault="009A783A" w:rsidP="001F45CC">
      <w:pPr>
        <w:spacing w:line="276" w:lineRule="auto"/>
        <w:jc w:val="center"/>
        <w:rPr>
          <w:rFonts w:cs="Times New Roman"/>
          <w:b/>
        </w:rPr>
      </w:pPr>
      <w:r w:rsidRPr="00265953">
        <w:rPr>
          <w:rFonts w:cs="Times New Roman"/>
          <w:b/>
        </w:rPr>
        <w:t>Responses to Questionnaire</w:t>
      </w:r>
    </w:p>
    <w:p w:rsidR="009A783A" w:rsidRPr="00F134F8" w:rsidRDefault="009A783A" w:rsidP="001F45CC">
      <w:pPr>
        <w:spacing w:line="276" w:lineRule="auto"/>
        <w:jc w:val="center"/>
        <w:rPr>
          <w:rFonts w:cs="Times New Roman"/>
          <w:sz w:val="22"/>
          <w:szCs w:val="22"/>
        </w:rPr>
      </w:pPr>
    </w:p>
    <w:p w:rsidR="009C75D9" w:rsidRDefault="00F134F8" w:rsidP="009C75D9">
      <w:pPr>
        <w:spacing w:line="276" w:lineRule="auto"/>
        <w:jc w:val="center"/>
        <w:rPr>
          <w:rFonts w:cs="Times New Roman"/>
          <w:sz w:val="22"/>
          <w:szCs w:val="22"/>
        </w:rPr>
      </w:pPr>
      <w:r w:rsidRPr="00F134F8">
        <w:rPr>
          <w:rFonts w:cs="Times New Roman"/>
          <w:sz w:val="22"/>
          <w:szCs w:val="22"/>
        </w:rPr>
        <w:t xml:space="preserve">The environment, the rights of the child and future </w:t>
      </w:r>
      <w:r w:rsidR="009C75D9" w:rsidRPr="00F134F8">
        <w:rPr>
          <w:rFonts w:cs="Times New Roman"/>
          <w:sz w:val="22"/>
          <w:szCs w:val="22"/>
        </w:rPr>
        <w:t>generations. Contributions from Latin America</w:t>
      </w:r>
      <w:r w:rsidR="009C75D9" w:rsidRPr="00F134F8">
        <w:rPr>
          <w:rStyle w:val="Refdenotaalpie"/>
          <w:rFonts w:cs="Times New Roman"/>
          <w:sz w:val="22"/>
          <w:szCs w:val="22"/>
        </w:rPr>
        <w:footnoteReference w:id="1"/>
      </w:r>
    </w:p>
    <w:p w:rsidR="00265953" w:rsidRPr="00F134F8" w:rsidRDefault="00265953" w:rsidP="009C75D9">
      <w:pPr>
        <w:spacing w:line="276" w:lineRule="auto"/>
        <w:jc w:val="center"/>
        <w:rPr>
          <w:rFonts w:cs="Times New Roman"/>
          <w:sz w:val="22"/>
          <w:szCs w:val="22"/>
        </w:rPr>
      </w:pPr>
    </w:p>
    <w:p w:rsidR="009C75D9" w:rsidRDefault="009C75D9" w:rsidP="009C75D9">
      <w:pPr>
        <w:pStyle w:val="Prrafodelista"/>
        <w:spacing w:line="276" w:lineRule="auto"/>
        <w:ind w:left="360"/>
        <w:jc w:val="both"/>
        <w:rPr>
          <w:rFonts w:cs="Times New Roman"/>
          <w:sz w:val="22"/>
          <w:szCs w:val="22"/>
        </w:rPr>
      </w:pPr>
    </w:p>
    <w:p w:rsidR="00497869" w:rsidRPr="00F134F8" w:rsidRDefault="00660567" w:rsidP="001F45CC">
      <w:pPr>
        <w:pStyle w:val="Prrafodelista"/>
        <w:numPr>
          <w:ilvl w:val="0"/>
          <w:numId w:val="2"/>
        </w:numPr>
        <w:spacing w:line="276" w:lineRule="auto"/>
        <w:jc w:val="both"/>
        <w:rPr>
          <w:rFonts w:cs="Times New Roman"/>
          <w:b/>
          <w:sz w:val="22"/>
          <w:szCs w:val="22"/>
        </w:rPr>
      </w:pPr>
      <w:r w:rsidRPr="00F134F8">
        <w:rPr>
          <w:rFonts w:cs="Times New Roman"/>
          <w:b/>
          <w:sz w:val="22"/>
          <w:szCs w:val="22"/>
        </w:rPr>
        <w:t>S</w:t>
      </w:r>
      <w:r w:rsidR="00497869" w:rsidRPr="00F134F8">
        <w:rPr>
          <w:rFonts w:cs="Times New Roman"/>
          <w:b/>
          <w:sz w:val="22"/>
          <w:szCs w:val="22"/>
        </w:rPr>
        <w:t xml:space="preserve">pecific examples of legislation, policies and </w:t>
      </w:r>
      <w:proofErr w:type="spellStart"/>
      <w:r w:rsidR="00497869" w:rsidRPr="00F134F8">
        <w:rPr>
          <w:rFonts w:cs="Times New Roman"/>
          <w:b/>
          <w:sz w:val="22"/>
          <w:szCs w:val="22"/>
        </w:rPr>
        <w:t>programmes</w:t>
      </w:r>
      <w:proofErr w:type="spellEnd"/>
      <w:r w:rsidR="00497869" w:rsidRPr="00F134F8">
        <w:rPr>
          <w:rFonts w:cs="Times New Roman"/>
          <w:b/>
          <w:sz w:val="22"/>
          <w:szCs w:val="22"/>
        </w:rPr>
        <w:t xml:space="preserve"> in relation to the protection of children’s rights from environmental harm.</w:t>
      </w:r>
    </w:p>
    <w:p w:rsidR="00497869" w:rsidRPr="00F134F8" w:rsidRDefault="00497869" w:rsidP="001F45CC">
      <w:pPr>
        <w:spacing w:line="276" w:lineRule="auto"/>
        <w:jc w:val="both"/>
        <w:rPr>
          <w:rFonts w:cs="Times New Roman"/>
          <w:sz w:val="22"/>
          <w:szCs w:val="22"/>
        </w:rPr>
      </w:pPr>
    </w:p>
    <w:p w:rsidR="009C75D9" w:rsidRPr="00F134F8" w:rsidRDefault="00142824" w:rsidP="00142824">
      <w:pPr>
        <w:spacing w:line="276" w:lineRule="auto"/>
        <w:ind w:left="360" w:hanging="360"/>
        <w:jc w:val="both"/>
        <w:rPr>
          <w:rFonts w:cs="Times New Roman"/>
          <w:sz w:val="22"/>
          <w:szCs w:val="22"/>
        </w:rPr>
      </w:pPr>
      <w:r w:rsidRPr="00F134F8">
        <w:rPr>
          <w:rFonts w:cs="Times New Roman"/>
          <w:sz w:val="22"/>
          <w:szCs w:val="22"/>
        </w:rPr>
        <w:t>1.1</w:t>
      </w:r>
      <w:r w:rsidRPr="00F134F8">
        <w:rPr>
          <w:rFonts w:cs="Times New Roman"/>
          <w:sz w:val="22"/>
          <w:szCs w:val="22"/>
        </w:rPr>
        <w:tab/>
      </w:r>
      <w:r w:rsidR="005D3608" w:rsidRPr="00F134F8">
        <w:rPr>
          <w:rFonts w:cs="Times New Roman"/>
          <w:sz w:val="22"/>
          <w:szCs w:val="22"/>
        </w:rPr>
        <w:t xml:space="preserve">Children in Latin America and the Caribbean –particularly those living in </w:t>
      </w:r>
      <w:r w:rsidR="00E9082A">
        <w:rPr>
          <w:rFonts w:cs="Times New Roman"/>
          <w:sz w:val="22"/>
          <w:szCs w:val="22"/>
        </w:rPr>
        <w:t xml:space="preserve">contexts of </w:t>
      </w:r>
      <w:r w:rsidR="005D3608" w:rsidRPr="00F134F8">
        <w:rPr>
          <w:rFonts w:cs="Times New Roman"/>
          <w:sz w:val="22"/>
          <w:szCs w:val="22"/>
        </w:rPr>
        <w:t>poverty– are highly vulnerable to environmental harm and anthropogenic disasters, including the impacts of climate change, experiencing their disproportionate and increasing effects. In th</w:t>
      </w:r>
      <w:r w:rsidR="00E9082A">
        <w:rPr>
          <w:rFonts w:cs="Times New Roman"/>
          <w:sz w:val="22"/>
          <w:szCs w:val="22"/>
        </w:rPr>
        <w:t>ese scenarios</w:t>
      </w:r>
      <w:r w:rsidR="005D3608" w:rsidRPr="00F134F8">
        <w:rPr>
          <w:rFonts w:cs="Times New Roman"/>
          <w:sz w:val="22"/>
          <w:szCs w:val="22"/>
        </w:rPr>
        <w:t xml:space="preserve">, public policy actions have been initiated in the region to address these problems; however, the perspective of the rights of children </w:t>
      </w:r>
      <w:r w:rsidR="00F919C1" w:rsidRPr="00F134F8">
        <w:rPr>
          <w:rFonts w:cs="Times New Roman"/>
          <w:sz w:val="22"/>
          <w:szCs w:val="22"/>
        </w:rPr>
        <w:t>it is no</w:t>
      </w:r>
      <w:r w:rsidR="00976C18" w:rsidRPr="00F134F8">
        <w:rPr>
          <w:rFonts w:cs="Times New Roman"/>
          <w:sz w:val="22"/>
          <w:szCs w:val="22"/>
        </w:rPr>
        <w:t xml:space="preserve">t </w:t>
      </w:r>
      <w:r w:rsidR="005D3608" w:rsidRPr="00F134F8">
        <w:rPr>
          <w:rFonts w:cs="Times New Roman"/>
          <w:sz w:val="22"/>
          <w:szCs w:val="22"/>
        </w:rPr>
        <w:t>explicit</w:t>
      </w:r>
      <w:r w:rsidR="00F919C1" w:rsidRPr="00F134F8">
        <w:rPr>
          <w:rFonts w:cs="Times New Roman"/>
          <w:sz w:val="22"/>
          <w:szCs w:val="22"/>
        </w:rPr>
        <w:t xml:space="preserve"> yet</w:t>
      </w:r>
      <w:r w:rsidR="005D3608" w:rsidRPr="00F134F8">
        <w:rPr>
          <w:rFonts w:cs="Times New Roman"/>
          <w:sz w:val="22"/>
          <w:szCs w:val="22"/>
        </w:rPr>
        <w:t>.</w:t>
      </w:r>
    </w:p>
    <w:p w:rsidR="00142824" w:rsidRPr="00F134F8" w:rsidRDefault="00142824" w:rsidP="00142824">
      <w:pPr>
        <w:spacing w:line="276" w:lineRule="auto"/>
        <w:jc w:val="both"/>
        <w:rPr>
          <w:rFonts w:cs="Times New Roman"/>
          <w:sz w:val="22"/>
          <w:szCs w:val="22"/>
        </w:rPr>
      </w:pPr>
    </w:p>
    <w:p w:rsidR="00036DCE" w:rsidRPr="00F134F8" w:rsidRDefault="00142824" w:rsidP="00142824">
      <w:pPr>
        <w:spacing w:line="276" w:lineRule="auto"/>
        <w:ind w:left="360" w:hanging="360"/>
        <w:jc w:val="both"/>
        <w:rPr>
          <w:rFonts w:cs="Times New Roman"/>
          <w:sz w:val="22"/>
          <w:szCs w:val="22"/>
        </w:rPr>
      </w:pPr>
      <w:r w:rsidRPr="00F134F8">
        <w:rPr>
          <w:rFonts w:cs="Times New Roman"/>
          <w:sz w:val="22"/>
          <w:szCs w:val="22"/>
        </w:rPr>
        <w:t>1.2</w:t>
      </w:r>
      <w:r w:rsidRPr="00F134F8">
        <w:rPr>
          <w:rFonts w:cs="Times New Roman"/>
          <w:sz w:val="22"/>
          <w:szCs w:val="22"/>
        </w:rPr>
        <w:tab/>
      </w:r>
      <w:r w:rsidR="005D3608" w:rsidRPr="00F134F8">
        <w:rPr>
          <w:rFonts w:cs="Times New Roman"/>
          <w:sz w:val="22"/>
          <w:szCs w:val="22"/>
        </w:rPr>
        <w:t xml:space="preserve">Environmental damage, anthropogenic disasters and extreme weather events force families </w:t>
      </w:r>
      <w:r w:rsidR="00F919C1" w:rsidRPr="00F134F8">
        <w:rPr>
          <w:rFonts w:cs="Times New Roman"/>
          <w:sz w:val="22"/>
          <w:szCs w:val="22"/>
        </w:rPr>
        <w:t>–</w:t>
      </w:r>
      <w:r w:rsidR="005D3608" w:rsidRPr="00F134F8">
        <w:rPr>
          <w:rFonts w:cs="Times New Roman"/>
          <w:sz w:val="22"/>
          <w:szCs w:val="22"/>
        </w:rPr>
        <w:t>particularly those living in poverty</w:t>
      </w:r>
      <w:r w:rsidR="00F919C1" w:rsidRPr="00F134F8">
        <w:rPr>
          <w:rFonts w:cs="Times New Roman"/>
          <w:sz w:val="22"/>
          <w:szCs w:val="22"/>
        </w:rPr>
        <w:t xml:space="preserve">– </w:t>
      </w:r>
      <w:r w:rsidR="005D3608" w:rsidRPr="00F134F8">
        <w:rPr>
          <w:rFonts w:cs="Times New Roman"/>
          <w:sz w:val="22"/>
          <w:szCs w:val="22"/>
        </w:rPr>
        <w:t>to make decisions that can have long-term detrimental effects on children, such as removing them from school or reduce health expenditures, which contributes to enhancing the intergenerational reproduction of poverty (</w:t>
      </w:r>
      <w:proofErr w:type="spellStart"/>
      <w:r w:rsidR="005D3608" w:rsidRPr="00F134F8">
        <w:rPr>
          <w:rFonts w:cs="Times New Roman"/>
          <w:sz w:val="22"/>
          <w:szCs w:val="22"/>
        </w:rPr>
        <w:t>Hallegatte</w:t>
      </w:r>
      <w:proofErr w:type="spellEnd"/>
      <w:r w:rsidR="005D3608" w:rsidRPr="00F134F8">
        <w:rPr>
          <w:rFonts w:cs="Times New Roman"/>
          <w:sz w:val="22"/>
          <w:szCs w:val="22"/>
        </w:rPr>
        <w:t xml:space="preserve"> et al., 2017)</w:t>
      </w:r>
      <w:r w:rsidR="00976C18" w:rsidRPr="00F134F8">
        <w:rPr>
          <w:rStyle w:val="Refdenotaalpie"/>
          <w:rFonts w:cs="Times New Roman"/>
          <w:sz w:val="22"/>
          <w:szCs w:val="22"/>
        </w:rPr>
        <w:footnoteReference w:id="2"/>
      </w:r>
      <w:r w:rsidR="005D3608" w:rsidRPr="00F134F8">
        <w:rPr>
          <w:rFonts w:cs="Times New Roman"/>
          <w:sz w:val="22"/>
          <w:szCs w:val="22"/>
        </w:rPr>
        <w:t>. In Guatemala, for example, Storm Stan increased the probability of child labor in affected areas by more than 7% (</w:t>
      </w:r>
      <w:proofErr w:type="spellStart"/>
      <w:r w:rsidR="005D3608" w:rsidRPr="00F134F8">
        <w:rPr>
          <w:rFonts w:cs="Times New Roman"/>
          <w:sz w:val="22"/>
          <w:szCs w:val="22"/>
        </w:rPr>
        <w:t>Bustelo</w:t>
      </w:r>
      <w:proofErr w:type="spellEnd"/>
      <w:r w:rsidR="005D3608" w:rsidRPr="00F134F8">
        <w:rPr>
          <w:rFonts w:cs="Times New Roman"/>
          <w:sz w:val="22"/>
          <w:szCs w:val="22"/>
        </w:rPr>
        <w:t>, 2011)</w:t>
      </w:r>
      <w:r w:rsidR="005D3608" w:rsidRPr="00F134F8">
        <w:rPr>
          <w:rStyle w:val="Refdenotaalpie"/>
          <w:rFonts w:cs="Times New Roman"/>
          <w:sz w:val="22"/>
          <w:szCs w:val="22"/>
          <w:lang w:val="es-PE"/>
        </w:rPr>
        <w:footnoteReference w:id="3"/>
      </w:r>
      <w:r w:rsidR="00497869" w:rsidRPr="00F134F8">
        <w:rPr>
          <w:rFonts w:cs="Times New Roman"/>
          <w:sz w:val="22"/>
          <w:szCs w:val="22"/>
        </w:rPr>
        <w:t xml:space="preserve">. </w:t>
      </w:r>
      <w:r w:rsidR="00F919C1" w:rsidRPr="00F134F8">
        <w:rPr>
          <w:rFonts w:cs="Times New Roman"/>
          <w:sz w:val="22"/>
          <w:szCs w:val="22"/>
        </w:rPr>
        <w:t>Meanwhile, in the native communities of the Peruvian Amazon only three out of ten people have access to drinking water. In th</w:t>
      </w:r>
      <w:r w:rsidR="00E5126D" w:rsidRPr="00F134F8">
        <w:rPr>
          <w:rFonts w:cs="Times New Roman"/>
          <w:sz w:val="22"/>
          <w:szCs w:val="22"/>
        </w:rPr>
        <w:t>ese conditions</w:t>
      </w:r>
      <w:r w:rsidR="00F919C1" w:rsidRPr="00F134F8">
        <w:rPr>
          <w:rFonts w:cs="Times New Roman"/>
          <w:sz w:val="22"/>
          <w:szCs w:val="22"/>
        </w:rPr>
        <w:t xml:space="preserve">, indigenous children often suffer from gastrointestinal diseases </w:t>
      </w:r>
      <w:r w:rsidR="00A43605">
        <w:rPr>
          <w:rFonts w:cs="Times New Roman"/>
          <w:sz w:val="22"/>
          <w:szCs w:val="22"/>
        </w:rPr>
        <w:t xml:space="preserve">due to the consumption of </w:t>
      </w:r>
      <w:r w:rsidR="00E5126D" w:rsidRPr="00F134F8">
        <w:rPr>
          <w:rFonts w:cs="Times New Roman"/>
          <w:sz w:val="22"/>
          <w:szCs w:val="22"/>
        </w:rPr>
        <w:t xml:space="preserve">polluted </w:t>
      </w:r>
      <w:r w:rsidR="00F919C1" w:rsidRPr="00F134F8">
        <w:rPr>
          <w:rFonts w:cs="Times New Roman"/>
          <w:sz w:val="22"/>
          <w:szCs w:val="22"/>
        </w:rPr>
        <w:t>water from rivers</w:t>
      </w:r>
      <w:r w:rsidR="00E5126D" w:rsidRPr="00F134F8">
        <w:rPr>
          <w:rFonts w:cs="Times New Roman"/>
          <w:sz w:val="22"/>
          <w:szCs w:val="22"/>
        </w:rPr>
        <w:t xml:space="preserve"> (UNICEF, 2017)</w:t>
      </w:r>
      <w:r w:rsidR="00E5126D" w:rsidRPr="00F134F8">
        <w:rPr>
          <w:rStyle w:val="Refdenotaalpie"/>
          <w:rFonts w:cs="Times New Roman"/>
          <w:sz w:val="22"/>
          <w:szCs w:val="22"/>
        </w:rPr>
        <w:t xml:space="preserve"> </w:t>
      </w:r>
      <w:r w:rsidR="00E5126D" w:rsidRPr="00F134F8">
        <w:rPr>
          <w:rStyle w:val="Refdenotaalpie"/>
          <w:rFonts w:cs="Times New Roman"/>
          <w:sz w:val="22"/>
          <w:szCs w:val="22"/>
          <w:lang w:val="es-PE"/>
        </w:rPr>
        <w:footnoteReference w:id="4"/>
      </w:r>
      <w:r w:rsidR="00F919C1" w:rsidRPr="00F134F8">
        <w:rPr>
          <w:rFonts w:cs="Times New Roman"/>
          <w:sz w:val="22"/>
          <w:szCs w:val="22"/>
        </w:rPr>
        <w:t xml:space="preserve">, often </w:t>
      </w:r>
      <w:r w:rsidR="00ED141C">
        <w:rPr>
          <w:rFonts w:cs="Times New Roman"/>
          <w:sz w:val="22"/>
          <w:szCs w:val="22"/>
        </w:rPr>
        <w:t xml:space="preserve">because of </w:t>
      </w:r>
      <w:r w:rsidR="00F919C1" w:rsidRPr="00F134F8">
        <w:rPr>
          <w:rFonts w:cs="Times New Roman"/>
          <w:sz w:val="22"/>
          <w:szCs w:val="22"/>
        </w:rPr>
        <w:t xml:space="preserve">the discharge of salt water </w:t>
      </w:r>
      <w:r w:rsidR="00A43605">
        <w:rPr>
          <w:rFonts w:cs="Times New Roman"/>
          <w:sz w:val="22"/>
          <w:szCs w:val="22"/>
        </w:rPr>
        <w:t xml:space="preserve">derived </w:t>
      </w:r>
      <w:r w:rsidR="00F919C1" w:rsidRPr="00F134F8">
        <w:rPr>
          <w:rFonts w:cs="Times New Roman"/>
          <w:sz w:val="22"/>
          <w:szCs w:val="22"/>
        </w:rPr>
        <w:t>from the extraction of hydrocarbons</w:t>
      </w:r>
      <w:r w:rsidR="001C14DF">
        <w:rPr>
          <w:rFonts w:cs="Times New Roman"/>
          <w:sz w:val="22"/>
          <w:szCs w:val="22"/>
        </w:rPr>
        <w:t xml:space="preserve"> or because of the use of mercury in illegal mining.</w:t>
      </w:r>
      <w:r w:rsidR="00F919C1" w:rsidRPr="00F134F8">
        <w:rPr>
          <w:rFonts w:cs="Times New Roman"/>
          <w:sz w:val="22"/>
          <w:szCs w:val="22"/>
        </w:rPr>
        <w:t xml:space="preserve"> </w:t>
      </w:r>
    </w:p>
    <w:p w:rsidR="00142824" w:rsidRPr="00F134F8" w:rsidRDefault="00142824" w:rsidP="00142824">
      <w:pPr>
        <w:spacing w:line="276" w:lineRule="auto"/>
        <w:jc w:val="both"/>
        <w:rPr>
          <w:rFonts w:cs="Times New Roman"/>
          <w:sz w:val="22"/>
          <w:szCs w:val="22"/>
        </w:rPr>
      </w:pPr>
    </w:p>
    <w:p w:rsidR="00142824" w:rsidRPr="00F134F8" w:rsidRDefault="00142824" w:rsidP="00142824">
      <w:pPr>
        <w:spacing w:line="276" w:lineRule="auto"/>
        <w:ind w:left="360" w:hanging="360"/>
        <w:jc w:val="both"/>
        <w:rPr>
          <w:rFonts w:cs="Times New Roman"/>
          <w:sz w:val="22"/>
          <w:szCs w:val="22"/>
        </w:rPr>
      </w:pPr>
      <w:r w:rsidRPr="00F134F8">
        <w:rPr>
          <w:rFonts w:cs="Times New Roman"/>
          <w:sz w:val="22"/>
          <w:szCs w:val="22"/>
        </w:rPr>
        <w:t>1.3</w:t>
      </w:r>
      <w:r w:rsidRPr="00F134F8">
        <w:rPr>
          <w:rFonts w:cs="Times New Roman"/>
          <w:sz w:val="22"/>
          <w:szCs w:val="22"/>
        </w:rPr>
        <w:tab/>
      </w:r>
      <w:r w:rsidR="00036DCE" w:rsidRPr="00F134F8">
        <w:rPr>
          <w:rFonts w:cs="Times New Roman"/>
          <w:sz w:val="22"/>
          <w:szCs w:val="22"/>
        </w:rPr>
        <w:t xml:space="preserve">Also, due to the nature and vulnerability of their assets and limited access to disaster risk management </w:t>
      </w:r>
      <w:r w:rsidR="00E5126D" w:rsidRPr="00F134F8">
        <w:rPr>
          <w:rFonts w:cs="Times New Roman"/>
          <w:sz w:val="22"/>
          <w:szCs w:val="22"/>
        </w:rPr>
        <w:t xml:space="preserve">tools </w:t>
      </w:r>
      <w:r w:rsidR="00036DCE" w:rsidRPr="00F134F8">
        <w:rPr>
          <w:rFonts w:cs="Times New Roman"/>
          <w:sz w:val="22"/>
          <w:szCs w:val="22"/>
        </w:rPr>
        <w:t>(</w:t>
      </w:r>
      <w:proofErr w:type="spellStart"/>
      <w:r w:rsidR="00036DCE" w:rsidRPr="00F134F8">
        <w:rPr>
          <w:rFonts w:cs="Times New Roman"/>
          <w:sz w:val="22"/>
          <w:szCs w:val="22"/>
        </w:rPr>
        <w:t>Vakis</w:t>
      </w:r>
      <w:proofErr w:type="spellEnd"/>
      <w:r w:rsidR="00036DCE" w:rsidRPr="00F134F8">
        <w:rPr>
          <w:rFonts w:cs="Times New Roman"/>
          <w:sz w:val="22"/>
          <w:szCs w:val="22"/>
        </w:rPr>
        <w:t>, 2006), economic losses to the population living in poverty have been estimated to be two or three times greater in relative terms with respect to those that are not poor. Considering also that children are overrepresented in poverty, this makes it even more necessary to take public policy actions to protect them from these events.</w:t>
      </w:r>
    </w:p>
    <w:p w:rsidR="00142824" w:rsidRDefault="00142824" w:rsidP="00142824">
      <w:pPr>
        <w:spacing w:line="276" w:lineRule="auto"/>
        <w:ind w:left="360" w:hanging="360"/>
        <w:jc w:val="both"/>
        <w:rPr>
          <w:rFonts w:cs="Times New Roman"/>
          <w:sz w:val="22"/>
          <w:szCs w:val="22"/>
        </w:rPr>
      </w:pPr>
    </w:p>
    <w:p w:rsidR="00265953" w:rsidRPr="00F134F8" w:rsidRDefault="00265953" w:rsidP="00142824">
      <w:pPr>
        <w:spacing w:line="276" w:lineRule="auto"/>
        <w:ind w:left="360" w:hanging="360"/>
        <w:jc w:val="both"/>
        <w:rPr>
          <w:rFonts w:cs="Times New Roman"/>
          <w:sz w:val="22"/>
          <w:szCs w:val="22"/>
        </w:rPr>
      </w:pPr>
    </w:p>
    <w:p w:rsidR="00936791" w:rsidRDefault="00142824" w:rsidP="00142824">
      <w:pPr>
        <w:spacing w:line="276" w:lineRule="auto"/>
        <w:ind w:left="360" w:hanging="360"/>
        <w:jc w:val="both"/>
        <w:rPr>
          <w:rFonts w:cs="Times New Roman"/>
          <w:sz w:val="22"/>
          <w:szCs w:val="22"/>
        </w:rPr>
      </w:pPr>
      <w:r w:rsidRPr="00F134F8">
        <w:rPr>
          <w:rFonts w:cs="Times New Roman"/>
          <w:sz w:val="22"/>
          <w:szCs w:val="22"/>
        </w:rPr>
        <w:lastRenderedPageBreak/>
        <w:t>1.4</w:t>
      </w:r>
      <w:r w:rsidRPr="00F134F8">
        <w:rPr>
          <w:rFonts w:cs="Times New Roman"/>
          <w:sz w:val="22"/>
          <w:szCs w:val="22"/>
        </w:rPr>
        <w:tab/>
      </w:r>
      <w:r w:rsidR="00036DCE" w:rsidRPr="00F134F8">
        <w:rPr>
          <w:rFonts w:cs="Times New Roman"/>
          <w:sz w:val="22"/>
          <w:szCs w:val="22"/>
        </w:rPr>
        <w:t xml:space="preserve">Therefore, </w:t>
      </w:r>
      <w:r w:rsidR="00036DCE" w:rsidRPr="00372BD7">
        <w:rPr>
          <w:rFonts w:cs="Times New Roman"/>
          <w:i/>
          <w:sz w:val="22"/>
          <w:szCs w:val="22"/>
        </w:rPr>
        <w:t>social protection</w:t>
      </w:r>
      <w:r w:rsidR="00036DCE" w:rsidRPr="00F134F8">
        <w:rPr>
          <w:rFonts w:cs="Times New Roman"/>
          <w:sz w:val="22"/>
          <w:szCs w:val="22"/>
        </w:rPr>
        <w:t xml:space="preserve"> is a key public policy to address the impacts of environmental damage</w:t>
      </w:r>
      <w:r w:rsidR="008035C2" w:rsidRPr="00F134F8">
        <w:rPr>
          <w:rFonts w:cs="Times New Roman"/>
          <w:sz w:val="22"/>
          <w:szCs w:val="22"/>
        </w:rPr>
        <w:t>s</w:t>
      </w:r>
      <w:r w:rsidR="00372BD7">
        <w:rPr>
          <w:rFonts w:cs="Times New Roman"/>
          <w:sz w:val="22"/>
          <w:szCs w:val="22"/>
        </w:rPr>
        <w:t xml:space="preserve"> </w:t>
      </w:r>
      <w:r w:rsidR="00036DCE" w:rsidRPr="00F134F8">
        <w:rPr>
          <w:rFonts w:cs="Times New Roman"/>
          <w:sz w:val="22"/>
          <w:szCs w:val="22"/>
        </w:rPr>
        <w:t xml:space="preserve">before, during and after </w:t>
      </w:r>
      <w:r w:rsidR="008035C2" w:rsidRPr="00F134F8">
        <w:rPr>
          <w:rFonts w:cs="Times New Roman"/>
          <w:sz w:val="22"/>
          <w:szCs w:val="22"/>
        </w:rPr>
        <w:t>they emerge</w:t>
      </w:r>
      <w:r w:rsidR="00036DCE" w:rsidRPr="00F134F8">
        <w:rPr>
          <w:rFonts w:cs="Times New Roman"/>
          <w:sz w:val="22"/>
          <w:szCs w:val="22"/>
        </w:rPr>
        <w:t xml:space="preserve">. In particular, it can contribute to strengthening people's ability to cope with the negative effects of climate-related events and loss of livelihoods, for example through the regularity and predictability of social inclusion programs, including the provision of </w:t>
      </w:r>
      <w:r w:rsidR="008035C2" w:rsidRPr="00F134F8">
        <w:rPr>
          <w:rFonts w:cs="Times New Roman"/>
          <w:sz w:val="22"/>
          <w:szCs w:val="22"/>
        </w:rPr>
        <w:t xml:space="preserve">money </w:t>
      </w:r>
      <w:r w:rsidR="00036DCE" w:rsidRPr="00F134F8">
        <w:rPr>
          <w:rFonts w:cs="Times New Roman"/>
          <w:sz w:val="22"/>
          <w:szCs w:val="22"/>
        </w:rPr>
        <w:t>transfer</w:t>
      </w:r>
      <w:r w:rsidR="008035C2" w:rsidRPr="00F134F8">
        <w:rPr>
          <w:rFonts w:cs="Times New Roman"/>
          <w:sz w:val="22"/>
          <w:szCs w:val="22"/>
        </w:rPr>
        <w:t xml:space="preserve"> programs </w:t>
      </w:r>
      <w:r w:rsidR="00036DCE" w:rsidRPr="00F134F8">
        <w:rPr>
          <w:rFonts w:cs="Times New Roman"/>
          <w:sz w:val="22"/>
          <w:szCs w:val="22"/>
        </w:rPr>
        <w:t>to meet basic needs, as this allows families to be better able to cushion shocks and crisis situati</w:t>
      </w:r>
      <w:r w:rsidR="00573DD4">
        <w:rPr>
          <w:rFonts w:cs="Times New Roman"/>
          <w:sz w:val="22"/>
          <w:szCs w:val="22"/>
        </w:rPr>
        <w:t xml:space="preserve">ons. Social protection policies </w:t>
      </w:r>
      <w:r w:rsidR="00036DCE" w:rsidRPr="00F134F8">
        <w:rPr>
          <w:rFonts w:cs="Times New Roman"/>
          <w:sz w:val="22"/>
          <w:szCs w:val="22"/>
        </w:rPr>
        <w:t>can contribute to both the prevention and mitigation of environmental damage and disaster recovery, with a direct impact on the well-being of children (UNICEF, 2012)</w:t>
      </w:r>
      <w:r w:rsidR="00635469" w:rsidRPr="00F134F8">
        <w:rPr>
          <w:rStyle w:val="Refdenotaalpie"/>
          <w:rFonts w:cs="Times New Roman"/>
          <w:sz w:val="22"/>
          <w:szCs w:val="22"/>
          <w:lang w:val="es-PE"/>
        </w:rPr>
        <w:footnoteReference w:id="5"/>
      </w:r>
      <w:r w:rsidR="009F1A18" w:rsidRPr="00F134F8">
        <w:rPr>
          <w:rFonts w:cs="Times New Roman"/>
          <w:sz w:val="22"/>
          <w:szCs w:val="22"/>
        </w:rPr>
        <w:t>.</w:t>
      </w:r>
    </w:p>
    <w:p w:rsidR="00805D30" w:rsidRPr="00F134F8" w:rsidRDefault="00805D30" w:rsidP="00142824">
      <w:pPr>
        <w:spacing w:line="276" w:lineRule="auto"/>
        <w:ind w:left="360" w:hanging="360"/>
        <w:jc w:val="both"/>
        <w:rPr>
          <w:rFonts w:cs="Times New Roman"/>
          <w:sz w:val="22"/>
          <w:szCs w:val="22"/>
        </w:rPr>
      </w:pPr>
    </w:p>
    <w:p w:rsidR="008035C2" w:rsidRDefault="00142824" w:rsidP="00142824">
      <w:pPr>
        <w:spacing w:line="276" w:lineRule="auto"/>
        <w:ind w:left="360" w:hanging="360"/>
        <w:jc w:val="both"/>
        <w:rPr>
          <w:rFonts w:cs="Times New Roman"/>
          <w:sz w:val="22"/>
          <w:szCs w:val="22"/>
        </w:rPr>
      </w:pPr>
      <w:r w:rsidRPr="00F134F8">
        <w:rPr>
          <w:rFonts w:cs="Times New Roman"/>
          <w:sz w:val="22"/>
          <w:szCs w:val="22"/>
        </w:rPr>
        <w:t>1.5</w:t>
      </w:r>
      <w:r w:rsidRPr="00F134F8">
        <w:rPr>
          <w:rFonts w:cs="Times New Roman"/>
          <w:sz w:val="22"/>
          <w:szCs w:val="22"/>
        </w:rPr>
        <w:tab/>
      </w:r>
      <w:r w:rsidR="008035C2" w:rsidRPr="00F134F8">
        <w:rPr>
          <w:rFonts w:cs="Times New Roman"/>
          <w:sz w:val="22"/>
          <w:szCs w:val="22"/>
        </w:rPr>
        <w:t>The limitations of available statistical information make it difficult to have an accurate estimate of the child population affected by environmental damage, disasters and/or climatic events in the countries of the region</w:t>
      </w:r>
      <w:r w:rsidR="00FA74F1" w:rsidRPr="00F134F8">
        <w:rPr>
          <w:rStyle w:val="Refdenotaalpie"/>
          <w:rFonts w:cs="Times New Roman"/>
          <w:sz w:val="22"/>
          <w:szCs w:val="22"/>
        </w:rPr>
        <w:footnoteReference w:id="6"/>
      </w:r>
      <w:r w:rsidR="008035C2" w:rsidRPr="00F134F8">
        <w:rPr>
          <w:rFonts w:cs="Times New Roman"/>
          <w:sz w:val="22"/>
          <w:szCs w:val="22"/>
        </w:rPr>
        <w:t>. However, two trends suggest that the number of children affected by these factors is high and increasing. On the one hand, in Latin America and the Caribbean</w:t>
      </w:r>
      <w:r w:rsidR="00E9082A">
        <w:rPr>
          <w:rFonts w:cs="Times New Roman"/>
          <w:sz w:val="22"/>
          <w:szCs w:val="22"/>
        </w:rPr>
        <w:t xml:space="preserve"> (LAC)</w:t>
      </w:r>
      <w:r w:rsidR="008035C2" w:rsidRPr="00F134F8">
        <w:rPr>
          <w:rFonts w:cs="Times New Roman"/>
          <w:sz w:val="22"/>
          <w:szCs w:val="22"/>
        </w:rPr>
        <w:t>, there has been an increase in the number of disasters and, on the other hand, there has been a growth in the child population, which now reaches 163 million children between 0 and 14 years of age. Although the process of population growth from 0 to 14 years has been interrupted since the mid-2000s, it continues to increase in many of the countries that are heavily affected by disasters, such as those in Central America and Haiti.</w:t>
      </w:r>
    </w:p>
    <w:p w:rsidR="00265953" w:rsidRPr="00F134F8" w:rsidRDefault="00265953" w:rsidP="00142824">
      <w:pPr>
        <w:spacing w:line="276" w:lineRule="auto"/>
        <w:ind w:left="360" w:hanging="360"/>
        <w:jc w:val="both"/>
        <w:rPr>
          <w:rFonts w:cs="Times New Roman"/>
          <w:sz w:val="22"/>
          <w:szCs w:val="22"/>
        </w:rPr>
      </w:pPr>
    </w:p>
    <w:p w:rsidR="008035C2" w:rsidRPr="00F134F8" w:rsidRDefault="008035C2" w:rsidP="001F45CC">
      <w:pPr>
        <w:spacing w:line="276" w:lineRule="auto"/>
        <w:jc w:val="both"/>
        <w:rPr>
          <w:rFonts w:cs="Times New Roman"/>
          <w:sz w:val="22"/>
          <w:szCs w:val="22"/>
        </w:rPr>
      </w:pPr>
    </w:p>
    <w:p w:rsidR="004C20E9" w:rsidRPr="00F134F8" w:rsidRDefault="00660567" w:rsidP="001F45CC">
      <w:pPr>
        <w:pStyle w:val="Prrafodelista"/>
        <w:numPr>
          <w:ilvl w:val="0"/>
          <w:numId w:val="2"/>
        </w:numPr>
        <w:spacing w:line="276" w:lineRule="auto"/>
        <w:jc w:val="both"/>
        <w:rPr>
          <w:rFonts w:cs="Times New Roman"/>
          <w:b/>
          <w:sz w:val="22"/>
          <w:szCs w:val="22"/>
        </w:rPr>
      </w:pPr>
      <w:r w:rsidRPr="00F134F8">
        <w:rPr>
          <w:rFonts w:cs="Times New Roman"/>
          <w:b/>
          <w:sz w:val="22"/>
          <w:szCs w:val="22"/>
        </w:rPr>
        <w:t>Specific examples of good practices in environmental-related matters in the fulfilment of obligations to protect and promote children’s rights</w:t>
      </w:r>
      <w:r w:rsidR="007641D5" w:rsidRPr="00F134F8">
        <w:rPr>
          <w:rFonts w:cs="Times New Roman"/>
          <w:b/>
          <w:sz w:val="22"/>
          <w:szCs w:val="22"/>
        </w:rPr>
        <w:t xml:space="preserve"> / Monitoring children’s rights affected by environmental related legislation, </w:t>
      </w:r>
      <w:proofErr w:type="spellStart"/>
      <w:r w:rsidR="007641D5" w:rsidRPr="00F134F8">
        <w:rPr>
          <w:rFonts w:cs="Times New Roman"/>
          <w:b/>
          <w:sz w:val="22"/>
          <w:szCs w:val="22"/>
        </w:rPr>
        <w:t>programmes</w:t>
      </w:r>
      <w:proofErr w:type="spellEnd"/>
      <w:r w:rsidR="007641D5" w:rsidRPr="00F134F8">
        <w:rPr>
          <w:rFonts w:cs="Times New Roman"/>
          <w:b/>
          <w:sz w:val="22"/>
          <w:szCs w:val="22"/>
        </w:rPr>
        <w:t xml:space="preserve"> and projects (e.g., rights to life, food, housing, health, water and san</w:t>
      </w:r>
      <w:r w:rsidR="00457C12" w:rsidRPr="00F134F8">
        <w:rPr>
          <w:rFonts w:cs="Times New Roman"/>
          <w:b/>
          <w:sz w:val="22"/>
          <w:szCs w:val="22"/>
        </w:rPr>
        <w:t>itation, cultural rights, etc.)</w:t>
      </w:r>
    </w:p>
    <w:p w:rsidR="00960D5F" w:rsidRPr="00F134F8" w:rsidRDefault="00960D5F" w:rsidP="001F45CC">
      <w:pPr>
        <w:spacing w:line="276" w:lineRule="auto"/>
        <w:jc w:val="both"/>
        <w:rPr>
          <w:rFonts w:eastAsia="Times New Roman" w:cs="Times New Roman"/>
          <w:kern w:val="0"/>
          <w:sz w:val="22"/>
          <w:szCs w:val="22"/>
          <w:lang w:eastAsia="es-PE" w:bidi="ar-SA"/>
        </w:rPr>
      </w:pPr>
    </w:p>
    <w:p w:rsidR="00142824" w:rsidRPr="00BB62A9" w:rsidRDefault="009865CB" w:rsidP="00BB62A9">
      <w:pPr>
        <w:pStyle w:val="Prrafodelista"/>
        <w:numPr>
          <w:ilvl w:val="1"/>
          <w:numId w:val="2"/>
        </w:numPr>
        <w:spacing w:line="276" w:lineRule="auto"/>
        <w:jc w:val="both"/>
        <w:rPr>
          <w:rFonts w:eastAsia="Times New Roman" w:cs="Times New Roman"/>
          <w:kern w:val="0"/>
          <w:sz w:val="22"/>
          <w:szCs w:val="22"/>
          <w:lang w:eastAsia="es-PE" w:bidi="ar-SA"/>
        </w:rPr>
      </w:pPr>
      <w:r w:rsidRPr="00BB62A9">
        <w:rPr>
          <w:rFonts w:eastAsia="Times New Roman" w:cs="Times New Roman"/>
          <w:kern w:val="0"/>
          <w:sz w:val="22"/>
          <w:szCs w:val="22"/>
          <w:lang w:eastAsia="es-PE" w:bidi="ar-SA"/>
        </w:rPr>
        <w:t>Considering that Latin American economies are heavily dependent on the intensive extraction of their natural resources</w:t>
      </w:r>
      <w:r w:rsidR="00196A3C" w:rsidRPr="00BB62A9">
        <w:rPr>
          <w:rFonts w:eastAsia="Times New Roman" w:cs="Times New Roman"/>
          <w:kern w:val="0"/>
          <w:sz w:val="22"/>
          <w:szCs w:val="22"/>
          <w:lang w:eastAsia="es-PE" w:bidi="ar-SA"/>
        </w:rPr>
        <w:t xml:space="preserve"> –</w:t>
      </w:r>
      <w:r w:rsidRPr="00BB62A9">
        <w:rPr>
          <w:rFonts w:eastAsia="Times New Roman" w:cs="Times New Roman"/>
          <w:kern w:val="0"/>
          <w:sz w:val="22"/>
          <w:szCs w:val="22"/>
          <w:lang w:eastAsia="es-PE" w:bidi="ar-SA"/>
        </w:rPr>
        <w:t>and material growth in the region has slowed due to the international fall in commodity prices</w:t>
      </w:r>
      <w:r w:rsidR="00196A3C" w:rsidRPr="00BB62A9">
        <w:rPr>
          <w:rFonts w:eastAsia="Times New Roman" w:cs="Times New Roman"/>
          <w:kern w:val="0"/>
          <w:sz w:val="22"/>
          <w:szCs w:val="22"/>
          <w:lang w:eastAsia="es-PE" w:bidi="ar-SA"/>
        </w:rPr>
        <w:t xml:space="preserve">– </w:t>
      </w:r>
      <w:r w:rsidR="00573DD4" w:rsidRPr="00BB62A9">
        <w:rPr>
          <w:rFonts w:eastAsia="Times New Roman" w:cs="Times New Roman"/>
          <w:kern w:val="0"/>
          <w:sz w:val="22"/>
          <w:szCs w:val="22"/>
          <w:lang w:eastAsia="es-PE" w:bidi="ar-SA"/>
        </w:rPr>
        <w:t xml:space="preserve">national </w:t>
      </w:r>
      <w:r w:rsidRPr="00BB62A9">
        <w:rPr>
          <w:rFonts w:eastAsia="Times New Roman" w:cs="Times New Roman"/>
          <w:kern w:val="0"/>
          <w:sz w:val="22"/>
          <w:szCs w:val="22"/>
          <w:lang w:eastAsia="es-PE" w:bidi="ar-SA"/>
        </w:rPr>
        <w:t>governments have begun to soften the institutional frameworks, policies and environmental standards and regulations to facilitate extractive investment (mining, oil and energy), thereby exacerbating the risks of environmental damage and reducing public investment in social programs, which will have a negative impact on</w:t>
      </w:r>
      <w:r w:rsidR="00196A3C" w:rsidRPr="00BB62A9">
        <w:rPr>
          <w:rFonts w:eastAsia="Times New Roman" w:cs="Times New Roman"/>
          <w:kern w:val="0"/>
          <w:sz w:val="22"/>
          <w:szCs w:val="22"/>
          <w:lang w:eastAsia="es-PE" w:bidi="ar-SA"/>
        </w:rPr>
        <w:t xml:space="preserve"> environmental </w:t>
      </w:r>
      <w:r w:rsidRPr="00BB62A9">
        <w:rPr>
          <w:rFonts w:eastAsia="Times New Roman" w:cs="Times New Roman"/>
          <w:kern w:val="0"/>
          <w:sz w:val="22"/>
          <w:szCs w:val="22"/>
          <w:lang w:eastAsia="es-PE" w:bidi="ar-SA"/>
        </w:rPr>
        <w:t>children's rights in the region.</w:t>
      </w:r>
      <w:r w:rsidR="00573DD4" w:rsidRPr="00BB62A9">
        <w:rPr>
          <w:rFonts w:eastAsia="Times New Roman" w:cs="Times New Roman"/>
          <w:kern w:val="0"/>
          <w:sz w:val="22"/>
          <w:szCs w:val="22"/>
          <w:lang w:eastAsia="es-PE" w:bidi="ar-SA"/>
        </w:rPr>
        <w:t xml:space="preserve"> </w:t>
      </w:r>
      <w:r w:rsidR="00BB62A9" w:rsidRPr="00BB62A9">
        <w:rPr>
          <w:rFonts w:eastAsia="Times New Roman" w:cs="Times New Roman"/>
          <w:kern w:val="0"/>
          <w:sz w:val="22"/>
          <w:szCs w:val="22"/>
          <w:lang w:eastAsia="es-PE" w:bidi="ar-SA"/>
        </w:rPr>
        <w:t xml:space="preserve">In scenarios of economic crisis, environmental rights are seen as barriers for private investment in </w:t>
      </w:r>
      <w:r w:rsidR="002E5B51">
        <w:rPr>
          <w:rFonts w:eastAsia="Times New Roman" w:cs="Times New Roman"/>
          <w:kern w:val="0"/>
          <w:sz w:val="22"/>
          <w:szCs w:val="22"/>
          <w:lang w:eastAsia="es-PE" w:bidi="ar-SA"/>
        </w:rPr>
        <w:t xml:space="preserve">high </w:t>
      </w:r>
      <w:r w:rsidR="00BB62A9" w:rsidRPr="00BB62A9">
        <w:rPr>
          <w:rFonts w:eastAsia="Times New Roman" w:cs="Times New Roman"/>
          <w:kern w:val="0"/>
          <w:sz w:val="22"/>
          <w:szCs w:val="22"/>
          <w:lang w:eastAsia="es-PE" w:bidi="ar-SA"/>
        </w:rPr>
        <w:t>sensitive</w:t>
      </w:r>
      <w:r w:rsidR="002E5B51">
        <w:rPr>
          <w:rFonts w:eastAsia="Times New Roman" w:cs="Times New Roman"/>
          <w:kern w:val="0"/>
          <w:sz w:val="22"/>
          <w:szCs w:val="22"/>
          <w:lang w:eastAsia="es-PE" w:bidi="ar-SA"/>
        </w:rPr>
        <w:t xml:space="preserve"> social and environmental areas</w:t>
      </w:r>
      <w:r w:rsidR="00BB62A9" w:rsidRPr="00BB62A9">
        <w:rPr>
          <w:rFonts w:eastAsia="Times New Roman" w:cs="Times New Roman"/>
          <w:kern w:val="0"/>
          <w:sz w:val="22"/>
          <w:szCs w:val="22"/>
          <w:lang w:eastAsia="es-PE" w:bidi="ar-SA"/>
        </w:rPr>
        <w:t>.</w:t>
      </w:r>
    </w:p>
    <w:p w:rsidR="00142824" w:rsidRPr="00F134F8" w:rsidRDefault="00142824" w:rsidP="00142824">
      <w:pPr>
        <w:spacing w:line="276" w:lineRule="auto"/>
        <w:jc w:val="both"/>
        <w:rPr>
          <w:rFonts w:cs="Times New Roman"/>
          <w:sz w:val="22"/>
          <w:szCs w:val="22"/>
        </w:rPr>
      </w:pPr>
    </w:p>
    <w:p w:rsidR="009865CB" w:rsidRDefault="009865CB" w:rsidP="004A6B42">
      <w:pPr>
        <w:pStyle w:val="Prrafodelista"/>
        <w:numPr>
          <w:ilvl w:val="1"/>
          <w:numId w:val="2"/>
        </w:numPr>
        <w:spacing w:line="276" w:lineRule="auto"/>
        <w:jc w:val="both"/>
        <w:rPr>
          <w:rFonts w:cs="Times New Roman"/>
          <w:sz w:val="22"/>
          <w:szCs w:val="22"/>
        </w:rPr>
      </w:pPr>
      <w:r w:rsidRPr="005258B2">
        <w:rPr>
          <w:rFonts w:cs="Times New Roman"/>
          <w:sz w:val="22"/>
          <w:szCs w:val="22"/>
        </w:rPr>
        <w:t xml:space="preserve">In this context, which is not very auspicious, an example of good practice that can guide </w:t>
      </w:r>
      <w:r w:rsidR="003E67D6" w:rsidRPr="005258B2">
        <w:rPr>
          <w:rFonts w:cs="Times New Roman"/>
          <w:sz w:val="22"/>
          <w:szCs w:val="22"/>
        </w:rPr>
        <w:t xml:space="preserve">the </w:t>
      </w:r>
      <w:r w:rsidRPr="005258B2">
        <w:rPr>
          <w:rFonts w:cs="Times New Roman"/>
          <w:sz w:val="22"/>
          <w:szCs w:val="22"/>
        </w:rPr>
        <w:t xml:space="preserve">compliance with obligations to protect and promote the ecological </w:t>
      </w:r>
      <w:r w:rsidR="003E67D6" w:rsidRPr="005258B2">
        <w:rPr>
          <w:rFonts w:cs="Times New Roman"/>
          <w:sz w:val="22"/>
          <w:szCs w:val="22"/>
        </w:rPr>
        <w:t xml:space="preserve">child </w:t>
      </w:r>
      <w:r w:rsidRPr="005258B2">
        <w:rPr>
          <w:rFonts w:cs="Times New Roman"/>
          <w:sz w:val="22"/>
          <w:szCs w:val="22"/>
        </w:rPr>
        <w:t xml:space="preserve">rights is the Sendai Framework for Disaster Risk Reduction 2015-2030, approved in the Third UN World Conference on Disaster Risk Reduction (Sendai, Japan 2015), which aims to prevent new disasters </w:t>
      </w:r>
      <w:r w:rsidR="005258B2" w:rsidRPr="005258B2">
        <w:rPr>
          <w:rFonts w:cs="Times New Roman"/>
          <w:sz w:val="22"/>
          <w:szCs w:val="22"/>
        </w:rPr>
        <w:t>–</w:t>
      </w:r>
      <w:r w:rsidRPr="005258B2">
        <w:rPr>
          <w:rFonts w:cs="Times New Roman"/>
          <w:sz w:val="22"/>
          <w:szCs w:val="22"/>
        </w:rPr>
        <w:t>and mitigate the effects of those already occurred</w:t>
      </w:r>
      <w:r w:rsidR="005258B2" w:rsidRPr="005258B2">
        <w:rPr>
          <w:rFonts w:cs="Times New Roman"/>
          <w:sz w:val="22"/>
          <w:szCs w:val="22"/>
        </w:rPr>
        <w:t>–</w:t>
      </w:r>
      <w:r w:rsidR="005258B2">
        <w:rPr>
          <w:rFonts w:cs="Times New Roman"/>
          <w:sz w:val="22"/>
          <w:szCs w:val="22"/>
        </w:rPr>
        <w:t xml:space="preserve"> </w:t>
      </w:r>
      <w:r w:rsidRPr="005258B2">
        <w:rPr>
          <w:rFonts w:cs="Times New Roman"/>
          <w:sz w:val="22"/>
          <w:szCs w:val="22"/>
        </w:rPr>
        <w:t xml:space="preserve">through the integrated implementation of cultural, </w:t>
      </w:r>
      <w:r w:rsidRPr="005258B2">
        <w:rPr>
          <w:rFonts w:cs="Times New Roman"/>
          <w:sz w:val="22"/>
          <w:szCs w:val="22"/>
        </w:rPr>
        <w:lastRenderedPageBreak/>
        <w:t>economic, environmental, educational, social, technological and institutional</w:t>
      </w:r>
      <w:r w:rsidR="003E67D6" w:rsidRPr="005258B2">
        <w:rPr>
          <w:rFonts w:cs="Times New Roman"/>
          <w:sz w:val="22"/>
          <w:szCs w:val="22"/>
        </w:rPr>
        <w:t xml:space="preserve"> measures</w:t>
      </w:r>
      <w:r w:rsidRPr="005258B2">
        <w:rPr>
          <w:rFonts w:cs="Times New Roman"/>
          <w:sz w:val="22"/>
          <w:szCs w:val="22"/>
        </w:rPr>
        <w:t xml:space="preserve">. </w:t>
      </w:r>
      <w:r w:rsidR="003E67D6" w:rsidRPr="005258B2">
        <w:rPr>
          <w:rFonts w:cs="Times New Roman"/>
          <w:sz w:val="22"/>
          <w:szCs w:val="22"/>
        </w:rPr>
        <w:t>Th</w:t>
      </w:r>
      <w:r w:rsidR="00BB62A9" w:rsidRPr="005258B2">
        <w:rPr>
          <w:rFonts w:cs="Times New Roman"/>
          <w:sz w:val="22"/>
          <w:szCs w:val="22"/>
        </w:rPr>
        <w:t>e Sendai F</w:t>
      </w:r>
      <w:r w:rsidR="003E67D6" w:rsidRPr="005258B2">
        <w:rPr>
          <w:rFonts w:cs="Times New Roman"/>
          <w:sz w:val="22"/>
          <w:szCs w:val="22"/>
        </w:rPr>
        <w:t xml:space="preserve">ramework recognizes the leadership, regulation and coordination role of governments, </w:t>
      </w:r>
      <w:r w:rsidRPr="005258B2">
        <w:rPr>
          <w:rFonts w:cs="Times New Roman"/>
          <w:sz w:val="22"/>
          <w:szCs w:val="22"/>
        </w:rPr>
        <w:t xml:space="preserve">but it </w:t>
      </w:r>
      <w:r w:rsidR="003E67D6" w:rsidRPr="005258B2">
        <w:rPr>
          <w:rFonts w:cs="Times New Roman"/>
          <w:sz w:val="22"/>
          <w:szCs w:val="22"/>
        </w:rPr>
        <w:t xml:space="preserve">also </w:t>
      </w:r>
      <w:r w:rsidRPr="005258B2">
        <w:rPr>
          <w:rFonts w:cs="Times New Roman"/>
          <w:sz w:val="22"/>
          <w:szCs w:val="22"/>
        </w:rPr>
        <w:t>recommend</w:t>
      </w:r>
      <w:r w:rsidR="003E67D6" w:rsidRPr="005258B2">
        <w:rPr>
          <w:rFonts w:cs="Times New Roman"/>
          <w:sz w:val="22"/>
          <w:szCs w:val="22"/>
        </w:rPr>
        <w:t xml:space="preserve">s </w:t>
      </w:r>
      <w:r w:rsidRPr="005258B2">
        <w:rPr>
          <w:rFonts w:cs="Times New Roman"/>
          <w:sz w:val="22"/>
          <w:szCs w:val="22"/>
        </w:rPr>
        <w:t>that they interact with relevant actors</w:t>
      </w:r>
      <w:r w:rsidR="003E67D6" w:rsidRPr="005258B2">
        <w:rPr>
          <w:rFonts w:cs="Times New Roman"/>
          <w:sz w:val="22"/>
          <w:szCs w:val="22"/>
        </w:rPr>
        <w:t xml:space="preserve"> –</w:t>
      </w:r>
      <w:r w:rsidRPr="005258B2">
        <w:rPr>
          <w:rFonts w:cs="Times New Roman"/>
          <w:sz w:val="22"/>
          <w:szCs w:val="22"/>
        </w:rPr>
        <w:t>including children and young people</w:t>
      </w:r>
      <w:r w:rsidR="003E67D6" w:rsidRPr="005258B2">
        <w:rPr>
          <w:rFonts w:cs="Times New Roman"/>
          <w:sz w:val="22"/>
          <w:szCs w:val="22"/>
        </w:rPr>
        <w:t>– as they are a</w:t>
      </w:r>
      <w:r w:rsidR="002E5B51">
        <w:rPr>
          <w:rFonts w:cs="Times New Roman"/>
          <w:sz w:val="22"/>
          <w:szCs w:val="22"/>
        </w:rPr>
        <w:t xml:space="preserve">ctors for </w:t>
      </w:r>
      <w:r w:rsidR="003E67D6" w:rsidRPr="005258B2">
        <w:rPr>
          <w:rFonts w:cs="Times New Roman"/>
          <w:sz w:val="22"/>
          <w:szCs w:val="22"/>
        </w:rPr>
        <w:t>change, so they should be given the facilities and tools to contribute to the reduction of disaster risk.</w:t>
      </w:r>
    </w:p>
    <w:p w:rsidR="005258B2" w:rsidRDefault="005258B2" w:rsidP="005258B2">
      <w:pPr>
        <w:pStyle w:val="Prrafodelista"/>
        <w:rPr>
          <w:rFonts w:cs="Times New Roman"/>
          <w:sz w:val="22"/>
          <w:szCs w:val="22"/>
        </w:rPr>
      </w:pPr>
    </w:p>
    <w:p w:rsidR="005C5B47" w:rsidRPr="00500270" w:rsidRDefault="005C5B47" w:rsidP="00DF3B5B">
      <w:pPr>
        <w:pStyle w:val="Prrafodelista"/>
        <w:numPr>
          <w:ilvl w:val="1"/>
          <w:numId w:val="2"/>
        </w:numPr>
        <w:spacing w:line="276" w:lineRule="auto"/>
        <w:ind w:left="357" w:hanging="357"/>
        <w:jc w:val="both"/>
        <w:rPr>
          <w:rFonts w:cs="Times New Roman"/>
          <w:sz w:val="22"/>
          <w:szCs w:val="22"/>
        </w:rPr>
      </w:pPr>
      <w:r w:rsidRPr="00500270">
        <w:rPr>
          <w:rFonts w:cs="Times New Roman"/>
          <w:sz w:val="22"/>
          <w:szCs w:val="22"/>
        </w:rPr>
        <w:t xml:space="preserve">Another equally relevant aspect to consider for the effective implementation of the ecological child rights is </w:t>
      </w:r>
      <w:r w:rsidRPr="00500270">
        <w:rPr>
          <w:rFonts w:eastAsiaTheme="minorHAnsi" w:cs="Times New Roman"/>
          <w:kern w:val="0"/>
          <w:sz w:val="22"/>
          <w:szCs w:val="22"/>
          <w:lang w:eastAsia="es-PE" w:bidi="ar-SA"/>
        </w:rPr>
        <w:t>«</w:t>
      </w:r>
      <w:r w:rsidRPr="00500270">
        <w:rPr>
          <w:rFonts w:cs="Times New Roman"/>
          <w:sz w:val="22"/>
          <w:szCs w:val="22"/>
        </w:rPr>
        <w:t>intercultural education</w:t>
      </w:r>
      <w:r w:rsidRPr="00500270">
        <w:rPr>
          <w:rFonts w:eastAsiaTheme="minorHAnsi" w:cs="Times New Roman"/>
          <w:kern w:val="0"/>
          <w:sz w:val="22"/>
          <w:szCs w:val="22"/>
          <w:lang w:eastAsia="es-PE" w:bidi="ar-SA"/>
        </w:rPr>
        <w:t>»: i</w:t>
      </w:r>
      <w:r w:rsidRPr="00500270">
        <w:rPr>
          <w:rFonts w:cs="Times New Roman"/>
          <w:sz w:val="22"/>
          <w:szCs w:val="22"/>
        </w:rPr>
        <w:t xml:space="preserve">ntercultural education programs on </w:t>
      </w:r>
      <w:r w:rsidR="00C44E94" w:rsidRPr="00500270">
        <w:rPr>
          <w:rFonts w:cs="Times New Roman"/>
          <w:sz w:val="22"/>
          <w:szCs w:val="22"/>
        </w:rPr>
        <w:t xml:space="preserve">environment and </w:t>
      </w:r>
      <w:r w:rsidRPr="00500270">
        <w:rPr>
          <w:rFonts w:cs="Times New Roman"/>
          <w:sz w:val="22"/>
          <w:szCs w:val="22"/>
        </w:rPr>
        <w:t xml:space="preserve">climate change </w:t>
      </w:r>
      <w:r w:rsidR="00C44E94" w:rsidRPr="00500270">
        <w:rPr>
          <w:rFonts w:cs="Times New Roman"/>
          <w:sz w:val="22"/>
          <w:szCs w:val="22"/>
        </w:rPr>
        <w:t xml:space="preserve">might be </w:t>
      </w:r>
      <w:r w:rsidRPr="00500270">
        <w:rPr>
          <w:rFonts w:cs="Times New Roman"/>
          <w:sz w:val="22"/>
          <w:szCs w:val="22"/>
        </w:rPr>
        <w:t xml:space="preserve">important mechanisms to empower indigenous children. This is becoming increasingly visible and necessary in the various countries of LAC, and particularly in the Andean </w:t>
      </w:r>
      <w:proofErr w:type="spellStart"/>
      <w:r w:rsidRPr="00500270">
        <w:rPr>
          <w:rFonts w:cs="Times New Roman"/>
          <w:sz w:val="22"/>
          <w:szCs w:val="22"/>
        </w:rPr>
        <w:t>subregion</w:t>
      </w:r>
      <w:proofErr w:type="spellEnd"/>
      <w:r w:rsidR="002625FC" w:rsidRPr="00500270">
        <w:rPr>
          <w:rFonts w:cs="Times New Roman"/>
          <w:sz w:val="22"/>
          <w:szCs w:val="22"/>
        </w:rPr>
        <w:t>, due to its important cultural diversity</w:t>
      </w:r>
      <w:r w:rsidRPr="00500270">
        <w:rPr>
          <w:rFonts w:cs="Times New Roman"/>
          <w:sz w:val="22"/>
          <w:szCs w:val="22"/>
        </w:rPr>
        <w:t>. These programs should consider a methodology for the recovery and assessment of the state</w:t>
      </w:r>
      <w:r w:rsidR="00C44E94" w:rsidRPr="00500270">
        <w:rPr>
          <w:rFonts w:cs="Times New Roman"/>
          <w:sz w:val="22"/>
          <w:szCs w:val="22"/>
        </w:rPr>
        <w:t xml:space="preserve"> (vitality/erosion) </w:t>
      </w:r>
      <w:r w:rsidRPr="00500270">
        <w:rPr>
          <w:rFonts w:cs="Times New Roman"/>
          <w:sz w:val="22"/>
          <w:szCs w:val="22"/>
        </w:rPr>
        <w:t>of</w:t>
      </w:r>
      <w:r w:rsidR="00C44E94" w:rsidRPr="00500270">
        <w:rPr>
          <w:rFonts w:cs="Times New Roman"/>
          <w:sz w:val="22"/>
          <w:szCs w:val="22"/>
        </w:rPr>
        <w:t xml:space="preserve"> the </w:t>
      </w:r>
      <w:r w:rsidRPr="00500270">
        <w:rPr>
          <w:rFonts w:cs="Times New Roman"/>
          <w:sz w:val="22"/>
          <w:szCs w:val="22"/>
        </w:rPr>
        <w:t xml:space="preserve">intergenerational </w:t>
      </w:r>
      <w:r w:rsidR="00C44E94" w:rsidRPr="00500270">
        <w:rPr>
          <w:rFonts w:cs="Times New Roman"/>
          <w:sz w:val="22"/>
          <w:szCs w:val="22"/>
        </w:rPr>
        <w:t xml:space="preserve">transmission </w:t>
      </w:r>
      <w:r w:rsidRPr="00500270">
        <w:rPr>
          <w:rFonts w:cs="Times New Roman"/>
          <w:sz w:val="22"/>
          <w:szCs w:val="22"/>
        </w:rPr>
        <w:t>of traditional</w:t>
      </w:r>
      <w:r w:rsidR="00C44E94" w:rsidRPr="00500270">
        <w:rPr>
          <w:rFonts w:cs="Times New Roman"/>
          <w:sz w:val="22"/>
          <w:szCs w:val="22"/>
        </w:rPr>
        <w:t xml:space="preserve"> ecological </w:t>
      </w:r>
      <w:r w:rsidRPr="00500270">
        <w:rPr>
          <w:rFonts w:cs="Times New Roman"/>
          <w:sz w:val="22"/>
          <w:szCs w:val="22"/>
        </w:rPr>
        <w:t>knowledge</w:t>
      </w:r>
      <w:r w:rsidR="00C44E94" w:rsidRPr="00500270">
        <w:rPr>
          <w:rFonts w:cs="Times New Roman"/>
          <w:sz w:val="22"/>
          <w:szCs w:val="22"/>
        </w:rPr>
        <w:t xml:space="preserve"> (TEK)</w:t>
      </w:r>
      <w:r w:rsidRPr="00500270">
        <w:rPr>
          <w:rFonts w:cs="Times New Roman"/>
          <w:sz w:val="22"/>
          <w:szCs w:val="22"/>
        </w:rPr>
        <w:t xml:space="preserve">. In the case of </w:t>
      </w:r>
      <w:proofErr w:type="spellStart"/>
      <w:r w:rsidRPr="00500270">
        <w:rPr>
          <w:rFonts w:cs="Times New Roman"/>
          <w:sz w:val="22"/>
          <w:szCs w:val="22"/>
        </w:rPr>
        <w:t>Per</w:t>
      </w:r>
      <w:r w:rsidR="00C44E94" w:rsidRPr="00500270">
        <w:rPr>
          <w:rFonts w:cs="Times New Roman"/>
          <w:sz w:val="22"/>
          <w:szCs w:val="22"/>
        </w:rPr>
        <w:t>ú</w:t>
      </w:r>
      <w:proofErr w:type="spellEnd"/>
      <w:r w:rsidRPr="00500270">
        <w:rPr>
          <w:rFonts w:cs="Times New Roman"/>
          <w:sz w:val="22"/>
          <w:szCs w:val="22"/>
        </w:rPr>
        <w:t xml:space="preserve">, </w:t>
      </w:r>
      <w:r w:rsidR="00C44E94" w:rsidRPr="00500270">
        <w:rPr>
          <w:rFonts w:cs="Times New Roman"/>
          <w:sz w:val="22"/>
          <w:szCs w:val="22"/>
        </w:rPr>
        <w:t xml:space="preserve">the country approved </w:t>
      </w:r>
      <w:r w:rsidRPr="00500270">
        <w:rPr>
          <w:rFonts w:cs="Times New Roman"/>
          <w:sz w:val="22"/>
          <w:szCs w:val="22"/>
        </w:rPr>
        <w:t xml:space="preserve">a National Climate Change Strategy (Ministry of the Environment, 2015) </w:t>
      </w:r>
      <w:r w:rsidR="002625FC" w:rsidRPr="00500270">
        <w:rPr>
          <w:rFonts w:cs="Times New Roman"/>
          <w:sz w:val="22"/>
          <w:szCs w:val="22"/>
        </w:rPr>
        <w:t>–</w:t>
      </w:r>
      <w:r w:rsidRPr="00500270">
        <w:rPr>
          <w:rFonts w:cs="Times New Roman"/>
          <w:sz w:val="22"/>
          <w:szCs w:val="22"/>
        </w:rPr>
        <w:t xml:space="preserve">which incorporates the systems of ancestral knowledge in </w:t>
      </w:r>
      <w:r w:rsidR="00C44E94" w:rsidRPr="00500270">
        <w:rPr>
          <w:rFonts w:cs="Times New Roman"/>
          <w:sz w:val="22"/>
          <w:szCs w:val="22"/>
        </w:rPr>
        <w:t xml:space="preserve">climate </w:t>
      </w:r>
      <w:r w:rsidRPr="00500270">
        <w:rPr>
          <w:rFonts w:cs="Times New Roman"/>
          <w:sz w:val="22"/>
          <w:szCs w:val="22"/>
        </w:rPr>
        <w:t>adaptation policies</w:t>
      </w:r>
      <w:r w:rsidR="002625FC" w:rsidRPr="00500270">
        <w:rPr>
          <w:rFonts w:cs="Times New Roman"/>
          <w:sz w:val="22"/>
          <w:szCs w:val="22"/>
        </w:rPr>
        <w:t xml:space="preserve">– </w:t>
      </w:r>
      <w:r w:rsidRPr="00500270">
        <w:rPr>
          <w:rFonts w:cs="Times New Roman"/>
          <w:sz w:val="22"/>
          <w:szCs w:val="22"/>
        </w:rPr>
        <w:t xml:space="preserve">as well as a National Policy for Transversal Intercultural Approach (Ministry of Culture, 2015), however the perspective of the rights of </w:t>
      </w:r>
      <w:r w:rsidR="00A26247" w:rsidRPr="00500270">
        <w:rPr>
          <w:rFonts w:cs="Times New Roman"/>
          <w:sz w:val="22"/>
          <w:szCs w:val="22"/>
        </w:rPr>
        <w:t xml:space="preserve">indigenous </w:t>
      </w:r>
      <w:r w:rsidRPr="00500270">
        <w:rPr>
          <w:rFonts w:cs="Times New Roman"/>
          <w:sz w:val="22"/>
          <w:szCs w:val="22"/>
        </w:rPr>
        <w:t>children is not explicit</w:t>
      </w:r>
      <w:r w:rsidR="002625FC" w:rsidRPr="00500270">
        <w:rPr>
          <w:rFonts w:cs="Times New Roman"/>
          <w:sz w:val="22"/>
          <w:szCs w:val="22"/>
        </w:rPr>
        <w:t xml:space="preserve"> in environmental or climate policies yet.</w:t>
      </w:r>
    </w:p>
    <w:p w:rsidR="00C44E94" w:rsidRDefault="00C44E94" w:rsidP="00C44E94">
      <w:pPr>
        <w:pStyle w:val="Prrafodelista"/>
        <w:spacing w:line="276" w:lineRule="auto"/>
        <w:ind w:left="357"/>
        <w:jc w:val="both"/>
        <w:rPr>
          <w:rFonts w:cs="Times New Roman"/>
          <w:b/>
          <w:sz w:val="22"/>
          <w:szCs w:val="22"/>
        </w:rPr>
      </w:pPr>
    </w:p>
    <w:p w:rsidR="00C44E94" w:rsidRDefault="00C44E94" w:rsidP="00C44E94">
      <w:pPr>
        <w:pStyle w:val="Prrafodelista"/>
        <w:spacing w:line="276" w:lineRule="auto"/>
        <w:ind w:left="357"/>
        <w:jc w:val="both"/>
        <w:rPr>
          <w:rFonts w:cs="Times New Roman"/>
          <w:b/>
          <w:sz w:val="22"/>
          <w:szCs w:val="22"/>
        </w:rPr>
      </w:pPr>
    </w:p>
    <w:p w:rsidR="00D36661" w:rsidRPr="00F134F8" w:rsidRDefault="00D36661" w:rsidP="00142824">
      <w:pPr>
        <w:pStyle w:val="Prrafodelista"/>
        <w:numPr>
          <w:ilvl w:val="0"/>
          <w:numId w:val="2"/>
        </w:numPr>
        <w:spacing w:line="276" w:lineRule="auto"/>
        <w:ind w:left="357"/>
        <w:jc w:val="both"/>
        <w:rPr>
          <w:rFonts w:cs="Times New Roman"/>
          <w:b/>
          <w:sz w:val="22"/>
          <w:szCs w:val="22"/>
        </w:rPr>
      </w:pPr>
      <w:r w:rsidRPr="00F134F8">
        <w:rPr>
          <w:rFonts w:cs="Times New Roman"/>
          <w:b/>
          <w:sz w:val="22"/>
          <w:szCs w:val="22"/>
        </w:rPr>
        <w:t>Laws or policies referring to the rights of future generations in relation to environmental matters</w:t>
      </w:r>
    </w:p>
    <w:p w:rsidR="00142824" w:rsidRPr="00F134F8" w:rsidRDefault="00142824" w:rsidP="00142824">
      <w:pPr>
        <w:widowControl/>
        <w:suppressAutoHyphens w:val="0"/>
        <w:spacing w:line="276" w:lineRule="auto"/>
        <w:ind w:left="357" w:hanging="360"/>
        <w:jc w:val="both"/>
        <w:rPr>
          <w:rFonts w:eastAsiaTheme="minorHAnsi" w:cs="Times New Roman"/>
          <w:kern w:val="0"/>
          <w:sz w:val="22"/>
          <w:szCs w:val="22"/>
          <w:lang w:eastAsia="es-PE" w:bidi="ar-SA"/>
        </w:rPr>
      </w:pPr>
    </w:p>
    <w:p w:rsidR="00737344" w:rsidRPr="00500270" w:rsidRDefault="00737344" w:rsidP="000D3813">
      <w:pPr>
        <w:pStyle w:val="Prrafodelista"/>
        <w:widowControl/>
        <w:numPr>
          <w:ilvl w:val="1"/>
          <w:numId w:val="2"/>
        </w:numPr>
        <w:suppressAutoHyphens w:val="0"/>
        <w:spacing w:line="276" w:lineRule="auto"/>
        <w:jc w:val="both"/>
        <w:rPr>
          <w:rFonts w:eastAsiaTheme="minorHAnsi" w:cs="Times New Roman"/>
          <w:kern w:val="0"/>
          <w:sz w:val="22"/>
          <w:szCs w:val="22"/>
          <w:lang w:eastAsia="es-PE" w:bidi="ar-SA"/>
        </w:rPr>
      </w:pPr>
      <w:r w:rsidRPr="00500270">
        <w:rPr>
          <w:rFonts w:eastAsiaTheme="minorHAnsi" w:cs="Times New Roman"/>
          <w:kern w:val="0"/>
          <w:sz w:val="22"/>
          <w:szCs w:val="22"/>
          <w:lang w:eastAsia="es-PE" w:bidi="ar-SA"/>
        </w:rPr>
        <w:t xml:space="preserve">The issue of the rights of future generations </w:t>
      </w:r>
      <w:r w:rsidR="00A917F2" w:rsidRPr="00500270">
        <w:rPr>
          <w:rFonts w:eastAsiaTheme="minorHAnsi" w:cs="Times New Roman"/>
          <w:kern w:val="0"/>
          <w:sz w:val="22"/>
          <w:szCs w:val="22"/>
          <w:lang w:eastAsia="es-PE" w:bidi="ar-SA"/>
        </w:rPr>
        <w:t xml:space="preserve">proposes a rupture </w:t>
      </w:r>
      <w:r w:rsidR="006F5E07" w:rsidRPr="00500270">
        <w:rPr>
          <w:rFonts w:eastAsiaTheme="minorHAnsi" w:cs="Times New Roman"/>
          <w:kern w:val="0"/>
          <w:sz w:val="22"/>
          <w:szCs w:val="22"/>
          <w:lang w:eastAsia="es-PE" w:bidi="ar-SA"/>
        </w:rPr>
        <w:t>with conventional thinking</w:t>
      </w:r>
      <w:r w:rsidR="00A917F2" w:rsidRPr="00500270">
        <w:rPr>
          <w:rFonts w:eastAsiaTheme="minorHAnsi" w:cs="Times New Roman"/>
          <w:kern w:val="0"/>
          <w:sz w:val="22"/>
          <w:szCs w:val="22"/>
          <w:lang w:eastAsia="es-PE" w:bidi="ar-SA"/>
        </w:rPr>
        <w:t>. It`s a</w:t>
      </w:r>
      <w:r w:rsidR="006F5E07" w:rsidRPr="00500270">
        <w:rPr>
          <w:rFonts w:eastAsiaTheme="minorHAnsi" w:cs="Times New Roman"/>
          <w:kern w:val="0"/>
          <w:sz w:val="22"/>
          <w:szCs w:val="22"/>
          <w:lang w:eastAsia="es-PE" w:bidi="ar-SA"/>
        </w:rPr>
        <w:t xml:space="preserve">n innovative topic </w:t>
      </w:r>
      <w:r w:rsidR="00ED5E4E" w:rsidRPr="00500270">
        <w:rPr>
          <w:rFonts w:eastAsiaTheme="minorHAnsi" w:cs="Times New Roman"/>
          <w:kern w:val="0"/>
          <w:sz w:val="22"/>
          <w:szCs w:val="22"/>
          <w:lang w:eastAsia="es-PE" w:bidi="ar-SA"/>
        </w:rPr>
        <w:t xml:space="preserve">(a breakthrough idea) </w:t>
      </w:r>
      <w:r w:rsidRPr="00500270">
        <w:rPr>
          <w:rFonts w:eastAsiaTheme="minorHAnsi" w:cs="Times New Roman"/>
          <w:kern w:val="0"/>
          <w:sz w:val="22"/>
          <w:szCs w:val="22"/>
          <w:lang w:eastAsia="es-PE" w:bidi="ar-SA"/>
        </w:rPr>
        <w:t>in evolution</w:t>
      </w:r>
      <w:r w:rsidR="00500270" w:rsidRPr="00500270">
        <w:rPr>
          <w:rFonts w:eastAsiaTheme="minorHAnsi" w:cs="Times New Roman"/>
          <w:kern w:val="0"/>
          <w:sz w:val="22"/>
          <w:szCs w:val="22"/>
          <w:lang w:eastAsia="es-PE" w:bidi="ar-SA"/>
        </w:rPr>
        <w:t xml:space="preserve"> –</w:t>
      </w:r>
      <w:r w:rsidRPr="00500270">
        <w:rPr>
          <w:rFonts w:eastAsiaTheme="minorHAnsi" w:cs="Times New Roman"/>
          <w:kern w:val="0"/>
          <w:sz w:val="22"/>
          <w:szCs w:val="22"/>
          <w:lang w:eastAsia="es-PE" w:bidi="ar-SA"/>
        </w:rPr>
        <w:t>at the philosophical, political and legal level</w:t>
      </w:r>
      <w:r w:rsidR="003A0376" w:rsidRPr="00500270">
        <w:rPr>
          <w:rFonts w:eastAsiaTheme="minorHAnsi" w:cs="Times New Roman"/>
          <w:kern w:val="0"/>
          <w:sz w:val="22"/>
          <w:szCs w:val="22"/>
          <w:lang w:eastAsia="es-PE" w:bidi="ar-SA"/>
        </w:rPr>
        <w:t>s</w:t>
      </w:r>
      <w:r w:rsidRPr="00500270">
        <w:rPr>
          <w:rFonts w:eastAsiaTheme="minorHAnsi" w:cs="Times New Roman"/>
          <w:kern w:val="0"/>
          <w:sz w:val="22"/>
          <w:szCs w:val="22"/>
          <w:lang w:eastAsia="es-PE" w:bidi="ar-SA"/>
        </w:rPr>
        <w:t>– that is becoming more visible every time in the forums and negotiations of Multilateral Environmental Agreements (MEA`s), especially in global climate negotiations. In this respect, the region can make fundamental contributions, considering also that from the</w:t>
      </w:r>
      <w:r w:rsidR="006F5E07" w:rsidRPr="00500270">
        <w:rPr>
          <w:rFonts w:eastAsiaTheme="minorHAnsi" w:cs="Times New Roman"/>
          <w:kern w:val="0"/>
          <w:sz w:val="22"/>
          <w:szCs w:val="22"/>
          <w:lang w:eastAsia="es-PE" w:bidi="ar-SA"/>
        </w:rPr>
        <w:t xml:space="preserve"> ecological </w:t>
      </w:r>
      <w:r w:rsidRPr="00500270">
        <w:rPr>
          <w:rFonts w:eastAsiaTheme="minorHAnsi" w:cs="Times New Roman"/>
          <w:kern w:val="0"/>
          <w:sz w:val="22"/>
          <w:szCs w:val="22"/>
          <w:lang w:eastAsia="es-PE" w:bidi="ar-SA"/>
        </w:rPr>
        <w:t>ethics of the ancestral</w:t>
      </w:r>
      <w:r w:rsidR="006F5E07" w:rsidRPr="00500270">
        <w:rPr>
          <w:rFonts w:eastAsiaTheme="minorHAnsi" w:cs="Times New Roman"/>
          <w:kern w:val="0"/>
          <w:sz w:val="22"/>
          <w:szCs w:val="22"/>
          <w:lang w:eastAsia="es-PE" w:bidi="ar-SA"/>
        </w:rPr>
        <w:t xml:space="preserve"> </w:t>
      </w:r>
      <w:proofErr w:type="spellStart"/>
      <w:r w:rsidR="006F5E07" w:rsidRPr="00500270">
        <w:rPr>
          <w:rFonts w:eastAsiaTheme="minorHAnsi" w:cs="Times New Roman"/>
          <w:kern w:val="0"/>
          <w:sz w:val="22"/>
          <w:szCs w:val="22"/>
          <w:lang w:eastAsia="es-PE" w:bidi="ar-SA"/>
        </w:rPr>
        <w:t>cosmovisions</w:t>
      </w:r>
      <w:proofErr w:type="spellEnd"/>
      <w:r w:rsidR="006F5E07" w:rsidRPr="00500270">
        <w:rPr>
          <w:rFonts w:eastAsiaTheme="minorHAnsi" w:cs="Times New Roman"/>
          <w:kern w:val="0"/>
          <w:sz w:val="22"/>
          <w:szCs w:val="22"/>
          <w:lang w:eastAsia="es-PE" w:bidi="ar-SA"/>
        </w:rPr>
        <w:t xml:space="preserve"> </w:t>
      </w:r>
      <w:r w:rsidRPr="00500270">
        <w:rPr>
          <w:rFonts w:eastAsiaTheme="minorHAnsi" w:cs="Times New Roman"/>
          <w:kern w:val="0"/>
          <w:sz w:val="22"/>
          <w:szCs w:val="22"/>
          <w:lang w:eastAsia="es-PE" w:bidi="ar-SA"/>
        </w:rPr>
        <w:t>of America, the duties of responsibility of the present generations with</w:t>
      </w:r>
      <w:r w:rsidR="00500270" w:rsidRPr="00500270">
        <w:rPr>
          <w:rFonts w:eastAsiaTheme="minorHAnsi" w:cs="Times New Roman"/>
          <w:kern w:val="0"/>
          <w:sz w:val="22"/>
          <w:szCs w:val="22"/>
          <w:lang w:eastAsia="es-PE" w:bidi="ar-SA"/>
        </w:rPr>
        <w:t xml:space="preserve"> </w:t>
      </w:r>
      <w:r w:rsidRPr="00500270">
        <w:rPr>
          <w:rFonts w:eastAsiaTheme="minorHAnsi" w:cs="Times New Roman"/>
          <w:kern w:val="0"/>
          <w:sz w:val="22"/>
          <w:szCs w:val="22"/>
          <w:lang w:eastAsia="es-PE" w:bidi="ar-SA"/>
        </w:rPr>
        <w:t>future generations are expressed in the «principle of guardianship of the Earth».</w:t>
      </w:r>
    </w:p>
    <w:p w:rsidR="00142824" w:rsidRPr="00F134F8" w:rsidRDefault="00142824" w:rsidP="00142824">
      <w:pPr>
        <w:pStyle w:val="Prrafodelista"/>
        <w:widowControl/>
        <w:suppressAutoHyphens w:val="0"/>
        <w:spacing w:line="276" w:lineRule="auto"/>
        <w:ind w:left="360"/>
        <w:jc w:val="both"/>
        <w:rPr>
          <w:rFonts w:eastAsiaTheme="minorHAnsi" w:cs="Times New Roman"/>
          <w:kern w:val="0"/>
          <w:sz w:val="22"/>
          <w:szCs w:val="22"/>
          <w:lang w:eastAsia="es-PE" w:bidi="ar-SA"/>
        </w:rPr>
      </w:pPr>
    </w:p>
    <w:p w:rsidR="00737344" w:rsidRPr="00F134F8" w:rsidRDefault="00DE6732" w:rsidP="00142824">
      <w:pPr>
        <w:spacing w:line="276" w:lineRule="auto"/>
        <w:ind w:left="357" w:hanging="360"/>
        <w:jc w:val="both"/>
        <w:rPr>
          <w:rFonts w:eastAsiaTheme="minorHAnsi" w:cs="Times New Roman"/>
          <w:kern w:val="0"/>
          <w:sz w:val="22"/>
          <w:szCs w:val="22"/>
          <w:lang w:eastAsia="es-PE" w:bidi="ar-SA"/>
        </w:rPr>
      </w:pPr>
      <w:r w:rsidRPr="00F134F8">
        <w:rPr>
          <w:rFonts w:eastAsiaTheme="minorHAnsi" w:cs="Times New Roman"/>
          <w:kern w:val="0"/>
          <w:sz w:val="22"/>
          <w:szCs w:val="22"/>
          <w:lang w:eastAsia="es-PE" w:bidi="ar-SA"/>
        </w:rPr>
        <w:t>3.2</w:t>
      </w:r>
      <w:r w:rsidRPr="00F134F8">
        <w:rPr>
          <w:rFonts w:eastAsiaTheme="minorHAnsi" w:cs="Times New Roman"/>
          <w:kern w:val="0"/>
          <w:sz w:val="22"/>
          <w:szCs w:val="22"/>
          <w:lang w:eastAsia="es-PE" w:bidi="ar-SA"/>
        </w:rPr>
        <w:tab/>
      </w:r>
      <w:r w:rsidR="006F5E07" w:rsidRPr="00B60F52">
        <w:rPr>
          <w:rFonts w:eastAsiaTheme="minorHAnsi" w:cs="Times New Roman"/>
          <w:kern w:val="0"/>
          <w:sz w:val="22"/>
          <w:szCs w:val="22"/>
          <w:lang w:eastAsia="es-PE" w:bidi="ar-SA"/>
        </w:rPr>
        <w:t>Precisely</w:t>
      </w:r>
      <w:r w:rsidR="006F5E07">
        <w:rPr>
          <w:rFonts w:eastAsiaTheme="minorHAnsi" w:cs="Times New Roman"/>
          <w:kern w:val="0"/>
          <w:sz w:val="22"/>
          <w:szCs w:val="22"/>
          <w:lang w:eastAsia="es-PE" w:bidi="ar-SA"/>
        </w:rPr>
        <w:t xml:space="preserve"> o</w:t>
      </w:r>
      <w:r w:rsidR="00737344" w:rsidRPr="00F134F8">
        <w:rPr>
          <w:rFonts w:eastAsiaTheme="minorHAnsi" w:cs="Times New Roman"/>
          <w:kern w:val="0"/>
          <w:sz w:val="22"/>
          <w:szCs w:val="22"/>
          <w:lang w:eastAsia="es-PE" w:bidi="ar-SA"/>
        </w:rPr>
        <w:t>n December 9</w:t>
      </w:r>
      <w:r w:rsidR="006F5E07" w:rsidRPr="006F5E07">
        <w:rPr>
          <w:rFonts w:eastAsiaTheme="minorHAnsi" w:cs="Times New Roman"/>
          <w:kern w:val="0"/>
          <w:sz w:val="22"/>
          <w:szCs w:val="22"/>
          <w:vertAlign w:val="superscript"/>
          <w:lang w:eastAsia="es-PE" w:bidi="ar-SA"/>
        </w:rPr>
        <w:t>th</w:t>
      </w:r>
      <w:r w:rsidR="00737344" w:rsidRPr="00F134F8">
        <w:rPr>
          <w:rFonts w:eastAsiaTheme="minorHAnsi" w:cs="Times New Roman"/>
          <w:kern w:val="0"/>
          <w:sz w:val="22"/>
          <w:szCs w:val="22"/>
          <w:lang w:eastAsia="es-PE" w:bidi="ar-SA"/>
        </w:rPr>
        <w:t>, 2015, during the Twenty-first Conference of the Parties (COP21, Par</w:t>
      </w:r>
      <w:r w:rsidR="00F052BC" w:rsidRPr="00F134F8">
        <w:rPr>
          <w:rFonts w:eastAsiaTheme="minorHAnsi" w:cs="Times New Roman"/>
          <w:kern w:val="0"/>
          <w:sz w:val="22"/>
          <w:szCs w:val="22"/>
          <w:lang w:eastAsia="es-PE" w:bidi="ar-SA"/>
        </w:rPr>
        <w:t>i</w:t>
      </w:r>
      <w:r w:rsidR="00737344" w:rsidRPr="00F134F8">
        <w:rPr>
          <w:rFonts w:eastAsiaTheme="minorHAnsi" w:cs="Times New Roman"/>
          <w:kern w:val="0"/>
          <w:sz w:val="22"/>
          <w:szCs w:val="22"/>
          <w:lang w:eastAsia="es-PE" w:bidi="ar-SA"/>
        </w:rPr>
        <w:t xml:space="preserve">s) of the United Nations Framework Convention on Climate Change (UNFCCC), the Andean Parliament, jointly with </w:t>
      </w:r>
      <w:r w:rsidR="00F052BC" w:rsidRPr="00F134F8">
        <w:rPr>
          <w:rFonts w:eastAsiaTheme="minorHAnsi" w:cs="Times New Roman"/>
          <w:kern w:val="0"/>
          <w:sz w:val="22"/>
          <w:szCs w:val="22"/>
          <w:lang w:eastAsia="es-PE" w:bidi="ar-SA"/>
        </w:rPr>
        <w:t xml:space="preserve">The </w:t>
      </w:r>
      <w:r w:rsidR="00737344" w:rsidRPr="00F134F8">
        <w:rPr>
          <w:rFonts w:eastAsiaTheme="minorHAnsi" w:cs="Times New Roman"/>
          <w:kern w:val="0"/>
          <w:sz w:val="22"/>
          <w:szCs w:val="22"/>
          <w:lang w:eastAsia="es-PE" w:bidi="ar-SA"/>
        </w:rPr>
        <w:t xml:space="preserve">Biosphere </w:t>
      </w:r>
      <w:r w:rsidR="00F052BC" w:rsidRPr="00F134F8">
        <w:rPr>
          <w:rFonts w:eastAsiaTheme="minorHAnsi" w:cs="Times New Roman"/>
          <w:kern w:val="0"/>
          <w:sz w:val="22"/>
          <w:szCs w:val="22"/>
          <w:lang w:eastAsia="es-PE" w:bidi="ar-SA"/>
        </w:rPr>
        <w:t xml:space="preserve">Group - Think Tank on Sustainable </w:t>
      </w:r>
      <w:r w:rsidR="00737344" w:rsidRPr="00F134F8">
        <w:rPr>
          <w:rFonts w:eastAsiaTheme="minorHAnsi" w:cs="Times New Roman"/>
          <w:kern w:val="0"/>
          <w:sz w:val="22"/>
          <w:szCs w:val="22"/>
          <w:lang w:eastAsia="es-PE" w:bidi="ar-SA"/>
        </w:rPr>
        <w:t xml:space="preserve">Futures Research, </w:t>
      </w:r>
      <w:r w:rsidR="00F052BC" w:rsidRPr="00F134F8">
        <w:rPr>
          <w:rFonts w:eastAsiaTheme="minorHAnsi" w:cs="Times New Roman"/>
          <w:kern w:val="0"/>
          <w:sz w:val="22"/>
          <w:szCs w:val="22"/>
          <w:lang w:eastAsia="es-PE" w:bidi="ar-SA"/>
        </w:rPr>
        <w:t xml:space="preserve">the </w:t>
      </w:r>
      <w:r w:rsidR="00737344" w:rsidRPr="00F134F8">
        <w:rPr>
          <w:rFonts w:eastAsiaTheme="minorHAnsi" w:cs="Times New Roman"/>
          <w:kern w:val="0"/>
          <w:sz w:val="22"/>
          <w:szCs w:val="22"/>
          <w:lang w:eastAsia="es-PE" w:bidi="ar-SA"/>
        </w:rPr>
        <w:t xml:space="preserve">Regional Office for Latin America (ORLA) of </w:t>
      </w:r>
      <w:proofErr w:type="spellStart"/>
      <w:r w:rsidR="00737344" w:rsidRPr="00F134F8">
        <w:rPr>
          <w:rFonts w:eastAsiaTheme="minorHAnsi" w:cs="Times New Roman"/>
          <w:kern w:val="0"/>
          <w:sz w:val="22"/>
          <w:szCs w:val="22"/>
          <w:lang w:eastAsia="es-PE" w:bidi="ar-SA"/>
        </w:rPr>
        <w:t>terre</w:t>
      </w:r>
      <w:proofErr w:type="spellEnd"/>
      <w:r w:rsidR="00737344" w:rsidRPr="00F134F8">
        <w:rPr>
          <w:rFonts w:eastAsiaTheme="minorHAnsi" w:cs="Times New Roman"/>
          <w:kern w:val="0"/>
          <w:sz w:val="22"/>
          <w:szCs w:val="22"/>
          <w:lang w:eastAsia="es-PE" w:bidi="ar-SA"/>
        </w:rPr>
        <w:t xml:space="preserve"> des </w:t>
      </w:r>
      <w:proofErr w:type="spellStart"/>
      <w:r w:rsidR="00737344" w:rsidRPr="00F134F8">
        <w:rPr>
          <w:rFonts w:eastAsiaTheme="minorHAnsi" w:cs="Times New Roman"/>
          <w:kern w:val="0"/>
          <w:sz w:val="22"/>
          <w:szCs w:val="22"/>
          <w:lang w:eastAsia="es-PE" w:bidi="ar-SA"/>
        </w:rPr>
        <w:t>hommes</w:t>
      </w:r>
      <w:proofErr w:type="spellEnd"/>
      <w:r w:rsidR="00737344" w:rsidRPr="00F134F8">
        <w:rPr>
          <w:rFonts w:eastAsiaTheme="minorHAnsi" w:cs="Times New Roman"/>
          <w:kern w:val="0"/>
          <w:sz w:val="22"/>
          <w:szCs w:val="22"/>
          <w:lang w:eastAsia="es-PE" w:bidi="ar-SA"/>
        </w:rPr>
        <w:t xml:space="preserve"> - </w:t>
      </w:r>
      <w:proofErr w:type="spellStart"/>
      <w:r w:rsidR="00737344" w:rsidRPr="00F134F8">
        <w:rPr>
          <w:rFonts w:eastAsiaTheme="minorHAnsi" w:cs="Times New Roman"/>
          <w:kern w:val="0"/>
          <w:sz w:val="22"/>
          <w:szCs w:val="22"/>
          <w:lang w:eastAsia="es-PE" w:bidi="ar-SA"/>
        </w:rPr>
        <w:t>tdh</w:t>
      </w:r>
      <w:proofErr w:type="spellEnd"/>
      <w:r w:rsidR="00737344" w:rsidRPr="00F134F8">
        <w:rPr>
          <w:rFonts w:eastAsiaTheme="minorHAnsi" w:cs="Times New Roman"/>
          <w:kern w:val="0"/>
          <w:sz w:val="22"/>
          <w:szCs w:val="22"/>
          <w:lang w:eastAsia="es-PE" w:bidi="ar-SA"/>
        </w:rPr>
        <w:t xml:space="preserve"> Germany and the Ministry of Environment of </w:t>
      </w:r>
      <w:proofErr w:type="spellStart"/>
      <w:r w:rsidR="00737344" w:rsidRPr="00F134F8">
        <w:rPr>
          <w:rFonts w:eastAsiaTheme="minorHAnsi" w:cs="Times New Roman"/>
          <w:kern w:val="0"/>
          <w:sz w:val="22"/>
          <w:szCs w:val="22"/>
          <w:lang w:eastAsia="es-PE" w:bidi="ar-SA"/>
        </w:rPr>
        <w:t>Per</w:t>
      </w:r>
      <w:r w:rsidR="00F052BC" w:rsidRPr="00F134F8">
        <w:rPr>
          <w:rFonts w:eastAsiaTheme="minorHAnsi" w:cs="Times New Roman"/>
          <w:kern w:val="0"/>
          <w:sz w:val="22"/>
          <w:szCs w:val="22"/>
          <w:lang w:eastAsia="es-PE" w:bidi="ar-SA"/>
        </w:rPr>
        <w:t>ú</w:t>
      </w:r>
      <w:proofErr w:type="spellEnd"/>
      <w:r w:rsidR="00737344" w:rsidRPr="00F134F8">
        <w:rPr>
          <w:rFonts w:eastAsiaTheme="minorHAnsi" w:cs="Times New Roman"/>
          <w:kern w:val="0"/>
          <w:sz w:val="22"/>
          <w:szCs w:val="22"/>
          <w:lang w:eastAsia="es-PE" w:bidi="ar-SA"/>
        </w:rPr>
        <w:t xml:space="preserve"> (MINAM) launched the Side Event </w:t>
      </w:r>
      <w:r w:rsidR="00F052BC" w:rsidRPr="00F134F8">
        <w:rPr>
          <w:rFonts w:cs="Times New Roman"/>
          <w:sz w:val="22"/>
          <w:szCs w:val="22"/>
          <w:lang w:eastAsia="es-PE"/>
        </w:rPr>
        <w:t>«</w:t>
      </w:r>
      <w:r w:rsidR="00F052BC" w:rsidRPr="00F134F8">
        <w:rPr>
          <w:rFonts w:eastAsiaTheme="minorHAnsi" w:cs="Times New Roman"/>
          <w:kern w:val="0"/>
          <w:sz w:val="22"/>
          <w:szCs w:val="22"/>
          <w:lang w:eastAsia="es-PE" w:bidi="ar-SA"/>
        </w:rPr>
        <w:t>Climate crisis and guardianship of</w:t>
      </w:r>
      <w:r w:rsidR="00282E66">
        <w:rPr>
          <w:rFonts w:eastAsiaTheme="minorHAnsi" w:cs="Times New Roman"/>
          <w:kern w:val="0"/>
          <w:sz w:val="22"/>
          <w:szCs w:val="22"/>
          <w:lang w:eastAsia="es-PE" w:bidi="ar-SA"/>
        </w:rPr>
        <w:t xml:space="preserve"> the </w:t>
      </w:r>
      <w:r w:rsidR="00F052BC" w:rsidRPr="00F134F8">
        <w:rPr>
          <w:rFonts w:eastAsiaTheme="minorHAnsi" w:cs="Times New Roman"/>
          <w:kern w:val="0"/>
          <w:sz w:val="22"/>
          <w:szCs w:val="22"/>
          <w:lang w:eastAsia="es-PE" w:bidi="ar-SA"/>
        </w:rPr>
        <w:t>Earth: Andean ancient wisdom as legacy for future generations</w:t>
      </w:r>
      <w:r w:rsidR="00F052BC" w:rsidRPr="00F134F8">
        <w:rPr>
          <w:rFonts w:cs="Times New Roman"/>
          <w:sz w:val="22"/>
          <w:szCs w:val="22"/>
          <w:lang w:eastAsia="es-PE"/>
        </w:rPr>
        <w:t>»</w:t>
      </w:r>
      <w:r w:rsidR="00F052BC" w:rsidRPr="00F134F8">
        <w:rPr>
          <w:rFonts w:eastAsiaTheme="minorHAnsi" w:cs="Times New Roman"/>
          <w:kern w:val="0"/>
          <w:sz w:val="22"/>
          <w:szCs w:val="22"/>
          <w:lang w:eastAsia="es-PE" w:bidi="ar-SA"/>
        </w:rPr>
        <w:t xml:space="preserve"> </w:t>
      </w:r>
      <w:r w:rsidR="00737344" w:rsidRPr="00F134F8">
        <w:rPr>
          <w:rFonts w:eastAsiaTheme="minorHAnsi" w:cs="Times New Roman"/>
          <w:kern w:val="0"/>
          <w:sz w:val="22"/>
          <w:szCs w:val="22"/>
          <w:lang w:eastAsia="es-PE" w:bidi="ar-SA"/>
        </w:rPr>
        <w:t>and presented the</w:t>
      </w:r>
      <w:r w:rsidR="006F5E07">
        <w:rPr>
          <w:rFonts w:eastAsiaTheme="minorHAnsi" w:cs="Times New Roman"/>
          <w:kern w:val="0"/>
          <w:sz w:val="22"/>
          <w:szCs w:val="22"/>
          <w:lang w:eastAsia="es-PE" w:bidi="ar-SA"/>
        </w:rPr>
        <w:t xml:space="preserve"> </w:t>
      </w:r>
      <w:r w:rsidR="00737344" w:rsidRPr="006F5E07">
        <w:rPr>
          <w:rFonts w:eastAsiaTheme="minorHAnsi" w:cs="Times New Roman"/>
          <w:kern w:val="0"/>
          <w:sz w:val="22"/>
          <w:szCs w:val="22"/>
          <w:lang w:eastAsia="es-PE" w:bidi="ar-SA"/>
        </w:rPr>
        <w:t>Par</w:t>
      </w:r>
      <w:r w:rsidR="00F052BC" w:rsidRPr="006F5E07">
        <w:rPr>
          <w:rFonts w:eastAsiaTheme="minorHAnsi" w:cs="Times New Roman"/>
          <w:kern w:val="0"/>
          <w:sz w:val="22"/>
          <w:szCs w:val="22"/>
          <w:lang w:eastAsia="es-PE" w:bidi="ar-SA"/>
        </w:rPr>
        <w:t>i</w:t>
      </w:r>
      <w:r w:rsidR="00737344" w:rsidRPr="006F5E07">
        <w:rPr>
          <w:rFonts w:eastAsiaTheme="minorHAnsi" w:cs="Times New Roman"/>
          <w:kern w:val="0"/>
          <w:sz w:val="22"/>
          <w:szCs w:val="22"/>
          <w:lang w:eastAsia="es-PE" w:bidi="ar-SA"/>
        </w:rPr>
        <w:t>s Declaration on Climate Change and Future Generations,</w:t>
      </w:r>
      <w:r w:rsidR="00737344" w:rsidRPr="00F134F8">
        <w:rPr>
          <w:rFonts w:eastAsiaTheme="minorHAnsi" w:cs="Times New Roman"/>
          <w:kern w:val="0"/>
          <w:sz w:val="22"/>
          <w:szCs w:val="22"/>
          <w:lang w:eastAsia="es-PE" w:bidi="ar-SA"/>
        </w:rPr>
        <w:t xml:space="preserve"> </w:t>
      </w:r>
      <w:r w:rsidR="00C0571B">
        <w:rPr>
          <w:rFonts w:eastAsiaTheme="minorHAnsi" w:cs="Times New Roman"/>
          <w:kern w:val="0"/>
          <w:sz w:val="22"/>
          <w:szCs w:val="22"/>
          <w:lang w:eastAsia="es-PE" w:bidi="ar-SA"/>
        </w:rPr>
        <w:t xml:space="preserve">that </w:t>
      </w:r>
      <w:r w:rsidR="00737344" w:rsidRPr="00F134F8">
        <w:rPr>
          <w:rFonts w:eastAsiaTheme="minorHAnsi" w:cs="Times New Roman"/>
          <w:kern w:val="0"/>
          <w:sz w:val="22"/>
          <w:szCs w:val="22"/>
          <w:lang w:eastAsia="es-PE" w:bidi="ar-SA"/>
        </w:rPr>
        <w:t>was subsequently endorsed by the Andean Parliament through</w:t>
      </w:r>
      <w:r w:rsidR="00F052BC" w:rsidRPr="00F134F8">
        <w:rPr>
          <w:rFonts w:eastAsiaTheme="minorHAnsi" w:cs="Times New Roman"/>
          <w:kern w:val="0"/>
          <w:sz w:val="22"/>
          <w:szCs w:val="22"/>
          <w:lang w:eastAsia="es-PE" w:bidi="ar-SA"/>
        </w:rPr>
        <w:t xml:space="preserve"> its </w:t>
      </w:r>
      <w:r w:rsidR="00737344" w:rsidRPr="00F134F8">
        <w:rPr>
          <w:rFonts w:eastAsiaTheme="minorHAnsi" w:cs="Times New Roman"/>
          <w:kern w:val="0"/>
          <w:sz w:val="22"/>
          <w:szCs w:val="22"/>
          <w:lang w:eastAsia="es-PE" w:bidi="ar-SA"/>
        </w:rPr>
        <w:t>Resolution 7, whic</w:t>
      </w:r>
      <w:r w:rsidR="00317FB2">
        <w:rPr>
          <w:rFonts w:eastAsiaTheme="minorHAnsi" w:cs="Times New Roman"/>
          <w:kern w:val="0"/>
          <w:sz w:val="22"/>
          <w:szCs w:val="22"/>
          <w:lang w:eastAsia="es-PE" w:bidi="ar-SA"/>
        </w:rPr>
        <w:t xml:space="preserve">h states in its second article: </w:t>
      </w:r>
      <w:r w:rsidR="00F052BC" w:rsidRPr="00F134F8">
        <w:rPr>
          <w:rFonts w:eastAsiaTheme="minorHAnsi" w:cs="Times New Roman"/>
          <w:kern w:val="0"/>
          <w:sz w:val="22"/>
          <w:szCs w:val="22"/>
          <w:lang w:eastAsia="es-PE" w:bidi="ar-SA"/>
        </w:rPr>
        <w:t>«</w:t>
      </w:r>
      <w:r w:rsidR="00737344" w:rsidRPr="00F134F8">
        <w:rPr>
          <w:rFonts w:eastAsiaTheme="minorHAnsi" w:cs="Times New Roman"/>
          <w:kern w:val="0"/>
          <w:sz w:val="22"/>
          <w:szCs w:val="22"/>
          <w:lang w:eastAsia="es-PE" w:bidi="ar-SA"/>
        </w:rPr>
        <w:t>... the design and formulation of a leg</w:t>
      </w:r>
      <w:r w:rsidR="00F052BC" w:rsidRPr="00F134F8">
        <w:rPr>
          <w:rFonts w:eastAsiaTheme="minorHAnsi" w:cs="Times New Roman"/>
          <w:kern w:val="0"/>
          <w:sz w:val="22"/>
          <w:szCs w:val="22"/>
          <w:lang w:eastAsia="es-PE" w:bidi="ar-SA"/>
        </w:rPr>
        <w:t xml:space="preserve">al </w:t>
      </w:r>
      <w:r w:rsidR="00737344" w:rsidRPr="00F134F8">
        <w:rPr>
          <w:rFonts w:eastAsiaTheme="minorHAnsi" w:cs="Times New Roman"/>
          <w:kern w:val="0"/>
          <w:sz w:val="22"/>
          <w:szCs w:val="22"/>
          <w:lang w:eastAsia="es-PE" w:bidi="ar-SA"/>
        </w:rPr>
        <w:t xml:space="preserve">proposal on the </w:t>
      </w:r>
      <w:r w:rsidR="00F052BC" w:rsidRPr="00F134F8">
        <w:rPr>
          <w:rFonts w:eastAsiaTheme="minorHAnsi" w:cs="Times New Roman"/>
          <w:kern w:val="0"/>
          <w:sz w:val="22"/>
          <w:szCs w:val="22"/>
          <w:lang w:eastAsia="es-PE" w:bidi="ar-SA"/>
        </w:rPr>
        <w:t xml:space="preserve">ombudsman </w:t>
      </w:r>
      <w:r w:rsidR="00737344" w:rsidRPr="00F134F8">
        <w:rPr>
          <w:rFonts w:eastAsiaTheme="minorHAnsi" w:cs="Times New Roman"/>
          <w:kern w:val="0"/>
          <w:sz w:val="22"/>
          <w:szCs w:val="22"/>
          <w:lang w:eastAsia="es-PE" w:bidi="ar-SA"/>
        </w:rPr>
        <w:t>(high commissioner</w:t>
      </w:r>
      <w:r w:rsidR="00F052BC" w:rsidRPr="00F134F8">
        <w:rPr>
          <w:rFonts w:eastAsiaTheme="minorHAnsi" w:cs="Times New Roman"/>
          <w:kern w:val="0"/>
          <w:sz w:val="22"/>
          <w:szCs w:val="22"/>
          <w:lang w:eastAsia="es-PE" w:bidi="ar-SA"/>
        </w:rPr>
        <w:t xml:space="preserve"> or rapporteur</w:t>
      </w:r>
      <w:r w:rsidR="00737344" w:rsidRPr="00F134F8">
        <w:rPr>
          <w:rFonts w:eastAsiaTheme="minorHAnsi" w:cs="Times New Roman"/>
          <w:kern w:val="0"/>
          <w:sz w:val="22"/>
          <w:szCs w:val="22"/>
          <w:lang w:eastAsia="es-PE" w:bidi="ar-SA"/>
        </w:rPr>
        <w:t xml:space="preserve">) </w:t>
      </w:r>
      <w:r w:rsidR="00A917F2">
        <w:rPr>
          <w:rFonts w:eastAsiaTheme="minorHAnsi" w:cs="Times New Roman"/>
          <w:kern w:val="0"/>
          <w:sz w:val="22"/>
          <w:szCs w:val="22"/>
          <w:lang w:eastAsia="es-PE" w:bidi="ar-SA"/>
        </w:rPr>
        <w:t xml:space="preserve">for </w:t>
      </w:r>
      <w:r w:rsidR="00737344" w:rsidRPr="00F134F8">
        <w:rPr>
          <w:rFonts w:eastAsiaTheme="minorHAnsi" w:cs="Times New Roman"/>
          <w:kern w:val="0"/>
          <w:sz w:val="22"/>
          <w:szCs w:val="22"/>
          <w:lang w:eastAsia="es-PE" w:bidi="ar-SA"/>
        </w:rPr>
        <w:t>future generations</w:t>
      </w:r>
      <w:r w:rsidR="00F052BC" w:rsidRPr="00F134F8">
        <w:rPr>
          <w:rFonts w:eastAsiaTheme="minorHAnsi" w:cs="Times New Roman"/>
          <w:kern w:val="0"/>
          <w:sz w:val="22"/>
          <w:szCs w:val="22"/>
          <w:lang w:eastAsia="es-PE" w:bidi="ar-SA"/>
        </w:rPr>
        <w:t>»</w:t>
      </w:r>
      <w:r w:rsidR="00196A3C" w:rsidRPr="00F134F8">
        <w:rPr>
          <w:rStyle w:val="Refdenotaalpie"/>
          <w:rFonts w:eastAsiaTheme="minorHAnsi" w:cs="Times New Roman"/>
          <w:kern w:val="0"/>
          <w:sz w:val="22"/>
          <w:szCs w:val="22"/>
          <w:lang w:eastAsia="es-PE" w:bidi="ar-SA"/>
        </w:rPr>
        <w:footnoteReference w:id="7"/>
      </w:r>
      <w:r w:rsidR="00737344" w:rsidRPr="00F134F8">
        <w:rPr>
          <w:rFonts w:eastAsiaTheme="minorHAnsi" w:cs="Times New Roman"/>
          <w:kern w:val="0"/>
          <w:sz w:val="22"/>
          <w:szCs w:val="22"/>
          <w:lang w:eastAsia="es-PE" w:bidi="ar-SA"/>
        </w:rPr>
        <w:t>.</w:t>
      </w:r>
    </w:p>
    <w:p w:rsidR="00737344" w:rsidRDefault="00737344" w:rsidP="00142824">
      <w:pPr>
        <w:pStyle w:val="Prrafodelista"/>
        <w:widowControl/>
        <w:suppressAutoHyphens w:val="0"/>
        <w:spacing w:line="276" w:lineRule="auto"/>
        <w:ind w:left="357"/>
        <w:jc w:val="both"/>
        <w:rPr>
          <w:rFonts w:eastAsiaTheme="minorHAnsi" w:cs="Times New Roman"/>
          <w:kern w:val="0"/>
          <w:sz w:val="22"/>
          <w:szCs w:val="22"/>
          <w:lang w:eastAsia="es-PE" w:bidi="ar-SA"/>
        </w:rPr>
      </w:pPr>
    </w:p>
    <w:p w:rsidR="00C44E94" w:rsidRPr="00F134F8" w:rsidRDefault="00C44E94" w:rsidP="00142824">
      <w:pPr>
        <w:pStyle w:val="Prrafodelista"/>
        <w:widowControl/>
        <w:suppressAutoHyphens w:val="0"/>
        <w:spacing w:line="276" w:lineRule="auto"/>
        <w:ind w:left="357"/>
        <w:jc w:val="both"/>
        <w:rPr>
          <w:rFonts w:eastAsiaTheme="minorHAnsi" w:cs="Times New Roman"/>
          <w:kern w:val="0"/>
          <w:sz w:val="22"/>
          <w:szCs w:val="22"/>
          <w:lang w:eastAsia="es-PE" w:bidi="ar-SA"/>
        </w:rPr>
      </w:pPr>
    </w:p>
    <w:p w:rsidR="000C09BD" w:rsidRPr="00500270" w:rsidRDefault="00F052BC" w:rsidP="002F7A3F">
      <w:pPr>
        <w:pStyle w:val="Prrafodelista"/>
        <w:widowControl/>
        <w:numPr>
          <w:ilvl w:val="1"/>
          <w:numId w:val="10"/>
        </w:numPr>
        <w:suppressAutoHyphens w:val="0"/>
        <w:spacing w:line="276" w:lineRule="auto"/>
        <w:jc w:val="both"/>
        <w:rPr>
          <w:rFonts w:cs="Times New Roman"/>
          <w:sz w:val="22"/>
          <w:szCs w:val="22"/>
        </w:rPr>
      </w:pPr>
      <w:r w:rsidRPr="00500270">
        <w:rPr>
          <w:rFonts w:cs="Times New Roman"/>
          <w:sz w:val="22"/>
          <w:szCs w:val="22"/>
        </w:rPr>
        <w:lastRenderedPageBreak/>
        <w:t xml:space="preserve">Currently, the Andean Parliament's Third Committee on Regional Security and Sustainable Development has approved a recommendation </w:t>
      </w:r>
      <w:r w:rsidR="000C09BD" w:rsidRPr="00500270">
        <w:rPr>
          <w:rFonts w:cs="Times New Roman"/>
          <w:sz w:val="22"/>
          <w:szCs w:val="22"/>
        </w:rPr>
        <w:t>–</w:t>
      </w:r>
      <w:r w:rsidRPr="00500270">
        <w:rPr>
          <w:rFonts w:cs="Times New Roman"/>
          <w:sz w:val="22"/>
          <w:szCs w:val="22"/>
        </w:rPr>
        <w:t>at the soft law level</w:t>
      </w:r>
      <w:r w:rsidR="000C09BD" w:rsidRPr="00500270">
        <w:rPr>
          <w:rFonts w:cs="Times New Roman"/>
          <w:sz w:val="22"/>
          <w:szCs w:val="22"/>
        </w:rPr>
        <w:t xml:space="preserve">– </w:t>
      </w:r>
      <w:r w:rsidRPr="00500270">
        <w:rPr>
          <w:rFonts w:cs="Times New Roman"/>
          <w:sz w:val="22"/>
          <w:szCs w:val="22"/>
        </w:rPr>
        <w:t>on the scope of the</w:t>
      </w:r>
      <w:r w:rsidR="000C09BD" w:rsidRPr="00500270">
        <w:rPr>
          <w:rFonts w:cs="Times New Roman"/>
          <w:sz w:val="22"/>
          <w:szCs w:val="22"/>
        </w:rPr>
        <w:t xml:space="preserve"> mandate of an Ombudsman for future generations. The recommendation is still pending </w:t>
      </w:r>
      <w:r w:rsidR="00DE6732" w:rsidRPr="00500270">
        <w:rPr>
          <w:rFonts w:cs="Times New Roman"/>
          <w:sz w:val="22"/>
          <w:szCs w:val="22"/>
        </w:rPr>
        <w:t xml:space="preserve">to debate and approval </w:t>
      </w:r>
      <w:r w:rsidR="000C09BD" w:rsidRPr="00500270">
        <w:rPr>
          <w:rFonts w:cs="Times New Roman"/>
          <w:sz w:val="22"/>
          <w:szCs w:val="22"/>
        </w:rPr>
        <w:t xml:space="preserve">by </w:t>
      </w:r>
      <w:r w:rsidR="00263FD5" w:rsidRPr="00500270">
        <w:rPr>
          <w:rFonts w:cs="Times New Roman"/>
          <w:sz w:val="22"/>
          <w:szCs w:val="22"/>
        </w:rPr>
        <w:t xml:space="preserve">the plenary of </w:t>
      </w:r>
      <w:r w:rsidR="000C09BD" w:rsidRPr="00500270">
        <w:rPr>
          <w:rFonts w:cs="Times New Roman"/>
          <w:sz w:val="22"/>
          <w:szCs w:val="22"/>
        </w:rPr>
        <w:t xml:space="preserve">this </w:t>
      </w:r>
      <w:r w:rsidR="00263FD5" w:rsidRPr="00500270">
        <w:rPr>
          <w:rFonts w:cs="Times New Roman"/>
          <w:sz w:val="22"/>
          <w:szCs w:val="22"/>
        </w:rPr>
        <w:t xml:space="preserve">platform </w:t>
      </w:r>
      <w:r w:rsidR="000C09BD" w:rsidRPr="00500270">
        <w:rPr>
          <w:rFonts w:cs="Times New Roman"/>
          <w:sz w:val="22"/>
          <w:szCs w:val="22"/>
        </w:rPr>
        <w:t>of political representation of the Andean Community (CAN</w:t>
      </w:r>
      <w:r w:rsidR="00263FD5" w:rsidRPr="00500270">
        <w:rPr>
          <w:rFonts w:cs="Times New Roman"/>
          <w:sz w:val="22"/>
          <w:szCs w:val="22"/>
        </w:rPr>
        <w:t>)</w:t>
      </w:r>
      <w:r w:rsidR="00263FD5" w:rsidRPr="00500270">
        <w:rPr>
          <w:rStyle w:val="Refdenotaalpie"/>
          <w:rFonts w:cs="Times New Roman"/>
          <w:sz w:val="22"/>
          <w:szCs w:val="22"/>
        </w:rPr>
        <w:footnoteReference w:id="8"/>
      </w:r>
      <w:r w:rsidR="000C09BD" w:rsidRPr="00500270">
        <w:rPr>
          <w:rFonts w:cs="Times New Roman"/>
          <w:sz w:val="22"/>
          <w:szCs w:val="22"/>
        </w:rPr>
        <w:t>. This would be the first proposal</w:t>
      </w:r>
      <w:r w:rsidR="008E4D0C" w:rsidRPr="00500270">
        <w:rPr>
          <w:rFonts w:cs="Times New Roman"/>
          <w:sz w:val="22"/>
          <w:szCs w:val="22"/>
        </w:rPr>
        <w:t xml:space="preserve"> </w:t>
      </w:r>
      <w:r w:rsidR="000C09BD" w:rsidRPr="00500270">
        <w:rPr>
          <w:rFonts w:cs="Times New Roman"/>
          <w:sz w:val="22"/>
          <w:szCs w:val="22"/>
        </w:rPr>
        <w:t>of a regulatory framework</w:t>
      </w:r>
      <w:r w:rsidR="008E4D0C" w:rsidRPr="00500270">
        <w:rPr>
          <w:rFonts w:cs="Times New Roman"/>
          <w:sz w:val="22"/>
          <w:szCs w:val="22"/>
        </w:rPr>
        <w:t xml:space="preserve"> –given by a regional legislative institution– that suggests </w:t>
      </w:r>
      <w:r w:rsidR="000C09BD" w:rsidRPr="00500270">
        <w:rPr>
          <w:rFonts w:cs="Times New Roman"/>
          <w:sz w:val="22"/>
          <w:szCs w:val="22"/>
        </w:rPr>
        <w:t>the implementation of that defensive mechanism for future generations.</w:t>
      </w:r>
    </w:p>
    <w:p w:rsidR="00AE01AA" w:rsidRDefault="00AE01AA" w:rsidP="00AE01AA">
      <w:pPr>
        <w:pStyle w:val="Prrafodelista"/>
        <w:widowControl/>
        <w:suppressAutoHyphens w:val="0"/>
        <w:spacing w:line="276" w:lineRule="auto"/>
        <w:ind w:left="360"/>
        <w:jc w:val="both"/>
        <w:rPr>
          <w:rFonts w:cs="Times New Roman"/>
          <w:sz w:val="22"/>
          <w:szCs w:val="22"/>
        </w:rPr>
      </w:pPr>
    </w:p>
    <w:p w:rsidR="00AF7D37" w:rsidRPr="003A0376" w:rsidRDefault="009F4BF5" w:rsidP="00AA21CD">
      <w:pPr>
        <w:pStyle w:val="Prrafodelista"/>
        <w:widowControl/>
        <w:numPr>
          <w:ilvl w:val="1"/>
          <w:numId w:val="10"/>
        </w:numPr>
        <w:suppressAutoHyphens w:val="0"/>
        <w:spacing w:line="276" w:lineRule="auto"/>
        <w:jc w:val="both"/>
        <w:rPr>
          <w:rFonts w:cs="Times New Roman"/>
          <w:sz w:val="22"/>
          <w:szCs w:val="22"/>
        </w:rPr>
      </w:pPr>
      <w:r w:rsidRPr="003A0376">
        <w:rPr>
          <w:rFonts w:cs="Times New Roman"/>
          <w:sz w:val="22"/>
          <w:szCs w:val="22"/>
        </w:rPr>
        <w:t>We must highlight that a</w:t>
      </w:r>
      <w:r w:rsidR="00AE01AA" w:rsidRPr="003A0376">
        <w:rPr>
          <w:rFonts w:cs="Times New Roman"/>
          <w:sz w:val="22"/>
          <w:szCs w:val="22"/>
        </w:rPr>
        <w:t xml:space="preserve">n important precedent </w:t>
      </w:r>
      <w:r w:rsidRPr="003A0376">
        <w:rPr>
          <w:rFonts w:cs="Times New Roman"/>
          <w:sz w:val="22"/>
          <w:szCs w:val="22"/>
        </w:rPr>
        <w:t xml:space="preserve">in this process </w:t>
      </w:r>
      <w:r w:rsidR="00AE01AA" w:rsidRPr="003A0376">
        <w:rPr>
          <w:rFonts w:cs="Times New Roman"/>
          <w:sz w:val="22"/>
          <w:szCs w:val="22"/>
        </w:rPr>
        <w:t>is that the Andean Parliament</w:t>
      </w:r>
      <w:r w:rsidR="0056702E" w:rsidRPr="003A0376">
        <w:rPr>
          <w:rFonts w:cs="Times New Roman"/>
          <w:sz w:val="22"/>
          <w:szCs w:val="22"/>
        </w:rPr>
        <w:t xml:space="preserve"> –</w:t>
      </w:r>
      <w:r w:rsidR="00AE01AA" w:rsidRPr="003A0376">
        <w:rPr>
          <w:rFonts w:cs="Times New Roman"/>
          <w:sz w:val="22"/>
          <w:szCs w:val="22"/>
        </w:rPr>
        <w:t xml:space="preserve">in exercise of its supranational </w:t>
      </w:r>
      <w:r w:rsidR="00A917F2" w:rsidRPr="003A0376">
        <w:rPr>
          <w:rFonts w:cs="Times New Roman"/>
          <w:sz w:val="22"/>
          <w:szCs w:val="22"/>
        </w:rPr>
        <w:t xml:space="preserve">mandate </w:t>
      </w:r>
      <w:r w:rsidR="00AE01AA" w:rsidRPr="003A0376">
        <w:rPr>
          <w:rFonts w:cs="Times New Roman"/>
          <w:sz w:val="22"/>
          <w:szCs w:val="22"/>
        </w:rPr>
        <w:t>enshrined in the Cartagena Agreement</w:t>
      </w:r>
      <w:r w:rsidR="0056702E" w:rsidRPr="003A0376">
        <w:rPr>
          <w:rFonts w:cs="Times New Roman"/>
          <w:sz w:val="22"/>
          <w:szCs w:val="22"/>
        </w:rPr>
        <w:t xml:space="preserve">– </w:t>
      </w:r>
      <w:r w:rsidR="00AE01AA" w:rsidRPr="003A0376">
        <w:rPr>
          <w:rFonts w:cs="Times New Roman"/>
          <w:sz w:val="22"/>
          <w:szCs w:val="22"/>
        </w:rPr>
        <w:t xml:space="preserve">and in response to the common problems of the Andean </w:t>
      </w:r>
      <w:proofErr w:type="spellStart"/>
      <w:r w:rsidR="00EE63CB" w:rsidRPr="003A0376">
        <w:rPr>
          <w:rFonts w:cs="Times New Roman"/>
          <w:sz w:val="22"/>
          <w:szCs w:val="22"/>
        </w:rPr>
        <w:t>subregion</w:t>
      </w:r>
      <w:proofErr w:type="spellEnd"/>
      <w:r w:rsidR="00AE01AA" w:rsidRPr="003A0376">
        <w:rPr>
          <w:rFonts w:cs="Times New Roman"/>
          <w:sz w:val="22"/>
          <w:szCs w:val="22"/>
        </w:rPr>
        <w:t xml:space="preserve"> as a consequence of the effects of the global climate crisis,</w:t>
      </w:r>
      <w:r w:rsidR="00A917F2" w:rsidRPr="003A0376">
        <w:rPr>
          <w:rFonts w:cs="Times New Roman"/>
          <w:sz w:val="22"/>
          <w:szCs w:val="22"/>
        </w:rPr>
        <w:t xml:space="preserve"> </w:t>
      </w:r>
      <w:r w:rsidR="00AE01AA" w:rsidRPr="003A0376">
        <w:rPr>
          <w:rFonts w:cs="Times New Roman"/>
          <w:sz w:val="22"/>
          <w:szCs w:val="22"/>
        </w:rPr>
        <w:t>formulated a proposal for a Legal Framework on Climate Change</w:t>
      </w:r>
      <w:r w:rsidR="003A0376" w:rsidRPr="003A0376">
        <w:rPr>
          <w:rFonts w:cs="Times New Roman"/>
          <w:sz w:val="22"/>
          <w:szCs w:val="22"/>
        </w:rPr>
        <w:t xml:space="preserve"> –</w:t>
      </w:r>
      <w:r w:rsidR="00AE01AA" w:rsidRPr="003A0376">
        <w:rPr>
          <w:rFonts w:cs="Times New Roman"/>
          <w:sz w:val="22"/>
          <w:szCs w:val="22"/>
        </w:rPr>
        <w:t xml:space="preserve">approved by Recommendation </w:t>
      </w:r>
      <w:r w:rsidRPr="003A0376">
        <w:rPr>
          <w:rFonts w:cs="Times New Roman"/>
          <w:sz w:val="22"/>
          <w:szCs w:val="22"/>
        </w:rPr>
        <w:t xml:space="preserve">n.º </w:t>
      </w:r>
      <w:r w:rsidR="00AE01AA" w:rsidRPr="003A0376">
        <w:rPr>
          <w:rFonts w:cs="Times New Roman"/>
          <w:sz w:val="22"/>
          <w:szCs w:val="22"/>
        </w:rPr>
        <w:t>228</w:t>
      </w:r>
      <w:r>
        <w:rPr>
          <w:rStyle w:val="Refdenotaalpie"/>
          <w:rFonts w:cs="Times New Roman"/>
          <w:sz w:val="22"/>
          <w:szCs w:val="22"/>
        </w:rPr>
        <w:footnoteReference w:id="9"/>
      </w:r>
      <w:r w:rsidR="003A0376" w:rsidRPr="003A0376">
        <w:rPr>
          <w:rFonts w:cs="Times New Roman"/>
          <w:sz w:val="22"/>
          <w:szCs w:val="22"/>
        </w:rPr>
        <w:t>–</w:t>
      </w:r>
      <w:r w:rsidR="003A0376">
        <w:rPr>
          <w:rFonts w:cs="Times New Roman"/>
          <w:sz w:val="22"/>
          <w:szCs w:val="22"/>
        </w:rPr>
        <w:t xml:space="preserve"> </w:t>
      </w:r>
      <w:r w:rsidR="00AE01AA" w:rsidRPr="003A0376">
        <w:rPr>
          <w:rFonts w:cs="Times New Roman"/>
          <w:sz w:val="22"/>
          <w:szCs w:val="22"/>
        </w:rPr>
        <w:t xml:space="preserve">which </w:t>
      </w:r>
      <w:r w:rsidR="0056702E" w:rsidRPr="003A0376">
        <w:rPr>
          <w:rFonts w:cs="Times New Roman"/>
          <w:sz w:val="22"/>
          <w:szCs w:val="22"/>
        </w:rPr>
        <w:t xml:space="preserve">points out </w:t>
      </w:r>
      <w:r w:rsidR="00AE01AA" w:rsidRPr="003A0376">
        <w:rPr>
          <w:rFonts w:cs="Times New Roman"/>
          <w:sz w:val="22"/>
          <w:szCs w:val="22"/>
        </w:rPr>
        <w:t>in Article 11</w:t>
      </w:r>
      <w:r w:rsidR="00AF7D37" w:rsidRPr="003A0376">
        <w:rPr>
          <w:rFonts w:cs="Times New Roman"/>
          <w:sz w:val="22"/>
          <w:szCs w:val="22"/>
        </w:rPr>
        <w:t xml:space="preserve"> that:  </w:t>
      </w:r>
      <w:r w:rsidR="00AF7D37" w:rsidRPr="003A0376">
        <w:rPr>
          <w:rFonts w:eastAsiaTheme="minorHAnsi" w:cs="Times New Roman"/>
          <w:kern w:val="0"/>
          <w:sz w:val="22"/>
          <w:szCs w:val="22"/>
          <w:lang w:eastAsia="es-PE" w:bidi="ar-SA"/>
        </w:rPr>
        <w:t>«</w:t>
      </w:r>
      <w:r w:rsidR="00AF7D37" w:rsidRPr="003A0376">
        <w:rPr>
          <w:rFonts w:cs="Times New Roman"/>
          <w:sz w:val="22"/>
          <w:szCs w:val="22"/>
        </w:rPr>
        <w:t>The States members of the Andean Parliament, within the framework of the principles of international law on equity, solidarity and intergenerational justice, recognize and assume the duty of responsibility of the present generations towards future generations</w:t>
      </w:r>
      <w:r w:rsidR="0056702E" w:rsidRPr="003A0376">
        <w:rPr>
          <w:rFonts w:cs="Times New Roman"/>
          <w:sz w:val="22"/>
          <w:szCs w:val="22"/>
        </w:rPr>
        <w:t xml:space="preserve"> by </w:t>
      </w:r>
      <w:r w:rsidR="00AF7D37" w:rsidRPr="003A0376">
        <w:rPr>
          <w:rFonts w:cs="Times New Roman"/>
          <w:sz w:val="22"/>
          <w:szCs w:val="22"/>
        </w:rPr>
        <w:t xml:space="preserve">promoting policies, strategies, mechanisms and actions that allow them to bequeath a life in equilibrium on </w:t>
      </w:r>
      <w:r w:rsidR="00A43605" w:rsidRPr="003A0376">
        <w:rPr>
          <w:rFonts w:cs="Times New Roman"/>
          <w:sz w:val="22"/>
          <w:szCs w:val="22"/>
        </w:rPr>
        <w:t xml:space="preserve">the </w:t>
      </w:r>
      <w:r w:rsidR="00AF7D37" w:rsidRPr="003A0376">
        <w:rPr>
          <w:rFonts w:cs="Times New Roman"/>
          <w:sz w:val="22"/>
          <w:szCs w:val="22"/>
        </w:rPr>
        <w:t>Earth</w:t>
      </w:r>
      <w:r w:rsidR="00AF7D37" w:rsidRPr="003A0376">
        <w:rPr>
          <w:rFonts w:eastAsiaTheme="minorHAnsi" w:cs="Times New Roman"/>
          <w:kern w:val="0"/>
          <w:sz w:val="22"/>
          <w:szCs w:val="22"/>
          <w:lang w:eastAsia="es-PE" w:bidi="ar-SA"/>
        </w:rPr>
        <w:t>»</w:t>
      </w:r>
      <w:r w:rsidR="00AF7D37" w:rsidRPr="003A0376">
        <w:rPr>
          <w:rFonts w:cs="Times New Roman"/>
          <w:sz w:val="22"/>
          <w:szCs w:val="22"/>
        </w:rPr>
        <w:t xml:space="preserve">. The same article </w:t>
      </w:r>
      <w:r w:rsidR="0056702E" w:rsidRPr="003A0376">
        <w:rPr>
          <w:rFonts w:cs="Times New Roman"/>
          <w:sz w:val="22"/>
          <w:szCs w:val="22"/>
        </w:rPr>
        <w:t xml:space="preserve">establishes </w:t>
      </w:r>
      <w:r w:rsidR="00AF7D37" w:rsidRPr="003A0376">
        <w:rPr>
          <w:rFonts w:cs="Times New Roman"/>
          <w:sz w:val="22"/>
          <w:szCs w:val="22"/>
        </w:rPr>
        <w:t>that:</w:t>
      </w:r>
      <w:r w:rsidR="00826E92" w:rsidRPr="003A0376">
        <w:rPr>
          <w:rFonts w:cs="Times New Roman"/>
          <w:sz w:val="22"/>
          <w:szCs w:val="22"/>
        </w:rPr>
        <w:t xml:space="preserve"> </w:t>
      </w:r>
      <w:r w:rsidR="0056702E" w:rsidRPr="003A0376">
        <w:rPr>
          <w:rFonts w:eastAsiaTheme="minorHAnsi" w:cs="Times New Roman"/>
          <w:kern w:val="0"/>
          <w:sz w:val="22"/>
          <w:szCs w:val="22"/>
          <w:lang w:eastAsia="es-PE" w:bidi="ar-SA"/>
        </w:rPr>
        <w:t>«</w:t>
      </w:r>
      <w:r w:rsidR="00826E92" w:rsidRPr="003A0376">
        <w:rPr>
          <w:rFonts w:cs="Times New Roman"/>
          <w:sz w:val="22"/>
          <w:szCs w:val="22"/>
        </w:rPr>
        <w:t>T</w:t>
      </w:r>
      <w:r w:rsidR="00AF7D37" w:rsidRPr="003A0376">
        <w:rPr>
          <w:rFonts w:cs="Times New Roman"/>
          <w:sz w:val="22"/>
          <w:szCs w:val="22"/>
        </w:rPr>
        <w:t xml:space="preserve">he </w:t>
      </w:r>
      <w:r w:rsidR="00826E92" w:rsidRPr="003A0376">
        <w:rPr>
          <w:rFonts w:cs="Times New Roman"/>
          <w:sz w:val="22"/>
          <w:szCs w:val="22"/>
        </w:rPr>
        <w:t xml:space="preserve">States </w:t>
      </w:r>
      <w:r w:rsidR="00AF7D37" w:rsidRPr="003A0376">
        <w:rPr>
          <w:rFonts w:cs="Times New Roman"/>
          <w:sz w:val="22"/>
          <w:szCs w:val="22"/>
        </w:rPr>
        <w:t>member</w:t>
      </w:r>
      <w:r w:rsidR="00826E92" w:rsidRPr="003A0376">
        <w:rPr>
          <w:rFonts w:cs="Times New Roman"/>
          <w:sz w:val="22"/>
          <w:szCs w:val="22"/>
        </w:rPr>
        <w:t xml:space="preserve">s </w:t>
      </w:r>
      <w:r w:rsidR="00AF7D37" w:rsidRPr="003A0376">
        <w:rPr>
          <w:rFonts w:cs="Times New Roman"/>
          <w:sz w:val="22"/>
          <w:szCs w:val="22"/>
        </w:rPr>
        <w:t>of the Andean Parliament will foster and promote the creation</w:t>
      </w:r>
      <w:r w:rsidR="00A917F2" w:rsidRPr="003A0376">
        <w:rPr>
          <w:rFonts w:cs="Times New Roman"/>
          <w:sz w:val="22"/>
          <w:szCs w:val="22"/>
        </w:rPr>
        <w:t xml:space="preserve"> –</w:t>
      </w:r>
      <w:r w:rsidR="00AF7D37" w:rsidRPr="003A0376">
        <w:rPr>
          <w:rFonts w:cs="Times New Roman"/>
          <w:sz w:val="22"/>
          <w:szCs w:val="22"/>
        </w:rPr>
        <w:t>at the international level</w:t>
      </w:r>
      <w:r w:rsidR="00A917F2" w:rsidRPr="003A0376">
        <w:rPr>
          <w:rFonts w:cs="Times New Roman"/>
          <w:sz w:val="22"/>
          <w:szCs w:val="22"/>
        </w:rPr>
        <w:t xml:space="preserve">– </w:t>
      </w:r>
      <w:r w:rsidR="00AF7D37" w:rsidRPr="003A0376">
        <w:rPr>
          <w:rFonts w:cs="Times New Roman"/>
          <w:sz w:val="22"/>
          <w:szCs w:val="22"/>
        </w:rPr>
        <w:t>of a defens</w:t>
      </w:r>
      <w:r w:rsidR="00826E92" w:rsidRPr="003A0376">
        <w:rPr>
          <w:rFonts w:cs="Times New Roman"/>
          <w:sz w:val="22"/>
          <w:szCs w:val="22"/>
        </w:rPr>
        <w:t xml:space="preserve">ive </w:t>
      </w:r>
      <w:r w:rsidR="00AF7D37" w:rsidRPr="003A0376">
        <w:rPr>
          <w:rFonts w:cs="Times New Roman"/>
          <w:sz w:val="22"/>
          <w:szCs w:val="22"/>
        </w:rPr>
        <w:t>mechanism for future generations,</w:t>
      </w:r>
      <w:r w:rsidR="00826E92" w:rsidRPr="003A0376">
        <w:rPr>
          <w:rFonts w:cs="Times New Roman"/>
          <w:sz w:val="22"/>
          <w:szCs w:val="22"/>
        </w:rPr>
        <w:t xml:space="preserve"> i</w:t>
      </w:r>
      <w:r w:rsidR="00AF7D37" w:rsidRPr="003A0376">
        <w:rPr>
          <w:rFonts w:cs="Times New Roman"/>
          <w:sz w:val="22"/>
          <w:szCs w:val="22"/>
        </w:rPr>
        <w:t xml:space="preserve">n order to ensure the ethical oversight of </w:t>
      </w:r>
      <w:r w:rsidR="00826E92" w:rsidRPr="003A0376">
        <w:rPr>
          <w:rFonts w:cs="Times New Roman"/>
          <w:sz w:val="22"/>
          <w:szCs w:val="22"/>
        </w:rPr>
        <w:t xml:space="preserve">environmental and climate </w:t>
      </w:r>
      <w:r w:rsidR="00AF7D37" w:rsidRPr="003A0376">
        <w:rPr>
          <w:rFonts w:cs="Times New Roman"/>
          <w:sz w:val="22"/>
          <w:szCs w:val="22"/>
        </w:rPr>
        <w:t>multilateral agreements</w:t>
      </w:r>
      <w:r w:rsidR="00826E92" w:rsidRPr="003A0376">
        <w:rPr>
          <w:rFonts w:cs="Times New Roman"/>
          <w:sz w:val="22"/>
          <w:szCs w:val="22"/>
        </w:rPr>
        <w:t xml:space="preserve"> related to the </w:t>
      </w:r>
      <w:r w:rsidR="00AF7D37" w:rsidRPr="003A0376">
        <w:rPr>
          <w:rFonts w:cs="Times New Roman"/>
          <w:sz w:val="22"/>
          <w:szCs w:val="22"/>
        </w:rPr>
        <w:t>sustainability</w:t>
      </w:r>
      <w:r w:rsidR="00826E92" w:rsidRPr="003A0376">
        <w:rPr>
          <w:rFonts w:cs="Times New Roman"/>
          <w:sz w:val="22"/>
          <w:szCs w:val="22"/>
        </w:rPr>
        <w:t xml:space="preserve"> o</w:t>
      </w:r>
      <w:r w:rsidR="00AF7D37" w:rsidRPr="003A0376">
        <w:rPr>
          <w:rFonts w:cs="Times New Roman"/>
          <w:sz w:val="22"/>
          <w:szCs w:val="22"/>
        </w:rPr>
        <w:t>f life on the planet</w:t>
      </w:r>
      <w:r w:rsidR="00A917F2" w:rsidRPr="003A0376">
        <w:rPr>
          <w:rFonts w:eastAsiaTheme="minorHAnsi" w:cs="Times New Roman"/>
          <w:kern w:val="0"/>
          <w:sz w:val="22"/>
          <w:szCs w:val="22"/>
          <w:lang w:eastAsia="es-PE" w:bidi="ar-SA"/>
        </w:rPr>
        <w:t>»</w:t>
      </w:r>
      <w:r w:rsidR="00AF7D37" w:rsidRPr="003A0376">
        <w:rPr>
          <w:rFonts w:cs="Times New Roman"/>
          <w:sz w:val="22"/>
          <w:szCs w:val="22"/>
        </w:rPr>
        <w:t>.</w:t>
      </w:r>
    </w:p>
    <w:p w:rsidR="00AF7D37" w:rsidRDefault="00AF7D37" w:rsidP="00AF7D37">
      <w:pPr>
        <w:widowControl/>
        <w:suppressAutoHyphens w:val="0"/>
        <w:spacing w:line="276" w:lineRule="auto"/>
        <w:jc w:val="both"/>
        <w:rPr>
          <w:rFonts w:cs="Times New Roman"/>
          <w:sz w:val="22"/>
          <w:szCs w:val="22"/>
        </w:rPr>
      </w:pPr>
    </w:p>
    <w:p w:rsidR="003D3A8C" w:rsidRPr="003D3A8C" w:rsidRDefault="003D3A8C" w:rsidP="005008D2">
      <w:pPr>
        <w:pStyle w:val="Prrafodelista"/>
        <w:numPr>
          <w:ilvl w:val="1"/>
          <w:numId w:val="10"/>
        </w:numPr>
        <w:spacing w:line="276" w:lineRule="auto"/>
        <w:jc w:val="both"/>
        <w:rPr>
          <w:rFonts w:cs="Times New Roman"/>
          <w:sz w:val="22"/>
          <w:szCs w:val="22"/>
        </w:rPr>
      </w:pPr>
      <w:r>
        <w:rPr>
          <w:rFonts w:cs="Times New Roman"/>
          <w:sz w:val="22"/>
          <w:szCs w:val="22"/>
        </w:rPr>
        <w:t>A</w:t>
      </w:r>
      <w:r w:rsidRPr="003D3A8C">
        <w:rPr>
          <w:rFonts w:cs="Times New Roman"/>
          <w:sz w:val="22"/>
          <w:szCs w:val="22"/>
        </w:rPr>
        <w:t xml:space="preserve">mong the main </w:t>
      </w:r>
      <w:r w:rsidR="003A0376">
        <w:rPr>
          <w:rFonts w:cs="Times New Roman"/>
          <w:sz w:val="22"/>
          <w:szCs w:val="22"/>
        </w:rPr>
        <w:t xml:space="preserve">fundamentals </w:t>
      </w:r>
      <w:r w:rsidRPr="003D3A8C">
        <w:rPr>
          <w:rFonts w:cs="Times New Roman"/>
          <w:sz w:val="22"/>
          <w:szCs w:val="22"/>
        </w:rPr>
        <w:t>for moving forward with the a</w:t>
      </w:r>
      <w:r>
        <w:rPr>
          <w:rFonts w:cs="Times New Roman"/>
          <w:sz w:val="22"/>
          <w:szCs w:val="22"/>
        </w:rPr>
        <w:t>pproval o</w:t>
      </w:r>
      <w:r w:rsidRPr="003D3A8C">
        <w:rPr>
          <w:rFonts w:cs="Times New Roman"/>
          <w:sz w:val="22"/>
          <w:szCs w:val="22"/>
        </w:rPr>
        <w:t>f the draft recommendation of the Andean Parliament on the Ombudsman for future generations, we have the following</w:t>
      </w:r>
      <w:r>
        <w:rPr>
          <w:rFonts w:cs="Times New Roman"/>
          <w:sz w:val="22"/>
          <w:szCs w:val="22"/>
        </w:rPr>
        <w:t xml:space="preserve"> ones</w:t>
      </w:r>
      <w:r w:rsidRPr="003D3A8C">
        <w:rPr>
          <w:rFonts w:cs="Times New Roman"/>
          <w:sz w:val="22"/>
          <w:szCs w:val="22"/>
        </w:rPr>
        <w:t>:</w:t>
      </w:r>
    </w:p>
    <w:p w:rsidR="003D3A8C" w:rsidRDefault="003D3A8C" w:rsidP="00DE6732">
      <w:pPr>
        <w:pStyle w:val="Prrafodelista"/>
        <w:rPr>
          <w:rFonts w:cs="Times New Roman"/>
          <w:sz w:val="22"/>
          <w:szCs w:val="22"/>
        </w:rPr>
      </w:pPr>
    </w:p>
    <w:p w:rsidR="00D36661" w:rsidRPr="00F134F8" w:rsidRDefault="00D36661" w:rsidP="00263FD5">
      <w:pPr>
        <w:pStyle w:val="Prrafodelista"/>
        <w:numPr>
          <w:ilvl w:val="0"/>
          <w:numId w:val="12"/>
        </w:numPr>
        <w:spacing w:line="276" w:lineRule="auto"/>
        <w:ind w:left="360"/>
        <w:jc w:val="both"/>
        <w:rPr>
          <w:rFonts w:cs="Times New Roman"/>
          <w:sz w:val="22"/>
          <w:szCs w:val="22"/>
        </w:rPr>
      </w:pPr>
      <w:r w:rsidRPr="00F134F8">
        <w:rPr>
          <w:rFonts w:cs="Times New Roman"/>
          <w:sz w:val="22"/>
          <w:szCs w:val="22"/>
        </w:rPr>
        <w:t xml:space="preserve">The rights of </w:t>
      </w:r>
      <w:r w:rsidR="00A734C0">
        <w:rPr>
          <w:rFonts w:cs="Times New Roman"/>
          <w:sz w:val="22"/>
          <w:szCs w:val="22"/>
        </w:rPr>
        <w:t xml:space="preserve">the </w:t>
      </w:r>
      <w:r w:rsidRPr="00F134F8">
        <w:rPr>
          <w:rFonts w:cs="Times New Roman"/>
          <w:sz w:val="22"/>
          <w:szCs w:val="22"/>
        </w:rPr>
        <w:t>present generations of children to the Earth are also the rights of future generations</w:t>
      </w:r>
      <w:r w:rsidR="00633F57" w:rsidRPr="00F134F8">
        <w:rPr>
          <w:rFonts w:cs="Times New Roman"/>
          <w:sz w:val="22"/>
          <w:szCs w:val="22"/>
        </w:rPr>
        <w:t xml:space="preserve">, regarding that </w:t>
      </w:r>
      <w:r w:rsidRPr="00F134F8">
        <w:rPr>
          <w:rFonts w:cs="Times New Roman"/>
          <w:sz w:val="22"/>
          <w:szCs w:val="22"/>
        </w:rPr>
        <w:t xml:space="preserve">the concept of sustainability links –in an equivalent way– the present generations with future generations: the unsustainable policies which affect </w:t>
      </w:r>
      <w:r w:rsidR="00A734C0">
        <w:rPr>
          <w:rFonts w:cs="Times New Roman"/>
          <w:sz w:val="22"/>
          <w:szCs w:val="22"/>
        </w:rPr>
        <w:t xml:space="preserve">the </w:t>
      </w:r>
      <w:r w:rsidRPr="00F134F8">
        <w:rPr>
          <w:rFonts w:cs="Times New Roman"/>
          <w:sz w:val="22"/>
          <w:szCs w:val="22"/>
        </w:rPr>
        <w:t xml:space="preserve">present generations, </w:t>
      </w:r>
      <w:r w:rsidRPr="00F134F8">
        <w:rPr>
          <w:rFonts w:eastAsia="Times New Roman" w:cs="Times New Roman"/>
          <w:kern w:val="0"/>
          <w:sz w:val="22"/>
          <w:szCs w:val="22"/>
          <w:lang w:val="en" w:eastAsia="es-PE" w:bidi="ar-SA"/>
        </w:rPr>
        <w:t xml:space="preserve">will affect future generations too, even more seriously, </w:t>
      </w:r>
      <w:r w:rsidRPr="00F134F8">
        <w:rPr>
          <w:rFonts w:cs="Times New Roman"/>
          <w:sz w:val="22"/>
          <w:szCs w:val="22"/>
        </w:rPr>
        <w:t xml:space="preserve">due to the accumulative effects and </w:t>
      </w:r>
      <w:r w:rsidR="00265953" w:rsidRPr="00F134F8">
        <w:rPr>
          <w:rFonts w:cs="Times New Roman"/>
          <w:sz w:val="22"/>
          <w:szCs w:val="22"/>
        </w:rPr>
        <w:t>non</w:t>
      </w:r>
      <w:r w:rsidR="00265953">
        <w:rPr>
          <w:rFonts w:cs="Times New Roman"/>
          <w:sz w:val="22"/>
          <w:szCs w:val="22"/>
        </w:rPr>
        <w:t>-</w:t>
      </w:r>
      <w:r w:rsidR="00265953" w:rsidRPr="00F134F8">
        <w:rPr>
          <w:rFonts w:cs="Times New Roman"/>
          <w:sz w:val="22"/>
          <w:szCs w:val="22"/>
        </w:rPr>
        <w:t>linear</w:t>
      </w:r>
      <w:r w:rsidRPr="00F134F8">
        <w:rPr>
          <w:rFonts w:cs="Times New Roman"/>
          <w:sz w:val="22"/>
          <w:szCs w:val="22"/>
        </w:rPr>
        <w:t xml:space="preserve"> </w:t>
      </w:r>
      <w:proofErr w:type="spellStart"/>
      <w:r w:rsidR="00265953" w:rsidRPr="00F134F8">
        <w:rPr>
          <w:rFonts w:cs="Times New Roman"/>
          <w:sz w:val="22"/>
          <w:szCs w:val="22"/>
        </w:rPr>
        <w:t>translimitations</w:t>
      </w:r>
      <w:proofErr w:type="spellEnd"/>
      <w:r w:rsidRPr="00F134F8">
        <w:rPr>
          <w:rFonts w:cs="Times New Roman"/>
          <w:sz w:val="22"/>
          <w:szCs w:val="22"/>
        </w:rPr>
        <w:t xml:space="preserve"> of the biosphere. </w:t>
      </w:r>
      <w:r w:rsidR="00036DCE" w:rsidRPr="00F134F8">
        <w:rPr>
          <w:rFonts w:cs="Times New Roman"/>
          <w:sz w:val="22"/>
          <w:szCs w:val="22"/>
        </w:rPr>
        <w:t>Certainly, scientific studies demonstrate that the</w:t>
      </w:r>
      <w:r w:rsidR="00C0571B">
        <w:rPr>
          <w:rFonts w:cs="Times New Roman"/>
          <w:sz w:val="22"/>
          <w:szCs w:val="22"/>
        </w:rPr>
        <w:t xml:space="preserve"> </w:t>
      </w:r>
      <w:r w:rsidR="00196A3C" w:rsidRPr="00F134F8">
        <w:rPr>
          <w:rFonts w:cs="Times New Roman"/>
          <w:sz w:val="22"/>
          <w:szCs w:val="22"/>
        </w:rPr>
        <w:t xml:space="preserve">consequences </w:t>
      </w:r>
      <w:r w:rsidR="00036DCE" w:rsidRPr="00F134F8">
        <w:rPr>
          <w:rFonts w:cs="Times New Roman"/>
          <w:sz w:val="22"/>
          <w:szCs w:val="22"/>
        </w:rPr>
        <w:t xml:space="preserve">of environmental harm and </w:t>
      </w:r>
      <w:r w:rsidR="00573DD4">
        <w:rPr>
          <w:rFonts w:cs="Times New Roman"/>
          <w:sz w:val="22"/>
          <w:szCs w:val="22"/>
        </w:rPr>
        <w:t xml:space="preserve">anthropogenic </w:t>
      </w:r>
      <w:r w:rsidR="00036DCE" w:rsidRPr="00F134F8">
        <w:rPr>
          <w:rFonts w:cs="Times New Roman"/>
          <w:sz w:val="22"/>
          <w:szCs w:val="22"/>
        </w:rPr>
        <w:t xml:space="preserve">disasters can be extended from the generation affected </w:t>
      </w:r>
      <w:r w:rsidR="00FA7C60" w:rsidRPr="00F134F8">
        <w:rPr>
          <w:rFonts w:cs="Times New Roman"/>
          <w:sz w:val="22"/>
          <w:szCs w:val="22"/>
        </w:rPr>
        <w:t xml:space="preserve">in the present </w:t>
      </w:r>
      <w:r w:rsidR="00036DCE" w:rsidRPr="00F134F8">
        <w:rPr>
          <w:rFonts w:cs="Times New Roman"/>
          <w:sz w:val="22"/>
          <w:szCs w:val="22"/>
        </w:rPr>
        <w:t>to the next one</w:t>
      </w:r>
      <w:r w:rsidR="00FA7C60" w:rsidRPr="00F134F8">
        <w:rPr>
          <w:rFonts w:cs="Times New Roman"/>
          <w:sz w:val="22"/>
          <w:szCs w:val="22"/>
        </w:rPr>
        <w:t xml:space="preserve"> in the future </w:t>
      </w:r>
      <w:r w:rsidR="00036DCE" w:rsidRPr="00F134F8">
        <w:rPr>
          <w:rFonts w:cs="Times New Roman"/>
          <w:sz w:val="22"/>
          <w:szCs w:val="22"/>
        </w:rPr>
        <w:t>(Caruso and Miller, 2015</w:t>
      </w:r>
      <w:r w:rsidR="00036DCE" w:rsidRPr="00B60F52">
        <w:rPr>
          <w:rFonts w:cs="Times New Roman"/>
          <w:sz w:val="22"/>
          <w:szCs w:val="22"/>
        </w:rPr>
        <w:t>)</w:t>
      </w:r>
      <w:r w:rsidR="00036DCE" w:rsidRPr="00B60F52">
        <w:rPr>
          <w:rStyle w:val="Refdenotaalpie"/>
          <w:rFonts w:cs="Times New Roman"/>
          <w:sz w:val="22"/>
          <w:szCs w:val="22"/>
          <w:lang w:val="es-PE"/>
        </w:rPr>
        <w:footnoteReference w:id="10"/>
      </w:r>
      <w:r w:rsidR="00036DCE" w:rsidRPr="00B60F52">
        <w:rPr>
          <w:rFonts w:cs="Times New Roman"/>
          <w:sz w:val="22"/>
          <w:szCs w:val="22"/>
        </w:rPr>
        <w:t>.</w:t>
      </w:r>
      <w:r w:rsidR="00196A3C" w:rsidRPr="00B60F52">
        <w:rPr>
          <w:rFonts w:cs="Times New Roman"/>
          <w:sz w:val="22"/>
          <w:szCs w:val="22"/>
        </w:rPr>
        <w:t xml:space="preserve">  That </w:t>
      </w:r>
      <w:r w:rsidR="00633F57" w:rsidRPr="00B60F52">
        <w:rPr>
          <w:rFonts w:eastAsia="Times New Roman" w:cs="Times New Roman"/>
          <w:kern w:val="0"/>
          <w:sz w:val="22"/>
          <w:szCs w:val="22"/>
          <w:lang w:val="en" w:eastAsia="es-PE" w:bidi="ar-SA"/>
        </w:rPr>
        <w:t>is the inexorable cause</w:t>
      </w:r>
      <w:r w:rsidR="00633F57" w:rsidRPr="00F134F8">
        <w:rPr>
          <w:rFonts w:eastAsia="Times New Roman" w:cs="Times New Roman"/>
          <w:kern w:val="0"/>
          <w:sz w:val="22"/>
          <w:szCs w:val="22"/>
          <w:lang w:val="en" w:eastAsia="es-PE" w:bidi="ar-SA"/>
        </w:rPr>
        <w:t xml:space="preserve">-effect relationship between </w:t>
      </w:r>
      <w:r w:rsidR="006C7E4B">
        <w:rPr>
          <w:rFonts w:eastAsia="Times New Roman" w:cs="Times New Roman"/>
          <w:kern w:val="0"/>
          <w:sz w:val="22"/>
          <w:szCs w:val="22"/>
          <w:lang w:val="en" w:eastAsia="es-PE" w:bidi="ar-SA"/>
        </w:rPr>
        <w:t xml:space="preserve">the </w:t>
      </w:r>
      <w:r w:rsidR="00633F57" w:rsidRPr="00F134F8">
        <w:rPr>
          <w:rFonts w:eastAsia="Times New Roman" w:cs="Times New Roman"/>
          <w:kern w:val="0"/>
          <w:sz w:val="22"/>
          <w:szCs w:val="22"/>
          <w:lang w:val="en" w:eastAsia="es-PE" w:bidi="ar-SA"/>
        </w:rPr>
        <w:t>present generations and future ones.</w:t>
      </w:r>
    </w:p>
    <w:p w:rsidR="00D36661" w:rsidRPr="00F134F8" w:rsidRDefault="00D36661" w:rsidP="00263FD5">
      <w:pPr>
        <w:spacing w:line="276" w:lineRule="auto"/>
        <w:jc w:val="both"/>
        <w:rPr>
          <w:rFonts w:cs="Times New Roman"/>
          <w:sz w:val="22"/>
          <w:szCs w:val="22"/>
        </w:rPr>
      </w:pPr>
    </w:p>
    <w:p w:rsidR="00912152" w:rsidRDefault="00633F57" w:rsidP="00263FD5">
      <w:pPr>
        <w:pStyle w:val="Prrafodelista"/>
        <w:numPr>
          <w:ilvl w:val="0"/>
          <w:numId w:val="12"/>
        </w:numPr>
        <w:spacing w:line="276" w:lineRule="auto"/>
        <w:ind w:left="360"/>
        <w:jc w:val="both"/>
        <w:rPr>
          <w:rFonts w:cs="Times New Roman"/>
          <w:sz w:val="22"/>
          <w:szCs w:val="22"/>
        </w:rPr>
      </w:pPr>
      <w:r w:rsidRPr="00F134F8">
        <w:rPr>
          <w:rFonts w:eastAsia="Times New Roman" w:cs="Times New Roman"/>
          <w:kern w:val="0"/>
          <w:sz w:val="22"/>
          <w:szCs w:val="22"/>
          <w:lang w:val="en" w:eastAsia="es-PE" w:bidi="ar-SA"/>
        </w:rPr>
        <w:t xml:space="preserve">The </w:t>
      </w:r>
      <w:r w:rsidR="00DE6732" w:rsidRPr="00F134F8">
        <w:rPr>
          <w:rFonts w:eastAsia="Times New Roman" w:cs="Times New Roman"/>
          <w:kern w:val="0"/>
          <w:sz w:val="22"/>
          <w:szCs w:val="22"/>
          <w:lang w:val="en" w:eastAsia="es-PE" w:bidi="ar-SA"/>
        </w:rPr>
        <w:t>i</w:t>
      </w:r>
      <w:r w:rsidRPr="00F134F8">
        <w:rPr>
          <w:rFonts w:eastAsia="Times New Roman" w:cs="Times New Roman"/>
          <w:kern w:val="0"/>
          <w:sz w:val="22"/>
          <w:szCs w:val="22"/>
          <w:lang w:val="en" w:eastAsia="es-PE" w:bidi="ar-SA"/>
        </w:rPr>
        <w:t>ntergenerational equ</w:t>
      </w:r>
      <w:r w:rsidR="006C7E4B">
        <w:rPr>
          <w:rFonts w:eastAsia="Times New Roman" w:cs="Times New Roman"/>
          <w:kern w:val="0"/>
          <w:sz w:val="22"/>
          <w:szCs w:val="22"/>
          <w:lang w:val="en" w:eastAsia="es-PE" w:bidi="ar-SA"/>
        </w:rPr>
        <w:t xml:space="preserve">ity </w:t>
      </w:r>
      <w:r w:rsidRPr="00F134F8">
        <w:rPr>
          <w:rFonts w:eastAsia="Times New Roman" w:cs="Times New Roman"/>
          <w:kern w:val="0"/>
          <w:sz w:val="22"/>
          <w:szCs w:val="22"/>
          <w:lang w:val="en" w:eastAsia="es-PE" w:bidi="ar-SA"/>
        </w:rPr>
        <w:t xml:space="preserve">principle must be strengthened with the </w:t>
      </w:r>
      <w:r w:rsidR="00DE6732" w:rsidRPr="00F134F8">
        <w:rPr>
          <w:rFonts w:eastAsia="Times New Roman" w:cs="Times New Roman"/>
          <w:kern w:val="0"/>
          <w:sz w:val="22"/>
          <w:szCs w:val="22"/>
          <w:lang w:val="en" w:eastAsia="es-PE" w:bidi="ar-SA"/>
        </w:rPr>
        <w:t>p</w:t>
      </w:r>
      <w:r w:rsidRPr="00F134F8">
        <w:rPr>
          <w:rFonts w:eastAsia="Times New Roman" w:cs="Times New Roman"/>
          <w:kern w:val="0"/>
          <w:sz w:val="22"/>
          <w:szCs w:val="22"/>
          <w:lang w:val="en" w:eastAsia="es-PE" w:bidi="ar-SA"/>
        </w:rPr>
        <w:t>recautionary principle,</w:t>
      </w:r>
      <w:r w:rsidR="00D36661" w:rsidRPr="00F134F8">
        <w:rPr>
          <w:rFonts w:eastAsia="Times New Roman" w:cs="Times New Roman"/>
          <w:kern w:val="0"/>
          <w:sz w:val="22"/>
          <w:szCs w:val="22"/>
          <w:lang w:val="en" w:eastAsia="es-PE" w:bidi="ar-SA"/>
        </w:rPr>
        <w:t xml:space="preserve"> being fundamental to approximate human rights with international environmental law and climate law, in order to give meaning to the </w:t>
      </w:r>
      <w:r w:rsidR="00F17F13" w:rsidRPr="00F134F8">
        <w:rPr>
          <w:rFonts w:eastAsiaTheme="minorHAnsi" w:cs="Times New Roman"/>
          <w:kern w:val="0"/>
          <w:sz w:val="22"/>
          <w:szCs w:val="22"/>
          <w:lang w:eastAsia="es-PE" w:bidi="ar-SA"/>
        </w:rPr>
        <w:t>«</w:t>
      </w:r>
      <w:r w:rsidR="00D36661" w:rsidRPr="00F134F8">
        <w:rPr>
          <w:rFonts w:eastAsia="Times New Roman" w:cs="Times New Roman"/>
          <w:kern w:val="0"/>
          <w:sz w:val="22"/>
          <w:szCs w:val="22"/>
          <w:lang w:val="en" w:eastAsia="es-PE" w:bidi="ar-SA"/>
        </w:rPr>
        <w:t>right to sustainability</w:t>
      </w:r>
      <w:r w:rsidR="00F17F13" w:rsidRPr="00F134F8">
        <w:rPr>
          <w:rFonts w:eastAsiaTheme="minorHAnsi" w:cs="Times New Roman"/>
          <w:kern w:val="0"/>
          <w:sz w:val="22"/>
          <w:szCs w:val="22"/>
          <w:lang w:eastAsia="es-PE" w:bidi="ar-SA"/>
        </w:rPr>
        <w:t>»</w:t>
      </w:r>
      <w:r w:rsidR="00D36661" w:rsidRPr="00F134F8">
        <w:rPr>
          <w:rFonts w:eastAsia="Times New Roman" w:cs="Times New Roman"/>
          <w:kern w:val="0"/>
          <w:sz w:val="22"/>
          <w:szCs w:val="22"/>
          <w:lang w:val="en" w:eastAsia="es-PE" w:bidi="ar-SA"/>
        </w:rPr>
        <w:t xml:space="preserve"> for </w:t>
      </w:r>
      <w:r w:rsidR="006C7E4B">
        <w:rPr>
          <w:rFonts w:eastAsia="Times New Roman" w:cs="Times New Roman"/>
          <w:kern w:val="0"/>
          <w:sz w:val="22"/>
          <w:szCs w:val="22"/>
          <w:lang w:val="en" w:eastAsia="es-PE" w:bidi="ar-SA"/>
        </w:rPr>
        <w:t xml:space="preserve">the </w:t>
      </w:r>
      <w:r w:rsidR="00A90018">
        <w:rPr>
          <w:rFonts w:eastAsia="Times New Roman" w:cs="Times New Roman"/>
          <w:kern w:val="0"/>
          <w:sz w:val="22"/>
          <w:szCs w:val="22"/>
          <w:lang w:val="en" w:eastAsia="es-PE" w:bidi="ar-SA"/>
        </w:rPr>
        <w:t xml:space="preserve">current </w:t>
      </w:r>
      <w:r w:rsidR="00D36661" w:rsidRPr="00F134F8">
        <w:rPr>
          <w:rFonts w:eastAsia="Times New Roman" w:cs="Times New Roman"/>
          <w:kern w:val="0"/>
          <w:sz w:val="22"/>
          <w:szCs w:val="22"/>
          <w:lang w:val="en" w:eastAsia="es-PE" w:bidi="ar-SA"/>
        </w:rPr>
        <w:t xml:space="preserve">generations of children, as well as future generations. </w:t>
      </w:r>
      <w:r w:rsidR="00D36661" w:rsidRPr="00F134F8">
        <w:rPr>
          <w:rFonts w:cs="Times New Roman"/>
          <w:sz w:val="22"/>
          <w:szCs w:val="22"/>
        </w:rPr>
        <w:t xml:space="preserve">Sustainability –from </w:t>
      </w:r>
      <w:r w:rsidR="003D3A8C">
        <w:rPr>
          <w:rFonts w:cs="Times New Roman"/>
          <w:sz w:val="22"/>
          <w:szCs w:val="22"/>
        </w:rPr>
        <w:t xml:space="preserve">the beginning of </w:t>
      </w:r>
      <w:r w:rsidR="00D36661" w:rsidRPr="00A2044C">
        <w:rPr>
          <w:rFonts w:cs="Times New Roman"/>
          <w:sz w:val="22"/>
          <w:szCs w:val="22"/>
        </w:rPr>
        <w:t>its</w:t>
      </w:r>
      <w:r w:rsidR="00D36661" w:rsidRPr="00F134F8">
        <w:rPr>
          <w:rFonts w:cs="Times New Roman"/>
          <w:sz w:val="22"/>
          <w:szCs w:val="22"/>
        </w:rPr>
        <w:t xml:space="preserve"> conceptual birth– includes both of them.</w:t>
      </w:r>
    </w:p>
    <w:p w:rsidR="00C44E94" w:rsidRPr="00C44E94" w:rsidRDefault="00C44E94" w:rsidP="00C44E94">
      <w:pPr>
        <w:pStyle w:val="Prrafodelista"/>
        <w:rPr>
          <w:rFonts w:cs="Times New Roman"/>
          <w:sz w:val="22"/>
          <w:szCs w:val="22"/>
        </w:rPr>
      </w:pPr>
    </w:p>
    <w:p w:rsidR="00C44E94" w:rsidRDefault="00C44E94" w:rsidP="00C44E94">
      <w:pPr>
        <w:pStyle w:val="Prrafodelista"/>
        <w:spacing w:line="276" w:lineRule="auto"/>
        <w:ind w:left="360"/>
        <w:jc w:val="both"/>
        <w:rPr>
          <w:rFonts w:cs="Times New Roman"/>
          <w:sz w:val="22"/>
          <w:szCs w:val="22"/>
        </w:rPr>
      </w:pPr>
    </w:p>
    <w:p w:rsidR="00D36661" w:rsidRPr="003515D0" w:rsidRDefault="00633F57" w:rsidP="00CD7246">
      <w:pPr>
        <w:pStyle w:val="Prrafodelista"/>
        <w:numPr>
          <w:ilvl w:val="0"/>
          <w:numId w:val="12"/>
        </w:numPr>
        <w:spacing w:line="276" w:lineRule="auto"/>
        <w:ind w:left="360"/>
        <w:jc w:val="both"/>
        <w:rPr>
          <w:rFonts w:cs="Times New Roman"/>
          <w:sz w:val="22"/>
          <w:szCs w:val="22"/>
        </w:rPr>
      </w:pPr>
      <w:r w:rsidRPr="003515D0">
        <w:rPr>
          <w:rFonts w:cs="Times New Roman"/>
          <w:sz w:val="22"/>
          <w:szCs w:val="22"/>
        </w:rPr>
        <w:t xml:space="preserve">It`s necessary </w:t>
      </w:r>
      <w:r w:rsidR="00D36661" w:rsidRPr="003515D0">
        <w:rPr>
          <w:rFonts w:cs="Times New Roman"/>
          <w:sz w:val="22"/>
          <w:szCs w:val="22"/>
        </w:rPr>
        <w:t xml:space="preserve">to </w:t>
      </w:r>
      <w:r w:rsidRPr="003515D0">
        <w:rPr>
          <w:rFonts w:cs="Times New Roman"/>
          <w:sz w:val="22"/>
          <w:szCs w:val="22"/>
        </w:rPr>
        <w:t xml:space="preserve">develop </w:t>
      </w:r>
      <w:r w:rsidR="00D36661" w:rsidRPr="003515D0">
        <w:rPr>
          <w:rFonts w:cs="Times New Roman"/>
          <w:sz w:val="22"/>
          <w:szCs w:val="22"/>
        </w:rPr>
        <w:t>an inc</w:t>
      </w:r>
      <w:r w:rsidR="00F17F13" w:rsidRPr="003515D0">
        <w:rPr>
          <w:rFonts w:cs="Times New Roman"/>
          <w:sz w:val="22"/>
          <w:szCs w:val="22"/>
        </w:rPr>
        <w:t xml:space="preserve">lusive conceptual proposal </w:t>
      </w:r>
      <w:r w:rsidR="00DE34E0">
        <w:rPr>
          <w:rFonts w:cs="Times New Roman"/>
          <w:sz w:val="22"/>
          <w:szCs w:val="22"/>
        </w:rPr>
        <w:t xml:space="preserve">for </w:t>
      </w:r>
      <w:r w:rsidR="00F17F13" w:rsidRPr="003515D0">
        <w:rPr>
          <w:rFonts w:eastAsiaTheme="minorHAnsi" w:cs="Times New Roman"/>
          <w:kern w:val="0"/>
          <w:sz w:val="22"/>
          <w:szCs w:val="22"/>
          <w:lang w:eastAsia="es-PE" w:bidi="ar-SA"/>
        </w:rPr>
        <w:t>«</w:t>
      </w:r>
      <w:r w:rsidR="00D36661" w:rsidRPr="003515D0">
        <w:rPr>
          <w:rFonts w:cs="Times New Roman"/>
          <w:sz w:val="22"/>
          <w:szCs w:val="22"/>
        </w:rPr>
        <w:t>future generations</w:t>
      </w:r>
      <w:r w:rsidR="00F17F13" w:rsidRPr="003515D0">
        <w:rPr>
          <w:rFonts w:eastAsiaTheme="minorHAnsi" w:cs="Times New Roman"/>
          <w:kern w:val="0"/>
          <w:sz w:val="22"/>
          <w:szCs w:val="22"/>
          <w:lang w:eastAsia="es-PE" w:bidi="ar-SA"/>
        </w:rPr>
        <w:t>»</w:t>
      </w:r>
      <w:r w:rsidR="00912152" w:rsidRPr="003515D0">
        <w:rPr>
          <w:rFonts w:cs="Times New Roman"/>
          <w:sz w:val="22"/>
          <w:szCs w:val="22"/>
        </w:rPr>
        <w:t xml:space="preserve">, and </w:t>
      </w:r>
      <w:r w:rsidR="003D3A8C">
        <w:rPr>
          <w:rFonts w:cs="Times New Roman"/>
          <w:sz w:val="22"/>
          <w:szCs w:val="22"/>
        </w:rPr>
        <w:t xml:space="preserve">build </w:t>
      </w:r>
      <w:r w:rsidR="009A57EE">
        <w:rPr>
          <w:rFonts w:cs="Times New Roman"/>
          <w:sz w:val="22"/>
          <w:szCs w:val="22"/>
        </w:rPr>
        <w:t xml:space="preserve">up </w:t>
      </w:r>
      <w:r w:rsidR="00D36661" w:rsidRPr="003515D0">
        <w:rPr>
          <w:rFonts w:cs="Times New Roman"/>
          <w:sz w:val="22"/>
          <w:szCs w:val="22"/>
        </w:rPr>
        <w:t xml:space="preserve">a methodology which will allow us to </w:t>
      </w:r>
      <w:r w:rsidR="00A90018">
        <w:rPr>
          <w:rFonts w:cs="Times New Roman"/>
          <w:sz w:val="22"/>
          <w:szCs w:val="22"/>
        </w:rPr>
        <w:t xml:space="preserve">include </w:t>
      </w:r>
      <w:r w:rsidR="00D36661" w:rsidRPr="003515D0">
        <w:rPr>
          <w:rFonts w:cs="Times New Roman"/>
          <w:sz w:val="22"/>
          <w:szCs w:val="22"/>
        </w:rPr>
        <w:t xml:space="preserve">the intergenerational variable in the design and implementation of </w:t>
      </w:r>
      <w:r w:rsidR="00912152" w:rsidRPr="003515D0">
        <w:rPr>
          <w:rFonts w:cs="Times New Roman"/>
          <w:sz w:val="22"/>
          <w:szCs w:val="22"/>
        </w:rPr>
        <w:t>s</w:t>
      </w:r>
      <w:r w:rsidR="00D36661" w:rsidRPr="003515D0">
        <w:rPr>
          <w:rFonts w:cs="Times New Roman"/>
          <w:sz w:val="22"/>
          <w:szCs w:val="22"/>
        </w:rPr>
        <w:t xml:space="preserve">ustainability global policies. </w:t>
      </w:r>
      <w:r w:rsidR="00D36661" w:rsidRPr="003515D0">
        <w:rPr>
          <w:rFonts w:eastAsia="Times New Roman" w:cs="Times New Roman"/>
          <w:kern w:val="0"/>
          <w:sz w:val="22"/>
          <w:szCs w:val="22"/>
          <w:lang w:val="en" w:eastAsia="es-PE" w:bidi="ar-SA"/>
        </w:rPr>
        <w:t xml:space="preserve">Such a methodology </w:t>
      </w:r>
      <w:r w:rsidR="00D36661" w:rsidRPr="003515D0">
        <w:rPr>
          <w:rFonts w:cs="Times New Roman"/>
          <w:sz w:val="22"/>
          <w:szCs w:val="22"/>
        </w:rPr>
        <w:t xml:space="preserve">must foresee how civilizational errors, in the present, could pose a threat to future generations, </w:t>
      </w:r>
      <w:r w:rsidR="00D36661" w:rsidRPr="003515D0">
        <w:rPr>
          <w:rFonts w:eastAsia="Times New Roman" w:cs="Times New Roman"/>
          <w:kern w:val="0"/>
          <w:sz w:val="22"/>
          <w:szCs w:val="22"/>
          <w:lang w:val="en" w:eastAsia="es-PE" w:bidi="ar-SA"/>
        </w:rPr>
        <w:t xml:space="preserve">and endanger their existence on </w:t>
      </w:r>
      <w:r w:rsidR="00F17F13" w:rsidRPr="003515D0">
        <w:rPr>
          <w:rFonts w:eastAsia="Times New Roman" w:cs="Times New Roman"/>
          <w:kern w:val="0"/>
          <w:sz w:val="22"/>
          <w:szCs w:val="22"/>
          <w:lang w:val="en" w:eastAsia="es-PE" w:bidi="ar-SA"/>
        </w:rPr>
        <w:t xml:space="preserve">the </w:t>
      </w:r>
      <w:r w:rsidR="00D36661" w:rsidRPr="003515D0">
        <w:rPr>
          <w:rFonts w:eastAsia="Times New Roman" w:cs="Times New Roman"/>
          <w:kern w:val="0"/>
          <w:sz w:val="22"/>
          <w:szCs w:val="22"/>
          <w:lang w:val="en" w:eastAsia="es-PE" w:bidi="ar-SA"/>
        </w:rPr>
        <w:t>Earth.</w:t>
      </w:r>
      <w:r w:rsidRPr="003515D0">
        <w:rPr>
          <w:rFonts w:eastAsia="Times New Roman" w:cs="Times New Roman"/>
          <w:kern w:val="0"/>
          <w:sz w:val="22"/>
          <w:szCs w:val="22"/>
          <w:lang w:val="en" w:eastAsia="es-PE" w:bidi="ar-SA"/>
        </w:rPr>
        <w:t xml:space="preserve"> </w:t>
      </w:r>
      <w:r w:rsidR="00912152" w:rsidRPr="003515D0">
        <w:rPr>
          <w:rFonts w:eastAsia="Times New Roman" w:cs="Times New Roman"/>
          <w:kern w:val="0"/>
          <w:sz w:val="22"/>
          <w:szCs w:val="22"/>
          <w:lang w:val="en" w:eastAsia="es-PE" w:bidi="ar-SA"/>
        </w:rPr>
        <w:t>The debate about the rights of future generations</w:t>
      </w:r>
      <w:r w:rsidR="003515D0" w:rsidRPr="003515D0">
        <w:rPr>
          <w:rFonts w:eastAsia="Times New Roman" w:cs="Times New Roman"/>
          <w:kern w:val="0"/>
          <w:sz w:val="22"/>
          <w:szCs w:val="22"/>
          <w:lang w:val="en" w:eastAsia="es-PE" w:bidi="ar-SA"/>
        </w:rPr>
        <w:t xml:space="preserve"> is a strong ethical matter that </w:t>
      </w:r>
      <w:r w:rsidR="00912152" w:rsidRPr="003515D0">
        <w:rPr>
          <w:rFonts w:eastAsia="Times New Roman" w:cs="Times New Roman"/>
          <w:kern w:val="0"/>
          <w:sz w:val="22"/>
          <w:szCs w:val="22"/>
          <w:lang w:val="en" w:eastAsia="es-PE" w:bidi="ar-SA"/>
        </w:rPr>
        <w:t xml:space="preserve">must include </w:t>
      </w:r>
      <w:r w:rsidR="00D36661" w:rsidRPr="003515D0">
        <w:rPr>
          <w:rFonts w:cs="Times New Roman"/>
          <w:sz w:val="22"/>
          <w:szCs w:val="22"/>
        </w:rPr>
        <w:t>the concepts of intergenerational justice, interspecies justice and the rights of the Earth</w:t>
      </w:r>
      <w:r w:rsidR="003515D0" w:rsidRPr="00736EDE">
        <w:rPr>
          <w:rStyle w:val="Refdenotaalpie"/>
          <w:sz w:val="22"/>
          <w:szCs w:val="22"/>
        </w:rPr>
        <w:footnoteReference w:id="11"/>
      </w:r>
      <w:r w:rsidR="00D07338">
        <w:rPr>
          <w:rFonts w:cs="Times New Roman"/>
          <w:sz w:val="22"/>
          <w:szCs w:val="22"/>
        </w:rPr>
        <w:t xml:space="preserve"> (or the rights of nature)</w:t>
      </w:r>
      <w:r w:rsidR="008D4267">
        <w:rPr>
          <w:sz w:val="22"/>
          <w:szCs w:val="22"/>
        </w:rPr>
        <w:t>.</w:t>
      </w:r>
    </w:p>
    <w:p w:rsidR="003F01EB" w:rsidRPr="00F134F8" w:rsidRDefault="003F01EB" w:rsidP="00263FD5">
      <w:pPr>
        <w:pStyle w:val="Prrafodelista"/>
        <w:ind w:left="0"/>
        <w:rPr>
          <w:rFonts w:cs="Times New Roman"/>
          <w:sz w:val="22"/>
          <w:szCs w:val="22"/>
        </w:rPr>
      </w:pPr>
    </w:p>
    <w:p w:rsidR="00A433E1" w:rsidRPr="00B60F52" w:rsidRDefault="00D07338" w:rsidP="00223352">
      <w:pPr>
        <w:pStyle w:val="Prrafodelista"/>
        <w:numPr>
          <w:ilvl w:val="0"/>
          <w:numId w:val="12"/>
        </w:numPr>
        <w:spacing w:line="276" w:lineRule="auto"/>
        <w:ind w:left="284" w:hanging="284"/>
        <w:jc w:val="both"/>
        <w:rPr>
          <w:rFonts w:eastAsiaTheme="minorHAnsi" w:cs="Times New Roman"/>
          <w:kern w:val="0"/>
          <w:sz w:val="22"/>
          <w:szCs w:val="22"/>
          <w:lang w:eastAsia="en-US" w:bidi="ar-SA"/>
        </w:rPr>
      </w:pPr>
      <w:r w:rsidRPr="00B60F52">
        <w:rPr>
          <w:rFonts w:eastAsiaTheme="minorHAnsi" w:cs="Times New Roman"/>
          <w:kern w:val="0"/>
          <w:sz w:val="22"/>
          <w:szCs w:val="22"/>
          <w:lang w:eastAsia="en-US" w:bidi="ar-SA"/>
        </w:rPr>
        <w:t>A legal recommendation about the rights of future generations (soft law) may guide important refle</w:t>
      </w:r>
      <w:r w:rsidR="003F4BBD" w:rsidRPr="00B60F52">
        <w:rPr>
          <w:rFonts w:eastAsiaTheme="minorHAnsi" w:cs="Times New Roman"/>
          <w:kern w:val="0"/>
          <w:sz w:val="22"/>
          <w:szCs w:val="22"/>
          <w:lang w:eastAsia="en-US" w:bidi="ar-SA"/>
        </w:rPr>
        <w:t xml:space="preserve">ctions </w:t>
      </w:r>
      <w:r w:rsidRPr="00B60F52">
        <w:rPr>
          <w:rFonts w:eastAsiaTheme="minorHAnsi" w:cs="Times New Roman"/>
          <w:kern w:val="0"/>
          <w:sz w:val="22"/>
          <w:szCs w:val="22"/>
          <w:lang w:eastAsia="en-US" w:bidi="ar-SA"/>
        </w:rPr>
        <w:t>and judiciary decisions at national or international levels. For instance, a judiciary</w:t>
      </w:r>
      <w:r w:rsidR="003F4BBD" w:rsidRPr="00B60F52">
        <w:rPr>
          <w:rFonts w:eastAsiaTheme="minorHAnsi" w:cs="Times New Roman"/>
          <w:kern w:val="0"/>
          <w:sz w:val="22"/>
          <w:szCs w:val="22"/>
          <w:lang w:eastAsia="en-US" w:bidi="ar-SA"/>
        </w:rPr>
        <w:t xml:space="preserve"> </w:t>
      </w:r>
      <w:r w:rsidRPr="00B60F52">
        <w:rPr>
          <w:rFonts w:eastAsiaTheme="minorHAnsi" w:cs="Times New Roman"/>
          <w:kern w:val="0"/>
          <w:sz w:val="22"/>
          <w:szCs w:val="22"/>
          <w:lang w:eastAsia="en-US" w:bidi="ar-SA"/>
        </w:rPr>
        <w:t xml:space="preserve"> decision taken by </w:t>
      </w:r>
      <w:r w:rsidR="009A57EE">
        <w:rPr>
          <w:rFonts w:eastAsiaTheme="minorHAnsi" w:cs="Times New Roman"/>
          <w:kern w:val="0"/>
          <w:sz w:val="22"/>
          <w:szCs w:val="22"/>
          <w:lang w:eastAsia="en-US" w:bidi="ar-SA"/>
        </w:rPr>
        <w:t>t</w:t>
      </w:r>
      <w:r w:rsidRPr="00B60F52">
        <w:rPr>
          <w:rFonts w:eastAsiaTheme="minorHAnsi" w:cs="Times New Roman"/>
          <w:kern w:val="0"/>
          <w:sz w:val="22"/>
          <w:szCs w:val="22"/>
          <w:lang w:eastAsia="en-US" w:bidi="ar-SA"/>
        </w:rPr>
        <w:t>he Constitutional Court of Colombia</w:t>
      </w:r>
      <w:r w:rsidR="00056483" w:rsidRPr="00B60F52">
        <w:rPr>
          <w:sz w:val="22"/>
          <w:szCs w:val="22"/>
        </w:rPr>
        <w:t xml:space="preserve"> (T-622, 2016)</w:t>
      </w:r>
      <w:r w:rsidR="00A90018">
        <w:rPr>
          <w:rStyle w:val="Refdenotaalpie"/>
          <w:sz w:val="22"/>
          <w:szCs w:val="22"/>
        </w:rPr>
        <w:footnoteReference w:id="12"/>
      </w:r>
      <w:r w:rsidR="00056483" w:rsidRPr="00B60F52">
        <w:rPr>
          <w:sz w:val="22"/>
          <w:szCs w:val="22"/>
        </w:rPr>
        <w:t xml:space="preserve"> </w:t>
      </w:r>
      <w:r w:rsidR="006F504A" w:rsidRPr="00B60F52">
        <w:rPr>
          <w:rFonts w:eastAsiaTheme="minorHAnsi" w:cs="Times New Roman"/>
          <w:kern w:val="0"/>
          <w:sz w:val="22"/>
          <w:szCs w:val="22"/>
          <w:lang w:eastAsia="en-US" w:bidi="ar-SA"/>
        </w:rPr>
        <w:t>s</w:t>
      </w:r>
      <w:r w:rsidR="00944CD3" w:rsidRPr="00B60F52">
        <w:rPr>
          <w:rFonts w:eastAsiaTheme="minorHAnsi" w:cs="Times New Roman"/>
          <w:kern w:val="0"/>
          <w:sz w:val="22"/>
          <w:szCs w:val="22"/>
          <w:lang w:eastAsia="en-US" w:bidi="ar-SA"/>
        </w:rPr>
        <w:t xml:space="preserve">entences that </w:t>
      </w:r>
      <w:r w:rsidR="00A433E1" w:rsidRPr="00B60F52">
        <w:rPr>
          <w:sz w:val="22"/>
          <w:szCs w:val="22"/>
        </w:rPr>
        <w:t xml:space="preserve">the </w:t>
      </w:r>
      <w:proofErr w:type="spellStart"/>
      <w:r w:rsidR="00A433E1" w:rsidRPr="00B60F52">
        <w:rPr>
          <w:rFonts w:eastAsiaTheme="minorHAnsi" w:cs="Times New Roman"/>
          <w:kern w:val="0"/>
          <w:sz w:val="22"/>
          <w:szCs w:val="22"/>
          <w:lang w:eastAsia="en-US" w:bidi="ar-SA"/>
        </w:rPr>
        <w:t>Atrato</w:t>
      </w:r>
      <w:proofErr w:type="spellEnd"/>
      <w:r w:rsidR="00A433E1" w:rsidRPr="00B60F52">
        <w:rPr>
          <w:rFonts w:eastAsiaTheme="minorHAnsi" w:cs="Times New Roman"/>
          <w:kern w:val="0"/>
          <w:sz w:val="22"/>
          <w:szCs w:val="22"/>
          <w:lang w:eastAsia="en-US" w:bidi="ar-SA"/>
        </w:rPr>
        <w:t xml:space="preserve"> river </w:t>
      </w:r>
      <w:r w:rsidR="00A433E1" w:rsidRPr="00A2044C">
        <w:rPr>
          <w:rFonts w:eastAsiaTheme="minorHAnsi" w:cs="Times New Roman"/>
          <w:kern w:val="0"/>
          <w:sz w:val="22"/>
          <w:szCs w:val="22"/>
          <w:lang w:eastAsia="en-US" w:bidi="ar-SA"/>
        </w:rPr>
        <w:t>(Choc</w:t>
      </w:r>
      <w:r w:rsidR="00777C22" w:rsidRPr="00A2044C">
        <w:rPr>
          <w:rFonts w:eastAsiaTheme="minorHAnsi" w:cs="Times New Roman"/>
          <w:kern w:val="0"/>
          <w:sz w:val="22"/>
          <w:szCs w:val="22"/>
          <w:lang w:eastAsia="en-US" w:bidi="ar-SA"/>
        </w:rPr>
        <w:t>ó</w:t>
      </w:r>
      <w:r w:rsidR="00A433E1" w:rsidRPr="00B60F52">
        <w:rPr>
          <w:rFonts w:eastAsiaTheme="minorHAnsi" w:cs="Times New Roman"/>
          <w:kern w:val="0"/>
          <w:sz w:val="22"/>
          <w:szCs w:val="22"/>
          <w:lang w:eastAsia="en-US" w:bidi="ar-SA"/>
        </w:rPr>
        <w:t xml:space="preserve"> region) is a subject of rights, that the </w:t>
      </w:r>
      <w:r w:rsidR="00944CD3" w:rsidRPr="00B60F52">
        <w:rPr>
          <w:rFonts w:eastAsiaTheme="minorHAnsi" w:cs="Times New Roman"/>
          <w:kern w:val="0"/>
          <w:sz w:val="22"/>
          <w:szCs w:val="22"/>
          <w:lang w:eastAsia="en-US" w:bidi="ar-SA"/>
        </w:rPr>
        <w:t xml:space="preserve">environment is a common heritage of humanity and its protection ensures the survival of </w:t>
      </w:r>
      <w:r w:rsidR="006C7E4B">
        <w:rPr>
          <w:rFonts w:eastAsiaTheme="minorHAnsi" w:cs="Times New Roman"/>
          <w:kern w:val="0"/>
          <w:sz w:val="22"/>
          <w:szCs w:val="22"/>
          <w:lang w:eastAsia="en-US" w:bidi="ar-SA"/>
        </w:rPr>
        <w:t xml:space="preserve">the </w:t>
      </w:r>
      <w:r w:rsidR="00944CD3" w:rsidRPr="00B60F52">
        <w:rPr>
          <w:rFonts w:eastAsiaTheme="minorHAnsi" w:cs="Times New Roman"/>
          <w:kern w:val="0"/>
          <w:sz w:val="22"/>
          <w:szCs w:val="22"/>
          <w:lang w:eastAsia="en-US" w:bidi="ar-SA"/>
        </w:rPr>
        <w:t>present and future generations (</w:t>
      </w:r>
      <w:r w:rsidR="006F504A" w:rsidRPr="00B60F52">
        <w:rPr>
          <w:sz w:val="22"/>
          <w:szCs w:val="22"/>
        </w:rPr>
        <w:t>p. 65)</w:t>
      </w:r>
      <w:r w:rsidR="009A257C" w:rsidRPr="00B60F52">
        <w:rPr>
          <w:sz w:val="22"/>
          <w:szCs w:val="22"/>
        </w:rPr>
        <w:t xml:space="preserve">. </w:t>
      </w:r>
      <w:r w:rsidR="00A433E1" w:rsidRPr="00B60F52">
        <w:rPr>
          <w:sz w:val="22"/>
          <w:szCs w:val="22"/>
        </w:rPr>
        <w:t xml:space="preserve">The same decision establishes that </w:t>
      </w:r>
      <w:r w:rsidR="00056483" w:rsidRPr="00B60F52">
        <w:rPr>
          <w:rFonts w:eastAsiaTheme="minorHAnsi" w:cs="Times New Roman"/>
          <w:kern w:val="0"/>
          <w:sz w:val="22"/>
          <w:szCs w:val="22"/>
          <w:lang w:eastAsia="en-US" w:bidi="ar-SA"/>
        </w:rPr>
        <w:t>illegal mining</w:t>
      </w:r>
      <w:r w:rsidR="00056483" w:rsidRPr="00B60F52">
        <w:rPr>
          <w:sz w:val="22"/>
          <w:szCs w:val="22"/>
        </w:rPr>
        <w:t xml:space="preserve"> </w:t>
      </w:r>
      <w:r w:rsidR="003D3A8C">
        <w:rPr>
          <w:sz w:val="22"/>
          <w:szCs w:val="22"/>
        </w:rPr>
        <w:t xml:space="preserve">activities </w:t>
      </w:r>
      <w:r w:rsidR="00056483" w:rsidRPr="00B60F52">
        <w:rPr>
          <w:rFonts w:eastAsiaTheme="minorHAnsi" w:cs="Times New Roman"/>
          <w:kern w:val="0"/>
          <w:sz w:val="22"/>
          <w:szCs w:val="22"/>
          <w:lang w:eastAsia="en-US" w:bidi="ar-SA"/>
        </w:rPr>
        <w:t>constitute</w:t>
      </w:r>
      <w:r w:rsidR="003D3A8C">
        <w:rPr>
          <w:rFonts w:eastAsiaTheme="minorHAnsi" w:cs="Times New Roman"/>
          <w:kern w:val="0"/>
          <w:sz w:val="22"/>
          <w:szCs w:val="22"/>
          <w:lang w:eastAsia="en-US" w:bidi="ar-SA"/>
        </w:rPr>
        <w:t xml:space="preserve"> </w:t>
      </w:r>
      <w:r w:rsidR="00056483" w:rsidRPr="00B60F52">
        <w:rPr>
          <w:rFonts w:eastAsiaTheme="minorHAnsi" w:cs="Times New Roman"/>
          <w:kern w:val="0"/>
          <w:sz w:val="22"/>
          <w:szCs w:val="22"/>
          <w:lang w:eastAsia="en-US" w:bidi="ar-SA"/>
        </w:rPr>
        <w:t>an infringement of the fundamental right to water and a</w:t>
      </w:r>
      <w:r w:rsidR="003D3A8C">
        <w:rPr>
          <w:rFonts w:eastAsiaTheme="minorHAnsi" w:cs="Times New Roman"/>
          <w:kern w:val="0"/>
          <w:sz w:val="22"/>
          <w:szCs w:val="22"/>
          <w:lang w:eastAsia="en-US" w:bidi="ar-SA"/>
        </w:rPr>
        <w:t xml:space="preserve">lso a </w:t>
      </w:r>
      <w:r w:rsidR="00056483" w:rsidRPr="00B60F52">
        <w:rPr>
          <w:rFonts w:eastAsiaTheme="minorHAnsi" w:cs="Times New Roman"/>
          <w:kern w:val="0"/>
          <w:sz w:val="22"/>
          <w:szCs w:val="22"/>
          <w:lang w:eastAsia="en-US" w:bidi="ar-SA"/>
        </w:rPr>
        <w:t xml:space="preserve">threat </w:t>
      </w:r>
      <w:r w:rsidR="003D3A8C">
        <w:rPr>
          <w:rFonts w:eastAsiaTheme="minorHAnsi" w:cs="Times New Roman"/>
          <w:kern w:val="0"/>
          <w:sz w:val="22"/>
          <w:szCs w:val="22"/>
          <w:lang w:eastAsia="en-US" w:bidi="ar-SA"/>
        </w:rPr>
        <w:t xml:space="preserve">to </w:t>
      </w:r>
      <w:r w:rsidR="00056483" w:rsidRPr="00B60F52">
        <w:rPr>
          <w:rFonts w:eastAsiaTheme="minorHAnsi" w:cs="Times New Roman"/>
          <w:kern w:val="0"/>
          <w:sz w:val="22"/>
          <w:szCs w:val="22"/>
          <w:lang w:eastAsia="en-US" w:bidi="ar-SA"/>
        </w:rPr>
        <w:t>indigenous peoples</w:t>
      </w:r>
      <w:r w:rsidR="00944CD3" w:rsidRPr="00B60F52">
        <w:rPr>
          <w:rFonts w:eastAsiaTheme="minorHAnsi" w:cs="Times New Roman"/>
          <w:kern w:val="0"/>
          <w:sz w:val="22"/>
          <w:szCs w:val="22"/>
          <w:lang w:eastAsia="en-US" w:bidi="ar-SA"/>
        </w:rPr>
        <w:t xml:space="preserve">, </w:t>
      </w:r>
      <w:r w:rsidR="003D3A8C">
        <w:rPr>
          <w:rFonts w:eastAsiaTheme="minorHAnsi" w:cs="Times New Roman"/>
          <w:kern w:val="0"/>
          <w:sz w:val="22"/>
          <w:szCs w:val="22"/>
          <w:lang w:eastAsia="en-US" w:bidi="ar-SA"/>
        </w:rPr>
        <w:t xml:space="preserve">to </w:t>
      </w:r>
      <w:r w:rsidR="00944CD3" w:rsidRPr="00B60F52">
        <w:rPr>
          <w:rFonts w:eastAsiaTheme="minorHAnsi" w:cs="Times New Roman"/>
          <w:kern w:val="0"/>
          <w:sz w:val="22"/>
          <w:szCs w:val="22"/>
          <w:lang w:eastAsia="en-US" w:bidi="ar-SA"/>
        </w:rPr>
        <w:t xml:space="preserve">the environment, </w:t>
      </w:r>
      <w:r w:rsidR="003D3A8C">
        <w:rPr>
          <w:rFonts w:eastAsiaTheme="minorHAnsi" w:cs="Times New Roman"/>
          <w:kern w:val="0"/>
          <w:sz w:val="22"/>
          <w:szCs w:val="22"/>
          <w:lang w:eastAsia="en-US" w:bidi="ar-SA"/>
        </w:rPr>
        <w:t xml:space="preserve">to </w:t>
      </w:r>
      <w:r w:rsidR="00A433E1" w:rsidRPr="00B60F52">
        <w:rPr>
          <w:rFonts w:eastAsiaTheme="minorHAnsi" w:cs="Times New Roman"/>
          <w:kern w:val="0"/>
          <w:sz w:val="22"/>
          <w:szCs w:val="22"/>
          <w:lang w:eastAsia="en-US" w:bidi="ar-SA"/>
        </w:rPr>
        <w:t xml:space="preserve">biodiversity </w:t>
      </w:r>
      <w:r w:rsidR="00944CD3" w:rsidRPr="00B60F52">
        <w:rPr>
          <w:rFonts w:eastAsiaTheme="minorHAnsi" w:cs="Times New Roman"/>
          <w:kern w:val="0"/>
          <w:sz w:val="22"/>
          <w:szCs w:val="22"/>
          <w:lang w:eastAsia="en-US" w:bidi="ar-SA"/>
        </w:rPr>
        <w:t xml:space="preserve">and </w:t>
      </w:r>
      <w:r w:rsidR="003D3A8C">
        <w:rPr>
          <w:rFonts w:eastAsiaTheme="minorHAnsi" w:cs="Times New Roman"/>
          <w:kern w:val="0"/>
          <w:sz w:val="22"/>
          <w:szCs w:val="22"/>
          <w:lang w:eastAsia="en-US" w:bidi="ar-SA"/>
        </w:rPr>
        <w:t>to</w:t>
      </w:r>
      <w:r w:rsidR="006C7E4B">
        <w:rPr>
          <w:rFonts w:eastAsiaTheme="minorHAnsi" w:cs="Times New Roman"/>
          <w:kern w:val="0"/>
          <w:sz w:val="22"/>
          <w:szCs w:val="22"/>
          <w:lang w:eastAsia="en-US" w:bidi="ar-SA"/>
        </w:rPr>
        <w:t xml:space="preserve"> the </w:t>
      </w:r>
      <w:r w:rsidR="00944CD3" w:rsidRPr="00B60F52">
        <w:rPr>
          <w:rFonts w:eastAsiaTheme="minorHAnsi" w:cs="Times New Roman"/>
          <w:kern w:val="0"/>
          <w:sz w:val="22"/>
          <w:szCs w:val="22"/>
          <w:lang w:eastAsia="en-US" w:bidi="ar-SA"/>
        </w:rPr>
        <w:t>present and future generations</w:t>
      </w:r>
      <w:r w:rsidR="00A433E1" w:rsidRPr="00B60F52">
        <w:rPr>
          <w:rFonts w:eastAsiaTheme="minorHAnsi" w:cs="Times New Roman"/>
          <w:kern w:val="0"/>
          <w:sz w:val="22"/>
          <w:szCs w:val="22"/>
          <w:lang w:eastAsia="en-US" w:bidi="ar-SA"/>
        </w:rPr>
        <w:t>.</w:t>
      </w:r>
    </w:p>
    <w:p w:rsidR="000F60EF" w:rsidRPr="000F60EF" w:rsidRDefault="000F60EF" w:rsidP="000F60EF">
      <w:pPr>
        <w:pStyle w:val="Prrafodelista"/>
        <w:rPr>
          <w:rFonts w:eastAsiaTheme="minorHAnsi" w:cs="Times New Roman"/>
          <w:kern w:val="0"/>
          <w:sz w:val="22"/>
          <w:szCs w:val="22"/>
          <w:lang w:eastAsia="en-US" w:bidi="ar-SA"/>
        </w:rPr>
      </w:pPr>
    </w:p>
    <w:p w:rsidR="000F60EF" w:rsidRPr="000F60EF" w:rsidRDefault="000F60EF" w:rsidP="005D011D">
      <w:pPr>
        <w:pStyle w:val="Prrafodelista"/>
        <w:numPr>
          <w:ilvl w:val="0"/>
          <w:numId w:val="12"/>
        </w:numPr>
        <w:spacing w:line="276" w:lineRule="auto"/>
        <w:ind w:left="284" w:hanging="284"/>
        <w:jc w:val="both"/>
        <w:rPr>
          <w:rFonts w:eastAsiaTheme="minorHAnsi" w:cs="Times New Roman"/>
          <w:kern w:val="0"/>
          <w:sz w:val="22"/>
          <w:szCs w:val="22"/>
          <w:shd w:val="clear" w:color="auto" w:fill="FFFFFF"/>
          <w:lang w:eastAsia="en-US" w:bidi="ar-SA"/>
        </w:rPr>
      </w:pPr>
      <w:r w:rsidRPr="000F60EF">
        <w:rPr>
          <w:rFonts w:eastAsia="Times New Roman" w:cs="Times New Roman"/>
          <w:kern w:val="0"/>
          <w:sz w:val="22"/>
          <w:szCs w:val="22"/>
          <w:shd w:val="clear" w:color="auto" w:fill="FFFFFF"/>
          <w:lang w:eastAsia="es-PE" w:bidi="ar-SA"/>
        </w:rPr>
        <w:t xml:space="preserve">Under the </w:t>
      </w:r>
      <w:proofErr w:type="spellStart"/>
      <w:r w:rsidRPr="000F60EF">
        <w:rPr>
          <w:rFonts w:eastAsia="Times New Roman" w:cs="Times New Roman"/>
          <w:kern w:val="0"/>
          <w:sz w:val="22"/>
          <w:szCs w:val="22"/>
          <w:shd w:val="clear" w:color="auto" w:fill="FFFFFF"/>
          <w:lang w:eastAsia="es-PE" w:bidi="ar-SA"/>
        </w:rPr>
        <w:t>París</w:t>
      </w:r>
      <w:proofErr w:type="spellEnd"/>
      <w:r w:rsidRPr="000F60EF">
        <w:rPr>
          <w:rFonts w:eastAsia="Times New Roman" w:cs="Times New Roman"/>
          <w:kern w:val="0"/>
          <w:sz w:val="22"/>
          <w:szCs w:val="22"/>
          <w:shd w:val="clear" w:color="auto" w:fill="FFFFFF"/>
          <w:lang w:eastAsia="es-PE" w:bidi="ar-SA"/>
        </w:rPr>
        <w:t xml:space="preserve"> Agreement, </w:t>
      </w:r>
      <w:r w:rsidR="003A481A">
        <w:rPr>
          <w:rFonts w:eastAsia="Times New Roman" w:cs="Times New Roman"/>
          <w:kern w:val="0"/>
          <w:sz w:val="22"/>
          <w:szCs w:val="22"/>
          <w:shd w:val="clear" w:color="auto" w:fill="FFFFFF"/>
          <w:lang w:eastAsia="es-PE" w:bidi="ar-SA"/>
        </w:rPr>
        <w:t xml:space="preserve">the </w:t>
      </w:r>
      <w:r w:rsidRPr="000F60EF">
        <w:rPr>
          <w:rFonts w:eastAsia="Times New Roman" w:cs="Times New Roman"/>
          <w:kern w:val="0"/>
          <w:sz w:val="22"/>
          <w:szCs w:val="22"/>
          <w:shd w:val="clear" w:color="auto" w:fill="FFFFFF"/>
          <w:lang w:eastAsia="es-PE" w:bidi="ar-SA"/>
        </w:rPr>
        <w:t>intergenerational equity</w:t>
      </w:r>
      <w:r w:rsidR="003A481A">
        <w:rPr>
          <w:rFonts w:eastAsia="Times New Roman" w:cs="Times New Roman"/>
          <w:kern w:val="0"/>
          <w:sz w:val="22"/>
          <w:szCs w:val="22"/>
          <w:shd w:val="clear" w:color="auto" w:fill="FFFFFF"/>
          <w:lang w:eastAsia="es-PE" w:bidi="ar-SA"/>
        </w:rPr>
        <w:t xml:space="preserve"> principle</w:t>
      </w:r>
      <w:r w:rsidRPr="000F60EF">
        <w:rPr>
          <w:rFonts w:eastAsia="Times New Roman" w:cs="Times New Roman"/>
          <w:kern w:val="0"/>
          <w:sz w:val="22"/>
          <w:szCs w:val="22"/>
          <w:shd w:val="clear" w:color="auto" w:fill="FFFFFF"/>
          <w:lang w:eastAsia="es-PE" w:bidi="ar-SA"/>
        </w:rPr>
        <w:t xml:space="preserve">, the right to the future and the rights of future generations </w:t>
      </w:r>
      <w:r w:rsidRPr="000F60EF">
        <w:rPr>
          <w:rFonts w:cs="Times New Roman"/>
          <w:sz w:val="22"/>
          <w:szCs w:val="22"/>
        </w:rPr>
        <w:t>need to be an integral part of efforts to mitigate and adapt to a 1.5°C warming, at the global as well as sub-national levels. These are</w:t>
      </w:r>
      <w:r w:rsidRPr="000F60EF">
        <w:rPr>
          <w:rFonts w:eastAsia="Times New Roman" w:cs="Times New Roman"/>
          <w:kern w:val="0"/>
          <w:sz w:val="22"/>
          <w:szCs w:val="22"/>
          <w:shd w:val="clear" w:color="auto" w:fill="FFFFFF"/>
          <w:lang w:eastAsia="es-PE" w:bidi="ar-SA"/>
        </w:rPr>
        <w:t xml:space="preserve"> key topics </w:t>
      </w:r>
      <w:proofErr w:type="spellStart"/>
      <w:r w:rsidRPr="000F60EF">
        <w:rPr>
          <w:rFonts w:eastAsia="Times New Roman" w:cs="Times New Roman"/>
          <w:kern w:val="0"/>
          <w:sz w:val="22"/>
          <w:szCs w:val="22"/>
          <w:shd w:val="clear" w:color="auto" w:fill="FFFFFF"/>
          <w:lang w:eastAsia="es-PE" w:bidi="ar-SA"/>
        </w:rPr>
        <w:t>t</w:t>
      </w:r>
      <w:r w:rsidRPr="000F60EF">
        <w:rPr>
          <w:rFonts w:eastAsia="Times New Roman" w:cs="Times New Roman"/>
          <w:kern w:val="0"/>
          <w:sz w:val="22"/>
          <w:szCs w:val="22"/>
          <w:shd w:val="clear" w:color="auto" w:fill="FFFFFF"/>
          <w:lang w:val="en" w:eastAsia="es-PE" w:bidi="ar-SA"/>
        </w:rPr>
        <w:t>hat</w:t>
      </w:r>
      <w:proofErr w:type="spellEnd"/>
      <w:r w:rsidRPr="000F60EF">
        <w:rPr>
          <w:rFonts w:eastAsia="Times New Roman" w:cs="Times New Roman"/>
          <w:kern w:val="0"/>
          <w:sz w:val="22"/>
          <w:szCs w:val="22"/>
          <w:shd w:val="clear" w:color="auto" w:fill="FFFFFF"/>
          <w:lang w:val="en" w:eastAsia="es-PE" w:bidi="ar-SA"/>
        </w:rPr>
        <w:t xml:space="preserve"> are scaling up in the multilateral system, threading the way for the international mechanism for the defense of rights of future generations</w:t>
      </w:r>
      <w:r w:rsidR="005D011D">
        <w:rPr>
          <w:rFonts w:eastAsia="Times New Roman" w:cs="Times New Roman"/>
          <w:kern w:val="0"/>
          <w:sz w:val="22"/>
          <w:szCs w:val="22"/>
          <w:shd w:val="clear" w:color="auto" w:fill="FFFFFF"/>
          <w:lang w:val="en" w:eastAsia="es-PE" w:bidi="ar-SA"/>
        </w:rPr>
        <w:t xml:space="preserve">: </w:t>
      </w:r>
      <w:r w:rsidR="00F77879">
        <w:rPr>
          <w:rFonts w:eastAsia="Times New Roman" w:cs="Times New Roman"/>
          <w:kern w:val="0"/>
          <w:sz w:val="22"/>
          <w:szCs w:val="22"/>
          <w:shd w:val="clear" w:color="auto" w:fill="FFFFFF"/>
          <w:lang w:val="en" w:eastAsia="es-PE" w:bidi="ar-SA"/>
        </w:rPr>
        <w:t>t</w:t>
      </w:r>
      <w:r w:rsidR="005D011D">
        <w:rPr>
          <w:rFonts w:eastAsia="Times New Roman" w:cs="Times New Roman"/>
          <w:kern w:val="0"/>
          <w:sz w:val="22"/>
          <w:szCs w:val="22"/>
          <w:shd w:val="clear" w:color="auto" w:fill="FFFFFF"/>
          <w:lang w:val="en" w:eastAsia="es-PE" w:bidi="ar-SA"/>
        </w:rPr>
        <w:t>he Ombudsman for future generations w</w:t>
      </w:r>
      <w:proofErr w:type="spellStart"/>
      <w:r w:rsidR="00F77879" w:rsidRPr="000F60EF">
        <w:rPr>
          <w:rFonts w:eastAsiaTheme="minorHAnsi" w:cs="Times New Roman"/>
          <w:kern w:val="0"/>
          <w:sz w:val="22"/>
          <w:szCs w:val="22"/>
          <w:shd w:val="clear" w:color="auto" w:fill="FFFFFF"/>
          <w:lang w:eastAsia="en-US" w:bidi="ar-SA"/>
        </w:rPr>
        <w:t>ould</w:t>
      </w:r>
      <w:proofErr w:type="spellEnd"/>
      <w:r w:rsidRPr="000F60EF">
        <w:rPr>
          <w:rFonts w:eastAsiaTheme="minorHAnsi" w:cs="Times New Roman"/>
          <w:kern w:val="0"/>
          <w:sz w:val="22"/>
          <w:szCs w:val="22"/>
          <w:shd w:val="clear" w:color="auto" w:fill="FFFFFF"/>
          <w:lang w:eastAsia="en-US" w:bidi="ar-SA"/>
        </w:rPr>
        <w:t xml:space="preserve"> be a highly supportive innovative governance arrangement to give voice to the generations to come, through a proxy.</w:t>
      </w:r>
    </w:p>
    <w:p w:rsidR="000F60EF" w:rsidRPr="000F60EF" w:rsidRDefault="000F60EF" w:rsidP="000F60EF">
      <w:pPr>
        <w:spacing w:line="276" w:lineRule="auto"/>
        <w:jc w:val="both"/>
        <w:rPr>
          <w:rFonts w:eastAsiaTheme="minorHAnsi" w:cs="Times New Roman"/>
          <w:kern w:val="0"/>
          <w:sz w:val="22"/>
          <w:szCs w:val="22"/>
          <w:lang w:eastAsia="en-US" w:bidi="ar-SA"/>
        </w:rPr>
      </w:pPr>
    </w:p>
    <w:p w:rsidR="00B60F52" w:rsidRDefault="00B60F52" w:rsidP="00B60F52">
      <w:pPr>
        <w:pStyle w:val="Prrafodelista"/>
        <w:numPr>
          <w:ilvl w:val="0"/>
          <w:numId w:val="12"/>
        </w:numPr>
        <w:spacing w:line="276" w:lineRule="auto"/>
        <w:ind w:left="284" w:hanging="284"/>
        <w:jc w:val="both"/>
        <w:rPr>
          <w:rFonts w:eastAsiaTheme="minorHAnsi" w:cs="Times New Roman"/>
          <w:kern w:val="0"/>
          <w:sz w:val="22"/>
          <w:szCs w:val="22"/>
          <w:lang w:eastAsia="en-US" w:bidi="ar-SA"/>
        </w:rPr>
      </w:pPr>
      <w:r w:rsidRPr="00DE34E0">
        <w:rPr>
          <w:rFonts w:eastAsiaTheme="minorHAnsi" w:cs="Times New Roman"/>
          <w:kern w:val="0"/>
          <w:sz w:val="22"/>
          <w:szCs w:val="22"/>
          <w:lang w:eastAsia="en-US" w:bidi="ar-SA"/>
        </w:rPr>
        <w:t>In this regard,</w:t>
      </w:r>
      <w:r w:rsidRPr="00B60F52">
        <w:rPr>
          <w:rFonts w:eastAsiaTheme="minorHAnsi" w:cs="Times New Roman"/>
          <w:kern w:val="0"/>
          <w:sz w:val="22"/>
          <w:szCs w:val="22"/>
          <w:lang w:eastAsia="en-US" w:bidi="ar-SA"/>
        </w:rPr>
        <w:t xml:space="preserve"> we must point out that the next Special Report of the Intergovernmental Panel on Climate Change (IPCC) on global warming of 1.5ºC (SR15) makes consistent</w:t>
      </w:r>
      <w:r w:rsidR="00D14B03">
        <w:rPr>
          <w:rFonts w:eastAsiaTheme="minorHAnsi" w:cs="Times New Roman"/>
          <w:kern w:val="0"/>
          <w:sz w:val="22"/>
          <w:szCs w:val="22"/>
          <w:lang w:eastAsia="en-US" w:bidi="ar-SA"/>
        </w:rPr>
        <w:t xml:space="preserve"> </w:t>
      </w:r>
      <w:r w:rsidRPr="00B60F52">
        <w:rPr>
          <w:rFonts w:eastAsiaTheme="minorHAnsi" w:cs="Times New Roman"/>
          <w:kern w:val="0"/>
          <w:sz w:val="22"/>
          <w:szCs w:val="22"/>
          <w:lang w:eastAsia="en-US" w:bidi="ar-SA"/>
        </w:rPr>
        <w:t>references to intergenerational equity</w:t>
      </w:r>
      <w:r w:rsidR="009A2FC3">
        <w:rPr>
          <w:rFonts w:eastAsiaTheme="minorHAnsi" w:cs="Times New Roman"/>
          <w:kern w:val="0"/>
          <w:sz w:val="22"/>
          <w:szCs w:val="22"/>
          <w:lang w:eastAsia="en-US" w:bidi="ar-SA"/>
        </w:rPr>
        <w:t xml:space="preserve">, intergenerational ethics </w:t>
      </w:r>
      <w:r w:rsidR="00D14B03">
        <w:rPr>
          <w:rFonts w:eastAsiaTheme="minorHAnsi" w:cs="Times New Roman"/>
          <w:kern w:val="0"/>
          <w:sz w:val="22"/>
          <w:szCs w:val="22"/>
          <w:lang w:eastAsia="en-US" w:bidi="ar-SA"/>
        </w:rPr>
        <w:t xml:space="preserve">and </w:t>
      </w:r>
      <w:r w:rsidRPr="00B60F52">
        <w:rPr>
          <w:rFonts w:eastAsiaTheme="minorHAnsi" w:cs="Times New Roman"/>
          <w:kern w:val="0"/>
          <w:sz w:val="22"/>
          <w:szCs w:val="22"/>
          <w:lang w:eastAsia="en-US" w:bidi="ar-SA"/>
        </w:rPr>
        <w:t>future generations, revealing the growing trend of these</w:t>
      </w:r>
      <w:r w:rsidR="00D14B03">
        <w:rPr>
          <w:rFonts w:eastAsiaTheme="minorHAnsi" w:cs="Times New Roman"/>
          <w:kern w:val="0"/>
          <w:sz w:val="22"/>
          <w:szCs w:val="22"/>
          <w:lang w:eastAsia="en-US" w:bidi="ar-SA"/>
        </w:rPr>
        <w:t xml:space="preserve"> matters </w:t>
      </w:r>
      <w:r w:rsidRPr="00B60F52">
        <w:rPr>
          <w:rFonts w:eastAsiaTheme="minorHAnsi" w:cs="Times New Roman"/>
          <w:kern w:val="0"/>
          <w:sz w:val="22"/>
          <w:szCs w:val="22"/>
          <w:lang w:eastAsia="en-US" w:bidi="ar-SA"/>
        </w:rPr>
        <w:t>in the international debate.</w:t>
      </w:r>
    </w:p>
    <w:p w:rsidR="003D3A8C" w:rsidRPr="003D3A8C" w:rsidRDefault="003D3A8C" w:rsidP="003D3A8C">
      <w:pPr>
        <w:spacing w:line="276" w:lineRule="auto"/>
        <w:jc w:val="both"/>
        <w:rPr>
          <w:rFonts w:eastAsiaTheme="minorHAnsi" w:cs="Times New Roman"/>
          <w:kern w:val="0"/>
          <w:sz w:val="22"/>
          <w:szCs w:val="22"/>
          <w:lang w:eastAsia="en-US" w:bidi="ar-SA"/>
        </w:rPr>
      </w:pPr>
    </w:p>
    <w:p w:rsidR="003D3A8C" w:rsidRDefault="003D3A8C" w:rsidP="00A433E1">
      <w:pPr>
        <w:spacing w:line="276" w:lineRule="auto"/>
        <w:jc w:val="both"/>
        <w:rPr>
          <w:rFonts w:eastAsiaTheme="minorHAnsi" w:cs="Times New Roman"/>
          <w:kern w:val="0"/>
          <w:sz w:val="22"/>
          <w:szCs w:val="22"/>
          <w:lang w:eastAsia="en-US" w:bidi="ar-SA"/>
        </w:rPr>
      </w:pPr>
    </w:p>
    <w:p w:rsidR="00633F57" w:rsidRPr="003D3A8C" w:rsidRDefault="00FA7C60" w:rsidP="00FA7C60">
      <w:pPr>
        <w:spacing w:line="276" w:lineRule="auto"/>
        <w:ind w:left="360" w:hanging="360"/>
        <w:jc w:val="right"/>
        <w:rPr>
          <w:rFonts w:cs="Times New Roman"/>
          <w:sz w:val="22"/>
          <w:szCs w:val="22"/>
        </w:rPr>
      </w:pPr>
      <w:r w:rsidRPr="003D3A8C">
        <w:rPr>
          <w:rFonts w:cs="Times New Roman"/>
          <w:sz w:val="22"/>
          <w:szCs w:val="22"/>
        </w:rPr>
        <w:t>Lima, September 1</w:t>
      </w:r>
      <w:r w:rsidR="00C6443F" w:rsidRPr="003D3A8C">
        <w:rPr>
          <w:rFonts w:cs="Times New Roman"/>
          <w:sz w:val="22"/>
          <w:szCs w:val="22"/>
        </w:rPr>
        <w:t>5</w:t>
      </w:r>
      <w:r w:rsidRPr="003D3A8C">
        <w:rPr>
          <w:rFonts w:cs="Times New Roman"/>
          <w:sz w:val="22"/>
          <w:szCs w:val="22"/>
          <w:vertAlign w:val="superscript"/>
        </w:rPr>
        <w:t>th</w:t>
      </w:r>
      <w:r w:rsidRPr="003D3A8C">
        <w:rPr>
          <w:rFonts w:cs="Times New Roman"/>
          <w:kern w:val="24"/>
          <w:sz w:val="22"/>
          <w:szCs w:val="22"/>
        </w:rPr>
        <w:t>, 2017</w:t>
      </w:r>
      <w:r w:rsidRPr="003D3A8C">
        <w:rPr>
          <w:rFonts w:cs="Times New Roman"/>
          <w:sz w:val="22"/>
          <w:szCs w:val="22"/>
        </w:rPr>
        <w:t xml:space="preserve">  </w:t>
      </w:r>
    </w:p>
    <w:p w:rsidR="00633F57" w:rsidRDefault="00633F57" w:rsidP="00773448">
      <w:pPr>
        <w:spacing w:line="276" w:lineRule="auto"/>
        <w:ind w:left="360" w:hanging="360"/>
        <w:jc w:val="right"/>
        <w:rPr>
          <w:rFonts w:cs="Times New Roman"/>
          <w:sz w:val="22"/>
          <w:szCs w:val="22"/>
        </w:rPr>
      </w:pPr>
    </w:p>
    <w:p w:rsidR="005D011D" w:rsidRPr="00F134F8" w:rsidRDefault="005D011D" w:rsidP="00773448">
      <w:pPr>
        <w:spacing w:line="276" w:lineRule="auto"/>
        <w:ind w:left="360" w:hanging="360"/>
        <w:jc w:val="right"/>
        <w:rPr>
          <w:rFonts w:cs="Times New Roman"/>
          <w:sz w:val="22"/>
          <w:szCs w:val="22"/>
        </w:rPr>
      </w:pPr>
    </w:p>
    <w:p w:rsidR="00D14B03" w:rsidRPr="003D3A8C" w:rsidRDefault="00D14B03" w:rsidP="00D14B03">
      <w:pPr>
        <w:shd w:val="clear" w:color="auto" w:fill="FFFFFF"/>
        <w:jc w:val="right"/>
        <w:rPr>
          <w:rFonts w:cs="Times New Roman"/>
          <w:sz w:val="22"/>
          <w:szCs w:val="22"/>
        </w:rPr>
      </w:pPr>
      <w:r w:rsidRPr="003D3A8C">
        <w:rPr>
          <w:rFonts w:cs="Times New Roman"/>
          <w:sz w:val="22"/>
          <w:szCs w:val="22"/>
        </w:rPr>
        <w:t xml:space="preserve">Erick </w:t>
      </w:r>
      <w:proofErr w:type="spellStart"/>
      <w:r w:rsidRPr="003D3A8C">
        <w:rPr>
          <w:rFonts w:cs="Times New Roman"/>
          <w:sz w:val="22"/>
          <w:szCs w:val="22"/>
        </w:rPr>
        <w:t>Pajares</w:t>
      </w:r>
      <w:proofErr w:type="spellEnd"/>
      <w:r w:rsidRPr="003D3A8C">
        <w:rPr>
          <w:rFonts w:cs="Times New Roman"/>
          <w:sz w:val="22"/>
          <w:szCs w:val="22"/>
        </w:rPr>
        <w:t xml:space="preserve"> G.</w:t>
      </w:r>
    </w:p>
    <w:p w:rsidR="00D14B03" w:rsidRPr="00D14B03" w:rsidRDefault="00D14B03" w:rsidP="00D14B03">
      <w:pPr>
        <w:shd w:val="clear" w:color="auto" w:fill="FFFFFF"/>
        <w:jc w:val="right"/>
        <w:rPr>
          <w:rFonts w:cs="Times New Roman"/>
          <w:sz w:val="20"/>
          <w:szCs w:val="20"/>
          <w:lang w:val="es-PE"/>
        </w:rPr>
      </w:pPr>
      <w:r w:rsidRPr="003D3A8C">
        <w:rPr>
          <w:rFonts w:cs="Times New Roman"/>
          <w:sz w:val="22"/>
          <w:szCs w:val="22"/>
          <w:lang w:val="es-PE"/>
        </w:rPr>
        <w:t>CEO</w:t>
      </w:r>
    </w:p>
    <w:p w:rsidR="00D14B03" w:rsidRPr="00773448" w:rsidRDefault="00D14B03" w:rsidP="00D14B03">
      <w:pPr>
        <w:shd w:val="clear" w:color="auto" w:fill="FFFFFF"/>
        <w:jc w:val="right"/>
        <w:rPr>
          <w:rFonts w:cs="Times New Roman"/>
          <w:color w:val="767171" w:themeColor="background2" w:themeShade="80"/>
          <w:sz w:val="18"/>
          <w:szCs w:val="18"/>
          <w:lang w:val="es-PE"/>
        </w:rPr>
      </w:pPr>
      <w:r w:rsidRPr="00773448">
        <w:rPr>
          <w:rFonts w:cs="Times New Roman"/>
          <w:color w:val="767171" w:themeColor="background2" w:themeShade="80"/>
          <w:sz w:val="18"/>
          <w:szCs w:val="18"/>
          <w:lang w:val="es-PE"/>
        </w:rPr>
        <w:t>Biosfera - Investigación de Futuros</w:t>
      </w:r>
    </w:p>
    <w:p w:rsidR="00D14B03" w:rsidRPr="00773448" w:rsidRDefault="00D14B03" w:rsidP="00D14B03">
      <w:pPr>
        <w:shd w:val="clear" w:color="auto" w:fill="FFFFFF"/>
        <w:jc w:val="right"/>
        <w:rPr>
          <w:rFonts w:eastAsia="Times New Roman" w:cs="Times New Roman"/>
          <w:color w:val="767171" w:themeColor="background2" w:themeShade="80"/>
          <w:sz w:val="18"/>
          <w:szCs w:val="18"/>
          <w:lang w:val="es-PE" w:eastAsia="es-PE"/>
        </w:rPr>
      </w:pPr>
      <w:r w:rsidRPr="00773448">
        <w:rPr>
          <w:rFonts w:eastAsia="Times New Roman" w:cs="Times New Roman"/>
          <w:color w:val="767171" w:themeColor="background2" w:themeShade="80"/>
          <w:sz w:val="18"/>
          <w:szCs w:val="18"/>
          <w:lang w:val="es-PE" w:eastAsia="es-PE"/>
        </w:rPr>
        <w:t>Oficina: Telefax (51-1) 650-3150</w:t>
      </w:r>
    </w:p>
    <w:p w:rsidR="00D14B03" w:rsidRPr="00777C22" w:rsidRDefault="00D14B03" w:rsidP="00D14B03">
      <w:pPr>
        <w:shd w:val="clear" w:color="auto" w:fill="FFFFFF"/>
        <w:jc w:val="right"/>
        <w:rPr>
          <w:rFonts w:eastAsia="Times New Roman" w:cs="Times New Roman"/>
          <w:color w:val="767171" w:themeColor="background2" w:themeShade="80"/>
          <w:sz w:val="18"/>
          <w:szCs w:val="18"/>
          <w:lang w:val="es-PE" w:eastAsia="es-PE"/>
        </w:rPr>
      </w:pPr>
      <w:r w:rsidRPr="00777C22">
        <w:rPr>
          <w:rFonts w:eastAsia="Times New Roman" w:cs="Times New Roman"/>
          <w:color w:val="767171" w:themeColor="background2" w:themeShade="80"/>
          <w:sz w:val="18"/>
          <w:szCs w:val="18"/>
          <w:lang w:val="es-PE" w:eastAsia="es-PE"/>
        </w:rPr>
        <w:t>Móvil 1: (51) 940761948</w:t>
      </w:r>
    </w:p>
    <w:p w:rsidR="00D14B03" w:rsidRPr="00777C22" w:rsidRDefault="00D14B03" w:rsidP="00D14B03">
      <w:pPr>
        <w:shd w:val="clear" w:color="auto" w:fill="FFFFFF"/>
        <w:jc w:val="right"/>
        <w:rPr>
          <w:rFonts w:eastAsia="Times New Roman" w:cs="Times New Roman"/>
          <w:color w:val="767171" w:themeColor="background2" w:themeShade="80"/>
          <w:sz w:val="18"/>
          <w:szCs w:val="18"/>
          <w:lang w:val="es-PE" w:eastAsia="es-PE"/>
        </w:rPr>
      </w:pPr>
      <w:r w:rsidRPr="00777C22">
        <w:rPr>
          <w:rFonts w:eastAsia="Times New Roman" w:cs="Times New Roman"/>
          <w:color w:val="767171" w:themeColor="background2" w:themeShade="80"/>
          <w:sz w:val="18"/>
          <w:szCs w:val="18"/>
          <w:lang w:val="es-PE" w:eastAsia="es-PE"/>
        </w:rPr>
        <w:t>Móvil 2: (51) 940</w:t>
      </w:r>
      <w:r w:rsidRPr="00773448">
        <w:rPr>
          <w:rFonts w:cs="Times New Roman"/>
          <w:color w:val="767171" w:themeColor="background2" w:themeShade="80"/>
          <w:sz w:val="18"/>
          <w:szCs w:val="18"/>
          <w:lang w:val="es-MX" w:eastAsia="es-PE"/>
        </w:rPr>
        <w:t>752914</w:t>
      </w:r>
    </w:p>
    <w:p w:rsidR="00794752" w:rsidRPr="00777C22" w:rsidRDefault="0068770B" w:rsidP="0068770B">
      <w:pPr>
        <w:tabs>
          <w:tab w:val="left" w:pos="2468"/>
          <w:tab w:val="right" w:pos="8838"/>
        </w:tabs>
        <w:spacing w:line="276" w:lineRule="auto"/>
        <w:ind w:firstLine="708"/>
        <w:rPr>
          <w:rFonts w:cs="Times New Roman"/>
          <w:sz w:val="18"/>
          <w:szCs w:val="18"/>
          <w:lang w:val="es-PE"/>
        </w:rPr>
      </w:pPr>
      <w:r w:rsidRPr="00777C22">
        <w:rPr>
          <w:rFonts w:cs="Times New Roman"/>
          <w:sz w:val="18"/>
          <w:szCs w:val="18"/>
          <w:lang w:val="es-PE"/>
        </w:rPr>
        <w:tab/>
      </w:r>
      <w:r w:rsidRPr="00777C22">
        <w:rPr>
          <w:rFonts w:cs="Times New Roman"/>
          <w:sz w:val="18"/>
          <w:szCs w:val="18"/>
          <w:lang w:val="es-PE"/>
        </w:rPr>
        <w:tab/>
      </w:r>
      <w:hyperlink r:id="rId8" w:history="1">
        <w:r w:rsidR="00D14B03" w:rsidRPr="00777C22">
          <w:rPr>
            <w:rStyle w:val="Hipervnculo"/>
            <w:rFonts w:cs="Times New Roman"/>
            <w:sz w:val="18"/>
            <w:szCs w:val="18"/>
            <w:lang w:val="es-PE"/>
          </w:rPr>
          <w:t>epg.ceo@biosferafuturos.com</w:t>
        </w:r>
      </w:hyperlink>
    </w:p>
    <w:sectPr w:rsidR="00794752" w:rsidRPr="00777C22" w:rsidSect="00805D30">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BB" w:rsidRDefault="00AC06BB" w:rsidP="001C26BA">
      <w:r>
        <w:separator/>
      </w:r>
    </w:p>
  </w:endnote>
  <w:endnote w:type="continuationSeparator" w:id="0">
    <w:p w:rsidR="00AC06BB" w:rsidRDefault="00AC06BB" w:rsidP="001C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64926"/>
      <w:docPartObj>
        <w:docPartGallery w:val="Page Numbers (Bottom of Page)"/>
        <w:docPartUnique/>
      </w:docPartObj>
    </w:sdtPr>
    <w:sdtEndPr>
      <w:rPr>
        <w:sz w:val="18"/>
        <w:szCs w:val="18"/>
      </w:rPr>
    </w:sdtEndPr>
    <w:sdtContent>
      <w:p w:rsidR="00DC5CC2" w:rsidRPr="00DC5CC2" w:rsidRDefault="00DC5CC2">
        <w:pPr>
          <w:pStyle w:val="Piedepgina"/>
          <w:jc w:val="right"/>
          <w:rPr>
            <w:sz w:val="18"/>
            <w:szCs w:val="18"/>
          </w:rPr>
        </w:pPr>
        <w:r w:rsidRPr="00DC5CC2">
          <w:rPr>
            <w:sz w:val="18"/>
            <w:szCs w:val="18"/>
          </w:rPr>
          <w:fldChar w:fldCharType="begin"/>
        </w:r>
        <w:r w:rsidRPr="00DC5CC2">
          <w:rPr>
            <w:sz w:val="18"/>
            <w:szCs w:val="18"/>
          </w:rPr>
          <w:instrText>PAGE   \* MERGEFORMAT</w:instrText>
        </w:r>
        <w:r w:rsidRPr="00DC5CC2">
          <w:rPr>
            <w:sz w:val="18"/>
            <w:szCs w:val="18"/>
          </w:rPr>
          <w:fldChar w:fldCharType="separate"/>
        </w:r>
        <w:r w:rsidR="00DE34E0" w:rsidRPr="00DE34E0">
          <w:rPr>
            <w:noProof/>
            <w:sz w:val="18"/>
            <w:szCs w:val="18"/>
            <w:lang w:val="es-ES"/>
          </w:rPr>
          <w:t>5</w:t>
        </w:r>
        <w:r w:rsidRPr="00DC5CC2">
          <w:rPr>
            <w:sz w:val="18"/>
            <w:szCs w:val="18"/>
          </w:rPr>
          <w:fldChar w:fldCharType="end"/>
        </w:r>
      </w:p>
    </w:sdtContent>
  </w:sdt>
  <w:p w:rsidR="00DC5CC2" w:rsidRDefault="00DC5C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24394"/>
      <w:docPartObj>
        <w:docPartGallery w:val="Page Numbers (Bottom of Page)"/>
        <w:docPartUnique/>
      </w:docPartObj>
    </w:sdtPr>
    <w:sdtEndPr>
      <w:rPr>
        <w:sz w:val="18"/>
        <w:szCs w:val="18"/>
      </w:rPr>
    </w:sdtEndPr>
    <w:sdtContent>
      <w:p w:rsidR="00DC5CC2" w:rsidRPr="00DC5CC2" w:rsidRDefault="00DC5CC2">
        <w:pPr>
          <w:pStyle w:val="Piedepgina"/>
          <w:jc w:val="right"/>
          <w:rPr>
            <w:sz w:val="18"/>
            <w:szCs w:val="18"/>
          </w:rPr>
        </w:pPr>
        <w:r w:rsidRPr="00DC5CC2">
          <w:rPr>
            <w:sz w:val="18"/>
            <w:szCs w:val="18"/>
          </w:rPr>
          <w:fldChar w:fldCharType="begin"/>
        </w:r>
        <w:r w:rsidRPr="00DC5CC2">
          <w:rPr>
            <w:sz w:val="18"/>
            <w:szCs w:val="18"/>
          </w:rPr>
          <w:instrText>PAGE   \* MERGEFORMAT</w:instrText>
        </w:r>
        <w:r w:rsidRPr="00DC5CC2">
          <w:rPr>
            <w:sz w:val="18"/>
            <w:szCs w:val="18"/>
          </w:rPr>
          <w:fldChar w:fldCharType="separate"/>
        </w:r>
        <w:r w:rsidR="00DE34E0" w:rsidRPr="00DE34E0">
          <w:rPr>
            <w:noProof/>
            <w:sz w:val="18"/>
            <w:szCs w:val="18"/>
            <w:lang w:val="es-ES"/>
          </w:rPr>
          <w:t>1</w:t>
        </w:r>
        <w:r w:rsidRPr="00DC5CC2">
          <w:rPr>
            <w:sz w:val="18"/>
            <w:szCs w:val="18"/>
          </w:rPr>
          <w:fldChar w:fldCharType="end"/>
        </w:r>
      </w:p>
    </w:sdtContent>
  </w:sdt>
  <w:p w:rsidR="00DC5CC2" w:rsidRDefault="00DC5C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BB" w:rsidRDefault="00AC06BB" w:rsidP="001C26BA">
      <w:r>
        <w:separator/>
      </w:r>
    </w:p>
  </w:footnote>
  <w:footnote w:type="continuationSeparator" w:id="0">
    <w:p w:rsidR="00AC06BB" w:rsidRDefault="00AC06BB" w:rsidP="001C26BA">
      <w:r>
        <w:continuationSeparator/>
      </w:r>
    </w:p>
  </w:footnote>
  <w:footnote w:id="1">
    <w:p w:rsidR="009C75D9" w:rsidRPr="002E5B51" w:rsidRDefault="009C75D9" w:rsidP="00976C18">
      <w:pPr>
        <w:pStyle w:val="Textonotapie"/>
        <w:jc w:val="both"/>
        <w:rPr>
          <w:rFonts w:cs="Times New Roman"/>
          <w:sz w:val="18"/>
        </w:rPr>
      </w:pPr>
      <w:r w:rsidRPr="002E5B51">
        <w:rPr>
          <w:rStyle w:val="Refdenotaalpie"/>
          <w:rFonts w:cs="Times New Roman"/>
          <w:sz w:val="18"/>
        </w:rPr>
        <w:footnoteRef/>
      </w:r>
      <w:r w:rsidRPr="002E5B51">
        <w:rPr>
          <w:rFonts w:cs="Times New Roman"/>
          <w:sz w:val="18"/>
        </w:rPr>
        <w:t xml:space="preserve"> </w:t>
      </w:r>
      <w:r w:rsidR="00B60F52" w:rsidRPr="002E5B51">
        <w:rPr>
          <w:rFonts w:cs="Times New Roman"/>
          <w:sz w:val="18"/>
        </w:rPr>
        <w:t>Contributions for the S</w:t>
      </w:r>
      <w:r w:rsidR="00B60F52" w:rsidRPr="002E5B51">
        <w:rPr>
          <w:sz w:val="18"/>
        </w:rPr>
        <w:t xml:space="preserve">pecial Rapporteur’s next thematic report </w:t>
      </w:r>
      <w:r w:rsidR="0068770B" w:rsidRPr="002E5B51">
        <w:rPr>
          <w:sz w:val="18"/>
        </w:rPr>
        <w:t>that will f</w:t>
      </w:r>
      <w:r w:rsidR="00B60F52" w:rsidRPr="002E5B51">
        <w:rPr>
          <w:sz w:val="18"/>
        </w:rPr>
        <w:t>ocus</w:t>
      </w:r>
      <w:r w:rsidR="0068770B" w:rsidRPr="002E5B51">
        <w:rPr>
          <w:sz w:val="18"/>
        </w:rPr>
        <w:t xml:space="preserve"> </w:t>
      </w:r>
      <w:r w:rsidR="00B60F52" w:rsidRPr="002E5B51">
        <w:rPr>
          <w:sz w:val="18"/>
        </w:rPr>
        <w:t>on obligations relating to the rights of children and future generations</w:t>
      </w:r>
      <w:r w:rsidR="00805D30" w:rsidRPr="002E5B51">
        <w:rPr>
          <w:sz w:val="18"/>
        </w:rPr>
        <w:t xml:space="preserve">, </w:t>
      </w:r>
      <w:r w:rsidR="00B60F52" w:rsidRPr="002E5B51">
        <w:rPr>
          <w:sz w:val="18"/>
        </w:rPr>
        <w:t>p</w:t>
      </w:r>
      <w:r w:rsidRPr="002E5B51">
        <w:rPr>
          <w:rFonts w:cs="Times New Roman"/>
          <w:sz w:val="18"/>
        </w:rPr>
        <w:t xml:space="preserve">repared by Erick </w:t>
      </w:r>
      <w:proofErr w:type="spellStart"/>
      <w:r w:rsidRPr="002E5B51">
        <w:rPr>
          <w:rFonts w:cs="Times New Roman"/>
          <w:sz w:val="18"/>
        </w:rPr>
        <w:t>Pajares</w:t>
      </w:r>
      <w:proofErr w:type="spellEnd"/>
      <w:r w:rsidRPr="002E5B51">
        <w:rPr>
          <w:rFonts w:cs="Times New Roman"/>
          <w:sz w:val="18"/>
        </w:rPr>
        <w:t xml:space="preserve"> G., on </w:t>
      </w:r>
      <w:r w:rsidR="00372BD7" w:rsidRPr="002E5B51">
        <w:rPr>
          <w:rFonts w:cs="Times New Roman"/>
          <w:sz w:val="18"/>
        </w:rPr>
        <w:t>behalf</w:t>
      </w:r>
      <w:r w:rsidRPr="002E5B51">
        <w:rPr>
          <w:rFonts w:cs="Times New Roman"/>
          <w:sz w:val="18"/>
        </w:rPr>
        <w:t xml:space="preserve"> of</w:t>
      </w:r>
      <w:r w:rsidR="0068770B" w:rsidRPr="002E5B51">
        <w:rPr>
          <w:rFonts w:cs="Times New Roman"/>
          <w:sz w:val="18"/>
        </w:rPr>
        <w:t xml:space="preserve"> </w:t>
      </w:r>
      <w:r w:rsidRPr="002E5B51">
        <w:rPr>
          <w:rFonts w:cs="Times New Roman"/>
          <w:sz w:val="18"/>
        </w:rPr>
        <w:t xml:space="preserve">The Biosphere Group - Think Tank on Sustainable Futures Research and the Regional Office for Latin America (ORLA) of </w:t>
      </w:r>
      <w:proofErr w:type="spellStart"/>
      <w:r w:rsidRPr="002E5B51">
        <w:rPr>
          <w:rFonts w:cs="Times New Roman"/>
          <w:sz w:val="18"/>
        </w:rPr>
        <w:t>terre</w:t>
      </w:r>
      <w:proofErr w:type="spellEnd"/>
      <w:r w:rsidRPr="002E5B51">
        <w:rPr>
          <w:rFonts w:cs="Times New Roman"/>
          <w:sz w:val="18"/>
        </w:rPr>
        <w:t xml:space="preserve"> des </w:t>
      </w:r>
      <w:proofErr w:type="spellStart"/>
      <w:r w:rsidRPr="002E5B51">
        <w:rPr>
          <w:rFonts w:cs="Times New Roman"/>
          <w:sz w:val="18"/>
        </w:rPr>
        <w:t>hommes</w:t>
      </w:r>
      <w:proofErr w:type="spellEnd"/>
      <w:r w:rsidRPr="002E5B51">
        <w:rPr>
          <w:rFonts w:cs="Times New Roman"/>
          <w:sz w:val="18"/>
        </w:rPr>
        <w:t xml:space="preserve"> - </w:t>
      </w:r>
      <w:proofErr w:type="spellStart"/>
      <w:r w:rsidRPr="002E5B51">
        <w:rPr>
          <w:rFonts w:cs="Times New Roman"/>
          <w:sz w:val="18"/>
        </w:rPr>
        <w:t>tdh</w:t>
      </w:r>
      <w:proofErr w:type="spellEnd"/>
      <w:r w:rsidRPr="002E5B51">
        <w:rPr>
          <w:rFonts w:cs="Times New Roman"/>
          <w:sz w:val="18"/>
        </w:rPr>
        <w:t xml:space="preserve"> Germany.</w:t>
      </w:r>
    </w:p>
  </w:footnote>
  <w:footnote w:id="2">
    <w:p w:rsidR="00976C18" w:rsidRPr="002E5B51" w:rsidRDefault="00976C18" w:rsidP="00976C18">
      <w:pPr>
        <w:pStyle w:val="Textonotapie"/>
        <w:jc w:val="both"/>
        <w:rPr>
          <w:rFonts w:cs="Times New Roman"/>
          <w:sz w:val="18"/>
        </w:rPr>
      </w:pPr>
      <w:r w:rsidRPr="002E5B51">
        <w:rPr>
          <w:rStyle w:val="Refdenotaalpie"/>
          <w:rFonts w:cs="Times New Roman"/>
          <w:sz w:val="18"/>
        </w:rPr>
        <w:footnoteRef/>
      </w:r>
      <w:r w:rsidRPr="002E5B51">
        <w:rPr>
          <w:rFonts w:cs="Times New Roman"/>
          <w:sz w:val="18"/>
        </w:rPr>
        <w:t xml:space="preserve"> </w:t>
      </w:r>
      <w:proofErr w:type="spellStart"/>
      <w:r w:rsidRPr="002E5B51">
        <w:rPr>
          <w:rFonts w:cs="Times New Roman"/>
          <w:sz w:val="18"/>
        </w:rPr>
        <w:t>Hallegatte</w:t>
      </w:r>
      <w:proofErr w:type="spellEnd"/>
      <w:r w:rsidRPr="002E5B51">
        <w:rPr>
          <w:rFonts w:cs="Times New Roman"/>
          <w:sz w:val="18"/>
        </w:rPr>
        <w:t xml:space="preserve">, </w:t>
      </w:r>
      <w:proofErr w:type="spellStart"/>
      <w:r w:rsidRPr="002E5B51">
        <w:rPr>
          <w:rFonts w:cs="Times New Roman"/>
          <w:sz w:val="18"/>
        </w:rPr>
        <w:t>Stephane</w:t>
      </w:r>
      <w:proofErr w:type="spellEnd"/>
      <w:r w:rsidRPr="002E5B51">
        <w:rPr>
          <w:rFonts w:cs="Times New Roman"/>
          <w:sz w:val="18"/>
        </w:rPr>
        <w:t xml:space="preserve"> et al. </w:t>
      </w:r>
      <w:r w:rsidRPr="002E5B51">
        <w:rPr>
          <w:rFonts w:cs="Times New Roman"/>
          <w:i/>
          <w:iCs/>
          <w:sz w:val="18"/>
        </w:rPr>
        <w:t>Unbreakable: Building the Resilience of the Poor in the Face of Natural Disasters.</w:t>
      </w:r>
      <w:r w:rsidRPr="002E5B51">
        <w:rPr>
          <w:rFonts w:cs="Times New Roman"/>
          <w:sz w:val="18"/>
        </w:rPr>
        <w:t> </w:t>
      </w:r>
      <w:r w:rsidRPr="002E5B51">
        <w:rPr>
          <w:rFonts w:cs="Times New Roman"/>
          <w:i/>
          <w:sz w:val="18"/>
        </w:rPr>
        <w:t xml:space="preserve">Climate Change and Development. </w:t>
      </w:r>
      <w:r w:rsidRPr="002E5B51">
        <w:rPr>
          <w:rFonts w:cs="Times New Roman"/>
          <w:sz w:val="18"/>
        </w:rPr>
        <w:t>Washington, DC: World Bank, 2017.</w:t>
      </w:r>
    </w:p>
  </w:footnote>
  <w:footnote w:id="3">
    <w:p w:rsidR="005D3608" w:rsidRPr="002E5B51" w:rsidRDefault="005D3608" w:rsidP="00976C18">
      <w:pPr>
        <w:jc w:val="both"/>
        <w:rPr>
          <w:rFonts w:cs="Times New Roman"/>
          <w:sz w:val="18"/>
          <w:szCs w:val="18"/>
        </w:rPr>
      </w:pPr>
      <w:r w:rsidRPr="002E5B51">
        <w:rPr>
          <w:rStyle w:val="Refdenotaalpie"/>
          <w:rFonts w:cs="Times New Roman"/>
          <w:sz w:val="18"/>
          <w:szCs w:val="18"/>
        </w:rPr>
        <w:footnoteRef/>
      </w:r>
      <w:r w:rsidRPr="002E5B51">
        <w:rPr>
          <w:rFonts w:cs="Times New Roman"/>
          <w:sz w:val="18"/>
          <w:szCs w:val="18"/>
        </w:rPr>
        <w:t xml:space="preserve"> </w:t>
      </w:r>
      <w:proofErr w:type="spellStart"/>
      <w:r w:rsidRPr="002E5B51">
        <w:rPr>
          <w:rFonts w:cs="Times New Roman"/>
          <w:sz w:val="18"/>
          <w:szCs w:val="18"/>
        </w:rPr>
        <w:t>Bustelo</w:t>
      </w:r>
      <w:proofErr w:type="spellEnd"/>
      <w:r w:rsidRPr="002E5B51">
        <w:rPr>
          <w:rFonts w:cs="Times New Roman"/>
          <w:sz w:val="18"/>
          <w:szCs w:val="18"/>
        </w:rPr>
        <w:t xml:space="preserve">, Monserrat. </w:t>
      </w:r>
      <w:r w:rsidRPr="002E5B51">
        <w:rPr>
          <w:rFonts w:cs="Times New Roman"/>
          <w:i/>
          <w:sz w:val="18"/>
          <w:szCs w:val="18"/>
        </w:rPr>
        <w:t>Bearing the Burden of Natural Disasters: Child Labor and Schooling in the Aftermath of the Tropical Storm Stan in Guatemala</w:t>
      </w:r>
      <w:r w:rsidRPr="002E5B51">
        <w:rPr>
          <w:rFonts w:cs="Times New Roman"/>
          <w:i/>
          <w:sz w:val="18"/>
          <w:szCs w:val="18"/>
          <w:lang w:eastAsia="es-PE"/>
        </w:rPr>
        <w:t>.</w:t>
      </w:r>
      <w:r w:rsidRPr="002E5B51">
        <w:rPr>
          <w:rFonts w:cs="Times New Roman"/>
          <w:sz w:val="18"/>
          <w:szCs w:val="18"/>
          <w:lang w:eastAsia="es-PE"/>
        </w:rPr>
        <w:t xml:space="preserve"> </w:t>
      </w:r>
      <w:r w:rsidRPr="002E5B51">
        <w:rPr>
          <w:rFonts w:cs="Times New Roman"/>
          <w:sz w:val="18"/>
          <w:szCs w:val="18"/>
        </w:rPr>
        <w:t>Chicago: University of Illinois at Urbana-Champaign, 2011.</w:t>
      </w:r>
    </w:p>
  </w:footnote>
  <w:footnote w:id="4">
    <w:p w:rsidR="00E5126D" w:rsidRPr="00F134F8" w:rsidRDefault="00E5126D" w:rsidP="00E5126D">
      <w:pPr>
        <w:pStyle w:val="Textonotapie"/>
        <w:jc w:val="both"/>
        <w:rPr>
          <w:rFonts w:cs="Times New Roman"/>
          <w:sz w:val="18"/>
        </w:rPr>
      </w:pPr>
      <w:r w:rsidRPr="002E5B51">
        <w:rPr>
          <w:rStyle w:val="Refdenotaalpie"/>
          <w:rFonts w:cs="Times New Roman"/>
          <w:sz w:val="18"/>
        </w:rPr>
        <w:footnoteRef/>
      </w:r>
      <w:r w:rsidRPr="002E5B51">
        <w:rPr>
          <w:rFonts w:cs="Times New Roman"/>
          <w:sz w:val="18"/>
        </w:rPr>
        <w:t xml:space="preserve"> UNICEF</w:t>
      </w:r>
      <w:r w:rsidR="00372BD7" w:rsidRPr="002E5B51">
        <w:rPr>
          <w:rFonts w:cs="Times New Roman"/>
          <w:sz w:val="18"/>
        </w:rPr>
        <w:t xml:space="preserve"> (The United Nations Children`s Fund). </w:t>
      </w:r>
      <w:r w:rsidRPr="002E5B51">
        <w:rPr>
          <w:rFonts w:cs="Times New Roman"/>
          <w:i/>
          <w:sz w:val="18"/>
          <w:lang w:val="es-PE"/>
        </w:rPr>
        <w:t>Niñez amazónica. Remando hacia la igualdad.</w:t>
      </w:r>
      <w:r w:rsidRPr="002E5B51">
        <w:rPr>
          <w:rFonts w:cs="Times New Roman"/>
          <w:sz w:val="18"/>
          <w:lang w:val="es-PE"/>
        </w:rPr>
        <w:t xml:space="preserve"> </w:t>
      </w:r>
      <w:r w:rsidRPr="002E5B51">
        <w:rPr>
          <w:rFonts w:cs="Times New Roman"/>
          <w:sz w:val="18"/>
        </w:rPr>
        <w:t>Lima.</w:t>
      </w:r>
      <w:r w:rsidR="00805D30" w:rsidRPr="002E5B51">
        <w:rPr>
          <w:rFonts w:cs="Times New Roman"/>
          <w:sz w:val="18"/>
        </w:rPr>
        <w:t xml:space="preserve"> </w:t>
      </w:r>
      <w:r w:rsidRPr="002E5B51">
        <w:rPr>
          <w:rFonts w:cs="Times New Roman"/>
          <w:sz w:val="18"/>
        </w:rPr>
        <w:t>UNICEF, 2017, p.2.</w:t>
      </w:r>
    </w:p>
  </w:footnote>
  <w:footnote w:id="5">
    <w:p w:rsidR="00635469" w:rsidRPr="0068770B" w:rsidRDefault="00635469" w:rsidP="0068770B">
      <w:pPr>
        <w:pStyle w:val="Textonotapie"/>
        <w:jc w:val="both"/>
        <w:rPr>
          <w:rFonts w:ascii="Georgia" w:hAnsi="Georgia"/>
          <w:sz w:val="18"/>
        </w:rPr>
      </w:pPr>
      <w:r w:rsidRPr="00F134F8">
        <w:rPr>
          <w:rStyle w:val="Refdenotaalpie"/>
          <w:rFonts w:cs="Times New Roman"/>
          <w:sz w:val="18"/>
        </w:rPr>
        <w:footnoteRef/>
      </w:r>
      <w:r w:rsidRPr="00F134F8">
        <w:rPr>
          <w:rFonts w:cs="Times New Roman"/>
          <w:sz w:val="18"/>
        </w:rPr>
        <w:t xml:space="preserve"> </w:t>
      </w:r>
      <w:r w:rsidRPr="00F134F8">
        <w:rPr>
          <w:rFonts w:cs="Times New Roman"/>
          <w:color w:val="000000"/>
          <w:sz w:val="18"/>
        </w:rPr>
        <w:t xml:space="preserve">UNICEF (The United Nations Children`s Fund). Integrated Social Protection Systems, Enhancing Equity for Children, </w:t>
      </w:r>
      <w:r w:rsidRPr="0068770B">
        <w:rPr>
          <w:rFonts w:cs="Times New Roman"/>
          <w:sz w:val="18"/>
        </w:rPr>
        <w:t>UNICEF Social Protection Strategic Framework, 2012.</w:t>
      </w:r>
    </w:p>
  </w:footnote>
  <w:footnote w:id="6">
    <w:p w:rsidR="00FA74F1" w:rsidRPr="00FA74F1" w:rsidRDefault="00FA74F1" w:rsidP="0068770B">
      <w:pPr>
        <w:jc w:val="both"/>
      </w:pPr>
      <w:r w:rsidRPr="0068770B">
        <w:rPr>
          <w:rStyle w:val="Refdenotaalpie"/>
          <w:rFonts w:cs="Times New Roman"/>
          <w:sz w:val="18"/>
          <w:szCs w:val="18"/>
        </w:rPr>
        <w:footnoteRef/>
      </w:r>
      <w:r w:rsidRPr="0068770B">
        <w:rPr>
          <w:rFonts w:cs="Times New Roman"/>
          <w:sz w:val="18"/>
          <w:szCs w:val="18"/>
        </w:rPr>
        <w:t xml:space="preserve"> Towards the end of the 1990s, the number of children affected annually by disasters worldwide was estimated at 66.6 million and it is projected that, given the impact of climate change, this figure could increase to 175 million per year in decades. </w:t>
      </w:r>
      <w:proofErr w:type="spellStart"/>
      <w:r w:rsidRPr="0068770B">
        <w:rPr>
          <w:rFonts w:cs="Times New Roman"/>
          <w:sz w:val="18"/>
          <w:szCs w:val="18"/>
        </w:rPr>
        <w:t>Cfr</w:t>
      </w:r>
      <w:proofErr w:type="spellEnd"/>
      <w:r w:rsidRPr="0068770B">
        <w:rPr>
          <w:rFonts w:cs="Times New Roman"/>
          <w:sz w:val="18"/>
          <w:szCs w:val="18"/>
        </w:rPr>
        <w:t xml:space="preserve">. </w:t>
      </w:r>
      <w:proofErr w:type="spellStart"/>
      <w:r w:rsidRPr="0068770B">
        <w:rPr>
          <w:rFonts w:cs="Times New Roman"/>
          <w:sz w:val="18"/>
          <w:szCs w:val="18"/>
        </w:rPr>
        <w:t>Tarazona</w:t>
      </w:r>
      <w:proofErr w:type="spellEnd"/>
      <w:r w:rsidRPr="0068770B">
        <w:rPr>
          <w:rFonts w:cs="Times New Roman"/>
          <w:sz w:val="18"/>
          <w:szCs w:val="18"/>
        </w:rPr>
        <w:t xml:space="preserve">, Marcela and Gallegos, José. </w:t>
      </w:r>
      <w:r w:rsidRPr="0068770B">
        <w:rPr>
          <w:rFonts w:cs="Times New Roman"/>
          <w:i/>
          <w:sz w:val="18"/>
          <w:szCs w:val="18"/>
        </w:rPr>
        <w:t>Children and Disasters: Understanding Differentiated Impacts and Enabling Child-</w:t>
      </w:r>
      <w:proofErr w:type="spellStart"/>
      <w:r w:rsidRPr="0068770B">
        <w:rPr>
          <w:rFonts w:cs="Times New Roman"/>
          <w:i/>
          <w:sz w:val="18"/>
          <w:szCs w:val="18"/>
        </w:rPr>
        <w:t>Centred</w:t>
      </w:r>
      <w:proofErr w:type="spellEnd"/>
      <w:r w:rsidRPr="0068770B">
        <w:rPr>
          <w:rFonts w:cs="Times New Roman"/>
          <w:i/>
          <w:sz w:val="18"/>
          <w:szCs w:val="18"/>
        </w:rPr>
        <w:t xml:space="preserve"> Agency. Recent trends in disaster impacts on child welfare</w:t>
      </w:r>
      <w:r w:rsidRPr="0068770B">
        <w:rPr>
          <w:rFonts w:cs="Times New Roman"/>
          <w:i/>
          <w:sz w:val="18"/>
          <w:szCs w:val="18"/>
          <w:lang w:eastAsia="es-PE"/>
        </w:rPr>
        <w:t>.</w:t>
      </w:r>
      <w:r w:rsidRPr="0068770B">
        <w:rPr>
          <w:rFonts w:cs="Times New Roman"/>
          <w:sz w:val="18"/>
          <w:szCs w:val="18"/>
          <w:lang w:eastAsia="es-PE"/>
        </w:rPr>
        <w:t xml:space="preserve"> </w:t>
      </w:r>
      <w:r w:rsidRPr="0068770B">
        <w:rPr>
          <w:rFonts w:cs="Times New Roman"/>
          <w:sz w:val="18"/>
          <w:szCs w:val="18"/>
        </w:rPr>
        <w:t>New York: UNICEF, 2015.</w:t>
      </w:r>
    </w:p>
  </w:footnote>
  <w:footnote w:id="7">
    <w:p w:rsidR="00196A3C" w:rsidRPr="009F4BF5" w:rsidRDefault="00196A3C" w:rsidP="009F4BF5">
      <w:pPr>
        <w:pStyle w:val="Textonotapie"/>
        <w:jc w:val="both"/>
        <w:rPr>
          <w:rFonts w:cs="Times New Roman"/>
          <w:sz w:val="18"/>
        </w:rPr>
      </w:pPr>
      <w:r w:rsidRPr="009F4BF5">
        <w:rPr>
          <w:rStyle w:val="Refdenotaalpie"/>
          <w:rFonts w:cs="Times New Roman"/>
          <w:sz w:val="18"/>
        </w:rPr>
        <w:footnoteRef/>
      </w:r>
      <w:r w:rsidRPr="009F4BF5">
        <w:rPr>
          <w:rFonts w:cs="Times New Roman"/>
          <w:sz w:val="18"/>
        </w:rPr>
        <w:t xml:space="preserve"> Approved on March 29, 2016, in Bogot</w:t>
      </w:r>
      <w:r w:rsidR="00DC5CC2" w:rsidRPr="009F4BF5">
        <w:rPr>
          <w:rFonts w:cs="Times New Roman"/>
          <w:sz w:val="18"/>
        </w:rPr>
        <w:t>á</w:t>
      </w:r>
      <w:r w:rsidRPr="009F4BF5">
        <w:rPr>
          <w:rFonts w:cs="Times New Roman"/>
          <w:sz w:val="18"/>
        </w:rPr>
        <w:t xml:space="preserve"> (Colombia).</w:t>
      </w:r>
    </w:p>
  </w:footnote>
  <w:footnote w:id="8">
    <w:p w:rsidR="00263FD5" w:rsidRPr="009F4BF5" w:rsidRDefault="00263FD5" w:rsidP="009F4BF5">
      <w:pPr>
        <w:pStyle w:val="Textonotapie"/>
        <w:jc w:val="both"/>
        <w:rPr>
          <w:sz w:val="18"/>
        </w:rPr>
      </w:pPr>
      <w:r w:rsidRPr="009F4BF5">
        <w:rPr>
          <w:rStyle w:val="Refdenotaalpie"/>
          <w:sz w:val="18"/>
        </w:rPr>
        <w:footnoteRef/>
      </w:r>
      <w:r w:rsidRPr="009F4BF5">
        <w:rPr>
          <w:sz w:val="18"/>
        </w:rPr>
        <w:t xml:space="preserve"> The CAN is </w:t>
      </w:r>
      <w:proofErr w:type="spellStart"/>
      <w:r w:rsidRPr="009F4BF5">
        <w:rPr>
          <w:sz w:val="18"/>
        </w:rPr>
        <w:t>conformed</w:t>
      </w:r>
      <w:proofErr w:type="spellEnd"/>
      <w:r w:rsidRPr="009F4BF5">
        <w:rPr>
          <w:sz w:val="18"/>
        </w:rPr>
        <w:t xml:space="preserve"> by Colombia, Ecuador, </w:t>
      </w:r>
      <w:proofErr w:type="spellStart"/>
      <w:r w:rsidRPr="009F4BF5">
        <w:rPr>
          <w:sz w:val="18"/>
        </w:rPr>
        <w:t>Perú</w:t>
      </w:r>
      <w:proofErr w:type="spellEnd"/>
      <w:r w:rsidRPr="009F4BF5">
        <w:rPr>
          <w:sz w:val="18"/>
        </w:rPr>
        <w:t xml:space="preserve">, Bolivia and Chile. </w:t>
      </w:r>
    </w:p>
  </w:footnote>
  <w:footnote w:id="9">
    <w:p w:rsidR="009F4BF5" w:rsidRPr="009F4BF5" w:rsidRDefault="009F4BF5" w:rsidP="009F4BF5">
      <w:pPr>
        <w:pStyle w:val="Textonotapie"/>
        <w:jc w:val="both"/>
      </w:pPr>
      <w:r w:rsidRPr="009F4BF5">
        <w:rPr>
          <w:rStyle w:val="Refdenotaalpie"/>
          <w:sz w:val="18"/>
        </w:rPr>
        <w:footnoteRef/>
      </w:r>
      <w:r w:rsidRPr="009F4BF5">
        <w:rPr>
          <w:sz w:val="18"/>
        </w:rPr>
        <w:t xml:space="preserve"> </w:t>
      </w:r>
      <w:r w:rsidRPr="009F4BF5">
        <w:rPr>
          <w:rFonts w:cs="Times New Roman"/>
          <w:sz w:val="18"/>
        </w:rPr>
        <w:t>Approved on October 29, 2015, in Bogotá (Colombia).</w:t>
      </w:r>
    </w:p>
  </w:footnote>
  <w:footnote w:id="10">
    <w:p w:rsidR="00036DCE" w:rsidRPr="00A90018" w:rsidRDefault="00036DCE" w:rsidP="00A90018">
      <w:pPr>
        <w:jc w:val="both"/>
        <w:rPr>
          <w:rFonts w:ascii="Georgia" w:hAnsi="Georgia"/>
          <w:sz w:val="18"/>
          <w:szCs w:val="18"/>
        </w:rPr>
      </w:pPr>
      <w:r w:rsidRPr="00A90018">
        <w:rPr>
          <w:rStyle w:val="Refdenotaalpie"/>
          <w:rFonts w:cs="Times New Roman"/>
          <w:sz w:val="18"/>
          <w:szCs w:val="18"/>
        </w:rPr>
        <w:footnoteRef/>
      </w:r>
      <w:r w:rsidRPr="00A90018">
        <w:rPr>
          <w:rFonts w:cs="Times New Roman"/>
          <w:sz w:val="18"/>
          <w:szCs w:val="18"/>
        </w:rPr>
        <w:t xml:space="preserve"> </w:t>
      </w:r>
      <w:r w:rsidRPr="00A90018">
        <w:rPr>
          <w:rFonts w:cs="Times New Roman"/>
          <w:color w:val="000000"/>
          <w:sz w:val="18"/>
          <w:szCs w:val="18"/>
        </w:rPr>
        <w:t xml:space="preserve">Caruso, </w:t>
      </w:r>
      <w:proofErr w:type="spellStart"/>
      <w:r w:rsidRPr="00A90018">
        <w:rPr>
          <w:rFonts w:cs="Times New Roman"/>
          <w:color w:val="000000"/>
          <w:sz w:val="18"/>
          <w:szCs w:val="18"/>
        </w:rPr>
        <w:t>Germán</w:t>
      </w:r>
      <w:proofErr w:type="spellEnd"/>
      <w:r w:rsidRPr="00A90018">
        <w:rPr>
          <w:rFonts w:cs="Times New Roman"/>
          <w:color w:val="000000"/>
          <w:sz w:val="18"/>
          <w:szCs w:val="18"/>
        </w:rPr>
        <w:t xml:space="preserve"> </w:t>
      </w:r>
      <w:r w:rsidR="00FA74F1" w:rsidRPr="00A90018">
        <w:rPr>
          <w:rFonts w:cs="Times New Roman"/>
          <w:color w:val="000000"/>
          <w:sz w:val="18"/>
          <w:szCs w:val="18"/>
        </w:rPr>
        <w:t xml:space="preserve">and </w:t>
      </w:r>
      <w:r w:rsidRPr="00A90018">
        <w:rPr>
          <w:rFonts w:cs="Times New Roman"/>
          <w:color w:val="000000"/>
          <w:sz w:val="18"/>
          <w:szCs w:val="18"/>
        </w:rPr>
        <w:t xml:space="preserve">Miller, </w:t>
      </w:r>
      <w:proofErr w:type="spellStart"/>
      <w:r w:rsidR="00FA74F1" w:rsidRPr="00A90018">
        <w:rPr>
          <w:rFonts w:cs="Times New Roman"/>
          <w:color w:val="000000"/>
          <w:sz w:val="18"/>
          <w:szCs w:val="18"/>
        </w:rPr>
        <w:t>Sebastián</w:t>
      </w:r>
      <w:proofErr w:type="spellEnd"/>
      <w:r w:rsidRPr="00A90018">
        <w:rPr>
          <w:rFonts w:cs="Times New Roman"/>
          <w:color w:val="000000"/>
          <w:sz w:val="18"/>
          <w:szCs w:val="18"/>
        </w:rPr>
        <w:t xml:space="preserve">. </w:t>
      </w:r>
      <w:r w:rsidRPr="00A90018">
        <w:rPr>
          <w:rFonts w:cs="Times New Roman"/>
          <w:sz w:val="18"/>
          <w:szCs w:val="18"/>
          <w:lang w:eastAsia="es-PE"/>
        </w:rPr>
        <w:t>«</w:t>
      </w:r>
      <w:r w:rsidRPr="00A90018">
        <w:rPr>
          <w:rFonts w:cs="Times New Roman"/>
          <w:color w:val="000000"/>
          <w:sz w:val="18"/>
          <w:szCs w:val="18"/>
        </w:rPr>
        <w:t>Long Run Effects and Intergenerational Transmission of Natural Disasters: A Case Study on the 1970 Ancash Earthquake</w:t>
      </w:r>
      <w:r w:rsidRPr="00A90018">
        <w:rPr>
          <w:rFonts w:cs="Times New Roman"/>
          <w:sz w:val="18"/>
          <w:szCs w:val="18"/>
          <w:lang w:eastAsia="es-PE"/>
        </w:rPr>
        <w:t xml:space="preserve">». </w:t>
      </w:r>
      <w:r w:rsidRPr="00A90018">
        <w:rPr>
          <w:rFonts w:cs="Times New Roman"/>
          <w:i/>
          <w:iCs/>
          <w:color w:val="000000"/>
          <w:sz w:val="18"/>
          <w:szCs w:val="18"/>
        </w:rPr>
        <w:t>Journal of Development Economic</w:t>
      </w:r>
      <w:r w:rsidRPr="00A90018">
        <w:rPr>
          <w:rFonts w:cs="Times New Roman"/>
          <w:color w:val="000000"/>
          <w:sz w:val="18"/>
          <w:szCs w:val="18"/>
        </w:rPr>
        <w:t>, 117. Amsterdam: Elsevier, 2015.</w:t>
      </w:r>
    </w:p>
  </w:footnote>
  <w:footnote w:id="11">
    <w:p w:rsidR="003515D0" w:rsidRPr="00A90018" w:rsidRDefault="003515D0" w:rsidP="00A90018">
      <w:pPr>
        <w:pStyle w:val="Textonotapie"/>
        <w:jc w:val="both"/>
        <w:rPr>
          <w:sz w:val="18"/>
        </w:rPr>
      </w:pPr>
      <w:r w:rsidRPr="00A90018">
        <w:rPr>
          <w:rStyle w:val="Refdenotaalpie"/>
          <w:sz w:val="18"/>
        </w:rPr>
        <w:footnoteRef/>
      </w:r>
      <w:r w:rsidRPr="00A90018">
        <w:rPr>
          <w:sz w:val="18"/>
        </w:rPr>
        <w:t xml:space="preserve"> </w:t>
      </w:r>
      <w:proofErr w:type="spellStart"/>
      <w:r w:rsidRPr="00A90018">
        <w:rPr>
          <w:sz w:val="18"/>
        </w:rPr>
        <w:t>Cfr</w:t>
      </w:r>
      <w:proofErr w:type="spellEnd"/>
      <w:r w:rsidRPr="00A90018">
        <w:rPr>
          <w:sz w:val="18"/>
        </w:rPr>
        <w:t xml:space="preserve">. </w:t>
      </w:r>
      <w:proofErr w:type="spellStart"/>
      <w:r w:rsidRPr="00A90018">
        <w:rPr>
          <w:sz w:val="18"/>
        </w:rPr>
        <w:t>Shue</w:t>
      </w:r>
      <w:proofErr w:type="spellEnd"/>
      <w:r w:rsidRPr="00A90018">
        <w:rPr>
          <w:sz w:val="18"/>
        </w:rPr>
        <w:t xml:space="preserve">, Henry. </w:t>
      </w:r>
      <w:r w:rsidRPr="00A90018">
        <w:rPr>
          <w:i/>
          <w:sz w:val="18"/>
        </w:rPr>
        <w:t>Climate Justice: Vulnerability and Protection.</w:t>
      </w:r>
      <w:r w:rsidRPr="00A90018">
        <w:rPr>
          <w:sz w:val="18"/>
        </w:rPr>
        <w:t xml:space="preserve"> Oxford: Oxford University Press, 2014, 366 pp.</w:t>
      </w:r>
    </w:p>
  </w:footnote>
  <w:footnote w:id="12">
    <w:p w:rsidR="00A90018" w:rsidRPr="00A90018" w:rsidRDefault="00A90018" w:rsidP="00A90018">
      <w:pPr>
        <w:pStyle w:val="Textonotapie"/>
        <w:jc w:val="both"/>
      </w:pPr>
      <w:r w:rsidRPr="00A90018">
        <w:rPr>
          <w:rStyle w:val="Refdenotaalpie"/>
          <w:sz w:val="18"/>
        </w:rPr>
        <w:footnoteRef/>
      </w:r>
      <w:r w:rsidRPr="00A90018">
        <w:rPr>
          <w:sz w:val="18"/>
        </w:rPr>
        <w:t xml:space="preserve"> </w:t>
      </w:r>
      <w:r>
        <w:rPr>
          <w:sz w:val="18"/>
        </w:rPr>
        <w:t>Constitutional j</w:t>
      </w:r>
      <w:r w:rsidRPr="00A90018">
        <w:rPr>
          <w:sz w:val="18"/>
        </w:rPr>
        <w:t>udgment issued on November 10</w:t>
      </w:r>
      <w:r w:rsidR="009A57EE" w:rsidRPr="009A57EE">
        <w:rPr>
          <w:sz w:val="18"/>
          <w:vertAlign w:val="superscript"/>
        </w:rPr>
        <w:t>th</w:t>
      </w:r>
      <w:r w:rsidRPr="00A90018">
        <w:rPr>
          <w:sz w:val="18"/>
        </w:rPr>
        <w:t xml:space="preserve">, 2016, given by magistrates Alberto Rojas Ríos and Jorge </w:t>
      </w:r>
      <w:proofErr w:type="spellStart"/>
      <w:r w:rsidRPr="00A90018">
        <w:rPr>
          <w:sz w:val="18"/>
        </w:rPr>
        <w:t>Iván</w:t>
      </w:r>
      <w:proofErr w:type="spellEnd"/>
      <w:r w:rsidRPr="00A90018">
        <w:rPr>
          <w:sz w:val="18"/>
        </w:rPr>
        <w:t xml:space="preserve"> Palacio </w:t>
      </w:r>
      <w:proofErr w:type="spellStart"/>
      <w:r w:rsidRPr="00A90018">
        <w:rPr>
          <w:sz w:val="18"/>
        </w:rPr>
        <w:t>Palacio</w:t>
      </w:r>
      <w:proofErr w:type="spellEnd"/>
      <w:r w:rsidRPr="00A90018">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30" w:rsidRDefault="00805D30">
    <w:pPr>
      <w:pStyle w:val="Encabezado"/>
    </w:pPr>
    <w:r>
      <w:rPr>
        <w:noProof/>
        <w:lang w:val="es-PE" w:eastAsia="es-PE" w:bidi="ar-SA"/>
      </w:rPr>
      <w:drawing>
        <wp:anchor distT="0" distB="0" distL="114300" distR="114300" simplePos="0" relativeHeight="251659264" behindDoc="0" locked="0" layoutInCell="1" allowOverlap="1" wp14:anchorId="75CE07DE" wp14:editId="7C10C176">
          <wp:simplePos x="0" y="0"/>
          <wp:positionH relativeFrom="column">
            <wp:posOffset>0</wp:posOffset>
          </wp:positionH>
          <wp:positionV relativeFrom="paragraph">
            <wp:posOffset>-19685</wp:posOffset>
          </wp:positionV>
          <wp:extent cx="1225550" cy="11874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AB40CA"/>
    <w:multiLevelType w:val="multilevel"/>
    <w:tmpl w:val="C51436D0"/>
    <w:lvl w:ilvl="0">
      <w:start w:val="1"/>
      <w:numFmt w:val="lowerLetter"/>
      <w:lvlText w:val="%1."/>
      <w:lvlJc w:val="left"/>
      <w:pPr>
        <w:ind w:left="360" w:hanging="360"/>
      </w:pPr>
      <w:rPr>
        <w:rFonts w:ascii="Georgia" w:hAnsi="Georgia" w:hint="default"/>
        <w:color w:val="auto"/>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2192ABF"/>
    <w:multiLevelType w:val="multilevel"/>
    <w:tmpl w:val="75C0A4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185E06"/>
    <w:multiLevelType w:val="hybridMultilevel"/>
    <w:tmpl w:val="2ACE8D7C"/>
    <w:lvl w:ilvl="0" w:tplc="CA1E6A50">
      <w:start w:val="1"/>
      <w:numFmt w:val="lowerLetter"/>
      <w:lvlText w:val="%1."/>
      <w:lvlJc w:val="left"/>
      <w:pPr>
        <w:ind w:left="720" w:hanging="360"/>
      </w:pPr>
      <w:rPr>
        <w:rFonts w:ascii="Times New Roman" w:hAnsi="Times New Roman" w:hint="default"/>
        <w:color w:val="auto"/>
        <w:sz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E211C5B"/>
    <w:multiLevelType w:val="hybridMultilevel"/>
    <w:tmpl w:val="221C0F9E"/>
    <w:lvl w:ilvl="0" w:tplc="CBCE18D4">
      <w:start w:val="1"/>
      <w:numFmt w:val="lowerLetter"/>
      <w:lvlText w:val="%1."/>
      <w:lvlJc w:val="left"/>
      <w:pPr>
        <w:ind w:left="720" w:hanging="360"/>
      </w:pPr>
      <w:rPr>
        <w:rFonts w:ascii="Georgia" w:hAnsi="Georgia" w:hint="default"/>
        <w:color w:val="auto"/>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0300608"/>
    <w:multiLevelType w:val="hybridMultilevel"/>
    <w:tmpl w:val="1A0C82C6"/>
    <w:lvl w:ilvl="0" w:tplc="87681D52">
      <w:start w:val="1"/>
      <w:numFmt w:val="bullet"/>
      <w:lvlText w:val=""/>
      <w:lvlJc w:val="left"/>
      <w:pPr>
        <w:ind w:left="720" w:hanging="360"/>
      </w:pPr>
      <w:rPr>
        <w:rFonts w:ascii="Times New Roman" w:hAnsi="Times New Roman" w:hint="default"/>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9D5399B"/>
    <w:multiLevelType w:val="multilevel"/>
    <w:tmpl w:val="FED013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644A2A32"/>
    <w:multiLevelType w:val="hybridMultilevel"/>
    <w:tmpl w:val="F594F6D4"/>
    <w:lvl w:ilvl="0" w:tplc="CBCE18D4">
      <w:start w:val="1"/>
      <w:numFmt w:val="lowerLetter"/>
      <w:lvlText w:val="%1."/>
      <w:lvlJc w:val="left"/>
      <w:pPr>
        <w:ind w:left="720" w:hanging="360"/>
      </w:pPr>
      <w:rPr>
        <w:rFonts w:ascii="Georgia" w:hAnsi="Georgia" w:hint="default"/>
        <w:color w:val="auto"/>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6E36687"/>
    <w:multiLevelType w:val="hybridMultilevel"/>
    <w:tmpl w:val="388CC6FC"/>
    <w:lvl w:ilvl="0" w:tplc="51DE0932">
      <w:start w:val="1"/>
      <w:numFmt w:val="decimal"/>
      <w:lvlText w:val="%1."/>
      <w:lvlJc w:val="left"/>
      <w:pPr>
        <w:ind w:left="720" w:hanging="360"/>
      </w:pPr>
      <w:rPr>
        <w:rFonts w:ascii="Arial" w:hAnsi="Arial" w:hint="default"/>
        <w:sz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D546B95"/>
    <w:multiLevelType w:val="multilevel"/>
    <w:tmpl w:val="102EFF84"/>
    <w:lvl w:ilvl="0">
      <w:start w:val="1"/>
      <w:numFmt w:val="lowerLetter"/>
      <w:lvlText w:val="%1."/>
      <w:lvlJc w:val="left"/>
      <w:pPr>
        <w:ind w:left="360" w:hanging="360"/>
      </w:pPr>
      <w:rPr>
        <w:rFonts w:ascii="Georgia" w:hAnsi="Georgia" w:hint="default"/>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75035473"/>
    <w:multiLevelType w:val="hybridMultilevel"/>
    <w:tmpl w:val="F8B84258"/>
    <w:lvl w:ilvl="0" w:tplc="C2002F6C">
      <w:start w:val="1"/>
      <w:numFmt w:val="lowerLetter"/>
      <w:lvlText w:val="%1."/>
      <w:lvlJc w:val="left"/>
      <w:pPr>
        <w:ind w:left="720" w:hanging="360"/>
      </w:pPr>
      <w:rPr>
        <w:rFonts w:ascii="Georgia" w:hAnsi="Georgia" w:hint="default"/>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92F44A2"/>
    <w:multiLevelType w:val="hybridMultilevel"/>
    <w:tmpl w:val="83F28090"/>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11"/>
  </w:num>
  <w:num w:numId="6">
    <w:abstractNumId w:val="4"/>
  </w:num>
  <w:num w:numId="7">
    <w:abstractNumId w:val="9"/>
  </w:num>
  <w:num w:numId="8">
    <w:abstractNumId w:val="1"/>
  </w:num>
  <w:num w:numId="9">
    <w:abstractNumId w:val="10"/>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69"/>
    <w:rsid w:val="00036DCE"/>
    <w:rsid w:val="00056483"/>
    <w:rsid w:val="000C09BD"/>
    <w:rsid w:val="000D58AE"/>
    <w:rsid w:val="000F60EF"/>
    <w:rsid w:val="00112518"/>
    <w:rsid w:val="00124530"/>
    <w:rsid w:val="00142824"/>
    <w:rsid w:val="00196A3C"/>
    <w:rsid w:val="001C14DF"/>
    <w:rsid w:val="001C26BA"/>
    <w:rsid w:val="001D39F5"/>
    <w:rsid w:val="001F45CC"/>
    <w:rsid w:val="00217DD3"/>
    <w:rsid w:val="00222628"/>
    <w:rsid w:val="00231D72"/>
    <w:rsid w:val="002625FC"/>
    <w:rsid w:val="00263FD5"/>
    <w:rsid w:val="00265953"/>
    <w:rsid w:val="00282E66"/>
    <w:rsid w:val="002D6A1E"/>
    <w:rsid w:val="002E5B51"/>
    <w:rsid w:val="00315BA5"/>
    <w:rsid w:val="00317FB2"/>
    <w:rsid w:val="003515D0"/>
    <w:rsid w:val="00364B65"/>
    <w:rsid w:val="00372BD7"/>
    <w:rsid w:val="003A0376"/>
    <w:rsid w:val="003A481A"/>
    <w:rsid w:val="003D3A8C"/>
    <w:rsid w:val="003E67D6"/>
    <w:rsid w:val="003F01EB"/>
    <w:rsid w:val="003F4BBD"/>
    <w:rsid w:val="00457C12"/>
    <w:rsid w:val="004626D4"/>
    <w:rsid w:val="00497869"/>
    <w:rsid w:val="004A447F"/>
    <w:rsid w:val="004B2DAF"/>
    <w:rsid w:val="004C20E9"/>
    <w:rsid w:val="00500270"/>
    <w:rsid w:val="00520E49"/>
    <w:rsid w:val="005258B2"/>
    <w:rsid w:val="00536C50"/>
    <w:rsid w:val="005531BD"/>
    <w:rsid w:val="0056702E"/>
    <w:rsid w:val="00573DD4"/>
    <w:rsid w:val="0059358D"/>
    <w:rsid w:val="005B2FB7"/>
    <w:rsid w:val="005C5B47"/>
    <w:rsid w:val="005C6965"/>
    <w:rsid w:val="005D011D"/>
    <w:rsid w:val="005D06BD"/>
    <w:rsid w:val="005D3608"/>
    <w:rsid w:val="005E3AC5"/>
    <w:rsid w:val="005F0DA7"/>
    <w:rsid w:val="00601335"/>
    <w:rsid w:val="00633F57"/>
    <w:rsid w:val="00635469"/>
    <w:rsid w:val="00660567"/>
    <w:rsid w:val="00672CD1"/>
    <w:rsid w:val="0068770B"/>
    <w:rsid w:val="006C7E4B"/>
    <w:rsid w:val="006E64B1"/>
    <w:rsid w:val="006F504A"/>
    <w:rsid w:val="006F5E07"/>
    <w:rsid w:val="00713C63"/>
    <w:rsid w:val="00736EDE"/>
    <w:rsid w:val="00737344"/>
    <w:rsid w:val="00760DC9"/>
    <w:rsid w:val="007641D5"/>
    <w:rsid w:val="00773448"/>
    <w:rsid w:val="00777C22"/>
    <w:rsid w:val="00794752"/>
    <w:rsid w:val="008035C2"/>
    <w:rsid w:val="00805D30"/>
    <w:rsid w:val="008177AE"/>
    <w:rsid w:val="00826E92"/>
    <w:rsid w:val="008D3079"/>
    <w:rsid w:val="008D4267"/>
    <w:rsid w:val="008E4D0C"/>
    <w:rsid w:val="00905B56"/>
    <w:rsid w:val="00906C00"/>
    <w:rsid w:val="00912152"/>
    <w:rsid w:val="00936791"/>
    <w:rsid w:val="00944CD3"/>
    <w:rsid w:val="00960D5F"/>
    <w:rsid w:val="0097358B"/>
    <w:rsid w:val="00976C18"/>
    <w:rsid w:val="009865CB"/>
    <w:rsid w:val="009A257C"/>
    <w:rsid w:val="009A2FC3"/>
    <w:rsid w:val="009A57EE"/>
    <w:rsid w:val="009A783A"/>
    <w:rsid w:val="009C75D9"/>
    <w:rsid w:val="009F1A18"/>
    <w:rsid w:val="009F4BF5"/>
    <w:rsid w:val="00A170C2"/>
    <w:rsid w:val="00A2044C"/>
    <w:rsid w:val="00A26247"/>
    <w:rsid w:val="00A433E1"/>
    <w:rsid w:val="00A43605"/>
    <w:rsid w:val="00A6662E"/>
    <w:rsid w:val="00A734C0"/>
    <w:rsid w:val="00A77A53"/>
    <w:rsid w:val="00A90018"/>
    <w:rsid w:val="00A917F2"/>
    <w:rsid w:val="00AC06BB"/>
    <w:rsid w:val="00AE01AA"/>
    <w:rsid w:val="00AF7D37"/>
    <w:rsid w:val="00B461F5"/>
    <w:rsid w:val="00B60F52"/>
    <w:rsid w:val="00BB295B"/>
    <w:rsid w:val="00BB62A9"/>
    <w:rsid w:val="00C0571B"/>
    <w:rsid w:val="00C44E94"/>
    <w:rsid w:val="00C6082B"/>
    <w:rsid w:val="00C6443F"/>
    <w:rsid w:val="00C85885"/>
    <w:rsid w:val="00D07338"/>
    <w:rsid w:val="00D14B03"/>
    <w:rsid w:val="00D22622"/>
    <w:rsid w:val="00D36661"/>
    <w:rsid w:val="00DC5CC2"/>
    <w:rsid w:val="00DE34E0"/>
    <w:rsid w:val="00DE6732"/>
    <w:rsid w:val="00E5126D"/>
    <w:rsid w:val="00E9082A"/>
    <w:rsid w:val="00ED141C"/>
    <w:rsid w:val="00ED5E4E"/>
    <w:rsid w:val="00EE63CB"/>
    <w:rsid w:val="00EF334C"/>
    <w:rsid w:val="00F052BC"/>
    <w:rsid w:val="00F134F8"/>
    <w:rsid w:val="00F17F13"/>
    <w:rsid w:val="00F329EB"/>
    <w:rsid w:val="00F77879"/>
    <w:rsid w:val="00F919C1"/>
    <w:rsid w:val="00FA74F1"/>
    <w:rsid w:val="00FA7C60"/>
    <w:rsid w:val="00FB6A8B"/>
    <w:rsid w:val="00FF1F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D3AD87-DFE3-47E2-86C8-E0B0DAA6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69"/>
    <w:pPr>
      <w:widowControl w:val="0"/>
      <w:suppressAutoHyphens/>
      <w:spacing w:after="0" w:line="240" w:lineRule="auto"/>
    </w:pPr>
    <w:rPr>
      <w:rFonts w:ascii="Times New Roman" w:eastAsia="SimSun" w:hAnsi="Times New Roman" w:cs="Arial"/>
      <w:kern w:val="1"/>
      <w:sz w:val="24"/>
      <w:szCs w:val="24"/>
      <w:lang w:val="en-U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567"/>
    <w:pPr>
      <w:ind w:left="720"/>
      <w:contextualSpacing/>
    </w:pPr>
    <w:rPr>
      <w:rFonts w:cs="Mangal"/>
      <w:szCs w:val="21"/>
    </w:rPr>
  </w:style>
  <w:style w:type="paragraph" w:styleId="Textonotapie">
    <w:name w:val="footnote text"/>
    <w:basedOn w:val="Normal"/>
    <w:link w:val="TextonotapieCar"/>
    <w:uiPriority w:val="99"/>
    <w:semiHidden/>
    <w:unhideWhenUsed/>
    <w:rsid w:val="001C26BA"/>
    <w:rPr>
      <w:rFonts w:cs="Mangal"/>
      <w:sz w:val="20"/>
      <w:szCs w:val="18"/>
    </w:rPr>
  </w:style>
  <w:style w:type="character" w:customStyle="1" w:styleId="TextonotapieCar">
    <w:name w:val="Texto nota pie Car"/>
    <w:basedOn w:val="Fuentedeprrafopredeter"/>
    <w:link w:val="Textonotapie"/>
    <w:uiPriority w:val="99"/>
    <w:semiHidden/>
    <w:rsid w:val="001C26BA"/>
    <w:rPr>
      <w:rFonts w:ascii="Times New Roman" w:eastAsia="SimSun" w:hAnsi="Times New Roman" w:cs="Mangal"/>
      <w:kern w:val="1"/>
      <w:sz w:val="20"/>
      <w:szCs w:val="18"/>
      <w:lang w:val="en-US" w:eastAsia="hi-IN" w:bidi="hi-IN"/>
    </w:rPr>
  </w:style>
  <w:style w:type="character" w:styleId="Refdenotaalpie">
    <w:name w:val="footnote reference"/>
    <w:basedOn w:val="Fuentedeprrafopredeter"/>
    <w:uiPriority w:val="99"/>
    <w:semiHidden/>
    <w:unhideWhenUsed/>
    <w:rsid w:val="001C26BA"/>
    <w:rPr>
      <w:vertAlign w:val="superscript"/>
    </w:rPr>
  </w:style>
  <w:style w:type="paragraph" w:styleId="Encabezado">
    <w:name w:val="header"/>
    <w:basedOn w:val="Normal"/>
    <w:link w:val="EncabezadoCar"/>
    <w:uiPriority w:val="99"/>
    <w:unhideWhenUsed/>
    <w:rsid w:val="00805D3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805D30"/>
    <w:rPr>
      <w:rFonts w:ascii="Times New Roman" w:eastAsia="SimSun" w:hAnsi="Times New Roman" w:cs="Mangal"/>
      <w:kern w:val="1"/>
      <w:sz w:val="24"/>
      <w:szCs w:val="21"/>
      <w:lang w:val="en-US" w:eastAsia="hi-IN" w:bidi="hi-IN"/>
    </w:rPr>
  </w:style>
  <w:style w:type="paragraph" w:styleId="Piedepgina">
    <w:name w:val="footer"/>
    <w:basedOn w:val="Normal"/>
    <w:link w:val="PiedepginaCar"/>
    <w:uiPriority w:val="99"/>
    <w:unhideWhenUsed/>
    <w:rsid w:val="00805D3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805D30"/>
    <w:rPr>
      <w:rFonts w:ascii="Times New Roman" w:eastAsia="SimSun" w:hAnsi="Times New Roman" w:cs="Mangal"/>
      <w:kern w:val="1"/>
      <w:sz w:val="24"/>
      <w:szCs w:val="21"/>
      <w:lang w:val="en-US" w:eastAsia="hi-IN" w:bidi="hi-IN"/>
    </w:rPr>
  </w:style>
  <w:style w:type="character" w:styleId="Hipervnculo">
    <w:name w:val="Hyperlink"/>
    <w:uiPriority w:val="99"/>
    <w:unhideWhenUsed/>
    <w:rsid w:val="00D14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1822">
      <w:bodyDiv w:val="1"/>
      <w:marLeft w:val="0"/>
      <w:marRight w:val="0"/>
      <w:marTop w:val="0"/>
      <w:marBottom w:val="0"/>
      <w:divBdr>
        <w:top w:val="none" w:sz="0" w:space="0" w:color="auto"/>
        <w:left w:val="none" w:sz="0" w:space="0" w:color="auto"/>
        <w:bottom w:val="none" w:sz="0" w:space="0" w:color="auto"/>
        <w:right w:val="none" w:sz="0" w:space="0" w:color="auto"/>
      </w:divBdr>
      <w:divsChild>
        <w:div w:id="203055565">
          <w:marLeft w:val="0"/>
          <w:marRight w:val="0"/>
          <w:marTop w:val="360"/>
          <w:marBottom w:val="105"/>
          <w:divBdr>
            <w:top w:val="none" w:sz="0" w:space="0" w:color="auto"/>
            <w:left w:val="none" w:sz="0" w:space="0" w:color="auto"/>
            <w:bottom w:val="none" w:sz="0" w:space="0" w:color="auto"/>
            <w:right w:val="none" w:sz="0" w:space="0" w:color="auto"/>
          </w:divBdr>
          <w:divsChild>
            <w:div w:id="191698048">
              <w:marLeft w:val="0"/>
              <w:marRight w:val="0"/>
              <w:marTop w:val="0"/>
              <w:marBottom w:val="0"/>
              <w:divBdr>
                <w:top w:val="none" w:sz="0" w:space="0" w:color="auto"/>
                <w:left w:val="none" w:sz="0" w:space="0" w:color="auto"/>
                <w:bottom w:val="none" w:sz="0" w:space="0" w:color="auto"/>
                <w:right w:val="none" w:sz="0" w:space="0" w:color="auto"/>
              </w:divBdr>
              <w:divsChild>
                <w:div w:id="13098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g.ceo@biosferafuturo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392E0A-68AC-4A27-8DEE-A2B7274BBCA3}">
  <ds:schemaRefs>
    <ds:schemaRef ds:uri="http://schemas.openxmlformats.org/officeDocument/2006/bibliography"/>
  </ds:schemaRefs>
</ds:datastoreItem>
</file>

<file path=customXml/itemProps2.xml><?xml version="1.0" encoding="utf-8"?>
<ds:datastoreItem xmlns:ds="http://schemas.openxmlformats.org/officeDocument/2006/customXml" ds:itemID="{BF134D44-8A58-45C0-B5D6-4FED474035F6}"/>
</file>

<file path=customXml/itemProps3.xml><?xml version="1.0" encoding="utf-8"?>
<ds:datastoreItem xmlns:ds="http://schemas.openxmlformats.org/officeDocument/2006/customXml" ds:itemID="{09EEAF03-AEDF-4735-91A5-2DE8AFE55E27}"/>
</file>

<file path=customXml/itemProps4.xml><?xml version="1.0" encoding="utf-8"?>
<ds:datastoreItem xmlns:ds="http://schemas.openxmlformats.org/officeDocument/2006/customXml" ds:itemID="{31511423-50A8-4346-AD74-8AB3E7428634}"/>
</file>

<file path=docProps/app.xml><?xml version="1.0" encoding="utf-8"?>
<Properties xmlns="http://schemas.openxmlformats.org/officeDocument/2006/extended-properties" xmlns:vt="http://schemas.openxmlformats.org/officeDocument/2006/docPropsVTypes">
  <Template>Normal</Template>
  <TotalTime>654</TotalTime>
  <Pages>5</Pages>
  <Words>2136</Words>
  <Characters>11751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Submission</dc:title>
  <dc:subject/>
  <dc:creator>EEPERU</dc:creator>
  <cp:keywords/>
  <dc:description/>
  <cp:lastModifiedBy>EEPERU</cp:lastModifiedBy>
  <cp:revision>16</cp:revision>
  <dcterms:created xsi:type="dcterms:W3CDTF">2017-10-02T19:50:00Z</dcterms:created>
  <dcterms:modified xsi:type="dcterms:W3CDTF">2017-10-04T07:20:00Z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