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63E88" w14:textId="6E372A4A" w:rsidR="007E2852" w:rsidRPr="0013781B" w:rsidRDefault="007E2852" w:rsidP="00840246">
      <w:pPr>
        <w:pStyle w:val="NormalWeb"/>
        <w:spacing w:before="0" w:beforeAutospacing="0" w:after="0" w:afterAutospacing="0"/>
        <w:rPr>
          <w:rFonts w:asciiTheme="minorHAnsi" w:hAnsiTheme="minorHAnsi"/>
          <w:b/>
          <w:bCs/>
          <w:sz w:val="24"/>
          <w:szCs w:val="24"/>
        </w:rPr>
      </w:pPr>
      <w:r w:rsidRPr="0013781B">
        <w:rPr>
          <w:rFonts w:asciiTheme="minorHAnsi" w:hAnsiTheme="minorHAnsi"/>
          <w:b/>
          <w:bCs/>
          <w:sz w:val="24"/>
          <w:szCs w:val="24"/>
        </w:rPr>
        <w:t>An international civil society human-rights tribunal’s Advisory Opinion on human rights and climate change</w:t>
      </w:r>
    </w:p>
    <w:p w14:paraId="523E2D1B" w14:textId="77777777" w:rsidR="007E2852" w:rsidRPr="0013781B" w:rsidRDefault="007E2852" w:rsidP="00840246">
      <w:pPr>
        <w:pStyle w:val="NormalWeb"/>
        <w:spacing w:before="0" w:beforeAutospacing="0" w:after="0" w:afterAutospacing="0"/>
        <w:rPr>
          <w:rFonts w:asciiTheme="minorHAnsi" w:hAnsiTheme="minorHAnsi"/>
          <w:sz w:val="24"/>
          <w:szCs w:val="24"/>
        </w:rPr>
      </w:pPr>
    </w:p>
    <w:p w14:paraId="47D64F9E" w14:textId="36553608" w:rsidR="007E2852" w:rsidRPr="0013781B" w:rsidRDefault="007E2852"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T</w:t>
      </w:r>
      <w:r w:rsidR="00840246" w:rsidRPr="0013781B">
        <w:rPr>
          <w:rFonts w:asciiTheme="minorHAnsi" w:hAnsiTheme="minorHAnsi"/>
          <w:sz w:val="24"/>
          <w:szCs w:val="24"/>
        </w:rPr>
        <w:t xml:space="preserve">he Permanent Peoples’ Tribunal Session on Human Rights, Fracking and Climate </w:t>
      </w:r>
    </w:p>
    <w:p w14:paraId="31F74A11" w14:textId="405973A0"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 xml:space="preserve">Change conducted hearings during the week of May 14-18, 2018. Ten judges from nine countries heard oral testimony that week, reviewed written and video-recorded testimony from four preliminary tribunals held in the months prior, and reviewed fourteen </w:t>
      </w:r>
      <w:r w:rsidRPr="00F94F5B">
        <w:rPr>
          <w:rFonts w:asciiTheme="minorHAnsi" w:hAnsiTheme="minorHAnsi"/>
          <w:i/>
          <w:sz w:val="24"/>
          <w:szCs w:val="24"/>
        </w:rPr>
        <w:t xml:space="preserve">amicus </w:t>
      </w:r>
      <w:r w:rsidR="00F94F5B" w:rsidRPr="00F94F5B">
        <w:rPr>
          <w:rFonts w:asciiTheme="minorHAnsi" w:hAnsiTheme="minorHAnsi"/>
          <w:i/>
          <w:sz w:val="24"/>
          <w:szCs w:val="24"/>
        </w:rPr>
        <w:t>curiae</w:t>
      </w:r>
      <w:r w:rsidR="00F94F5B">
        <w:rPr>
          <w:rFonts w:asciiTheme="minorHAnsi" w:hAnsiTheme="minorHAnsi"/>
          <w:sz w:val="24"/>
          <w:szCs w:val="24"/>
        </w:rPr>
        <w:t xml:space="preserve"> </w:t>
      </w:r>
      <w:r w:rsidRPr="0013781B">
        <w:rPr>
          <w:rFonts w:asciiTheme="minorHAnsi" w:hAnsiTheme="minorHAnsi"/>
          <w:sz w:val="24"/>
          <w:szCs w:val="24"/>
        </w:rPr>
        <w:t>briefs submitted by</w:t>
      </w:r>
      <w:r w:rsidR="004D583E">
        <w:rPr>
          <w:rFonts w:asciiTheme="minorHAnsi" w:hAnsiTheme="minorHAnsi"/>
          <w:sz w:val="24"/>
          <w:szCs w:val="24"/>
        </w:rPr>
        <w:t xml:space="preserve"> attorneys and</w:t>
      </w:r>
      <w:r w:rsidRPr="0013781B">
        <w:rPr>
          <w:rFonts w:asciiTheme="minorHAnsi" w:hAnsiTheme="minorHAnsi"/>
          <w:sz w:val="24"/>
          <w:szCs w:val="24"/>
        </w:rPr>
        <w:t xml:space="preserve"> organizations in five different countries and seven different US states. The Tribunal’s Advisory Opinion</w:t>
      </w:r>
      <w:r w:rsidR="004548A3" w:rsidRPr="0013781B">
        <w:rPr>
          <w:rFonts w:asciiTheme="minorHAnsi" w:hAnsiTheme="minorHAnsi"/>
          <w:sz w:val="24"/>
          <w:szCs w:val="24"/>
        </w:rPr>
        <w:t xml:space="preserve"> </w:t>
      </w:r>
      <w:r w:rsidRPr="0013781B">
        <w:rPr>
          <w:rFonts w:asciiTheme="minorHAnsi" w:hAnsiTheme="minorHAnsi"/>
          <w:sz w:val="24"/>
          <w:szCs w:val="24"/>
        </w:rPr>
        <w:t>was released on April 12, 2019. This report summarizes those portions of the Opinion relevant to human rights and climate change.</w:t>
      </w:r>
    </w:p>
    <w:p w14:paraId="76E1398B"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74FAFFB0" w14:textId="3344C01F"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A substantial collection of testimony, submitted by Alaskan human rights attorney Robin Bronen, concerned the dramatic impacts of sea level rise and the loss of near-shore sea ice on several small, highly vulnerable native villages along Alaska’s northwest coastlines. Most of these villages, highly dependent on the sea, are located directly on the shoreline, so as near-shore sea ice has melted earlier in the spring, it no longer protects them from storms coming in from the west. Their shoreline is eroding into the sea and buildings that had been protected from storms in the past are now suffering serious damage</w:t>
      </w:r>
      <w:r w:rsidR="004D583E">
        <w:rPr>
          <w:rFonts w:asciiTheme="minorHAnsi" w:hAnsiTheme="minorHAnsi"/>
          <w:sz w:val="24"/>
          <w:szCs w:val="24"/>
        </w:rPr>
        <w:t xml:space="preserve">. </w:t>
      </w:r>
      <w:r w:rsidRPr="0013781B">
        <w:rPr>
          <w:rFonts w:asciiTheme="minorHAnsi" w:hAnsiTheme="minorHAnsi"/>
          <w:sz w:val="24"/>
          <w:szCs w:val="24"/>
        </w:rPr>
        <w:t>Several of these communities have been forced to decide whether it will even be possible to stay on ancestral lands. This has raised a range of serious human rights concerns including, among others, the right to life, the right to an adequate standard of living, the right of Indigenous peoples to their traditional lands and resources, and the right of Indigenous peoples to self-determination.</w:t>
      </w:r>
    </w:p>
    <w:p w14:paraId="5C2FFBCC"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37DB9A80" w14:textId="678CFAA2"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b/>
          <w:bCs/>
          <w:sz w:val="24"/>
          <w:szCs w:val="24"/>
        </w:rPr>
        <w:t>I</w:t>
      </w:r>
      <w:r w:rsidRPr="0013781B">
        <w:rPr>
          <w:rStyle w:val="apple-tab-span"/>
          <w:rFonts w:asciiTheme="minorHAnsi" w:hAnsiTheme="minorHAnsi"/>
          <w:sz w:val="24"/>
          <w:szCs w:val="24"/>
        </w:rPr>
        <w:tab/>
      </w:r>
      <w:r w:rsidRPr="0013781B">
        <w:rPr>
          <w:rFonts w:asciiTheme="minorHAnsi" w:hAnsiTheme="minorHAnsi"/>
          <w:b/>
          <w:bCs/>
          <w:sz w:val="24"/>
          <w:szCs w:val="24"/>
        </w:rPr>
        <w:t>The right to life</w:t>
      </w:r>
      <w:r w:rsidRPr="0013781B">
        <w:rPr>
          <w:rFonts w:asciiTheme="minorHAnsi" w:hAnsiTheme="minorHAnsi"/>
          <w:sz w:val="24"/>
          <w:szCs w:val="24"/>
        </w:rPr>
        <w:t>, referenced in several human rights instruments including in the Universal Declaration of Human Rights (Article 3) and in the International Covenant on Civil and Political Rights (Article 6), imposes an affirmative obligation on States to protect citizens from conditions that pose an imminent threat to their lives. When governments fail to take measures to moderate, inhibit or reverse climate change, or to help populations adapt to it, they are failing to meet their human rights obligations.</w:t>
      </w:r>
    </w:p>
    <w:p w14:paraId="7EC2EEB9"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174D2153" w14:textId="15F91745"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The Tribunal’s Advisory Opinion acknowledges that its analysis is taking place “in a historical context in which climate change is the main global threat to the survival of the human species and consequently to the exercise of all human rights.” (</w:t>
      </w:r>
      <w:r w:rsidR="00716121">
        <w:rPr>
          <w:rFonts w:asciiTheme="minorHAnsi" w:hAnsiTheme="minorHAnsi"/>
          <w:sz w:val="24"/>
          <w:szCs w:val="24"/>
        </w:rPr>
        <w:t>p</w:t>
      </w:r>
      <w:r w:rsidRPr="0013781B">
        <w:rPr>
          <w:rFonts w:asciiTheme="minorHAnsi" w:hAnsiTheme="minorHAnsi"/>
          <w:sz w:val="24"/>
          <w:szCs w:val="24"/>
        </w:rPr>
        <w:t>76) It quotes from the UN High Commission on Human Rights report, titled “Understanding Human Rights and Climate Change,” noting that “the human rights which are most affected by climate change include the right to life . . . , the right to food, the right to water” and the right to other necessities essential for life. (</w:t>
      </w:r>
      <w:r w:rsidR="008E3338">
        <w:rPr>
          <w:rFonts w:asciiTheme="minorHAnsi" w:hAnsiTheme="minorHAnsi"/>
          <w:sz w:val="24"/>
          <w:szCs w:val="24"/>
        </w:rPr>
        <w:t>p</w:t>
      </w:r>
      <w:r w:rsidRPr="0013781B">
        <w:rPr>
          <w:rFonts w:asciiTheme="minorHAnsi" w:hAnsiTheme="minorHAnsi"/>
          <w:sz w:val="24"/>
          <w:szCs w:val="24"/>
        </w:rPr>
        <w:t>31)</w:t>
      </w:r>
    </w:p>
    <w:p w14:paraId="05043935"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0E1367BF" w14:textId="0FFE6FD0"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 xml:space="preserve">The Opinion highlights the Declaration on Human Rights and Climate Change and cites several of its provisions directly related to the right to life, including Article 4, “All human beings have the right to a planetary climate suitable to meet equitably the ecologically responsible needs of present generations without impairing the rights of future generations to meet equitably their ecologically responsible needs.” The Opinion further recommends “That State and sub-state </w:t>
      </w:r>
      <w:r w:rsidRPr="0013781B">
        <w:rPr>
          <w:rFonts w:asciiTheme="minorHAnsi" w:hAnsiTheme="minorHAnsi"/>
          <w:sz w:val="24"/>
          <w:szCs w:val="24"/>
        </w:rPr>
        <w:lastRenderedPageBreak/>
        <w:t>jurisdictions should consider adopting the Declaration on Human Rights and Climate Change and making its standards and provisions part of public policy at all levels.” (</w:t>
      </w:r>
      <w:r w:rsidR="008E3338">
        <w:rPr>
          <w:rFonts w:asciiTheme="minorHAnsi" w:hAnsiTheme="minorHAnsi"/>
          <w:sz w:val="24"/>
          <w:szCs w:val="24"/>
        </w:rPr>
        <w:t>p</w:t>
      </w:r>
      <w:r w:rsidRPr="0013781B">
        <w:rPr>
          <w:rFonts w:asciiTheme="minorHAnsi" w:hAnsiTheme="minorHAnsi"/>
          <w:sz w:val="24"/>
          <w:szCs w:val="24"/>
        </w:rPr>
        <w:t>60)</w:t>
      </w:r>
    </w:p>
    <w:p w14:paraId="197FB46D"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53396940" w14:textId="32ED9108"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b/>
          <w:bCs/>
          <w:sz w:val="24"/>
          <w:szCs w:val="24"/>
        </w:rPr>
        <w:t>II</w:t>
      </w:r>
      <w:r w:rsidRPr="0013781B">
        <w:rPr>
          <w:rStyle w:val="apple-tab-span"/>
          <w:rFonts w:asciiTheme="minorHAnsi" w:hAnsiTheme="minorHAnsi"/>
          <w:sz w:val="24"/>
          <w:szCs w:val="24"/>
        </w:rPr>
        <w:tab/>
      </w:r>
      <w:r w:rsidRPr="0013781B">
        <w:rPr>
          <w:rFonts w:asciiTheme="minorHAnsi" w:hAnsiTheme="minorHAnsi"/>
          <w:b/>
          <w:bCs/>
          <w:sz w:val="24"/>
          <w:szCs w:val="24"/>
        </w:rPr>
        <w:t>The right to an adequate standard of living</w:t>
      </w:r>
      <w:r w:rsidRPr="0013781B">
        <w:rPr>
          <w:rFonts w:asciiTheme="minorHAnsi" w:hAnsiTheme="minorHAnsi"/>
          <w:sz w:val="24"/>
          <w:szCs w:val="24"/>
        </w:rPr>
        <w:t>, articulated in the</w:t>
      </w:r>
      <w:r w:rsidR="007763CD" w:rsidRPr="0013781B">
        <w:rPr>
          <w:rFonts w:asciiTheme="minorHAnsi" w:hAnsiTheme="minorHAnsi"/>
          <w:sz w:val="24"/>
          <w:szCs w:val="24"/>
        </w:rPr>
        <w:t xml:space="preserve"> Universal Declaration of Human Rights</w:t>
      </w:r>
      <w:r w:rsidRPr="0013781B">
        <w:rPr>
          <w:rFonts w:asciiTheme="minorHAnsi" w:hAnsiTheme="minorHAnsi"/>
          <w:sz w:val="24"/>
          <w:szCs w:val="24"/>
        </w:rPr>
        <w:t xml:space="preserve"> (Article 25, 1) and in the </w:t>
      </w:r>
      <w:r w:rsidR="00955002" w:rsidRPr="0013781B">
        <w:rPr>
          <w:rFonts w:asciiTheme="minorHAnsi" w:hAnsiTheme="minorHAnsi"/>
          <w:sz w:val="24"/>
          <w:szCs w:val="24"/>
        </w:rPr>
        <w:t>Convention on the Rights of the Child</w:t>
      </w:r>
      <w:r w:rsidRPr="0013781B">
        <w:rPr>
          <w:rFonts w:asciiTheme="minorHAnsi" w:hAnsiTheme="minorHAnsi"/>
          <w:sz w:val="24"/>
          <w:szCs w:val="24"/>
        </w:rPr>
        <w:t xml:space="preserve"> (Article 24, 2</w:t>
      </w:r>
      <w:r w:rsidR="0013781B" w:rsidRPr="0013781B">
        <w:rPr>
          <w:rFonts w:asciiTheme="minorHAnsi" w:hAnsiTheme="minorHAnsi"/>
          <w:sz w:val="24"/>
          <w:szCs w:val="24"/>
        </w:rPr>
        <w:t>, c</w:t>
      </w:r>
      <w:r w:rsidRPr="0013781B">
        <w:rPr>
          <w:rFonts w:asciiTheme="minorHAnsi" w:hAnsiTheme="minorHAnsi"/>
          <w:sz w:val="24"/>
          <w:szCs w:val="24"/>
        </w:rPr>
        <w:t>) among other instruments, means that all persons and families must be guaranteed access to the basic preconditions for a healthy life including secure access to nourishing food, clean water, shelter from the elements, and adequate clothing, as well as medical care and necessary social services. Recognizing this, the Opinion cites the 2015 UN High Commission on Human Rights report’s affirmation that the right to an adequate standard of living, among “the human rights which are most affected by climate change,” (</w:t>
      </w:r>
      <w:r w:rsidR="008E3338">
        <w:rPr>
          <w:rFonts w:asciiTheme="minorHAnsi" w:hAnsiTheme="minorHAnsi"/>
          <w:sz w:val="24"/>
          <w:szCs w:val="24"/>
        </w:rPr>
        <w:t>p</w:t>
      </w:r>
      <w:r w:rsidRPr="0013781B">
        <w:rPr>
          <w:rFonts w:asciiTheme="minorHAnsi" w:hAnsiTheme="minorHAnsi"/>
          <w:sz w:val="24"/>
          <w:szCs w:val="24"/>
        </w:rPr>
        <w:t>31) includes the right to life, the right to self- determination, the right to development, the right to food, the right to water and sanitation, the right to health, the right to housing, the right to education, the right to meaningful and informed participation, the rights of those most affected by climate change and the rights of future generations. (</w:t>
      </w:r>
      <w:r w:rsidR="008E3338">
        <w:rPr>
          <w:rFonts w:asciiTheme="minorHAnsi" w:hAnsiTheme="minorHAnsi"/>
          <w:sz w:val="24"/>
          <w:szCs w:val="24"/>
        </w:rPr>
        <w:t>p</w:t>
      </w:r>
      <w:r w:rsidRPr="0013781B">
        <w:rPr>
          <w:rFonts w:asciiTheme="minorHAnsi" w:hAnsiTheme="minorHAnsi"/>
          <w:sz w:val="24"/>
          <w:szCs w:val="24"/>
        </w:rPr>
        <w:t>31)</w:t>
      </w:r>
    </w:p>
    <w:p w14:paraId="5C87AA2B"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5B981F5E" w14:textId="5EE1BB18"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The Opinion further acknowledges the growing legal recognition “that the enjoyment of human rights cannot be separated from a healthy and safe environment. Even more, environmental degradation caused by the massive extraction of natural resources is a driver of serious violations of human rights, from right to health, food, water, housing, jobs.” (</w:t>
      </w:r>
      <w:r w:rsidR="008E3338">
        <w:rPr>
          <w:rFonts w:asciiTheme="minorHAnsi" w:hAnsiTheme="minorHAnsi"/>
          <w:sz w:val="24"/>
          <w:szCs w:val="24"/>
        </w:rPr>
        <w:t>p</w:t>
      </w:r>
      <w:r w:rsidRPr="0013781B">
        <w:rPr>
          <w:rFonts w:asciiTheme="minorHAnsi" w:hAnsiTheme="minorHAnsi"/>
          <w:sz w:val="24"/>
          <w:szCs w:val="24"/>
        </w:rPr>
        <w:t>46)</w:t>
      </w:r>
    </w:p>
    <w:p w14:paraId="75F83AA1"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4EEE1864" w14:textId="14D363BC"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This right to an adequate standard of living requires governments to take affirmative measures to prevent conditions – such as climate change, environmental pollution, the spread of disease and malnutrition, etc – that would hinder citizens’ access to these most fundamental necessities. The Tribunal judges cite John Knox, United Nations Special Rapporteur on Human Rights and the Environment, who says that it is the duty of states to take active steps to protect people’s right to a healthy environment. Governments, he says, must “ensure a safe, clean, healthy and sustainable environment in order to respect, protect, and fulfill human rights.” (</w:t>
      </w:r>
      <w:r w:rsidR="008E3338">
        <w:rPr>
          <w:rFonts w:asciiTheme="minorHAnsi" w:hAnsiTheme="minorHAnsi"/>
          <w:sz w:val="24"/>
          <w:szCs w:val="24"/>
        </w:rPr>
        <w:t>p</w:t>
      </w:r>
      <w:r w:rsidRPr="0013781B">
        <w:rPr>
          <w:rFonts w:asciiTheme="minorHAnsi" w:hAnsiTheme="minorHAnsi"/>
          <w:sz w:val="24"/>
          <w:szCs w:val="24"/>
        </w:rPr>
        <w:t>74)</w:t>
      </w:r>
    </w:p>
    <w:p w14:paraId="1F2A8F5E"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3ECAD739" w14:textId="0CA5D8E0"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In addition to affirming the right to an adequate standard of living for all those alive today, the judges further recognize that “this issue also involves more directly than any other cases in the history of the PPT, the rights of future generations.” (</w:t>
      </w:r>
      <w:r w:rsidR="008E3338">
        <w:rPr>
          <w:rFonts w:asciiTheme="minorHAnsi" w:hAnsiTheme="minorHAnsi"/>
          <w:sz w:val="24"/>
          <w:szCs w:val="24"/>
        </w:rPr>
        <w:t>p</w:t>
      </w:r>
      <w:r w:rsidRPr="0013781B">
        <w:rPr>
          <w:rFonts w:asciiTheme="minorHAnsi" w:hAnsiTheme="minorHAnsi"/>
          <w:sz w:val="24"/>
          <w:szCs w:val="24"/>
        </w:rPr>
        <w:t>76)</w:t>
      </w:r>
    </w:p>
    <w:p w14:paraId="06AF89E4" w14:textId="517DB7FB"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The Opinion recommends “That all States and governments at all levels should include in their constitutions a recognition of the right of all their citizens to a healthy environment.” (</w:t>
      </w:r>
      <w:r w:rsidR="008E3338">
        <w:rPr>
          <w:rFonts w:asciiTheme="minorHAnsi" w:hAnsiTheme="minorHAnsi"/>
          <w:sz w:val="24"/>
          <w:szCs w:val="24"/>
        </w:rPr>
        <w:t>p</w:t>
      </w:r>
      <w:r w:rsidRPr="0013781B">
        <w:rPr>
          <w:rFonts w:asciiTheme="minorHAnsi" w:hAnsiTheme="minorHAnsi"/>
          <w:sz w:val="24"/>
          <w:szCs w:val="24"/>
        </w:rPr>
        <w:t>59)</w:t>
      </w:r>
    </w:p>
    <w:p w14:paraId="17499DB0"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7E3322B4" w14:textId="77777777"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b/>
          <w:bCs/>
          <w:sz w:val="24"/>
          <w:szCs w:val="24"/>
        </w:rPr>
        <w:t>III</w:t>
      </w:r>
      <w:r w:rsidRPr="0013781B">
        <w:rPr>
          <w:rStyle w:val="apple-tab-span"/>
          <w:rFonts w:asciiTheme="minorHAnsi" w:hAnsiTheme="minorHAnsi"/>
          <w:sz w:val="24"/>
          <w:szCs w:val="24"/>
        </w:rPr>
        <w:tab/>
      </w:r>
      <w:r w:rsidRPr="0013781B">
        <w:rPr>
          <w:rFonts w:asciiTheme="minorHAnsi" w:hAnsiTheme="minorHAnsi"/>
          <w:b/>
          <w:bCs/>
          <w:sz w:val="24"/>
          <w:szCs w:val="24"/>
        </w:rPr>
        <w:t>The right of Indigenous peoples to their traditional lands and resources</w:t>
      </w:r>
      <w:r w:rsidRPr="0013781B">
        <w:rPr>
          <w:rFonts w:asciiTheme="minorHAnsi" w:hAnsiTheme="minorHAnsi"/>
          <w:sz w:val="24"/>
          <w:szCs w:val="24"/>
        </w:rPr>
        <w:t xml:space="preserve"> is articulated in the United Nations Declaration on the Rights of Indigenous Peoples (Article 26): “Indigenous peoples have the right to the lands, territories and resources which they have traditionally owned, occupied or otherwise used or acquired,” and governments are required to “give legal recognition and protection to these lands, territories and resources. Such recognition shall be conducted with due respect to the customs, traditions and land tenure systems of the Indigenous peoples concerned.”</w:t>
      </w:r>
    </w:p>
    <w:p w14:paraId="0AC75552"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1C20DD12" w14:textId="5F07F146"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lastRenderedPageBreak/>
        <w:t>The Tribunal recognized that those customs and traditions are central. Tribunal judges heard  dramatic testimony violations of these rights in  Indigenous communities along Alaska’s west coast, detailing the physical loss of Native lands and resources as a result of climate change, sea level rise, and loss of sea ice in the Arctic. The Opinion recognizes that: “In the indigenous cosmovision, the territory represents the universe, that is, what is above the ground, on the ground and under the ground. It includes renewable natural resources (water sources, wood, flora and fauna) and non-renewable resources (mines, gas and oil). The territory is linked to the sacred, to the space of social reproduction, physical survival, work, solidarity, and in general to the exercise of . . . autonomy.” (</w:t>
      </w:r>
      <w:r w:rsidR="008E3338">
        <w:rPr>
          <w:rFonts w:asciiTheme="minorHAnsi" w:hAnsiTheme="minorHAnsi"/>
          <w:sz w:val="24"/>
          <w:szCs w:val="24"/>
        </w:rPr>
        <w:t>p</w:t>
      </w:r>
      <w:r w:rsidRPr="0013781B">
        <w:rPr>
          <w:rFonts w:asciiTheme="minorHAnsi" w:hAnsiTheme="minorHAnsi"/>
          <w:sz w:val="24"/>
          <w:szCs w:val="24"/>
        </w:rPr>
        <w:t>57) </w:t>
      </w:r>
    </w:p>
    <w:p w14:paraId="33CDAA72"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7410A603" w14:textId="4EBFE325"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The Opinion quotes an Indigenous representative speaking in an earlier PPT Session. “The land, which was given to us from the beginning, is what sustains our coexistence, our raison d'être as native Indigenous peoples. In that territory there are the norms that we must fulfill as representatives of a specific culture. Each and every one of the places of our history are components of what we call ancestral territory, a sacred space that nourishes, strengthens and gives us existence on this planet. Therefore, this space belongs to each and every one of those peoples to whom the Spiritual Mother entrusted them with specific missions, which we must protect. The territory is where Laws and History are written; without them we would not be peoples with different cultures.” (</w:t>
      </w:r>
      <w:r w:rsidR="008E3338">
        <w:rPr>
          <w:rFonts w:asciiTheme="minorHAnsi" w:hAnsiTheme="minorHAnsi"/>
          <w:sz w:val="24"/>
          <w:szCs w:val="24"/>
        </w:rPr>
        <w:t>p</w:t>
      </w:r>
      <w:r w:rsidRPr="0013781B">
        <w:rPr>
          <w:rFonts w:asciiTheme="minorHAnsi" w:hAnsiTheme="minorHAnsi"/>
          <w:sz w:val="24"/>
          <w:szCs w:val="24"/>
        </w:rPr>
        <w:t>57)</w:t>
      </w:r>
    </w:p>
    <w:p w14:paraId="3DBDAFAF"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3109AA50" w14:textId="3279DEAE"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The Opinion also cites the 1976 Universal Declaration of the Rights of Peoples (Article 16). “Every people has the right to the conservation, protection and improvement of its environment,” and from Article 8, “Every people has an exclusive right over its natural wealth and res</w:t>
      </w:r>
      <w:r w:rsidRPr="0013781B">
        <w:rPr>
          <w:rFonts w:asciiTheme="minorHAnsi" w:hAnsiTheme="minorHAnsi"/>
          <w:color w:val="313131"/>
          <w:sz w:val="24"/>
          <w:szCs w:val="24"/>
        </w:rPr>
        <w:t>ources. It has the right to recover them if they have been despoiled.” (</w:t>
      </w:r>
      <w:r w:rsidR="008E3338">
        <w:rPr>
          <w:rFonts w:asciiTheme="minorHAnsi" w:hAnsiTheme="minorHAnsi"/>
          <w:color w:val="313131"/>
          <w:sz w:val="24"/>
          <w:szCs w:val="24"/>
        </w:rPr>
        <w:t>p</w:t>
      </w:r>
      <w:r w:rsidRPr="0013781B">
        <w:rPr>
          <w:rFonts w:asciiTheme="minorHAnsi" w:hAnsiTheme="minorHAnsi"/>
          <w:color w:val="313131"/>
          <w:sz w:val="24"/>
          <w:szCs w:val="24"/>
        </w:rPr>
        <w:t>78)</w:t>
      </w:r>
    </w:p>
    <w:p w14:paraId="5AD77B74" w14:textId="77777777" w:rsidR="00840246" w:rsidRPr="0013781B" w:rsidRDefault="00840246" w:rsidP="00840246">
      <w:pPr>
        <w:pStyle w:val="NormalWeb"/>
        <w:spacing w:before="0" w:beforeAutospacing="0" w:after="0" w:afterAutospacing="0"/>
        <w:rPr>
          <w:rFonts w:asciiTheme="minorHAnsi" w:hAnsiTheme="minorHAnsi"/>
          <w:color w:val="313131"/>
          <w:sz w:val="24"/>
          <w:szCs w:val="24"/>
        </w:rPr>
      </w:pPr>
    </w:p>
    <w:p w14:paraId="17A7FA6B" w14:textId="75D56E5A" w:rsidR="00840246" w:rsidRPr="0013781B" w:rsidRDefault="00840246" w:rsidP="00840246">
      <w:pPr>
        <w:pStyle w:val="NormalWeb"/>
        <w:spacing w:before="0" w:beforeAutospacing="0" w:after="0" w:afterAutospacing="0"/>
        <w:rPr>
          <w:rFonts w:asciiTheme="minorHAnsi" w:hAnsiTheme="minorHAnsi"/>
          <w:color w:val="313131"/>
          <w:sz w:val="24"/>
          <w:szCs w:val="24"/>
        </w:rPr>
      </w:pPr>
      <w:r w:rsidRPr="0013781B">
        <w:rPr>
          <w:rFonts w:asciiTheme="minorHAnsi" w:hAnsiTheme="minorHAnsi"/>
          <w:b/>
          <w:bCs/>
          <w:color w:val="313131"/>
          <w:sz w:val="24"/>
          <w:szCs w:val="24"/>
        </w:rPr>
        <w:t>The right of Indigenous peoples to self-determination</w:t>
      </w:r>
      <w:r w:rsidRPr="0013781B">
        <w:rPr>
          <w:rFonts w:asciiTheme="minorHAnsi" w:hAnsiTheme="minorHAnsi"/>
          <w:color w:val="313131"/>
          <w:sz w:val="24"/>
          <w:szCs w:val="24"/>
        </w:rPr>
        <w:t>, articulated in the United Nations Declaration on the Rights of Indigenous Peoples (Articles 3 and 4), was featured extensively in testimony presented to the court, both orally and in brief, by Alaska human rights attorney Robin Bronen.</w:t>
      </w:r>
    </w:p>
    <w:p w14:paraId="223E9637" w14:textId="77777777" w:rsidR="00840246" w:rsidRPr="0013781B" w:rsidRDefault="00840246" w:rsidP="00840246">
      <w:pPr>
        <w:pStyle w:val="NormalWeb"/>
        <w:spacing w:before="0" w:beforeAutospacing="0" w:after="0" w:afterAutospacing="0"/>
        <w:rPr>
          <w:rFonts w:asciiTheme="minorHAnsi" w:hAnsiTheme="minorHAnsi"/>
          <w:color w:val="313131"/>
          <w:sz w:val="24"/>
          <w:szCs w:val="24"/>
        </w:rPr>
      </w:pPr>
      <w:r w:rsidRPr="0013781B">
        <w:rPr>
          <w:rFonts w:asciiTheme="minorHAnsi" w:hAnsiTheme="minorHAnsi"/>
          <w:color w:val="313131"/>
          <w:sz w:val="24"/>
          <w:szCs w:val="24"/>
        </w:rPr>
        <w:t> </w:t>
      </w:r>
    </w:p>
    <w:p w14:paraId="5615906C" w14:textId="77777777"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 xml:space="preserve">As a final note, the </w:t>
      </w:r>
      <w:r w:rsidRPr="0013781B">
        <w:rPr>
          <w:rFonts w:asciiTheme="minorHAnsi" w:hAnsiTheme="minorHAnsi"/>
          <w:color w:val="313131"/>
          <w:sz w:val="24"/>
          <w:szCs w:val="24"/>
        </w:rPr>
        <w:t>United Nations</w:t>
      </w:r>
      <w:r w:rsidRPr="0013781B">
        <w:rPr>
          <w:rFonts w:asciiTheme="minorHAnsi" w:hAnsiTheme="minorHAnsi"/>
          <w:sz w:val="24"/>
          <w:szCs w:val="24"/>
        </w:rPr>
        <w:t xml:space="preserve"> Environment Programme 2015 report, “Climate Change and Human Rights,” distinguishes three kinds of duties required of States to meet their human rights obligations: “1) the duty to </w:t>
      </w:r>
      <w:r w:rsidRPr="0013781B">
        <w:rPr>
          <w:rFonts w:asciiTheme="minorHAnsi" w:hAnsiTheme="minorHAnsi"/>
          <w:b/>
          <w:bCs/>
          <w:sz w:val="24"/>
          <w:szCs w:val="24"/>
        </w:rPr>
        <w:t>respect</w:t>
      </w:r>
      <w:r w:rsidRPr="0013781B">
        <w:rPr>
          <w:rFonts w:asciiTheme="minorHAnsi" w:hAnsiTheme="minorHAnsi"/>
          <w:sz w:val="24"/>
          <w:szCs w:val="24"/>
        </w:rPr>
        <w:t xml:space="preserve"> human rights, a negative obligation which requires states to refrain from taking actions that would interfere with or curtail the enjoyment of human rights; 2) the duty to </w:t>
      </w:r>
      <w:r w:rsidRPr="0013781B">
        <w:rPr>
          <w:rFonts w:asciiTheme="minorHAnsi" w:hAnsiTheme="minorHAnsi"/>
          <w:b/>
          <w:bCs/>
          <w:sz w:val="24"/>
          <w:szCs w:val="24"/>
        </w:rPr>
        <w:t>protect</w:t>
      </w:r>
      <w:r w:rsidRPr="0013781B">
        <w:rPr>
          <w:rFonts w:asciiTheme="minorHAnsi" w:hAnsiTheme="minorHAnsi"/>
          <w:sz w:val="24"/>
          <w:szCs w:val="24"/>
        </w:rPr>
        <w:t xml:space="preserve"> human rights against violations by third parties; and 3) the duty to </w:t>
      </w:r>
      <w:r w:rsidRPr="0013781B">
        <w:rPr>
          <w:rFonts w:asciiTheme="minorHAnsi" w:hAnsiTheme="minorHAnsi"/>
          <w:b/>
          <w:bCs/>
          <w:sz w:val="24"/>
          <w:szCs w:val="24"/>
        </w:rPr>
        <w:t>fulfill</w:t>
      </w:r>
      <w:r w:rsidRPr="0013781B">
        <w:rPr>
          <w:rFonts w:asciiTheme="minorHAnsi" w:hAnsiTheme="minorHAnsi"/>
          <w:sz w:val="24"/>
          <w:szCs w:val="24"/>
        </w:rPr>
        <w:t xml:space="preserve"> human rights, a positive obligation, which requires states to undertake measures to ensure the realization of rights for all members of society.” All three kinds of duties bear on States’ obligation to protect against climate change, particularly with respect to State actions that license, permit, monitor and subsidize fossil fuel industry extraction, infrastructure and distribution practices.</w:t>
      </w:r>
    </w:p>
    <w:p w14:paraId="14527446" w14:textId="77777777" w:rsidR="00840246" w:rsidRPr="0013781B" w:rsidRDefault="00840246" w:rsidP="00840246">
      <w:pPr>
        <w:pStyle w:val="NormalWeb"/>
        <w:spacing w:before="0" w:beforeAutospacing="0" w:after="0" w:afterAutospacing="0"/>
        <w:rPr>
          <w:rFonts w:asciiTheme="minorHAnsi" w:hAnsiTheme="minorHAnsi"/>
          <w:sz w:val="24"/>
          <w:szCs w:val="24"/>
        </w:rPr>
      </w:pPr>
    </w:p>
    <w:p w14:paraId="3A4370A1" w14:textId="1A97F262" w:rsidR="00840246" w:rsidRPr="0013781B" w:rsidRDefault="008F2BEC" w:rsidP="00840246">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Dr </w:t>
      </w:r>
      <w:bookmarkStart w:id="0" w:name="_GoBack"/>
      <w:bookmarkEnd w:id="0"/>
      <w:r w:rsidR="00840246" w:rsidRPr="0013781B">
        <w:rPr>
          <w:rFonts w:asciiTheme="minorHAnsi" w:hAnsiTheme="minorHAnsi"/>
          <w:sz w:val="24"/>
          <w:szCs w:val="24"/>
        </w:rPr>
        <w:t>Tom Kerns</w:t>
      </w:r>
    </w:p>
    <w:p w14:paraId="4844AA1A" w14:textId="77777777"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Steering Group</w:t>
      </w:r>
    </w:p>
    <w:p w14:paraId="0D3E8A94" w14:textId="77777777" w:rsidR="00840246" w:rsidRPr="0013781B" w:rsidRDefault="00840246" w:rsidP="00840246">
      <w:pPr>
        <w:pStyle w:val="NormalWeb"/>
        <w:spacing w:before="0" w:beforeAutospacing="0" w:after="0" w:afterAutospacing="0"/>
        <w:rPr>
          <w:rFonts w:asciiTheme="minorHAnsi" w:hAnsiTheme="minorHAnsi"/>
          <w:sz w:val="24"/>
          <w:szCs w:val="24"/>
        </w:rPr>
      </w:pPr>
      <w:r w:rsidRPr="0013781B">
        <w:rPr>
          <w:rFonts w:asciiTheme="minorHAnsi" w:hAnsiTheme="minorHAnsi"/>
          <w:sz w:val="24"/>
          <w:szCs w:val="24"/>
        </w:rPr>
        <w:t>Permanent Peoples’ Tribunal Session on Human Rights, Fracking and Climate Change </w:t>
      </w:r>
    </w:p>
    <w:p w14:paraId="42EE97FB" w14:textId="77777777" w:rsidR="00FB3033" w:rsidRPr="0013781B" w:rsidRDefault="00FB3033">
      <w:pPr>
        <w:rPr>
          <w:rFonts w:asciiTheme="minorHAnsi" w:hAnsiTheme="minorHAnsi"/>
          <w:sz w:val="24"/>
          <w:szCs w:val="24"/>
        </w:rPr>
      </w:pPr>
    </w:p>
    <w:sectPr w:rsidR="00FB3033" w:rsidRPr="0013781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EEC8" w14:textId="77777777" w:rsidR="0042029D" w:rsidRDefault="0042029D" w:rsidP="00E64668">
      <w:r>
        <w:separator/>
      </w:r>
    </w:p>
  </w:endnote>
  <w:endnote w:type="continuationSeparator" w:id="0">
    <w:p w14:paraId="4F475F18" w14:textId="77777777" w:rsidR="0042029D" w:rsidRDefault="0042029D" w:rsidP="00E6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8154414"/>
      <w:docPartObj>
        <w:docPartGallery w:val="Page Numbers (Bottom of Page)"/>
        <w:docPartUnique/>
      </w:docPartObj>
    </w:sdtPr>
    <w:sdtEndPr>
      <w:rPr>
        <w:rStyle w:val="PageNumber"/>
      </w:rPr>
    </w:sdtEndPr>
    <w:sdtContent>
      <w:p w14:paraId="0B89424E" w14:textId="35A01612" w:rsidR="00E64668" w:rsidRDefault="00E64668" w:rsidP="00D36A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4A115F" w14:textId="77777777" w:rsidR="00E64668" w:rsidRDefault="00E64668" w:rsidP="00E64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0871850"/>
      <w:docPartObj>
        <w:docPartGallery w:val="Page Numbers (Bottom of Page)"/>
        <w:docPartUnique/>
      </w:docPartObj>
    </w:sdtPr>
    <w:sdtEndPr>
      <w:rPr>
        <w:rStyle w:val="PageNumber"/>
      </w:rPr>
    </w:sdtEndPr>
    <w:sdtContent>
      <w:p w14:paraId="24F14FE9" w14:textId="3733AEE5" w:rsidR="00E64668" w:rsidRDefault="00E64668" w:rsidP="00D36A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123E6B" w14:textId="77777777" w:rsidR="00E64668" w:rsidRDefault="00E64668" w:rsidP="00E646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CB018" w14:textId="77777777" w:rsidR="0042029D" w:rsidRDefault="0042029D" w:rsidP="00E64668">
      <w:r>
        <w:separator/>
      </w:r>
    </w:p>
  </w:footnote>
  <w:footnote w:type="continuationSeparator" w:id="0">
    <w:p w14:paraId="52FD67F1" w14:textId="77777777" w:rsidR="0042029D" w:rsidRDefault="0042029D" w:rsidP="00E6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6D"/>
    <w:rsid w:val="00047D0F"/>
    <w:rsid w:val="000C366D"/>
    <w:rsid w:val="00102747"/>
    <w:rsid w:val="0013781B"/>
    <w:rsid w:val="0042029D"/>
    <w:rsid w:val="004548A3"/>
    <w:rsid w:val="004D583E"/>
    <w:rsid w:val="00716121"/>
    <w:rsid w:val="007747B7"/>
    <w:rsid w:val="007763CD"/>
    <w:rsid w:val="007E2852"/>
    <w:rsid w:val="00840246"/>
    <w:rsid w:val="0085272E"/>
    <w:rsid w:val="008E3338"/>
    <w:rsid w:val="008F2BEC"/>
    <w:rsid w:val="00955002"/>
    <w:rsid w:val="00981453"/>
    <w:rsid w:val="00AF2647"/>
    <w:rsid w:val="00E64668"/>
    <w:rsid w:val="00F94F5B"/>
    <w:rsid w:val="00FB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916A"/>
  <w15:chartTrackingRefBased/>
  <w15:docId w15:val="{66F87037-6176-4B94-BC5C-37EA8B01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6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66D"/>
    <w:pPr>
      <w:spacing w:before="100" w:beforeAutospacing="1" w:after="100" w:afterAutospacing="1"/>
    </w:pPr>
  </w:style>
  <w:style w:type="character" w:customStyle="1" w:styleId="apple-tab-span">
    <w:name w:val="apple-tab-span"/>
    <w:basedOn w:val="DefaultParagraphFont"/>
    <w:rsid w:val="000C366D"/>
  </w:style>
  <w:style w:type="character" w:styleId="CommentReference">
    <w:name w:val="annotation reference"/>
    <w:basedOn w:val="DefaultParagraphFont"/>
    <w:uiPriority w:val="99"/>
    <w:semiHidden/>
    <w:unhideWhenUsed/>
    <w:rsid w:val="000C366D"/>
    <w:rPr>
      <w:sz w:val="16"/>
      <w:szCs w:val="16"/>
    </w:rPr>
  </w:style>
  <w:style w:type="paragraph" w:styleId="CommentText">
    <w:name w:val="annotation text"/>
    <w:basedOn w:val="Normal"/>
    <w:link w:val="CommentTextChar"/>
    <w:uiPriority w:val="99"/>
    <w:semiHidden/>
    <w:unhideWhenUsed/>
    <w:rsid w:val="000C366D"/>
    <w:rPr>
      <w:sz w:val="20"/>
      <w:szCs w:val="20"/>
    </w:rPr>
  </w:style>
  <w:style w:type="character" w:customStyle="1" w:styleId="CommentTextChar">
    <w:name w:val="Comment Text Char"/>
    <w:basedOn w:val="DefaultParagraphFont"/>
    <w:link w:val="CommentText"/>
    <w:uiPriority w:val="99"/>
    <w:semiHidden/>
    <w:rsid w:val="000C366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366D"/>
    <w:rPr>
      <w:b/>
      <w:bCs/>
    </w:rPr>
  </w:style>
  <w:style w:type="character" w:customStyle="1" w:styleId="CommentSubjectChar">
    <w:name w:val="Comment Subject Char"/>
    <w:basedOn w:val="CommentTextChar"/>
    <w:link w:val="CommentSubject"/>
    <w:uiPriority w:val="99"/>
    <w:semiHidden/>
    <w:rsid w:val="000C366D"/>
    <w:rPr>
      <w:rFonts w:ascii="Calibri" w:hAnsi="Calibri" w:cs="Calibri"/>
      <w:b/>
      <w:bCs/>
      <w:sz w:val="20"/>
      <w:szCs w:val="20"/>
    </w:rPr>
  </w:style>
  <w:style w:type="paragraph" w:styleId="BalloonText">
    <w:name w:val="Balloon Text"/>
    <w:basedOn w:val="Normal"/>
    <w:link w:val="BalloonTextChar"/>
    <w:uiPriority w:val="99"/>
    <w:semiHidden/>
    <w:unhideWhenUsed/>
    <w:rsid w:val="000C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6D"/>
    <w:rPr>
      <w:rFonts w:ascii="Segoe UI" w:hAnsi="Segoe UI" w:cs="Segoe UI"/>
      <w:sz w:val="18"/>
      <w:szCs w:val="18"/>
    </w:rPr>
  </w:style>
  <w:style w:type="paragraph" w:styleId="Revision">
    <w:name w:val="Revision"/>
    <w:hidden/>
    <w:uiPriority w:val="99"/>
    <w:semiHidden/>
    <w:rsid w:val="004548A3"/>
    <w:pPr>
      <w:spacing w:after="0" w:line="240" w:lineRule="auto"/>
    </w:pPr>
    <w:rPr>
      <w:rFonts w:ascii="Calibri" w:hAnsi="Calibri" w:cs="Calibri"/>
    </w:rPr>
  </w:style>
  <w:style w:type="paragraph" w:styleId="Footer">
    <w:name w:val="footer"/>
    <w:basedOn w:val="Normal"/>
    <w:link w:val="FooterChar"/>
    <w:uiPriority w:val="99"/>
    <w:unhideWhenUsed/>
    <w:rsid w:val="00E64668"/>
    <w:pPr>
      <w:tabs>
        <w:tab w:val="center" w:pos="4680"/>
        <w:tab w:val="right" w:pos="9360"/>
      </w:tabs>
    </w:pPr>
  </w:style>
  <w:style w:type="character" w:customStyle="1" w:styleId="FooterChar">
    <w:name w:val="Footer Char"/>
    <w:basedOn w:val="DefaultParagraphFont"/>
    <w:link w:val="Footer"/>
    <w:uiPriority w:val="99"/>
    <w:rsid w:val="00E64668"/>
    <w:rPr>
      <w:rFonts w:ascii="Calibri" w:hAnsi="Calibri" w:cs="Calibri"/>
    </w:rPr>
  </w:style>
  <w:style w:type="character" w:styleId="PageNumber">
    <w:name w:val="page number"/>
    <w:basedOn w:val="DefaultParagraphFont"/>
    <w:uiPriority w:val="99"/>
    <w:semiHidden/>
    <w:unhideWhenUsed/>
    <w:rsid w:val="00E6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1ACD89-2678-43CB-9F95-011E9D73839E}"/>
</file>

<file path=customXml/itemProps2.xml><?xml version="1.0" encoding="utf-8"?>
<ds:datastoreItem xmlns:ds="http://schemas.openxmlformats.org/officeDocument/2006/customXml" ds:itemID="{D318FCC1-9C42-4E6E-BEB6-FBB6DD598717}"/>
</file>

<file path=customXml/itemProps3.xml><?xml version="1.0" encoding="utf-8"?>
<ds:datastoreItem xmlns:ds="http://schemas.openxmlformats.org/officeDocument/2006/customXml" ds:itemID="{B41C27C5-A8FC-4E92-8432-774CAB47AE26}"/>
</file>

<file path=docProps/app.xml><?xml version="1.0" encoding="utf-8"?>
<Properties xmlns="http://schemas.openxmlformats.org/officeDocument/2006/extended-properties" xmlns:vt="http://schemas.openxmlformats.org/officeDocument/2006/docPropsVTypes">
  <Template>Normal.dotm</Template>
  <TotalTime>44</TotalTime>
  <Pages>4</Pages>
  <Words>1541</Words>
  <Characters>8291</Characters>
  <Application>Microsoft Office Word</Application>
  <DocSecurity>0</DocSecurity>
  <Lines>131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Kathleen</dc:creator>
  <cp:keywords/>
  <dc:description/>
  <cp:lastModifiedBy>Tom Kerns</cp:lastModifiedBy>
  <cp:revision>3</cp:revision>
  <dcterms:created xsi:type="dcterms:W3CDTF">2019-06-11T22:50:00Z</dcterms:created>
  <dcterms:modified xsi:type="dcterms:W3CDTF">2019-06-12T05:26:00Z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