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4C" w:rsidRDefault="009E6C4C" w:rsidP="00820DB2">
      <w:pPr>
        <w:shd w:val="clear" w:color="auto" w:fill="FFFFFF"/>
        <w:spacing w:after="150" w:line="240" w:lineRule="auto"/>
        <w:jc w:val="center"/>
        <w:rPr>
          <w:rFonts w:eastAsia="Times New Roman" w:cs="Calibri"/>
          <w:b/>
          <w:color w:val="000000"/>
          <w:sz w:val="22"/>
          <w:lang w:eastAsia="es-MX"/>
        </w:rPr>
      </w:pPr>
    </w:p>
    <w:p w:rsidR="009E6C4C" w:rsidRPr="00D405EA" w:rsidRDefault="009E6C4C" w:rsidP="009E6C4C">
      <w:pPr>
        <w:spacing w:line="276" w:lineRule="auto"/>
        <w:jc w:val="right"/>
        <w:rPr>
          <w:rFonts w:eastAsia="Times New Roman" w:cs="Arial"/>
          <w:color w:val="222222"/>
          <w:shd w:val="clear" w:color="auto" w:fill="FFFFFF"/>
        </w:rPr>
      </w:pPr>
      <w:r w:rsidRPr="009E6C4C">
        <w:rPr>
          <w:rFonts w:eastAsia="Times New Roman" w:cs="Arial"/>
          <w:color w:val="222222"/>
          <w:shd w:val="clear" w:color="auto" w:fill="FFFFFF"/>
        </w:rPr>
        <w:t>RELATOR ESPECIAL SOBRE LOS DERECHOS HUMANOS Y EL MEDIO AMBIENTE</w:t>
      </w:r>
    </w:p>
    <w:p w:rsidR="009E6C4C" w:rsidRDefault="009E6C4C" w:rsidP="009E6C4C">
      <w:pPr>
        <w:spacing w:line="276" w:lineRule="auto"/>
        <w:jc w:val="right"/>
        <w:rPr>
          <w:rFonts w:eastAsia="Times New Roman" w:cs="Arial"/>
          <w:color w:val="222222"/>
          <w:shd w:val="clear" w:color="auto" w:fill="FFFFFF"/>
        </w:rPr>
      </w:pPr>
      <w:r w:rsidRPr="009E6C4C">
        <w:rPr>
          <w:rFonts w:eastAsia="Times New Roman" w:cs="Arial"/>
          <w:color w:val="222222"/>
          <w:shd w:val="clear" w:color="auto" w:fill="FFFFFF"/>
        </w:rPr>
        <w:t>Alimentación sana y sostenible - Reducción del impacto ambiental del sistema alimentario</w:t>
      </w:r>
      <w:r>
        <w:rPr>
          <w:rFonts w:eastAsia="Times New Roman" w:cs="Arial"/>
          <w:color w:val="222222"/>
          <w:shd w:val="clear" w:color="auto" w:fill="FFFFFF"/>
        </w:rPr>
        <w:t xml:space="preserve"> mundial en los derechos humano.</w:t>
      </w:r>
    </w:p>
    <w:p w:rsidR="009E6C4C" w:rsidRDefault="009E6C4C" w:rsidP="009E6C4C">
      <w:pPr>
        <w:spacing w:line="276" w:lineRule="auto"/>
        <w:ind w:left="708" w:firstLine="708"/>
        <w:jc w:val="right"/>
        <w:rPr>
          <w:rFonts w:eastAsia="Times New Roman" w:cs="Arial"/>
          <w:color w:val="222222"/>
          <w:shd w:val="clear" w:color="auto" w:fill="FFFFFF"/>
        </w:rPr>
      </w:pPr>
      <w:r>
        <w:rPr>
          <w:rFonts w:eastAsia="Times New Roman" w:cs="Arial"/>
          <w:color w:val="222222"/>
          <w:shd w:val="clear" w:color="auto" w:fill="FFFFFF"/>
        </w:rPr>
        <w:t>Solicitud de contribuciones.</w:t>
      </w:r>
    </w:p>
    <w:p w:rsidR="009E6C4C" w:rsidRDefault="009E6C4C" w:rsidP="009E6C4C">
      <w:pPr>
        <w:spacing w:line="276" w:lineRule="auto"/>
        <w:ind w:left="708" w:firstLine="708"/>
        <w:jc w:val="right"/>
        <w:rPr>
          <w:rFonts w:eastAsia="Times New Roman" w:cs="Arial"/>
          <w:color w:val="222222"/>
          <w:shd w:val="clear" w:color="auto" w:fill="FFFFFF"/>
        </w:rPr>
      </w:pPr>
    </w:p>
    <w:p w:rsidR="009E6C4C" w:rsidRPr="00D405EA" w:rsidRDefault="009E6C4C" w:rsidP="009E6C4C">
      <w:pPr>
        <w:spacing w:line="276" w:lineRule="auto"/>
        <w:ind w:left="708" w:firstLine="708"/>
        <w:jc w:val="right"/>
        <w:rPr>
          <w:rFonts w:eastAsia="Times New Roman" w:cs="Arial"/>
          <w:color w:val="222222"/>
          <w:shd w:val="clear" w:color="auto" w:fill="FFFFFF"/>
        </w:rPr>
      </w:pPr>
    </w:p>
    <w:p w:rsidR="009E6C4C" w:rsidRPr="00D405EA" w:rsidRDefault="00193A20" w:rsidP="009E6C4C">
      <w:pPr>
        <w:spacing w:line="276" w:lineRule="auto"/>
        <w:jc w:val="center"/>
        <w:rPr>
          <w:rFonts w:eastAsia="Times New Roman" w:cs="Arial"/>
          <w:color w:val="222222"/>
          <w:shd w:val="clear" w:color="auto" w:fill="FFFFFF"/>
        </w:rPr>
      </w:pPr>
      <w:r>
        <w:rPr>
          <w:rFonts w:eastAsia="Times New Roman" w:cs="Arial"/>
          <w:color w:val="222222"/>
          <w:shd w:val="clear" w:color="auto" w:fill="FFFFFF"/>
        </w:rPr>
        <w:pict w14:anchorId="5763F7F2">
          <v:rect id="_x0000_i1025" style="width:266.45pt;height:2pt" o:hralign="center" o:hrstd="t" o:hrnoshade="t" o:hr="t" fillcolor="black [3213]" stroked="f"/>
        </w:pict>
      </w:r>
      <w:r w:rsidR="009E6C4C" w:rsidRPr="00D405EA">
        <w:rPr>
          <w:rFonts w:ascii="Times" w:eastAsia="Times New Roman" w:hAnsi="Times" w:cs="Times New Roman"/>
          <w:sz w:val="20"/>
          <w:szCs w:val="20"/>
        </w:rPr>
        <w:t xml:space="preserve"> </w:t>
      </w:r>
      <w:r w:rsidR="009E6C4C" w:rsidRPr="009E6C4C">
        <w:rPr>
          <w:rFonts w:eastAsia="Times New Roman" w:cs="Arial"/>
          <w:b/>
          <w:color w:val="222222"/>
          <w:sz w:val="36"/>
          <w:szCs w:val="36"/>
          <w:shd w:val="clear" w:color="auto" w:fill="FFFFFF"/>
        </w:rPr>
        <w:t>SOLICITUD DE CONTRIBUCIONES: ALIMENTACIÓN SANA Y SOSTENIBLE - REDUCCIÓN DEL IMPACTO AMBIENTAL DEL SISTEMA ALIMENTARIO MUNDIAL EN LOS DERECHOS HUMANOS</w:t>
      </w:r>
      <w:r w:rsidR="009E6C4C">
        <w:rPr>
          <w:rFonts w:eastAsia="Times New Roman" w:cs="Arial"/>
          <w:b/>
          <w:color w:val="222222"/>
          <w:sz w:val="36"/>
          <w:szCs w:val="36"/>
          <w:shd w:val="clear" w:color="auto" w:fill="FFFFFF"/>
        </w:rPr>
        <w:t>.</w:t>
      </w:r>
    </w:p>
    <w:p w:rsidR="009E6C4C" w:rsidRPr="00D405EA" w:rsidRDefault="00193A20" w:rsidP="009E6C4C">
      <w:pPr>
        <w:spacing w:line="276" w:lineRule="auto"/>
        <w:jc w:val="both"/>
        <w:rPr>
          <w:rFonts w:eastAsia="Times New Roman" w:cs="Arial"/>
          <w:b/>
          <w:color w:val="222222"/>
          <w:shd w:val="clear" w:color="auto" w:fill="FFFFFF"/>
        </w:rPr>
      </w:pPr>
      <w:r>
        <w:rPr>
          <w:rFonts w:eastAsia="Times New Roman" w:cs="Arial"/>
          <w:b/>
          <w:color w:val="222222"/>
          <w:shd w:val="clear" w:color="auto" w:fill="FFFFFF"/>
        </w:rPr>
        <w:pict w14:anchorId="312BE3D8">
          <v:rect id="_x0000_i1026" style="width:266.45pt;height:2pt" o:hralign="center" o:hrstd="t" o:hrnoshade="t" o:hr="t" fillcolor="black [3213]" stroked="f"/>
        </w:pict>
      </w:r>
    </w:p>
    <w:p w:rsidR="009E6C4C" w:rsidRDefault="009E6C4C" w:rsidP="009E6C4C">
      <w:pPr>
        <w:spacing w:line="276" w:lineRule="auto"/>
        <w:jc w:val="both"/>
        <w:rPr>
          <w:rFonts w:eastAsia="Times New Roman" w:cs="Arial"/>
          <w:b/>
          <w:color w:val="222222"/>
          <w:shd w:val="clear" w:color="auto" w:fill="FFFFFF"/>
        </w:rPr>
      </w:pPr>
    </w:p>
    <w:p w:rsidR="009E6C4C" w:rsidRPr="00D405EA" w:rsidRDefault="009E6C4C" w:rsidP="009E6C4C">
      <w:pPr>
        <w:spacing w:line="276" w:lineRule="auto"/>
        <w:jc w:val="both"/>
        <w:rPr>
          <w:rFonts w:eastAsia="Times New Roman" w:cs="Arial"/>
          <w:b/>
          <w:color w:val="222222"/>
          <w:shd w:val="clear" w:color="auto" w:fill="FFFFFF"/>
        </w:rPr>
      </w:pPr>
    </w:p>
    <w:p w:rsidR="009E6C4C" w:rsidRPr="00D405EA" w:rsidRDefault="009E6C4C" w:rsidP="009E6C4C">
      <w:pPr>
        <w:spacing w:line="276" w:lineRule="auto"/>
        <w:jc w:val="both"/>
        <w:rPr>
          <w:rFonts w:eastAsia="Times New Roman" w:cs="Arial"/>
          <w:b/>
          <w:color w:val="222222"/>
          <w:shd w:val="clear" w:color="auto" w:fill="FFFFFF"/>
        </w:rPr>
      </w:pPr>
      <w:r>
        <w:rPr>
          <w:rFonts w:eastAsia="Times New Roman" w:cs="Arial"/>
          <w:b/>
          <w:color w:val="222222"/>
          <w:shd w:val="clear" w:color="auto" w:fill="FFFFFF"/>
        </w:rPr>
        <w:t xml:space="preserve">SOLICITUD DE CONTRIBUCIÓN </w:t>
      </w:r>
      <w:r w:rsidRPr="00D405EA">
        <w:rPr>
          <w:rFonts w:eastAsia="Times New Roman" w:cs="Arial"/>
          <w:b/>
          <w:color w:val="222222"/>
          <w:shd w:val="clear" w:color="auto" w:fill="FFFFFF"/>
        </w:rPr>
        <w:t>PRESENTADO POR:</w:t>
      </w:r>
      <w:r w:rsidRPr="00D405EA">
        <w:rPr>
          <w:rFonts w:eastAsia="Times New Roman" w:cs="Arial"/>
          <w:b/>
          <w:color w:val="222222"/>
          <w:shd w:val="clear" w:color="auto" w:fill="FFFFFF"/>
        </w:rPr>
        <w:tab/>
      </w:r>
    </w:p>
    <w:p w:rsidR="009E6C4C" w:rsidRPr="00D405EA" w:rsidRDefault="009E6C4C" w:rsidP="009E6C4C">
      <w:pPr>
        <w:spacing w:line="276" w:lineRule="auto"/>
        <w:jc w:val="both"/>
        <w:rPr>
          <w:rFonts w:eastAsia="Times New Roman" w:cs="Arial"/>
          <w:b/>
          <w:color w:val="222222"/>
          <w:shd w:val="clear" w:color="auto" w:fill="FFFFFF"/>
        </w:rPr>
      </w:pPr>
    </w:p>
    <w:p w:rsidR="009E6C4C" w:rsidRPr="00D405EA" w:rsidRDefault="009E6C4C" w:rsidP="009E6C4C">
      <w:pPr>
        <w:spacing w:line="276" w:lineRule="auto"/>
        <w:jc w:val="both"/>
        <w:rPr>
          <w:rFonts w:eastAsia="Times New Roman" w:cs="Arial"/>
          <w:b/>
          <w:color w:val="222222"/>
          <w:shd w:val="clear" w:color="auto" w:fill="FFFFFF"/>
        </w:rPr>
      </w:pPr>
      <w:r w:rsidRPr="00D405EA">
        <w:rPr>
          <w:rFonts w:eastAsia="Times New Roman" w:cs="Arial"/>
          <w:b/>
          <w:noProof/>
          <w:color w:val="222222"/>
          <w:lang w:val="en-GB" w:eastAsia="en-GB"/>
        </w:rPr>
        <mc:AlternateContent>
          <mc:Choice Requires="wps">
            <w:drawing>
              <wp:anchor distT="0" distB="0" distL="114300" distR="114300" simplePos="0" relativeHeight="251659264" behindDoc="0" locked="0" layoutInCell="1" allowOverlap="1" wp14:anchorId="74673B72" wp14:editId="3760891D">
                <wp:simplePos x="0" y="0"/>
                <wp:positionH relativeFrom="column">
                  <wp:posOffset>-2540</wp:posOffset>
                </wp:positionH>
                <wp:positionV relativeFrom="paragraph">
                  <wp:posOffset>138430</wp:posOffset>
                </wp:positionV>
                <wp:extent cx="1716405" cy="169481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1716405" cy="1694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E6C4C" w:rsidRDefault="009E6C4C" w:rsidP="009E6C4C">
                            <w:r w:rsidRPr="00D405EA">
                              <w:rPr>
                                <w:rFonts w:eastAsia="Times New Roman" w:cs="Arial"/>
                                <w:b/>
                                <w:noProof/>
                                <w:color w:val="222222"/>
                                <w:shd w:val="clear" w:color="auto" w:fill="FFFFFF"/>
                                <w:lang w:val="en-GB" w:eastAsia="en-GB"/>
                              </w:rPr>
                              <w:drawing>
                                <wp:inline distT="0" distB="0" distL="0" distR="0" wp14:anchorId="28909D75" wp14:editId="4EF54DBF">
                                  <wp:extent cx="1488349" cy="1488349"/>
                                  <wp:effectExtent l="0" t="0" r="1079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l Poder del Consumidor_rojo_250dpi.jpg"/>
                                          <pic:cNvPicPr/>
                                        </pic:nvPicPr>
                                        <pic:blipFill>
                                          <a:blip r:embed="rId8">
                                            <a:extLst>
                                              <a:ext uri="{28A0092B-C50C-407E-A947-70E740481C1C}">
                                                <a14:useLocalDpi xmlns:a14="http://schemas.microsoft.com/office/drawing/2010/main" val="0"/>
                                              </a:ext>
                                            </a:extLst>
                                          </a:blip>
                                          <a:stretch>
                                            <a:fillRect/>
                                          </a:stretch>
                                        </pic:blipFill>
                                        <pic:spPr>
                                          <a:xfrm>
                                            <a:off x="0" y="0"/>
                                            <a:ext cx="1502663" cy="15026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73B72" id="_x0000_t202" coordsize="21600,21600" o:spt="202" path="m,l,21600r21600,l21600,xe">
                <v:stroke joinstyle="miter"/>
                <v:path gradientshapeok="t" o:connecttype="rect"/>
              </v:shapetype>
              <v:shape id="Text Box 2" o:spid="_x0000_s1026" type="#_x0000_t202" style="position:absolute;left:0;text-align:left;margin-left:-.2pt;margin-top:10.9pt;width:135.15pt;height:1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" filled="f" stroked="f">
                <v:textbox>
                  <w:txbxContent>
                    <w:p w:rsidR="009E6C4C" w:rsidRDefault="009E6C4C" w:rsidP="009E6C4C">
                      <w:r w:rsidRPr="00D405EA">
                        <w:rPr>
                          <w:rFonts w:eastAsia="Times New Roman" w:cs="Arial"/>
                          <w:b/>
                          <w:noProof/>
                          <w:color w:val="222222"/>
                          <w:shd w:val="clear" w:color="auto" w:fill="FFFFFF"/>
                          <w:lang w:val="en-GB" w:eastAsia="en-GB"/>
                        </w:rPr>
                        <w:drawing>
                          <wp:inline distT="0" distB="0" distL="0" distR="0" wp14:anchorId="28909D75" wp14:editId="4EF54DBF">
                            <wp:extent cx="1488349" cy="1488349"/>
                            <wp:effectExtent l="0" t="0" r="1079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l Poder del Consumidor_rojo_250dpi.jpg"/>
                                    <pic:cNvPicPr/>
                                  </pic:nvPicPr>
                                  <pic:blipFill>
                                    <a:blip r:embed="rId8">
                                      <a:extLst>
                                        <a:ext uri="{28A0092B-C50C-407E-A947-70E740481C1C}">
                                          <a14:useLocalDpi xmlns:a14="http://schemas.microsoft.com/office/drawing/2010/main" val="0"/>
                                        </a:ext>
                                      </a:extLst>
                                    </a:blip>
                                    <a:stretch>
                                      <a:fillRect/>
                                    </a:stretch>
                                  </pic:blipFill>
                                  <pic:spPr>
                                    <a:xfrm>
                                      <a:off x="0" y="0"/>
                                      <a:ext cx="1502663" cy="1502663"/>
                                    </a:xfrm>
                                    <a:prstGeom prst="rect">
                                      <a:avLst/>
                                    </a:prstGeom>
                                  </pic:spPr>
                                </pic:pic>
                              </a:graphicData>
                            </a:graphic>
                          </wp:inline>
                        </w:drawing>
                      </w:r>
                    </w:p>
                  </w:txbxContent>
                </v:textbox>
                <w10:wrap type="square"/>
              </v:shape>
            </w:pict>
          </mc:Fallback>
        </mc:AlternateContent>
      </w:r>
      <w:r w:rsidRPr="00D405EA">
        <w:rPr>
          <w:rFonts w:eastAsia="Times New Roman" w:cs="Arial"/>
          <w:b/>
          <w:color w:val="222222"/>
          <w:shd w:val="clear" w:color="auto" w:fill="FFFFFF"/>
        </w:rPr>
        <w:t>El Poder del Consumidor, A.C.</w:t>
      </w:r>
    </w:p>
    <w:p w:rsidR="009E6C4C" w:rsidRDefault="009E6C4C" w:rsidP="009E6C4C">
      <w:pPr>
        <w:spacing w:line="276" w:lineRule="auto"/>
        <w:jc w:val="both"/>
        <w:rPr>
          <w:rFonts w:eastAsia="Times New Roman" w:cs="Arial"/>
          <w:color w:val="222222"/>
          <w:shd w:val="clear" w:color="auto" w:fill="FFFFFF"/>
        </w:rPr>
      </w:pPr>
      <w:r>
        <w:rPr>
          <w:rFonts w:eastAsia="Times New Roman" w:cs="Arial"/>
          <w:color w:val="222222"/>
          <w:shd w:val="clear" w:color="auto" w:fill="FFFFFF"/>
        </w:rPr>
        <w:t>A</w:t>
      </w:r>
      <w:r w:rsidRPr="00D405EA">
        <w:rPr>
          <w:rFonts w:eastAsia="Times New Roman" w:cs="Arial"/>
          <w:color w:val="222222"/>
          <w:shd w:val="clear" w:color="auto" w:fill="FFFFFF"/>
        </w:rPr>
        <w:t>sociación civil cuya misión es promover y realizar la defensa de los derechos de los consumidores</w:t>
      </w:r>
      <w:r>
        <w:rPr>
          <w:rFonts w:eastAsia="Times New Roman" w:cs="Arial"/>
          <w:color w:val="222222"/>
          <w:shd w:val="clear" w:color="auto" w:fill="FFFFFF"/>
        </w:rPr>
        <w:t xml:space="preserve">, </w:t>
      </w:r>
      <w:r w:rsidRPr="00D405EA">
        <w:rPr>
          <w:rFonts w:eastAsia="Times New Roman" w:cs="Arial"/>
          <w:color w:val="222222"/>
          <w:shd w:val="clear" w:color="auto" w:fill="FFFFFF"/>
        </w:rPr>
        <w:t xml:space="preserve">reconocidos </w:t>
      </w:r>
      <w:r>
        <w:rPr>
          <w:rFonts w:eastAsia="Times New Roman" w:cs="Arial"/>
          <w:color w:val="222222"/>
          <w:shd w:val="clear" w:color="auto" w:fill="FFFFFF"/>
        </w:rPr>
        <w:t xml:space="preserve">tanto por las </w:t>
      </w:r>
      <w:r w:rsidRPr="00D405EA">
        <w:rPr>
          <w:rFonts w:eastAsia="Times New Roman" w:cs="Arial"/>
          <w:color w:val="222222"/>
          <w:shd w:val="clear" w:color="auto" w:fill="FFFFFF"/>
        </w:rPr>
        <w:t xml:space="preserve">leyes </w:t>
      </w:r>
      <w:r>
        <w:rPr>
          <w:rFonts w:eastAsia="Times New Roman" w:cs="Arial"/>
          <w:color w:val="222222"/>
          <w:shd w:val="clear" w:color="auto" w:fill="FFFFFF"/>
        </w:rPr>
        <w:t>nacionales como por los tratados internacionales. S</w:t>
      </w:r>
      <w:r w:rsidRPr="00D405EA">
        <w:rPr>
          <w:rFonts w:eastAsia="Times New Roman" w:cs="Arial"/>
          <w:color w:val="222222"/>
          <w:shd w:val="clear" w:color="auto" w:fill="FFFFFF"/>
        </w:rPr>
        <w:t>e busca promover e informar a la sociedad respecto de opciones en productos y servicios.</w:t>
      </w:r>
    </w:p>
    <w:p w:rsidR="009E6C4C" w:rsidRDefault="009E6C4C" w:rsidP="009E6C4C">
      <w:pPr>
        <w:spacing w:line="276" w:lineRule="auto"/>
        <w:jc w:val="both"/>
        <w:rPr>
          <w:rFonts w:eastAsia="Times New Roman" w:cs="Arial"/>
          <w:color w:val="222222"/>
          <w:shd w:val="clear" w:color="auto" w:fill="FFFFFF"/>
        </w:rPr>
      </w:pPr>
    </w:p>
    <w:p w:rsidR="009E6C4C" w:rsidRPr="00D405EA" w:rsidRDefault="009E6C4C" w:rsidP="009E6C4C">
      <w:pPr>
        <w:spacing w:line="276" w:lineRule="auto"/>
        <w:jc w:val="both"/>
        <w:rPr>
          <w:rFonts w:eastAsia="Times New Roman" w:cs="Arial"/>
          <w:color w:val="222222"/>
          <w:shd w:val="clear" w:color="auto" w:fill="FFFFFF"/>
        </w:rPr>
      </w:pPr>
    </w:p>
    <w:p w:rsidR="009E6C4C" w:rsidRDefault="009E6C4C" w:rsidP="009E6C4C">
      <w:pPr>
        <w:spacing w:line="276" w:lineRule="auto"/>
        <w:jc w:val="both"/>
        <w:rPr>
          <w:rFonts w:eastAsia="Times New Roman" w:cs="Arial"/>
          <w:color w:val="222222"/>
          <w:shd w:val="clear" w:color="auto" w:fill="FFFFFF"/>
        </w:rPr>
      </w:pPr>
    </w:p>
    <w:p w:rsidR="009E6C4C" w:rsidRDefault="009E6C4C" w:rsidP="009E6C4C">
      <w:pPr>
        <w:spacing w:line="276" w:lineRule="auto"/>
        <w:jc w:val="both"/>
        <w:rPr>
          <w:rFonts w:eastAsia="Times New Roman" w:cs="Arial"/>
          <w:color w:val="222222"/>
          <w:shd w:val="clear" w:color="auto" w:fill="FFFFFF"/>
        </w:rPr>
      </w:pPr>
    </w:p>
    <w:p w:rsidR="009E6C4C" w:rsidRDefault="009E6C4C" w:rsidP="009E6C4C">
      <w:pPr>
        <w:spacing w:line="276" w:lineRule="auto"/>
        <w:jc w:val="both"/>
        <w:rPr>
          <w:rFonts w:eastAsia="Times New Roman" w:cs="Arial"/>
          <w:color w:val="222222"/>
          <w:shd w:val="clear" w:color="auto" w:fill="FFFFFF"/>
        </w:rPr>
      </w:pPr>
    </w:p>
    <w:p w:rsidR="009E6C4C" w:rsidRDefault="009E6C4C" w:rsidP="009E6C4C">
      <w:pPr>
        <w:spacing w:line="276" w:lineRule="auto"/>
        <w:jc w:val="both"/>
        <w:rPr>
          <w:rFonts w:eastAsia="Times New Roman" w:cs="Arial"/>
          <w:color w:val="222222"/>
          <w:shd w:val="clear" w:color="auto" w:fill="FFFFFF"/>
        </w:rPr>
      </w:pPr>
    </w:p>
    <w:p w:rsidR="009E6C4C" w:rsidRDefault="009E6C4C">
      <w:pPr>
        <w:rPr>
          <w:rFonts w:eastAsia="Times New Roman" w:cs="Calibri"/>
          <w:b/>
          <w:color w:val="000000"/>
          <w:sz w:val="22"/>
          <w:lang w:eastAsia="es-MX"/>
        </w:rPr>
      </w:pPr>
    </w:p>
    <w:p w:rsidR="00F369D9" w:rsidRPr="0004701A" w:rsidRDefault="00F369D9" w:rsidP="00820DB2">
      <w:pPr>
        <w:shd w:val="clear" w:color="auto" w:fill="FFFFFF"/>
        <w:spacing w:after="150" w:line="240" w:lineRule="auto"/>
        <w:jc w:val="center"/>
        <w:rPr>
          <w:rFonts w:eastAsia="Times New Roman" w:cs="Calibri"/>
          <w:b/>
          <w:color w:val="000000"/>
          <w:sz w:val="22"/>
          <w:lang w:eastAsia="es-MX"/>
        </w:rPr>
      </w:pPr>
      <w:r w:rsidRPr="0004701A">
        <w:rPr>
          <w:rFonts w:eastAsia="Times New Roman" w:cs="Calibri"/>
          <w:b/>
          <w:color w:val="000000"/>
          <w:sz w:val="22"/>
          <w:lang w:eastAsia="es-MX"/>
        </w:rPr>
        <w:t>Reducir los impactos ambientales del sistema alimentario mundial sobre los derechos humanos.</w:t>
      </w:r>
    </w:p>
    <w:p w:rsidR="007B411E" w:rsidRPr="0004701A" w:rsidRDefault="00F369D9" w:rsidP="00820DB2">
      <w:pPr>
        <w:shd w:val="clear" w:color="auto" w:fill="FFFFFF"/>
        <w:spacing w:after="150" w:line="240" w:lineRule="auto"/>
        <w:jc w:val="center"/>
        <w:rPr>
          <w:rFonts w:eastAsia="Times New Roman" w:cs="Calibri"/>
          <w:b/>
          <w:color w:val="000000"/>
          <w:sz w:val="22"/>
          <w:lang w:eastAsia="es-MX"/>
        </w:rPr>
      </w:pPr>
      <w:r w:rsidRPr="0004701A">
        <w:rPr>
          <w:rFonts w:eastAsia="Times New Roman" w:cs="Calibri"/>
          <w:b/>
          <w:color w:val="000000"/>
          <w:sz w:val="22"/>
          <w:lang w:eastAsia="es-MX"/>
        </w:rPr>
        <w:t>Cuestionario del Relator sobre el derecho a un medio</w:t>
      </w:r>
      <w:r w:rsidR="00CE098C" w:rsidRPr="0004701A">
        <w:rPr>
          <w:rFonts w:eastAsia="Times New Roman" w:cs="Calibri"/>
          <w:b/>
          <w:color w:val="000000"/>
          <w:sz w:val="22"/>
          <w:lang w:eastAsia="es-MX"/>
        </w:rPr>
        <w:t xml:space="preserve"> ambiente sano, Dr. David Boyd.</w:t>
      </w:r>
    </w:p>
    <w:p w:rsidR="00A236D3" w:rsidRPr="0004701A" w:rsidRDefault="00F369D9" w:rsidP="00820DB2">
      <w:pPr>
        <w:numPr>
          <w:ilvl w:val="0"/>
          <w:numId w:val="1"/>
        </w:numPr>
        <w:shd w:val="clear" w:color="auto" w:fill="FFFFFF"/>
        <w:tabs>
          <w:tab w:val="clear" w:pos="360"/>
        </w:tabs>
        <w:spacing w:before="120" w:after="120" w:line="240" w:lineRule="auto"/>
        <w:jc w:val="both"/>
        <w:rPr>
          <w:rFonts w:eastAsia="Times New Roman" w:cs="Calibri"/>
          <w:color w:val="000000"/>
          <w:sz w:val="22"/>
          <w:lang w:eastAsia="es-MX"/>
        </w:rPr>
      </w:pPr>
      <w:r w:rsidRPr="0004701A">
        <w:rPr>
          <w:rFonts w:eastAsia="Times New Roman" w:cs="Calibri"/>
          <w:i/>
          <w:color w:val="000000"/>
          <w:sz w:val="22"/>
          <w:lang w:eastAsia="es-MX"/>
        </w:rPr>
        <w:t>Por favor, facilite ejemplos sobre cómo los impactos ambientales del sistema alimentario global están teniendo efectos adversos sobre los derechos humanos. Los derechos afectados negativamente podrían incluir, entre otros, los derechos a la vida, a la salud, al agua y al saneamiento, a la alimentación, a la cultura, a los medios de vida, a la no discriminación, a un medio ambiente seguro, limpio, saludable y sostenible, y a los derechos de los pueblos indígenas</w:t>
      </w:r>
      <w:r w:rsidRPr="0004701A">
        <w:rPr>
          <w:rFonts w:eastAsia="Times New Roman" w:cs="Calibri"/>
          <w:color w:val="000000"/>
          <w:sz w:val="22"/>
          <w:lang w:eastAsia="es-MX"/>
        </w:rPr>
        <w:t>.</w:t>
      </w:r>
    </w:p>
    <w:p w:rsidR="00FE11FB" w:rsidRPr="0004701A" w:rsidRDefault="00F369D9" w:rsidP="00820DB2">
      <w:pPr>
        <w:pStyle w:val="ListParagraph"/>
        <w:numPr>
          <w:ilvl w:val="1"/>
          <w:numId w:val="1"/>
        </w:numPr>
        <w:shd w:val="clear" w:color="auto" w:fill="FFFFFF"/>
        <w:spacing w:before="120" w:after="120" w:line="240" w:lineRule="auto"/>
        <w:ind w:left="284"/>
        <w:jc w:val="both"/>
        <w:rPr>
          <w:rFonts w:eastAsia="Times New Roman" w:cs="Calibri"/>
          <w:b/>
          <w:color w:val="000000"/>
          <w:sz w:val="22"/>
          <w:lang w:eastAsia="es-MX"/>
        </w:rPr>
      </w:pPr>
      <w:r w:rsidRPr="0004701A">
        <w:rPr>
          <w:rFonts w:eastAsia="Times New Roman" w:cs="Calibri"/>
          <w:b/>
          <w:color w:val="000000"/>
          <w:sz w:val="22"/>
          <w:lang w:eastAsia="es-MX"/>
        </w:rPr>
        <w:t xml:space="preserve">Contaminación por </w:t>
      </w:r>
      <w:r w:rsidR="00614EC5" w:rsidRPr="0004701A">
        <w:rPr>
          <w:rFonts w:eastAsia="Times New Roman" w:cs="Calibri"/>
          <w:b/>
          <w:color w:val="000000"/>
          <w:sz w:val="22"/>
          <w:lang w:eastAsia="es-MX"/>
        </w:rPr>
        <w:t>desperdicio</w:t>
      </w:r>
      <w:r w:rsidR="000233EC" w:rsidRPr="0004701A">
        <w:rPr>
          <w:rFonts w:eastAsia="Times New Roman" w:cs="Calibri"/>
          <w:b/>
          <w:color w:val="000000"/>
          <w:sz w:val="22"/>
          <w:lang w:eastAsia="es-MX"/>
        </w:rPr>
        <w:t xml:space="preserve"> de alimentos </w:t>
      </w:r>
      <w:r w:rsidR="00CE098C" w:rsidRPr="0004701A">
        <w:rPr>
          <w:rFonts w:eastAsia="Times New Roman" w:cs="Calibri"/>
          <w:b/>
          <w:color w:val="000000"/>
          <w:sz w:val="22"/>
          <w:lang w:eastAsia="es-MX"/>
        </w:rPr>
        <w:t>y empaques plásticos.</w:t>
      </w:r>
      <w:r w:rsidR="000233EC" w:rsidRPr="0004701A">
        <w:rPr>
          <w:rFonts w:eastAsia="Times New Roman" w:cs="Calibri"/>
          <w:color w:val="000000"/>
          <w:sz w:val="22"/>
          <w:lang w:eastAsia="es-MX"/>
        </w:rPr>
        <w:t xml:space="preserve"> México </w:t>
      </w:r>
      <w:r w:rsidR="006112A9" w:rsidRPr="0004701A">
        <w:rPr>
          <w:rFonts w:eastAsia="Times New Roman" w:cs="Calibri"/>
          <w:color w:val="000000"/>
          <w:sz w:val="22"/>
          <w:lang w:eastAsia="es-MX"/>
        </w:rPr>
        <w:t xml:space="preserve">impacta considerablemente en el </w:t>
      </w:r>
      <w:r w:rsidR="00CE098C" w:rsidRPr="0004701A">
        <w:rPr>
          <w:rFonts w:eastAsia="Times New Roman" w:cs="Calibri"/>
          <w:color w:val="000000"/>
          <w:sz w:val="22"/>
          <w:lang w:eastAsia="es-MX"/>
        </w:rPr>
        <w:t>cambio climático</w:t>
      </w:r>
      <w:r w:rsidR="006112A9" w:rsidRPr="0004701A">
        <w:rPr>
          <w:rFonts w:eastAsia="Times New Roman" w:cs="Calibri"/>
          <w:color w:val="000000"/>
          <w:sz w:val="22"/>
          <w:lang w:eastAsia="es-MX"/>
        </w:rPr>
        <w:t>,</w:t>
      </w:r>
      <w:r w:rsidR="00CE098C" w:rsidRPr="0004701A">
        <w:rPr>
          <w:rStyle w:val="FootnoteReference"/>
          <w:rFonts w:eastAsia="Times New Roman" w:cs="Calibri"/>
          <w:color w:val="000000"/>
          <w:sz w:val="22"/>
          <w:lang w:eastAsia="es-MX"/>
        </w:rPr>
        <w:footnoteReference w:id="1"/>
      </w:r>
      <w:r w:rsidR="00CE098C" w:rsidRPr="0004701A">
        <w:rPr>
          <w:rFonts w:eastAsia="Times New Roman" w:cs="Calibri"/>
          <w:color w:val="000000"/>
          <w:sz w:val="22"/>
          <w:lang w:eastAsia="es-MX"/>
        </w:rPr>
        <w:t xml:space="preserve"> </w:t>
      </w:r>
      <w:r w:rsidR="00820DB2" w:rsidRPr="0004701A">
        <w:rPr>
          <w:rFonts w:eastAsia="Times New Roman" w:cs="Calibri"/>
          <w:color w:val="000000"/>
          <w:sz w:val="22"/>
          <w:lang w:eastAsia="es-MX"/>
        </w:rPr>
        <w:t>al desperdiciar</w:t>
      </w:r>
      <w:r w:rsidR="000233EC" w:rsidRPr="0004701A">
        <w:rPr>
          <w:rFonts w:eastAsia="Times New Roman" w:cs="Calibri"/>
          <w:color w:val="000000"/>
          <w:sz w:val="22"/>
          <w:lang w:eastAsia="es-MX"/>
        </w:rPr>
        <w:t xml:space="preserve"> </w:t>
      </w:r>
      <w:r w:rsidR="000B03A3" w:rsidRPr="0004701A">
        <w:rPr>
          <w:rFonts w:eastAsia="Times New Roman" w:cs="Calibri"/>
          <w:color w:val="000000"/>
          <w:sz w:val="22"/>
          <w:lang w:eastAsia="es-MX"/>
        </w:rPr>
        <w:t>28 millones</w:t>
      </w:r>
      <w:r w:rsidR="000B03A3" w:rsidRPr="0004701A">
        <w:rPr>
          <w:rStyle w:val="FootnoteReference"/>
          <w:rFonts w:eastAsia="Times New Roman" w:cs="Calibri"/>
          <w:color w:val="000000"/>
          <w:sz w:val="22"/>
          <w:lang w:eastAsia="es-MX"/>
        </w:rPr>
        <w:footnoteReference w:id="2"/>
      </w:r>
      <w:r w:rsidR="000B03A3" w:rsidRPr="0004701A">
        <w:rPr>
          <w:rFonts w:eastAsia="Times New Roman" w:cs="Calibri"/>
          <w:color w:val="000000"/>
          <w:sz w:val="22"/>
          <w:lang w:eastAsia="es-MX"/>
        </w:rPr>
        <w:t xml:space="preserve"> </w:t>
      </w:r>
      <w:r w:rsidR="00A371A0" w:rsidRPr="0004701A">
        <w:rPr>
          <w:rFonts w:eastAsia="Times New Roman" w:cs="Calibri"/>
          <w:color w:val="000000"/>
          <w:sz w:val="22"/>
          <w:lang w:eastAsia="es-MX"/>
        </w:rPr>
        <w:t>de</w:t>
      </w:r>
      <w:r w:rsidR="000233EC" w:rsidRPr="0004701A">
        <w:rPr>
          <w:rFonts w:eastAsia="Times New Roman" w:cs="Calibri"/>
          <w:color w:val="000000"/>
          <w:sz w:val="22"/>
          <w:lang w:eastAsia="es-MX"/>
        </w:rPr>
        <w:t xml:space="preserve"> toneladas de alimentos </w:t>
      </w:r>
      <w:r w:rsidR="00A371A0" w:rsidRPr="0004701A">
        <w:rPr>
          <w:rFonts w:eastAsia="Times New Roman" w:cs="Calibri"/>
          <w:color w:val="000000"/>
          <w:sz w:val="22"/>
          <w:lang w:eastAsia="es-MX"/>
        </w:rPr>
        <w:t>al año</w:t>
      </w:r>
      <w:r w:rsidR="00CE098C" w:rsidRPr="0004701A">
        <w:rPr>
          <w:rFonts w:eastAsia="Times New Roman" w:cs="Calibri"/>
          <w:color w:val="000000"/>
          <w:sz w:val="22"/>
          <w:lang w:eastAsia="es-MX"/>
        </w:rPr>
        <w:t xml:space="preserve"> y </w:t>
      </w:r>
      <w:r w:rsidR="00820DB2" w:rsidRPr="0004701A">
        <w:rPr>
          <w:rFonts w:eastAsia="Times New Roman" w:cs="Calibri"/>
          <w:color w:val="000000"/>
          <w:sz w:val="22"/>
          <w:lang w:eastAsia="es-MX"/>
        </w:rPr>
        <w:t>emitir</w:t>
      </w:r>
      <w:r w:rsidR="000B03A3" w:rsidRPr="0004701A">
        <w:rPr>
          <w:rFonts w:eastAsia="Times New Roman" w:cs="Calibri"/>
          <w:color w:val="000000"/>
          <w:sz w:val="22"/>
          <w:lang w:eastAsia="es-MX"/>
        </w:rPr>
        <w:t xml:space="preserve"> </w:t>
      </w:r>
      <w:r w:rsidR="00CE098C" w:rsidRPr="0004701A">
        <w:rPr>
          <w:rFonts w:eastAsia="Times New Roman" w:cs="Calibri"/>
          <w:color w:val="000000"/>
          <w:sz w:val="22"/>
          <w:lang w:eastAsia="es-MX"/>
        </w:rPr>
        <w:t xml:space="preserve">cerca de </w:t>
      </w:r>
      <w:r w:rsidR="00A371A0" w:rsidRPr="0004701A">
        <w:rPr>
          <w:rFonts w:eastAsia="Times New Roman" w:cs="Calibri"/>
          <w:color w:val="000000"/>
          <w:sz w:val="22"/>
          <w:lang w:eastAsia="es-MX"/>
        </w:rPr>
        <w:t>36 millones</w:t>
      </w:r>
      <w:r w:rsidR="00D80EA4" w:rsidRPr="0004701A">
        <w:rPr>
          <w:rFonts w:eastAsia="Times New Roman" w:cs="Calibri"/>
          <w:color w:val="000000"/>
          <w:sz w:val="22"/>
          <w:lang w:eastAsia="es-MX"/>
        </w:rPr>
        <w:t xml:space="preserve"> </w:t>
      </w:r>
      <w:r w:rsidR="004F19D3" w:rsidRPr="0004701A">
        <w:rPr>
          <w:rFonts w:eastAsia="Times New Roman" w:cs="Calibri"/>
          <w:color w:val="000000"/>
          <w:sz w:val="22"/>
          <w:lang w:eastAsia="es-MX"/>
        </w:rPr>
        <w:t xml:space="preserve">de </w:t>
      </w:r>
      <w:r w:rsidR="00D80EA4" w:rsidRPr="0004701A">
        <w:rPr>
          <w:rFonts w:eastAsia="Times New Roman" w:cs="Calibri"/>
          <w:color w:val="000000"/>
          <w:sz w:val="22"/>
          <w:lang w:eastAsia="es-MX"/>
        </w:rPr>
        <w:t xml:space="preserve">toneladas de dióxido </w:t>
      </w:r>
      <w:r w:rsidR="00CE098C" w:rsidRPr="0004701A">
        <w:rPr>
          <w:rFonts w:eastAsia="Times New Roman" w:cs="Calibri"/>
          <w:color w:val="000000"/>
          <w:sz w:val="22"/>
          <w:lang w:eastAsia="es-MX"/>
        </w:rPr>
        <w:t>de carbono.</w:t>
      </w:r>
      <w:r w:rsidR="00CE098C" w:rsidRPr="0004701A">
        <w:rPr>
          <w:rStyle w:val="FootnoteReference"/>
          <w:rFonts w:eastAsia="Times New Roman" w:cs="Calibri"/>
          <w:color w:val="000000"/>
          <w:sz w:val="22"/>
          <w:lang w:eastAsia="es-MX"/>
        </w:rPr>
        <w:t xml:space="preserve"> </w:t>
      </w:r>
      <w:r w:rsidR="00CE098C" w:rsidRPr="0004701A">
        <w:rPr>
          <w:rStyle w:val="FootnoteReference"/>
          <w:rFonts w:eastAsia="Times New Roman" w:cs="Calibri"/>
          <w:color w:val="000000"/>
          <w:sz w:val="22"/>
          <w:lang w:eastAsia="es-MX"/>
        </w:rPr>
        <w:footnoteReference w:id="3"/>
      </w:r>
      <w:r w:rsidR="006112A9" w:rsidRPr="0004701A">
        <w:rPr>
          <w:rFonts w:eastAsia="Times New Roman" w:cs="Calibri"/>
          <w:color w:val="000000"/>
          <w:sz w:val="22"/>
          <w:lang w:eastAsia="es-MX"/>
        </w:rPr>
        <w:t xml:space="preserve"> </w:t>
      </w:r>
      <w:r w:rsidR="00CE098C" w:rsidRPr="0004701A">
        <w:rPr>
          <w:rFonts w:eastAsia="Times New Roman" w:cs="Calibri"/>
          <w:color w:val="000000"/>
          <w:sz w:val="22"/>
          <w:lang w:eastAsia="es-MX"/>
        </w:rPr>
        <w:t>Por otro lado</w:t>
      </w:r>
      <w:r w:rsidR="00D80EA4" w:rsidRPr="0004701A">
        <w:rPr>
          <w:rFonts w:eastAsia="Times New Roman" w:cs="Calibri"/>
          <w:color w:val="000000"/>
          <w:sz w:val="22"/>
          <w:lang w:eastAsia="es-MX"/>
        </w:rPr>
        <w:t xml:space="preserve">, </w:t>
      </w:r>
      <w:r w:rsidR="006112A9" w:rsidRPr="0004701A">
        <w:rPr>
          <w:rFonts w:eastAsia="Times New Roman" w:cs="Calibri"/>
          <w:color w:val="000000"/>
          <w:sz w:val="22"/>
          <w:lang w:eastAsia="es-MX"/>
        </w:rPr>
        <w:t xml:space="preserve">se desechan </w:t>
      </w:r>
      <w:r w:rsidR="00CE098C" w:rsidRPr="0004701A">
        <w:rPr>
          <w:rFonts w:eastAsia="Times New Roman" w:cs="Calibri"/>
          <w:color w:val="000000"/>
          <w:sz w:val="22"/>
          <w:lang w:eastAsia="es-MX"/>
        </w:rPr>
        <w:t xml:space="preserve">gran </w:t>
      </w:r>
      <w:r w:rsidR="00B810BF" w:rsidRPr="0004701A">
        <w:rPr>
          <w:rFonts w:eastAsia="Times New Roman" w:cs="Calibri"/>
          <w:color w:val="000000"/>
          <w:sz w:val="22"/>
          <w:lang w:eastAsia="es-MX"/>
        </w:rPr>
        <w:t>ca</w:t>
      </w:r>
      <w:r w:rsidR="00CE098C" w:rsidRPr="0004701A">
        <w:rPr>
          <w:rFonts w:eastAsia="Times New Roman" w:cs="Calibri"/>
          <w:color w:val="000000"/>
          <w:sz w:val="22"/>
          <w:lang w:eastAsia="es-MX"/>
        </w:rPr>
        <w:t xml:space="preserve">ntidad de empaques plásticos de bebidas y productos alimenticios que afectan el derecho al medio ambiente, </w:t>
      </w:r>
      <w:r w:rsidR="003F7996" w:rsidRPr="0004701A">
        <w:rPr>
          <w:rFonts w:eastAsia="Times New Roman" w:cs="Calibri"/>
          <w:color w:val="000000"/>
          <w:sz w:val="22"/>
          <w:lang w:eastAsia="es-MX"/>
        </w:rPr>
        <w:t xml:space="preserve">pues </w:t>
      </w:r>
      <w:r w:rsidR="00CE098C" w:rsidRPr="0004701A">
        <w:rPr>
          <w:rFonts w:eastAsia="Times New Roman" w:cs="Calibri"/>
          <w:color w:val="000000"/>
          <w:sz w:val="22"/>
          <w:lang w:eastAsia="es-MX"/>
        </w:rPr>
        <w:t>contaminan los ecosistemas y generan pérdida de biodiversidad.</w:t>
      </w:r>
      <w:r w:rsidR="00CE098C" w:rsidRPr="0004701A">
        <w:rPr>
          <w:rStyle w:val="FootnoteReference"/>
          <w:rFonts w:eastAsia="Times New Roman" w:cs="Calibri"/>
          <w:color w:val="000000"/>
          <w:sz w:val="22"/>
          <w:lang w:eastAsia="es-MX"/>
        </w:rPr>
        <w:footnoteReference w:id="4"/>
      </w:r>
      <w:r w:rsidR="00CE098C" w:rsidRPr="0004701A">
        <w:rPr>
          <w:rFonts w:eastAsia="Times New Roman" w:cs="Calibri"/>
          <w:color w:val="000000"/>
          <w:sz w:val="22"/>
          <w:lang w:eastAsia="es-MX"/>
        </w:rPr>
        <w:t xml:space="preserve"> Por ejemplo, se estima que se producen 200 botellas de PET por cada mexicano.</w:t>
      </w:r>
      <w:r w:rsidR="00CE098C" w:rsidRPr="0004701A">
        <w:rPr>
          <w:rStyle w:val="FootnoteReference"/>
          <w:rFonts w:eastAsia="Times New Roman" w:cs="Calibri"/>
          <w:color w:val="000000"/>
          <w:sz w:val="22"/>
          <w:lang w:eastAsia="es-MX"/>
        </w:rPr>
        <w:footnoteReference w:id="5"/>
      </w:r>
      <w:r w:rsidR="006112A9" w:rsidRPr="0004701A">
        <w:rPr>
          <w:rFonts w:eastAsia="Times New Roman" w:cs="Calibri"/>
          <w:color w:val="000000"/>
          <w:sz w:val="22"/>
          <w:lang w:eastAsia="es-MX"/>
        </w:rPr>
        <w:t xml:space="preserve"> Esto se debe, en gran medida</w:t>
      </w:r>
      <w:r w:rsidR="00F83466" w:rsidRPr="0004701A">
        <w:rPr>
          <w:rFonts w:eastAsia="Times New Roman" w:cs="Calibri"/>
          <w:color w:val="000000"/>
          <w:sz w:val="22"/>
          <w:lang w:eastAsia="es-MX"/>
        </w:rPr>
        <w:t>,</w:t>
      </w:r>
      <w:r w:rsidR="006112A9" w:rsidRPr="0004701A">
        <w:rPr>
          <w:rFonts w:eastAsia="Times New Roman" w:cs="Calibri"/>
          <w:color w:val="000000"/>
          <w:sz w:val="22"/>
          <w:lang w:eastAsia="es-MX"/>
        </w:rPr>
        <w:t xml:space="preserve"> a que México es el país que más bebidas azucaradas consume en el mundo.</w:t>
      </w:r>
      <w:r w:rsidR="006112A9" w:rsidRPr="0004701A">
        <w:rPr>
          <w:rStyle w:val="FootnoteReference"/>
          <w:rFonts w:eastAsia="Times New Roman" w:cs="Calibri"/>
          <w:color w:val="000000"/>
          <w:sz w:val="22"/>
          <w:lang w:eastAsia="es-MX"/>
        </w:rPr>
        <w:footnoteReference w:id="6"/>
      </w:r>
    </w:p>
    <w:p w:rsidR="00FE11FB" w:rsidRPr="0004701A" w:rsidRDefault="00FE11FB" w:rsidP="00820DB2">
      <w:pPr>
        <w:pStyle w:val="ListParagraph"/>
        <w:numPr>
          <w:ilvl w:val="1"/>
          <w:numId w:val="1"/>
        </w:numPr>
        <w:shd w:val="clear" w:color="auto" w:fill="FFFFFF"/>
        <w:spacing w:before="120" w:after="120" w:line="240" w:lineRule="auto"/>
        <w:ind w:left="284"/>
        <w:jc w:val="both"/>
        <w:rPr>
          <w:rFonts w:eastAsia="Times New Roman" w:cs="Calibri"/>
          <w:b/>
          <w:color w:val="000000"/>
          <w:sz w:val="22"/>
          <w:lang w:eastAsia="es-MX"/>
        </w:rPr>
      </w:pPr>
      <w:r w:rsidRPr="0004701A">
        <w:rPr>
          <w:rFonts w:eastAsia="Times New Roman" w:cs="Calibri"/>
          <w:b/>
          <w:color w:val="000000"/>
          <w:sz w:val="22"/>
          <w:lang w:eastAsia="es-MX"/>
        </w:rPr>
        <w:t>Utilización de</w:t>
      </w:r>
      <w:r w:rsidR="00A4190C" w:rsidRPr="0004701A">
        <w:rPr>
          <w:rFonts w:eastAsia="Times New Roman" w:cs="Calibri"/>
          <w:b/>
          <w:color w:val="000000"/>
          <w:sz w:val="22"/>
          <w:lang w:eastAsia="es-MX"/>
        </w:rPr>
        <w:t xml:space="preserve"> glifosato.</w:t>
      </w:r>
      <w:r w:rsidRPr="0004701A">
        <w:rPr>
          <w:rFonts w:eastAsia="Times New Roman" w:cs="Calibri"/>
          <w:b/>
          <w:color w:val="000000"/>
          <w:sz w:val="22"/>
          <w:lang w:eastAsia="es-MX"/>
        </w:rPr>
        <w:t xml:space="preserve"> </w:t>
      </w:r>
      <w:r w:rsidRPr="0004701A">
        <w:rPr>
          <w:rFonts w:eastAsia="Times New Roman" w:cs="Calibri"/>
          <w:color w:val="000000"/>
          <w:sz w:val="22"/>
          <w:lang w:eastAsia="es-MX"/>
        </w:rPr>
        <w:t>El uso de</w:t>
      </w:r>
      <w:r w:rsidR="00A4190C" w:rsidRPr="0004701A">
        <w:rPr>
          <w:rFonts w:eastAsia="Times New Roman" w:cs="Calibri"/>
          <w:color w:val="000000"/>
          <w:sz w:val="22"/>
          <w:lang w:eastAsia="es-MX"/>
        </w:rPr>
        <w:t xml:space="preserve"> glifosato en México </w:t>
      </w:r>
      <w:r w:rsidR="00F83466" w:rsidRPr="0004701A">
        <w:rPr>
          <w:rFonts w:eastAsia="Times New Roman" w:cs="Calibri"/>
          <w:color w:val="000000"/>
          <w:sz w:val="22"/>
          <w:lang w:eastAsia="es-MX"/>
        </w:rPr>
        <w:t>viola</w:t>
      </w:r>
      <w:r w:rsidR="00A4190C" w:rsidRPr="0004701A">
        <w:rPr>
          <w:rFonts w:eastAsia="Times New Roman" w:cs="Calibri"/>
          <w:color w:val="000000"/>
          <w:sz w:val="22"/>
          <w:lang w:eastAsia="es-MX"/>
        </w:rPr>
        <w:t xml:space="preserve"> </w:t>
      </w:r>
      <w:r w:rsidR="00254A75" w:rsidRPr="0004701A">
        <w:rPr>
          <w:rFonts w:eastAsia="Times New Roman" w:cs="Calibri"/>
          <w:color w:val="000000"/>
          <w:sz w:val="22"/>
          <w:lang w:eastAsia="es-MX"/>
        </w:rPr>
        <w:t xml:space="preserve">los derechos </w:t>
      </w:r>
      <w:r w:rsidR="00CE098C" w:rsidRPr="0004701A">
        <w:rPr>
          <w:rFonts w:eastAsia="Times New Roman" w:cs="Calibri"/>
          <w:color w:val="000000"/>
          <w:sz w:val="22"/>
          <w:lang w:eastAsia="es-MX"/>
        </w:rPr>
        <w:t xml:space="preserve">al </w:t>
      </w:r>
      <w:r w:rsidR="00254A75" w:rsidRPr="0004701A">
        <w:rPr>
          <w:rFonts w:eastAsia="Times New Roman" w:cs="Calibri"/>
          <w:color w:val="000000"/>
          <w:sz w:val="22"/>
          <w:lang w:eastAsia="es-MX"/>
        </w:rPr>
        <w:t>agua</w:t>
      </w:r>
      <w:r w:rsidR="00CE098C" w:rsidRPr="0004701A">
        <w:rPr>
          <w:rFonts w:eastAsia="Times New Roman" w:cs="Calibri"/>
          <w:color w:val="000000"/>
          <w:sz w:val="22"/>
          <w:lang w:eastAsia="es-MX"/>
        </w:rPr>
        <w:t>, al medio ambiente</w:t>
      </w:r>
      <w:r w:rsidR="00254A75" w:rsidRPr="0004701A">
        <w:rPr>
          <w:rFonts w:eastAsia="Times New Roman" w:cs="Calibri"/>
          <w:color w:val="000000"/>
          <w:sz w:val="22"/>
          <w:lang w:eastAsia="es-MX"/>
        </w:rPr>
        <w:t xml:space="preserve"> y </w:t>
      </w:r>
      <w:r w:rsidR="00CE098C" w:rsidRPr="0004701A">
        <w:rPr>
          <w:rFonts w:eastAsia="Times New Roman" w:cs="Calibri"/>
          <w:color w:val="000000"/>
          <w:sz w:val="22"/>
          <w:lang w:eastAsia="es-MX"/>
        </w:rPr>
        <w:t xml:space="preserve">a </w:t>
      </w:r>
      <w:r w:rsidR="00254A75" w:rsidRPr="0004701A">
        <w:rPr>
          <w:rFonts w:eastAsia="Times New Roman" w:cs="Calibri"/>
          <w:color w:val="000000"/>
          <w:sz w:val="22"/>
          <w:lang w:eastAsia="es-MX"/>
        </w:rPr>
        <w:t>la salud</w:t>
      </w:r>
      <w:r w:rsidR="007B411E" w:rsidRPr="0004701A">
        <w:rPr>
          <w:rFonts w:eastAsia="Times New Roman" w:cs="Calibri"/>
          <w:color w:val="000000"/>
          <w:sz w:val="22"/>
          <w:lang w:eastAsia="es-MX"/>
        </w:rPr>
        <w:t xml:space="preserve">, pues </w:t>
      </w:r>
      <w:r w:rsidR="00CE098C" w:rsidRPr="0004701A">
        <w:rPr>
          <w:rFonts w:eastAsia="Times New Roman" w:cs="Calibri"/>
          <w:color w:val="000000"/>
          <w:sz w:val="22"/>
          <w:lang w:eastAsia="es-MX"/>
        </w:rPr>
        <w:t>contamina el aire y</w:t>
      </w:r>
      <w:r w:rsidR="007B411E" w:rsidRPr="0004701A">
        <w:rPr>
          <w:rFonts w:eastAsia="Times New Roman" w:cs="Calibri"/>
          <w:color w:val="000000"/>
          <w:sz w:val="22"/>
          <w:lang w:eastAsia="es-MX"/>
        </w:rPr>
        <w:t xml:space="preserve"> </w:t>
      </w:r>
      <w:r w:rsidR="00CE098C" w:rsidRPr="0004701A">
        <w:rPr>
          <w:rFonts w:eastAsia="Times New Roman" w:cs="Calibri"/>
          <w:color w:val="000000"/>
          <w:sz w:val="22"/>
          <w:lang w:eastAsia="es-MX"/>
        </w:rPr>
        <w:t>el</w:t>
      </w:r>
      <w:r w:rsidR="007B411E" w:rsidRPr="0004701A">
        <w:rPr>
          <w:rFonts w:eastAsia="Times New Roman" w:cs="Calibri"/>
          <w:color w:val="000000"/>
          <w:sz w:val="22"/>
          <w:lang w:eastAsia="es-MX"/>
        </w:rPr>
        <w:t xml:space="preserve"> </w:t>
      </w:r>
      <w:r w:rsidR="00CE098C" w:rsidRPr="0004701A">
        <w:rPr>
          <w:rFonts w:eastAsia="Times New Roman" w:cs="Calibri"/>
          <w:color w:val="000000"/>
          <w:sz w:val="22"/>
          <w:lang w:eastAsia="es-MX"/>
        </w:rPr>
        <w:t>agua, siendo respirado o ingerido por las personas</w:t>
      </w:r>
      <w:r w:rsidR="007B411E" w:rsidRPr="0004701A">
        <w:rPr>
          <w:rFonts w:eastAsia="Times New Roman" w:cs="Calibri"/>
          <w:color w:val="000000"/>
          <w:sz w:val="22"/>
          <w:lang w:eastAsia="es-MX"/>
        </w:rPr>
        <w:t>.</w:t>
      </w:r>
      <w:r w:rsidR="00CE098C" w:rsidRPr="0004701A">
        <w:rPr>
          <w:rStyle w:val="FootnoteReference"/>
          <w:rFonts w:eastAsia="Times New Roman" w:cs="Calibri"/>
          <w:color w:val="000000"/>
          <w:sz w:val="22"/>
          <w:lang w:eastAsia="es-MX"/>
        </w:rPr>
        <w:footnoteReference w:id="7"/>
      </w:r>
      <w:r w:rsidR="007B411E" w:rsidRPr="0004701A">
        <w:rPr>
          <w:rFonts w:eastAsia="Times New Roman" w:cs="Calibri"/>
          <w:color w:val="000000"/>
          <w:sz w:val="22"/>
          <w:lang w:eastAsia="es-MX"/>
        </w:rPr>
        <w:t xml:space="preserve"> </w:t>
      </w:r>
      <w:r w:rsidR="00CE098C" w:rsidRPr="0004701A">
        <w:rPr>
          <w:rFonts w:eastAsia="Times New Roman" w:cs="Calibri"/>
          <w:color w:val="000000"/>
          <w:sz w:val="22"/>
          <w:lang w:eastAsia="es-MX"/>
        </w:rPr>
        <w:t>También</w:t>
      </w:r>
      <w:r w:rsidR="00254A75" w:rsidRPr="0004701A">
        <w:rPr>
          <w:rFonts w:eastAsia="Times New Roman" w:cs="Calibri"/>
          <w:color w:val="000000"/>
          <w:sz w:val="22"/>
          <w:lang w:eastAsia="es-MX"/>
        </w:rPr>
        <w:t xml:space="preserve"> ha </w:t>
      </w:r>
      <w:r w:rsidR="00DF66CE" w:rsidRPr="0004701A">
        <w:rPr>
          <w:rFonts w:eastAsia="Times New Roman" w:cs="Calibri"/>
          <w:color w:val="000000"/>
          <w:sz w:val="22"/>
          <w:lang w:eastAsia="es-MX"/>
        </w:rPr>
        <w:t xml:space="preserve">afectado </w:t>
      </w:r>
      <w:r w:rsidR="00CE098C" w:rsidRPr="0004701A">
        <w:rPr>
          <w:rFonts w:eastAsia="Times New Roman" w:cs="Calibri"/>
          <w:color w:val="000000"/>
          <w:sz w:val="22"/>
          <w:lang w:eastAsia="es-MX"/>
        </w:rPr>
        <w:t>la inocuidad de los alimentos</w:t>
      </w:r>
      <w:r w:rsidR="00254A75" w:rsidRPr="0004701A">
        <w:rPr>
          <w:rFonts w:eastAsia="Times New Roman" w:cs="Calibri"/>
          <w:color w:val="000000"/>
          <w:sz w:val="22"/>
          <w:lang w:eastAsia="es-MX"/>
        </w:rPr>
        <w:t>,</w:t>
      </w:r>
      <w:r w:rsidR="0068011C" w:rsidRPr="0004701A">
        <w:rPr>
          <w:rFonts w:eastAsia="Times New Roman" w:cs="Calibri"/>
          <w:color w:val="000000"/>
          <w:sz w:val="22"/>
          <w:lang w:eastAsia="es-MX"/>
        </w:rPr>
        <w:t xml:space="preserve"> pues</w:t>
      </w:r>
      <w:r w:rsidR="00CE098C" w:rsidRPr="0004701A">
        <w:rPr>
          <w:rFonts w:eastAsia="Times New Roman" w:cs="Calibri"/>
          <w:color w:val="000000"/>
          <w:sz w:val="22"/>
          <w:lang w:eastAsia="es-MX"/>
        </w:rPr>
        <w:t xml:space="preserve"> se han encontrado rastros</w:t>
      </w:r>
      <w:r w:rsidR="00820DB2" w:rsidRPr="0004701A">
        <w:rPr>
          <w:rFonts w:eastAsia="Times New Roman" w:cs="Calibri"/>
          <w:color w:val="000000"/>
          <w:sz w:val="22"/>
          <w:lang w:eastAsia="es-MX"/>
        </w:rPr>
        <w:t xml:space="preserve"> en ellos</w:t>
      </w:r>
      <w:r w:rsidR="00254A75" w:rsidRPr="0004701A">
        <w:rPr>
          <w:rFonts w:eastAsia="Times New Roman" w:cs="Calibri"/>
          <w:color w:val="000000"/>
          <w:sz w:val="22"/>
          <w:lang w:eastAsia="es-MX"/>
        </w:rPr>
        <w:t>.</w:t>
      </w:r>
      <w:r w:rsidR="00CE098C" w:rsidRPr="0004701A">
        <w:rPr>
          <w:rStyle w:val="FootnoteReference"/>
          <w:rFonts w:eastAsia="Times New Roman" w:cs="Calibri"/>
          <w:color w:val="000000"/>
          <w:sz w:val="22"/>
          <w:lang w:eastAsia="es-MX"/>
        </w:rPr>
        <w:footnoteReference w:id="8"/>
      </w:r>
      <w:r w:rsidR="00254A75" w:rsidRPr="0004701A">
        <w:rPr>
          <w:rFonts w:eastAsia="Times New Roman" w:cs="Calibri"/>
          <w:color w:val="000000"/>
          <w:sz w:val="22"/>
          <w:lang w:eastAsia="es-MX"/>
        </w:rPr>
        <w:t xml:space="preserve"> </w:t>
      </w:r>
      <w:r w:rsidR="00C06DCA" w:rsidRPr="0004701A">
        <w:rPr>
          <w:sz w:val="22"/>
          <w:lang w:val="es-ES"/>
        </w:rPr>
        <w:t>Corren especial riesgo de salud los trabajadores agrícolas que directamente están expuestos al agrotóxico, muchos de ellos pertenecientes a grupos vulnerables como la infancia y migrantes,  así como sus familias.</w:t>
      </w:r>
      <w:r w:rsidR="00C06DCA" w:rsidRPr="0004701A">
        <w:rPr>
          <w:rStyle w:val="FootnoteReference"/>
          <w:sz w:val="22"/>
          <w:lang w:val="es-ES"/>
        </w:rPr>
        <w:footnoteReference w:id="9"/>
      </w:r>
      <w:r w:rsidR="00C06DCA" w:rsidRPr="0004701A">
        <w:rPr>
          <w:sz w:val="22"/>
          <w:lang w:val="es-ES"/>
        </w:rPr>
        <w:t xml:space="preserve"> </w:t>
      </w:r>
      <w:r w:rsidR="007B411E" w:rsidRPr="0004701A">
        <w:rPr>
          <w:rFonts w:eastAsia="Times New Roman" w:cs="Calibri"/>
          <w:color w:val="000000"/>
          <w:sz w:val="22"/>
          <w:lang w:eastAsia="es-MX"/>
        </w:rPr>
        <w:t xml:space="preserve">Además, </w:t>
      </w:r>
      <w:r w:rsidR="00F83466" w:rsidRPr="0004701A">
        <w:rPr>
          <w:rFonts w:eastAsia="Times New Roman" w:cs="Calibri"/>
          <w:color w:val="000000"/>
          <w:sz w:val="22"/>
          <w:lang w:eastAsia="es-MX"/>
        </w:rPr>
        <w:t>vulnera</w:t>
      </w:r>
      <w:r w:rsidR="007B411E" w:rsidRPr="0004701A">
        <w:rPr>
          <w:rFonts w:eastAsia="Times New Roman" w:cs="Calibri"/>
          <w:color w:val="000000"/>
          <w:sz w:val="22"/>
          <w:lang w:eastAsia="es-MX"/>
        </w:rPr>
        <w:t xml:space="preserve"> </w:t>
      </w:r>
      <w:r w:rsidR="00254A75" w:rsidRPr="0004701A">
        <w:rPr>
          <w:rFonts w:eastAsia="Times New Roman" w:cs="Calibri"/>
          <w:color w:val="000000"/>
          <w:sz w:val="22"/>
          <w:lang w:eastAsia="es-MX"/>
        </w:rPr>
        <w:t xml:space="preserve">los derechos de </w:t>
      </w:r>
      <w:r w:rsidR="007B411E" w:rsidRPr="0004701A">
        <w:rPr>
          <w:rFonts w:eastAsia="Times New Roman" w:cs="Calibri"/>
          <w:color w:val="000000"/>
          <w:sz w:val="22"/>
          <w:lang w:eastAsia="es-MX"/>
        </w:rPr>
        <w:t>pueblos indígenas a su territorio</w:t>
      </w:r>
      <w:r w:rsidR="00CE098C" w:rsidRPr="0004701A">
        <w:rPr>
          <w:rFonts w:eastAsia="Times New Roman" w:cs="Calibri"/>
          <w:color w:val="000000"/>
          <w:sz w:val="22"/>
          <w:lang w:eastAsia="es-MX"/>
        </w:rPr>
        <w:t xml:space="preserve"> y a sus medios de subsistencia, como en el caso</w:t>
      </w:r>
      <w:r w:rsidR="007B411E" w:rsidRPr="0004701A">
        <w:rPr>
          <w:rFonts w:eastAsia="Times New Roman" w:cs="Calibri"/>
          <w:color w:val="000000"/>
          <w:sz w:val="22"/>
          <w:lang w:eastAsia="es-MX"/>
        </w:rPr>
        <w:t xml:space="preserve"> de las comunidades api</w:t>
      </w:r>
      <w:r w:rsidR="00CE098C" w:rsidRPr="0004701A">
        <w:rPr>
          <w:rFonts w:eastAsia="Times New Roman" w:cs="Calibri"/>
          <w:color w:val="000000"/>
          <w:sz w:val="22"/>
          <w:lang w:eastAsia="es-MX"/>
        </w:rPr>
        <w:t xml:space="preserve">cultoras mayas, </w:t>
      </w:r>
      <w:r w:rsidR="007B411E" w:rsidRPr="0004701A">
        <w:rPr>
          <w:rFonts w:eastAsia="Times New Roman" w:cs="Calibri"/>
          <w:color w:val="000000"/>
          <w:sz w:val="22"/>
          <w:lang w:eastAsia="es-MX"/>
        </w:rPr>
        <w:t xml:space="preserve">que </w:t>
      </w:r>
      <w:r w:rsidR="00DF66CE" w:rsidRPr="0004701A">
        <w:rPr>
          <w:rFonts w:eastAsia="Times New Roman" w:cs="Calibri"/>
          <w:color w:val="000000"/>
          <w:sz w:val="22"/>
          <w:lang w:eastAsia="es-MX"/>
        </w:rPr>
        <w:t>sufren</w:t>
      </w:r>
      <w:r w:rsidR="00CE098C" w:rsidRPr="0004701A">
        <w:rPr>
          <w:rFonts w:eastAsia="Times New Roman" w:cs="Calibri"/>
          <w:color w:val="000000"/>
          <w:sz w:val="22"/>
          <w:lang w:eastAsia="es-MX"/>
        </w:rPr>
        <w:t xml:space="preserve"> daños en sus </w:t>
      </w:r>
      <w:r w:rsidR="00DF66CE" w:rsidRPr="0004701A">
        <w:rPr>
          <w:rFonts w:eastAsia="Times New Roman" w:cs="Calibri"/>
          <w:color w:val="000000"/>
          <w:sz w:val="22"/>
          <w:lang w:eastAsia="es-MX"/>
        </w:rPr>
        <w:t>abejas</w:t>
      </w:r>
      <w:r w:rsidR="007B411E" w:rsidRPr="0004701A">
        <w:rPr>
          <w:rFonts w:eastAsia="Times New Roman" w:cs="Calibri"/>
          <w:color w:val="000000"/>
          <w:sz w:val="22"/>
          <w:lang w:eastAsia="es-MX"/>
        </w:rPr>
        <w:t xml:space="preserve"> a </w:t>
      </w:r>
      <w:r w:rsidR="00CE098C" w:rsidRPr="0004701A">
        <w:rPr>
          <w:rFonts w:eastAsia="Times New Roman" w:cs="Calibri"/>
          <w:color w:val="000000"/>
          <w:sz w:val="22"/>
          <w:lang w:eastAsia="es-MX"/>
        </w:rPr>
        <w:t>causa</w:t>
      </w:r>
      <w:r w:rsidR="007B411E" w:rsidRPr="0004701A">
        <w:rPr>
          <w:rFonts w:eastAsia="Times New Roman" w:cs="Calibri"/>
          <w:color w:val="000000"/>
          <w:sz w:val="22"/>
          <w:lang w:eastAsia="es-MX"/>
        </w:rPr>
        <w:t xml:space="preserve"> de la siembra de soya transgénica resistente a este herbicida.</w:t>
      </w:r>
      <w:r w:rsidR="00CE098C" w:rsidRPr="0004701A">
        <w:rPr>
          <w:rStyle w:val="FootnoteReference"/>
          <w:rFonts w:eastAsia="Times New Roman" w:cs="Calibri"/>
          <w:color w:val="000000"/>
          <w:sz w:val="22"/>
          <w:lang w:eastAsia="es-MX"/>
        </w:rPr>
        <w:footnoteReference w:id="10"/>
      </w:r>
    </w:p>
    <w:p w:rsidR="00942890" w:rsidRPr="0004701A" w:rsidRDefault="00942890" w:rsidP="00942890">
      <w:pPr>
        <w:numPr>
          <w:ilvl w:val="1"/>
          <w:numId w:val="1"/>
        </w:numPr>
        <w:shd w:val="clear" w:color="auto" w:fill="FFFFFF"/>
        <w:spacing w:before="120" w:after="120" w:line="240" w:lineRule="auto"/>
        <w:ind w:left="284"/>
        <w:jc w:val="both"/>
        <w:rPr>
          <w:rFonts w:eastAsia="Times New Roman" w:cs="Calibri"/>
          <w:b/>
          <w:color w:val="000000"/>
          <w:sz w:val="22"/>
          <w:lang w:eastAsia="es-MX"/>
        </w:rPr>
      </w:pPr>
      <w:r w:rsidRPr="0004701A">
        <w:rPr>
          <w:b/>
          <w:sz w:val="22"/>
          <w:lang w:val="es-ES"/>
        </w:rPr>
        <w:t xml:space="preserve">Uso de transgénicos y agrotóxicos. </w:t>
      </w:r>
      <w:r w:rsidRPr="0004701A">
        <w:rPr>
          <w:sz w:val="22"/>
          <w:lang w:val="es-ES"/>
        </w:rPr>
        <w:t>La siembra de semillas transgénicas resistentes a herbicidas mina la diversidad biológica y los derechos de los campesinos. Este tipo de agricultura provoca la dependencia de los campesinos a las empresas agroindustriales que venden las semillas y los agrotóxicos necesarios para su cultivo.</w:t>
      </w:r>
      <w:r w:rsidRPr="0004701A">
        <w:rPr>
          <w:rStyle w:val="FootnoteReference"/>
          <w:sz w:val="22"/>
          <w:lang w:val="es-ES"/>
        </w:rPr>
        <w:footnoteReference w:id="11"/>
      </w:r>
      <w:r w:rsidRPr="0004701A">
        <w:rPr>
          <w:sz w:val="22"/>
          <w:lang w:val="es-ES"/>
        </w:rPr>
        <w:t xml:space="preserve"> Dichas prácticas arriesgan los cultivos a plagas a las que no son resistentes y ponen en riesgo la diversidad biológica. </w:t>
      </w:r>
      <w:r w:rsidRPr="0004701A">
        <w:rPr>
          <w:rStyle w:val="FootnoteReference"/>
          <w:sz w:val="22"/>
          <w:lang w:val="es-ES"/>
        </w:rPr>
        <w:footnoteReference w:id="12"/>
      </w:r>
    </w:p>
    <w:p w:rsidR="00FE11FB" w:rsidRPr="0004701A" w:rsidRDefault="007B411E" w:rsidP="00820DB2">
      <w:pPr>
        <w:pStyle w:val="ListParagraph"/>
        <w:numPr>
          <w:ilvl w:val="1"/>
          <w:numId w:val="1"/>
        </w:numPr>
        <w:shd w:val="clear" w:color="auto" w:fill="FFFFFF"/>
        <w:spacing w:before="120" w:after="120" w:line="240" w:lineRule="auto"/>
        <w:ind w:left="284"/>
        <w:jc w:val="both"/>
        <w:rPr>
          <w:rFonts w:eastAsia="Times New Roman" w:cs="Calibri"/>
          <w:b/>
          <w:color w:val="000000"/>
          <w:sz w:val="22"/>
          <w:lang w:eastAsia="es-MX"/>
        </w:rPr>
      </w:pPr>
      <w:r w:rsidRPr="0004701A">
        <w:rPr>
          <w:rFonts w:eastAsia="Times New Roman" w:cs="Calibri"/>
          <w:b/>
          <w:color w:val="000000"/>
          <w:sz w:val="22"/>
          <w:lang w:eastAsia="es-MX"/>
        </w:rPr>
        <w:t xml:space="preserve">Monocultivos (aguacate, palma </w:t>
      </w:r>
      <w:r w:rsidR="00C82508" w:rsidRPr="0004701A">
        <w:rPr>
          <w:rFonts w:eastAsia="Times New Roman" w:cs="Calibri"/>
          <w:b/>
          <w:color w:val="000000"/>
          <w:sz w:val="22"/>
          <w:lang w:eastAsia="es-MX"/>
        </w:rPr>
        <w:t>africana</w:t>
      </w:r>
      <w:r w:rsidR="001C02F0" w:rsidRPr="0004701A">
        <w:rPr>
          <w:rFonts w:eastAsia="Times New Roman" w:cs="Calibri"/>
          <w:b/>
          <w:color w:val="000000"/>
          <w:sz w:val="22"/>
          <w:lang w:eastAsia="es-MX"/>
        </w:rPr>
        <w:t xml:space="preserve"> y soya)</w:t>
      </w:r>
      <w:r w:rsidR="00D35346" w:rsidRPr="0004701A">
        <w:rPr>
          <w:rFonts w:eastAsia="Times New Roman" w:cs="Calibri"/>
          <w:b/>
          <w:color w:val="000000"/>
          <w:sz w:val="22"/>
          <w:lang w:eastAsia="es-MX"/>
        </w:rPr>
        <w:t xml:space="preserve">. </w:t>
      </w:r>
      <w:r w:rsidR="00265228" w:rsidRPr="0004701A">
        <w:rPr>
          <w:rFonts w:eastAsia="Times New Roman" w:cs="Calibri"/>
          <w:color w:val="000000"/>
          <w:sz w:val="22"/>
          <w:lang w:eastAsia="es-MX"/>
        </w:rPr>
        <w:t xml:space="preserve">Los monocultivos en México han tenido como </w:t>
      </w:r>
      <w:r w:rsidR="00C77402" w:rsidRPr="0004701A">
        <w:rPr>
          <w:rFonts w:eastAsia="Times New Roman" w:cs="Calibri"/>
          <w:color w:val="000000"/>
          <w:sz w:val="22"/>
          <w:lang w:eastAsia="es-MX"/>
        </w:rPr>
        <w:t>consecuencia</w:t>
      </w:r>
      <w:r w:rsidR="00265228" w:rsidRPr="0004701A">
        <w:rPr>
          <w:rFonts w:eastAsia="Times New Roman" w:cs="Calibri"/>
          <w:color w:val="000000"/>
          <w:sz w:val="22"/>
          <w:lang w:eastAsia="es-MX"/>
        </w:rPr>
        <w:t xml:space="preserve"> </w:t>
      </w:r>
      <w:r w:rsidR="001C02F0" w:rsidRPr="0004701A">
        <w:rPr>
          <w:rFonts w:eastAsia="Times New Roman" w:cs="Calibri"/>
          <w:color w:val="000000"/>
          <w:sz w:val="22"/>
          <w:lang w:eastAsia="es-MX"/>
        </w:rPr>
        <w:t>el uso de agrotóxicos</w:t>
      </w:r>
      <w:r w:rsidR="00C77402" w:rsidRPr="0004701A">
        <w:rPr>
          <w:rFonts w:eastAsia="Times New Roman" w:cs="Calibri"/>
          <w:color w:val="000000"/>
          <w:sz w:val="22"/>
          <w:lang w:eastAsia="es-MX"/>
        </w:rPr>
        <w:t xml:space="preserve">, </w:t>
      </w:r>
      <w:r w:rsidR="003A7F46" w:rsidRPr="0004701A">
        <w:rPr>
          <w:rFonts w:eastAsia="Times New Roman" w:cs="Calibri"/>
          <w:color w:val="000000"/>
          <w:sz w:val="22"/>
          <w:lang w:eastAsia="es-MX"/>
        </w:rPr>
        <w:t xml:space="preserve">la deforestación, </w:t>
      </w:r>
      <w:r w:rsidR="001C02F0" w:rsidRPr="0004701A">
        <w:rPr>
          <w:rFonts w:eastAsia="Times New Roman" w:cs="Calibri"/>
          <w:color w:val="000000"/>
          <w:sz w:val="22"/>
          <w:lang w:eastAsia="es-MX"/>
        </w:rPr>
        <w:t xml:space="preserve">el cambio de uso </w:t>
      </w:r>
      <w:r w:rsidR="00FE11FB" w:rsidRPr="0004701A">
        <w:rPr>
          <w:rFonts w:eastAsia="Times New Roman" w:cs="Calibri"/>
          <w:color w:val="000000"/>
          <w:sz w:val="22"/>
          <w:lang w:eastAsia="es-MX"/>
        </w:rPr>
        <w:t xml:space="preserve">de tierras, la afectación a los medios de subsistencia de comunidades </w:t>
      </w:r>
      <w:r w:rsidR="00CE098C" w:rsidRPr="0004701A">
        <w:rPr>
          <w:rFonts w:eastAsia="Times New Roman" w:cs="Calibri"/>
          <w:color w:val="000000"/>
          <w:sz w:val="22"/>
          <w:lang w:eastAsia="es-MX"/>
        </w:rPr>
        <w:t xml:space="preserve">y </w:t>
      </w:r>
      <w:r w:rsidR="00FE11FB" w:rsidRPr="0004701A">
        <w:rPr>
          <w:rFonts w:eastAsia="Times New Roman" w:cs="Calibri"/>
          <w:color w:val="000000"/>
          <w:sz w:val="22"/>
          <w:lang w:eastAsia="es-MX"/>
        </w:rPr>
        <w:t>violaciones</w:t>
      </w:r>
      <w:r w:rsidR="003A7F46" w:rsidRPr="0004701A">
        <w:rPr>
          <w:rFonts w:eastAsia="Times New Roman" w:cs="Calibri"/>
          <w:color w:val="000000"/>
          <w:sz w:val="22"/>
          <w:lang w:eastAsia="es-MX"/>
        </w:rPr>
        <w:t xml:space="preserve"> a los derechos laborales </w:t>
      </w:r>
      <w:r w:rsidR="00C82508" w:rsidRPr="0004701A">
        <w:rPr>
          <w:rFonts w:eastAsia="Times New Roman" w:cs="Calibri"/>
          <w:color w:val="000000"/>
          <w:sz w:val="22"/>
          <w:lang w:eastAsia="es-MX"/>
        </w:rPr>
        <w:t>de los jornaleros</w:t>
      </w:r>
      <w:r w:rsidR="003A7F46" w:rsidRPr="0004701A">
        <w:rPr>
          <w:rFonts w:eastAsia="Times New Roman" w:cs="Calibri"/>
          <w:color w:val="000000"/>
          <w:sz w:val="22"/>
          <w:lang w:eastAsia="es-MX"/>
        </w:rPr>
        <w:t>.</w:t>
      </w:r>
      <w:r w:rsidR="00CE098C" w:rsidRPr="0004701A">
        <w:rPr>
          <w:rStyle w:val="FootnoteReference"/>
          <w:rFonts w:eastAsia="Times New Roman" w:cs="Calibri"/>
          <w:color w:val="000000"/>
          <w:sz w:val="22"/>
          <w:lang w:eastAsia="es-MX"/>
        </w:rPr>
        <w:footnoteReference w:id="13"/>
      </w:r>
      <w:r w:rsidR="003A7F46" w:rsidRPr="0004701A">
        <w:rPr>
          <w:rFonts w:eastAsia="Times New Roman" w:cs="Calibri"/>
          <w:color w:val="000000"/>
          <w:sz w:val="22"/>
          <w:lang w:eastAsia="es-MX"/>
        </w:rPr>
        <w:t xml:space="preserve"> </w:t>
      </w:r>
      <w:r w:rsidR="008C21ED" w:rsidRPr="0004701A">
        <w:rPr>
          <w:rFonts w:eastAsia="Times New Roman" w:cs="Calibri"/>
          <w:color w:val="000000"/>
          <w:sz w:val="22"/>
          <w:lang w:eastAsia="es-MX"/>
        </w:rPr>
        <w:t xml:space="preserve"> </w:t>
      </w:r>
      <w:r w:rsidR="008C21ED" w:rsidRPr="0004701A">
        <w:rPr>
          <w:sz w:val="22"/>
          <w:lang w:val="es-ES"/>
        </w:rPr>
        <w:t>Resalta que los frutos de estos monocultivos, en el caso de la soya y la palma africana, no son para consumo humano, sino que se usan como materia prima para la elaboración de comestibles ultraprocesados.</w:t>
      </w:r>
      <w:r w:rsidR="008C21ED" w:rsidRPr="0004701A">
        <w:rPr>
          <w:rStyle w:val="FootnoteReference"/>
          <w:sz w:val="22"/>
          <w:lang w:val="es-ES"/>
        </w:rPr>
        <w:footnoteReference w:id="14"/>
      </w:r>
      <w:r w:rsidR="008C21ED" w:rsidRPr="0004701A">
        <w:rPr>
          <w:sz w:val="22"/>
          <w:lang w:val="es-ES"/>
        </w:rPr>
        <w:t xml:space="preserve"> Así, puede verse que son los requerimientos de esta industria los que determinan las características del sistema alimentario existente.</w:t>
      </w:r>
    </w:p>
    <w:p w:rsidR="00874605" w:rsidRPr="0004701A" w:rsidRDefault="00A53446" w:rsidP="00874605">
      <w:pPr>
        <w:pStyle w:val="ListParagraph"/>
        <w:numPr>
          <w:ilvl w:val="1"/>
          <w:numId w:val="1"/>
        </w:numPr>
        <w:shd w:val="clear" w:color="auto" w:fill="FFFFFF"/>
        <w:spacing w:before="120" w:after="120" w:line="240" w:lineRule="auto"/>
        <w:ind w:left="284"/>
        <w:jc w:val="both"/>
        <w:rPr>
          <w:rFonts w:eastAsia="Times New Roman" w:cs="Calibri"/>
          <w:b/>
          <w:color w:val="000000"/>
          <w:sz w:val="22"/>
          <w:lang w:eastAsia="es-MX"/>
        </w:rPr>
      </w:pPr>
      <w:r w:rsidRPr="0004701A">
        <w:rPr>
          <w:rFonts w:eastAsia="Times New Roman" w:cs="Calibri"/>
          <w:b/>
          <w:color w:val="000000"/>
          <w:sz w:val="22"/>
          <w:lang w:eastAsia="es-MX"/>
        </w:rPr>
        <w:t>Ganadería</w:t>
      </w:r>
      <w:r w:rsidR="00FE11FB" w:rsidRPr="0004701A">
        <w:rPr>
          <w:rFonts w:eastAsia="Times New Roman" w:cs="Calibri"/>
          <w:b/>
          <w:color w:val="000000"/>
          <w:sz w:val="22"/>
          <w:lang w:eastAsia="es-MX"/>
        </w:rPr>
        <w:t xml:space="preserve">. </w:t>
      </w:r>
      <w:r w:rsidR="00CE098C" w:rsidRPr="0004701A">
        <w:rPr>
          <w:rFonts w:eastAsia="Times New Roman" w:cs="Calibri"/>
          <w:color w:val="000000"/>
          <w:sz w:val="22"/>
          <w:lang w:eastAsia="es-MX"/>
        </w:rPr>
        <w:t>La crianza de ganado</w:t>
      </w:r>
      <w:r w:rsidRPr="0004701A">
        <w:rPr>
          <w:rFonts w:eastAsia="Times New Roman" w:cs="Calibri"/>
          <w:color w:val="000000"/>
          <w:sz w:val="22"/>
          <w:lang w:eastAsia="es-MX"/>
        </w:rPr>
        <w:t xml:space="preserve"> </w:t>
      </w:r>
      <w:r w:rsidR="00CE098C" w:rsidRPr="0004701A">
        <w:rPr>
          <w:rFonts w:eastAsia="Times New Roman" w:cs="Calibri"/>
          <w:color w:val="000000"/>
          <w:sz w:val="22"/>
          <w:lang w:eastAsia="es-MX"/>
        </w:rPr>
        <w:t xml:space="preserve">en </w:t>
      </w:r>
      <w:r w:rsidRPr="0004701A">
        <w:rPr>
          <w:rFonts w:eastAsia="Times New Roman" w:cs="Calibri"/>
          <w:color w:val="000000"/>
          <w:sz w:val="22"/>
          <w:lang w:eastAsia="es-MX"/>
        </w:rPr>
        <w:t xml:space="preserve">México </w:t>
      </w:r>
      <w:r w:rsidR="00F83466" w:rsidRPr="0004701A">
        <w:rPr>
          <w:rFonts w:eastAsia="Times New Roman" w:cs="Calibri"/>
          <w:color w:val="000000"/>
          <w:sz w:val="22"/>
          <w:lang w:eastAsia="es-MX"/>
        </w:rPr>
        <w:t>provoca</w:t>
      </w:r>
      <w:r w:rsidRPr="0004701A">
        <w:rPr>
          <w:rFonts w:eastAsia="Times New Roman" w:cs="Calibri"/>
          <w:color w:val="000000"/>
          <w:sz w:val="22"/>
          <w:lang w:eastAsia="es-MX"/>
        </w:rPr>
        <w:t xml:space="preserve"> la pérdida de </w:t>
      </w:r>
      <w:r w:rsidR="008361F4" w:rsidRPr="0004701A">
        <w:rPr>
          <w:rFonts w:eastAsia="Times New Roman" w:cs="Calibri"/>
          <w:color w:val="000000"/>
          <w:sz w:val="22"/>
          <w:lang w:eastAsia="es-MX"/>
        </w:rPr>
        <w:t>ecosistemas</w:t>
      </w:r>
      <w:r w:rsidR="0068011C" w:rsidRPr="0004701A">
        <w:rPr>
          <w:rFonts w:eastAsia="Times New Roman" w:cs="Calibri"/>
          <w:color w:val="000000"/>
          <w:sz w:val="22"/>
          <w:lang w:eastAsia="es-MX"/>
        </w:rPr>
        <w:t xml:space="preserve">, </w:t>
      </w:r>
      <w:r w:rsidR="00C82508" w:rsidRPr="0004701A">
        <w:rPr>
          <w:rFonts w:eastAsia="Times New Roman" w:cs="Calibri"/>
          <w:color w:val="000000"/>
          <w:sz w:val="22"/>
          <w:lang w:eastAsia="es-MX"/>
        </w:rPr>
        <w:t>deforestaci</w:t>
      </w:r>
      <w:r w:rsidR="00445CBD" w:rsidRPr="0004701A">
        <w:rPr>
          <w:rFonts w:eastAsia="Times New Roman" w:cs="Calibri"/>
          <w:color w:val="000000"/>
          <w:sz w:val="22"/>
          <w:lang w:eastAsia="es-MX"/>
        </w:rPr>
        <w:t>ón</w:t>
      </w:r>
      <w:r w:rsidR="006C7B30" w:rsidRPr="0004701A">
        <w:rPr>
          <w:rStyle w:val="FootnoteReference"/>
          <w:rFonts w:eastAsia="Times New Roman" w:cs="Calibri"/>
          <w:color w:val="000000"/>
          <w:sz w:val="22"/>
          <w:lang w:eastAsia="es-MX"/>
        </w:rPr>
        <w:footnoteReference w:id="15"/>
      </w:r>
      <w:r w:rsidR="00445CBD" w:rsidRPr="0004701A">
        <w:rPr>
          <w:rFonts w:eastAsia="Times New Roman" w:cs="Calibri"/>
          <w:color w:val="000000"/>
          <w:sz w:val="22"/>
          <w:lang w:eastAsia="es-MX"/>
        </w:rPr>
        <w:t xml:space="preserve"> y la contaminaci</w:t>
      </w:r>
      <w:r w:rsidR="00BE7361" w:rsidRPr="0004701A">
        <w:rPr>
          <w:rFonts w:eastAsia="Times New Roman" w:cs="Calibri"/>
          <w:color w:val="000000"/>
          <w:sz w:val="22"/>
          <w:lang w:eastAsia="es-MX"/>
        </w:rPr>
        <w:t xml:space="preserve">ón de </w:t>
      </w:r>
      <w:r w:rsidR="0068011C" w:rsidRPr="0004701A">
        <w:rPr>
          <w:rFonts w:eastAsia="Times New Roman" w:cs="Calibri"/>
          <w:color w:val="000000"/>
          <w:sz w:val="22"/>
          <w:lang w:eastAsia="es-MX"/>
        </w:rPr>
        <w:t>agua</w:t>
      </w:r>
      <w:r w:rsidR="000A03DB" w:rsidRPr="0004701A">
        <w:rPr>
          <w:rFonts w:eastAsia="Times New Roman" w:cs="Calibri"/>
          <w:color w:val="000000"/>
          <w:sz w:val="22"/>
          <w:lang w:eastAsia="es-MX"/>
        </w:rPr>
        <w:t xml:space="preserve"> y suelo</w:t>
      </w:r>
      <w:r w:rsidR="0068011C" w:rsidRPr="0004701A">
        <w:rPr>
          <w:rFonts w:eastAsia="Times New Roman" w:cs="Calibri"/>
          <w:color w:val="000000"/>
          <w:sz w:val="22"/>
          <w:lang w:eastAsia="es-MX"/>
        </w:rPr>
        <w:t>.</w:t>
      </w:r>
      <w:r w:rsidRPr="0004701A">
        <w:rPr>
          <w:rFonts w:eastAsia="Times New Roman" w:cs="Calibri"/>
          <w:color w:val="000000"/>
          <w:sz w:val="22"/>
          <w:lang w:eastAsia="es-MX"/>
        </w:rPr>
        <w:t xml:space="preserve"> </w:t>
      </w:r>
      <w:r w:rsidR="00CE098C" w:rsidRPr="0004701A">
        <w:rPr>
          <w:rFonts w:eastAsia="Times New Roman" w:cs="Calibri"/>
          <w:color w:val="000000"/>
          <w:sz w:val="22"/>
          <w:lang w:eastAsia="es-MX"/>
        </w:rPr>
        <w:t>Por ejemplo</w:t>
      </w:r>
      <w:r w:rsidR="008361F4" w:rsidRPr="0004701A">
        <w:rPr>
          <w:rFonts w:eastAsia="Times New Roman" w:cs="Calibri"/>
          <w:color w:val="000000"/>
          <w:sz w:val="22"/>
          <w:lang w:eastAsia="es-MX"/>
        </w:rPr>
        <w:t>, la instalación de granja</w:t>
      </w:r>
      <w:r w:rsidR="0068011C" w:rsidRPr="0004701A">
        <w:rPr>
          <w:rFonts w:eastAsia="Times New Roman" w:cs="Calibri"/>
          <w:color w:val="000000"/>
          <w:sz w:val="22"/>
          <w:lang w:eastAsia="es-MX"/>
        </w:rPr>
        <w:t>s</w:t>
      </w:r>
      <w:r w:rsidR="008361F4" w:rsidRPr="0004701A">
        <w:rPr>
          <w:rFonts w:eastAsia="Times New Roman" w:cs="Calibri"/>
          <w:color w:val="000000"/>
          <w:sz w:val="22"/>
          <w:lang w:eastAsia="es-MX"/>
        </w:rPr>
        <w:t xml:space="preserve"> de cerdos</w:t>
      </w:r>
      <w:r w:rsidR="0068011C" w:rsidRPr="0004701A">
        <w:rPr>
          <w:rFonts w:eastAsia="Times New Roman" w:cs="Calibri"/>
          <w:color w:val="000000"/>
          <w:sz w:val="22"/>
          <w:lang w:eastAsia="es-MX"/>
        </w:rPr>
        <w:t xml:space="preserve"> </w:t>
      </w:r>
      <w:r w:rsidR="008361F4" w:rsidRPr="0004701A">
        <w:rPr>
          <w:rFonts w:eastAsia="Times New Roman" w:cs="Calibri"/>
          <w:color w:val="000000"/>
          <w:sz w:val="22"/>
          <w:lang w:eastAsia="es-MX"/>
        </w:rPr>
        <w:t xml:space="preserve">ha contaminado </w:t>
      </w:r>
      <w:r w:rsidR="00265228" w:rsidRPr="0004701A">
        <w:rPr>
          <w:rFonts w:eastAsia="Times New Roman" w:cs="Calibri"/>
          <w:color w:val="000000"/>
          <w:sz w:val="22"/>
          <w:lang w:eastAsia="es-MX"/>
        </w:rPr>
        <w:t>fuentes de</w:t>
      </w:r>
      <w:r w:rsidR="00C82508" w:rsidRPr="0004701A">
        <w:rPr>
          <w:rFonts w:eastAsia="Times New Roman" w:cs="Calibri"/>
          <w:color w:val="000000"/>
          <w:sz w:val="22"/>
          <w:lang w:eastAsia="es-MX"/>
        </w:rPr>
        <w:t xml:space="preserve"> abastecimiento de</w:t>
      </w:r>
      <w:r w:rsidR="00265228" w:rsidRPr="0004701A">
        <w:rPr>
          <w:rFonts w:eastAsia="Times New Roman" w:cs="Calibri"/>
          <w:color w:val="000000"/>
          <w:sz w:val="22"/>
          <w:lang w:eastAsia="es-MX"/>
        </w:rPr>
        <w:t xml:space="preserve"> agua </w:t>
      </w:r>
      <w:r w:rsidR="0068011C" w:rsidRPr="0004701A">
        <w:rPr>
          <w:rFonts w:eastAsia="Times New Roman" w:cs="Calibri"/>
          <w:color w:val="000000"/>
          <w:sz w:val="22"/>
          <w:lang w:eastAsia="es-MX"/>
        </w:rPr>
        <w:t>de las comunidades aledañas, afectando</w:t>
      </w:r>
      <w:r w:rsidR="00265228" w:rsidRPr="0004701A">
        <w:rPr>
          <w:rFonts w:eastAsia="Times New Roman" w:cs="Calibri"/>
          <w:color w:val="000000"/>
          <w:sz w:val="22"/>
          <w:lang w:eastAsia="es-MX"/>
        </w:rPr>
        <w:t xml:space="preserve"> el ejercicio de su derecho al </w:t>
      </w:r>
      <w:r w:rsidR="00445CBD" w:rsidRPr="0004701A">
        <w:rPr>
          <w:rFonts w:eastAsia="Times New Roman" w:cs="Calibri"/>
          <w:color w:val="000000"/>
          <w:sz w:val="22"/>
          <w:lang w:eastAsia="es-MX"/>
        </w:rPr>
        <w:t>líquido</w:t>
      </w:r>
      <w:r w:rsidR="00CE098C" w:rsidRPr="0004701A">
        <w:rPr>
          <w:rFonts w:eastAsia="Times New Roman" w:cs="Calibri"/>
          <w:color w:val="000000"/>
          <w:sz w:val="22"/>
          <w:lang w:eastAsia="es-MX"/>
        </w:rPr>
        <w:t xml:space="preserve"> </w:t>
      </w:r>
      <w:r w:rsidR="00445CBD" w:rsidRPr="0004701A">
        <w:rPr>
          <w:rFonts w:eastAsia="Times New Roman" w:cs="Calibri"/>
          <w:color w:val="000000"/>
          <w:sz w:val="22"/>
          <w:lang w:eastAsia="es-MX"/>
        </w:rPr>
        <w:t>y la realización de</w:t>
      </w:r>
      <w:r w:rsidR="0068011C" w:rsidRPr="0004701A">
        <w:rPr>
          <w:rFonts w:eastAsia="Times New Roman" w:cs="Calibri"/>
          <w:color w:val="000000"/>
          <w:sz w:val="22"/>
          <w:lang w:eastAsia="es-MX"/>
        </w:rPr>
        <w:t xml:space="preserve"> actividades económicas, como la agricultura y </w:t>
      </w:r>
      <w:r w:rsidR="00C82508" w:rsidRPr="0004701A">
        <w:rPr>
          <w:rFonts w:eastAsia="Times New Roman" w:cs="Calibri"/>
          <w:color w:val="000000"/>
          <w:sz w:val="22"/>
          <w:lang w:eastAsia="es-MX"/>
        </w:rPr>
        <w:t>los servicios turísticos.</w:t>
      </w:r>
      <w:r w:rsidR="000A03DB" w:rsidRPr="0004701A">
        <w:rPr>
          <w:rStyle w:val="FootnoteReference"/>
          <w:rFonts w:eastAsia="Times New Roman" w:cs="Calibri"/>
          <w:color w:val="000000"/>
          <w:sz w:val="22"/>
          <w:lang w:eastAsia="es-MX"/>
        </w:rPr>
        <w:footnoteReference w:id="16"/>
      </w:r>
    </w:p>
    <w:p w:rsidR="002A5118" w:rsidRPr="0004701A" w:rsidRDefault="002A5118" w:rsidP="00820DB2">
      <w:pPr>
        <w:pStyle w:val="ListParagraph"/>
        <w:shd w:val="clear" w:color="auto" w:fill="FFFFFF"/>
        <w:spacing w:before="120" w:after="120" w:line="240" w:lineRule="auto"/>
        <w:ind w:left="284"/>
        <w:jc w:val="both"/>
        <w:rPr>
          <w:rFonts w:eastAsia="Times New Roman" w:cs="Calibri"/>
          <w:b/>
          <w:color w:val="000000"/>
          <w:sz w:val="22"/>
          <w:lang w:eastAsia="es-MX"/>
        </w:rPr>
      </w:pPr>
    </w:p>
    <w:p w:rsidR="004A6E26" w:rsidRPr="0004701A" w:rsidRDefault="004A6E26" w:rsidP="00820DB2">
      <w:pPr>
        <w:pStyle w:val="ListParagraph"/>
        <w:numPr>
          <w:ilvl w:val="0"/>
          <w:numId w:val="1"/>
        </w:numPr>
        <w:shd w:val="clear" w:color="auto" w:fill="FFFFFF"/>
        <w:spacing w:before="120" w:after="120" w:line="240" w:lineRule="auto"/>
        <w:jc w:val="both"/>
        <w:rPr>
          <w:rFonts w:eastAsia="Times New Roman" w:cs="Calibri"/>
          <w:i/>
          <w:color w:val="000000"/>
          <w:sz w:val="22"/>
          <w:lang w:eastAsia="es-MX"/>
        </w:rPr>
      </w:pPr>
      <w:r w:rsidRPr="0004701A">
        <w:rPr>
          <w:rFonts w:eastAsia="Times New Roman" w:cs="Calibri"/>
          <w:i/>
          <w:color w:val="000000"/>
          <w:sz w:val="22"/>
          <w:lang w:eastAsia="es-MX"/>
        </w:rPr>
        <w:t>¿De qué manera ha afectado el cambio climático al sistema alimentario mundial?</w:t>
      </w:r>
    </w:p>
    <w:p w:rsidR="00874605" w:rsidRPr="0004701A" w:rsidRDefault="00B30B40" w:rsidP="00820DB2">
      <w:pPr>
        <w:shd w:val="clear" w:color="auto" w:fill="FFFFFF"/>
        <w:spacing w:before="120" w:after="120" w:line="240" w:lineRule="auto"/>
        <w:jc w:val="both"/>
        <w:rPr>
          <w:rFonts w:eastAsia="Times New Roman" w:cs="Calibri"/>
          <w:color w:val="000000"/>
          <w:sz w:val="22"/>
          <w:lang w:eastAsia="es-MX"/>
        </w:rPr>
      </w:pPr>
      <w:r w:rsidRPr="0004701A">
        <w:rPr>
          <w:rFonts w:eastAsia="Times New Roman" w:cs="Calibri"/>
          <w:color w:val="000000"/>
          <w:sz w:val="22"/>
          <w:lang w:eastAsia="es-MX"/>
        </w:rPr>
        <w:t xml:space="preserve">El cambio climático ha </w:t>
      </w:r>
      <w:r w:rsidR="007904EF" w:rsidRPr="0004701A">
        <w:rPr>
          <w:rFonts w:eastAsia="Times New Roman" w:cs="Calibri"/>
          <w:color w:val="000000"/>
          <w:sz w:val="22"/>
          <w:lang w:eastAsia="es-MX"/>
        </w:rPr>
        <w:t>afectado el potencial agr</w:t>
      </w:r>
      <w:r w:rsidR="002E7FF0" w:rsidRPr="0004701A">
        <w:rPr>
          <w:rFonts w:eastAsia="Times New Roman" w:cs="Calibri"/>
          <w:color w:val="000000"/>
          <w:sz w:val="22"/>
          <w:lang w:eastAsia="es-MX"/>
        </w:rPr>
        <w:t>opecuario</w:t>
      </w:r>
      <w:r w:rsidR="007904EF" w:rsidRPr="0004701A">
        <w:rPr>
          <w:rFonts w:eastAsia="Times New Roman" w:cs="Calibri"/>
          <w:color w:val="000000"/>
          <w:sz w:val="22"/>
          <w:lang w:eastAsia="es-MX"/>
        </w:rPr>
        <w:t xml:space="preserve"> de las tierras, el rendimiento </w:t>
      </w:r>
      <w:r w:rsidR="00F83466" w:rsidRPr="0004701A">
        <w:rPr>
          <w:rFonts w:eastAsia="Times New Roman" w:cs="Calibri"/>
          <w:color w:val="000000"/>
          <w:sz w:val="22"/>
          <w:lang w:eastAsia="es-MX"/>
        </w:rPr>
        <w:t xml:space="preserve">y condiciones de almacenamiento </w:t>
      </w:r>
      <w:r w:rsidR="007904EF" w:rsidRPr="0004701A">
        <w:rPr>
          <w:rFonts w:eastAsia="Times New Roman" w:cs="Calibri"/>
          <w:color w:val="000000"/>
          <w:sz w:val="22"/>
          <w:lang w:eastAsia="es-MX"/>
        </w:rPr>
        <w:t>de los cultivos</w:t>
      </w:r>
      <w:r w:rsidR="00F83466" w:rsidRPr="0004701A">
        <w:rPr>
          <w:rFonts w:eastAsia="Times New Roman" w:cs="Calibri"/>
          <w:color w:val="000000"/>
          <w:sz w:val="22"/>
          <w:lang w:eastAsia="es-MX"/>
        </w:rPr>
        <w:t xml:space="preserve"> </w:t>
      </w:r>
      <w:r w:rsidR="000A00DC" w:rsidRPr="0004701A">
        <w:rPr>
          <w:rFonts w:eastAsia="Times New Roman" w:cs="Calibri"/>
          <w:color w:val="000000"/>
          <w:sz w:val="22"/>
          <w:lang w:eastAsia="es-MX"/>
        </w:rPr>
        <w:t>así como</w:t>
      </w:r>
      <w:r w:rsidR="00D96372" w:rsidRPr="0004701A">
        <w:rPr>
          <w:rFonts w:eastAsia="Times New Roman" w:cs="Calibri"/>
          <w:color w:val="000000"/>
          <w:sz w:val="22"/>
          <w:lang w:eastAsia="es-MX"/>
        </w:rPr>
        <w:t xml:space="preserve"> los medios de vida de la población</w:t>
      </w:r>
      <w:r w:rsidR="002E7FF0" w:rsidRPr="0004701A">
        <w:rPr>
          <w:rFonts w:eastAsia="Times New Roman" w:cs="Calibri"/>
          <w:color w:val="000000"/>
          <w:sz w:val="22"/>
          <w:lang w:eastAsia="es-MX"/>
        </w:rPr>
        <w:t>.</w:t>
      </w:r>
      <w:r w:rsidR="00D96372" w:rsidRPr="0004701A">
        <w:rPr>
          <w:rStyle w:val="FootnoteReference"/>
          <w:rFonts w:eastAsia="Times New Roman" w:cs="Calibri"/>
          <w:color w:val="000000"/>
          <w:sz w:val="22"/>
          <w:lang w:eastAsia="es-MX"/>
        </w:rPr>
        <w:footnoteReference w:id="17"/>
      </w:r>
      <w:r w:rsidR="002E7FF0" w:rsidRPr="0004701A">
        <w:rPr>
          <w:rFonts w:eastAsia="Times New Roman" w:cs="Calibri"/>
          <w:color w:val="000000"/>
          <w:sz w:val="22"/>
          <w:lang w:eastAsia="es-MX"/>
        </w:rPr>
        <w:t xml:space="preserve"> Es</w:t>
      </w:r>
      <w:r w:rsidR="00251EF9" w:rsidRPr="0004701A">
        <w:rPr>
          <w:rFonts w:eastAsia="Times New Roman" w:cs="Calibri"/>
          <w:color w:val="000000"/>
          <w:sz w:val="22"/>
          <w:lang w:eastAsia="es-MX"/>
        </w:rPr>
        <w:t xml:space="preserve">to menoscaba </w:t>
      </w:r>
      <w:r w:rsidRPr="0004701A">
        <w:rPr>
          <w:rFonts w:eastAsia="Times New Roman" w:cs="Calibri"/>
          <w:color w:val="000000"/>
          <w:sz w:val="22"/>
          <w:lang w:eastAsia="es-MX"/>
        </w:rPr>
        <w:t xml:space="preserve">la </w:t>
      </w:r>
      <w:r w:rsidR="002E7FF0" w:rsidRPr="0004701A">
        <w:rPr>
          <w:rFonts w:eastAsia="Times New Roman" w:cs="Calibri"/>
          <w:color w:val="000000"/>
          <w:sz w:val="22"/>
          <w:lang w:eastAsia="es-MX"/>
        </w:rPr>
        <w:t xml:space="preserve">disponibilidad, </w:t>
      </w:r>
      <w:r w:rsidRPr="0004701A">
        <w:rPr>
          <w:rFonts w:eastAsia="Times New Roman" w:cs="Calibri"/>
          <w:color w:val="000000"/>
          <w:sz w:val="22"/>
          <w:lang w:eastAsia="es-MX"/>
        </w:rPr>
        <w:t xml:space="preserve">accesibilidad </w:t>
      </w:r>
      <w:r w:rsidR="002E7FF0" w:rsidRPr="0004701A">
        <w:rPr>
          <w:rFonts w:eastAsia="Times New Roman" w:cs="Calibri"/>
          <w:color w:val="000000"/>
          <w:sz w:val="22"/>
          <w:lang w:eastAsia="es-MX"/>
        </w:rPr>
        <w:t>y</w:t>
      </w:r>
      <w:r w:rsidR="00D96372" w:rsidRPr="0004701A">
        <w:rPr>
          <w:rFonts w:eastAsia="Times New Roman" w:cs="Calibri"/>
          <w:color w:val="000000"/>
          <w:sz w:val="22"/>
          <w:lang w:eastAsia="es-MX"/>
        </w:rPr>
        <w:t xml:space="preserve"> la </w:t>
      </w:r>
      <w:r w:rsidRPr="0004701A">
        <w:rPr>
          <w:rFonts w:eastAsia="Times New Roman" w:cs="Calibri"/>
          <w:color w:val="000000"/>
          <w:sz w:val="22"/>
          <w:lang w:eastAsia="es-MX"/>
        </w:rPr>
        <w:t xml:space="preserve"> </w:t>
      </w:r>
      <w:r w:rsidR="002E7FF0" w:rsidRPr="0004701A">
        <w:rPr>
          <w:rFonts w:eastAsia="Times New Roman" w:cs="Calibri"/>
          <w:color w:val="000000"/>
          <w:sz w:val="22"/>
          <w:lang w:eastAsia="es-MX"/>
        </w:rPr>
        <w:t xml:space="preserve">adecuación de los alimentos, </w:t>
      </w:r>
      <w:r w:rsidR="00D96372" w:rsidRPr="0004701A">
        <w:rPr>
          <w:rFonts w:eastAsia="Times New Roman" w:cs="Calibri"/>
          <w:color w:val="000000"/>
          <w:sz w:val="22"/>
          <w:lang w:eastAsia="es-MX"/>
        </w:rPr>
        <w:t xml:space="preserve">sobre todo para </w:t>
      </w:r>
      <w:r w:rsidRPr="0004701A">
        <w:rPr>
          <w:rFonts w:eastAsia="Times New Roman" w:cs="Calibri"/>
          <w:color w:val="000000"/>
          <w:sz w:val="22"/>
          <w:lang w:eastAsia="es-MX"/>
        </w:rPr>
        <w:t>los grupos vulnerables.</w:t>
      </w:r>
      <w:r w:rsidR="00D96372" w:rsidRPr="0004701A">
        <w:rPr>
          <w:rStyle w:val="FootnoteReference"/>
          <w:rFonts w:eastAsia="Times New Roman" w:cs="Calibri"/>
          <w:color w:val="000000"/>
          <w:sz w:val="22"/>
          <w:lang w:eastAsia="es-MX"/>
        </w:rPr>
        <w:footnoteReference w:id="18"/>
      </w:r>
    </w:p>
    <w:p w:rsidR="006112A9" w:rsidRPr="0004701A" w:rsidRDefault="001D67A7" w:rsidP="00874605">
      <w:pPr>
        <w:pStyle w:val="ListParagraph"/>
        <w:numPr>
          <w:ilvl w:val="0"/>
          <w:numId w:val="1"/>
        </w:numPr>
        <w:shd w:val="clear" w:color="auto" w:fill="FFFFFF"/>
        <w:spacing w:before="120" w:after="120" w:line="240" w:lineRule="auto"/>
        <w:jc w:val="both"/>
        <w:rPr>
          <w:rFonts w:eastAsia="Times New Roman" w:cs="Calibri"/>
          <w:i/>
          <w:color w:val="000000"/>
          <w:sz w:val="22"/>
          <w:lang w:eastAsia="es-MX"/>
        </w:rPr>
      </w:pPr>
      <w:r w:rsidRPr="0004701A">
        <w:rPr>
          <w:rFonts w:eastAsia="Times New Roman" w:cs="Calibri"/>
          <w:i/>
          <w:color w:val="000000"/>
          <w:sz w:val="22"/>
          <w:lang w:eastAsia="es-MX"/>
        </w:rPr>
        <w:t>Para proteger una amplia gama de derechos humanos, ¿cuáles son las obligaciones específicas de los Estados y las responsabilidades de las empresas en términos de prevención, reducción o eliminación de los impactos ambientales causados por la producción o el consumo insostenible de alimentos? ¿Cómo podemos pasar a sistemas alimentarios que restauren y regeneren la naturaleza en lugar de degradar los ecosistemas, al tiempo que proporcionan dietas saludables para una población mundial que superará los nueve mil millones de personas en 2050?</w:t>
      </w:r>
    </w:p>
    <w:p w:rsidR="006F5FF2" w:rsidRPr="0004701A" w:rsidRDefault="006F5FF2" w:rsidP="006F5FF2">
      <w:pPr>
        <w:shd w:val="clear" w:color="auto" w:fill="FFFFFF"/>
        <w:spacing w:before="120" w:after="120" w:line="240" w:lineRule="auto"/>
        <w:jc w:val="both"/>
        <w:rPr>
          <w:rFonts w:eastAsia="Times New Roman" w:cs="Calibri"/>
          <w:color w:val="000000"/>
          <w:sz w:val="22"/>
          <w:lang w:eastAsia="es-MX"/>
        </w:rPr>
      </w:pPr>
      <w:r w:rsidRPr="0004701A">
        <w:rPr>
          <w:rFonts w:eastAsia="Times New Roman" w:cs="Calibri"/>
          <w:color w:val="000000"/>
          <w:sz w:val="22"/>
          <w:lang w:eastAsia="es-MX"/>
        </w:rPr>
        <w:t xml:space="preserve">No existe un mecanismo o instrumento que relacione </w:t>
      </w:r>
      <w:r w:rsidRPr="0004701A">
        <w:rPr>
          <w:rFonts w:eastAsia="Times New Roman" w:cs="Calibri"/>
          <w:color w:val="000000"/>
          <w:sz w:val="22"/>
          <w:u w:val="single"/>
          <w:lang w:eastAsia="es-MX"/>
        </w:rPr>
        <w:t>directamente</w:t>
      </w:r>
      <w:r w:rsidRPr="0004701A">
        <w:rPr>
          <w:rFonts w:eastAsia="Times New Roman" w:cs="Calibri"/>
          <w:color w:val="000000"/>
          <w:sz w:val="22"/>
          <w:lang w:eastAsia="es-MX"/>
        </w:rPr>
        <w:t xml:space="preserve"> impactos ambientales causados por la producción o el consumo insostenible de alimentos. Las responsabilidades derivan de instrumentos específicos en materias distintas: salud, medio ambiente, derechos de pueblos indígenas. </w:t>
      </w:r>
      <w:r w:rsidR="00F83466" w:rsidRPr="0004701A">
        <w:rPr>
          <w:rFonts w:eastAsia="Times New Roman" w:cs="Calibri"/>
          <w:color w:val="000000"/>
          <w:sz w:val="22"/>
          <w:lang w:eastAsia="es-MX"/>
        </w:rPr>
        <w:t xml:space="preserve"> Es necesario</w:t>
      </w:r>
      <w:r w:rsidRPr="0004701A">
        <w:rPr>
          <w:rFonts w:eastAsia="Times New Roman" w:cs="Calibri"/>
          <w:color w:val="000000"/>
          <w:sz w:val="22"/>
          <w:lang w:eastAsia="es-MX"/>
        </w:rPr>
        <w:t xml:space="preserve"> un instrumento general de derecho a la alimentación adecuada que, entre otros temas, contempl</w:t>
      </w:r>
      <w:r w:rsidR="00F83466" w:rsidRPr="0004701A">
        <w:rPr>
          <w:rFonts w:eastAsia="Times New Roman" w:cs="Calibri"/>
          <w:color w:val="000000"/>
          <w:sz w:val="22"/>
          <w:lang w:eastAsia="es-MX"/>
        </w:rPr>
        <w:t>e</w:t>
      </w:r>
      <w:r w:rsidRPr="0004701A">
        <w:rPr>
          <w:rFonts w:eastAsia="Times New Roman" w:cs="Calibri"/>
          <w:color w:val="000000"/>
          <w:sz w:val="22"/>
          <w:lang w:eastAsia="es-MX"/>
        </w:rPr>
        <w:t xml:space="preserve"> mecanismos para la prevención, reducción o eliminación de los impactos ambientales causados por la producción o el consumo insostenible de alimentos. Además, cada actor debe garantizar lo siguiente:</w:t>
      </w:r>
    </w:p>
    <w:p w:rsidR="00D4628C" w:rsidRPr="0004701A" w:rsidRDefault="00DA0DD4" w:rsidP="00820DB2">
      <w:pPr>
        <w:pStyle w:val="ListParagraph"/>
        <w:numPr>
          <w:ilvl w:val="1"/>
          <w:numId w:val="1"/>
        </w:numPr>
        <w:shd w:val="clear" w:color="auto" w:fill="FFFFFF"/>
        <w:spacing w:before="120" w:after="120" w:line="240" w:lineRule="auto"/>
        <w:ind w:left="426"/>
        <w:jc w:val="both"/>
        <w:rPr>
          <w:rFonts w:eastAsia="Times New Roman" w:cs="Calibri"/>
          <w:b/>
          <w:color w:val="000000"/>
          <w:sz w:val="22"/>
          <w:lang w:eastAsia="es-MX"/>
        </w:rPr>
      </w:pPr>
      <w:r w:rsidRPr="0004701A">
        <w:rPr>
          <w:rFonts w:eastAsia="Times New Roman" w:cs="Calibri"/>
          <w:b/>
          <w:color w:val="000000"/>
          <w:sz w:val="22"/>
          <w:lang w:eastAsia="es-MX"/>
        </w:rPr>
        <w:t xml:space="preserve">Obligaciones estatales. </w:t>
      </w:r>
      <w:r w:rsidR="00DC0F8B" w:rsidRPr="0004701A">
        <w:rPr>
          <w:rFonts w:eastAsia="Times New Roman" w:cs="Calibri"/>
          <w:color w:val="000000"/>
          <w:sz w:val="22"/>
          <w:lang w:eastAsia="es-MX"/>
        </w:rPr>
        <w:t>A</w:t>
      </w:r>
      <w:r w:rsidRPr="0004701A">
        <w:rPr>
          <w:rFonts w:eastAsia="Times New Roman" w:cs="Calibri"/>
          <w:color w:val="000000"/>
          <w:sz w:val="22"/>
          <w:lang w:eastAsia="es-MX"/>
        </w:rPr>
        <w:t>plicar el principio precautorio, proteger los derechos de los pu</w:t>
      </w:r>
      <w:r w:rsidR="00DC0F8B" w:rsidRPr="0004701A">
        <w:rPr>
          <w:rFonts w:eastAsia="Times New Roman" w:cs="Calibri"/>
          <w:color w:val="000000"/>
          <w:sz w:val="22"/>
          <w:lang w:eastAsia="es-MX"/>
        </w:rPr>
        <w:t>eblos indígenas y equiparables</w:t>
      </w:r>
      <w:r w:rsidRPr="0004701A">
        <w:rPr>
          <w:rFonts w:eastAsia="Times New Roman" w:cs="Calibri"/>
          <w:color w:val="000000"/>
          <w:sz w:val="22"/>
          <w:lang w:eastAsia="es-MX"/>
        </w:rPr>
        <w:t>, respetar el conocimiento agrícola tradicional de los campesinos y pueblos indígenas (incluyendo las semillas),</w:t>
      </w:r>
      <w:r w:rsidR="008B0820" w:rsidRPr="0004701A">
        <w:rPr>
          <w:rFonts w:eastAsia="Times New Roman" w:cs="Calibri"/>
          <w:color w:val="000000"/>
          <w:sz w:val="22"/>
          <w:lang w:eastAsia="es-MX"/>
        </w:rPr>
        <w:t xml:space="preserve"> </w:t>
      </w:r>
      <w:r w:rsidRPr="0004701A">
        <w:rPr>
          <w:rFonts w:eastAsia="Times New Roman" w:cs="Calibri"/>
          <w:color w:val="000000"/>
          <w:sz w:val="22"/>
          <w:lang w:eastAsia="es-MX"/>
        </w:rPr>
        <w:t>regular y vigilar la inocuidad y calidad nutricional de los alimentos.</w:t>
      </w:r>
      <w:r w:rsidR="005C4147" w:rsidRPr="0004701A">
        <w:rPr>
          <w:rStyle w:val="FootnoteReference"/>
          <w:rFonts w:eastAsia="Times New Roman" w:cs="Calibri"/>
          <w:color w:val="000000"/>
          <w:sz w:val="22"/>
          <w:lang w:eastAsia="es-MX"/>
        </w:rPr>
        <w:footnoteReference w:id="19"/>
      </w:r>
    </w:p>
    <w:p w:rsidR="00D4628C" w:rsidRPr="0004701A" w:rsidRDefault="00DA0DD4" w:rsidP="00820DB2">
      <w:pPr>
        <w:pStyle w:val="ListParagraph"/>
        <w:numPr>
          <w:ilvl w:val="1"/>
          <w:numId w:val="1"/>
        </w:numPr>
        <w:shd w:val="clear" w:color="auto" w:fill="FFFFFF"/>
        <w:spacing w:before="120" w:after="120" w:line="240" w:lineRule="auto"/>
        <w:ind w:left="426"/>
        <w:jc w:val="both"/>
        <w:rPr>
          <w:rFonts w:eastAsia="Times New Roman" w:cs="Calibri"/>
          <w:b/>
          <w:color w:val="000000"/>
          <w:sz w:val="22"/>
          <w:lang w:eastAsia="es-MX"/>
        </w:rPr>
      </w:pPr>
      <w:r w:rsidRPr="0004701A">
        <w:rPr>
          <w:rFonts w:eastAsia="Times New Roman" w:cs="Calibri"/>
          <w:b/>
          <w:color w:val="000000"/>
          <w:sz w:val="22"/>
          <w:lang w:eastAsia="es-MX"/>
        </w:rPr>
        <w:t xml:space="preserve">Responsabilidades de las empresas. </w:t>
      </w:r>
      <w:r w:rsidRPr="0004701A">
        <w:rPr>
          <w:rFonts w:eastAsia="Times New Roman" w:cs="Calibri"/>
          <w:color w:val="000000"/>
          <w:sz w:val="22"/>
          <w:lang w:eastAsia="es-MX"/>
        </w:rPr>
        <w:t>Respetar los derechos humanos</w:t>
      </w:r>
      <w:r w:rsidR="009F6661" w:rsidRPr="0004701A">
        <w:rPr>
          <w:rFonts w:eastAsia="Times New Roman" w:cs="Calibri"/>
          <w:color w:val="000000"/>
          <w:sz w:val="22"/>
          <w:lang w:eastAsia="es-MX"/>
        </w:rPr>
        <w:t xml:space="preserve">, </w:t>
      </w:r>
      <w:r w:rsidR="00D4628C" w:rsidRPr="0004701A">
        <w:rPr>
          <w:rFonts w:eastAsia="Times New Roman" w:cs="Calibri"/>
          <w:color w:val="000000"/>
          <w:sz w:val="22"/>
          <w:lang w:eastAsia="es-MX"/>
        </w:rPr>
        <w:t>c</w:t>
      </w:r>
      <w:r w:rsidRPr="0004701A">
        <w:rPr>
          <w:rFonts w:eastAsia="Times New Roman" w:cs="Calibri"/>
          <w:color w:val="000000"/>
          <w:sz w:val="22"/>
          <w:lang w:eastAsia="es-MX"/>
        </w:rPr>
        <w:t>umplir con la regul</w:t>
      </w:r>
      <w:r w:rsidR="00D4628C" w:rsidRPr="0004701A">
        <w:rPr>
          <w:rFonts w:eastAsia="Times New Roman" w:cs="Calibri"/>
          <w:color w:val="000000"/>
          <w:sz w:val="22"/>
          <w:lang w:eastAsia="es-MX"/>
        </w:rPr>
        <w:t>ación establecida por el Estado,</w:t>
      </w:r>
      <w:r w:rsidR="003F7996" w:rsidRPr="0004701A">
        <w:rPr>
          <w:rStyle w:val="FootnoteReference"/>
          <w:rFonts w:eastAsia="Times New Roman" w:cs="Calibri"/>
          <w:color w:val="000000"/>
          <w:sz w:val="22"/>
          <w:lang w:eastAsia="es-MX"/>
        </w:rPr>
        <w:footnoteReference w:id="20"/>
      </w:r>
      <w:r w:rsidR="00D4628C" w:rsidRPr="0004701A">
        <w:rPr>
          <w:rFonts w:eastAsia="Times New Roman" w:cs="Calibri"/>
          <w:color w:val="000000"/>
          <w:sz w:val="22"/>
          <w:lang w:eastAsia="es-MX"/>
        </w:rPr>
        <w:t xml:space="preserve"> a</w:t>
      </w:r>
      <w:r w:rsidRPr="0004701A">
        <w:rPr>
          <w:rFonts w:eastAsia="Times New Roman" w:cs="Calibri"/>
          <w:color w:val="000000"/>
          <w:sz w:val="22"/>
          <w:lang w:eastAsia="es-MX"/>
        </w:rPr>
        <w:t>plicar la debida di</w:t>
      </w:r>
      <w:r w:rsidR="00D4628C" w:rsidRPr="0004701A">
        <w:rPr>
          <w:rFonts w:eastAsia="Times New Roman" w:cs="Calibri"/>
          <w:color w:val="000000"/>
          <w:sz w:val="22"/>
          <w:lang w:eastAsia="es-MX"/>
        </w:rPr>
        <w:t>ligencia en sus actividades, así como prevenir y mitigar las</w:t>
      </w:r>
      <w:r w:rsidRPr="0004701A">
        <w:rPr>
          <w:rFonts w:eastAsia="Times New Roman" w:cs="Calibri"/>
          <w:color w:val="000000"/>
          <w:sz w:val="22"/>
          <w:lang w:eastAsia="es-MX"/>
        </w:rPr>
        <w:t xml:space="preserve"> consecuencias negativas de sus actividades.</w:t>
      </w:r>
      <w:r w:rsidR="005C4147" w:rsidRPr="0004701A">
        <w:rPr>
          <w:rStyle w:val="FootnoteReference"/>
          <w:rFonts w:eastAsia="Times New Roman" w:cs="Calibri"/>
          <w:color w:val="000000"/>
          <w:sz w:val="22"/>
          <w:lang w:eastAsia="es-MX"/>
        </w:rPr>
        <w:footnoteReference w:id="21"/>
      </w:r>
    </w:p>
    <w:p w:rsidR="00DA0DD4" w:rsidRPr="0004701A" w:rsidRDefault="00DA0DD4" w:rsidP="00820DB2">
      <w:pPr>
        <w:pStyle w:val="ListParagraph"/>
        <w:numPr>
          <w:ilvl w:val="1"/>
          <w:numId w:val="1"/>
        </w:numPr>
        <w:shd w:val="clear" w:color="auto" w:fill="FFFFFF"/>
        <w:spacing w:before="120" w:after="120" w:line="240" w:lineRule="auto"/>
        <w:ind w:left="426"/>
        <w:jc w:val="both"/>
        <w:rPr>
          <w:rFonts w:eastAsia="Times New Roman" w:cs="Calibri"/>
          <w:b/>
          <w:color w:val="000000"/>
          <w:sz w:val="22"/>
          <w:lang w:eastAsia="es-MX"/>
        </w:rPr>
      </w:pPr>
      <w:r w:rsidRPr="0004701A">
        <w:rPr>
          <w:rFonts w:eastAsia="Times New Roman" w:cs="Calibri"/>
          <w:b/>
          <w:color w:val="000000"/>
          <w:sz w:val="22"/>
          <w:lang w:eastAsia="es-MX"/>
        </w:rPr>
        <w:t>¿Cómo transitar a un modelo de sistema alimentario sostenible?</w:t>
      </w:r>
      <w:r w:rsidR="00D4628C" w:rsidRPr="0004701A">
        <w:rPr>
          <w:rFonts w:eastAsia="Times New Roman" w:cs="Calibri"/>
          <w:b/>
          <w:color w:val="000000"/>
          <w:sz w:val="22"/>
          <w:lang w:eastAsia="es-MX"/>
        </w:rPr>
        <w:t xml:space="preserve"> </w:t>
      </w:r>
      <w:r w:rsidR="00D4628C" w:rsidRPr="0004701A">
        <w:rPr>
          <w:rFonts w:eastAsia="Times New Roman" w:cs="Calibri"/>
          <w:color w:val="000000"/>
          <w:sz w:val="22"/>
          <w:lang w:eastAsia="es-MX"/>
        </w:rPr>
        <w:t>Mediante la a</w:t>
      </w:r>
      <w:r w:rsidRPr="0004701A">
        <w:rPr>
          <w:rFonts w:eastAsia="Times New Roman" w:cs="Calibri"/>
          <w:color w:val="000000"/>
          <w:sz w:val="22"/>
          <w:lang w:eastAsia="es-MX"/>
        </w:rPr>
        <w:t>dopc</w:t>
      </w:r>
      <w:r w:rsidR="00D4628C" w:rsidRPr="0004701A">
        <w:rPr>
          <w:rFonts w:eastAsia="Times New Roman" w:cs="Calibri"/>
          <w:color w:val="000000"/>
          <w:sz w:val="22"/>
          <w:lang w:eastAsia="es-MX"/>
        </w:rPr>
        <w:t>ión de prácticas agroecológicas,</w:t>
      </w:r>
      <w:r w:rsidR="009F6661" w:rsidRPr="0004701A">
        <w:rPr>
          <w:rFonts w:eastAsia="Times New Roman" w:cs="Calibri"/>
          <w:color w:val="000000"/>
          <w:sz w:val="22"/>
          <w:lang w:eastAsia="es-MX"/>
        </w:rPr>
        <w:t xml:space="preserve"> el rescate de los conocimientos agrícolas tradicionales</w:t>
      </w:r>
      <w:r w:rsidR="009F6661" w:rsidRPr="0004701A">
        <w:rPr>
          <w:rStyle w:val="FootnoteReference"/>
          <w:rFonts w:eastAsia="Times New Roman" w:cs="Calibri"/>
          <w:color w:val="000000"/>
          <w:sz w:val="22"/>
          <w:lang w:eastAsia="es-MX"/>
        </w:rPr>
        <w:footnoteReference w:id="22"/>
      </w:r>
      <w:r w:rsidR="009F6661" w:rsidRPr="0004701A">
        <w:rPr>
          <w:rFonts w:eastAsia="Times New Roman" w:cs="Calibri"/>
          <w:color w:val="000000"/>
          <w:sz w:val="22"/>
          <w:lang w:eastAsia="es-MX"/>
        </w:rPr>
        <w:t xml:space="preserve">, evitar desperdiciar alimentos  y con </w:t>
      </w:r>
      <w:r w:rsidR="00D4628C" w:rsidRPr="0004701A">
        <w:rPr>
          <w:rFonts w:eastAsia="Times New Roman" w:cs="Calibri"/>
          <w:color w:val="000000"/>
          <w:sz w:val="22"/>
          <w:lang w:eastAsia="es-MX"/>
        </w:rPr>
        <w:t>la reducción del consumo de alimentos de origen animal y ultraprocesados</w:t>
      </w:r>
      <w:r w:rsidR="00A12026" w:rsidRPr="0004701A">
        <w:rPr>
          <w:rFonts w:eastAsia="Times New Roman" w:cs="Calibri"/>
          <w:color w:val="000000"/>
          <w:sz w:val="22"/>
          <w:lang w:eastAsia="es-MX"/>
        </w:rPr>
        <w:t>.</w:t>
      </w:r>
      <w:r w:rsidR="009F6661" w:rsidRPr="0004701A">
        <w:rPr>
          <w:rStyle w:val="FootnoteReference"/>
          <w:rFonts w:eastAsia="Times New Roman" w:cs="Calibri"/>
          <w:color w:val="000000"/>
          <w:sz w:val="22"/>
          <w:lang w:eastAsia="es-MX"/>
        </w:rPr>
        <w:footnoteReference w:id="23"/>
      </w:r>
    </w:p>
    <w:p w:rsidR="006112A9" w:rsidRPr="0004701A" w:rsidRDefault="006112A9" w:rsidP="006F5FF2">
      <w:pPr>
        <w:shd w:val="clear" w:color="auto" w:fill="FFFFFF"/>
        <w:spacing w:before="120" w:after="120" w:line="240" w:lineRule="auto"/>
        <w:jc w:val="both"/>
        <w:rPr>
          <w:rFonts w:eastAsia="Times New Roman" w:cs="Calibri"/>
          <w:color w:val="000000"/>
          <w:sz w:val="22"/>
          <w:lang w:eastAsia="es-MX"/>
        </w:rPr>
      </w:pPr>
      <w:r w:rsidRPr="0004701A">
        <w:rPr>
          <w:rFonts w:eastAsia="Times New Roman" w:cs="Calibri"/>
          <w:color w:val="000000"/>
          <w:sz w:val="22"/>
          <w:lang w:eastAsia="es-MX"/>
        </w:rPr>
        <w:t xml:space="preserve">Es fundamental señalar que, en México, las acciones jurídicas </w:t>
      </w:r>
      <w:r w:rsidR="006F5FF2" w:rsidRPr="0004701A">
        <w:rPr>
          <w:rFonts w:eastAsia="Times New Roman" w:cs="Calibri"/>
          <w:color w:val="000000"/>
          <w:sz w:val="22"/>
          <w:lang w:eastAsia="es-MX"/>
        </w:rPr>
        <w:t>para denunciar y reparar las violaciones al</w:t>
      </w:r>
      <w:r w:rsidRPr="0004701A">
        <w:rPr>
          <w:rFonts w:eastAsia="Times New Roman" w:cs="Calibri"/>
          <w:color w:val="000000"/>
          <w:sz w:val="22"/>
          <w:lang w:eastAsia="es-MX"/>
        </w:rPr>
        <w:t xml:space="preserve"> medio ambiente y los sistemas alimentarios son limitadas</w:t>
      </w:r>
      <w:r w:rsidR="00874605" w:rsidRPr="0004701A">
        <w:rPr>
          <w:rFonts w:eastAsia="Times New Roman" w:cs="Calibri"/>
          <w:color w:val="000000"/>
          <w:sz w:val="22"/>
          <w:lang w:eastAsia="es-MX"/>
        </w:rPr>
        <w:t xml:space="preserve"> e ineficientes</w:t>
      </w:r>
      <w:r w:rsidRPr="0004701A">
        <w:rPr>
          <w:rFonts w:eastAsia="Times New Roman" w:cs="Calibri"/>
          <w:color w:val="000000"/>
          <w:sz w:val="22"/>
          <w:lang w:eastAsia="es-MX"/>
        </w:rPr>
        <w:t xml:space="preserve">. Por un lado, el juicio de amparo es costoso, no accesible para la población, </w:t>
      </w:r>
      <w:r w:rsidR="00A12026" w:rsidRPr="0004701A">
        <w:rPr>
          <w:rFonts w:eastAsia="Times New Roman" w:cs="Calibri"/>
          <w:color w:val="000000"/>
          <w:sz w:val="22"/>
          <w:lang w:eastAsia="es-MX"/>
        </w:rPr>
        <w:t xml:space="preserve">limitado en su protección </w:t>
      </w:r>
      <w:r w:rsidR="00F83466" w:rsidRPr="0004701A">
        <w:rPr>
          <w:rFonts w:eastAsia="Times New Roman" w:cs="Calibri"/>
          <w:color w:val="000000"/>
          <w:sz w:val="22"/>
          <w:lang w:eastAsia="es-MX"/>
        </w:rPr>
        <w:t xml:space="preserve">y efectos, </w:t>
      </w:r>
      <w:r w:rsidR="00A12026" w:rsidRPr="0004701A">
        <w:rPr>
          <w:rFonts w:eastAsia="Times New Roman" w:cs="Calibri"/>
          <w:color w:val="000000"/>
          <w:sz w:val="22"/>
          <w:lang w:eastAsia="es-MX"/>
        </w:rPr>
        <w:t>y con largo</w:t>
      </w:r>
      <w:r w:rsidR="006F5FF2" w:rsidRPr="0004701A">
        <w:rPr>
          <w:rFonts w:eastAsia="Times New Roman" w:cs="Calibri"/>
          <w:color w:val="000000"/>
          <w:sz w:val="22"/>
          <w:lang w:eastAsia="es-MX"/>
        </w:rPr>
        <w:t>s plazos de resolución. En el caso de violaciones cometidas por empresas, no existe</w:t>
      </w:r>
      <w:r w:rsidR="00A12026" w:rsidRPr="0004701A">
        <w:rPr>
          <w:rFonts w:eastAsia="Times New Roman" w:cs="Calibri"/>
          <w:color w:val="000000"/>
          <w:sz w:val="22"/>
          <w:lang w:eastAsia="es-MX"/>
        </w:rPr>
        <w:t>n</w:t>
      </w:r>
      <w:r w:rsidR="006F5FF2" w:rsidRPr="0004701A">
        <w:rPr>
          <w:rFonts w:eastAsia="Times New Roman" w:cs="Calibri"/>
          <w:color w:val="000000"/>
          <w:sz w:val="22"/>
          <w:lang w:eastAsia="es-MX"/>
        </w:rPr>
        <w:t xml:space="preserve"> mecanismos efectivos para la reparación de daños directa, todo se limita a denuncias administrativas; las acciones colectivas son complejas y poco eficientes. </w:t>
      </w:r>
    </w:p>
    <w:p w:rsidR="00D4628C" w:rsidRPr="0004701A" w:rsidRDefault="00D4628C" w:rsidP="00820DB2">
      <w:pPr>
        <w:pStyle w:val="ListParagraph"/>
        <w:shd w:val="clear" w:color="auto" w:fill="FFFFFF"/>
        <w:spacing w:before="120" w:after="120" w:line="240" w:lineRule="auto"/>
        <w:ind w:left="1070"/>
        <w:jc w:val="both"/>
        <w:rPr>
          <w:rFonts w:eastAsia="Times New Roman" w:cs="Calibri"/>
          <w:b/>
          <w:color w:val="000000"/>
          <w:sz w:val="22"/>
          <w:lang w:eastAsia="es-MX"/>
        </w:rPr>
      </w:pPr>
    </w:p>
    <w:p w:rsidR="009D2EE5" w:rsidRPr="0004701A" w:rsidRDefault="001D67A7" w:rsidP="00820DB2">
      <w:pPr>
        <w:pStyle w:val="ListParagraph"/>
        <w:numPr>
          <w:ilvl w:val="0"/>
          <w:numId w:val="1"/>
        </w:numPr>
        <w:shd w:val="clear" w:color="auto" w:fill="FFFFFF"/>
        <w:spacing w:before="120" w:after="120" w:line="240" w:lineRule="auto"/>
        <w:jc w:val="both"/>
        <w:rPr>
          <w:rFonts w:eastAsia="Times New Roman" w:cs="Calibri"/>
          <w:i/>
          <w:color w:val="000000"/>
          <w:sz w:val="22"/>
          <w:lang w:eastAsia="es-MX"/>
        </w:rPr>
      </w:pPr>
      <w:r w:rsidRPr="0004701A">
        <w:rPr>
          <w:rFonts w:eastAsia="Times New Roman" w:cs="Calibri"/>
          <w:i/>
          <w:color w:val="000000"/>
          <w:sz w:val="22"/>
          <w:lang w:eastAsia="es-MX"/>
        </w:rPr>
        <w:t>Por favor, facilite ejemplos concretos de disposiciones constitucionales, legislación, instituciones, reglamentos, normas, jurisprudencia, políticas y programas que apliquen un enfoque </w:t>
      </w:r>
      <w:r w:rsidRPr="0004701A">
        <w:rPr>
          <w:rFonts w:eastAsia="Times New Roman" w:cs="Calibri"/>
          <w:bCs/>
          <w:i/>
          <w:color w:val="000000"/>
          <w:sz w:val="22"/>
          <w:lang w:eastAsia="es-MX"/>
        </w:rPr>
        <w:t>basado en los derechos</w:t>
      </w:r>
      <w:r w:rsidRPr="0004701A">
        <w:rPr>
          <w:rFonts w:eastAsia="Times New Roman" w:cs="Calibri"/>
          <w:i/>
          <w:color w:val="000000"/>
          <w:sz w:val="22"/>
          <w:lang w:eastAsia="es-MX"/>
        </w:rPr>
        <w:t> para garantizar alimentos sanos y producidos de forma sostenible. Por favor, incluya, entre otros, cualquier instrumento que se refiera directamente al derecho a un medio ambiente sano.</w:t>
      </w:r>
    </w:p>
    <w:p w:rsidR="008C21ED" w:rsidRPr="0004701A" w:rsidRDefault="00874605" w:rsidP="00820DB2">
      <w:pPr>
        <w:shd w:val="clear" w:color="auto" w:fill="FFFFFF"/>
        <w:spacing w:before="120" w:after="120" w:line="240" w:lineRule="auto"/>
        <w:jc w:val="both"/>
        <w:rPr>
          <w:rFonts w:eastAsia="Times New Roman" w:cs="Calibri"/>
          <w:color w:val="000000"/>
          <w:sz w:val="22"/>
          <w:lang w:eastAsia="es-MX"/>
        </w:rPr>
      </w:pPr>
      <w:r w:rsidRPr="0004701A">
        <w:rPr>
          <w:rFonts w:eastAsia="Times New Roman" w:cs="Calibri"/>
          <w:color w:val="000000"/>
          <w:sz w:val="22"/>
          <w:lang w:eastAsia="es-MX"/>
        </w:rPr>
        <w:t xml:space="preserve">El artículo 4° </w:t>
      </w:r>
      <w:r w:rsidR="00BC1DBE" w:rsidRPr="0004701A">
        <w:rPr>
          <w:rFonts w:eastAsia="Times New Roman" w:cs="Calibri"/>
          <w:color w:val="000000"/>
          <w:sz w:val="22"/>
          <w:lang w:eastAsia="es-MX"/>
        </w:rPr>
        <w:t>de la Constitución reconoce los derechos al medio am</w:t>
      </w:r>
      <w:r w:rsidR="00614EC5" w:rsidRPr="0004701A">
        <w:rPr>
          <w:rFonts w:eastAsia="Times New Roman" w:cs="Calibri"/>
          <w:color w:val="000000"/>
          <w:sz w:val="22"/>
          <w:lang w:eastAsia="es-MX"/>
        </w:rPr>
        <w:t>biente sano y a la alimentación</w:t>
      </w:r>
      <w:r w:rsidR="00BC1DBE" w:rsidRPr="0004701A">
        <w:rPr>
          <w:rFonts w:eastAsia="Times New Roman" w:cs="Calibri"/>
          <w:color w:val="000000"/>
          <w:sz w:val="22"/>
          <w:lang w:eastAsia="es-MX"/>
        </w:rPr>
        <w:t xml:space="preserve">. Además, refuerza la obligación establecida en </w:t>
      </w:r>
      <w:r w:rsidR="00733684" w:rsidRPr="0004701A">
        <w:rPr>
          <w:rFonts w:eastAsia="Times New Roman" w:cs="Calibri"/>
          <w:color w:val="000000"/>
          <w:sz w:val="22"/>
          <w:lang w:eastAsia="es-MX"/>
        </w:rPr>
        <w:t>el</w:t>
      </w:r>
      <w:r w:rsidR="00BC1DBE" w:rsidRPr="0004701A">
        <w:rPr>
          <w:rFonts w:eastAsia="Times New Roman" w:cs="Calibri"/>
          <w:color w:val="000000"/>
          <w:sz w:val="22"/>
          <w:lang w:eastAsia="es-MX"/>
        </w:rPr>
        <w:t xml:space="preserve"> artículo primero y </w:t>
      </w:r>
      <w:r w:rsidR="00251EF9" w:rsidRPr="0004701A">
        <w:rPr>
          <w:rFonts w:eastAsia="Times New Roman" w:cs="Calibri"/>
          <w:color w:val="000000"/>
          <w:sz w:val="22"/>
          <w:lang w:eastAsia="es-MX"/>
        </w:rPr>
        <w:t xml:space="preserve">ordena </w:t>
      </w:r>
      <w:r w:rsidR="00BC1DBE" w:rsidRPr="0004701A">
        <w:rPr>
          <w:rFonts w:eastAsia="Times New Roman" w:cs="Calibri"/>
          <w:color w:val="000000"/>
          <w:sz w:val="22"/>
          <w:lang w:eastAsia="es-MX"/>
        </w:rPr>
        <w:t>que el Estado los garanti</w:t>
      </w:r>
      <w:r w:rsidR="00251EF9" w:rsidRPr="0004701A">
        <w:rPr>
          <w:rFonts w:eastAsia="Times New Roman" w:cs="Calibri"/>
          <w:color w:val="000000"/>
          <w:sz w:val="22"/>
          <w:lang w:eastAsia="es-MX"/>
        </w:rPr>
        <w:t>ce</w:t>
      </w:r>
      <w:r w:rsidR="00BC1DBE" w:rsidRPr="0004701A">
        <w:rPr>
          <w:rFonts w:eastAsia="Times New Roman" w:cs="Calibri"/>
          <w:color w:val="000000"/>
          <w:sz w:val="22"/>
          <w:lang w:eastAsia="es-MX"/>
        </w:rPr>
        <w:t xml:space="preserve">. </w:t>
      </w:r>
      <w:r w:rsidR="009D318E" w:rsidRPr="0004701A">
        <w:rPr>
          <w:rFonts w:eastAsia="Times New Roman" w:cs="Calibri"/>
          <w:color w:val="000000"/>
          <w:sz w:val="22"/>
          <w:lang w:eastAsia="es-MX"/>
        </w:rPr>
        <w:t xml:space="preserve"> La legislación relacionada con el ambiente</w:t>
      </w:r>
      <w:r w:rsidR="00EF72C2" w:rsidRPr="0004701A">
        <w:rPr>
          <w:rFonts w:eastAsia="Times New Roman" w:cs="Calibri"/>
          <w:color w:val="000000"/>
          <w:sz w:val="22"/>
          <w:lang w:eastAsia="es-MX"/>
        </w:rPr>
        <w:t xml:space="preserve"> y  la sanidad de los alimentos</w:t>
      </w:r>
      <w:r w:rsidR="009D318E" w:rsidRPr="0004701A">
        <w:rPr>
          <w:rStyle w:val="FootnoteReference"/>
          <w:rFonts w:eastAsia="Times New Roman" w:cs="Calibri"/>
          <w:color w:val="000000"/>
          <w:sz w:val="22"/>
          <w:lang w:eastAsia="es-MX"/>
        </w:rPr>
        <w:footnoteReference w:id="24"/>
      </w:r>
      <w:r w:rsidR="009D318E" w:rsidRPr="0004701A">
        <w:rPr>
          <w:rFonts w:eastAsia="Times New Roman" w:cs="Calibri"/>
          <w:color w:val="000000"/>
          <w:sz w:val="22"/>
          <w:lang w:eastAsia="es-MX"/>
        </w:rPr>
        <w:t xml:space="preserve"> es</w:t>
      </w:r>
      <w:r w:rsidR="00EF72C2" w:rsidRPr="0004701A">
        <w:rPr>
          <w:rFonts w:eastAsia="Times New Roman" w:cs="Calibri"/>
          <w:color w:val="000000"/>
          <w:sz w:val="22"/>
          <w:lang w:eastAsia="es-MX"/>
        </w:rPr>
        <w:t xml:space="preserve"> aceptable</w:t>
      </w:r>
      <w:r w:rsidR="009D318E" w:rsidRPr="0004701A">
        <w:rPr>
          <w:rFonts w:eastAsia="Times New Roman" w:cs="Calibri"/>
          <w:color w:val="000000"/>
          <w:sz w:val="22"/>
          <w:lang w:eastAsia="es-MX"/>
        </w:rPr>
        <w:t xml:space="preserve">, sin embargo, </w:t>
      </w:r>
      <w:r w:rsidR="008C21ED" w:rsidRPr="0004701A">
        <w:rPr>
          <w:rFonts w:eastAsia="Times New Roman" w:cs="Calibri"/>
          <w:color w:val="000000"/>
          <w:sz w:val="22"/>
          <w:lang w:eastAsia="es-MX"/>
        </w:rPr>
        <w:t xml:space="preserve">es insuficiente por no tratar el tema directamente y, además </w:t>
      </w:r>
      <w:r w:rsidR="009D318E" w:rsidRPr="0004701A">
        <w:rPr>
          <w:rFonts w:eastAsia="Times New Roman" w:cs="Calibri"/>
          <w:color w:val="000000"/>
          <w:sz w:val="22"/>
          <w:lang w:eastAsia="es-MX"/>
        </w:rPr>
        <w:t>se incumple</w:t>
      </w:r>
      <w:r w:rsidR="00EF72C2" w:rsidRPr="0004701A">
        <w:rPr>
          <w:rFonts w:eastAsia="Times New Roman" w:cs="Calibri"/>
          <w:color w:val="000000"/>
          <w:sz w:val="22"/>
          <w:lang w:eastAsia="es-MX"/>
        </w:rPr>
        <w:t xml:space="preserve">. </w:t>
      </w:r>
      <w:r w:rsidR="008C21ED" w:rsidRPr="0004701A">
        <w:rPr>
          <w:rFonts w:eastAsia="Times New Roman" w:cs="Calibri"/>
          <w:color w:val="000000"/>
          <w:sz w:val="22"/>
          <w:lang w:eastAsia="es-MX"/>
        </w:rPr>
        <w:t>Ejemplo de esto son las leyes generales en materia de salud,</w:t>
      </w:r>
      <w:r w:rsidR="008C21ED" w:rsidRPr="0004701A">
        <w:rPr>
          <w:rStyle w:val="FootnoteReference"/>
          <w:rFonts w:eastAsia="Times New Roman" w:cs="Calibri"/>
          <w:color w:val="000000"/>
          <w:sz w:val="22"/>
          <w:lang w:eastAsia="es-MX"/>
        </w:rPr>
        <w:footnoteReference w:id="25"/>
      </w:r>
      <w:r w:rsidR="008C21ED" w:rsidRPr="0004701A">
        <w:rPr>
          <w:rFonts w:eastAsia="Times New Roman" w:cs="Calibri"/>
          <w:color w:val="000000"/>
          <w:sz w:val="22"/>
          <w:lang w:eastAsia="es-MX"/>
        </w:rPr>
        <w:t xml:space="preserve"> de equilibrio y medio ambiente,</w:t>
      </w:r>
      <w:r w:rsidR="008C21ED" w:rsidRPr="0004701A">
        <w:rPr>
          <w:rStyle w:val="FootnoteReference"/>
          <w:rFonts w:eastAsia="Times New Roman" w:cs="Calibri"/>
          <w:color w:val="000000"/>
          <w:sz w:val="22"/>
          <w:lang w:eastAsia="es-MX"/>
        </w:rPr>
        <w:footnoteReference w:id="26"/>
      </w:r>
      <w:r w:rsidR="008C21ED" w:rsidRPr="0004701A">
        <w:rPr>
          <w:rFonts w:eastAsia="Times New Roman" w:cs="Calibri"/>
          <w:color w:val="000000"/>
          <w:sz w:val="22"/>
          <w:lang w:eastAsia="es-MX"/>
        </w:rPr>
        <w:t xml:space="preserve"> de cambio climático,</w:t>
      </w:r>
      <w:r w:rsidR="008C21ED" w:rsidRPr="0004701A">
        <w:rPr>
          <w:rStyle w:val="FootnoteReference"/>
          <w:rFonts w:eastAsia="Times New Roman" w:cs="Calibri"/>
          <w:color w:val="000000"/>
          <w:sz w:val="22"/>
          <w:lang w:eastAsia="es-MX"/>
        </w:rPr>
        <w:footnoteReference w:id="27"/>
      </w:r>
      <w:r w:rsidR="008C21ED" w:rsidRPr="0004701A">
        <w:rPr>
          <w:rFonts w:eastAsia="Times New Roman" w:cs="Calibri"/>
          <w:color w:val="000000"/>
          <w:sz w:val="22"/>
          <w:lang w:eastAsia="es-MX"/>
        </w:rPr>
        <w:t xml:space="preserve"> de producción </w:t>
      </w:r>
      <w:r w:rsidR="003459EE" w:rsidRPr="0004701A">
        <w:rPr>
          <w:rFonts w:eastAsia="Times New Roman" w:cs="Calibri"/>
          <w:color w:val="000000"/>
          <w:sz w:val="22"/>
          <w:lang w:eastAsia="es-MX"/>
        </w:rPr>
        <w:t>y comercialización de semillas y protección de cultivos de maíz,</w:t>
      </w:r>
      <w:r w:rsidR="003459EE" w:rsidRPr="0004701A">
        <w:rPr>
          <w:rStyle w:val="FootnoteReference"/>
          <w:rFonts w:eastAsia="Times New Roman" w:cs="Calibri"/>
          <w:color w:val="000000"/>
          <w:sz w:val="22"/>
          <w:lang w:eastAsia="es-MX"/>
        </w:rPr>
        <w:footnoteReference w:id="28"/>
      </w:r>
      <w:r w:rsidR="003459EE" w:rsidRPr="0004701A">
        <w:rPr>
          <w:rFonts w:eastAsia="Times New Roman" w:cs="Calibri"/>
          <w:color w:val="000000"/>
          <w:sz w:val="22"/>
          <w:vertAlign w:val="superscript"/>
          <w:lang w:eastAsia="es-MX"/>
        </w:rPr>
        <w:t xml:space="preserve">, </w:t>
      </w:r>
      <w:r w:rsidR="003459EE" w:rsidRPr="0004701A">
        <w:rPr>
          <w:rStyle w:val="FootnoteReference"/>
          <w:rFonts w:eastAsia="Times New Roman" w:cs="Calibri"/>
          <w:color w:val="000000"/>
          <w:sz w:val="22"/>
          <w:lang w:eastAsia="es-MX"/>
        </w:rPr>
        <w:footnoteReference w:id="29"/>
      </w:r>
      <w:r w:rsidR="000A5AAF" w:rsidRPr="0004701A">
        <w:rPr>
          <w:rFonts w:eastAsia="Times New Roman" w:cs="Calibri"/>
          <w:color w:val="000000"/>
          <w:sz w:val="22"/>
          <w:lang w:eastAsia="es-MX"/>
        </w:rPr>
        <w:t xml:space="preserve"> de residuos peligrosos y sólidos,</w:t>
      </w:r>
      <w:r w:rsidR="000A5AAF" w:rsidRPr="0004701A">
        <w:rPr>
          <w:rStyle w:val="FootnoteReference"/>
          <w:rFonts w:eastAsia="Times New Roman" w:cs="Calibri"/>
          <w:color w:val="000000"/>
          <w:sz w:val="22"/>
          <w:lang w:eastAsia="es-MX"/>
        </w:rPr>
        <w:footnoteReference w:id="30"/>
      </w:r>
      <w:r w:rsidR="000A5AAF" w:rsidRPr="0004701A">
        <w:rPr>
          <w:rFonts w:eastAsia="Times New Roman" w:cs="Calibri"/>
          <w:color w:val="000000"/>
          <w:sz w:val="22"/>
          <w:lang w:eastAsia="es-MX"/>
        </w:rPr>
        <w:t xml:space="preserve"> </w:t>
      </w:r>
      <w:r w:rsidR="008C21ED" w:rsidRPr="0004701A">
        <w:rPr>
          <w:rFonts w:eastAsia="Times New Roman" w:cs="Calibri"/>
          <w:color w:val="000000"/>
          <w:sz w:val="22"/>
          <w:lang w:eastAsia="es-MX"/>
        </w:rPr>
        <w:t>o instrumentos reglamentarios/t</w:t>
      </w:r>
      <w:r w:rsidR="003459EE" w:rsidRPr="0004701A">
        <w:rPr>
          <w:rFonts w:eastAsia="Times New Roman" w:cs="Calibri"/>
          <w:color w:val="000000"/>
          <w:sz w:val="22"/>
          <w:lang w:eastAsia="es-MX"/>
        </w:rPr>
        <w:t>écnicos que regulan, por ejemplo, plaguicidas.</w:t>
      </w:r>
      <w:r w:rsidR="003459EE" w:rsidRPr="0004701A">
        <w:rPr>
          <w:rStyle w:val="FootnoteReference"/>
          <w:rFonts w:eastAsia="Times New Roman" w:cs="Calibri"/>
          <w:color w:val="000000"/>
          <w:sz w:val="22"/>
          <w:lang w:eastAsia="es-MX"/>
        </w:rPr>
        <w:footnoteReference w:id="31"/>
      </w:r>
      <w:r w:rsidR="003459EE" w:rsidRPr="0004701A">
        <w:rPr>
          <w:rFonts w:eastAsia="Times New Roman" w:cs="Calibri"/>
          <w:color w:val="000000"/>
          <w:sz w:val="22"/>
          <w:lang w:eastAsia="es-MX"/>
        </w:rPr>
        <w:t xml:space="preserve"> Sin embargo, temas como los monocultivos o los efectos al medio ambiente consecuentes de la producción y consumo de ultraprocesados no son todavía abordados por la legislación. Además, es preocupante la falta de voluntad política para la implementación de algunas de estas medidas. </w:t>
      </w:r>
    </w:p>
    <w:p w:rsidR="001D67A7" w:rsidRPr="0004701A" w:rsidRDefault="00EF72C2" w:rsidP="00820DB2">
      <w:pPr>
        <w:shd w:val="clear" w:color="auto" w:fill="FFFFFF"/>
        <w:spacing w:before="120" w:after="120" w:line="240" w:lineRule="auto"/>
        <w:jc w:val="both"/>
        <w:rPr>
          <w:rFonts w:eastAsia="Times New Roman" w:cs="Calibri"/>
          <w:color w:val="000000"/>
          <w:sz w:val="22"/>
          <w:lang w:eastAsia="es-MX"/>
        </w:rPr>
      </w:pPr>
      <w:r w:rsidRPr="0004701A">
        <w:rPr>
          <w:rFonts w:eastAsia="Times New Roman" w:cs="Calibri"/>
          <w:color w:val="000000"/>
          <w:sz w:val="22"/>
          <w:lang w:eastAsia="es-MX"/>
        </w:rPr>
        <w:t xml:space="preserve">Asimismo, hacen falta leyes sobre derecho al agua y a la alimentación para que el marco jurídico se complemente. </w:t>
      </w:r>
      <w:r w:rsidR="00BC1DBE" w:rsidRPr="0004701A">
        <w:rPr>
          <w:rFonts w:eastAsia="Times New Roman" w:cs="Calibri"/>
          <w:color w:val="000000"/>
          <w:sz w:val="22"/>
          <w:lang w:eastAsia="es-MX"/>
        </w:rPr>
        <w:t>Por otro lado, existe</w:t>
      </w:r>
      <w:r w:rsidR="00251EF9" w:rsidRPr="0004701A">
        <w:rPr>
          <w:rFonts w:eastAsia="Times New Roman" w:cs="Calibri"/>
          <w:color w:val="000000"/>
          <w:sz w:val="22"/>
          <w:lang w:eastAsia="es-MX"/>
        </w:rPr>
        <w:t>n</w:t>
      </w:r>
      <w:r w:rsidR="00BC1DBE" w:rsidRPr="0004701A">
        <w:rPr>
          <w:rFonts w:eastAsia="Times New Roman" w:cs="Calibri"/>
          <w:color w:val="000000"/>
          <w:sz w:val="22"/>
          <w:lang w:eastAsia="es-MX"/>
        </w:rPr>
        <w:t xml:space="preserve"> </w:t>
      </w:r>
      <w:r w:rsidR="00F032CB" w:rsidRPr="0004701A">
        <w:rPr>
          <w:rFonts w:eastAsia="Times New Roman" w:cs="Calibri"/>
          <w:color w:val="000000"/>
          <w:sz w:val="22"/>
          <w:lang w:eastAsia="es-MX"/>
        </w:rPr>
        <w:t xml:space="preserve">criterios judiciales </w:t>
      </w:r>
      <w:r w:rsidR="00BC1DBE" w:rsidRPr="0004701A">
        <w:rPr>
          <w:rFonts w:eastAsia="Times New Roman" w:cs="Calibri"/>
          <w:color w:val="000000"/>
          <w:sz w:val="22"/>
          <w:lang w:eastAsia="es-MX"/>
        </w:rPr>
        <w:t>que se refiere</w:t>
      </w:r>
      <w:r w:rsidR="00F032CB" w:rsidRPr="0004701A">
        <w:rPr>
          <w:rFonts w:eastAsia="Times New Roman" w:cs="Calibri"/>
          <w:color w:val="000000"/>
          <w:sz w:val="22"/>
          <w:lang w:eastAsia="es-MX"/>
        </w:rPr>
        <w:t>n</w:t>
      </w:r>
      <w:r w:rsidR="00BC1DBE" w:rsidRPr="0004701A">
        <w:rPr>
          <w:rFonts w:eastAsia="Times New Roman" w:cs="Calibri"/>
          <w:color w:val="000000"/>
          <w:sz w:val="22"/>
          <w:lang w:eastAsia="es-MX"/>
        </w:rPr>
        <w:t xml:space="preserve"> al medio ambiente, sin embargo, no proviene</w:t>
      </w:r>
      <w:r w:rsidR="00F032CB" w:rsidRPr="0004701A">
        <w:rPr>
          <w:rFonts w:eastAsia="Times New Roman" w:cs="Calibri"/>
          <w:color w:val="000000"/>
          <w:sz w:val="22"/>
          <w:lang w:eastAsia="es-MX"/>
        </w:rPr>
        <w:t>n</w:t>
      </w:r>
      <w:r w:rsidR="00BC1DBE" w:rsidRPr="0004701A">
        <w:rPr>
          <w:rFonts w:eastAsia="Times New Roman" w:cs="Calibri"/>
          <w:color w:val="000000"/>
          <w:sz w:val="22"/>
          <w:lang w:eastAsia="es-MX"/>
        </w:rPr>
        <w:t xml:space="preserve"> de casos relacionados con el sistema alimentario. Específicament</w:t>
      </w:r>
      <w:r w:rsidR="00F032CB" w:rsidRPr="0004701A">
        <w:rPr>
          <w:rFonts w:eastAsia="Times New Roman" w:cs="Calibri"/>
          <w:color w:val="000000"/>
          <w:sz w:val="22"/>
          <w:lang w:eastAsia="es-MX"/>
        </w:rPr>
        <w:t>e, se</w:t>
      </w:r>
      <w:r w:rsidR="00BC1DBE" w:rsidRPr="0004701A">
        <w:rPr>
          <w:rFonts w:eastAsia="Times New Roman" w:cs="Calibri"/>
          <w:color w:val="000000"/>
          <w:sz w:val="22"/>
          <w:lang w:eastAsia="es-MX"/>
        </w:rPr>
        <w:t xml:space="preserve"> refieren </w:t>
      </w:r>
      <w:r w:rsidR="00251EF9" w:rsidRPr="0004701A">
        <w:rPr>
          <w:rFonts w:eastAsia="Times New Roman" w:cs="Calibri"/>
          <w:color w:val="000000"/>
          <w:sz w:val="22"/>
          <w:lang w:eastAsia="es-MX"/>
        </w:rPr>
        <w:t>al contenido del derecho,</w:t>
      </w:r>
      <w:r w:rsidR="00251EF9" w:rsidRPr="0004701A">
        <w:rPr>
          <w:rStyle w:val="FootnoteReference"/>
          <w:rFonts w:eastAsia="Times New Roman" w:cs="Calibri"/>
          <w:color w:val="000000"/>
          <w:sz w:val="22"/>
          <w:lang w:eastAsia="es-MX"/>
        </w:rPr>
        <w:footnoteReference w:id="32"/>
      </w:r>
      <w:r w:rsidR="00251EF9" w:rsidRPr="0004701A">
        <w:rPr>
          <w:rFonts w:eastAsia="Times New Roman" w:cs="Calibri"/>
          <w:color w:val="000000"/>
          <w:sz w:val="22"/>
          <w:lang w:eastAsia="es-MX"/>
        </w:rPr>
        <w:t>sus dimensiones,</w:t>
      </w:r>
      <w:r w:rsidR="00251EF9" w:rsidRPr="0004701A">
        <w:rPr>
          <w:rStyle w:val="FootnoteReference"/>
          <w:rFonts w:eastAsia="Times New Roman" w:cs="Calibri"/>
          <w:color w:val="000000"/>
          <w:sz w:val="22"/>
          <w:lang w:eastAsia="es-MX"/>
        </w:rPr>
        <w:footnoteReference w:id="33"/>
      </w:r>
      <w:r w:rsidR="00251EF9" w:rsidRPr="0004701A">
        <w:rPr>
          <w:rFonts w:eastAsia="Times New Roman" w:cs="Calibri"/>
          <w:color w:val="000000"/>
          <w:sz w:val="22"/>
          <w:lang w:eastAsia="es-MX"/>
        </w:rPr>
        <w:t xml:space="preserve"> </w:t>
      </w:r>
      <w:r w:rsidR="00BC1DBE" w:rsidRPr="0004701A">
        <w:rPr>
          <w:rFonts w:eastAsia="Times New Roman" w:cs="Calibri"/>
          <w:color w:val="000000"/>
          <w:sz w:val="22"/>
          <w:lang w:eastAsia="es-MX"/>
        </w:rPr>
        <w:t>el principio precautorio</w:t>
      </w:r>
      <w:r w:rsidR="00F032CB" w:rsidRPr="0004701A">
        <w:rPr>
          <w:rStyle w:val="FootnoteReference"/>
          <w:rFonts w:eastAsia="Times New Roman" w:cs="Calibri"/>
          <w:color w:val="000000"/>
          <w:sz w:val="22"/>
          <w:lang w:eastAsia="es-MX"/>
        </w:rPr>
        <w:footnoteReference w:id="34"/>
      </w:r>
      <w:r w:rsidR="00BC1DBE" w:rsidRPr="0004701A">
        <w:rPr>
          <w:rFonts w:eastAsia="Times New Roman" w:cs="Calibri"/>
          <w:color w:val="000000"/>
          <w:sz w:val="22"/>
          <w:lang w:eastAsia="es-MX"/>
        </w:rPr>
        <w:t xml:space="preserve"> y los servicios ambientales.</w:t>
      </w:r>
      <w:r w:rsidR="00F032CB" w:rsidRPr="0004701A">
        <w:rPr>
          <w:rStyle w:val="FootnoteReference"/>
          <w:rFonts w:eastAsia="Times New Roman" w:cs="Calibri"/>
          <w:color w:val="000000"/>
          <w:sz w:val="22"/>
          <w:lang w:eastAsia="es-MX"/>
        </w:rPr>
        <w:footnoteReference w:id="35"/>
      </w:r>
    </w:p>
    <w:p w:rsidR="003459EE" w:rsidRPr="0004701A" w:rsidRDefault="003459EE" w:rsidP="00820DB2">
      <w:pPr>
        <w:shd w:val="clear" w:color="auto" w:fill="FFFFFF"/>
        <w:spacing w:before="120" w:after="120" w:line="240" w:lineRule="auto"/>
        <w:jc w:val="both"/>
        <w:rPr>
          <w:rFonts w:eastAsia="Times New Roman" w:cs="Calibri"/>
          <w:color w:val="000000"/>
          <w:sz w:val="22"/>
          <w:lang w:eastAsia="es-MX"/>
        </w:rPr>
      </w:pPr>
    </w:p>
    <w:p w:rsidR="00A53446" w:rsidRPr="0004701A" w:rsidRDefault="00737D21" w:rsidP="00820DB2">
      <w:pPr>
        <w:pStyle w:val="ListParagraph"/>
        <w:numPr>
          <w:ilvl w:val="0"/>
          <w:numId w:val="1"/>
        </w:numPr>
        <w:shd w:val="clear" w:color="auto" w:fill="FFFFFF"/>
        <w:spacing w:before="120" w:after="120" w:line="240" w:lineRule="auto"/>
        <w:jc w:val="both"/>
        <w:rPr>
          <w:rFonts w:eastAsia="Times New Roman" w:cs="Calibri"/>
          <w:i/>
          <w:color w:val="000000"/>
          <w:sz w:val="22"/>
          <w:lang w:eastAsia="es-MX"/>
        </w:rPr>
      </w:pPr>
      <w:r w:rsidRPr="0004701A">
        <w:rPr>
          <w:rFonts w:eastAsia="Times New Roman" w:cs="Calibri"/>
          <w:i/>
          <w:color w:val="000000"/>
          <w:sz w:val="22"/>
          <w:lang w:eastAsia="es-MX"/>
        </w:rPr>
        <w:t>Si su Estado es uno de los 156 Estados miembros de la ONU que reconoce el derecho a un medio ambiente seguro, limpio, saludable y sostenible, ¿este derecho ha contribuido a prevenir, reducir o eliminar los impactos ambientales causados por la producción o el consumo insostenible de alimentos? En caso afirmativo, ¿cómo? Si no, ¿por qué no?</w:t>
      </w:r>
    </w:p>
    <w:p w:rsidR="00737D21" w:rsidRPr="0004701A" w:rsidRDefault="00737D21" w:rsidP="00820DB2">
      <w:pPr>
        <w:pStyle w:val="ListParagraph"/>
        <w:shd w:val="clear" w:color="auto" w:fill="FFFFFF"/>
        <w:spacing w:before="120" w:after="120" w:line="240" w:lineRule="auto"/>
        <w:ind w:left="0"/>
        <w:jc w:val="both"/>
        <w:rPr>
          <w:rFonts w:eastAsia="Times New Roman" w:cs="Calibri"/>
          <w:color w:val="000000"/>
          <w:sz w:val="22"/>
          <w:lang w:eastAsia="es-MX"/>
        </w:rPr>
      </w:pPr>
      <w:r w:rsidRPr="0004701A">
        <w:rPr>
          <w:rFonts w:eastAsia="Times New Roman" w:cs="Calibri"/>
          <w:color w:val="000000"/>
          <w:sz w:val="22"/>
          <w:lang w:eastAsia="es-MX"/>
        </w:rPr>
        <w:t>E</w:t>
      </w:r>
      <w:r w:rsidR="00DD5C64" w:rsidRPr="0004701A">
        <w:rPr>
          <w:rFonts w:eastAsia="Times New Roman" w:cs="Calibri"/>
          <w:color w:val="000000"/>
          <w:sz w:val="22"/>
          <w:lang w:eastAsia="es-MX"/>
        </w:rPr>
        <w:t xml:space="preserve">l derecho </w:t>
      </w:r>
      <w:r w:rsidRPr="0004701A">
        <w:rPr>
          <w:rFonts w:eastAsia="Times New Roman" w:cs="Calibri"/>
          <w:color w:val="000000"/>
          <w:sz w:val="22"/>
          <w:lang w:eastAsia="es-MX"/>
        </w:rPr>
        <w:t>está reconocido en la Constituci</w:t>
      </w:r>
      <w:r w:rsidR="003C246E" w:rsidRPr="0004701A">
        <w:rPr>
          <w:rFonts w:eastAsia="Times New Roman" w:cs="Calibri"/>
          <w:color w:val="000000"/>
          <w:sz w:val="22"/>
          <w:lang w:eastAsia="es-MX"/>
        </w:rPr>
        <w:t>ón,</w:t>
      </w:r>
      <w:r w:rsidRPr="0004701A">
        <w:rPr>
          <w:rStyle w:val="FootnoteReference"/>
          <w:rFonts w:eastAsia="Times New Roman" w:cs="Calibri"/>
          <w:color w:val="000000"/>
          <w:sz w:val="22"/>
          <w:lang w:eastAsia="es-MX"/>
        </w:rPr>
        <w:footnoteReference w:id="36"/>
      </w:r>
      <w:r w:rsidR="003C246E" w:rsidRPr="0004701A">
        <w:rPr>
          <w:rFonts w:eastAsia="Times New Roman" w:cs="Calibri"/>
          <w:color w:val="000000"/>
          <w:sz w:val="22"/>
          <w:lang w:eastAsia="es-MX"/>
        </w:rPr>
        <w:t>p</w:t>
      </w:r>
      <w:r w:rsidRPr="0004701A">
        <w:rPr>
          <w:rFonts w:eastAsia="Times New Roman" w:cs="Calibri"/>
          <w:color w:val="000000"/>
          <w:sz w:val="22"/>
          <w:lang w:eastAsia="es-MX"/>
        </w:rPr>
        <w:t xml:space="preserve">ero no ha logrado contribuir a </w:t>
      </w:r>
      <w:r w:rsidR="009A52DE" w:rsidRPr="0004701A">
        <w:rPr>
          <w:rFonts w:eastAsia="Times New Roman" w:cs="Calibri"/>
          <w:color w:val="000000"/>
          <w:sz w:val="22"/>
          <w:lang w:eastAsia="es-MX"/>
        </w:rPr>
        <w:t xml:space="preserve">los fines indicados porque el Estado </w:t>
      </w:r>
      <w:r w:rsidR="005561AD" w:rsidRPr="0004701A">
        <w:rPr>
          <w:rFonts w:eastAsia="Times New Roman" w:cs="Calibri"/>
          <w:color w:val="000000"/>
          <w:sz w:val="22"/>
          <w:lang w:eastAsia="es-MX"/>
        </w:rPr>
        <w:t>no destina el presupuesto suficiente para cumplir con sus obligaciones</w:t>
      </w:r>
      <w:r w:rsidR="00874605" w:rsidRPr="0004701A">
        <w:rPr>
          <w:rFonts w:eastAsia="Times New Roman" w:cs="Calibri"/>
          <w:color w:val="000000"/>
          <w:sz w:val="22"/>
          <w:lang w:eastAsia="es-MX"/>
        </w:rPr>
        <w:t>.</w:t>
      </w:r>
      <w:r w:rsidR="0032255F" w:rsidRPr="0004701A">
        <w:rPr>
          <w:rStyle w:val="FootnoteReference"/>
          <w:rFonts w:eastAsia="Times New Roman" w:cs="Calibri"/>
          <w:color w:val="000000"/>
          <w:sz w:val="22"/>
          <w:lang w:eastAsia="es-MX"/>
        </w:rPr>
        <w:footnoteReference w:id="37"/>
      </w:r>
      <w:r w:rsidR="00DD5C64" w:rsidRPr="0004701A">
        <w:rPr>
          <w:rFonts w:eastAsia="Times New Roman" w:cs="Calibri"/>
          <w:color w:val="000000"/>
          <w:sz w:val="22"/>
          <w:lang w:eastAsia="es-MX"/>
        </w:rPr>
        <w:t xml:space="preserve"> </w:t>
      </w:r>
      <w:r w:rsidR="00874605" w:rsidRPr="0004701A">
        <w:rPr>
          <w:rFonts w:eastAsia="Times New Roman" w:cs="Calibri"/>
          <w:color w:val="000000"/>
          <w:sz w:val="22"/>
          <w:lang w:eastAsia="es-MX"/>
        </w:rPr>
        <w:t xml:space="preserve">Además, </w:t>
      </w:r>
      <w:r w:rsidR="00DD5C64" w:rsidRPr="0004701A">
        <w:rPr>
          <w:rFonts w:eastAsia="Times New Roman" w:cs="Calibri"/>
          <w:color w:val="000000"/>
          <w:sz w:val="22"/>
          <w:lang w:eastAsia="es-MX"/>
        </w:rPr>
        <w:t>la política alimentaria es contradictoria,</w:t>
      </w:r>
      <w:r w:rsidR="00820DB2" w:rsidRPr="0004701A">
        <w:rPr>
          <w:rFonts w:eastAsia="Times New Roman" w:cs="Calibri"/>
          <w:color w:val="000000"/>
          <w:sz w:val="22"/>
          <w:lang w:eastAsia="es-MX"/>
        </w:rPr>
        <w:t xml:space="preserve"> pues</w:t>
      </w:r>
      <w:r w:rsidR="00DD5C64" w:rsidRPr="0004701A">
        <w:rPr>
          <w:rFonts w:eastAsia="Times New Roman" w:cs="Calibri"/>
          <w:color w:val="000000"/>
          <w:sz w:val="22"/>
          <w:lang w:eastAsia="es-MX"/>
        </w:rPr>
        <w:t xml:space="preserve"> </w:t>
      </w:r>
      <w:r w:rsidR="00F83466" w:rsidRPr="0004701A">
        <w:rPr>
          <w:rFonts w:eastAsia="Times New Roman" w:cs="Calibri"/>
          <w:color w:val="000000"/>
          <w:sz w:val="22"/>
          <w:lang w:eastAsia="es-MX"/>
        </w:rPr>
        <w:t>ha</w:t>
      </w:r>
      <w:r w:rsidR="00DD5C64" w:rsidRPr="0004701A">
        <w:rPr>
          <w:rFonts w:eastAsia="Times New Roman" w:cs="Calibri"/>
          <w:color w:val="000000"/>
          <w:sz w:val="22"/>
          <w:lang w:eastAsia="es-MX"/>
        </w:rPr>
        <w:t xml:space="preserve"> establecido acciones para conseguir un sistema alimentario sostenible,</w:t>
      </w:r>
      <w:r w:rsidR="00733684" w:rsidRPr="0004701A">
        <w:rPr>
          <w:rFonts w:eastAsia="Times New Roman" w:cs="Calibri"/>
          <w:color w:val="000000"/>
          <w:sz w:val="22"/>
          <w:lang w:eastAsia="es-MX"/>
        </w:rPr>
        <w:t xml:space="preserve"> como la sustitución del glifosato,</w:t>
      </w:r>
      <w:r w:rsidR="00EA7C6A" w:rsidRPr="0004701A">
        <w:rPr>
          <w:rStyle w:val="FootnoteReference"/>
          <w:rFonts w:eastAsia="Times New Roman" w:cs="Calibri"/>
          <w:color w:val="000000"/>
          <w:sz w:val="22"/>
          <w:lang w:eastAsia="es-MX"/>
        </w:rPr>
        <w:footnoteReference w:id="38"/>
      </w:r>
      <w:r w:rsidR="00DD5C64" w:rsidRPr="0004701A">
        <w:rPr>
          <w:rFonts w:eastAsia="Times New Roman" w:cs="Calibri"/>
          <w:color w:val="000000"/>
          <w:sz w:val="22"/>
          <w:lang w:eastAsia="es-MX"/>
        </w:rPr>
        <w:t xml:space="preserve"> pero sigue fomentando e</w:t>
      </w:r>
      <w:r w:rsidR="00733684" w:rsidRPr="0004701A">
        <w:rPr>
          <w:rFonts w:eastAsia="Times New Roman" w:cs="Calibri"/>
          <w:color w:val="000000"/>
          <w:sz w:val="22"/>
          <w:lang w:eastAsia="es-MX"/>
        </w:rPr>
        <w:t>l modelo que afecta el ambiente, por ejemplo, promoviendo cultivos no sustentables.</w:t>
      </w:r>
      <w:r w:rsidR="00EA7C6A" w:rsidRPr="0004701A">
        <w:rPr>
          <w:rStyle w:val="FootnoteReference"/>
          <w:rFonts w:eastAsia="Times New Roman" w:cs="Calibri"/>
          <w:color w:val="000000"/>
          <w:sz w:val="22"/>
          <w:lang w:eastAsia="es-MX"/>
        </w:rPr>
        <w:footnoteReference w:id="39"/>
      </w:r>
      <w:r w:rsidR="00DD5C64" w:rsidRPr="0004701A">
        <w:rPr>
          <w:rFonts w:eastAsia="Times New Roman" w:cs="Calibri"/>
          <w:color w:val="000000"/>
          <w:sz w:val="22"/>
          <w:lang w:eastAsia="es-MX"/>
        </w:rPr>
        <w:t xml:space="preserve"> Además, existe interferencia y resistencia de la industria a cumplir con las normas </w:t>
      </w:r>
      <w:r w:rsidR="005A0E78" w:rsidRPr="0004701A">
        <w:rPr>
          <w:rFonts w:eastAsia="Times New Roman" w:cs="Calibri"/>
          <w:color w:val="000000"/>
          <w:sz w:val="22"/>
          <w:lang w:eastAsia="es-MX"/>
        </w:rPr>
        <w:t>encaminadas</w:t>
      </w:r>
      <w:r w:rsidR="00DD5C64" w:rsidRPr="0004701A">
        <w:rPr>
          <w:rFonts w:eastAsia="Times New Roman" w:cs="Calibri"/>
          <w:color w:val="000000"/>
          <w:sz w:val="22"/>
          <w:lang w:eastAsia="es-MX"/>
        </w:rPr>
        <w:t xml:space="preserve"> a la sostenibilidad.</w:t>
      </w:r>
      <w:r w:rsidR="00F23EBD" w:rsidRPr="0004701A">
        <w:rPr>
          <w:rStyle w:val="FootnoteReference"/>
          <w:rFonts w:eastAsia="Times New Roman" w:cs="Calibri"/>
          <w:color w:val="000000"/>
          <w:sz w:val="22"/>
          <w:lang w:eastAsia="es-MX"/>
        </w:rPr>
        <w:footnoteReference w:id="40"/>
      </w:r>
      <w:r w:rsidR="00EF72C2" w:rsidRPr="0004701A">
        <w:rPr>
          <w:rFonts w:eastAsia="Times New Roman" w:cs="Calibri"/>
          <w:color w:val="000000"/>
          <w:sz w:val="22"/>
          <w:lang w:eastAsia="es-MX"/>
        </w:rPr>
        <w:t xml:space="preserve"> </w:t>
      </w:r>
      <w:r w:rsidR="00733684" w:rsidRPr="0004701A">
        <w:rPr>
          <w:rFonts w:eastAsia="Times New Roman" w:cs="Calibri"/>
          <w:color w:val="000000"/>
          <w:sz w:val="22"/>
          <w:lang w:eastAsia="es-MX"/>
        </w:rPr>
        <w:t>Este comportamiento</w:t>
      </w:r>
      <w:r w:rsidR="009D318E" w:rsidRPr="0004701A">
        <w:rPr>
          <w:rFonts w:eastAsia="Times New Roman" w:cs="Calibri"/>
          <w:color w:val="000000"/>
          <w:sz w:val="22"/>
          <w:lang w:eastAsia="es-MX"/>
        </w:rPr>
        <w:t xml:space="preserve"> de las empresas </w:t>
      </w:r>
      <w:r w:rsidR="00733684" w:rsidRPr="0004701A">
        <w:rPr>
          <w:rFonts w:eastAsia="Times New Roman" w:cs="Calibri"/>
          <w:color w:val="000000"/>
          <w:sz w:val="22"/>
          <w:lang w:eastAsia="es-MX"/>
        </w:rPr>
        <w:t xml:space="preserve">se refuerza </w:t>
      </w:r>
      <w:r w:rsidR="00F83466" w:rsidRPr="0004701A">
        <w:rPr>
          <w:rFonts w:eastAsia="Times New Roman" w:cs="Calibri"/>
          <w:color w:val="000000"/>
          <w:sz w:val="22"/>
          <w:lang w:eastAsia="es-MX"/>
        </w:rPr>
        <w:t>con</w:t>
      </w:r>
      <w:r w:rsidR="00733684" w:rsidRPr="0004701A">
        <w:rPr>
          <w:rFonts w:eastAsia="Times New Roman" w:cs="Calibri"/>
          <w:color w:val="000000"/>
          <w:sz w:val="22"/>
          <w:lang w:eastAsia="es-MX"/>
        </w:rPr>
        <w:t xml:space="preserve"> la impunidad </w:t>
      </w:r>
      <w:r w:rsidR="00F83466" w:rsidRPr="0004701A">
        <w:rPr>
          <w:rFonts w:eastAsia="Times New Roman" w:cs="Calibri"/>
          <w:color w:val="000000"/>
          <w:sz w:val="22"/>
          <w:lang w:eastAsia="es-MX"/>
        </w:rPr>
        <w:t xml:space="preserve"> que goza debido a</w:t>
      </w:r>
      <w:r w:rsidR="009D318E" w:rsidRPr="0004701A">
        <w:rPr>
          <w:rFonts w:eastAsia="Times New Roman" w:cs="Calibri"/>
          <w:color w:val="000000"/>
          <w:sz w:val="22"/>
          <w:lang w:eastAsia="es-MX"/>
        </w:rPr>
        <w:t xml:space="preserve"> la ausencia de mecanismos para responsabilizarlas directamente por violaciones a derechos.</w:t>
      </w:r>
    </w:p>
    <w:p w:rsidR="00DD5C64" w:rsidRPr="0004701A" w:rsidRDefault="00DD5C64" w:rsidP="00820DB2">
      <w:pPr>
        <w:pStyle w:val="ListParagraph"/>
        <w:shd w:val="clear" w:color="auto" w:fill="FFFFFF"/>
        <w:spacing w:before="120" w:after="120" w:line="240" w:lineRule="auto"/>
        <w:ind w:left="360"/>
        <w:jc w:val="both"/>
        <w:rPr>
          <w:rFonts w:eastAsia="Times New Roman" w:cs="Calibri"/>
          <w:color w:val="000000"/>
          <w:sz w:val="22"/>
          <w:lang w:eastAsia="es-MX"/>
        </w:rPr>
      </w:pPr>
    </w:p>
    <w:p w:rsidR="00DD5C64" w:rsidRPr="0004701A" w:rsidRDefault="00D87F85" w:rsidP="00820DB2">
      <w:pPr>
        <w:pStyle w:val="ListParagraph"/>
        <w:numPr>
          <w:ilvl w:val="0"/>
          <w:numId w:val="1"/>
        </w:numPr>
        <w:shd w:val="clear" w:color="auto" w:fill="FFFFFF"/>
        <w:spacing w:before="120" w:after="120" w:line="240" w:lineRule="auto"/>
        <w:jc w:val="both"/>
        <w:rPr>
          <w:rFonts w:eastAsia="Times New Roman" w:cs="Calibri"/>
          <w:color w:val="000000"/>
          <w:sz w:val="22"/>
          <w:lang w:eastAsia="es-MX"/>
        </w:rPr>
      </w:pPr>
      <w:r w:rsidRPr="0004701A">
        <w:rPr>
          <w:rFonts w:eastAsia="Times New Roman" w:cs="Calibri"/>
          <w:i/>
          <w:color w:val="000000"/>
          <w:sz w:val="22"/>
          <w:lang w:eastAsia="es-MX"/>
        </w:rPr>
        <w:t>Sírvase proporcionar ejemplos específicos de buenas prácticas para prevenir, reducir o eliminar los impactos ambientales causados por la producción o el consumo insostenible de alimentos. Estos ejemplos pueden darse a nivel internacional, regional, nacional, subnacional o local</w:t>
      </w:r>
      <w:r w:rsidR="00874605" w:rsidRPr="0004701A">
        <w:rPr>
          <w:rFonts w:eastAsia="Times New Roman" w:cs="Calibri"/>
          <w:i/>
          <w:color w:val="000000"/>
          <w:sz w:val="22"/>
          <w:lang w:eastAsia="es-MX"/>
        </w:rPr>
        <w:t xml:space="preserve"> […]</w:t>
      </w:r>
      <w:r w:rsidRPr="0004701A">
        <w:rPr>
          <w:rFonts w:eastAsia="Times New Roman" w:cs="Calibri"/>
          <w:i/>
          <w:color w:val="000000"/>
          <w:sz w:val="22"/>
          <w:lang w:eastAsia="es-MX"/>
        </w:rPr>
        <w:t xml:space="preserve">. </w:t>
      </w:r>
      <w:r w:rsidR="00874605" w:rsidRPr="0004701A">
        <w:rPr>
          <w:rFonts w:eastAsia="Times New Roman" w:cs="Calibri"/>
          <w:i/>
          <w:color w:val="000000"/>
          <w:sz w:val="22"/>
          <w:lang w:eastAsia="es-MX"/>
        </w:rPr>
        <w:t>En la medida de lo posible, facilite pruebas relacionadas con la aplicación, el cumplimiento y la eficacia de las buenas prácticas</w:t>
      </w:r>
      <w:r w:rsidR="00874605" w:rsidRPr="0004701A">
        <w:rPr>
          <w:rFonts w:eastAsia="Times New Roman" w:cs="Calibri"/>
          <w:color w:val="000000"/>
          <w:sz w:val="22"/>
          <w:lang w:eastAsia="es-MX"/>
        </w:rPr>
        <w:t>.</w:t>
      </w:r>
    </w:p>
    <w:p w:rsidR="00874605" w:rsidRPr="0004701A" w:rsidRDefault="00874605" w:rsidP="00820DB2">
      <w:pPr>
        <w:pStyle w:val="ListParagraph"/>
        <w:numPr>
          <w:ilvl w:val="1"/>
          <w:numId w:val="1"/>
        </w:numPr>
        <w:shd w:val="clear" w:color="auto" w:fill="FFFFFF"/>
        <w:spacing w:before="120" w:after="120" w:line="240" w:lineRule="auto"/>
        <w:ind w:left="633" w:hanging="273"/>
        <w:jc w:val="both"/>
        <w:rPr>
          <w:rFonts w:eastAsia="Times New Roman" w:cs="Calibri"/>
          <w:color w:val="000000"/>
          <w:sz w:val="22"/>
          <w:lang w:eastAsia="es-MX"/>
        </w:rPr>
      </w:pPr>
      <w:r w:rsidRPr="0004701A">
        <w:rPr>
          <w:rFonts w:eastAsia="Times New Roman" w:cs="Calibri"/>
          <w:b/>
          <w:color w:val="000000"/>
          <w:sz w:val="22"/>
          <w:lang w:eastAsia="es-MX"/>
        </w:rPr>
        <w:t>Adopción del Etiquetado Frontal de Advertencia.</w:t>
      </w:r>
      <w:r w:rsidRPr="0004701A">
        <w:rPr>
          <w:rStyle w:val="FootnoteReference"/>
          <w:rFonts w:eastAsia="Times New Roman" w:cs="Calibri"/>
          <w:b/>
          <w:color w:val="000000"/>
          <w:sz w:val="22"/>
          <w:lang w:eastAsia="es-MX"/>
        </w:rPr>
        <w:footnoteReference w:id="41"/>
      </w:r>
      <w:r w:rsidRPr="0004701A">
        <w:rPr>
          <w:rFonts w:eastAsia="Times New Roman" w:cs="Calibri"/>
          <w:b/>
          <w:color w:val="000000"/>
          <w:sz w:val="22"/>
          <w:lang w:eastAsia="es-MX"/>
        </w:rPr>
        <w:t xml:space="preserve"> </w:t>
      </w:r>
      <w:r w:rsidRPr="0004701A">
        <w:rPr>
          <w:rFonts w:eastAsia="Times New Roman" w:cs="Calibri"/>
          <w:color w:val="000000"/>
          <w:sz w:val="22"/>
          <w:lang w:eastAsia="es-MX"/>
        </w:rPr>
        <w:t>Brinda información clara sobre los nutrimentos críticos que contienen los alimentos y bebidas ultraprocesados para desincentivar su consumo. La inclusión de sellos y leyendas entró en vigor en octubre de 2020 y en abril de 2021, la remoción de elementos publicitarios de los empaques en productos que rebasan los límites de dichos nutrimentos.</w:t>
      </w:r>
    </w:p>
    <w:p w:rsidR="001B4094" w:rsidRPr="0004701A" w:rsidRDefault="00B359B0" w:rsidP="00874605">
      <w:pPr>
        <w:pStyle w:val="ListParagraph"/>
        <w:numPr>
          <w:ilvl w:val="1"/>
          <w:numId w:val="1"/>
        </w:numPr>
        <w:shd w:val="clear" w:color="auto" w:fill="FFFFFF"/>
        <w:spacing w:before="120" w:after="120" w:line="240" w:lineRule="auto"/>
        <w:ind w:left="633" w:hanging="273"/>
        <w:jc w:val="both"/>
        <w:rPr>
          <w:rFonts w:eastAsia="Times New Roman" w:cs="Calibri"/>
          <w:color w:val="000000"/>
          <w:sz w:val="22"/>
          <w:lang w:eastAsia="es-MX"/>
        </w:rPr>
      </w:pPr>
      <w:r w:rsidRPr="0004701A">
        <w:rPr>
          <w:rFonts w:eastAsia="Times New Roman" w:cs="Calibri"/>
          <w:b/>
          <w:color w:val="000000"/>
          <w:sz w:val="22"/>
          <w:lang w:eastAsia="es-MX"/>
        </w:rPr>
        <w:t xml:space="preserve">Decreto </w:t>
      </w:r>
      <w:r w:rsidR="000810FF" w:rsidRPr="0004701A">
        <w:rPr>
          <w:rFonts w:eastAsia="Times New Roman" w:cs="Calibri"/>
          <w:b/>
          <w:color w:val="000000"/>
          <w:sz w:val="22"/>
          <w:lang w:eastAsia="es-MX"/>
        </w:rPr>
        <w:t xml:space="preserve">para la sustitución gradual del glifosato y </w:t>
      </w:r>
      <w:r w:rsidR="00820DB2" w:rsidRPr="0004701A">
        <w:rPr>
          <w:rFonts w:eastAsia="Times New Roman" w:cs="Calibri"/>
          <w:b/>
          <w:color w:val="000000"/>
          <w:sz w:val="22"/>
          <w:lang w:eastAsia="es-MX"/>
        </w:rPr>
        <w:t>que</w:t>
      </w:r>
      <w:r w:rsidR="000810FF" w:rsidRPr="0004701A">
        <w:rPr>
          <w:rFonts w:eastAsia="Times New Roman" w:cs="Calibri"/>
          <w:b/>
          <w:color w:val="000000"/>
          <w:sz w:val="22"/>
          <w:lang w:eastAsia="es-MX"/>
        </w:rPr>
        <w:t xml:space="preserve"> prohíbe</w:t>
      </w:r>
      <w:r w:rsidRPr="0004701A">
        <w:rPr>
          <w:rFonts w:eastAsia="Times New Roman" w:cs="Calibri"/>
          <w:b/>
          <w:color w:val="000000"/>
          <w:sz w:val="22"/>
          <w:lang w:eastAsia="es-MX"/>
        </w:rPr>
        <w:t xml:space="preserve"> </w:t>
      </w:r>
      <w:r w:rsidR="00EE78CA" w:rsidRPr="0004701A">
        <w:rPr>
          <w:rFonts w:eastAsia="Times New Roman" w:cs="Calibri"/>
          <w:b/>
          <w:color w:val="000000"/>
          <w:sz w:val="22"/>
          <w:lang w:eastAsia="es-MX"/>
        </w:rPr>
        <w:t>la siembra de maíz transgénico</w:t>
      </w:r>
      <w:r w:rsidRPr="0004701A">
        <w:rPr>
          <w:rFonts w:eastAsia="Times New Roman" w:cs="Calibri"/>
          <w:b/>
          <w:color w:val="000000"/>
          <w:sz w:val="22"/>
          <w:lang w:eastAsia="es-MX"/>
        </w:rPr>
        <w:t>.</w:t>
      </w:r>
      <w:r w:rsidRPr="0004701A">
        <w:rPr>
          <w:rStyle w:val="FootnoteReference"/>
          <w:rFonts w:eastAsia="Times New Roman" w:cs="Calibri"/>
          <w:b/>
          <w:color w:val="000000"/>
          <w:sz w:val="22"/>
          <w:lang w:eastAsia="es-MX"/>
        </w:rPr>
        <w:footnoteReference w:id="42"/>
      </w:r>
      <w:r w:rsidRPr="0004701A">
        <w:rPr>
          <w:rFonts w:eastAsia="Times New Roman" w:cs="Calibri"/>
          <w:b/>
          <w:color w:val="000000"/>
          <w:sz w:val="22"/>
          <w:lang w:eastAsia="es-MX"/>
        </w:rPr>
        <w:t xml:space="preserve"> </w:t>
      </w:r>
      <w:r w:rsidRPr="0004701A">
        <w:rPr>
          <w:rFonts w:eastAsia="Times New Roman" w:cs="Calibri"/>
          <w:color w:val="000000"/>
          <w:sz w:val="22"/>
          <w:lang w:eastAsia="es-MX"/>
        </w:rPr>
        <w:t>Fue public</w:t>
      </w:r>
      <w:r w:rsidR="005A0E78" w:rsidRPr="0004701A">
        <w:rPr>
          <w:rFonts w:eastAsia="Times New Roman" w:cs="Calibri"/>
          <w:color w:val="000000"/>
          <w:sz w:val="22"/>
          <w:lang w:eastAsia="es-MX"/>
        </w:rPr>
        <w:t>ado el 31 de diciembre de 202</w:t>
      </w:r>
      <w:r w:rsidRPr="0004701A">
        <w:rPr>
          <w:rFonts w:eastAsia="Times New Roman" w:cs="Calibri"/>
          <w:color w:val="000000"/>
          <w:sz w:val="22"/>
          <w:lang w:eastAsia="es-MX"/>
        </w:rPr>
        <w:t>0</w:t>
      </w:r>
      <w:r w:rsidR="005A0E78" w:rsidRPr="0004701A">
        <w:rPr>
          <w:rFonts w:eastAsia="Times New Roman" w:cs="Calibri"/>
          <w:color w:val="000000"/>
          <w:sz w:val="22"/>
          <w:lang w:eastAsia="es-MX"/>
        </w:rPr>
        <w:t xml:space="preserve"> y establece un régimen de transición hasta 2024</w:t>
      </w:r>
      <w:r w:rsidRPr="0004701A">
        <w:rPr>
          <w:rFonts w:eastAsia="Times New Roman" w:cs="Calibri"/>
          <w:color w:val="000000"/>
          <w:sz w:val="22"/>
          <w:lang w:eastAsia="es-MX"/>
        </w:rPr>
        <w:t>.</w:t>
      </w:r>
      <w:r w:rsidR="000810FF" w:rsidRPr="0004701A">
        <w:rPr>
          <w:rFonts w:eastAsia="Times New Roman" w:cs="Calibri"/>
          <w:color w:val="000000"/>
          <w:sz w:val="22"/>
          <w:lang w:eastAsia="es-MX"/>
        </w:rPr>
        <w:t xml:space="preserve"> El Consejo Nacional de Ciencia y Tecnología (CONACYT) </w:t>
      </w:r>
      <w:r w:rsidR="002A5118" w:rsidRPr="0004701A">
        <w:rPr>
          <w:rFonts w:eastAsia="Times New Roman" w:cs="Calibri"/>
          <w:color w:val="000000"/>
          <w:sz w:val="22"/>
          <w:lang w:eastAsia="es-MX"/>
        </w:rPr>
        <w:t xml:space="preserve">ya </w:t>
      </w:r>
      <w:r w:rsidR="005A0E78" w:rsidRPr="0004701A">
        <w:rPr>
          <w:rFonts w:eastAsia="Times New Roman" w:cs="Calibri"/>
          <w:color w:val="000000"/>
          <w:sz w:val="22"/>
          <w:lang w:eastAsia="es-MX"/>
        </w:rPr>
        <w:t xml:space="preserve">emitió </w:t>
      </w:r>
      <w:r w:rsidR="000810FF" w:rsidRPr="0004701A">
        <w:rPr>
          <w:rFonts w:eastAsia="Times New Roman" w:cs="Calibri"/>
          <w:color w:val="000000"/>
          <w:sz w:val="22"/>
          <w:lang w:eastAsia="es-MX"/>
        </w:rPr>
        <w:t>la primera recomendación en la que establece las cotas máximas de im</w:t>
      </w:r>
      <w:r w:rsidR="005A0E78" w:rsidRPr="0004701A">
        <w:rPr>
          <w:rFonts w:eastAsia="Times New Roman" w:cs="Calibri"/>
          <w:color w:val="000000"/>
          <w:sz w:val="22"/>
          <w:lang w:eastAsia="es-MX"/>
        </w:rPr>
        <w:t>portación de glifosato y está diseñando alternativas para sustituirlo.</w:t>
      </w:r>
      <w:r w:rsidR="005A0E78" w:rsidRPr="0004701A">
        <w:rPr>
          <w:rStyle w:val="FootnoteReference"/>
          <w:rFonts w:eastAsia="Times New Roman" w:cs="Calibri"/>
          <w:color w:val="000000"/>
          <w:sz w:val="22"/>
          <w:lang w:eastAsia="es-MX"/>
        </w:rPr>
        <w:footnoteReference w:id="43"/>
      </w:r>
    </w:p>
    <w:p w:rsidR="001B4094" w:rsidRPr="0004701A" w:rsidRDefault="001B4094" w:rsidP="00820DB2">
      <w:pPr>
        <w:pStyle w:val="ListParagraph"/>
        <w:numPr>
          <w:ilvl w:val="1"/>
          <w:numId w:val="1"/>
        </w:numPr>
        <w:shd w:val="clear" w:color="auto" w:fill="FFFFFF"/>
        <w:spacing w:before="120" w:after="120" w:line="240" w:lineRule="auto"/>
        <w:ind w:left="633" w:hanging="273"/>
        <w:jc w:val="both"/>
        <w:rPr>
          <w:rFonts w:eastAsia="Times New Roman" w:cs="Calibri"/>
          <w:color w:val="000000"/>
          <w:sz w:val="22"/>
          <w:lang w:eastAsia="es-MX"/>
        </w:rPr>
      </w:pPr>
      <w:r w:rsidRPr="0004701A">
        <w:rPr>
          <w:rFonts w:eastAsia="Times New Roman" w:cs="Calibri"/>
          <w:b/>
          <w:color w:val="000000"/>
          <w:sz w:val="22"/>
          <w:lang w:eastAsia="es-MX"/>
        </w:rPr>
        <w:t>Prohibición</w:t>
      </w:r>
      <w:r w:rsidRPr="0004701A">
        <w:rPr>
          <w:rFonts w:eastAsia="Times New Roman" w:cs="Calibri"/>
          <w:color w:val="000000"/>
          <w:sz w:val="22"/>
          <w:lang w:eastAsia="es-MX"/>
        </w:rPr>
        <w:t xml:space="preserve"> </w:t>
      </w:r>
      <w:r w:rsidRPr="0004701A">
        <w:rPr>
          <w:rFonts w:eastAsia="Times New Roman" w:cs="Calibri"/>
          <w:b/>
          <w:color w:val="000000"/>
          <w:sz w:val="22"/>
          <w:lang w:eastAsia="es-MX"/>
        </w:rPr>
        <w:t>de venta a niños de alimentos ultraprocesados con alto contenido de nutrimentos críticos en Oaxaca y otras entidades federativas.</w:t>
      </w:r>
      <w:r w:rsidR="00C67161" w:rsidRPr="0004701A">
        <w:rPr>
          <w:rStyle w:val="FootnoteReference"/>
          <w:rFonts w:eastAsia="Times New Roman" w:cs="Calibri"/>
          <w:b/>
          <w:color w:val="000000"/>
          <w:sz w:val="22"/>
          <w:lang w:eastAsia="es-MX"/>
        </w:rPr>
        <w:footnoteReference w:id="44"/>
      </w:r>
      <w:r w:rsidRPr="0004701A">
        <w:rPr>
          <w:rFonts w:eastAsia="Times New Roman" w:cs="Calibri"/>
          <w:b/>
          <w:color w:val="000000"/>
          <w:sz w:val="22"/>
          <w:lang w:eastAsia="es-MX"/>
        </w:rPr>
        <w:t xml:space="preserve"> </w:t>
      </w:r>
      <w:r w:rsidR="00C67161" w:rsidRPr="0004701A">
        <w:rPr>
          <w:rFonts w:eastAsia="Times New Roman" w:cs="Calibri"/>
          <w:color w:val="000000"/>
          <w:sz w:val="22"/>
          <w:lang w:eastAsia="es-MX"/>
        </w:rPr>
        <w:t>Esta medida trata de frenar el desplazamiento de las formas de alimentación saludable y tradicional por los productos malsanos</w:t>
      </w:r>
      <w:r w:rsidR="00874605" w:rsidRPr="0004701A">
        <w:rPr>
          <w:rFonts w:eastAsia="Times New Roman" w:cs="Calibri"/>
          <w:color w:val="000000"/>
          <w:sz w:val="22"/>
          <w:lang w:eastAsia="es-MX"/>
        </w:rPr>
        <w:t>, empacados en envases desechables, como las bebidas azucaradas</w:t>
      </w:r>
      <w:r w:rsidR="00C67161" w:rsidRPr="0004701A">
        <w:rPr>
          <w:rFonts w:eastAsia="Times New Roman" w:cs="Calibri"/>
          <w:color w:val="000000"/>
          <w:sz w:val="22"/>
          <w:lang w:eastAsia="es-MX"/>
        </w:rPr>
        <w:t xml:space="preserve">. </w:t>
      </w:r>
      <w:r w:rsidR="00885B8F" w:rsidRPr="0004701A">
        <w:rPr>
          <w:rFonts w:eastAsia="Times New Roman" w:cs="Calibri"/>
          <w:color w:val="000000"/>
          <w:sz w:val="22"/>
          <w:lang w:eastAsia="es-MX"/>
        </w:rPr>
        <w:t>Hasta el momento no se ha implementado.</w:t>
      </w:r>
      <w:r w:rsidR="00885B8F" w:rsidRPr="0004701A">
        <w:rPr>
          <w:rStyle w:val="FootnoteReference"/>
          <w:rFonts w:eastAsia="Times New Roman" w:cs="Calibri"/>
          <w:color w:val="000000"/>
          <w:sz w:val="22"/>
          <w:lang w:eastAsia="es-MX"/>
        </w:rPr>
        <w:footnoteReference w:id="45"/>
      </w:r>
    </w:p>
    <w:p w:rsidR="003459EE" w:rsidRPr="0004701A" w:rsidRDefault="003459EE" w:rsidP="00820DB2">
      <w:pPr>
        <w:pStyle w:val="ListParagraph"/>
        <w:numPr>
          <w:ilvl w:val="1"/>
          <w:numId w:val="1"/>
        </w:numPr>
        <w:shd w:val="clear" w:color="auto" w:fill="FFFFFF"/>
        <w:spacing w:before="120" w:after="120" w:line="240" w:lineRule="auto"/>
        <w:ind w:left="633" w:hanging="273"/>
        <w:jc w:val="both"/>
        <w:rPr>
          <w:rFonts w:eastAsia="Times New Roman" w:cs="Calibri"/>
          <w:color w:val="000000"/>
          <w:sz w:val="22"/>
          <w:lang w:eastAsia="es-MX"/>
        </w:rPr>
      </w:pPr>
      <w:r w:rsidRPr="0004701A">
        <w:rPr>
          <w:b/>
          <w:sz w:val="22"/>
          <w:lang w:val="es-ES"/>
        </w:rPr>
        <w:t>Impuesto a las bebidas azucarada</w:t>
      </w:r>
      <w:r w:rsidRPr="0004701A">
        <w:rPr>
          <w:rFonts w:eastAsia="Times New Roman" w:cs="Calibri"/>
          <w:b/>
          <w:color w:val="000000"/>
          <w:sz w:val="22"/>
          <w:lang w:eastAsia="es-MX"/>
        </w:rPr>
        <w:t>s</w:t>
      </w:r>
      <w:r w:rsidRPr="0004701A">
        <w:rPr>
          <w:b/>
          <w:sz w:val="22"/>
          <w:lang w:val="es-ES"/>
        </w:rPr>
        <w:t>.</w:t>
      </w:r>
      <w:r w:rsidRPr="0004701A">
        <w:rPr>
          <w:rStyle w:val="FootnoteReference"/>
          <w:b/>
          <w:sz w:val="22"/>
          <w:lang w:val="es-ES"/>
        </w:rPr>
        <w:footnoteReference w:id="46"/>
      </w:r>
      <w:r w:rsidRPr="0004701A">
        <w:rPr>
          <w:b/>
          <w:sz w:val="22"/>
          <w:lang w:val="es-ES"/>
        </w:rPr>
        <w:t xml:space="preserve"> </w:t>
      </w:r>
      <w:r w:rsidRPr="0004701A">
        <w:rPr>
          <w:sz w:val="22"/>
          <w:lang w:val="es-ES"/>
        </w:rPr>
        <w:t>Tiene como objetivo desincentivar el consumo de este tipo de bebidas que dañan la salud,</w:t>
      </w:r>
      <w:r w:rsidRPr="0004701A">
        <w:rPr>
          <w:rStyle w:val="FootnoteReference"/>
          <w:sz w:val="22"/>
          <w:lang w:val="es-ES"/>
        </w:rPr>
        <w:footnoteReference w:id="47"/>
      </w:r>
      <w:r w:rsidRPr="0004701A">
        <w:rPr>
          <w:sz w:val="22"/>
          <w:lang w:val="es-ES"/>
        </w:rPr>
        <w:t xml:space="preserve"> cuya producción implica el despojo de agua a comunidades</w:t>
      </w:r>
      <w:r w:rsidRPr="0004701A">
        <w:rPr>
          <w:rStyle w:val="FootnoteReference"/>
          <w:sz w:val="22"/>
          <w:lang w:val="es-ES"/>
        </w:rPr>
        <w:footnoteReference w:id="48"/>
      </w:r>
      <w:r w:rsidRPr="0004701A">
        <w:rPr>
          <w:sz w:val="22"/>
          <w:lang w:val="es-ES"/>
        </w:rPr>
        <w:t xml:space="preserve"> y que contaminan el medio ambiente por la generación de residuos plásticos.</w:t>
      </w:r>
      <w:r w:rsidRPr="0004701A">
        <w:rPr>
          <w:rStyle w:val="FootnoteReference"/>
          <w:sz w:val="22"/>
          <w:lang w:val="es-ES"/>
        </w:rPr>
        <w:footnoteReference w:id="49"/>
      </w:r>
      <w:r w:rsidRPr="0004701A">
        <w:rPr>
          <w:sz w:val="22"/>
          <w:lang w:val="es-ES"/>
        </w:rPr>
        <w:t xml:space="preserve">  Se aplica desde el 2014, sin embargo, el gravamen debe incrementarse para cumplir con las recomendaciones de la OMS.</w:t>
      </w:r>
      <w:r w:rsidRPr="0004701A">
        <w:rPr>
          <w:rStyle w:val="FootnoteReference"/>
          <w:sz w:val="22"/>
          <w:lang w:val="es-ES"/>
        </w:rPr>
        <w:footnoteReference w:id="50"/>
      </w:r>
    </w:p>
    <w:p w:rsidR="000A5AAF" w:rsidRPr="0004701A" w:rsidRDefault="000A5AAF" w:rsidP="000A5AAF">
      <w:pPr>
        <w:numPr>
          <w:ilvl w:val="1"/>
          <w:numId w:val="1"/>
        </w:numPr>
        <w:shd w:val="clear" w:color="auto" w:fill="FFFFFF"/>
        <w:spacing w:before="120" w:after="120" w:line="240" w:lineRule="auto"/>
        <w:ind w:left="633" w:hanging="273"/>
        <w:jc w:val="both"/>
        <w:rPr>
          <w:rFonts w:eastAsia="Times New Roman" w:cs="Calibri"/>
          <w:color w:val="000000"/>
          <w:sz w:val="22"/>
          <w:lang w:eastAsia="es-MX"/>
        </w:rPr>
      </w:pPr>
      <w:r w:rsidRPr="0004701A">
        <w:rPr>
          <w:b/>
          <w:sz w:val="22"/>
          <w:lang w:eastAsia="es-MX"/>
        </w:rPr>
        <w:t>Protección y fomento del maíz nativo</w:t>
      </w:r>
      <w:r w:rsidRPr="0004701A">
        <w:rPr>
          <w:sz w:val="22"/>
          <w:lang w:eastAsia="es-MX"/>
        </w:rPr>
        <w:t>.</w:t>
      </w:r>
      <w:r w:rsidRPr="0004701A">
        <w:rPr>
          <w:rStyle w:val="FootnoteReference"/>
          <w:sz w:val="22"/>
          <w:lang w:eastAsia="es-MX"/>
        </w:rPr>
        <w:footnoteReference w:id="51"/>
      </w:r>
      <w:r w:rsidRPr="0004701A">
        <w:rPr>
          <w:sz w:val="22"/>
          <w:lang w:eastAsia="es-MX"/>
        </w:rPr>
        <w:t xml:space="preserve"> Esta norma reconoce la producción, comercialización y consumo del maíz nativo y en diversificación constante, como manifestación cultural y establece diversas acciones para su fomento y protección.</w:t>
      </w:r>
    </w:p>
    <w:p w:rsidR="000A5AAF" w:rsidRPr="0004701A" w:rsidRDefault="000A5AAF" w:rsidP="000A5AAF">
      <w:pPr>
        <w:shd w:val="clear" w:color="auto" w:fill="FFFFFF"/>
        <w:spacing w:before="120" w:after="120" w:line="240" w:lineRule="auto"/>
        <w:jc w:val="both"/>
        <w:rPr>
          <w:rFonts w:eastAsia="Times New Roman" w:cs="Calibri"/>
          <w:color w:val="000000"/>
          <w:sz w:val="22"/>
          <w:lang w:eastAsia="es-MX"/>
        </w:rPr>
      </w:pPr>
    </w:p>
    <w:p w:rsidR="001D67A7" w:rsidRPr="0004701A" w:rsidRDefault="001D67A7" w:rsidP="00820DB2">
      <w:pPr>
        <w:numPr>
          <w:ilvl w:val="0"/>
          <w:numId w:val="1"/>
        </w:numPr>
        <w:shd w:val="clear" w:color="auto" w:fill="FFFFFF"/>
        <w:tabs>
          <w:tab w:val="clear" w:pos="360"/>
          <w:tab w:val="num" w:pos="720"/>
        </w:tabs>
        <w:spacing w:before="120" w:after="120" w:line="240" w:lineRule="auto"/>
        <w:ind w:left="720"/>
        <w:jc w:val="both"/>
        <w:rPr>
          <w:rFonts w:eastAsia="Times New Roman" w:cs="Calibri"/>
          <w:color w:val="000000"/>
          <w:sz w:val="22"/>
          <w:lang w:eastAsia="es-MX"/>
        </w:rPr>
      </w:pPr>
      <w:r w:rsidRPr="0004701A">
        <w:rPr>
          <w:rFonts w:eastAsia="Times New Roman" w:cs="Calibri"/>
          <w:i/>
          <w:color w:val="000000"/>
          <w:sz w:val="22"/>
          <w:lang w:eastAsia="es-MX"/>
        </w:rPr>
        <w:t>Por favor, identifique los retos específicos a los que se ha enfrentado su Gobierno, empresa u organización al intentar emplear un enfoque basado en los derechos para abordar los impactos ambientales de los sistemas alimentarios y las consecuencias de estos problemas para los derechos humanos</w:t>
      </w:r>
      <w:r w:rsidRPr="0004701A">
        <w:rPr>
          <w:rFonts w:eastAsia="Times New Roman" w:cs="Calibri"/>
          <w:color w:val="000000"/>
          <w:sz w:val="22"/>
          <w:lang w:eastAsia="es-MX"/>
        </w:rPr>
        <w:t>.</w:t>
      </w:r>
    </w:p>
    <w:p w:rsidR="0018625B" w:rsidRPr="0004701A" w:rsidRDefault="001D67A7" w:rsidP="0018625B">
      <w:pPr>
        <w:shd w:val="clear" w:color="auto" w:fill="FFFFFF"/>
        <w:spacing w:before="120" w:after="120" w:line="240" w:lineRule="auto"/>
        <w:jc w:val="both"/>
        <w:rPr>
          <w:rFonts w:eastAsia="Times New Roman" w:cs="Calibri"/>
          <w:color w:val="000000"/>
          <w:sz w:val="22"/>
          <w:lang w:eastAsia="es-MX"/>
        </w:rPr>
      </w:pPr>
      <w:r w:rsidRPr="0004701A">
        <w:rPr>
          <w:rFonts w:eastAsia="Times New Roman" w:cs="Calibri"/>
          <w:color w:val="000000"/>
          <w:sz w:val="22"/>
          <w:lang w:eastAsia="es-MX"/>
        </w:rPr>
        <w:t>Se han enfrentado</w:t>
      </w:r>
      <w:r w:rsidR="009A52DE" w:rsidRPr="0004701A">
        <w:rPr>
          <w:rFonts w:eastAsia="Times New Roman" w:cs="Calibri"/>
          <w:color w:val="000000"/>
          <w:sz w:val="22"/>
          <w:lang w:eastAsia="es-MX"/>
        </w:rPr>
        <w:t xml:space="preserve"> </w:t>
      </w:r>
      <w:r w:rsidR="005C4147" w:rsidRPr="0004701A">
        <w:rPr>
          <w:rFonts w:eastAsia="Times New Roman" w:cs="Calibri"/>
          <w:color w:val="000000"/>
          <w:sz w:val="22"/>
          <w:lang w:eastAsia="es-MX"/>
        </w:rPr>
        <w:t xml:space="preserve">la contradicción y </w:t>
      </w:r>
      <w:r w:rsidR="00414C41" w:rsidRPr="0004701A">
        <w:rPr>
          <w:rFonts w:eastAsia="Times New Roman" w:cs="Calibri"/>
          <w:color w:val="000000"/>
          <w:sz w:val="22"/>
          <w:lang w:eastAsia="es-MX"/>
        </w:rPr>
        <w:t>f</w:t>
      </w:r>
      <w:r w:rsidRPr="0004701A">
        <w:rPr>
          <w:rFonts w:eastAsia="Times New Roman" w:cs="Calibri"/>
          <w:color w:val="000000"/>
          <w:sz w:val="22"/>
          <w:lang w:eastAsia="es-MX"/>
        </w:rPr>
        <w:t xml:space="preserve">alta </w:t>
      </w:r>
      <w:r w:rsidR="005C4147" w:rsidRPr="0004701A">
        <w:rPr>
          <w:rFonts w:eastAsia="Times New Roman" w:cs="Calibri"/>
          <w:color w:val="000000"/>
          <w:sz w:val="22"/>
          <w:lang w:eastAsia="es-MX"/>
        </w:rPr>
        <w:t>de</w:t>
      </w:r>
      <w:r w:rsidRPr="0004701A">
        <w:rPr>
          <w:rFonts w:eastAsia="Times New Roman" w:cs="Calibri"/>
          <w:color w:val="000000"/>
          <w:sz w:val="22"/>
          <w:lang w:eastAsia="es-MX"/>
        </w:rPr>
        <w:t xml:space="preserve"> coordinación </w:t>
      </w:r>
      <w:r w:rsidR="005C4147" w:rsidRPr="0004701A">
        <w:rPr>
          <w:rFonts w:eastAsia="Times New Roman" w:cs="Calibri"/>
          <w:color w:val="000000"/>
          <w:sz w:val="22"/>
          <w:lang w:eastAsia="es-MX"/>
        </w:rPr>
        <w:t>entre</w:t>
      </w:r>
      <w:r w:rsidRPr="0004701A">
        <w:rPr>
          <w:rFonts w:eastAsia="Times New Roman" w:cs="Calibri"/>
          <w:color w:val="000000"/>
          <w:sz w:val="22"/>
          <w:lang w:eastAsia="es-MX"/>
        </w:rPr>
        <w:t xml:space="preserve"> los actores gubernamentales para implementar medidas para reducir los impactos ambi</w:t>
      </w:r>
      <w:r w:rsidR="00414C41" w:rsidRPr="0004701A">
        <w:rPr>
          <w:rFonts w:eastAsia="Times New Roman" w:cs="Calibri"/>
          <w:color w:val="000000"/>
          <w:sz w:val="22"/>
          <w:lang w:eastAsia="es-MX"/>
        </w:rPr>
        <w:t>e</w:t>
      </w:r>
      <w:r w:rsidR="005C4147" w:rsidRPr="0004701A">
        <w:rPr>
          <w:rFonts w:eastAsia="Times New Roman" w:cs="Calibri"/>
          <w:color w:val="000000"/>
          <w:sz w:val="22"/>
          <w:lang w:eastAsia="es-MX"/>
        </w:rPr>
        <w:t>ntales del sistema alimentario.</w:t>
      </w:r>
      <w:r w:rsidR="005C4147" w:rsidRPr="0004701A">
        <w:rPr>
          <w:rStyle w:val="FootnoteReference"/>
          <w:rFonts w:eastAsia="Times New Roman" w:cs="Calibri"/>
          <w:color w:val="000000"/>
          <w:sz w:val="22"/>
          <w:lang w:eastAsia="es-MX"/>
        </w:rPr>
        <w:footnoteReference w:id="52"/>
      </w:r>
      <w:r w:rsidR="005C4147" w:rsidRPr="0004701A">
        <w:rPr>
          <w:rFonts w:eastAsia="Times New Roman" w:cs="Calibri"/>
          <w:color w:val="000000"/>
          <w:sz w:val="22"/>
          <w:lang w:eastAsia="es-MX"/>
        </w:rPr>
        <w:t xml:space="preserve"> Así como la</w:t>
      </w:r>
      <w:r w:rsidR="00414C41" w:rsidRPr="0004701A">
        <w:rPr>
          <w:rFonts w:eastAsia="Times New Roman" w:cs="Calibri"/>
          <w:color w:val="000000"/>
          <w:sz w:val="22"/>
          <w:lang w:eastAsia="es-MX"/>
        </w:rPr>
        <w:t xml:space="preserve"> interferencia</w:t>
      </w:r>
      <w:r w:rsidRPr="0004701A">
        <w:rPr>
          <w:rFonts w:eastAsia="Times New Roman" w:cs="Calibri"/>
          <w:color w:val="000000"/>
          <w:sz w:val="22"/>
          <w:lang w:eastAsia="es-MX"/>
        </w:rPr>
        <w:t xml:space="preserve"> de la industria </w:t>
      </w:r>
      <w:r w:rsidR="0018625B" w:rsidRPr="0004701A">
        <w:rPr>
          <w:rFonts w:eastAsia="Times New Roman" w:cs="Calibri"/>
          <w:color w:val="000000"/>
          <w:sz w:val="22"/>
          <w:lang w:eastAsia="es-MX"/>
        </w:rPr>
        <w:t>agro-</w:t>
      </w:r>
      <w:r w:rsidRPr="0004701A">
        <w:rPr>
          <w:rFonts w:eastAsia="Times New Roman" w:cs="Calibri"/>
          <w:color w:val="000000"/>
          <w:sz w:val="22"/>
          <w:lang w:eastAsia="es-MX"/>
        </w:rPr>
        <w:t xml:space="preserve">alimentaria en </w:t>
      </w:r>
      <w:r w:rsidR="002C564B" w:rsidRPr="0004701A">
        <w:rPr>
          <w:rFonts w:eastAsia="Times New Roman" w:cs="Calibri"/>
          <w:color w:val="000000"/>
          <w:sz w:val="22"/>
          <w:lang w:eastAsia="es-MX"/>
        </w:rPr>
        <w:t xml:space="preserve">el desarrollo, aprobación e </w:t>
      </w:r>
      <w:r w:rsidRPr="0004701A">
        <w:rPr>
          <w:rFonts w:eastAsia="Times New Roman" w:cs="Calibri"/>
          <w:color w:val="000000"/>
          <w:sz w:val="22"/>
          <w:lang w:eastAsia="es-MX"/>
        </w:rPr>
        <w:t xml:space="preserve"> implementación de dichas medidas.</w:t>
      </w:r>
      <w:r w:rsidR="00DC0BF6" w:rsidRPr="0004701A">
        <w:rPr>
          <w:rStyle w:val="FootnoteReference"/>
          <w:rFonts w:eastAsia="Times New Roman" w:cs="Calibri"/>
          <w:color w:val="000000"/>
          <w:sz w:val="22"/>
          <w:lang w:eastAsia="es-MX"/>
        </w:rPr>
        <w:footnoteReference w:id="53"/>
      </w:r>
      <w:r w:rsidRPr="0004701A">
        <w:rPr>
          <w:rFonts w:eastAsia="Times New Roman" w:cs="Calibri"/>
          <w:color w:val="000000"/>
          <w:sz w:val="22"/>
          <w:lang w:eastAsia="es-MX"/>
        </w:rPr>
        <w:t xml:space="preserve"> </w:t>
      </w:r>
      <w:r w:rsidR="0018625B" w:rsidRPr="0004701A">
        <w:rPr>
          <w:rFonts w:eastAsia="Times New Roman" w:cs="Calibri"/>
          <w:color w:val="000000"/>
          <w:sz w:val="22"/>
          <w:lang w:eastAsia="es-MX"/>
        </w:rPr>
        <w:t xml:space="preserve"> Las industrias han realizado diferentes acciones de interferencia, las cuales van dese acciones jurídicas en contra de las medidas adoptadas por el gobierno,</w:t>
      </w:r>
      <w:r w:rsidR="0018625B" w:rsidRPr="0004701A">
        <w:rPr>
          <w:rStyle w:val="FootnoteReference"/>
          <w:rFonts w:eastAsia="Times New Roman" w:cs="Calibri"/>
          <w:color w:val="000000"/>
          <w:sz w:val="22"/>
          <w:lang w:eastAsia="es-MX"/>
        </w:rPr>
        <w:footnoteReference w:id="54"/>
      </w:r>
      <w:r w:rsidR="00334862" w:rsidRPr="0004701A">
        <w:rPr>
          <w:rFonts w:eastAsia="Times New Roman" w:cs="Calibri"/>
          <w:color w:val="000000"/>
          <w:sz w:val="22"/>
          <w:lang w:eastAsia="es-MX"/>
        </w:rPr>
        <w:t xml:space="preserve"> incluidas las amenazas con litigios en foros relacionados con el comercio internacional, como la OMC,</w:t>
      </w:r>
      <w:r w:rsidR="00334862" w:rsidRPr="0004701A">
        <w:rPr>
          <w:rStyle w:val="FootnoteReference"/>
          <w:rFonts w:eastAsia="Times New Roman" w:cs="Calibri"/>
          <w:color w:val="000000"/>
          <w:sz w:val="22"/>
          <w:lang w:eastAsia="es-MX"/>
        </w:rPr>
        <w:footnoteReference w:id="55"/>
      </w:r>
      <w:r w:rsidR="0018625B" w:rsidRPr="0004701A">
        <w:rPr>
          <w:rFonts w:eastAsia="Times New Roman" w:cs="Calibri"/>
          <w:color w:val="000000"/>
          <w:sz w:val="22"/>
          <w:lang w:eastAsia="es-MX"/>
        </w:rPr>
        <w:t xml:space="preserve"> hasta la presión que realizan en </w:t>
      </w:r>
      <w:r w:rsidR="00334862" w:rsidRPr="0004701A">
        <w:rPr>
          <w:rFonts w:eastAsia="Times New Roman" w:cs="Calibri"/>
          <w:color w:val="000000"/>
          <w:sz w:val="22"/>
          <w:lang w:eastAsia="es-MX"/>
        </w:rPr>
        <w:t xml:space="preserve">espacios </w:t>
      </w:r>
      <w:r w:rsidR="0018625B" w:rsidRPr="0004701A">
        <w:rPr>
          <w:rFonts w:eastAsia="Times New Roman" w:cs="Calibri"/>
          <w:color w:val="000000"/>
          <w:sz w:val="22"/>
          <w:lang w:eastAsia="es-MX"/>
        </w:rPr>
        <w:t>legislativos, reglamentarios e internacionales,</w:t>
      </w:r>
      <w:r w:rsidR="0018625B" w:rsidRPr="0004701A">
        <w:rPr>
          <w:rStyle w:val="FootnoteReference"/>
          <w:rFonts w:eastAsia="Times New Roman" w:cs="Calibri"/>
          <w:color w:val="000000"/>
          <w:sz w:val="22"/>
          <w:lang w:eastAsia="es-MX"/>
        </w:rPr>
        <w:footnoteReference w:id="56"/>
      </w:r>
      <w:r w:rsidR="0018625B" w:rsidRPr="0004701A">
        <w:rPr>
          <w:rFonts w:eastAsia="Times New Roman" w:cs="Calibri"/>
          <w:color w:val="000000"/>
          <w:sz w:val="22"/>
          <w:lang w:eastAsia="es-MX"/>
        </w:rPr>
        <w:t xml:space="preserve"> lo cual han provocado el retraso u omisión del gobierno mexicano para atender problemas urgentes.</w:t>
      </w:r>
    </w:p>
    <w:p w:rsidR="0018625B" w:rsidRPr="0004701A" w:rsidRDefault="0018625B" w:rsidP="0018625B">
      <w:pPr>
        <w:shd w:val="clear" w:color="auto" w:fill="FFFFFF"/>
        <w:spacing w:before="120" w:after="120" w:line="240" w:lineRule="auto"/>
        <w:jc w:val="both"/>
        <w:rPr>
          <w:rFonts w:eastAsia="Times New Roman" w:cs="Calibri"/>
          <w:color w:val="000000"/>
          <w:sz w:val="22"/>
          <w:lang w:eastAsia="es-MX"/>
        </w:rPr>
      </w:pPr>
      <w:r w:rsidRPr="0004701A">
        <w:rPr>
          <w:rFonts w:eastAsia="Times New Roman" w:cs="Calibri"/>
          <w:color w:val="000000"/>
          <w:sz w:val="22"/>
          <w:lang w:eastAsia="es-MX"/>
        </w:rPr>
        <w:t>Finalmente, existe una tendencia a no señalar la responsabilidad de las empresas en la contaminación por el uso de plásticos generados por la industria de ultraprocesados.  En las medidas implementadas para la gestión y prevención de residuos</w:t>
      </w:r>
      <w:r w:rsidRPr="0004701A">
        <w:rPr>
          <w:rStyle w:val="FootnoteReference"/>
          <w:rFonts w:eastAsia="Times New Roman" w:cs="Calibri"/>
          <w:color w:val="000000"/>
          <w:sz w:val="22"/>
          <w:lang w:eastAsia="es-MX"/>
        </w:rPr>
        <w:footnoteReference w:id="57"/>
      </w:r>
      <w:r w:rsidRPr="0004701A">
        <w:rPr>
          <w:rFonts w:eastAsia="Times New Roman" w:cs="Calibri"/>
          <w:color w:val="000000"/>
          <w:sz w:val="22"/>
          <w:lang w:eastAsia="es-MX"/>
        </w:rPr>
        <w:t>, el gobierno continúa asignando la responsabilidad únicamente a los consumidores y pequeños comerciantes sin determinar la responsabilidad de las industrias que emiten la mayor parte de los residuos.</w:t>
      </w:r>
    </w:p>
    <w:p w:rsidR="0018625B" w:rsidRPr="0004701A" w:rsidRDefault="0018625B" w:rsidP="0018625B">
      <w:pPr>
        <w:shd w:val="clear" w:color="auto" w:fill="FFFFFF"/>
        <w:spacing w:before="120" w:after="120" w:line="240" w:lineRule="auto"/>
        <w:jc w:val="both"/>
        <w:rPr>
          <w:rFonts w:eastAsia="Times New Roman" w:cs="Calibri"/>
          <w:color w:val="000000"/>
          <w:sz w:val="22"/>
          <w:lang w:eastAsia="es-MX"/>
        </w:rPr>
      </w:pPr>
    </w:p>
    <w:p w:rsidR="00EE78CA" w:rsidRPr="0004701A" w:rsidRDefault="001D67A7" w:rsidP="00820DB2">
      <w:pPr>
        <w:numPr>
          <w:ilvl w:val="0"/>
          <w:numId w:val="1"/>
        </w:numPr>
        <w:shd w:val="clear" w:color="auto" w:fill="FFFFFF"/>
        <w:tabs>
          <w:tab w:val="clear" w:pos="360"/>
          <w:tab w:val="num" w:pos="720"/>
        </w:tabs>
        <w:spacing w:before="120" w:after="120" w:line="240" w:lineRule="auto"/>
        <w:ind w:left="720"/>
        <w:jc w:val="both"/>
        <w:rPr>
          <w:rFonts w:eastAsia="Times New Roman" w:cs="Calibri"/>
          <w:i/>
          <w:sz w:val="22"/>
          <w:lang w:eastAsia="es-MX"/>
        </w:rPr>
      </w:pPr>
      <w:r w:rsidRPr="0004701A">
        <w:rPr>
          <w:rFonts w:eastAsia="Times New Roman" w:cs="Calibri"/>
          <w:i/>
          <w:sz w:val="22"/>
          <w:lang w:eastAsia="es-MX"/>
        </w:rPr>
        <w:t>Sírvase especificar las formas en que se proporciona (o debería proporcionarse) protección adicional a los pequeños agricultores y a las poblaciones que pueden ser especialmente vulnerables a los alimentos insalubres y producidos de forma in</w:t>
      </w:r>
      <w:r w:rsidR="00DB0B07" w:rsidRPr="0004701A">
        <w:rPr>
          <w:rFonts w:eastAsia="Times New Roman" w:cs="Calibri"/>
          <w:i/>
          <w:sz w:val="22"/>
          <w:lang w:eastAsia="es-MX"/>
        </w:rPr>
        <w:t xml:space="preserve">sostenible […] </w:t>
      </w:r>
      <w:r w:rsidRPr="0004701A">
        <w:rPr>
          <w:rFonts w:eastAsia="Times New Roman" w:cs="Calibri"/>
          <w:i/>
          <w:sz w:val="22"/>
          <w:lang w:eastAsia="es-MX"/>
        </w:rPr>
        <w:t>¿Cómo se puede capacitar a estas poblaciones para que produzcan y consuman alimentos sanos y producidos de forma sostenible?</w:t>
      </w:r>
    </w:p>
    <w:p w:rsidR="001D67A7" w:rsidRPr="0004701A" w:rsidRDefault="001D67A7" w:rsidP="009F6661">
      <w:pPr>
        <w:shd w:val="clear" w:color="auto" w:fill="FFFFFF"/>
        <w:spacing w:before="120" w:after="120" w:line="240" w:lineRule="auto"/>
        <w:jc w:val="both"/>
        <w:rPr>
          <w:rFonts w:eastAsia="Times New Roman" w:cs="Calibri"/>
          <w:sz w:val="22"/>
          <w:lang w:eastAsia="es-MX"/>
        </w:rPr>
      </w:pPr>
      <w:r w:rsidRPr="0004701A">
        <w:rPr>
          <w:rFonts w:eastAsia="Times New Roman" w:cs="Calibri"/>
          <w:sz w:val="22"/>
          <w:lang w:eastAsia="es-MX"/>
        </w:rPr>
        <w:t xml:space="preserve">Cada </w:t>
      </w:r>
      <w:r w:rsidR="00EE78CA" w:rsidRPr="0004701A">
        <w:rPr>
          <w:rFonts w:eastAsia="Times New Roman" w:cs="Calibri"/>
          <w:sz w:val="22"/>
          <w:lang w:eastAsia="es-MX"/>
        </w:rPr>
        <w:t>grupo</w:t>
      </w:r>
      <w:r w:rsidRPr="0004701A">
        <w:rPr>
          <w:rFonts w:eastAsia="Times New Roman" w:cs="Calibri"/>
          <w:sz w:val="22"/>
          <w:lang w:eastAsia="es-MX"/>
        </w:rPr>
        <w:t xml:space="preserve"> requiere diversas medidas </w:t>
      </w:r>
      <w:r w:rsidR="00414C41" w:rsidRPr="0004701A">
        <w:rPr>
          <w:rFonts w:eastAsia="Times New Roman" w:cs="Calibri"/>
          <w:sz w:val="22"/>
          <w:lang w:eastAsia="es-MX"/>
        </w:rPr>
        <w:t>de protección</w:t>
      </w:r>
      <w:r w:rsidRPr="0004701A">
        <w:rPr>
          <w:rFonts w:eastAsia="Times New Roman" w:cs="Calibri"/>
          <w:sz w:val="22"/>
          <w:lang w:eastAsia="es-MX"/>
        </w:rPr>
        <w:t>. Por ejemplo: garantizar a las mujeres la p</w:t>
      </w:r>
      <w:r w:rsidR="00BB4675" w:rsidRPr="0004701A">
        <w:rPr>
          <w:rFonts w:eastAsia="Times New Roman" w:cs="Calibri"/>
          <w:sz w:val="22"/>
          <w:lang w:eastAsia="es-MX"/>
        </w:rPr>
        <w:t xml:space="preserve">ropiedad </w:t>
      </w:r>
      <w:r w:rsidRPr="0004701A">
        <w:rPr>
          <w:rFonts w:eastAsia="Times New Roman" w:cs="Calibri"/>
          <w:sz w:val="22"/>
          <w:lang w:eastAsia="es-MX"/>
        </w:rPr>
        <w:t>de la tierra;</w:t>
      </w:r>
      <w:r w:rsidR="009A52DE" w:rsidRPr="0004701A">
        <w:rPr>
          <w:rStyle w:val="FootnoteReference"/>
          <w:rFonts w:eastAsia="Times New Roman" w:cs="Calibri"/>
          <w:sz w:val="22"/>
          <w:lang w:eastAsia="es-MX"/>
        </w:rPr>
        <w:footnoteReference w:id="58"/>
      </w:r>
      <w:r w:rsidRPr="0004701A">
        <w:rPr>
          <w:rFonts w:eastAsia="Times New Roman" w:cs="Calibri"/>
          <w:sz w:val="22"/>
          <w:lang w:eastAsia="es-MX"/>
        </w:rPr>
        <w:t xml:space="preserve"> </w:t>
      </w:r>
      <w:r w:rsidR="00614EC5" w:rsidRPr="0004701A">
        <w:rPr>
          <w:rFonts w:eastAsia="Times New Roman" w:cs="Calibri"/>
          <w:sz w:val="22"/>
          <w:lang w:eastAsia="es-MX"/>
        </w:rPr>
        <w:t xml:space="preserve">proteger a los niños </w:t>
      </w:r>
      <w:r w:rsidRPr="0004701A">
        <w:rPr>
          <w:rFonts w:eastAsia="Times New Roman" w:cs="Calibri"/>
          <w:sz w:val="22"/>
          <w:lang w:eastAsia="es-MX"/>
        </w:rPr>
        <w:t>de la comercialización agresiva de productos ultraprocesados;</w:t>
      </w:r>
      <w:r w:rsidR="009A52DE" w:rsidRPr="0004701A">
        <w:rPr>
          <w:rStyle w:val="FootnoteReference"/>
          <w:rFonts w:eastAsia="Times New Roman" w:cs="Calibri"/>
          <w:sz w:val="22"/>
          <w:lang w:eastAsia="es-MX"/>
        </w:rPr>
        <w:footnoteReference w:id="59"/>
      </w:r>
      <w:r w:rsidRPr="0004701A">
        <w:rPr>
          <w:rFonts w:eastAsia="Times New Roman" w:cs="Calibri"/>
          <w:sz w:val="22"/>
          <w:lang w:eastAsia="es-MX"/>
        </w:rPr>
        <w:t xml:space="preserve"> </w:t>
      </w:r>
      <w:r w:rsidR="00614EC5" w:rsidRPr="0004701A">
        <w:rPr>
          <w:rFonts w:eastAsia="Times New Roman" w:cs="Calibri"/>
          <w:sz w:val="22"/>
          <w:lang w:eastAsia="es-MX"/>
        </w:rPr>
        <w:t xml:space="preserve">proteger </w:t>
      </w:r>
      <w:r w:rsidRPr="0004701A">
        <w:rPr>
          <w:rFonts w:eastAsia="Times New Roman" w:cs="Calibri"/>
          <w:sz w:val="22"/>
          <w:lang w:eastAsia="es-MX"/>
        </w:rPr>
        <w:t>el ter</w:t>
      </w:r>
      <w:r w:rsidR="00F66881" w:rsidRPr="0004701A">
        <w:rPr>
          <w:rFonts w:eastAsia="Times New Roman" w:cs="Calibri"/>
          <w:sz w:val="22"/>
          <w:lang w:eastAsia="es-MX"/>
        </w:rPr>
        <w:t xml:space="preserve">ritorio, recursos y formas de uso </w:t>
      </w:r>
      <w:r w:rsidRPr="0004701A">
        <w:rPr>
          <w:rFonts w:eastAsia="Times New Roman" w:cs="Calibri"/>
          <w:sz w:val="22"/>
          <w:lang w:eastAsia="es-MX"/>
        </w:rPr>
        <w:t>de los pueblos indígenas y comunidades tradicionales.</w:t>
      </w:r>
      <w:r w:rsidR="009A52DE" w:rsidRPr="0004701A">
        <w:rPr>
          <w:rStyle w:val="FootnoteReference"/>
          <w:rFonts w:eastAsia="Times New Roman" w:cs="Calibri"/>
          <w:sz w:val="22"/>
          <w:lang w:eastAsia="es-MX"/>
        </w:rPr>
        <w:footnoteReference w:id="60"/>
      </w:r>
      <w:r w:rsidRPr="0004701A">
        <w:rPr>
          <w:rFonts w:eastAsia="Times New Roman" w:cs="Calibri"/>
          <w:sz w:val="22"/>
          <w:lang w:eastAsia="es-MX"/>
        </w:rPr>
        <w:t xml:space="preserve"> Por otra parte, los pueblos indígenas y comunidades tradicionales s</w:t>
      </w:r>
      <w:r w:rsidR="00F66881" w:rsidRPr="0004701A">
        <w:rPr>
          <w:rFonts w:eastAsia="Times New Roman" w:cs="Calibri"/>
          <w:sz w:val="22"/>
          <w:lang w:eastAsia="es-MX"/>
        </w:rPr>
        <w:t>uelen</w:t>
      </w:r>
      <w:r w:rsidR="00786E18" w:rsidRPr="0004701A">
        <w:rPr>
          <w:rFonts w:eastAsia="Times New Roman" w:cs="Calibri"/>
          <w:sz w:val="22"/>
          <w:lang w:eastAsia="es-MX"/>
        </w:rPr>
        <w:t xml:space="preserve"> producir alimentos sanos </w:t>
      </w:r>
      <w:r w:rsidRPr="0004701A">
        <w:rPr>
          <w:rFonts w:eastAsia="Times New Roman" w:cs="Calibri"/>
          <w:sz w:val="22"/>
          <w:lang w:eastAsia="es-MX"/>
        </w:rPr>
        <w:t>de forma sostenible</w:t>
      </w:r>
      <w:r w:rsidR="002905B8" w:rsidRPr="0004701A">
        <w:rPr>
          <w:rStyle w:val="FootnoteReference"/>
          <w:rFonts w:eastAsia="Times New Roman" w:cs="Calibri"/>
          <w:sz w:val="22"/>
          <w:lang w:eastAsia="es-MX"/>
        </w:rPr>
        <w:footnoteReference w:id="61"/>
      </w:r>
      <w:r w:rsidR="00BD64A7" w:rsidRPr="0004701A">
        <w:rPr>
          <w:rFonts w:eastAsia="Times New Roman" w:cs="Calibri"/>
          <w:sz w:val="22"/>
          <w:lang w:eastAsia="es-MX"/>
        </w:rPr>
        <w:t>, por lo que</w:t>
      </w:r>
      <w:r w:rsidR="000A00DC" w:rsidRPr="0004701A">
        <w:rPr>
          <w:rFonts w:eastAsia="Times New Roman" w:cs="Calibri"/>
          <w:sz w:val="22"/>
          <w:lang w:eastAsia="es-MX"/>
        </w:rPr>
        <w:t xml:space="preserve">, </w:t>
      </w:r>
      <w:r w:rsidRPr="0004701A">
        <w:rPr>
          <w:rFonts w:eastAsia="Times New Roman" w:cs="Calibri"/>
          <w:sz w:val="22"/>
          <w:lang w:eastAsia="es-MX"/>
        </w:rPr>
        <w:t xml:space="preserve">antes de capacitar es necesario evaluar </w:t>
      </w:r>
      <w:r w:rsidR="00414C41" w:rsidRPr="0004701A">
        <w:rPr>
          <w:rFonts w:eastAsia="Times New Roman" w:cs="Calibri"/>
          <w:sz w:val="22"/>
          <w:lang w:eastAsia="es-MX"/>
        </w:rPr>
        <w:t xml:space="preserve">si </w:t>
      </w:r>
      <w:r w:rsidR="00BD64A7" w:rsidRPr="0004701A">
        <w:rPr>
          <w:rFonts w:eastAsia="Times New Roman" w:cs="Calibri"/>
          <w:sz w:val="22"/>
          <w:lang w:eastAsia="es-MX"/>
        </w:rPr>
        <w:t>es más conveniente</w:t>
      </w:r>
      <w:r w:rsidRPr="0004701A">
        <w:rPr>
          <w:rFonts w:eastAsia="Times New Roman" w:cs="Calibri"/>
          <w:sz w:val="22"/>
          <w:lang w:eastAsia="es-MX"/>
        </w:rPr>
        <w:t xml:space="preserve"> </w:t>
      </w:r>
      <w:r w:rsidR="002C564B" w:rsidRPr="0004701A">
        <w:rPr>
          <w:rFonts w:eastAsia="Times New Roman" w:cs="Calibri"/>
          <w:sz w:val="22"/>
          <w:lang w:eastAsia="es-MX"/>
        </w:rPr>
        <w:t xml:space="preserve">proteger y promover </w:t>
      </w:r>
      <w:r w:rsidRPr="0004701A">
        <w:rPr>
          <w:rFonts w:eastAsia="Times New Roman" w:cs="Calibri"/>
          <w:sz w:val="22"/>
          <w:lang w:eastAsia="es-MX"/>
        </w:rPr>
        <w:t>dichos conocimientos. En relación con o</w:t>
      </w:r>
      <w:r w:rsidR="00786E18" w:rsidRPr="0004701A">
        <w:rPr>
          <w:rFonts w:eastAsia="Times New Roman" w:cs="Calibri"/>
          <w:sz w:val="22"/>
          <w:lang w:eastAsia="es-MX"/>
        </w:rPr>
        <w:t xml:space="preserve">tras poblaciones, es necesario </w:t>
      </w:r>
      <w:r w:rsidR="00BD64A7" w:rsidRPr="0004701A">
        <w:rPr>
          <w:rFonts w:eastAsia="Times New Roman" w:cs="Calibri"/>
          <w:sz w:val="22"/>
          <w:lang w:eastAsia="es-MX"/>
        </w:rPr>
        <w:t>educar sobre</w:t>
      </w:r>
      <w:r w:rsidRPr="0004701A">
        <w:rPr>
          <w:rFonts w:eastAsia="Times New Roman" w:cs="Calibri"/>
          <w:sz w:val="22"/>
          <w:lang w:eastAsia="es-MX"/>
        </w:rPr>
        <w:t xml:space="preserve"> los peligros del actual sistema aliment</w:t>
      </w:r>
      <w:r w:rsidR="00AB541B" w:rsidRPr="0004701A">
        <w:rPr>
          <w:rFonts w:eastAsia="Times New Roman" w:cs="Calibri"/>
          <w:sz w:val="22"/>
          <w:lang w:eastAsia="es-MX"/>
        </w:rPr>
        <w:t xml:space="preserve">ario, </w:t>
      </w:r>
      <w:r w:rsidR="00BD64A7" w:rsidRPr="0004701A">
        <w:rPr>
          <w:rFonts w:eastAsia="Times New Roman" w:cs="Calibri"/>
          <w:sz w:val="22"/>
          <w:lang w:eastAsia="es-MX"/>
        </w:rPr>
        <w:t>difundir</w:t>
      </w:r>
      <w:r w:rsidR="009A52DE" w:rsidRPr="0004701A">
        <w:rPr>
          <w:rFonts w:eastAsia="Times New Roman" w:cs="Calibri"/>
          <w:sz w:val="22"/>
          <w:lang w:eastAsia="es-MX"/>
        </w:rPr>
        <w:t xml:space="preserve"> alternativas</w:t>
      </w:r>
      <w:r w:rsidR="00AB541B" w:rsidRPr="0004701A">
        <w:rPr>
          <w:rFonts w:eastAsia="Times New Roman" w:cs="Calibri"/>
          <w:sz w:val="22"/>
          <w:lang w:eastAsia="es-MX"/>
        </w:rPr>
        <w:t xml:space="preserve"> e implementar medidas que desincentiven el consumo de alimentos dañinos para la salud y e</w:t>
      </w:r>
      <w:r w:rsidR="00334862" w:rsidRPr="0004701A">
        <w:rPr>
          <w:rFonts w:eastAsia="Times New Roman" w:cs="Calibri"/>
          <w:sz w:val="22"/>
          <w:lang w:eastAsia="es-MX"/>
        </w:rPr>
        <w:t>l ambiente, como el etiquetado f</w:t>
      </w:r>
      <w:r w:rsidR="00AB541B" w:rsidRPr="0004701A">
        <w:rPr>
          <w:rFonts w:eastAsia="Times New Roman" w:cs="Calibri"/>
          <w:sz w:val="22"/>
          <w:lang w:eastAsia="es-MX"/>
        </w:rPr>
        <w:t xml:space="preserve">rontal de </w:t>
      </w:r>
      <w:r w:rsidR="00334862" w:rsidRPr="0004701A">
        <w:rPr>
          <w:rFonts w:eastAsia="Times New Roman" w:cs="Calibri"/>
          <w:sz w:val="22"/>
          <w:lang w:eastAsia="es-MX"/>
        </w:rPr>
        <w:t>a</w:t>
      </w:r>
      <w:r w:rsidR="00AB541B" w:rsidRPr="0004701A">
        <w:rPr>
          <w:rFonts w:eastAsia="Times New Roman" w:cs="Calibri"/>
          <w:sz w:val="22"/>
          <w:lang w:eastAsia="es-MX"/>
        </w:rPr>
        <w:t>dvertencia y la pro</w:t>
      </w:r>
      <w:r w:rsidR="00733684" w:rsidRPr="0004701A">
        <w:rPr>
          <w:rFonts w:eastAsia="Times New Roman" w:cs="Calibri"/>
          <w:sz w:val="22"/>
          <w:lang w:eastAsia="es-MX"/>
        </w:rPr>
        <w:t>hibición de su venta en escuelas y de su publicidad</w:t>
      </w:r>
      <w:r w:rsidR="009A52DE" w:rsidRPr="0004701A">
        <w:rPr>
          <w:rFonts w:eastAsia="Times New Roman" w:cs="Calibri"/>
          <w:sz w:val="22"/>
          <w:lang w:eastAsia="es-MX"/>
        </w:rPr>
        <w:t>.</w:t>
      </w:r>
    </w:p>
    <w:p w:rsidR="00334862" w:rsidRPr="0004701A" w:rsidRDefault="00334862" w:rsidP="009F6661">
      <w:pPr>
        <w:shd w:val="clear" w:color="auto" w:fill="FFFFFF"/>
        <w:spacing w:before="120" w:after="120" w:line="240" w:lineRule="auto"/>
        <w:jc w:val="both"/>
        <w:rPr>
          <w:rFonts w:eastAsia="Times New Roman" w:cs="Calibri"/>
          <w:i/>
          <w:sz w:val="22"/>
          <w:lang w:eastAsia="es-MX"/>
        </w:rPr>
      </w:pPr>
    </w:p>
    <w:p w:rsidR="001D67A7" w:rsidRPr="0004701A" w:rsidRDefault="001D67A7" w:rsidP="00820DB2">
      <w:pPr>
        <w:numPr>
          <w:ilvl w:val="0"/>
          <w:numId w:val="1"/>
        </w:numPr>
        <w:shd w:val="clear" w:color="auto" w:fill="FFFFFF"/>
        <w:tabs>
          <w:tab w:val="clear" w:pos="360"/>
          <w:tab w:val="num" w:pos="720"/>
        </w:tabs>
        <w:spacing w:before="120" w:after="120" w:line="240" w:lineRule="auto"/>
        <w:ind w:left="720"/>
        <w:jc w:val="both"/>
        <w:rPr>
          <w:rFonts w:eastAsia="Times New Roman" w:cs="Calibri"/>
          <w:i/>
          <w:color w:val="000000"/>
          <w:sz w:val="22"/>
          <w:lang w:eastAsia="es-MX"/>
        </w:rPr>
      </w:pPr>
      <w:r w:rsidRPr="0004701A">
        <w:rPr>
          <w:rFonts w:eastAsia="Times New Roman" w:cs="Calibri"/>
          <w:i/>
          <w:color w:val="000000"/>
          <w:sz w:val="22"/>
          <w:lang w:eastAsia="es-MX"/>
        </w:rPr>
        <w:t>¿Cómo se asegura que se protegen los derechos de los ecologistas que trabajan en cuestiones alimentarias (defensores de los derechos humanos medioambientales)? ¿Qué esfuerzos ha realizado su Gobierno, empresa u organización para crear un entorno seguro y propicio para que puedan ejercer libremente sus derechos sin miedo a la violencia, la intimidación o las represalias?</w:t>
      </w:r>
    </w:p>
    <w:p w:rsidR="00EE773A" w:rsidRPr="0004701A" w:rsidRDefault="001D67A7" w:rsidP="00820DB2">
      <w:pPr>
        <w:shd w:val="clear" w:color="auto" w:fill="FFFFFF"/>
        <w:spacing w:before="120" w:after="120" w:line="240" w:lineRule="auto"/>
        <w:jc w:val="both"/>
        <w:rPr>
          <w:rFonts w:eastAsia="Times New Roman" w:cs="Calibri"/>
          <w:color w:val="000000"/>
          <w:sz w:val="22"/>
          <w:lang w:eastAsia="es-MX"/>
        </w:rPr>
      </w:pPr>
      <w:r w:rsidRPr="0004701A">
        <w:rPr>
          <w:rFonts w:eastAsia="Times New Roman" w:cs="Calibri"/>
          <w:color w:val="000000"/>
          <w:sz w:val="22"/>
          <w:lang w:eastAsia="es-MX"/>
        </w:rPr>
        <w:t xml:space="preserve">El Estado </w:t>
      </w:r>
      <w:r w:rsidR="00DB0B07" w:rsidRPr="0004701A">
        <w:rPr>
          <w:rFonts w:eastAsia="Times New Roman" w:cs="Calibri"/>
          <w:color w:val="000000"/>
          <w:sz w:val="22"/>
          <w:lang w:eastAsia="es-MX"/>
        </w:rPr>
        <w:t xml:space="preserve">ha fallado en garantizar protección a los defensores de derechos humanos medioambientales, pues </w:t>
      </w:r>
      <w:r w:rsidRPr="0004701A">
        <w:rPr>
          <w:rFonts w:eastAsia="Times New Roman" w:cs="Calibri"/>
          <w:color w:val="000000"/>
          <w:sz w:val="22"/>
          <w:lang w:eastAsia="es-MX"/>
        </w:rPr>
        <w:t xml:space="preserve">debe </w:t>
      </w:r>
      <w:r w:rsidR="00CE7A40" w:rsidRPr="0004701A">
        <w:rPr>
          <w:rFonts w:eastAsia="Times New Roman" w:cs="Calibri"/>
          <w:color w:val="000000"/>
          <w:sz w:val="22"/>
          <w:lang w:eastAsia="es-MX"/>
        </w:rPr>
        <w:t>reconocerlos</w:t>
      </w:r>
      <w:r w:rsidR="00293174" w:rsidRPr="0004701A">
        <w:rPr>
          <w:rFonts w:eastAsia="Times New Roman" w:cs="Calibri"/>
          <w:color w:val="000000"/>
          <w:sz w:val="22"/>
          <w:lang w:eastAsia="es-MX"/>
        </w:rPr>
        <w:t xml:space="preserve"> </w:t>
      </w:r>
      <w:r w:rsidR="00EA16FA" w:rsidRPr="0004701A">
        <w:rPr>
          <w:rFonts w:eastAsia="Times New Roman" w:cs="Calibri"/>
          <w:color w:val="000000"/>
          <w:sz w:val="22"/>
          <w:lang w:eastAsia="es-MX"/>
        </w:rPr>
        <w:t xml:space="preserve">y </w:t>
      </w:r>
      <w:r w:rsidR="00614EC5" w:rsidRPr="0004701A">
        <w:rPr>
          <w:rFonts w:eastAsia="Times New Roman" w:cs="Calibri"/>
          <w:color w:val="000000"/>
          <w:sz w:val="22"/>
          <w:lang w:eastAsia="es-MX"/>
        </w:rPr>
        <w:t xml:space="preserve">no </w:t>
      </w:r>
      <w:r w:rsidR="00EA16FA" w:rsidRPr="0004701A">
        <w:rPr>
          <w:rFonts w:eastAsia="Times New Roman" w:cs="Calibri"/>
          <w:color w:val="000000"/>
          <w:sz w:val="22"/>
          <w:lang w:eastAsia="es-MX"/>
        </w:rPr>
        <w:t>criminalizarlos</w:t>
      </w:r>
      <w:r w:rsidR="009059BD" w:rsidRPr="0004701A">
        <w:rPr>
          <w:rFonts w:eastAsia="Times New Roman" w:cs="Calibri"/>
          <w:color w:val="000000"/>
          <w:sz w:val="22"/>
          <w:lang w:eastAsia="es-MX"/>
        </w:rPr>
        <w:t>.</w:t>
      </w:r>
      <w:r w:rsidR="00293174" w:rsidRPr="0004701A">
        <w:rPr>
          <w:rStyle w:val="FootnoteReference"/>
          <w:rFonts w:eastAsia="Times New Roman" w:cs="Calibri"/>
          <w:color w:val="000000"/>
          <w:sz w:val="22"/>
          <w:lang w:eastAsia="es-MX"/>
        </w:rPr>
        <w:t xml:space="preserve"> </w:t>
      </w:r>
      <w:r w:rsidR="00293174" w:rsidRPr="0004701A">
        <w:rPr>
          <w:rStyle w:val="FootnoteReference"/>
          <w:rFonts w:eastAsia="Times New Roman" w:cs="Calibri"/>
          <w:color w:val="000000"/>
          <w:sz w:val="22"/>
          <w:lang w:eastAsia="es-MX"/>
        </w:rPr>
        <w:footnoteReference w:id="62"/>
      </w:r>
      <w:r w:rsidR="00293174" w:rsidRPr="0004701A">
        <w:rPr>
          <w:rFonts w:eastAsia="Times New Roman" w:cs="Calibri"/>
          <w:color w:val="000000"/>
          <w:sz w:val="22"/>
          <w:lang w:eastAsia="es-MX"/>
        </w:rPr>
        <w:t xml:space="preserve"> </w:t>
      </w:r>
      <w:r w:rsidRPr="0004701A">
        <w:rPr>
          <w:rFonts w:eastAsia="Times New Roman" w:cs="Calibri"/>
          <w:color w:val="000000"/>
          <w:sz w:val="22"/>
          <w:lang w:eastAsia="es-MX"/>
        </w:rPr>
        <w:t xml:space="preserve"> </w:t>
      </w:r>
      <w:r w:rsidR="00EA16FA" w:rsidRPr="0004701A">
        <w:rPr>
          <w:rFonts w:eastAsia="Times New Roman" w:cs="Calibri"/>
          <w:color w:val="000000"/>
          <w:sz w:val="22"/>
          <w:lang w:eastAsia="es-MX"/>
        </w:rPr>
        <w:t>También debe</w:t>
      </w:r>
      <w:r w:rsidR="009059BD" w:rsidRPr="0004701A">
        <w:rPr>
          <w:rFonts w:eastAsia="Times New Roman" w:cs="Calibri"/>
          <w:color w:val="000000"/>
          <w:sz w:val="22"/>
          <w:lang w:eastAsia="es-MX"/>
        </w:rPr>
        <w:t xml:space="preserve"> prevenir e</w:t>
      </w:r>
      <w:r w:rsidRPr="0004701A">
        <w:rPr>
          <w:rFonts w:eastAsia="Times New Roman" w:cs="Calibri"/>
          <w:color w:val="000000"/>
          <w:sz w:val="22"/>
          <w:lang w:eastAsia="es-MX"/>
        </w:rPr>
        <w:t xml:space="preserve"> investigar toda </w:t>
      </w:r>
      <w:r w:rsidR="00EA16FA" w:rsidRPr="0004701A">
        <w:rPr>
          <w:rFonts w:eastAsia="Times New Roman" w:cs="Calibri"/>
          <w:color w:val="000000"/>
          <w:sz w:val="22"/>
          <w:lang w:eastAsia="es-MX"/>
        </w:rPr>
        <w:t xml:space="preserve">amenaza o </w:t>
      </w:r>
      <w:r w:rsidRPr="0004701A">
        <w:rPr>
          <w:rFonts w:eastAsia="Times New Roman" w:cs="Calibri"/>
          <w:color w:val="000000"/>
          <w:sz w:val="22"/>
          <w:lang w:eastAsia="es-MX"/>
        </w:rPr>
        <w:t>agresión a dichos defensores y castigar a los responsables.</w:t>
      </w:r>
      <w:r w:rsidR="009059BD" w:rsidRPr="0004701A">
        <w:rPr>
          <w:rStyle w:val="FootnoteReference"/>
          <w:rFonts w:eastAsia="Times New Roman" w:cs="Calibri"/>
          <w:color w:val="000000"/>
          <w:sz w:val="22"/>
          <w:lang w:eastAsia="es-MX"/>
        </w:rPr>
        <w:footnoteReference w:id="63"/>
      </w:r>
      <w:r w:rsidR="009059BD" w:rsidRPr="0004701A">
        <w:rPr>
          <w:rFonts w:eastAsia="Times New Roman" w:cs="Calibri"/>
          <w:color w:val="000000"/>
          <w:sz w:val="22"/>
          <w:lang w:eastAsia="es-MX"/>
        </w:rPr>
        <w:t xml:space="preserve"> </w:t>
      </w:r>
      <w:r w:rsidR="00E061AE" w:rsidRPr="0004701A">
        <w:rPr>
          <w:rFonts w:eastAsia="Times New Roman" w:cs="Calibri"/>
          <w:color w:val="000000"/>
          <w:sz w:val="22"/>
          <w:lang w:eastAsia="es-MX"/>
        </w:rPr>
        <w:t>El</w:t>
      </w:r>
      <w:r w:rsidR="00AA2A5B" w:rsidRPr="0004701A">
        <w:rPr>
          <w:rFonts w:eastAsia="Times New Roman" w:cs="Calibri"/>
          <w:color w:val="000000"/>
          <w:sz w:val="22"/>
          <w:lang w:eastAsia="es-MX"/>
        </w:rPr>
        <w:t xml:space="preserve"> gobierno </w:t>
      </w:r>
      <w:r w:rsidR="00B30B40" w:rsidRPr="0004701A">
        <w:rPr>
          <w:rFonts w:eastAsia="Times New Roman" w:cs="Calibri"/>
          <w:color w:val="000000"/>
          <w:sz w:val="22"/>
          <w:lang w:eastAsia="es-MX"/>
        </w:rPr>
        <w:t xml:space="preserve">mexicano </w:t>
      </w:r>
      <w:r w:rsidR="00BD64A7" w:rsidRPr="0004701A">
        <w:rPr>
          <w:rFonts w:eastAsia="Times New Roman" w:cs="Calibri"/>
          <w:color w:val="000000"/>
          <w:sz w:val="22"/>
          <w:lang w:eastAsia="es-MX"/>
        </w:rPr>
        <w:t>implementó</w:t>
      </w:r>
      <w:r w:rsidR="00E061AE" w:rsidRPr="0004701A">
        <w:rPr>
          <w:rFonts w:eastAsia="Times New Roman" w:cs="Calibri"/>
          <w:color w:val="000000"/>
          <w:sz w:val="22"/>
          <w:lang w:eastAsia="es-MX"/>
        </w:rPr>
        <w:t xml:space="preserve"> </w:t>
      </w:r>
      <w:r w:rsidR="00AA2A5B" w:rsidRPr="0004701A">
        <w:rPr>
          <w:rFonts w:eastAsia="Times New Roman" w:cs="Calibri"/>
          <w:color w:val="000000"/>
          <w:sz w:val="22"/>
          <w:lang w:eastAsia="es-MX"/>
        </w:rPr>
        <w:t>el Mecanismo para la Protección de Personas Defensoras de Derechos Humanos y Periodistas</w:t>
      </w:r>
      <w:r w:rsidR="00BD64A7" w:rsidRPr="0004701A">
        <w:rPr>
          <w:rFonts w:eastAsia="Times New Roman" w:cs="Calibri"/>
          <w:color w:val="000000"/>
          <w:sz w:val="22"/>
          <w:lang w:eastAsia="es-MX"/>
        </w:rPr>
        <w:t>, s</w:t>
      </w:r>
      <w:r w:rsidR="009059BD" w:rsidRPr="0004701A">
        <w:rPr>
          <w:rFonts w:eastAsia="Times New Roman" w:cs="Calibri"/>
          <w:color w:val="000000"/>
          <w:sz w:val="22"/>
          <w:lang w:eastAsia="es-MX"/>
        </w:rPr>
        <w:t xml:space="preserve">in </w:t>
      </w:r>
      <w:r w:rsidR="00EE773A" w:rsidRPr="0004701A">
        <w:rPr>
          <w:rFonts w:eastAsia="Times New Roman" w:cs="Calibri"/>
          <w:color w:val="000000"/>
          <w:sz w:val="22"/>
          <w:lang w:eastAsia="es-MX"/>
        </w:rPr>
        <w:t xml:space="preserve">embargo, ha sido insuficiente debido a la falta de recursos financieros, humanos, coordinación con otras autoridades y de la implementación de medidas </w:t>
      </w:r>
      <w:r w:rsidR="00B30B40" w:rsidRPr="0004701A">
        <w:rPr>
          <w:rFonts w:eastAsia="Times New Roman" w:cs="Calibri"/>
          <w:color w:val="000000"/>
          <w:sz w:val="22"/>
          <w:lang w:eastAsia="es-MX"/>
        </w:rPr>
        <w:t>de protección efectivas</w:t>
      </w:r>
      <w:r w:rsidR="00EE773A" w:rsidRPr="0004701A">
        <w:rPr>
          <w:rFonts w:eastAsia="Times New Roman" w:cs="Calibri"/>
          <w:color w:val="000000"/>
          <w:sz w:val="22"/>
          <w:lang w:eastAsia="es-MX"/>
        </w:rPr>
        <w:t xml:space="preserve">. </w:t>
      </w:r>
      <w:r w:rsidR="00EE773A" w:rsidRPr="0004701A">
        <w:rPr>
          <w:rStyle w:val="FootnoteReference"/>
          <w:rFonts w:eastAsia="Times New Roman" w:cs="Calibri"/>
          <w:color w:val="000000"/>
          <w:sz w:val="22"/>
          <w:lang w:eastAsia="es-MX"/>
        </w:rPr>
        <w:footnoteReference w:id="64"/>
      </w:r>
      <w:r w:rsidR="00995598" w:rsidRPr="0004701A">
        <w:rPr>
          <w:rFonts w:eastAsia="Times New Roman" w:cs="Calibri"/>
          <w:color w:val="000000"/>
          <w:sz w:val="22"/>
          <w:lang w:eastAsia="es-MX"/>
        </w:rPr>
        <w:t xml:space="preserve"> </w:t>
      </w:r>
      <w:r w:rsidR="003A02FC" w:rsidRPr="0004701A">
        <w:rPr>
          <w:rFonts w:eastAsia="Times New Roman" w:cs="Calibri"/>
          <w:color w:val="000000"/>
          <w:sz w:val="22"/>
          <w:lang w:eastAsia="es-MX"/>
        </w:rPr>
        <w:t xml:space="preserve">Esta negligencia </w:t>
      </w:r>
      <w:r w:rsidR="00AB541B" w:rsidRPr="0004701A">
        <w:rPr>
          <w:rFonts w:eastAsia="Times New Roman" w:cs="Calibri"/>
          <w:color w:val="000000"/>
          <w:sz w:val="22"/>
          <w:lang w:eastAsia="es-MX"/>
        </w:rPr>
        <w:t xml:space="preserve">ocasionó </w:t>
      </w:r>
      <w:r w:rsidR="003A02FC" w:rsidRPr="0004701A">
        <w:rPr>
          <w:rFonts w:eastAsia="Times New Roman" w:cs="Calibri"/>
          <w:color w:val="000000"/>
          <w:sz w:val="22"/>
          <w:lang w:eastAsia="es-MX"/>
        </w:rPr>
        <w:t xml:space="preserve">que </w:t>
      </w:r>
      <w:r w:rsidR="00CE7A40" w:rsidRPr="0004701A">
        <w:rPr>
          <w:rFonts w:eastAsia="Times New Roman" w:cs="Calibri"/>
          <w:color w:val="000000"/>
          <w:sz w:val="22"/>
          <w:lang w:eastAsia="es-MX"/>
        </w:rPr>
        <w:t xml:space="preserve">México </w:t>
      </w:r>
      <w:r w:rsidR="00AB541B" w:rsidRPr="0004701A">
        <w:rPr>
          <w:rFonts w:eastAsia="Times New Roman" w:cs="Calibri"/>
          <w:color w:val="000000"/>
          <w:sz w:val="22"/>
          <w:lang w:eastAsia="es-MX"/>
        </w:rPr>
        <w:t>fuera</w:t>
      </w:r>
      <w:r w:rsidR="00CE7A40" w:rsidRPr="0004701A">
        <w:rPr>
          <w:rFonts w:eastAsia="Times New Roman" w:cs="Calibri"/>
          <w:color w:val="000000"/>
          <w:sz w:val="22"/>
          <w:lang w:eastAsia="es-MX"/>
        </w:rPr>
        <w:t xml:space="preserve"> el cuarto país más peligroso para los defensores en 2020,</w:t>
      </w:r>
      <w:r w:rsidR="00CE7A40" w:rsidRPr="0004701A">
        <w:rPr>
          <w:rStyle w:val="FootnoteReference"/>
          <w:rFonts w:eastAsia="Times New Roman" w:cs="Calibri"/>
          <w:color w:val="000000"/>
          <w:sz w:val="22"/>
          <w:lang w:eastAsia="es-MX"/>
        </w:rPr>
        <w:footnoteReference w:id="65"/>
      </w:r>
      <w:r w:rsidR="00CE7A40" w:rsidRPr="0004701A">
        <w:rPr>
          <w:rFonts w:eastAsia="Times New Roman" w:cs="Calibri"/>
          <w:color w:val="000000"/>
          <w:sz w:val="22"/>
          <w:lang w:eastAsia="es-MX"/>
        </w:rPr>
        <w:t xml:space="preserve"> </w:t>
      </w:r>
      <w:r w:rsidR="000B6139" w:rsidRPr="0004701A">
        <w:rPr>
          <w:rFonts w:eastAsia="Times New Roman" w:cs="Calibri"/>
          <w:color w:val="000000"/>
          <w:sz w:val="22"/>
          <w:lang w:eastAsia="es-MX"/>
        </w:rPr>
        <w:t xml:space="preserve">año </w:t>
      </w:r>
      <w:r w:rsidR="00CE7A40" w:rsidRPr="0004701A">
        <w:rPr>
          <w:rFonts w:eastAsia="Times New Roman" w:cs="Calibri"/>
          <w:color w:val="000000"/>
          <w:sz w:val="22"/>
          <w:lang w:eastAsia="es-MX"/>
        </w:rPr>
        <w:t>en que 18 de ellos fueron asesinados.</w:t>
      </w:r>
      <w:r w:rsidR="00CE7A40" w:rsidRPr="0004701A">
        <w:rPr>
          <w:rStyle w:val="FootnoteReference"/>
          <w:rFonts w:eastAsia="Times New Roman" w:cs="Calibri"/>
          <w:color w:val="000000"/>
          <w:sz w:val="22"/>
          <w:lang w:eastAsia="es-MX"/>
        </w:rPr>
        <w:footnoteReference w:id="66"/>
      </w:r>
      <w:r w:rsidR="00CE7A40" w:rsidRPr="0004701A">
        <w:rPr>
          <w:rFonts w:eastAsia="Times New Roman" w:cs="Calibri"/>
          <w:color w:val="000000"/>
          <w:sz w:val="22"/>
          <w:lang w:eastAsia="es-MX"/>
        </w:rPr>
        <w:t xml:space="preserve"> </w:t>
      </w:r>
      <w:r w:rsidR="00BD64A7" w:rsidRPr="0004701A">
        <w:rPr>
          <w:rFonts w:eastAsia="Times New Roman" w:cs="Calibri"/>
          <w:color w:val="000000"/>
          <w:sz w:val="22"/>
          <w:lang w:eastAsia="es-MX"/>
        </w:rPr>
        <w:t>E</w:t>
      </w:r>
      <w:r w:rsidR="003A02FC" w:rsidRPr="0004701A">
        <w:rPr>
          <w:rFonts w:eastAsia="Times New Roman" w:cs="Calibri"/>
          <w:color w:val="000000"/>
          <w:sz w:val="22"/>
          <w:lang w:eastAsia="es-MX"/>
        </w:rPr>
        <w:t xml:space="preserve">l Estado mexicano también </w:t>
      </w:r>
      <w:r w:rsidR="00BD64A7" w:rsidRPr="0004701A">
        <w:rPr>
          <w:rFonts w:eastAsia="Times New Roman" w:cs="Calibri"/>
          <w:color w:val="000000"/>
          <w:sz w:val="22"/>
          <w:lang w:eastAsia="es-MX"/>
        </w:rPr>
        <w:t xml:space="preserve">agrede directamente a personas defensoras, mediante actos como el uso de </w:t>
      </w:r>
      <w:r w:rsidR="003A02FC" w:rsidRPr="0004701A">
        <w:rPr>
          <w:rFonts w:eastAsia="Times New Roman" w:cs="Calibri"/>
          <w:color w:val="000000"/>
          <w:sz w:val="22"/>
          <w:lang w:eastAsia="es-MX"/>
        </w:rPr>
        <w:t>software de espionaje</w:t>
      </w:r>
      <w:r w:rsidR="00BD64A7" w:rsidRPr="0004701A">
        <w:rPr>
          <w:rFonts w:eastAsia="Times New Roman" w:cs="Calibri"/>
          <w:color w:val="000000"/>
          <w:sz w:val="22"/>
          <w:lang w:eastAsia="es-MX"/>
        </w:rPr>
        <w:t xml:space="preserve"> para intimidar u obstaculizar sus labores.</w:t>
      </w:r>
      <w:r w:rsidR="003A02FC" w:rsidRPr="0004701A">
        <w:rPr>
          <w:rFonts w:eastAsia="Times New Roman" w:cs="Calibri"/>
          <w:color w:val="000000"/>
          <w:sz w:val="22"/>
          <w:lang w:eastAsia="es-MX"/>
        </w:rPr>
        <w:t>.</w:t>
      </w:r>
      <w:r w:rsidR="00AB541B" w:rsidRPr="0004701A">
        <w:rPr>
          <w:rStyle w:val="FootnoteReference"/>
          <w:rFonts w:eastAsia="Times New Roman" w:cs="Calibri"/>
          <w:color w:val="000000"/>
          <w:sz w:val="22"/>
          <w:lang w:eastAsia="es-MX"/>
        </w:rPr>
        <w:footnoteReference w:id="67"/>
      </w:r>
    </w:p>
    <w:p w:rsidR="00334862" w:rsidRPr="0004701A" w:rsidRDefault="00334862" w:rsidP="00820DB2">
      <w:pPr>
        <w:shd w:val="clear" w:color="auto" w:fill="FFFFFF"/>
        <w:spacing w:before="120" w:after="120" w:line="240" w:lineRule="auto"/>
        <w:jc w:val="both"/>
        <w:rPr>
          <w:rFonts w:eastAsia="Times New Roman" w:cs="Calibri"/>
          <w:color w:val="000000"/>
          <w:sz w:val="22"/>
          <w:lang w:eastAsia="es-MX"/>
        </w:rPr>
      </w:pPr>
    </w:p>
    <w:p w:rsidR="00067F43" w:rsidRPr="0004701A" w:rsidRDefault="001D67A7" w:rsidP="00820DB2">
      <w:pPr>
        <w:numPr>
          <w:ilvl w:val="0"/>
          <w:numId w:val="1"/>
        </w:numPr>
        <w:shd w:val="clear" w:color="auto" w:fill="FFFFFF"/>
        <w:tabs>
          <w:tab w:val="clear" w:pos="360"/>
          <w:tab w:val="num" w:pos="720"/>
        </w:tabs>
        <w:spacing w:before="120" w:after="120" w:line="240" w:lineRule="auto"/>
        <w:ind w:left="720"/>
        <w:jc w:val="both"/>
        <w:rPr>
          <w:rFonts w:eastAsia="Times New Roman" w:cs="Calibri"/>
          <w:i/>
          <w:color w:val="000000"/>
          <w:sz w:val="22"/>
          <w:lang w:eastAsia="es-MX"/>
        </w:rPr>
      </w:pPr>
      <w:r w:rsidRPr="0004701A">
        <w:rPr>
          <w:rFonts w:eastAsia="Times New Roman" w:cs="Calibri"/>
          <w:i/>
          <w:color w:val="000000"/>
          <w:sz w:val="22"/>
          <w:lang w:eastAsia="es-MX"/>
        </w:rPr>
        <w:t>Hay pruebas sustanciales de que las acciones de los Estados de altos ingresos (por ejemplo, los altos niveles de consumo de carne, el exceso de calorías y el desperdicio de alimentos) están relacionadas con los efectos adversos sobre la disponibilidad de alimentos, la calidad de los alimentos y la salud de los ecosistemas en los Estados de bajos y medianos ingresos. ¿Cómo pueden los Estados de altos ingresos ayudar a los de bajos ingresos a reducir los impactos ambientales de los sistemas alimentarios y promover al mismo tiempo alimentos sanos y producidos de forma sostenible?</w:t>
      </w:r>
    </w:p>
    <w:p w:rsidR="001D67A7" w:rsidRPr="006D1E16" w:rsidRDefault="00067F43" w:rsidP="00820DB2">
      <w:pPr>
        <w:shd w:val="clear" w:color="auto" w:fill="FFFFFF"/>
        <w:spacing w:before="120" w:after="120" w:line="240" w:lineRule="auto"/>
        <w:jc w:val="both"/>
        <w:rPr>
          <w:rFonts w:eastAsia="Times New Roman" w:cs="Calibri"/>
          <w:color w:val="000000"/>
          <w:lang w:eastAsia="es-MX"/>
        </w:rPr>
      </w:pPr>
      <w:r w:rsidRPr="0004701A">
        <w:rPr>
          <w:rFonts w:eastAsia="Times New Roman" w:cs="Calibri"/>
          <w:color w:val="000000"/>
          <w:sz w:val="22"/>
          <w:lang w:eastAsia="es-MX"/>
        </w:rPr>
        <w:t xml:space="preserve">Los países de altos ingresos </w:t>
      </w:r>
      <w:r w:rsidR="00DC0F8B" w:rsidRPr="0004701A">
        <w:rPr>
          <w:rFonts w:eastAsia="Times New Roman" w:cs="Calibri"/>
          <w:color w:val="000000"/>
          <w:sz w:val="22"/>
          <w:lang w:eastAsia="es-MX"/>
        </w:rPr>
        <w:t>deben evitar</w:t>
      </w:r>
      <w:r w:rsidRPr="0004701A">
        <w:rPr>
          <w:rFonts w:eastAsia="Times New Roman" w:cs="Calibri"/>
          <w:color w:val="000000"/>
          <w:sz w:val="22"/>
          <w:lang w:eastAsia="es-MX"/>
        </w:rPr>
        <w:t xml:space="preserve"> </w:t>
      </w:r>
      <w:r w:rsidR="00676D7E" w:rsidRPr="0004701A">
        <w:rPr>
          <w:rFonts w:eastAsia="Times New Roman" w:cs="Calibri"/>
          <w:color w:val="000000"/>
          <w:sz w:val="22"/>
          <w:lang w:eastAsia="es-MX"/>
        </w:rPr>
        <w:t>obstaculizar</w:t>
      </w:r>
      <w:r w:rsidRPr="0004701A">
        <w:rPr>
          <w:rFonts w:eastAsia="Times New Roman" w:cs="Calibri"/>
          <w:color w:val="000000"/>
          <w:sz w:val="22"/>
          <w:lang w:eastAsia="es-MX"/>
        </w:rPr>
        <w:t xml:space="preserve"> la adopción de políticas de los países de bajos ingresos </w:t>
      </w:r>
      <w:r w:rsidR="00676D7E" w:rsidRPr="0004701A">
        <w:rPr>
          <w:rFonts w:eastAsia="Times New Roman" w:cs="Calibri"/>
          <w:color w:val="000000"/>
          <w:sz w:val="22"/>
          <w:lang w:eastAsia="es-MX"/>
        </w:rPr>
        <w:t>que busca</w:t>
      </w:r>
      <w:r w:rsidRPr="0004701A">
        <w:rPr>
          <w:rFonts w:eastAsia="Times New Roman" w:cs="Calibri"/>
          <w:color w:val="000000"/>
          <w:sz w:val="22"/>
          <w:lang w:eastAsia="es-MX"/>
        </w:rPr>
        <w:t>n la sostenibilidad del sistema alimentario</w:t>
      </w:r>
      <w:r w:rsidR="00676D7E" w:rsidRPr="0004701A">
        <w:rPr>
          <w:rStyle w:val="FootnoteReference"/>
          <w:rFonts w:eastAsia="Times New Roman" w:cs="Calibri"/>
          <w:color w:val="000000"/>
          <w:sz w:val="22"/>
          <w:lang w:eastAsia="es-MX"/>
        </w:rPr>
        <w:footnoteReference w:id="68"/>
      </w:r>
      <w:r w:rsidR="00884EB1" w:rsidRPr="0004701A">
        <w:rPr>
          <w:rFonts w:eastAsia="Times New Roman" w:cs="Calibri"/>
          <w:color w:val="000000"/>
          <w:sz w:val="22"/>
          <w:lang w:eastAsia="es-MX"/>
        </w:rPr>
        <w:t xml:space="preserve"> y pronunciarse en contra de acciones de empresas connacionales que conduzcan a ello.</w:t>
      </w:r>
      <w:r w:rsidR="00884EB1" w:rsidRPr="0004701A">
        <w:rPr>
          <w:rStyle w:val="FootnoteReference"/>
          <w:rFonts w:eastAsia="Times New Roman" w:cs="Calibri"/>
          <w:color w:val="000000"/>
          <w:sz w:val="22"/>
          <w:lang w:eastAsia="es-MX"/>
        </w:rPr>
        <w:footnoteReference w:id="69"/>
      </w:r>
      <w:r w:rsidR="00884EB1" w:rsidRPr="0004701A">
        <w:rPr>
          <w:rFonts w:eastAsia="Times New Roman" w:cs="Calibri"/>
          <w:color w:val="000000"/>
          <w:sz w:val="22"/>
          <w:lang w:eastAsia="es-MX"/>
        </w:rPr>
        <w:t xml:space="preserve"> </w:t>
      </w:r>
      <w:r w:rsidR="006D1E16">
        <w:rPr>
          <w:rFonts w:eastAsia="Times New Roman" w:cs="Calibri"/>
          <w:color w:val="000000"/>
          <w:sz w:val="22"/>
          <w:lang w:eastAsia="es-MX"/>
        </w:rPr>
        <w:t xml:space="preserve">Sus acciones han obstaculizado </w:t>
      </w:r>
      <w:r w:rsidR="006D1E16" w:rsidRPr="006D1E16">
        <w:rPr>
          <w:rFonts w:eastAsia="Times New Roman" w:cs="Calibri"/>
          <w:color w:val="000000"/>
          <w:sz w:val="22"/>
          <w:lang w:eastAsia="es-MX"/>
        </w:rPr>
        <w:t xml:space="preserve">la adopción de medidas </w:t>
      </w:r>
      <w:r w:rsidR="006D1E16">
        <w:rPr>
          <w:rFonts w:eastAsia="Times New Roman" w:cs="Calibri"/>
          <w:color w:val="000000"/>
          <w:sz w:val="22"/>
          <w:lang w:eastAsia="es-MX"/>
        </w:rPr>
        <w:t xml:space="preserve">respecto a la </w:t>
      </w:r>
      <w:r w:rsidR="006D1E16" w:rsidRPr="006D1E16">
        <w:rPr>
          <w:rFonts w:eastAsia="Times New Roman" w:cs="Calibri"/>
          <w:color w:val="000000"/>
          <w:sz w:val="22"/>
          <w:lang w:eastAsia="es-MX"/>
        </w:rPr>
        <w:t xml:space="preserve">soberanía alimentaria, el cuidado del medio ambiente y la salud de los consumidores. Ejemplos son las intervenciones de EUA, Canadá, Suiza y la Unión Europea en la OMC </w:t>
      </w:r>
      <w:r w:rsidR="006D1E16">
        <w:rPr>
          <w:rFonts w:eastAsia="Times New Roman" w:cs="Calibri"/>
          <w:color w:val="000000"/>
          <w:sz w:val="22"/>
          <w:lang w:eastAsia="es-MX"/>
        </w:rPr>
        <w:t xml:space="preserve">cuestionando </w:t>
      </w:r>
      <w:r w:rsidR="006D1E16" w:rsidRPr="006D1E16">
        <w:rPr>
          <w:rFonts w:eastAsia="Times New Roman" w:cs="Calibri"/>
          <w:color w:val="000000"/>
          <w:sz w:val="22"/>
          <w:lang w:eastAsia="es-MX"/>
        </w:rPr>
        <w:t>etiquetado frontal de advertencia en México</w:t>
      </w:r>
      <w:r w:rsidR="006D1E16" w:rsidRPr="006D1E16">
        <w:rPr>
          <w:rStyle w:val="FootnoteReference"/>
          <w:rFonts w:eastAsia="Times New Roman" w:cs="Calibri"/>
          <w:color w:val="000000"/>
          <w:sz w:val="22"/>
          <w:lang w:eastAsia="es-MX"/>
        </w:rPr>
        <w:footnoteReference w:id="70"/>
      </w:r>
      <w:r w:rsidR="006D1E16" w:rsidRPr="006D1E16">
        <w:rPr>
          <w:rFonts w:eastAsia="Times New Roman" w:cs="Calibri"/>
          <w:color w:val="000000"/>
          <w:sz w:val="22"/>
          <w:lang w:eastAsia="es-MX"/>
        </w:rPr>
        <w:t xml:space="preserve"> o las acciones de </w:t>
      </w:r>
      <w:r w:rsidR="006D1E16">
        <w:rPr>
          <w:rFonts w:eastAsia="Times New Roman" w:cs="Calibri"/>
          <w:color w:val="000000"/>
          <w:sz w:val="22"/>
          <w:lang w:eastAsia="es-MX"/>
        </w:rPr>
        <w:t>EE.UU. e</w:t>
      </w:r>
      <w:r w:rsidR="006D1E16" w:rsidRPr="006D1E16">
        <w:rPr>
          <w:rFonts w:eastAsia="Times New Roman" w:cs="Calibri"/>
          <w:color w:val="000000"/>
          <w:sz w:val="22"/>
          <w:lang w:eastAsia="es-MX"/>
        </w:rPr>
        <w:t>n contra de la prohibición de uso de glifosato en países como México y Tailandia</w:t>
      </w:r>
      <w:r w:rsidR="006D1E16" w:rsidRPr="006D1E16">
        <w:rPr>
          <w:rStyle w:val="FootnoteReference"/>
          <w:rFonts w:eastAsia="Times New Roman" w:cs="Calibri"/>
          <w:color w:val="000000"/>
          <w:sz w:val="22"/>
          <w:lang w:eastAsia="es-MX"/>
        </w:rPr>
        <w:footnoteReference w:id="71"/>
      </w:r>
      <w:r w:rsidR="006D1E16" w:rsidRPr="006D1E16">
        <w:rPr>
          <w:rFonts w:eastAsia="Times New Roman" w:cs="Calibri"/>
          <w:color w:val="000000"/>
          <w:sz w:val="22"/>
          <w:lang w:eastAsia="es-MX"/>
        </w:rPr>
        <w:t>.</w:t>
      </w:r>
      <w:r w:rsidR="006D1E16">
        <w:rPr>
          <w:rFonts w:eastAsia="Times New Roman" w:cs="Calibri"/>
          <w:color w:val="000000"/>
          <w:lang w:eastAsia="es-MX"/>
        </w:rPr>
        <w:t xml:space="preserve"> </w:t>
      </w:r>
      <w:r w:rsidR="008952D7" w:rsidRPr="0004701A">
        <w:rPr>
          <w:rFonts w:eastAsia="Times New Roman" w:cs="Calibri"/>
          <w:color w:val="000000"/>
          <w:sz w:val="22"/>
          <w:lang w:eastAsia="es-MX"/>
        </w:rPr>
        <w:t>Adem</w:t>
      </w:r>
      <w:r w:rsidR="00DC0F8B" w:rsidRPr="0004701A">
        <w:rPr>
          <w:rFonts w:eastAsia="Times New Roman" w:cs="Calibri"/>
          <w:color w:val="000000"/>
          <w:sz w:val="22"/>
          <w:lang w:eastAsia="es-MX"/>
        </w:rPr>
        <w:t xml:space="preserve">ás, </w:t>
      </w:r>
      <w:r w:rsidR="006D1E16">
        <w:rPr>
          <w:rFonts w:eastAsia="Times New Roman" w:cs="Calibri"/>
          <w:color w:val="000000"/>
          <w:sz w:val="22"/>
          <w:lang w:eastAsia="es-MX"/>
        </w:rPr>
        <w:t xml:space="preserve">debe de existir </w:t>
      </w:r>
      <w:r w:rsidR="00915C8D" w:rsidRPr="0004701A">
        <w:rPr>
          <w:rFonts w:eastAsia="Times New Roman" w:cs="Calibri"/>
          <w:color w:val="000000"/>
          <w:sz w:val="22"/>
          <w:lang w:eastAsia="es-MX"/>
        </w:rPr>
        <w:t xml:space="preserve">responsabilidad extraterritorial </w:t>
      </w:r>
      <w:r w:rsidR="00CF1675" w:rsidRPr="0004701A">
        <w:rPr>
          <w:rFonts w:eastAsia="Times New Roman" w:cs="Calibri"/>
          <w:color w:val="000000"/>
          <w:sz w:val="22"/>
          <w:lang w:eastAsia="es-MX"/>
        </w:rPr>
        <w:t xml:space="preserve">a </w:t>
      </w:r>
      <w:r w:rsidR="00915C8D" w:rsidRPr="0004701A">
        <w:rPr>
          <w:rFonts w:eastAsia="Times New Roman" w:cs="Calibri"/>
          <w:color w:val="000000"/>
          <w:sz w:val="22"/>
          <w:lang w:eastAsia="es-MX"/>
        </w:rPr>
        <w:t xml:space="preserve">las empresas de la industria alimentaria por violaciones a </w:t>
      </w:r>
      <w:r w:rsidR="006D1E16">
        <w:rPr>
          <w:rFonts w:eastAsia="Times New Roman" w:cs="Calibri"/>
          <w:color w:val="000000"/>
          <w:sz w:val="22"/>
          <w:lang w:eastAsia="es-MX"/>
        </w:rPr>
        <w:t xml:space="preserve">los DDHH </w:t>
      </w:r>
      <w:r w:rsidR="00CF1675" w:rsidRPr="0004701A">
        <w:rPr>
          <w:rFonts w:eastAsia="Times New Roman" w:cs="Calibri"/>
          <w:color w:val="000000"/>
          <w:sz w:val="22"/>
          <w:lang w:eastAsia="es-MX"/>
        </w:rPr>
        <w:t>en</w:t>
      </w:r>
      <w:r w:rsidR="003C246E" w:rsidRPr="0004701A">
        <w:rPr>
          <w:rFonts w:eastAsia="Times New Roman" w:cs="Calibri"/>
          <w:color w:val="000000"/>
          <w:sz w:val="22"/>
          <w:lang w:eastAsia="es-MX"/>
        </w:rPr>
        <w:t xml:space="preserve"> otros países</w:t>
      </w:r>
      <w:r w:rsidR="00D9432B" w:rsidRPr="0004701A">
        <w:rPr>
          <w:rFonts w:eastAsia="Times New Roman" w:cs="Calibri"/>
          <w:color w:val="000000"/>
          <w:sz w:val="22"/>
          <w:lang w:eastAsia="es-MX"/>
        </w:rPr>
        <w:t xml:space="preserve"> y </w:t>
      </w:r>
      <w:r w:rsidR="00CF1675" w:rsidRPr="0004701A">
        <w:rPr>
          <w:rFonts w:eastAsia="Times New Roman" w:cs="Calibri"/>
          <w:color w:val="000000"/>
          <w:sz w:val="22"/>
          <w:lang w:eastAsia="es-MX"/>
        </w:rPr>
        <w:t>respaldar la adopción del tratado sobre empresas y derechos humanos del Co</w:t>
      </w:r>
      <w:r w:rsidR="00D33266" w:rsidRPr="0004701A">
        <w:rPr>
          <w:rFonts w:eastAsia="Times New Roman" w:cs="Calibri"/>
          <w:color w:val="000000"/>
          <w:sz w:val="22"/>
          <w:lang w:eastAsia="es-MX"/>
        </w:rPr>
        <w:t xml:space="preserve">nsejo </w:t>
      </w:r>
      <w:r w:rsidR="00CF1675" w:rsidRPr="0004701A">
        <w:rPr>
          <w:rFonts w:eastAsia="Times New Roman" w:cs="Calibri"/>
          <w:color w:val="000000"/>
          <w:sz w:val="22"/>
          <w:lang w:eastAsia="es-MX"/>
        </w:rPr>
        <w:t>de Derechos Humanos.</w:t>
      </w:r>
      <w:r w:rsidR="00CF1675" w:rsidRPr="0004701A">
        <w:rPr>
          <w:rStyle w:val="FootnoteReference"/>
          <w:rFonts w:eastAsia="Times New Roman" w:cs="Calibri"/>
          <w:color w:val="000000"/>
          <w:sz w:val="22"/>
          <w:lang w:eastAsia="es-MX"/>
        </w:rPr>
        <w:footnoteReference w:id="72"/>
      </w:r>
    </w:p>
    <w:p w:rsidR="006D1E16" w:rsidRPr="0004701A" w:rsidRDefault="006D1E16" w:rsidP="006D1E16">
      <w:pPr>
        <w:shd w:val="clear" w:color="auto" w:fill="FFFFFF"/>
        <w:spacing w:before="120" w:after="120"/>
        <w:jc w:val="both"/>
        <w:rPr>
          <w:rFonts w:eastAsia="Times New Roman" w:cs="Calibri"/>
          <w:color w:val="000000"/>
          <w:sz w:val="22"/>
          <w:lang w:eastAsia="es-MX"/>
        </w:rPr>
      </w:pPr>
      <w:r w:rsidRPr="006D1E16">
        <w:rPr>
          <w:rFonts w:eastAsia="Times New Roman" w:cs="Calibri"/>
          <w:color w:val="000000"/>
          <w:sz w:val="22"/>
          <w:lang w:eastAsia="es-MX"/>
        </w:rPr>
        <w:t xml:space="preserve">Por otro lado, existen ejemplos de acciones de </w:t>
      </w:r>
      <w:r>
        <w:rPr>
          <w:rFonts w:eastAsia="Times New Roman" w:cs="Calibri"/>
          <w:color w:val="000000"/>
          <w:sz w:val="22"/>
          <w:lang w:eastAsia="es-MX"/>
        </w:rPr>
        <w:t xml:space="preserve">las </w:t>
      </w:r>
      <w:r w:rsidRPr="006D1E16">
        <w:rPr>
          <w:rFonts w:eastAsia="Times New Roman" w:cs="Calibri"/>
          <w:color w:val="000000"/>
          <w:sz w:val="22"/>
          <w:lang w:eastAsia="es-MX"/>
        </w:rPr>
        <w:t xml:space="preserve">empresas trasnacionales que vulneran </w:t>
      </w:r>
      <w:r>
        <w:rPr>
          <w:rFonts w:eastAsia="Times New Roman" w:cs="Calibri"/>
          <w:color w:val="000000"/>
          <w:sz w:val="22"/>
          <w:lang w:eastAsia="es-MX"/>
        </w:rPr>
        <w:t xml:space="preserve">el </w:t>
      </w:r>
      <w:r w:rsidRPr="006D1E16">
        <w:rPr>
          <w:rFonts w:eastAsia="Times New Roman" w:cs="Calibri"/>
          <w:color w:val="000000"/>
          <w:sz w:val="22"/>
          <w:lang w:eastAsia="es-MX"/>
        </w:rPr>
        <w:t>derec</w:t>
      </w:r>
      <w:r>
        <w:rPr>
          <w:rFonts w:eastAsia="Times New Roman" w:cs="Calibri"/>
          <w:color w:val="000000"/>
          <w:sz w:val="22"/>
          <w:lang w:eastAsia="es-MX"/>
        </w:rPr>
        <w:t>ho a la alimentación. En México</w:t>
      </w:r>
      <w:r w:rsidRPr="006D1E16">
        <w:rPr>
          <w:rFonts w:eastAsia="Times New Roman" w:cs="Calibri"/>
          <w:color w:val="000000"/>
          <w:sz w:val="22"/>
          <w:lang w:eastAsia="es-MX"/>
        </w:rPr>
        <w:t xml:space="preserve"> está documentado </w:t>
      </w:r>
      <w:r>
        <w:rPr>
          <w:rFonts w:eastAsia="Times New Roman" w:cs="Calibri"/>
          <w:color w:val="000000"/>
          <w:sz w:val="22"/>
          <w:lang w:eastAsia="es-MX"/>
        </w:rPr>
        <w:t xml:space="preserve">como </w:t>
      </w:r>
      <w:r w:rsidRPr="006D1E16">
        <w:rPr>
          <w:rFonts w:eastAsia="Times New Roman" w:cs="Calibri"/>
          <w:color w:val="000000"/>
          <w:sz w:val="22"/>
          <w:lang w:eastAsia="es-MX"/>
        </w:rPr>
        <w:t xml:space="preserve">Coca Cola </w:t>
      </w:r>
      <w:r>
        <w:rPr>
          <w:rFonts w:eastAsia="Times New Roman" w:cs="Calibri"/>
          <w:color w:val="000000"/>
          <w:sz w:val="22"/>
          <w:lang w:eastAsia="es-MX"/>
        </w:rPr>
        <w:t xml:space="preserve">bloqueó la </w:t>
      </w:r>
      <w:r w:rsidRPr="006D1E16">
        <w:rPr>
          <w:rFonts w:eastAsia="Times New Roman" w:cs="Calibri"/>
          <w:color w:val="000000"/>
          <w:sz w:val="22"/>
          <w:lang w:eastAsia="es-MX"/>
        </w:rPr>
        <w:t>adopción del sistema de etiquetado de advertencia</w:t>
      </w:r>
      <w:r w:rsidRPr="006D1E16">
        <w:rPr>
          <w:rStyle w:val="FootnoteReference"/>
          <w:rFonts w:eastAsia="Times New Roman" w:cs="Calibri"/>
          <w:color w:val="000000"/>
          <w:sz w:val="22"/>
          <w:lang w:eastAsia="es-MX"/>
        </w:rPr>
        <w:footnoteReference w:id="73"/>
      </w:r>
      <w:r w:rsidRPr="006D1E16">
        <w:rPr>
          <w:rFonts w:eastAsia="Times New Roman" w:cs="Calibri"/>
          <w:color w:val="000000"/>
          <w:sz w:val="22"/>
          <w:lang w:eastAsia="es-MX"/>
        </w:rPr>
        <w:t xml:space="preserve"> </w:t>
      </w:r>
      <w:r>
        <w:rPr>
          <w:rFonts w:eastAsia="Times New Roman" w:cs="Calibri"/>
          <w:color w:val="000000"/>
          <w:sz w:val="22"/>
          <w:lang w:eastAsia="es-MX"/>
        </w:rPr>
        <w:t xml:space="preserve">o como </w:t>
      </w:r>
      <w:r w:rsidRPr="006D1E16">
        <w:rPr>
          <w:rFonts w:eastAsia="Times New Roman" w:cs="Calibri"/>
          <w:color w:val="000000"/>
          <w:sz w:val="22"/>
          <w:lang w:eastAsia="es-MX"/>
        </w:rPr>
        <w:t xml:space="preserve">Nestlé </w:t>
      </w:r>
      <w:r>
        <w:rPr>
          <w:rFonts w:eastAsia="Times New Roman" w:cs="Calibri"/>
          <w:color w:val="000000"/>
          <w:sz w:val="22"/>
          <w:lang w:eastAsia="es-MX"/>
        </w:rPr>
        <w:t xml:space="preserve">afecta </w:t>
      </w:r>
      <w:r w:rsidRPr="006D1E16">
        <w:rPr>
          <w:rFonts w:eastAsia="Times New Roman" w:cs="Calibri"/>
          <w:color w:val="000000"/>
          <w:sz w:val="22"/>
          <w:lang w:eastAsia="es-MX"/>
        </w:rPr>
        <w:t>los precios a los cafetaleros de Veracruz</w:t>
      </w:r>
      <w:r>
        <w:rPr>
          <w:rFonts w:eastAsia="Times New Roman" w:cs="Calibri"/>
          <w:color w:val="000000"/>
          <w:sz w:val="22"/>
          <w:lang w:eastAsia="es-MX"/>
        </w:rPr>
        <w:t xml:space="preserve"> mediante monocultivos</w:t>
      </w:r>
      <w:r w:rsidRPr="006D1E16">
        <w:rPr>
          <w:rStyle w:val="FootnoteReference"/>
          <w:rFonts w:eastAsia="Times New Roman" w:cs="Calibri"/>
          <w:color w:val="000000"/>
          <w:sz w:val="22"/>
          <w:lang w:eastAsia="es-MX"/>
        </w:rPr>
        <w:footnoteReference w:id="74"/>
      </w:r>
      <w:r w:rsidRPr="006D1E16">
        <w:rPr>
          <w:rFonts w:eastAsia="Times New Roman" w:cs="Calibri"/>
          <w:color w:val="000000"/>
          <w:sz w:val="22"/>
          <w:lang w:eastAsia="es-MX"/>
        </w:rPr>
        <w:t xml:space="preserve">. </w:t>
      </w:r>
      <w:r w:rsidR="00220756">
        <w:rPr>
          <w:rFonts w:eastAsia="Times New Roman" w:cs="Calibri"/>
          <w:color w:val="000000"/>
          <w:sz w:val="22"/>
          <w:lang w:eastAsia="es-MX"/>
        </w:rPr>
        <w:t xml:space="preserve">Aun así, no existen regulaciones en </w:t>
      </w:r>
      <w:r w:rsidRPr="006D1E16">
        <w:rPr>
          <w:rFonts w:eastAsia="Times New Roman" w:cs="Calibri"/>
          <w:color w:val="000000"/>
          <w:sz w:val="22"/>
          <w:lang w:eastAsia="es-MX"/>
        </w:rPr>
        <w:t>responsabilidad extraterritorial</w:t>
      </w:r>
      <w:r w:rsidR="00220756">
        <w:rPr>
          <w:rFonts w:eastAsia="Times New Roman" w:cs="Calibri"/>
          <w:color w:val="000000"/>
          <w:sz w:val="22"/>
          <w:lang w:eastAsia="es-MX"/>
        </w:rPr>
        <w:t xml:space="preserve"> de los países de origen</w:t>
      </w:r>
      <w:r w:rsidRPr="006D1E16">
        <w:rPr>
          <w:rFonts w:eastAsia="Times New Roman" w:cs="Calibri"/>
          <w:color w:val="000000"/>
          <w:sz w:val="22"/>
          <w:lang w:eastAsia="es-MX"/>
        </w:rPr>
        <w:t xml:space="preserve">. </w:t>
      </w:r>
    </w:p>
    <w:p w:rsidR="00884EB1" w:rsidRPr="0004701A" w:rsidRDefault="00884EB1" w:rsidP="00820DB2">
      <w:pPr>
        <w:shd w:val="clear" w:color="auto" w:fill="FFFFFF"/>
        <w:spacing w:before="120" w:after="120" w:line="240" w:lineRule="auto"/>
        <w:jc w:val="both"/>
        <w:rPr>
          <w:rFonts w:eastAsia="Times New Roman" w:cs="Calibri"/>
          <w:i/>
          <w:color w:val="000000"/>
          <w:sz w:val="22"/>
          <w:lang w:eastAsia="es-MX"/>
        </w:rPr>
      </w:pPr>
    </w:p>
    <w:p w:rsidR="00E061AE" w:rsidRPr="0004701A" w:rsidRDefault="001D67A7" w:rsidP="00820DB2">
      <w:pPr>
        <w:numPr>
          <w:ilvl w:val="0"/>
          <w:numId w:val="1"/>
        </w:numPr>
        <w:shd w:val="clear" w:color="auto" w:fill="FFFFFF"/>
        <w:tabs>
          <w:tab w:val="clear" w:pos="360"/>
          <w:tab w:val="num" w:pos="720"/>
        </w:tabs>
        <w:spacing w:before="120" w:after="120" w:line="240" w:lineRule="auto"/>
        <w:ind w:left="720"/>
        <w:jc w:val="both"/>
        <w:rPr>
          <w:rFonts w:eastAsia="Times New Roman" w:cs="Calibri"/>
          <w:i/>
          <w:color w:val="000000"/>
          <w:sz w:val="22"/>
          <w:lang w:eastAsia="es-MX"/>
        </w:rPr>
      </w:pPr>
      <w:r w:rsidRPr="0004701A">
        <w:rPr>
          <w:rFonts w:eastAsia="Times New Roman" w:cs="Calibri"/>
          <w:i/>
          <w:color w:val="000000"/>
          <w:sz w:val="22"/>
          <w:lang w:eastAsia="es-MX"/>
        </w:rPr>
        <w:t>En el caso de las empresas, ¿qué políticas o prácticas se aplican para garantizar que las actividades, los productos y los servicios de todo el sistema alimentario (producción, transformación, distribución, comercialización, venta al por menor, pérdida y desperdicio de alimentos) permitan obtener alimentos sanos y producidos de forma sostenible y cumplan las normas de derechos humanos, especialmente las articuladas en los Principios Rectores sobre las Empresas y los Derechos Humanos?</w:t>
      </w:r>
    </w:p>
    <w:p w:rsidR="001B4094" w:rsidRPr="0004701A" w:rsidRDefault="002B18C0" w:rsidP="00493365">
      <w:pPr>
        <w:shd w:val="clear" w:color="auto" w:fill="FFFFFF"/>
        <w:spacing w:before="120" w:after="120" w:line="240" w:lineRule="auto"/>
        <w:jc w:val="both"/>
        <w:rPr>
          <w:rFonts w:eastAsia="Times New Roman" w:cs="Calibri"/>
          <w:color w:val="000000"/>
          <w:sz w:val="22"/>
          <w:lang w:eastAsia="es-MX"/>
        </w:rPr>
      </w:pPr>
      <w:r w:rsidRPr="0004701A">
        <w:rPr>
          <w:rFonts w:eastAsia="Times New Roman" w:cs="Calibri"/>
          <w:color w:val="000000"/>
          <w:sz w:val="22"/>
          <w:lang w:eastAsia="es-MX"/>
        </w:rPr>
        <w:t xml:space="preserve">Desde las organizaciones de la sociedad civil </w:t>
      </w:r>
      <w:r w:rsidR="00D9432B" w:rsidRPr="0004701A">
        <w:rPr>
          <w:rFonts w:eastAsia="Times New Roman" w:cs="Calibri"/>
          <w:color w:val="000000"/>
          <w:sz w:val="22"/>
          <w:lang w:eastAsia="es-MX"/>
        </w:rPr>
        <w:t>observamos</w:t>
      </w:r>
      <w:r w:rsidRPr="0004701A">
        <w:rPr>
          <w:rFonts w:eastAsia="Times New Roman" w:cs="Calibri"/>
          <w:color w:val="000000"/>
          <w:sz w:val="22"/>
          <w:lang w:eastAsia="es-MX"/>
        </w:rPr>
        <w:t xml:space="preserve"> </w:t>
      </w:r>
      <w:r w:rsidR="00820DB2" w:rsidRPr="0004701A">
        <w:rPr>
          <w:rFonts w:eastAsia="Times New Roman" w:cs="Calibri"/>
          <w:color w:val="000000"/>
          <w:sz w:val="22"/>
          <w:lang w:eastAsia="es-MX"/>
        </w:rPr>
        <w:t>que las empresas</w:t>
      </w:r>
      <w:r w:rsidRPr="0004701A">
        <w:rPr>
          <w:rFonts w:eastAsia="Times New Roman" w:cs="Calibri"/>
          <w:color w:val="000000"/>
          <w:sz w:val="22"/>
          <w:lang w:eastAsia="es-MX"/>
        </w:rPr>
        <w:t xml:space="preserve"> interf</w:t>
      </w:r>
      <w:r w:rsidR="00820DB2" w:rsidRPr="0004701A">
        <w:rPr>
          <w:rFonts w:eastAsia="Times New Roman" w:cs="Calibri"/>
          <w:color w:val="000000"/>
          <w:sz w:val="22"/>
          <w:lang w:eastAsia="es-MX"/>
        </w:rPr>
        <w:t>ieren</w:t>
      </w:r>
      <w:r w:rsidRPr="0004701A">
        <w:rPr>
          <w:rFonts w:eastAsia="Times New Roman" w:cs="Calibri"/>
          <w:color w:val="000000"/>
          <w:sz w:val="22"/>
          <w:lang w:eastAsia="es-MX"/>
        </w:rPr>
        <w:t xml:space="preserve"> y </w:t>
      </w:r>
      <w:r w:rsidR="00820DB2" w:rsidRPr="0004701A">
        <w:rPr>
          <w:rFonts w:eastAsia="Times New Roman" w:cs="Calibri"/>
          <w:color w:val="000000"/>
          <w:sz w:val="22"/>
          <w:lang w:eastAsia="es-MX"/>
        </w:rPr>
        <w:t>no respetan</w:t>
      </w:r>
      <w:r w:rsidRPr="0004701A">
        <w:rPr>
          <w:rFonts w:eastAsia="Times New Roman" w:cs="Calibri"/>
          <w:color w:val="000000"/>
          <w:sz w:val="22"/>
          <w:lang w:eastAsia="es-MX"/>
        </w:rPr>
        <w:t xml:space="preserve"> las medidas que implementa el gobierno para conseguir un sistema alimentario sostenible</w:t>
      </w:r>
      <w:r w:rsidR="00820DB2" w:rsidRPr="0004701A">
        <w:rPr>
          <w:rFonts w:eastAsia="Times New Roman" w:cs="Calibri"/>
          <w:color w:val="000000"/>
          <w:sz w:val="22"/>
          <w:lang w:eastAsia="es-MX"/>
        </w:rPr>
        <w:t xml:space="preserve">. </w:t>
      </w:r>
      <w:r w:rsidRPr="0004701A">
        <w:rPr>
          <w:rFonts w:eastAsia="Times New Roman" w:cs="Calibri"/>
          <w:color w:val="000000"/>
          <w:sz w:val="22"/>
          <w:lang w:eastAsia="es-MX"/>
        </w:rPr>
        <w:t xml:space="preserve">Por ejemplo, la industria alimentaria </w:t>
      </w:r>
      <w:r w:rsidR="00D9432B" w:rsidRPr="0004701A">
        <w:rPr>
          <w:rFonts w:eastAsia="Times New Roman" w:cs="Calibri"/>
          <w:color w:val="000000"/>
          <w:sz w:val="22"/>
          <w:lang w:eastAsia="es-MX"/>
        </w:rPr>
        <w:t>reacciona</w:t>
      </w:r>
      <w:r w:rsidRPr="0004701A">
        <w:rPr>
          <w:rFonts w:eastAsia="Times New Roman" w:cs="Calibri"/>
          <w:color w:val="000000"/>
          <w:sz w:val="22"/>
          <w:lang w:eastAsia="es-MX"/>
        </w:rPr>
        <w:t xml:space="preserve"> con estrategias para obst</w:t>
      </w:r>
      <w:r w:rsidR="00884EB1" w:rsidRPr="0004701A">
        <w:rPr>
          <w:rFonts w:eastAsia="Times New Roman" w:cs="Calibri"/>
          <w:color w:val="000000"/>
          <w:sz w:val="22"/>
          <w:lang w:eastAsia="es-MX"/>
        </w:rPr>
        <w:t>aculizar la implementación del e</w:t>
      </w:r>
      <w:r w:rsidRPr="0004701A">
        <w:rPr>
          <w:rFonts w:eastAsia="Times New Roman" w:cs="Calibri"/>
          <w:color w:val="000000"/>
          <w:sz w:val="22"/>
          <w:lang w:eastAsia="es-MX"/>
        </w:rPr>
        <w:t xml:space="preserve">tiquetado </w:t>
      </w:r>
      <w:r w:rsidR="00884EB1" w:rsidRPr="0004701A">
        <w:rPr>
          <w:rFonts w:eastAsia="Times New Roman" w:cs="Calibri"/>
          <w:color w:val="000000"/>
          <w:sz w:val="22"/>
          <w:lang w:eastAsia="es-MX"/>
        </w:rPr>
        <w:t>f</w:t>
      </w:r>
      <w:r w:rsidRPr="0004701A">
        <w:rPr>
          <w:rFonts w:eastAsia="Times New Roman" w:cs="Calibri"/>
          <w:color w:val="000000"/>
          <w:sz w:val="22"/>
          <w:lang w:eastAsia="es-MX"/>
        </w:rPr>
        <w:t xml:space="preserve">rontal de </w:t>
      </w:r>
      <w:r w:rsidR="00884EB1" w:rsidRPr="0004701A">
        <w:rPr>
          <w:rFonts w:eastAsia="Times New Roman" w:cs="Calibri"/>
          <w:color w:val="000000"/>
          <w:sz w:val="22"/>
          <w:lang w:eastAsia="es-MX"/>
        </w:rPr>
        <w:t>a</w:t>
      </w:r>
      <w:r w:rsidRPr="0004701A">
        <w:rPr>
          <w:rFonts w:eastAsia="Times New Roman" w:cs="Calibri"/>
          <w:color w:val="000000"/>
          <w:sz w:val="22"/>
          <w:lang w:eastAsia="es-MX"/>
        </w:rPr>
        <w:t>dvertencia</w:t>
      </w:r>
      <w:r w:rsidRPr="0004701A">
        <w:rPr>
          <w:rStyle w:val="FootnoteReference"/>
          <w:rFonts w:eastAsia="Times New Roman" w:cs="Calibri"/>
          <w:color w:val="000000"/>
          <w:sz w:val="22"/>
          <w:lang w:eastAsia="es-MX"/>
        </w:rPr>
        <w:footnoteReference w:id="75"/>
      </w:r>
      <w:r w:rsidRPr="0004701A">
        <w:rPr>
          <w:rFonts w:eastAsia="Times New Roman" w:cs="Calibri"/>
          <w:color w:val="000000"/>
          <w:sz w:val="22"/>
          <w:lang w:eastAsia="es-MX"/>
        </w:rPr>
        <w:t xml:space="preserve"> y </w:t>
      </w:r>
      <w:r w:rsidR="00884EB1" w:rsidRPr="0004701A">
        <w:rPr>
          <w:rFonts w:eastAsia="Times New Roman" w:cs="Calibri"/>
          <w:color w:val="000000"/>
          <w:sz w:val="22"/>
          <w:lang w:eastAsia="es-MX"/>
        </w:rPr>
        <w:t>e</w:t>
      </w:r>
      <w:r w:rsidRPr="0004701A">
        <w:rPr>
          <w:rFonts w:eastAsia="Times New Roman" w:cs="Calibri"/>
          <w:color w:val="000000"/>
          <w:sz w:val="22"/>
          <w:lang w:eastAsia="es-MX"/>
        </w:rPr>
        <w:t xml:space="preserve">l </w:t>
      </w:r>
      <w:r w:rsidR="00884EB1" w:rsidRPr="0004701A">
        <w:rPr>
          <w:rFonts w:eastAsia="Times New Roman" w:cs="Calibri"/>
          <w:color w:val="000000"/>
          <w:sz w:val="22"/>
          <w:lang w:eastAsia="es-MX"/>
        </w:rPr>
        <w:t>d</w:t>
      </w:r>
      <w:r w:rsidRPr="0004701A">
        <w:rPr>
          <w:rFonts w:eastAsia="Times New Roman" w:cs="Calibri"/>
          <w:color w:val="000000"/>
          <w:sz w:val="22"/>
          <w:lang w:eastAsia="es-MX"/>
        </w:rPr>
        <w:t>ecreto para la sustitución del glifosato y la prohibición de siembra del maíz transgénico.</w:t>
      </w:r>
      <w:r w:rsidRPr="0004701A">
        <w:rPr>
          <w:rStyle w:val="FootnoteReference"/>
          <w:rFonts w:eastAsia="Times New Roman" w:cs="Calibri"/>
          <w:color w:val="000000"/>
          <w:sz w:val="22"/>
          <w:lang w:eastAsia="es-MX"/>
        </w:rPr>
        <w:footnoteReference w:id="76"/>
      </w:r>
      <w:r w:rsidR="006220A3" w:rsidRPr="0004701A">
        <w:rPr>
          <w:rFonts w:eastAsia="Times New Roman" w:cs="Calibri"/>
          <w:color w:val="000000"/>
          <w:sz w:val="22"/>
          <w:lang w:eastAsia="es-MX"/>
        </w:rPr>
        <w:t xml:space="preserve"> Ante esta situación, </w:t>
      </w:r>
      <w:r w:rsidR="00D9432B" w:rsidRPr="0004701A">
        <w:rPr>
          <w:rFonts w:eastAsia="Times New Roman" w:cs="Calibri"/>
          <w:color w:val="000000"/>
          <w:sz w:val="22"/>
          <w:lang w:eastAsia="es-MX"/>
        </w:rPr>
        <w:t xml:space="preserve">deben </w:t>
      </w:r>
      <w:r w:rsidR="006220A3" w:rsidRPr="0004701A">
        <w:rPr>
          <w:rFonts w:eastAsia="Times New Roman" w:cs="Calibri"/>
          <w:color w:val="000000"/>
          <w:sz w:val="22"/>
          <w:lang w:eastAsia="es-MX"/>
        </w:rPr>
        <w:t>implementarse protocolos para evitar que el conflicto de intereses</w:t>
      </w:r>
      <w:r w:rsidR="00B05C31" w:rsidRPr="0004701A">
        <w:rPr>
          <w:rFonts w:eastAsia="Times New Roman" w:cs="Calibri"/>
          <w:color w:val="000000"/>
          <w:sz w:val="22"/>
          <w:lang w:eastAsia="es-MX"/>
        </w:rPr>
        <w:t xml:space="preserve"> de funcionarios públicos </w:t>
      </w:r>
      <w:r w:rsidR="006220A3" w:rsidRPr="0004701A">
        <w:rPr>
          <w:rFonts w:eastAsia="Times New Roman" w:cs="Calibri"/>
          <w:color w:val="000000"/>
          <w:sz w:val="22"/>
          <w:lang w:eastAsia="es-MX"/>
        </w:rPr>
        <w:t xml:space="preserve">obstruya la adopción de </w:t>
      </w:r>
      <w:r w:rsidR="0030311F" w:rsidRPr="0004701A">
        <w:rPr>
          <w:rFonts w:eastAsia="Times New Roman" w:cs="Calibri"/>
          <w:color w:val="000000"/>
          <w:sz w:val="22"/>
          <w:lang w:eastAsia="es-MX"/>
        </w:rPr>
        <w:t>di</w:t>
      </w:r>
      <w:r w:rsidR="00B05C31" w:rsidRPr="0004701A">
        <w:rPr>
          <w:rFonts w:eastAsia="Times New Roman" w:cs="Calibri"/>
          <w:color w:val="000000"/>
          <w:sz w:val="22"/>
          <w:lang w:eastAsia="es-MX"/>
        </w:rPr>
        <w:t>chas medidas y simplificar</w:t>
      </w:r>
      <w:r w:rsidR="0030311F" w:rsidRPr="0004701A">
        <w:rPr>
          <w:rFonts w:eastAsia="Times New Roman" w:cs="Calibri"/>
          <w:color w:val="000000"/>
          <w:sz w:val="22"/>
          <w:lang w:eastAsia="es-MX"/>
        </w:rPr>
        <w:t xml:space="preserve"> el acceso a recursos </w:t>
      </w:r>
      <w:r w:rsidR="00493365" w:rsidRPr="0004701A">
        <w:rPr>
          <w:rFonts w:eastAsia="Times New Roman" w:cs="Calibri"/>
          <w:color w:val="000000"/>
          <w:sz w:val="22"/>
          <w:lang w:eastAsia="es-MX"/>
        </w:rPr>
        <w:t>jurídicos, como las acciones colectivas o el amparo,  para exigir que las empresas respeten los derechos y reparen los daños que causan.</w:t>
      </w:r>
    </w:p>
    <w:p w:rsidR="00884EB1" w:rsidRPr="0004701A" w:rsidRDefault="00884EB1" w:rsidP="00884EB1">
      <w:pPr>
        <w:shd w:val="clear" w:color="auto" w:fill="FFFFFF"/>
        <w:spacing w:before="120" w:after="120" w:line="240" w:lineRule="auto"/>
        <w:jc w:val="both"/>
        <w:rPr>
          <w:sz w:val="22"/>
          <w:lang w:eastAsia="es-MX"/>
        </w:rPr>
      </w:pPr>
      <w:r w:rsidRPr="0004701A">
        <w:rPr>
          <w:rFonts w:eastAsia="Times New Roman" w:cs="Calibri"/>
          <w:color w:val="000000"/>
          <w:sz w:val="22"/>
          <w:lang w:eastAsia="es-MX"/>
        </w:rPr>
        <w:t xml:space="preserve">Es importante reiterar que cada grupo vulnerable requiere diversas medidas de protección. Por ejemplo, en el caso de las mujeres, es importante poder garantizar </w:t>
      </w:r>
      <w:r w:rsidRPr="0004701A">
        <w:rPr>
          <w:sz w:val="22"/>
          <w:lang w:eastAsia="es-MX"/>
        </w:rPr>
        <w:t xml:space="preserve">la propiedad de la tierra, capacitación para la producción y apoyo económico para generar redes de producción y comercio; en el caso de los infantes, protegerles de la comercialización agresiva de productos ultraprocesados, proteger el territorio, recursos y formas de uso de los pueblos indígenas y comunidades tradicionales.  </w:t>
      </w:r>
    </w:p>
    <w:p w:rsidR="00884EB1" w:rsidRPr="0004701A" w:rsidRDefault="00884EB1" w:rsidP="00884EB1">
      <w:pPr>
        <w:shd w:val="clear" w:color="auto" w:fill="FFFFFF"/>
        <w:spacing w:before="120" w:after="120" w:line="240" w:lineRule="auto"/>
        <w:jc w:val="both"/>
        <w:rPr>
          <w:rFonts w:eastAsia="Times New Roman" w:cs="Calibri"/>
          <w:color w:val="000000"/>
          <w:sz w:val="22"/>
          <w:lang w:eastAsia="es-MX"/>
        </w:rPr>
      </w:pPr>
      <w:r w:rsidRPr="0004701A">
        <w:rPr>
          <w:sz w:val="22"/>
          <w:lang w:eastAsia="es-MX"/>
        </w:rPr>
        <w:t>Finalmente, los pueblos indígenas y comunidades tradicionales suelen producir alimentos sanos de forma sostenible. Por ello, es importante proteger y promover dichos conocimientos, más allá de fomentar la capacitación de sistemas agro-productivos enfocados al desarrollo de sistemas econ</w:t>
      </w:r>
      <w:r w:rsidR="00146BAB" w:rsidRPr="0004701A">
        <w:rPr>
          <w:sz w:val="22"/>
          <w:lang w:eastAsia="es-MX"/>
        </w:rPr>
        <w:t>ómicos, generalmente coloniales</w:t>
      </w:r>
      <w:r w:rsidRPr="0004701A">
        <w:rPr>
          <w:sz w:val="22"/>
          <w:lang w:eastAsia="es-MX"/>
        </w:rPr>
        <w:t>. En relación con otras poblaciones, es necesario educar sobre los peligros del actual sistema alimentario</w:t>
      </w:r>
      <w:r w:rsidR="00146BAB" w:rsidRPr="0004701A">
        <w:rPr>
          <w:sz w:val="22"/>
          <w:lang w:eastAsia="es-MX"/>
        </w:rPr>
        <w:t xml:space="preserve"> reducido al consumo de ultraprocesados</w:t>
      </w:r>
      <w:r w:rsidRPr="0004701A">
        <w:rPr>
          <w:sz w:val="22"/>
          <w:lang w:eastAsia="es-MX"/>
        </w:rPr>
        <w:t>, difundir alternativas e implementar medidas que desincentiven el consumo de alimentos dañinos para l</w:t>
      </w:r>
      <w:r w:rsidR="00146BAB" w:rsidRPr="0004701A">
        <w:rPr>
          <w:sz w:val="22"/>
          <w:lang w:eastAsia="es-MX"/>
        </w:rPr>
        <w:t>a salud y el ambiente, como el e</w:t>
      </w:r>
      <w:r w:rsidRPr="0004701A">
        <w:rPr>
          <w:sz w:val="22"/>
          <w:lang w:eastAsia="es-MX"/>
        </w:rPr>
        <w:t xml:space="preserve">tiquetado </w:t>
      </w:r>
      <w:r w:rsidR="00146BAB" w:rsidRPr="0004701A">
        <w:rPr>
          <w:sz w:val="22"/>
          <w:lang w:eastAsia="es-MX"/>
        </w:rPr>
        <w:t>f</w:t>
      </w:r>
      <w:r w:rsidRPr="0004701A">
        <w:rPr>
          <w:sz w:val="22"/>
          <w:lang w:eastAsia="es-MX"/>
        </w:rPr>
        <w:t xml:space="preserve">rontal de </w:t>
      </w:r>
      <w:r w:rsidR="00146BAB" w:rsidRPr="0004701A">
        <w:rPr>
          <w:sz w:val="22"/>
          <w:lang w:eastAsia="es-MX"/>
        </w:rPr>
        <w:t>a</w:t>
      </w:r>
      <w:r w:rsidRPr="0004701A">
        <w:rPr>
          <w:sz w:val="22"/>
          <w:lang w:eastAsia="es-MX"/>
        </w:rPr>
        <w:t>dvertencia y la prohibición de su venta</w:t>
      </w:r>
      <w:r w:rsidR="00146BAB" w:rsidRPr="0004701A">
        <w:rPr>
          <w:sz w:val="22"/>
          <w:lang w:eastAsia="es-MX"/>
        </w:rPr>
        <w:t xml:space="preserve"> en escuelas y de su publicidad, las cuales impactan en el consumo de ultraprocesados y, por ende, en la generación de desechos sólidos. </w:t>
      </w:r>
    </w:p>
    <w:sectPr w:rsidR="00884EB1" w:rsidRPr="0004701A" w:rsidSect="00220756">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20" w:rsidRDefault="00193A20" w:rsidP="00A4190C">
      <w:pPr>
        <w:spacing w:after="0" w:line="240" w:lineRule="auto"/>
      </w:pPr>
      <w:r>
        <w:separator/>
      </w:r>
    </w:p>
  </w:endnote>
  <w:endnote w:type="continuationSeparator" w:id="0">
    <w:p w:rsidR="00193A20" w:rsidRDefault="00193A20" w:rsidP="00A4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727723"/>
      <w:docPartObj>
        <w:docPartGallery w:val="Page Numbers (Bottom of Page)"/>
        <w:docPartUnique/>
      </w:docPartObj>
    </w:sdtPr>
    <w:sdtEndPr/>
    <w:sdtContent>
      <w:p w:rsidR="00B239A6" w:rsidRDefault="00B239A6">
        <w:pPr>
          <w:pStyle w:val="Footer"/>
          <w:jc w:val="right"/>
        </w:pPr>
        <w:r>
          <w:fldChar w:fldCharType="begin"/>
        </w:r>
        <w:r>
          <w:instrText>PAGE   \* MERGEFORMAT</w:instrText>
        </w:r>
        <w:r>
          <w:fldChar w:fldCharType="separate"/>
        </w:r>
        <w:r w:rsidR="007479DC" w:rsidRPr="007479DC">
          <w:rPr>
            <w:noProof/>
            <w:lang w:val="es-ES"/>
          </w:rPr>
          <w:t>1</w:t>
        </w:r>
        <w:r>
          <w:fldChar w:fldCharType="end"/>
        </w:r>
      </w:p>
    </w:sdtContent>
  </w:sdt>
  <w:p w:rsidR="00B239A6" w:rsidRDefault="00B2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20" w:rsidRDefault="00193A20" w:rsidP="00A4190C">
      <w:pPr>
        <w:spacing w:after="0" w:line="240" w:lineRule="auto"/>
      </w:pPr>
      <w:r>
        <w:separator/>
      </w:r>
    </w:p>
  </w:footnote>
  <w:footnote w:type="continuationSeparator" w:id="0">
    <w:p w:rsidR="00193A20" w:rsidRDefault="00193A20" w:rsidP="00A4190C">
      <w:pPr>
        <w:spacing w:after="0" w:line="240" w:lineRule="auto"/>
      </w:pPr>
      <w:r>
        <w:continuationSeparator/>
      </w:r>
    </w:p>
  </w:footnote>
  <w:footnote w:id="1">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La FAO ha reconocido la relación entre las PDA, la generación de gases de invernadero y el cambio climático, por ello, su disminución contribuye a conseguir el objetivo de desarrollo sustentable 13 Acción por el clima. FAO, El Estado Mundial de la Agricultura y la Alimentación 2019. Progresos en la lucha contra la pérdida y el desperdicio de alimentos, p.20, </w:t>
      </w:r>
      <w:hyperlink r:id="rId1" w:history="1">
        <w:r w:rsidRPr="006D1E16">
          <w:rPr>
            <w:rStyle w:val="Hyperlink"/>
            <w:rFonts w:asciiTheme="minorHAnsi" w:hAnsiTheme="minorHAnsi" w:cstheme="minorHAnsi"/>
            <w:sz w:val="12"/>
            <w:szCs w:val="12"/>
            <w:lang w:val="es-ES"/>
          </w:rPr>
          <w:t>http://www.fao.org/3/ca6030es/ca6030es.pdf</w:t>
        </w:r>
      </w:hyperlink>
      <w:r w:rsidRPr="006D1E16">
        <w:rPr>
          <w:rFonts w:asciiTheme="minorHAnsi" w:hAnsiTheme="minorHAnsi" w:cstheme="minorHAnsi"/>
          <w:sz w:val="12"/>
          <w:szCs w:val="12"/>
          <w:lang w:val="es-ES"/>
        </w:rPr>
        <w:t xml:space="preserve"> </w:t>
      </w:r>
    </w:p>
  </w:footnote>
  <w:footnote w:id="2">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Comisión para la Cooperación Ambiental, Caracterización y gestión de la pérdida y el desperdicio de alimentos en América del Norte, informe sintético, Comisión para la Cooperación Ambiental, Canadá, p. ix, </w:t>
      </w:r>
      <w:hyperlink r:id="rId2" w:history="1">
        <w:r w:rsidRPr="006D1E16">
          <w:rPr>
            <w:rStyle w:val="Hyperlink"/>
            <w:rFonts w:asciiTheme="minorHAnsi" w:hAnsiTheme="minorHAnsi" w:cstheme="minorHAnsi"/>
            <w:sz w:val="12"/>
            <w:szCs w:val="12"/>
          </w:rPr>
          <w:t>http://www3.cec.org/islandora/es/item/11772-characterization-and-management-food-loss-and-waste-in-north-america-es.pdf</w:t>
        </w:r>
      </w:hyperlink>
      <w:r w:rsidRPr="006D1E16">
        <w:rPr>
          <w:rFonts w:asciiTheme="minorHAnsi" w:hAnsiTheme="minorHAnsi" w:cstheme="minorHAnsi"/>
          <w:sz w:val="12"/>
          <w:szCs w:val="12"/>
        </w:rPr>
        <w:t xml:space="preserve"> </w:t>
      </w:r>
    </w:p>
  </w:footnote>
  <w:footnote w:id="3">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Notimex, Cada mexicano desperdicia 158 kilos de comida al año, Forbes, México, 15 de enero de 2020, </w:t>
      </w:r>
      <w:hyperlink r:id="rId3" w:history="1">
        <w:r w:rsidRPr="006D1E16">
          <w:rPr>
            <w:rStyle w:val="Hyperlink"/>
            <w:rFonts w:asciiTheme="minorHAnsi" w:hAnsiTheme="minorHAnsi" w:cstheme="minorHAnsi"/>
            <w:sz w:val="12"/>
            <w:szCs w:val="12"/>
            <w:lang w:val="es-ES"/>
          </w:rPr>
          <w:t>https://www.forbes.com.mx/cada-mexicano-desperdicia-158-kilos-de-comida-al-ano/</w:t>
        </w:r>
      </w:hyperlink>
      <w:r w:rsidRPr="006D1E16">
        <w:rPr>
          <w:rFonts w:asciiTheme="minorHAnsi" w:hAnsiTheme="minorHAnsi" w:cstheme="minorHAnsi"/>
          <w:sz w:val="12"/>
          <w:szCs w:val="12"/>
          <w:lang w:val="es-ES"/>
        </w:rPr>
        <w:t xml:space="preserve"> </w:t>
      </w:r>
    </w:p>
  </w:footnote>
  <w:footnote w:id="4">
    <w:p w:rsidR="00B239A6" w:rsidRPr="006D1E16" w:rsidRDefault="00B239A6"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Rivera-Garibay Omar Oslet, </w:t>
      </w:r>
      <w:r w:rsidRPr="006D1E16">
        <w:rPr>
          <w:rFonts w:asciiTheme="minorHAnsi" w:hAnsiTheme="minorHAnsi" w:cstheme="minorHAnsi"/>
          <w:i/>
          <w:sz w:val="12"/>
          <w:szCs w:val="12"/>
        </w:rPr>
        <w:t>et al.</w:t>
      </w:r>
      <w:r w:rsidRPr="006D1E16">
        <w:rPr>
          <w:rFonts w:asciiTheme="minorHAnsi" w:hAnsiTheme="minorHAnsi" w:cstheme="minorHAnsi"/>
          <w:sz w:val="12"/>
          <w:szCs w:val="12"/>
        </w:rPr>
        <w:t>, Impacto de la contaminación por plástico en áreas naturales protegidas mexicanas, Greenpeace, México, 2020, 36 pp.</w:t>
      </w:r>
    </w:p>
  </w:footnote>
  <w:footnote w:id="5">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Xantomilla, Gabriel, Consumo de botellas de plástico marca récord en México: Semarnat, El Sol de México, México, 19 de abril de 2021, </w:t>
      </w:r>
      <w:hyperlink r:id="rId4" w:history="1">
        <w:r w:rsidRPr="006D1E16">
          <w:rPr>
            <w:rStyle w:val="Hyperlink"/>
            <w:rFonts w:asciiTheme="minorHAnsi" w:hAnsiTheme="minorHAnsi" w:cstheme="minorHAnsi"/>
            <w:sz w:val="12"/>
            <w:szCs w:val="12"/>
          </w:rPr>
          <w:t>https://www.elsoldemexico.com.mx/mexico/sociedad/consumo-de-botellas-de-plastico-marca-record-en-mexico-semarnat-3435611.html</w:t>
        </w:r>
      </w:hyperlink>
      <w:r w:rsidRPr="006D1E16">
        <w:rPr>
          <w:rFonts w:asciiTheme="minorHAnsi" w:hAnsiTheme="minorHAnsi" w:cstheme="minorHAnsi"/>
          <w:sz w:val="12"/>
          <w:szCs w:val="12"/>
        </w:rPr>
        <w:t xml:space="preserve">  </w:t>
      </w:r>
    </w:p>
  </w:footnote>
  <w:footnote w:id="6">
    <w:p w:rsidR="00B239A6" w:rsidRPr="006D1E16" w:rsidRDefault="00B239A6" w:rsidP="003459EE">
      <w:pPr>
        <w:pStyle w:val="FootnoteText"/>
        <w:jc w:val="both"/>
        <w:rPr>
          <w:rFonts w:asciiTheme="minorHAnsi" w:hAnsiTheme="minorHAnsi" w:cstheme="minorHAnsi"/>
          <w:sz w:val="12"/>
          <w:szCs w:val="12"/>
          <w:lang w:val="en-AU"/>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lang w:val="en-AU"/>
        </w:rPr>
        <w:t xml:space="preserve"> Statista, Soft drink per capita consumption in the ten most populated countries worldwide 2019. Published by Jan Conway, Nov 26, 2020. “In 2019, Mexico was the country with the highest carbonated soft drink consumption, namely over 630 8-ounce servings per capita per year. The United States stood in second place, with almost the same quantity, while Brazil, which ranked third, consumed less than half the soft drinks Mexicans drank that year.”. Disponible en: </w:t>
      </w:r>
      <w:hyperlink r:id="rId5" w:anchor=":~:text=In%202019%2C%20Mexico%20was%20the,drinks%20Mexicans%20drank%20that%20year" w:history="1">
        <w:r w:rsidRPr="006D1E16">
          <w:rPr>
            <w:rStyle w:val="Hyperlink"/>
            <w:rFonts w:asciiTheme="minorHAnsi" w:hAnsiTheme="minorHAnsi" w:cstheme="minorHAnsi"/>
            <w:sz w:val="12"/>
            <w:szCs w:val="12"/>
            <w:lang w:val="en-AU"/>
          </w:rPr>
          <w:t>https://www.statista.com/statistics/505794/cds-per-capita-consumption-in-worlds-top-ten-population-countries/#:~:text=In%202019%2C%20Mexico%20was%20the,drinks%20Mexicans%20drank%20that%20year</w:t>
        </w:r>
      </w:hyperlink>
      <w:r w:rsidRPr="006D1E16">
        <w:rPr>
          <w:rFonts w:asciiTheme="minorHAnsi" w:hAnsiTheme="minorHAnsi" w:cstheme="minorHAnsi"/>
          <w:sz w:val="12"/>
          <w:szCs w:val="12"/>
          <w:lang w:val="en-AU"/>
        </w:rPr>
        <w:t xml:space="preserve">. </w:t>
      </w:r>
    </w:p>
  </w:footnote>
  <w:footnote w:id="7">
    <w:p w:rsidR="00B239A6" w:rsidRPr="006D1E16" w:rsidRDefault="00B239A6"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Lozano, Felipe </w:t>
      </w:r>
      <w:r w:rsidRPr="006D1E16">
        <w:rPr>
          <w:rFonts w:asciiTheme="minorHAnsi" w:hAnsiTheme="minorHAnsi" w:cstheme="minorHAnsi"/>
          <w:i/>
          <w:sz w:val="12"/>
          <w:szCs w:val="12"/>
        </w:rPr>
        <w:t>et al.</w:t>
      </w:r>
      <w:r w:rsidRPr="006D1E16">
        <w:rPr>
          <w:rFonts w:asciiTheme="minorHAnsi" w:hAnsiTheme="minorHAnsi" w:cstheme="minorHAnsi"/>
          <w:sz w:val="12"/>
          <w:szCs w:val="12"/>
          <w:lang w:val="es-ES"/>
        </w:rPr>
        <w:t xml:space="preserve">, Entrega de resultados. Proyecto de investigación: Causas de insuficiencia renal en niños de preescolar y primaria de la comunidad El Mentidero, Jal., Universidad de Guadalajara (UDG)-CIESAS UNAM, México, 2019, 2 p., </w:t>
      </w:r>
      <w:hyperlink r:id="rId6" w:history="1">
        <w:r w:rsidRPr="006D1E16">
          <w:rPr>
            <w:rStyle w:val="Hyperlink"/>
            <w:rFonts w:asciiTheme="minorHAnsi" w:hAnsiTheme="minorHAnsi" w:cstheme="minorHAnsi"/>
            <w:sz w:val="12"/>
            <w:szCs w:val="12"/>
            <w:lang w:val="es-ES"/>
          </w:rPr>
          <w:t>https://lasillarotarm.blob.core.windows.net/docs/2019/09/23/informeanalisispesticidastelesecundaria.pdf</w:t>
        </w:r>
      </w:hyperlink>
      <w:r w:rsidRPr="006D1E16">
        <w:rPr>
          <w:rFonts w:asciiTheme="minorHAnsi" w:hAnsiTheme="minorHAnsi" w:cstheme="minorHAnsi"/>
          <w:sz w:val="12"/>
          <w:szCs w:val="12"/>
          <w:lang w:val="es-ES"/>
        </w:rPr>
        <w:t xml:space="preserve"> </w:t>
      </w:r>
      <w:r w:rsidRPr="006D1E16">
        <w:rPr>
          <w:rFonts w:asciiTheme="minorHAnsi" w:hAnsiTheme="minorHAnsi" w:cstheme="minorHAnsi"/>
          <w:sz w:val="12"/>
          <w:szCs w:val="12"/>
        </w:rPr>
        <w:t xml:space="preserve">y Rendón-von Osten, Jaime </w:t>
      </w:r>
      <w:r w:rsidRPr="006D1E16">
        <w:rPr>
          <w:rFonts w:asciiTheme="minorHAnsi" w:hAnsiTheme="minorHAnsi" w:cstheme="minorHAnsi"/>
          <w:i/>
          <w:sz w:val="12"/>
          <w:szCs w:val="12"/>
        </w:rPr>
        <w:t>et al.</w:t>
      </w:r>
      <w:r w:rsidRPr="006D1E16">
        <w:rPr>
          <w:rFonts w:asciiTheme="minorHAnsi" w:hAnsiTheme="minorHAnsi" w:cstheme="minorHAnsi"/>
          <w:sz w:val="12"/>
          <w:szCs w:val="12"/>
        </w:rPr>
        <w:t xml:space="preserve">, “Glyphosate Residues in Groundwater, Drinking Water and Urine of Subsistence Farmers from Intensive Agriculture Localities: A Survey in Hopelchén, Campeche, Mexico”, International Journal of Environmental Research and Public Health, 2017, 14 (6), p. 8-9, </w:t>
      </w:r>
      <w:hyperlink r:id="rId7" w:history="1">
        <w:r w:rsidRPr="006D1E16">
          <w:rPr>
            <w:rStyle w:val="Hyperlink"/>
            <w:rFonts w:asciiTheme="minorHAnsi" w:hAnsiTheme="minorHAnsi" w:cstheme="minorHAnsi"/>
            <w:sz w:val="12"/>
            <w:szCs w:val="12"/>
          </w:rPr>
          <w:t>https://www.mdpi.com/1660-4601/14/6/595/htm</w:t>
        </w:r>
      </w:hyperlink>
      <w:r w:rsidRPr="006D1E16">
        <w:rPr>
          <w:rFonts w:asciiTheme="minorHAnsi" w:hAnsiTheme="minorHAnsi" w:cstheme="minorHAnsi"/>
          <w:sz w:val="12"/>
          <w:szCs w:val="12"/>
        </w:rPr>
        <w:t xml:space="preserve"> </w:t>
      </w:r>
    </w:p>
  </w:footnote>
  <w:footnote w:id="8">
    <w:p w:rsidR="00B239A6" w:rsidRPr="006D1E16" w:rsidRDefault="00B239A6" w:rsidP="003459EE">
      <w:pPr>
        <w:pStyle w:val="FootnoteText"/>
        <w:jc w:val="both"/>
        <w:rPr>
          <w:rFonts w:asciiTheme="minorHAnsi" w:hAnsiTheme="minorHAnsi" w:cstheme="minorHAnsi"/>
          <w:sz w:val="12"/>
          <w:szCs w:val="12"/>
          <w:lang w:val="en-AU"/>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lang w:val="en-AU"/>
        </w:rPr>
        <w:t xml:space="preserve"> E. González-Ortega </w:t>
      </w:r>
      <w:r w:rsidRPr="006D1E16">
        <w:rPr>
          <w:rFonts w:asciiTheme="minorHAnsi" w:hAnsiTheme="minorHAnsi" w:cstheme="minorHAnsi"/>
          <w:i/>
          <w:sz w:val="12"/>
          <w:szCs w:val="12"/>
          <w:lang w:val="en-AU"/>
        </w:rPr>
        <w:t>et al.</w:t>
      </w:r>
      <w:r w:rsidRPr="006D1E16">
        <w:rPr>
          <w:rFonts w:asciiTheme="minorHAnsi" w:hAnsiTheme="minorHAnsi" w:cstheme="minorHAnsi"/>
          <w:sz w:val="12"/>
          <w:szCs w:val="12"/>
          <w:lang w:val="en-AU"/>
        </w:rPr>
        <w:t xml:space="preserve"> , “Pervasive presence of transgenes and glyphosate in maize-derived food in Mexico, Agroecology and Sustainable Food Systems”, 2017, 41:9-10, 1146-1161, </w:t>
      </w:r>
      <w:hyperlink r:id="rId8" w:history="1">
        <w:r w:rsidRPr="006D1E16">
          <w:rPr>
            <w:rStyle w:val="Hyperlink"/>
            <w:rFonts w:asciiTheme="minorHAnsi" w:hAnsiTheme="minorHAnsi" w:cstheme="minorHAnsi"/>
            <w:sz w:val="12"/>
            <w:szCs w:val="12"/>
            <w:lang w:val="en-AU"/>
          </w:rPr>
          <w:t>https://www.tandfonline.com/doi/full/10.1080/21683565.2017.1372841</w:t>
        </w:r>
      </w:hyperlink>
      <w:r w:rsidRPr="006D1E16">
        <w:rPr>
          <w:rFonts w:asciiTheme="minorHAnsi" w:hAnsiTheme="minorHAnsi" w:cstheme="minorHAnsi"/>
          <w:sz w:val="12"/>
          <w:szCs w:val="12"/>
          <w:lang w:val="en-AU"/>
        </w:rPr>
        <w:t xml:space="preserve"> </w:t>
      </w:r>
    </w:p>
  </w:footnote>
  <w:footnote w:id="9">
    <w:p w:rsidR="00C06DCA" w:rsidRPr="006D1E16" w:rsidRDefault="00C06DCA"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Relatora sobre el derecho a la alimentación, A/HRC/34/48, Informe de la Relatora Especial sobre el derecho a la alimentación, 24 de enero de 2017, párrafos 15-18, https://undocs.org/es/A/HRC/34/48</w:t>
      </w:r>
    </w:p>
  </w:footnote>
  <w:footnote w:id="10">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EFE Noticias, Agricultores mayas de México siguen en pie de guerra contra multinacionales, UDGTV, 29 de enero de 2020, </w:t>
      </w:r>
      <w:hyperlink r:id="rId9" w:history="1">
        <w:r w:rsidRPr="006D1E16">
          <w:rPr>
            <w:rStyle w:val="Hyperlink"/>
            <w:rFonts w:asciiTheme="minorHAnsi" w:hAnsiTheme="minorHAnsi" w:cstheme="minorHAnsi"/>
            <w:sz w:val="12"/>
            <w:szCs w:val="12"/>
          </w:rPr>
          <w:t>https://udgtv.com/noticias/agricultores-mayas-mexico-siguen-guerra-contra-multinacionales/</w:t>
        </w:r>
      </w:hyperlink>
      <w:r w:rsidRPr="006D1E16">
        <w:rPr>
          <w:rFonts w:asciiTheme="minorHAnsi" w:hAnsiTheme="minorHAnsi" w:cstheme="minorHAnsi"/>
          <w:sz w:val="12"/>
          <w:szCs w:val="12"/>
        </w:rPr>
        <w:t xml:space="preserve">  </w:t>
      </w:r>
    </w:p>
  </w:footnote>
  <w:footnote w:id="11">
    <w:p w:rsidR="00942890" w:rsidRPr="006D1E16" w:rsidRDefault="00942890"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Relator sobre el derecho a la alimentación, A/64/170, El derecho a la alimentación Las políticas de semillas y el derecho a la alimentación: mejora de la biodiversidad de la agricultura y fomento de la innovación, 23 de julio de 2009, párrafos 36-41</w:t>
      </w:r>
    </w:p>
  </w:footnote>
  <w:footnote w:id="12">
    <w:p w:rsidR="00942890" w:rsidRPr="006D1E16" w:rsidRDefault="00942890"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Ibídem, párrafos 38 y 39</w:t>
      </w:r>
    </w:p>
  </w:footnote>
  <w:footnote w:id="13">
    <w:p w:rsidR="00B239A6" w:rsidRPr="006D1E16" w:rsidRDefault="00B239A6" w:rsidP="003459EE">
      <w:pPr>
        <w:autoSpaceDE w:val="0"/>
        <w:autoSpaceDN w:val="0"/>
        <w:adjustRightInd w:val="0"/>
        <w:spacing w:after="0" w:line="240" w:lineRule="auto"/>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Castro, Soto, “Los efectos de la palma africana”, A.A.V.V, Azúcar roja desiertos verdes, HIC-AL-FIAN, México, 2009, págs. 219-228; Notimex, Ecocidio, el costo de la alta demanda en el mercado del aguacate, Forbes, 12 de diciembre de 2019, </w:t>
      </w:r>
      <w:hyperlink r:id="rId10" w:history="1">
        <w:r w:rsidRPr="006D1E16">
          <w:rPr>
            <w:rStyle w:val="Hyperlink"/>
            <w:rFonts w:asciiTheme="minorHAnsi" w:hAnsiTheme="minorHAnsi" w:cstheme="minorHAnsi"/>
            <w:sz w:val="12"/>
            <w:szCs w:val="12"/>
          </w:rPr>
          <w:t>https://www.forbes.com.mx/ecocidio-el-costo-de-la-alta-demanda-en-el-mercado-del-aguacate/</w:t>
        </w:r>
      </w:hyperlink>
      <w:r w:rsidRPr="006D1E16">
        <w:rPr>
          <w:rFonts w:asciiTheme="minorHAnsi" w:hAnsiTheme="minorHAnsi" w:cstheme="minorHAnsi"/>
          <w:sz w:val="12"/>
          <w:szCs w:val="12"/>
        </w:rPr>
        <w:t xml:space="preserve">; y Martínez-Vázquez, Esteban, “Impacto de la expansión de soya transgénica en la producción de maíz y miel en Campeche, México”, Letras Verdes. Revista Latinoamericana de Estudios Socioambientales. No. 26, septiembre-febrero, págs. 173-190, </w:t>
      </w:r>
      <w:hyperlink r:id="rId11" w:history="1">
        <w:r w:rsidRPr="006D1E16">
          <w:rPr>
            <w:rStyle w:val="Hyperlink"/>
            <w:rFonts w:asciiTheme="minorHAnsi" w:hAnsiTheme="minorHAnsi" w:cstheme="minorHAnsi"/>
            <w:sz w:val="12"/>
            <w:szCs w:val="12"/>
          </w:rPr>
          <w:t>https://doi.org/10.17141/letrasverdes.26.2019.3840</w:t>
        </w:r>
      </w:hyperlink>
      <w:r w:rsidRPr="006D1E16">
        <w:rPr>
          <w:rFonts w:asciiTheme="minorHAnsi" w:hAnsiTheme="minorHAnsi" w:cstheme="minorHAnsi"/>
          <w:sz w:val="12"/>
          <w:szCs w:val="12"/>
        </w:rPr>
        <w:t xml:space="preserve">  </w:t>
      </w:r>
    </w:p>
  </w:footnote>
  <w:footnote w:id="14">
    <w:p w:rsidR="008C21ED" w:rsidRPr="006D1E16" w:rsidRDefault="008C21ED"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Tena, Alejandro, Soja, palma, azúcar... Monocultivos para que crezca el dinero, no para alimentar, Público, España, 25 de octubre de 2019, </w:t>
      </w:r>
      <w:hyperlink r:id="rId12" w:history="1">
        <w:r w:rsidRPr="006D1E16">
          <w:rPr>
            <w:rStyle w:val="Hyperlink"/>
            <w:rFonts w:asciiTheme="minorHAnsi" w:hAnsiTheme="minorHAnsi" w:cstheme="minorHAnsi"/>
            <w:sz w:val="12"/>
            <w:szCs w:val="12"/>
          </w:rPr>
          <w:t>https://www.publico.es/sociedad/monocultivos-planta-dinero-lugar-alimentos.html</w:t>
        </w:r>
      </w:hyperlink>
      <w:r w:rsidRPr="006D1E16">
        <w:rPr>
          <w:rFonts w:asciiTheme="minorHAnsi" w:hAnsiTheme="minorHAnsi" w:cstheme="minorHAnsi"/>
          <w:sz w:val="12"/>
          <w:szCs w:val="12"/>
        </w:rPr>
        <w:t xml:space="preserve"> </w:t>
      </w:r>
    </w:p>
  </w:footnote>
  <w:footnote w:id="15">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SEMARNAT, Informe sobre la situación del Medio Ambiente en México 2018, México. 2019, págs. 230-233, </w:t>
      </w:r>
      <w:hyperlink r:id="rId13" w:history="1">
        <w:r w:rsidRPr="006D1E16">
          <w:rPr>
            <w:rStyle w:val="Hyperlink"/>
            <w:rFonts w:asciiTheme="minorHAnsi" w:hAnsiTheme="minorHAnsi" w:cstheme="minorHAnsi"/>
            <w:sz w:val="12"/>
            <w:szCs w:val="12"/>
            <w:lang w:val="es-ES"/>
          </w:rPr>
          <w:t>https://apps1.semarnat.gob.mx:8443/dgeia/informe18/tema/pdf/Informe2018GMX_web.pdf</w:t>
        </w:r>
      </w:hyperlink>
      <w:r w:rsidRPr="006D1E16">
        <w:rPr>
          <w:rFonts w:asciiTheme="minorHAnsi" w:hAnsiTheme="minorHAnsi" w:cstheme="minorHAnsi"/>
          <w:sz w:val="12"/>
          <w:szCs w:val="12"/>
          <w:lang w:val="es-ES"/>
        </w:rPr>
        <w:t xml:space="preserve">  </w:t>
      </w:r>
    </w:p>
  </w:footnote>
  <w:footnote w:id="16">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Greenpeace, ¿Qué hay detrás de la industria porcícola de Yucatán? La carne que está consumiendo al Planeta, México, 2020, 44 pp., </w:t>
      </w:r>
      <w:hyperlink r:id="rId14" w:history="1">
        <w:r w:rsidRPr="006D1E16">
          <w:rPr>
            <w:rStyle w:val="Hyperlink"/>
            <w:rFonts w:asciiTheme="minorHAnsi" w:hAnsiTheme="minorHAnsi" w:cstheme="minorHAnsi"/>
            <w:sz w:val="12"/>
            <w:szCs w:val="12"/>
            <w:lang w:val="es-ES"/>
          </w:rPr>
          <w:t>https://www.greenpeace.org/static/planet4-mexico-stateless/2020/05/188dc911-reporte_granjas_webok3.pdf</w:t>
        </w:r>
      </w:hyperlink>
      <w:r w:rsidRPr="006D1E16">
        <w:rPr>
          <w:rFonts w:asciiTheme="minorHAnsi" w:hAnsiTheme="minorHAnsi" w:cstheme="minorHAnsi"/>
          <w:sz w:val="12"/>
          <w:szCs w:val="12"/>
          <w:lang w:val="es-ES"/>
        </w:rPr>
        <w:t xml:space="preserve">  y EFE, Granja de cerdos en Yucatán contamina el agua de cenotes y afecta la producción de miel, Sin Embargo, México, 13 de enero de 2019, </w:t>
      </w:r>
      <w:hyperlink r:id="rId15" w:history="1">
        <w:r w:rsidRPr="006D1E16">
          <w:rPr>
            <w:rStyle w:val="Hyperlink"/>
            <w:rFonts w:asciiTheme="minorHAnsi" w:hAnsiTheme="minorHAnsi" w:cstheme="minorHAnsi"/>
            <w:sz w:val="12"/>
            <w:szCs w:val="12"/>
            <w:lang w:val="es-ES"/>
          </w:rPr>
          <w:t>https://www.sinembargo.mx/13-01-2019/3522021</w:t>
        </w:r>
      </w:hyperlink>
      <w:r w:rsidRPr="006D1E16">
        <w:rPr>
          <w:rFonts w:asciiTheme="minorHAnsi" w:hAnsiTheme="minorHAnsi" w:cstheme="minorHAnsi"/>
          <w:sz w:val="12"/>
          <w:szCs w:val="12"/>
          <w:lang w:val="es-ES"/>
        </w:rPr>
        <w:t xml:space="preserve"> </w:t>
      </w:r>
    </w:p>
  </w:footnote>
  <w:footnote w:id="17">
    <w:p w:rsidR="00B239A6" w:rsidRPr="006D1E16" w:rsidRDefault="00B239A6"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FAO, Cambio climático y seguridad alimentaria y nutricional América Latina y el Caribe (orientaciones de política), Chile, 2016, páginas 3-8, </w:t>
      </w:r>
      <w:hyperlink r:id="rId16" w:history="1">
        <w:r w:rsidRPr="006D1E16">
          <w:rPr>
            <w:rStyle w:val="Hyperlink"/>
            <w:rFonts w:asciiTheme="minorHAnsi" w:hAnsiTheme="minorHAnsi" w:cstheme="minorHAnsi"/>
            <w:sz w:val="12"/>
            <w:szCs w:val="12"/>
          </w:rPr>
          <w:t>http://www.fao.org/fileadmin/user_upload/rlc/docs/Cambioclimatico.pdf</w:t>
        </w:r>
      </w:hyperlink>
      <w:r w:rsidRPr="006D1E16">
        <w:rPr>
          <w:rFonts w:asciiTheme="minorHAnsi" w:hAnsiTheme="minorHAnsi" w:cstheme="minorHAnsi"/>
          <w:sz w:val="12"/>
          <w:szCs w:val="12"/>
        </w:rPr>
        <w:t xml:space="preserve"> </w:t>
      </w:r>
    </w:p>
  </w:footnote>
  <w:footnote w:id="18">
    <w:p w:rsidR="00B239A6" w:rsidRPr="006D1E16" w:rsidRDefault="00B239A6"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Relatora Especial sobre el derecho a la alimentación, A/70/287, Informe provisional de la Relatora Especial sobre el derecho a la alimentación, la Sra. Hilal Elver, 5 de agosto de 2015, párrafos 6-40, </w:t>
      </w:r>
      <w:hyperlink r:id="rId17" w:history="1">
        <w:r w:rsidRPr="006D1E16">
          <w:rPr>
            <w:rStyle w:val="Hyperlink"/>
            <w:rFonts w:asciiTheme="minorHAnsi" w:hAnsiTheme="minorHAnsi" w:cstheme="minorHAnsi"/>
            <w:sz w:val="12"/>
            <w:szCs w:val="12"/>
          </w:rPr>
          <w:t>https://undocs.org/es/A/70/287</w:t>
        </w:r>
      </w:hyperlink>
      <w:r w:rsidRPr="006D1E16">
        <w:rPr>
          <w:rFonts w:asciiTheme="minorHAnsi" w:hAnsiTheme="minorHAnsi" w:cstheme="minorHAnsi"/>
          <w:sz w:val="12"/>
          <w:szCs w:val="12"/>
        </w:rPr>
        <w:t xml:space="preserve"> </w:t>
      </w:r>
    </w:p>
  </w:footnote>
  <w:footnote w:id="19">
    <w:p w:rsidR="00B239A6" w:rsidRPr="006D1E16" w:rsidRDefault="00B239A6"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Declaración de Río sobre el Medio Ambiente y Desarrollo (principio 15), Declaración de Naciones Unidas sobre los Derechos de los Pueblos Indígenas (artículos 25, 26, 29 y 31) y Declaración de Naciones Unidas sobre los Derechos de los Campesinos y Otras Personas que trabaja en las zonas rurales, Observación General 12. El derecho a una alimentación adecuada (párrafos 10 y 14)</w:t>
      </w:r>
    </w:p>
  </w:footnote>
  <w:footnote w:id="20">
    <w:p w:rsidR="00B239A6" w:rsidRPr="006D1E16" w:rsidRDefault="00B239A6"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Relator sobre el derecho a la alimentación, A/58/330, Informe sobre el derecho a la alimentación preparado por el Relator Especial de la Comisión de Derechos Humanos, Sr. Jean Ziegler, 28de agosto de 2003, párrafo 63, inciso f</w:t>
      </w:r>
    </w:p>
  </w:footnote>
  <w:footnote w:id="21">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Principios Rectores sobre las Empresas y los Derechos Humanos</w:t>
      </w:r>
    </w:p>
  </w:footnote>
  <w:footnote w:id="22">
    <w:p w:rsidR="00B239A6" w:rsidRPr="006D1E16" w:rsidRDefault="00B239A6" w:rsidP="003459EE">
      <w:pPr>
        <w:pStyle w:val="FootnoteText"/>
        <w:tabs>
          <w:tab w:val="left" w:pos="3643"/>
        </w:tabs>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Relator sobre el Derecho a la Alimentación, A/HRC/16/49, Informe del Relator Especial sobre el derecho a la alimentación, Sr. Olivier De Schutter, 20de diciembre de 2010, 24 pp., </w:t>
      </w:r>
      <w:hyperlink r:id="rId18" w:history="1">
        <w:r w:rsidRPr="006D1E16">
          <w:rPr>
            <w:rStyle w:val="Hyperlink"/>
            <w:rFonts w:asciiTheme="minorHAnsi" w:hAnsiTheme="minorHAnsi" w:cstheme="minorHAnsi"/>
            <w:sz w:val="12"/>
            <w:szCs w:val="12"/>
          </w:rPr>
          <w:t>https://undocs.org/es/A/HRC/16/49</w:t>
        </w:r>
      </w:hyperlink>
      <w:r w:rsidRPr="006D1E16">
        <w:rPr>
          <w:rFonts w:asciiTheme="minorHAnsi" w:hAnsiTheme="minorHAnsi" w:cstheme="minorHAnsi"/>
          <w:sz w:val="12"/>
          <w:szCs w:val="12"/>
        </w:rPr>
        <w:t xml:space="preserve"> </w:t>
      </w:r>
    </w:p>
  </w:footnote>
  <w:footnote w:id="23">
    <w:p w:rsidR="00B239A6" w:rsidRPr="006D1E16" w:rsidRDefault="00B239A6" w:rsidP="003459EE">
      <w:pPr>
        <w:pStyle w:val="FootnoteText"/>
        <w:jc w:val="both"/>
        <w:rPr>
          <w:rFonts w:asciiTheme="minorHAnsi" w:hAnsiTheme="minorHAnsi" w:cstheme="minorHAnsi"/>
          <w:sz w:val="12"/>
          <w:szCs w:val="12"/>
          <w:lang w:val="es-ES"/>
        </w:rPr>
      </w:pPr>
      <w:r w:rsidRPr="006D1E16">
        <w:rPr>
          <w:rFonts w:asciiTheme="minorHAnsi" w:hAnsiTheme="minorHAnsi" w:cstheme="minorHAnsi"/>
          <w:sz w:val="12"/>
          <w:szCs w:val="12"/>
        </w:rPr>
        <w:t>.</w:t>
      </w: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FAO y OMS. Dietas saludables sostenibles - Principios rectores, Italia, 2002, págs. 12 y 13, </w:t>
      </w:r>
      <w:hyperlink r:id="rId19" w:history="1">
        <w:r w:rsidRPr="006D1E16">
          <w:rPr>
            <w:rStyle w:val="Hyperlink"/>
            <w:rFonts w:asciiTheme="minorHAnsi" w:hAnsiTheme="minorHAnsi" w:cstheme="minorHAnsi"/>
            <w:sz w:val="12"/>
            <w:szCs w:val="12"/>
          </w:rPr>
          <w:t>http://www.fao.org/3/ca6640es/CA6640ES.pdf</w:t>
        </w:r>
      </w:hyperlink>
      <w:r w:rsidRPr="006D1E16">
        <w:rPr>
          <w:rFonts w:asciiTheme="minorHAnsi" w:hAnsiTheme="minorHAnsi" w:cstheme="minorHAnsi"/>
          <w:sz w:val="12"/>
          <w:szCs w:val="12"/>
        </w:rPr>
        <w:t xml:space="preserve"> </w:t>
      </w:r>
    </w:p>
  </w:footnote>
  <w:footnote w:id="24">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La Ley General del Equilibrio Ecológico y la Protección al Ambiente, la </w:t>
      </w:r>
      <w:r w:rsidRPr="006D1E16">
        <w:rPr>
          <w:rFonts w:asciiTheme="minorHAnsi" w:hAnsiTheme="minorHAnsi" w:cstheme="minorHAnsi"/>
          <w:sz w:val="12"/>
          <w:szCs w:val="12"/>
          <w:lang w:val="es-ES"/>
        </w:rPr>
        <w:t>Ley General de Salud y la Ley Federal de Protección al Consumidor.</w:t>
      </w:r>
    </w:p>
  </w:footnote>
  <w:footnote w:id="25">
    <w:p w:rsidR="008C21ED" w:rsidRPr="006D1E16" w:rsidRDefault="008C21ED"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Ley General de Salud: </w:t>
      </w:r>
      <w:hyperlink r:id="rId20" w:history="1">
        <w:r w:rsidRPr="006D1E16">
          <w:rPr>
            <w:rStyle w:val="Hyperlink"/>
            <w:rFonts w:asciiTheme="minorHAnsi" w:hAnsiTheme="minorHAnsi" w:cstheme="minorHAnsi"/>
            <w:sz w:val="12"/>
            <w:szCs w:val="12"/>
          </w:rPr>
          <w:t>http://www.diputados.gob.mx/LeyesBiblio/pdf/142_190221.pdf</w:t>
        </w:r>
      </w:hyperlink>
      <w:r w:rsidRPr="006D1E16">
        <w:rPr>
          <w:rFonts w:asciiTheme="minorHAnsi" w:hAnsiTheme="minorHAnsi" w:cstheme="minorHAnsi"/>
          <w:sz w:val="12"/>
          <w:szCs w:val="12"/>
        </w:rPr>
        <w:t xml:space="preserve"> </w:t>
      </w:r>
    </w:p>
  </w:footnote>
  <w:footnote w:id="26">
    <w:p w:rsidR="008C21ED" w:rsidRPr="006D1E16" w:rsidRDefault="008C21ED"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Ley General del Equilibrio Ecológico y la Protección al Ambiente:  </w:t>
      </w:r>
      <w:hyperlink r:id="rId21" w:history="1">
        <w:r w:rsidRPr="006D1E16">
          <w:rPr>
            <w:rStyle w:val="Hyperlink"/>
            <w:rFonts w:asciiTheme="minorHAnsi" w:hAnsiTheme="minorHAnsi" w:cstheme="minorHAnsi"/>
            <w:sz w:val="12"/>
            <w:szCs w:val="12"/>
          </w:rPr>
          <w:t>http://www.diputados.gob.mx/LeyesBiblio/pdf/148_180121.pdf</w:t>
        </w:r>
      </w:hyperlink>
      <w:r w:rsidRPr="006D1E16">
        <w:rPr>
          <w:rFonts w:asciiTheme="minorHAnsi" w:hAnsiTheme="minorHAnsi" w:cstheme="minorHAnsi"/>
          <w:sz w:val="12"/>
          <w:szCs w:val="12"/>
        </w:rPr>
        <w:t xml:space="preserve"> </w:t>
      </w:r>
    </w:p>
  </w:footnote>
  <w:footnote w:id="27">
    <w:p w:rsidR="008C21ED" w:rsidRPr="006D1E16" w:rsidRDefault="008C21ED"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Ley General de Cambio Climático: </w:t>
      </w:r>
      <w:hyperlink r:id="rId22" w:history="1">
        <w:r w:rsidRPr="006D1E16">
          <w:rPr>
            <w:rStyle w:val="Hyperlink"/>
            <w:rFonts w:asciiTheme="minorHAnsi" w:hAnsiTheme="minorHAnsi" w:cstheme="minorHAnsi"/>
            <w:sz w:val="12"/>
            <w:szCs w:val="12"/>
          </w:rPr>
          <w:t>http://www.diputados.gob.mx/LeyesBiblio/pdf/LGCC_061120.pdf</w:t>
        </w:r>
      </w:hyperlink>
      <w:r w:rsidRPr="006D1E16">
        <w:rPr>
          <w:rFonts w:asciiTheme="minorHAnsi" w:hAnsiTheme="minorHAnsi" w:cstheme="minorHAnsi"/>
          <w:sz w:val="12"/>
          <w:szCs w:val="12"/>
        </w:rPr>
        <w:t xml:space="preserve"> </w:t>
      </w:r>
    </w:p>
  </w:footnote>
  <w:footnote w:id="28">
    <w:p w:rsidR="003459EE" w:rsidRPr="006D1E16" w:rsidRDefault="003459EE"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Ley Federal de Producción, Certificación y Comercio de Semillas: </w:t>
      </w:r>
      <w:hyperlink r:id="rId23" w:history="1">
        <w:r w:rsidRPr="006D1E16">
          <w:rPr>
            <w:rStyle w:val="Hyperlink"/>
            <w:rFonts w:asciiTheme="minorHAnsi" w:hAnsiTheme="minorHAnsi" w:cstheme="minorHAnsi"/>
            <w:sz w:val="12"/>
            <w:szCs w:val="12"/>
          </w:rPr>
          <w:t>http://www.diputados.gob.mx/LeyesBiblio/pdf/LFPCCS_110518.pdf</w:t>
        </w:r>
      </w:hyperlink>
      <w:r w:rsidRPr="006D1E16">
        <w:rPr>
          <w:rFonts w:asciiTheme="minorHAnsi" w:hAnsiTheme="minorHAnsi" w:cstheme="minorHAnsi"/>
          <w:sz w:val="12"/>
          <w:szCs w:val="12"/>
        </w:rPr>
        <w:t xml:space="preserve"> </w:t>
      </w:r>
    </w:p>
  </w:footnote>
  <w:footnote w:id="29">
    <w:p w:rsidR="003459EE" w:rsidRPr="006D1E16" w:rsidRDefault="003459EE">
      <w:pPr>
        <w:pStyle w:val="FootnoteText"/>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Ley Federal para el Fomento y Protección del Maíz Nativo: </w:t>
      </w:r>
      <w:hyperlink r:id="rId24" w:anchor=":~:text=%22EL%20CONGRESO%20GENERAL%20DE%20LOS,Art%C3%ADculo%20%C3%9Anico.&amp;text=Se%20reconoce%20a%20la%20producci%C3%B3n,Nativo%2C%20como%20manifestaci%C3%B3n%20cultural%20nacional" w:history="1">
        <w:r w:rsidRPr="006D1E16">
          <w:rPr>
            <w:rStyle w:val="Hyperlink"/>
            <w:rFonts w:asciiTheme="minorHAnsi" w:hAnsiTheme="minorHAnsi" w:cstheme="minorHAnsi"/>
            <w:sz w:val="12"/>
            <w:szCs w:val="12"/>
          </w:rPr>
          <w:t>http://dof.gob.mx/nota_detalle.php?codigo=5591534&amp;fecha=13/04/2020#:~:text=%22EL%20CONGRESO%20GENERAL%20DE%20LOS,Art%C3%ADculo%20%C3%9Anico.&amp;text=Se%20reconoce%20a%20la%20producci%C3%B3n,Nativo%2C%20como%20manifestaci%C3%B3n%20cultural%20nacional</w:t>
        </w:r>
      </w:hyperlink>
      <w:r w:rsidRPr="006D1E16">
        <w:rPr>
          <w:rFonts w:asciiTheme="minorHAnsi" w:hAnsiTheme="minorHAnsi" w:cstheme="minorHAnsi"/>
          <w:sz w:val="12"/>
          <w:szCs w:val="12"/>
        </w:rPr>
        <w:t xml:space="preserve"> </w:t>
      </w:r>
    </w:p>
  </w:footnote>
  <w:footnote w:id="30">
    <w:p w:rsidR="000A5AAF" w:rsidRPr="006D1E16" w:rsidRDefault="000A5AAF">
      <w:pPr>
        <w:pStyle w:val="FootnoteText"/>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Ley General para la Prevención y Gestión Integral de los Residuos: </w:t>
      </w:r>
      <w:hyperlink r:id="rId25" w:history="1">
        <w:r w:rsidRPr="006D1E16">
          <w:rPr>
            <w:rStyle w:val="Hyperlink"/>
            <w:rFonts w:asciiTheme="minorHAnsi" w:hAnsiTheme="minorHAnsi" w:cstheme="minorHAnsi"/>
            <w:sz w:val="12"/>
            <w:szCs w:val="12"/>
          </w:rPr>
          <w:t>http://www.diputados.gob.mx/LeyesBiblio/pdf/263_180121.pdf</w:t>
        </w:r>
      </w:hyperlink>
      <w:r w:rsidRPr="006D1E16">
        <w:rPr>
          <w:rFonts w:asciiTheme="minorHAnsi" w:hAnsiTheme="minorHAnsi" w:cstheme="minorHAnsi"/>
          <w:sz w:val="12"/>
          <w:szCs w:val="12"/>
        </w:rPr>
        <w:t xml:space="preserve"> </w:t>
      </w:r>
    </w:p>
  </w:footnote>
  <w:footnote w:id="31">
    <w:p w:rsidR="003459EE" w:rsidRPr="006D1E16" w:rsidRDefault="003459EE"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b/>
          <w:bCs/>
          <w:color w:val="000000"/>
          <w:sz w:val="12"/>
          <w:szCs w:val="12"/>
          <w:shd w:val="clear" w:color="auto" w:fill="FFFFFF"/>
        </w:rPr>
        <w:t>Reglamento</w:t>
      </w:r>
      <w:r w:rsidRPr="006D1E16">
        <w:rPr>
          <w:rFonts w:asciiTheme="minorHAnsi" w:hAnsiTheme="minorHAnsi" w:cstheme="minorHAnsi"/>
          <w:color w:val="000000"/>
          <w:sz w:val="12"/>
          <w:szCs w:val="12"/>
          <w:shd w:val="clear" w:color="auto" w:fill="FFFFFF"/>
        </w:rPr>
        <w:t xml:space="preserve"> en Materia de Registros, Autorizaciones de Importación y Exportación y Certificados de Exportación de Plaguicidas, Nutrientes Vegetales y Sustancias y Materiales Tóxicos o Peligrosos, </w:t>
      </w:r>
      <w:r w:rsidRPr="006D1E16">
        <w:rPr>
          <w:rFonts w:asciiTheme="minorHAnsi" w:hAnsiTheme="minorHAnsi" w:cstheme="minorHAnsi"/>
          <w:b/>
          <w:bCs/>
          <w:color w:val="000000"/>
          <w:sz w:val="12"/>
          <w:szCs w:val="12"/>
        </w:rPr>
        <w:t xml:space="preserve">Norma Oficial Mexicana NOM-232-SSA1-2009, Plaguicidas: que establece los requisitos del envase, embalaje y etiquetado de productos grado técnico y para uso agrícola, forestal, pecuario, jardinería, urbano, industrial y doméstico. </w:t>
      </w:r>
    </w:p>
  </w:footnote>
  <w:footnote w:id="32">
    <w:p w:rsidR="00B239A6" w:rsidRPr="006D1E16" w:rsidRDefault="00B239A6"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Primera Sala, Tesis: 1a. CCXLVIII/2017 (10a.), DERECHO HUMANO A UN MEDIO AMBIENTE SANO. SU CONTENIDO. Décima época, Semanario Judicial de la Federación. Libro 49, Diciembre de 2017, Tomo I, página 411, </w:t>
      </w:r>
      <w:hyperlink r:id="rId26" w:history="1">
        <w:r w:rsidRPr="006D1E16">
          <w:rPr>
            <w:rStyle w:val="Hyperlink"/>
            <w:rFonts w:asciiTheme="minorHAnsi" w:hAnsiTheme="minorHAnsi" w:cstheme="minorHAnsi"/>
            <w:sz w:val="12"/>
            <w:szCs w:val="12"/>
          </w:rPr>
          <w:t>https://sjf2.scjn.gob.mx/detalle/tesis/2015825</w:t>
        </w:r>
      </w:hyperlink>
      <w:r w:rsidRPr="006D1E16">
        <w:rPr>
          <w:rFonts w:asciiTheme="minorHAnsi" w:hAnsiTheme="minorHAnsi" w:cstheme="minorHAnsi"/>
          <w:sz w:val="12"/>
          <w:szCs w:val="12"/>
        </w:rPr>
        <w:t xml:space="preserve"> </w:t>
      </w:r>
    </w:p>
  </w:footnote>
  <w:footnote w:id="33">
    <w:p w:rsidR="00B239A6" w:rsidRPr="006D1E16" w:rsidRDefault="00B239A6"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Primera Sala, Tesis: 1a. CCXCII/2018 (10a.), DERECHO HUMANO A UN MEDIO AMBIENTE SANO. SU DIMENSIÓN COLECTIVA Y TUTELA EFECTIVA, Décima época, Gaceta del Semanario Judicial de la Federación. Libro 61. Diciembre de 2018, Tomo I, página 308, https://sjf2.scjn.gob.mx/detalle/tesis/2018635</w:t>
      </w:r>
    </w:p>
  </w:footnote>
  <w:footnote w:id="34">
    <w:p w:rsidR="00B239A6" w:rsidRPr="006D1E16" w:rsidRDefault="00B239A6" w:rsidP="003459EE">
      <w:pPr>
        <w:pStyle w:val="FootnoteText"/>
        <w:jc w:val="both"/>
        <w:rPr>
          <w:rStyle w:val="FootnoteReference"/>
          <w:rFonts w:asciiTheme="minorHAnsi" w:hAnsiTheme="minorHAnsi" w:cstheme="minorHAnsi"/>
          <w:sz w:val="12"/>
          <w:szCs w:val="12"/>
          <w:vertAlign w:val="baseline"/>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Tribunales Colegiados de Circuito, Tesis: III.6o.A.24 A (10a.), PRINCIPIO DE PRECAUCIÓN EN MATERIA AMBIENTAL. DEBE OBSERVARSE POR TODO OPERADOR JURÍDICO, COMPRENDIDOS LOS SERVIDORES PÚBLICOS DE CUALQUIER ORDEN DE GOBIERNO, Gaceta del Semanario Judicial de la Federación. Libro 77, Agosto de 2020, Tomo VI, página 6205, </w:t>
      </w:r>
      <w:hyperlink r:id="rId27" w:history="1">
        <w:r w:rsidRPr="006D1E16">
          <w:rPr>
            <w:rStyle w:val="Hyperlink"/>
            <w:rFonts w:asciiTheme="minorHAnsi" w:hAnsiTheme="minorHAnsi" w:cstheme="minorHAnsi"/>
            <w:sz w:val="12"/>
            <w:szCs w:val="12"/>
          </w:rPr>
          <w:t>https://sjf2.scjn.gob.mx/detalle/tesis/2022037</w:t>
        </w:r>
      </w:hyperlink>
      <w:r w:rsidRPr="006D1E16">
        <w:rPr>
          <w:rFonts w:asciiTheme="minorHAnsi" w:hAnsiTheme="minorHAnsi" w:cstheme="minorHAnsi"/>
          <w:sz w:val="12"/>
          <w:szCs w:val="12"/>
        </w:rPr>
        <w:t xml:space="preserve"> </w:t>
      </w:r>
    </w:p>
  </w:footnote>
  <w:footnote w:id="35">
    <w:p w:rsidR="00B239A6" w:rsidRPr="006D1E16" w:rsidRDefault="00B239A6" w:rsidP="003459EE">
      <w:pPr>
        <w:pStyle w:val="FootnoteText"/>
        <w:jc w:val="both"/>
        <w:rPr>
          <w:rStyle w:val="FootnoteReference"/>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Style w:val="FootnoteReference"/>
          <w:rFonts w:asciiTheme="minorHAnsi" w:hAnsiTheme="minorHAnsi" w:cstheme="minorHAnsi"/>
          <w:sz w:val="12"/>
          <w:szCs w:val="12"/>
        </w:rPr>
        <w:t xml:space="preserve"> </w:t>
      </w:r>
      <w:r w:rsidRPr="006D1E16">
        <w:rPr>
          <w:rFonts w:asciiTheme="minorHAnsi" w:hAnsiTheme="minorHAnsi" w:cstheme="minorHAnsi"/>
          <w:sz w:val="12"/>
          <w:szCs w:val="12"/>
        </w:rPr>
        <w:t xml:space="preserve">Primera Sala, Tesis: 1a. CCXCV/2018 (10a.) DERECHO HUMANO A UN MEDIO AMBIENTE SANO. ANÁLISIS DE LOS SERVICIOS AMBIENTALES, Décima Época, Gaceta del Semanario Judicial de la Federación, Libro 61, Diciembre de 2018, Tomo I, página 307, </w:t>
      </w:r>
      <w:hyperlink r:id="rId28" w:history="1">
        <w:r w:rsidRPr="006D1E16">
          <w:rPr>
            <w:rStyle w:val="Hyperlink"/>
            <w:rFonts w:asciiTheme="minorHAnsi" w:hAnsiTheme="minorHAnsi" w:cstheme="minorHAnsi"/>
            <w:sz w:val="12"/>
            <w:szCs w:val="12"/>
          </w:rPr>
          <w:t>https://sjf2.scjn.gob.mx/detalle/tesis/2018634</w:t>
        </w:r>
      </w:hyperlink>
      <w:r w:rsidRPr="006D1E16">
        <w:rPr>
          <w:rFonts w:asciiTheme="minorHAnsi" w:hAnsiTheme="minorHAnsi" w:cstheme="minorHAnsi"/>
          <w:sz w:val="12"/>
          <w:szCs w:val="12"/>
        </w:rPr>
        <w:t xml:space="preserve"> </w:t>
      </w:r>
    </w:p>
  </w:footnote>
  <w:footnote w:id="36">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Artículo 4 de la Constitución Política de los Estados Unidos Mexicanos</w:t>
      </w:r>
    </w:p>
  </w:footnote>
  <w:footnote w:id="37">
    <w:p w:rsidR="00B239A6" w:rsidRPr="006D1E16" w:rsidRDefault="00B239A6"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Provencio, Enrique y Carabias, Julia, “El presupuesto federal de medio ambiente: un trato injustificado y desproporcionado”, Este país, México, 3 de abril de 2019, </w:t>
      </w:r>
      <w:hyperlink r:id="rId29" w:history="1">
        <w:r w:rsidRPr="006D1E16">
          <w:rPr>
            <w:rStyle w:val="Hyperlink"/>
            <w:rFonts w:asciiTheme="minorHAnsi" w:hAnsiTheme="minorHAnsi" w:cstheme="minorHAnsi"/>
            <w:sz w:val="12"/>
            <w:szCs w:val="12"/>
          </w:rPr>
          <w:t>https://ceiba.org.mx/jcl-y-epd-injustificado-presupuesto-federal-medio-ambiente/</w:t>
        </w:r>
      </w:hyperlink>
      <w:r w:rsidRPr="006D1E16">
        <w:rPr>
          <w:rFonts w:asciiTheme="minorHAnsi" w:hAnsiTheme="minorHAnsi" w:cstheme="minorHAnsi"/>
          <w:sz w:val="12"/>
          <w:szCs w:val="12"/>
        </w:rPr>
        <w:t xml:space="preserve">; García-Tobón, A., C. Brown-Sola, M. A. Palmeros y A. Castillo-López.  Cuidar lo que importa: Presupuesto para el Patrimonio Natural. Una Mirada al Presupuesto para las Áreas Naturales Protegidas. Fundar, Centro de Análisis e Investigación, Sociedad de Historia Natural Niparajá y Pronatura Noroeste, México, 2020, págs. 10-14; y Provencio, Enrique, “Con los recortes presupuestales a medio ambiente, México compromete su futuro”, Opinión, The Washington Post, 7 de julio de 2020, </w:t>
      </w:r>
      <w:hyperlink r:id="rId30" w:history="1">
        <w:r w:rsidRPr="006D1E16">
          <w:rPr>
            <w:rStyle w:val="Hyperlink"/>
            <w:rFonts w:asciiTheme="minorHAnsi" w:hAnsiTheme="minorHAnsi" w:cstheme="minorHAnsi"/>
            <w:sz w:val="12"/>
            <w:szCs w:val="12"/>
          </w:rPr>
          <w:t>https://www.washingtonpost.com/es/post-opinion/2020/07/07/con-los-recortes-presupuestales-al-medio-ambiente-mexico-compromete-su-futuro/</w:t>
        </w:r>
      </w:hyperlink>
      <w:r w:rsidRPr="006D1E16">
        <w:rPr>
          <w:rFonts w:asciiTheme="minorHAnsi" w:hAnsiTheme="minorHAnsi" w:cstheme="minorHAnsi"/>
          <w:sz w:val="12"/>
          <w:szCs w:val="12"/>
        </w:rPr>
        <w:t xml:space="preserve"> </w:t>
      </w:r>
    </w:p>
  </w:footnote>
  <w:footnote w:id="38">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Por ejemplo, el Decreto para la sustitución del glifosato y la prohibición de siembra de maíz transgénico, publicado en el Diario Oficial de la Federación el 31 de diciembre de 2020, </w:t>
      </w:r>
      <w:hyperlink r:id="rId31" w:history="1">
        <w:r w:rsidRPr="006D1E16">
          <w:rPr>
            <w:rStyle w:val="Hyperlink"/>
            <w:rFonts w:asciiTheme="minorHAnsi" w:hAnsiTheme="minorHAnsi" w:cstheme="minorHAnsi"/>
            <w:sz w:val="12"/>
            <w:szCs w:val="12"/>
            <w:lang w:val="es-ES"/>
          </w:rPr>
          <w:t>https://www.dof.gob.mx/nota_detalle.php?Codigo=5609365&amp;fecha=31/12/2020</w:t>
        </w:r>
      </w:hyperlink>
      <w:r w:rsidRPr="006D1E16">
        <w:rPr>
          <w:rFonts w:asciiTheme="minorHAnsi" w:hAnsiTheme="minorHAnsi" w:cstheme="minorHAnsi"/>
          <w:sz w:val="12"/>
          <w:szCs w:val="12"/>
          <w:lang w:val="es-ES"/>
        </w:rPr>
        <w:t xml:space="preserve"> </w:t>
      </w:r>
    </w:p>
  </w:footnote>
  <w:footnote w:id="39">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Karen Castillo, Cafetaleros alertan que planta de Nestlé los volverá “peones de hacienda” y destruirá su tierra, Sin embargo, 14 de enero de 2019, </w:t>
      </w:r>
      <w:hyperlink r:id="rId32" w:history="1">
        <w:r w:rsidRPr="006D1E16">
          <w:rPr>
            <w:rStyle w:val="Hyperlink"/>
            <w:rFonts w:asciiTheme="minorHAnsi" w:hAnsiTheme="minorHAnsi" w:cstheme="minorHAnsi"/>
            <w:sz w:val="12"/>
            <w:szCs w:val="12"/>
          </w:rPr>
          <w:t>https://www.sinembargo.mx/14-01-2019/3521637</w:t>
        </w:r>
      </w:hyperlink>
      <w:r w:rsidRPr="006D1E16">
        <w:rPr>
          <w:rFonts w:asciiTheme="minorHAnsi" w:hAnsiTheme="minorHAnsi" w:cstheme="minorHAnsi"/>
          <w:sz w:val="12"/>
          <w:szCs w:val="12"/>
        </w:rPr>
        <w:t xml:space="preserve">; de Haldevang, Max, “Sembrando vida”: el programa ecologista de AMLO en realidad incentiva la deforestación´, BiodiversidadLA, 10 de marzo de 2021, </w:t>
      </w:r>
      <w:hyperlink r:id="rId33" w:history="1">
        <w:r w:rsidRPr="006D1E16">
          <w:rPr>
            <w:rStyle w:val="Hyperlink"/>
            <w:rFonts w:asciiTheme="minorHAnsi" w:hAnsiTheme="minorHAnsi" w:cstheme="minorHAnsi"/>
            <w:sz w:val="12"/>
            <w:szCs w:val="12"/>
          </w:rPr>
          <w:t>https://www.biodiversidadla.org/Noticias/Sembrando-vida-el-programa-ecologista-de-AMLO-en-realidad-incentiva-la-deforestacion</w:t>
        </w:r>
      </w:hyperlink>
      <w:r w:rsidRPr="006D1E16">
        <w:rPr>
          <w:rFonts w:asciiTheme="minorHAnsi" w:hAnsiTheme="minorHAnsi" w:cstheme="minorHAnsi"/>
          <w:sz w:val="12"/>
          <w:szCs w:val="12"/>
        </w:rPr>
        <w:t xml:space="preserve">; Centro Interdisciplinario de Biodiversidad y Ambiente (CEIBA), Consideraciones sobre el programa: Sembrando Vida, CEIBA, México, 2018, 8 pp., </w:t>
      </w:r>
      <w:hyperlink r:id="rId34" w:history="1">
        <w:r w:rsidRPr="006D1E16">
          <w:rPr>
            <w:rStyle w:val="Hyperlink"/>
            <w:rFonts w:asciiTheme="minorHAnsi" w:hAnsiTheme="minorHAnsi" w:cstheme="minorHAnsi"/>
            <w:sz w:val="12"/>
            <w:szCs w:val="12"/>
          </w:rPr>
          <w:t>https://ceiba.org.mx/publicaciones/Difusion/190118_SembrandoVida_Sesion181210.pdf</w:t>
        </w:r>
      </w:hyperlink>
      <w:r w:rsidRPr="006D1E16">
        <w:rPr>
          <w:rFonts w:asciiTheme="minorHAnsi" w:hAnsiTheme="minorHAnsi" w:cstheme="minorHAnsi"/>
          <w:sz w:val="12"/>
          <w:szCs w:val="12"/>
        </w:rPr>
        <w:t xml:space="preserve"> </w:t>
      </w:r>
    </w:p>
  </w:footnote>
  <w:footnote w:id="40">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Por ejemplo, en el caso del Decreto para la sustitución del glifosato y la prohibición de siembra de maíz transgénico, la industria ha generado una estrategia legal y de comunicación para evitar su implementación. </w:t>
      </w:r>
      <w:r w:rsidRPr="006D1E16">
        <w:rPr>
          <w:rFonts w:asciiTheme="minorHAnsi" w:hAnsiTheme="minorHAnsi" w:cstheme="minorHAnsi"/>
          <w:sz w:val="12"/>
          <w:szCs w:val="12"/>
        </w:rPr>
        <w:t xml:space="preserve">Enciso L., Angélica, “El CNA arma estrategia para atacar decreto contra el uso de glifosato”, La Jornada, México, 19 de febrero de 2021, </w:t>
      </w:r>
      <w:hyperlink r:id="rId35" w:history="1">
        <w:r w:rsidRPr="006D1E16">
          <w:rPr>
            <w:rStyle w:val="Hyperlink"/>
            <w:rFonts w:asciiTheme="minorHAnsi" w:hAnsiTheme="minorHAnsi" w:cstheme="minorHAnsi"/>
            <w:sz w:val="12"/>
            <w:szCs w:val="12"/>
          </w:rPr>
          <w:t>https://www.jornada.com.mx/notas/2021/02/19/sociedad/el-cna-arma-estrategia-para-atacar-decreto-contra-el-uso-de-glifosato/</w:t>
        </w:r>
      </w:hyperlink>
      <w:r w:rsidRPr="006D1E16">
        <w:rPr>
          <w:rFonts w:asciiTheme="minorHAnsi" w:hAnsiTheme="minorHAnsi" w:cstheme="minorHAnsi"/>
          <w:sz w:val="12"/>
          <w:szCs w:val="12"/>
        </w:rPr>
        <w:t xml:space="preserve"> </w:t>
      </w:r>
    </w:p>
  </w:footnote>
  <w:footnote w:id="41">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Establecido en la Modificación a la NOM-051</w:t>
      </w:r>
      <w:r w:rsidRPr="006D1E16">
        <w:rPr>
          <w:rFonts w:asciiTheme="minorHAnsi" w:hAnsiTheme="minorHAnsi" w:cstheme="minorHAnsi"/>
          <w:sz w:val="12"/>
          <w:szCs w:val="12"/>
        </w:rPr>
        <w:t xml:space="preserve">-SCFI/SSA1-2010, publicada el 27 de marzo de 2020 en el Diario Oficial de la Federación. </w:t>
      </w:r>
      <w:hyperlink r:id="rId36" w:history="1">
        <w:r w:rsidRPr="006D1E16">
          <w:rPr>
            <w:rStyle w:val="Hyperlink"/>
            <w:rFonts w:asciiTheme="minorHAnsi" w:hAnsiTheme="minorHAnsi" w:cstheme="minorHAnsi"/>
            <w:sz w:val="12"/>
            <w:szCs w:val="12"/>
          </w:rPr>
          <w:t>https://www.dof.gob.mx/2020/SEECO/NOM_051.pdf</w:t>
        </w:r>
      </w:hyperlink>
      <w:r w:rsidRPr="006D1E16">
        <w:rPr>
          <w:rFonts w:asciiTheme="minorHAnsi" w:hAnsiTheme="minorHAnsi" w:cstheme="minorHAnsi"/>
          <w:sz w:val="12"/>
          <w:szCs w:val="12"/>
        </w:rPr>
        <w:t xml:space="preserve"> </w:t>
      </w:r>
    </w:p>
  </w:footnote>
  <w:footnote w:id="42">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hyperlink r:id="rId37" w:history="1">
        <w:r w:rsidRPr="006D1E16">
          <w:rPr>
            <w:rStyle w:val="Hyperlink"/>
            <w:rFonts w:asciiTheme="minorHAnsi" w:hAnsiTheme="minorHAnsi" w:cstheme="minorHAnsi"/>
            <w:sz w:val="12"/>
            <w:szCs w:val="12"/>
            <w:lang w:val="es-ES"/>
          </w:rPr>
          <w:t>https://www.dof.gob.mx/nota_detalle.php?Codigo=5609365&amp;fecha=31/12/2020</w:t>
        </w:r>
      </w:hyperlink>
    </w:p>
  </w:footnote>
  <w:footnote w:id="43">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CONACYT, El Conacyt define reducción de cotas de importación de glifosato para 2021, México, 4 de abril de 2021, </w:t>
      </w:r>
      <w:hyperlink r:id="rId38" w:history="1">
        <w:r w:rsidRPr="006D1E16">
          <w:rPr>
            <w:rStyle w:val="Hyperlink"/>
            <w:rFonts w:asciiTheme="minorHAnsi" w:hAnsiTheme="minorHAnsi" w:cstheme="minorHAnsi"/>
            <w:sz w:val="12"/>
            <w:szCs w:val="12"/>
          </w:rPr>
          <w:t>https://www.conacyt.mx/Comunicados-202.html</w:t>
        </w:r>
      </w:hyperlink>
      <w:r w:rsidRPr="006D1E16">
        <w:rPr>
          <w:rFonts w:asciiTheme="minorHAnsi" w:hAnsiTheme="minorHAnsi" w:cstheme="minorHAnsi"/>
          <w:sz w:val="12"/>
          <w:szCs w:val="12"/>
        </w:rPr>
        <w:t xml:space="preserve"> </w:t>
      </w:r>
    </w:p>
  </w:footnote>
  <w:footnote w:id="44">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Mediante reformas a leyes sobre derechos de las niñas y niños, salud y educación. En el caso de Oaxaca, se adicionó el artículo 20 BIS a la Ley de los Derechos de Niñas, Niños y Adolescentes del Estado de Oaxaca., publicado en el medio oficial el 4 de septiembre de 2020, </w:t>
      </w:r>
      <w:hyperlink r:id="rId39" w:history="1">
        <w:r w:rsidRPr="006D1E16">
          <w:rPr>
            <w:rStyle w:val="Hyperlink"/>
            <w:rFonts w:asciiTheme="minorHAnsi" w:hAnsiTheme="minorHAnsi" w:cstheme="minorHAnsi"/>
            <w:sz w:val="12"/>
            <w:szCs w:val="12"/>
            <w:lang w:val="es-ES"/>
          </w:rPr>
          <w:t>http://www.periodicooficial.oaxaca.gob.mx/listado.php?d=2020-9-4</w:t>
        </w:r>
      </w:hyperlink>
      <w:r w:rsidRPr="006D1E16">
        <w:rPr>
          <w:rFonts w:asciiTheme="minorHAnsi" w:hAnsiTheme="minorHAnsi" w:cstheme="minorHAnsi"/>
          <w:sz w:val="12"/>
          <w:szCs w:val="12"/>
          <w:lang w:val="es-ES"/>
        </w:rPr>
        <w:t xml:space="preserve"> </w:t>
      </w:r>
    </w:p>
  </w:footnote>
  <w:footnote w:id="45">
    <w:p w:rsidR="00B239A6" w:rsidRPr="006D1E16" w:rsidRDefault="00B239A6"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El Poder del Consumidor, Organizaciones civiles instamos al secretario de Salud de Oaxaca a cumplir la ley antichatarra, México, 1 de marzo de 2021, </w:t>
      </w:r>
      <w:hyperlink r:id="rId40" w:history="1">
        <w:r w:rsidRPr="006D1E16">
          <w:rPr>
            <w:rStyle w:val="Hyperlink"/>
            <w:rFonts w:asciiTheme="minorHAnsi" w:hAnsiTheme="minorHAnsi" w:cstheme="minorHAnsi"/>
            <w:sz w:val="12"/>
            <w:szCs w:val="12"/>
          </w:rPr>
          <w:t>https://elpoderdelconsumidor.org/2021/03/organizaciones-civiles-instan-al-secretario-de-salud-de-oaxaca-a-cumplir-ley-antichatarra/</w:t>
        </w:r>
      </w:hyperlink>
      <w:r w:rsidRPr="006D1E16">
        <w:rPr>
          <w:rFonts w:asciiTheme="minorHAnsi" w:hAnsiTheme="minorHAnsi" w:cstheme="minorHAnsi"/>
          <w:sz w:val="12"/>
          <w:szCs w:val="12"/>
        </w:rPr>
        <w:t xml:space="preserve"> </w:t>
      </w:r>
    </w:p>
  </w:footnote>
  <w:footnote w:id="46">
    <w:p w:rsidR="003459EE" w:rsidRPr="006D1E16" w:rsidRDefault="003459EE"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Establecido en el artículo 2, fracción I, inciso G de la Ley del Impuesto Especial sobre Producción y Servicios </w:t>
      </w:r>
    </w:p>
  </w:footnote>
  <w:footnote w:id="47">
    <w:p w:rsidR="003459EE" w:rsidRPr="006D1E16" w:rsidRDefault="003459EE"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Rivera, Dommarco </w:t>
      </w:r>
      <w:r w:rsidRPr="006D1E16">
        <w:rPr>
          <w:rFonts w:asciiTheme="minorHAnsi" w:hAnsiTheme="minorHAnsi" w:cstheme="minorHAnsi"/>
          <w:i/>
          <w:sz w:val="12"/>
          <w:szCs w:val="12"/>
          <w:lang w:val="es-ES"/>
        </w:rPr>
        <w:t>et al.</w:t>
      </w:r>
      <w:r w:rsidRPr="006D1E16">
        <w:rPr>
          <w:rFonts w:asciiTheme="minorHAnsi" w:hAnsiTheme="minorHAnsi" w:cstheme="minorHAnsi"/>
          <w:sz w:val="12"/>
          <w:szCs w:val="12"/>
          <w:lang w:val="es-ES"/>
        </w:rPr>
        <w:t xml:space="preserve">, </w:t>
      </w:r>
      <w:r w:rsidRPr="006D1E16">
        <w:rPr>
          <w:rFonts w:asciiTheme="minorHAnsi" w:hAnsiTheme="minorHAnsi" w:cstheme="minorHAnsi"/>
          <w:sz w:val="12"/>
          <w:szCs w:val="12"/>
        </w:rPr>
        <w:t xml:space="preserve">Consumo de refrescos, bebidas azucaradas y el riesgo de obesidad y diabetes, Instituto Nacional de Salud Pública, México, (s.a.), 6 pp., </w:t>
      </w:r>
      <w:hyperlink r:id="rId41" w:history="1">
        <w:r w:rsidRPr="006D1E16">
          <w:rPr>
            <w:rStyle w:val="Hyperlink"/>
            <w:rFonts w:asciiTheme="minorHAnsi" w:hAnsiTheme="minorHAnsi" w:cstheme="minorHAnsi"/>
            <w:sz w:val="12"/>
            <w:szCs w:val="12"/>
          </w:rPr>
          <w:t>https://www.paho.org/mex/index.php?option=com_docman&amp;view=download&amp;category_slug=presentaciones&amp;alias=849-vfinal-consumo-de-bebidas-azucaradas&amp;Itemid=493</w:t>
        </w:r>
      </w:hyperlink>
      <w:r w:rsidRPr="006D1E16">
        <w:rPr>
          <w:rFonts w:asciiTheme="minorHAnsi" w:hAnsiTheme="minorHAnsi" w:cstheme="minorHAnsi"/>
          <w:sz w:val="12"/>
          <w:szCs w:val="12"/>
        </w:rPr>
        <w:t xml:space="preserve">  y INSP, Investigaciones demuestran los efectos nocivos de las bebidas azucaradas, INSP, México, 2020, </w:t>
      </w:r>
      <w:hyperlink r:id="rId42" w:history="1">
        <w:r w:rsidRPr="006D1E16">
          <w:rPr>
            <w:rStyle w:val="Hyperlink"/>
            <w:rFonts w:asciiTheme="minorHAnsi" w:hAnsiTheme="minorHAnsi" w:cstheme="minorHAnsi"/>
            <w:sz w:val="12"/>
            <w:szCs w:val="12"/>
          </w:rPr>
          <w:t>https://www.insp.mx/epppo/blog/3756-efectos-nocivos-bebidas-azucaradas.html</w:t>
        </w:r>
      </w:hyperlink>
      <w:r w:rsidRPr="006D1E16">
        <w:rPr>
          <w:rFonts w:asciiTheme="minorHAnsi" w:hAnsiTheme="minorHAnsi" w:cstheme="minorHAnsi"/>
          <w:sz w:val="12"/>
          <w:szCs w:val="12"/>
        </w:rPr>
        <w:t xml:space="preserve"> </w:t>
      </w:r>
    </w:p>
  </w:footnote>
  <w:footnote w:id="48">
    <w:p w:rsidR="003459EE" w:rsidRPr="006D1E16" w:rsidRDefault="003459EE"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POP LAB, En un país con sed, sobra el agua para la industria de las bebidas chatarra, México2021, </w:t>
      </w:r>
      <w:hyperlink r:id="rId43" w:history="1">
        <w:r w:rsidRPr="006D1E16">
          <w:rPr>
            <w:rStyle w:val="Hyperlink"/>
            <w:rFonts w:asciiTheme="minorHAnsi" w:hAnsiTheme="minorHAnsi" w:cstheme="minorHAnsi"/>
            <w:sz w:val="12"/>
            <w:szCs w:val="12"/>
            <w:lang w:val="es-ES"/>
          </w:rPr>
          <w:t>https://pozoschatarra.poplab.mx/</w:t>
        </w:r>
      </w:hyperlink>
      <w:r w:rsidRPr="006D1E16">
        <w:rPr>
          <w:rFonts w:asciiTheme="minorHAnsi" w:hAnsiTheme="minorHAnsi" w:cstheme="minorHAnsi"/>
          <w:sz w:val="12"/>
          <w:szCs w:val="12"/>
          <w:lang w:val="es-ES"/>
        </w:rPr>
        <w:t xml:space="preserve"> </w:t>
      </w:r>
    </w:p>
  </w:footnote>
  <w:footnote w:id="49">
    <w:p w:rsidR="003459EE" w:rsidRPr="006D1E16" w:rsidRDefault="003459EE"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Lira, Ivette, Greenpeace exige a Coca, Nestlé, Pepsi… no usar plásticos y evitar que los mares sean su basurero, Sin Embargo, México, 14 de abril de 2018, </w:t>
      </w:r>
      <w:hyperlink r:id="rId44" w:history="1">
        <w:r w:rsidRPr="006D1E16">
          <w:rPr>
            <w:rStyle w:val="Hyperlink"/>
            <w:rFonts w:asciiTheme="minorHAnsi" w:hAnsiTheme="minorHAnsi" w:cstheme="minorHAnsi"/>
            <w:sz w:val="12"/>
            <w:szCs w:val="12"/>
          </w:rPr>
          <w:t>https://www.sinembargo.mx/14-04-2018/3403564</w:t>
        </w:r>
      </w:hyperlink>
      <w:r w:rsidRPr="006D1E16">
        <w:rPr>
          <w:rFonts w:asciiTheme="minorHAnsi" w:hAnsiTheme="minorHAnsi" w:cstheme="minorHAnsi"/>
          <w:sz w:val="12"/>
          <w:szCs w:val="12"/>
        </w:rPr>
        <w:t xml:space="preserve"> </w:t>
      </w:r>
    </w:p>
  </w:footnote>
  <w:footnote w:id="50">
    <w:p w:rsidR="003459EE" w:rsidRPr="006D1E16" w:rsidRDefault="003459EE"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OMS/OPS, Los Impuestos a los Refrescos y a las Bebidas Azucaradas como Medida de Salud Pública, (s.d.), </w:t>
      </w:r>
      <w:hyperlink r:id="rId45" w:anchor=":~:text=1.,a%20refrescos%20y%20bebidas%20azucaradas" w:history="1">
        <w:r w:rsidRPr="006D1E16">
          <w:rPr>
            <w:rStyle w:val="Hyperlink"/>
            <w:rFonts w:asciiTheme="minorHAnsi" w:hAnsiTheme="minorHAnsi" w:cstheme="minorHAnsi"/>
            <w:sz w:val="12"/>
            <w:szCs w:val="12"/>
            <w:lang w:val="es-ES"/>
          </w:rPr>
          <w:t>https://www.paho.org/mex/index.php?option=com_content&amp;view=article&amp;id=627:los-impuestos-refrescos-bebidas-azucaradas-medida-salud-publica&amp;Itemid=499#:~:text=1.,a%20refrescos%20y%20bebidas%20azucaradas</w:t>
        </w:r>
      </w:hyperlink>
      <w:r w:rsidRPr="006D1E16">
        <w:rPr>
          <w:rFonts w:asciiTheme="minorHAnsi" w:hAnsiTheme="minorHAnsi" w:cstheme="minorHAnsi"/>
          <w:sz w:val="12"/>
          <w:szCs w:val="12"/>
          <w:lang w:val="es-ES"/>
        </w:rPr>
        <w:t xml:space="preserve">. </w:t>
      </w:r>
    </w:p>
  </w:footnote>
  <w:footnote w:id="51">
    <w:p w:rsidR="000A5AAF" w:rsidRPr="006D1E16" w:rsidRDefault="000A5AAF" w:rsidP="000A5AAF">
      <w:pPr>
        <w:pStyle w:val="FootnoteText"/>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0018625B" w:rsidRPr="006D1E16">
        <w:rPr>
          <w:rFonts w:asciiTheme="minorHAnsi" w:hAnsiTheme="minorHAnsi" w:cstheme="minorHAnsi"/>
          <w:sz w:val="12"/>
          <w:szCs w:val="12"/>
        </w:rPr>
        <w:t xml:space="preserve">Ley Federal para el Fomento y Protección del Maíz Nativo: </w:t>
      </w:r>
      <w:hyperlink r:id="rId46" w:anchor=":~:text=%22EL%20CONGRESO%20GENERAL%20DE%20LOS,Art%C3%ADculo%20%C3%9Anico.&amp;text=Se%20reconoce%20a%20la%20producci%C3%B3n,Nativo%2C%20como%20manifestaci%C3%B3n%20cultural%20nacional" w:history="1">
        <w:r w:rsidR="0018625B" w:rsidRPr="006D1E16">
          <w:rPr>
            <w:rStyle w:val="Hyperlink"/>
            <w:rFonts w:asciiTheme="minorHAnsi" w:hAnsiTheme="minorHAnsi" w:cstheme="minorHAnsi"/>
            <w:sz w:val="12"/>
            <w:szCs w:val="12"/>
          </w:rPr>
          <w:t>http://dof.gob.mx/nota_detalle.php?codigo=5591534&amp;fecha=13/04/2020#:~:text=%22EL%20CONGRESO%20GENERAL%20DE%20LOS,Art%C3%ADculo%20%C3%9Anico.&amp;text=Se%20reconoce%20a%20la%20producci%C3%B3n,Nativo%2C%20como%20manifestaci%C3%B3n%20cultural%20nacional</w:t>
        </w:r>
      </w:hyperlink>
      <w:r w:rsidR="0018625B" w:rsidRPr="006D1E16">
        <w:rPr>
          <w:rFonts w:asciiTheme="minorHAnsi" w:hAnsiTheme="minorHAnsi" w:cstheme="minorHAnsi"/>
          <w:sz w:val="12"/>
          <w:szCs w:val="12"/>
        </w:rPr>
        <w:t xml:space="preserve"> </w:t>
      </w:r>
    </w:p>
  </w:footnote>
  <w:footnote w:id="52">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Redacción Animal Político, Gobierno de AMLO ‘está lleno de luchas de poder’, dice titular de Semarnat, Animal Político, México,  5 de agosto, 2020, </w:t>
      </w:r>
      <w:hyperlink r:id="rId47" w:history="1">
        <w:r w:rsidRPr="006D1E16">
          <w:rPr>
            <w:rStyle w:val="Hyperlink"/>
            <w:rFonts w:asciiTheme="minorHAnsi" w:hAnsiTheme="minorHAnsi" w:cstheme="minorHAnsi"/>
            <w:sz w:val="12"/>
            <w:szCs w:val="12"/>
          </w:rPr>
          <w:t>https://www.animalpolitico.com/2020/08/titular-semarnat-gobierno-amlo-contradicciones-luchas-de-poder/</w:t>
        </w:r>
      </w:hyperlink>
      <w:r w:rsidRPr="006D1E16">
        <w:rPr>
          <w:rFonts w:asciiTheme="minorHAnsi" w:hAnsiTheme="minorHAnsi" w:cstheme="minorHAnsi"/>
          <w:sz w:val="12"/>
          <w:szCs w:val="12"/>
        </w:rPr>
        <w:t xml:space="preserve"> </w:t>
      </w:r>
    </w:p>
  </w:footnote>
  <w:footnote w:id="53">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CAJAR y El Poder del Consumidor, La interferencia de la industria es nociva para la salud. Estrategias corporativas contra el etiquetado frontal de advertencia: un estudio comparado de Chile, Perú, México y Uruguay, 2020, págs. 35-40, </w:t>
      </w:r>
      <w:hyperlink r:id="rId48" w:history="1">
        <w:r w:rsidRPr="006D1E16">
          <w:rPr>
            <w:rStyle w:val="Hyperlink"/>
            <w:rFonts w:asciiTheme="minorHAnsi" w:hAnsiTheme="minorHAnsi" w:cstheme="minorHAnsi"/>
            <w:sz w:val="12"/>
            <w:szCs w:val="12"/>
          </w:rPr>
          <w:t>https://elpoderdelconsumidor.org/wp-content/uploads/2020/10/d-2010-interferencia-d-la-industria-nociva-para-la-salud-argumentos-amparos-etiquetado-final-200928.pdf</w:t>
        </w:r>
      </w:hyperlink>
      <w:r w:rsidRPr="006D1E16">
        <w:rPr>
          <w:rStyle w:val="Hyperlink"/>
          <w:rFonts w:asciiTheme="minorHAnsi" w:hAnsiTheme="minorHAnsi" w:cstheme="minorHAnsi"/>
          <w:sz w:val="12"/>
          <w:szCs w:val="12"/>
        </w:rPr>
        <w:t xml:space="preserve">  </w:t>
      </w:r>
    </w:p>
  </w:footnote>
  <w:footnote w:id="54">
    <w:p w:rsidR="0018625B" w:rsidRPr="006D1E16" w:rsidRDefault="0018625B" w:rsidP="0018625B">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Por ejemplo, empresas como Coca Cola han intentado frenar el etiquetado frontal de advertencia </w:t>
      </w:r>
      <w:hyperlink r:id="rId49" w:history="1">
        <w:r w:rsidRPr="006D1E16">
          <w:rPr>
            <w:rStyle w:val="Hyperlink"/>
            <w:rFonts w:asciiTheme="minorHAnsi" w:hAnsiTheme="minorHAnsi" w:cstheme="minorHAnsi"/>
            <w:sz w:val="12"/>
            <w:szCs w:val="12"/>
          </w:rPr>
          <w:t>https://piedepagina.mx/coca-cola-promueve-amparo-contra-etiquetado-alega-que-afectara-su-negocio/</w:t>
        </w:r>
      </w:hyperlink>
      <w:r w:rsidRPr="006D1E16">
        <w:rPr>
          <w:rFonts w:asciiTheme="minorHAnsi" w:hAnsiTheme="minorHAnsi" w:cstheme="minorHAnsi"/>
          <w:sz w:val="12"/>
          <w:szCs w:val="12"/>
        </w:rPr>
        <w:t xml:space="preserve"> , lo mismo que organizaciones empresariales que agrupan a estas empresas </w:t>
      </w:r>
      <w:hyperlink r:id="rId50" w:history="1">
        <w:r w:rsidRPr="006D1E16">
          <w:rPr>
            <w:rStyle w:val="Hyperlink"/>
            <w:rFonts w:asciiTheme="minorHAnsi" w:hAnsiTheme="minorHAnsi" w:cstheme="minorHAnsi"/>
            <w:sz w:val="12"/>
            <w:szCs w:val="12"/>
          </w:rPr>
          <w:t>https://www.forbes.com.mx/negocios-empresas-buscaran-mas-amparos-nuevo-etiquetado-conmexico/</w:t>
        </w:r>
      </w:hyperlink>
      <w:r w:rsidRPr="006D1E16">
        <w:rPr>
          <w:rFonts w:asciiTheme="minorHAnsi" w:hAnsiTheme="minorHAnsi" w:cstheme="minorHAnsi"/>
          <w:sz w:val="12"/>
          <w:szCs w:val="12"/>
        </w:rPr>
        <w:t xml:space="preserve">  </w:t>
      </w:r>
    </w:p>
  </w:footnote>
  <w:footnote w:id="55">
    <w:p w:rsidR="00334862" w:rsidRPr="006D1E16" w:rsidRDefault="00334862" w:rsidP="00334862">
      <w:pPr>
        <w:pStyle w:val="FootnoteText"/>
        <w:rPr>
          <w:rFonts w:asciiTheme="minorHAnsi" w:hAnsiTheme="minorHAnsi" w:cstheme="minorHAnsi"/>
          <w:sz w:val="12"/>
          <w:szCs w:val="12"/>
          <w:lang w:val="pt-BR"/>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lang w:val="en-AU"/>
        </w:rPr>
        <w:t xml:space="preserve"> Crosbie, Eric, Hollow Threats: Transnational Food and Beverage Companies’ Use of International Agreements to Fight Front-of-Pack Nutrition Labeling in Mexico and Beyond, Int J Health Policy Manag. </w:t>
      </w:r>
      <w:r w:rsidRPr="006D1E16">
        <w:rPr>
          <w:rFonts w:asciiTheme="minorHAnsi" w:hAnsiTheme="minorHAnsi" w:cstheme="minorHAnsi"/>
          <w:sz w:val="12"/>
          <w:szCs w:val="12"/>
          <w:lang w:val="pt-BR"/>
        </w:rPr>
        <w:t xml:space="preserve">2020;x(x):x–x. doi:10.34172/ijhpm.2020.146 </w:t>
      </w:r>
      <w:hyperlink r:id="rId51" w:history="1">
        <w:r w:rsidRPr="006D1E16">
          <w:rPr>
            <w:rStyle w:val="Hyperlink"/>
            <w:rFonts w:asciiTheme="minorHAnsi" w:hAnsiTheme="minorHAnsi" w:cstheme="minorHAnsi"/>
            <w:sz w:val="12"/>
            <w:szCs w:val="12"/>
            <w:lang w:val="pt-BR"/>
          </w:rPr>
          <w:t>https://www.ijhpm.com/article_3885_d1672fc77b2466a561f03a07ff103462.pdf</w:t>
        </w:r>
      </w:hyperlink>
      <w:r w:rsidRPr="006D1E16">
        <w:rPr>
          <w:rFonts w:asciiTheme="minorHAnsi" w:hAnsiTheme="minorHAnsi" w:cstheme="minorHAnsi"/>
          <w:sz w:val="12"/>
          <w:szCs w:val="12"/>
          <w:lang w:val="pt-BR"/>
        </w:rPr>
        <w:t xml:space="preserve"> </w:t>
      </w:r>
    </w:p>
  </w:footnote>
  <w:footnote w:id="56">
    <w:p w:rsidR="0018625B" w:rsidRPr="006D1E16" w:rsidRDefault="0018625B" w:rsidP="0018625B">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Un ejemplo de ello son las acciones de la industria para frenar la prohibición del glifosato </w:t>
      </w:r>
      <w:hyperlink r:id="rId52" w:history="1">
        <w:r w:rsidRPr="006D1E16">
          <w:rPr>
            <w:rStyle w:val="Hyperlink"/>
            <w:rFonts w:asciiTheme="minorHAnsi" w:hAnsiTheme="minorHAnsi" w:cstheme="minorHAnsi"/>
            <w:sz w:val="12"/>
            <w:szCs w:val="12"/>
          </w:rPr>
          <w:t>https://www.efeverde.com/noticias/glifosato-mexico/</w:t>
        </w:r>
      </w:hyperlink>
      <w:r w:rsidRPr="006D1E16">
        <w:rPr>
          <w:rFonts w:asciiTheme="minorHAnsi" w:hAnsiTheme="minorHAnsi" w:cstheme="minorHAnsi"/>
          <w:sz w:val="12"/>
          <w:szCs w:val="12"/>
        </w:rPr>
        <w:t xml:space="preserve"> </w:t>
      </w:r>
    </w:p>
  </w:footnote>
  <w:footnote w:id="57">
    <w:p w:rsidR="0018625B" w:rsidRPr="006D1E16" w:rsidRDefault="0018625B" w:rsidP="0018625B">
      <w:pPr>
        <w:pStyle w:val="FootnoteText"/>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Ley General para la Prevención y Gestión Integral de los Residuos </w:t>
      </w:r>
      <w:hyperlink r:id="rId53" w:history="1">
        <w:r w:rsidRPr="006D1E16">
          <w:rPr>
            <w:rStyle w:val="Hyperlink"/>
            <w:rFonts w:asciiTheme="minorHAnsi" w:hAnsiTheme="minorHAnsi" w:cstheme="minorHAnsi"/>
            <w:sz w:val="12"/>
            <w:szCs w:val="12"/>
          </w:rPr>
          <w:t>https://www.gob.mx/cms/uploads/attachment/file/131748/23._LEY_GENERAL_PARA_LA_PREVENCI_N_Y_GESTI_N_INTEGRAL_DE_LOS_RESIDUOS.pdf</w:t>
        </w:r>
      </w:hyperlink>
      <w:r w:rsidRPr="006D1E16">
        <w:rPr>
          <w:rFonts w:asciiTheme="minorHAnsi" w:hAnsiTheme="minorHAnsi" w:cstheme="minorHAnsi"/>
          <w:sz w:val="12"/>
          <w:szCs w:val="12"/>
        </w:rPr>
        <w:t xml:space="preserve"> </w:t>
      </w:r>
    </w:p>
  </w:footnote>
  <w:footnote w:id="58">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Relatora sobre el derecho a la alimentación, A/HRC/31/5, Informe de la Relatora Especial sobre el derecho a la alimentación, 14 de diciembre de 2015, párrafos 21-23, </w:t>
      </w:r>
      <w:hyperlink r:id="rId54" w:history="1">
        <w:r w:rsidRPr="006D1E16">
          <w:rPr>
            <w:rStyle w:val="Hyperlink"/>
            <w:rFonts w:asciiTheme="minorHAnsi" w:hAnsiTheme="minorHAnsi" w:cstheme="minorHAnsi"/>
            <w:sz w:val="12"/>
            <w:szCs w:val="12"/>
          </w:rPr>
          <w:t>https://undocs.org/es/A/HRC/31/51</w:t>
        </w:r>
      </w:hyperlink>
      <w:r w:rsidRPr="006D1E16">
        <w:rPr>
          <w:rFonts w:asciiTheme="minorHAnsi" w:hAnsiTheme="minorHAnsi" w:cstheme="minorHAnsi"/>
          <w:sz w:val="12"/>
          <w:szCs w:val="12"/>
        </w:rPr>
        <w:t xml:space="preserve"> </w:t>
      </w:r>
    </w:p>
  </w:footnote>
  <w:footnote w:id="59">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Relator sobre el derecho al más alto nivel de salud, A/HRC/26/31, Informe del Relator Especial sobre el derecho de toda persona al disfrute del más alto nivel posible de salud física y mental, Anand Grover Los alimentos poco saludables, las enfermedades no transmisibles y el derecho a la salud, 1 de abril de 2014, párrafos 22 y 25, </w:t>
      </w:r>
      <w:hyperlink r:id="rId55" w:history="1">
        <w:r w:rsidRPr="006D1E16">
          <w:rPr>
            <w:rStyle w:val="Hyperlink"/>
            <w:rFonts w:asciiTheme="minorHAnsi" w:hAnsiTheme="minorHAnsi" w:cstheme="minorHAnsi"/>
            <w:sz w:val="12"/>
            <w:szCs w:val="12"/>
          </w:rPr>
          <w:t>https://undocs.org/es/A/HRC/26/31</w:t>
        </w:r>
      </w:hyperlink>
      <w:r w:rsidRPr="006D1E16">
        <w:rPr>
          <w:rFonts w:asciiTheme="minorHAnsi" w:hAnsiTheme="minorHAnsi" w:cstheme="minorHAnsi"/>
          <w:sz w:val="12"/>
          <w:szCs w:val="12"/>
        </w:rPr>
        <w:t xml:space="preserve"> </w:t>
      </w:r>
    </w:p>
  </w:footnote>
  <w:footnote w:id="60">
    <w:p w:rsidR="00B239A6" w:rsidRPr="006D1E16" w:rsidRDefault="00B239A6"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CIDH, OEA/Ser.L/V/II., Doc. 56/09 Derechos de los pueblos indígenas y tribales sobre sus tierras ancestrales y recursos naturales. Normas y jurisprudencia del Sistema Interamericano de Derechos Humanos, 30 de diciembre de 2019, párrafo 73, </w:t>
      </w:r>
      <w:hyperlink r:id="rId56" w:history="1">
        <w:r w:rsidRPr="006D1E16">
          <w:rPr>
            <w:rStyle w:val="Hyperlink"/>
            <w:rFonts w:asciiTheme="minorHAnsi" w:hAnsiTheme="minorHAnsi" w:cstheme="minorHAnsi"/>
            <w:sz w:val="12"/>
            <w:szCs w:val="12"/>
          </w:rPr>
          <w:t>https://www.oas.org/es/cidh/indigenas/docs/pdf/tierras-ancestrales.esp.pdf</w:t>
        </w:r>
      </w:hyperlink>
      <w:r w:rsidRPr="006D1E16">
        <w:rPr>
          <w:rFonts w:asciiTheme="minorHAnsi" w:hAnsiTheme="minorHAnsi" w:cstheme="minorHAnsi"/>
          <w:sz w:val="12"/>
          <w:szCs w:val="12"/>
        </w:rPr>
        <w:t xml:space="preserve"> </w:t>
      </w:r>
    </w:p>
  </w:footnote>
  <w:footnote w:id="61">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FAO, 6 formas en que los pueblos indígenas ayudan al mundo a lograr el #HambreCero, 9 de agosto de 2017, </w:t>
      </w:r>
      <w:hyperlink r:id="rId57" w:history="1">
        <w:r w:rsidRPr="006D1E16">
          <w:rPr>
            <w:rStyle w:val="Hyperlink"/>
            <w:rFonts w:asciiTheme="minorHAnsi" w:hAnsiTheme="minorHAnsi" w:cstheme="minorHAnsi"/>
            <w:sz w:val="12"/>
            <w:szCs w:val="12"/>
          </w:rPr>
          <w:t>http://www.fao.org/zhc/detail-events/es/c/1028079/</w:t>
        </w:r>
      </w:hyperlink>
      <w:r w:rsidRPr="006D1E16">
        <w:rPr>
          <w:rFonts w:asciiTheme="minorHAnsi" w:hAnsiTheme="minorHAnsi" w:cstheme="minorHAnsi"/>
          <w:sz w:val="12"/>
          <w:szCs w:val="12"/>
        </w:rPr>
        <w:t xml:space="preserve"> </w:t>
      </w:r>
    </w:p>
  </w:footnote>
  <w:footnote w:id="62">
    <w:p w:rsidR="00B239A6" w:rsidRPr="006D1E16" w:rsidRDefault="00B239A6"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CIDH, OEA/Ser.L/V/II., Doc. 49/15, Criminalización de la labor de las defensoras y los defensores de derechos humanos, 2015, párrafos 285-291, </w:t>
      </w:r>
      <w:hyperlink r:id="rId58" w:history="1">
        <w:r w:rsidRPr="006D1E16">
          <w:rPr>
            <w:rStyle w:val="Hyperlink"/>
            <w:rFonts w:asciiTheme="minorHAnsi" w:hAnsiTheme="minorHAnsi" w:cstheme="minorHAnsi"/>
            <w:sz w:val="12"/>
            <w:szCs w:val="12"/>
          </w:rPr>
          <w:t>http://www.oas.org/es/cidh/informes/pdfs/criminalizacion2016.pdf</w:t>
        </w:r>
      </w:hyperlink>
      <w:r w:rsidRPr="006D1E16">
        <w:rPr>
          <w:rFonts w:asciiTheme="minorHAnsi" w:hAnsiTheme="minorHAnsi" w:cstheme="minorHAnsi"/>
          <w:sz w:val="12"/>
          <w:szCs w:val="12"/>
        </w:rPr>
        <w:t xml:space="preserve"> </w:t>
      </w:r>
    </w:p>
  </w:footnote>
  <w:footnote w:id="63">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Artículo 9 del Acuerdo </w:t>
      </w:r>
      <w:r w:rsidRPr="006D1E16">
        <w:rPr>
          <w:rFonts w:asciiTheme="minorHAnsi" w:hAnsiTheme="minorHAnsi" w:cstheme="minorHAnsi"/>
          <w:sz w:val="12"/>
          <w:szCs w:val="12"/>
        </w:rPr>
        <w:t>Regional sobre el Acceso a la Información, la Participación Pública y el Acceso a la Justicia en Asuntos Ambientales en América Latina y el Caribe</w:t>
      </w:r>
    </w:p>
  </w:footnote>
  <w:footnote w:id="64">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Leyva Hernández, Alejandra </w:t>
      </w:r>
      <w:r w:rsidRPr="006D1E16">
        <w:rPr>
          <w:rFonts w:asciiTheme="minorHAnsi" w:hAnsiTheme="minorHAnsi" w:cstheme="minorHAnsi"/>
          <w:i/>
          <w:sz w:val="12"/>
          <w:szCs w:val="12"/>
          <w:lang w:val="es-ES"/>
        </w:rPr>
        <w:t>et al.</w:t>
      </w:r>
      <w:r w:rsidRPr="006D1E16">
        <w:rPr>
          <w:rFonts w:asciiTheme="minorHAnsi" w:hAnsiTheme="minorHAnsi" w:cstheme="minorHAnsi"/>
          <w:sz w:val="12"/>
          <w:szCs w:val="12"/>
          <w:lang w:val="es-ES"/>
        </w:rPr>
        <w:t>, Informe sobre la situación de las personas defensoras de los derechos humanos ambientales en México, 2020, CEMDA, México, 2021, págs. 35-39</w:t>
      </w:r>
    </w:p>
  </w:footnote>
  <w:footnote w:id="65">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Castañeda, María Julia, México, el cuarto país más peligroso en el mundo para ambientalistas y defensores, revela ONG, Sin Embargo, 13 de febrero de 2020, </w:t>
      </w:r>
      <w:hyperlink r:id="rId59" w:history="1">
        <w:r w:rsidRPr="006D1E16">
          <w:rPr>
            <w:rStyle w:val="Hyperlink"/>
            <w:rFonts w:asciiTheme="minorHAnsi" w:hAnsiTheme="minorHAnsi" w:cstheme="minorHAnsi"/>
            <w:sz w:val="12"/>
            <w:szCs w:val="12"/>
          </w:rPr>
          <w:t>https://www.sinembargo.mx/13-02-2020/3729865</w:t>
        </w:r>
      </w:hyperlink>
      <w:r w:rsidRPr="006D1E16">
        <w:rPr>
          <w:rFonts w:asciiTheme="minorHAnsi" w:hAnsiTheme="minorHAnsi" w:cstheme="minorHAnsi"/>
          <w:sz w:val="12"/>
          <w:szCs w:val="12"/>
        </w:rPr>
        <w:t xml:space="preserve"> </w:t>
      </w:r>
    </w:p>
  </w:footnote>
  <w:footnote w:id="66">
    <w:p w:rsidR="00B239A6" w:rsidRPr="006D1E16" w:rsidRDefault="00B239A6" w:rsidP="003459EE">
      <w:pPr>
        <w:pStyle w:val="FootnoteText"/>
        <w:jc w:val="both"/>
        <w:rPr>
          <w:rFonts w:asciiTheme="minorHAnsi" w:hAnsiTheme="minorHAnsi" w:cstheme="minorHAnsi"/>
          <w: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Leyva Hernández, Alejandra </w:t>
      </w:r>
      <w:r w:rsidRPr="006D1E16">
        <w:rPr>
          <w:rFonts w:asciiTheme="minorHAnsi" w:hAnsiTheme="minorHAnsi" w:cstheme="minorHAnsi"/>
          <w:i/>
          <w:sz w:val="12"/>
          <w:szCs w:val="12"/>
          <w:lang w:val="es-ES"/>
        </w:rPr>
        <w:t>et al.</w:t>
      </w:r>
      <w:r w:rsidRPr="006D1E16">
        <w:rPr>
          <w:rFonts w:asciiTheme="minorHAnsi" w:hAnsiTheme="minorHAnsi" w:cstheme="minorHAnsi"/>
          <w:sz w:val="12"/>
          <w:szCs w:val="12"/>
          <w:lang w:val="es-ES"/>
        </w:rPr>
        <w:t xml:space="preserve">, Informe sobre la situación de las personas defensoras, </w:t>
      </w:r>
      <w:r w:rsidRPr="006D1E16">
        <w:rPr>
          <w:rFonts w:asciiTheme="minorHAnsi" w:hAnsiTheme="minorHAnsi" w:cstheme="minorHAnsi"/>
          <w:i/>
          <w:sz w:val="12"/>
          <w:szCs w:val="12"/>
          <w:lang w:val="es-ES"/>
        </w:rPr>
        <w:t>op.cit.</w:t>
      </w:r>
    </w:p>
  </w:footnote>
  <w:footnote w:id="67">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Perlroth, Nicole, Programas de espionaje fueron usados contra promotores de un impuesto a los refrescos en México, The New York Times,  11 de febrero de 20117, </w:t>
      </w:r>
      <w:hyperlink r:id="rId60" w:history="1">
        <w:r w:rsidRPr="006D1E16">
          <w:rPr>
            <w:rStyle w:val="Hyperlink"/>
            <w:rFonts w:asciiTheme="minorHAnsi" w:hAnsiTheme="minorHAnsi" w:cstheme="minorHAnsi"/>
            <w:sz w:val="12"/>
            <w:szCs w:val="12"/>
          </w:rPr>
          <w:t>https://www.nytimes.com/es/2017/02/11/espanol/america-latina/programas-de-espionaje-fueron-usados-contra-impulsores-de-un-impuesto-a-los-refrescos-en-mexico.html</w:t>
        </w:r>
      </w:hyperlink>
      <w:r w:rsidRPr="006D1E16">
        <w:rPr>
          <w:rFonts w:asciiTheme="minorHAnsi" w:hAnsiTheme="minorHAnsi" w:cstheme="minorHAnsi"/>
          <w:sz w:val="12"/>
          <w:szCs w:val="12"/>
        </w:rPr>
        <w:t xml:space="preserve"> </w:t>
      </w:r>
    </w:p>
  </w:footnote>
  <w:footnote w:id="68">
    <w:p w:rsidR="00B239A6" w:rsidRPr="006D1E16" w:rsidRDefault="00B239A6"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Por ejemplo: Tanakasempipat, Patpicha, Exclusive: In the weeds - How Bayer, U.S. government teamed up against Thailand's glyphosate ban, Reuters, 16 de septiembre de 2020, </w:t>
      </w:r>
      <w:hyperlink r:id="rId61" w:history="1">
        <w:r w:rsidRPr="006D1E16">
          <w:rPr>
            <w:rStyle w:val="Hyperlink"/>
            <w:rFonts w:asciiTheme="minorHAnsi" w:hAnsiTheme="minorHAnsi" w:cstheme="minorHAnsi"/>
            <w:sz w:val="12"/>
            <w:szCs w:val="12"/>
          </w:rPr>
          <w:t>https://www.reuters.com/article/us-thailand-usa-trade-exclusive/exclusive-in-the-weeds-how-bayer-u-s-government-teamed-up-against-thailands-glyphosate-ban-idUSKBN268076</w:t>
        </w:r>
      </w:hyperlink>
      <w:r w:rsidRPr="006D1E16">
        <w:rPr>
          <w:rFonts w:asciiTheme="minorHAnsi" w:hAnsiTheme="minorHAnsi" w:cstheme="minorHAnsi"/>
          <w:sz w:val="12"/>
          <w:szCs w:val="12"/>
        </w:rPr>
        <w:t xml:space="preserve"> y Reuters,  EU, Canadá, Suiza y la Unión Europea presionan a México para retrasar nuevo etiquetado, México, 12 de agosto de 2020, </w:t>
      </w:r>
      <w:hyperlink r:id="rId62" w:history="1">
        <w:r w:rsidRPr="006D1E16">
          <w:rPr>
            <w:rStyle w:val="Hyperlink"/>
            <w:rFonts w:asciiTheme="minorHAnsi" w:hAnsiTheme="minorHAnsi" w:cstheme="minorHAnsi"/>
            <w:sz w:val="12"/>
            <w:szCs w:val="12"/>
          </w:rPr>
          <w:t>https://www.eleconomista.com.mx/empresas/EU-Canada-Suiza-y-la-Union-Europea-presionan-a-Mexico-para-retrasar-nuevo-etiquetado-20200812-0033.html</w:t>
        </w:r>
      </w:hyperlink>
      <w:r w:rsidRPr="006D1E16">
        <w:rPr>
          <w:rFonts w:asciiTheme="minorHAnsi" w:hAnsiTheme="minorHAnsi" w:cstheme="minorHAnsi"/>
          <w:sz w:val="12"/>
          <w:szCs w:val="12"/>
        </w:rPr>
        <w:t xml:space="preserve"> </w:t>
      </w:r>
    </w:p>
  </w:footnote>
  <w:footnote w:id="69">
    <w:p w:rsidR="00884EB1" w:rsidRPr="006D1E16" w:rsidRDefault="00884EB1" w:rsidP="00884EB1">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Por ejemplo: Tanakasempipat, Patpicha, Exclusive: In the weeds - How Bayer, U.S. government teamed up against Thailand's glyphosate ban, Reuters, 16 de septiembre de 2020, </w:t>
      </w:r>
      <w:hyperlink r:id="rId63" w:history="1">
        <w:r w:rsidRPr="006D1E16">
          <w:rPr>
            <w:rStyle w:val="Hyperlink"/>
            <w:rFonts w:asciiTheme="minorHAnsi" w:hAnsiTheme="minorHAnsi" w:cstheme="minorHAnsi"/>
            <w:sz w:val="12"/>
            <w:szCs w:val="12"/>
          </w:rPr>
          <w:t>https://www.reuters.com/article/us-thailand-usa-trade-exclusive/exclusive-in-the-weeds-how-bayer-u-s-government-teamed-up-against-thailands-glyphosate-ban-idUSKBN268076</w:t>
        </w:r>
      </w:hyperlink>
      <w:r w:rsidRPr="006D1E16">
        <w:rPr>
          <w:rFonts w:asciiTheme="minorHAnsi" w:hAnsiTheme="minorHAnsi" w:cstheme="minorHAnsi"/>
          <w:sz w:val="12"/>
          <w:szCs w:val="12"/>
        </w:rPr>
        <w:t xml:space="preserve"> y Reuters,  EU, Canadá, Suiza y la Unión Europea presionan a México para retrasar nuevo etiquetado, México, 12 de agosto de 2020, </w:t>
      </w:r>
      <w:hyperlink r:id="rId64" w:history="1">
        <w:r w:rsidRPr="006D1E16">
          <w:rPr>
            <w:rStyle w:val="Hyperlink"/>
            <w:rFonts w:asciiTheme="minorHAnsi" w:hAnsiTheme="minorHAnsi" w:cstheme="minorHAnsi"/>
            <w:sz w:val="12"/>
            <w:szCs w:val="12"/>
          </w:rPr>
          <w:t>https://www.eleconomista.com.mx/empresas/EU-Canada-Suiza-y-la-Union-Europea-presionan-a-Mexico-para-retrasar-nuevo-etiquetado-20200812-0033.html</w:t>
        </w:r>
      </w:hyperlink>
      <w:r w:rsidRPr="006D1E16">
        <w:rPr>
          <w:rFonts w:asciiTheme="minorHAnsi" w:hAnsiTheme="minorHAnsi" w:cstheme="minorHAnsi"/>
          <w:sz w:val="12"/>
          <w:szCs w:val="12"/>
        </w:rPr>
        <w:t xml:space="preserve"> Coca Cola dice que no interferirá en las políticas de salud de México, pero la evidencia muestra lo contrario </w:t>
      </w:r>
      <w:hyperlink r:id="rId65" w:history="1">
        <w:r w:rsidRPr="006D1E16">
          <w:rPr>
            <w:rStyle w:val="Hyperlink"/>
            <w:rFonts w:asciiTheme="minorHAnsi" w:hAnsiTheme="minorHAnsi" w:cstheme="minorHAnsi"/>
            <w:sz w:val="12"/>
            <w:szCs w:val="12"/>
          </w:rPr>
          <w:t>https://poplab.mx/article/CocaColadicequenointerferiraenlaspoliticasdesaluddeMexicoperolaevidenciamuestralocontrario</w:t>
        </w:r>
      </w:hyperlink>
      <w:r w:rsidRPr="006D1E16">
        <w:rPr>
          <w:rFonts w:asciiTheme="minorHAnsi" w:hAnsiTheme="minorHAnsi" w:cstheme="minorHAnsi"/>
          <w:sz w:val="12"/>
          <w:szCs w:val="12"/>
        </w:rPr>
        <w:t xml:space="preserve"> México mantiene su decisión de prohibir el glifosato, pese a las presiones de EE.UU. </w:t>
      </w:r>
      <w:hyperlink r:id="rId66" w:history="1">
        <w:r w:rsidRPr="006D1E16">
          <w:rPr>
            <w:rStyle w:val="Hyperlink"/>
            <w:rFonts w:asciiTheme="minorHAnsi" w:hAnsiTheme="minorHAnsi" w:cstheme="minorHAnsi"/>
            <w:sz w:val="12"/>
            <w:szCs w:val="12"/>
          </w:rPr>
          <w:t>https://www.efeverde.com/noticias/glifosato-mexico/</w:t>
        </w:r>
      </w:hyperlink>
      <w:r w:rsidRPr="006D1E16">
        <w:rPr>
          <w:rFonts w:asciiTheme="minorHAnsi" w:hAnsiTheme="minorHAnsi" w:cstheme="minorHAnsi"/>
          <w:sz w:val="12"/>
          <w:szCs w:val="12"/>
        </w:rPr>
        <w:t xml:space="preserve"> Cafetaleros alertan que planta de Nestlé los volverá “peones de hacienda” y destruirá su tierra </w:t>
      </w:r>
      <w:hyperlink r:id="rId67" w:history="1">
        <w:r w:rsidRPr="006D1E16">
          <w:rPr>
            <w:rStyle w:val="Hyperlink"/>
            <w:rFonts w:asciiTheme="minorHAnsi" w:hAnsiTheme="minorHAnsi" w:cstheme="minorHAnsi"/>
            <w:sz w:val="12"/>
            <w:szCs w:val="12"/>
          </w:rPr>
          <w:t>https://www.sinembargo.mx/14-01-2019/3521637</w:t>
        </w:r>
      </w:hyperlink>
      <w:r w:rsidRPr="006D1E16">
        <w:rPr>
          <w:rFonts w:asciiTheme="minorHAnsi" w:hAnsiTheme="minorHAnsi" w:cstheme="minorHAnsi"/>
          <w:sz w:val="12"/>
          <w:szCs w:val="12"/>
        </w:rPr>
        <w:t xml:space="preserve"> </w:t>
      </w:r>
    </w:p>
  </w:footnote>
  <w:footnote w:id="70">
    <w:p w:rsidR="006D1E16" w:rsidRPr="006D1E16" w:rsidRDefault="006D1E16" w:rsidP="006D1E16">
      <w:pPr>
        <w:pStyle w:val="FootnoteText"/>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EU, Canadá, Suiza y la Unión Europea presionan a México para retrasar nuevo etiquetado, México, 12 de agosto de 2020, </w:t>
      </w:r>
      <w:hyperlink r:id="rId68" w:history="1">
        <w:r w:rsidRPr="006D1E16">
          <w:rPr>
            <w:rStyle w:val="Hyperlink"/>
            <w:rFonts w:asciiTheme="minorHAnsi" w:hAnsiTheme="minorHAnsi" w:cstheme="minorHAnsi"/>
            <w:sz w:val="12"/>
            <w:szCs w:val="12"/>
          </w:rPr>
          <w:t>https://www.eleconomista.com.mx/empresas/EU-Canada-Suiza-y-la-Union-Europea-presionan-a-Mexico-para-retrasar-nuevo-etiquetado-20200812-0033.html</w:t>
        </w:r>
      </w:hyperlink>
    </w:p>
  </w:footnote>
  <w:footnote w:id="71">
    <w:p w:rsidR="006D1E16" w:rsidRPr="006D1E16" w:rsidRDefault="006D1E16" w:rsidP="006D1E16">
      <w:pPr>
        <w:pStyle w:val="FootnoteText"/>
        <w:rPr>
          <w:rFonts w:asciiTheme="minorHAnsi" w:hAnsiTheme="minorHAnsi" w:cstheme="minorHAnsi"/>
          <w:sz w:val="12"/>
          <w:szCs w:val="12"/>
          <w:lang w:val="en-U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México mantiene su decisión de prohibir el glifosato, pese a las presiones de EE.UU. </w:t>
      </w:r>
      <w:hyperlink r:id="rId69" w:history="1">
        <w:r w:rsidRPr="006D1E16">
          <w:rPr>
            <w:rStyle w:val="Hyperlink"/>
            <w:rFonts w:asciiTheme="minorHAnsi" w:hAnsiTheme="minorHAnsi" w:cstheme="minorHAnsi"/>
            <w:sz w:val="12"/>
            <w:szCs w:val="12"/>
            <w:lang w:val="en-US"/>
          </w:rPr>
          <w:t>https://www.efeverde.com/noticias/glifosato-mexico/</w:t>
        </w:r>
      </w:hyperlink>
      <w:r w:rsidRPr="006D1E16">
        <w:rPr>
          <w:rFonts w:asciiTheme="minorHAnsi" w:hAnsiTheme="minorHAnsi" w:cstheme="minorHAnsi"/>
          <w:sz w:val="12"/>
          <w:szCs w:val="12"/>
          <w:lang w:val="en-US"/>
        </w:rPr>
        <w:t xml:space="preserve"> , Tanakasempipat, Patpicha, Exclusive: In the weeds - How Bayer, U.S. government teamed up against Thailand's glyphosate ban, Reuters, 16 de septiembre de 2020, </w:t>
      </w:r>
      <w:hyperlink r:id="rId70" w:history="1">
        <w:r w:rsidRPr="006D1E16">
          <w:rPr>
            <w:rStyle w:val="Hyperlink"/>
            <w:rFonts w:asciiTheme="minorHAnsi" w:hAnsiTheme="minorHAnsi" w:cstheme="minorHAnsi"/>
            <w:sz w:val="12"/>
            <w:szCs w:val="12"/>
            <w:lang w:val="en-US"/>
          </w:rPr>
          <w:t>https://www.reuters.com/article/us-thailand-usa-trade-exclusive/exclusive-in-the-weeds-how-bayer-u-s-government-teamed-up-against-thailands-glyphosate-ban-idUSKBN268076</w:t>
        </w:r>
      </w:hyperlink>
    </w:p>
  </w:footnote>
  <w:footnote w:id="72">
    <w:p w:rsidR="00B239A6" w:rsidRPr="006D1E16" w:rsidRDefault="00B239A6" w:rsidP="003459EE">
      <w:pPr>
        <w:pStyle w:val="FootnoteText"/>
        <w:jc w:val="both"/>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w:t>
      </w:r>
      <w:r w:rsidRPr="006D1E16">
        <w:rPr>
          <w:rFonts w:asciiTheme="minorHAnsi" w:hAnsiTheme="minorHAnsi" w:cstheme="minorHAnsi"/>
          <w:sz w:val="12"/>
          <w:szCs w:val="12"/>
          <w:lang w:val="es-ES"/>
        </w:rPr>
        <w:t xml:space="preserve">Consejo de Derechos Humanos, </w:t>
      </w:r>
      <w:r w:rsidRPr="006D1E16">
        <w:rPr>
          <w:rFonts w:asciiTheme="minorHAnsi" w:hAnsiTheme="minorHAnsi" w:cstheme="minorHAnsi"/>
          <w:sz w:val="12"/>
          <w:szCs w:val="12"/>
        </w:rPr>
        <w:t xml:space="preserve">A/HRC/RES/26/9 Elaboración de un instrumento internacional jurídicamente vinculante sobre las empresas transnacionales y otras empresas con respecto a los derechos humanos, 14 de julio de 2014, 3pp., </w:t>
      </w:r>
      <w:hyperlink r:id="rId71" w:history="1">
        <w:r w:rsidRPr="006D1E16">
          <w:rPr>
            <w:rStyle w:val="Hyperlink"/>
            <w:rFonts w:asciiTheme="minorHAnsi" w:hAnsiTheme="minorHAnsi" w:cstheme="minorHAnsi"/>
            <w:sz w:val="12"/>
            <w:szCs w:val="12"/>
          </w:rPr>
          <w:t>https://documents-dds-ny.un.org/doc/UNDOC/GEN/G14/082/55/PDF/G1408255.pdf?OpenElement</w:t>
        </w:r>
      </w:hyperlink>
      <w:r w:rsidRPr="006D1E16">
        <w:rPr>
          <w:rFonts w:asciiTheme="minorHAnsi" w:hAnsiTheme="minorHAnsi" w:cstheme="minorHAnsi"/>
          <w:sz w:val="12"/>
          <w:szCs w:val="12"/>
        </w:rPr>
        <w:t xml:space="preserve"> y Grupo de trabajo intergubernamental de composición abierta sobre las empresas transnacionales y otras empresas comerciales en materia de derechos humanos, OEIGWG chairmanship second revised draft 06.08.2020, Artículo 9, </w:t>
      </w:r>
      <w:hyperlink r:id="rId72" w:history="1">
        <w:r w:rsidRPr="006D1E16">
          <w:rPr>
            <w:rStyle w:val="Hyperlink"/>
            <w:rFonts w:asciiTheme="minorHAnsi" w:hAnsiTheme="minorHAnsi" w:cstheme="minorHAnsi"/>
            <w:sz w:val="12"/>
            <w:szCs w:val="12"/>
          </w:rPr>
          <w:t>https://media.business-humanrights.org/media/documents/7ebffa2b7510a719d61fdab83fd8b2c19de4c650.pdf</w:t>
        </w:r>
      </w:hyperlink>
      <w:r w:rsidRPr="006D1E16">
        <w:rPr>
          <w:rFonts w:asciiTheme="minorHAnsi" w:hAnsiTheme="minorHAnsi" w:cstheme="minorHAnsi"/>
          <w:sz w:val="12"/>
          <w:szCs w:val="12"/>
        </w:rPr>
        <w:t xml:space="preserve"> </w:t>
      </w:r>
    </w:p>
  </w:footnote>
  <w:footnote w:id="73">
    <w:p w:rsidR="006D1E16" w:rsidRPr="006D1E16" w:rsidRDefault="006D1E16" w:rsidP="006D1E16">
      <w:pPr>
        <w:pStyle w:val="FootnoteText"/>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PopLab, Coca Cola dice que no interferirá en las políticas de salud de México, pero la evidencia muestra lo contrario </w:t>
      </w:r>
      <w:hyperlink r:id="rId73" w:history="1">
        <w:r w:rsidRPr="006D1E16">
          <w:rPr>
            <w:rStyle w:val="Hyperlink"/>
            <w:rFonts w:asciiTheme="minorHAnsi" w:hAnsiTheme="minorHAnsi" w:cstheme="minorHAnsi"/>
            <w:sz w:val="12"/>
            <w:szCs w:val="12"/>
          </w:rPr>
          <w:t>https://poplab.mx/article/CocaColadicequenointerferiraenlaspoliticasdesaluddeMexicoperolaevidenciamuestralocontrario</w:t>
        </w:r>
      </w:hyperlink>
    </w:p>
  </w:footnote>
  <w:footnote w:id="74">
    <w:p w:rsidR="006D1E16" w:rsidRPr="006D1E16" w:rsidRDefault="006D1E16" w:rsidP="006D1E16">
      <w:pPr>
        <w:pStyle w:val="FootnoteText"/>
        <w:rPr>
          <w:rFonts w:asciiTheme="minorHAnsi" w:hAnsiTheme="minorHAnsi" w:cstheme="minorHAns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Reuters,  Cafetaleros alertan que planta de Nestlé los volverá “peones de hacienda” y destruirá su tierra </w:t>
      </w:r>
      <w:hyperlink r:id="rId74" w:history="1">
        <w:r w:rsidRPr="006D1E16">
          <w:rPr>
            <w:rStyle w:val="Hyperlink"/>
            <w:rFonts w:asciiTheme="minorHAnsi" w:hAnsiTheme="minorHAnsi" w:cstheme="minorHAnsi"/>
            <w:sz w:val="12"/>
            <w:szCs w:val="12"/>
          </w:rPr>
          <w:t>https://www.sinembargo.mx/14-01-2019/3521637</w:t>
        </w:r>
      </w:hyperlink>
    </w:p>
  </w:footnote>
  <w:footnote w:id="75">
    <w:p w:rsidR="00B239A6" w:rsidRPr="006D1E16" w:rsidRDefault="00B239A6" w:rsidP="003459EE">
      <w:pPr>
        <w:pStyle w:val="FootnoteText"/>
        <w:jc w:val="both"/>
        <w:rPr>
          <w:rFonts w:asciiTheme="minorHAnsi" w:hAnsiTheme="minorHAnsi" w:cstheme="minorHAnsi"/>
          <w:i/>
          <w:sz w:val="12"/>
          <w:szCs w:val="12"/>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CAJAR y El Poder del Consumidor, La interferencia de la industria es nociva para la salud, </w:t>
      </w:r>
      <w:r w:rsidRPr="006D1E16">
        <w:rPr>
          <w:rFonts w:asciiTheme="minorHAnsi" w:hAnsiTheme="minorHAnsi" w:cstheme="minorHAnsi"/>
          <w:i/>
          <w:sz w:val="12"/>
          <w:szCs w:val="12"/>
        </w:rPr>
        <w:t>op.cit.</w:t>
      </w:r>
    </w:p>
  </w:footnote>
  <w:footnote w:id="76">
    <w:p w:rsidR="00B239A6" w:rsidRPr="006D1E16" w:rsidRDefault="00B239A6" w:rsidP="003459EE">
      <w:pPr>
        <w:pStyle w:val="FootnoteText"/>
        <w:jc w:val="both"/>
        <w:rPr>
          <w:rFonts w:asciiTheme="minorHAnsi" w:hAnsiTheme="minorHAnsi" w:cstheme="minorHAnsi"/>
          <w:sz w:val="12"/>
          <w:szCs w:val="12"/>
          <w:lang w:val="es-ES"/>
        </w:rPr>
      </w:pPr>
      <w:r w:rsidRPr="006D1E16">
        <w:rPr>
          <w:rStyle w:val="FootnoteReference"/>
          <w:rFonts w:asciiTheme="minorHAnsi" w:hAnsiTheme="minorHAnsi" w:cstheme="minorHAnsi"/>
          <w:sz w:val="12"/>
          <w:szCs w:val="12"/>
        </w:rPr>
        <w:footnoteRef/>
      </w:r>
      <w:r w:rsidRPr="006D1E16">
        <w:rPr>
          <w:rFonts w:asciiTheme="minorHAnsi" w:hAnsiTheme="minorHAnsi" w:cstheme="minorHAnsi"/>
          <w:sz w:val="12"/>
          <w:szCs w:val="12"/>
        </w:rPr>
        <w:t xml:space="preserve"> Enciso L., Angélica, “El CNA arma estrategia para atacar decreto contra el uso de glifosato”, La Jornada, México, 19 de febrero de 2021, </w:t>
      </w:r>
      <w:hyperlink r:id="rId75" w:history="1">
        <w:r w:rsidRPr="006D1E16">
          <w:rPr>
            <w:rStyle w:val="Hyperlink"/>
            <w:rFonts w:asciiTheme="minorHAnsi" w:hAnsiTheme="minorHAnsi" w:cstheme="minorHAnsi"/>
            <w:sz w:val="12"/>
            <w:szCs w:val="12"/>
          </w:rPr>
          <w:t>https://www.jornada.com.mx/notas/2021/02/19/sociedad/el-cna-arma-estrategia-para-atacar-decreto-contra-el-uso-de-glifosato/</w:t>
        </w:r>
      </w:hyperlink>
      <w:r w:rsidRPr="006D1E16">
        <w:rPr>
          <w:rFonts w:asciiTheme="minorHAnsi" w:hAnsiTheme="minorHAnsi" w:cstheme="minorHAnsi"/>
          <w:sz w:val="12"/>
          <w:szCs w:val="12"/>
        </w:rPr>
        <w:t xml:space="preserve">  y Gillam, Carey, Revealed: Monsanto owner and US officials pressured Mexico to drop glyphosate ban, The Guardian, Reino Unido, 16 de febrero de 2021, </w:t>
      </w:r>
      <w:hyperlink r:id="rId76" w:history="1">
        <w:r w:rsidRPr="006D1E16">
          <w:rPr>
            <w:rStyle w:val="Hyperlink"/>
            <w:rFonts w:asciiTheme="minorHAnsi" w:hAnsiTheme="minorHAnsi" w:cstheme="minorHAnsi"/>
            <w:sz w:val="12"/>
            <w:szCs w:val="12"/>
          </w:rPr>
          <w:t>https://www.theguardian.com/business/2021/feb/16/revealed-monsanto-mexico-us-glyphosate-ban</w:t>
        </w:r>
      </w:hyperlink>
      <w:r w:rsidRPr="006D1E16">
        <w:rPr>
          <w:rFonts w:asciiTheme="minorHAnsi" w:hAnsiTheme="minorHAnsi" w:cstheme="minorHAnsi"/>
          <w:sz w:val="12"/>
          <w:szCs w:val="12"/>
        </w:rPr>
        <w:t xml:space="preserve"> </w:t>
      </w:r>
    </w:p>
    <w:p w:rsidR="00B239A6" w:rsidRPr="006D1E16" w:rsidRDefault="00B239A6" w:rsidP="00251EF9">
      <w:pPr>
        <w:pStyle w:val="FootnoteText"/>
        <w:jc w:val="both"/>
        <w:rPr>
          <w:rFonts w:asciiTheme="minorHAnsi" w:hAnsiTheme="minorHAnsi" w:cstheme="minorHAnsi"/>
          <w:sz w:val="12"/>
          <w:szCs w:val="12"/>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930"/>
    <w:multiLevelType w:val="multilevel"/>
    <w:tmpl w:val="5D18BFE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80C3174"/>
    <w:multiLevelType w:val="hybridMultilevel"/>
    <w:tmpl w:val="C8C82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2B5456"/>
    <w:multiLevelType w:val="multilevel"/>
    <w:tmpl w:val="951E471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CD6CC5"/>
    <w:multiLevelType w:val="multilevel"/>
    <w:tmpl w:val="5D18BFE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8FD2224"/>
    <w:multiLevelType w:val="hybridMultilevel"/>
    <w:tmpl w:val="AC8285AC"/>
    <w:lvl w:ilvl="0" w:tplc="302452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723192"/>
    <w:multiLevelType w:val="multilevel"/>
    <w:tmpl w:val="5D18BFE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4C93AF5"/>
    <w:multiLevelType w:val="multilevel"/>
    <w:tmpl w:val="951E471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BE09DD"/>
    <w:multiLevelType w:val="multilevel"/>
    <w:tmpl w:val="5D18BFE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BCC1253"/>
    <w:multiLevelType w:val="multilevel"/>
    <w:tmpl w:val="5D18BFE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b/>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1AC7450"/>
    <w:multiLevelType w:val="hybridMultilevel"/>
    <w:tmpl w:val="EAA0B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2E77A1"/>
    <w:multiLevelType w:val="hybridMultilevel"/>
    <w:tmpl w:val="5FACDE1E"/>
    <w:lvl w:ilvl="0" w:tplc="EFEA7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8D6F24"/>
    <w:multiLevelType w:val="hybridMultilevel"/>
    <w:tmpl w:val="F0F21118"/>
    <w:lvl w:ilvl="0" w:tplc="080A0001">
      <w:start w:val="1"/>
      <w:numFmt w:val="bullet"/>
      <w:lvlText w:val=""/>
      <w:lvlJc w:val="left"/>
      <w:pPr>
        <w:ind w:left="2218" w:hanging="360"/>
      </w:pPr>
      <w:rPr>
        <w:rFonts w:ascii="Symbol" w:hAnsi="Symbol" w:hint="default"/>
      </w:rPr>
    </w:lvl>
    <w:lvl w:ilvl="1" w:tplc="080A0003">
      <w:start w:val="1"/>
      <w:numFmt w:val="bullet"/>
      <w:lvlText w:val="o"/>
      <w:lvlJc w:val="left"/>
      <w:pPr>
        <w:ind w:left="2938" w:hanging="360"/>
      </w:pPr>
      <w:rPr>
        <w:rFonts w:ascii="Courier New" w:hAnsi="Courier New" w:cs="Courier New" w:hint="default"/>
      </w:rPr>
    </w:lvl>
    <w:lvl w:ilvl="2" w:tplc="080A0005" w:tentative="1">
      <w:start w:val="1"/>
      <w:numFmt w:val="bullet"/>
      <w:lvlText w:val=""/>
      <w:lvlJc w:val="left"/>
      <w:pPr>
        <w:ind w:left="3658" w:hanging="360"/>
      </w:pPr>
      <w:rPr>
        <w:rFonts w:ascii="Wingdings" w:hAnsi="Wingdings" w:hint="default"/>
      </w:rPr>
    </w:lvl>
    <w:lvl w:ilvl="3" w:tplc="080A0001" w:tentative="1">
      <w:start w:val="1"/>
      <w:numFmt w:val="bullet"/>
      <w:lvlText w:val=""/>
      <w:lvlJc w:val="left"/>
      <w:pPr>
        <w:ind w:left="4378" w:hanging="360"/>
      </w:pPr>
      <w:rPr>
        <w:rFonts w:ascii="Symbol" w:hAnsi="Symbol" w:hint="default"/>
      </w:rPr>
    </w:lvl>
    <w:lvl w:ilvl="4" w:tplc="080A0003" w:tentative="1">
      <w:start w:val="1"/>
      <w:numFmt w:val="bullet"/>
      <w:lvlText w:val="o"/>
      <w:lvlJc w:val="left"/>
      <w:pPr>
        <w:ind w:left="5098" w:hanging="360"/>
      </w:pPr>
      <w:rPr>
        <w:rFonts w:ascii="Courier New" w:hAnsi="Courier New" w:cs="Courier New" w:hint="default"/>
      </w:rPr>
    </w:lvl>
    <w:lvl w:ilvl="5" w:tplc="080A0005" w:tentative="1">
      <w:start w:val="1"/>
      <w:numFmt w:val="bullet"/>
      <w:lvlText w:val=""/>
      <w:lvlJc w:val="left"/>
      <w:pPr>
        <w:ind w:left="5818" w:hanging="360"/>
      </w:pPr>
      <w:rPr>
        <w:rFonts w:ascii="Wingdings" w:hAnsi="Wingdings" w:hint="default"/>
      </w:rPr>
    </w:lvl>
    <w:lvl w:ilvl="6" w:tplc="080A0001" w:tentative="1">
      <w:start w:val="1"/>
      <w:numFmt w:val="bullet"/>
      <w:lvlText w:val=""/>
      <w:lvlJc w:val="left"/>
      <w:pPr>
        <w:ind w:left="6538" w:hanging="360"/>
      </w:pPr>
      <w:rPr>
        <w:rFonts w:ascii="Symbol" w:hAnsi="Symbol" w:hint="default"/>
      </w:rPr>
    </w:lvl>
    <w:lvl w:ilvl="7" w:tplc="080A0003" w:tentative="1">
      <w:start w:val="1"/>
      <w:numFmt w:val="bullet"/>
      <w:lvlText w:val="o"/>
      <w:lvlJc w:val="left"/>
      <w:pPr>
        <w:ind w:left="7258" w:hanging="360"/>
      </w:pPr>
      <w:rPr>
        <w:rFonts w:ascii="Courier New" w:hAnsi="Courier New" w:cs="Courier New" w:hint="default"/>
      </w:rPr>
    </w:lvl>
    <w:lvl w:ilvl="8" w:tplc="080A0005" w:tentative="1">
      <w:start w:val="1"/>
      <w:numFmt w:val="bullet"/>
      <w:lvlText w:val=""/>
      <w:lvlJc w:val="left"/>
      <w:pPr>
        <w:ind w:left="7978" w:hanging="360"/>
      </w:pPr>
      <w:rPr>
        <w:rFonts w:ascii="Wingdings" w:hAnsi="Wingdings" w:hint="default"/>
      </w:rPr>
    </w:lvl>
  </w:abstractNum>
  <w:abstractNum w:abstractNumId="12" w15:restartNumberingAfterBreak="0">
    <w:nsid w:val="5BA04262"/>
    <w:multiLevelType w:val="hybridMultilevel"/>
    <w:tmpl w:val="C7861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F26769"/>
    <w:multiLevelType w:val="hybridMultilevel"/>
    <w:tmpl w:val="E878E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CD0141"/>
    <w:multiLevelType w:val="multilevel"/>
    <w:tmpl w:val="5D18BFE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A167680"/>
    <w:multiLevelType w:val="hybridMultilevel"/>
    <w:tmpl w:val="BF68A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8103D1"/>
    <w:multiLevelType w:val="hybridMultilevel"/>
    <w:tmpl w:val="4028A7F2"/>
    <w:lvl w:ilvl="0" w:tplc="99BA1614">
      <w:start w:val="1"/>
      <w:numFmt w:val="lowerLetter"/>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14"/>
  </w:num>
  <w:num w:numId="6">
    <w:abstractNumId w:val="15"/>
  </w:num>
  <w:num w:numId="7">
    <w:abstractNumId w:val="7"/>
  </w:num>
  <w:num w:numId="8">
    <w:abstractNumId w:val="5"/>
  </w:num>
  <w:num w:numId="9">
    <w:abstractNumId w:val="3"/>
  </w:num>
  <w:num w:numId="10">
    <w:abstractNumId w:val="1"/>
  </w:num>
  <w:num w:numId="11">
    <w:abstractNumId w:val="11"/>
  </w:num>
  <w:num w:numId="12">
    <w:abstractNumId w:val="16"/>
  </w:num>
  <w:num w:numId="13">
    <w:abstractNumId w:val="13"/>
  </w:num>
  <w:num w:numId="14">
    <w:abstractNumId w:val="9"/>
  </w:num>
  <w:num w:numId="15">
    <w:abstractNumId w:val="12"/>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FC"/>
    <w:rsid w:val="000233EC"/>
    <w:rsid w:val="00035888"/>
    <w:rsid w:val="0004701A"/>
    <w:rsid w:val="00067F43"/>
    <w:rsid w:val="000810FF"/>
    <w:rsid w:val="000A00DC"/>
    <w:rsid w:val="000A03DB"/>
    <w:rsid w:val="000A5AAF"/>
    <w:rsid w:val="000B03A3"/>
    <w:rsid w:val="000B597A"/>
    <w:rsid w:val="000B6139"/>
    <w:rsid w:val="000F7912"/>
    <w:rsid w:val="00100741"/>
    <w:rsid w:val="00134ECE"/>
    <w:rsid w:val="001360BF"/>
    <w:rsid w:val="00146BAB"/>
    <w:rsid w:val="00146C34"/>
    <w:rsid w:val="001544DC"/>
    <w:rsid w:val="0016347C"/>
    <w:rsid w:val="00183F5C"/>
    <w:rsid w:val="0018625B"/>
    <w:rsid w:val="00193A20"/>
    <w:rsid w:val="00194B8D"/>
    <w:rsid w:val="001B4094"/>
    <w:rsid w:val="001C02F0"/>
    <w:rsid w:val="001D13D8"/>
    <w:rsid w:val="001D67A7"/>
    <w:rsid w:val="00202E59"/>
    <w:rsid w:val="00220756"/>
    <w:rsid w:val="00251EF9"/>
    <w:rsid w:val="00254A75"/>
    <w:rsid w:val="0026408D"/>
    <w:rsid w:val="00265228"/>
    <w:rsid w:val="00272318"/>
    <w:rsid w:val="00277211"/>
    <w:rsid w:val="002905B8"/>
    <w:rsid w:val="00292762"/>
    <w:rsid w:val="00293174"/>
    <w:rsid w:val="00294FAD"/>
    <w:rsid w:val="002A43B1"/>
    <w:rsid w:val="002A5118"/>
    <w:rsid w:val="002B18C0"/>
    <w:rsid w:val="002C564B"/>
    <w:rsid w:val="002E08B2"/>
    <w:rsid w:val="002E7FF0"/>
    <w:rsid w:val="0030311F"/>
    <w:rsid w:val="0032255F"/>
    <w:rsid w:val="00323AFC"/>
    <w:rsid w:val="00331262"/>
    <w:rsid w:val="00334862"/>
    <w:rsid w:val="0034215D"/>
    <w:rsid w:val="003459EE"/>
    <w:rsid w:val="00372146"/>
    <w:rsid w:val="00382B97"/>
    <w:rsid w:val="0039449C"/>
    <w:rsid w:val="003A02FC"/>
    <w:rsid w:val="003A7F46"/>
    <w:rsid w:val="003C246E"/>
    <w:rsid w:val="003F7996"/>
    <w:rsid w:val="00414C41"/>
    <w:rsid w:val="004263E7"/>
    <w:rsid w:val="00445CBD"/>
    <w:rsid w:val="004468BF"/>
    <w:rsid w:val="00446A2D"/>
    <w:rsid w:val="00472911"/>
    <w:rsid w:val="00493365"/>
    <w:rsid w:val="004A02C4"/>
    <w:rsid w:val="004A6E26"/>
    <w:rsid w:val="004E1FCA"/>
    <w:rsid w:val="004E28E8"/>
    <w:rsid w:val="004F19D3"/>
    <w:rsid w:val="005206A1"/>
    <w:rsid w:val="00522468"/>
    <w:rsid w:val="005561AD"/>
    <w:rsid w:val="005A0E78"/>
    <w:rsid w:val="005C4147"/>
    <w:rsid w:val="005D595A"/>
    <w:rsid w:val="005E628A"/>
    <w:rsid w:val="006112A9"/>
    <w:rsid w:val="00614EC5"/>
    <w:rsid w:val="006220A3"/>
    <w:rsid w:val="00676D7E"/>
    <w:rsid w:val="0068011C"/>
    <w:rsid w:val="006C3080"/>
    <w:rsid w:val="006C7B30"/>
    <w:rsid w:val="006D1E16"/>
    <w:rsid w:val="006F5FF2"/>
    <w:rsid w:val="00726B52"/>
    <w:rsid w:val="00733684"/>
    <w:rsid w:val="00733699"/>
    <w:rsid w:val="00737D21"/>
    <w:rsid w:val="007479DC"/>
    <w:rsid w:val="00786E18"/>
    <w:rsid w:val="007904EF"/>
    <w:rsid w:val="007917F4"/>
    <w:rsid w:val="007A7430"/>
    <w:rsid w:val="007B411E"/>
    <w:rsid w:val="007C5662"/>
    <w:rsid w:val="007D40F9"/>
    <w:rsid w:val="007F56CA"/>
    <w:rsid w:val="00802462"/>
    <w:rsid w:val="00820DB2"/>
    <w:rsid w:val="0083539E"/>
    <w:rsid w:val="008361F4"/>
    <w:rsid w:val="00874605"/>
    <w:rsid w:val="00884EB1"/>
    <w:rsid w:val="00885B8F"/>
    <w:rsid w:val="008952D7"/>
    <w:rsid w:val="008B0820"/>
    <w:rsid w:val="008C21ED"/>
    <w:rsid w:val="008D5F2A"/>
    <w:rsid w:val="008F09FE"/>
    <w:rsid w:val="009059BD"/>
    <w:rsid w:val="00915C8D"/>
    <w:rsid w:val="009200E3"/>
    <w:rsid w:val="009228B4"/>
    <w:rsid w:val="00942890"/>
    <w:rsid w:val="0094730D"/>
    <w:rsid w:val="00965622"/>
    <w:rsid w:val="00995598"/>
    <w:rsid w:val="009A1D86"/>
    <w:rsid w:val="009A52DE"/>
    <w:rsid w:val="009B47A5"/>
    <w:rsid w:val="009B7D22"/>
    <w:rsid w:val="009C3FA4"/>
    <w:rsid w:val="009D2EE5"/>
    <w:rsid w:val="009D318E"/>
    <w:rsid w:val="009E6C4C"/>
    <w:rsid w:val="009F6661"/>
    <w:rsid w:val="00A12026"/>
    <w:rsid w:val="00A236D3"/>
    <w:rsid w:val="00A371A0"/>
    <w:rsid w:val="00A4190C"/>
    <w:rsid w:val="00A53446"/>
    <w:rsid w:val="00A54947"/>
    <w:rsid w:val="00A612FC"/>
    <w:rsid w:val="00A616F4"/>
    <w:rsid w:val="00A85DB1"/>
    <w:rsid w:val="00A91FF4"/>
    <w:rsid w:val="00AA2A5B"/>
    <w:rsid w:val="00AB541B"/>
    <w:rsid w:val="00AC4E20"/>
    <w:rsid w:val="00AF4F43"/>
    <w:rsid w:val="00B05C31"/>
    <w:rsid w:val="00B239A6"/>
    <w:rsid w:val="00B30B40"/>
    <w:rsid w:val="00B359B0"/>
    <w:rsid w:val="00B406B1"/>
    <w:rsid w:val="00B810BF"/>
    <w:rsid w:val="00B81D68"/>
    <w:rsid w:val="00BA1D21"/>
    <w:rsid w:val="00BB4675"/>
    <w:rsid w:val="00BC1DBE"/>
    <w:rsid w:val="00BD64A7"/>
    <w:rsid w:val="00BE7361"/>
    <w:rsid w:val="00C05A0F"/>
    <w:rsid w:val="00C06DCA"/>
    <w:rsid w:val="00C17B25"/>
    <w:rsid w:val="00C31F7F"/>
    <w:rsid w:val="00C36511"/>
    <w:rsid w:val="00C67161"/>
    <w:rsid w:val="00C7479E"/>
    <w:rsid w:val="00C77402"/>
    <w:rsid w:val="00C82508"/>
    <w:rsid w:val="00CD79BB"/>
    <w:rsid w:val="00CE098C"/>
    <w:rsid w:val="00CE165C"/>
    <w:rsid w:val="00CE7A40"/>
    <w:rsid w:val="00CF1675"/>
    <w:rsid w:val="00D33266"/>
    <w:rsid w:val="00D35346"/>
    <w:rsid w:val="00D4628C"/>
    <w:rsid w:val="00D80EA4"/>
    <w:rsid w:val="00D83E3C"/>
    <w:rsid w:val="00D8650C"/>
    <w:rsid w:val="00D87F85"/>
    <w:rsid w:val="00D9432B"/>
    <w:rsid w:val="00D96372"/>
    <w:rsid w:val="00DA0DD4"/>
    <w:rsid w:val="00DB0B07"/>
    <w:rsid w:val="00DC0BF6"/>
    <w:rsid w:val="00DC0F8B"/>
    <w:rsid w:val="00DC2674"/>
    <w:rsid w:val="00DD5C64"/>
    <w:rsid w:val="00DE22FD"/>
    <w:rsid w:val="00DF66CE"/>
    <w:rsid w:val="00E061AE"/>
    <w:rsid w:val="00E20C4A"/>
    <w:rsid w:val="00EA16FA"/>
    <w:rsid w:val="00EA7C6A"/>
    <w:rsid w:val="00ED76E8"/>
    <w:rsid w:val="00EE773A"/>
    <w:rsid w:val="00EE78CA"/>
    <w:rsid w:val="00EF72C2"/>
    <w:rsid w:val="00F032CB"/>
    <w:rsid w:val="00F20E0B"/>
    <w:rsid w:val="00F23EBD"/>
    <w:rsid w:val="00F25574"/>
    <w:rsid w:val="00F369D9"/>
    <w:rsid w:val="00F66881"/>
    <w:rsid w:val="00F80883"/>
    <w:rsid w:val="00F83466"/>
    <w:rsid w:val="00FE11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409D"/>
  <w15:chartTrackingRefBased/>
  <w15:docId w15:val="{CD0EFB62-DE6B-4624-B1BC-07FD1A93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D9"/>
  </w:style>
  <w:style w:type="paragraph" w:styleId="Heading1">
    <w:name w:val="heading 1"/>
    <w:basedOn w:val="Normal"/>
    <w:next w:val="Normal"/>
    <w:link w:val="Heading1Char"/>
    <w:uiPriority w:val="9"/>
    <w:qFormat/>
    <w:rsid w:val="003721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37D2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9D9"/>
    <w:pPr>
      <w:ind w:left="720"/>
      <w:contextualSpacing/>
    </w:pPr>
  </w:style>
  <w:style w:type="paragraph" w:styleId="Header">
    <w:name w:val="header"/>
    <w:basedOn w:val="Normal"/>
    <w:link w:val="HeaderChar"/>
    <w:uiPriority w:val="99"/>
    <w:unhideWhenUsed/>
    <w:rsid w:val="00A4190C"/>
    <w:pPr>
      <w:tabs>
        <w:tab w:val="center" w:pos="4419"/>
        <w:tab w:val="right" w:pos="8838"/>
      </w:tabs>
      <w:spacing w:after="0" w:line="240" w:lineRule="auto"/>
    </w:pPr>
  </w:style>
  <w:style w:type="character" w:customStyle="1" w:styleId="HeaderChar">
    <w:name w:val="Header Char"/>
    <w:basedOn w:val="DefaultParagraphFont"/>
    <w:link w:val="Header"/>
    <w:uiPriority w:val="99"/>
    <w:rsid w:val="00A4190C"/>
  </w:style>
  <w:style w:type="paragraph" w:styleId="Footer">
    <w:name w:val="footer"/>
    <w:basedOn w:val="Normal"/>
    <w:link w:val="FooterChar"/>
    <w:uiPriority w:val="99"/>
    <w:unhideWhenUsed/>
    <w:rsid w:val="00A4190C"/>
    <w:pPr>
      <w:tabs>
        <w:tab w:val="center" w:pos="4419"/>
        <w:tab w:val="right" w:pos="8838"/>
      </w:tabs>
      <w:spacing w:after="0" w:line="240" w:lineRule="auto"/>
    </w:pPr>
  </w:style>
  <w:style w:type="character" w:customStyle="1" w:styleId="FooterChar">
    <w:name w:val="Footer Char"/>
    <w:basedOn w:val="DefaultParagraphFont"/>
    <w:link w:val="Footer"/>
    <w:uiPriority w:val="99"/>
    <w:rsid w:val="00A4190C"/>
  </w:style>
  <w:style w:type="paragraph" w:styleId="FootnoteText">
    <w:name w:val="footnote text"/>
    <w:basedOn w:val="Normal"/>
    <w:link w:val="FootnoteTextChar"/>
    <w:uiPriority w:val="99"/>
    <w:unhideWhenUsed/>
    <w:rsid w:val="00A371A0"/>
    <w:pPr>
      <w:spacing w:after="0" w:line="240" w:lineRule="auto"/>
    </w:pPr>
    <w:rPr>
      <w:sz w:val="20"/>
      <w:szCs w:val="20"/>
    </w:rPr>
  </w:style>
  <w:style w:type="character" w:customStyle="1" w:styleId="FootnoteTextChar">
    <w:name w:val="Footnote Text Char"/>
    <w:basedOn w:val="DefaultParagraphFont"/>
    <w:link w:val="FootnoteText"/>
    <w:uiPriority w:val="99"/>
    <w:rsid w:val="00A371A0"/>
    <w:rPr>
      <w:sz w:val="20"/>
      <w:szCs w:val="20"/>
    </w:rPr>
  </w:style>
  <w:style w:type="character" w:styleId="FootnoteReference">
    <w:name w:val="footnote reference"/>
    <w:basedOn w:val="DefaultParagraphFont"/>
    <w:uiPriority w:val="99"/>
    <w:semiHidden/>
    <w:unhideWhenUsed/>
    <w:rsid w:val="00A371A0"/>
    <w:rPr>
      <w:vertAlign w:val="superscript"/>
    </w:rPr>
  </w:style>
  <w:style w:type="character" w:styleId="Hyperlink">
    <w:name w:val="Hyperlink"/>
    <w:basedOn w:val="DefaultParagraphFont"/>
    <w:uiPriority w:val="99"/>
    <w:unhideWhenUsed/>
    <w:rsid w:val="00A371A0"/>
    <w:rPr>
      <w:color w:val="0563C1" w:themeColor="hyperlink"/>
      <w:u w:val="single"/>
    </w:rPr>
  </w:style>
  <w:style w:type="character" w:styleId="FollowedHyperlink">
    <w:name w:val="FollowedHyperlink"/>
    <w:basedOn w:val="DefaultParagraphFont"/>
    <w:uiPriority w:val="99"/>
    <w:semiHidden/>
    <w:unhideWhenUsed/>
    <w:rsid w:val="00CE098C"/>
    <w:rPr>
      <w:color w:val="954F72" w:themeColor="followedHyperlink"/>
      <w:u w:val="single"/>
    </w:rPr>
  </w:style>
  <w:style w:type="character" w:styleId="CommentReference">
    <w:name w:val="annotation reference"/>
    <w:basedOn w:val="DefaultParagraphFont"/>
    <w:uiPriority w:val="99"/>
    <w:semiHidden/>
    <w:unhideWhenUsed/>
    <w:rsid w:val="00445CBD"/>
    <w:rPr>
      <w:sz w:val="16"/>
      <w:szCs w:val="16"/>
    </w:rPr>
  </w:style>
  <w:style w:type="paragraph" w:styleId="CommentText">
    <w:name w:val="annotation text"/>
    <w:basedOn w:val="Normal"/>
    <w:link w:val="CommentTextChar"/>
    <w:uiPriority w:val="99"/>
    <w:unhideWhenUsed/>
    <w:rsid w:val="00445CBD"/>
    <w:pPr>
      <w:spacing w:line="240" w:lineRule="auto"/>
    </w:pPr>
    <w:rPr>
      <w:sz w:val="20"/>
      <w:szCs w:val="20"/>
    </w:rPr>
  </w:style>
  <w:style w:type="character" w:customStyle="1" w:styleId="CommentTextChar">
    <w:name w:val="Comment Text Char"/>
    <w:basedOn w:val="DefaultParagraphFont"/>
    <w:link w:val="CommentText"/>
    <w:uiPriority w:val="99"/>
    <w:rsid w:val="00445CBD"/>
    <w:rPr>
      <w:sz w:val="20"/>
      <w:szCs w:val="20"/>
    </w:rPr>
  </w:style>
  <w:style w:type="paragraph" w:styleId="CommentSubject">
    <w:name w:val="annotation subject"/>
    <w:basedOn w:val="CommentText"/>
    <w:next w:val="CommentText"/>
    <w:link w:val="CommentSubjectChar"/>
    <w:uiPriority w:val="99"/>
    <w:semiHidden/>
    <w:unhideWhenUsed/>
    <w:rsid w:val="00445CBD"/>
    <w:rPr>
      <w:b/>
      <w:bCs/>
    </w:rPr>
  </w:style>
  <w:style w:type="character" w:customStyle="1" w:styleId="CommentSubjectChar">
    <w:name w:val="Comment Subject Char"/>
    <w:basedOn w:val="CommentTextChar"/>
    <w:link w:val="CommentSubject"/>
    <w:uiPriority w:val="99"/>
    <w:semiHidden/>
    <w:rsid w:val="00445CBD"/>
    <w:rPr>
      <w:b/>
      <w:bCs/>
      <w:sz w:val="20"/>
      <w:szCs w:val="20"/>
    </w:rPr>
  </w:style>
  <w:style w:type="paragraph" w:styleId="BalloonText">
    <w:name w:val="Balloon Text"/>
    <w:basedOn w:val="Normal"/>
    <w:link w:val="BalloonTextChar"/>
    <w:uiPriority w:val="99"/>
    <w:semiHidden/>
    <w:unhideWhenUsed/>
    <w:rsid w:val="00445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CBD"/>
    <w:rPr>
      <w:rFonts w:ascii="Segoe UI" w:hAnsi="Segoe UI" w:cs="Segoe UI"/>
      <w:sz w:val="18"/>
      <w:szCs w:val="18"/>
    </w:rPr>
  </w:style>
  <w:style w:type="character" w:customStyle="1" w:styleId="Heading2Char">
    <w:name w:val="Heading 2 Char"/>
    <w:basedOn w:val="DefaultParagraphFont"/>
    <w:link w:val="Heading2"/>
    <w:uiPriority w:val="9"/>
    <w:rsid w:val="00737D21"/>
    <w:rPr>
      <w:rFonts w:ascii="Times New Roman" w:eastAsia="Times New Roman" w:hAnsi="Times New Roman" w:cs="Times New Roman"/>
      <w:b/>
      <w:bCs/>
      <w:sz w:val="36"/>
      <w:szCs w:val="36"/>
      <w:lang w:eastAsia="es-MX"/>
    </w:rPr>
  </w:style>
  <w:style w:type="character" w:customStyle="1" w:styleId="Heading1Char">
    <w:name w:val="Heading 1 Char"/>
    <w:basedOn w:val="DefaultParagraphFont"/>
    <w:link w:val="Heading1"/>
    <w:uiPriority w:val="9"/>
    <w:rsid w:val="00372146"/>
    <w:rPr>
      <w:rFonts w:asciiTheme="majorHAnsi" w:eastAsiaTheme="majorEastAsia" w:hAnsiTheme="majorHAnsi" w:cstheme="majorBidi"/>
      <w:color w:val="2F5496" w:themeColor="accent1" w:themeShade="BF"/>
      <w:sz w:val="32"/>
      <w:szCs w:val="32"/>
    </w:rPr>
  </w:style>
  <w:style w:type="character" w:customStyle="1" w:styleId="ng-star-inserted">
    <w:name w:val="ng-star-inserted"/>
    <w:basedOn w:val="DefaultParagraphFont"/>
    <w:rsid w:val="00F032CB"/>
  </w:style>
  <w:style w:type="character" w:styleId="PlaceholderText">
    <w:name w:val="Placeholder Text"/>
    <w:basedOn w:val="DefaultParagraphFont"/>
    <w:uiPriority w:val="99"/>
    <w:semiHidden/>
    <w:rsid w:val="00874605"/>
    <w:rPr>
      <w:color w:val="808080"/>
    </w:rPr>
  </w:style>
  <w:style w:type="character" w:styleId="Strong">
    <w:name w:val="Strong"/>
    <w:basedOn w:val="DefaultParagraphFont"/>
    <w:uiPriority w:val="22"/>
    <w:qFormat/>
    <w:rsid w:val="00146C34"/>
    <w:rPr>
      <w:b/>
      <w:bCs/>
    </w:rPr>
  </w:style>
  <w:style w:type="paragraph" w:styleId="Revision">
    <w:name w:val="Revision"/>
    <w:hidden/>
    <w:uiPriority w:val="99"/>
    <w:semiHidden/>
    <w:rsid w:val="00CE1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0542">
      <w:bodyDiv w:val="1"/>
      <w:marLeft w:val="0"/>
      <w:marRight w:val="0"/>
      <w:marTop w:val="0"/>
      <w:marBottom w:val="0"/>
      <w:divBdr>
        <w:top w:val="none" w:sz="0" w:space="0" w:color="auto"/>
        <w:left w:val="none" w:sz="0" w:space="0" w:color="auto"/>
        <w:bottom w:val="none" w:sz="0" w:space="0" w:color="auto"/>
        <w:right w:val="none" w:sz="0" w:space="0" w:color="auto"/>
      </w:divBdr>
      <w:divsChild>
        <w:div w:id="64493617">
          <w:marLeft w:val="0"/>
          <w:marRight w:val="0"/>
          <w:marTop w:val="0"/>
          <w:marBottom w:val="0"/>
          <w:divBdr>
            <w:top w:val="none" w:sz="0" w:space="0" w:color="auto"/>
            <w:left w:val="none" w:sz="0" w:space="0" w:color="auto"/>
            <w:bottom w:val="none" w:sz="0" w:space="0" w:color="auto"/>
            <w:right w:val="none" w:sz="0" w:space="0" w:color="auto"/>
          </w:divBdr>
        </w:div>
        <w:div w:id="534389078">
          <w:marLeft w:val="0"/>
          <w:marRight w:val="0"/>
          <w:marTop w:val="0"/>
          <w:marBottom w:val="0"/>
          <w:divBdr>
            <w:top w:val="none" w:sz="0" w:space="0" w:color="auto"/>
            <w:left w:val="none" w:sz="0" w:space="0" w:color="auto"/>
            <w:bottom w:val="none" w:sz="0" w:space="0" w:color="auto"/>
            <w:right w:val="none" w:sz="0" w:space="0" w:color="auto"/>
          </w:divBdr>
        </w:div>
        <w:div w:id="705450056">
          <w:marLeft w:val="0"/>
          <w:marRight w:val="0"/>
          <w:marTop w:val="0"/>
          <w:marBottom w:val="0"/>
          <w:divBdr>
            <w:top w:val="none" w:sz="0" w:space="0" w:color="auto"/>
            <w:left w:val="none" w:sz="0" w:space="0" w:color="auto"/>
            <w:bottom w:val="none" w:sz="0" w:space="0" w:color="auto"/>
            <w:right w:val="none" w:sz="0" w:space="0" w:color="auto"/>
          </w:divBdr>
        </w:div>
        <w:div w:id="1702825455">
          <w:marLeft w:val="0"/>
          <w:marRight w:val="0"/>
          <w:marTop w:val="0"/>
          <w:marBottom w:val="0"/>
          <w:divBdr>
            <w:top w:val="none" w:sz="0" w:space="0" w:color="auto"/>
            <w:left w:val="none" w:sz="0" w:space="0" w:color="auto"/>
            <w:bottom w:val="none" w:sz="0" w:space="0" w:color="auto"/>
            <w:right w:val="none" w:sz="0" w:space="0" w:color="auto"/>
          </w:divBdr>
        </w:div>
      </w:divsChild>
    </w:div>
    <w:div w:id="406615211">
      <w:bodyDiv w:val="1"/>
      <w:marLeft w:val="0"/>
      <w:marRight w:val="0"/>
      <w:marTop w:val="0"/>
      <w:marBottom w:val="0"/>
      <w:divBdr>
        <w:top w:val="none" w:sz="0" w:space="0" w:color="auto"/>
        <w:left w:val="none" w:sz="0" w:space="0" w:color="auto"/>
        <w:bottom w:val="none" w:sz="0" w:space="0" w:color="auto"/>
        <w:right w:val="none" w:sz="0" w:space="0" w:color="auto"/>
      </w:divBdr>
    </w:div>
    <w:div w:id="434980345">
      <w:bodyDiv w:val="1"/>
      <w:marLeft w:val="0"/>
      <w:marRight w:val="0"/>
      <w:marTop w:val="0"/>
      <w:marBottom w:val="0"/>
      <w:divBdr>
        <w:top w:val="none" w:sz="0" w:space="0" w:color="auto"/>
        <w:left w:val="none" w:sz="0" w:space="0" w:color="auto"/>
        <w:bottom w:val="none" w:sz="0" w:space="0" w:color="auto"/>
        <w:right w:val="none" w:sz="0" w:space="0" w:color="auto"/>
      </w:divBdr>
    </w:div>
    <w:div w:id="584995768">
      <w:bodyDiv w:val="1"/>
      <w:marLeft w:val="0"/>
      <w:marRight w:val="0"/>
      <w:marTop w:val="0"/>
      <w:marBottom w:val="0"/>
      <w:divBdr>
        <w:top w:val="none" w:sz="0" w:space="0" w:color="auto"/>
        <w:left w:val="none" w:sz="0" w:space="0" w:color="auto"/>
        <w:bottom w:val="none" w:sz="0" w:space="0" w:color="auto"/>
        <w:right w:val="none" w:sz="0" w:space="0" w:color="auto"/>
      </w:divBdr>
    </w:div>
    <w:div w:id="598103831">
      <w:bodyDiv w:val="1"/>
      <w:marLeft w:val="0"/>
      <w:marRight w:val="0"/>
      <w:marTop w:val="0"/>
      <w:marBottom w:val="0"/>
      <w:divBdr>
        <w:top w:val="none" w:sz="0" w:space="0" w:color="auto"/>
        <w:left w:val="none" w:sz="0" w:space="0" w:color="auto"/>
        <w:bottom w:val="none" w:sz="0" w:space="0" w:color="auto"/>
        <w:right w:val="none" w:sz="0" w:space="0" w:color="auto"/>
      </w:divBdr>
    </w:div>
    <w:div w:id="682325414">
      <w:bodyDiv w:val="1"/>
      <w:marLeft w:val="0"/>
      <w:marRight w:val="0"/>
      <w:marTop w:val="0"/>
      <w:marBottom w:val="0"/>
      <w:divBdr>
        <w:top w:val="none" w:sz="0" w:space="0" w:color="auto"/>
        <w:left w:val="none" w:sz="0" w:space="0" w:color="auto"/>
        <w:bottom w:val="none" w:sz="0" w:space="0" w:color="auto"/>
        <w:right w:val="none" w:sz="0" w:space="0" w:color="auto"/>
      </w:divBdr>
      <w:divsChild>
        <w:div w:id="105927456">
          <w:marLeft w:val="0"/>
          <w:marRight w:val="0"/>
          <w:marTop w:val="0"/>
          <w:marBottom w:val="0"/>
          <w:divBdr>
            <w:top w:val="none" w:sz="0" w:space="0" w:color="auto"/>
            <w:left w:val="none" w:sz="0" w:space="0" w:color="auto"/>
            <w:bottom w:val="none" w:sz="0" w:space="0" w:color="auto"/>
            <w:right w:val="none" w:sz="0" w:space="0" w:color="auto"/>
          </w:divBdr>
        </w:div>
        <w:div w:id="385878454">
          <w:marLeft w:val="0"/>
          <w:marRight w:val="0"/>
          <w:marTop w:val="0"/>
          <w:marBottom w:val="0"/>
          <w:divBdr>
            <w:top w:val="none" w:sz="0" w:space="0" w:color="auto"/>
            <w:left w:val="none" w:sz="0" w:space="0" w:color="auto"/>
            <w:bottom w:val="none" w:sz="0" w:space="0" w:color="auto"/>
            <w:right w:val="none" w:sz="0" w:space="0" w:color="auto"/>
          </w:divBdr>
        </w:div>
        <w:div w:id="571504842">
          <w:marLeft w:val="0"/>
          <w:marRight w:val="0"/>
          <w:marTop w:val="0"/>
          <w:marBottom w:val="0"/>
          <w:divBdr>
            <w:top w:val="none" w:sz="0" w:space="0" w:color="auto"/>
            <w:left w:val="none" w:sz="0" w:space="0" w:color="auto"/>
            <w:bottom w:val="none" w:sz="0" w:space="0" w:color="auto"/>
            <w:right w:val="none" w:sz="0" w:space="0" w:color="auto"/>
          </w:divBdr>
        </w:div>
        <w:div w:id="743645713">
          <w:marLeft w:val="0"/>
          <w:marRight w:val="0"/>
          <w:marTop w:val="0"/>
          <w:marBottom w:val="0"/>
          <w:divBdr>
            <w:top w:val="none" w:sz="0" w:space="0" w:color="auto"/>
            <w:left w:val="none" w:sz="0" w:space="0" w:color="auto"/>
            <w:bottom w:val="none" w:sz="0" w:space="0" w:color="auto"/>
            <w:right w:val="none" w:sz="0" w:space="0" w:color="auto"/>
          </w:divBdr>
        </w:div>
      </w:divsChild>
    </w:div>
    <w:div w:id="758017776">
      <w:bodyDiv w:val="1"/>
      <w:marLeft w:val="0"/>
      <w:marRight w:val="0"/>
      <w:marTop w:val="0"/>
      <w:marBottom w:val="0"/>
      <w:divBdr>
        <w:top w:val="none" w:sz="0" w:space="0" w:color="auto"/>
        <w:left w:val="none" w:sz="0" w:space="0" w:color="auto"/>
        <w:bottom w:val="none" w:sz="0" w:space="0" w:color="auto"/>
        <w:right w:val="none" w:sz="0" w:space="0" w:color="auto"/>
      </w:divBdr>
    </w:div>
    <w:div w:id="1000162250">
      <w:bodyDiv w:val="1"/>
      <w:marLeft w:val="0"/>
      <w:marRight w:val="0"/>
      <w:marTop w:val="0"/>
      <w:marBottom w:val="0"/>
      <w:divBdr>
        <w:top w:val="none" w:sz="0" w:space="0" w:color="auto"/>
        <w:left w:val="none" w:sz="0" w:space="0" w:color="auto"/>
        <w:bottom w:val="none" w:sz="0" w:space="0" w:color="auto"/>
        <w:right w:val="none" w:sz="0" w:space="0" w:color="auto"/>
      </w:divBdr>
    </w:div>
    <w:div w:id="1011182954">
      <w:bodyDiv w:val="1"/>
      <w:marLeft w:val="0"/>
      <w:marRight w:val="0"/>
      <w:marTop w:val="0"/>
      <w:marBottom w:val="0"/>
      <w:divBdr>
        <w:top w:val="none" w:sz="0" w:space="0" w:color="auto"/>
        <w:left w:val="none" w:sz="0" w:space="0" w:color="auto"/>
        <w:bottom w:val="none" w:sz="0" w:space="0" w:color="auto"/>
        <w:right w:val="none" w:sz="0" w:space="0" w:color="auto"/>
      </w:divBdr>
      <w:divsChild>
        <w:div w:id="13653588">
          <w:marLeft w:val="0"/>
          <w:marRight w:val="0"/>
          <w:marTop w:val="0"/>
          <w:marBottom w:val="0"/>
          <w:divBdr>
            <w:top w:val="none" w:sz="0" w:space="0" w:color="auto"/>
            <w:left w:val="none" w:sz="0" w:space="0" w:color="auto"/>
            <w:bottom w:val="none" w:sz="0" w:space="0" w:color="auto"/>
            <w:right w:val="none" w:sz="0" w:space="0" w:color="auto"/>
          </w:divBdr>
        </w:div>
        <w:div w:id="694038798">
          <w:marLeft w:val="0"/>
          <w:marRight w:val="0"/>
          <w:marTop w:val="0"/>
          <w:marBottom w:val="0"/>
          <w:divBdr>
            <w:top w:val="none" w:sz="0" w:space="0" w:color="auto"/>
            <w:left w:val="none" w:sz="0" w:space="0" w:color="auto"/>
            <w:bottom w:val="none" w:sz="0" w:space="0" w:color="auto"/>
            <w:right w:val="none" w:sz="0" w:space="0" w:color="auto"/>
          </w:divBdr>
        </w:div>
        <w:div w:id="1735617040">
          <w:marLeft w:val="0"/>
          <w:marRight w:val="0"/>
          <w:marTop w:val="0"/>
          <w:marBottom w:val="0"/>
          <w:divBdr>
            <w:top w:val="none" w:sz="0" w:space="0" w:color="auto"/>
            <w:left w:val="none" w:sz="0" w:space="0" w:color="auto"/>
            <w:bottom w:val="none" w:sz="0" w:space="0" w:color="auto"/>
            <w:right w:val="none" w:sz="0" w:space="0" w:color="auto"/>
          </w:divBdr>
        </w:div>
        <w:div w:id="2092967620">
          <w:marLeft w:val="0"/>
          <w:marRight w:val="0"/>
          <w:marTop w:val="0"/>
          <w:marBottom w:val="0"/>
          <w:divBdr>
            <w:top w:val="none" w:sz="0" w:space="0" w:color="auto"/>
            <w:left w:val="none" w:sz="0" w:space="0" w:color="auto"/>
            <w:bottom w:val="none" w:sz="0" w:space="0" w:color="auto"/>
            <w:right w:val="none" w:sz="0" w:space="0" w:color="auto"/>
          </w:divBdr>
        </w:div>
      </w:divsChild>
    </w:div>
    <w:div w:id="1154688255">
      <w:bodyDiv w:val="1"/>
      <w:marLeft w:val="0"/>
      <w:marRight w:val="0"/>
      <w:marTop w:val="0"/>
      <w:marBottom w:val="0"/>
      <w:divBdr>
        <w:top w:val="none" w:sz="0" w:space="0" w:color="auto"/>
        <w:left w:val="none" w:sz="0" w:space="0" w:color="auto"/>
        <w:bottom w:val="none" w:sz="0" w:space="0" w:color="auto"/>
        <w:right w:val="none" w:sz="0" w:space="0" w:color="auto"/>
      </w:divBdr>
    </w:div>
    <w:div w:id="1205945770">
      <w:bodyDiv w:val="1"/>
      <w:marLeft w:val="0"/>
      <w:marRight w:val="0"/>
      <w:marTop w:val="0"/>
      <w:marBottom w:val="0"/>
      <w:divBdr>
        <w:top w:val="none" w:sz="0" w:space="0" w:color="auto"/>
        <w:left w:val="none" w:sz="0" w:space="0" w:color="auto"/>
        <w:bottom w:val="none" w:sz="0" w:space="0" w:color="auto"/>
        <w:right w:val="none" w:sz="0" w:space="0" w:color="auto"/>
      </w:divBdr>
    </w:div>
    <w:div w:id="1207909950">
      <w:bodyDiv w:val="1"/>
      <w:marLeft w:val="0"/>
      <w:marRight w:val="0"/>
      <w:marTop w:val="0"/>
      <w:marBottom w:val="0"/>
      <w:divBdr>
        <w:top w:val="none" w:sz="0" w:space="0" w:color="auto"/>
        <w:left w:val="none" w:sz="0" w:space="0" w:color="auto"/>
        <w:bottom w:val="none" w:sz="0" w:space="0" w:color="auto"/>
        <w:right w:val="none" w:sz="0" w:space="0" w:color="auto"/>
      </w:divBdr>
    </w:div>
    <w:div w:id="1328751313">
      <w:bodyDiv w:val="1"/>
      <w:marLeft w:val="0"/>
      <w:marRight w:val="0"/>
      <w:marTop w:val="0"/>
      <w:marBottom w:val="0"/>
      <w:divBdr>
        <w:top w:val="none" w:sz="0" w:space="0" w:color="auto"/>
        <w:left w:val="none" w:sz="0" w:space="0" w:color="auto"/>
        <w:bottom w:val="none" w:sz="0" w:space="0" w:color="auto"/>
        <w:right w:val="none" w:sz="0" w:space="0" w:color="auto"/>
      </w:divBdr>
    </w:div>
    <w:div w:id="1384450230">
      <w:bodyDiv w:val="1"/>
      <w:marLeft w:val="0"/>
      <w:marRight w:val="0"/>
      <w:marTop w:val="0"/>
      <w:marBottom w:val="0"/>
      <w:divBdr>
        <w:top w:val="none" w:sz="0" w:space="0" w:color="auto"/>
        <w:left w:val="none" w:sz="0" w:space="0" w:color="auto"/>
        <w:bottom w:val="none" w:sz="0" w:space="0" w:color="auto"/>
        <w:right w:val="none" w:sz="0" w:space="0" w:color="auto"/>
      </w:divBdr>
    </w:div>
    <w:div w:id="1575434356">
      <w:bodyDiv w:val="1"/>
      <w:marLeft w:val="0"/>
      <w:marRight w:val="0"/>
      <w:marTop w:val="0"/>
      <w:marBottom w:val="0"/>
      <w:divBdr>
        <w:top w:val="none" w:sz="0" w:space="0" w:color="auto"/>
        <w:left w:val="none" w:sz="0" w:space="0" w:color="auto"/>
        <w:bottom w:val="none" w:sz="0" w:space="0" w:color="auto"/>
        <w:right w:val="none" w:sz="0" w:space="0" w:color="auto"/>
      </w:divBdr>
    </w:div>
    <w:div w:id="1598322559">
      <w:bodyDiv w:val="1"/>
      <w:marLeft w:val="0"/>
      <w:marRight w:val="0"/>
      <w:marTop w:val="0"/>
      <w:marBottom w:val="0"/>
      <w:divBdr>
        <w:top w:val="none" w:sz="0" w:space="0" w:color="auto"/>
        <w:left w:val="none" w:sz="0" w:space="0" w:color="auto"/>
        <w:bottom w:val="none" w:sz="0" w:space="0" w:color="auto"/>
        <w:right w:val="none" w:sz="0" w:space="0" w:color="auto"/>
      </w:divBdr>
    </w:div>
    <w:div w:id="1748529588">
      <w:bodyDiv w:val="1"/>
      <w:marLeft w:val="0"/>
      <w:marRight w:val="0"/>
      <w:marTop w:val="0"/>
      <w:marBottom w:val="0"/>
      <w:divBdr>
        <w:top w:val="none" w:sz="0" w:space="0" w:color="auto"/>
        <w:left w:val="none" w:sz="0" w:space="0" w:color="auto"/>
        <w:bottom w:val="none" w:sz="0" w:space="0" w:color="auto"/>
        <w:right w:val="none" w:sz="0" w:space="0" w:color="auto"/>
      </w:divBdr>
    </w:div>
    <w:div w:id="1778405256">
      <w:bodyDiv w:val="1"/>
      <w:marLeft w:val="0"/>
      <w:marRight w:val="0"/>
      <w:marTop w:val="0"/>
      <w:marBottom w:val="0"/>
      <w:divBdr>
        <w:top w:val="none" w:sz="0" w:space="0" w:color="auto"/>
        <w:left w:val="none" w:sz="0" w:space="0" w:color="auto"/>
        <w:bottom w:val="none" w:sz="0" w:space="0" w:color="auto"/>
        <w:right w:val="none" w:sz="0" w:space="0" w:color="auto"/>
      </w:divBdr>
    </w:div>
    <w:div w:id="1815101259">
      <w:bodyDiv w:val="1"/>
      <w:marLeft w:val="0"/>
      <w:marRight w:val="0"/>
      <w:marTop w:val="0"/>
      <w:marBottom w:val="0"/>
      <w:divBdr>
        <w:top w:val="none" w:sz="0" w:space="0" w:color="auto"/>
        <w:left w:val="none" w:sz="0" w:space="0" w:color="auto"/>
        <w:bottom w:val="none" w:sz="0" w:space="0" w:color="auto"/>
        <w:right w:val="none" w:sz="0" w:space="0" w:color="auto"/>
      </w:divBdr>
    </w:div>
    <w:div w:id="1942444653">
      <w:bodyDiv w:val="1"/>
      <w:marLeft w:val="0"/>
      <w:marRight w:val="0"/>
      <w:marTop w:val="0"/>
      <w:marBottom w:val="0"/>
      <w:divBdr>
        <w:top w:val="none" w:sz="0" w:space="0" w:color="auto"/>
        <w:left w:val="none" w:sz="0" w:space="0" w:color="auto"/>
        <w:bottom w:val="none" w:sz="0" w:space="0" w:color="auto"/>
        <w:right w:val="none" w:sz="0" w:space="0" w:color="auto"/>
      </w:divBdr>
    </w:div>
    <w:div w:id="1956716454">
      <w:bodyDiv w:val="1"/>
      <w:marLeft w:val="0"/>
      <w:marRight w:val="0"/>
      <w:marTop w:val="0"/>
      <w:marBottom w:val="0"/>
      <w:divBdr>
        <w:top w:val="none" w:sz="0" w:space="0" w:color="auto"/>
        <w:left w:val="none" w:sz="0" w:space="0" w:color="auto"/>
        <w:bottom w:val="none" w:sz="0" w:space="0" w:color="auto"/>
        <w:right w:val="none" w:sz="0" w:space="0" w:color="auto"/>
      </w:divBdr>
      <w:divsChild>
        <w:div w:id="696930236">
          <w:marLeft w:val="0"/>
          <w:marRight w:val="0"/>
          <w:marTop w:val="0"/>
          <w:marBottom w:val="450"/>
          <w:divBdr>
            <w:top w:val="none" w:sz="0" w:space="0" w:color="auto"/>
            <w:left w:val="none" w:sz="0" w:space="0" w:color="auto"/>
            <w:bottom w:val="single" w:sz="6" w:space="11" w:color="EBEBEB"/>
            <w:right w:val="none" w:sz="0" w:space="0" w:color="auto"/>
          </w:divBdr>
          <w:divsChild>
            <w:div w:id="10533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97">
      <w:bodyDiv w:val="1"/>
      <w:marLeft w:val="0"/>
      <w:marRight w:val="0"/>
      <w:marTop w:val="0"/>
      <w:marBottom w:val="0"/>
      <w:divBdr>
        <w:top w:val="none" w:sz="0" w:space="0" w:color="auto"/>
        <w:left w:val="none" w:sz="0" w:space="0" w:color="auto"/>
        <w:bottom w:val="none" w:sz="0" w:space="0" w:color="auto"/>
        <w:right w:val="none" w:sz="0" w:space="0" w:color="auto"/>
      </w:divBdr>
      <w:divsChild>
        <w:div w:id="1999074148">
          <w:marLeft w:val="0"/>
          <w:marRight w:val="0"/>
          <w:marTop w:val="0"/>
          <w:marBottom w:val="0"/>
          <w:divBdr>
            <w:top w:val="none" w:sz="0" w:space="0" w:color="auto"/>
            <w:left w:val="none" w:sz="0" w:space="0" w:color="auto"/>
            <w:bottom w:val="none" w:sz="0" w:space="0" w:color="auto"/>
            <w:right w:val="none" w:sz="0" w:space="0" w:color="auto"/>
          </w:divBdr>
          <w:divsChild>
            <w:div w:id="424620105">
              <w:marLeft w:val="0"/>
              <w:marRight w:val="0"/>
              <w:marTop w:val="0"/>
              <w:marBottom w:val="0"/>
              <w:divBdr>
                <w:top w:val="none" w:sz="0" w:space="0" w:color="auto"/>
                <w:left w:val="none" w:sz="0" w:space="0" w:color="auto"/>
                <w:bottom w:val="none" w:sz="0" w:space="0" w:color="auto"/>
                <w:right w:val="none" w:sz="0" w:space="0" w:color="auto"/>
              </w:divBdr>
              <w:divsChild>
                <w:div w:id="70546804">
                  <w:marLeft w:val="0"/>
                  <w:marRight w:val="0"/>
                  <w:marTop w:val="0"/>
                  <w:marBottom w:val="0"/>
                  <w:divBdr>
                    <w:top w:val="none" w:sz="0" w:space="0" w:color="auto"/>
                    <w:left w:val="none" w:sz="0" w:space="0" w:color="auto"/>
                    <w:bottom w:val="none" w:sz="0" w:space="0" w:color="auto"/>
                    <w:right w:val="none" w:sz="0" w:space="0" w:color="auto"/>
                  </w:divBdr>
                </w:div>
              </w:divsChild>
            </w:div>
            <w:div w:id="6625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8355">
      <w:bodyDiv w:val="1"/>
      <w:marLeft w:val="0"/>
      <w:marRight w:val="0"/>
      <w:marTop w:val="0"/>
      <w:marBottom w:val="0"/>
      <w:divBdr>
        <w:top w:val="none" w:sz="0" w:space="0" w:color="auto"/>
        <w:left w:val="none" w:sz="0" w:space="0" w:color="auto"/>
        <w:bottom w:val="none" w:sz="0" w:space="0" w:color="auto"/>
        <w:right w:val="none" w:sz="0" w:space="0" w:color="auto"/>
      </w:divBdr>
    </w:div>
    <w:div w:id="21196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s://apps1.semarnat.gob.mx:8443/dgeia/informe18/tema/pdf/Informe2018GMX_web.pdf" TargetMode="External"/><Relationship Id="rId18" Type="http://schemas.openxmlformats.org/officeDocument/2006/relationships/hyperlink" Target="https://undocs.org/es/A/HRC/16/49" TargetMode="External"/><Relationship Id="rId26" Type="http://schemas.openxmlformats.org/officeDocument/2006/relationships/hyperlink" Target="https://sjf2.scjn.gob.mx/detalle/tesis/2015825" TargetMode="External"/><Relationship Id="rId39" Type="http://schemas.openxmlformats.org/officeDocument/2006/relationships/hyperlink" Target="http://www.periodicooficial.oaxaca.gob.mx/listado.php?d=2020-9-4" TargetMode="External"/><Relationship Id="rId21" Type="http://schemas.openxmlformats.org/officeDocument/2006/relationships/hyperlink" Target="http://www.diputados.gob.mx/LeyesBiblio/pdf/148_180121.pdf" TargetMode="External"/><Relationship Id="rId34" Type="http://schemas.openxmlformats.org/officeDocument/2006/relationships/hyperlink" Target="https://ceiba.org.mx/publicaciones/Difusion/190118_SembrandoVida_Sesion181210.pdf" TargetMode="External"/><Relationship Id="rId42" Type="http://schemas.openxmlformats.org/officeDocument/2006/relationships/hyperlink" Target="https://www.insp.mx/epppo/blog/3756-efectos-nocivos-bebidas-azucaradas.html" TargetMode="External"/><Relationship Id="rId47" Type="http://schemas.openxmlformats.org/officeDocument/2006/relationships/hyperlink" Target="https://www.animalpolitico.com/2020/08/titular-semarnat-gobierno-amlo-contradicciones-luchas-de-poder/" TargetMode="External"/><Relationship Id="rId50" Type="http://schemas.openxmlformats.org/officeDocument/2006/relationships/hyperlink" Target="https://www.forbes.com.mx/negocios-empresas-buscaran-mas-amparos-nuevo-etiquetado-conmexico/" TargetMode="External"/><Relationship Id="rId55" Type="http://schemas.openxmlformats.org/officeDocument/2006/relationships/hyperlink" Target="https://undocs.org/es/A/HRC/26/31" TargetMode="External"/><Relationship Id="rId63" Type="http://schemas.openxmlformats.org/officeDocument/2006/relationships/hyperlink" Target="https://www.reuters.com/article/us-thailand-usa-trade-exclusive/exclusive-in-the-weeds-how-bayer-u-s-government-teamed-up-against-thailands-glyphosate-ban-idUSKBN268076" TargetMode="External"/><Relationship Id="rId68" Type="http://schemas.openxmlformats.org/officeDocument/2006/relationships/hyperlink" Target="https://www.eleconomista.com.mx/empresas/EU-Canada-Suiza-y-la-Union-Europea-presionan-a-Mexico-para-retrasar-nuevo-etiquetado-20200812-0033.html" TargetMode="External"/><Relationship Id="rId76" Type="http://schemas.openxmlformats.org/officeDocument/2006/relationships/hyperlink" Target="https://www.theguardian.com/business/2021/feb/16/revealed-monsanto-mexico-us-glyphosate-ban" TargetMode="External"/><Relationship Id="rId7" Type="http://schemas.openxmlformats.org/officeDocument/2006/relationships/hyperlink" Target="https://www.mdpi.com/1660-4601/14/6/595/htm" TargetMode="External"/><Relationship Id="rId71" Type="http://schemas.openxmlformats.org/officeDocument/2006/relationships/hyperlink" Target="https://documents-dds-ny.un.org/doc/UNDOC/GEN/G14/082/55/PDF/G1408255.pdf?OpenElement" TargetMode="External"/><Relationship Id="rId2" Type="http://schemas.openxmlformats.org/officeDocument/2006/relationships/hyperlink" Target="http://www3.cec.org/islandora/es/item/11772-characterization-and-management-food-loss-and-waste-in-north-america-es.pdf" TargetMode="External"/><Relationship Id="rId16" Type="http://schemas.openxmlformats.org/officeDocument/2006/relationships/hyperlink" Target="http://www.fao.org/fileadmin/user_upload/rlc/docs/Cambioclimatico.pdf" TargetMode="External"/><Relationship Id="rId29" Type="http://schemas.openxmlformats.org/officeDocument/2006/relationships/hyperlink" Target="https://ceiba.org.mx/jcl-y-epd-injustificado-presupuesto-federal-medio-ambiente/" TargetMode="External"/><Relationship Id="rId11" Type="http://schemas.openxmlformats.org/officeDocument/2006/relationships/hyperlink" Target="https://doi.org/10.17141/letrasverdes.26.2019.3840" TargetMode="External"/><Relationship Id="rId24" Type="http://schemas.openxmlformats.org/officeDocument/2006/relationships/hyperlink" Target="http://dof.gob.mx/nota_detalle.php?codigo=5591534&amp;fecha=13/04/2020" TargetMode="External"/><Relationship Id="rId32" Type="http://schemas.openxmlformats.org/officeDocument/2006/relationships/hyperlink" Target="https://www.sinembargo.mx/14-01-2019/3521637" TargetMode="External"/><Relationship Id="rId37" Type="http://schemas.openxmlformats.org/officeDocument/2006/relationships/hyperlink" Target="https://www.dof.gob.mx/nota_detalle.php?codigo=5609365&amp;fecha=31/12/2020" TargetMode="External"/><Relationship Id="rId40" Type="http://schemas.openxmlformats.org/officeDocument/2006/relationships/hyperlink" Target="https://elpoderdelconsumidor.org/2021/03/organizaciones-civiles-instan-al-secretario-de-salud-de-oaxaca-a-cumplir-ley-antichatarra/" TargetMode="External"/><Relationship Id="rId45" Type="http://schemas.openxmlformats.org/officeDocument/2006/relationships/hyperlink" Target="https://www.paho.org/mex/index.php?option=com_content&amp;view=article&amp;id=627:los-impuestos-refrescos-bebidas-azucaradas-medida-salud-publica&amp;Itemid=499" TargetMode="External"/><Relationship Id="rId53" Type="http://schemas.openxmlformats.org/officeDocument/2006/relationships/hyperlink" Target="https://www.gob.mx/cms/uploads/attachment/file/131748/23._LEY_GENERAL_PARA_LA_PREVENCI_N_Y_GESTI_N_INTEGRAL_DE_LOS_RESIDUOS.pdf" TargetMode="External"/><Relationship Id="rId58" Type="http://schemas.openxmlformats.org/officeDocument/2006/relationships/hyperlink" Target="http://www.oas.org/es/cidh/informes/pdfs/criminalizacion2016.pdf" TargetMode="External"/><Relationship Id="rId66" Type="http://schemas.openxmlformats.org/officeDocument/2006/relationships/hyperlink" Target="https://www.efeverde.com/noticias/glifosato-mexico/" TargetMode="External"/><Relationship Id="rId74" Type="http://schemas.openxmlformats.org/officeDocument/2006/relationships/hyperlink" Target="https://www.sinembargo.mx/14-01-2019/3521637" TargetMode="External"/><Relationship Id="rId5" Type="http://schemas.openxmlformats.org/officeDocument/2006/relationships/hyperlink" Target="https://www.statista.com/statistics/505794/cds-per-capita-consumption-in-worlds-top-ten-population-countries/" TargetMode="External"/><Relationship Id="rId15" Type="http://schemas.openxmlformats.org/officeDocument/2006/relationships/hyperlink" Target="https://www.sinembargo.mx/13-01-2019/3522021" TargetMode="External"/><Relationship Id="rId23" Type="http://schemas.openxmlformats.org/officeDocument/2006/relationships/hyperlink" Target="http://www.diputados.gob.mx/LeyesBiblio/pdf/LFPCCS_110518.pdf" TargetMode="External"/><Relationship Id="rId28" Type="http://schemas.openxmlformats.org/officeDocument/2006/relationships/hyperlink" Target="https://sjf2.scjn.gob.mx/detalle/tesis/2018634" TargetMode="External"/><Relationship Id="rId36" Type="http://schemas.openxmlformats.org/officeDocument/2006/relationships/hyperlink" Target="https://www.dof.gob.mx/2020/SEECO/NOM_051.pdf" TargetMode="External"/><Relationship Id="rId49" Type="http://schemas.openxmlformats.org/officeDocument/2006/relationships/hyperlink" Target="https://piedepagina.mx/coca-cola-promueve-amparo-contra-etiquetado-alega-que-afectara-su-negocio/" TargetMode="External"/><Relationship Id="rId57" Type="http://schemas.openxmlformats.org/officeDocument/2006/relationships/hyperlink" Target="http://www.fao.org/zhc/detail-events/es/c/1028079/" TargetMode="External"/><Relationship Id="rId61" Type="http://schemas.openxmlformats.org/officeDocument/2006/relationships/hyperlink" Target="https://www.reuters.com/article/us-thailand-usa-trade-exclusive/exclusive-in-the-weeds-how-bayer-u-s-government-teamed-up-against-thailands-glyphosate-ban-idUSKBN268076" TargetMode="External"/><Relationship Id="rId10" Type="http://schemas.openxmlformats.org/officeDocument/2006/relationships/hyperlink" Target="https://www.forbes.com.mx/ecocidio-el-costo-de-la-alta-demanda-en-el-mercado-del-aguacate/" TargetMode="External"/><Relationship Id="rId19" Type="http://schemas.openxmlformats.org/officeDocument/2006/relationships/hyperlink" Target="http://www.fao.org/3/ca6640es/CA6640ES.pdf" TargetMode="External"/><Relationship Id="rId31" Type="http://schemas.openxmlformats.org/officeDocument/2006/relationships/hyperlink" Target="https://www.dof.gob.mx/nota_detalle.php?codigo=5609365&amp;fecha=31/12/2020" TargetMode="External"/><Relationship Id="rId44" Type="http://schemas.openxmlformats.org/officeDocument/2006/relationships/hyperlink" Target="https://www.sinembargo.mx/14-04-2018/3403564" TargetMode="External"/><Relationship Id="rId52" Type="http://schemas.openxmlformats.org/officeDocument/2006/relationships/hyperlink" Target="https://www.efeverde.com/noticias/glifosato-mexico/" TargetMode="External"/><Relationship Id="rId60" Type="http://schemas.openxmlformats.org/officeDocument/2006/relationships/hyperlink" Target="https://www.nytimes.com/es/2017/02/11/espanol/america-latina/programas-de-espionaje-fueron-usados-contra-impulsores-de-un-impuesto-a-los-refrescos-en-mexico.html" TargetMode="External"/><Relationship Id="rId65" Type="http://schemas.openxmlformats.org/officeDocument/2006/relationships/hyperlink" Target="https://poplab.mx/article/CocaColadicequenointerferiraenlaspoliticasdesaluddeMexicoperolaevidenciamuestralocontrario" TargetMode="External"/><Relationship Id="rId73" Type="http://schemas.openxmlformats.org/officeDocument/2006/relationships/hyperlink" Target="https://poplab.mx/article/CocaColadicequenointerferiraenlaspoliticasdesaluddeMexicoperolaevidenciamuestralocontrario" TargetMode="External"/><Relationship Id="rId4" Type="http://schemas.openxmlformats.org/officeDocument/2006/relationships/hyperlink" Target="https://www.elsoldemexico.com.mx/mexico/sociedad/consumo-de-botellas-de-plastico-marca-record-en-mexico-semarnat-3435611.html" TargetMode="External"/><Relationship Id="rId9" Type="http://schemas.openxmlformats.org/officeDocument/2006/relationships/hyperlink" Target="https://udgtv.com/noticias/agricultores-mayas-mexico-siguen-guerra-contra-multinacionales/" TargetMode="External"/><Relationship Id="rId14" Type="http://schemas.openxmlformats.org/officeDocument/2006/relationships/hyperlink" Target="https://www.greenpeace.org/static/planet4-mexico-stateless/2020/05/188dc911-reporte_granjas_webok3.pdf" TargetMode="External"/><Relationship Id="rId22" Type="http://schemas.openxmlformats.org/officeDocument/2006/relationships/hyperlink" Target="http://www.diputados.gob.mx/LeyesBiblio/pdf/LGCC_061120.pdf" TargetMode="External"/><Relationship Id="rId27" Type="http://schemas.openxmlformats.org/officeDocument/2006/relationships/hyperlink" Target="https://sjf2.scjn.gob.mx/detalle/tesis/2022037" TargetMode="External"/><Relationship Id="rId30" Type="http://schemas.openxmlformats.org/officeDocument/2006/relationships/hyperlink" Target="https://www.washingtonpost.com/es/post-opinion/2020/07/07/con-los-recortes-presupuestales-al-medio-ambiente-mexico-compromete-su-futuro/" TargetMode="External"/><Relationship Id="rId35" Type="http://schemas.openxmlformats.org/officeDocument/2006/relationships/hyperlink" Target="https://www.jornada.com.mx/notas/2021/02/19/sociedad/el-cna-arma-estrategia-para-atacar-decreto-contra-el-uso-de-glifosato/" TargetMode="External"/><Relationship Id="rId43" Type="http://schemas.openxmlformats.org/officeDocument/2006/relationships/hyperlink" Target="https://pozoschatarra.poplab.mx/" TargetMode="External"/><Relationship Id="rId48" Type="http://schemas.openxmlformats.org/officeDocument/2006/relationships/hyperlink" Target="https://elpoderdelconsumidor.org/wp-content/uploads/2020/10/d-2010-interferencia-d-la-industria-nociva-para-la-salud-argumentos-amparos-etiquetado-final-200928.pdf" TargetMode="External"/><Relationship Id="rId56" Type="http://schemas.openxmlformats.org/officeDocument/2006/relationships/hyperlink" Target="https://www.oas.org/es/cidh/indigenas/docs/pdf/tierras-ancestrales.esp.pdf" TargetMode="External"/><Relationship Id="rId64" Type="http://schemas.openxmlformats.org/officeDocument/2006/relationships/hyperlink" Target="https://www.eleconomista.com.mx/empresas/EU-Canada-Suiza-y-la-Union-Europea-presionan-a-Mexico-para-retrasar-nuevo-etiquetado-20200812-0033.html" TargetMode="External"/><Relationship Id="rId69" Type="http://schemas.openxmlformats.org/officeDocument/2006/relationships/hyperlink" Target="https://www.efeverde.com/noticias/glifosato-mexico/" TargetMode="External"/><Relationship Id="rId8" Type="http://schemas.openxmlformats.org/officeDocument/2006/relationships/hyperlink" Target="https://www.tandfonline.com/doi/full/10.1080/21683565.2017.1372841" TargetMode="External"/><Relationship Id="rId51" Type="http://schemas.openxmlformats.org/officeDocument/2006/relationships/hyperlink" Target="https://www.ijhpm.com/article_3885_d1672fc77b2466a561f03a07ff103462.pdf" TargetMode="External"/><Relationship Id="rId72" Type="http://schemas.openxmlformats.org/officeDocument/2006/relationships/hyperlink" Target="https://media.business-humanrights.org/media/documents/7ebffa2b7510a719d61fdab83fd8b2c19de4c650.pdf" TargetMode="External"/><Relationship Id="rId3" Type="http://schemas.openxmlformats.org/officeDocument/2006/relationships/hyperlink" Target="https://www.forbes.com.mx/cada-mexicano-desperdicia-158-kilos-de-comida-al-ano/" TargetMode="External"/><Relationship Id="rId12" Type="http://schemas.openxmlformats.org/officeDocument/2006/relationships/hyperlink" Target="https://www.publico.es/sociedad/monocultivos-planta-dinero-lugar-alimentos.html" TargetMode="External"/><Relationship Id="rId17" Type="http://schemas.openxmlformats.org/officeDocument/2006/relationships/hyperlink" Target="https://undocs.org/es/A/70/287" TargetMode="External"/><Relationship Id="rId25" Type="http://schemas.openxmlformats.org/officeDocument/2006/relationships/hyperlink" Target="http://www.diputados.gob.mx/LeyesBiblio/pdf/263_180121.pdf" TargetMode="External"/><Relationship Id="rId33" Type="http://schemas.openxmlformats.org/officeDocument/2006/relationships/hyperlink" Target="https://www.biodiversidadla.org/Noticias/Sembrando-vida-el-programa-ecologista-de-AMLO-en-realidad-incentiva-la-deforestacion" TargetMode="External"/><Relationship Id="rId38" Type="http://schemas.openxmlformats.org/officeDocument/2006/relationships/hyperlink" Target="https://www.conacyt.mx/Comunicados-202.html" TargetMode="External"/><Relationship Id="rId46" Type="http://schemas.openxmlformats.org/officeDocument/2006/relationships/hyperlink" Target="http://dof.gob.mx/nota_detalle.php?codigo=5591534&amp;fecha=13/04/2020" TargetMode="External"/><Relationship Id="rId59" Type="http://schemas.openxmlformats.org/officeDocument/2006/relationships/hyperlink" Target="https://www.sinembargo.mx/13-02-2020/3729865" TargetMode="External"/><Relationship Id="rId67" Type="http://schemas.openxmlformats.org/officeDocument/2006/relationships/hyperlink" Target="https://www.sinembargo.mx/14-01-2019/3521637" TargetMode="External"/><Relationship Id="rId20" Type="http://schemas.openxmlformats.org/officeDocument/2006/relationships/hyperlink" Target="http://www.diputados.gob.mx/LeyesBiblio/pdf/142_190221.pdf" TargetMode="External"/><Relationship Id="rId41" Type="http://schemas.openxmlformats.org/officeDocument/2006/relationships/hyperlink" Target="https://www.paho.org/mex/index.php?option=com_docman&amp;view=download&amp;category_slug=presentaciones&amp;alias=849-vfinal-consumo-de-bebidas-azucaradas&amp;Itemid=493" TargetMode="External"/><Relationship Id="rId54" Type="http://schemas.openxmlformats.org/officeDocument/2006/relationships/hyperlink" Target="https://undocs.org/es/A/HRC/31/51" TargetMode="External"/><Relationship Id="rId62" Type="http://schemas.openxmlformats.org/officeDocument/2006/relationships/hyperlink" Target="https://www.eleconomista.com.mx/empresas/EU-Canada-Suiza-y-la-Union-Europea-presionan-a-Mexico-para-retrasar-nuevo-etiquetado-20200812-0033.html" TargetMode="External"/><Relationship Id="rId70" Type="http://schemas.openxmlformats.org/officeDocument/2006/relationships/hyperlink" Target="https://www.reuters.com/article/us-thailand-usa-trade-exclusive/exclusive-in-the-weeds-how-bayer-u-s-government-teamed-up-against-thailands-glyphosate-ban-idUSKBN268076" TargetMode="External"/><Relationship Id="rId75" Type="http://schemas.openxmlformats.org/officeDocument/2006/relationships/hyperlink" Target="https://www.jornada.com.mx/notas/2021/02/19/sociedad/el-cna-arma-estrategia-para-atacar-decreto-contra-el-uso-de-glifosato/" TargetMode="External"/><Relationship Id="rId1" Type="http://schemas.openxmlformats.org/officeDocument/2006/relationships/hyperlink" Target="http://www.fao.org/3/ca6030es/ca6030es.pdf" TargetMode="External"/><Relationship Id="rId6" Type="http://schemas.openxmlformats.org/officeDocument/2006/relationships/hyperlink" Target="https://lasillarotarm.blob.core.windows.net/docs/2019/09/23/informeanalisispesticidastelesecundari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C%20viaje\Desktop\Pregunta%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0F2857-6F04-45BD-97D8-5A7AA4C0C48D}">
  <ds:schemaRefs>
    <ds:schemaRef ds:uri="http://schemas.openxmlformats.org/officeDocument/2006/bibliography"/>
  </ds:schemaRefs>
</ds:datastoreItem>
</file>

<file path=customXml/itemProps2.xml><?xml version="1.0" encoding="utf-8"?>
<ds:datastoreItem xmlns:ds="http://schemas.openxmlformats.org/officeDocument/2006/customXml" ds:itemID="{A6259E5E-57A4-412B-885A-BEFDAE89AB07}"/>
</file>

<file path=customXml/itemProps3.xml><?xml version="1.0" encoding="utf-8"?>
<ds:datastoreItem xmlns:ds="http://schemas.openxmlformats.org/officeDocument/2006/customXml" ds:itemID="{B31783F2-6154-4DD0-96CD-14FE6A5CD6B9}"/>
</file>

<file path=customXml/itemProps4.xml><?xml version="1.0" encoding="utf-8"?>
<ds:datastoreItem xmlns:ds="http://schemas.openxmlformats.org/officeDocument/2006/customXml" ds:itemID="{A783DDD4-7158-4D13-B2CD-06C0554B2081}"/>
</file>

<file path=docProps/app.xml><?xml version="1.0" encoding="utf-8"?>
<Properties xmlns="http://schemas.openxmlformats.org/officeDocument/2006/extended-properties" xmlns:vt="http://schemas.openxmlformats.org/officeDocument/2006/docPropsVTypes">
  <Template>Pregunta 1.dotx</Template>
  <TotalTime>0</TotalTime>
  <Pages>1</Pages>
  <Words>3082</Words>
  <Characters>17573</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BOURQUE Frederique</cp:lastModifiedBy>
  <cp:revision>1</cp:revision>
  <dcterms:created xsi:type="dcterms:W3CDTF">2021-07-13T13:25:00Z</dcterms:created>
  <dcterms:modified xsi:type="dcterms:W3CDTF">2021-07-13T13:25:00Z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