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114" w:rsidRDefault="00731114">
      <w:r>
        <w:rPr>
          <w:rFonts w:ascii="Helvetica" w:hAnsi="Helvetica" w:cs="Helvetica"/>
          <w:noProof/>
          <w:lang w:eastAsia="en-GB"/>
        </w:rPr>
        <w:drawing>
          <wp:inline distT="0" distB="0" distL="0" distR="0" wp14:anchorId="332364B4" wp14:editId="6FDB2547">
            <wp:extent cx="2108200" cy="754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848" cy="758756"/>
                    </a:xfrm>
                    <a:prstGeom prst="rect">
                      <a:avLst/>
                    </a:prstGeom>
                    <a:noFill/>
                    <a:ln>
                      <a:noFill/>
                    </a:ln>
                  </pic:spPr>
                </pic:pic>
              </a:graphicData>
            </a:graphic>
          </wp:inline>
        </w:drawing>
      </w:r>
    </w:p>
    <w:p w:rsidR="00731114" w:rsidRDefault="00731114"/>
    <w:p w:rsidR="002914C9" w:rsidRPr="002914C9" w:rsidRDefault="002914C9">
      <w:pPr>
        <w:rPr>
          <w:b/>
          <w:sz w:val="28"/>
          <w:szCs w:val="28"/>
        </w:rPr>
      </w:pPr>
      <w:r w:rsidRPr="002914C9">
        <w:rPr>
          <w:b/>
          <w:sz w:val="28"/>
          <w:szCs w:val="28"/>
        </w:rPr>
        <w:t>Consultation response: Healthy and Sustainable Food: Reducing the Environmental Impacts of the Global Food System on Human Rights</w:t>
      </w:r>
    </w:p>
    <w:p w:rsidR="002914C9" w:rsidRDefault="002914C9"/>
    <w:p w:rsidR="000406D7" w:rsidRDefault="000406D7">
      <w:pPr>
        <w:rPr>
          <w:rFonts w:ascii="Georgia" w:hAnsi="Georgia" w:cs="Arial"/>
          <w:b/>
        </w:rPr>
      </w:pPr>
      <w:r w:rsidRPr="000406D7">
        <w:rPr>
          <w:rFonts w:ascii="Georgia" w:hAnsi="Georgia" w:cs="Arial"/>
          <w:b/>
        </w:rPr>
        <w:t>Introduction</w:t>
      </w:r>
      <w:r>
        <w:rPr>
          <w:rFonts w:ascii="Georgia" w:hAnsi="Georgia" w:cs="Arial"/>
          <w:b/>
        </w:rPr>
        <w:t xml:space="preserve">: </w:t>
      </w:r>
    </w:p>
    <w:p w:rsidR="000406D7" w:rsidRDefault="000406D7">
      <w:pPr>
        <w:rPr>
          <w:rFonts w:ascii="Georgia" w:hAnsi="Georgia" w:cs="Arial"/>
        </w:rPr>
      </w:pPr>
    </w:p>
    <w:p w:rsidR="00072001" w:rsidRDefault="000406D7">
      <w:pPr>
        <w:rPr>
          <w:rFonts w:ascii="Georgia" w:hAnsi="Georgia" w:cs="Arial"/>
        </w:rPr>
      </w:pPr>
      <w:proofErr w:type="spellStart"/>
      <w:r>
        <w:rPr>
          <w:rFonts w:ascii="Georgia" w:hAnsi="Georgia" w:cs="Arial"/>
        </w:rPr>
        <w:t>F</w:t>
      </w:r>
      <w:r w:rsidR="00072001" w:rsidRPr="001B73BC">
        <w:rPr>
          <w:rFonts w:ascii="Georgia" w:hAnsi="Georgia" w:cs="Arial"/>
        </w:rPr>
        <w:t>oEI</w:t>
      </w:r>
      <w:proofErr w:type="spellEnd"/>
      <w:r w:rsidR="00072001" w:rsidRPr="001B73BC">
        <w:rPr>
          <w:rFonts w:ascii="Georgia" w:hAnsi="Georgia" w:cs="Arial"/>
        </w:rPr>
        <w:t xml:space="preserve"> is the world’s largest grassroots environmental justice organisation</w:t>
      </w:r>
      <w:r w:rsidR="00072001">
        <w:rPr>
          <w:rFonts w:ascii="Georgia" w:hAnsi="Georgia" w:cs="Arial"/>
        </w:rPr>
        <w:t>.</w:t>
      </w:r>
      <w:r w:rsidR="00072001" w:rsidRPr="001B73BC">
        <w:rPr>
          <w:rFonts w:ascii="Georgia" w:hAnsi="Georgia" w:cs="Arial"/>
        </w:rPr>
        <w:t xml:space="preserve"> </w:t>
      </w:r>
      <w:r w:rsidR="00072001">
        <w:rPr>
          <w:rFonts w:ascii="Georgia" w:hAnsi="Georgia" w:cs="Arial"/>
        </w:rPr>
        <w:t xml:space="preserve">We have been working </w:t>
      </w:r>
      <w:r w:rsidR="00072001" w:rsidRPr="001B73BC">
        <w:rPr>
          <w:rFonts w:ascii="Georgia" w:hAnsi="Georgia" w:cs="Arial"/>
        </w:rPr>
        <w:t>on the linked crises of environment</w:t>
      </w:r>
      <w:r w:rsidR="00072001">
        <w:rPr>
          <w:rFonts w:ascii="Georgia" w:hAnsi="Georgia" w:cs="Arial"/>
        </w:rPr>
        <w:t>al</w:t>
      </w:r>
      <w:r w:rsidR="00072001" w:rsidRPr="001B73BC">
        <w:rPr>
          <w:rFonts w:ascii="Georgia" w:hAnsi="Georgia" w:cs="Arial"/>
        </w:rPr>
        <w:t xml:space="preserve"> destruction, social injustice, and human rights abuses</w:t>
      </w:r>
      <w:r w:rsidR="00072001">
        <w:rPr>
          <w:rFonts w:ascii="Georgia" w:hAnsi="Georgia" w:cs="Arial"/>
        </w:rPr>
        <w:t xml:space="preserve"> for several decades </w:t>
      </w:r>
      <w:r w:rsidR="00072001" w:rsidRPr="001B73BC">
        <w:rPr>
          <w:rFonts w:ascii="Georgia" w:hAnsi="Georgia" w:cs="Arial"/>
        </w:rPr>
        <w:t xml:space="preserve">with grassroots communities and social movements. </w:t>
      </w:r>
      <w:r>
        <w:rPr>
          <w:rFonts w:ascii="Georgia" w:hAnsi="Georgia" w:cs="Arial"/>
        </w:rPr>
        <w:t xml:space="preserve">We advocate for a transformation of food systems towards environmental, social, economic and gender justice </w:t>
      </w:r>
      <w:r w:rsidR="00083401">
        <w:rPr>
          <w:rFonts w:ascii="Georgia" w:hAnsi="Georgia" w:cs="Arial"/>
        </w:rPr>
        <w:t xml:space="preserve">based on the Human rights and </w:t>
      </w:r>
      <w:proofErr w:type="gramStart"/>
      <w:r w:rsidR="00083401">
        <w:rPr>
          <w:rFonts w:ascii="Georgia" w:hAnsi="Georgia" w:cs="Arial"/>
        </w:rPr>
        <w:t>collective</w:t>
      </w:r>
      <w:proofErr w:type="gramEnd"/>
      <w:r w:rsidR="00083401">
        <w:rPr>
          <w:rFonts w:ascii="Georgia" w:hAnsi="Georgia" w:cs="Arial"/>
        </w:rPr>
        <w:t xml:space="preserve"> rights of peoples </w:t>
      </w:r>
      <w:r>
        <w:rPr>
          <w:rFonts w:ascii="Georgia" w:hAnsi="Georgia" w:cs="Arial"/>
        </w:rPr>
        <w:t xml:space="preserve">through transitioning to agroecology for food sovereignty. </w:t>
      </w:r>
    </w:p>
    <w:p w:rsidR="000406D7" w:rsidRDefault="000406D7">
      <w:pPr>
        <w:rPr>
          <w:rFonts w:ascii="Georgia" w:hAnsi="Georgia" w:cs="Arial"/>
        </w:rPr>
      </w:pPr>
    </w:p>
    <w:p w:rsidR="000406D7" w:rsidRDefault="000406D7">
      <w:pPr>
        <w:rPr>
          <w:rFonts w:ascii="Georgia" w:eastAsia="Times New Roman" w:hAnsi="Georgia" w:cs="Times New Roman"/>
        </w:rPr>
      </w:pPr>
      <w:r w:rsidRPr="00083401">
        <w:rPr>
          <w:rFonts w:ascii="Georgia" w:hAnsi="Georgia" w:cs="Arial"/>
        </w:rPr>
        <w:t>In this submission we are focussing on one particular</w:t>
      </w:r>
      <w:r w:rsidR="00083401" w:rsidRPr="00083401">
        <w:rPr>
          <w:rFonts w:ascii="Georgia" w:hAnsi="Georgia" w:cs="Arial"/>
        </w:rPr>
        <w:t xml:space="preserve">, </w:t>
      </w:r>
      <w:r w:rsidR="005150C7">
        <w:rPr>
          <w:rFonts w:ascii="Georgia" w:hAnsi="Georgia" w:cs="Arial"/>
        </w:rPr>
        <w:t>new</w:t>
      </w:r>
      <w:r w:rsidR="00083401" w:rsidRPr="00083401">
        <w:rPr>
          <w:rFonts w:ascii="Georgia" w:hAnsi="Georgia" w:cs="Arial"/>
        </w:rPr>
        <w:t xml:space="preserve"> and concerning </w:t>
      </w:r>
      <w:r w:rsidRPr="00083401">
        <w:rPr>
          <w:rFonts w:ascii="Georgia" w:hAnsi="Georgia" w:cs="Arial"/>
        </w:rPr>
        <w:t xml:space="preserve">aspect of environmental </w:t>
      </w:r>
      <w:r w:rsidR="00083401" w:rsidRPr="00083401">
        <w:rPr>
          <w:rFonts w:ascii="Georgia" w:hAnsi="Georgia" w:cs="Arial"/>
        </w:rPr>
        <w:t xml:space="preserve">crises and food systems </w:t>
      </w:r>
      <w:r w:rsidR="005150C7">
        <w:rPr>
          <w:rFonts w:ascii="Georgia" w:hAnsi="Georgia" w:cs="Arial"/>
        </w:rPr>
        <w:t xml:space="preserve">: </w:t>
      </w:r>
      <w:r w:rsidR="00083401" w:rsidRPr="00083401">
        <w:rPr>
          <w:rFonts w:ascii="Georgia" w:hAnsi="Georgia" w:cs="Arial"/>
        </w:rPr>
        <w:t xml:space="preserve">‘false solutions’ to the climate and biodiversity crises which will also have a massive </w:t>
      </w:r>
      <w:r w:rsidR="005150C7">
        <w:rPr>
          <w:rFonts w:ascii="Georgia" w:hAnsi="Georgia" w:cs="Arial"/>
        </w:rPr>
        <w:t xml:space="preserve">negative </w:t>
      </w:r>
      <w:r w:rsidR="00083401" w:rsidRPr="00083401">
        <w:rPr>
          <w:rFonts w:ascii="Georgia" w:hAnsi="Georgia" w:cs="Arial"/>
        </w:rPr>
        <w:t xml:space="preserve">impact on </w:t>
      </w:r>
      <w:r w:rsidR="001D4B2A">
        <w:rPr>
          <w:rFonts w:ascii="Georgia" w:hAnsi="Georgia" w:cs="Arial"/>
        </w:rPr>
        <w:t xml:space="preserve">sustainable </w:t>
      </w:r>
      <w:r w:rsidR="00083401" w:rsidRPr="00083401">
        <w:rPr>
          <w:rFonts w:ascii="Georgia" w:hAnsi="Georgia" w:cs="Arial"/>
        </w:rPr>
        <w:t xml:space="preserve">food systems </w:t>
      </w:r>
      <w:r w:rsidR="00083401">
        <w:rPr>
          <w:rFonts w:ascii="Georgia" w:hAnsi="Georgia" w:cs="Arial"/>
        </w:rPr>
        <w:t xml:space="preserve">and Human Rights </w:t>
      </w:r>
      <w:r w:rsidR="00083401" w:rsidRPr="00083401">
        <w:rPr>
          <w:rFonts w:ascii="Georgia" w:hAnsi="Georgia" w:cs="Arial"/>
        </w:rPr>
        <w:t xml:space="preserve">while enabling </w:t>
      </w:r>
      <w:r w:rsidR="00083401" w:rsidRPr="00083401">
        <w:rPr>
          <w:rFonts w:ascii="Georgia" w:eastAsia="Times New Roman" w:hAnsi="Georgia" w:cs="Times New Roman"/>
        </w:rPr>
        <w:t xml:space="preserve">agribusiness to claim that they can reduce their environmental impacts without systemic structural change. </w:t>
      </w:r>
    </w:p>
    <w:p w:rsidR="00083401" w:rsidRDefault="00083401">
      <w:pPr>
        <w:rPr>
          <w:rFonts w:ascii="Georgia" w:hAnsi="Georgia" w:cs="Arial"/>
        </w:rPr>
      </w:pPr>
    </w:p>
    <w:p w:rsidR="008E486F" w:rsidRDefault="008E486F">
      <w:pPr>
        <w:rPr>
          <w:rFonts w:ascii="Georgia" w:hAnsi="Georgia" w:cs="Arial"/>
          <w:b/>
        </w:rPr>
      </w:pPr>
      <w:r>
        <w:rPr>
          <w:rFonts w:ascii="Georgia" w:hAnsi="Georgia" w:cs="Arial"/>
          <w:b/>
        </w:rPr>
        <w:t xml:space="preserve">Impacts of </w:t>
      </w:r>
      <w:r w:rsidRPr="005F1999">
        <w:rPr>
          <w:rFonts w:ascii="Georgia" w:hAnsi="Georgia" w:cs="Arial"/>
          <w:b/>
        </w:rPr>
        <w:t xml:space="preserve">Land </w:t>
      </w:r>
      <w:r>
        <w:rPr>
          <w:rFonts w:ascii="Georgia" w:hAnsi="Georgia" w:cs="Arial"/>
          <w:b/>
        </w:rPr>
        <w:t>based</w:t>
      </w:r>
      <w:r w:rsidRPr="005F1999">
        <w:rPr>
          <w:rFonts w:ascii="Georgia" w:hAnsi="Georgia" w:cs="Arial"/>
          <w:b/>
        </w:rPr>
        <w:t xml:space="preserve"> </w:t>
      </w:r>
      <w:r>
        <w:rPr>
          <w:rFonts w:ascii="Georgia" w:hAnsi="Georgia" w:cs="Arial"/>
          <w:b/>
        </w:rPr>
        <w:t xml:space="preserve">climate mitigation strategies - </w:t>
      </w:r>
      <w:r w:rsidRPr="005F1999">
        <w:rPr>
          <w:rFonts w:ascii="Georgia" w:hAnsi="Georgia" w:cs="Arial"/>
          <w:b/>
        </w:rPr>
        <w:t xml:space="preserve">Negative emissions technologies </w:t>
      </w:r>
    </w:p>
    <w:p w:rsidR="008E486F" w:rsidRDefault="008E486F">
      <w:pPr>
        <w:rPr>
          <w:rFonts w:ascii="Georgia" w:hAnsi="Georgia" w:cstheme="minorHAnsi"/>
        </w:rPr>
      </w:pPr>
    </w:p>
    <w:p w:rsidR="002B79AC" w:rsidRDefault="00DC73FF">
      <w:pPr>
        <w:rPr>
          <w:rFonts w:ascii="Georgia" w:hAnsi="Georgia" w:cstheme="minorHAnsi"/>
        </w:rPr>
      </w:pPr>
      <w:proofErr w:type="gramStart"/>
      <w:r>
        <w:rPr>
          <w:rFonts w:ascii="Georgia" w:hAnsi="Georgia" w:cstheme="minorHAnsi"/>
        </w:rPr>
        <w:t>Large scale</w:t>
      </w:r>
      <w:proofErr w:type="gramEnd"/>
      <w:r>
        <w:rPr>
          <w:rFonts w:ascii="Georgia" w:hAnsi="Georgia" w:cstheme="minorHAnsi"/>
        </w:rPr>
        <w:t xml:space="preserve"> l</w:t>
      </w:r>
      <w:r w:rsidR="008E486F" w:rsidRPr="009D0ECE">
        <w:rPr>
          <w:rFonts w:ascii="Georgia" w:hAnsi="Georgia" w:cstheme="minorHAnsi"/>
        </w:rPr>
        <w:t xml:space="preserve">and based </w:t>
      </w:r>
      <w:r>
        <w:rPr>
          <w:rFonts w:ascii="Georgia" w:hAnsi="Georgia" w:cstheme="minorHAnsi"/>
        </w:rPr>
        <w:t>schemes for carbon removal from the atmosphere</w:t>
      </w:r>
      <w:r w:rsidR="008E486F" w:rsidRPr="009D0ECE">
        <w:rPr>
          <w:rFonts w:ascii="Georgia" w:hAnsi="Georgia" w:cstheme="minorHAnsi"/>
        </w:rPr>
        <w:t xml:space="preserve"> </w:t>
      </w:r>
      <w:r w:rsidR="00AB6F61">
        <w:rPr>
          <w:rFonts w:ascii="Georgia" w:hAnsi="Georgia" w:cstheme="minorHAnsi"/>
        </w:rPr>
        <w:t>are</w:t>
      </w:r>
      <w:r w:rsidR="008E486F" w:rsidRPr="009D0ECE">
        <w:rPr>
          <w:rFonts w:ascii="Georgia" w:hAnsi="Georgia" w:cstheme="minorHAnsi"/>
        </w:rPr>
        <w:t xml:space="preserve"> fast becoming a central theme in the response to the climate crisis. Corporations and Governments are hoping land can sequester millions of tonnes of carbon, to offset</w:t>
      </w:r>
      <w:r w:rsidR="008E486F">
        <w:rPr>
          <w:rStyle w:val="FootnoteReference"/>
          <w:rFonts w:ascii="Georgia" w:hAnsi="Georgia" w:cstheme="minorHAnsi"/>
        </w:rPr>
        <w:footnoteReference w:id="1"/>
      </w:r>
      <w:r w:rsidR="008E486F" w:rsidRPr="009D0ECE">
        <w:rPr>
          <w:rFonts w:ascii="Georgia" w:hAnsi="Georgia" w:cstheme="minorHAnsi"/>
        </w:rPr>
        <w:t xml:space="preserve"> their still rising emissions and help us reach ‘net zero’</w:t>
      </w:r>
      <w:r w:rsidR="008E486F" w:rsidRPr="009D0ECE">
        <w:rPr>
          <w:rStyle w:val="FootnoteReference"/>
          <w:rFonts w:ascii="Georgia" w:hAnsi="Georgia" w:cstheme="minorHAnsi"/>
        </w:rPr>
        <w:footnoteReference w:id="2"/>
      </w:r>
      <w:r w:rsidR="008E486F" w:rsidRPr="009D0ECE">
        <w:rPr>
          <w:rFonts w:ascii="Georgia" w:hAnsi="Georgia" w:cstheme="minorHAnsi"/>
        </w:rPr>
        <w:t xml:space="preserve"> climate targets. </w:t>
      </w:r>
      <w:r w:rsidR="002B79AC" w:rsidRPr="002B79AC">
        <w:rPr>
          <w:rFonts w:ascii="Georgia" w:hAnsi="Georgia" w:cstheme="minorHAnsi"/>
        </w:rPr>
        <w:t xml:space="preserve">The basic concept of “net zero” </w:t>
      </w:r>
      <w:proofErr w:type="gramStart"/>
      <w:r w:rsidR="002B79AC" w:rsidRPr="002B79AC">
        <w:rPr>
          <w:rFonts w:ascii="Georgia" w:hAnsi="Georgia" w:cstheme="minorHAnsi"/>
        </w:rPr>
        <w:t>can be captured</w:t>
      </w:r>
      <w:proofErr w:type="gramEnd"/>
      <w:r w:rsidR="002B79AC" w:rsidRPr="002B79AC">
        <w:rPr>
          <w:rFonts w:ascii="Georgia" w:hAnsi="Georgia" w:cstheme="minorHAnsi"/>
        </w:rPr>
        <w:t xml:space="preserve"> in an equation: greenhouse gas emissions minus removals of greenhouse gases, balancing out to zero. </w:t>
      </w:r>
    </w:p>
    <w:p w:rsidR="007E4FC2" w:rsidRDefault="007E4FC2">
      <w:pPr>
        <w:rPr>
          <w:rFonts w:ascii="Georgia" w:hAnsi="Georgia" w:cstheme="minorHAnsi"/>
        </w:rPr>
      </w:pPr>
    </w:p>
    <w:p w:rsidR="004139E0" w:rsidRDefault="007E4FC2">
      <w:pPr>
        <w:rPr>
          <w:rFonts w:ascii="Georgia" w:hAnsi="Georgia" w:cstheme="minorHAnsi"/>
        </w:rPr>
      </w:pPr>
      <w:r w:rsidRPr="009D0ECE">
        <w:rPr>
          <w:rFonts w:ascii="Georgia" w:hAnsi="Georgia" w:cstheme="minorHAnsi"/>
        </w:rPr>
        <w:t xml:space="preserve">Almost all of the plans for </w:t>
      </w:r>
      <w:r>
        <w:rPr>
          <w:rFonts w:ascii="Georgia" w:hAnsi="Georgia" w:cstheme="minorHAnsi"/>
        </w:rPr>
        <w:t>‘</w:t>
      </w:r>
      <w:r w:rsidRPr="009D0ECE">
        <w:rPr>
          <w:rFonts w:ascii="Georgia" w:hAnsi="Georgia" w:cstheme="minorHAnsi"/>
        </w:rPr>
        <w:t>net zero</w:t>
      </w:r>
      <w:r>
        <w:rPr>
          <w:rFonts w:ascii="Georgia" w:hAnsi="Georgia" w:cstheme="minorHAnsi"/>
        </w:rPr>
        <w:t>’</w:t>
      </w:r>
      <w:r w:rsidRPr="009D0ECE">
        <w:rPr>
          <w:rFonts w:ascii="Georgia" w:hAnsi="Georgia" w:cstheme="minorHAnsi"/>
        </w:rPr>
        <w:t xml:space="preserve"> </w:t>
      </w:r>
      <w:r w:rsidR="00770AD9">
        <w:rPr>
          <w:rFonts w:ascii="Georgia" w:hAnsi="Georgia" w:cstheme="minorHAnsi"/>
        </w:rPr>
        <w:t xml:space="preserve">are based on offsetting and they </w:t>
      </w:r>
      <w:r w:rsidRPr="009D0ECE">
        <w:rPr>
          <w:rFonts w:ascii="Georgia" w:hAnsi="Georgia" w:cstheme="minorHAnsi"/>
        </w:rPr>
        <w:t xml:space="preserve">not only deflect </w:t>
      </w:r>
      <w:r>
        <w:rPr>
          <w:rFonts w:ascii="Georgia" w:hAnsi="Georgia" w:cstheme="minorHAnsi"/>
        </w:rPr>
        <w:t xml:space="preserve">climate </w:t>
      </w:r>
      <w:r w:rsidRPr="009D0ECE">
        <w:rPr>
          <w:rFonts w:ascii="Georgia" w:hAnsi="Georgia" w:cstheme="minorHAnsi"/>
        </w:rPr>
        <w:t xml:space="preserve">action further but also require </w:t>
      </w:r>
      <w:proofErr w:type="gramStart"/>
      <w:r w:rsidRPr="009D0ECE">
        <w:rPr>
          <w:rFonts w:ascii="Georgia" w:hAnsi="Georgia" w:cstheme="minorHAnsi"/>
        </w:rPr>
        <w:t>eye watering</w:t>
      </w:r>
      <w:proofErr w:type="gramEnd"/>
      <w:r w:rsidRPr="009D0ECE">
        <w:rPr>
          <w:rFonts w:ascii="Georgia" w:hAnsi="Georgia" w:cstheme="minorHAnsi"/>
        </w:rPr>
        <w:t xml:space="preserve"> areas of land. </w:t>
      </w:r>
      <w:r w:rsidR="00770AD9">
        <w:rPr>
          <w:rFonts w:ascii="Georgia" w:hAnsi="Georgia" w:cstheme="minorHAnsi"/>
        </w:rPr>
        <w:t xml:space="preserve">For </w:t>
      </w:r>
      <w:proofErr w:type="gramStart"/>
      <w:r w:rsidR="00770AD9">
        <w:rPr>
          <w:rFonts w:ascii="Georgia" w:hAnsi="Georgia" w:cstheme="minorHAnsi"/>
        </w:rPr>
        <w:t>example</w:t>
      </w:r>
      <w:proofErr w:type="gramEnd"/>
      <w:r w:rsidR="00770AD9">
        <w:rPr>
          <w:rFonts w:ascii="Georgia" w:hAnsi="Georgia" w:cstheme="minorHAnsi"/>
        </w:rPr>
        <w:t xml:space="preserve"> e</w:t>
      </w:r>
      <w:r w:rsidRPr="009D0ECE">
        <w:rPr>
          <w:rFonts w:ascii="Georgia" w:hAnsi="Georgia" w:cstheme="minorHAnsi"/>
        </w:rPr>
        <w:t>stimates of the land required globally to deploy bioenergy with carbon capture and storage (BECCS) range from 100 to 3000 million hectares.</w:t>
      </w:r>
      <w:r>
        <w:rPr>
          <w:rFonts w:ascii="Georgia" w:hAnsi="Georgia" w:cstheme="minorHAnsi"/>
        </w:rPr>
        <w:t xml:space="preserve"> </w:t>
      </w:r>
      <w:r w:rsidRPr="009D0ECE">
        <w:rPr>
          <w:rStyle w:val="FootnoteReference"/>
          <w:rFonts w:ascii="Georgia" w:hAnsi="Georgia" w:cstheme="minorHAnsi"/>
        </w:rPr>
        <w:footnoteReference w:id="3"/>
      </w:r>
      <w:r w:rsidR="00CB585B">
        <w:rPr>
          <w:rFonts w:ascii="Georgia" w:hAnsi="Georgia" w:cstheme="minorHAnsi"/>
        </w:rPr>
        <w:t xml:space="preserve"> </w:t>
      </w:r>
      <w:r w:rsidR="00770AD9" w:rsidRPr="009D0ECE">
        <w:rPr>
          <w:rFonts w:ascii="Georgia" w:hAnsi="Georgia" w:cstheme="minorHAnsi"/>
        </w:rPr>
        <w:t xml:space="preserve">Even </w:t>
      </w:r>
      <w:r w:rsidR="00770AD9">
        <w:rPr>
          <w:rFonts w:ascii="Georgia" w:hAnsi="Georgia" w:cstheme="minorHAnsi"/>
        </w:rPr>
        <w:t xml:space="preserve">the </w:t>
      </w:r>
      <w:r w:rsidR="00770AD9" w:rsidRPr="009D0ECE">
        <w:rPr>
          <w:rFonts w:ascii="Georgia" w:hAnsi="Georgia" w:cstheme="minorHAnsi"/>
        </w:rPr>
        <w:t xml:space="preserve">more benign sounding ‘Nature Based Solutions’ </w:t>
      </w:r>
      <w:r w:rsidR="00770AD9">
        <w:rPr>
          <w:rFonts w:ascii="Georgia" w:hAnsi="Georgia" w:cstheme="minorHAnsi"/>
        </w:rPr>
        <w:t xml:space="preserve">for climate change estimate </w:t>
      </w:r>
      <w:r w:rsidR="00770AD9" w:rsidRPr="009D0ECE">
        <w:rPr>
          <w:rFonts w:ascii="Georgia" w:hAnsi="Georgia" w:cstheme="minorHAnsi"/>
        </w:rPr>
        <w:t>1</w:t>
      </w:r>
      <w:r w:rsidR="00770AD9">
        <w:rPr>
          <w:rFonts w:ascii="Georgia" w:hAnsi="Georgia" w:cstheme="minorHAnsi"/>
        </w:rPr>
        <w:t>4</w:t>
      </w:r>
      <w:r w:rsidR="00770AD9" w:rsidRPr="009D0ECE">
        <w:rPr>
          <w:rFonts w:ascii="Georgia" w:hAnsi="Georgia" w:cstheme="minorHAnsi"/>
        </w:rPr>
        <w:t xml:space="preserve"> million hectares of destructive monoculture tree plantations and a whopping 678 million hectares of land for reforestation.</w:t>
      </w:r>
      <w:r w:rsidR="00770AD9" w:rsidRPr="009D0ECE">
        <w:rPr>
          <w:rStyle w:val="FootnoteReference"/>
          <w:rFonts w:ascii="Georgia" w:hAnsi="Georgia" w:cstheme="minorHAnsi"/>
        </w:rPr>
        <w:footnoteReference w:id="4"/>
      </w:r>
      <w:r w:rsidR="00770AD9" w:rsidRPr="009D0ECE">
        <w:rPr>
          <w:rFonts w:ascii="Georgia" w:hAnsi="Georgia" w:cstheme="minorHAnsi"/>
        </w:rPr>
        <w:t xml:space="preserve"> </w:t>
      </w:r>
    </w:p>
    <w:p w:rsidR="004139E0" w:rsidRDefault="004139E0">
      <w:pPr>
        <w:rPr>
          <w:rFonts w:ascii="Georgia" w:hAnsi="Georgia" w:cstheme="minorHAnsi"/>
        </w:rPr>
      </w:pPr>
    </w:p>
    <w:p w:rsidR="007E4FC2" w:rsidRDefault="00770AD9">
      <w:pPr>
        <w:rPr>
          <w:rFonts w:ascii="Georgia" w:hAnsi="Georgia" w:cstheme="minorHAnsi"/>
        </w:rPr>
      </w:pPr>
      <w:proofErr w:type="gramStart"/>
      <w:r w:rsidRPr="009D0ECE">
        <w:rPr>
          <w:rFonts w:ascii="Georgia" w:hAnsi="Georgia" w:cstheme="minorHAnsi"/>
        </w:rPr>
        <w:t>It’s</w:t>
      </w:r>
      <w:proofErr w:type="gramEnd"/>
      <w:r w:rsidRPr="009D0ECE">
        <w:rPr>
          <w:rFonts w:ascii="Georgia" w:hAnsi="Georgia" w:cstheme="minorHAnsi"/>
        </w:rPr>
        <w:t xml:space="preserve"> not clear who will claim ownership of these areas of land or where they will come from, but we can guess based on recent announcements by fossil fuel corporations. </w:t>
      </w:r>
      <w:proofErr w:type="gramStart"/>
      <w:r w:rsidRPr="009D0ECE">
        <w:rPr>
          <w:rFonts w:ascii="Georgia" w:hAnsi="Georgia" w:cstheme="minorHAnsi"/>
        </w:rPr>
        <w:t>ENI,</w:t>
      </w:r>
      <w:proofErr w:type="gramEnd"/>
      <w:r w:rsidRPr="009D0ECE">
        <w:rPr>
          <w:rFonts w:ascii="Georgia" w:hAnsi="Georgia" w:cstheme="minorHAnsi"/>
        </w:rPr>
        <w:t xml:space="preserve"> is involved in a gas extraction project in Mozambique and has been implicated in kicking 550 families off their land and blocking fisherfolk from the sea. At the same </w:t>
      </w:r>
      <w:proofErr w:type="gramStart"/>
      <w:r w:rsidRPr="009D0ECE">
        <w:rPr>
          <w:rFonts w:ascii="Georgia" w:hAnsi="Georgia" w:cstheme="minorHAnsi"/>
        </w:rPr>
        <w:t>time</w:t>
      </w:r>
      <w:proofErr w:type="gramEnd"/>
      <w:r w:rsidRPr="009D0ECE">
        <w:rPr>
          <w:rFonts w:ascii="Georgia" w:hAnsi="Georgia" w:cstheme="minorHAnsi"/>
        </w:rPr>
        <w:t xml:space="preserve"> ENI has committed to planting 20 million hectares of forest in Africa to achieve net zero by 2030. For the communities living on the land and forest this is essentially a double land grab – </w:t>
      </w:r>
      <w:proofErr w:type="gramStart"/>
      <w:r w:rsidRPr="009D0ECE">
        <w:rPr>
          <w:rFonts w:ascii="Georgia" w:hAnsi="Georgia" w:cstheme="minorHAnsi"/>
        </w:rPr>
        <w:t>once for gas extraction and again to offset it</w:t>
      </w:r>
      <w:proofErr w:type="gramEnd"/>
      <w:r w:rsidRPr="009D0ECE">
        <w:rPr>
          <w:rFonts w:ascii="Georgia" w:hAnsi="Georgia" w:cstheme="minorHAnsi"/>
        </w:rPr>
        <w:t>.</w:t>
      </w:r>
    </w:p>
    <w:p w:rsidR="002B79AC" w:rsidRDefault="002B79AC">
      <w:pPr>
        <w:rPr>
          <w:rFonts w:ascii="Georgia" w:hAnsi="Georgia" w:cstheme="minorHAnsi"/>
        </w:rPr>
      </w:pPr>
    </w:p>
    <w:p w:rsidR="004139E0" w:rsidRDefault="004139E0">
      <w:pPr>
        <w:rPr>
          <w:rFonts w:ascii="Georgia" w:hAnsi="Georgia" w:cstheme="minorHAnsi"/>
          <w:b/>
        </w:rPr>
      </w:pPr>
      <w:r w:rsidRPr="004139E0">
        <w:rPr>
          <w:rFonts w:ascii="Georgia" w:hAnsi="Georgia" w:cstheme="minorHAnsi"/>
          <w:b/>
        </w:rPr>
        <w:t xml:space="preserve">Net zero allows business as usual </w:t>
      </w:r>
      <w:r>
        <w:rPr>
          <w:rFonts w:ascii="Georgia" w:hAnsi="Georgia" w:cstheme="minorHAnsi"/>
          <w:b/>
        </w:rPr>
        <w:t>environmental destruction to continue</w:t>
      </w:r>
    </w:p>
    <w:p w:rsidR="004139E0" w:rsidRDefault="004139E0">
      <w:pPr>
        <w:rPr>
          <w:rFonts w:ascii="Georgia" w:hAnsi="Georgia" w:cstheme="minorHAnsi"/>
        </w:rPr>
      </w:pPr>
    </w:p>
    <w:p w:rsidR="00DC73FF" w:rsidRPr="002B79AC" w:rsidRDefault="00DC73FF">
      <w:pPr>
        <w:rPr>
          <w:rFonts w:ascii="Georgia" w:hAnsi="Georgia" w:cstheme="minorHAnsi"/>
        </w:rPr>
      </w:pPr>
      <w:r>
        <w:rPr>
          <w:rFonts w:ascii="Georgia" w:hAnsi="Georgia" w:cs="Arial"/>
        </w:rPr>
        <w:t xml:space="preserve">Several fossil fuel companies and agribusiness </w:t>
      </w:r>
      <w:r w:rsidR="001D4B2A">
        <w:rPr>
          <w:rFonts w:ascii="Georgia" w:hAnsi="Georgia" w:cs="Arial"/>
        </w:rPr>
        <w:t xml:space="preserve">including Shell, Eni, Nestle and JBS </w:t>
      </w:r>
      <w:r>
        <w:rPr>
          <w:rFonts w:ascii="Georgia" w:hAnsi="Georgia" w:cs="Arial"/>
        </w:rPr>
        <w:t xml:space="preserve">have made pledges to achieve ‘net zero’ emissions to show their ability to contribute to the Paris agreement on climate change. </w:t>
      </w:r>
    </w:p>
    <w:p w:rsidR="002B79AC" w:rsidRDefault="002B79AC">
      <w:pPr>
        <w:rPr>
          <w:rFonts w:ascii="Georgia" w:hAnsi="Georgia" w:cs="Arial"/>
        </w:rPr>
      </w:pPr>
    </w:p>
    <w:p w:rsidR="002B79AC" w:rsidRDefault="002B79AC" w:rsidP="002B79AC">
      <w:pPr>
        <w:rPr>
          <w:rFonts w:ascii="Georgia" w:hAnsi="Georgia" w:cs="Arial"/>
        </w:rPr>
      </w:pPr>
      <w:proofErr w:type="gramStart"/>
      <w:r>
        <w:rPr>
          <w:rFonts w:ascii="Georgia" w:hAnsi="Georgia" w:cs="Arial"/>
        </w:rPr>
        <w:t>But</w:t>
      </w:r>
      <w:proofErr w:type="gramEnd"/>
      <w:r>
        <w:rPr>
          <w:rFonts w:ascii="Georgia" w:hAnsi="Georgia" w:cs="Arial"/>
        </w:rPr>
        <w:t xml:space="preserve"> these net-zero pledges </w:t>
      </w:r>
      <w:r w:rsidRPr="002B79AC">
        <w:rPr>
          <w:rFonts w:ascii="Georgia" w:hAnsi="Georgia" w:cs="Arial"/>
        </w:rPr>
        <w:t xml:space="preserve">obscure the need for the phaseout of fossil fuels and </w:t>
      </w:r>
      <w:r w:rsidR="007E4FC2">
        <w:rPr>
          <w:rFonts w:ascii="Georgia" w:hAnsi="Georgia" w:cs="Arial"/>
        </w:rPr>
        <w:t xml:space="preserve">industrial agriculture </w:t>
      </w:r>
      <w:r w:rsidRPr="002B79AC">
        <w:rPr>
          <w:rFonts w:ascii="Georgia" w:hAnsi="Georgia" w:cs="Arial"/>
        </w:rPr>
        <w:t>with the distractions and seductions of the carbon market</w:t>
      </w:r>
      <w:r w:rsidR="007E4FC2">
        <w:rPr>
          <w:rFonts w:ascii="Georgia" w:hAnsi="Georgia" w:cs="Arial"/>
        </w:rPr>
        <w:t xml:space="preserve"> and offsets</w:t>
      </w:r>
      <w:r w:rsidRPr="002B79AC">
        <w:rPr>
          <w:rFonts w:ascii="Georgia" w:hAnsi="Georgia" w:cs="Arial"/>
        </w:rPr>
        <w:t xml:space="preserve">. “Net zero” </w:t>
      </w:r>
      <w:r w:rsidR="00AB6F61">
        <w:rPr>
          <w:rFonts w:ascii="Georgia" w:hAnsi="Georgia" w:cs="Arial"/>
        </w:rPr>
        <w:t>allow</w:t>
      </w:r>
      <w:r w:rsidRPr="002B79AC">
        <w:rPr>
          <w:rFonts w:ascii="Georgia" w:hAnsi="Georgia" w:cs="Arial"/>
        </w:rPr>
        <w:t xml:space="preserve"> these actors to maintain the status quo. </w:t>
      </w:r>
      <w:proofErr w:type="gramStart"/>
      <w:r w:rsidRPr="002B79AC">
        <w:rPr>
          <w:rFonts w:ascii="Georgia" w:hAnsi="Georgia" w:cs="Arial"/>
        </w:rPr>
        <w:t>And</w:t>
      </w:r>
      <w:proofErr w:type="gramEnd"/>
      <w:r w:rsidRPr="002B79AC">
        <w:rPr>
          <w:rFonts w:ascii="Georgia" w:hAnsi="Georgia" w:cs="Arial"/>
        </w:rPr>
        <w:t xml:space="preserve"> the status quo will certainly worsen the climate catastrophe</w:t>
      </w:r>
      <w:r>
        <w:rPr>
          <w:rFonts w:ascii="Georgia" w:hAnsi="Georgia" w:cs="Arial"/>
        </w:rPr>
        <w:t xml:space="preserve"> and </w:t>
      </w:r>
      <w:r w:rsidRPr="002B79AC">
        <w:rPr>
          <w:rFonts w:ascii="Georgia" w:hAnsi="Georgia" w:cs="Arial"/>
        </w:rPr>
        <w:t>pose grave threats to peoples collective rights over their land and territories with a new wave of land grabbing through enclosures for conservation projects but also via the commodification and integration of nature into financial markets – what we call the financialization of nature.</w:t>
      </w:r>
      <w:r w:rsidR="0038434E">
        <w:rPr>
          <w:rStyle w:val="FootnoteReference"/>
          <w:rFonts w:ascii="Georgia" w:hAnsi="Georgia" w:cs="Arial"/>
        </w:rPr>
        <w:footnoteReference w:id="5"/>
      </w:r>
    </w:p>
    <w:p w:rsidR="002B79AC" w:rsidRDefault="002B79AC" w:rsidP="002B79AC">
      <w:pPr>
        <w:rPr>
          <w:rFonts w:ascii="Georgia" w:hAnsi="Georgia" w:cs="Arial"/>
        </w:rPr>
      </w:pPr>
    </w:p>
    <w:p w:rsidR="002B79AC" w:rsidRDefault="007E4FC2" w:rsidP="002B79AC">
      <w:pPr>
        <w:rPr>
          <w:rFonts w:ascii="Georgia" w:hAnsi="Georgia" w:cs="Arial"/>
        </w:rPr>
      </w:pPr>
      <w:r>
        <w:rPr>
          <w:rFonts w:ascii="Georgia" w:hAnsi="Georgia" w:cs="Arial"/>
        </w:rPr>
        <w:t>N</w:t>
      </w:r>
      <w:r w:rsidR="002B79AC">
        <w:rPr>
          <w:rFonts w:ascii="Georgia" w:hAnsi="Georgia" w:cs="Arial"/>
        </w:rPr>
        <w:t xml:space="preserve">et zero pledges themselves will hamper attempts to transition towards </w:t>
      </w:r>
      <w:r w:rsidR="009B7C53">
        <w:rPr>
          <w:rFonts w:ascii="Georgia" w:hAnsi="Georgia" w:cs="Arial"/>
        </w:rPr>
        <w:t xml:space="preserve">just and </w:t>
      </w:r>
      <w:r w:rsidR="002B79AC">
        <w:rPr>
          <w:rFonts w:ascii="Georgia" w:hAnsi="Georgia" w:cs="Arial"/>
        </w:rPr>
        <w:t xml:space="preserve">sustainable food systems by putting more land in the hands of financial actors and corporations. It also allows agribusinesses to continue business as usual. For </w:t>
      </w:r>
      <w:proofErr w:type="gramStart"/>
      <w:r w:rsidR="002B79AC">
        <w:rPr>
          <w:rFonts w:ascii="Georgia" w:hAnsi="Georgia" w:cs="Arial"/>
        </w:rPr>
        <w:t>example</w:t>
      </w:r>
      <w:proofErr w:type="gramEnd"/>
      <w:r w:rsidR="002B79AC">
        <w:rPr>
          <w:rFonts w:ascii="Georgia" w:hAnsi="Georgia" w:cs="Arial"/>
        </w:rPr>
        <w:t xml:space="preserve"> JBS is of the largest global meat </w:t>
      </w:r>
      <w:r>
        <w:rPr>
          <w:rFonts w:ascii="Georgia" w:hAnsi="Georgia" w:cs="Arial"/>
        </w:rPr>
        <w:t>corporations and is one of the largest food system contributors to climate change</w:t>
      </w:r>
      <w:r w:rsidR="009B7C53">
        <w:rPr>
          <w:rFonts w:ascii="Georgia" w:hAnsi="Georgia" w:cs="Arial"/>
        </w:rPr>
        <w:t xml:space="preserve">. They </w:t>
      </w:r>
      <w:proofErr w:type="gramStart"/>
      <w:r w:rsidR="009B7C53">
        <w:rPr>
          <w:rFonts w:ascii="Georgia" w:hAnsi="Georgia" w:cs="Arial"/>
        </w:rPr>
        <w:t>are</w:t>
      </w:r>
      <w:r>
        <w:rPr>
          <w:rFonts w:ascii="Georgia" w:hAnsi="Georgia" w:cs="Arial"/>
        </w:rPr>
        <w:t xml:space="preserve"> implicated</w:t>
      </w:r>
      <w:proofErr w:type="gramEnd"/>
      <w:r>
        <w:rPr>
          <w:rFonts w:ascii="Georgia" w:hAnsi="Georgia" w:cs="Arial"/>
        </w:rPr>
        <w:t xml:space="preserve"> in ongoing destruction of the Amazon as well as bribery and corruption</w:t>
      </w:r>
      <w:r w:rsidR="009B7C53">
        <w:rPr>
          <w:rFonts w:ascii="Georgia" w:hAnsi="Georgia" w:cs="Arial"/>
        </w:rPr>
        <w:t xml:space="preserve"> charges</w:t>
      </w:r>
      <w:r>
        <w:rPr>
          <w:rFonts w:ascii="Georgia" w:hAnsi="Georgia" w:cs="Arial"/>
        </w:rPr>
        <w:t xml:space="preserve">. </w:t>
      </w:r>
      <w:r w:rsidR="0038434E">
        <w:rPr>
          <w:rStyle w:val="FootnoteReference"/>
          <w:rFonts w:ascii="Georgia" w:hAnsi="Georgia" w:cs="Arial"/>
        </w:rPr>
        <w:footnoteReference w:id="6"/>
      </w:r>
      <w:r w:rsidR="0038434E">
        <w:rPr>
          <w:rFonts w:ascii="Georgia" w:hAnsi="Georgia" w:cs="Arial"/>
        </w:rPr>
        <w:t xml:space="preserve"> </w:t>
      </w:r>
      <w:r w:rsidR="0038434E">
        <w:rPr>
          <w:rStyle w:val="FootnoteReference"/>
          <w:rFonts w:ascii="Georgia" w:hAnsi="Georgia" w:cs="Arial"/>
        </w:rPr>
        <w:footnoteReference w:id="7"/>
      </w:r>
      <w:r>
        <w:rPr>
          <w:rFonts w:ascii="Georgia" w:hAnsi="Georgia" w:cs="Arial"/>
        </w:rPr>
        <w:t xml:space="preserve">Their recent pledge towards net-zero is predication on continued expansion of their business, but reducing emissions intensity </w:t>
      </w:r>
      <w:r w:rsidR="009B7C53">
        <w:rPr>
          <w:rFonts w:ascii="Georgia" w:hAnsi="Georgia" w:cs="Arial"/>
        </w:rPr>
        <w:t xml:space="preserve">(emissions per unit of product) </w:t>
      </w:r>
      <w:r>
        <w:rPr>
          <w:rFonts w:ascii="Georgia" w:hAnsi="Georgia" w:cs="Arial"/>
        </w:rPr>
        <w:t xml:space="preserve">and  investing </w:t>
      </w:r>
      <w:r w:rsidRPr="007E4FC2">
        <w:rPr>
          <w:rFonts w:ascii="Georgia" w:hAnsi="Georgia" w:cs="Arial"/>
        </w:rPr>
        <w:t>$100 million by 2030 in research and development projects</w:t>
      </w:r>
      <w:r w:rsidR="009B7C53">
        <w:rPr>
          <w:rFonts w:ascii="Georgia" w:hAnsi="Georgia" w:cs="Arial"/>
        </w:rPr>
        <w:t xml:space="preserve"> </w:t>
      </w:r>
      <w:r>
        <w:rPr>
          <w:rFonts w:ascii="Georgia" w:hAnsi="Georgia" w:cs="Arial"/>
        </w:rPr>
        <w:t xml:space="preserve">to reach net-zero. </w:t>
      </w:r>
      <w:r w:rsidR="00685965">
        <w:rPr>
          <w:rStyle w:val="FootnoteReference"/>
          <w:rFonts w:ascii="Georgia" w:hAnsi="Georgia" w:cs="Arial"/>
        </w:rPr>
        <w:footnoteReference w:id="8"/>
      </w:r>
    </w:p>
    <w:p w:rsidR="002B79AC" w:rsidRDefault="002B79AC" w:rsidP="002B79AC">
      <w:pPr>
        <w:rPr>
          <w:rFonts w:ascii="Georgia" w:hAnsi="Georgia" w:cs="Arial"/>
        </w:rPr>
      </w:pPr>
    </w:p>
    <w:p w:rsidR="009B7C53" w:rsidRPr="009B7C53" w:rsidRDefault="009B7C53" w:rsidP="009B7C53">
      <w:pPr>
        <w:rPr>
          <w:rFonts w:ascii="Georgia" w:hAnsi="Georgia" w:cstheme="minorHAnsi"/>
          <w:i/>
        </w:rPr>
      </w:pPr>
      <w:r>
        <w:rPr>
          <w:rFonts w:ascii="Georgia" w:hAnsi="Georgia" w:cstheme="minorHAnsi"/>
        </w:rPr>
        <w:t>An investigation into net zero commitments by Nestle by GRAIN states, “</w:t>
      </w:r>
      <w:r w:rsidRPr="009B7C53">
        <w:rPr>
          <w:rFonts w:ascii="Georgia" w:hAnsi="Georgia" w:cstheme="minorHAnsi"/>
          <w:i/>
        </w:rPr>
        <w:t xml:space="preserve">In December 2020, Nestlé launched its “Net Zero Roadmap”, committing to reduce its emissions by 50% by 2030 and to "net zero" by 2050. The majority of these emissions occur in its supply chain, especially in the sourcing of dairy, meat and commodity crops (coffee, palm oil, sugar, soybeans, </w:t>
      </w:r>
      <w:proofErr w:type="spellStart"/>
      <w:r w:rsidRPr="009B7C53">
        <w:rPr>
          <w:rFonts w:ascii="Georgia" w:hAnsi="Georgia" w:cstheme="minorHAnsi"/>
          <w:i/>
        </w:rPr>
        <w:t>etc</w:t>
      </w:r>
      <w:proofErr w:type="spellEnd"/>
      <w:r w:rsidRPr="009B7C53">
        <w:rPr>
          <w:rFonts w:ascii="Georgia" w:hAnsi="Georgia" w:cstheme="minorHAnsi"/>
          <w:i/>
        </w:rPr>
        <w:t>).</w:t>
      </w:r>
      <w:bookmarkStart w:id="0" w:name="sdfootnote14anc"/>
      <w:r w:rsidRPr="009B7C53">
        <w:rPr>
          <w:rFonts w:ascii="Georgia" w:hAnsi="Georgia" w:cstheme="minorHAnsi"/>
          <w:i/>
          <w:iCs/>
          <w:vertAlign w:val="superscript"/>
        </w:rPr>
        <w:fldChar w:fldCharType="begin"/>
      </w:r>
      <w:r w:rsidRPr="009B7C53">
        <w:rPr>
          <w:rFonts w:ascii="Georgia" w:hAnsi="Georgia" w:cstheme="minorHAnsi"/>
          <w:i/>
          <w:iCs/>
          <w:vertAlign w:val="superscript"/>
        </w:rPr>
        <w:instrText xml:space="preserve"> HYPERLINK "https://grain.org/en/article/6634-corporate-greenwashing-net-zero-and-nature-based-solutions-are-a-deadly-fraud" \l "sdfootnote14sym" </w:instrText>
      </w:r>
      <w:r w:rsidRPr="009B7C53">
        <w:rPr>
          <w:rFonts w:ascii="Georgia" w:hAnsi="Georgia" w:cstheme="minorHAnsi"/>
          <w:i/>
          <w:iCs/>
          <w:vertAlign w:val="superscript"/>
        </w:rPr>
        <w:fldChar w:fldCharType="separate"/>
      </w:r>
      <w:proofErr w:type="gramStart"/>
      <w:r w:rsidRPr="009B7C53">
        <w:rPr>
          <w:rStyle w:val="Hyperlink"/>
          <w:rFonts w:ascii="Georgia" w:hAnsi="Georgia" w:cstheme="minorHAnsi"/>
          <w:i/>
          <w:iCs/>
          <w:vertAlign w:val="superscript"/>
        </w:rPr>
        <w:t>14</w:t>
      </w:r>
      <w:proofErr w:type="gramEnd"/>
      <w:r w:rsidRPr="009B7C53">
        <w:rPr>
          <w:rFonts w:ascii="Georgia" w:hAnsi="Georgia" w:cstheme="minorHAnsi"/>
          <w:i/>
        </w:rPr>
        <w:fldChar w:fldCharType="end"/>
      </w:r>
      <w:bookmarkEnd w:id="0"/>
      <w:r w:rsidRPr="009B7C53">
        <w:rPr>
          <w:rFonts w:ascii="Georgia" w:hAnsi="Georgia" w:cstheme="minorHAnsi"/>
          <w:i/>
        </w:rPr>
        <w:t> Nestlé's annual Scope 3 emissions are roughly double the total emissions of its home country, Switzerland.</w:t>
      </w:r>
      <w:bookmarkStart w:id="1" w:name="sdfootnote15anc"/>
      <w:r w:rsidRPr="009B7C53">
        <w:rPr>
          <w:rFonts w:ascii="Georgia" w:hAnsi="Georgia" w:cstheme="minorHAnsi"/>
          <w:i/>
          <w:vertAlign w:val="superscript"/>
        </w:rPr>
        <w:fldChar w:fldCharType="begin"/>
      </w:r>
      <w:r w:rsidRPr="009B7C53">
        <w:rPr>
          <w:rFonts w:ascii="Georgia" w:hAnsi="Georgia" w:cstheme="minorHAnsi"/>
          <w:i/>
          <w:vertAlign w:val="superscript"/>
        </w:rPr>
        <w:instrText xml:space="preserve"> HYPERLINK "https://grain.org/en/article/6634-corporate-greenwashing-net-zero-and-nature-based-solutions-are-a-deadly-fraud" \l "sdfootnote15sym" </w:instrText>
      </w:r>
      <w:r w:rsidRPr="009B7C53">
        <w:rPr>
          <w:rFonts w:ascii="Georgia" w:hAnsi="Georgia" w:cstheme="minorHAnsi"/>
          <w:i/>
          <w:vertAlign w:val="superscript"/>
        </w:rPr>
        <w:fldChar w:fldCharType="separate"/>
      </w:r>
      <w:r w:rsidRPr="009B7C53">
        <w:rPr>
          <w:rStyle w:val="Hyperlink"/>
          <w:rFonts w:ascii="Georgia" w:hAnsi="Georgia" w:cstheme="minorHAnsi"/>
          <w:i/>
          <w:vertAlign w:val="superscript"/>
        </w:rPr>
        <w:t>15</w:t>
      </w:r>
      <w:r w:rsidRPr="009B7C53">
        <w:rPr>
          <w:rFonts w:ascii="Georgia" w:hAnsi="Georgia" w:cstheme="minorHAnsi"/>
          <w:i/>
        </w:rPr>
        <w:fldChar w:fldCharType="end"/>
      </w:r>
      <w:bookmarkEnd w:id="1"/>
    </w:p>
    <w:p w:rsidR="009B7C53" w:rsidRPr="009B7C53" w:rsidRDefault="009B7C53" w:rsidP="009B7C53">
      <w:pPr>
        <w:rPr>
          <w:rFonts w:ascii="Georgia" w:hAnsi="Georgia" w:cstheme="minorHAnsi"/>
          <w:i/>
        </w:rPr>
      </w:pPr>
    </w:p>
    <w:p w:rsidR="009B7C53" w:rsidRPr="009B7C53" w:rsidRDefault="009B7C53" w:rsidP="009B7C53">
      <w:pPr>
        <w:rPr>
          <w:rFonts w:ascii="Georgia" w:hAnsi="Georgia" w:cstheme="minorHAnsi"/>
          <w:i/>
        </w:rPr>
      </w:pPr>
      <w:r w:rsidRPr="009B7C53">
        <w:rPr>
          <w:rFonts w:ascii="Georgia" w:hAnsi="Georgia" w:cstheme="minorHAnsi"/>
          <w:i/>
        </w:rPr>
        <w:t xml:space="preserve">Nestlé's climate plan does not involve a reduction in its sales of foods based on dairy, meat and other </w:t>
      </w:r>
      <w:proofErr w:type="gramStart"/>
      <w:r w:rsidRPr="009B7C53">
        <w:rPr>
          <w:rFonts w:ascii="Georgia" w:hAnsi="Georgia" w:cstheme="minorHAnsi"/>
          <w:i/>
        </w:rPr>
        <w:t>highly-emitting</w:t>
      </w:r>
      <w:proofErr w:type="gramEnd"/>
      <w:r w:rsidRPr="009B7C53">
        <w:rPr>
          <w:rFonts w:ascii="Georgia" w:hAnsi="Georgia" w:cstheme="minorHAnsi"/>
          <w:i/>
        </w:rPr>
        <w:t xml:space="preserve"> agricultural commodities. To the contrary, its climate plan </w:t>
      </w:r>
      <w:proofErr w:type="gramStart"/>
      <w:r w:rsidRPr="009B7C53">
        <w:rPr>
          <w:rFonts w:ascii="Georgia" w:hAnsi="Georgia" w:cstheme="minorHAnsi"/>
          <w:i/>
        </w:rPr>
        <w:t>is based</w:t>
      </w:r>
      <w:proofErr w:type="gramEnd"/>
      <w:r w:rsidRPr="009B7C53">
        <w:rPr>
          <w:rFonts w:ascii="Georgia" w:hAnsi="Georgia" w:cstheme="minorHAnsi"/>
          <w:i/>
        </w:rPr>
        <w:t xml:space="preserve"> on a projected growth of 68 per cent for both its sourcing of dairy and livestock products and of commodity crops between 2020 and 2030.</w:t>
      </w:r>
      <w:bookmarkStart w:id="2" w:name="sdfootnote16anc"/>
      <w:r w:rsidRPr="009B7C53">
        <w:rPr>
          <w:rFonts w:ascii="Georgia" w:hAnsi="Georgia" w:cstheme="minorHAnsi"/>
          <w:i/>
          <w:vertAlign w:val="superscript"/>
        </w:rPr>
        <w:fldChar w:fldCharType="begin"/>
      </w:r>
      <w:r w:rsidRPr="009B7C53">
        <w:rPr>
          <w:rFonts w:ascii="Georgia" w:hAnsi="Georgia" w:cstheme="minorHAnsi"/>
          <w:i/>
          <w:vertAlign w:val="superscript"/>
        </w:rPr>
        <w:instrText xml:space="preserve"> HYPERLINK "https://grain.org/en/article/6634-corporate-greenwashing-net-zero-and-nature-based-solutions-are-a-deadly-fraud" \l "sdfootnote16sym" </w:instrText>
      </w:r>
      <w:r w:rsidRPr="009B7C53">
        <w:rPr>
          <w:rFonts w:ascii="Georgia" w:hAnsi="Georgia" w:cstheme="minorHAnsi"/>
          <w:i/>
          <w:vertAlign w:val="superscript"/>
        </w:rPr>
        <w:fldChar w:fldCharType="separate"/>
      </w:r>
      <w:r w:rsidRPr="009B7C53">
        <w:rPr>
          <w:rStyle w:val="Hyperlink"/>
          <w:rFonts w:ascii="Georgia" w:hAnsi="Georgia" w:cstheme="minorHAnsi"/>
          <w:i/>
          <w:vertAlign w:val="superscript"/>
        </w:rPr>
        <w:t>16</w:t>
      </w:r>
      <w:r w:rsidRPr="009B7C53">
        <w:rPr>
          <w:rFonts w:ascii="Georgia" w:hAnsi="Georgia" w:cstheme="minorHAnsi"/>
          <w:i/>
        </w:rPr>
        <w:fldChar w:fldCharType="end"/>
      </w:r>
      <w:bookmarkEnd w:id="2"/>
      <w:r w:rsidRPr="009B7C53">
        <w:rPr>
          <w:rFonts w:ascii="Georgia" w:hAnsi="Georgia" w:cstheme="minorHAnsi"/>
          <w:i/>
        </w:rPr>
        <w:t xml:space="preserve"> It claims, however, that this growth in production </w:t>
      </w:r>
      <w:proofErr w:type="gramStart"/>
      <w:r w:rsidRPr="009B7C53">
        <w:rPr>
          <w:rFonts w:ascii="Georgia" w:hAnsi="Georgia" w:cstheme="minorHAnsi"/>
          <w:i/>
        </w:rPr>
        <w:t>will be more than compensated</w:t>
      </w:r>
      <w:proofErr w:type="gramEnd"/>
      <w:r w:rsidRPr="009B7C53">
        <w:rPr>
          <w:rFonts w:ascii="Georgia" w:hAnsi="Georgia" w:cstheme="minorHAnsi"/>
          <w:i/>
        </w:rPr>
        <w:t xml:space="preserve"> by the deployment of climate-friendly technologies and changes to farming practices among its farmer suppliers</w:t>
      </w:r>
      <w:r>
        <w:rPr>
          <w:rFonts w:ascii="Georgia" w:hAnsi="Georgia" w:cstheme="minorHAnsi"/>
          <w:i/>
        </w:rPr>
        <w:t>..</w:t>
      </w:r>
      <w:r w:rsidRPr="009B7C53">
        <w:rPr>
          <w:rFonts w:ascii="Georgia" w:hAnsi="Georgia" w:cstheme="minorHAnsi"/>
          <w:i/>
        </w:rPr>
        <w:t>.</w:t>
      </w:r>
    </w:p>
    <w:p w:rsidR="002B79AC" w:rsidRDefault="002B79AC">
      <w:pPr>
        <w:rPr>
          <w:rFonts w:ascii="Georgia" w:hAnsi="Georgia" w:cstheme="minorHAnsi"/>
        </w:rPr>
      </w:pPr>
    </w:p>
    <w:p w:rsidR="009B7C53" w:rsidRDefault="009B7C53" w:rsidP="009B7C53">
      <w:pPr>
        <w:rPr>
          <w:rFonts w:ascii="Georgia" w:hAnsi="Georgia" w:cstheme="minorHAnsi"/>
          <w:i/>
        </w:rPr>
      </w:pPr>
      <w:r w:rsidRPr="009B7C53">
        <w:rPr>
          <w:rFonts w:ascii="Georgia" w:hAnsi="Georgia" w:cstheme="minorHAnsi"/>
          <w:i/>
        </w:rPr>
        <w:t>Nestlé's Roadmap is pretty much a carbon copy of the other net zero pledges that have been streaming forth from agribusiness and fossil fuel corporations over the past year or so. All of them are based on the continued growth in sales of their highly polluting products, offset by payments to others to suck carbon back into the ground, primarily by protecting forests that are in danger of being cut down or by planting trees on degraded lands.</w:t>
      </w:r>
      <w:r>
        <w:rPr>
          <w:rFonts w:ascii="Georgia" w:hAnsi="Georgia" w:cstheme="minorHAnsi"/>
          <w:i/>
        </w:rPr>
        <w:t xml:space="preserve">” </w:t>
      </w:r>
      <w:r w:rsidR="00FD6E5F">
        <w:rPr>
          <w:rStyle w:val="FootnoteReference"/>
          <w:rFonts w:ascii="Georgia" w:hAnsi="Georgia" w:cstheme="minorHAnsi"/>
          <w:i/>
        </w:rPr>
        <w:footnoteReference w:id="9"/>
      </w:r>
    </w:p>
    <w:p w:rsidR="009B7C53" w:rsidRDefault="009B7C53" w:rsidP="009B7C53">
      <w:pPr>
        <w:rPr>
          <w:rFonts w:ascii="Georgia" w:hAnsi="Georgia" w:cstheme="minorHAnsi"/>
          <w:i/>
        </w:rPr>
      </w:pPr>
    </w:p>
    <w:p w:rsidR="009B7C53" w:rsidRDefault="009B7C53" w:rsidP="009B7C53">
      <w:pPr>
        <w:rPr>
          <w:rFonts w:ascii="Georgia" w:hAnsi="Georgia" w:cstheme="minorHAnsi"/>
          <w:b/>
        </w:rPr>
      </w:pPr>
      <w:r w:rsidRPr="009B7C53">
        <w:rPr>
          <w:rFonts w:ascii="Georgia" w:hAnsi="Georgia" w:cstheme="minorHAnsi"/>
          <w:b/>
        </w:rPr>
        <w:t xml:space="preserve">Investigating ‘Nature Based Solutions” </w:t>
      </w:r>
    </w:p>
    <w:p w:rsidR="004F2B78" w:rsidRDefault="004F2B78" w:rsidP="009B7C53">
      <w:pPr>
        <w:rPr>
          <w:rFonts w:ascii="Georgia" w:hAnsi="Georgia" w:cstheme="minorHAnsi"/>
          <w:b/>
        </w:rPr>
      </w:pPr>
    </w:p>
    <w:p w:rsidR="004F2B78" w:rsidRDefault="004F2B78" w:rsidP="009B7C53">
      <w:pPr>
        <w:rPr>
          <w:rFonts w:ascii="Georgia" w:hAnsi="Georgia" w:cstheme="minorHAnsi"/>
        </w:rPr>
      </w:pPr>
      <w:r w:rsidRPr="004F2B78">
        <w:rPr>
          <w:rFonts w:ascii="Georgia" w:hAnsi="Georgia" w:cstheme="minorHAnsi"/>
        </w:rPr>
        <w:t>Collectively these ‘natural’ solutions for climate, biodiversity crises are being termed ‘Nature Based Solutions’</w:t>
      </w:r>
      <w:r>
        <w:rPr>
          <w:rFonts w:ascii="Georgia" w:hAnsi="Georgia" w:cstheme="minorHAnsi"/>
        </w:rPr>
        <w:t xml:space="preserve">. </w:t>
      </w:r>
      <w:r w:rsidRPr="004F2B78">
        <w:rPr>
          <w:rFonts w:ascii="Georgia" w:hAnsi="Georgia" w:cstheme="minorHAnsi"/>
          <w:lang w:val="en-US"/>
        </w:rPr>
        <w:t xml:space="preserve">The concepts of nature-based solutions (NBS) </w:t>
      </w:r>
      <w:r w:rsidR="005150C7">
        <w:rPr>
          <w:rFonts w:ascii="Georgia" w:hAnsi="Georgia" w:cstheme="minorHAnsi"/>
          <w:lang w:val="en-US"/>
        </w:rPr>
        <w:t>and natural climate solutions (NCS)</w:t>
      </w:r>
      <w:r w:rsidR="00AB6F61">
        <w:rPr>
          <w:rStyle w:val="FootnoteReference"/>
          <w:rFonts w:ascii="Georgia" w:hAnsi="Georgia" w:cstheme="minorHAnsi"/>
          <w:lang w:val="en-US"/>
        </w:rPr>
        <w:footnoteReference w:id="10"/>
      </w:r>
      <w:r w:rsidR="005150C7">
        <w:rPr>
          <w:rFonts w:ascii="Georgia" w:hAnsi="Georgia" w:cstheme="minorHAnsi"/>
          <w:lang w:val="en-US"/>
        </w:rPr>
        <w:t xml:space="preserve"> </w:t>
      </w:r>
      <w:r w:rsidRPr="004F2B78">
        <w:rPr>
          <w:rFonts w:ascii="Georgia" w:hAnsi="Georgia" w:cstheme="minorHAnsi"/>
          <w:lang w:val="en-US"/>
        </w:rPr>
        <w:t>have gained prominence in both climate and biodiversity debates over the last year or so. Claims such as that from the United Nations that “</w:t>
      </w:r>
      <w:r w:rsidRPr="004F2B78">
        <w:rPr>
          <w:rFonts w:ascii="Georgia" w:hAnsi="Georgia" w:cstheme="minorHAnsi"/>
          <w:i/>
          <w:lang w:val="en-US"/>
        </w:rPr>
        <w:t>Changing our land practices alone could deliver 30 per cent of the emissions reductions that we need to achieve the goals of the Paris Agreement on climate action by 2030</w:t>
      </w:r>
      <w:r w:rsidRPr="004F2B78">
        <w:rPr>
          <w:rFonts w:ascii="Georgia" w:hAnsi="Georgia" w:cstheme="minorHAnsi"/>
          <w:lang w:val="en-US"/>
        </w:rPr>
        <w:t>” have been repeated by key decision-makers, some conservation NGOs, and business leaders.</w:t>
      </w:r>
      <w:r w:rsidRPr="004F2B78">
        <w:rPr>
          <w:rFonts w:ascii="Georgia" w:hAnsi="Georgia" w:cstheme="minorHAnsi"/>
        </w:rPr>
        <w:t xml:space="preserve"> </w:t>
      </w:r>
      <w:r>
        <w:rPr>
          <w:rFonts w:ascii="Georgia" w:hAnsi="Georgia" w:cstheme="minorHAnsi"/>
        </w:rPr>
        <w:t xml:space="preserve">Yet </w:t>
      </w:r>
      <w:r w:rsidRPr="004F2B78">
        <w:rPr>
          <w:rFonts w:ascii="Georgia" w:hAnsi="Georgia" w:cstheme="minorHAnsi"/>
        </w:rPr>
        <w:t xml:space="preserve">NBS as a concept is so broad and general </w:t>
      </w:r>
      <w:r w:rsidRPr="004F2B78">
        <w:rPr>
          <w:rFonts w:ascii="Georgia" w:hAnsi="Georgia" w:cstheme="minorHAnsi"/>
          <w:lang w:val="en-US"/>
        </w:rPr>
        <w:t>and includes everything from peatland restoration to monoculture plantations</w:t>
      </w:r>
      <w:r>
        <w:rPr>
          <w:rFonts w:ascii="Georgia" w:hAnsi="Georgia" w:cstheme="minorHAnsi"/>
          <w:lang w:val="en-US"/>
        </w:rPr>
        <w:t xml:space="preserve">. </w:t>
      </w:r>
    </w:p>
    <w:p w:rsidR="004F2B78" w:rsidRDefault="004F2B78" w:rsidP="009B7C53">
      <w:pPr>
        <w:rPr>
          <w:rFonts w:ascii="Georgia" w:hAnsi="Georgia" w:cstheme="minorHAnsi"/>
        </w:rPr>
      </w:pPr>
    </w:p>
    <w:p w:rsidR="003753A8" w:rsidRPr="003753A8" w:rsidRDefault="003753A8" w:rsidP="003753A8">
      <w:pPr>
        <w:rPr>
          <w:rFonts w:ascii="Georgia" w:hAnsi="Georgia" w:cstheme="minorHAnsi"/>
          <w:lang w:val="en-US"/>
        </w:rPr>
      </w:pPr>
      <w:r>
        <w:rPr>
          <w:rFonts w:ascii="Georgia" w:hAnsi="Georgia" w:cstheme="minorHAnsi"/>
          <w:lang w:val="en-US"/>
        </w:rPr>
        <w:t xml:space="preserve">NBS has also become the new buzzword </w:t>
      </w:r>
      <w:r w:rsidR="00AB6F61">
        <w:rPr>
          <w:rFonts w:ascii="Georgia" w:hAnsi="Georgia" w:cstheme="minorHAnsi"/>
          <w:lang w:val="en-US"/>
        </w:rPr>
        <w:t xml:space="preserve">in sustainable </w:t>
      </w:r>
      <w:r>
        <w:rPr>
          <w:rFonts w:ascii="Georgia" w:hAnsi="Georgia" w:cstheme="minorHAnsi"/>
          <w:lang w:val="en-US"/>
        </w:rPr>
        <w:t xml:space="preserve">agriculture. </w:t>
      </w:r>
      <w:r w:rsidRPr="003753A8">
        <w:rPr>
          <w:rFonts w:ascii="Georgia" w:hAnsi="Georgia" w:cstheme="minorHAnsi"/>
          <w:lang w:val="en-US"/>
        </w:rPr>
        <w:t xml:space="preserve">The promotion of NBS in agriculture raises several issues of concern. </w:t>
      </w:r>
      <w:r>
        <w:rPr>
          <w:rFonts w:ascii="Georgia" w:hAnsi="Georgia" w:cstheme="minorHAnsi"/>
          <w:lang w:val="en-US"/>
        </w:rPr>
        <w:t xml:space="preserve">The main scientific analysis that forms the basis for justifying </w:t>
      </w:r>
      <w:r w:rsidR="00403CD6">
        <w:rPr>
          <w:rFonts w:ascii="Georgia" w:hAnsi="Georgia" w:cstheme="minorHAnsi"/>
          <w:lang w:val="en-US"/>
        </w:rPr>
        <w:t>NBS</w:t>
      </w:r>
      <w:r>
        <w:rPr>
          <w:rFonts w:ascii="Georgia" w:hAnsi="Georgia" w:cstheme="minorHAnsi"/>
          <w:lang w:val="en-US"/>
        </w:rPr>
        <w:t xml:space="preserve"> assumes the</w:t>
      </w:r>
      <w:r w:rsidRPr="003753A8">
        <w:rPr>
          <w:rFonts w:ascii="Georgia" w:hAnsi="Georgia" w:cstheme="minorHAnsi"/>
          <w:lang w:val="en-US"/>
        </w:rPr>
        <w:t xml:space="preserve"> removal of vast areas of land from agriculture through ‘sustainable intensification’ of farming</w:t>
      </w:r>
      <w:r>
        <w:rPr>
          <w:rFonts w:ascii="Georgia" w:hAnsi="Georgia" w:cstheme="minorHAnsi"/>
          <w:lang w:val="en-US"/>
        </w:rPr>
        <w:t xml:space="preserve"> in order to </w:t>
      </w:r>
      <w:r w:rsidR="00403CD6">
        <w:rPr>
          <w:rFonts w:ascii="Georgia" w:hAnsi="Georgia" w:cstheme="minorHAnsi"/>
          <w:lang w:val="en-US"/>
        </w:rPr>
        <w:t>free land</w:t>
      </w:r>
      <w:r>
        <w:rPr>
          <w:rFonts w:ascii="Georgia" w:hAnsi="Georgia" w:cstheme="minorHAnsi"/>
          <w:lang w:val="en-US"/>
        </w:rPr>
        <w:t xml:space="preserve"> for tree planting or reforestation. </w:t>
      </w:r>
      <w:r w:rsidR="005150C7">
        <w:rPr>
          <w:rStyle w:val="FootnoteReference"/>
          <w:rFonts w:ascii="Georgia" w:hAnsi="Georgia" w:cstheme="minorHAnsi"/>
          <w:lang w:val="en-US"/>
        </w:rPr>
        <w:footnoteReference w:id="11"/>
      </w:r>
      <w:proofErr w:type="gramStart"/>
      <w:r>
        <w:rPr>
          <w:rFonts w:ascii="Georgia" w:hAnsi="Georgia" w:cstheme="minorHAnsi"/>
          <w:lang w:val="en-US"/>
        </w:rPr>
        <w:t>However</w:t>
      </w:r>
      <w:proofErr w:type="gramEnd"/>
      <w:r>
        <w:rPr>
          <w:rFonts w:ascii="Georgia" w:hAnsi="Georgia" w:cstheme="minorHAnsi"/>
          <w:lang w:val="en-US"/>
        </w:rPr>
        <w:t xml:space="preserve"> </w:t>
      </w:r>
      <w:r w:rsidRPr="003753A8">
        <w:rPr>
          <w:rFonts w:ascii="Georgia" w:hAnsi="Georgia" w:cstheme="minorHAnsi"/>
          <w:lang w:val="en-US"/>
        </w:rPr>
        <w:t xml:space="preserve">‘Sustainable Intensification’ </w:t>
      </w:r>
      <w:r>
        <w:rPr>
          <w:rFonts w:ascii="Georgia" w:hAnsi="Georgia" w:cstheme="minorHAnsi"/>
          <w:lang w:val="en-US"/>
        </w:rPr>
        <w:t xml:space="preserve">(SI) is essentially intensification with some greening. It does not envisage the transformation of food systems that many experts agree </w:t>
      </w:r>
      <w:proofErr w:type="gramStart"/>
      <w:r>
        <w:rPr>
          <w:rFonts w:ascii="Georgia" w:hAnsi="Georgia" w:cstheme="minorHAnsi"/>
          <w:lang w:val="en-US"/>
        </w:rPr>
        <w:t>is needed</w:t>
      </w:r>
      <w:proofErr w:type="gramEnd"/>
      <w:r>
        <w:rPr>
          <w:rFonts w:ascii="Georgia" w:hAnsi="Georgia" w:cstheme="minorHAnsi"/>
          <w:lang w:val="en-US"/>
        </w:rPr>
        <w:t>. SI includes</w:t>
      </w:r>
      <w:r w:rsidRPr="003753A8">
        <w:rPr>
          <w:rFonts w:ascii="Georgia" w:hAnsi="Georgia" w:cstheme="minorHAnsi"/>
          <w:lang w:val="en-US"/>
        </w:rPr>
        <w:t xml:space="preserve"> reducing tillage </w:t>
      </w:r>
      <w:proofErr w:type="gramStart"/>
      <w:r w:rsidRPr="003753A8">
        <w:rPr>
          <w:rFonts w:ascii="Georgia" w:hAnsi="Georgia" w:cstheme="minorHAnsi"/>
          <w:lang w:val="en-US"/>
        </w:rPr>
        <w:t>through the use of</w:t>
      </w:r>
      <w:proofErr w:type="gramEnd"/>
      <w:r w:rsidRPr="003753A8">
        <w:rPr>
          <w:rFonts w:ascii="Georgia" w:hAnsi="Georgia" w:cstheme="minorHAnsi"/>
          <w:lang w:val="en-US"/>
        </w:rPr>
        <w:t xml:space="preserve"> GMOs and pesticides, but also “less emissions per unit of production” or essentially intensification, GMOs, gene editing, </w:t>
      </w:r>
      <w:r>
        <w:rPr>
          <w:rFonts w:ascii="Georgia" w:hAnsi="Georgia" w:cstheme="minorHAnsi"/>
          <w:lang w:val="en-US"/>
        </w:rPr>
        <w:t xml:space="preserve">and </w:t>
      </w:r>
      <w:r w:rsidRPr="003753A8">
        <w:rPr>
          <w:rFonts w:ascii="Georgia" w:hAnsi="Georgia" w:cstheme="minorHAnsi"/>
          <w:lang w:val="en-US"/>
        </w:rPr>
        <w:t>bioenergy crops.</w:t>
      </w:r>
    </w:p>
    <w:p w:rsidR="003753A8" w:rsidRPr="003753A8" w:rsidRDefault="003753A8" w:rsidP="003753A8">
      <w:pPr>
        <w:rPr>
          <w:rFonts w:ascii="Georgia" w:hAnsi="Georgia" w:cstheme="minorHAnsi"/>
          <w:lang w:val="en-US"/>
        </w:rPr>
      </w:pPr>
    </w:p>
    <w:p w:rsidR="003753A8" w:rsidRPr="003753A8" w:rsidRDefault="003753A8" w:rsidP="003753A8">
      <w:pPr>
        <w:rPr>
          <w:rFonts w:ascii="Georgia" w:hAnsi="Georgia" w:cstheme="minorHAnsi"/>
          <w:lang w:val="en-US"/>
        </w:rPr>
      </w:pPr>
      <w:r w:rsidRPr="003753A8">
        <w:rPr>
          <w:rFonts w:ascii="Georgia" w:hAnsi="Georgia" w:cstheme="minorHAnsi"/>
          <w:lang w:val="en-US"/>
        </w:rPr>
        <w:t xml:space="preserve">Without such sparing of land for NBS via agricultural intensification, NBS is essentially implausible at large scale. </w:t>
      </w:r>
      <w:proofErr w:type="gramStart"/>
      <w:r w:rsidRPr="003753A8">
        <w:rPr>
          <w:rFonts w:ascii="Georgia" w:hAnsi="Georgia" w:cstheme="minorHAnsi"/>
          <w:lang w:val="en-US"/>
        </w:rPr>
        <w:t>However</w:t>
      </w:r>
      <w:proofErr w:type="gramEnd"/>
      <w:r w:rsidRPr="003753A8">
        <w:rPr>
          <w:rFonts w:ascii="Georgia" w:hAnsi="Georgia" w:cstheme="minorHAnsi"/>
          <w:lang w:val="en-US"/>
        </w:rPr>
        <w:t xml:space="preserve"> several intensification techniques are themselves huge threats to climate and biodiversity</w:t>
      </w:r>
      <w:r>
        <w:rPr>
          <w:rFonts w:ascii="Georgia" w:hAnsi="Georgia" w:cstheme="minorHAnsi"/>
          <w:lang w:val="en-US"/>
        </w:rPr>
        <w:t xml:space="preserve"> </w:t>
      </w:r>
      <w:r w:rsidRPr="003753A8">
        <w:rPr>
          <w:rFonts w:ascii="Georgia" w:hAnsi="Georgia" w:cstheme="minorHAnsi"/>
          <w:lang w:val="en-US"/>
        </w:rPr>
        <w:t xml:space="preserve">protection such as gene drives, increasing fertilizer use or factory farming of animals. Sustainable Intensification </w:t>
      </w:r>
      <w:proofErr w:type="gramStart"/>
      <w:r w:rsidRPr="003753A8">
        <w:rPr>
          <w:rFonts w:ascii="Georgia" w:hAnsi="Georgia" w:cstheme="minorHAnsi"/>
          <w:lang w:val="en-US"/>
        </w:rPr>
        <w:t>is also based</w:t>
      </w:r>
      <w:proofErr w:type="gramEnd"/>
      <w:r w:rsidRPr="003753A8">
        <w:rPr>
          <w:rFonts w:ascii="Georgia" w:hAnsi="Georgia" w:cstheme="minorHAnsi"/>
          <w:lang w:val="en-US"/>
        </w:rPr>
        <w:t xml:space="preserve"> on hugely contested science, such as mitigation potential of soil carbon sequestration, greenhouse gas (GHG) emissions of ruminants, bioenergy carbon balances etc.</w:t>
      </w:r>
    </w:p>
    <w:p w:rsidR="003753A8" w:rsidRDefault="003753A8" w:rsidP="003753A8">
      <w:pPr>
        <w:rPr>
          <w:rFonts w:ascii="Georgia" w:hAnsi="Georgia" w:cstheme="minorHAnsi"/>
          <w:lang w:val="en-US"/>
        </w:rPr>
      </w:pPr>
    </w:p>
    <w:p w:rsidR="003753A8" w:rsidRPr="003753A8" w:rsidRDefault="003753A8" w:rsidP="003753A8">
      <w:pPr>
        <w:rPr>
          <w:rFonts w:ascii="Georgia" w:hAnsi="Georgia" w:cstheme="minorHAnsi"/>
          <w:lang w:val="en-US"/>
        </w:rPr>
      </w:pPr>
      <w:r w:rsidRPr="003753A8">
        <w:rPr>
          <w:rFonts w:ascii="Georgia" w:hAnsi="Georgia" w:cstheme="minorHAnsi"/>
          <w:lang w:val="en-US"/>
        </w:rPr>
        <w:t xml:space="preserve">Indeed NBS in agriculture </w:t>
      </w:r>
      <w:r w:rsidR="00D05E2A">
        <w:rPr>
          <w:rFonts w:ascii="Georgia" w:hAnsi="Georgia" w:cstheme="minorHAnsi"/>
          <w:lang w:val="en-US"/>
        </w:rPr>
        <w:t>is being used as</w:t>
      </w:r>
      <w:r w:rsidRPr="003753A8">
        <w:rPr>
          <w:rFonts w:ascii="Georgia" w:hAnsi="Georgia" w:cstheme="minorHAnsi"/>
          <w:lang w:val="en-US"/>
        </w:rPr>
        <w:t xml:space="preserve"> the answer of agribusinesses to replace the increase prominence and demands for agroecology by social movements, civil society, experts and institutions with a </w:t>
      </w:r>
      <w:r>
        <w:rPr>
          <w:rFonts w:ascii="Georgia" w:hAnsi="Georgia" w:cstheme="minorHAnsi"/>
          <w:lang w:val="en-US"/>
        </w:rPr>
        <w:t xml:space="preserve">“Junk” </w:t>
      </w:r>
      <w:r w:rsidRPr="003753A8">
        <w:rPr>
          <w:rFonts w:ascii="Georgia" w:hAnsi="Georgia" w:cstheme="minorHAnsi"/>
          <w:lang w:val="en-US"/>
        </w:rPr>
        <w:t xml:space="preserve">version of </w:t>
      </w:r>
      <w:proofErr w:type="gramStart"/>
      <w:r w:rsidRPr="003753A8">
        <w:rPr>
          <w:rFonts w:ascii="Georgia" w:hAnsi="Georgia" w:cstheme="minorHAnsi"/>
          <w:lang w:val="en-US"/>
        </w:rPr>
        <w:t>agroecology which keeps the status quo of corporate control, productivity obsession and market</w:t>
      </w:r>
      <w:proofErr w:type="gramEnd"/>
      <w:r w:rsidRPr="003753A8">
        <w:rPr>
          <w:rFonts w:ascii="Georgia" w:hAnsi="Georgia" w:cstheme="minorHAnsi"/>
          <w:lang w:val="en-US"/>
        </w:rPr>
        <w:t xml:space="preserve"> based solutions.</w:t>
      </w:r>
      <w:r w:rsidR="00403CD6">
        <w:rPr>
          <w:rStyle w:val="FootnoteReference"/>
          <w:rFonts w:ascii="Georgia" w:hAnsi="Georgia" w:cstheme="minorHAnsi"/>
          <w:lang w:val="en-US"/>
        </w:rPr>
        <w:footnoteReference w:id="12"/>
      </w:r>
      <w:r w:rsidRPr="003753A8">
        <w:rPr>
          <w:rFonts w:ascii="Georgia" w:hAnsi="Georgia" w:cstheme="minorHAnsi"/>
          <w:lang w:val="en-US"/>
        </w:rPr>
        <w:t xml:space="preserve"> </w:t>
      </w:r>
    </w:p>
    <w:p w:rsidR="003753A8" w:rsidRPr="003753A8" w:rsidRDefault="003753A8" w:rsidP="003753A8">
      <w:pPr>
        <w:rPr>
          <w:rFonts w:ascii="Georgia" w:hAnsi="Georgia" w:cstheme="minorHAnsi"/>
          <w:lang w:val="en-US"/>
        </w:rPr>
      </w:pPr>
    </w:p>
    <w:p w:rsidR="003753A8" w:rsidRPr="00A21940" w:rsidRDefault="00A21940">
      <w:pPr>
        <w:rPr>
          <w:rFonts w:ascii="Georgia" w:hAnsi="Georgia" w:cstheme="minorHAnsi"/>
          <w:b/>
        </w:rPr>
      </w:pPr>
      <w:r w:rsidRPr="00A21940">
        <w:rPr>
          <w:rFonts w:ascii="Georgia" w:hAnsi="Georgia" w:cstheme="minorHAnsi"/>
          <w:b/>
        </w:rPr>
        <w:t xml:space="preserve">Real solutions for Peoples’ rights </w:t>
      </w:r>
    </w:p>
    <w:p w:rsidR="00A21940" w:rsidRDefault="00A21940">
      <w:pPr>
        <w:rPr>
          <w:rFonts w:ascii="Georgia" w:hAnsi="Georgia" w:cstheme="minorHAnsi"/>
        </w:rPr>
      </w:pPr>
    </w:p>
    <w:p w:rsidR="00A21940" w:rsidRDefault="00A21940" w:rsidP="00A21940">
      <w:pPr>
        <w:rPr>
          <w:rFonts w:ascii="Georgia" w:hAnsi="Georgia" w:cstheme="minorHAnsi"/>
        </w:rPr>
      </w:pPr>
      <w:r>
        <w:rPr>
          <w:rFonts w:ascii="Georgia" w:hAnsi="Georgia" w:cstheme="minorHAnsi"/>
        </w:rPr>
        <w:t>D</w:t>
      </w:r>
      <w:r w:rsidRPr="00A21940">
        <w:rPr>
          <w:rFonts w:ascii="Georgia" w:hAnsi="Georgia" w:cstheme="minorHAnsi"/>
        </w:rPr>
        <w:t>ecentralised solutions to the climate crisis based on ecological, autonomous management, traditional knowledge and governance by Indigenous people, forest peoples, small scale food producers of their own land and territories such as agroecology and community forest management (CFM) already exist and are gaining importance.</w:t>
      </w:r>
      <w:r w:rsidRPr="00A21940">
        <w:rPr>
          <w:rFonts w:ascii="Georgia" w:hAnsi="Georgia" w:cstheme="minorHAnsi"/>
          <w:vertAlign w:val="superscript"/>
        </w:rPr>
        <w:footnoteReference w:id="13"/>
      </w:r>
      <w:r w:rsidRPr="00A21940">
        <w:rPr>
          <w:rFonts w:ascii="Georgia" w:hAnsi="Georgia" w:cstheme="minorHAnsi"/>
        </w:rPr>
        <w:t xml:space="preserve"> </w:t>
      </w:r>
      <w:r w:rsidRPr="00A21940">
        <w:rPr>
          <w:rFonts w:ascii="Georgia" w:hAnsi="Georgia" w:cstheme="minorHAnsi"/>
          <w:vertAlign w:val="superscript"/>
        </w:rPr>
        <w:footnoteReference w:id="14"/>
      </w:r>
      <w:r w:rsidRPr="00A21940">
        <w:rPr>
          <w:rFonts w:ascii="Georgia" w:hAnsi="Georgia" w:cstheme="minorHAnsi"/>
        </w:rPr>
        <w:t xml:space="preserve"> CFM is the best way to protect forests and ecosystems that naturally store </w:t>
      </w:r>
      <w:proofErr w:type="gramStart"/>
      <w:r w:rsidRPr="00A21940">
        <w:rPr>
          <w:rFonts w:ascii="Georgia" w:hAnsi="Georgia" w:cstheme="minorHAnsi"/>
        </w:rPr>
        <w:t>carbon,</w:t>
      </w:r>
      <w:proofErr w:type="gramEnd"/>
      <w:r w:rsidRPr="00A21940">
        <w:rPr>
          <w:rFonts w:ascii="Georgia" w:hAnsi="Georgia" w:cstheme="minorHAnsi"/>
        </w:rPr>
        <w:t xml:space="preserve"> and agroecology can reduce the use of fossil fuels, increase yields and store carbon in soils. </w:t>
      </w:r>
    </w:p>
    <w:p w:rsidR="0038434E" w:rsidRDefault="0038434E" w:rsidP="00A21940">
      <w:pPr>
        <w:rPr>
          <w:rFonts w:ascii="Georgia" w:hAnsi="Georgia" w:cstheme="minorHAnsi"/>
        </w:rPr>
      </w:pPr>
    </w:p>
    <w:p w:rsidR="0038434E" w:rsidRPr="008F71AF" w:rsidRDefault="0038434E" w:rsidP="0038434E">
      <w:pPr>
        <w:rPr>
          <w:rFonts w:ascii="Georgia" w:hAnsi="Georgia" w:cs="Arial"/>
        </w:rPr>
      </w:pPr>
      <w:r w:rsidRPr="008F71AF">
        <w:rPr>
          <w:rFonts w:ascii="Georgia" w:hAnsi="Georgia" w:cs="Arial"/>
        </w:rPr>
        <w:t>C</w:t>
      </w:r>
      <w:r>
        <w:rPr>
          <w:rFonts w:ascii="Georgia" w:hAnsi="Georgia" w:cs="Arial"/>
        </w:rPr>
        <w:t xml:space="preserve">ommunity </w:t>
      </w:r>
      <w:r w:rsidRPr="008F71AF">
        <w:rPr>
          <w:rFonts w:ascii="Georgia" w:hAnsi="Georgia" w:cs="Arial"/>
        </w:rPr>
        <w:t>F</w:t>
      </w:r>
      <w:r>
        <w:rPr>
          <w:rFonts w:ascii="Georgia" w:hAnsi="Georgia" w:cs="Arial"/>
        </w:rPr>
        <w:t xml:space="preserve">orest </w:t>
      </w:r>
      <w:r w:rsidRPr="008F71AF">
        <w:rPr>
          <w:rFonts w:ascii="Georgia" w:hAnsi="Georgia" w:cs="Arial"/>
        </w:rPr>
        <w:t>M</w:t>
      </w:r>
      <w:r>
        <w:rPr>
          <w:rFonts w:ascii="Georgia" w:hAnsi="Georgia" w:cs="Arial"/>
        </w:rPr>
        <w:t>anagement</w:t>
      </w:r>
      <w:r w:rsidRPr="008F71AF">
        <w:rPr>
          <w:rFonts w:ascii="Georgia" w:hAnsi="Georgia" w:cs="Arial"/>
        </w:rPr>
        <w:t xml:space="preserve"> </w:t>
      </w:r>
      <w:r>
        <w:rPr>
          <w:rFonts w:ascii="Georgia" w:hAnsi="Georgia" w:cs="Arial"/>
        </w:rPr>
        <w:t xml:space="preserve">(CFM) </w:t>
      </w:r>
      <w:r w:rsidRPr="008F71AF">
        <w:rPr>
          <w:rFonts w:ascii="Georgia" w:hAnsi="Georgia" w:cs="Arial"/>
        </w:rPr>
        <w:t xml:space="preserve">offers an alternative to the industrial forestry practices that have devastated forests and driven severe social injustices. It blends appropriate technology, ancestral knowledge and community practices relating to resource use. However, CFM is not just a technical </w:t>
      </w:r>
      <w:proofErr w:type="gramStart"/>
      <w:r w:rsidRPr="008F71AF">
        <w:rPr>
          <w:rFonts w:ascii="Georgia" w:hAnsi="Georgia" w:cs="Arial"/>
        </w:rPr>
        <w:t>approach,</w:t>
      </w:r>
      <w:proofErr w:type="gramEnd"/>
      <w:r w:rsidRPr="008F71AF">
        <w:rPr>
          <w:rFonts w:ascii="Georgia" w:hAnsi="Georgia" w:cs="Arial"/>
        </w:rPr>
        <w:t xml:space="preserve"> it is also a major opportunity for communities to exercise political control of their territories and resources. CFM is an effective and economically viable alternative to destructive industrial logging and offers a win-win solution to biodiversity loss and climate change.</w:t>
      </w:r>
      <w:r>
        <w:rPr>
          <w:rStyle w:val="FootnoteReference"/>
          <w:rFonts w:ascii="Georgia" w:hAnsi="Georgia" w:cs="Arial"/>
        </w:rPr>
        <w:footnoteReference w:id="15"/>
      </w:r>
    </w:p>
    <w:p w:rsidR="0038434E" w:rsidRDefault="0038434E" w:rsidP="0038434E">
      <w:pPr>
        <w:rPr>
          <w:rFonts w:ascii="Georgia" w:hAnsi="Georgia" w:cs="Arial"/>
        </w:rPr>
      </w:pPr>
    </w:p>
    <w:p w:rsidR="0038434E" w:rsidRPr="000C3E44" w:rsidRDefault="0038434E" w:rsidP="0038434E">
      <w:pPr>
        <w:rPr>
          <w:rFonts w:ascii="Georgia" w:hAnsi="Georgia" w:cs="Arial"/>
        </w:rPr>
      </w:pPr>
      <w:r>
        <w:rPr>
          <w:rFonts w:ascii="Georgia" w:hAnsi="Georgia" w:cs="Arial"/>
        </w:rPr>
        <w:t xml:space="preserve">Agroecology </w:t>
      </w:r>
      <w:r w:rsidRPr="001E4627">
        <w:rPr>
          <w:rFonts w:ascii="Georgia" w:hAnsi="Georgia" w:cs="Arial"/>
        </w:rPr>
        <w:t xml:space="preserve">in the framework of food sovereignty </w:t>
      </w:r>
      <w:r>
        <w:rPr>
          <w:rFonts w:ascii="Georgia" w:hAnsi="Georgia" w:cs="Arial"/>
        </w:rPr>
        <w:t xml:space="preserve">offers an alternative to industrial </w:t>
      </w:r>
      <w:proofErr w:type="spellStart"/>
      <w:r>
        <w:rPr>
          <w:rFonts w:ascii="Georgia" w:hAnsi="Georgia" w:cs="Arial"/>
        </w:rPr>
        <w:t>agrocommodites</w:t>
      </w:r>
      <w:proofErr w:type="spellEnd"/>
      <w:r>
        <w:rPr>
          <w:rFonts w:ascii="Georgia" w:hAnsi="Georgia" w:cs="Arial"/>
        </w:rPr>
        <w:t xml:space="preserve"> that are a leading cause of land rights violations and land grabbing. It also encompasses a political approach for </w:t>
      </w:r>
      <w:proofErr w:type="gramStart"/>
      <w:r>
        <w:rPr>
          <w:rFonts w:ascii="Georgia" w:hAnsi="Georgia" w:cs="Arial"/>
        </w:rPr>
        <w:t>small scale</w:t>
      </w:r>
      <w:proofErr w:type="gramEnd"/>
      <w:r>
        <w:rPr>
          <w:rFonts w:ascii="Georgia" w:hAnsi="Georgia" w:cs="Arial"/>
        </w:rPr>
        <w:t xml:space="preserve"> food producers to produce food ecologically, drastically reducing emissions, protecting biodiversity and ensuring their c</w:t>
      </w:r>
      <w:r w:rsidRPr="000C3E44">
        <w:rPr>
          <w:rFonts w:ascii="Georgia" w:hAnsi="Georgia" w:cs="Arial"/>
        </w:rPr>
        <w:t xml:space="preserve">ollective rights and access to </w:t>
      </w:r>
      <w:r>
        <w:rPr>
          <w:rFonts w:ascii="Georgia" w:hAnsi="Georgia" w:cs="Arial"/>
        </w:rPr>
        <w:t xml:space="preserve">and control over their </w:t>
      </w:r>
      <w:r w:rsidRPr="000C3E44">
        <w:rPr>
          <w:rFonts w:ascii="Georgia" w:hAnsi="Georgia" w:cs="Arial"/>
        </w:rPr>
        <w:t>commons</w:t>
      </w:r>
      <w:r>
        <w:rPr>
          <w:rFonts w:ascii="Georgia" w:hAnsi="Georgia" w:cs="Arial"/>
        </w:rPr>
        <w:t xml:space="preserve">. </w:t>
      </w:r>
      <w:r>
        <w:rPr>
          <w:rStyle w:val="FootnoteReference"/>
          <w:rFonts w:ascii="Georgia" w:hAnsi="Georgia" w:cs="Arial"/>
        </w:rPr>
        <w:footnoteReference w:id="16"/>
      </w:r>
      <w:r>
        <w:rPr>
          <w:rFonts w:ascii="Georgia" w:hAnsi="Georgia" w:cs="Arial"/>
        </w:rPr>
        <w:t xml:space="preserve"> </w:t>
      </w:r>
      <w:r>
        <w:rPr>
          <w:rStyle w:val="FootnoteReference"/>
          <w:rFonts w:ascii="Georgia" w:hAnsi="Georgia" w:cs="Arial"/>
        </w:rPr>
        <w:footnoteReference w:id="17"/>
      </w:r>
      <w:r>
        <w:rPr>
          <w:rFonts w:ascii="Georgia" w:hAnsi="Georgia" w:cs="Arial"/>
        </w:rPr>
        <w:t xml:space="preserve"> </w:t>
      </w:r>
      <w:r>
        <w:rPr>
          <w:rStyle w:val="FootnoteReference"/>
          <w:rFonts w:ascii="Georgia" w:hAnsi="Georgia" w:cs="Arial"/>
        </w:rPr>
        <w:footnoteReference w:id="18"/>
      </w:r>
    </w:p>
    <w:p w:rsidR="0038434E" w:rsidRDefault="0038434E" w:rsidP="0038434E">
      <w:pPr>
        <w:rPr>
          <w:rFonts w:ascii="Georgia" w:hAnsi="Georgia" w:cs="Arial"/>
        </w:rPr>
      </w:pPr>
    </w:p>
    <w:p w:rsidR="0038434E" w:rsidRDefault="0038434E" w:rsidP="0038434E">
      <w:pPr>
        <w:rPr>
          <w:rFonts w:ascii="Georgia" w:hAnsi="Georgia" w:cs="Arial"/>
        </w:rPr>
      </w:pPr>
      <w:r w:rsidRPr="00C672AE">
        <w:rPr>
          <w:rFonts w:ascii="Georgia" w:hAnsi="Georgia" w:cs="Arial"/>
        </w:rPr>
        <w:t xml:space="preserve">The Collective rights to Land and associated rights to what we call ‘territories’ such  as Right to Water, right to self- determination, </w:t>
      </w:r>
      <w:proofErr w:type="spellStart"/>
      <w:r w:rsidRPr="00C672AE">
        <w:rPr>
          <w:rFonts w:ascii="Georgia" w:hAnsi="Georgia" w:cs="Arial"/>
        </w:rPr>
        <w:t>womens</w:t>
      </w:r>
      <w:proofErr w:type="spellEnd"/>
      <w:r w:rsidRPr="00C672AE">
        <w:rPr>
          <w:rFonts w:ascii="Georgia" w:hAnsi="Georgia" w:cs="Arial"/>
        </w:rPr>
        <w:t xml:space="preserve">’ rights and how they are conceptualised </w:t>
      </w:r>
      <w:r>
        <w:rPr>
          <w:rFonts w:ascii="Georgia" w:hAnsi="Georgia" w:cs="Arial"/>
        </w:rPr>
        <w:t>in CFM and agroecology are</w:t>
      </w:r>
      <w:r w:rsidRPr="00C672AE">
        <w:rPr>
          <w:rFonts w:ascii="Georgia" w:hAnsi="Georgia" w:cs="Arial"/>
        </w:rPr>
        <w:t xml:space="preserve"> central in tackling the structural causes of the environmental crises. </w:t>
      </w:r>
    </w:p>
    <w:p w:rsidR="0038434E" w:rsidRDefault="0038434E" w:rsidP="00A21940">
      <w:pPr>
        <w:rPr>
          <w:rFonts w:ascii="Georgia" w:hAnsi="Georgia" w:cstheme="minorHAnsi"/>
        </w:rPr>
      </w:pPr>
    </w:p>
    <w:p w:rsidR="0038434E" w:rsidRPr="0038434E" w:rsidRDefault="0038434E" w:rsidP="0038434E">
      <w:pPr>
        <w:rPr>
          <w:rFonts w:ascii="Georgia" w:hAnsi="Georgia" w:cstheme="minorHAnsi"/>
          <w:b/>
          <w:i/>
        </w:rPr>
      </w:pPr>
      <w:proofErr w:type="gramStart"/>
      <w:r w:rsidRPr="0038434E">
        <w:rPr>
          <w:rFonts w:ascii="Georgia" w:hAnsi="Georgia" w:cstheme="minorHAnsi"/>
          <w:b/>
          <w:i/>
        </w:rPr>
        <w:t xml:space="preserve">Therefore it is key that </w:t>
      </w:r>
      <w:r>
        <w:rPr>
          <w:rFonts w:ascii="Georgia" w:hAnsi="Georgia" w:cstheme="minorHAnsi"/>
          <w:b/>
          <w:i/>
        </w:rPr>
        <w:t>your report</w:t>
      </w:r>
      <w:r w:rsidRPr="0038434E">
        <w:rPr>
          <w:rFonts w:ascii="Georgia" w:hAnsi="Georgia" w:cstheme="minorHAnsi"/>
          <w:b/>
          <w:i/>
        </w:rPr>
        <w:t xml:space="preserve"> differentiates between false solutions to the ecological crises - including some land based climate mitigation schemes and market mechanisms for climate and biodiversity protection and the </w:t>
      </w:r>
      <w:proofErr w:type="spellStart"/>
      <w:r w:rsidRPr="0038434E">
        <w:rPr>
          <w:rFonts w:ascii="Georgia" w:hAnsi="Georgia" w:cstheme="minorHAnsi"/>
          <w:b/>
          <w:i/>
        </w:rPr>
        <w:t>financialisation</w:t>
      </w:r>
      <w:proofErr w:type="spellEnd"/>
      <w:r w:rsidRPr="0038434E">
        <w:rPr>
          <w:rFonts w:ascii="Georgia" w:hAnsi="Georgia" w:cstheme="minorHAnsi"/>
          <w:b/>
          <w:i/>
        </w:rPr>
        <w:t xml:space="preserve"> of nature which can worsen the progressive realisation of human rights - and real solutions strongly based in Human Rights approaches and which are in line with the VGGTs, UNDROP and UNDRIP such as Community Forest Management and Agroecology in the framework of food sovereignty.</w:t>
      </w:r>
      <w:proofErr w:type="gramEnd"/>
      <w:r w:rsidRPr="0038434E">
        <w:rPr>
          <w:rFonts w:ascii="Georgia" w:hAnsi="Georgia" w:cstheme="minorHAnsi"/>
          <w:b/>
          <w:i/>
        </w:rPr>
        <w:t xml:space="preserve"> </w:t>
      </w:r>
    </w:p>
    <w:p w:rsidR="0038434E" w:rsidRPr="0038434E" w:rsidRDefault="0038434E" w:rsidP="0038434E">
      <w:pPr>
        <w:rPr>
          <w:rFonts w:ascii="Georgia" w:hAnsi="Georgia" w:cstheme="minorHAnsi"/>
          <w:b/>
          <w:i/>
        </w:rPr>
      </w:pPr>
    </w:p>
    <w:p w:rsidR="0038434E" w:rsidRPr="0038434E" w:rsidRDefault="0038434E" w:rsidP="0038434E">
      <w:pPr>
        <w:rPr>
          <w:rFonts w:ascii="Georgia" w:hAnsi="Georgia" w:cstheme="minorHAnsi"/>
          <w:b/>
          <w:i/>
        </w:rPr>
      </w:pPr>
      <w:r w:rsidRPr="0038434E">
        <w:rPr>
          <w:rFonts w:ascii="Georgia" w:hAnsi="Georgia" w:cstheme="minorHAnsi"/>
          <w:b/>
          <w:i/>
        </w:rPr>
        <w:t>The implementation of CFM and agroecology as environmental justice solutions requires an increase in the demarcation of land under collective communities’ control and community based territorial management in line with UNDROP, UNDRIP and VGGTs.</w:t>
      </w:r>
      <w:r w:rsidRPr="0038434E">
        <w:rPr>
          <w:rFonts w:ascii="Georgia" w:hAnsi="Georgia" w:cstheme="minorHAnsi"/>
        </w:rPr>
        <w:t xml:space="preserve">  </w:t>
      </w:r>
      <w:proofErr w:type="gramStart"/>
      <w:r w:rsidRPr="0038434E">
        <w:rPr>
          <w:rFonts w:ascii="Georgia" w:hAnsi="Georgia" w:cstheme="minorHAnsi"/>
          <w:b/>
          <w:i/>
        </w:rPr>
        <w:t>However</w:t>
      </w:r>
      <w:proofErr w:type="gramEnd"/>
      <w:r w:rsidRPr="0038434E">
        <w:rPr>
          <w:rFonts w:ascii="Georgia" w:hAnsi="Georgia" w:cstheme="minorHAnsi"/>
          <w:b/>
          <w:i/>
        </w:rPr>
        <w:t xml:space="preserve"> we would caution against focussing efforts to ensure customary rights and collective rights to land solely on carbon</w:t>
      </w:r>
      <w:r w:rsidR="00D0134F">
        <w:rPr>
          <w:rFonts w:ascii="Georgia" w:hAnsi="Georgia" w:cstheme="minorHAnsi"/>
          <w:b/>
          <w:i/>
        </w:rPr>
        <w:t xml:space="preserve"> benefits </w:t>
      </w:r>
      <w:r w:rsidRPr="0038434E">
        <w:rPr>
          <w:rFonts w:ascii="Georgia" w:hAnsi="Georgia" w:cstheme="minorHAnsi"/>
          <w:b/>
          <w:i/>
        </w:rPr>
        <w:t xml:space="preserve">as the </w:t>
      </w:r>
      <w:proofErr w:type="spellStart"/>
      <w:r w:rsidRPr="0038434E">
        <w:rPr>
          <w:rFonts w:ascii="Georgia" w:hAnsi="Georgia" w:cstheme="minorHAnsi"/>
          <w:b/>
          <w:i/>
        </w:rPr>
        <w:t>financialisation</w:t>
      </w:r>
      <w:proofErr w:type="spellEnd"/>
      <w:r w:rsidRPr="0038434E">
        <w:rPr>
          <w:rFonts w:ascii="Georgia" w:hAnsi="Georgia" w:cstheme="minorHAnsi"/>
          <w:b/>
          <w:i/>
        </w:rPr>
        <w:t xml:space="preserve"> of nature could transfer control of territories away from communities even if they still legally own them. </w:t>
      </w:r>
    </w:p>
    <w:p w:rsidR="0038434E" w:rsidRPr="0038434E" w:rsidRDefault="0038434E" w:rsidP="0038434E">
      <w:pPr>
        <w:rPr>
          <w:rFonts w:ascii="Georgia" w:hAnsi="Georgia" w:cstheme="minorHAnsi"/>
          <w:b/>
          <w:i/>
        </w:rPr>
      </w:pPr>
    </w:p>
    <w:p w:rsidR="0038434E" w:rsidRPr="0038434E" w:rsidRDefault="0038434E" w:rsidP="0038434E">
      <w:pPr>
        <w:rPr>
          <w:rFonts w:ascii="Georgia" w:hAnsi="Georgia" w:cstheme="minorHAnsi"/>
          <w:b/>
          <w:i/>
        </w:rPr>
      </w:pPr>
      <w:r w:rsidRPr="0038434E">
        <w:rPr>
          <w:rFonts w:ascii="Georgia" w:hAnsi="Georgia" w:cstheme="minorHAnsi"/>
          <w:b/>
          <w:i/>
        </w:rPr>
        <w:t xml:space="preserve">Importantly, protecting land tenure and ensuring collective land rights </w:t>
      </w:r>
      <w:proofErr w:type="gramStart"/>
      <w:r w:rsidRPr="0038434E">
        <w:rPr>
          <w:rFonts w:ascii="Georgia" w:hAnsi="Georgia" w:cstheme="minorHAnsi"/>
          <w:b/>
          <w:i/>
        </w:rPr>
        <w:t>should no longer be simply seen</w:t>
      </w:r>
      <w:proofErr w:type="gramEnd"/>
      <w:r w:rsidRPr="0038434E">
        <w:rPr>
          <w:rFonts w:ascii="Georgia" w:hAnsi="Georgia" w:cstheme="minorHAnsi"/>
          <w:b/>
          <w:i/>
        </w:rPr>
        <w:t xml:space="preserve"> as safeguards added onto environmental policies but should be one of the fundamental way States can ensure sustainability and environmental protection. </w:t>
      </w:r>
    </w:p>
    <w:p w:rsidR="0038434E" w:rsidRPr="00A21940" w:rsidRDefault="0038434E" w:rsidP="00A21940">
      <w:pPr>
        <w:rPr>
          <w:rFonts w:ascii="Georgia" w:hAnsi="Georgia" w:cstheme="minorHAnsi"/>
        </w:rPr>
      </w:pPr>
    </w:p>
    <w:p w:rsidR="00A21940" w:rsidRPr="001D4B2A" w:rsidRDefault="00A21940">
      <w:pPr>
        <w:rPr>
          <w:rFonts w:ascii="Georgia" w:hAnsi="Georgia" w:cstheme="minorHAnsi"/>
        </w:rPr>
      </w:pPr>
    </w:p>
    <w:p w:rsidR="00072001" w:rsidRDefault="00072001"/>
    <w:p w:rsidR="000C300E" w:rsidRDefault="000C300E">
      <w:pPr>
        <w:rPr>
          <w:rFonts w:ascii="Georgia" w:hAnsi="Georgia" w:cstheme="minorHAnsi"/>
        </w:rPr>
      </w:pPr>
    </w:p>
    <w:p w:rsidR="001D4B2A" w:rsidRDefault="001D4B2A" w:rsidP="001D4B2A">
      <w:pPr>
        <w:rPr>
          <w:rFonts w:ascii="Georgia" w:hAnsi="Georgia" w:cstheme="minorHAnsi"/>
        </w:rPr>
      </w:pPr>
    </w:p>
    <w:sectPr w:rsidR="001D4B2A" w:rsidSect="00497A1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3CE" w:rsidRDefault="005543CE" w:rsidP="00B56E0A">
      <w:r>
        <w:separator/>
      </w:r>
    </w:p>
  </w:endnote>
  <w:endnote w:type="continuationSeparator" w:id="0">
    <w:p w:rsidR="005543CE" w:rsidRDefault="005543CE" w:rsidP="00B5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3CE" w:rsidRDefault="005543CE" w:rsidP="00B56E0A">
      <w:r>
        <w:separator/>
      </w:r>
    </w:p>
  </w:footnote>
  <w:footnote w:type="continuationSeparator" w:id="0">
    <w:p w:rsidR="005543CE" w:rsidRDefault="005543CE" w:rsidP="00B56E0A">
      <w:r>
        <w:continuationSeparator/>
      </w:r>
    </w:p>
  </w:footnote>
  <w:footnote w:id="1">
    <w:p w:rsidR="008E486F" w:rsidRPr="00133D2C" w:rsidRDefault="008E486F" w:rsidP="008E486F">
      <w:pPr>
        <w:pStyle w:val="FootnoteText"/>
      </w:pPr>
      <w:r>
        <w:rPr>
          <w:rStyle w:val="FootnoteReference"/>
        </w:rPr>
        <w:footnoteRef/>
      </w:r>
      <w:r>
        <w:t xml:space="preserve"> ‘Carbon offsets claim to </w:t>
      </w:r>
      <w:r w:rsidRPr="00133D2C">
        <w:t>compensate for the emission of carbon dioxide</w:t>
      </w:r>
      <w:r>
        <w:t xml:space="preserve"> via other activities such as planting trees. </w:t>
      </w:r>
      <w:r w:rsidRPr="00133D2C">
        <w:t>In reality, this allows the buyer’s emissions to continue, instead of requiring them to cut their emissions at source.</w:t>
      </w:r>
    </w:p>
    <w:p w:rsidR="008E486F" w:rsidRDefault="008E486F" w:rsidP="008E486F">
      <w:pPr>
        <w:pStyle w:val="FootnoteText"/>
      </w:pPr>
    </w:p>
  </w:footnote>
  <w:footnote w:id="2">
    <w:p w:rsidR="008E486F" w:rsidRDefault="008E486F" w:rsidP="008E486F">
      <w:pPr>
        <w:pStyle w:val="FootnoteText"/>
      </w:pPr>
      <w:r>
        <w:rPr>
          <w:rStyle w:val="FootnoteReference"/>
        </w:rPr>
        <w:footnoteRef/>
      </w:r>
      <w:r>
        <w:t xml:space="preserve"> </w:t>
      </w:r>
      <w:r w:rsidRPr="00BE3528">
        <w:rPr>
          <w:lang w:val="en-US"/>
        </w:rPr>
        <w:t xml:space="preserve">The basic concept of “net zero” </w:t>
      </w:r>
      <w:proofErr w:type="gramStart"/>
      <w:r w:rsidRPr="00BE3528">
        <w:rPr>
          <w:lang w:val="en-US"/>
        </w:rPr>
        <w:t>can be captured</w:t>
      </w:r>
      <w:proofErr w:type="gramEnd"/>
      <w:r w:rsidRPr="00BE3528">
        <w:rPr>
          <w:lang w:val="en-US"/>
        </w:rPr>
        <w:t xml:space="preserve"> in an equation: greenhouse gas emissions minus </w:t>
      </w:r>
      <w:r>
        <w:rPr>
          <w:lang w:val="en-US"/>
        </w:rPr>
        <w:t xml:space="preserve">carbon </w:t>
      </w:r>
      <w:r w:rsidRPr="00BE3528">
        <w:rPr>
          <w:lang w:val="en-US"/>
        </w:rPr>
        <w:t>drawdown</w:t>
      </w:r>
      <w:r>
        <w:rPr>
          <w:lang w:val="en-US"/>
        </w:rPr>
        <w:t xml:space="preserve"> </w:t>
      </w:r>
      <w:r w:rsidRPr="00BE3528">
        <w:rPr>
          <w:lang w:val="en-US"/>
        </w:rPr>
        <w:t>equals zero.</w:t>
      </w:r>
      <w:r>
        <w:rPr>
          <w:lang w:val="en-US"/>
        </w:rPr>
        <w:t xml:space="preserve"> </w:t>
      </w:r>
    </w:p>
  </w:footnote>
  <w:footnote w:id="3">
    <w:p w:rsidR="007E4FC2" w:rsidRDefault="007E4FC2" w:rsidP="007E4FC2">
      <w:pPr>
        <w:pStyle w:val="FootnoteText"/>
      </w:pPr>
      <w:r>
        <w:rPr>
          <w:rStyle w:val="FootnoteReference"/>
        </w:rPr>
        <w:footnoteRef/>
      </w:r>
      <w:r>
        <w:t xml:space="preserve"> “</w:t>
      </w:r>
      <w:r w:rsidRPr="00F50022">
        <w:t>The risks of relying on tomorrow’s ‘negative emissions’ to guide today’s mitigation action</w:t>
      </w:r>
      <w:r>
        <w:t xml:space="preserve">” Stockholm Environment Institute 2016 </w:t>
      </w:r>
      <w:hyperlink r:id="rId1" w:history="1">
        <w:r w:rsidRPr="00F50022">
          <w:rPr>
            <w:rStyle w:val="Hyperlink"/>
          </w:rPr>
          <w:t>https://mediamanager.sei.org/documents/Publications/Climate/SEI-WP-2016-08-Negative-emissions.pdf</w:t>
        </w:r>
      </w:hyperlink>
    </w:p>
  </w:footnote>
  <w:footnote w:id="4">
    <w:p w:rsidR="00770AD9" w:rsidRPr="00285527" w:rsidRDefault="00770AD9" w:rsidP="00770AD9">
      <w:pPr>
        <w:pStyle w:val="FootnoteText"/>
      </w:pPr>
      <w:r>
        <w:rPr>
          <w:rStyle w:val="FootnoteReference"/>
        </w:rPr>
        <w:footnoteRef/>
      </w:r>
      <w:r>
        <w:t xml:space="preserve"> </w:t>
      </w:r>
      <w:proofErr w:type="spellStart"/>
      <w:r w:rsidRPr="00285527">
        <w:t>Griscom</w:t>
      </w:r>
      <w:proofErr w:type="spellEnd"/>
      <w:r w:rsidRPr="00285527">
        <w:t xml:space="preserve"> et al, 2017</w:t>
      </w:r>
    </w:p>
    <w:p w:rsidR="00770AD9" w:rsidRDefault="00770AD9" w:rsidP="00770AD9">
      <w:pPr>
        <w:pStyle w:val="FootnoteText"/>
      </w:pPr>
    </w:p>
  </w:footnote>
  <w:footnote w:id="5">
    <w:p w:rsidR="0038434E" w:rsidRPr="0038434E" w:rsidRDefault="0038434E" w:rsidP="0038434E">
      <w:pPr>
        <w:pStyle w:val="FootnoteText"/>
      </w:pPr>
      <w:r>
        <w:rPr>
          <w:rStyle w:val="FootnoteReference"/>
        </w:rPr>
        <w:footnoteRef/>
      </w:r>
      <w:r>
        <w:t xml:space="preserve"> </w:t>
      </w:r>
      <w:r w:rsidRPr="0038434E">
        <w:t xml:space="preserve">For an analysis of the problems with net zero see, FOEI, "Chasing Carbon Unicorns: The deception of carbon markets and “net zero”": February 2021: </w:t>
      </w:r>
      <w:hyperlink r:id="rId2" w:history="1">
        <w:r w:rsidRPr="00604C26">
          <w:rPr>
            <w:rStyle w:val="Hyperlink"/>
          </w:rPr>
          <w:t>https://www.foei.org/resources/publications/chasing-carbon-unicorns-carbon-markets-net-zero-report</w:t>
        </w:r>
      </w:hyperlink>
      <w:r>
        <w:t xml:space="preserve"> </w:t>
      </w:r>
    </w:p>
    <w:p w:rsidR="0038434E" w:rsidRDefault="0038434E">
      <w:pPr>
        <w:pStyle w:val="FootnoteText"/>
      </w:pPr>
    </w:p>
  </w:footnote>
  <w:footnote w:id="6">
    <w:p w:rsidR="0038434E" w:rsidRPr="0038434E" w:rsidRDefault="0038434E" w:rsidP="0038434E">
      <w:pPr>
        <w:pStyle w:val="FootnoteText"/>
      </w:pPr>
      <w:r>
        <w:rPr>
          <w:rStyle w:val="FootnoteReference"/>
        </w:rPr>
        <w:footnoteRef/>
      </w:r>
      <w:r>
        <w:t xml:space="preserve"> </w:t>
      </w:r>
      <w:r w:rsidRPr="0038434E">
        <w:t>JBS: The Brazilian butchers who took over the world</w:t>
      </w:r>
    </w:p>
    <w:p w:rsidR="0038434E" w:rsidRDefault="0038434E">
      <w:pPr>
        <w:pStyle w:val="FootnoteText"/>
      </w:pPr>
      <w:r>
        <w:t xml:space="preserve"> </w:t>
      </w:r>
      <w:hyperlink r:id="rId3" w:history="1">
        <w:r w:rsidRPr="00604C26">
          <w:rPr>
            <w:rStyle w:val="Hyperlink"/>
          </w:rPr>
          <w:t>https://www.thebureauinvestigates.com/stories/2019-07-02/jbs-brazilian-butchers-took-over-the-world</w:t>
        </w:r>
      </w:hyperlink>
      <w:r>
        <w:t xml:space="preserve"> </w:t>
      </w:r>
    </w:p>
  </w:footnote>
  <w:footnote w:id="7">
    <w:p w:rsidR="0038434E" w:rsidRPr="0038434E" w:rsidRDefault="0038434E" w:rsidP="0038434E">
      <w:pPr>
        <w:pStyle w:val="FootnoteText"/>
      </w:pPr>
      <w:r>
        <w:rPr>
          <w:rStyle w:val="FootnoteReference"/>
        </w:rPr>
        <w:footnoteRef/>
      </w:r>
      <w:r>
        <w:t xml:space="preserve"> </w:t>
      </w:r>
      <w:r w:rsidRPr="0038434E">
        <w:t>Fanning the Flames</w:t>
      </w:r>
    </w:p>
    <w:p w:rsidR="0038434E" w:rsidRPr="0038434E" w:rsidRDefault="0038434E" w:rsidP="0038434E">
      <w:pPr>
        <w:pStyle w:val="FootnoteText"/>
      </w:pPr>
      <w:r w:rsidRPr="0038434E">
        <w:rPr>
          <w:i/>
          <w:iCs/>
        </w:rPr>
        <w:t>The corporations destroying the Amazon and worsening the COVID-19 pandemic</w:t>
      </w:r>
    </w:p>
    <w:p w:rsidR="0038434E" w:rsidRDefault="005543CE">
      <w:pPr>
        <w:pStyle w:val="FootnoteText"/>
      </w:pPr>
      <w:hyperlink r:id="rId4" w:history="1">
        <w:r w:rsidR="0038434E" w:rsidRPr="00604C26">
          <w:rPr>
            <w:rStyle w:val="Hyperlink"/>
          </w:rPr>
          <w:t>https://stories.mightyearth.org/amazonfires2020/index.html</w:t>
        </w:r>
      </w:hyperlink>
      <w:r w:rsidR="0038434E">
        <w:t xml:space="preserve"> </w:t>
      </w:r>
    </w:p>
  </w:footnote>
  <w:footnote w:id="8">
    <w:p w:rsidR="00685965" w:rsidRPr="00685965" w:rsidRDefault="00685965" w:rsidP="00685965">
      <w:pPr>
        <w:pStyle w:val="FootnoteText"/>
      </w:pPr>
      <w:r>
        <w:rPr>
          <w:rStyle w:val="FootnoteReference"/>
        </w:rPr>
        <w:footnoteRef/>
      </w:r>
      <w:r>
        <w:t xml:space="preserve"> </w:t>
      </w:r>
      <w:r w:rsidRPr="00685965">
        <w:t>BS Makes Global Commitment to Achieve Net-Zero Greenhouse Gas Emissions by 2040</w:t>
      </w:r>
    </w:p>
    <w:p w:rsidR="00685965" w:rsidRDefault="005543CE">
      <w:pPr>
        <w:pStyle w:val="FootnoteText"/>
      </w:pPr>
      <w:hyperlink r:id="rId5" w:history="1">
        <w:r w:rsidR="00685965" w:rsidRPr="00604C26">
          <w:rPr>
            <w:rStyle w:val="Hyperlink"/>
          </w:rPr>
          <w:t>https://jbsfoodsgroup.com/articles/jbs-makes-global-commitment-to-achieve-net-zero-greenhouse-gas-emissions-by-2040</w:t>
        </w:r>
      </w:hyperlink>
      <w:r w:rsidR="00685965">
        <w:t xml:space="preserve"> </w:t>
      </w:r>
    </w:p>
  </w:footnote>
  <w:footnote w:id="9">
    <w:p w:rsidR="00FD6E5F" w:rsidRPr="00FD6E5F" w:rsidRDefault="00FD6E5F" w:rsidP="00FD6E5F">
      <w:pPr>
        <w:pStyle w:val="FootnoteText"/>
        <w:rPr>
          <w:b/>
          <w:bCs/>
        </w:rPr>
      </w:pPr>
      <w:r>
        <w:rPr>
          <w:rStyle w:val="FootnoteReference"/>
        </w:rPr>
        <w:footnoteRef/>
      </w:r>
      <w:r>
        <w:t xml:space="preserve"> </w:t>
      </w:r>
      <w:r w:rsidRPr="00FD6E5F">
        <w:rPr>
          <w:b/>
          <w:bCs/>
        </w:rPr>
        <w:t>Corporate greenwashing: "net zero" and "nature-based solutions" are a deadly fraud</w:t>
      </w:r>
    </w:p>
    <w:p w:rsidR="00FD6E5F" w:rsidRDefault="005543CE">
      <w:pPr>
        <w:pStyle w:val="FootnoteText"/>
      </w:pPr>
      <w:hyperlink r:id="rId6" w:history="1">
        <w:r w:rsidR="00FD6E5F" w:rsidRPr="00604C26">
          <w:rPr>
            <w:rStyle w:val="Hyperlink"/>
          </w:rPr>
          <w:t>https://grain.org/en/article/6634-corporate-greenwashing-net-zero-and-nature-based-solutions-are-a-deadly-fraud</w:t>
        </w:r>
      </w:hyperlink>
      <w:r w:rsidR="00FD6E5F">
        <w:t xml:space="preserve"> </w:t>
      </w:r>
    </w:p>
  </w:footnote>
  <w:footnote w:id="10">
    <w:p w:rsidR="00AB6F61" w:rsidRPr="00AB6F61" w:rsidRDefault="00AB6F61" w:rsidP="00AB6F61">
      <w:pPr>
        <w:pStyle w:val="FootnoteText"/>
        <w:rPr>
          <w:lang w:val="en-US"/>
        </w:rPr>
      </w:pPr>
      <w:r>
        <w:rPr>
          <w:rStyle w:val="FootnoteReference"/>
        </w:rPr>
        <w:footnoteRef/>
      </w:r>
      <w:r>
        <w:t xml:space="preserve"> </w:t>
      </w:r>
      <w:r w:rsidRPr="00AB6F61">
        <w:rPr>
          <w:lang w:val="en-US"/>
        </w:rPr>
        <w:t>Note that for the purpose of brevity, the acronym</w:t>
      </w:r>
      <w:r>
        <w:rPr>
          <w:lang w:val="en-US"/>
        </w:rPr>
        <w:t xml:space="preserve"> </w:t>
      </w:r>
      <w:r w:rsidRPr="00AB6F61">
        <w:rPr>
          <w:lang w:val="en-US"/>
        </w:rPr>
        <w:t>NBS is used throughout this briefing to denote both</w:t>
      </w:r>
      <w:r>
        <w:rPr>
          <w:lang w:val="en-US"/>
        </w:rPr>
        <w:t xml:space="preserve"> </w:t>
      </w:r>
      <w:r w:rsidRPr="00AB6F61">
        <w:rPr>
          <w:lang w:val="en-US"/>
        </w:rPr>
        <w:t>nature-based solutions and natural climate solutions</w:t>
      </w:r>
      <w:r>
        <w:rPr>
          <w:lang w:val="en-US"/>
        </w:rPr>
        <w:t xml:space="preserve"> </w:t>
      </w:r>
      <w:r w:rsidRPr="00AB6F61">
        <w:rPr>
          <w:lang w:val="en-US"/>
        </w:rPr>
        <w:t>– even though, to some commentators, there is a</w:t>
      </w:r>
      <w:r>
        <w:rPr>
          <w:lang w:val="en-US"/>
        </w:rPr>
        <w:t xml:space="preserve"> </w:t>
      </w:r>
      <w:r w:rsidRPr="00AB6F61">
        <w:rPr>
          <w:lang w:val="en-US"/>
        </w:rPr>
        <w:t>slight difference between the two</w:t>
      </w:r>
    </w:p>
  </w:footnote>
  <w:footnote w:id="11">
    <w:p w:rsidR="005150C7" w:rsidRPr="00D353FD" w:rsidRDefault="005150C7">
      <w:pPr>
        <w:pStyle w:val="FootnoteText"/>
        <w:rPr>
          <w:lang w:val="fr-FR"/>
        </w:rPr>
      </w:pPr>
      <w:r>
        <w:rPr>
          <w:rStyle w:val="FootnoteReference"/>
        </w:rPr>
        <w:footnoteRef/>
      </w:r>
      <w:r w:rsidRPr="00D353FD">
        <w:rPr>
          <w:lang w:val="fr-FR"/>
        </w:rPr>
        <w:t xml:space="preserve"> Griscom et al, 2017 </w:t>
      </w:r>
      <w:r w:rsidR="005543CE">
        <w:fldChar w:fldCharType="begin"/>
      </w:r>
      <w:r w:rsidR="005543CE" w:rsidRPr="00D353FD">
        <w:rPr>
          <w:lang w:val="fr-FR"/>
        </w:rPr>
        <w:instrText xml:space="preserve"> HYPERLINK "https://www.pnas.org/content/114/44/11645" </w:instrText>
      </w:r>
      <w:r w:rsidR="005543CE">
        <w:fldChar w:fldCharType="separate"/>
      </w:r>
      <w:r w:rsidRPr="00D353FD">
        <w:rPr>
          <w:rStyle w:val="Hyperlink"/>
          <w:lang w:val="fr-FR"/>
        </w:rPr>
        <w:t>https://www.pnas.org/content/114/44/11645</w:t>
      </w:r>
      <w:r w:rsidR="005543CE">
        <w:rPr>
          <w:rStyle w:val="Hyperlink"/>
          <w:lang w:val="en-US"/>
        </w:rPr>
        <w:fldChar w:fldCharType="end"/>
      </w:r>
      <w:r w:rsidRPr="00D353FD">
        <w:rPr>
          <w:lang w:val="fr-FR"/>
        </w:rPr>
        <w:t xml:space="preserve"> </w:t>
      </w:r>
    </w:p>
  </w:footnote>
  <w:footnote w:id="12">
    <w:p w:rsidR="00403CD6" w:rsidRPr="00403CD6" w:rsidRDefault="00403CD6" w:rsidP="00403CD6">
      <w:pPr>
        <w:pStyle w:val="FootnoteText"/>
      </w:pPr>
      <w:r>
        <w:rPr>
          <w:rStyle w:val="FootnoteReference"/>
        </w:rPr>
        <w:footnoteRef/>
      </w:r>
      <w:r>
        <w:t xml:space="preserve"> </w:t>
      </w:r>
      <w:r w:rsidRPr="00403CD6">
        <w:t>TNI &amp; FOEI, ‘Junk Agroecology’: The corporate capture of agroecology for a partial ecological transition without social justice," 13 October 2020: </w:t>
      </w:r>
      <w:hyperlink r:id="rId7" w:tgtFrame="_blank" w:history="1">
        <w:r w:rsidRPr="00403CD6">
          <w:rPr>
            <w:rStyle w:val="Hyperlink"/>
          </w:rPr>
          <w:t>https://www.tni.org/files/publication-downloads/38_foei_junk_agroecology_full_report_eng_lr_0.pdf</w:t>
        </w:r>
      </w:hyperlink>
    </w:p>
    <w:p w:rsidR="00403CD6" w:rsidRDefault="00403CD6">
      <w:pPr>
        <w:pStyle w:val="FootnoteText"/>
      </w:pPr>
    </w:p>
  </w:footnote>
  <w:footnote w:id="13">
    <w:p w:rsidR="00A21940" w:rsidRDefault="00A21940" w:rsidP="00A21940">
      <w:pPr>
        <w:pStyle w:val="FootnoteText"/>
      </w:pPr>
      <w:r>
        <w:rPr>
          <w:rStyle w:val="FootnoteReference"/>
        </w:rPr>
        <w:footnoteRef/>
      </w:r>
      <w:r>
        <w:t xml:space="preserve"> “</w:t>
      </w:r>
      <w:r w:rsidRPr="00420BF6">
        <w:rPr>
          <w:bCs/>
        </w:rPr>
        <w:t>Agroecological and other innovative approaches for sustainable agriculture and food systems that enhance food security and nutrition</w:t>
      </w:r>
      <w:r>
        <w:rPr>
          <w:bCs/>
        </w:rPr>
        <w:t xml:space="preserve">” HLPE, CFS July 2019 </w:t>
      </w:r>
      <w:hyperlink r:id="rId8" w:history="1">
        <w:r w:rsidRPr="00420BF6">
          <w:rPr>
            <w:rStyle w:val="Hyperlink"/>
            <w:bCs/>
          </w:rPr>
          <w:t>http://www.fao.org/cfs/cfs-hlpe/en/</w:t>
        </w:r>
      </w:hyperlink>
    </w:p>
  </w:footnote>
  <w:footnote w:id="14">
    <w:p w:rsidR="00A21940" w:rsidRDefault="00A21940" w:rsidP="00A21940">
      <w:pPr>
        <w:pStyle w:val="FootnoteText"/>
      </w:pPr>
      <w:r>
        <w:rPr>
          <w:rStyle w:val="FootnoteReference"/>
        </w:rPr>
        <w:footnoteRef/>
      </w:r>
      <w:r>
        <w:t xml:space="preserve"> “</w:t>
      </w:r>
      <w:r w:rsidRPr="00420BF6">
        <w:t>Community Forest Management</w:t>
      </w:r>
      <w:r>
        <w:t xml:space="preserve"> - </w:t>
      </w:r>
      <w:r w:rsidRPr="00420BF6">
        <w:t>An opportunity to preserve and restore vital resources for the Good Living of human societies</w:t>
      </w:r>
      <w:r>
        <w:t xml:space="preserve">” </w:t>
      </w:r>
      <w:proofErr w:type="spellStart"/>
      <w:r>
        <w:t>FoEI</w:t>
      </w:r>
      <w:proofErr w:type="spellEnd"/>
      <w:r>
        <w:t xml:space="preserve">, April 2018 </w:t>
      </w:r>
    </w:p>
  </w:footnote>
  <w:footnote w:id="15">
    <w:p w:rsidR="0038434E" w:rsidRDefault="0038434E" w:rsidP="0038434E">
      <w:pPr>
        <w:pStyle w:val="FootnoteText"/>
      </w:pPr>
      <w:r>
        <w:rPr>
          <w:rStyle w:val="FootnoteReference"/>
        </w:rPr>
        <w:footnoteRef/>
      </w:r>
      <w:r>
        <w:t xml:space="preserve"> “</w:t>
      </w:r>
      <w:r w:rsidRPr="008F71AF">
        <w:rPr>
          <w:rFonts w:asciiTheme="minorHAnsi" w:eastAsiaTheme="minorHAnsi" w:hAnsiTheme="minorHAnsi" w:cstheme="minorBidi"/>
        </w:rPr>
        <w:t>Why Community Forest Management matters</w:t>
      </w:r>
      <w:r>
        <w:t xml:space="preserve">” </w:t>
      </w:r>
      <w:proofErr w:type="spellStart"/>
      <w:r>
        <w:t>FoEI</w:t>
      </w:r>
      <w:proofErr w:type="spellEnd"/>
      <w:r>
        <w:t xml:space="preserve"> 2015 </w:t>
      </w:r>
      <w:hyperlink r:id="rId9" w:history="1">
        <w:r w:rsidRPr="008F71AF">
          <w:rPr>
            <w:rStyle w:val="Hyperlink"/>
          </w:rPr>
          <w:t>https://www.foei.org/resources/publications/publications-by-subject/forests-and-biodiversity-publications/community-forest-management-lobby-briefing</w:t>
        </w:r>
      </w:hyperlink>
    </w:p>
  </w:footnote>
  <w:footnote w:id="16">
    <w:p w:rsidR="0038434E" w:rsidRDefault="0038434E" w:rsidP="0038434E">
      <w:pPr>
        <w:pStyle w:val="FootnoteText"/>
      </w:pPr>
      <w:r>
        <w:rPr>
          <w:rStyle w:val="FootnoteReference"/>
        </w:rPr>
        <w:footnoteRef/>
      </w:r>
      <w:r>
        <w:t xml:space="preserve"> “</w:t>
      </w:r>
      <w:r w:rsidRPr="00420BF6">
        <w:rPr>
          <w:bCs/>
        </w:rPr>
        <w:t>Agroecological and other innovative approaches for sustainable agriculture and food systems that enhance food security and nutrition</w:t>
      </w:r>
      <w:r>
        <w:rPr>
          <w:bCs/>
        </w:rPr>
        <w:t xml:space="preserve">” HLPE, CFS July 2019 </w:t>
      </w:r>
      <w:hyperlink r:id="rId10" w:history="1">
        <w:r w:rsidRPr="00420BF6">
          <w:rPr>
            <w:rStyle w:val="Hyperlink"/>
            <w:bCs/>
          </w:rPr>
          <w:t>http://www.fao.org/cfs/cfs-hlpe/en/</w:t>
        </w:r>
      </w:hyperlink>
    </w:p>
  </w:footnote>
  <w:footnote w:id="17">
    <w:p w:rsidR="0038434E" w:rsidRDefault="0038434E" w:rsidP="0038434E">
      <w:pPr>
        <w:pStyle w:val="FootnoteText"/>
      </w:pPr>
      <w:r>
        <w:rPr>
          <w:rStyle w:val="FootnoteReference"/>
        </w:rPr>
        <w:footnoteRef/>
      </w:r>
      <w:r>
        <w:t xml:space="preserve"> “T</w:t>
      </w:r>
      <w:r w:rsidRPr="001E4627">
        <w:t xml:space="preserve">he 10 </w:t>
      </w:r>
      <w:r>
        <w:t>E</w:t>
      </w:r>
      <w:r w:rsidRPr="001E4627">
        <w:t xml:space="preserve">lements of </w:t>
      </w:r>
      <w:r>
        <w:t>A</w:t>
      </w:r>
      <w:r w:rsidRPr="001E4627">
        <w:t>groecology</w:t>
      </w:r>
      <w:r>
        <w:t xml:space="preserve">” FAO, 2018 </w:t>
      </w:r>
      <w:hyperlink r:id="rId11" w:history="1">
        <w:r w:rsidRPr="001E4627">
          <w:rPr>
            <w:rStyle w:val="Hyperlink"/>
          </w:rPr>
          <w:t>http://www.fao.org/3/i9037en/I9037EN.pdf</w:t>
        </w:r>
      </w:hyperlink>
    </w:p>
  </w:footnote>
  <w:footnote w:id="18">
    <w:p w:rsidR="0038434E" w:rsidRPr="001E4627" w:rsidRDefault="0038434E" w:rsidP="0038434E">
      <w:pPr>
        <w:pStyle w:val="FootnoteText"/>
      </w:pPr>
      <w:r>
        <w:rPr>
          <w:rStyle w:val="FootnoteReference"/>
        </w:rPr>
        <w:footnoteRef/>
      </w:r>
      <w:r>
        <w:t xml:space="preserve"> “D</w:t>
      </w:r>
      <w:r w:rsidRPr="001E4627">
        <w:t xml:space="preserve">eclaration of the </w:t>
      </w:r>
      <w:r>
        <w:t>I</w:t>
      </w:r>
      <w:r w:rsidRPr="001E4627">
        <w:t xml:space="preserve">nternational </w:t>
      </w:r>
      <w:r>
        <w:t>F</w:t>
      </w:r>
      <w:r w:rsidRPr="001E4627">
        <w:t xml:space="preserve">orum for </w:t>
      </w:r>
      <w:proofErr w:type="spellStart"/>
      <w:r>
        <w:t>A</w:t>
      </w:r>
      <w:r w:rsidRPr="001E4627">
        <w:t>groecology</w:t>
      </w:r>
      <w:proofErr w:type="spellEnd"/>
      <w:r w:rsidRPr="001E4627">
        <w:t xml:space="preserve"> </w:t>
      </w:r>
      <w:proofErr w:type="spellStart"/>
      <w:r w:rsidRPr="001E4627">
        <w:t>Nyéléni</w:t>
      </w:r>
      <w:proofErr w:type="spellEnd"/>
      <w:r w:rsidRPr="001E4627">
        <w:t>, Mali February 2015</w:t>
      </w:r>
      <w:r>
        <w:t xml:space="preserve"> </w:t>
      </w:r>
      <w:hyperlink r:id="rId12" w:history="1">
        <w:r w:rsidRPr="001E4627">
          <w:rPr>
            <w:rStyle w:val="Hyperlink"/>
          </w:rPr>
          <w:t>http://www.foodsovereignty.org/wp-content/uploads/2015/02/Download-declaration-Agroecology-Nyeleni-2015.pdf</w:t>
        </w:r>
      </w:hyperlink>
    </w:p>
    <w:p w:rsidR="0038434E" w:rsidRPr="001E4627" w:rsidRDefault="0038434E" w:rsidP="0038434E">
      <w:pPr>
        <w:pStyle w:val="FootnoteText"/>
      </w:pPr>
    </w:p>
    <w:p w:rsidR="0038434E" w:rsidRDefault="0038434E" w:rsidP="0038434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EA"/>
    <w:rsid w:val="000406D7"/>
    <w:rsid w:val="000656B2"/>
    <w:rsid w:val="00072001"/>
    <w:rsid w:val="00083401"/>
    <w:rsid w:val="000C300E"/>
    <w:rsid w:val="001D4B2A"/>
    <w:rsid w:val="002914C9"/>
    <w:rsid w:val="002B79AC"/>
    <w:rsid w:val="002D381D"/>
    <w:rsid w:val="003753A8"/>
    <w:rsid w:val="0038434E"/>
    <w:rsid w:val="00403CD6"/>
    <w:rsid w:val="004139E0"/>
    <w:rsid w:val="00475AE3"/>
    <w:rsid w:val="00497A1C"/>
    <w:rsid w:val="004F2B78"/>
    <w:rsid w:val="005150C7"/>
    <w:rsid w:val="005543CE"/>
    <w:rsid w:val="0064527A"/>
    <w:rsid w:val="00685965"/>
    <w:rsid w:val="00731114"/>
    <w:rsid w:val="00770AD9"/>
    <w:rsid w:val="007E4FC2"/>
    <w:rsid w:val="007F0469"/>
    <w:rsid w:val="008E486F"/>
    <w:rsid w:val="0092565F"/>
    <w:rsid w:val="009B7C53"/>
    <w:rsid w:val="00A21940"/>
    <w:rsid w:val="00A753C0"/>
    <w:rsid w:val="00AA0BCE"/>
    <w:rsid w:val="00AB6F61"/>
    <w:rsid w:val="00B24676"/>
    <w:rsid w:val="00B56E0A"/>
    <w:rsid w:val="00CB585B"/>
    <w:rsid w:val="00D0134F"/>
    <w:rsid w:val="00D05E2A"/>
    <w:rsid w:val="00D353FD"/>
    <w:rsid w:val="00DC5324"/>
    <w:rsid w:val="00DC73FF"/>
    <w:rsid w:val="00E82A85"/>
    <w:rsid w:val="00ED20EA"/>
    <w:rsid w:val="00FD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3449"/>
  <w15:chartTrackingRefBased/>
  <w15:docId w15:val="{B2E02674-EEA6-764B-BF57-99D86773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43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0A"/>
    <w:pPr>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56E0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56E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56E0A"/>
    <w:rPr>
      <w:vertAlign w:val="superscript"/>
    </w:rPr>
  </w:style>
  <w:style w:type="character" w:styleId="Hyperlink">
    <w:name w:val="Hyperlink"/>
    <w:basedOn w:val="DefaultParagraphFont"/>
    <w:uiPriority w:val="99"/>
    <w:unhideWhenUsed/>
    <w:rsid w:val="00B56E0A"/>
    <w:rPr>
      <w:color w:val="0563C1" w:themeColor="hyperlink"/>
      <w:u w:val="single"/>
    </w:rPr>
  </w:style>
  <w:style w:type="character" w:customStyle="1" w:styleId="UnresolvedMention">
    <w:name w:val="Unresolved Mention"/>
    <w:basedOn w:val="DefaultParagraphFont"/>
    <w:uiPriority w:val="99"/>
    <w:semiHidden/>
    <w:unhideWhenUsed/>
    <w:rsid w:val="009B7C53"/>
    <w:rPr>
      <w:color w:val="605E5C"/>
      <w:shd w:val="clear" w:color="auto" w:fill="E1DFDD"/>
    </w:rPr>
  </w:style>
  <w:style w:type="character" w:styleId="FollowedHyperlink">
    <w:name w:val="FollowedHyperlink"/>
    <w:basedOn w:val="DefaultParagraphFont"/>
    <w:uiPriority w:val="99"/>
    <w:semiHidden/>
    <w:unhideWhenUsed/>
    <w:rsid w:val="0038434E"/>
    <w:rPr>
      <w:color w:val="954F72" w:themeColor="followedHyperlink"/>
      <w:u w:val="single"/>
    </w:rPr>
  </w:style>
  <w:style w:type="character" w:customStyle="1" w:styleId="Heading1Char">
    <w:name w:val="Heading 1 Char"/>
    <w:basedOn w:val="DefaultParagraphFont"/>
    <w:link w:val="Heading1"/>
    <w:uiPriority w:val="9"/>
    <w:rsid w:val="0038434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F61"/>
    <w:rPr>
      <w:sz w:val="16"/>
      <w:szCs w:val="16"/>
    </w:rPr>
  </w:style>
  <w:style w:type="paragraph" w:styleId="CommentText">
    <w:name w:val="annotation text"/>
    <w:basedOn w:val="Normal"/>
    <w:link w:val="CommentTextChar"/>
    <w:uiPriority w:val="99"/>
    <w:semiHidden/>
    <w:unhideWhenUsed/>
    <w:rsid w:val="00AB6F61"/>
    <w:rPr>
      <w:sz w:val="20"/>
      <w:szCs w:val="20"/>
    </w:rPr>
  </w:style>
  <w:style w:type="character" w:customStyle="1" w:styleId="CommentTextChar">
    <w:name w:val="Comment Text Char"/>
    <w:basedOn w:val="DefaultParagraphFont"/>
    <w:link w:val="CommentText"/>
    <w:uiPriority w:val="99"/>
    <w:semiHidden/>
    <w:rsid w:val="00AB6F61"/>
    <w:rPr>
      <w:sz w:val="20"/>
      <w:szCs w:val="20"/>
    </w:rPr>
  </w:style>
  <w:style w:type="paragraph" w:styleId="CommentSubject">
    <w:name w:val="annotation subject"/>
    <w:basedOn w:val="CommentText"/>
    <w:next w:val="CommentText"/>
    <w:link w:val="CommentSubjectChar"/>
    <w:uiPriority w:val="99"/>
    <w:semiHidden/>
    <w:unhideWhenUsed/>
    <w:rsid w:val="00AB6F61"/>
    <w:rPr>
      <w:b/>
      <w:bCs/>
    </w:rPr>
  </w:style>
  <w:style w:type="character" w:customStyle="1" w:styleId="CommentSubjectChar">
    <w:name w:val="Comment Subject Char"/>
    <w:basedOn w:val="CommentTextChar"/>
    <w:link w:val="CommentSubject"/>
    <w:uiPriority w:val="99"/>
    <w:semiHidden/>
    <w:rsid w:val="00AB6F61"/>
    <w:rPr>
      <w:b/>
      <w:bCs/>
      <w:sz w:val="20"/>
      <w:szCs w:val="20"/>
    </w:rPr>
  </w:style>
  <w:style w:type="paragraph" w:styleId="BalloonText">
    <w:name w:val="Balloon Text"/>
    <w:basedOn w:val="Normal"/>
    <w:link w:val="BalloonTextChar"/>
    <w:uiPriority w:val="99"/>
    <w:semiHidden/>
    <w:unhideWhenUsed/>
    <w:rsid w:val="00AB6F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F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7457">
      <w:bodyDiv w:val="1"/>
      <w:marLeft w:val="0"/>
      <w:marRight w:val="0"/>
      <w:marTop w:val="0"/>
      <w:marBottom w:val="0"/>
      <w:divBdr>
        <w:top w:val="none" w:sz="0" w:space="0" w:color="auto"/>
        <w:left w:val="none" w:sz="0" w:space="0" w:color="auto"/>
        <w:bottom w:val="none" w:sz="0" w:space="0" w:color="auto"/>
        <w:right w:val="none" w:sz="0" w:space="0" w:color="auto"/>
      </w:divBdr>
    </w:div>
    <w:div w:id="160194116">
      <w:bodyDiv w:val="1"/>
      <w:marLeft w:val="0"/>
      <w:marRight w:val="0"/>
      <w:marTop w:val="0"/>
      <w:marBottom w:val="0"/>
      <w:divBdr>
        <w:top w:val="none" w:sz="0" w:space="0" w:color="auto"/>
        <w:left w:val="none" w:sz="0" w:space="0" w:color="auto"/>
        <w:bottom w:val="none" w:sz="0" w:space="0" w:color="auto"/>
        <w:right w:val="none" w:sz="0" w:space="0" w:color="auto"/>
      </w:divBdr>
    </w:div>
    <w:div w:id="350107788">
      <w:bodyDiv w:val="1"/>
      <w:marLeft w:val="0"/>
      <w:marRight w:val="0"/>
      <w:marTop w:val="0"/>
      <w:marBottom w:val="0"/>
      <w:divBdr>
        <w:top w:val="none" w:sz="0" w:space="0" w:color="auto"/>
        <w:left w:val="none" w:sz="0" w:space="0" w:color="auto"/>
        <w:bottom w:val="none" w:sz="0" w:space="0" w:color="auto"/>
        <w:right w:val="none" w:sz="0" w:space="0" w:color="auto"/>
      </w:divBdr>
    </w:div>
    <w:div w:id="430273617">
      <w:bodyDiv w:val="1"/>
      <w:marLeft w:val="0"/>
      <w:marRight w:val="0"/>
      <w:marTop w:val="0"/>
      <w:marBottom w:val="0"/>
      <w:divBdr>
        <w:top w:val="none" w:sz="0" w:space="0" w:color="auto"/>
        <w:left w:val="none" w:sz="0" w:space="0" w:color="auto"/>
        <w:bottom w:val="none" w:sz="0" w:space="0" w:color="auto"/>
        <w:right w:val="none" w:sz="0" w:space="0" w:color="auto"/>
      </w:divBdr>
    </w:div>
    <w:div w:id="539513405">
      <w:bodyDiv w:val="1"/>
      <w:marLeft w:val="0"/>
      <w:marRight w:val="0"/>
      <w:marTop w:val="0"/>
      <w:marBottom w:val="0"/>
      <w:divBdr>
        <w:top w:val="none" w:sz="0" w:space="0" w:color="auto"/>
        <w:left w:val="none" w:sz="0" w:space="0" w:color="auto"/>
        <w:bottom w:val="none" w:sz="0" w:space="0" w:color="auto"/>
        <w:right w:val="none" w:sz="0" w:space="0" w:color="auto"/>
      </w:divBdr>
    </w:div>
    <w:div w:id="711922038">
      <w:bodyDiv w:val="1"/>
      <w:marLeft w:val="0"/>
      <w:marRight w:val="0"/>
      <w:marTop w:val="0"/>
      <w:marBottom w:val="0"/>
      <w:divBdr>
        <w:top w:val="none" w:sz="0" w:space="0" w:color="auto"/>
        <w:left w:val="none" w:sz="0" w:space="0" w:color="auto"/>
        <w:bottom w:val="none" w:sz="0" w:space="0" w:color="auto"/>
        <w:right w:val="none" w:sz="0" w:space="0" w:color="auto"/>
      </w:divBdr>
    </w:div>
    <w:div w:id="851184001">
      <w:bodyDiv w:val="1"/>
      <w:marLeft w:val="0"/>
      <w:marRight w:val="0"/>
      <w:marTop w:val="0"/>
      <w:marBottom w:val="0"/>
      <w:divBdr>
        <w:top w:val="none" w:sz="0" w:space="0" w:color="auto"/>
        <w:left w:val="none" w:sz="0" w:space="0" w:color="auto"/>
        <w:bottom w:val="none" w:sz="0" w:space="0" w:color="auto"/>
        <w:right w:val="none" w:sz="0" w:space="0" w:color="auto"/>
      </w:divBdr>
    </w:div>
    <w:div w:id="894705349">
      <w:bodyDiv w:val="1"/>
      <w:marLeft w:val="0"/>
      <w:marRight w:val="0"/>
      <w:marTop w:val="0"/>
      <w:marBottom w:val="0"/>
      <w:divBdr>
        <w:top w:val="none" w:sz="0" w:space="0" w:color="auto"/>
        <w:left w:val="none" w:sz="0" w:space="0" w:color="auto"/>
        <w:bottom w:val="none" w:sz="0" w:space="0" w:color="auto"/>
        <w:right w:val="none" w:sz="0" w:space="0" w:color="auto"/>
      </w:divBdr>
    </w:div>
    <w:div w:id="1017267129">
      <w:bodyDiv w:val="1"/>
      <w:marLeft w:val="0"/>
      <w:marRight w:val="0"/>
      <w:marTop w:val="0"/>
      <w:marBottom w:val="0"/>
      <w:divBdr>
        <w:top w:val="none" w:sz="0" w:space="0" w:color="auto"/>
        <w:left w:val="none" w:sz="0" w:space="0" w:color="auto"/>
        <w:bottom w:val="none" w:sz="0" w:space="0" w:color="auto"/>
        <w:right w:val="none" w:sz="0" w:space="0" w:color="auto"/>
      </w:divBdr>
    </w:div>
    <w:div w:id="1069498758">
      <w:bodyDiv w:val="1"/>
      <w:marLeft w:val="0"/>
      <w:marRight w:val="0"/>
      <w:marTop w:val="0"/>
      <w:marBottom w:val="0"/>
      <w:divBdr>
        <w:top w:val="none" w:sz="0" w:space="0" w:color="auto"/>
        <w:left w:val="none" w:sz="0" w:space="0" w:color="auto"/>
        <w:bottom w:val="none" w:sz="0" w:space="0" w:color="auto"/>
        <w:right w:val="none" w:sz="0" w:space="0" w:color="auto"/>
      </w:divBdr>
    </w:div>
    <w:div w:id="1079444298">
      <w:bodyDiv w:val="1"/>
      <w:marLeft w:val="0"/>
      <w:marRight w:val="0"/>
      <w:marTop w:val="0"/>
      <w:marBottom w:val="0"/>
      <w:divBdr>
        <w:top w:val="none" w:sz="0" w:space="0" w:color="auto"/>
        <w:left w:val="none" w:sz="0" w:space="0" w:color="auto"/>
        <w:bottom w:val="none" w:sz="0" w:space="0" w:color="auto"/>
        <w:right w:val="none" w:sz="0" w:space="0" w:color="auto"/>
      </w:divBdr>
    </w:div>
    <w:div w:id="1218280432">
      <w:bodyDiv w:val="1"/>
      <w:marLeft w:val="0"/>
      <w:marRight w:val="0"/>
      <w:marTop w:val="0"/>
      <w:marBottom w:val="0"/>
      <w:divBdr>
        <w:top w:val="none" w:sz="0" w:space="0" w:color="auto"/>
        <w:left w:val="none" w:sz="0" w:space="0" w:color="auto"/>
        <w:bottom w:val="none" w:sz="0" w:space="0" w:color="auto"/>
        <w:right w:val="none" w:sz="0" w:space="0" w:color="auto"/>
      </w:divBdr>
    </w:div>
    <w:div w:id="1555502223">
      <w:bodyDiv w:val="1"/>
      <w:marLeft w:val="0"/>
      <w:marRight w:val="0"/>
      <w:marTop w:val="0"/>
      <w:marBottom w:val="0"/>
      <w:divBdr>
        <w:top w:val="none" w:sz="0" w:space="0" w:color="auto"/>
        <w:left w:val="none" w:sz="0" w:space="0" w:color="auto"/>
        <w:bottom w:val="none" w:sz="0" w:space="0" w:color="auto"/>
        <w:right w:val="none" w:sz="0" w:space="0" w:color="auto"/>
      </w:divBdr>
    </w:div>
    <w:div w:id="1632437788">
      <w:bodyDiv w:val="1"/>
      <w:marLeft w:val="0"/>
      <w:marRight w:val="0"/>
      <w:marTop w:val="0"/>
      <w:marBottom w:val="0"/>
      <w:divBdr>
        <w:top w:val="none" w:sz="0" w:space="0" w:color="auto"/>
        <w:left w:val="none" w:sz="0" w:space="0" w:color="auto"/>
        <w:bottom w:val="none" w:sz="0" w:space="0" w:color="auto"/>
        <w:right w:val="none" w:sz="0" w:space="0" w:color="auto"/>
      </w:divBdr>
      <w:divsChild>
        <w:div w:id="1163207128">
          <w:marLeft w:val="0"/>
          <w:marRight w:val="0"/>
          <w:marTop w:val="0"/>
          <w:marBottom w:val="0"/>
          <w:divBdr>
            <w:top w:val="none" w:sz="0" w:space="0" w:color="auto"/>
            <w:left w:val="none" w:sz="0" w:space="0" w:color="auto"/>
            <w:bottom w:val="none" w:sz="0" w:space="0" w:color="auto"/>
            <w:right w:val="none" w:sz="0" w:space="0" w:color="auto"/>
          </w:divBdr>
        </w:div>
      </w:divsChild>
    </w:div>
    <w:div w:id="1743019038">
      <w:bodyDiv w:val="1"/>
      <w:marLeft w:val="0"/>
      <w:marRight w:val="0"/>
      <w:marTop w:val="0"/>
      <w:marBottom w:val="0"/>
      <w:divBdr>
        <w:top w:val="none" w:sz="0" w:space="0" w:color="auto"/>
        <w:left w:val="none" w:sz="0" w:space="0" w:color="auto"/>
        <w:bottom w:val="none" w:sz="0" w:space="0" w:color="auto"/>
        <w:right w:val="none" w:sz="0" w:space="0" w:color="auto"/>
      </w:divBdr>
    </w:div>
    <w:div w:id="1773088588">
      <w:bodyDiv w:val="1"/>
      <w:marLeft w:val="0"/>
      <w:marRight w:val="0"/>
      <w:marTop w:val="0"/>
      <w:marBottom w:val="0"/>
      <w:divBdr>
        <w:top w:val="none" w:sz="0" w:space="0" w:color="auto"/>
        <w:left w:val="none" w:sz="0" w:space="0" w:color="auto"/>
        <w:bottom w:val="none" w:sz="0" w:space="0" w:color="auto"/>
        <w:right w:val="none" w:sz="0" w:space="0" w:color="auto"/>
      </w:divBdr>
    </w:div>
    <w:div w:id="1852530137">
      <w:bodyDiv w:val="1"/>
      <w:marLeft w:val="0"/>
      <w:marRight w:val="0"/>
      <w:marTop w:val="0"/>
      <w:marBottom w:val="0"/>
      <w:divBdr>
        <w:top w:val="none" w:sz="0" w:space="0" w:color="auto"/>
        <w:left w:val="none" w:sz="0" w:space="0" w:color="auto"/>
        <w:bottom w:val="none" w:sz="0" w:space="0" w:color="auto"/>
        <w:right w:val="none" w:sz="0" w:space="0" w:color="auto"/>
      </w:divBdr>
    </w:div>
    <w:div w:id="1916696966">
      <w:bodyDiv w:val="1"/>
      <w:marLeft w:val="0"/>
      <w:marRight w:val="0"/>
      <w:marTop w:val="0"/>
      <w:marBottom w:val="0"/>
      <w:divBdr>
        <w:top w:val="none" w:sz="0" w:space="0" w:color="auto"/>
        <w:left w:val="none" w:sz="0" w:space="0" w:color="auto"/>
        <w:bottom w:val="none" w:sz="0" w:space="0" w:color="auto"/>
        <w:right w:val="none" w:sz="0" w:space="0" w:color="auto"/>
      </w:divBdr>
    </w:div>
    <w:div w:id="19185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cfs/cfs-hlpe/en/" TargetMode="External"/><Relationship Id="rId3" Type="http://schemas.openxmlformats.org/officeDocument/2006/relationships/hyperlink" Target="https://www.thebureauinvestigates.com/stories/2019-07-02/jbs-brazilian-butchers-took-over-the-world" TargetMode="External"/><Relationship Id="rId7" Type="http://schemas.openxmlformats.org/officeDocument/2006/relationships/hyperlink" Target="https://www.tni.org/files/publication-downloads/38_foei_junk_agroecology_full_report_eng_lr_0.pdf" TargetMode="External"/><Relationship Id="rId12" Type="http://schemas.openxmlformats.org/officeDocument/2006/relationships/hyperlink" Target="http://www.foodsovereignty.org/wp-content/uploads/2015/02/Download-declaration-Agroecology-Nyeleni-2015.pdf" TargetMode="External"/><Relationship Id="rId2" Type="http://schemas.openxmlformats.org/officeDocument/2006/relationships/hyperlink" Target="https://www.foei.org/resources/publications/chasing-carbon-unicorns-carbon-markets-net-zero-report" TargetMode="External"/><Relationship Id="rId1" Type="http://schemas.openxmlformats.org/officeDocument/2006/relationships/hyperlink" Target="https://mediamanager.sei.org/documents/Publications/Climate/SEI-WP-2016-08-Negative-emissions.pdf" TargetMode="External"/><Relationship Id="rId6" Type="http://schemas.openxmlformats.org/officeDocument/2006/relationships/hyperlink" Target="https://grain.org/en/article/6634-corporate-greenwashing-net-zero-and-nature-based-solutions-are-a-deadly-fraud" TargetMode="External"/><Relationship Id="rId11" Type="http://schemas.openxmlformats.org/officeDocument/2006/relationships/hyperlink" Target="http://www.fao.org/3/i9037en/I9037EN.pdf" TargetMode="External"/><Relationship Id="rId5" Type="http://schemas.openxmlformats.org/officeDocument/2006/relationships/hyperlink" Target="https://jbsfoodsgroup.com/articles/jbs-makes-global-commitment-to-achieve-net-zero-greenhouse-gas-emissions-by-2040" TargetMode="External"/><Relationship Id="rId10" Type="http://schemas.openxmlformats.org/officeDocument/2006/relationships/hyperlink" Target="http://www.fao.org/cfs/cfs-hlpe/en/" TargetMode="External"/><Relationship Id="rId4" Type="http://schemas.openxmlformats.org/officeDocument/2006/relationships/hyperlink" Target="https://stories.mightyearth.org/amazonfires2020/index.html" TargetMode="External"/><Relationship Id="rId9" Type="http://schemas.openxmlformats.org/officeDocument/2006/relationships/hyperlink" Target="https://www.foei.org/resources/publications/publications-by-subject/forests-and-biodiversity-publications/community-forest-management-lobby-brief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F14B64-3E9D-4023-9F24-4F1D3C320159}"/>
</file>

<file path=customXml/itemProps2.xml><?xml version="1.0" encoding="utf-8"?>
<ds:datastoreItem xmlns:ds="http://schemas.openxmlformats.org/officeDocument/2006/customXml" ds:itemID="{01EAE6FB-2974-4F02-910A-FF887B61376A}"/>
</file>

<file path=customXml/itemProps3.xml><?xml version="1.0" encoding="utf-8"?>
<ds:datastoreItem xmlns:ds="http://schemas.openxmlformats.org/officeDocument/2006/customXml" ds:itemID="{1D6446AC-41E3-469A-94CA-075DEFF32AD3}"/>
</file>

<file path=docProps/app.xml><?xml version="1.0" encoding="utf-8"?>
<Properties xmlns="http://schemas.openxmlformats.org/officeDocument/2006/extended-properties" xmlns:vt="http://schemas.openxmlformats.org/officeDocument/2006/docPropsVTypes">
  <Template>Normal.dotm</Template>
  <TotalTime>0</TotalTime>
  <Pages>1</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Kirtana Chandrasekaran</dc:creator>
  <cp:keywords/>
  <dc:description/>
  <cp:lastModifiedBy>BOURQUE Frederique</cp:lastModifiedBy>
  <cp:revision>1</cp:revision>
  <dcterms:created xsi:type="dcterms:W3CDTF">2021-07-13T10:54:00Z</dcterms:created>
  <dcterms:modified xsi:type="dcterms:W3CDTF">2021-07-13T10:54:00Z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