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8" w:rsidRPr="003D042D" w:rsidRDefault="00CD5BE8" w:rsidP="00CD5BE8">
      <w:pPr>
        <w:rPr>
          <w:rFonts w:asciiTheme="minorHAnsi" w:eastAsia="Simsun (Founder Extended)" w:hAnsiTheme="minorHAnsi"/>
          <w:b/>
          <w:color w:val="FF0000"/>
        </w:rPr>
      </w:pPr>
      <w:r w:rsidRPr="003D042D">
        <w:rPr>
          <w:rFonts w:asciiTheme="minorHAnsi" w:eastAsia="Simsun (Founder Extended)" w:hAnsiTheme="minorHAnsi"/>
          <w:b/>
          <w:color w:val="FF0000"/>
        </w:rPr>
        <w:t xml:space="preserve">TITLE: </w:t>
      </w:r>
    </w:p>
    <w:p w:rsidR="00A13E5B" w:rsidRPr="003D042D" w:rsidRDefault="00A13E5B" w:rsidP="00CD5BE8">
      <w:pPr>
        <w:rPr>
          <w:rFonts w:asciiTheme="minorHAnsi" w:eastAsia="Simsun (Founder Extended)" w:hAnsiTheme="minorHAnsi"/>
          <w:b/>
        </w:rPr>
      </w:pPr>
    </w:p>
    <w:p w:rsidR="00A41ED7" w:rsidRDefault="00A41ED7" w:rsidP="00A41ED7">
      <w:pPr>
        <w:rPr>
          <w:rFonts w:asciiTheme="minorHAnsi" w:hAnsiTheme="minorHAnsi"/>
          <w:b/>
          <w:i/>
          <w:lang w:val="es-ES"/>
        </w:rPr>
      </w:pPr>
      <w:r w:rsidRPr="00A41ED7">
        <w:rPr>
          <w:rFonts w:asciiTheme="minorHAnsi" w:hAnsiTheme="minorHAnsi"/>
          <w:b/>
          <w:i/>
          <w:lang w:val="es-ES"/>
        </w:rPr>
        <w:t>Convocatoria de presentación</w:t>
      </w:r>
      <w:r>
        <w:rPr>
          <w:rFonts w:asciiTheme="minorHAnsi" w:hAnsiTheme="minorHAnsi"/>
          <w:b/>
          <w:i/>
          <w:lang w:val="es-ES"/>
        </w:rPr>
        <w:t xml:space="preserve"> de aquí al 31 de enero de 2017.</w:t>
      </w:r>
    </w:p>
    <w:p w:rsidR="00A41ED7" w:rsidRDefault="00A41ED7" w:rsidP="00A41ED7">
      <w:pPr>
        <w:rPr>
          <w:rFonts w:asciiTheme="minorHAnsi" w:hAnsiTheme="minorHAnsi"/>
          <w:b/>
          <w:i/>
          <w:lang w:val="es-ES"/>
        </w:rPr>
      </w:pPr>
    </w:p>
    <w:p w:rsidR="00A41ED7" w:rsidRPr="00A41ED7" w:rsidRDefault="00A41ED7" w:rsidP="00A41ED7">
      <w:pPr>
        <w:rPr>
          <w:rFonts w:asciiTheme="minorHAnsi" w:hAnsiTheme="minorHAnsi"/>
          <w:b/>
          <w:i/>
          <w:lang w:val="es-ES"/>
        </w:rPr>
      </w:pPr>
      <w:r w:rsidRPr="00A41ED7">
        <w:rPr>
          <w:rFonts w:asciiTheme="minorHAnsi" w:hAnsiTheme="minorHAnsi"/>
          <w:b/>
          <w:i/>
          <w:lang w:val="es-ES"/>
        </w:rPr>
        <w:t xml:space="preserve">Ponencias basadas en un enfoque de género relativas a </w:t>
      </w:r>
      <w:r w:rsidR="008558FD">
        <w:rPr>
          <w:rFonts w:asciiTheme="minorHAnsi" w:hAnsiTheme="minorHAnsi"/>
          <w:b/>
          <w:i/>
          <w:lang w:val="es-ES"/>
        </w:rPr>
        <w:t>ejecuciones</w:t>
      </w:r>
      <w:r w:rsidRPr="00A41ED7">
        <w:rPr>
          <w:rFonts w:asciiTheme="minorHAnsi" w:hAnsiTheme="minorHAnsi"/>
          <w:b/>
          <w:i/>
          <w:lang w:val="es-ES"/>
        </w:rPr>
        <w:t xml:space="preserve"> extrajudiciales, sumarias o arbitrarias </w:t>
      </w:r>
    </w:p>
    <w:p w:rsidR="00A41ED7" w:rsidRPr="00A41ED7" w:rsidRDefault="00A41ED7" w:rsidP="003D042D">
      <w:pPr>
        <w:rPr>
          <w:rFonts w:asciiTheme="minorHAnsi" w:hAnsiTheme="minorHAnsi"/>
          <w:b/>
          <w:i/>
          <w:lang w:val="es-ES"/>
        </w:rPr>
      </w:pPr>
    </w:p>
    <w:p w:rsidR="00134135" w:rsidRPr="008558FD" w:rsidRDefault="00CD5BE8" w:rsidP="00CD5BE8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FF0000"/>
          <w:lang w:val="es-ES"/>
        </w:rPr>
      </w:pPr>
      <w:r w:rsidRPr="008558FD">
        <w:rPr>
          <w:rFonts w:asciiTheme="minorHAnsi" w:hAnsiTheme="minorHAnsi"/>
          <w:b/>
          <w:bCs/>
          <w:color w:val="FF0000"/>
          <w:lang w:val="es-ES"/>
        </w:rPr>
        <w:t>TEXT</w:t>
      </w:r>
    </w:p>
    <w:p w:rsidR="00A41ED7" w:rsidRPr="008558FD" w:rsidRDefault="00A41ED7" w:rsidP="003D04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</w:p>
    <w:p w:rsidR="008C725E" w:rsidRDefault="00821713" w:rsidP="003D04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  <w:r w:rsidRPr="00821713">
        <w:rPr>
          <w:rFonts w:asciiTheme="minorHAnsi" w:hAnsiTheme="minorHAnsi"/>
          <w:lang w:val="es-ES"/>
        </w:rPr>
        <w:t xml:space="preserve">En mi condición de Relatora Especial de las Naciones Unidas sobre </w:t>
      </w:r>
      <w:r w:rsidR="00FE40EC">
        <w:rPr>
          <w:rFonts w:asciiTheme="minorHAnsi" w:hAnsiTheme="minorHAnsi"/>
          <w:lang w:val="es-ES"/>
        </w:rPr>
        <w:t xml:space="preserve">las </w:t>
      </w:r>
      <w:r w:rsidR="005A6B4B" w:rsidRPr="005A6B4B">
        <w:rPr>
          <w:rFonts w:asciiTheme="minorHAnsi" w:hAnsiTheme="minorHAnsi"/>
          <w:lang w:val="es-ES"/>
        </w:rPr>
        <w:t xml:space="preserve">ejecuciones extrajudiciales, sumarias o arbitrarias </w:t>
      </w:r>
      <w:r w:rsidR="005A6B4B">
        <w:rPr>
          <w:rFonts w:asciiTheme="minorHAnsi" w:hAnsiTheme="minorHAnsi"/>
          <w:lang w:val="es-ES"/>
        </w:rPr>
        <w:t xml:space="preserve">me he </w:t>
      </w:r>
      <w:r w:rsidR="005A6B4B" w:rsidRPr="005A6B4B">
        <w:rPr>
          <w:rFonts w:asciiTheme="minorHAnsi" w:hAnsiTheme="minorHAnsi"/>
          <w:lang w:val="es-ES"/>
        </w:rPr>
        <w:t xml:space="preserve">comprometido a aplicar la perspectiva de género </w:t>
      </w:r>
      <w:r w:rsidR="008558FD">
        <w:rPr>
          <w:rFonts w:asciiTheme="minorHAnsi" w:hAnsiTheme="minorHAnsi"/>
          <w:lang w:val="es-ES"/>
        </w:rPr>
        <w:t>a</w:t>
      </w:r>
      <w:r w:rsidR="005A6B4B" w:rsidRPr="005A6B4B">
        <w:rPr>
          <w:rFonts w:asciiTheme="minorHAnsi" w:hAnsiTheme="minorHAnsi"/>
          <w:lang w:val="es-ES"/>
        </w:rPr>
        <w:t xml:space="preserve"> toda </w:t>
      </w:r>
      <w:r w:rsidR="005A6B4B">
        <w:rPr>
          <w:rFonts w:asciiTheme="minorHAnsi" w:hAnsiTheme="minorHAnsi"/>
          <w:lang w:val="es-ES"/>
        </w:rPr>
        <w:t>mi</w:t>
      </w:r>
      <w:r w:rsidR="005A6B4B" w:rsidRPr="005A6B4B">
        <w:rPr>
          <w:rFonts w:asciiTheme="minorHAnsi" w:hAnsiTheme="minorHAnsi"/>
          <w:lang w:val="es-ES"/>
        </w:rPr>
        <w:t xml:space="preserve"> labor, incluso a </w:t>
      </w:r>
      <w:r w:rsidR="005A6B4B">
        <w:rPr>
          <w:rFonts w:asciiTheme="minorHAnsi" w:hAnsiTheme="minorHAnsi"/>
          <w:lang w:val="es-ES"/>
        </w:rPr>
        <w:t>las</w:t>
      </w:r>
      <w:r w:rsidR="005A6B4B" w:rsidRPr="005A6B4B">
        <w:rPr>
          <w:rFonts w:asciiTheme="minorHAnsi" w:hAnsiTheme="minorHAnsi"/>
          <w:lang w:val="es-ES"/>
        </w:rPr>
        <w:t xml:space="preserve"> misiones, recomendaciones y labores de supervisión general</w:t>
      </w:r>
      <w:r w:rsidR="008558FD">
        <w:rPr>
          <w:rFonts w:asciiTheme="minorHAnsi" w:hAnsiTheme="minorHAnsi"/>
          <w:lang w:val="es-ES"/>
        </w:rPr>
        <w:t>,</w:t>
      </w:r>
      <w:r w:rsidR="005A6B4B" w:rsidRPr="005A6B4B">
        <w:rPr>
          <w:rFonts w:asciiTheme="minorHAnsi" w:hAnsiTheme="minorHAnsi"/>
          <w:lang w:val="es-ES"/>
        </w:rPr>
        <w:t xml:space="preserve"> y </w:t>
      </w:r>
      <w:r w:rsidR="008558FD">
        <w:rPr>
          <w:rFonts w:asciiTheme="minorHAnsi" w:hAnsiTheme="minorHAnsi"/>
          <w:lang w:val="es-ES"/>
        </w:rPr>
        <w:t>mediante la integración de una perspectiva de género específica en todos mis</w:t>
      </w:r>
      <w:r w:rsidR="005A6B4B" w:rsidRPr="005A6B4B">
        <w:rPr>
          <w:rFonts w:asciiTheme="minorHAnsi" w:hAnsiTheme="minorHAnsi"/>
          <w:lang w:val="es-ES"/>
        </w:rPr>
        <w:t xml:space="preserve"> informes</w:t>
      </w:r>
      <w:r w:rsidR="008C725E">
        <w:rPr>
          <w:rFonts w:asciiTheme="minorHAnsi" w:hAnsiTheme="minorHAnsi"/>
          <w:lang w:val="es-ES"/>
        </w:rPr>
        <w:t xml:space="preserve">, y una atención especial a las muertes causadas por ejecuciones extrajudiciales e ilegales. Este compromiso cumple con los términos de la Resolución 26/12 sobre el Mandato del Relator Especial sobre </w:t>
      </w:r>
      <w:r w:rsidR="00FE40EC">
        <w:rPr>
          <w:rFonts w:asciiTheme="minorHAnsi" w:hAnsiTheme="minorHAnsi"/>
          <w:lang w:val="es-ES"/>
        </w:rPr>
        <w:t xml:space="preserve">las </w:t>
      </w:r>
      <w:r w:rsidR="008C725E" w:rsidRPr="008C725E">
        <w:rPr>
          <w:rFonts w:asciiTheme="minorHAnsi" w:hAnsiTheme="minorHAnsi"/>
          <w:lang w:val="es-ES"/>
        </w:rPr>
        <w:t>ejecuciones extrajudiciales, sumarias o arbitrarias</w:t>
      </w:r>
      <w:r w:rsidR="008C725E">
        <w:rPr>
          <w:rFonts w:asciiTheme="minorHAnsi" w:hAnsiTheme="minorHAnsi"/>
          <w:lang w:val="es-ES"/>
        </w:rPr>
        <w:t>, que pide que el Relator Especial, al ejercer su mandato, a</w:t>
      </w:r>
      <w:r w:rsidR="00FE40EC">
        <w:rPr>
          <w:rFonts w:asciiTheme="minorHAnsi" w:hAnsiTheme="minorHAnsi"/>
          <w:lang w:val="es-ES"/>
        </w:rPr>
        <w:t xml:space="preserve">dopte en su labor </w:t>
      </w:r>
      <w:r w:rsidR="008C725E">
        <w:rPr>
          <w:rFonts w:asciiTheme="minorHAnsi" w:hAnsiTheme="minorHAnsi"/>
          <w:lang w:val="es-ES"/>
        </w:rPr>
        <w:t>una perspectiva de género (párrafo 7 (f</w:t>
      </w:r>
      <w:proofErr w:type="gramStart"/>
      <w:r w:rsidR="008C725E">
        <w:rPr>
          <w:rFonts w:asciiTheme="minorHAnsi" w:hAnsiTheme="minorHAnsi"/>
          <w:lang w:val="es-ES"/>
        </w:rPr>
        <w:t>) )</w:t>
      </w:r>
      <w:proofErr w:type="gramEnd"/>
      <w:r w:rsidR="008C725E">
        <w:rPr>
          <w:rFonts w:asciiTheme="minorHAnsi" w:hAnsiTheme="minorHAnsi"/>
          <w:lang w:val="es-ES"/>
        </w:rPr>
        <w:t>.</w:t>
      </w:r>
    </w:p>
    <w:p w:rsidR="00821713" w:rsidRPr="00821713" w:rsidRDefault="005A6B4B" w:rsidP="003D042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s-ES"/>
        </w:rPr>
      </w:pPr>
      <w:r w:rsidRPr="005A6B4B">
        <w:rPr>
          <w:rFonts w:asciiTheme="minorHAnsi" w:hAnsiTheme="minorHAnsi"/>
          <w:lang w:val="es-ES"/>
        </w:rPr>
        <w:t xml:space="preserve"> </w:t>
      </w:r>
    </w:p>
    <w:p w:rsidR="00821713" w:rsidRPr="00821713" w:rsidRDefault="00821713" w:rsidP="00821713">
      <w:pPr>
        <w:jc w:val="both"/>
        <w:rPr>
          <w:rFonts w:asciiTheme="minorHAnsi" w:hAnsiTheme="minorHAnsi"/>
          <w:lang w:val="es-ES"/>
        </w:rPr>
      </w:pPr>
      <w:r w:rsidRPr="00821713">
        <w:rPr>
          <w:rFonts w:asciiTheme="minorHAnsi" w:hAnsiTheme="minorHAnsi"/>
          <w:lang w:val="es-ES"/>
        </w:rPr>
        <w:t>De manera preliminar,</w:t>
      </w:r>
      <w:r>
        <w:rPr>
          <w:rFonts w:asciiTheme="minorHAnsi" w:hAnsiTheme="minorHAnsi"/>
          <w:lang w:val="es-ES"/>
        </w:rPr>
        <w:t xml:space="preserve"> examino </w:t>
      </w:r>
      <w:r w:rsidR="00FE40EC">
        <w:rPr>
          <w:rFonts w:asciiTheme="minorHAnsi" w:hAnsiTheme="minorHAnsi"/>
          <w:lang w:val="es-ES"/>
        </w:rPr>
        <w:t xml:space="preserve">actualmente </w:t>
      </w:r>
      <w:r w:rsidRPr="00821713">
        <w:rPr>
          <w:rFonts w:asciiTheme="minorHAnsi" w:hAnsiTheme="minorHAnsi"/>
          <w:lang w:val="es-ES"/>
        </w:rPr>
        <w:t xml:space="preserve">la posibilidad de presentar informes </w:t>
      </w:r>
      <w:r w:rsidR="008C725E">
        <w:rPr>
          <w:rFonts w:asciiTheme="minorHAnsi" w:hAnsiTheme="minorHAnsi"/>
          <w:lang w:val="es-ES"/>
        </w:rPr>
        <w:t>relativos a</w:t>
      </w:r>
      <w:r w:rsidRPr="00821713">
        <w:rPr>
          <w:rFonts w:asciiTheme="minorHAnsi" w:hAnsiTheme="minorHAnsi"/>
          <w:lang w:val="es-ES"/>
        </w:rPr>
        <w:t>:</w:t>
      </w:r>
    </w:p>
    <w:p w:rsidR="00821713" w:rsidRPr="008C725E" w:rsidRDefault="00821713" w:rsidP="00821713">
      <w:pPr>
        <w:jc w:val="both"/>
        <w:rPr>
          <w:rFonts w:asciiTheme="minorHAnsi" w:hAnsiTheme="minorHAnsi"/>
          <w:lang w:val="es-ES"/>
        </w:rPr>
      </w:pPr>
      <w:r w:rsidRPr="008C725E">
        <w:rPr>
          <w:rFonts w:asciiTheme="minorHAnsi" w:hAnsiTheme="minorHAnsi"/>
          <w:lang w:val="es-ES"/>
        </w:rPr>
        <w:t xml:space="preserve">  </w:t>
      </w:r>
    </w:p>
    <w:p w:rsidR="00FE40EC" w:rsidRDefault="00821713" w:rsidP="00821713">
      <w:pPr>
        <w:jc w:val="both"/>
        <w:rPr>
          <w:rFonts w:asciiTheme="minorHAnsi" w:hAnsiTheme="minorHAnsi"/>
          <w:lang w:val="es-ES"/>
        </w:rPr>
      </w:pPr>
      <w:r w:rsidRPr="00821713">
        <w:rPr>
          <w:rFonts w:asciiTheme="minorHAnsi" w:hAnsiTheme="minorHAnsi"/>
          <w:lang w:val="es-ES"/>
        </w:rPr>
        <w:t>•</w:t>
      </w:r>
      <w:r w:rsidRPr="00821713">
        <w:rPr>
          <w:rFonts w:asciiTheme="minorHAnsi" w:hAnsiTheme="minorHAnsi"/>
          <w:lang w:val="es-ES"/>
        </w:rPr>
        <w:tab/>
        <w:t xml:space="preserve">Un enfoque </w:t>
      </w:r>
      <w:r w:rsidR="00FE40EC">
        <w:rPr>
          <w:rFonts w:asciiTheme="minorHAnsi" w:hAnsiTheme="minorHAnsi"/>
          <w:lang w:val="es-ES"/>
        </w:rPr>
        <w:t>de</w:t>
      </w:r>
      <w:r w:rsidRPr="00821713">
        <w:rPr>
          <w:rFonts w:asciiTheme="minorHAnsi" w:hAnsiTheme="minorHAnsi"/>
          <w:lang w:val="es-ES"/>
        </w:rPr>
        <w:t xml:space="preserve"> las ejecuciones extrajudiciales, sumarias y arbitrarias que tenga en cuenta las diferencias de género: sus efectos sobre la metodología jurídica e investigativa. </w:t>
      </w:r>
    </w:p>
    <w:p w:rsidR="00821713" w:rsidRPr="008C725E" w:rsidRDefault="00821713" w:rsidP="00821713">
      <w:pPr>
        <w:jc w:val="both"/>
        <w:rPr>
          <w:rFonts w:asciiTheme="minorHAnsi" w:hAnsiTheme="minorHAnsi"/>
          <w:lang w:val="es-ES"/>
        </w:rPr>
      </w:pPr>
      <w:r w:rsidRPr="008C725E">
        <w:rPr>
          <w:rFonts w:asciiTheme="minorHAnsi" w:hAnsiTheme="minorHAnsi"/>
          <w:lang w:val="es-ES"/>
        </w:rPr>
        <w:t xml:space="preserve"> </w:t>
      </w:r>
    </w:p>
    <w:p w:rsidR="00821713" w:rsidRPr="008C725E" w:rsidRDefault="00821713" w:rsidP="00821713">
      <w:pPr>
        <w:jc w:val="both"/>
        <w:rPr>
          <w:rFonts w:asciiTheme="minorHAnsi" w:hAnsiTheme="minorHAnsi"/>
          <w:lang w:val="es-ES"/>
        </w:rPr>
      </w:pPr>
      <w:r w:rsidRPr="008C725E">
        <w:rPr>
          <w:rFonts w:asciiTheme="minorHAnsi" w:hAnsiTheme="minorHAnsi"/>
          <w:lang w:val="es-ES"/>
        </w:rPr>
        <w:t>•</w:t>
      </w:r>
      <w:r w:rsidRPr="008C725E">
        <w:rPr>
          <w:rFonts w:asciiTheme="minorHAnsi" w:hAnsiTheme="minorHAnsi"/>
          <w:lang w:val="es-ES"/>
        </w:rPr>
        <w:tab/>
      </w:r>
      <w:r w:rsidR="008C725E" w:rsidRPr="008C725E">
        <w:rPr>
          <w:rFonts w:asciiTheme="minorHAnsi" w:hAnsiTheme="minorHAnsi"/>
          <w:lang w:val="es-ES"/>
        </w:rPr>
        <w:t xml:space="preserve">Homicidios por motivo de género, que podrían equivaler a ejecuciones extrajudiciales, sumarias o arbitrarias, por ejemplo, en casos de violencia doméstica, </w:t>
      </w:r>
      <w:r w:rsidR="00FE40EC">
        <w:rPr>
          <w:rFonts w:asciiTheme="minorHAnsi" w:hAnsiTheme="minorHAnsi"/>
          <w:lang w:val="es-ES"/>
        </w:rPr>
        <w:t>crímenes de</w:t>
      </w:r>
      <w:r w:rsidR="008C725E" w:rsidRPr="008C725E">
        <w:rPr>
          <w:rFonts w:asciiTheme="minorHAnsi" w:hAnsiTheme="minorHAnsi"/>
          <w:lang w:val="es-ES"/>
        </w:rPr>
        <w:t xml:space="preserve"> honor, “feminicidios”, y/u otros temas que se definirían mediante consultas.</w:t>
      </w:r>
    </w:p>
    <w:p w:rsidR="00821713" w:rsidRPr="008C725E" w:rsidRDefault="00821713" w:rsidP="003D042D">
      <w:pPr>
        <w:jc w:val="both"/>
        <w:rPr>
          <w:rFonts w:asciiTheme="minorHAnsi" w:hAnsiTheme="minorHAnsi"/>
          <w:lang w:val="es-ES"/>
        </w:rPr>
      </w:pPr>
    </w:p>
    <w:p w:rsidR="003D042D" w:rsidRPr="00FE40EC" w:rsidRDefault="003D042D" w:rsidP="003D042D">
      <w:pPr>
        <w:jc w:val="both"/>
        <w:rPr>
          <w:rFonts w:asciiTheme="minorHAnsi" w:hAnsiTheme="minorHAnsi"/>
          <w:lang w:val="es-ES"/>
        </w:rPr>
      </w:pPr>
      <w:r w:rsidRPr="00FE40EC">
        <w:rPr>
          <w:rFonts w:asciiTheme="minorHAnsi" w:hAnsiTheme="minorHAnsi"/>
          <w:b/>
          <w:u w:val="single"/>
          <w:lang w:val="es-ES"/>
        </w:rPr>
        <w:t>Context</w:t>
      </w:r>
      <w:r w:rsidR="008C725E" w:rsidRPr="00FE40EC">
        <w:rPr>
          <w:rFonts w:asciiTheme="minorHAnsi" w:hAnsiTheme="minorHAnsi"/>
          <w:b/>
          <w:u w:val="single"/>
          <w:lang w:val="es-ES"/>
        </w:rPr>
        <w:t>o</w:t>
      </w:r>
    </w:p>
    <w:p w:rsidR="00FE40EC" w:rsidRDefault="00FE40EC" w:rsidP="003D042D">
      <w:pPr>
        <w:spacing w:before="120"/>
        <w:jc w:val="both"/>
        <w:rPr>
          <w:rFonts w:asciiTheme="minorHAnsi" w:hAnsiTheme="minorHAnsi"/>
          <w:lang w:val="es-ES"/>
        </w:rPr>
      </w:pPr>
    </w:p>
    <w:p w:rsidR="008C725E" w:rsidRPr="009F09F4" w:rsidRDefault="009F09F4" w:rsidP="003D042D">
      <w:pPr>
        <w:spacing w:before="120"/>
        <w:jc w:val="both"/>
        <w:rPr>
          <w:rFonts w:asciiTheme="minorHAnsi" w:hAnsiTheme="minorHAnsi"/>
          <w:lang w:val="es-ES"/>
        </w:rPr>
      </w:pPr>
      <w:r w:rsidRPr="009F09F4">
        <w:rPr>
          <w:rFonts w:asciiTheme="minorHAnsi" w:hAnsiTheme="minorHAnsi"/>
          <w:lang w:val="es-ES"/>
        </w:rPr>
        <w:t xml:space="preserve">En los últimos decenios se ha tomado una serie de medidas </w:t>
      </w:r>
      <w:r>
        <w:rPr>
          <w:rFonts w:asciiTheme="minorHAnsi" w:hAnsiTheme="minorHAnsi"/>
          <w:lang w:val="es-ES"/>
        </w:rPr>
        <w:t>encaminadas a garantizar que las violaciones de derechos humanos perpetradas contra las mujeres y otras violaciones de género est</w:t>
      </w:r>
      <w:r w:rsidR="00FE40EC">
        <w:rPr>
          <w:rFonts w:asciiTheme="minorHAnsi" w:hAnsiTheme="minorHAnsi"/>
          <w:lang w:val="es-ES"/>
        </w:rPr>
        <w:t>é</w:t>
      </w:r>
      <w:r>
        <w:rPr>
          <w:rFonts w:asciiTheme="minorHAnsi" w:hAnsiTheme="minorHAnsi"/>
          <w:lang w:val="es-ES"/>
        </w:rPr>
        <w:t xml:space="preserve">n </w:t>
      </w:r>
      <w:r w:rsidR="00FE40EC">
        <w:rPr>
          <w:rFonts w:asciiTheme="minorHAnsi" w:hAnsiTheme="minorHAnsi"/>
          <w:lang w:val="es-ES"/>
        </w:rPr>
        <w:t>correctamente</w:t>
      </w:r>
      <w:r>
        <w:rPr>
          <w:rFonts w:asciiTheme="minorHAnsi" w:hAnsiTheme="minorHAnsi"/>
          <w:lang w:val="es-ES"/>
        </w:rPr>
        <w:t xml:space="preserve"> integradas en el proceso de seguimiento, presentación de informes y cumplimiento de los derechos humanos y que las opiniones y experiencias de las mujeres y de </w:t>
      </w:r>
      <w:r>
        <w:rPr>
          <w:rFonts w:asciiTheme="minorHAnsi" w:hAnsiTheme="minorHAnsi"/>
          <w:lang w:val="es-ES"/>
        </w:rPr>
        <w:lastRenderedPageBreak/>
        <w:t>otros grupos especialmente vulnerables a las violaciones de derechos humanos por motivo de identidad qued</w:t>
      </w:r>
      <w:r w:rsidR="00FE40EC">
        <w:rPr>
          <w:rFonts w:asciiTheme="minorHAnsi" w:hAnsiTheme="minorHAnsi"/>
          <w:lang w:val="es-ES"/>
        </w:rPr>
        <w:t>e</w:t>
      </w:r>
      <w:r>
        <w:rPr>
          <w:rFonts w:asciiTheme="minorHAnsi" w:hAnsiTheme="minorHAnsi"/>
          <w:lang w:val="es-ES"/>
        </w:rPr>
        <w:t xml:space="preserve">n mejor reflejadas en todos los niveles del sistema de derechos humanos.  </w:t>
      </w:r>
    </w:p>
    <w:p w:rsidR="00644D04" w:rsidRDefault="00644D04" w:rsidP="003D042D">
      <w:pPr>
        <w:jc w:val="both"/>
        <w:rPr>
          <w:rFonts w:asciiTheme="minorHAnsi" w:hAnsiTheme="minorHAnsi"/>
        </w:rPr>
      </w:pPr>
    </w:p>
    <w:p w:rsidR="00644D04" w:rsidRPr="00644D04" w:rsidRDefault="00644D04" w:rsidP="003D042D">
      <w:pPr>
        <w:jc w:val="both"/>
        <w:rPr>
          <w:rFonts w:asciiTheme="minorHAnsi" w:hAnsiTheme="minorHAnsi"/>
          <w:lang w:val="es-ES"/>
        </w:rPr>
      </w:pPr>
      <w:r w:rsidRPr="00644D04">
        <w:rPr>
          <w:rFonts w:asciiTheme="minorHAnsi" w:hAnsiTheme="minorHAnsi"/>
          <w:lang w:val="es-ES"/>
        </w:rPr>
        <w:t xml:space="preserve">El Mandato Especial sobre </w:t>
      </w:r>
      <w:r w:rsidR="00FE40EC">
        <w:rPr>
          <w:rFonts w:asciiTheme="minorHAnsi" w:hAnsiTheme="minorHAnsi"/>
          <w:lang w:val="es-ES"/>
        </w:rPr>
        <w:t>e</w:t>
      </w:r>
      <w:r w:rsidRPr="00644D04">
        <w:rPr>
          <w:rFonts w:asciiTheme="minorHAnsi" w:hAnsiTheme="minorHAnsi"/>
          <w:lang w:val="es-ES"/>
        </w:rPr>
        <w:t xml:space="preserve">jecuciones </w:t>
      </w:r>
      <w:r w:rsidR="00FE40EC">
        <w:rPr>
          <w:rFonts w:asciiTheme="minorHAnsi" w:hAnsiTheme="minorHAnsi"/>
          <w:lang w:val="es-ES"/>
        </w:rPr>
        <w:t>e</w:t>
      </w:r>
      <w:r w:rsidRPr="00644D04">
        <w:rPr>
          <w:rFonts w:asciiTheme="minorHAnsi" w:hAnsiTheme="minorHAnsi"/>
          <w:lang w:val="es-ES"/>
        </w:rPr>
        <w:t xml:space="preserve">xtrajudiciales ha contribuido a esas medidas. </w:t>
      </w:r>
      <w:r>
        <w:rPr>
          <w:rFonts w:asciiTheme="minorHAnsi" w:hAnsiTheme="minorHAnsi"/>
          <w:lang w:val="es-ES"/>
        </w:rPr>
        <w:t xml:space="preserve">Mis predecesores elaboraron informes y otras observaciones sobre los crímenes de honor, las muertes por brujería, los “feminicidios”, la violencia de género ejercida por grupos parapoliciales, los asesinatos en el contexto de los conflictos armados y su repercusión sobre las mujeres, y los homicidios por motivo de </w:t>
      </w:r>
      <w:r w:rsidR="00E275E8">
        <w:rPr>
          <w:rFonts w:asciiTheme="minorHAnsi" w:hAnsiTheme="minorHAnsi"/>
          <w:lang w:val="es-ES"/>
        </w:rPr>
        <w:t xml:space="preserve">género o </w:t>
      </w:r>
      <w:r>
        <w:rPr>
          <w:rFonts w:asciiTheme="minorHAnsi" w:hAnsiTheme="minorHAnsi"/>
          <w:lang w:val="es-ES"/>
        </w:rPr>
        <w:t xml:space="preserve">identidad sexual. Asimismo </w:t>
      </w:r>
      <w:r w:rsidR="00E275E8">
        <w:rPr>
          <w:rFonts w:asciiTheme="minorHAnsi" w:hAnsiTheme="minorHAnsi"/>
          <w:lang w:val="es-ES"/>
        </w:rPr>
        <w:t>abordaron</w:t>
      </w:r>
      <w:r>
        <w:rPr>
          <w:rFonts w:asciiTheme="minorHAnsi" w:hAnsiTheme="minorHAnsi"/>
          <w:lang w:val="es-ES"/>
        </w:rPr>
        <w:t xml:space="preserve"> las obligaciones que tienen los Estados de proteger a las personas </w:t>
      </w:r>
      <w:r w:rsidR="00E275E8">
        <w:rPr>
          <w:rFonts w:asciiTheme="minorHAnsi" w:hAnsiTheme="minorHAnsi"/>
          <w:lang w:val="es-ES"/>
        </w:rPr>
        <w:t>de</w:t>
      </w:r>
      <w:r>
        <w:rPr>
          <w:rFonts w:asciiTheme="minorHAnsi" w:hAnsiTheme="minorHAnsi"/>
          <w:lang w:val="es-ES"/>
        </w:rPr>
        <w:t xml:space="preserve"> los </w:t>
      </w:r>
      <w:r w:rsidR="00E275E8">
        <w:rPr>
          <w:rFonts w:asciiTheme="minorHAnsi" w:hAnsiTheme="minorHAnsi"/>
          <w:lang w:val="es-ES"/>
        </w:rPr>
        <w:t>crímenes</w:t>
      </w:r>
      <w:r>
        <w:rPr>
          <w:rFonts w:asciiTheme="minorHAnsi" w:hAnsiTheme="minorHAnsi"/>
          <w:lang w:val="es-ES"/>
        </w:rPr>
        <w:t xml:space="preserve"> </w:t>
      </w:r>
      <w:r w:rsidR="00E275E8">
        <w:rPr>
          <w:rFonts w:asciiTheme="minorHAnsi" w:hAnsiTheme="minorHAnsi"/>
          <w:lang w:val="es-ES"/>
        </w:rPr>
        <w:t>que pueden cometer los</w:t>
      </w:r>
      <w:r>
        <w:rPr>
          <w:rFonts w:asciiTheme="minorHAnsi" w:hAnsiTheme="minorHAnsi"/>
          <w:lang w:val="es-ES"/>
        </w:rPr>
        <w:t xml:space="preserve"> actores no estatales y de hacer cumplir los derechos humanos de las mujeres, </w:t>
      </w:r>
      <w:r w:rsidR="00E275E8">
        <w:rPr>
          <w:rFonts w:asciiTheme="minorHAnsi" w:hAnsiTheme="minorHAnsi"/>
          <w:lang w:val="es-ES"/>
        </w:rPr>
        <w:t>entre otros</w:t>
      </w:r>
      <w:r>
        <w:rPr>
          <w:rFonts w:asciiTheme="minorHAnsi" w:hAnsiTheme="minorHAnsi"/>
          <w:lang w:val="es-ES"/>
        </w:rPr>
        <w:t xml:space="preserve"> el derecho a la vida. Los titulares anteriores de este mandato fortalecieron también nuestra comprensión acerca del marco legal que sustenta el principio de no discriminación y sus consecuencias sobre el derecho a la vida.</w:t>
      </w:r>
    </w:p>
    <w:p w:rsidR="00644D04" w:rsidRPr="00644D04" w:rsidRDefault="00644D04" w:rsidP="003D042D">
      <w:pPr>
        <w:jc w:val="both"/>
        <w:rPr>
          <w:rFonts w:asciiTheme="minorHAnsi" w:hAnsiTheme="minorHAnsi"/>
          <w:lang w:val="es-ES"/>
        </w:rPr>
      </w:pPr>
    </w:p>
    <w:p w:rsidR="00E30AF3" w:rsidRPr="00E30AF3" w:rsidRDefault="00E275E8" w:rsidP="003D042D">
      <w:pPr>
        <w:jc w:val="both"/>
        <w:rPr>
          <w:rFonts w:asciiTheme="minorHAnsi" w:hAnsiTheme="minorHAnsi"/>
          <w:b/>
          <w:u w:val="single"/>
          <w:lang w:val="es-ES"/>
        </w:rPr>
      </w:pPr>
      <w:r>
        <w:rPr>
          <w:rFonts w:asciiTheme="minorHAnsi" w:hAnsiTheme="minorHAnsi"/>
          <w:b/>
          <w:u w:val="single"/>
          <w:lang w:val="es-ES"/>
        </w:rPr>
        <w:t>C</w:t>
      </w:r>
      <w:r w:rsidR="00E30AF3" w:rsidRPr="00E30AF3">
        <w:rPr>
          <w:rFonts w:asciiTheme="minorHAnsi" w:hAnsiTheme="minorHAnsi"/>
          <w:b/>
          <w:u w:val="single"/>
          <w:lang w:val="es-ES"/>
        </w:rPr>
        <w:t>onvocatoria de presentación</w:t>
      </w:r>
    </w:p>
    <w:p w:rsidR="00E30AF3" w:rsidRPr="00E30AF3" w:rsidRDefault="00E30AF3" w:rsidP="003D042D">
      <w:pPr>
        <w:jc w:val="both"/>
        <w:rPr>
          <w:rFonts w:asciiTheme="minorHAnsi" w:hAnsiTheme="minorHAnsi"/>
          <w:b/>
          <w:u w:val="single"/>
          <w:lang w:val="es-ES"/>
        </w:rPr>
      </w:pPr>
    </w:p>
    <w:p w:rsidR="000D4E2B" w:rsidRPr="000D4E2B" w:rsidRDefault="00E30AF3" w:rsidP="000D4E2B">
      <w:pPr>
        <w:rPr>
          <w:rFonts w:asciiTheme="minorHAnsi" w:hAnsiTheme="minorHAnsi"/>
          <w:lang w:val="es-ES"/>
        </w:rPr>
      </w:pPr>
      <w:r w:rsidRPr="00E30AF3">
        <w:rPr>
          <w:rFonts w:asciiTheme="minorHAnsi" w:hAnsiTheme="minorHAnsi"/>
          <w:lang w:val="es-ES"/>
        </w:rPr>
        <w:t xml:space="preserve">Durante mi mandato, quiero apoyarme en esta labor </w:t>
      </w:r>
      <w:r w:rsidR="00E275E8">
        <w:rPr>
          <w:rFonts w:asciiTheme="minorHAnsi" w:hAnsiTheme="minorHAnsi"/>
          <w:lang w:val="es-ES"/>
        </w:rPr>
        <w:t xml:space="preserve">previa </w:t>
      </w:r>
      <w:r w:rsidRPr="00E30AF3">
        <w:rPr>
          <w:rFonts w:asciiTheme="minorHAnsi" w:hAnsiTheme="minorHAnsi"/>
          <w:lang w:val="es-ES"/>
        </w:rPr>
        <w:t>y fortalecerla, en pro de la inclusi</w:t>
      </w:r>
      <w:r>
        <w:rPr>
          <w:rFonts w:asciiTheme="minorHAnsi" w:hAnsiTheme="minorHAnsi"/>
          <w:lang w:val="es-ES"/>
        </w:rPr>
        <w:t xml:space="preserve">ón y la sensibilidad de género. Con este fin, y como primera medida, publico aquí esta convocatoria de presentación de ponencias. De conformidad con la práctica habitual de los titulares de mandatos temáticos, recibiré con beneplácito las ponencias </w:t>
      </w:r>
      <w:r w:rsidR="00E275E8">
        <w:rPr>
          <w:rFonts w:asciiTheme="minorHAnsi" w:hAnsiTheme="minorHAnsi"/>
          <w:lang w:val="es-ES"/>
        </w:rPr>
        <w:t xml:space="preserve"> </w:t>
      </w:r>
      <w:r w:rsidR="000D4E2B" w:rsidRPr="000D4E2B">
        <w:rPr>
          <w:rFonts w:asciiTheme="minorHAnsi" w:hAnsiTheme="minorHAnsi"/>
          <w:lang w:val="es-ES"/>
        </w:rPr>
        <w:t>que entidades de la sociedad civil, universidades, Estados Miembros y organismos de las Naciones Unidas deseen transmitir</w:t>
      </w:r>
      <w:r w:rsidR="000D4E2B">
        <w:rPr>
          <w:rFonts w:asciiTheme="minorHAnsi" w:hAnsiTheme="minorHAnsi"/>
          <w:lang w:val="es-ES"/>
        </w:rPr>
        <w:t>me</w:t>
      </w:r>
      <w:r w:rsidR="000D4E2B" w:rsidRPr="000D4E2B">
        <w:rPr>
          <w:rFonts w:asciiTheme="minorHAnsi" w:hAnsiTheme="minorHAnsi"/>
          <w:lang w:val="es-ES"/>
        </w:rPr>
        <w:t xml:space="preserve"> al efecto.</w:t>
      </w:r>
      <w:r w:rsidR="000D4E2B">
        <w:rPr>
          <w:rFonts w:asciiTheme="minorHAnsi" w:hAnsiTheme="minorHAnsi"/>
          <w:lang w:val="es-ES"/>
        </w:rPr>
        <w:t xml:space="preserve"> </w:t>
      </w:r>
      <w:r w:rsidR="00322321">
        <w:rPr>
          <w:rFonts w:asciiTheme="minorHAnsi" w:hAnsiTheme="minorHAnsi"/>
          <w:lang w:val="es-ES"/>
        </w:rPr>
        <w:t>Esas comunicaciones pueden contener, por ejemplo, recomendaciones formuladas a mi atención y/o presentaciones de pruebas, estudios de casos y argumentos pertinentes a las siguientes preguntas:</w:t>
      </w:r>
      <w:r w:rsidR="000D4E2B" w:rsidRPr="000D4E2B">
        <w:rPr>
          <w:rFonts w:asciiTheme="minorHAnsi" w:hAnsiTheme="minorHAnsi"/>
          <w:lang w:val="es-ES"/>
        </w:rPr>
        <w:t xml:space="preserve"> </w:t>
      </w:r>
    </w:p>
    <w:p w:rsidR="00E30AF3" w:rsidRPr="00E30AF3" w:rsidRDefault="00E30AF3" w:rsidP="003D042D">
      <w:pPr>
        <w:spacing w:before="120"/>
        <w:jc w:val="both"/>
        <w:rPr>
          <w:rFonts w:asciiTheme="minorHAnsi" w:hAnsiTheme="minorHAnsi"/>
          <w:lang w:val="es-ES"/>
        </w:rPr>
      </w:pPr>
    </w:p>
    <w:p w:rsidR="00322321" w:rsidRPr="00322321" w:rsidRDefault="00322321" w:rsidP="00322321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 w:rsidRPr="00322321">
        <w:rPr>
          <w:rFonts w:cs="Verdana"/>
          <w:lang w:val="es-ES"/>
        </w:rPr>
        <w:t>¿Cómo se puede defin</w:t>
      </w:r>
      <w:r>
        <w:rPr>
          <w:rFonts w:cs="Verdana"/>
          <w:lang w:val="es-ES"/>
        </w:rPr>
        <w:t>i</w:t>
      </w:r>
      <w:r w:rsidRPr="00322321">
        <w:rPr>
          <w:rFonts w:cs="Verdana"/>
          <w:lang w:val="es-ES"/>
        </w:rPr>
        <w:t>r y explicar el concepto de “g</w:t>
      </w:r>
      <w:r>
        <w:rPr>
          <w:rFonts w:cs="Verdana"/>
          <w:lang w:val="es-ES"/>
        </w:rPr>
        <w:t>énero”, en referencia específica a las violaciones, la protección, las obligaciones y la rendición de cuentas en materia de derechos humanos?</w:t>
      </w:r>
    </w:p>
    <w:p w:rsidR="00322321" w:rsidRPr="00322321" w:rsidRDefault="00322321" w:rsidP="00322321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¿Qué implica una perspectiva de género específica de las ejecuciones extrajudiciales, sumarias o arbitrarias (denominadas en lo sucesivo EJE)? ¿Qué principios, medidas y análisis deberían aplicarse?</w:t>
      </w:r>
    </w:p>
    <w:p w:rsidR="00322321" w:rsidRPr="00322321" w:rsidRDefault="00322321" w:rsidP="00322321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¿Cuál es el significado del concepto de “género” en modalidades específicas de EJE?</w:t>
      </w:r>
    </w:p>
    <w:p w:rsidR="00322321" w:rsidRPr="00322321" w:rsidRDefault="00322321" w:rsidP="00322321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 w:rsidRPr="00322321">
        <w:rPr>
          <w:rFonts w:cs="Verdana"/>
          <w:lang w:val="es-ES"/>
        </w:rPr>
        <w:lastRenderedPageBreak/>
        <w:t>¿Cuál es el significado del concepto de “género” en</w:t>
      </w:r>
      <w:r w:rsidR="000201B0">
        <w:rPr>
          <w:rFonts w:cs="Verdana"/>
          <w:lang w:val="es-ES"/>
        </w:rPr>
        <w:t xml:space="preserve"> las definiciones jurídicas de las diversas modalidades de EJE?</w:t>
      </w:r>
    </w:p>
    <w:p w:rsidR="00322321" w:rsidRDefault="000201B0" w:rsidP="000201B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¿Qué implica un enfoque específico de género para las obligaciones de los Estados en lo tocante al derecho a la vida?</w:t>
      </w:r>
    </w:p>
    <w:p w:rsidR="000201B0" w:rsidRDefault="000201B0" w:rsidP="000201B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 xml:space="preserve">¿Cuáles son las obligaciones de los Estados </w:t>
      </w:r>
      <w:r w:rsidR="00C06ECD">
        <w:rPr>
          <w:rFonts w:cs="Verdana"/>
          <w:lang w:val="es-ES"/>
        </w:rPr>
        <w:t xml:space="preserve">en relación con las muertes ilegales </w:t>
      </w:r>
      <w:r w:rsidR="00E21356">
        <w:rPr>
          <w:rFonts w:cs="Verdana"/>
          <w:lang w:val="es-ES"/>
        </w:rPr>
        <w:t>por</w:t>
      </w:r>
      <w:r w:rsidR="00C06ECD">
        <w:rPr>
          <w:rFonts w:cs="Verdana"/>
          <w:lang w:val="es-ES"/>
        </w:rPr>
        <w:t xml:space="preserve"> motivo de género perpetradas por actores no estatales? </w:t>
      </w:r>
    </w:p>
    <w:p w:rsidR="00C33D02" w:rsidRDefault="00C33D02" w:rsidP="000201B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 xml:space="preserve">¿Qué implica un enfoque específico de género </w:t>
      </w:r>
      <w:r w:rsidR="00E21356">
        <w:rPr>
          <w:rFonts w:cs="Verdana"/>
          <w:lang w:val="es-ES"/>
        </w:rPr>
        <w:t>par</w:t>
      </w:r>
      <w:r>
        <w:rPr>
          <w:rFonts w:cs="Verdana"/>
          <w:lang w:val="es-ES"/>
        </w:rPr>
        <w:t>a las obligaciones de los actores no estatales en relación con el derecho a la vida?</w:t>
      </w:r>
    </w:p>
    <w:p w:rsidR="00EB05D0" w:rsidRDefault="00C33D02" w:rsidP="000201B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 xml:space="preserve">¿Qué métodos </w:t>
      </w:r>
      <w:r w:rsidR="00EB05D0">
        <w:rPr>
          <w:rFonts w:cs="Verdana"/>
          <w:lang w:val="es-ES"/>
        </w:rPr>
        <w:t>con perspectiva de género deben aplicarse para entrevistar a las víctimas de EJE, los testigos de EJE y otros actores involucrados en la investigación o presentación de informes relativos a casos de EJE?</w:t>
      </w:r>
    </w:p>
    <w:p w:rsidR="00EB05D0" w:rsidRDefault="00EB05D0" w:rsidP="00EB05D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¿Qué implica un enfoque de género para la prevención de los EJE?</w:t>
      </w:r>
    </w:p>
    <w:p w:rsidR="00EB05D0" w:rsidRDefault="00EB05D0" w:rsidP="00EB05D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¿Qué implica un enfoque de género para la rendición de cuentas en materia de EJE?</w:t>
      </w:r>
    </w:p>
    <w:p w:rsidR="00EB05D0" w:rsidRDefault="00EB05D0" w:rsidP="00EB05D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>¿Qué implica un enfoque de género para el acceso a los remedios jurídicos en casos de EJE?</w:t>
      </w:r>
    </w:p>
    <w:p w:rsidR="00EB05D0" w:rsidRPr="00EB05D0" w:rsidRDefault="00EB05D0" w:rsidP="00EB05D0">
      <w:pPr>
        <w:pStyle w:val="ListParagraph"/>
        <w:numPr>
          <w:ilvl w:val="0"/>
          <w:numId w:val="3"/>
        </w:numPr>
        <w:spacing w:before="120"/>
        <w:jc w:val="both"/>
        <w:rPr>
          <w:rFonts w:cs="Verdana"/>
          <w:lang w:val="es-ES"/>
        </w:rPr>
      </w:pPr>
      <w:r>
        <w:rPr>
          <w:rFonts w:cs="Verdana"/>
          <w:lang w:val="es-ES"/>
        </w:rPr>
        <w:t xml:space="preserve">¿De qué modo incide </w:t>
      </w:r>
      <w:bookmarkStart w:id="0" w:name="_GoBack"/>
      <w:bookmarkEnd w:id="0"/>
      <w:r>
        <w:rPr>
          <w:rFonts w:cs="Verdana"/>
          <w:lang w:val="es-ES"/>
        </w:rPr>
        <w:t xml:space="preserve">en todos los temas e interrogantes antes expuestos un enfoque transversal que, por ejemplo, tenga en cuenta las conexiones entre género, raza, clase, discapacidad, etnia, condición indígena, religión y creencia, orientación sexual e identidad de género u otras modalidades de identidad? </w:t>
      </w:r>
    </w:p>
    <w:p w:rsidR="00EB05D0" w:rsidRDefault="00EB05D0" w:rsidP="003D042D">
      <w:pPr>
        <w:spacing w:before="60"/>
        <w:jc w:val="both"/>
        <w:rPr>
          <w:rFonts w:asciiTheme="minorHAnsi" w:hAnsiTheme="minorHAnsi"/>
        </w:rPr>
      </w:pPr>
    </w:p>
    <w:p w:rsidR="00EB05D0" w:rsidRPr="00D03A6D" w:rsidRDefault="00D03A6D" w:rsidP="00E21356">
      <w:pPr>
        <w:spacing w:before="60"/>
        <w:jc w:val="both"/>
        <w:rPr>
          <w:rFonts w:asciiTheme="minorHAnsi" w:hAnsiTheme="minorHAnsi"/>
          <w:lang w:val="es-ES"/>
        </w:rPr>
      </w:pPr>
      <w:r w:rsidRPr="00D03A6D">
        <w:rPr>
          <w:rFonts w:asciiTheme="minorHAnsi" w:hAnsiTheme="minorHAnsi"/>
          <w:lang w:val="es-ES"/>
        </w:rPr>
        <w:t xml:space="preserve">Aunque más adelante daré a conocer otra convocatoria específica para estudios de casos, en esta fase </w:t>
      </w:r>
      <w:r w:rsidR="00E21356">
        <w:rPr>
          <w:rFonts w:asciiTheme="minorHAnsi" w:hAnsiTheme="minorHAnsi"/>
          <w:lang w:val="es-ES"/>
        </w:rPr>
        <w:t xml:space="preserve">inicial </w:t>
      </w:r>
      <w:r w:rsidRPr="00D03A6D">
        <w:rPr>
          <w:rFonts w:asciiTheme="minorHAnsi" w:hAnsiTheme="minorHAnsi"/>
          <w:lang w:val="es-ES"/>
        </w:rPr>
        <w:t>recibir</w:t>
      </w:r>
      <w:r>
        <w:rPr>
          <w:rFonts w:asciiTheme="minorHAnsi" w:hAnsiTheme="minorHAnsi"/>
          <w:lang w:val="es-ES"/>
        </w:rPr>
        <w:t>é con beneplácito las ponencias sobre los temas antes mencionados, con especial atención a una categoría de muertes que podrían considerarse como ejecuciones extrajudiciales, sumarias o arbitrarias, por ejemplo, casos de violencia doméstica, crímenes de honor, “feminicidios”, etc., si bien esta convocatoria no se limita exclusivamente a esos delitos.</w:t>
      </w:r>
      <w:r w:rsidRPr="00D03A6D">
        <w:rPr>
          <w:rFonts w:asciiTheme="minorHAnsi" w:hAnsiTheme="minorHAnsi"/>
          <w:lang w:val="es-ES"/>
        </w:rPr>
        <w:t xml:space="preserve"> </w:t>
      </w:r>
    </w:p>
    <w:p w:rsidR="00EB05D0" w:rsidRPr="00D03A6D" w:rsidRDefault="00EB05D0" w:rsidP="003D042D">
      <w:pPr>
        <w:spacing w:before="60"/>
        <w:jc w:val="both"/>
        <w:rPr>
          <w:rFonts w:asciiTheme="minorHAnsi" w:hAnsiTheme="minorHAnsi"/>
          <w:lang w:val="es-ES"/>
        </w:rPr>
      </w:pPr>
    </w:p>
    <w:p w:rsidR="00D03A6D" w:rsidRPr="00D03A6D" w:rsidRDefault="00D03A6D" w:rsidP="003D042D">
      <w:pPr>
        <w:jc w:val="both"/>
        <w:rPr>
          <w:rFonts w:asciiTheme="minorHAnsi" w:hAnsiTheme="minorHAnsi"/>
          <w:lang w:val="es-ES"/>
        </w:rPr>
      </w:pPr>
      <w:r w:rsidRPr="00D03A6D">
        <w:rPr>
          <w:rFonts w:asciiTheme="minorHAnsi" w:hAnsiTheme="minorHAnsi"/>
          <w:lang w:val="es-ES"/>
        </w:rPr>
        <w:t>En los dos próximos años tratar</w:t>
      </w:r>
      <w:r>
        <w:rPr>
          <w:rFonts w:asciiTheme="minorHAnsi" w:hAnsiTheme="minorHAnsi"/>
          <w:lang w:val="es-ES"/>
        </w:rPr>
        <w:t xml:space="preserve">é de celebrar dos reuniones de expertos con el fin de examinar los temas antes mencionados, analizar los retos desde el punto de vista de la normativa, la rendición de cuentas y la prevención, definir las prácticas idóneas y las lecciones aprendidas, y ayudar a elaborar estrategias que permitan afrontar mejor los crímenes de género que equivalen a ejecuciones extrajudiciales, sumarias o arbitrarias. </w:t>
      </w:r>
    </w:p>
    <w:p w:rsidR="003D042D" w:rsidRDefault="003D042D" w:rsidP="003D042D">
      <w:pPr>
        <w:jc w:val="both"/>
        <w:rPr>
          <w:rFonts w:asciiTheme="minorHAnsi" w:hAnsiTheme="minorHAnsi"/>
          <w:lang w:val="es-ES"/>
        </w:rPr>
      </w:pPr>
      <w:r w:rsidRPr="00E21356">
        <w:rPr>
          <w:rFonts w:asciiTheme="minorHAnsi" w:hAnsiTheme="minorHAnsi"/>
          <w:lang w:val="es-ES"/>
        </w:rPr>
        <w:t xml:space="preserve"> </w:t>
      </w:r>
    </w:p>
    <w:p w:rsidR="00E21356" w:rsidRPr="00E21356" w:rsidRDefault="00E21356" w:rsidP="003D042D">
      <w:pPr>
        <w:jc w:val="both"/>
        <w:rPr>
          <w:rFonts w:asciiTheme="minorHAnsi" w:hAnsiTheme="minorHAnsi"/>
          <w:lang w:val="es-ES"/>
        </w:rPr>
      </w:pPr>
    </w:p>
    <w:p w:rsidR="00F97926" w:rsidRPr="004A2040" w:rsidRDefault="00E21356" w:rsidP="003D042D">
      <w:pPr>
        <w:jc w:val="both"/>
        <w:rPr>
          <w:rFonts w:asciiTheme="minorHAnsi" w:hAnsiTheme="minorHAnsi"/>
          <w:lang w:val="es-ES"/>
        </w:rPr>
      </w:pPr>
      <w:r w:rsidRPr="00E21356">
        <w:rPr>
          <w:rFonts w:asciiTheme="minorHAnsi" w:hAnsiTheme="minorHAnsi"/>
          <w:b/>
          <w:lang w:val="es-ES"/>
        </w:rPr>
        <w:t xml:space="preserve">El plazo </w:t>
      </w:r>
      <w:r w:rsidR="004A2040">
        <w:rPr>
          <w:rFonts w:asciiTheme="minorHAnsi" w:hAnsiTheme="minorHAnsi"/>
          <w:b/>
          <w:lang w:val="es-ES"/>
        </w:rPr>
        <w:t>de</w:t>
      </w:r>
      <w:r w:rsidRPr="00E21356">
        <w:rPr>
          <w:rFonts w:asciiTheme="minorHAnsi" w:hAnsiTheme="minorHAnsi"/>
          <w:b/>
          <w:lang w:val="es-ES"/>
        </w:rPr>
        <w:t xml:space="preserve"> presentación vence el 31 de enero </w:t>
      </w:r>
      <w:r>
        <w:rPr>
          <w:rFonts w:asciiTheme="minorHAnsi" w:hAnsiTheme="minorHAnsi"/>
          <w:b/>
          <w:lang w:val="es-ES"/>
        </w:rPr>
        <w:t>de 2017.</w:t>
      </w:r>
    </w:p>
    <w:sectPr w:rsidR="00F97926" w:rsidRPr="004A20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C5" w:rsidRDefault="00881DC5" w:rsidP="00CD5BE8">
      <w:r>
        <w:separator/>
      </w:r>
    </w:p>
  </w:endnote>
  <w:endnote w:type="continuationSeparator" w:id="0">
    <w:p w:rsidR="00881DC5" w:rsidRDefault="00881DC5" w:rsidP="00CD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C5" w:rsidRDefault="00881DC5" w:rsidP="00CD5BE8">
      <w:r>
        <w:separator/>
      </w:r>
    </w:p>
  </w:footnote>
  <w:footnote w:type="continuationSeparator" w:id="0">
    <w:p w:rsidR="00881DC5" w:rsidRDefault="00881DC5" w:rsidP="00CD5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CE" w:rsidRPr="0092434B" w:rsidRDefault="00CD5BE8" w:rsidP="0092434B">
    <w:pPr>
      <w:jc w:val="right"/>
      <w:rPr>
        <w:rFonts w:asciiTheme="minorHAnsi" w:hAnsiTheme="minorHAnsi"/>
        <w:color w:val="000000"/>
        <w:sz w:val="22"/>
        <w:szCs w:val="22"/>
      </w:rPr>
    </w:pPr>
    <w:r w:rsidRPr="0092434B">
      <w:rPr>
        <w:rFonts w:asciiTheme="minorHAnsi" w:eastAsia="Calibri" w:hAnsiTheme="minorHAnsi"/>
        <w:sz w:val="22"/>
        <w:szCs w:val="22"/>
      </w:rPr>
      <w:t>ACNUDH 0</w:t>
    </w:r>
    <w:r w:rsidR="000D76E8" w:rsidRPr="0092434B">
      <w:rPr>
        <w:rFonts w:asciiTheme="minorHAnsi" w:eastAsia="Calibri" w:hAnsiTheme="minorHAnsi"/>
        <w:sz w:val="22"/>
        <w:szCs w:val="22"/>
      </w:rPr>
      <w:t>2</w:t>
    </w:r>
    <w:r w:rsidR="00E5167F" w:rsidRPr="0092434B">
      <w:rPr>
        <w:rFonts w:asciiTheme="minorHAnsi" w:eastAsia="Calibri" w:hAnsiTheme="minorHAnsi"/>
        <w:sz w:val="22"/>
        <w:szCs w:val="22"/>
      </w:rPr>
      <w:t>3</w:t>
    </w:r>
    <w:r w:rsidR="003D042D">
      <w:rPr>
        <w:rFonts w:asciiTheme="minorHAnsi" w:eastAsia="Calibri" w:hAnsiTheme="minorHAnsi"/>
        <w:sz w:val="22"/>
        <w:szCs w:val="22"/>
      </w:rPr>
      <w:t>9</w:t>
    </w:r>
    <w:r w:rsidRPr="0092434B">
      <w:rPr>
        <w:rFonts w:asciiTheme="minorHAnsi" w:eastAsia="Calibri" w:hAnsiTheme="minorHAnsi"/>
        <w:sz w:val="22"/>
        <w:szCs w:val="22"/>
      </w:rPr>
      <w:t>–</w:t>
    </w:r>
    <w:r w:rsidR="0031170E" w:rsidRPr="0092434B">
      <w:rPr>
        <w:rFonts w:asciiTheme="minorHAnsi" w:eastAsia="Calibri" w:hAnsiTheme="minorHAnsi"/>
        <w:sz w:val="22"/>
        <w:szCs w:val="22"/>
      </w:rPr>
      <w:t>page</w:t>
    </w:r>
    <w:r w:rsidRPr="0092434B">
      <w:rPr>
        <w:rFonts w:asciiTheme="minorHAnsi" w:eastAsia="Calibri" w:hAnsiTheme="minorHAnsi"/>
        <w:sz w:val="22"/>
        <w:szCs w:val="22"/>
      </w:rPr>
      <w:t>-2016-</w:t>
    </w:r>
    <w:r w:rsidR="0092434B" w:rsidRPr="0092434B">
      <w:rPr>
        <w:rFonts w:asciiTheme="minorHAnsi" w:eastAsia="Calibri" w:hAnsiTheme="minorHAnsi"/>
        <w:sz w:val="22"/>
        <w:szCs w:val="22"/>
      </w:rPr>
      <w:t>11</w:t>
    </w:r>
    <w:r w:rsidRPr="0092434B">
      <w:rPr>
        <w:rFonts w:asciiTheme="minorHAnsi" w:eastAsia="Calibri" w:hAnsiTheme="minorHAnsi"/>
        <w:sz w:val="22"/>
        <w:szCs w:val="22"/>
      </w:rPr>
      <w:t>-</w:t>
    </w:r>
    <w:r w:rsidR="0092434B" w:rsidRPr="0092434B">
      <w:rPr>
        <w:rFonts w:asciiTheme="minorHAnsi" w:eastAsia="Calibri" w:hAnsiTheme="minorHAnsi"/>
        <w:sz w:val="22"/>
        <w:szCs w:val="22"/>
      </w:rPr>
      <w:t>10</w:t>
    </w:r>
    <w:r w:rsidRPr="0092434B">
      <w:rPr>
        <w:rStyle w:val="tabs-hometext"/>
        <w:rFonts w:asciiTheme="minorHAnsi" w:hAnsiTheme="minorHAnsi"/>
        <w:sz w:val="22"/>
        <w:szCs w:val="22"/>
      </w:rPr>
      <w:t xml:space="preserve"> </w:t>
    </w:r>
    <w:r w:rsidR="0092434B" w:rsidRPr="0092434B">
      <w:rPr>
        <w:rFonts w:asciiTheme="minorHAnsi" w:hAnsiTheme="minorHAnsi"/>
        <w:sz w:val="22"/>
        <w:szCs w:val="22"/>
      </w:rPr>
      <w:t>Gender-sensitive approach</w:t>
    </w:r>
    <w:r w:rsidR="003D042D">
      <w:rPr>
        <w:rFonts w:asciiTheme="minorHAnsi" w:hAnsiTheme="minorHAnsi"/>
        <w:sz w:val="22"/>
        <w:szCs w:val="22"/>
      </w:rPr>
      <w:t>-</w:t>
    </w:r>
    <w:proofErr w:type="spellStart"/>
    <w:r w:rsidR="003D042D">
      <w:rPr>
        <w:rFonts w:asciiTheme="minorHAnsi" w:hAnsiTheme="minorHAnsi"/>
        <w:sz w:val="22"/>
        <w:szCs w:val="22"/>
      </w:rPr>
      <w:t>Questionnaire</w:t>
    </w:r>
    <w:r w:rsidR="00581E35">
      <w:rPr>
        <w:rFonts w:asciiTheme="minorHAnsi" w:hAnsiTheme="minorHAnsi"/>
        <w:sz w:val="22"/>
        <w:szCs w:val="22"/>
      </w:rPr>
      <w:t>.SP</w:t>
    </w:r>
    <w:proofErr w:type="spellEnd"/>
    <w:r w:rsidR="00581E35">
      <w:rPr>
        <w:rFonts w:asciiTheme="minorHAnsi" w:hAnsiTheme="minorHAnsi"/>
        <w:sz w:val="22"/>
        <w:szCs w:val="22"/>
      </w:rPr>
      <w:t>.</w:t>
    </w:r>
  </w:p>
  <w:p w:rsidR="007002FD" w:rsidRPr="0092434B" w:rsidRDefault="007002FD" w:rsidP="0092434B">
    <w:pPr>
      <w:jc w:val="right"/>
      <w:rPr>
        <w:rFonts w:asciiTheme="minorHAnsi" w:eastAsia="Calibri" w:hAnsiTheme="minorHAnsi"/>
        <w:sz w:val="22"/>
        <w:szCs w:val="22"/>
      </w:rPr>
    </w:pPr>
  </w:p>
  <w:p w:rsidR="0092434B" w:rsidRPr="0092434B" w:rsidRDefault="00CD5BE8" w:rsidP="0092434B">
    <w:pPr>
      <w:jc w:val="right"/>
      <w:rPr>
        <w:rFonts w:asciiTheme="minorHAnsi" w:hAnsiTheme="minorHAnsi"/>
        <w:sz w:val="22"/>
        <w:szCs w:val="22"/>
      </w:rPr>
    </w:pPr>
    <w:r w:rsidRPr="0092434B">
      <w:rPr>
        <w:rFonts w:asciiTheme="minorHAnsi" w:eastAsia="Calibri" w:hAnsiTheme="minorHAnsi"/>
        <w:sz w:val="22"/>
        <w:szCs w:val="22"/>
      </w:rPr>
      <w:t xml:space="preserve">Title: </w:t>
    </w:r>
    <w:r w:rsidRPr="0092434B">
      <w:rPr>
        <w:rFonts w:asciiTheme="minorHAnsi" w:eastAsia="Times New Roman" w:hAnsiTheme="minorHAnsi"/>
        <w:sz w:val="22"/>
        <w:szCs w:val="22"/>
      </w:rPr>
      <w:t> </w:t>
    </w:r>
    <w:r w:rsidR="0092434B" w:rsidRPr="0092434B">
      <w:rPr>
        <w:rFonts w:asciiTheme="minorHAnsi" w:hAnsiTheme="minorHAnsi"/>
        <w:sz w:val="22"/>
        <w:szCs w:val="22"/>
      </w:rPr>
      <w:t>Call for Submission: Gender-sensitive approach to Extrajudicial, Summary or Arbitrary Killing</w:t>
    </w:r>
    <w:r w:rsidR="003D042D">
      <w:rPr>
        <w:rFonts w:asciiTheme="minorHAnsi" w:hAnsiTheme="minorHAnsi"/>
        <w:sz w:val="22"/>
        <w:szCs w:val="22"/>
      </w:rPr>
      <w:t>-Questionnaire</w:t>
    </w:r>
    <w:r w:rsidR="0092434B" w:rsidRPr="0092434B">
      <w:rPr>
        <w:rFonts w:asciiTheme="minorHAnsi" w:hAnsiTheme="minorHAnsi"/>
        <w:sz w:val="22"/>
        <w:szCs w:val="22"/>
      </w:rPr>
      <w:t xml:space="preserve"> </w:t>
    </w:r>
  </w:p>
  <w:p w:rsidR="0031170E" w:rsidRPr="0092434B" w:rsidRDefault="0031170E" w:rsidP="0092434B">
    <w:pPr>
      <w:jc w:val="right"/>
      <w:rPr>
        <w:rFonts w:asciiTheme="minorHAnsi" w:hAnsiTheme="minorHAnsi"/>
        <w:bCs/>
        <w:sz w:val="22"/>
        <w:szCs w:val="22"/>
      </w:rPr>
    </w:pPr>
  </w:p>
  <w:p w:rsidR="00CD5BE8" w:rsidRDefault="00CD5BE8" w:rsidP="0092434B">
    <w:pPr>
      <w:tabs>
        <w:tab w:val="center" w:pos="4536"/>
        <w:tab w:val="right" w:pos="9072"/>
      </w:tabs>
      <w:jc w:val="right"/>
      <w:rPr>
        <w:rFonts w:asciiTheme="minorHAnsi" w:eastAsia="Calibri" w:hAnsiTheme="minorHAnsi"/>
        <w:sz w:val="22"/>
        <w:szCs w:val="22"/>
      </w:rPr>
    </w:pPr>
    <w:r w:rsidRPr="0092434B">
      <w:rPr>
        <w:rFonts w:asciiTheme="minorHAnsi" w:eastAsia="Calibri" w:hAnsiTheme="minorHAnsi"/>
        <w:sz w:val="22"/>
        <w:szCs w:val="22"/>
      </w:rPr>
      <w:t xml:space="preserve">Word count: </w:t>
    </w:r>
    <w:r w:rsidR="003D042D">
      <w:rPr>
        <w:rFonts w:asciiTheme="minorHAnsi" w:eastAsia="Calibri" w:hAnsiTheme="minorHAnsi"/>
        <w:sz w:val="22"/>
        <w:szCs w:val="22"/>
      </w:rPr>
      <w:t>763</w:t>
    </w:r>
  </w:p>
  <w:p w:rsidR="00581E35" w:rsidRPr="0092434B" w:rsidRDefault="00581E35" w:rsidP="0092434B">
    <w:pPr>
      <w:tabs>
        <w:tab w:val="center" w:pos="4536"/>
        <w:tab w:val="right" w:pos="9072"/>
      </w:tabs>
      <w:jc w:val="right"/>
      <w:rPr>
        <w:rFonts w:asciiTheme="minorHAnsi" w:eastAsia="Calibri" w:hAnsiTheme="minorHAnsi"/>
        <w:sz w:val="22"/>
        <w:szCs w:val="22"/>
      </w:rPr>
    </w:pPr>
  </w:p>
  <w:p w:rsidR="00CD5BE8" w:rsidRDefault="00CD5BE8" w:rsidP="0092434B">
    <w:pPr>
      <w:jc w:val="right"/>
      <w:rPr>
        <w:rFonts w:asciiTheme="minorHAnsi" w:eastAsia="MS Mincho" w:hAnsiTheme="minorHAnsi"/>
        <w:sz w:val="22"/>
        <w:szCs w:val="22"/>
      </w:rPr>
    </w:pPr>
    <w:r w:rsidRPr="0092434B">
      <w:rPr>
        <w:rFonts w:asciiTheme="minorHAnsi" w:eastAsia="Calibri" w:hAnsiTheme="minorHAnsi"/>
        <w:sz w:val="22"/>
        <w:szCs w:val="22"/>
      </w:rPr>
      <w:t>URL:</w:t>
    </w:r>
    <w:r w:rsidRPr="0092434B">
      <w:rPr>
        <w:rFonts w:asciiTheme="minorHAnsi" w:eastAsia="MS Mincho" w:hAnsiTheme="minorHAnsi"/>
        <w:sz w:val="22"/>
        <w:szCs w:val="22"/>
      </w:rPr>
      <w:t xml:space="preserve"> </w:t>
    </w:r>
    <w:hyperlink r:id="rId1" w:history="1">
      <w:r w:rsidR="00581E35" w:rsidRPr="007C11FD">
        <w:rPr>
          <w:rStyle w:val="Hyperlink"/>
          <w:rFonts w:asciiTheme="minorHAnsi" w:eastAsia="MS Mincho" w:hAnsiTheme="minorHAnsi"/>
          <w:sz w:val="22"/>
          <w:szCs w:val="22"/>
        </w:rPr>
        <w:t>http://www.ohchr.org/future.aspx</w:t>
      </w:r>
    </w:hyperlink>
  </w:p>
  <w:p w:rsidR="00581E35" w:rsidRDefault="00581E35" w:rsidP="0092434B">
    <w:pPr>
      <w:jc w:val="right"/>
      <w:rPr>
        <w:rFonts w:asciiTheme="minorHAnsi" w:eastAsia="MS Mincho" w:hAnsiTheme="minorHAnsi"/>
        <w:sz w:val="22"/>
        <w:szCs w:val="22"/>
      </w:rPr>
    </w:pPr>
  </w:p>
  <w:p w:rsidR="00581E35" w:rsidRDefault="00581E35" w:rsidP="0092434B">
    <w:pPr>
      <w:jc w:val="right"/>
      <w:rPr>
        <w:rFonts w:asciiTheme="minorHAnsi" w:eastAsia="MS Mincho" w:hAnsiTheme="minorHAnsi"/>
        <w:sz w:val="22"/>
        <w:szCs w:val="22"/>
      </w:rPr>
    </w:pPr>
    <w:r>
      <w:rPr>
        <w:rFonts w:asciiTheme="minorHAnsi" w:eastAsia="MS Mincho" w:hAnsiTheme="minorHAnsi"/>
        <w:sz w:val="22"/>
        <w:szCs w:val="22"/>
      </w:rPr>
      <w:t>Spanish version: M. Sales</w:t>
    </w:r>
  </w:p>
  <w:p w:rsidR="00581E35" w:rsidRPr="0092434B" w:rsidRDefault="00581E35" w:rsidP="0092434B">
    <w:pPr>
      <w:jc w:val="right"/>
      <w:rPr>
        <w:rFonts w:asciiTheme="minorHAnsi" w:hAnsiTheme="minorHAnsi"/>
        <w:sz w:val="22"/>
        <w:szCs w:val="22"/>
      </w:rPr>
    </w:pPr>
  </w:p>
  <w:p w:rsidR="00CD5BE8" w:rsidRPr="0092434B" w:rsidRDefault="00CD5BE8" w:rsidP="0092434B">
    <w:pPr>
      <w:pStyle w:val="Header"/>
      <w:jc w:val="right"/>
    </w:pPr>
    <w:r w:rsidRPr="0092434B">
      <w:t xml:space="preserve">Page </w:t>
    </w:r>
    <w:r w:rsidRPr="0092434B">
      <w:fldChar w:fldCharType="begin"/>
    </w:r>
    <w:r w:rsidRPr="0092434B">
      <w:instrText xml:space="preserve"> PAGE  \* Arabic  \* MERGEFORMAT </w:instrText>
    </w:r>
    <w:r w:rsidRPr="0092434B">
      <w:fldChar w:fldCharType="separate"/>
    </w:r>
    <w:r w:rsidR="004A2040">
      <w:rPr>
        <w:noProof/>
      </w:rPr>
      <w:t>3</w:t>
    </w:r>
    <w:r w:rsidRPr="0092434B">
      <w:fldChar w:fldCharType="end"/>
    </w:r>
    <w:r w:rsidRPr="0092434B">
      <w:t xml:space="preserve"> of </w:t>
    </w:r>
    <w:fldSimple w:instr=" NUMPAGES  \* Arabic  \* MERGEFORMAT ">
      <w:r w:rsidR="004A2040">
        <w:rPr>
          <w:noProof/>
        </w:rPr>
        <w:t>3</w:t>
      </w:r>
    </w:fldSimple>
  </w:p>
  <w:p w:rsidR="00CD5BE8" w:rsidRPr="0031170E" w:rsidRDefault="00CD5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46C"/>
    <w:multiLevelType w:val="hybridMultilevel"/>
    <w:tmpl w:val="1BC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3B29"/>
    <w:multiLevelType w:val="hybridMultilevel"/>
    <w:tmpl w:val="8388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37194"/>
    <w:multiLevelType w:val="hybridMultilevel"/>
    <w:tmpl w:val="8DA09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CD"/>
    <w:rsid w:val="00014CED"/>
    <w:rsid w:val="000201B0"/>
    <w:rsid w:val="000D4E2B"/>
    <w:rsid w:val="000D76E8"/>
    <w:rsid w:val="00134135"/>
    <w:rsid w:val="002269A7"/>
    <w:rsid w:val="00263773"/>
    <w:rsid w:val="002F4C9B"/>
    <w:rsid w:val="003102FC"/>
    <w:rsid w:val="0031170E"/>
    <w:rsid w:val="00322321"/>
    <w:rsid w:val="003B5F6E"/>
    <w:rsid w:val="003D042D"/>
    <w:rsid w:val="003F62DD"/>
    <w:rsid w:val="00450495"/>
    <w:rsid w:val="004612C5"/>
    <w:rsid w:val="00461E59"/>
    <w:rsid w:val="00485646"/>
    <w:rsid w:val="004A2040"/>
    <w:rsid w:val="004E5668"/>
    <w:rsid w:val="005154BC"/>
    <w:rsid w:val="00581E35"/>
    <w:rsid w:val="00584E74"/>
    <w:rsid w:val="005A6B4B"/>
    <w:rsid w:val="005A7B59"/>
    <w:rsid w:val="005C18F3"/>
    <w:rsid w:val="00644D04"/>
    <w:rsid w:val="006645EE"/>
    <w:rsid w:val="00695F51"/>
    <w:rsid w:val="006A25FC"/>
    <w:rsid w:val="007002FD"/>
    <w:rsid w:val="00720A3F"/>
    <w:rsid w:val="007300CD"/>
    <w:rsid w:val="007413F9"/>
    <w:rsid w:val="00787576"/>
    <w:rsid w:val="007C466B"/>
    <w:rsid w:val="00821713"/>
    <w:rsid w:val="008558FD"/>
    <w:rsid w:val="00881DC5"/>
    <w:rsid w:val="008C619B"/>
    <w:rsid w:val="008C725E"/>
    <w:rsid w:val="0092434B"/>
    <w:rsid w:val="009854D9"/>
    <w:rsid w:val="009C21CE"/>
    <w:rsid w:val="009D1C93"/>
    <w:rsid w:val="009F09F4"/>
    <w:rsid w:val="009F6FAB"/>
    <w:rsid w:val="00A13E5B"/>
    <w:rsid w:val="00A41ED7"/>
    <w:rsid w:val="00A67120"/>
    <w:rsid w:val="00AC0650"/>
    <w:rsid w:val="00AD27D4"/>
    <w:rsid w:val="00B11156"/>
    <w:rsid w:val="00BB1631"/>
    <w:rsid w:val="00C06ECD"/>
    <w:rsid w:val="00C33D02"/>
    <w:rsid w:val="00C95E0F"/>
    <w:rsid w:val="00CA6000"/>
    <w:rsid w:val="00CD5BE8"/>
    <w:rsid w:val="00CD7A05"/>
    <w:rsid w:val="00D03A6D"/>
    <w:rsid w:val="00DC7157"/>
    <w:rsid w:val="00E21356"/>
    <w:rsid w:val="00E275E8"/>
    <w:rsid w:val="00E30AF3"/>
    <w:rsid w:val="00E5167F"/>
    <w:rsid w:val="00E54C98"/>
    <w:rsid w:val="00EB05D0"/>
    <w:rsid w:val="00F47CB5"/>
    <w:rsid w:val="00F63879"/>
    <w:rsid w:val="00F97926"/>
    <w:rsid w:val="00FE40EC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BE8"/>
  </w:style>
  <w:style w:type="paragraph" w:styleId="Footer">
    <w:name w:val="footer"/>
    <w:basedOn w:val="Normal"/>
    <w:link w:val="FooterChar"/>
    <w:uiPriority w:val="99"/>
    <w:unhideWhenUsed/>
    <w:rsid w:val="00CD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BE8"/>
  </w:style>
  <w:style w:type="character" w:customStyle="1" w:styleId="tabs-hometext">
    <w:name w:val="tabs-home__text"/>
    <w:basedOn w:val="DefaultParagraphFont"/>
    <w:rsid w:val="00CD5BE8"/>
  </w:style>
  <w:style w:type="character" w:styleId="Hyperlink">
    <w:name w:val="Hyperlink"/>
    <w:basedOn w:val="DefaultParagraphFont"/>
    <w:uiPriority w:val="99"/>
    <w:unhideWhenUsed/>
    <w:rsid w:val="00CD5B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BE8"/>
    <w:pPr>
      <w:spacing w:before="100" w:beforeAutospacing="1" w:after="100" w:afterAutospacing="1"/>
    </w:pPr>
    <w:rPr>
      <w:rFonts w:eastAsia="Times New Roman"/>
    </w:rPr>
  </w:style>
  <w:style w:type="character" w:customStyle="1" w:styleId="tabs-hometext1">
    <w:name w:val="tabs-home__text1"/>
    <w:basedOn w:val="DefaultParagraphFont"/>
    <w:rsid w:val="00CD5BE8"/>
  </w:style>
  <w:style w:type="character" w:styleId="Strong">
    <w:name w:val="Strong"/>
    <w:basedOn w:val="DefaultParagraphFont"/>
    <w:uiPriority w:val="22"/>
    <w:qFormat/>
    <w:rsid w:val="004E5668"/>
    <w:rPr>
      <w:b/>
      <w:bCs/>
    </w:rPr>
  </w:style>
  <w:style w:type="character" w:styleId="Emphasis">
    <w:name w:val="Emphasis"/>
    <w:basedOn w:val="DefaultParagraphFont"/>
    <w:uiPriority w:val="20"/>
    <w:qFormat/>
    <w:rsid w:val="002269A7"/>
    <w:rPr>
      <w:i/>
      <w:iCs/>
    </w:rPr>
  </w:style>
  <w:style w:type="character" w:customStyle="1" w:styleId="metadata-value">
    <w:name w:val="metadata-value"/>
    <w:rsid w:val="002269A7"/>
  </w:style>
  <w:style w:type="paragraph" w:customStyle="1" w:styleId="Default">
    <w:name w:val="Default"/>
    <w:rsid w:val="005A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paragraph" w:styleId="ListParagraph">
    <w:name w:val="List Paragraph"/>
    <w:basedOn w:val="Normal"/>
    <w:uiPriority w:val="34"/>
    <w:qFormat/>
    <w:rsid w:val="0092434B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5BE8"/>
  </w:style>
  <w:style w:type="paragraph" w:styleId="Footer">
    <w:name w:val="footer"/>
    <w:basedOn w:val="Normal"/>
    <w:link w:val="FooterChar"/>
    <w:uiPriority w:val="99"/>
    <w:unhideWhenUsed/>
    <w:rsid w:val="00CD5BE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BE8"/>
  </w:style>
  <w:style w:type="character" w:customStyle="1" w:styleId="tabs-hometext">
    <w:name w:val="tabs-home__text"/>
    <w:basedOn w:val="DefaultParagraphFont"/>
    <w:rsid w:val="00CD5BE8"/>
  </w:style>
  <w:style w:type="character" w:styleId="Hyperlink">
    <w:name w:val="Hyperlink"/>
    <w:basedOn w:val="DefaultParagraphFont"/>
    <w:uiPriority w:val="99"/>
    <w:unhideWhenUsed/>
    <w:rsid w:val="00CD5B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5BE8"/>
    <w:pPr>
      <w:spacing w:before="100" w:beforeAutospacing="1" w:after="100" w:afterAutospacing="1"/>
    </w:pPr>
    <w:rPr>
      <w:rFonts w:eastAsia="Times New Roman"/>
    </w:rPr>
  </w:style>
  <w:style w:type="character" w:customStyle="1" w:styleId="tabs-hometext1">
    <w:name w:val="tabs-home__text1"/>
    <w:basedOn w:val="DefaultParagraphFont"/>
    <w:rsid w:val="00CD5BE8"/>
  </w:style>
  <w:style w:type="character" w:styleId="Strong">
    <w:name w:val="Strong"/>
    <w:basedOn w:val="DefaultParagraphFont"/>
    <w:uiPriority w:val="22"/>
    <w:qFormat/>
    <w:rsid w:val="004E5668"/>
    <w:rPr>
      <w:b/>
      <w:bCs/>
    </w:rPr>
  </w:style>
  <w:style w:type="character" w:styleId="Emphasis">
    <w:name w:val="Emphasis"/>
    <w:basedOn w:val="DefaultParagraphFont"/>
    <w:uiPriority w:val="20"/>
    <w:qFormat/>
    <w:rsid w:val="002269A7"/>
    <w:rPr>
      <w:i/>
      <w:iCs/>
    </w:rPr>
  </w:style>
  <w:style w:type="character" w:customStyle="1" w:styleId="metadata-value">
    <w:name w:val="metadata-value"/>
    <w:rsid w:val="002269A7"/>
  </w:style>
  <w:style w:type="paragraph" w:customStyle="1" w:styleId="Default">
    <w:name w:val="Default"/>
    <w:rsid w:val="005A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a-ES"/>
    </w:rPr>
  </w:style>
  <w:style w:type="paragraph" w:styleId="ListParagraph">
    <w:name w:val="List Paragraph"/>
    <w:basedOn w:val="Normal"/>
    <w:uiPriority w:val="34"/>
    <w:qFormat/>
    <w:rsid w:val="0092434B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905">
                  <w:marLeft w:val="24"/>
                  <w:marRight w:val="4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37">
                  <w:marLeft w:val="6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5879">
                  <w:marLeft w:val="24"/>
                  <w:marRight w:val="4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972">
                  <w:marLeft w:val="24"/>
                  <w:marRight w:val="4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010">
                  <w:marLeft w:val="24"/>
                  <w:marRight w:val="4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3697">
                  <w:marLeft w:val="24"/>
                  <w:marRight w:val="48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269">
                  <w:marLeft w:val="6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chr.org/fut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59FCF0-D04D-4AA2-8910-9F3E7808287B}"/>
</file>

<file path=customXml/itemProps2.xml><?xml version="1.0" encoding="utf-8"?>
<ds:datastoreItem xmlns:ds="http://schemas.openxmlformats.org/officeDocument/2006/customXml" ds:itemID="{8BFAFEF2-6333-4A11-8128-45F19EC2BB8C}"/>
</file>

<file path=customXml/itemProps3.xml><?xml version="1.0" encoding="utf-8"?>
<ds:datastoreItem xmlns:ds="http://schemas.openxmlformats.org/officeDocument/2006/customXml" ds:itemID="{B081FD22-2F54-4C8B-87BB-F343F7B1C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941</Words>
  <Characters>5337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M_Sales</cp:lastModifiedBy>
  <cp:revision>22</cp:revision>
  <dcterms:created xsi:type="dcterms:W3CDTF">2016-11-14T14:31:00Z</dcterms:created>
  <dcterms:modified xsi:type="dcterms:W3CDTF">2016-11-17T09:47:00Z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3866900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