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E421" w14:textId="77777777" w:rsidR="00CB5D0E" w:rsidRPr="00FB31C9" w:rsidRDefault="00953310">
      <w:pPr>
        <w:rPr>
          <w:b/>
          <w:lang w:val="en-GB"/>
        </w:rPr>
      </w:pPr>
      <w:r w:rsidRPr="00FB31C9">
        <w:rPr>
          <w:b/>
          <w:lang w:val="en-GB"/>
        </w:rPr>
        <w:t xml:space="preserve">UN expert hails </w:t>
      </w:r>
      <w:r w:rsidR="004C10B4" w:rsidRPr="00FB31C9">
        <w:rPr>
          <w:b/>
          <w:lang w:val="en-GB"/>
        </w:rPr>
        <w:t xml:space="preserve">South African </w:t>
      </w:r>
      <w:r w:rsidR="00900F08" w:rsidRPr="00FB31C9">
        <w:rPr>
          <w:b/>
          <w:lang w:val="en-GB"/>
        </w:rPr>
        <w:t>Constitutional Court</w:t>
      </w:r>
      <w:r w:rsidRPr="00FB31C9">
        <w:rPr>
          <w:b/>
          <w:lang w:val="en-GB"/>
        </w:rPr>
        <w:t>’s decision against the criminalization of peaceful assembly</w:t>
      </w:r>
    </w:p>
    <w:p w14:paraId="6B66B315" w14:textId="77777777" w:rsidR="00285B0B" w:rsidRDefault="00285B0B">
      <w:pPr>
        <w:rPr>
          <w:lang w:val="en-GB"/>
        </w:rPr>
      </w:pPr>
    </w:p>
    <w:p w14:paraId="2F3E834A" w14:textId="5CBFE930" w:rsidR="009062FE" w:rsidRDefault="00E919A0" w:rsidP="009062FE">
      <w:pPr>
        <w:rPr>
          <w:lang w:val="en-GB"/>
        </w:rPr>
      </w:pPr>
      <w:r>
        <w:rPr>
          <w:lang w:val="en-GB"/>
        </w:rPr>
        <w:t xml:space="preserve">GENEVA (November </w:t>
      </w:r>
      <w:r w:rsidR="003C012D">
        <w:rPr>
          <w:lang w:val="en-GB"/>
        </w:rPr>
        <w:t>22, 2018</w:t>
      </w:r>
      <w:r>
        <w:rPr>
          <w:lang w:val="en-GB"/>
        </w:rPr>
        <w:t xml:space="preserve">): </w:t>
      </w:r>
      <w:r w:rsidR="009D189E">
        <w:rPr>
          <w:lang w:val="en-GB"/>
        </w:rPr>
        <w:t>The UN Special Rapporteur on the rights to freedom of peaceful assembly and of association</w:t>
      </w:r>
      <w:r w:rsidR="008978CB">
        <w:rPr>
          <w:lang w:val="en-GB"/>
        </w:rPr>
        <w:t>,</w:t>
      </w:r>
      <w:r w:rsidR="00F2040C">
        <w:rPr>
          <w:lang w:val="en-GB"/>
        </w:rPr>
        <w:t xml:space="preserve"> Clément N. VOULE</w:t>
      </w:r>
      <w:r w:rsidR="008978CB">
        <w:rPr>
          <w:lang w:val="en-GB"/>
        </w:rPr>
        <w:t>,</w:t>
      </w:r>
      <w:r w:rsidR="009D189E">
        <w:rPr>
          <w:lang w:val="en-GB"/>
        </w:rPr>
        <w:t xml:space="preserve"> praises the decision by the South African Constitutional Court </w:t>
      </w:r>
      <w:r w:rsidR="00CC3855">
        <w:rPr>
          <w:lang w:val="en-GB"/>
        </w:rPr>
        <w:t>in the “</w:t>
      </w:r>
      <w:proofErr w:type="spellStart"/>
      <w:r w:rsidR="00CC3855" w:rsidRPr="00523D83">
        <w:rPr>
          <w:lang w:val="en-GB"/>
        </w:rPr>
        <w:t>Mlungwana</w:t>
      </w:r>
      <w:proofErr w:type="spellEnd"/>
      <w:r w:rsidR="00CC3855">
        <w:rPr>
          <w:lang w:val="en-GB"/>
        </w:rPr>
        <w:t xml:space="preserve"> case” </w:t>
      </w:r>
      <w:r w:rsidR="009D189E">
        <w:rPr>
          <w:lang w:val="en-GB"/>
        </w:rPr>
        <w:t xml:space="preserve">to lift </w:t>
      </w:r>
      <w:r w:rsidR="007A341A">
        <w:rPr>
          <w:lang w:val="en-GB"/>
        </w:rPr>
        <w:t>a limitation to public gatherings.</w:t>
      </w:r>
      <w:r w:rsidR="00523D83">
        <w:rPr>
          <w:lang w:val="en-GB"/>
        </w:rPr>
        <w:t xml:space="preserve"> </w:t>
      </w:r>
    </w:p>
    <w:p w14:paraId="795297E3" w14:textId="77777777" w:rsidR="009062FE" w:rsidRDefault="009062FE" w:rsidP="009062FE">
      <w:pPr>
        <w:rPr>
          <w:lang w:val="en-GB"/>
        </w:rPr>
      </w:pPr>
    </w:p>
    <w:p w14:paraId="5DF11873" w14:textId="1D2A46B5" w:rsidR="00841C35" w:rsidRDefault="003332A2" w:rsidP="009062FE">
      <w:pPr>
        <w:rPr>
          <w:lang w:val="en-GB"/>
        </w:rPr>
      </w:pPr>
      <w:r>
        <w:rPr>
          <w:lang w:val="en-GB"/>
        </w:rPr>
        <w:t xml:space="preserve">In its ruling </w:t>
      </w:r>
      <w:r w:rsidR="009062FE">
        <w:rPr>
          <w:lang w:val="en-GB"/>
        </w:rPr>
        <w:t>the Court</w:t>
      </w:r>
      <w:r>
        <w:rPr>
          <w:lang w:val="en-GB"/>
        </w:rPr>
        <w:t xml:space="preserve"> stated that</w:t>
      </w:r>
      <w:r w:rsidR="009062FE">
        <w:rPr>
          <w:lang w:val="en-GB"/>
        </w:rPr>
        <w:t xml:space="preserve"> </w:t>
      </w:r>
      <w:r w:rsidR="002C28F6">
        <w:rPr>
          <w:lang w:val="en-GB"/>
        </w:rPr>
        <w:t xml:space="preserve">section 12(1)(a) of </w:t>
      </w:r>
      <w:r w:rsidR="00F54730">
        <w:rPr>
          <w:lang w:val="en-GB"/>
        </w:rPr>
        <w:t xml:space="preserve">the Gathering Act is constitutionally invalid </w:t>
      </w:r>
      <w:r w:rsidR="009062FE">
        <w:rPr>
          <w:lang w:val="en-GB"/>
        </w:rPr>
        <w:t>“</w:t>
      </w:r>
      <w:r w:rsidR="00F54730">
        <w:rPr>
          <w:lang w:val="en-GB"/>
        </w:rPr>
        <w:t xml:space="preserve">to the extent that it makes </w:t>
      </w:r>
      <w:r w:rsidR="009062FE" w:rsidRPr="009062FE">
        <w:rPr>
          <w:lang w:val="en-GB"/>
        </w:rPr>
        <w:t>the failure to give notice or the giving of</w:t>
      </w:r>
      <w:r w:rsidR="009062FE">
        <w:rPr>
          <w:lang w:val="en-GB"/>
        </w:rPr>
        <w:t xml:space="preserve"> </w:t>
      </w:r>
      <w:r w:rsidR="009062FE" w:rsidRPr="009062FE">
        <w:rPr>
          <w:lang w:val="en-GB"/>
        </w:rPr>
        <w:t>inadequate notice by any person who convened a gathering a criminal</w:t>
      </w:r>
      <w:r w:rsidR="009062FE">
        <w:rPr>
          <w:lang w:val="en-GB"/>
        </w:rPr>
        <w:t xml:space="preserve"> </w:t>
      </w:r>
      <w:r w:rsidR="009062FE" w:rsidRPr="009062FE">
        <w:rPr>
          <w:lang w:val="en-GB"/>
        </w:rPr>
        <w:t>offence</w:t>
      </w:r>
      <w:r w:rsidR="009062FE">
        <w:rPr>
          <w:lang w:val="en-GB"/>
        </w:rPr>
        <w:t>”</w:t>
      </w:r>
      <w:r w:rsidR="009062FE" w:rsidRPr="009062FE">
        <w:rPr>
          <w:lang w:val="en-GB"/>
        </w:rPr>
        <w:t>.</w:t>
      </w:r>
    </w:p>
    <w:p w14:paraId="3476B142" w14:textId="487AF72F" w:rsidR="00023678" w:rsidRDefault="00023678" w:rsidP="009062FE">
      <w:pPr>
        <w:rPr>
          <w:lang w:val="en-GB"/>
        </w:rPr>
      </w:pPr>
    </w:p>
    <w:p w14:paraId="26BCFC45" w14:textId="7722BAFB" w:rsidR="009062FE" w:rsidRPr="00023678" w:rsidRDefault="00023678">
      <w:pPr>
        <w:rPr>
          <w:lang w:val="en-US"/>
        </w:rPr>
      </w:pPr>
      <w:r>
        <w:rPr>
          <w:lang w:val="en-US"/>
        </w:rPr>
        <w:t xml:space="preserve">On September 2013, members and supporters of the NGO Social Justice Coalition peacefully protested in Cape Town against poor sanitation for communities. 21 protesters were arrested and convicted under </w:t>
      </w:r>
      <w:r w:rsidRPr="00B83A55">
        <w:rPr>
          <w:lang w:val="en-US"/>
        </w:rPr>
        <w:t>section 12(1)(a) of the Gatherings Act</w:t>
      </w:r>
      <w:r>
        <w:rPr>
          <w:lang w:val="en-US"/>
        </w:rPr>
        <w:t>.</w:t>
      </w:r>
    </w:p>
    <w:p w14:paraId="0543DC4E" w14:textId="77777777" w:rsidR="00304CCF" w:rsidRDefault="00304CCF">
      <w:pPr>
        <w:rPr>
          <w:lang w:val="en-US"/>
        </w:rPr>
      </w:pPr>
    </w:p>
    <w:p w14:paraId="17675EBA" w14:textId="7376D9E1" w:rsidR="00841C35" w:rsidRDefault="00841C35" w:rsidP="00841C35">
      <w:pPr>
        <w:rPr>
          <w:lang w:val="en-US"/>
        </w:rPr>
      </w:pPr>
      <w:r>
        <w:rPr>
          <w:lang w:val="en-US"/>
        </w:rPr>
        <w:t>“</w:t>
      </w:r>
      <w:r w:rsidRPr="00841C35">
        <w:rPr>
          <w:lang w:val="en-US"/>
        </w:rPr>
        <w:t>The judgment is certainly good news for protesters and protest law in our country.</w:t>
      </w:r>
      <w:r>
        <w:rPr>
          <w:lang w:val="en-US"/>
        </w:rPr>
        <w:t xml:space="preserve"> </w:t>
      </w:r>
      <w:r w:rsidRPr="00841C35">
        <w:rPr>
          <w:lang w:val="en-US"/>
        </w:rPr>
        <w:t>We thank the UN S</w:t>
      </w:r>
      <w:r w:rsidR="0021484D">
        <w:rPr>
          <w:lang w:val="en-US"/>
        </w:rPr>
        <w:t>pecial Rapporteur</w:t>
      </w:r>
      <w:r w:rsidRPr="00841C35">
        <w:rPr>
          <w:lang w:val="en-US"/>
        </w:rPr>
        <w:t xml:space="preserve"> for having allowed us to participate in such an important case for the development of our protest law and jurisprudence</w:t>
      </w:r>
      <w:r>
        <w:rPr>
          <w:lang w:val="en-US"/>
        </w:rPr>
        <w:t xml:space="preserve">”, </w:t>
      </w:r>
      <w:r w:rsidR="00FF00F1">
        <w:rPr>
          <w:lang w:val="en-US"/>
        </w:rPr>
        <w:t xml:space="preserve">expresses the South African attorney </w:t>
      </w:r>
      <w:r w:rsidR="0021484D">
        <w:rPr>
          <w:lang w:val="en-US"/>
        </w:rPr>
        <w:t xml:space="preserve">who </w:t>
      </w:r>
      <w:r w:rsidR="00683651">
        <w:rPr>
          <w:lang w:val="en-US"/>
        </w:rPr>
        <w:t>instigat</w:t>
      </w:r>
      <w:r w:rsidR="00D67F80">
        <w:rPr>
          <w:lang w:val="en-US"/>
        </w:rPr>
        <w:t>ed</w:t>
      </w:r>
      <w:r w:rsidR="00683651">
        <w:rPr>
          <w:lang w:val="en-US"/>
        </w:rPr>
        <w:t xml:space="preserve"> the legal proceeding. </w:t>
      </w:r>
    </w:p>
    <w:p w14:paraId="31917D95" w14:textId="449C1740" w:rsidR="00023678" w:rsidRDefault="00023678" w:rsidP="00841C35">
      <w:pPr>
        <w:rPr>
          <w:lang w:val="en-US"/>
        </w:rPr>
      </w:pPr>
    </w:p>
    <w:p w14:paraId="0E498037" w14:textId="161CDAC9" w:rsidR="00023678" w:rsidRDefault="00023678" w:rsidP="00023678">
      <w:pPr>
        <w:rPr>
          <w:lang w:val="en-GB"/>
        </w:rPr>
      </w:pPr>
      <w:r>
        <w:rPr>
          <w:lang w:val="en-GB"/>
        </w:rPr>
        <w:t>The UN expert served as an Amicus Curiae in the case, which is a landmark victory for the implementation</w:t>
      </w:r>
      <w:bookmarkStart w:id="0" w:name="_GoBack"/>
      <w:bookmarkEnd w:id="0"/>
      <w:r>
        <w:rPr>
          <w:lang w:val="en-GB"/>
        </w:rPr>
        <w:t xml:space="preserve"> of the right to peaceful assembly. </w:t>
      </w:r>
      <w:r w:rsidR="00864503">
        <w:rPr>
          <w:lang w:val="en-GB"/>
        </w:rPr>
        <w:t xml:space="preserve">“This ruling represents an important progress for South Africa and should be a model for the region and beyond”, claims M. </w:t>
      </w:r>
      <w:proofErr w:type="spellStart"/>
      <w:r w:rsidR="00864503">
        <w:rPr>
          <w:lang w:val="en-GB"/>
        </w:rPr>
        <w:t>Voule</w:t>
      </w:r>
      <w:proofErr w:type="spellEnd"/>
      <w:r w:rsidR="00864503">
        <w:rPr>
          <w:lang w:val="en-GB"/>
        </w:rPr>
        <w:t>.</w:t>
      </w:r>
      <w:r w:rsidR="00FC44F4">
        <w:rPr>
          <w:lang w:val="en-GB"/>
        </w:rPr>
        <w:t xml:space="preserve"> He recalls the Guidelines on freedom of association and assembly in Africa, according to which peaceful assembly is </w:t>
      </w:r>
      <w:r w:rsidR="009B2E8E">
        <w:rPr>
          <w:lang w:val="en-GB"/>
        </w:rPr>
        <w:t xml:space="preserve">a right and not a privilege, and as such the lack of notification does not make an assembly illegal. </w:t>
      </w:r>
    </w:p>
    <w:p w14:paraId="73A9B67F" w14:textId="77777777" w:rsidR="00683651" w:rsidRDefault="00683651" w:rsidP="00841C35">
      <w:pPr>
        <w:rPr>
          <w:lang w:val="en-US"/>
        </w:rPr>
      </w:pPr>
    </w:p>
    <w:p w14:paraId="55D091F0" w14:textId="628569E6" w:rsidR="005840B9" w:rsidRDefault="00023678" w:rsidP="00F56614">
      <w:pPr>
        <w:rPr>
          <w:lang w:val="en-US"/>
        </w:rPr>
      </w:pPr>
      <w:r>
        <w:rPr>
          <w:lang w:val="en-US"/>
        </w:rPr>
        <w:t xml:space="preserve"> </w:t>
      </w:r>
      <w:r w:rsidR="0060439F">
        <w:rPr>
          <w:lang w:val="en-US"/>
        </w:rPr>
        <w:t>“</w:t>
      </w:r>
      <w:r w:rsidR="000678C2">
        <w:rPr>
          <w:lang w:val="en-US"/>
        </w:rPr>
        <w:t>South Africa’s Gathering</w:t>
      </w:r>
      <w:r w:rsidR="00592D29">
        <w:rPr>
          <w:lang w:val="en-US"/>
        </w:rPr>
        <w:t>s</w:t>
      </w:r>
      <w:r w:rsidR="000678C2">
        <w:rPr>
          <w:lang w:val="en-US"/>
        </w:rPr>
        <w:t xml:space="preserve"> Act</w:t>
      </w:r>
      <w:r w:rsidR="005840B9">
        <w:rPr>
          <w:lang w:val="en-US"/>
        </w:rPr>
        <w:t xml:space="preserve"> criminalizes failure to notify assemblies</w:t>
      </w:r>
      <w:r w:rsidR="00FB66FB">
        <w:rPr>
          <w:lang w:val="en-US"/>
        </w:rPr>
        <w:t>, which is against international standard</w:t>
      </w:r>
      <w:r w:rsidR="00C412D8">
        <w:rPr>
          <w:lang w:val="en-US"/>
        </w:rPr>
        <w:t>s</w:t>
      </w:r>
      <w:r w:rsidR="00FB66FB">
        <w:rPr>
          <w:lang w:val="en-US"/>
        </w:rPr>
        <w:t xml:space="preserve">. </w:t>
      </w:r>
      <w:r w:rsidR="00F56614">
        <w:rPr>
          <w:lang w:val="en-US"/>
        </w:rPr>
        <w:t xml:space="preserve">The rationale </w:t>
      </w:r>
      <w:r w:rsidR="009351F3">
        <w:rPr>
          <w:lang w:val="en-US"/>
        </w:rPr>
        <w:t>for</w:t>
      </w:r>
      <w:r w:rsidR="00F56614">
        <w:rPr>
          <w:lang w:val="en-US"/>
        </w:rPr>
        <w:t xml:space="preserve"> prior notification is to allow </w:t>
      </w:r>
      <w:r w:rsidR="00F56614" w:rsidRPr="00F56614">
        <w:rPr>
          <w:lang w:val="en-US"/>
        </w:rPr>
        <w:t>State authorities to facilitate the exercise of the right to freedom of peaceful assembly and to take measures to protect public safety</w:t>
      </w:r>
      <w:r w:rsidR="00F56614">
        <w:rPr>
          <w:lang w:val="en-US"/>
        </w:rPr>
        <w:t>. Failure to provide notification should thus not be interpreted as limiting such right nor should it be considered a criminal offense”</w:t>
      </w:r>
      <w:r w:rsidR="00B84A4E">
        <w:rPr>
          <w:lang w:val="en-US"/>
        </w:rPr>
        <w:t>, reminds the UN expert.</w:t>
      </w:r>
    </w:p>
    <w:p w14:paraId="383A552B" w14:textId="77777777" w:rsidR="00304CCF" w:rsidRDefault="00304CCF" w:rsidP="00304CCF">
      <w:pPr>
        <w:rPr>
          <w:lang w:val="en-GB"/>
        </w:rPr>
      </w:pPr>
    </w:p>
    <w:p w14:paraId="12B3D19C" w14:textId="194852F0" w:rsidR="002041A3" w:rsidRPr="002041A3" w:rsidRDefault="002041A3" w:rsidP="002041A3">
      <w:pPr>
        <w:rPr>
          <w:rFonts w:ascii="Times New Roman" w:eastAsia="Times New Roman" w:hAnsi="Times New Roman" w:cs="Times New Roman"/>
          <w:lang w:val="en-GB" w:eastAsia="fr-FR"/>
        </w:rPr>
      </w:pPr>
      <w:r>
        <w:rPr>
          <w:lang w:val="en-US"/>
        </w:rPr>
        <w:t xml:space="preserve">For more information on the case, see: </w:t>
      </w:r>
      <w:hyperlink r:id="rId5" w:history="1">
        <w:r w:rsidR="006C7A84" w:rsidRPr="0080685C">
          <w:rPr>
            <w:rStyle w:val="Lienhypertexte"/>
            <w:rFonts w:ascii="Calibri" w:eastAsia="Times New Roman" w:hAnsi="Calibri" w:cs="Calibri"/>
            <w:sz w:val="22"/>
            <w:szCs w:val="22"/>
            <w:lang w:val="en-GB" w:eastAsia="fr-FR"/>
          </w:rPr>
          <w:t>https://www.concourt.org.za/index.php/judgement/291-mlungwana-and-others-v-s-and-another-equal-education-right2know-campaign-and-un-special-rapporteur-on-the-rights-to-freedom-of-peaceful-assembly-and-of-association-as-amici-curiae</w:t>
        </w:r>
      </w:hyperlink>
    </w:p>
    <w:p w14:paraId="177D0D10" w14:textId="77777777" w:rsidR="002041A3" w:rsidRPr="002041A3" w:rsidRDefault="002041A3" w:rsidP="002041A3">
      <w:pPr>
        <w:rPr>
          <w:rFonts w:ascii="Times New Roman" w:eastAsia="Times New Roman" w:hAnsi="Times New Roman" w:cs="Times New Roman"/>
          <w:lang w:val="en-GB" w:eastAsia="fr-FR"/>
        </w:rPr>
      </w:pPr>
      <w:r w:rsidRPr="002041A3">
        <w:rPr>
          <w:rFonts w:ascii="Calibri" w:eastAsia="Times New Roman" w:hAnsi="Calibri" w:cs="Calibri"/>
          <w:color w:val="1F497D"/>
          <w:sz w:val="22"/>
          <w:szCs w:val="22"/>
          <w:lang w:val="en-GB" w:eastAsia="fr-FR"/>
        </w:rPr>
        <w:t> </w:t>
      </w:r>
    </w:p>
    <w:p w14:paraId="30E21802" w14:textId="761D17A9" w:rsidR="00900F08" w:rsidRPr="002041A3" w:rsidRDefault="00900F08">
      <w:pPr>
        <w:rPr>
          <w:lang w:val="en-GB"/>
        </w:rPr>
      </w:pPr>
    </w:p>
    <w:p w14:paraId="6CBFBFD8" w14:textId="77777777" w:rsidR="00900F08" w:rsidRPr="00953310" w:rsidRDefault="00900F08">
      <w:pPr>
        <w:rPr>
          <w:lang w:val="en-US"/>
        </w:rPr>
      </w:pPr>
    </w:p>
    <w:p w14:paraId="132FA760" w14:textId="77777777" w:rsidR="00900F08" w:rsidRPr="00953310" w:rsidRDefault="00900F08">
      <w:pPr>
        <w:rPr>
          <w:lang w:val="en-US"/>
        </w:rPr>
      </w:pPr>
    </w:p>
    <w:p w14:paraId="2634C28D" w14:textId="77777777" w:rsidR="00900F08" w:rsidRPr="00953310" w:rsidRDefault="00900F08">
      <w:pPr>
        <w:rPr>
          <w:lang w:val="en-US"/>
        </w:rPr>
      </w:pPr>
    </w:p>
    <w:p w14:paraId="5118694C" w14:textId="77777777" w:rsidR="00900F08" w:rsidRPr="00953310" w:rsidRDefault="00900F08">
      <w:pPr>
        <w:rPr>
          <w:lang w:val="en-US"/>
        </w:rPr>
      </w:pPr>
    </w:p>
    <w:sectPr w:rsidR="00900F08" w:rsidRPr="00953310" w:rsidSect="001B5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B4"/>
    <w:rsid w:val="00023678"/>
    <w:rsid w:val="000316E8"/>
    <w:rsid w:val="00054455"/>
    <w:rsid w:val="000678C2"/>
    <w:rsid w:val="00077034"/>
    <w:rsid w:val="001441FE"/>
    <w:rsid w:val="00176DF7"/>
    <w:rsid w:val="001B5071"/>
    <w:rsid w:val="002041A3"/>
    <w:rsid w:val="0021484D"/>
    <w:rsid w:val="00277127"/>
    <w:rsid w:val="00285B0B"/>
    <w:rsid w:val="002C28F6"/>
    <w:rsid w:val="00304CCF"/>
    <w:rsid w:val="003332A2"/>
    <w:rsid w:val="003C012D"/>
    <w:rsid w:val="004C10B4"/>
    <w:rsid w:val="00523D83"/>
    <w:rsid w:val="00557F0B"/>
    <w:rsid w:val="0056139B"/>
    <w:rsid w:val="005840B9"/>
    <w:rsid w:val="00592D29"/>
    <w:rsid w:val="005A4098"/>
    <w:rsid w:val="0060439F"/>
    <w:rsid w:val="00683651"/>
    <w:rsid w:val="006C7A84"/>
    <w:rsid w:val="00711276"/>
    <w:rsid w:val="007A341A"/>
    <w:rsid w:val="007B212A"/>
    <w:rsid w:val="007D4E44"/>
    <w:rsid w:val="007E073F"/>
    <w:rsid w:val="00841C35"/>
    <w:rsid w:val="00864503"/>
    <w:rsid w:val="008978CB"/>
    <w:rsid w:val="008C2112"/>
    <w:rsid w:val="008E455D"/>
    <w:rsid w:val="00900F08"/>
    <w:rsid w:val="009062FE"/>
    <w:rsid w:val="009351F3"/>
    <w:rsid w:val="009412D7"/>
    <w:rsid w:val="00953310"/>
    <w:rsid w:val="00994D56"/>
    <w:rsid w:val="009B2E8E"/>
    <w:rsid w:val="009D189E"/>
    <w:rsid w:val="009F0DCA"/>
    <w:rsid w:val="009F0EDB"/>
    <w:rsid w:val="00A4355E"/>
    <w:rsid w:val="00B078FC"/>
    <w:rsid w:val="00B83A55"/>
    <w:rsid w:val="00B84A4E"/>
    <w:rsid w:val="00C412D8"/>
    <w:rsid w:val="00C43695"/>
    <w:rsid w:val="00C65D78"/>
    <w:rsid w:val="00CC3855"/>
    <w:rsid w:val="00D635EA"/>
    <w:rsid w:val="00D67F80"/>
    <w:rsid w:val="00D776BA"/>
    <w:rsid w:val="00DE0508"/>
    <w:rsid w:val="00DF1819"/>
    <w:rsid w:val="00E919A0"/>
    <w:rsid w:val="00E94D01"/>
    <w:rsid w:val="00F2040C"/>
    <w:rsid w:val="00F54730"/>
    <w:rsid w:val="00F56614"/>
    <w:rsid w:val="00F62165"/>
    <w:rsid w:val="00FB31C9"/>
    <w:rsid w:val="00FB66FB"/>
    <w:rsid w:val="00FC44F4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CBE86F"/>
  <w14:defaultImageDpi w14:val="32767"/>
  <w15:chartTrackingRefBased/>
  <w15:docId w15:val="{0401F81A-CE23-A245-9AB9-C86B70D9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412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2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2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2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2D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D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041A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C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ncourt.org.za/index.php/judgement/291-mlungwana-and-others-v-s-and-another-equal-education-right2know-campaign-and-un-special-rapporteur-on-the-rights-to-freedom-of-peaceful-assembly-and-of-association-as-amici-curiae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40F9B-7557-EA4D-A654-866A56429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8205F-0D29-414F-A888-32A42B914B2D}"/>
</file>

<file path=customXml/itemProps3.xml><?xml version="1.0" encoding="utf-8"?>
<ds:datastoreItem xmlns:ds="http://schemas.openxmlformats.org/officeDocument/2006/customXml" ds:itemID="{6B38234B-8CB9-418D-A2A3-1CAAB9EB23B1}"/>
</file>

<file path=customXml/itemProps4.xml><?xml version="1.0" encoding="utf-8"?>
<ds:datastoreItem xmlns:ds="http://schemas.openxmlformats.org/officeDocument/2006/customXml" ds:itemID="{8966456B-6821-429B-BF5A-5C06FB948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Genoud</dc:creator>
  <cp:keywords/>
  <dc:description/>
  <cp:lastModifiedBy>Christelle Genoud</cp:lastModifiedBy>
  <cp:revision>8</cp:revision>
  <dcterms:created xsi:type="dcterms:W3CDTF">2018-11-21T19:30:00Z</dcterms:created>
  <dcterms:modified xsi:type="dcterms:W3CDTF">2018-11-22T15:10:00Z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http://www.zotero.org/styles/chicago-fullnote-bibliography</vt:lpwstr>
  </property>
  <property fmtid="{D5CDD505-2E9C-101B-9397-08002B2CF9AE}" pid="13" name="Mendeley Recent Style Name 5_1">
    <vt:lpwstr>Chicago Manual of Style 16th edition (full note)</vt:lpwstr>
  </property>
  <property fmtid="{D5CDD505-2E9C-101B-9397-08002B2CF9AE}" pid="14" name="Mendeley Recent Style Id 6_1">
    <vt:lpwstr>http://www.zotero.org/styles/chicago-note-bibliography</vt:lpwstr>
  </property>
  <property fmtid="{D5CDD505-2E9C-101B-9397-08002B2CF9AE}" pid="15" name="Mendeley Recent Style Name 6_1">
    <vt:lpwstr>Chicago Manual of Style 16th edition (note)</vt:lpwstr>
  </property>
  <property fmtid="{D5CDD505-2E9C-101B-9397-08002B2CF9AE}" pid="16" name="Mendeley Recent Style Id 7_1">
    <vt:lpwstr>http://www.zotero.org/styles/chicago-annotated-bibliography</vt:lpwstr>
  </property>
  <property fmtid="{D5CDD505-2E9C-101B-9397-08002B2CF9AE}" pid="17" name="Mendeley Recent Style Name 7_1">
    <vt:lpwstr>Chicago Manual of Style 16th edition (note, annotated bibliography)</vt:lpwstr>
  </property>
  <property fmtid="{D5CDD505-2E9C-101B-9397-08002B2CF9AE}" pid="18" name="Mendeley Recent Style Id 8_1">
    <vt:lpwstr>http://www.zotero.org/styles/harvard1</vt:lpwstr>
  </property>
  <property fmtid="{D5CDD505-2E9C-101B-9397-08002B2CF9AE}" pid="19" name="Mendeley Recent Style Name 8_1">
    <vt:lpwstr>Harvard Reference format 1 (author-date)</vt:lpwstr>
  </property>
  <property fmtid="{D5CDD505-2E9C-101B-9397-08002B2CF9AE}" pid="20" name="Mendeley Recent Style Id 9_1">
    <vt:lpwstr>http://www.zotero.org/styles/ieee</vt:lpwstr>
  </property>
  <property fmtid="{D5CDD505-2E9C-101B-9397-08002B2CF9AE}" pid="21" name="Mendeley Recent Style Name 9_1">
    <vt:lpwstr>IEEE</vt:lpwstr>
  </property>
  <property fmtid="{D5CDD505-2E9C-101B-9397-08002B2CF9AE}" pid="22" name="ContentTypeId">
    <vt:lpwstr>0x0101008822B9E06671B54FA89F14538B9B0FEA</vt:lpwstr>
  </property>
</Properties>
</file>