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A3FCF" w14:textId="77777777" w:rsidR="009B3C59" w:rsidRDefault="009B3C59" w:rsidP="00C231AF">
      <w:pPr>
        <w:widowControl w:val="0"/>
        <w:autoSpaceDE w:val="0"/>
        <w:autoSpaceDN w:val="0"/>
        <w:adjustRightInd w:val="0"/>
        <w:jc w:val="right"/>
        <w:rPr>
          <w:noProof/>
          <w:sz w:val="24"/>
          <w:szCs w:val="24"/>
          <w:lang w:val="es-ES"/>
        </w:rPr>
      </w:pPr>
      <w:bookmarkStart w:id="0" w:name="_GoBack"/>
      <w:bookmarkEnd w:id="0"/>
    </w:p>
    <w:p w14:paraId="758807D0" w14:textId="14F87557" w:rsidR="00C231AF" w:rsidRPr="000D6AB8" w:rsidRDefault="009B3C59" w:rsidP="00C231AF">
      <w:pPr>
        <w:widowControl w:val="0"/>
        <w:autoSpaceDE w:val="0"/>
        <w:autoSpaceDN w:val="0"/>
        <w:adjustRightInd w:val="0"/>
        <w:jc w:val="right"/>
        <w:rPr>
          <w:noProof/>
          <w:sz w:val="24"/>
          <w:szCs w:val="24"/>
          <w:lang w:val="es-ES"/>
        </w:rPr>
      </w:pPr>
      <w:r w:rsidRPr="000D6AB8">
        <w:rPr>
          <w:noProof/>
          <w:sz w:val="24"/>
          <w:szCs w:val="24"/>
          <w:lang w:val="es-ES"/>
        </w:rPr>
        <w:t>11</w:t>
      </w:r>
      <w:r w:rsidR="00C231AF" w:rsidRPr="000D6AB8">
        <w:rPr>
          <w:noProof/>
          <w:sz w:val="24"/>
          <w:szCs w:val="24"/>
          <w:lang w:val="es-ES"/>
        </w:rPr>
        <w:t xml:space="preserve"> de mayo de 2021</w:t>
      </w:r>
    </w:p>
    <w:p w14:paraId="7D979F9F" w14:textId="77777777" w:rsidR="00116C1E" w:rsidRPr="000D6AB8" w:rsidRDefault="00116C1E" w:rsidP="00C231AF">
      <w:pPr>
        <w:widowControl w:val="0"/>
        <w:autoSpaceDE w:val="0"/>
        <w:autoSpaceDN w:val="0"/>
        <w:adjustRightInd w:val="0"/>
        <w:jc w:val="right"/>
        <w:rPr>
          <w:noProof/>
          <w:sz w:val="24"/>
          <w:szCs w:val="24"/>
          <w:lang w:val="es-ES"/>
        </w:rPr>
      </w:pPr>
    </w:p>
    <w:p w14:paraId="243230B4" w14:textId="06C63E1B" w:rsidR="00C231AF" w:rsidRPr="000D6AB8" w:rsidRDefault="00C231AF" w:rsidP="00C231AF">
      <w:pPr>
        <w:autoSpaceDE w:val="0"/>
        <w:autoSpaceDN w:val="0"/>
        <w:adjustRightInd w:val="0"/>
        <w:spacing w:line="240" w:lineRule="atLeast"/>
        <w:ind w:firstLine="567"/>
        <w:rPr>
          <w:sz w:val="24"/>
          <w:szCs w:val="24"/>
          <w:lang w:val="es-ES"/>
        </w:rPr>
      </w:pPr>
      <w:bookmarkStart w:id="1" w:name="allegation"/>
      <w:bookmarkEnd w:id="1"/>
      <w:r w:rsidRPr="000D6AB8">
        <w:rPr>
          <w:sz w:val="24"/>
          <w:szCs w:val="24"/>
          <w:lang w:val="es-ES"/>
        </w:rPr>
        <w:t xml:space="preserve">Tengo el honor de dirigirme a Usted en mi calidad de </w:t>
      </w:r>
      <w:r w:rsidRPr="000D6AB8">
        <w:rPr>
          <w:sz w:val="24"/>
          <w:szCs w:val="24"/>
          <w:lang w:val="es-MX"/>
        </w:rPr>
        <w:t>Relatora Especial sobre el derecho de toda persona al disfrute del más alto nivel posible de salud física y mental</w:t>
      </w:r>
      <w:r w:rsidRPr="000D6AB8">
        <w:rPr>
          <w:sz w:val="24"/>
          <w:szCs w:val="24"/>
          <w:lang w:val="es-ES"/>
        </w:rPr>
        <w:t xml:space="preserve">, de conformidad con la resolución 42/16 del Consejo de Derechos Humanos.  </w:t>
      </w:r>
    </w:p>
    <w:p w14:paraId="34833645" w14:textId="77777777" w:rsidR="00C231AF" w:rsidRPr="000D6AB8" w:rsidRDefault="00C231AF" w:rsidP="00C231AF">
      <w:pPr>
        <w:autoSpaceDE w:val="0"/>
        <w:autoSpaceDN w:val="0"/>
        <w:adjustRightInd w:val="0"/>
        <w:spacing w:line="240" w:lineRule="atLeast"/>
        <w:ind w:firstLine="567"/>
        <w:rPr>
          <w:sz w:val="24"/>
          <w:szCs w:val="24"/>
          <w:lang w:val="es-ES"/>
        </w:rPr>
      </w:pPr>
    </w:p>
    <w:p w14:paraId="28C5B67B" w14:textId="122984AC" w:rsidR="00C231AF" w:rsidRPr="000D6AB8" w:rsidRDefault="00C231AF" w:rsidP="00C231AF">
      <w:pPr>
        <w:autoSpaceDE w:val="0"/>
        <w:autoSpaceDN w:val="0"/>
        <w:adjustRightInd w:val="0"/>
        <w:spacing w:line="240" w:lineRule="atLeast"/>
        <w:ind w:firstLine="567"/>
        <w:rPr>
          <w:sz w:val="24"/>
          <w:szCs w:val="24"/>
          <w:lang w:val="es-ES"/>
        </w:rPr>
      </w:pPr>
      <w:r w:rsidRPr="000D6AB8">
        <w:rPr>
          <w:sz w:val="24"/>
          <w:szCs w:val="24"/>
          <w:lang w:val="es-ES"/>
        </w:rPr>
        <w:t>Me gustaría invitarle a responder al cuestionario que figura a continuación. Los insumos que se reciban servirán de base para mi informe temático sobre el derecho de toda persona a la salud sexual y reproductiva – desafíos y oportunidades durante la COVID -19, que se presentará a la Asamblea General de las Naciones Unidas en septiembre de 2021.</w:t>
      </w:r>
    </w:p>
    <w:p w14:paraId="43F6561D" w14:textId="77777777" w:rsidR="00C231AF" w:rsidRPr="000D6AB8" w:rsidRDefault="00C231AF" w:rsidP="00C231AF">
      <w:pPr>
        <w:autoSpaceDE w:val="0"/>
        <w:autoSpaceDN w:val="0"/>
        <w:adjustRightInd w:val="0"/>
        <w:spacing w:line="240" w:lineRule="atLeast"/>
        <w:ind w:firstLine="567"/>
        <w:rPr>
          <w:sz w:val="24"/>
          <w:szCs w:val="24"/>
          <w:lang w:val="es-ES"/>
        </w:rPr>
      </w:pPr>
    </w:p>
    <w:p w14:paraId="5C5270AC" w14:textId="77777777" w:rsidR="00C231AF" w:rsidRPr="000D6AB8" w:rsidRDefault="00C231AF" w:rsidP="00C231AF">
      <w:pPr>
        <w:autoSpaceDE w:val="0"/>
        <w:autoSpaceDN w:val="0"/>
        <w:adjustRightInd w:val="0"/>
        <w:spacing w:line="240" w:lineRule="atLeast"/>
        <w:ind w:firstLine="567"/>
        <w:rPr>
          <w:color w:val="000000" w:themeColor="text1"/>
          <w:sz w:val="24"/>
          <w:szCs w:val="24"/>
          <w:lang w:val="es-ES"/>
        </w:rPr>
      </w:pPr>
      <w:r w:rsidRPr="000D6AB8">
        <w:rPr>
          <w:sz w:val="24"/>
          <w:szCs w:val="24"/>
          <w:lang w:val="es-ES"/>
        </w:rPr>
        <w:t xml:space="preserve">El cuestionario sobre el informe se pueden consultar en el sitio web de la Oficina, en inglés (idioma original), así como en francés, y español (traducciones no oficiales): </w:t>
      </w:r>
      <w:r w:rsidRPr="000D6AB8">
        <w:rPr>
          <w:color w:val="000000" w:themeColor="text1"/>
          <w:sz w:val="24"/>
          <w:szCs w:val="24"/>
          <w:lang w:val="es-ES"/>
        </w:rPr>
        <w:t>(</w:t>
      </w:r>
      <w:hyperlink r:id="rId11" w:history="1">
        <w:r w:rsidRPr="000D6AB8">
          <w:rPr>
            <w:rStyle w:val="Hyperlink"/>
            <w:sz w:val="24"/>
            <w:szCs w:val="24"/>
            <w:lang w:val="es-ES"/>
          </w:rPr>
          <w:t>https://www.ohchr.org/EN/Issues/health/pages/srrighthealthindex.aspx</w:t>
        </w:r>
      </w:hyperlink>
      <w:r w:rsidRPr="000D6AB8">
        <w:rPr>
          <w:color w:val="000000" w:themeColor="text1"/>
          <w:sz w:val="24"/>
          <w:szCs w:val="24"/>
          <w:lang w:val="es-ES"/>
        </w:rPr>
        <w:t>).</w:t>
      </w:r>
    </w:p>
    <w:p w14:paraId="61B96407" w14:textId="77777777" w:rsidR="00C231AF" w:rsidRPr="000D6AB8" w:rsidRDefault="00C231AF" w:rsidP="00C231AF">
      <w:pPr>
        <w:pStyle w:val="Default"/>
        <w:ind w:firstLine="567"/>
        <w:rPr>
          <w:color w:val="auto"/>
          <w:lang w:val="es-ES"/>
        </w:rPr>
      </w:pPr>
    </w:p>
    <w:p w14:paraId="203F4FD0" w14:textId="77777777" w:rsidR="00C231AF" w:rsidRPr="000D6AB8" w:rsidRDefault="00C231AF" w:rsidP="00C231AF">
      <w:pPr>
        <w:ind w:firstLine="567"/>
        <w:rPr>
          <w:sz w:val="24"/>
          <w:szCs w:val="24"/>
          <w:lang w:val="es-ES"/>
        </w:rPr>
      </w:pPr>
      <w:r w:rsidRPr="000D6AB8">
        <w:rPr>
          <w:color w:val="000000"/>
          <w:sz w:val="24"/>
          <w:szCs w:val="24"/>
          <w:lang w:val="es-ES"/>
        </w:rPr>
        <w:t>Todas las respuestas recibidas se publicarán en el mencionado sitio web, a menos que se indique que la respuesta debe permanecer confidencial.</w:t>
      </w:r>
    </w:p>
    <w:p w14:paraId="37E5AE49" w14:textId="77777777" w:rsidR="00C231AF" w:rsidRPr="000D6AB8" w:rsidRDefault="00C231AF" w:rsidP="00C231AF">
      <w:pPr>
        <w:rPr>
          <w:sz w:val="24"/>
          <w:szCs w:val="24"/>
          <w:lang w:val="es-ES"/>
        </w:rPr>
      </w:pPr>
      <w:r w:rsidRPr="000D6AB8">
        <w:rPr>
          <w:sz w:val="24"/>
          <w:szCs w:val="24"/>
          <w:lang w:val="es-ES"/>
        </w:rPr>
        <w:t> </w:t>
      </w:r>
    </w:p>
    <w:p w14:paraId="015C0A8E" w14:textId="77777777" w:rsidR="00C231AF" w:rsidRPr="000D6AB8" w:rsidRDefault="00C231AF" w:rsidP="00C231AF">
      <w:pPr>
        <w:ind w:firstLine="567"/>
        <w:rPr>
          <w:b/>
          <w:sz w:val="24"/>
          <w:szCs w:val="24"/>
          <w:lang w:val="es-ES"/>
        </w:rPr>
      </w:pPr>
      <w:r w:rsidRPr="000D6AB8">
        <w:rPr>
          <w:sz w:val="24"/>
          <w:szCs w:val="24"/>
          <w:lang w:val="es-ES"/>
        </w:rPr>
        <w:t xml:space="preserve">Nótese que hay un límite de 3000 palabras por cuestionario. Sírvase por favor enviar las respuestas al cuestionario a: </w:t>
      </w:r>
      <w:hyperlink r:id="rId12" w:history="1">
        <w:r w:rsidRPr="000D6AB8">
          <w:rPr>
            <w:rStyle w:val="Hyperlink"/>
            <w:sz w:val="24"/>
            <w:szCs w:val="24"/>
            <w:lang w:val="es-ES"/>
          </w:rPr>
          <w:t>srhealth@ohchr.org</w:t>
        </w:r>
      </w:hyperlink>
      <w:r w:rsidRPr="000D6AB8">
        <w:rPr>
          <w:rStyle w:val="Hyperlink"/>
          <w:sz w:val="24"/>
          <w:szCs w:val="24"/>
          <w:lang w:val="es-ES"/>
        </w:rPr>
        <w:t>.</w:t>
      </w:r>
      <w:r w:rsidRPr="000D6AB8">
        <w:rPr>
          <w:rStyle w:val="Hyperlink"/>
          <w:sz w:val="24"/>
          <w:szCs w:val="24"/>
          <w:u w:val="none"/>
          <w:lang w:val="es-ES"/>
        </w:rPr>
        <w:t xml:space="preserve"> </w:t>
      </w:r>
      <w:r w:rsidRPr="000D6AB8">
        <w:rPr>
          <w:sz w:val="24"/>
          <w:szCs w:val="24"/>
          <w:lang w:val="es-ES"/>
        </w:rPr>
        <w:t xml:space="preserve">La fecha final para enviar las respuestas es el </w:t>
      </w:r>
      <w:r w:rsidRPr="000D6AB8">
        <w:rPr>
          <w:b/>
          <w:sz w:val="24"/>
          <w:szCs w:val="24"/>
          <w:lang w:val="es-ES"/>
        </w:rPr>
        <w:t>10 de junio de 2021.</w:t>
      </w:r>
    </w:p>
    <w:p w14:paraId="50B050F4" w14:textId="171E898B" w:rsidR="000C4538" w:rsidRPr="000D6AB8" w:rsidRDefault="000C4538" w:rsidP="00C231AF">
      <w:pPr>
        <w:tabs>
          <w:tab w:val="left" w:pos="567"/>
        </w:tabs>
        <w:jc w:val="both"/>
        <w:rPr>
          <w:sz w:val="24"/>
          <w:szCs w:val="24"/>
          <w:lang w:val="es-ES"/>
        </w:rPr>
      </w:pPr>
    </w:p>
    <w:p w14:paraId="28BF8E99" w14:textId="69AD3801" w:rsidR="00C231AF" w:rsidRPr="000D6AB8" w:rsidRDefault="00C231AF" w:rsidP="00C231AF">
      <w:pPr>
        <w:jc w:val="center"/>
        <w:rPr>
          <w:lang w:val="es-ES" w:eastAsia="en-GB"/>
        </w:rPr>
      </w:pPr>
    </w:p>
    <w:p w14:paraId="57CE3F26" w14:textId="77777777" w:rsidR="00C231AF" w:rsidRPr="000D6AB8" w:rsidRDefault="00C231AF" w:rsidP="00C231AF">
      <w:pPr>
        <w:jc w:val="center"/>
        <w:rPr>
          <w:rFonts w:ascii="Calibri" w:eastAsiaTheme="minorHAnsi" w:hAnsi="Calibri" w:cs="Calibri"/>
          <w:sz w:val="22"/>
          <w:szCs w:val="22"/>
          <w:lang w:val="es-MX"/>
        </w:rPr>
      </w:pPr>
      <w:r w:rsidRPr="000D6AB8">
        <w:rPr>
          <w:sz w:val="24"/>
          <w:szCs w:val="24"/>
          <w:lang w:val="es-MX"/>
        </w:rPr>
        <w:t>Tlaleng Mofokeng</w:t>
      </w:r>
    </w:p>
    <w:p w14:paraId="1E597E28" w14:textId="77777777" w:rsidR="00C231AF" w:rsidRPr="000D6AB8" w:rsidRDefault="00C231AF" w:rsidP="00C231AF">
      <w:pPr>
        <w:jc w:val="center"/>
        <w:rPr>
          <w:lang w:val="es-MX"/>
        </w:rPr>
      </w:pPr>
      <w:r w:rsidRPr="000D6AB8">
        <w:rPr>
          <w:sz w:val="24"/>
          <w:szCs w:val="24"/>
          <w:lang w:val="es-MX"/>
        </w:rPr>
        <w:t>Relatora Especial sobre el derecho de toda persona al disfrute del más alto nivel posible de salud física y mental</w:t>
      </w:r>
    </w:p>
    <w:p w14:paraId="6A4986D7" w14:textId="77777777" w:rsidR="00C231AF" w:rsidRPr="000D6AB8" w:rsidRDefault="00C231AF" w:rsidP="00C231AF">
      <w:pPr>
        <w:rPr>
          <w:b/>
          <w:sz w:val="16"/>
          <w:szCs w:val="16"/>
          <w:lang w:val="es-MX"/>
        </w:rPr>
      </w:pPr>
    </w:p>
    <w:p w14:paraId="37D22852" w14:textId="67529E7C" w:rsidR="009B3C59" w:rsidRPr="000D6AB8" w:rsidRDefault="009B3C59" w:rsidP="009B3C59">
      <w:pPr>
        <w:shd w:val="clear" w:color="auto" w:fill="FFFFFF"/>
        <w:jc w:val="center"/>
        <w:rPr>
          <w:b/>
          <w:sz w:val="24"/>
          <w:szCs w:val="24"/>
          <w:u w:val="single"/>
          <w:lang w:val="fr-FR"/>
        </w:rPr>
      </w:pPr>
      <w:r w:rsidRPr="000D6AB8">
        <w:rPr>
          <w:b/>
          <w:sz w:val="24"/>
          <w:szCs w:val="24"/>
          <w:u w:val="single"/>
          <w:lang w:val="fr-FR"/>
        </w:rPr>
        <w:t>----------------------------------------------------------------------------------------------------------</w:t>
      </w:r>
    </w:p>
    <w:p w14:paraId="21C6DCCB" w14:textId="77777777" w:rsidR="00C231AF" w:rsidRPr="000D6AB8" w:rsidRDefault="00C231AF" w:rsidP="00C231AF">
      <w:pPr>
        <w:rPr>
          <w:b/>
          <w:sz w:val="24"/>
          <w:szCs w:val="24"/>
          <w:lang w:val="es-ES"/>
        </w:rPr>
      </w:pPr>
    </w:p>
    <w:p w14:paraId="651126CB" w14:textId="6BD445AE" w:rsidR="00C231AF" w:rsidRPr="000D6AB8" w:rsidRDefault="00C231AF" w:rsidP="00C231AF">
      <w:pPr>
        <w:jc w:val="center"/>
        <w:rPr>
          <w:b/>
          <w:sz w:val="24"/>
          <w:szCs w:val="24"/>
          <w:u w:val="single"/>
          <w:lang w:val="es-ES"/>
        </w:rPr>
      </w:pPr>
      <w:r w:rsidRPr="000D6AB8">
        <w:rPr>
          <w:b/>
          <w:sz w:val="24"/>
          <w:szCs w:val="24"/>
          <w:u w:val="single"/>
          <w:lang w:val="es-ES"/>
        </w:rPr>
        <w:t>CUESTIONARIO</w:t>
      </w:r>
    </w:p>
    <w:p w14:paraId="5E0A2BC9" w14:textId="77777777" w:rsidR="00C231AF" w:rsidRPr="000D6AB8" w:rsidRDefault="00C231AF" w:rsidP="00C231AF">
      <w:pPr>
        <w:jc w:val="center"/>
        <w:rPr>
          <w:b/>
          <w:sz w:val="24"/>
          <w:szCs w:val="24"/>
          <w:lang w:val="es-ES"/>
        </w:rPr>
      </w:pPr>
    </w:p>
    <w:p w14:paraId="473EA964" w14:textId="77777777" w:rsidR="00C231AF" w:rsidRPr="000D6AB8" w:rsidRDefault="00C231AF" w:rsidP="00C231AF">
      <w:pPr>
        <w:rPr>
          <w:b/>
          <w:sz w:val="24"/>
          <w:szCs w:val="24"/>
          <w:lang w:val="es-ES"/>
        </w:rPr>
      </w:pPr>
      <w:r w:rsidRPr="000D6AB8">
        <w:rPr>
          <w:b/>
          <w:sz w:val="24"/>
          <w:szCs w:val="24"/>
          <w:lang w:val="es-ES"/>
        </w:rPr>
        <w:t xml:space="preserve">Datos de contacto </w:t>
      </w:r>
    </w:p>
    <w:p w14:paraId="49F54655" w14:textId="77777777" w:rsidR="00C231AF" w:rsidRPr="000D6AB8" w:rsidRDefault="00C231AF" w:rsidP="00C231AF">
      <w:pPr>
        <w:rPr>
          <w:sz w:val="24"/>
          <w:szCs w:val="24"/>
          <w:lang w:val="es-ES"/>
        </w:rPr>
      </w:pPr>
    </w:p>
    <w:p w14:paraId="6197FF06" w14:textId="77777777" w:rsidR="00C231AF" w:rsidRPr="000D6AB8" w:rsidRDefault="00C231AF" w:rsidP="00C231AF">
      <w:pPr>
        <w:rPr>
          <w:sz w:val="24"/>
          <w:szCs w:val="24"/>
          <w:lang w:val="es-ES"/>
        </w:rPr>
      </w:pPr>
      <w:r w:rsidRPr="000D6AB8">
        <w:rPr>
          <w:sz w:val="24"/>
          <w:szCs w:val="24"/>
          <w:lang w:val="es-ES"/>
        </w:rPr>
        <w:t>Comparta por favor sus datos de contacto en caso de que necesitemos comunicarnos con usted en relación con este cuestionario. (opcional)</w:t>
      </w:r>
    </w:p>
    <w:p w14:paraId="1F1F6259" w14:textId="77777777" w:rsidR="00C231AF" w:rsidRPr="000D6AB8" w:rsidRDefault="00C231AF" w:rsidP="00C231AF">
      <w:pPr>
        <w:rPr>
          <w:sz w:val="24"/>
          <w:szCs w:val="24"/>
        </w:rPr>
      </w:pPr>
    </w:p>
    <w:tbl>
      <w:tblPr>
        <w:tblStyle w:val="TableGrid"/>
        <w:tblW w:w="0" w:type="auto"/>
        <w:tblLook w:val="04A0" w:firstRow="1" w:lastRow="0" w:firstColumn="1" w:lastColumn="0" w:noHBand="0" w:noVBand="1"/>
      </w:tblPr>
      <w:tblGrid>
        <w:gridCol w:w="2897"/>
        <w:gridCol w:w="5393"/>
      </w:tblGrid>
      <w:tr w:rsidR="00C231AF" w:rsidRPr="000D6AB8" w14:paraId="50360258" w14:textId="77777777" w:rsidTr="009E4A6C">
        <w:tc>
          <w:tcPr>
            <w:tcW w:w="2897" w:type="dxa"/>
            <w:shd w:val="clear" w:color="auto" w:fill="auto"/>
          </w:tcPr>
          <w:p w14:paraId="120CA9A8" w14:textId="77777777" w:rsidR="00C231AF" w:rsidRPr="000D6AB8" w:rsidRDefault="00C231AF" w:rsidP="00800AA7">
            <w:pPr>
              <w:rPr>
                <w:sz w:val="24"/>
                <w:szCs w:val="24"/>
                <w:lang w:val="es-ES"/>
              </w:rPr>
            </w:pPr>
            <w:r w:rsidRPr="000D6AB8">
              <w:rPr>
                <w:sz w:val="24"/>
                <w:szCs w:val="24"/>
                <w:lang w:val="es-ES"/>
              </w:rPr>
              <w:t>Tipo de actor (por favor seleccione uno)</w:t>
            </w:r>
          </w:p>
          <w:p w14:paraId="0AD543CA" w14:textId="77777777" w:rsidR="00C231AF" w:rsidRPr="000D6AB8" w:rsidRDefault="00C231AF" w:rsidP="00800AA7">
            <w:pPr>
              <w:rPr>
                <w:sz w:val="24"/>
                <w:szCs w:val="24"/>
                <w:lang w:val="es-ES"/>
              </w:rPr>
            </w:pPr>
          </w:p>
        </w:tc>
        <w:tc>
          <w:tcPr>
            <w:tcW w:w="5393" w:type="dxa"/>
            <w:shd w:val="clear" w:color="auto" w:fill="auto"/>
          </w:tcPr>
          <w:p w14:paraId="329640E0" w14:textId="77777777" w:rsidR="00C231AF" w:rsidRPr="000D6AB8" w:rsidRDefault="00C231AF" w:rsidP="00800AA7">
            <w:pPr>
              <w:rPr>
                <w:sz w:val="24"/>
                <w:szCs w:val="24"/>
                <w:lang w:val="es-ES"/>
              </w:rPr>
            </w:pPr>
            <w:r w:rsidRPr="000D6AB8">
              <w:rPr>
                <w:sz w:val="24"/>
                <w:szCs w:val="24"/>
              </w:rPr>
              <w:fldChar w:fldCharType="begin">
                <w:ffData>
                  <w:name w:val="Check1"/>
                  <w:enabled/>
                  <w:calcOnExit w:val="0"/>
                  <w:checkBox>
                    <w:sizeAuto/>
                    <w:default w:val="0"/>
                  </w:checkBox>
                </w:ffData>
              </w:fldChar>
            </w:r>
            <w:bookmarkStart w:id="2" w:name="Check1"/>
            <w:r w:rsidRPr="000D6AB8">
              <w:rPr>
                <w:sz w:val="24"/>
                <w:szCs w:val="24"/>
                <w:lang w:val="es-ES"/>
              </w:rPr>
              <w:instrText xml:space="preserve"> FORMCHECKBOX </w:instrText>
            </w:r>
            <w:r w:rsidR="00535547">
              <w:rPr>
                <w:sz w:val="24"/>
                <w:szCs w:val="24"/>
              </w:rPr>
            </w:r>
            <w:r w:rsidR="00535547">
              <w:rPr>
                <w:sz w:val="24"/>
                <w:szCs w:val="24"/>
              </w:rPr>
              <w:fldChar w:fldCharType="separate"/>
            </w:r>
            <w:r w:rsidRPr="000D6AB8">
              <w:rPr>
                <w:sz w:val="24"/>
                <w:szCs w:val="24"/>
              </w:rPr>
              <w:fldChar w:fldCharType="end"/>
            </w:r>
            <w:bookmarkEnd w:id="2"/>
            <w:r w:rsidRPr="000D6AB8">
              <w:rPr>
                <w:sz w:val="24"/>
                <w:szCs w:val="24"/>
                <w:lang w:val="es-ES"/>
              </w:rPr>
              <w:t xml:space="preserve">  Estado</w:t>
            </w:r>
          </w:p>
          <w:p w14:paraId="49439675" w14:textId="77777777" w:rsidR="00C231AF" w:rsidRPr="000D6AB8" w:rsidRDefault="00C231AF" w:rsidP="00800AA7">
            <w:pPr>
              <w:rPr>
                <w:sz w:val="24"/>
                <w:szCs w:val="24"/>
                <w:lang w:val="es-ES"/>
              </w:rPr>
            </w:pPr>
            <w:r w:rsidRPr="000D6AB8">
              <w:rPr>
                <w:sz w:val="24"/>
                <w:szCs w:val="24"/>
              </w:rPr>
              <w:fldChar w:fldCharType="begin">
                <w:ffData>
                  <w:name w:val="Check2"/>
                  <w:enabled/>
                  <w:calcOnExit w:val="0"/>
                  <w:checkBox>
                    <w:sizeAuto/>
                    <w:default w:val="0"/>
                  </w:checkBox>
                </w:ffData>
              </w:fldChar>
            </w:r>
            <w:bookmarkStart w:id="3" w:name="Check2"/>
            <w:r w:rsidRPr="000D6AB8">
              <w:rPr>
                <w:sz w:val="24"/>
                <w:szCs w:val="24"/>
                <w:lang w:val="es-ES"/>
              </w:rPr>
              <w:instrText xml:space="preserve"> FORMCHECKBOX </w:instrText>
            </w:r>
            <w:r w:rsidR="00535547">
              <w:rPr>
                <w:sz w:val="24"/>
                <w:szCs w:val="24"/>
              </w:rPr>
            </w:r>
            <w:r w:rsidR="00535547">
              <w:rPr>
                <w:sz w:val="24"/>
                <w:szCs w:val="24"/>
              </w:rPr>
              <w:fldChar w:fldCharType="separate"/>
            </w:r>
            <w:r w:rsidRPr="000D6AB8">
              <w:rPr>
                <w:sz w:val="24"/>
                <w:szCs w:val="24"/>
              </w:rPr>
              <w:fldChar w:fldCharType="end"/>
            </w:r>
            <w:bookmarkEnd w:id="3"/>
            <w:r w:rsidRPr="000D6AB8">
              <w:rPr>
                <w:sz w:val="24"/>
                <w:szCs w:val="24"/>
                <w:lang w:val="es-ES"/>
              </w:rPr>
              <w:t xml:space="preserve">  Estado observador</w:t>
            </w:r>
          </w:p>
          <w:p w14:paraId="40EFF27A" w14:textId="360B2083" w:rsidR="00C231AF" w:rsidRPr="000D6AB8" w:rsidRDefault="00FA3A0F" w:rsidP="00800AA7">
            <w:pPr>
              <w:ind w:left="394" w:hanging="394"/>
              <w:rPr>
                <w:sz w:val="24"/>
                <w:szCs w:val="24"/>
                <w:lang w:val="es-ES"/>
              </w:rPr>
            </w:pPr>
            <w:r w:rsidRPr="000D6AB8">
              <w:rPr>
                <w:sz w:val="24"/>
                <w:szCs w:val="24"/>
                <w:lang w:val="es-ES"/>
              </w:rPr>
              <w:t>X</w:t>
            </w:r>
            <w:r w:rsidR="00C231AF" w:rsidRPr="000D6AB8">
              <w:rPr>
                <w:sz w:val="24"/>
                <w:szCs w:val="24"/>
                <w:lang w:val="es-ES"/>
              </w:rPr>
              <w:t xml:space="preserve">  Otro (por favor especifique):</w:t>
            </w:r>
            <w:r w:rsidRPr="000D6AB8">
              <w:rPr>
                <w:sz w:val="24"/>
                <w:szCs w:val="24"/>
                <w:lang w:val="es-ES"/>
              </w:rPr>
              <w:t xml:space="preserve"> Organización de la Sociedad Civil</w:t>
            </w:r>
          </w:p>
        </w:tc>
      </w:tr>
      <w:tr w:rsidR="00C231AF" w:rsidRPr="000D6AB8" w14:paraId="589A56FE" w14:textId="77777777" w:rsidTr="009E4A6C">
        <w:tc>
          <w:tcPr>
            <w:tcW w:w="2897" w:type="dxa"/>
            <w:shd w:val="clear" w:color="auto" w:fill="auto"/>
          </w:tcPr>
          <w:p w14:paraId="4304C382" w14:textId="77777777" w:rsidR="00C231AF" w:rsidRPr="000D6AB8" w:rsidRDefault="00C231AF" w:rsidP="00800AA7">
            <w:pPr>
              <w:rPr>
                <w:sz w:val="24"/>
                <w:szCs w:val="24"/>
                <w:lang w:val="es-ES"/>
              </w:rPr>
            </w:pPr>
            <w:r w:rsidRPr="000D6AB8">
              <w:rPr>
                <w:sz w:val="24"/>
                <w:szCs w:val="24"/>
                <w:lang w:val="es-ES"/>
              </w:rPr>
              <w:t>Nombre del Estado</w:t>
            </w:r>
          </w:p>
          <w:p w14:paraId="28CD2E64" w14:textId="77777777" w:rsidR="00C231AF" w:rsidRPr="000D6AB8" w:rsidRDefault="00C231AF" w:rsidP="00800AA7">
            <w:pPr>
              <w:rPr>
                <w:sz w:val="24"/>
                <w:szCs w:val="24"/>
                <w:lang w:val="es-ES"/>
              </w:rPr>
            </w:pPr>
            <w:r w:rsidRPr="000D6AB8">
              <w:rPr>
                <w:sz w:val="24"/>
                <w:szCs w:val="24"/>
                <w:lang w:val="es-ES"/>
              </w:rPr>
              <w:t>Nombre de la persona encuestada</w:t>
            </w:r>
          </w:p>
        </w:tc>
        <w:tc>
          <w:tcPr>
            <w:tcW w:w="5393" w:type="dxa"/>
            <w:shd w:val="clear" w:color="auto" w:fill="auto"/>
          </w:tcPr>
          <w:p w14:paraId="627975D6" w14:textId="77777777" w:rsidR="00C231AF" w:rsidRPr="000D6AB8" w:rsidRDefault="00C231AF" w:rsidP="00800AA7">
            <w:pPr>
              <w:rPr>
                <w:sz w:val="24"/>
                <w:szCs w:val="24"/>
                <w:lang w:val="es-ES"/>
              </w:rPr>
            </w:pPr>
          </w:p>
          <w:p w14:paraId="68AA85D4" w14:textId="447C84E0" w:rsidR="00C231AF" w:rsidRPr="000D6AB8" w:rsidRDefault="001F417C" w:rsidP="00800AA7">
            <w:pPr>
              <w:rPr>
                <w:sz w:val="24"/>
                <w:szCs w:val="24"/>
                <w:lang w:val="es-ES"/>
              </w:rPr>
            </w:pPr>
            <w:r w:rsidRPr="000D6AB8">
              <w:rPr>
                <w:sz w:val="24"/>
                <w:szCs w:val="24"/>
                <w:lang w:val="es-ES"/>
              </w:rPr>
              <w:t>Mª Luisa García Berrocal</w:t>
            </w:r>
          </w:p>
          <w:p w14:paraId="78026102" w14:textId="71C11039" w:rsidR="001F417C" w:rsidRPr="000D6AB8" w:rsidRDefault="001F417C" w:rsidP="00800AA7">
            <w:pPr>
              <w:rPr>
                <w:sz w:val="24"/>
                <w:szCs w:val="24"/>
                <w:lang w:val="es-ES"/>
              </w:rPr>
            </w:pPr>
            <w:r w:rsidRPr="000D6AB8">
              <w:rPr>
                <w:sz w:val="24"/>
                <w:szCs w:val="24"/>
                <w:lang w:val="es-ES"/>
              </w:rPr>
              <w:t>Laura Viladevall Corominas</w:t>
            </w:r>
          </w:p>
          <w:p w14:paraId="6CAA3403" w14:textId="77777777" w:rsidR="00C231AF" w:rsidRPr="000D6AB8" w:rsidRDefault="00C231AF" w:rsidP="00800AA7">
            <w:pPr>
              <w:rPr>
                <w:sz w:val="24"/>
                <w:szCs w:val="24"/>
                <w:lang w:val="es-ES"/>
              </w:rPr>
            </w:pPr>
          </w:p>
        </w:tc>
      </w:tr>
      <w:tr w:rsidR="00C231AF" w:rsidRPr="000D6AB8" w14:paraId="0F1DB2A9" w14:textId="77777777" w:rsidTr="009E4A6C">
        <w:trPr>
          <w:trHeight w:val="397"/>
        </w:trPr>
        <w:tc>
          <w:tcPr>
            <w:tcW w:w="2897" w:type="dxa"/>
            <w:shd w:val="clear" w:color="auto" w:fill="auto"/>
          </w:tcPr>
          <w:p w14:paraId="34082A83" w14:textId="77777777" w:rsidR="00C231AF" w:rsidRPr="000D6AB8" w:rsidRDefault="00C231AF" w:rsidP="00800AA7">
            <w:pPr>
              <w:rPr>
                <w:sz w:val="24"/>
                <w:szCs w:val="24"/>
                <w:lang w:val="es-ES"/>
              </w:rPr>
            </w:pPr>
            <w:r w:rsidRPr="000D6AB8">
              <w:rPr>
                <w:sz w:val="24"/>
                <w:szCs w:val="24"/>
                <w:lang w:val="es-ES"/>
              </w:rPr>
              <w:t>Correo electrónico</w:t>
            </w:r>
          </w:p>
          <w:p w14:paraId="3853AE12" w14:textId="77777777" w:rsidR="00C231AF" w:rsidRPr="000D6AB8" w:rsidRDefault="00C231AF" w:rsidP="00800AA7">
            <w:pPr>
              <w:rPr>
                <w:sz w:val="24"/>
                <w:szCs w:val="24"/>
              </w:rPr>
            </w:pPr>
          </w:p>
        </w:tc>
        <w:tc>
          <w:tcPr>
            <w:tcW w:w="5393" w:type="dxa"/>
            <w:shd w:val="clear" w:color="auto" w:fill="auto"/>
          </w:tcPr>
          <w:p w14:paraId="7D49B124" w14:textId="0942B7DC" w:rsidR="00C231AF" w:rsidRPr="000D6AB8" w:rsidRDefault="00535547" w:rsidP="00800AA7">
            <w:pPr>
              <w:rPr>
                <w:sz w:val="24"/>
                <w:szCs w:val="24"/>
              </w:rPr>
            </w:pPr>
            <w:hyperlink r:id="rId13" w:history="1">
              <w:r w:rsidR="001F417C" w:rsidRPr="000D6AB8">
                <w:rPr>
                  <w:rStyle w:val="Hyperlink"/>
                  <w:sz w:val="24"/>
                  <w:szCs w:val="24"/>
                </w:rPr>
                <w:t>advocacy@creacionpositiva.org</w:t>
              </w:r>
            </w:hyperlink>
          </w:p>
        </w:tc>
      </w:tr>
      <w:tr w:rsidR="00C231AF" w:rsidRPr="000D6AB8" w14:paraId="0B6F6C4F" w14:textId="77777777" w:rsidTr="009E4A6C">
        <w:trPr>
          <w:trHeight w:val="838"/>
        </w:trPr>
        <w:tc>
          <w:tcPr>
            <w:tcW w:w="2897" w:type="dxa"/>
            <w:shd w:val="clear" w:color="auto" w:fill="auto"/>
          </w:tcPr>
          <w:p w14:paraId="015BA530" w14:textId="77777777" w:rsidR="00C231AF" w:rsidRPr="000D6AB8" w:rsidRDefault="00C231AF" w:rsidP="00800AA7">
            <w:pPr>
              <w:rPr>
                <w:sz w:val="24"/>
                <w:szCs w:val="24"/>
                <w:lang w:val="es-ES"/>
              </w:rPr>
            </w:pPr>
            <w:r w:rsidRPr="000D6AB8">
              <w:rPr>
                <w:sz w:val="24"/>
                <w:szCs w:val="24"/>
                <w:lang w:val="es-ES"/>
              </w:rPr>
              <w:t xml:space="preserve">¿Podemos atribuir públicamente estas respuestas a su *? (En la web de la OACDH, en la sección de la Relatoría) </w:t>
            </w:r>
          </w:p>
        </w:tc>
        <w:tc>
          <w:tcPr>
            <w:tcW w:w="5393" w:type="dxa"/>
            <w:shd w:val="clear" w:color="auto" w:fill="auto"/>
          </w:tcPr>
          <w:p w14:paraId="33DCC0DC" w14:textId="69BFBE2F" w:rsidR="00C231AF" w:rsidRPr="000D6AB8" w:rsidRDefault="001F417C" w:rsidP="00800AA7">
            <w:pPr>
              <w:rPr>
                <w:sz w:val="24"/>
                <w:szCs w:val="24"/>
                <w:lang w:val="es-ES"/>
              </w:rPr>
            </w:pPr>
            <w:r w:rsidRPr="000D6AB8">
              <w:rPr>
                <w:sz w:val="24"/>
                <w:szCs w:val="24"/>
                <w:lang w:val="es-ES"/>
              </w:rPr>
              <w:t>X</w:t>
            </w:r>
            <w:r w:rsidR="00C231AF" w:rsidRPr="000D6AB8">
              <w:rPr>
                <w:sz w:val="24"/>
                <w:szCs w:val="24"/>
                <w:lang w:val="es-ES"/>
              </w:rPr>
              <w:t xml:space="preserve"> Si          </w:t>
            </w:r>
            <w:r w:rsidR="00C231AF" w:rsidRPr="000D6AB8">
              <w:rPr>
                <w:sz w:val="24"/>
                <w:szCs w:val="24"/>
              </w:rPr>
              <w:fldChar w:fldCharType="begin">
                <w:ffData>
                  <w:name w:val="Check1"/>
                  <w:enabled/>
                  <w:calcOnExit w:val="0"/>
                  <w:checkBox>
                    <w:sizeAuto/>
                    <w:default w:val="0"/>
                  </w:checkBox>
                </w:ffData>
              </w:fldChar>
            </w:r>
            <w:r w:rsidR="00C231AF" w:rsidRPr="000D6AB8">
              <w:rPr>
                <w:sz w:val="24"/>
                <w:szCs w:val="24"/>
                <w:lang w:val="es-ES"/>
              </w:rPr>
              <w:instrText xml:space="preserve"> FORMCHECKBOX </w:instrText>
            </w:r>
            <w:r w:rsidR="00535547">
              <w:rPr>
                <w:sz w:val="24"/>
                <w:szCs w:val="24"/>
              </w:rPr>
            </w:r>
            <w:r w:rsidR="00535547">
              <w:rPr>
                <w:sz w:val="24"/>
                <w:szCs w:val="24"/>
              </w:rPr>
              <w:fldChar w:fldCharType="separate"/>
            </w:r>
            <w:r w:rsidR="00C231AF" w:rsidRPr="000D6AB8">
              <w:rPr>
                <w:sz w:val="24"/>
                <w:szCs w:val="24"/>
              </w:rPr>
              <w:fldChar w:fldCharType="end"/>
            </w:r>
            <w:r w:rsidR="00C231AF" w:rsidRPr="000D6AB8">
              <w:rPr>
                <w:sz w:val="24"/>
                <w:szCs w:val="24"/>
                <w:lang w:val="es-ES"/>
              </w:rPr>
              <w:t xml:space="preserve"> No</w:t>
            </w:r>
          </w:p>
          <w:p w14:paraId="36DF8806" w14:textId="77777777" w:rsidR="00C231AF" w:rsidRPr="000D6AB8" w:rsidRDefault="00C231AF" w:rsidP="00800AA7">
            <w:pPr>
              <w:rPr>
                <w:sz w:val="24"/>
                <w:szCs w:val="24"/>
                <w:lang w:val="es-ES"/>
              </w:rPr>
            </w:pPr>
          </w:p>
          <w:p w14:paraId="387213D4" w14:textId="77777777" w:rsidR="00C231AF" w:rsidRPr="000D6AB8" w:rsidRDefault="00C231AF" w:rsidP="00800AA7">
            <w:pPr>
              <w:rPr>
                <w:sz w:val="24"/>
                <w:szCs w:val="24"/>
                <w:lang w:val="es-ES"/>
              </w:rPr>
            </w:pPr>
            <w:r w:rsidRPr="000D6AB8">
              <w:rPr>
                <w:sz w:val="24"/>
                <w:szCs w:val="24"/>
                <w:lang w:val="es-ES"/>
              </w:rPr>
              <w:t>Comentarios (si fuera relevante):</w:t>
            </w:r>
          </w:p>
        </w:tc>
      </w:tr>
    </w:tbl>
    <w:p w14:paraId="4C9AC055" w14:textId="77777777" w:rsidR="00C231AF" w:rsidRPr="000D6AB8" w:rsidRDefault="00C231AF" w:rsidP="00C231AF">
      <w:pPr>
        <w:pStyle w:val="Default"/>
        <w:rPr>
          <w:color w:val="222222"/>
          <w:shd w:val="clear" w:color="auto" w:fill="FFFFFF"/>
          <w:lang w:val="es-ES"/>
        </w:rPr>
      </w:pPr>
    </w:p>
    <w:p w14:paraId="67D1481B" w14:textId="77777777" w:rsidR="00C231AF" w:rsidRPr="000D6AB8" w:rsidRDefault="00C231AF" w:rsidP="00C231AF">
      <w:pPr>
        <w:pStyle w:val="Default"/>
        <w:rPr>
          <w:rFonts w:ascii="Times New Roman" w:hAnsi="Times New Roman" w:cs="Times New Roman"/>
          <w:b/>
          <w:color w:val="auto"/>
          <w:lang w:val="es-ES"/>
        </w:rPr>
      </w:pPr>
      <w:r w:rsidRPr="000D6AB8">
        <w:rPr>
          <w:rFonts w:ascii="Times New Roman" w:hAnsi="Times New Roman" w:cs="Times New Roman"/>
          <w:b/>
          <w:color w:val="auto"/>
          <w:lang w:val="es-ES"/>
        </w:rPr>
        <w:t xml:space="preserve">Antecedentes </w:t>
      </w:r>
    </w:p>
    <w:p w14:paraId="62C81BBB" w14:textId="77777777" w:rsidR="00C231AF" w:rsidRPr="000D6AB8" w:rsidRDefault="00C231AF" w:rsidP="00C231AF">
      <w:pPr>
        <w:pStyle w:val="Default"/>
        <w:jc w:val="both"/>
        <w:rPr>
          <w:rFonts w:ascii="Times New Roman" w:hAnsi="Times New Roman" w:cs="Times New Roman"/>
          <w:color w:val="222222"/>
          <w:shd w:val="clear" w:color="auto" w:fill="FFFFFF"/>
          <w:lang w:val="es-ES"/>
        </w:rPr>
      </w:pPr>
    </w:p>
    <w:p w14:paraId="31DCD2AA" w14:textId="77777777" w:rsidR="00C231AF" w:rsidRPr="000D6AB8" w:rsidRDefault="00C231AF" w:rsidP="00C231AF">
      <w:pPr>
        <w:pStyle w:val="Default"/>
        <w:spacing w:after="120"/>
        <w:jc w:val="both"/>
        <w:rPr>
          <w:rFonts w:ascii="Times New Roman" w:hAnsi="Times New Roman" w:cs="Times New Roman"/>
          <w:color w:val="222222"/>
          <w:shd w:val="clear" w:color="auto" w:fill="FFFFFF"/>
          <w:lang w:val="es-ES"/>
        </w:rPr>
      </w:pPr>
      <w:r w:rsidRPr="000D6AB8">
        <w:rPr>
          <w:rFonts w:ascii="Times New Roman" w:hAnsi="Times New Roman" w:cs="Times New Roman"/>
          <w:color w:val="222222"/>
          <w:shd w:val="clear" w:color="auto" w:fill="FFFFFF"/>
          <w:lang w:val="es-ES"/>
        </w:rPr>
        <w:t xml:space="preserve">El derecho a la salud sexual y reproductiva es parte integrante del derecho a la salud consagrado en el artículo 12 del Pacto Internacional de Derechos Económicos, Sociales y Culturales y un tema prioritario para la Relatora Especial del derecho a la salud durante su mandato. </w:t>
      </w:r>
    </w:p>
    <w:p w14:paraId="029C15F7" w14:textId="77777777" w:rsidR="00C231AF" w:rsidRPr="000D6AB8" w:rsidRDefault="00C231AF" w:rsidP="004C53A1">
      <w:pPr>
        <w:pStyle w:val="Default"/>
        <w:spacing w:after="120"/>
        <w:jc w:val="both"/>
        <w:rPr>
          <w:rFonts w:ascii="Times New Roman" w:hAnsi="Times New Roman" w:cs="Times New Roman"/>
          <w:color w:val="222222"/>
          <w:shd w:val="clear" w:color="auto" w:fill="FFFFFF"/>
          <w:lang w:val="es-ES"/>
        </w:rPr>
      </w:pPr>
      <w:r w:rsidRPr="000D6AB8">
        <w:rPr>
          <w:rFonts w:ascii="Times New Roman" w:hAnsi="Times New Roman" w:cs="Times New Roman"/>
          <w:color w:val="222222"/>
          <w:shd w:val="clear" w:color="auto" w:fill="FFFFFF"/>
          <w:lang w:val="es-ES"/>
        </w:rPr>
        <w:t xml:space="preserve">La Relatora Especial, Tlaleng Mofokeng, centrará su próximo informe temático a la Asamblea General en "El derecho a la salud sexual y reproductiva - retos y oportunidades durante la pandemia de COVID - 19". </w:t>
      </w:r>
    </w:p>
    <w:p w14:paraId="39036698" w14:textId="77777777" w:rsidR="00C231AF" w:rsidRPr="000D6AB8" w:rsidRDefault="00C231AF" w:rsidP="00C231AF">
      <w:pPr>
        <w:pStyle w:val="Default"/>
        <w:jc w:val="both"/>
        <w:rPr>
          <w:rFonts w:ascii="Times New Roman" w:hAnsi="Times New Roman" w:cs="Times New Roman"/>
          <w:color w:val="222222"/>
          <w:shd w:val="clear" w:color="auto" w:fill="FFFFFF"/>
          <w:lang w:val="es-ES"/>
        </w:rPr>
      </w:pPr>
    </w:p>
    <w:p w14:paraId="5283A219" w14:textId="77777777" w:rsidR="00C231AF" w:rsidRPr="000D6AB8" w:rsidRDefault="00C231AF" w:rsidP="00C231AF">
      <w:pPr>
        <w:pStyle w:val="Default"/>
        <w:jc w:val="both"/>
        <w:rPr>
          <w:rFonts w:ascii="Times New Roman" w:hAnsi="Times New Roman" w:cs="Times New Roman"/>
          <w:b/>
          <w:color w:val="222222"/>
          <w:shd w:val="clear" w:color="auto" w:fill="FFFFFF"/>
          <w:lang w:val="es-ES"/>
        </w:rPr>
      </w:pPr>
      <w:r w:rsidRPr="000D6AB8">
        <w:rPr>
          <w:rFonts w:ascii="Times New Roman" w:hAnsi="Times New Roman" w:cs="Times New Roman"/>
          <w:b/>
          <w:color w:val="222222"/>
          <w:shd w:val="clear" w:color="auto" w:fill="FFFFFF"/>
          <w:lang w:val="es-ES"/>
        </w:rPr>
        <w:t>Objetivos del informe</w:t>
      </w:r>
    </w:p>
    <w:p w14:paraId="1EEE7180" w14:textId="77777777" w:rsidR="00C231AF" w:rsidRPr="000D6AB8" w:rsidRDefault="00C231AF" w:rsidP="00C231AF">
      <w:pPr>
        <w:pStyle w:val="Default"/>
        <w:jc w:val="both"/>
        <w:rPr>
          <w:rFonts w:ascii="Times New Roman" w:hAnsi="Times New Roman" w:cs="Times New Roman"/>
          <w:color w:val="222222"/>
          <w:shd w:val="clear" w:color="auto" w:fill="FFFFFF"/>
          <w:lang w:val="es-ES"/>
        </w:rPr>
      </w:pPr>
    </w:p>
    <w:p w14:paraId="54BF283F" w14:textId="12C6A60D" w:rsidR="00C231AF" w:rsidRPr="000D6AB8" w:rsidRDefault="00C231AF" w:rsidP="004C53A1">
      <w:pPr>
        <w:pStyle w:val="Default"/>
        <w:spacing w:after="120"/>
        <w:jc w:val="both"/>
        <w:rPr>
          <w:rFonts w:ascii="Times New Roman" w:hAnsi="Times New Roman" w:cs="Times New Roman"/>
          <w:color w:val="222222"/>
          <w:shd w:val="clear" w:color="auto" w:fill="FFFFFF"/>
          <w:lang w:val="es-ES"/>
        </w:rPr>
      </w:pPr>
      <w:r w:rsidRPr="000D6AB8">
        <w:rPr>
          <w:rFonts w:ascii="Times New Roman" w:hAnsi="Times New Roman" w:cs="Times New Roman"/>
          <w:color w:val="222222"/>
          <w:shd w:val="clear" w:color="auto" w:fill="FFFFFF"/>
          <w:lang w:val="es-ES"/>
        </w:rPr>
        <w:t>Con su informe, la Relatora Especial pretende esclarecer el estado y nivel actual de realización del derecho a la salud sexual y reproductiva y la disponibilidad, accesibilidad, aceptabilidad y calidad de los servicios de salud relacionados durante la pandemia COVID-19. Sobre la base del trabajo e informes anteriores del mandato, la Relatora Especial se propone profundizar en los problemas estructurales y sistémicos que impiden el disfrute libre y pleno del derecho a la salud sexual y reproductiva.</w:t>
      </w:r>
    </w:p>
    <w:p w14:paraId="4477E65B" w14:textId="77777777" w:rsidR="00C231AF" w:rsidRPr="000D6AB8" w:rsidRDefault="00C231AF" w:rsidP="00C231AF">
      <w:pPr>
        <w:pStyle w:val="Default"/>
        <w:jc w:val="both"/>
        <w:rPr>
          <w:rFonts w:ascii="Times New Roman" w:hAnsi="Times New Roman" w:cs="Times New Roman"/>
          <w:color w:val="222222"/>
          <w:shd w:val="clear" w:color="auto" w:fill="FFFFFF"/>
          <w:lang w:val="es-ES"/>
        </w:rPr>
      </w:pPr>
      <w:r w:rsidRPr="000D6AB8">
        <w:rPr>
          <w:rFonts w:ascii="Times New Roman" w:hAnsi="Times New Roman" w:cs="Times New Roman"/>
          <w:color w:val="222222"/>
          <w:shd w:val="clear" w:color="auto" w:fill="FFFFFF"/>
          <w:lang w:val="es-ES"/>
        </w:rPr>
        <w:t>La Relatora Especial se centrará en aspectos históricamente olvidados, como el impacto del colonialismo y el racismo en el disfrute de este derecho, con un enfoque interseccional. También analizará el impacto de la COVID -19 y las políticas, cambios legales y prácticas relacionadas, en el acceso a los servicios en materia de salud sexual y reproductiva. La Relatora Especial también presentará los retos y oportunidades relacionados con la operacionalización del derecho a la salud sexual y reproductiva en el contexto actual de pandemia.</w:t>
      </w:r>
    </w:p>
    <w:p w14:paraId="36C282B9" w14:textId="77777777" w:rsidR="004C53A1" w:rsidRPr="000D6AB8" w:rsidRDefault="004C53A1" w:rsidP="00C231AF">
      <w:pPr>
        <w:pStyle w:val="Default"/>
        <w:jc w:val="both"/>
        <w:rPr>
          <w:color w:val="222222"/>
          <w:shd w:val="clear" w:color="auto" w:fill="FFFFFF"/>
          <w:lang w:val="es-ES"/>
        </w:rPr>
      </w:pPr>
    </w:p>
    <w:p w14:paraId="108DBE5C" w14:textId="77777777" w:rsidR="00C231AF" w:rsidRPr="000D6AB8" w:rsidRDefault="00C231AF" w:rsidP="00C231AF">
      <w:pPr>
        <w:tabs>
          <w:tab w:val="left" w:pos="851"/>
        </w:tabs>
        <w:jc w:val="both"/>
        <w:rPr>
          <w:sz w:val="24"/>
          <w:szCs w:val="24"/>
          <w:lang w:val="es-ES"/>
        </w:rPr>
      </w:pPr>
    </w:p>
    <w:p w14:paraId="28CC993A" w14:textId="77777777" w:rsidR="00C231AF" w:rsidRPr="000D6AB8"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0D6AB8">
        <w:rPr>
          <w:i/>
          <w:sz w:val="24"/>
          <w:szCs w:val="24"/>
          <w:lang w:val="es-ES"/>
        </w:rPr>
        <w:t>A efectos de este cuestionario:</w:t>
      </w:r>
    </w:p>
    <w:p w14:paraId="4C1F1CB0" w14:textId="77777777" w:rsidR="00C231AF" w:rsidRPr="000D6AB8"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p>
    <w:p w14:paraId="609C64E0" w14:textId="77777777" w:rsidR="00C231AF" w:rsidRPr="000D6AB8"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0D6AB8">
        <w:rPr>
          <w:i/>
          <w:sz w:val="24"/>
          <w:szCs w:val="24"/>
          <w:lang w:val="es-ES"/>
        </w:rPr>
        <w:t xml:space="preserve">El derecho a la salud sexual y reproductiva conlleva el derecho a tomar decisiones y hacer elecciones libres y responsables, libres de violencia, coacción y discriminación, con respecto a los asuntos relativos al propio cuerpo y a la propia salud sexual y reproductiva. También implica el derecho a un acceso sin trabas a toda una serie de establecimientos, bienes, servicios e información en materia de salud, que garanticen a todas las personas el pleno disfrute del derecho a la salud sexual y reproductiva en virtud del artículo 12 del Pacto Internacional de Derechos Económicos, Sociales y Culturales. </w:t>
      </w:r>
    </w:p>
    <w:p w14:paraId="6AD6D684" w14:textId="77777777" w:rsidR="00C231AF" w:rsidRPr="000D6AB8"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p>
    <w:p w14:paraId="4EF06A6E" w14:textId="77777777" w:rsidR="00C231AF" w:rsidRPr="000D6AB8"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0D6AB8">
        <w:rPr>
          <w:i/>
          <w:sz w:val="24"/>
          <w:szCs w:val="24"/>
          <w:lang w:val="es-ES"/>
        </w:rPr>
        <w:t>La atención a la salud sexual y reproductiva se refiere a los servicios, bienes e instalaciones que incluyen</w:t>
      </w:r>
    </w:p>
    <w:p w14:paraId="782FEE20" w14:textId="77777777" w:rsidR="00C231AF" w:rsidRPr="000D6AB8"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0D6AB8">
        <w:rPr>
          <w:i/>
          <w:sz w:val="24"/>
          <w:szCs w:val="24"/>
          <w:lang w:val="es-ES"/>
        </w:rPr>
        <w:t>- Servicios relacionados con el embarazo y el posparto</w:t>
      </w:r>
    </w:p>
    <w:p w14:paraId="61CF3E9B" w14:textId="77777777" w:rsidR="00C231AF" w:rsidRPr="000D6AB8"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0D6AB8">
        <w:rPr>
          <w:i/>
          <w:sz w:val="24"/>
          <w:szCs w:val="24"/>
          <w:lang w:val="es-ES"/>
        </w:rPr>
        <w:t xml:space="preserve">- Planificación familiar y anticoncepción, incluido el acceso al aborto seguro </w:t>
      </w:r>
    </w:p>
    <w:p w14:paraId="66A1993F" w14:textId="77777777" w:rsidR="00C231AF" w:rsidRPr="000D6AB8" w:rsidRDefault="00C231AF" w:rsidP="00C231AF">
      <w:pPr>
        <w:pBdr>
          <w:top w:val="single" w:sz="4" w:space="1" w:color="auto"/>
          <w:left w:val="single" w:sz="4" w:space="4" w:color="auto"/>
          <w:bottom w:val="single" w:sz="4" w:space="1" w:color="auto"/>
          <w:right w:val="single" w:sz="4" w:space="4" w:color="auto"/>
        </w:pBdr>
        <w:tabs>
          <w:tab w:val="left" w:pos="851"/>
        </w:tabs>
        <w:ind w:left="142" w:hanging="142"/>
        <w:jc w:val="both"/>
        <w:rPr>
          <w:i/>
          <w:sz w:val="24"/>
          <w:szCs w:val="24"/>
          <w:lang w:val="es-ES"/>
        </w:rPr>
      </w:pPr>
      <w:r w:rsidRPr="000D6AB8">
        <w:rPr>
          <w:i/>
          <w:sz w:val="24"/>
          <w:szCs w:val="24"/>
          <w:lang w:val="es-ES"/>
        </w:rPr>
        <w:t xml:space="preserve">- Prevención, diagnóstico y tratamiento de los cánceres del aparato reproductor, las infecciones de transmisión sexual y el VIH/SIDA. </w:t>
      </w:r>
    </w:p>
    <w:p w14:paraId="6080F707" w14:textId="77777777" w:rsidR="00C231AF" w:rsidRPr="000D6AB8"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0D6AB8">
        <w:rPr>
          <w:i/>
          <w:sz w:val="24"/>
          <w:szCs w:val="24"/>
          <w:lang w:val="es-ES"/>
        </w:rPr>
        <w:t>- Tratamientos hormonales</w:t>
      </w:r>
    </w:p>
    <w:p w14:paraId="4E91AC05" w14:textId="77777777" w:rsidR="00C231AF" w:rsidRPr="000D6AB8"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0D6AB8">
        <w:rPr>
          <w:i/>
          <w:sz w:val="24"/>
          <w:szCs w:val="24"/>
          <w:lang w:val="es-ES"/>
        </w:rPr>
        <w:t>- Tratamientos de afirmación del género</w:t>
      </w:r>
    </w:p>
    <w:p w14:paraId="45812BE9" w14:textId="77777777" w:rsidR="00C231AF" w:rsidRPr="000D6AB8"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0D6AB8">
        <w:rPr>
          <w:i/>
          <w:sz w:val="24"/>
          <w:szCs w:val="24"/>
          <w:lang w:val="es-ES"/>
        </w:rPr>
        <w:t>- Acceso a la información sobre todos los aspectos de la salud sexual y reproductiva.</w:t>
      </w:r>
    </w:p>
    <w:p w14:paraId="077E594C" w14:textId="29663BF5" w:rsidR="00C231AF" w:rsidRPr="000D6AB8" w:rsidRDefault="00C231AF" w:rsidP="00C231AF">
      <w:pPr>
        <w:tabs>
          <w:tab w:val="left" w:pos="851"/>
        </w:tabs>
        <w:jc w:val="both"/>
        <w:rPr>
          <w:sz w:val="24"/>
          <w:szCs w:val="24"/>
          <w:lang w:val="es-ES"/>
        </w:rPr>
      </w:pPr>
    </w:p>
    <w:p w14:paraId="5216E58B" w14:textId="61E703A5" w:rsidR="009B3C59" w:rsidRPr="000D6AB8" w:rsidRDefault="009B3C59" w:rsidP="00C231AF">
      <w:pPr>
        <w:tabs>
          <w:tab w:val="left" w:pos="851"/>
        </w:tabs>
        <w:jc w:val="both"/>
        <w:rPr>
          <w:sz w:val="24"/>
          <w:szCs w:val="24"/>
          <w:lang w:val="es-ES"/>
        </w:rPr>
      </w:pPr>
    </w:p>
    <w:p w14:paraId="7683CB85" w14:textId="484B99FC" w:rsidR="009B3C59" w:rsidRPr="000D6AB8" w:rsidRDefault="009B3C59" w:rsidP="00C231AF">
      <w:pPr>
        <w:tabs>
          <w:tab w:val="left" w:pos="851"/>
        </w:tabs>
        <w:jc w:val="both"/>
        <w:rPr>
          <w:sz w:val="24"/>
          <w:szCs w:val="24"/>
          <w:lang w:val="es-ES"/>
        </w:rPr>
      </w:pPr>
    </w:p>
    <w:p w14:paraId="175F4220" w14:textId="0A995A1E" w:rsidR="009B3C59" w:rsidRPr="000D6AB8" w:rsidRDefault="009B3C59" w:rsidP="00C231AF">
      <w:pPr>
        <w:tabs>
          <w:tab w:val="left" w:pos="851"/>
        </w:tabs>
        <w:jc w:val="both"/>
        <w:rPr>
          <w:sz w:val="24"/>
          <w:szCs w:val="24"/>
          <w:lang w:val="es-ES"/>
        </w:rPr>
      </w:pPr>
    </w:p>
    <w:p w14:paraId="5FFFED6A" w14:textId="77777777" w:rsidR="009B3C59" w:rsidRPr="000D6AB8" w:rsidRDefault="009B3C59" w:rsidP="009B3C59">
      <w:pPr>
        <w:pStyle w:val="Default"/>
        <w:jc w:val="both"/>
        <w:rPr>
          <w:color w:val="222222"/>
          <w:shd w:val="clear" w:color="auto" w:fill="FFFFFF"/>
          <w:lang w:val="es-ES"/>
        </w:rPr>
      </w:pPr>
    </w:p>
    <w:p w14:paraId="7843E7ED" w14:textId="49FD459A" w:rsidR="009B3C59" w:rsidRPr="000D6AB8" w:rsidRDefault="009B3C59" w:rsidP="009B3C59">
      <w:pPr>
        <w:tabs>
          <w:tab w:val="left" w:pos="851"/>
        </w:tabs>
        <w:jc w:val="both"/>
        <w:rPr>
          <w:b/>
          <w:sz w:val="24"/>
          <w:szCs w:val="24"/>
          <w:lang w:val="es-ES"/>
        </w:rPr>
      </w:pPr>
      <w:r w:rsidRPr="000D6AB8">
        <w:rPr>
          <w:b/>
          <w:sz w:val="24"/>
          <w:szCs w:val="24"/>
          <w:lang w:val="es-ES"/>
        </w:rPr>
        <w:t xml:space="preserve">Preguntas </w:t>
      </w:r>
    </w:p>
    <w:p w14:paraId="1D937231" w14:textId="77777777" w:rsidR="009B3C59" w:rsidRPr="000D6AB8" w:rsidRDefault="009B3C59" w:rsidP="00C231AF">
      <w:pPr>
        <w:tabs>
          <w:tab w:val="left" w:pos="851"/>
        </w:tabs>
        <w:jc w:val="both"/>
        <w:rPr>
          <w:sz w:val="24"/>
          <w:szCs w:val="24"/>
          <w:lang w:val="es-ES"/>
        </w:rPr>
      </w:pPr>
    </w:p>
    <w:p w14:paraId="15346F4F" w14:textId="1CC0CC5A" w:rsidR="00C231AF" w:rsidRPr="000D6AB8" w:rsidRDefault="00C231AF" w:rsidP="00D30413">
      <w:pPr>
        <w:pStyle w:val="NormalWeb"/>
        <w:numPr>
          <w:ilvl w:val="0"/>
          <w:numId w:val="32"/>
        </w:numPr>
        <w:spacing w:before="0"/>
        <w:ind w:left="284" w:hanging="284"/>
        <w:contextualSpacing/>
        <w:jc w:val="both"/>
        <w:rPr>
          <w:rFonts w:ascii="Times New Roman" w:hAnsi="Times New Roman"/>
          <w:i/>
          <w:iCs/>
          <w:sz w:val="24"/>
          <w:lang w:val="es-ES_tradnl"/>
        </w:rPr>
      </w:pPr>
      <w:r w:rsidRPr="000D6AB8">
        <w:rPr>
          <w:rFonts w:ascii="Times New Roman" w:hAnsi="Times New Roman"/>
          <w:i/>
          <w:iCs/>
          <w:sz w:val="24"/>
          <w:lang w:val="es-ES_tradnl"/>
        </w:rPr>
        <w:t xml:space="preserve">Desde el comienzo de la pandemia de la COVID-19, los Estados han adoptado nuevas políticas, leyes y otras medidas en respuesta a la crisis. Por favor, refiérase a las medidas relevantes en su país (o países) y su impacto en el derechos a la salud sexual y reproductiva. Por favor, comparta información sobre las oportunidades y los desafíos.  </w:t>
      </w:r>
    </w:p>
    <w:p w14:paraId="2B6C51DE" w14:textId="758D7BD3" w:rsidR="00FF2D22" w:rsidRPr="000D6AB8" w:rsidRDefault="00FF2D22" w:rsidP="00FF2D22">
      <w:pPr>
        <w:pStyle w:val="NormalWeb"/>
        <w:spacing w:before="0"/>
        <w:contextualSpacing/>
        <w:jc w:val="both"/>
        <w:rPr>
          <w:rFonts w:ascii="Times New Roman" w:hAnsi="Times New Roman"/>
          <w:sz w:val="24"/>
          <w:lang w:val="es-ES_tradnl"/>
        </w:rPr>
      </w:pPr>
    </w:p>
    <w:p w14:paraId="4FD4471C" w14:textId="5FA5DD45" w:rsidR="00FF2D22" w:rsidRPr="000D6AB8" w:rsidRDefault="00560933" w:rsidP="00FF2D22">
      <w:pPr>
        <w:pStyle w:val="NormalWeb"/>
        <w:spacing w:before="0"/>
        <w:ind w:left="284"/>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Algunas m</w:t>
      </w:r>
      <w:r w:rsidR="00FF2D22" w:rsidRPr="000D6AB8">
        <w:rPr>
          <w:rFonts w:ascii="Calibri" w:hAnsi="Calibri" w:cs="Calibri"/>
          <w:color w:val="000000" w:themeColor="text1"/>
          <w:sz w:val="24"/>
          <w:lang w:val="es-ES_tradnl"/>
        </w:rPr>
        <w:t>edidas relacionadas con la COVID-19 que han tenido un impacto en los D</w:t>
      </w:r>
      <w:r w:rsidRPr="000D6AB8">
        <w:rPr>
          <w:rFonts w:ascii="Calibri" w:hAnsi="Calibri" w:cs="Calibri"/>
          <w:color w:val="000000" w:themeColor="text1"/>
          <w:sz w:val="24"/>
          <w:lang w:val="es-ES_tradnl"/>
        </w:rPr>
        <w:t>erechos Sexuales y Reproductivos en Catalunya:</w:t>
      </w:r>
    </w:p>
    <w:p w14:paraId="0ED064E8" w14:textId="6BBBC503" w:rsidR="00FF2D22" w:rsidRPr="000D6AB8" w:rsidRDefault="00FF2D22" w:rsidP="00FF2D22">
      <w:pPr>
        <w:pStyle w:val="NormalWeb"/>
        <w:spacing w:before="0"/>
        <w:ind w:left="284"/>
        <w:contextualSpacing/>
        <w:jc w:val="both"/>
        <w:rPr>
          <w:rFonts w:ascii="Calibri" w:hAnsi="Calibri" w:cs="Calibri"/>
          <w:color w:val="000000" w:themeColor="text1"/>
          <w:sz w:val="24"/>
          <w:lang w:val="es-ES_tradnl"/>
        </w:rPr>
      </w:pPr>
    </w:p>
    <w:p w14:paraId="6D8D7F11" w14:textId="33FB3313" w:rsidR="007C384C" w:rsidRPr="000D6AB8" w:rsidRDefault="007C384C" w:rsidP="00FF2D22">
      <w:pPr>
        <w:pStyle w:val="NormalWeb"/>
        <w:numPr>
          <w:ilvl w:val="0"/>
          <w:numId w:val="37"/>
        </w:numPr>
        <w:spacing w:before="0"/>
        <w:contextualSpacing/>
        <w:jc w:val="both"/>
        <w:rPr>
          <w:rFonts w:ascii="Calibri" w:hAnsi="Calibri" w:cs="Calibri"/>
          <w:b/>
          <w:bCs/>
          <w:color w:val="000000" w:themeColor="text1"/>
          <w:sz w:val="24"/>
          <w:lang w:val="es-ES_tradnl"/>
        </w:rPr>
      </w:pPr>
      <w:r w:rsidRPr="000D6AB8">
        <w:rPr>
          <w:rFonts w:ascii="Calibri" w:hAnsi="Calibri" w:cs="Calibri"/>
          <w:b/>
          <w:bCs/>
          <w:color w:val="000000" w:themeColor="text1"/>
          <w:sz w:val="24"/>
          <w:lang w:val="es-ES_tradnl"/>
        </w:rPr>
        <w:t xml:space="preserve">Confinamiento </w:t>
      </w:r>
      <w:r w:rsidR="002B5C17" w:rsidRPr="000D6AB8">
        <w:rPr>
          <w:rFonts w:ascii="Calibri" w:hAnsi="Calibri" w:cs="Calibri"/>
          <w:b/>
          <w:bCs/>
          <w:color w:val="000000" w:themeColor="text1"/>
          <w:sz w:val="24"/>
          <w:lang w:val="es-ES_tradnl"/>
        </w:rPr>
        <w:t>en casa</w:t>
      </w:r>
      <w:r w:rsidR="00560933" w:rsidRPr="000D6AB8">
        <w:rPr>
          <w:rFonts w:ascii="Calibri" w:hAnsi="Calibri" w:cs="Calibri"/>
          <w:b/>
          <w:bCs/>
          <w:color w:val="000000" w:themeColor="text1"/>
          <w:sz w:val="24"/>
          <w:lang w:val="es-ES_tradnl"/>
        </w:rPr>
        <w:t xml:space="preserve"> y restricción de la movilidad</w:t>
      </w:r>
    </w:p>
    <w:p w14:paraId="7BDF9A44" w14:textId="4D82522D" w:rsidR="00702624" w:rsidRPr="000D6AB8" w:rsidRDefault="00702624" w:rsidP="00702624">
      <w:pPr>
        <w:pStyle w:val="NormalWeb"/>
        <w:numPr>
          <w:ilvl w:val="0"/>
          <w:numId w:val="42"/>
        </w:numPr>
        <w:spacing w:before="0"/>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 xml:space="preserve">Dificultades </w:t>
      </w:r>
      <w:r w:rsidR="00560933" w:rsidRPr="000D6AB8">
        <w:rPr>
          <w:rFonts w:ascii="Calibri" w:hAnsi="Calibri" w:cs="Calibri"/>
          <w:color w:val="000000" w:themeColor="text1"/>
          <w:sz w:val="24"/>
          <w:lang w:val="es-ES_tradnl"/>
        </w:rPr>
        <w:t>en el acceso a</w:t>
      </w:r>
      <w:r w:rsidRPr="000D6AB8">
        <w:rPr>
          <w:rFonts w:ascii="Calibri" w:hAnsi="Calibri" w:cs="Calibri"/>
          <w:color w:val="000000" w:themeColor="text1"/>
          <w:sz w:val="24"/>
          <w:lang w:val="es-ES_tradnl"/>
        </w:rPr>
        <w:t xml:space="preserve"> servicios de salud sexual y reproductiva</w:t>
      </w:r>
      <w:r w:rsidR="00560933" w:rsidRPr="000D6AB8">
        <w:rPr>
          <w:rFonts w:ascii="Calibri" w:hAnsi="Calibri" w:cs="Calibri"/>
          <w:color w:val="000000" w:themeColor="text1"/>
          <w:sz w:val="24"/>
          <w:lang w:val="es-ES_tradnl"/>
        </w:rPr>
        <w:t>: servicios ginecológicos y obstétricos, y aquellos relacionados con las ITS</w:t>
      </w:r>
      <w:r w:rsidR="00A46A6F" w:rsidRPr="000D6AB8">
        <w:rPr>
          <w:rFonts w:ascii="Calibri" w:hAnsi="Calibri" w:cs="Calibri"/>
          <w:color w:val="000000" w:themeColor="text1"/>
          <w:sz w:val="24"/>
          <w:lang w:val="es-ES_tradnl"/>
        </w:rPr>
        <w:t xml:space="preserve"> y en especial las pruebas de detección al VIH</w:t>
      </w:r>
      <w:r w:rsidR="00560933" w:rsidRPr="000D6AB8">
        <w:rPr>
          <w:rFonts w:ascii="Calibri" w:hAnsi="Calibri" w:cs="Calibri"/>
          <w:color w:val="000000" w:themeColor="text1"/>
          <w:sz w:val="24"/>
          <w:lang w:val="es-ES_tradnl"/>
        </w:rPr>
        <w:t xml:space="preserve"> (acceso a las pruebas)</w:t>
      </w:r>
      <w:r w:rsidR="00410A43" w:rsidRPr="000D6AB8">
        <w:rPr>
          <w:rFonts w:ascii="Calibri" w:hAnsi="Calibri" w:cs="Calibri"/>
          <w:color w:val="000000" w:themeColor="text1"/>
          <w:sz w:val="24"/>
          <w:lang w:val="es-ES_tradnl"/>
        </w:rPr>
        <w:t>. E</w:t>
      </w:r>
      <w:r w:rsidR="0036488F" w:rsidRPr="000D6AB8">
        <w:rPr>
          <w:rFonts w:ascii="Calibri" w:hAnsi="Calibri" w:cs="Calibri"/>
          <w:color w:val="000000" w:themeColor="text1"/>
          <w:sz w:val="24"/>
          <w:lang w:val="es-ES_tradnl"/>
        </w:rPr>
        <w:t>ntre otros</w:t>
      </w:r>
      <w:r w:rsidR="00410A43" w:rsidRPr="000D6AB8">
        <w:rPr>
          <w:rFonts w:ascii="Calibri" w:hAnsi="Calibri" w:cs="Calibri"/>
          <w:color w:val="000000" w:themeColor="text1"/>
          <w:sz w:val="24"/>
          <w:lang w:val="es-ES_tradnl"/>
        </w:rPr>
        <w:t>: disminución de atención presencial, de servicios y número de profesionales disponibles, reducción de pruebas de seguimiento, entre otras</w:t>
      </w:r>
      <w:r w:rsidR="00ED2FB5" w:rsidRPr="000D6AB8">
        <w:rPr>
          <w:rStyle w:val="FootnoteReference"/>
          <w:rFonts w:ascii="Calibri" w:hAnsi="Calibri"/>
          <w:color w:val="000000" w:themeColor="text1"/>
          <w:sz w:val="24"/>
          <w:lang w:val="es-ES_tradnl"/>
        </w:rPr>
        <w:footnoteReference w:id="2"/>
      </w:r>
      <w:r w:rsidR="00410A43" w:rsidRPr="000D6AB8">
        <w:rPr>
          <w:rFonts w:ascii="Calibri" w:hAnsi="Calibri" w:cs="Calibri"/>
          <w:color w:val="000000" w:themeColor="text1"/>
          <w:sz w:val="24"/>
          <w:lang w:val="es-ES_tradnl"/>
        </w:rPr>
        <w:t xml:space="preserve">. </w:t>
      </w:r>
    </w:p>
    <w:p w14:paraId="7D8F81B9" w14:textId="369E9597" w:rsidR="0036488F" w:rsidRPr="000D6AB8" w:rsidRDefault="0036488F" w:rsidP="00702624">
      <w:pPr>
        <w:pStyle w:val="NormalWeb"/>
        <w:numPr>
          <w:ilvl w:val="0"/>
          <w:numId w:val="42"/>
        </w:numPr>
        <w:spacing w:before="0"/>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Dificultades para obtener información relacionada con la salud sexual y reproductiva</w:t>
      </w:r>
      <w:r w:rsidR="006F3699" w:rsidRPr="000D6AB8">
        <w:rPr>
          <w:rFonts w:ascii="Calibri" w:hAnsi="Calibri" w:cs="Calibri"/>
          <w:color w:val="000000" w:themeColor="text1"/>
          <w:sz w:val="24"/>
          <w:lang w:val="es-ES_tradnl"/>
        </w:rPr>
        <w:t>, en particular aquellos colectivos más vulnerables.</w:t>
      </w:r>
    </w:p>
    <w:p w14:paraId="2AAC9244" w14:textId="7CDDA43C" w:rsidR="00354201" w:rsidRPr="000D6AB8" w:rsidRDefault="00354201" w:rsidP="00702624">
      <w:pPr>
        <w:pStyle w:val="NormalWeb"/>
        <w:numPr>
          <w:ilvl w:val="0"/>
          <w:numId w:val="42"/>
        </w:numPr>
        <w:spacing w:before="0"/>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Impacto en la salud afectiva</w:t>
      </w:r>
      <w:r w:rsidR="006F3699" w:rsidRPr="000D6AB8">
        <w:rPr>
          <w:rFonts w:ascii="Calibri" w:hAnsi="Calibri" w:cs="Calibri"/>
          <w:color w:val="000000" w:themeColor="text1"/>
          <w:sz w:val="24"/>
          <w:lang w:val="es-ES_tradnl"/>
        </w:rPr>
        <w:t>.</w:t>
      </w:r>
    </w:p>
    <w:p w14:paraId="1F0F8646" w14:textId="38FD63A6" w:rsidR="00702624" w:rsidRPr="000D6AB8" w:rsidRDefault="00A46A6F" w:rsidP="00702624">
      <w:pPr>
        <w:pStyle w:val="NormalWeb"/>
        <w:numPr>
          <w:ilvl w:val="0"/>
          <w:numId w:val="42"/>
        </w:numPr>
        <w:spacing w:before="0"/>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 xml:space="preserve">Incremento de las </w:t>
      </w:r>
      <w:r w:rsidR="00560933" w:rsidRPr="000D6AB8">
        <w:rPr>
          <w:rFonts w:ascii="Calibri" w:hAnsi="Calibri" w:cs="Calibri"/>
          <w:color w:val="000000" w:themeColor="text1"/>
          <w:sz w:val="24"/>
          <w:lang w:val="es-ES_tradnl"/>
        </w:rPr>
        <w:t xml:space="preserve">Violencias sexuales en el hogar pero también en </w:t>
      </w:r>
      <w:r w:rsidRPr="000D6AB8">
        <w:rPr>
          <w:rFonts w:ascii="Calibri" w:hAnsi="Calibri" w:cs="Calibri"/>
          <w:color w:val="000000" w:themeColor="text1"/>
          <w:sz w:val="24"/>
          <w:lang w:val="es-ES_tradnl"/>
        </w:rPr>
        <w:t>perce</w:t>
      </w:r>
      <w:r w:rsidR="000D6AB8" w:rsidRPr="000D6AB8">
        <w:rPr>
          <w:rFonts w:ascii="Calibri" w:hAnsi="Calibri" w:cs="Calibri"/>
          <w:color w:val="000000" w:themeColor="text1"/>
          <w:sz w:val="24"/>
          <w:lang w:val="es-ES_tradnl"/>
        </w:rPr>
        <w:t>p</w:t>
      </w:r>
      <w:r w:rsidRPr="000D6AB8">
        <w:rPr>
          <w:rFonts w:ascii="Calibri" w:hAnsi="Calibri" w:cs="Calibri"/>
          <w:color w:val="000000" w:themeColor="text1"/>
          <w:sz w:val="24"/>
          <w:lang w:val="es-ES_tradnl"/>
        </w:rPr>
        <w:t>ci</w:t>
      </w:r>
      <w:r w:rsidR="000D6AB8" w:rsidRPr="000D6AB8">
        <w:rPr>
          <w:rFonts w:ascii="Calibri" w:hAnsi="Calibri" w:cs="Calibri"/>
          <w:color w:val="000000" w:themeColor="text1"/>
          <w:sz w:val="24"/>
          <w:lang w:val="es-ES_tradnl"/>
        </w:rPr>
        <w:t>ó</w:t>
      </w:r>
      <w:r w:rsidRPr="000D6AB8">
        <w:rPr>
          <w:rFonts w:ascii="Calibri" w:hAnsi="Calibri" w:cs="Calibri"/>
          <w:color w:val="000000" w:themeColor="text1"/>
          <w:sz w:val="24"/>
          <w:lang w:val="es-ES_tradnl"/>
        </w:rPr>
        <w:t xml:space="preserve">n de aumento de inseguridad en </w:t>
      </w:r>
      <w:r w:rsidR="00560933" w:rsidRPr="000D6AB8">
        <w:rPr>
          <w:rFonts w:ascii="Calibri" w:hAnsi="Calibri" w:cs="Calibri"/>
          <w:color w:val="000000" w:themeColor="text1"/>
          <w:sz w:val="24"/>
          <w:lang w:val="es-ES_tradnl"/>
        </w:rPr>
        <w:t>el espacio público</w:t>
      </w:r>
      <w:r w:rsidR="00354201" w:rsidRPr="000D6AB8">
        <w:rPr>
          <w:rFonts w:ascii="Calibri" w:hAnsi="Calibri" w:cs="Calibri"/>
          <w:color w:val="000000" w:themeColor="text1"/>
          <w:sz w:val="24"/>
          <w:lang w:val="es-ES_tradnl"/>
        </w:rPr>
        <w:t>.</w:t>
      </w:r>
      <w:r w:rsidR="00560933" w:rsidRPr="000D6AB8">
        <w:rPr>
          <w:rFonts w:ascii="Calibri" w:hAnsi="Calibri" w:cs="Calibri"/>
          <w:color w:val="000000" w:themeColor="text1"/>
          <w:sz w:val="24"/>
          <w:lang w:val="es-ES_tradnl"/>
        </w:rPr>
        <w:t xml:space="preserve"> </w:t>
      </w:r>
    </w:p>
    <w:p w14:paraId="1E6303AC" w14:textId="0796408F" w:rsidR="00354201" w:rsidRPr="000D6AB8" w:rsidRDefault="00702624" w:rsidP="00354201">
      <w:pPr>
        <w:pStyle w:val="NormalWeb"/>
        <w:numPr>
          <w:ilvl w:val="0"/>
          <w:numId w:val="42"/>
        </w:numPr>
        <w:spacing w:before="0"/>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 xml:space="preserve">La vulneración que sufren las trabajadoras sexuales se ha visto aumentada </w:t>
      </w:r>
      <w:r w:rsidR="00354201" w:rsidRPr="000D6AB8">
        <w:rPr>
          <w:rFonts w:ascii="Calibri" w:hAnsi="Calibri" w:cs="Calibri"/>
          <w:color w:val="000000" w:themeColor="text1"/>
          <w:sz w:val="24"/>
          <w:lang w:val="es-ES_tradnl"/>
        </w:rPr>
        <w:t>con la pérdida de ingresos, y el aumento de la discriminación que ya sufrían.</w:t>
      </w:r>
    </w:p>
    <w:p w14:paraId="2A375B6F" w14:textId="49567CC4" w:rsidR="00354201" w:rsidRPr="000D6AB8" w:rsidRDefault="00410A43" w:rsidP="00410A43">
      <w:pPr>
        <w:pStyle w:val="ListParagraph"/>
        <w:numPr>
          <w:ilvl w:val="0"/>
          <w:numId w:val="42"/>
        </w:numPr>
        <w:rPr>
          <w:rFonts w:ascii="Calibri" w:eastAsia="Helvetica Neue" w:hAnsi="Calibri" w:cs="Calibri"/>
          <w:color w:val="000000" w:themeColor="text1"/>
          <w:sz w:val="24"/>
          <w:szCs w:val="24"/>
          <w:lang w:val="es-ES_tradnl"/>
        </w:rPr>
      </w:pPr>
      <w:r w:rsidRPr="000D6AB8">
        <w:rPr>
          <w:rFonts w:ascii="Calibri" w:eastAsia="Helvetica Neue" w:hAnsi="Calibri" w:cs="Calibri"/>
          <w:color w:val="000000" w:themeColor="text1"/>
          <w:sz w:val="24"/>
          <w:szCs w:val="24"/>
          <w:lang w:val="es-ES_tradnl"/>
        </w:rPr>
        <w:t xml:space="preserve">El </w:t>
      </w:r>
      <w:r w:rsidR="00354201" w:rsidRPr="000D6AB8">
        <w:rPr>
          <w:rFonts w:ascii="Calibri" w:eastAsia="Helvetica Neue" w:hAnsi="Calibri" w:cs="Calibri"/>
          <w:color w:val="000000" w:themeColor="text1"/>
          <w:sz w:val="24"/>
          <w:szCs w:val="24"/>
          <w:lang w:val="es-ES_tradnl"/>
        </w:rPr>
        <w:t xml:space="preserve">Impacto en los tratamientos hormonales que afecta a las personas trans, y aumento </w:t>
      </w:r>
      <w:r w:rsidR="0036488F" w:rsidRPr="000D6AB8">
        <w:rPr>
          <w:rFonts w:ascii="Calibri" w:eastAsia="Helvetica Neue" w:hAnsi="Calibri" w:cs="Calibri"/>
          <w:color w:val="000000" w:themeColor="text1"/>
          <w:sz w:val="24"/>
          <w:szCs w:val="24"/>
          <w:lang w:val="es-ES_tradnl"/>
        </w:rPr>
        <w:t>de la discriminación que ya sufrían.</w:t>
      </w:r>
      <w:r w:rsidRPr="000D6AB8">
        <w:rPr>
          <w:rFonts w:ascii="Calibri" w:eastAsia="Helvetica Neue" w:hAnsi="Calibri" w:cs="Calibri"/>
          <w:color w:val="000000" w:themeColor="text1"/>
          <w:sz w:val="24"/>
          <w:szCs w:val="24"/>
          <w:lang w:val="es-ES_tradnl"/>
        </w:rPr>
        <w:t xml:space="preserve"> </w:t>
      </w:r>
    </w:p>
    <w:p w14:paraId="24DC91FA" w14:textId="0BA87FCB" w:rsidR="00FF2D22" w:rsidRPr="000D6AB8" w:rsidRDefault="00FF2D22" w:rsidP="00560933">
      <w:pPr>
        <w:pStyle w:val="NormalWeb"/>
        <w:numPr>
          <w:ilvl w:val="0"/>
          <w:numId w:val="42"/>
        </w:numPr>
        <w:spacing w:before="0"/>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 xml:space="preserve">Acceso al aborto en general, y al aborto instrumental en particular, sobre todo en aquellas zonas en las que no se ofrece este servicio (principalmente debido a la objeción de consciencia). Debido a las restricciones de movilidad el acceso a la información sobre el aborto y a la misma interrupción voluntaria del embarazo, se han visto limitadas, siendo una barrera para las mujeres que habitan estas zonas. </w:t>
      </w:r>
    </w:p>
    <w:p w14:paraId="5A3B569A" w14:textId="6BAD423A" w:rsidR="00A46A6F" w:rsidRPr="000D6AB8" w:rsidRDefault="00A46A6F" w:rsidP="00560933">
      <w:pPr>
        <w:pStyle w:val="NormalWeb"/>
        <w:numPr>
          <w:ilvl w:val="0"/>
          <w:numId w:val="42"/>
        </w:numPr>
        <w:spacing w:before="0"/>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Em</w:t>
      </w:r>
      <w:r w:rsidR="000D6AB8" w:rsidRPr="000D6AB8">
        <w:rPr>
          <w:rFonts w:ascii="Calibri" w:hAnsi="Calibri" w:cs="Calibri"/>
          <w:color w:val="000000" w:themeColor="text1"/>
          <w:sz w:val="24"/>
          <w:lang w:val="es-ES_tradnl"/>
        </w:rPr>
        <w:t>p</w:t>
      </w:r>
      <w:r w:rsidRPr="000D6AB8">
        <w:rPr>
          <w:rFonts w:ascii="Calibri" w:hAnsi="Calibri" w:cs="Calibri"/>
          <w:color w:val="000000" w:themeColor="text1"/>
          <w:sz w:val="24"/>
          <w:lang w:val="es-ES_tradnl"/>
        </w:rPr>
        <w:t>e</w:t>
      </w:r>
      <w:r w:rsidR="000D6AB8" w:rsidRPr="000D6AB8">
        <w:rPr>
          <w:rFonts w:ascii="Calibri" w:hAnsi="Calibri" w:cs="Calibri"/>
          <w:color w:val="000000" w:themeColor="text1"/>
          <w:sz w:val="24"/>
          <w:lang w:val="es-ES_tradnl"/>
        </w:rPr>
        <w:t>o</w:t>
      </w:r>
      <w:r w:rsidRPr="000D6AB8">
        <w:rPr>
          <w:rFonts w:ascii="Calibri" w:hAnsi="Calibri" w:cs="Calibri"/>
          <w:color w:val="000000" w:themeColor="text1"/>
          <w:sz w:val="24"/>
          <w:lang w:val="es-ES_tradnl"/>
        </w:rPr>
        <w:t>ramiento del acceso a los servicios de salud sexual de las mujeres de centros penitenciarios, CIE, y del acceso a salud mental</w:t>
      </w:r>
    </w:p>
    <w:p w14:paraId="034262FF" w14:textId="77777777" w:rsidR="00FF2D22" w:rsidRPr="000D6AB8" w:rsidRDefault="00FF2D22" w:rsidP="00FF2D22">
      <w:pPr>
        <w:pStyle w:val="NormalWeb"/>
        <w:spacing w:before="0"/>
        <w:ind w:left="644"/>
        <w:contextualSpacing/>
        <w:jc w:val="both"/>
        <w:rPr>
          <w:rFonts w:ascii="Calibri" w:hAnsi="Calibri" w:cs="Calibri"/>
          <w:color w:val="000000" w:themeColor="text1"/>
          <w:sz w:val="24"/>
          <w:lang w:val="es-ES_tradnl"/>
        </w:rPr>
      </w:pPr>
    </w:p>
    <w:p w14:paraId="5BB743EF" w14:textId="03A449CD" w:rsidR="00FF2D22" w:rsidRPr="000D6AB8" w:rsidRDefault="00FF2D22" w:rsidP="00FF2D22">
      <w:pPr>
        <w:pStyle w:val="NormalWeb"/>
        <w:numPr>
          <w:ilvl w:val="0"/>
          <w:numId w:val="37"/>
        </w:numPr>
        <w:spacing w:before="0"/>
        <w:contextualSpacing/>
        <w:jc w:val="both"/>
        <w:rPr>
          <w:rFonts w:ascii="Calibri" w:hAnsi="Calibri" w:cs="Calibri"/>
          <w:b/>
          <w:bCs/>
          <w:color w:val="000000" w:themeColor="text1"/>
          <w:sz w:val="24"/>
          <w:lang w:val="es-ES_tradnl"/>
        </w:rPr>
      </w:pPr>
      <w:r w:rsidRPr="000D6AB8">
        <w:rPr>
          <w:rFonts w:ascii="Calibri" w:hAnsi="Calibri" w:cs="Calibri"/>
          <w:b/>
          <w:bCs/>
          <w:color w:val="000000" w:themeColor="text1"/>
          <w:sz w:val="24"/>
          <w:lang w:val="es-ES_tradnl"/>
        </w:rPr>
        <w:t xml:space="preserve">Cierre </w:t>
      </w:r>
      <w:r w:rsidR="002B5C17" w:rsidRPr="000D6AB8">
        <w:rPr>
          <w:rFonts w:ascii="Calibri" w:hAnsi="Calibri" w:cs="Calibri"/>
          <w:b/>
          <w:bCs/>
          <w:color w:val="000000" w:themeColor="text1"/>
          <w:sz w:val="24"/>
          <w:lang w:val="es-ES_tradnl"/>
        </w:rPr>
        <w:t>/ fuera de</w:t>
      </w:r>
      <w:r w:rsidRPr="000D6AB8">
        <w:rPr>
          <w:rFonts w:ascii="Calibri" w:hAnsi="Calibri" w:cs="Calibri"/>
          <w:b/>
          <w:bCs/>
          <w:color w:val="000000" w:themeColor="text1"/>
          <w:sz w:val="24"/>
          <w:lang w:val="es-ES_tradnl"/>
        </w:rPr>
        <w:t xml:space="preserve"> funcionamiento de servicios vinculados con la salud de las personas</w:t>
      </w:r>
      <w:r w:rsidR="002B5C17" w:rsidRPr="000D6AB8">
        <w:rPr>
          <w:rFonts w:ascii="Calibri" w:hAnsi="Calibri" w:cs="Calibri"/>
          <w:b/>
          <w:bCs/>
          <w:color w:val="000000" w:themeColor="text1"/>
          <w:sz w:val="24"/>
          <w:lang w:val="es-ES_tradnl"/>
        </w:rPr>
        <w:t xml:space="preserve"> por no considerarse “esenciales”</w:t>
      </w:r>
      <w:r w:rsidRPr="000D6AB8">
        <w:rPr>
          <w:rFonts w:ascii="Calibri" w:hAnsi="Calibri" w:cs="Calibri"/>
          <w:b/>
          <w:bCs/>
          <w:color w:val="000000" w:themeColor="text1"/>
          <w:sz w:val="24"/>
          <w:lang w:val="es-ES_tradnl"/>
        </w:rPr>
        <w:t>:</w:t>
      </w:r>
    </w:p>
    <w:p w14:paraId="442AF7F1" w14:textId="1C372C3A" w:rsidR="00A46A6F" w:rsidRPr="000D6AB8" w:rsidRDefault="00A46A6F" w:rsidP="00702624">
      <w:pPr>
        <w:pStyle w:val="NormalWeb"/>
        <w:numPr>
          <w:ilvl w:val="0"/>
          <w:numId w:val="42"/>
        </w:numPr>
        <w:spacing w:before="0"/>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Dificultades en el acceso de los servicios al haber una población sin acceso al empadronamiento ni a la tarjeta sanitaria</w:t>
      </w:r>
    </w:p>
    <w:p w14:paraId="6B5E0470" w14:textId="09DB7BD9" w:rsidR="003C72D0" w:rsidRPr="000D6AB8" w:rsidRDefault="003C72D0" w:rsidP="00702624">
      <w:pPr>
        <w:pStyle w:val="NormalWeb"/>
        <w:numPr>
          <w:ilvl w:val="0"/>
          <w:numId w:val="42"/>
        </w:numPr>
        <w:spacing w:before="0"/>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Acceso al tratamiento por VIH (</w:t>
      </w:r>
      <w:r w:rsidR="00702624" w:rsidRPr="000D6AB8">
        <w:rPr>
          <w:rFonts w:ascii="Calibri" w:hAnsi="Calibri" w:cs="Calibri"/>
          <w:color w:val="000000" w:themeColor="text1"/>
          <w:sz w:val="24"/>
          <w:lang w:val="es-ES_tradnl"/>
        </w:rPr>
        <w:t>Ver apartado 3.3</w:t>
      </w:r>
      <w:r w:rsidR="00FF2D22" w:rsidRPr="000D6AB8">
        <w:rPr>
          <w:rFonts w:ascii="Calibri" w:hAnsi="Calibri" w:cs="Calibri"/>
          <w:color w:val="000000" w:themeColor="text1"/>
          <w:sz w:val="24"/>
          <w:lang w:val="es-ES_tradnl"/>
        </w:rPr>
        <w:t>)</w:t>
      </w:r>
    </w:p>
    <w:p w14:paraId="579873A7" w14:textId="131755C6" w:rsidR="003C72D0" w:rsidRPr="000D6AB8" w:rsidRDefault="003C72D0" w:rsidP="00702624">
      <w:pPr>
        <w:pStyle w:val="NormalWeb"/>
        <w:numPr>
          <w:ilvl w:val="0"/>
          <w:numId w:val="42"/>
        </w:numPr>
        <w:spacing w:before="0"/>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Servicios relacionados con el embarazo y postparto pero también la planificación familiar y anticoncepción se han visto limitad</w:t>
      </w:r>
      <w:r w:rsidR="003F6640" w:rsidRPr="000D6AB8">
        <w:rPr>
          <w:rFonts w:ascii="Calibri" w:hAnsi="Calibri" w:cs="Calibri"/>
          <w:color w:val="000000" w:themeColor="text1"/>
          <w:sz w:val="24"/>
          <w:lang w:val="es-ES_tradnl"/>
        </w:rPr>
        <w:t>o</w:t>
      </w:r>
      <w:r w:rsidRPr="000D6AB8">
        <w:rPr>
          <w:rFonts w:ascii="Calibri" w:hAnsi="Calibri" w:cs="Calibri"/>
          <w:color w:val="000000" w:themeColor="text1"/>
          <w:sz w:val="24"/>
          <w:lang w:val="es-ES_tradnl"/>
        </w:rPr>
        <w:t xml:space="preserve">s especialmente para aquellos colectivos de mujeres con menos acceso </w:t>
      </w:r>
      <w:r w:rsidR="003F6640" w:rsidRPr="000D6AB8">
        <w:rPr>
          <w:rFonts w:ascii="Calibri" w:hAnsi="Calibri" w:cs="Calibri"/>
          <w:color w:val="000000" w:themeColor="text1"/>
          <w:sz w:val="24"/>
          <w:lang w:val="es-ES_tradnl"/>
        </w:rPr>
        <w:t>a internet o nuevas tecnologías</w:t>
      </w:r>
      <w:r w:rsidRPr="000D6AB8">
        <w:rPr>
          <w:rFonts w:ascii="Calibri" w:hAnsi="Calibri" w:cs="Calibri"/>
          <w:color w:val="000000" w:themeColor="text1"/>
          <w:sz w:val="24"/>
          <w:lang w:val="es-ES_tradnl"/>
        </w:rPr>
        <w:t xml:space="preserve"> y que si accedían antes a la información era a través de la presencialidad, que se ha visto limitada por las restricciones de movilidad (y limitación de horarios de apertura de los centros de atención primaria)</w:t>
      </w:r>
      <w:r w:rsidR="00702624" w:rsidRPr="000D6AB8">
        <w:rPr>
          <w:rFonts w:ascii="Calibri" w:hAnsi="Calibri" w:cs="Calibri"/>
          <w:color w:val="000000" w:themeColor="text1"/>
          <w:sz w:val="24"/>
          <w:lang w:val="es-ES_tradnl"/>
        </w:rPr>
        <w:t>.</w:t>
      </w:r>
    </w:p>
    <w:p w14:paraId="5DBACF49" w14:textId="430586F6" w:rsidR="00702624" w:rsidRPr="000D6AB8" w:rsidRDefault="00702624" w:rsidP="00AA6CB5">
      <w:pPr>
        <w:pStyle w:val="NormalWeb"/>
        <w:numPr>
          <w:ilvl w:val="0"/>
          <w:numId w:val="42"/>
        </w:numPr>
        <w:spacing w:before="0"/>
        <w:contextualSpacing/>
        <w:jc w:val="both"/>
        <w:rPr>
          <w:rFonts w:ascii="Times New Roman" w:hAnsi="Times New Roman"/>
          <w:color w:val="000000" w:themeColor="text1"/>
          <w:sz w:val="24"/>
          <w:lang w:val="es-ES_tradnl"/>
        </w:rPr>
      </w:pPr>
      <w:r w:rsidRPr="000D6AB8">
        <w:rPr>
          <w:rFonts w:ascii="Calibri" w:hAnsi="Calibri" w:cs="Calibri"/>
          <w:color w:val="000000" w:themeColor="text1"/>
          <w:sz w:val="24"/>
          <w:lang w:val="es-ES_tradnl"/>
        </w:rPr>
        <w:lastRenderedPageBreak/>
        <w:t xml:space="preserve">Los servicios de reproducción asistida públicos </w:t>
      </w:r>
      <w:r w:rsidR="00560933" w:rsidRPr="000D6AB8">
        <w:rPr>
          <w:rFonts w:ascii="Calibri" w:hAnsi="Calibri" w:cs="Calibri"/>
          <w:color w:val="000000" w:themeColor="text1"/>
          <w:sz w:val="24"/>
          <w:lang w:val="es-ES_tradnl"/>
        </w:rPr>
        <w:t>se han visto afectados con su paralización</w:t>
      </w:r>
      <w:r w:rsidR="00354201" w:rsidRPr="000D6AB8">
        <w:rPr>
          <w:rFonts w:ascii="Calibri" w:hAnsi="Calibri" w:cs="Calibri"/>
          <w:color w:val="000000" w:themeColor="text1"/>
          <w:sz w:val="24"/>
          <w:lang w:val="es-ES_tradnl"/>
        </w:rPr>
        <w:t>.</w:t>
      </w:r>
    </w:p>
    <w:p w14:paraId="179EF41B" w14:textId="77777777" w:rsidR="00C231AF" w:rsidRPr="000D6AB8" w:rsidRDefault="00C231AF" w:rsidP="00D30413">
      <w:pPr>
        <w:pStyle w:val="NormalWeb"/>
        <w:spacing w:before="0"/>
        <w:ind w:left="360" w:hanging="360"/>
        <w:contextualSpacing/>
        <w:jc w:val="both"/>
        <w:rPr>
          <w:rFonts w:ascii="Times New Roman" w:hAnsi="Times New Roman"/>
          <w:sz w:val="24"/>
          <w:lang w:val="es-ES_tradnl"/>
        </w:rPr>
      </w:pPr>
    </w:p>
    <w:p w14:paraId="48077172" w14:textId="3CC9AA99" w:rsidR="00C231AF" w:rsidRPr="000D6AB8" w:rsidRDefault="00C231AF" w:rsidP="00D30413">
      <w:pPr>
        <w:pStyle w:val="NormalWeb"/>
        <w:numPr>
          <w:ilvl w:val="0"/>
          <w:numId w:val="32"/>
        </w:numPr>
        <w:spacing w:before="0"/>
        <w:ind w:left="284" w:hanging="284"/>
        <w:contextualSpacing/>
        <w:jc w:val="both"/>
        <w:rPr>
          <w:rFonts w:ascii="Times New Roman" w:hAnsi="Times New Roman"/>
          <w:i/>
          <w:iCs/>
          <w:sz w:val="24"/>
          <w:lang w:val="es-ES_tradnl"/>
        </w:rPr>
      </w:pPr>
      <w:r w:rsidRPr="000D6AB8">
        <w:rPr>
          <w:rFonts w:ascii="Times New Roman" w:hAnsi="Times New Roman"/>
          <w:i/>
          <w:iCs/>
          <w:sz w:val="24"/>
          <w:lang w:val="es-ES_tradnl"/>
        </w:rPr>
        <w:t xml:space="preserve">Por favor, especifique también las medidas legales o de otro tipo introducidas durante la pandemia con el objetivo de reconocer, o restringir, prohibir o criminalizar: a) el acceso al aborto legal; b) las relaciones sexuales consentidas entre adultos; c) las relaciones sexuales entre personas del mismo sexo, d) las relaciones sexuales consentidas entre adolescentes de edades similares, e) el trabajo sexual, f) el matrimonio entre personas del mismo sexo, g) la información sobre el derecho a la salud sexual y reproductiva; h) la transmisión del VIH/SIDA, y i) la autonomía y la libre toma de decisiones sobre el propio cuerpo y la salud sexual y reproductiva.  </w:t>
      </w:r>
    </w:p>
    <w:p w14:paraId="1FA28D05" w14:textId="3A08BFB3" w:rsidR="005122A3" w:rsidRPr="000D6AB8" w:rsidRDefault="005122A3" w:rsidP="005122A3">
      <w:pPr>
        <w:pStyle w:val="NormalWeb"/>
        <w:spacing w:before="0"/>
        <w:ind w:left="284"/>
        <w:contextualSpacing/>
        <w:jc w:val="both"/>
        <w:rPr>
          <w:rFonts w:ascii="Times New Roman" w:hAnsi="Times New Roman"/>
          <w:sz w:val="24"/>
          <w:lang w:val="es-ES_tradnl"/>
        </w:rPr>
      </w:pPr>
    </w:p>
    <w:p w14:paraId="7CAF096B" w14:textId="7E729524" w:rsidR="005122A3" w:rsidRPr="000D6AB8" w:rsidRDefault="00F050A4" w:rsidP="00CA2FAD">
      <w:pPr>
        <w:pStyle w:val="NormalWeb"/>
        <w:spacing w:before="0"/>
        <w:ind w:left="284"/>
        <w:contextualSpacing/>
        <w:jc w:val="both"/>
        <w:rPr>
          <w:rFonts w:ascii="Calibri" w:hAnsi="Calibri" w:cs="Calibri"/>
          <w:b/>
          <w:bCs/>
          <w:color w:val="000000" w:themeColor="text1"/>
          <w:sz w:val="24"/>
          <w:lang w:val="es-ES_tradnl"/>
        </w:rPr>
      </w:pPr>
      <w:r w:rsidRPr="000D6AB8">
        <w:rPr>
          <w:rFonts w:ascii="Calibri" w:hAnsi="Calibri" w:cs="Calibri"/>
          <w:b/>
          <w:bCs/>
          <w:color w:val="000000" w:themeColor="text1"/>
          <w:sz w:val="24"/>
          <w:lang w:val="es-ES_tradnl"/>
        </w:rPr>
        <w:t>Algunos a</w:t>
      </w:r>
      <w:r w:rsidR="00AF2F09" w:rsidRPr="000D6AB8">
        <w:rPr>
          <w:rFonts w:ascii="Calibri" w:hAnsi="Calibri" w:cs="Calibri"/>
          <w:b/>
          <w:bCs/>
          <w:color w:val="000000" w:themeColor="text1"/>
          <w:sz w:val="24"/>
          <w:lang w:val="es-ES_tradnl"/>
        </w:rPr>
        <w:t>vances en el r</w:t>
      </w:r>
      <w:r w:rsidR="003E7735" w:rsidRPr="000D6AB8">
        <w:rPr>
          <w:rFonts w:ascii="Calibri" w:hAnsi="Calibri" w:cs="Calibri"/>
          <w:b/>
          <w:bCs/>
          <w:color w:val="000000" w:themeColor="text1"/>
          <w:sz w:val="24"/>
          <w:lang w:val="es-ES_tradnl"/>
        </w:rPr>
        <w:t>econocimiento</w:t>
      </w:r>
      <w:r w:rsidR="005122A3" w:rsidRPr="000D6AB8">
        <w:rPr>
          <w:rFonts w:ascii="Calibri" w:hAnsi="Calibri" w:cs="Calibri"/>
          <w:b/>
          <w:bCs/>
          <w:color w:val="000000" w:themeColor="text1"/>
          <w:sz w:val="24"/>
          <w:lang w:val="es-ES_tradnl"/>
        </w:rPr>
        <w:t xml:space="preserve"> de </w:t>
      </w:r>
      <w:r w:rsidR="003E7735" w:rsidRPr="000D6AB8">
        <w:rPr>
          <w:rFonts w:ascii="Calibri" w:hAnsi="Calibri" w:cs="Calibri"/>
          <w:b/>
          <w:bCs/>
          <w:color w:val="000000" w:themeColor="text1"/>
          <w:sz w:val="24"/>
          <w:lang w:val="es-ES_tradnl"/>
        </w:rPr>
        <w:t>derechos sexuales y reproductivos / Catalunya</w:t>
      </w:r>
    </w:p>
    <w:p w14:paraId="6D404F32" w14:textId="572B2228" w:rsidR="00EC7DF1" w:rsidRPr="000D6AB8" w:rsidRDefault="00EC7DF1" w:rsidP="00CA2FAD">
      <w:pPr>
        <w:pStyle w:val="NormalWeb"/>
        <w:spacing w:before="0"/>
        <w:ind w:left="284"/>
        <w:contextualSpacing/>
        <w:jc w:val="both"/>
        <w:rPr>
          <w:rFonts w:ascii="Calibri" w:hAnsi="Calibri" w:cs="Calibri"/>
          <w:b/>
          <w:bCs/>
          <w:color w:val="000000" w:themeColor="text1"/>
          <w:sz w:val="24"/>
          <w:lang w:val="es-ES_tradnl"/>
        </w:rPr>
      </w:pPr>
    </w:p>
    <w:p w14:paraId="55B63B44" w14:textId="198E35A5" w:rsidR="00F2776F" w:rsidRPr="000D6AB8" w:rsidRDefault="00EC7DF1" w:rsidP="001C24AA">
      <w:pPr>
        <w:pStyle w:val="NormalWeb"/>
        <w:numPr>
          <w:ilvl w:val="0"/>
          <w:numId w:val="37"/>
        </w:numPr>
        <w:spacing w:before="0"/>
        <w:contextualSpacing/>
        <w:jc w:val="both"/>
        <w:rPr>
          <w:rFonts w:ascii="Calibri" w:hAnsi="Calibri" w:cs="Calibri"/>
          <w:b/>
          <w:bCs/>
          <w:color w:val="000000" w:themeColor="text1"/>
          <w:sz w:val="24"/>
          <w:lang w:val="es-ES_tradnl"/>
        </w:rPr>
      </w:pPr>
      <w:r w:rsidRPr="000D6AB8">
        <w:rPr>
          <w:rFonts w:ascii="Calibri" w:hAnsi="Calibri" w:cs="Calibri"/>
          <w:b/>
          <w:bCs/>
          <w:color w:val="000000" w:themeColor="text1"/>
          <w:sz w:val="24"/>
          <w:lang w:val="es-ES_tradnl"/>
        </w:rPr>
        <w:t xml:space="preserve">Modificación </w:t>
      </w:r>
      <w:r w:rsidR="005122A3" w:rsidRPr="000D6AB8">
        <w:rPr>
          <w:rFonts w:ascii="Calibri" w:hAnsi="Calibri" w:cs="Calibri"/>
          <w:b/>
          <w:bCs/>
          <w:color w:val="000000" w:themeColor="text1"/>
          <w:sz w:val="24"/>
          <w:lang w:val="es-ES_tradnl"/>
        </w:rPr>
        <w:t>de la Ley contra las violencias machistas de Cataluny</w:t>
      </w:r>
      <w:r w:rsidR="006950AE" w:rsidRPr="000D6AB8">
        <w:rPr>
          <w:rFonts w:ascii="Calibri" w:hAnsi="Calibri" w:cs="Calibri"/>
          <w:b/>
          <w:bCs/>
          <w:color w:val="000000" w:themeColor="text1"/>
          <w:sz w:val="24"/>
          <w:lang w:val="es-ES_tradnl"/>
        </w:rPr>
        <w:t>a en diciembre 2020</w:t>
      </w:r>
      <w:r w:rsidR="001C24AA" w:rsidRPr="000D6AB8">
        <w:rPr>
          <w:rStyle w:val="FootnoteReference"/>
          <w:rFonts w:ascii="Calibri" w:hAnsi="Calibri"/>
          <w:b/>
          <w:bCs/>
          <w:color w:val="000000" w:themeColor="text1"/>
          <w:sz w:val="24"/>
          <w:lang w:val="es-ES_tradnl"/>
        </w:rPr>
        <w:footnoteReference w:id="3"/>
      </w:r>
      <w:r w:rsidR="005122A3" w:rsidRPr="000D6AB8">
        <w:rPr>
          <w:rFonts w:ascii="Calibri" w:hAnsi="Calibri" w:cs="Calibri"/>
          <w:color w:val="000000" w:themeColor="text1"/>
          <w:sz w:val="24"/>
          <w:lang w:val="es-ES_tradnl"/>
        </w:rPr>
        <w:t xml:space="preserve"> </w:t>
      </w:r>
      <w:r w:rsidRPr="000D6AB8">
        <w:rPr>
          <w:rFonts w:ascii="Calibri" w:hAnsi="Calibri" w:cs="Calibri"/>
          <w:color w:val="000000" w:themeColor="text1"/>
          <w:sz w:val="24"/>
          <w:lang w:val="es-ES_tradnl"/>
        </w:rPr>
        <w:t>(</w:t>
      </w:r>
      <w:r w:rsidRPr="000D6AB8">
        <w:rPr>
          <w:rFonts w:ascii="Calibri" w:hAnsi="Calibri" w:cs="Calibri"/>
          <w:bCs/>
          <w:color w:val="000000" w:themeColor="text1"/>
          <w:sz w:val="24"/>
          <w:lang w:val="es-ES"/>
        </w:rPr>
        <w:t>Llei 17/2020, del 22 de desembre, de modificació de la Llei 5/2008, del dret de les dones a erradicar la violència masclista).</w:t>
      </w:r>
      <w:r w:rsidR="006950AE" w:rsidRPr="000D6AB8">
        <w:rPr>
          <w:rFonts w:ascii="Calibri" w:hAnsi="Calibri" w:cs="Calibri"/>
          <w:bCs/>
          <w:color w:val="000000" w:themeColor="text1"/>
          <w:sz w:val="24"/>
          <w:lang w:val="es-ES"/>
        </w:rPr>
        <w:t xml:space="preserve"> </w:t>
      </w:r>
      <w:r w:rsidR="00F2776F" w:rsidRPr="000D6AB8">
        <w:rPr>
          <w:rFonts w:ascii="Calibri" w:hAnsi="Calibri" w:cs="Calibri"/>
          <w:bCs/>
          <w:color w:val="000000" w:themeColor="text1"/>
          <w:sz w:val="24"/>
          <w:lang w:val="es-ES"/>
        </w:rPr>
        <w:t>Esta nueva ley incluye</w:t>
      </w:r>
      <w:r w:rsidR="00250C16" w:rsidRPr="000D6AB8">
        <w:rPr>
          <w:rFonts w:ascii="Calibri" w:hAnsi="Calibri" w:cs="Calibri"/>
          <w:bCs/>
          <w:color w:val="000000" w:themeColor="text1"/>
          <w:sz w:val="24"/>
          <w:lang w:val="es-ES"/>
        </w:rPr>
        <w:t xml:space="preserve">, en relación </w:t>
      </w:r>
      <w:r w:rsidR="003E7735" w:rsidRPr="000D6AB8">
        <w:rPr>
          <w:rFonts w:ascii="Calibri" w:hAnsi="Calibri" w:cs="Calibri"/>
          <w:bCs/>
          <w:color w:val="000000" w:themeColor="text1"/>
          <w:sz w:val="24"/>
          <w:lang w:val="es-ES"/>
        </w:rPr>
        <w:t>con</w:t>
      </w:r>
      <w:r w:rsidR="00250C16" w:rsidRPr="000D6AB8">
        <w:rPr>
          <w:rFonts w:ascii="Calibri" w:hAnsi="Calibri" w:cs="Calibri"/>
          <w:bCs/>
          <w:color w:val="000000" w:themeColor="text1"/>
          <w:sz w:val="24"/>
          <w:lang w:val="es-ES"/>
        </w:rPr>
        <w:t xml:space="preserve"> los Derechos Sexuales y Reproductivos</w:t>
      </w:r>
      <w:r w:rsidR="00F2776F" w:rsidRPr="000D6AB8">
        <w:rPr>
          <w:rFonts w:ascii="Calibri" w:hAnsi="Calibri" w:cs="Calibri"/>
          <w:bCs/>
          <w:color w:val="000000" w:themeColor="text1"/>
          <w:sz w:val="24"/>
          <w:lang w:val="es-ES"/>
        </w:rPr>
        <w:t>:</w:t>
      </w:r>
    </w:p>
    <w:p w14:paraId="2D14B316" w14:textId="77777777" w:rsidR="0079564F" w:rsidRPr="000D6AB8" w:rsidRDefault="0079564F" w:rsidP="0079564F">
      <w:pPr>
        <w:pStyle w:val="NormalWeb"/>
        <w:numPr>
          <w:ilvl w:val="1"/>
          <w:numId w:val="40"/>
        </w:numPr>
        <w:spacing w:before="0"/>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Incluye la vulneración de los derechos sexuales y reproductivos como forma y ámbito de violencia machista.</w:t>
      </w:r>
    </w:p>
    <w:p w14:paraId="0E27190E" w14:textId="77777777" w:rsidR="0079564F" w:rsidRPr="000D6AB8" w:rsidRDefault="0079564F" w:rsidP="0079564F">
      <w:pPr>
        <w:pStyle w:val="NormalWeb"/>
        <w:numPr>
          <w:ilvl w:val="1"/>
          <w:numId w:val="40"/>
        </w:numPr>
        <w:spacing w:before="0"/>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Incluye la violencia obstétrica. Además, la objeción de consciencia es una vulneración de los derechos sexuales y reproductivos y es violencia obstétrica.</w:t>
      </w:r>
    </w:p>
    <w:p w14:paraId="0CF8DB32" w14:textId="77777777" w:rsidR="0079564F" w:rsidRPr="000D6AB8" w:rsidRDefault="0079564F" w:rsidP="0079564F">
      <w:pPr>
        <w:pStyle w:val="NormalWeb"/>
        <w:numPr>
          <w:ilvl w:val="1"/>
          <w:numId w:val="40"/>
        </w:numPr>
        <w:spacing w:before="0"/>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 xml:space="preserve">Incluye el ámbito social y comunitario como uno de los ámbitos de la violencia machista en el que se consideran las agresiones sexuales, acoso sexual y tráfico de personas con fines de explotación sexual y otras vinculadas a la dimensión de género, como violencias machistas. </w:t>
      </w:r>
    </w:p>
    <w:p w14:paraId="41FDCDFA" w14:textId="77777777" w:rsidR="0079564F" w:rsidRPr="000D6AB8" w:rsidRDefault="0079564F" w:rsidP="0079564F">
      <w:pPr>
        <w:pStyle w:val="NormalWeb"/>
        <w:numPr>
          <w:ilvl w:val="1"/>
          <w:numId w:val="40"/>
        </w:numPr>
        <w:spacing w:before="0"/>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En el ámbito laboral visibiliza la discriminación por embarazo o maternidad existente o potencial.</w:t>
      </w:r>
    </w:p>
    <w:p w14:paraId="0D14BA96" w14:textId="5046CA48" w:rsidR="00F2776F" w:rsidRPr="000D6AB8" w:rsidRDefault="0079564F" w:rsidP="0079564F">
      <w:pPr>
        <w:pStyle w:val="NormalWeb"/>
        <w:numPr>
          <w:ilvl w:val="1"/>
          <w:numId w:val="40"/>
        </w:numPr>
        <w:spacing w:before="0"/>
        <w:contextualSpacing/>
        <w:jc w:val="both"/>
        <w:rPr>
          <w:rFonts w:ascii="Calibri" w:hAnsi="Calibri" w:cs="Calibri"/>
          <w:b/>
          <w:bCs/>
          <w:color w:val="000000" w:themeColor="text1"/>
          <w:sz w:val="24"/>
          <w:lang w:val="es-ES_tradnl"/>
        </w:rPr>
      </w:pPr>
      <w:r w:rsidRPr="000D6AB8">
        <w:rPr>
          <w:rFonts w:ascii="Calibri" w:hAnsi="Calibri" w:cs="Calibri"/>
          <w:bCs/>
          <w:color w:val="000000" w:themeColor="text1"/>
          <w:sz w:val="24"/>
          <w:lang w:val="es-ES"/>
        </w:rPr>
        <w:t xml:space="preserve">Reconoce y visibiliza </w:t>
      </w:r>
      <w:r w:rsidR="00F2776F" w:rsidRPr="000D6AB8">
        <w:rPr>
          <w:rFonts w:ascii="Calibri" w:hAnsi="Calibri" w:cs="Calibri"/>
          <w:bCs/>
          <w:color w:val="000000" w:themeColor="text1"/>
          <w:sz w:val="24"/>
          <w:lang w:val="es-ES"/>
        </w:rPr>
        <w:t>las mujeres trans como mujeres sin discriminación alguna.</w:t>
      </w:r>
      <w:r w:rsidR="00985D76" w:rsidRPr="000D6AB8">
        <w:rPr>
          <w:rFonts w:ascii="Calibri" w:hAnsi="Calibri" w:cs="Calibri"/>
          <w:bCs/>
          <w:color w:val="000000" w:themeColor="text1"/>
          <w:sz w:val="24"/>
          <w:lang w:val="es-ES"/>
        </w:rPr>
        <w:t xml:space="preserve"> Y reconoce que pueden usar determinados recursos </w:t>
      </w:r>
      <w:r w:rsidRPr="000D6AB8">
        <w:rPr>
          <w:rFonts w:ascii="Calibri" w:hAnsi="Calibri" w:cs="Calibri"/>
          <w:bCs/>
          <w:color w:val="000000" w:themeColor="text1"/>
          <w:sz w:val="24"/>
          <w:lang w:val="es-ES"/>
        </w:rPr>
        <w:t>en la medida que se las reconoce como mujeres.</w:t>
      </w:r>
    </w:p>
    <w:p w14:paraId="25E0987B" w14:textId="4BEE4624" w:rsidR="00F2776F" w:rsidRPr="000D6AB8" w:rsidRDefault="00F2776F" w:rsidP="00F2776F">
      <w:pPr>
        <w:pStyle w:val="NormalWeb"/>
        <w:numPr>
          <w:ilvl w:val="1"/>
          <w:numId w:val="40"/>
        </w:numPr>
        <w:spacing w:before="0"/>
        <w:contextualSpacing/>
        <w:jc w:val="both"/>
        <w:rPr>
          <w:rFonts w:ascii="Calibri" w:hAnsi="Calibri" w:cs="Calibri"/>
          <w:b/>
          <w:bCs/>
          <w:color w:val="000000" w:themeColor="text1"/>
          <w:sz w:val="24"/>
          <w:lang w:val="es-ES_tradnl"/>
        </w:rPr>
      </w:pPr>
      <w:r w:rsidRPr="000D6AB8">
        <w:rPr>
          <w:rFonts w:ascii="Calibri" w:hAnsi="Calibri" w:cs="Calibri"/>
          <w:bCs/>
          <w:color w:val="000000" w:themeColor="text1"/>
          <w:sz w:val="24"/>
          <w:lang w:val="es-ES"/>
        </w:rPr>
        <w:t>Incluye a niñas y adolescentes</w:t>
      </w:r>
    </w:p>
    <w:p w14:paraId="2DAE96CE" w14:textId="3AD357DF" w:rsidR="00F2776F" w:rsidRPr="000D6AB8" w:rsidRDefault="00250C16" w:rsidP="00F2776F">
      <w:pPr>
        <w:pStyle w:val="NormalWeb"/>
        <w:numPr>
          <w:ilvl w:val="1"/>
          <w:numId w:val="40"/>
        </w:numPr>
        <w:spacing w:before="0"/>
        <w:contextualSpacing/>
        <w:jc w:val="both"/>
        <w:rPr>
          <w:rFonts w:ascii="Calibri" w:hAnsi="Calibri" w:cs="Calibri"/>
          <w:b/>
          <w:bCs/>
          <w:color w:val="000000" w:themeColor="text1"/>
          <w:sz w:val="24"/>
          <w:lang w:val="es-ES_tradnl"/>
        </w:rPr>
      </w:pPr>
      <w:r w:rsidRPr="000D6AB8">
        <w:rPr>
          <w:rFonts w:ascii="Calibri" w:hAnsi="Calibri" w:cs="Calibri"/>
          <w:bCs/>
          <w:color w:val="000000" w:themeColor="text1"/>
          <w:sz w:val="24"/>
          <w:lang w:val="es-ES_tradnl"/>
        </w:rPr>
        <w:t>Define la violencia sexual y también d</w:t>
      </w:r>
      <w:r w:rsidR="00F2776F" w:rsidRPr="000D6AB8">
        <w:rPr>
          <w:rFonts w:ascii="Calibri" w:hAnsi="Calibri" w:cs="Calibri"/>
          <w:bCs/>
          <w:color w:val="000000" w:themeColor="text1"/>
          <w:sz w:val="24"/>
          <w:lang w:val="es-ES_tradnl"/>
        </w:rPr>
        <w:t>efine el consentimiento sexual</w:t>
      </w:r>
      <w:r w:rsidRPr="000D6AB8">
        <w:rPr>
          <w:rFonts w:ascii="Calibri" w:hAnsi="Calibri" w:cs="Calibri"/>
          <w:bCs/>
          <w:color w:val="000000" w:themeColor="text1"/>
          <w:sz w:val="24"/>
          <w:lang w:val="es-ES_tradnl"/>
        </w:rPr>
        <w:t xml:space="preserve">, aunque este último </w:t>
      </w:r>
      <w:r w:rsidR="00F2776F" w:rsidRPr="000D6AB8">
        <w:rPr>
          <w:rFonts w:ascii="Calibri" w:hAnsi="Calibri" w:cs="Calibri"/>
          <w:bCs/>
          <w:color w:val="000000" w:themeColor="text1"/>
          <w:sz w:val="24"/>
          <w:lang w:val="es-ES_tradnl"/>
        </w:rPr>
        <w:t>de manera simbólica ya que de manera operativa depende del estado español</w:t>
      </w:r>
      <w:r w:rsidRPr="000D6AB8">
        <w:rPr>
          <w:rFonts w:ascii="Calibri" w:hAnsi="Calibri" w:cs="Calibri"/>
          <w:bCs/>
          <w:color w:val="000000" w:themeColor="text1"/>
          <w:sz w:val="24"/>
          <w:lang w:val="es-ES_tradnl"/>
        </w:rPr>
        <w:t>/código penal español.</w:t>
      </w:r>
    </w:p>
    <w:p w14:paraId="7D982293" w14:textId="44EB3BFC" w:rsidR="00985D76" w:rsidRPr="000D6AB8" w:rsidRDefault="0079564F" w:rsidP="00985D76">
      <w:pPr>
        <w:pStyle w:val="NormalWeb"/>
        <w:numPr>
          <w:ilvl w:val="1"/>
          <w:numId w:val="40"/>
        </w:numPr>
        <w:spacing w:before="0"/>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Considera y define la interseccionalidad.</w:t>
      </w:r>
    </w:p>
    <w:p w14:paraId="6F3944F9" w14:textId="2CB6E8D2" w:rsidR="00985D76" w:rsidRPr="000D6AB8" w:rsidRDefault="0079564F" w:rsidP="0008727D">
      <w:pPr>
        <w:pStyle w:val="NormalWeb"/>
        <w:numPr>
          <w:ilvl w:val="2"/>
          <w:numId w:val="40"/>
        </w:numPr>
        <w:spacing w:before="0"/>
        <w:contextualSpacing/>
        <w:jc w:val="both"/>
        <w:rPr>
          <w:rFonts w:ascii="Calibri" w:hAnsi="Calibri" w:cs="Calibri"/>
          <w:color w:val="000000" w:themeColor="text1"/>
          <w:sz w:val="24"/>
          <w:lang w:val="es-ES"/>
        </w:rPr>
      </w:pPr>
      <w:r w:rsidRPr="000D6AB8">
        <w:rPr>
          <w:rFonts w:ascii="Calibri" w:hAnsi="Calibri" w:cs="Calibri"/>
          <w:color w:val="000000" w:themeColor="text1"/>
          <w:sz w:val="24"/>
          <w:lang w:val="es-ES"/>
        </w:rPr>
        <w:t>A pesar de los grandes avances que incorpora la Ley (la mayoría simbólicos)</w:t>
      </w:r>
      <w:r w:rsidR="00985D76" w:rsidRPr="000D6AB8">
        <w:rPr>
          <w:rFonts w:ascii="Calibri" w:hAnsi="Calibri" w:cs="Calibri"/>
          <w:color w:val="000000" w:themeColor="text1"/>
          <w:sz w:val="24"/>
          <w:lang w:val="es-ES"/>
        </w:rPr>
        <w:t xml:space="preserve">, </w:t>
      </w:r>
      <w:r w:rsidRPr="000D6AB8">
        <w:rPr>
          <w:rFonts w:ascii="Calibri" w:hAnsi="Calibri" w:cs="Calibri"/>
          <w:color w:val="000000" w:themeColor="text1"/>
          <w:sz w:val="24"/>
          <w:lang w:val="es-ES"/>
        </w:rPr>
        <w:t>la Ley se queda corta en</w:t>
      </w:r>
      <w:r w:rsidR="00985D76" w:rsidRPr="000D6AB8">
        <w:rPr>
          <w:rFonts w:ascii="Calibri" w:hAnsi="Calibri" w:cs="Calibri"/>
          <w:color w:val="000000" w:themeColor="text1"/>
          <w:sz w:val="24"/>
          <w:lang w:val="es-ES"/>
        </w:rPr>
        <w:t xml:space="preserve"> </w:t>
      </w:r>
      <w:r w:rsidRPr="000D6AB8">
        <w:rPr>
          <w:rFonts w:ascii="Calibri" w:hAnsi="Calibri" w:cs="Calibri"/>
          <w:color w:val="000000" w:themeColor="text1"/>
          <w:sz w:val="24"/>
          <w:lang w:val="es-ES"/>
        </w:rPr>
        <w:t>su</w:t>
      </w:r>
      <w:r w:rsidR="00985D76" w:rsidRPr="000D6AB8">
        <w:rPr>
          <w:rFonts w:ascii="Calibri" w:hAnsi="Calibri" w:cs="Calibri"/>
          <w:color w:val="000000" w:themeColor="text1"/>
          <w:sz w:val="24"/>
          <w:lang w:val="es-ES"/>
        </w:rPr>
        <w:t xml:space="preserve"> definición de la mutilación genital femenina </w:t>
      </w:r>
      <w:r w:rsidRPr="000D6AB8">
        <w:rPr>
          <w:rFonts w:ascii="Calibri" w:hAnsi="Calibri" w:cs="Calibri"/>
          <w:color w:val="000000" w:themeColor="text1"/>
          <w:sz w:val="24"/>
          <w:lang w:val="es-ES"/>
        </w:rPr>
        <w:t>ya que no aborda sus causas.</w:t>
      </w:r>
    </w:p>
    <w:p w14:paraId="5E5EA052" w14:textId="77777777" w:rsidR="00985D76" w:rsidRPr="000D6AB8" w:rsidRDefault="00985D76" w:rsidP="00985D76">
      <w:pPr>
        <w:pStyle w:val="NormalWeb"/>
        <w:spacing w:before="0"/>
        <w:contextualSpacing/>
        <w:jc w:val="both"/>
        <w:rPr>
          <w:rFonts w:ascii="Calibri" w:hAnsi="Calibri" w:cs="Calibri"/>
          <w:color w:val="FF0000"/>
          <w:sz w:val="24"/>
          <w:lang w:val="es-ES"/>
        </w:rPr>
      </w:pPr>
    </w:p>
    <w:p w14:paraId="5A3AB820" w14:textId="77777777" w:rsidR="00250C16" w:rsidRPr="000D6AB8" w:rsidRDefault="00250C16" w:rsidP="00250C16">
      <w:pPr>
        <w:pStyle w:val="NormalWeb"/>
        <w:spacing w:before="0"/>
        <w:ind w:left="1004"/>
        <w:contextualSpacing/>
        <w:jc w:val="both"/>
        <w:rPr>
          <w:rFonts w:ascii="Calibri" w:hAnsi="Calibri" w:cs="Calibri"/>
          <w:color w:val="000000" w:themeColor="text1"/>
          <w:sz w:val="24"/>
          <w:lang w:val="es-ES_tradnl"/>
        </w:rPr>
      </w:pPr>
    </w:p>
    <w:p w14:paraId="4144A8FF" w14:textId="254F5E98" w:rsidR="00250C16" w:rsidRPr="000D6AB8" w:rsidRDefault="003E7735" w:rsidP="00250C16">
      <w:pPr>
        <w:pStyle w:val="NormalWeb"/>
        <w:numPr>
          <w:ilvl w:val="0"/>
          <w:numId w:val="40"/>
        </w:numPr>
        <w:spacing w:before="0"/>
        <w:contextualSpacing/>
        <w:jc w:val="both"/>
        <w:rPr>
          <w:rFonts w:ascii="Calibri" w:hAnsi="Calibri" w:cs="Calibri"/>
          <w:b/>
          <w:bCs/>
          <w:color w:val="000000" w:themeColor="text1"/>
          <w:sz w:val="24"/>
          <w:lang w:val="es-ES_tradnl"/>
        </w:rPr>
      </w:pPr>
      <w:r w:rsidRPr="000D6AB8">
        <w:rPr>
          <w:rFonts w:ascii="Calibri" w:hAnsi="Calibri" w:cs="Calibri"/>
          <w:b/>
          <w:bCs/>
          <w:color w:val="000000" w:themeColor="text1"/>
          <w:sz w:val="24"/>
          <w:lang w:val="es-ES_tradnl"/>
        </w:rPr>
        <w:t>La aprobación de la l</w:t>
      </w:r>
      <w:r w:rsidR="00250C16" w:rsidRPr="000D6AB8">
        <w:rPr>
          <w:rFonts w:ascii="Calibri" w:hAnsi="Calibri" w:cs="Calibri"/>
          <w:b/>
          <w:bCs/>
          <w:color w:val="000000" w:themeColor="text1"/>
          <w:sz w:val="24"/>
          <w:lang w:val="es-ES_tradnl"/>
        </w:rPr>
        <w:t>ey de igualdad de trato y no discriminación de Catalunya (Llei 19/2020, del 30 de desembre, d’igualtat de tracte i no-discriminació)</w:t>
      </w:r>
      <w:r w:rsidRPr="000D6AB8">
        <w:rPr>
          <w:rFonts w:ascii="Calibri" w:hAnsi="Calibri" w:cs="Calibri"/>
          <w:b/>
          <w:bCs/>
          <w:color w:val="000000" w:themeColor="text1"/>
          <w:sz w:val="24"/>
          <w:lang w:val="es-ES_tradnl"/>
        </w:rPr>
        <w:t xml:space="preserve"> en diciembre de 2020</w:t>
      </w:r>
      <w:r w:rsidR="001C24AA" w:rsidRPr="000D6AB8">
        <w:rPr>
          <w:rStyle w:val="FootnoteReference"/>
          <w:rFonts w:ascii="Calibri" w:hAnsi="Calibri"/>
          <w:b/>
          <w:bCs/>
          <w:color w:val="000000" w:themeColor="text1"/>
          <w:sz w:val="24"/>
          <w:lang w:val="es-ES_tradnl"/>
        </w:rPr>
        <w:footnoteReference w:id="4"/>
      </w:r>
      <w:r w:rsidR="001C24AA" w:rsidRPr="000D6AB8">
        <w:rPr>
          <w:rFonts w:ascii="Calibri" w:hAnsi="Calibri" w:cs="Calibri"/>
          <w:b/>
          <w:bCs/>
          <w:color w:val="000000" w:themeColor="text1"/>
          <w:sz w:val="24"/>
          <w:lang w:val="es-ES_tradnl"/>
        </w:rPr>
        <w:t>.</w:t>
      </w:r>
    </w:p>
    <w:p w14:paraId="3D0699BC" w14:textId="728FD169" w:rsidR="00250C16" w:rsidRPr="000D6AB8" w:rsidRDefault="00250C16" w:rsidP="003F6640">
      <w:pPr>
        <w:pStyle w:val="NormalWeb"/>
        <w:spacing w:before="0"/>
        <w:ind w:left="644"/>
        <w:contextualSpacing/>
        <w:jc w:val="both"/>
        <w:rPr>
          <w:rFonts w:ascii="Calibri" w:hAnsi="Calibri" w:cs="Calibri"/>
          <w:b/>
          <w:bCs/>
          <w:color w:val="FF0000"/>
          <w:sz w:val="24"/>
          <w:lang w:val="es-ES_tradnl"/>
        </w:rPr>
      </w:pPr>
    </w:p>
    <w:p w14:paraId="4332808D" w14:textId="7B8E60AF" w:rsidR="003F6640" w:rsidRPr="000D6AB8" w:rsidRDefault="003F6640" w:rsidP="003F6640">
      <w:pPr>
        <w:ind w:left="284"/>
        <w:jc w:val="both"/>
        <w:rPr>
          <w:rFonts w:ascii="Calibri" w:eastAsia="Helvetica Neue" w:hAnsi="Calibri" w:cs="Calibri"/>
          <w:color w:val="000000" w:themeColor="text1"/>
          <w:sz w:val="24"/>
          <w:szCs w:val="24"/>
          <w:lang w:val="es-ES_tradnl"/>
        </w:rPr>
      </w:pPr>
      <w:r w:rsidRPr="000D6AB8">
        <w:rPr>
          <w:rFonts w:ascii="Calibri" w:eastAsia="Helvetica Neue" w:hAnsi="Calibri" w:cs="Calibri"/>
          <w:color w:val="000000" w:themeColor="text1"/>
          <w:sz w:val="24"/>
          <w:szCs w:val="24"/>
          <w:lang w:val="es-ES_tradnl"/>
        </w:rPr>
        <w:t xml:space="preserve">Esta ley ampara las personas que pertenecen a los colectivos LGTBI+ y pretende dar solución al principal problema que había desde la aprobación de la Ley catalana contra la homofobia del 2014, que es la falta de un reglamento sancionador específico. Hasta la fecha las multas por estos casos se han articulado a través de un régimen sancionador genérico de 1993.  Por lo tanto, es necesaria la aprobación de un reglamento sancionador específico para las agresiones LGTBIfóbicas. </w:t>
      </w:r>
    </w:p>
    <w:p w14:paraId="037A7825" w14:textId="50189F8C" w:rsidR="003F6640" w:rsidRPr="000D6AB8" w:rsidRDefault="003F6640" w:rsidP="003F6640">
      <w:pPr>
        <w:ind w:left="284"/>
        <w:jc w:val="both"/>
        <w:rPr>
          <w:rFonts w:ascii="Calibri" w:eastAsia="Helvetica Neue" w:hAnsi="Calibri" w:cs="Calibri"/>
          <w:color w:val="000000" w:themeColor="text1"/>
          <w:sz w:val="24"/>
          <w:szCs w:val="24"/>
          <w:lang w:val="es-ES_tradnl"/>
        </w:rPr>
      </w:pPr>
      <w:r w:rsidRPr="000D6AB8">
        <w:rPr>
          <w:rFonts w:ascii="Calibri" w:eastAsia="Helvetica Neue" w:hAnsi="Calibri" w:cs="Calibri"/>
          <w:color w:val="000000" w:themeColor="text1"/>
          <w:sz w:val="24"/>
          <w:szCs w:val="24"/>
          <w:lang w:val="es-ES_tradnl"/>
        </w:rPr>
        <w:t xml:space="preserve">Además, sobre las mujeres transgénero, el Gobierno de Catalunya se ha comprometido a abordar el reconocimiento de la autodeterminación de género en el plazo de un año. </w:t>
      </w:r>
      <w:r w:rsidR="00702624" w:rsidRPr="000D6AB8">
        <w:rPr>
          <w:rStyle w:val="FootnoteReference"/>
          <w:rFonts w:ascii="Calibri" w:eastAsia="Helvetica Neue" w:hAnsi="Calibri"/>
          <w:color w:val="000000" w:themeColor="text1"/>
          <w:sz w:val="24"/>
          <w:szCs w:val="24"/>
          <w:lang w:val="es-ES_tradnl"/>
        </w:rPr>
        <w:footnoteReference w:id="5"/>
      </w:r>
    </w:p>
    <w:p w14:paraId="12618B87" w14:textId="77777777" w:rsidR="003F6640" w:rsidRPr="000D6AB8" w:rsidRDefault="003F6640" w:rsidP="003F6640">
      <w:pPr>
        <w:pStyle w:val="NormalWeb"/>
        <w:spacing w:before="0"/>
        <w:ind w:left="644"/>
        <w:contextualSpacing/>
        <w:jc w:val="both"/>
        <w:rPr>
          <w:rFonts w:ascii="Calibri" w:hAnsi="Calibri" w:cs="Calibri"/>
          <w:b/>
          <w:bCs/>
          <w:color w:val="FF0000"/>
          <w:sz w:val="24"/>
          <w:lang w:val="es-ES_tradnl"/>
        </w:rPr>
      </w:pPr>
    </w:p>
    <w:p w14:paraId="678879EC" w14:textId="10AF764E" w:rsidR="005122A3" w:rsidRPr="000D6AB8" w:rsidRDefault="005122A3" w:rsidP="00EC7DF1">
      <w:pPr>
        <w:pStyle w:val="NormalWeb"/>
        <w:spacing w:before="0"/>
        <w:ind w:left="644"/>
        <w:contextualSpacing/>
        <w:jc w:val="both"/>
        <w:rPr>
          <w:rFonts w:ascii="Calibri" w:hAnsi="Calibri" w:cs="Calibri"/>
          <w:color w:val="FF0000"/>
          <w:sz w:val="24"/>
          <w:lang w:val="es-ES_tradnl"/>
        </w:rPr>
      </w:pPr>
    </w:p>
    <w:p w14:paraId="22FC9840" w14:textId="44CBEE7F" w:rsidR="003915E3" w:rsidRPr="000D6AB8" w:rsidRDefault="003915E3" w:rsidP="003915E3">
      <w:pPr>
        <w:pStyle w:val="NormalWeb"/>
        <w:numPr>
          <w:ilvl w:val="0"/>
          <w:numId w:val="40"/>
        </w:numPr>
        <w:spacing w:before="0"/>
        <w:contextualSpacing/>
        <w:jc w:val="both"/>
        <w:rPr>
          <w:rFonts w:ascii="Calibri" w:hAnsi="Calibri" w:cs="Calibri"/>
          <w:b/>
          <w:bCs/>
          <w:color w:val="000000" w:themeColor="text1"/>
          <w:sz w:val="24"/>
          <w:lang w:val="es-ES_tradnl"/>
        </w:rPr>
      </w:pPr>
      <w:r w:rsidRPr="000D6AB8">
        <w:rPr>
          <w:rFonts w:ascii="Calibri" w:hAnsi="Calibri" w:cs="Calibri"/>
          <w:b/>
          <w:bCs/>
          <w:color w:val="000000" w:themeColor="text1"/>
          <w:sz w:val="24"/>
          <w:lang w:val="es-ES_tradnl"/>
        </w:rPr>
        <w:t>Acceso al aborto en Catalunya:</w:t>
      </w:r>
    </w:p>
    <w:p w14:paraId="0DF45AA1" w14:textId="77777777" w:rsidR="003915E3" w:rsidRPr="000D6AB8" w:rsidRDefault="003915E3" w:rsidP="003915E3">
      <w:pPr>
        <w:pStyle w:val="NormalWeb"/>
        <w:spacing w:before="0"/>
        <w:contextualSpacing/>
        <w:jc w:val="both"/>
        <w:rPr>
          <w:rFonts w:ascii="Calibri" w:hAnsi="Calibri" w:cs="Calibri"/>
          <w:color w:val="FF0000"/>
          <w:sz w:val="24"/>
          <w:lang w:val="es-ES_tradnl"/>
        </w:rPr>
      </w:pPr>
    </w:p>
    <w:p w14:paraId="18C36550" w14:textId="1F693AAC" w:rsidR="003915E3" w:rsidRPr="000D6AB8" w:rsidRDefault="0088550B" w:rsidP="003915E3">
      <w:pPr>
        <w:pStyle w:val="NormalWeb"/>
        <w:spacing w:before="0"/>
        <w:ind w:left="644"/>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 xml:space="preserve">Después de largas reivindicaciones de movimientos y organizaciones de mujeres y feministas </w:t>
      </w:r>
      <w:r w:rsidR="003915E3" w:rsidRPr="000D6AB8">
        <w:rPr>
          <w:rFonts w:ascii="Calibri" w:hAnsi="Calibri" w:cs="Calibri"/>
          <w:color w:val="000000" w:themeColor="text1"/>
          <w:sz w:val="24"/>
          <w:lang w:val="es-ES_tradnl"/>
        </w:rPr>
        <w:t>sobre</w:t>
      </w:r>
      <w:r w:rsidRPr="000D6AB8">
        <w:rPr>
          <w:rFonts w:ascii="Calibri" w:hAnsi="Calibri" w:cs="Calibri"/>
          <w:color w:val="000000" w:themeColor="text1"/>
          <w:sz w:val="24"/>
          <w:lang w:val="es-ES_tradnl"/>
        </w:rPr>
        <w:t xml:space="preserve"> el acceso al abort</w:t>
      </w:r>
      <w:r w:rsidR="003915E3" w:rsidRPr="000D6AB8">
        <w:rPr>
          <w:rFonts w:ascii="Calibri" w:hAnsi="Calibri" w:cs="Calibri"/>
          <w:color w:val="000000" w:themeColor="text1"/>
          <w:sz w:val="24"/>
          <w:lang w:val="es-ES_tradnl"/>
        </w:rPr>
        <w:t>o</w:t>
      </w:r>
      <w:r w:rsidRPr="000D6AB8">
        <w:rPr>
          <w:rFonts w:ascii="Calibri" w:hAnsi="Calibri" w:cs="Calibri"/>
          <w:color w:val="000000" w:themeColor="text1"/>
          <w:sz w:val="24"/>
          <w:lang w:val="es-ES_tradnl"/>
        </w:rPr>
        <w:t xml:space="preserve"> libre y gratuito en la zona oeste y de los Pirineos de Catalunya, se han logrado</w:t>
      </w:r>
      <w:r w:rsidR="003915E3" w:rsidRPr="000D6AB8">
        <w:rPr>
          <w:rFonts w:ascii="Calibri" w:hAnsi="Calibri" w:cs="Calibri"/>
          <w:color w:val="000000" w:themeColor="text1"/>
          <w:sz w:val="24"/>
          <w:lang w:val="es-ES_tradnl"/>
        </w:rPr>
        <w:t xml:space="preserve">, a medias, algunas de </w:t>
      </w:r>
      <w:r w:rsidRPr="000D6AB8">
        <w:rPr>
          <w:rFonts w:ascii="Calibri" w:hAnsi="Calibri" w:cs="Calibri"/>
          <w:color w:val="000000" w:themeColor="text1"/>
          <w:sz w:val="24"/>
          <w:lang w:val="es-ES_tradnl"/>
        </w:rPr>
        <w:t>las demandas</w:t>
      </w:r>
      <w:r w:rsidR="003915E3" w:rsidRPr="000D6AB8">
        <w:rPr>
          <w:rFonts w:ascii="Calibri" w:hAnsi="Calibri" w:cs="Calibri"/>
          <w:color w:val="000000" w:themeColor="text1"/>
          <w:sz w:val="24"/>
          <w:lang w:val="es-ES_tradnl"/>
        </w:rPr>
        <w:t>:</w:t>
      </w:r>
    </w:p>
    <w:p w14:paraId="295A1E84" w14:textId="59960B03" w:rsidR="002213D2" w:rsidRPr="000D6AB8" w:rsidRDefault="002213D2" w:rsidP="003915E3">
      <w:pPr>
        <w:pStyle w:val="NormalWeb"/>
        <w:numPr>
          <w:ilvl w:val="2"/>
          <w:numId w:val="34"/>
        </w:numPr>
        <w:spacing w:before="0"/>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Desde principios de 2021 dos hospitales de la zona de los pirineos de Catalunya ya ofrecen el servicio de interrupción voluntaria del embarazo v</w:t>
      </w:r>
      <w:r w:rsidR="003915E3" w:rsidRPr="000D6AB8">
        <w:rPr>
          <w:rFonts w:ascii="Calibri" w:hAnsi="Calibri" w:cs="Calibri"/>
          <w:color w:val="000000" w:themeColor="text1"/>
          <w:sz w:val="24"/>
          <w:lang w:val="es-ES_tradnl"/>
        </w:rPr>
        <w:t>í</w:t>
      </w:r>
      <w:r w:rsidRPr="000D6AB8">
        <w:rPr>
          <w:rFonts w:ascii="Calibri" w:hAnsi="Calibri" w:cs="Calibri"/>
          <w:color w:val="000000" w:themeColor="text1"/>
          <w:sz w:val="24"/>
          <w:lang w:val="es-ES_tradnl"/>
        </w:rPr>
        <w:t>a farmacológica</w:t>
      </w:r>
      <w:r w:rsidR="003915E3" w:rsidRPr="000D6AB8">
        <w:rPr>
          <w:rFonts w:ascii="Calibri" w:hAnsi="Calibri" w:cs="Calibri"/>
          <w:color w:val="000000" w:themeColor="text1"/>
          <w:sz w:val="24"/>
          <w:lang w:val="es-ES_tradnl"/>
        </w:rPr>
        <w:t xml:space="preserve"> </w:t>
      </w:r>
      <w:r w:rsidRPr="000D6AB8">
        <w:rPr>
          <w:rFonts w:ascii="Calibri" w:hAnsi="Calibri" w:cs="Calibri"/>
          <w:color w:val="000000" w:themeColor="text1"/>
          <w:sz w:val="24"/>
          <w:lang w:val="es-ES_tradnl"/>
        </w:rPr>
        <w:t>– A través del proceso de autorización por parte de la Dirección General de Ordenación y Regulación Sanitaria (DGORS) del Departamento de Salud del Gobierno de Catalunya.</w:t>
      </w:r>
      <w:r w:rsidR="001C24AA" w:rsidRPr="000D6AB8">
        <w:rPr>
          <w:rStyle w:val="FootnoteReference"/>
          <w:rFonts w:ascii="Calibri" w:hAnsi="Calibri"/>
          <w:color w:val="000000" w:themeColor="text1"/>
          <w:sz w:val="24"/>
          <w:lang w:val="es-ES_tradnl"/>
        </w:rPr>
        <w:footnoteReference w:id="6"/>
      </w:r>
    </w:p>
    <w:p w14:paraId="5A203FCC" w14:textId="301E6497" w:rsidR="0009263A" w:rsidRPr="000D6AB8" w:rsidRDefault="0009263A" w:rsidP="0009263A">
      <w:pPr>
        <w:pStyle w:val="NormalWeb"/>
        <w:numPr>
          <w:ilvl w:val="2"/>
          <w:numId w:val="40"/>
        </w:numPr>
        <w:spacing w:before="0"/>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No obstante, no se ha logrado todavía ofrecer el servicio de IVE vía instrumental.</w:t>
      </w:r>
    </w:p>
    <w:p w14:paraId="1905CF99" w14:textId="3E162EAA" w:rsidR="002F53E5" w:rsidRPr="000D6AB8" w:rsidRDefault="002F53E5" w:rsidP="0008727D">
      <w:pPr>
        <w:pStyle w:val="NormalWeb"/>
        <w:numPr>
          <w:ilvl w:val="2"/>
          <w:numId w:val="34"/>
        </w:numPr>
        <w:spacing w:before="0"/>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 xml:space="preserve">También se ha ampliado la cartera de servicios de ginecología con el control de las gestiones de alto riesgo. </w:t>
      </w:r>
    </w:p>
    <w:p w14:paraId="4E215555" w14:textId="626FE928" w:rsidR="0009263A" w:rsidRPr="000D6AB8" w:rsidRDefault="00612CFD" w:rsidP="00612CFD">
      <w:pPr>
        <w:pStyle w:val="NormalWeb"/>
        <w:numPr>
          <w:ilvl w:val="2"/>
          <w:numId w:val="34"/>
        </w:numPr>
        <w:spacing w:before="0"/>
        <w:contextualSpacing/>
        <w:jc w:val="both"/>
        <w:rPr>
          <w:rFonts w:ascii="Calibri" w:hAnsi="Calibri" w:cs="Calibri"/>
          <w:color w:val="000000" w:themeColor="text1"/>
          <w:sz w:val="24"/>
          <w:lang w:val="es-ES_tradnl"/>
        </w:rPr>
      </w:pPr>
      <w:r w:rsidRPr="000D6AB8">
        <w:rPr>
          <w:rFonts w:ascii="Calibri" w:hAnsi="Calibri" w:cs="Calibri"/>
          <w:color w:val="000000" w:themeColor="text1"/>
          <w:sz w:val="24"/>
          <w:lang w:val="es-ES_tradnl"/>
        </w:rPr>
        <w:t>El Departamento de Salud ha estado gestionando con clínicas privadas de la zona occidental de Catalunya (Lleida) y Pirenaica, para que practiquen interrupciones voluntarias del embarazo quirúrgicas. Hasta la fecha se ha logrado que en breve</w:t>
      </w:r>
      <w:r w:rsidR="0009263A" w:rsidRPr="000D6AB8">
        <w:rPr>
          <w:rFonts w:ascii="Calibri" w:hAnsi="Calibri" w:cs="Calibri"/>
          <w:color w:val="000000" w:themeColor="text1"/>
          <w:sz w:val="24"/>
          <w:lang w:val="es-ES_tradnl"/>
        </w:rPr>
        <w:t xml:space="preserve"> una clínica </w:t>
      </w:r>
      <w:r w:rsidR="001C24AA" w:rsidRPr="000D6AB8">
        <w:rPr>
          <w:rFonts w:ascii="Calibri" w:hAnsi="Calibri" w:cs="Calibri"/>
          <w:color w:val="000000" w:themeColor="text1"/>
          <w:sz w:val="24"/>
          <w:lang w:val="es-ES_tradnl"/>
        </w:rPr>
        <w:t xml:space="preserve">privada </w:t>
      </w:r>
      <w:r w:rsidR="0009263A" w:rsidRPr="000D6AB8">
        <w:rPr>
          <w:rFonts w:ascii="Calibri" w:hAnsi="Calibri" w:cs="Calibri"/>
          <w:color w:val="000000" w:themeColor="text1"/>
          <w:sz w:val="24"/>
          <w:lang w:val="es-ES_tradnl"/>
        </w:rPr>
        <w:t>de la ciudad de Lleida ofre</w:t>
      </w:r>
      <w:r w:rsidRPr="000D6AB8">
        <w:rPr>
          <w:rFonts w:ascii="Calibri" w:hAnsi="Calibri" w:cs="Calibri"/>
          <w:color w:val="000000" w:themeColor="text1"/>
          <w:sz w:val="24"/>
          <w:lang w:val="es-ES_tradnl"/>
        </w:rPr>
        <w:t>zca</w:t>
      </w:r>
      <w:r w:rsidR="0009263A" w:rsidRPr="000D6AB8">
        <w:rPr>
          <w:rFonts w:ascii="Calibri" w:hAnsi="Calibri" w:cs="Calibri"/>
          <w:color w:val="000000" w:themeColor="text1"/>
          <w:sz w:val="24"/>
          <w:lang w:val="es-ES_tradnl"/>
        </w:rPr>
        <w:t xml:space="preserve"> el servicio de IVE vía instrumental, siendo la única de la región que lo realizará. Es un avance para la garantía de los derechos sexuales y reproductivos de las mujeres de las zonas más rurales de Catalunya a pesar </w:t>
      </w:r>
      <w:r w:rsidR="00A96DDA" w:rsidRPr="000D6AB8">
        <w:rPr>
          <w:rFonts w:ascii="Calibri" w:hAnsi="Calibri" w:cs="Calibri"/>
          <w:color w:val="000000" w:themeColor="text1"/>
          <w:sz w:val="24"/>
          <w:lang w:val="es-ES_tradnl"/>
        </w:rPr>
        <w:t xml:space="preserve">de </w:t>
      </w:r>
      <w:r w:rsidR="0009263A" w:rsidRPr="000D6AB8">
        <w:rPr>
          <w:rFonts w:ascii="Calibri" w:hAnsi="Calibri" w:cs="Calibri"/>
          <w:color w:val="000000" w:themeColor="text1"/>
          <w:sz w:val="24"/>
          <w:lang w:val="es-ES_tradnl"/>
        </w:rPr>
        <w:t>que todavía quedan muchos avances por lograr.</w:t>
      </w:r>
      <w:r w:rsidR="001C24AA" w:rsidRPr="000D6AB8">
        <w:rPr>
          <w:rStyle w:val="FootnoteReference"/>
          <w:rFonts w:ascii="Calibri" w:hAnsi="Calibri"/>
          <w:color w:val="000000" w:themeColor="text1"/>
          <w:sz w:val="24"/>
          <w:lang w:val="es-ES_tradnl"/>
        </w:rPr>
        <w:footnoteReference w:id="7"/>
      </w:r>
    </w:p>
    <w:p w14:paraId="49347F20" w14:textId="7DFDC52A" w:rsidR="00CA2FAD" w:rsidRPr="000D6AB8" w:rsidRDefault="00CA2FAD" w:rsidP="00CA2FAD">
      <w:pPr>
        <w:pStyle w:val="NormalWeb"/>
        <w:spacing w:before="0"/>
        <w:contextualSpacing/>
        <w:jc w:val="both"/>
        <w:rPr>
          <w:rFonts w:ascii="Calibri" w:hAnsi="Calibri" w:cs="Calibri"/>
          <w:color w:val="FF0000"/>
          <w:sz w:val="24"/>
          <w:lang w:val="es-ES_tradnl"/>
        </w:rPr>
      </w:pPr>
    </w:p>
    <w:p w14:paraId="19DF6D97" w14:textId="77777777" w:rsidR="005122A3" w:rsidRPr="000D6AB8" w:rsidRDefault="005122A3" w:rsidP="00560933">
      <w:pPr>
        <w:pStyle w:val="NormalWeb"/>
        <w:spacing w:before="0"/>
        <w:contextualSpacing/>
        <w:jc w:val="both"/>
        <w:rPr>
          <w:rFonts w:ascii="Times New Roman" w:hAnsi="Times New Roman"/>
          <w:sz w:val="24"/>
          <w:lang w:val="es-ES_tradnl"/>
        </w:rPr>
      </w:pPr>
    </w:p>
    <w:p w14:paraId="609800BF" w14:textId="77777777" w:rsidR="00C231AF" w:rsidRPr="000D6AB8" w:rsidRDefault="00C231AF" w:rsidP="00D30413">
      <w:pPr>
        <w:pStyle w:val="NormalWeb"/>
        <w:spacing w:before="0"/>
        <w:ind w:left="284"/>
        <w:contextualSpacing/>
        <w:jc w:val="both"/>
        <w:rPr>
          <w:rFonts w:ascii="Times New Roman" w:hAnsi="Times New Roman"/>
          <w:sz w:val="24"/>
          <w:lang w:val="es-ES_tradnl"/>
        </w:rPr>
      </w:pPr>
    </w:p>
    <w:p w14:paraId="42619387" w14:textId="77777777" w:rsidR="00C231AF" w:rsidRPr="000D6AB8" w:rsidRDefault="00C231AF" w:rsidP="00D30413">
      <w:pPr>
        <w:pStyle w:val="NormalWeb"/>
        <w:numPr>
          <w:ilvl w:val="0"/>
          <w:numId w:val="32"/>
        </w:numPr>
        <w:spacing w:before="0"/>
        <w:ind w:left="284" w:hanging="284"/>
        <w:contextualSpacing/>
        <w:jc w:val="both"/>
        <w:rPr>
          <w:rFonts w:ascii="Times New Roman" w:hAnsi="Times New Roman"/>
          <w:i/>
          <w:iCs/>
          <w:sz w:val="24"/>
          <w:lang w:val="es-ES"/>
        </w:rPr>
      </w:pPr>
      <w:r w:rsidRPr="000D6AB8">
        <w:rPr>
          <w:rFonts w:ascii="Times New Roman" w:hAnsi="Times New Roman"/>
          <w:i/>
          <w:iCs/>
          <w:sz w:val="24"/>
          <w:lang w:val="es-ES"/>
        </w:rPr>
        <w:t xml:space="preserve">En lo que respecta a la atención de la salud sexual y reproductiva, ¿qué servicios, bienes e información se están proporcionando en su país (o países), durante la pandemia? </w:t>
      </w:r>
    </w:p>
    <w:p w14:paraId="10B5BF34" w14:textId="77777777" w:rsidR="004C53A1" w:rsidRPr="000D6AB8" w:rsidRDefault="004C53A1" w:rsidP="00D30413">
      <w:pPr>
        <w:pStyle w:val="ListParagraph"/>
        <w:numPr>
          <w:ilvl w:val="0"/>
          <w:numId w:val="33"/>
        </w:numPr>
        <w:jc w:val="both"/>
        <w:rPr>
          <w:rFonts w:eastAsia="Helvetica Neue"/>
          <w:i/>
          <w:iCs/>
          <w:vanish/>
          <w:sz w:val="24"/>
          <w:szCs w:val="24"/>
          <w:lang w:val="es-ES"/>
        </w:rPr>
      </w:pPr>
    </w:p>
    <w:p w14:paraId="48B1D36F" w14:textId="77777777" w:rsidR="004C53A1" w:rsidRPr="000D6AB8" w:rsidRDefault="004C53A1" w:rsidP="00D30413">
      <w:pPr>
        <w:pStyle w:val="ListParagraph"/>
        <w:numPr>
          <w:ilvl w:val="0"/>
          <w:numId w:val="33"/>
        </w:numPr>
        <w:jc w:val="both"/>
        <w:rPr>
          <w:rFonts w:eastAsia="Helvetica Neue"/>
          <w:i/>
          <w:iCs/>
          <w:vanish/>
          <w:sz w:val="24"/>
          <w:szCs w:val="24"/>
          <w:lang w:val="es-ES"/>
        </w:rPr>
      </w:pPr>
    </w:p>
    <w:p w14:paraId="1F51AB87" w14:textId="77777777" w:rsidR="004C53A1" w:rsidRPr="000D6AB8" w:rsidRDefault="004C53A1" w:rsidP="00D30413">
      <w:pPr>
        <w:pStyle w:val="ListParagraph"/>
        <w:numPr>
          <w:ilvl w:val="0"/>
          <w:numId w:val="33"/>
        </w:numPr>
        <w:jc w:val="both"/>
        <w:rPr>
          <w:rFonts w:eastAsia="Helvetica Neue"/>
          <w:i/>
          <w:iCs/>
          <w:vanish/>
          <w:sz w:val="24"/>
          <w:szCs w:val="24"/>
          <w:lang w:val="es-ES"/>
        </w:rPr>
      </w:pPr>
    </w:p>
    <w:p w14:paraId="556E723F" w14:textId="24F7CCF2" w:rsidR="00503293" w:rsidRPr="000D6AB8" w:rsidRDefault="00C231AF" w:rsidP="00D30413">
      <w:pPr>
        <w:pStyle w:val="NormalWeb"/>
        <w:numPr>
          <w:ilvl w:val="1"/>
          <w:numId w:val="33"/>
        </w:numPr>
        <w:spacing w:before="0"/>
        <w:contextualSpacing/>
        <w:jc w:val="both"/>
        <w:rPr>
          <w:rFonts w:ascii="Times New Roman" w:hAnsi="Times New Roman"/>
          <w:i/>
          <w:iCs/>
          <w:sz w:val="24"/>
          <w:lang w:val="es-ES"/>
        </w:rPr>
      </w:pPr>
      <w:r w:rsidRPr="000D6AB8">
        <w:rPr>
          <w:rFonts w:ascii="Times New Roman" w:hAnsi="Times New Roman"/>
          <w:i/>
          <w:iCs/>
          <w:sz w:val="24"/>
          <w:lang w:val="es-ES"/>
        </w:rPr>
        <w:t>¿Algún cambio en comparación con la situación anterior a la COVID 19? ¿Se ha quitado prioridad o se ha dejado de financiar algún servicio, bien o información relativo a la salud sexual y reproductiva? De ser así, ¿a quién afecta esto?</w:t>
      </w:r>
    </w:p>
    <w:p w14:paraId="68D6344F" w14:textId="77777777" w:rsidR="00503293" w:rsidRPr="000D6AB8" w:rsidRDefault="00C231AF" w:rsidP="00D30413">
      <w:pPr>
        <w:pStyle w:val="NormalWeb"/>
        <w:numPr>
          <w:ilvl w:val="1"/>
          <w:numId w:val="33"/>
        </w:numPr>
        <w:spacing w:before="0"/>
        <w:contextualSpacing/>
        <w:jc w:val="both"/>
        <w:rPr>
          <w:rFonts w:ascii="Times New Roman" w:hAnsi="Times New Roman"/>
          <w:i/>
          <w:iCs/>
          <w:sz w:val="24"/>
          <w:lang w:val="es-ES"/>
        </w:rPr>
      </w:pPr>
      <w:r w:rsidRPr="000D6AB8">
        <w:rPr>
          <w:rFonts w:ascii="Times New Roman" w:hAnsi="Times New Roman"/>
          <w:i/>
          <w:iCs/>
          <w:sz w:val="24"/>
          <w:lang w:val="es-ES"/>
        </w:rPr>
        <w:t>Por favor, explique si ha habido algún impacto en la disponibilidad, accesibilidad, aceptabilidad o calidad de los servicios en materia de salud sexual y reproductiva durante la COVID - 19.</w:t>
      </w:r>
    </w:p>
    <w:p w14:paraId="4E7234DD" w14:textId="2D35AE4E" w:rsidR="00C231AF" w:rsidRPr="000D6AB8" w:rsidRDefault="00C231AF" w:rsidP="00D30413">
      <w:pPr>
        <w:pStyle w:val="NormalWeb"/>
        <w:numPr>
          <w:ilvl w:val="1"/>
          <w:numId w:val="33"/>
        </w:numPr>
        <w:spacing w:before="0"/>
        <w:contextualSpacing/>
        <w:jc w:val="both"/>
        <w:rPr>
          <w:rFonts w:ascii="Times New Roman" w:hAnsi="Times New Roman"/>
          <w:i/>
          <w:iCs/>
          <w:sz w:val="24"/>
          <w:lang w:val="es-ES"/>
        </w:rPr>
      </w:pPr>
      <w:r w:rsidRPr="000D6AB8">
        <w:rPr>
          <w:rFonts w:ascii="Times New Roman" w:hAnsi="Times New Roman"/>
          <w:i/>
          <w:iCs/>
          <w:sz w:val="24"/>
          <w:lang w:val="es-ES"/>
        </w:rPr>
        <w:t>Por favor, comparta también información sobre otros posibles obstáculos o desafíos prácticos en el acceso a los servicios en materia de salud sexual y reproductiva durante la pandemia, y quiénes padecieron el impacto.</w:t>
      </w:r>
    </w:p>
    <w:p w14:paraId="6A6AC376" w14:textId="1CD97D01" w:rsidR="00BA5EE1" w:rsidRPr="000D6AB8" w:rsidRDefault="00BA5EE1" w:rsidP="00BA5EE1">
      <w:pPr>
        <w:pStyle w:val="NormalWeb"/>
        <w:spacing w:before="0"/>
        <w:contextualSpacing/>
        <w:jc w:val="both"/>
        <w:rPr>
          <w:rFonts w:ascii="Times New Roman" w:hAnsi="Times New Roman"/>
          <w:color w:val="FF0000"/>
          <w:sz w:val="24"/>
          <w:lang w:val="es-ES"/>
        </w:rPr>
      </w:pPr>
    </w:p>
    <w:p w14:paraId="5E9D61DC" w14:textId="60D24721" w:rsidR="00BA5EE1" w:rsidRPr="000D6AB8" w:rsidRDefault="00BA5EE1" w:rsidP="00BA5EE1">
      <w:pPr>
        <w:pStyle w:val="NormalWeb"/>
        <w:numPr>
          <w:ilvl w:val="0"/>
          <w:numId w:val="36"/>
        </w:numPr>
        <w:spacing w:before="0"/>
        <w:contextualSpacing/>
        <w:jc w:val="both"/>
        <w:rPr>
          <w:rFonts w:ascii="Calibri" w:hAnsi="Calibri" w:cs="Calibri"/>
          <w:b/>
          <w:bCs/>
          <w:color w:val="000000" w:themeColor="text1"/>
          <w:sz w:val="24"/>
          <w:lang w:val="es-ES"/>
        </w:rPr>
      </w:pPr>
      <w:r w:rsidRPr="000D6AB8">
        <w:rPr>
          <w:rFonts w:ascii="Calibri" w:hAnsi="Calibri" w:cs="Calibri"/>
          <w:b/>
          <w:bCs/>
          <w:color w:val="000000" w:themeColor="text1"/>
          <w:sz w:val="24"/>
          <w:lang w:val="es-ES"/>
        </w:rPr>
        <w:t xml:space="preserve">CIERRE CENTRO </w:t>
      </w:r>
      <w:r w:rsidR="00657017" w:rsidRPr="000D6AB8">
        <w:rPr>
          <w:rFonts w:ascii="Calibri" w:hAnsi="Calibri" w:cs="Calibri"/>
          <w:b/>
          <w:bCs/>
          <w:color w:val="000000" w:themeColor="text1"/>
          <w:sz w:val="24"/>
          <w:lang w:val="es-ES"/>
        </w:rPr>
        <w:t xml:space="preserve">DE SALUD INTERNACIONAL Y ENFERMEDADES TRANSMISIBLES – </w:t>
      </w:r>
      <w:r w:rsidRPr="000D6AB8">
        <w:rPr>
          <w:rFonts w:ascii="Calibri" w:hAnsi="Calibri" w:cs="Calibri"/>
          <w:b/>
          <w:bCs/>
          <w:color w:val="000000" w:themeColor="text1"/>
          <w:sz w:val="24"/>
          <w:lang w:val="es-ES"/>
        </w:rPr>
        <w:t>DRASSANES</w:t>
      </w:r>
      <w:r w:rsidR="00657017" w:rsidRPr="000D6AB8">
        <w:rPr>
          <w:rFonts w:ascii="Calibri" w:hAnsi="Calibri" w:cs="Calibri"/>
          <w:b/>
          <w:bCs/>
          <w:color w:val="000000" w:themeColor="text1"/>
          <w:sz w:val="24"/>
          <w:lang w:val="es-ES"/>
        </w:rPr>
        <w:t xml:space="preserve"> (BARCELONA)</w:t>
      </w:r>
    </w:p>
    <w:p w14:paraId="1AC62E21" w14:textId="77777777" w:rsidR="00BA5EE1" w:rsidRPr="000D6AB8" w:rsidRDefault="00BA5EE1" w:rsidP="00BA5EE1">
      <w:pPr>
        <w:pStyle w:val="NormalWeb"/>
        <w:spacing w:before="0"/>
        <w:contextualSpacing/>
        <w:jc w:val="both"/>
        <w:rPr>
          <w:rFonts w:ascii="Times New Roman" w:hAnsi="Times New Roman"/>
          <w:color w:val="000000" w:themeColor="text1"/>
          <w:sz w:val="24"/>
          <w:lang w:val="es-ES"/>
        </w:rPr>
      </w:pPr>
    </w:p>
    <w:p w14:paraId="1A79D277" w14:textId="2834C86A" w:rsidR="0088550B" w:rsidRPr="000D6AB8" w:rsidRDefault="00565562" w:rsidP="003D01A7">
      <w:pPr>
        <w:jc w:val="both"/>
        <w:rPr>
          <w:rFonts w:ascii="Calibri" w:hAnsi="Calibri" w:cs="Calibri"/>
          <w:color w:val="000000" w:themeColor="text1"/>
          <w:sz w:val="24"/>
          <w:lang w:val="es-ES"/>
        </w:rPr>
      </w:pPr>
      <w:r w:rsidRPr="000D6AB8">
        <w:rPr>
          <w:rFonts w:ascii="Calibri" w:hAnsi="Calibri" w:cs="Calibri"/>
          <w:color w:val="000000" w:themeColor="text1"/>
          <w:sz w:val="24"/>
          <w:lang w:val="es-ES"/>
        </w:rPr>
        <w:t>Durante el mes de octubre de 2020 se cerró el</w:t>
      </w:r>
      <w:r w:rsidR="0088550B" w:rsidRPr="000D6AB8">
        <w:rPr>
          <w:rFonts w:ascii="Calibri" w:hAnsi="Calibri" w:cs="Calibri"/>
          <w:color w:val="000000" w:themeColor="text1"/>
          <w:sz w:val="24"/>
          <w:szCs w:val="24"/>
          <w:shd w:val="clear" w:color="auto" w:fill="FFFFFF"/>
          <w:lang w:val="es-ES" w:eastAsia="ja-JP"/>
        </w:rPr>
        <w:t xml:space="preserve"> Centro de Salud Internacional y Enfermedades Transmisibles Drassanes</w:t>
      </w:r>
      <w:r w:rsidR="0088550B" w:rsidRPr="000D6AB8">
        <w:rPr>
          <w:rFonts w:ascii="Calibri" w:hAnsi="Calibri" w:cs="Calibri"/>
          <w:color w:val="000000" w:themeColor="text1"/>
          <w:sz w:val="24"/>
          <w:szCs w:val="24"/>
          <w:lang w:val="es-ES" w:eastAsia="ja-JP"/>
        </w:rPr>
        <w:t xml:space="preserve">, </w:t>
      </w:r>
      <w:r w:rsidR="0088550B" w:rsidRPr="000D6AB8">
        <w:rPr>
          <w:rFonts w:ascii="Calibri" w:hAnsi="Calibri" w:cs="Calibri"/>
          <w:color w:val="000000" w:themeColor="text1"/>
          <w:sz w:val="24"/>
          <w:lang w:val="es-ES"/>
        </w:rPr>
        <w:t>el servicio de referencia en infecciones de transmisión sexual, tuberculosis y salud comunitaria en el centro de Barcelona, debido a la epidemia</w:t>
      </w:r>
      <w:r w:rsidRPr="000D6AB8">
        <w:rPr>
          <w:rFonts w:ascii="Calibri" w:hAnsi="Calibri" w:cs="Calibri"/>
          <w:color w:val="000000" w:themeColor="text1"/>
          <w:sz w:val="24"/>
          <w:lang w:val="es-ES"/>
        </w:rPr>
        <w:t>. Las autoridades correspondientes no informaron del cierre y a</w:t>
      </w:r>
      <w:r w:rsidR="00E30444" w:rsidRPr="000D6AB8">
        <w:rPr>
          <w:rFonts w:ascii="Calibri" w:hAnsi="Calibri" w:cs="Calibri"/>
          <w:color w:val="000000" w:themeColor="text1"/>
          <w:sz w:val="24"/>
          <w:lang w:val="es-ES"/>
        </w:rPr>
        <w:t xml:space="preserve"> </w:t>
      </w:r>
      <w:r w:rsidRPr="000D6AB8">
        <w:rPr>
          <w:rFonts w:ascii="Calibri" w:hAnsi="Calibri" w:cs="Calibri"/>
          <w:color w:val="000000" w:themeColor="text1"/>
          <w:sz w:val="24"/>
          <w:lang w:val="es-ES"/>
        </w:rPr>
        <w:t xml:space="preserve">pesar </w:t>
      </w:r>
      <w:r w:rsidR="00B26347" w:rsidRPr="000D6AB8">
        <w:rPr>
          <w:rFonts w:ascii="Calibri" w:hAnsi="Calibri" w:cs="Calibri"/>
          <w:color w:val="000000" w:themeColor="text1"/>
          <w:sz w:val="24"/>
          <w:lang w:val="es-ES"/>
        </w:rPr>
        <w:t xml:space="preserve">de </w:t>
      </w:r>
      <w:r w:rsidRPr="000D6AB8">
        <w:rPr>
          <w:rFonts w:ascii="Calibri" w:hAnsi="Calibri" w:cs="Calibri"/>
          <w:color w:val="000000" w:themeColor="text1"/>
          <w:sz w:val="24"/>
          <w:lang w:val="es-ES"/>
        </w:rPr>
        <w:t>manifiesta</w:t>
      </w:r>
      <w:r w:rsidR="00B26347" w:rsidRPr="000D6AB8">
        <w:rPr>
          <w:rFonts w:ascii="Calibri" w:hAnsi="Calibri" w:cs="Calibri"/>
          <w:color w:val="000000" w:themeColor="text1"/>
          <w:sz w:val="24"/>
          <w:lang w:val="es-ES"/>
        </w:rPr>
        <w:t>r</w:t>
      </w:r>
      <w:r w:rsidRPr="000D6AB8">
        <w:rPr>
          <w:rFonts w:ascii="Calibri" w:hAnsi="Calibri" w:cs="Calibri"/>
          <w:color w:val="000000" w:themeColor="text1"/>
          <w:sz w:val="24"/>
          <w:lang w:val="es-ES"/>
        </w:rPr>
        <w:t xml:space="preserve"> que todos sus servicios se han reagrupado en el Hospital Vall d’Hebron (su ubicación es lejana del centro de la ciudad), deja desamparadas a muchas personas</w:t>
      </w:r>
      <w:r w:rsidR="003D01A7" w:rsidRPr="000D6AB8">
        <w:rPr>
          <w:rFonts w:ascii="Calibri" w:hAnsi="Calibri" w:cs="Calibri"/>
          <w:color w:val="000000" w:themeColor="text1"/>
          <w:sz w:val="24"/>
          <w:lang w:val="es-ES"/>
        </w:rPr>
        <w:t>, y en especial a colectivos ya vulnerabilizados antes de la pandemia de la covid19.</w:t>
      </w:r>
    </w:p>
    <w:p w14:paraId="6A1BA703" w14:textId="41E30CC2" w:rsidR="003D01A7" w:rsidRPr="000D6AB8" w:rsidRDefault="003D01A7" w:rsidP="003D01A7">
      <w:pPr>
        <w:jc w:val="both"/>
        <w:rPr>
          <w:rFonts w:ascii="Calibri" w:hAnsi="Calibri" w:cs="Calibri"/>
          <w:color w:val="000000" w:themeColor="text1"/>
          <w:sz w:val="24"/>
          <w:lang w:val="es-ES"/>
        </w:rPr>
      </w:pPr>
    </w:p>
    <w:p w14:paraId="41556D91" w14:textId="1376A8AE" w:rsidR="003D01A7" w:rsidRPr="000D6AB8" w:rsidRDefault="003D01A7" w:rsidP="003D01A7">
      <w:pPr>
        <w:jc w:val="both"/>
        <w:rPr>
          <w:rFonts w:ascii="Calibri" w:hAnsi="Calibri" w:cs="Calibri"/>
          <w:color w:val="000000" w:themeColor="text1"/>
          <w:sz w:val="24"/>
          <w:szCs w:val="24"/>
          <w:lang w:val="es-ES" w:eastAsia="ja-JP"/>
        </w:rPr>
      </w:pPr>
      <w:r w:rsidRPr="000D6AB8">
        <w:rPr>
          <w:rFonts w:ascii="Calibri" w:hAnsi="Calibri" w:cs="Calibri"/>
          <w:color w:val="000000" w:themeColor="text1"/>
          <w:sz w:val="24"/>
          <w:szCs w:val="24"/>
          <w:lang w:val="es-ES"/>
        </w:rPr>
        <w:t xml:space="preserve">Además, el </w:t>
      </w:r>
      <w:r w:rsidRPr="000D6AB8">
        <w:rPr>
          <w:rFonts w:ascii="Calibri" w:hAnsi="Calibri" w:cs="Calibri"/>
          <w:color w:val="000000" w:themeColor="text1"/>
          <w:sz w:val="24"/>
          <w:szCs w:val="24"/>
          <w:shd w:val="clear" w:color="auto" w:fill="FFFFFF"/>
          <w:lang w:val="es-ES" w:eastAsia="ja-JP"/>
        </w:rPr>
        <w:t>'Drassanes Exprés'</w:t>
      </w:r>
      <w:r w:rsidR="00F050A4" w:rsidRPr="000D6AB8">
        <w:rPr>
          <w:rFonts w:ascii="Calibri" w:hAnsi="Calibri" w:cs="Calibri"/>
          <w:color w:val="000000" w:themeColor="text1"/>
          <w:sz w:val="24"/>
          <w:szCs w:val="24"/>
          <w:shd w:val="clear" w:color="auto" w:fill="FFFFFF"/>
          <w:lang w:val="es-ES" w:eastAsia="ja-JP"/>
        </w:rPr>
        <w:t xml:space="preserve"> que es </w:t>
      </w:r>
      <w:r w:rsidRPr="000D6AB8">
        <w:rPr>
          <w:rFonts w:ascii="Calibri" w:hAnsi="Calibri" w:cs="Calibri"/>
          <w:color w:val="000000" w:themeColor="text1"/>
          <w:sz w:val="24"/>
          <w:szCs w:val="24"/>
          <w:shd w:val="clear" w:color="auto" w:fill="FFFFFF"/>
          <w:lang w:val="es-ES" w:eastAsia="ja-JP"/>
        </w:rPr>
        <w:t>un servicio anónimo para que usuarios</w:t>
      </w:r>
      <w:r w:rsidR="00F050A4" w:rsidRPr="000D6AB8">
        <w:rPr>
          <w:rFonts w:ascii="Calibri" w:hAnsi="Calibri" w:cs="Calibri"/>
          <w:color w:val="000000" w:themeColor="text1"/>
          <w:sz w:val="24"/>
          <w:szCs w:val="24"/>
          <w:shd w:val="clear" w:color="auto" w:fill="FFFFFF"/>
          <w:lang w:val="es-ES" w:eastAsia="ja-JP"/>
        </w:rPr>
        <w:t xml:space="preserve"> y usuarias</w:t>
      </w:r>
      <w:r w:rsidRPr="000D6AB8">
        <w:rPr>
          <w:rFonts w:ascii="Calibri" w:hAnsi="Calibri" w:cs="Calibri"/>
          <w:color w:val="000000" w:themeColor="text1"/>
          <w:sz w:val="24"/>
          <w:szCs w:val="24"/>
          <w:shd w:val="clear" w:color="auto" w:fill="FFFFFF"/>
          <w:lang w:val="es-ES" w:eastAsia="ja-JP"/>
        </w:rPr>
        <w:t xml:space="preserve"> pudiesen hacerse pruebas rápidas de VIH y </w:t>
      </w:r>
      <w:r w:rsidR="00F050A4" w:rsidRPr="000D6AB8">
        <w:rPr>
          <w:rFonts w:ascii="Calibri" w:hAnsi="Calibri" w:cs="Calibri"/>
          <w:color w:val="000000" w:themeColor="text1"/>
          <w:sz w:val="24"/>
          <w:szCs w:val="24"/>
          <w:shd w:val="clear" w:color="auto" w:fill="FFFFFF"/>
          <w:lang w:val="es-ES" w:eastAsia="ja-JP"/>
        </w:rPr>
        <w:t xml:space="preserve">de </w:t>
      </w:r>
      <w:r w:rsidRPr="000D6AB8">
        <w:rPr>
          <w:rFonts w:ascii="Calibri" w:hAnsi="Calibri" w:cs="Calibri"/>
          <w:color w:val="000000" w:themeColor="text1"/>
          <w:sz w:val="24"/>
          <w:szCs w:val="24"/>
          <w:shd w:val="clear" w:color="auto" w:fill="FFFFFF"/>
          <w:lang w:val="es-ES" w:eastAsia="ja-JP"/>
        </w:rPr>
        <w:t xml:space="preserve">otras infecciones de transmisión sexual, </w:t>
      </w:r>
      <w:r w:rsidR="00F050A4" w:rsidRPr="000D6AB8">
        <w:rPr>
          <w:rFonts w:ascii="Calibri" w:hAnsi="Calibri" w:cs="Calibri"/>
          <w:color w:val="000000" w:themeColor="text1"/>
          <w:sz w:val="24"/>
          <w:szCs w:val="24"/>
          <w:shd w:val="clear" w:color="auto" w:fill="FFFFFF"/>
          <w:lang w:val="es-ES" w:eastAsia="ja-JP"/>
        </w:rPr>
        <w:t xml:space="preserve">y </w:t>
      </w:r>
      <w:r w:rsidRPr="000D6AB8">
        <w:rPr>
          <w:rFonts w:ascii="Calibri" w:hAnsi="Calibri" w:cs="Calibri"/>
          <w:color w:val="000000" w:themeColor="text1"/>
          <w:sz w:val="24"/>
          <w:szCs w:val="24"/>
          <w:shd w:val="clear" w:color="auto" w:fill="FFFFFF"/>
          <w:lang w:val="es-ES" w:eastAsia="ja-JP"/>
        </w:rPr>
        <w:t>conocer el resultado en cuestión de horas y ponerse en tratamiento en menos de tres días, fue un circuito pionero –que hasta entonces solamente ofrecían entidades sociales– y fue utilizado por 3.600 personas en su primer año de existencia, con un porcentaje de positivos del 16%. Desde marzo 2020, sin embargo, este programa ha permanecido cerrado. Aunque el centro en su conjunto reabrió y retomó su actividad con la desescalada</w:t>
      </w:r>
      <w:r w:rsidR="00F050A4" w:rsidRPr="000D6AB8">
        <w:rPr>
          <w:rFonts w:ascii="Calibri" w:hAnsi="Calibri" w:cs="Calibri"/>
          <w:color w:val="000000" w:themeColor="text1"/>
          <w:sz w:val="24"/>
          <w:szCs w:val="24"/>
          <w:shd w:val="clear" w:color="auto" w:fill="FFFFFF"/>
          <w:lang w:val="es-ES" w:eastAsia="ja-JP"/>
        </w:rPr>
        <w:t xml:space="preserve"> de las medidas vinculadas a la pandemia</w:t>
      </w:r>
      <w:r w:rsidRPr="000D6AB8">
        <w:rPr>
          <w:rFonts w:ascii="Calibri" w:hAnsi="Calibri" w:cs="Calibri"/>
          <w:color w:val="000000" w:themeColor="text1"/>
          <w:sz w:val="24"/>
          <w:szCs w:val="24"/>
          <w:shd w:val="clear" w:color="auto" w:fill="FFFFFF"/>
          <w:lang w:val="es-ES" w:eastAsia="ja-JP"/>
        </w:rPr>
        <w:t>, el 'Drassanes Exprés' siguió congelado porque, según argumentan fuentes del hospital, el anonimato impide el rastreo en caso de que haya positivos de COVID-19</w:t>
      </w:r>
      <w:r w:rsidR="00F050A4" w:rsidRPr="000D6AB8">
        <w:rPr>
          <w:rStyle w:val="FootnoteReference"/>
          <w:rFonts w:ascii="Calibri" w:hAnsi="Calibri"/>
          <w:color w:val="000000" w:themeColor="text1"/>
          <w:sz w:val="24"/>
          <w:szCs w:val="24"/>
          <w:shd w:val="clear" w:color="auto" w:fill="FFFFFF"/>
          <w:lang w:val="es-ES" w:eastAsia="ja-JP"/>
        </w:rPr>
        <w:footnoteReference w:id="8"/>
      </w:r>
      <w:r w:rsidRPr="000D6AB8">
        <w:rPr>
          <w:rFonts w:ascii="Calibri" w:hAnsi="Calibri" w:cs="Calibri"/>
          <w:color w:val="000000" w:themeColor="text1"/>
          <w:sz w:val="24"/>
          <w:szCs w:val="24"/>
          <w:shd w:val="clear" w:color="auto" w:fill="FFFFFF"/>
          <w:lang w:val="es-ES" w:eastAsia="ja-JP"/>
        </w:rPr>
        <w:t>.</w:t>
      </w:r>
    </w:p>
    <w:p w14:paraId="2AF3D617" w14:textId="6769009A" w:rsidR="00565562" w:rsidRPr="000D6AB8" w:rsidRDefault="00565562" w:rsidP="0088550B">
      <w:pPr>
        <w:rPr>
          <w:color w:val="000000" w:themeColor="text1"/>
          <w:sz w:val="24"/>
          <w:lang w:val="es-ES"/>
        </w:rPr>
      </w:pPr>
    </w:p>
    <w:p w14:paraId="6739C308" w14:textId="2180469F" w:rsidR="00AF4A53" w:rsidRPr="000D6AB8" w:rsidRDefault="00565562" w:rsidP="00ED2FB5">
      <w:pPr>
        <w:jc w:val="both"/>
        <w:rPr>
          <w:rFonts w:ascii="Calibri" w:hAnsi="Calibri" w:cs="Calibri"/>
          <w:color w:val="000000" w:themeColor="text1"/>
          <w:sz w:val="24"/>
          <w:szCs w:val="24"/>
          <w:shd w:val="clear" w:color="auto" w:fill="FFFFFF"/>
          <w:lang w:val="es-ES" w:eastAsia="ja-JP"/>
        </w:rPr>
      </w:pPr>
      <w:r w:rsidRPr="000D6AB8">
        <w:rPr>
          <w:rFonts w:ascii="Calibri" w:hAnsi="Calibri" w:cs="Calibri"/>
          <w:color w:val="000000" w:themeColor="text1"/>
          <w:sz w:val="24"/>
          <w:szCs w:val="24"/>
          <w:shd w:val="clear" w:color="auto" w:fill="FFFFFF"/>
          <w:lang w:val="es-ES" w:eastAsia="ja-JP"/>
        </w:rPr>
        <w:t>Desde el Comitè 1 de Desembre</w:t>
      </w:r>
      <w:r w:rsidR="00F050A4" w:rsidRPr="000D6AB8">
        <w:rPr>
          <w:rStyle w:val="FootnoteReference"/>
          <w:rFonts w:ascii="Calibri" w:hAnsi="Calibri"/>
          <w:color w:val="000000" w:themeColor="text1"/>
          <w:sz w:val="24"/>
          <w:szCs w:val="24"/>
          <w:shd w:val="clear" w:color="auto" w:fill="FFFFFF"/>
          <w:lang w:val="es-ES" w:eastAsia="ja-JP"/>
        </w:rPr>
        <w:footnoteReference w:id="9"/>
      </w:r>
      <w:r w:rsidRPr="000D6AB8">
        <w:rPr>
          <w:rFonts w:ascii="Calibri" w:hAnsi="Calibri" w:cs="Calibri"/>
          <w:color w:val="000000" w:themeColor="text1"/>
          <w:sz w:val="24"/>
          <w:szCs w:val="24"/>
          <w:shd w:val="clear" w:color="auto" w:fill="FFFFFF"/>
          <w:lang w:val="es-ES" w:eastAsia="ja-JP"/>
        </w:rPr>
        <w:t xml:space="preserve"> (</w:t>
      </w:r>
      <w:r w:rsidRPr="000D6AB8">
        <w:rPr>
          <w:rFonts w:ascii="Calibri" w:hAnsi="Calibri" w:cs="Calibri"/>
          <w:color w:val="000000" w:themeColor="text1"/>
          <w:sz w:val="24"/>
          <w:szCs w:val="24"/>
          <w:lang w:val="es-ES" w:eastAsia="ja-JP"/>
        </w:rPr>
        <w:t>Plataforma Unitaria de ONGs SIDA de Catalunya que trabaja para dar respuesta al VIH/SIDA en Catalunya) se considera este cierre un aumento de las dificultades en el acceso a aquellos servicios que garantizan la salud sexual y reproductiva de todas las personas y por lo tanto supone una vulneración de derechos “por imposibilidad de acceso a tratamientos médicos y medidas de prevención efectivas.”</w:t>
      </w:r>
      <w:r w:rsidR="00F050A4" w:rsidRPr="000D6AB8">
        <w:rPr>
          <w:rStyle w:val="FootnoteReference"/>
          <w:rFonts w:ascii="Calibri" w:hAnsi="Calibri"/>
          <w:color w:val="000000" w:themeColor="text1"/>
          <w:sz w:val="24"/>
          <w:szCs w:val="24"/>
          <w:lang w:val="es-ES" w:eastAsia="ja-JP"/>
        </w:rPr>
        <w:footnoteReference w:id="10"/>
      </w:r>
    </w:p>
    <w:p w14:paraId="12D98438" w14:textId="77777777" w:rsidR="0088550B" w:rsidRPr="000D6AB8" w:rsidRDefault="0088550B" w:rsidP="00ED2FB5">
      <w:pPr>
        <w:pStyle w:val="NormalWeb"/>
        <w:spacing w:before="0"/>
        <w:contextualSpacing/>
        <w:jc w:val="both"/>
        <w:rPr>
          <w:rFonts w:ascii="Times New Roman" w:hAnsi="Times New Roman"/>
          <w:sz w:val="24"/>
          <w:lang w:val="es-ES"/>
        </w:rPr>
      </w:pPr>
    </w:p>
    <w:p w14:paraId="159F3E44" w14:textId="6AA059A4" w:rsidR="003E7735" w:rsidRPr="000D6AB8" w:rsidRDefault="00C231AF" w:rsidP="00560933">
      <w:pPr>
        <w:pStyle w:val="NormalWeb"/>
        <w:numPr>
          <w:ilvl w:val="1"/>
          <w:numId w:val="33"/>
        </w:numPr>
        <w:spacing w:before="0"/>
        <w:contextualSpacing/>
        <w:jc w:val="both"/>
        <w:rPr>
          <w:rFonts w:ascii="Times New Roman" w:hAnsi="Times New Roman"/>
          <w:i/>
          <w:iCs/>
          <w:sz w:val="24"/>
          <w:lang w:val="es-ES"/>
        </w:rPr>
      </w:pPr>
      <w:r w:rsidRPr="000D6AB8">
        <w:rPr>
          <w:rFonts w:ascii="Times New Roman" w:hAnsi="Times New Roman"/>
          <w:i/>
          <w:iCs/>
          <w:sz w:val="24"/>
          <w:lang w:val="es-ES"/>
        </w:rPr>
        <w:t xml:space="preserve">Por favor, comparta también las buenas prácticas y oportunidades en la prestación de servicios de salud sexual y reproductiva durante la pandemia.  </w:t>
      </w:r>
    </w:p>
    <w:p w14:paraId="3A4DFF9B" w14:textId="77777777" w:rsidR="00C231AF" w:rsidRPr="000D6AB8" w:rsidRDefault="00C231AF" w:rsidP="00D30413">
      <w:pPr>
        <w:pStyle w:val="NormalWeb"/>
        <w:spacing w:before="0"/>
        <w:ind w:left="792"/>
        <w:contextualSpacing/>
        <w:jc w:val="both"/>
        <w:rPr>
          <w:rFonts w:ascii="Times New Roman" w:hAnsi="Times New Roman"/>
          <w:i/>
          <w:iCs/>
          <w:sz w:val="24"/>
          <w:lang w:val="es-ES"/>
        </w:rPr>
      </w:pPr>
    </w:p>
    <w:p w14:paraId="5D53A098" w14:textId="236B0EC7" w:rsidR="00C231AF" w:rsidRPr="000D6AB8" w:rsidRDefault="00C231AF" w:rsidP="003E7735">
      <w:pPr>
        <w:pStyle w:val="NormalWeb"/>
        <w:numPr>
          <w:ilvl w:val="0"/>
          <w:numId w:val="33"/>
        </w:numPr>
        <w:spacing w:before="0"/>
        <w:ind w:left="284" w:hanging="284"/>
        <w:contextualSpacing/>
        <w:jc w:val="both"/>
        <w:rPr>
          <w:rFonts w:ascii="Times New Roman" w:hAnsi="Times New Roman"/>
          <w:i/>
          <w:iCs/>
          <w:sz w:val="24"/>
          <w:lang w:val="es-ES"/>
        </w:rPr>
      </w:pPr>
      <w:r w:rsidRPr="000D6AB8">
        <w:rPr>
          <w:rFonts w:ascii="Times New Roman" w:hAnsi="Times New Roman"/>
          <w:i/>
          <w:iCs/>
          <w:sz w:val="24"/>
          <w:lang w:val="es-ES"/>
        </w:rPr>
        <w:t>En relación con las preguntas 1 a 3, por favor comparta también información relevante sobre cambios legales, políticos o de otro tipo en su país (o países), que hayan también afectado al derecho a la salud sexual y reproductiva así como a los servicios de salud relacionados, pero que no guarden relación con la COVID-</w:t>
      </w:r>
      <w:r w:rsidR="004C53A1" w:rsidRPr="000D6AB8">
        <w:rPr>
          <w:rFonts w:ascii="Times New Roman" w:hAnsi="Times New Roman"/>
          <w:i/>
          <w:iCs/>
          <w:sz w:val="24"/>
          <w:lang w:val="es-ES"/>
        </w:rPr>
        <w:t>1</w:t>
      </w:r>
      <w:r w:rsidRPr="000D6AB8">
        <w:rPr>
          <w:rFonts w:ascii="Times New Roman" w:hAnsi="Times New Roman"/>
          <w:i/>
          <w:iCs/>
          <w:sz w:val="24"/>
          <w:lang w:val="es-ES"/>
        </w:rPr>
        <w:t>9.</w:t>
      </w:r>
    </w:p>
    <w:p w14:paraId="5D22B9AA" w14:textId="183992A4" w:rsidR="007F4792" w:rsidRPr="000D6AB8" w:rsidRDefault="007F4792" w:rsidP="007F4792">
      <w:pPr>
        <w:pStyle w:val="NormalWeb"/>
        <w:spacing w:before="0"/>
        <w:contextualSpacing/>
        <w:jc w:val="both"/>
        <w:rPr>
          <w:rFonts w:ascii="Times New Roman" w:hAnsi="Times New Roman"/>
          <w:sz w:val="24"/>
          <w:lang w:val="es-ES"/>
        </w:rPr>
      </w:pPr>
    </w:p>
    <w:p w14:paraId="73BB55EC" w14:textId="305E0205" w:rsidR="007F4792" w:rsidRPr="000D6AB8" w:rsidRDefault="007F4792" w:rsidP="007F4792">
      <w:pPr>
        <w:pStyle w:val="NormalWeb"/>
        <w:spacing w:before="0"/>
        <w:contextualSpacing/>
        <w:jc w:val="both"/>
        <w:rPr>
          <w:rFonts w:ascii="Times New Roman" w:hAnsi="Times New Roman"/>
          <w:sz w:val="24"/>
          <w:lang w:val="es-ES"/>
        </w:rPr>
      </w:pPr>
      <w:r w:rsidRPr="000D6AB8">
        <w:rPr>
          <w:rFonts w:ascii="Times New Roman" w:hAnsi="Times New Roman"/>
          <w:sz w:val="24"/>
          <w:lang w:val="es-ES"/>
        </w:rPr>
        <w:t>(ver leyes</w:t>
      </w:r>
      <w:r w:rsidR="00ED2FB5" w:rsidRPr="000D6AB8">
        <w:rPr>
          <w:rFonts w:ascii="Times New Roman" w:hAnsi="Times New Roman"/>
          <w:sz w:val="24"/>
          <w:lang w:val="es-ES"/>
        </w:rPr>
        <w:t>/normativas</w:t>
      </w:r>
      <w:r w:rsidRPr="000D6AB8">
        <w:rPr>
          <w:rFonts w:ascii="Times New Roman" w:hAnsi="Times New Roman"/>
          <w:sz w:val="24"/>
          <w:lang w:val="es-ES"/>
        </w:rPr>
        <w:t xml:space="preserve"> de la pregunta 2)</w:t>
      </w:r>
    </w:p>
    <w:p w14:paraId="6C44C567" w14:textId="088C5CE1" w:rsidR="00C231AF" w:rsidRPr="000D6AB8" w:rsidRDefault="00C231AF" w:rsidP="00D30413">
      <w:pPr>
        <w:pStyle w:val="NormalWeb"/>
        <w:spacing w:before="0"/>
        <w:ind w:left="284"/>
        <w:contextualSpacing/>
        <w:jc w:val="both"/>
        <w:rPr>
          <w:rFonts w:ascii="Times New Roman" w:hAnsi="Times New Roman"/>
          <w:sz w:val="24"/>
          <w:lang w:val="es-ES"/>
        </w:rPr>
      </w:pPr>
    </w:p>
    <w:p w14:paraId="0BD3E3E1" w14:textId="5AD9F4CC" w:rsidR="00ED2FB5" w:rsidRPr="000D6AB8" w:rsidRDefault="00ED2FB5" w:rsidP="00D30413">
      <w:pPr>
        <w:pStyle w:val="NormalWeb"/>
        <w:spacing w:before="0"/>
        <w:ind w:left="284"/>
        <w:contextualSpacing/>
        <w:jc w:val="both"/>
        <w:rPr>
          <w:rFonts w:ascii="Times New Roman" w:hAnsi="Times New Roman"/>
          <w:sz w:val="24"/>
          <w:lang w:val="es-ES"/>
        </w:rPr>
      </w:pPr>
    </w:p>
    <w:p w14:paraId="76910994" w14:textId="352959F1" w:rsidR="00ED2FB5" w:rsidRPr="000D6AB8" w:rsidRDefault="00ED2FB5" w:rsidP="00D30413">
      <w:pPr>
        <w:pStyle w:val="NormalWeb"/>
        <w:spacing w:before="0"/>
        <w:ind w:left="284"/>
        <w:contextualSpacing/>
        <w:jc w:val="both"/>
        <w:rPr>
          <w:rFonts w:ascii="Times New Roman" w:hAnsi="Times New Roman"/>
          <w:sz w:val="24"/>
          <w:lang w:val="es-ES"/>
        </w:rPr>
      </w:pPr>
    </w:p>
    <w:p w14:paraId="0E6C510A" w14:textId="6C6DA1FB" w:rsidR="00ED2FB5" w:rsidRPr="000D6AB8" w:rsidRDefault="00ED2FB5" w:rsidP="00D30413">
      <w:pPr>
        <w:pStyle w:val="NormalWeb"/>
        <w:spacing w:before="0"/>
        <w:ind w:left="284"/>
        <w:contextualSpacing/>
        <w:jc w:val="both"/>
        <w:rPr>
          <w:rFonts w:ascii="Times New Roman" w:hAnsi="Times New Roman"/>
          <w:sz w:val="24"/>
          <w:lang w:val="es-ES"/>
        </w:rPr>
      </w:pPr>
    </w:p>
    <w:p w14:paraId="44EC009C" w14:textId="77777777" w:rsidR="00ED2FB5" w:rsidRPr="000D6AB8" w:rsidRDefault="00ED2FB5" w:rsidP="00D30413">
      <w:pPr>
        <w:pStyle w:val="NormalWeb"/>
        <w:spacing w:before="0"/>
        <w:ind w:left="284"/>
        <w:contextualSpacing/>
        <w:jc w:val="both"/>
        <w:rPr>
          <w:rFonts w:ascii="Times New Roman" w:hAnsi="Times New Roman"/>
          <w:sz w:val="24"/>
          <w:lang w:val="es-ES"/>
        </w:rPr>
      </w:pPr>
    </w:p>
    <w:p w14:paraId="2555E69F" w14:textId="0315A7F8" w:rsidR="00C231AF" w:rsidRPr="000D6AB8" w:rsidRDefault="00C231AF" w:rsidP="003E7735">
      <w:pPr>
        <w:pStyle w:val="NormalWeb"/>
        <w:numPr>
          <w:ilvl w:val="0"/>
          <w:numId w:val="33"/>
        </w:numPr>
        <w:spacing w:before="0"/>
        <w:ind w:left="284" w:hanging="284"/>
        <w:contextualSpacing/>
        <w:jc w:val="both"/>
        <w:rPr>
          <w:rFonts w:ascii="Times New Roman" w:hAnsi="Times New Roman"/>
          <w:i/>
          <w:iCs/>
          <w:sz w:val="24"/>
          <w:lang w:val="es-ES"/>
        </w:rPr>
      </w:pPr>
      <w:r w:rsidRPr="000D6AB8">
        <w:rPr>
          <w:rFonts w:ascii="Times New Roman" w:hAnsi="Times New Roman"/>
          <w:i/>
          <w:iCs/>
          <w:sz w:val="24"/>
          <w:lang w:val="es-ES"/>
        </w:rPr>
        <w:t>Por favor, indique si su país, institución u organización ha disminuido el apoyo financiero o la ayuda a otro Estado, donante, institución o programa en el ámbito del derecho a la salud sexual y reproductiva, incluyendo mediante</w:t>
      </w:r>
      <w:r w:rsidR="004C53A1" w:rsidRPr="000D6AB8">
        <w:rPr>
          <w:rFonts w:ascii="Times New Roman" w:hAnsi="Times New Roman"/>
          <w:i/>
          <w:iCs/>
          <w:sz w:val="24"/>
          <w:lang w:val="es-ES"/>
        </w:rPr>
        <w:t xml:space="preserve"> la cooperación intern</w:t>
      </w:r>
      <w:r w:rsidRPr="000D6AB8">
        <w:rPr>
          <w:rFonts w:ascii="Times New Roman" w:hAnsi="Times New Roman"/>
          <w:i/>
          <w:iCs/>
          <w:sz w:val="24"/>
          <w:lang w:val="es-ES"/>
        </w:rPr>
        <w:t>acional, en relación con el apoyo o ayuda financiera otorgada antes de la COVID</w:t>
      </w:r>
      <w:r w:rsidR="004C53A1" w:rsidRPr="000D6AB8">
        <w:rPr>
          <w:rFonts w:ascii="Times New Roman" w:hAnsi="Times New Roman"/>
          <w:i/>
          <w:iCs/>
          <w:sz w:val="24"/>
          <w:lang w:val="es-ES"/>
        </w:rPr>
        <w:t>-</w:t>
      </w:r>
      <w:r w:rsidRPr="000D6AB8">
        <w:rPr>
          <w:rFonts w:ascii="Times New Roman" w:hAnsi="Times New Roman"/>
          <w:i/>
          <w:iCs/>
          <w:sz w:val="24"/>
          <w:lang w:val="es-ES"/>
        </w:rPr>
        <w:t>19.</w:t>
      </w:r>
    </w:p>
    <w:p w14:paraId="3F6C8552" w14:textId="77777777" w:rsidR="00155C74" w:rsidRPr="000D6AB8" w:rsidRDefault="00155C74" w:rsidP="0022506C">
      <w:pPr>
        <w:pStyle w:val="NormalWeb"/>
        <w:spacing w:before="0"/>
        <w:contextualSpacing/>
        <w:jc w:val="both"/>
        <w:rPr>
          <w:rFonts w:ascii="Times New Roman" w:hAnsi="Times New Roman"/>
          <w:sz w:val="24"/>
          <w:lang w:val="es-ES"/>
        </w:rPr>
      </w:pPr>
    </w:p>
    <w:p w14:paraId="6B7D324F" w14:textId="0FEF1A3A" w:rsidR="00C231AF" w:rsidRPr="000D6AB8" w:rsidRDefault="00C231AF" w:rsidP="00155C74">
      <w:pPr>
        <w:pStyle w:val="NormalWeb"/>
        <w:spacing w:before="0"/>
        <w:contextualSpacing/>
        <w:jc w:val="both"/>
        <w:rPr>
          <w:rFonts w:ascii="Times New Roman" w:hAnsi="Times New Roman"/>
          <w:sz w:val="24"/>
          <w:lang w:val="es-ES"/>
        </w:rPr>
      </w:pPr>
    </w:p>
    <w:p w14:paraId="62CDEA8D" w14:textId="77777777" w:rsidR="00155C74" w:rsidRPr="000D6AB8" w:rsidRDefault="00155C74" w:rsidP="00D30413">
      <w:pPr>
        <w:pStyle w:val="NormalWeb"/>
        <w:spacing w:before="0"/>
        <w:ind w:left="284"/>
        <w:contextualSpacing/>
        <w:jc w:val="both"/>
        <w:rPr>
          <w:rFonts w:ascii="Times New Roman" w:hAnsi="Times New Roman"/>
          <w:sz w:val="24"/>
          <w:lang w:val="es-ES"/>
        </w:rPr>
      </w:pPr>
    </w:p>
    <w:p w14:paraId="3CFFE4A7" w14:textId="70C1527E" w:rsidR="00C231AF" w:rsidRPr="000D6AB8" w:rsidRDefault="00C231AF" w:rsidP="003E7735">
      <w:pPr>
        <w:pStyle w:val="NormalWeb"/>
        <w:numPr>
          <w:ilvl w:val="0"/>
          <w:numId w:val="33"/>
        </w:numPr>
        <w:spacing w:before="0"/>
        <w:ind w:left="284" w:hanging="284"/>
        <w:contextualSpacing/>
        <w:jc w:val="both"/>
        <w:rPr>
          <w:rFonts w:ascii="Times New Roman" w:hAnsi="Times New Roman"/>
          <w:i/>
          <w:iCs/>
          <w:sz w:val="24"/>
          <w:lang w:val="es-ES"/>
        </w:rPr>
      </w:pPr>
      <w:r w:rsidRPr="000D6AB8">
        <w:rPr>
          <w:rFonts w:ascii="Times New Roman" w:hAnsi="Times New Roman"/>
          <w:i/>
          <w:iCs/>
          <w:sz w:val="24"/>
          <w:lang w:val="es-ES"/>
        </w:rPr>
        <w:t>Por favor, indique si su país, institución u organización se ha visto afectado por una disminución del apoyo financiero o de la ayuda, incluyendo a través de la cooperación internacional, en comparación con el periodo anterior a la pandemia, y cómo ha afectado dicha disminución en la atención médica en cuestión de la salud sexual y reproductiva.</w:t>
      </w:r>
    </w:p>
    <w:p w14:paraId="438690B4" w14:textId="77777777" w:rsidR="009E4A6C" w:rsidRPr="000D6AB8" w:rsidRDefault="009E4A6C" w:rsidP="009E4A6C">
      <w:pPr>
        <w:pStyle w:val="NormalWeb"/>
        <w:spacing w:before="0"/>
        <w:ind w:left="284"/>
        <w:contextualSpacing/>
        <w:jc w:val="both"/>
        <w:rPr>
          <w:rFonts w:ascii="Times New Roman" w:hAnsi="Times New Roman"/>
          <w:i/>
          <w:iCs/>
          <w:sz w:val="24"/>
          <w:lang w:val="es-ES"/>
        </w:rPr>
      </w:pPr>
    </w:p>
    <w:p w14:paraId="2F000BF9" w14:textId="17DEECF5" w:rsidR="00155C74" w:rsidRPr="000D6AB8" w:rsidRDefault="005879B6" w:rsidP="00125769">
      <w:pPr>
        <w:pStyle w:val="NormalWeb"/>
        <w:spacing w:before="0"/>
        <w:ind w:left="360" w:hanging="360"/>
        <w:contextualSpacing/>
        <w:jc w:val="both"/>
        <w:rPr>
          <w:rFonts w:ascii="Times New Roman" w:hAnsi="Times New Roman"/>
          <w:sz w:val="24"/>
          <w:lang w:val="es-ES"/>
        </w:rPr>
      </w:pPr>
      <w:r w:rsidRPr="000D6AB8">
        <w:rPr>
          <w:rFonts w:ascii="Times New Roman" w:hAnsi="Times New Roman"/>
          <w:sz w:val="24"/>
          <w:lang w:val="es-ES"/>
        </w:rPr>
        <w:t xml:space="preserve"> </w:t>
      </w:r>
    </w:p>
    <w:p w14:paraId="1E71130F" w14:textId="77777777" w:rsidR="009E4A6C" w:rsidRPr="000D6AB8" w:rsidRDefault="00125769" w:rsidP="009E4A6C">
      <w:pPr>
        <w:pStyle w:val="NormalWeb"/>
        <w:spacing w:before="0"/>
        <w:ind w:left="360"/>
        <w:contextualSpacing/>
        <w:jc w:val="both"/>
        <w:rPr>
          <w:rFonts w:ascii="Calibri" w:eastAsia="Times New Roman" w:hAnsi="Calibri" w:cs="Calibri"/>
          <w:color w:val="000000" w:themeColor="text1"/>
          <w:sz w:val="24"/>
          <w:shd w:val="clear" w:color="auto" w:fill="FFFFFF"/>
          <w:lang w:val="es-ES" w:eastAsia="ja-JP"/>
        </w:rPr>
      </w:pPr>
      <w:r w:rsidRPr="000D6AB8">
        <w:rPr>
          <w:rFonts w:ascii="Calibri" w:eastAsia="Times New Roman" w:hAnsi="Calibri" w:cs="Calibri"/>
          <w:color w:val="000000" w:themeColor="text1"/>
          <w:sz w:val="24"/>
          <w:shd w:val="clear" w:color="auto" w:fill="FFFFFF"/>
          <w:lang w:val="es-ES" w:eastAsia="ja-JP"/>
        </w:rPr>
        <w:t xml:space="preserve">Las organizaciones de la sociedad civil, principalmente las de base que trabajan para </w:t>
      </w:r>
    </w:p>
    <w:p w14:paraId="57A9AC75" w14:textId="077BFE6C" w:rsidR="00125769" w:rsidRPr="000D6AB8" w:rsidRDefault="00125769" w:rsidP="009E4A6C">
      <w:pPr>
        <w:pStyle w:val="NormalWeb"/>
        <w:spacing w:before="0"/>
        <w:ind w:left="360"/>
        <w:contextualSpacing/>
        <w:jc w:val="both"/>
        <w:rPr>
          <w:rFonts w:ascii="Calibri" w:eastAsia="Times New Roman" w:hAnsi="Calibri" w:cs="Calibri"/>
          <w:color w:val="000000" w:themeColor="text1"/>
          <w:sz w:val="24"/>
          <w:shd w:val="clear" w:color="auto" w:fill="FFFFFF"/>
          <w:lang w:val="es-ES" w:eastAsia="ja-JP"/>
        </w:rPr>
      </w:pPr>
      <w:r w:rsidRPr="000D6AB8">
        <w:rPr>
          <w:rFonts w:ascii="Calibri" w:eastAsia="Times New Roman" w:hAnsi="Calibri" w:cs="Calibri"/>
          <w:color w:val="000000" w:themeColor="text1"/>
          <w:sz w:val="24"/>
          <w:shd w:val="clear" w:color="auto" w:fill="FFFFFF"/>
          <w:lang w:val="es-ES" w:eastAsia="ja-JP"/>
        </w:rPr>
        <w:t>garantizar los derechos humanos han sufrido un impacto directo con la covid19 a nivel</w:t>
      </w:r>
      <w:r w:rsidR="009E4A6C" w:rsidRPr="000D6AB8">
        <w:rPr>
          <w:rFonts w:ascii="Calibri" w:eastAsia="Times New Roman" w:hAnsi="Calibri" w:cs="Calibri"/>
          <w:color w:val="000000" w:themeColor="text1"/>
          <w:sz w:val="24"/>
          <w:shd w:val="clear" w:color="auto" w:fill="FFFFFF"/>
          <w:lang w:val="es-ES" w:eastAsia="ja-JP"/>
        </w:rPr>
        <w:t xml:space="preserve"> </w:t>
      </w:r>
      <w:r w:rsidRPr="000D6AB8">
        <w:rPr>
          <w:rFonts w:ascii="Calibri" w:eastAsia="Times New Roman" w:hAnsi="Calibri" w:cs="Calibri"/>
          <w:color w:val="000000" w:themeColor="text1"/>
          <w:sz w:val="24"/>
          <w:shd w:val="clear" w:color="auto" w:fill="FFFFFF"/>
          <w:lang w:val="es-ES" w:eastAsia="ja-JP"/>
        </w:rPr>
        <w:t>financiero y a nivel del trabajo en primera línea como trabajadoras esenciales.</w:t>
      </w:r>
      <w:r w:rsidR="009E4A6C" w:rsidRPr="000D6AB8">
        <w:rPr>
          <w:rFonts w:ascii="Calibri" w:eastAsia="Times New Roman" w:hAnsi="Calibri" w:cs="Calibri"/>
          <w:color w:val="000000" w:themeColor="text1"/>
          <w:sz w:val="24"/>
          <w:shd w:val="clear" w:color="auto" w:fill="FFFFFF"/>
          <w:lang w:val="es-ES" w:eastAsia="ja-JP"/>
        </w:rPr>
        <w:t xml:space="preserve"> El aumento de personas que necesitan los recursos ofrecidos por las organizaciones de base no ha ido acompañado de un aumento en los presupuestos de estas últimas</w:t>
      </w:r>
      <w:r w:rsidR="009E4A6C" w:rsidRPr="000D6AB8">
        <w:rPr>
          <w:rStyle w:val="FootnoteReference"/>
          <w:rFonts w:ascii="Calibri" w:eastAsia="Times New Roman" w:hAnsi="Calibri"/>
          <w:color w:val="000000" w:themeColor="text1"/>
          <w:sz w:val="24"/>
          <w:shd w:val="clear" w:color="auto" w:fill="FFFFFF"/>
          <w:lang w:val="es-ES" w:eastAsia="ja-JP"/>
        </w:rPr>
        <w:footnoteReference w:id="11"/>
      </w:r>
      <w:r w:rsidR="009E4A6C" w:rsidRPr="000D6AB8">
        <w:rPr>
          <w:rFonts w:ascii="Calibri" w:eastAsia="Times New Roman" w:hAnsi="Calibri" w:cs="Calibri"/>
          <w:color w:val="000000" w:themeColor="text1"/>
          <w:sz w:val="24"/>
          <w:shd w:val="clear" w:color="auto" w:fill="FFFFFF"/>
          <w:lang w:val="es-ES" w:eastAsia="ja-JP"/>
        </w:rPr>
        <w:t>.</w:t>
      </w:r>
      <w:r w:rsidRPr="000D6AB8">
        <w:rPr>
          <w:rFonts w:ascii="Calibri" w:eastAsia="Times New Roman" w:hAnsi="Calibri" w:cs="Calibri"/>
          <w:color w:val="000000" w:themeColor="text1"/>
          <w:sz w:val="24"/>
          <w:shd w:val="clear" w:color="auto" w:fill="FFFFFF"/>
          <w:lang w:val="es-ES" w:eastAsia="ja-JP"/>
        </w:rPr>
        <w:t xml:space="preserve"> El sistema de subvención público ha dificultado el sostenimiento de muchas entidades pequeñas, que ya tenían dificultades previamente a la crisis sanitaria y que la situación actual lo ha agravado. Distintas entidades en defensa de los derechos de las mujeres, que abordan violencias sexuales, violencias machistas, la discriminación y el estigma, etc, han debido cerrar o reajustarse para poder sobrevivir y para poder seguir ofreciendo sus servicios para aquellos colectivos más vulnerables. </w:t>
      </w:r>
    </w:p>
    <w:p w14:paraId="29D53D39" w14:textId="777736D3" w:rsidR="00125769" w:rsidRPr="000D6AB8" w:rsidRDefault="00125769" w:rsidP="009E4A6C">
      <w:pPr>
        <w:pStyle w:val="NormalWeb"/>
        <w:spacing w:before="0"/>
        <w:ind w:left="360" w:hanging="360"/>
        <w:contextualSpacing/>
        <w:jc w:val="both"/>
        <w:rPr>
          <w:rFonts w:ascii="Calibri" w:eastAsia="Times New Roman" w:hAnsi="Calibri" w:cs="Calibri"/>
          <w:color w:val="000000" w:themeColor="text1"/>
          <w:sz w:val="24"/>
          <w:shd w:val="clear" w:color="auto" w:fill="FFFFFF"/>
          <w:lang w:val="es-ES" w:eastAsia="ja-JP"/>
        </w:rPr>
      </w:pPr>
    </w:p>
    <w:p w14:paraId="713D6BBB" w14:textId="338551DC" w:rsidR="00AF3BB1" w:rsidRPr="000D6AB8" w:rsidRDefault="00125769" w:rsidP="009E4A6C">
      <w:pPr>
        <w:pStyle w:val="NormalWeb"/>
        <w:spacing w:before="0"/>
        <w:ind w:left="360"/>
        <w:contextualSpacing/>
        <w:jc w:val="both"/>
        <w:rPr>
          <w:rFonts w:ascii="Calibri" w:eastAsia="Times New Roman" w:hAnsi="Calibri" w:cs="Calibri"/>
          <w:color w:val="000000" w:themeColor="text1"/>
          <w:sz w:val="24"/>
          <w:shd w:val="clear" w:color="auto" w:fill="FFFFFF"/>
          <w:lang w:val="es-ES" w:eastAsia="ja-JP"/>
        </w:rPr>
      </w:pPr>
      <w:r w:rsidRPr="000D6AB8">
        <w:rPr>
          <w:rFonts w:ascii="Calibri" w:eastAsia="Times New Roman" w:hAnsi="Calibri" w:cs="Calibri"/>
          <w:color w:val="000000" w:themeColor="text1"/>
          <w:sz w:val="24"/>
          <w:shd w:val="clear" w:color="auto" w:fill="FFFFFF"/>
          <w:lang w:val="es-ES" w:eastAsia="ja-JP"/>
        </w:rPr>
        <w:t>La disminución del apoyo financiero de las instituciones hacia las entidades</w:t>
      </w:r>
      <w:r w:rsidR="009E4A6C" w:rsidRPr="000D6AB8">
        <w:rPr>
          <w:rFonts w:ascii="Calibri" w:eastAsia="Times New Roman" w:hAnsi="Calibri" w:cs="Calibri"/>
          <w:color w:val="000000" w:themeColor="text1"/>
          <w:sz w:val="24"/>
          <w:shd w:val="clear" w:color="auto" w:fill="FFFFFF"/>
          <w:lang w:val="es-ES" w:eastAsia="ja-JP"/>
        </w:rPr>
        <w:t xml:space="preserve"> ya se percibe</w:t>
      </w:r>
      <w:r w:rsidR="0033150F" w:rsidRPr="000D6AB8">
        <w:rPr>
          <w:rFonts w:ascii="Calibri" w:eastAsia="Times New Roman" w:hAnsi="Calibri" w:cs="Calibri"/>
          <w:color w:val="000000" w:themeColor="text1"/>
          <w:sz w:val="24"/>
          <w:shd w:val="clear" w:color="auto" w:fill="FFFFFF"/>
          <w:lang w:val="es-ES" w:eastAsia="ja-JP"/>
        </w:rPr>
        <w:t xml:space="preserve">, </w:t>
      </w:r>
      <w:r w:rsidR="009E4A6C" w:rsidRPr="000D6AB8">
        <w:rPr>
          <w:rFonts w:ascii="Calibri" w:eastAsia="Times New Roman" w:hAnsi="Calibri" w:cs="Calibri"/>
          <w:color w:val="000000" w:themeColor="text1"/>
          <w:sz w:val="24"/>
          <w:shd w:val="clear" w:color="auto" w:fill="FFFFFF"/>
          <w:lang w:val="es-ES" w:eastAsia="ja-JP"/>
        </w:rPr>
        <w:t>por el simple hecho de no tener en cuenta que las necesidades financieras de estas debería</w:t>
      </w:r>
      <w:r w:rsidR="0033150F" w:rsidRPr="000D6AB8">
        <w:rPr>
          <w:rFonts w:ascii="Calibri" w:eastAsia="Times New Roman" w:hAnsi="Calibri" w:cs="Calibri"/>
          <w:color w:val="000000" w:themeColor="text1"/>
          <w:sz w:val="24"/>
          <w:shd w:val="clear" w:color="auto" w:fill="FFFFFF"/>
          <w:lang w:val="es-ES" w:eastAsia="ja-JP"/>
        </w:rPr>
        <w:t>n</w:t>
      </w:r>
      <w:r w:rsidR="009E4A6C" w:rsidRPr="000D6AB8">
        <w:rPr>
          <w:rFonts w:ascii="Calibri" w:eastAsia="Times New Roman" w:hAnsi="Calibri" w:cs="Calibri"/>
          <w:color w:val="000000" w:themeColor="text1"/>
          <w:sz w:val="24"/>
          <w:shd w:val="clear" w:color="auto" w:fill="FFFFFF"/>
          <w:lang w:val="es-ES" w:eastAsia="ja-JP"/>
        </w:rPr>
        <w:t xml:space="preserve"> haber aumentado, y además teniendo en cuenta las consecuencias de la crisis sanitaria en el presente, a corto, medio y largo plazo: una crisis económica global</w:t>
      </w:r>
      <w:r w:rsidR="0033150F" w:rsidRPr="000D6AB8">
        <w:rPr>
          <w:rStyle w:val="FootnoteReference"/>
          <w:rFonts w:ascii="Calibri" w:eastAsia="Times New Roman" w:hAnsi="Calibri"/>
          <w:color w:val="000000" w:themeColor="text1"/>
          <w:sz w:val="24"/>
          <w:shd w:val="clear" w:color="auto" w:fill="FFFFFF"/>
          <w:lang w:val="es-ES" w:eastAsia="ja-JP"/>
        </w:rPr>
        <w:footnoteReference w:id="12"/>
      </w:r>
      <w:r w:rsidR="009E4A6C" w:rsidRPr="000D6AB8">
        <w:rPr>
          <w:rFonts w:ascii="Calibri" w:eastAsia="Times New Roman" w:hAnsi="Calibri" w:cs="Calibri"/>
          <w:color w:val="000000" w:themeColor="text1"/>
          <w:sz w:val="24"/>
          <w:shd w:val="clear" w:color="auto" w:fill="FFFFFF"/>
          <w:lang w:val="es-ES" w:eastAsia="ja-JP"/>
        </w:rPr>
        <w:t xml:space="preserve">. </w:t>
      </w:r>
      <w:r w:rsidRPr="000D6AB8">
        <w:rPr>
          <w:rFonts w:ascii="Calibri" w:eastAsia="Times New Roman" w:hAnsi="Calibri" w:cs="Calibri"/>
          <w:color w:val="000000" w:themeColor="text1"/>
          <w:sz w:val="24"/>
          <w:shd w:val="clear" w:color="auto" w:fill="FFFFFF"/>
          <w:lang w:val="es-ES" w:eastAsia="ja-JP"/>
        </w:rPr>
        <w:t xml:space="preserve"> </w:t>
      </w:r>
    </w:p>
    <w:p w14:paraId="2482D392" w14:textId="49FB4388" w:rsidR="00AF3BB1" w:rsidRDefault="00AF3BB1" w:rsidP="00155C74">
      <w:pPr>
        <w:pStyle w:val="NormalWeb"/>
        <w:spacing w:before="0"/>
        <w:ind w:left="360" w:hanging="360"/>
        <w:contextualSpacing/>
        <w:jc w:val="both"/>
        <w:rPr>
          <w:rFonts w:ascii="Times New Roman" w:hAnsi="Times New Roman"/>
          <w:sz w:val="24"/>
          <w:lang w:val="es-ES"/>
        </w:rPr>
      </w:pPr>
    </w:p>
    <w:p w14:paraId="141E376C" w14:textId="77777777" w:rsidR="00AF3BB1" w:rsidRPr="004C53A1" w:rsidRDefault="00AF3BB1" w:rsidP="00155C74">
      <w:pPr>
        <w:pStyle w:val="NormalWeb"/>
        <w:spacing w:before="0"/>
        <w:ind w:left="360" w:hanging="360"/>
        <w:contextualSpacing/>
        <w:jc w:val="both"/>
        <w:rPr>
          <w:rFonts w:ascii="Times New Roman" w:hAnsi="Times New Roman"/>
          <w:sz w:val="24"/>
          <w:lang w:val="es-ES"/>
        </w:rPr>
      </w:pPr>
    </w:p>
    <w:sectPr w:rsidR="00AF3BB1" w:rsidRPr="004C53A1" w:rsidSect="00ED053D">
      <w:footerReference w:type="defaul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93696" w14:textId="77777777" w:rsidR="00A86AA4" w:rsidRDefault="00A86AA4">
      <w:r>
        <w:separator/>
      </w:r>
    </w:p>
  </w:endnote>
  <w:endnote w:type="continuationSeparator" w:id="0">
    <w:p w14:paraId="64A57132" w14:textId="77777777" w:rsidR="00A86AA4" w:rsidRDefault="00A86AA4">
      <w:r>
        <w:continuationSeparator/>
      </w:r>
    </w:p>
  </w:endnote>
  <w:endnote w:type="continuationNotice" w:id="1">
    <w:p w14:paraId="700D2672" w14:textId="77777777" w:rsidR="00A86AA4" w:rsidRDefault="00A86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28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1D07FFA" w14:textId="5FFAE05B" w:rsidR="00373EF9" w:rsidRDefault="00373EF9">
        <w:pPr>
          <w:pStyle w:val="Footer"/>
          <w:jc w:val="center"/>
        </w:pPr>
        <w:r>
          <w:fldChar w:fldCharType="begin"/>
        </w:r>
        <w:r>
          <w:instrText xml:space="preserve"> PAGE   \* MERGEFORMAT </w:instrText>
        </w:r>
        <w:r>
          <w:fldChar w:fldCharType="separate"/>
        </w:r>
        <w:r w:rsidR="00535547">
          <w:rPr>
            <w:noProof/>
          </w:rPr>
          <w:t>3</w:t>
        </w:r>
        <w:r>
          <w:rPr>
            <w:noProof/>
          </w:rPr>
          <w:fldChar w:fldCharType="end"/>
        </w:r>
      </w:p>
    </w:sdtContent>
  </w:sdt>
  <w:p w14:paraId="1B5B06A9" w14:textId="77777777" w:rsidR="00A93F3F" w:rsidRDefault="00A93F3F"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06D77" w14:textId="77777777" w:rsidR="00A86AA4" w:rsidRDefault="00A86AA4">
      <w:r>
        <w:separator/>
      </w:r>
    </w:p>
  </w:footnote>
  <w:footnote w:type="continuationSeparator" w:id="0">
    <w:p w14:paraId="373811D4" w14:textId="77777777" w:rsidR="00A86AA4" w:rsidRDefault="00A86AA4">
      <w:r>
        <w:continuationSeparator/>
      </w:r>
    </w:p>
  </w:footnote>
  <w:footnote w:type="continuationNotice" w:id="1">
    <w:p w14:paraId="08D69D52" w14:textId="77777777" w:rsidR="00A86AA4" w:rsidRDefault="00A86AA4"/>
  </w:footnote>
  <w:footnote w:id="2">
    <w:p w14:paraId="79C78F22" w14:textId="4246889B" w:rsidR="00ED2FB5" w:rsidRDefault="00ED2FB5">
      <w:pPr>
        <w:pStyle w:val="FootnoteText"/>
      </w:pPr>
      <w:r>
        <w:rPr>
          <w:rStyle w:val="FootnoteReference"/>
        </w:rPr>
        <w:footnoteRef/>
      </w:r>
      <w:r>
        <w:t xml:space="preserve"> </w:t>
      </w:r>
      <w:hyperlink r:id="rId1" w:history="1">
        <w:r w:rsidRPr="00DB6575">
          <w:rPr>
            <w:rStyle w:val="Hyperlink"/>
          </w:rPr>
          <w:t>https://drets-sexuals-i-reproductius.lassociacio.org/informe2020/</w:t>
        </w:r>
      </w:hyperlink>
    </w:p>
    <w:p w14:paraId="2CE083A5" w14:textId="77777777" w:rsidR="00ED2FB5" w:rsidRPr="00ED2FB5" w:rsidRDefault="00ED2FB5">
      <w:pPr>
        <w:pStyle w:val="FootnoteText"/>
      </w:pPr>
    </w:p>
  </w:footnote>
  <w:footnote w:id="3">
    <w:p w14:paraId="72B899EF" w14:textId="7F76C880" w:rsidR="001C24AA" w:rsidRPr="00D555C7" w:rsidRDefault="001C24AA">
      <w:pPr>
        <w:pStyle w:val="FootnoteText"/>
        <w:rPr>
          <w:rFonts w:ascii="Calibri" w:hAnsi="Calibri" w:cs="Calibri"/>
          <w:color w:val="000000" w:themeColor="text1"/>
          <w:sz w:val="24"/>
        </w:rPr>
      </w:pPr>
      <w:r w:rsidRPr="00D555C7">
        <w:rPr>
          <w:rStyle w:val="FootnoteReference"/>
          <w:sz w:val="16"/>
          <w:szCs w:val="16"/>
        </w:rPr>
        <w:footnoteRef/>
      </w:r>
      <w:r w:rsidRPr="00D555C7">
        <w:rPr>
          <w:sz w:val="16"/>
          <w:szCs w:val="16"/>
        </w:rPr>
        <w:t xml:space="preserve"> </w:t>
      </w:r>
      <w:hyperlink r:id="rId2" w:history="1">
        <w:r w:rsidRPr="00D555C7">
          <w:rPr>
            <w:rStyle w:val="Hyperlink"/>
            <w:rFonts w:ascii="Calibri" w:hAnsi="Calibri" w:cs="Calibri"/>
            <w:sz w:val="21"/>
            <w:szCs w:val="16"/>
          </w:rPr>
          <w:t>https://www.boe.es/diario_boe/txt.php?id=BOE-A-2021-464</w:t>
        </w:r>
      </w:hyperlink>
    </w:p>
  </w:footnote>
  <w:footnote w:id="4">
    <w:p w14:paraId="2BF59885" w14:textId="07E8E017" w:rsidR="001C24AA" w:rsidRPr="0033150F" w:rsidRDefault="001C24AA">
      <w:pPr>
        <w:pStyle w:val="FootnoteText"/>
      </w:pPr>
      <w:r>
        <w:rPr>
          <w:rStyle w:val="FootnoteReference"/>
        </w:rPr>
        <w:footnoteRef/>
      </w:r>
      <w:r w:rsidRPr="0033150F">
        <w:t xml:space="preserve"> </w:t>
      </w:r>
      <w:hyperlink r:id="rId3" w:history="1">
        <w:r w:rsidRPr="0033150F">
          <w:rPr>
            <w:rStyle w:val="Hyperlink"/>
          </w:rPr>
          <w:t>https://www.boe.es/diario_boe/txt.php?id=BOE-A-2021-1663</w:t>
        </w:r>
      </w:hyperlink>
    </w:p>
  </w:footnote>
  <w:footnote w:id="5">
    <w:p w14:paraId="556C7928" w14:textId="249BD022" w:rsidR="00702624" w:rsidRPr="0033150F" w:rsidRDefault="00702624">
      <w:pPr>
        <w:pStyle w:val="FootnoteText"/>
      </w:pPr>
      <w:r>
        <w:rPr>
          <w:rStyle w:val="FootnoteReference"/>
        </w:rPr>
        <w:footnoteRef/>
      </w:r>
      <w:r w:rsidRPr="0033150F">
        <w:t xml:space="preserve"> </w:t>
      </w:r>
      <w:hyperlink r:id="rId4" w:history="1">
        <w:r w:rsidRPr="0033150F">
          <w:rPr>
            <w:rStyle w:val="Hyperlink"/>
          </w:rPr>
          <w:t>https://www.naciodigital.cat/noticia/215022/lleis-pels-drets-lgtbi-dones-aprovades-ultima-hora-pendents-nou-govern</w:t>
        </w:r>
      </w:hyperlink>
    </w:p>
  </w:footnote>
  <w:footnote w:id="6">
    <w:p w14:paraId="20C26CBF" w14:textId="00792C2A" w:rsidR="001C24AA" w:rsidRPr="00A46A6F" w:rsidRDefault="001C24AA" w:rsidP="00657017">
      <w:pPr>
        <w:pStyle w:val="NormalWeb"/>
        <w:spacing w:before="0"/>
        <w:contextualSpacing/>
        <w:rPr>
          <w:rFonts w:ascii="Times New Roman" w:eastAsia="Times New Roman" w:hAnsi="Times New Roman"/>
          <w:color w:val="0000FF"/>
          <w:u w:val="single"/>
          <w:lang w:val="en-GB"/>
        </w:rPr>
      </w:pPr>
      <w:r>
        <w:rPr>
          <w:rStyle w:val="FootnoteReference"/>
        </w:rPr>
        <w:footnoteRef/>
      </w:r>
      <w:hyperlink r:id="rId5" w:history="1">
        <w:r w:rsidRPr="00A46A6F">
          <w:rPr>
            <w:rStyle w:val="Hyperlink"/>
            <w:rFonts w:ascii="Times New Roman" w:eastAsia="Times New Roman" w:hAnsi="Times New Roman"/>
            <w:szCs w:val="20"/>
            <w:lang w:val="en-GB"/>
          </w:rPr>
          <w:t>https://www.segre.com/es/noticias/guia/2021/05/19/el_aborto_quirurgico_llega_lleida_135066_1111.html</w:t>
        </w:r>
      </w:hyperlink>
    </w:p>
  </w:footnote>
  <w:footnote w:id="7">
    <w:p w14:paraId="0F4139BB" w14:textId="0DF83425" w:rsidR="001C24AA" w:rsidRPr="0033150F" w:rsidRDefault="001C24AA" w:rsidP="00657017">
      <w:pPr>
        <w:pStyle w:val="NormalWeb"/>
        <w:spacing w:before="0"/>
        <w:contextualSpacing/>
        <w:jc w:val="both"/>
        <w:rPr>
          <w:rFonts w:ascii="Calibri" w:hAnsi="Calibri" w:cs="Calibri"/>
          <w:color w:val="000000" w:themeColor="text1"/>
          <w:sz w:val="21"/>
          <w:szCs w:val="21"/>
          <w:lang w:val="en-US"/>
        </w:rPr>
      </w:pPr>
      <w:r>
        <w:rPr>
          <w:rStyle w:val="FootnoteReference"/>
        </w:rPr>
        <w:footnoteRef/>
      </w:r>
      <w:r w:rsidRPr="0033150F">
        <w:rPr>
          <w:rFonts w:ascii="Calibri" w:hAnsi="Calibri" w:cs="Calibri"/>
          <w:color w:val="000000" w:themeColor="text1"/>
          <w:sz w:val="21"/>
          <w:szCs w:val="21"/>
          <w:lang w:val="en-US"/>
        </w:rPr>
        <w:t xml:space="preserve"> </w:t>
      </w:r>
      <w:r w:rsidRPr="0033150F">
        <w:rPr>
          <w:rFonts w:ascii="Calibri" w:hAnsi="Calibri" w:cs="Calibri"/>
          <w:color w:val="000000" w:themeColor="text1"/>
          <w:szCs w:val="20"/>
          <w:lang w:val="en-US"/>
        </w:rPr>
        <w:t>Idem</w:t>
      </w:r>
    </w:p>
    <w:p w14:paraId="59AD9F24" w14:textId="331C5431" w:rsidR="001C24AA" w:rsidRPr="0033150F" w:rsidRDefault="001C24AA">
      <w:pPr>
        <w:pStyle w:val="FootnoteText"/>
        <w:rPr>
          <w:lang w:val="en-US"/>
        </w:rPr>
      </w:pPr>
    </w:p>
    <w:p w14:paraId="60D6B3B1" w14:textId="77777777" w:rsidR="001C24AA" w:rsidRPr="0033150F" w:rsidRDefault="001C24AA">
      <w:pPr>
        <w:pStyle w:val="FootnoteText"/>
        <w:rPr>
          <w:lang w:val="en-US"/>
        </w:rPr>
      </w:pPr>
    </w:p>
  </w:footnote>
  <w:footnote w:id="8">
    <w:p w14:paraId="68282FE7" w14:textId="295E7107" w:rsidR="00F050A4" w:rsidRPr="0033150F" w:rsidRDefault="00F050A4">
      <w:pPr>
        <w:pStyle w:val="FootnoteText"/>
        <w:rPr>
          <w:lang w:val="en-US"/>
        </w:rPr>
      </w:pPr>
      <w:r w:rsidRPr="00F050A4">
        <w:rPr>
          <w:rStyle w:val="FootnoteReference"/>
        </w:rPr>
        <w:footnoteRef/>
      </w:r>
      <w:r w:rsidRPr="0033150F">
        <w:rPr>
          <w:lang w:val="en-US"/>
        </w:rPr>
        <w:t xml:space="preserve"> </w:t>
      </w:r>
      <w:hyperlink r:id="rId6" w:history="1">
        <w:r w:rsidRPr="0033150F">
          <w:rPr>
            <w:rStyle w:val="Hyperlink"/>
            <w:lang w:val="en-US"/>
          </w:rPr>
          <w:t>https://www.eldiario.es/catalunya/cierra-servicio-enfermedades-transmision-sexual-centro-barcelona-debido-epidemia_1_6382794.html</w:t>
        </w:r>
      </w:hyperlink>
    </w:p>
  </w:footnote>
  <w:footnote w:id="9">
    <w:p w14:paraId="4524F22B" w14:textId="0505621A" w:rsidR="00F050A4" w:rsidRPr="0033150F" w:rsidRDefault="00F050A4" w:rsidP="00F050A4">
      <w:pPr>
        <w:rPr>
          <w:lang w:val="en-US" w:eastAsia="ja-JP"/>
        </w:rPr>
      </w:pPr>
      <w:r w:rsidRPr="00F050A4">
        <w:rPr>
          <w:rStyle w:val="FootnoteReference"/>
        </w:rPr>
        <w:footnoteRef/>
      </w:r>
      <w:r w:rsidRPr="0033150F">
        <w:rPr>
          <w:lang w:val="en-US"/>
        </w:rPr>
        <w:t xml:space="preserve"> </w:t>
      </w:r>
      <w:hyperlink r:id="rId7" w:history="1">
        <w:r w:rsidRPr="0033150F">
          <w:rPr>
            <w:rStyle w:val="Hyperlink"/>
            <w:lang w:val="en-US" w:eastAsia="ja-JP"/>
          </w:rPr>
          <w:t>https://comite1desembre.org/news/ca/2020/10/27/0002/tancament-servei-drassanes</w:t>
        </w:r>
      </w:hyperlink>
    </w:p>
  </w:footnote>
  <w:footnote w:id="10">
    <w:p w14:paraId="2A136B7E" w14:textId="16E633EB" w:rsidR="00F050A4" w:rsidRPr="0033150F" w:rsidRDefault="00F050A4">
      <w:pPr>
        <w:pStyle w:val="FootnoteText"/>
        <w:rPr>
          <w:lang w:val="en-US"/>
        </w:rPr>
      </w:pPr>
      <w:r w:rsidRPr="00F050A4">
        <w:rPr>
          <w:rStyle w:val="FootnoteReference"/>
        </w:rPr>
        <w:footnoteRef/>
      </w:r>
      <w:r w:rsidRPr="0033150F">
        <w:rPr>
          <w:lang w:val="en-US"/>
        </w:rPr>
        <w:t xml:space="preserve"> </w:t>
      </w:r>
      <w:hyperlink r:id="rId8" w:history="1">
        <w:r w:rsidRPr="0033150F">
          <w:rPr>
            <w:rStyle w:val="Hyperlink"/>
            <w:lang w:val="en-US"/>
          </w:rPr>
          <w:t>https://www.eldiario.es/catalunya/cierra-servicio-enfermedades-transmision-sexual-centro-barcelona-debido-epidemia_1_6382794.html</w:t>
        </w:r>
      </w:hyperlink>
    </w:p>
    <w:p w14:paraId="5CA7B883" w14:textId="77777777" w:rsidR="00F050A4" w:rsidRPr="0033150F" w:rsidRDefault="00F050A4">
      <w:pPr>
        <w:pStyle w:val="FootnoteText"/>
        <w:rPr>
          <w:lang w:val="en-US"/>
        </w:rPr>
      </w:pPr>
    </w:p>
  </w:footnote>
  <w:footnote w:id="11">
    <w:p w14:paraId="62AF2ED6" w14:textId="34D22A79" w:rsidR="009E4A6C" w:rsidRPr="0033150F" w:rsidRDefault="009E4A6C">
      <w:pPr>
        <w:pStyle w:val="FootnoteText"/>
        <w:rPr>
          <w:sz w:val="18"/>
          <w:szCs w:val="18"/>
          <w:lang w:val="en-US"/>
        </w:rPr>
      </w:pPr>
      <w:r w:rsidRPr="009E4A6C">
        <w:rPr>
          <w:rStyle w:val="FootnoteReference"/>
          <w:sz w:val="18"/>
          <w:szCs w:val="18"/>
        </w:rPr>
        <w:footnoteRef/>
      </w:r>
      <w:r w:rsidRPr="0033150F">
        <w:rPr>
          <w:sz w:val="18"/>
          <w:szCs w:val="18"/>
          <w:lang w:val="en-US"/>
        </w:rPr>
        <w:t xml:space="preserve"> </w:t>
      </w:r>
      <w:hyperlink r:id="rId9" w:history="1">
        <w:r w:rsidRPr="0033150F">
          <w:rPr>
            <w:rStyle w:val="Hyperlink"/>
            <w:sz w:val="18"/>
            <w:szCs w:val="18"/>
            <w:lang w:val="en-US"/>
          </w:rPr>
          <w:t>https://www.ara.cat/societat/coronavirus-covid-19-ong-associacions-serveis-socials-tercer-sector-demanen-inversio-publica-fer-front-ajudes-pobres-relloguer-alimentacio_1_1039925.html</w:t>
        </w:r>
      </w:hyperlink>
    </w:p>
  </w:footnote>
  <w:footnote w:id="12">
    <w:p w14:paraId="1CA246C8" w14:textId="4B847D92" w:rsidR="0033150F" w:rsidRPr="0033150F" w:rsidRDefault="0033150F">
      <w:pPr>
        <w:pStyle w:val="FootnoteText"/>
        <w:rPr>
          <w:sz w:val="18"/>
          <w:szCs w:val="18"/>
        </w:rPr>
      </w:pPr>
      <w:r w:rsidRPr="0033150F">
        <w:rPr>
          <w:rStyle w:val="FootnoteReference"/>
          <w:sz w:val="18"/>
          <w:szCs w:val="18"/>
        </w:rPr>
        <w:footnoteRef/>
      </w:r>
      <w:r w:rsidRPr="0033150F">
        <w:rPr>
          <w:sz w:val="18"/>
          <w:szCs w:val="18"/>
        </w:rPr>
        <w:t xml:space="preserve"> </w:t>
      </w:r>
      <w:hyperlink r:id="rId10" w:history="1">
        <w:r w:rsidRPr="0033150F">
          <w:rPr>
            <w:rStyle w:val="Hyperlink"/>
            <w:sz w:val="18"/>
            <w:szCs w:val="18"/>
          </w:rPr>
          <w:t>http://www.tjussana.cat/repositori/element_1616428892.pdf</w:t>
        </w:r>
      </w:hyperlink>
    </w:p>
    <w:p w14:paraId="40AAC72D" w14:textId="77777777" w:rsidR="0033150F" w:rsidRPr="0033150F" w:rsidRDefault="0033150F">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A54656A"/>
    <w:multiLevelType w:val="hybridMultilevel"/>
    <w:tmpl w:val="59C8B192"/>
    <w:lvl w:ilvl="0" w:tplc="497EB566">
      <w:numFmt w:val="bullet"/>
      <w:lvlText w:val="-"/>
      <w:lvlJc w:val="left"/>
      <w:pPr>
        <w:ind w:left="644" w:hanging="360"/>
      </w:pPr>
      <w:rPr>
        <w:rFonts w:ascii="Times New Roman" w:eastAsia="Helvetica Neue"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0792B63"/>
    <w:multiLevelType w:val="hybridMultilevel"/>
    <w:tmpl w:val="5F7ED24E"/>
    <w:lvl w:ilvl="0" w:tplc="9BF2F95C">
      <w:numFmt w:val="bullet"/>
      <w:lvlText w:val=""/>
      <w:lvlJc w:val="left"/>
      <w:pPr>
        <w:ind w:left="1080" w:hanging="360"/>
      </w:pPr>
      <w:rPr>
        <w:rFonts w:ascii="Wingdings" w:eastAsia="Times New Roman" w:hAnsi="Wingdings" w:cs="Times New Roman"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AA324C1"/>
    <w:multiLevelType w:val="hybridMultilevel"/>
    <w:tmpl w:val="68A4D158"/>
    <w:lvl w:ilvl="0" w:tplc="E6C01984">
      <w:numFmt w:val="bullet"/>
      <w:lvlText w:val=""/>
      <w:lvlJc w:val="left"/>
      <w:pPr>
        <w:ind w:left="644" w:hanging="360"/>
      </w:pPr>
      <w:rPr>
        <w:rFonts w:ascii="Symbol" w:eastAsia="Helvetica Neue" w:hAnsi="Symbol" w:cs="Times New Roman" w:hint="default"/>
      </w:rPr>
    </w:lvl>
    <w:lvl w:ilvl="1" w:tplc="E6FE65F8">
      <w:numFmt w:val="bullet"/>
      <w:lvlText w:val="-"/>
      <w:lvlJc w:val="left"/>
      <w:pPr>
        <w:ind w:left="1364" w:hanging="360"/>
      </w:pPr>
      <w:rPr>
        <w:rFonts w:ascii="Calibri" w:eastAsiaTheme="minorEastAsia" w:hAnsi="Calibri" w:cs="Calibri" w:hint="default"/>
      </w:rPr>
    </w:lvl>
    <w:lvl w:ilvl="2" w:tplc="22AC7190">
      <w:numFmt w:val="bullet"/>
      <w:lvlText w:val=""/>
      <w:lvlJc w:val="left"/>
      <w:pPr>
        <w:ind w:left="2084" w:hanging="360"/>
      </w:pPr>
      <w:rPr>
        <w:rFonts w:ascii="Wingdings" w:eastAsia="Helvetica Neue" w:hAnsi="Wingdings" w:cs="Times New Roman"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5525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220180"/>
    <w:multiLevelType w:val="hybridMultilevel"/>
    <w:tmpl w:val="651678CA"/>
    <w:lvl w:ilvl="0" w:tplc="6F3CD058">
      <w:start w:val="7"/>
      <w:numFmt w:val="bullet"/>
      <w:lvlText w:val=""/>
      <w:lvlJc w:val="left"/>
      <w:pPr>
        <w:ind w:left="720" w:hanging="360"/>
      </w:pPr>
      <w:rPr>
        <w:rFonts w:ascii="Symbol" w:eastAsia="Helvetica Neue"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B28F1"/>
    <w:multiLevelType w:val="hybridMultilevel"/>
    <w:tmpl w:val="FAA2A54E"/>
    <w:lvl w:ilvl="0" w:tplc="6638F9FC">
      <w:numFmt w:val="bullet"/>
      <w:lvlText w:val="-"/>
      <w:lvlJc w:val="left"/>
      <w:pPr>
        <w:ind w:left="1004" w:hanging="360"/>
      </w:pPr>
      <w:rPr>
        <w:rFonts w:ascii="Times New Roman" w:eastAsia="Helvetica Neue"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4FC17535"/>
    <w:multiLevelType w:val="hybridMultilevel"/>
    <w:tmpl w:val="7A86DFAA"/>
    <w:lvl w:ilvl="0" w:tplc="E6C01984">
      <w:numFmt w:val="bullet"/>
      <w:lvlText w:val=""/>
      <w:lvlJc w:val="left"/>
      <w:pPr>
        <w:ind w:left="644" w:hanging="360"/>
      </w:pPr>
      <w:rPr>
        <w:rFonts w:ascii="Symbol" w:eastAsia="Helvetica Neue" w:hAnsi="Symbol" w:cs="Times New Roman" w:hint="default"/>
      </w:rPr>
    </w:lvl>
    <w:lvl w:ilvl="1" w:tplc="04090003">
      <w:start w:val="1"/>
      <w:numFmt w:val="bullet"/>
      <w:lvlText w:val="o"/>
      <w:lvlJc w:val="left"/>
      <w:pPr>
        <w:ind w:left="1364" w:hanging="360"/>
      </w:pPr>
      <w:rPr>
        <w:rFonts w:ascii="Courier New" w:hAnsi="Courier New" w:cs="Courier New" w:hint="default"/>
      </w:rPr>
    </w:lvl>
    <w:lvl w:ilvl="2" w:tplc="22AC7190">
      <w:numFmt w:val="bullet"/>
      <w:lvlText w:val=""/>
      <w:lvlJc w:val="left"/>
      <w:pPr>
        <w:ind w:left="2084" w:hanging="360"/>
      </w:pPr>
      <w:rPr>
        <w:rFonts w:ascii="Wingdings" w:eastAsia="Helvetica Neue" w:hAnsi="Wingdings" w:cs="Times New Roman"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0"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5096381"/>
    <w:multiLevelType w:val="multilevel"/>
    <w:tmpl w:val="530ED2D2"/>
    <w:lvl w:ilvl="0">
      <w:start w:val="1"/>
      <w:numFmt w:val="decimal"/>
      <w:lvlText w:val="%1."/>
      <w:lvlJc w:val="left"/>
      <w:pPr>
        <w:ind w:left="72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33"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35711CA"/>
    <w:multiLevelType w:val="hybridMultilevel"/>
    <w:tmpl w:val="654A389E"/>
    <w:lvl w:ilvl="0" w:tplc="04090001">
      <w:start w:val="7"/>
      <w:numFmt w:val="bullet"/>
      <w:lvlText w:val=""/>
      <w:lvlJc w:val="left"/>
      <w:pPr>
        <w:ind w:left="1364" w:hanging="360"/>
      </w:pPr>
      <w:rPr>
        <w:rFonts w:ascii="Symbol" w:eastAsia="Times New Roman" w:hAnsi="Symbol"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7"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1260D3"/>
    <w:multiLevelType w:val="hybridMultilevel"/>
    <w:tmpl w:val="A038273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A5B5A53"/>
    <w:multiLevelType w:val="hybridMultilevel"/>
    <w:tmpl w:val="B2AA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B65B7"/>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1"/>
  </w:num>
  <w:num w:numId="3">
    <w:abstractNumId w:val="26"/>
  </w:num>
  <w:num w:numId="4">
    <w:abstractNumId w:val="11"/>
  </w:num>
  <w:num w:numId="5">
    <w:abstractNumId w:val="27"/>
  </w:num>
  <w:num w:numId="6">
    <w:abstractNumId w:val="16"/>
  </w:num>
  <w:num w:numId="7">
    <w:abstractNumId w:val="2"/>
  </w:num>
  <w:num w:numId="8">
    <w:abstractNumId w:val="17"/>
  </w:num>
  <w:num w:numId="9">
    <w:abstractNumId w:val="4"/>
  </w:num>
  <w:num w:numId="10">
    <w:abstractNumId w:val="1"/>
  </w:num>
  <w:num w:numId="11">
    <w:abstractNumId w:val="13"/>
  </w:num>
  <w:num w:numId="12">
    <w:abstractNumId w:val="35"/>
  </w:num>
  <w:num w:numId="13">
    <w:abstractNumId w:val="37"/>
  </w:num>
  <w:num w:numId="14">
    <w:abstractNumId w:val="22"/>
  </w:num>
  <w:num w:numId="15">
    <w:abstractNumId w:val="8"/>
  </w:num>
  <w:num w:numId="16">
    <w:abstractNumId w:val="0"/>
  </w:num>
  <w:num w:numId="17">
    <w:abstractNumId w:val="29"/>
  </w:num>
  <w:num w:numId="18">
    <w:abstractNumId w:val="10"/>
  </w:num>
  <w:num w:numId="19">
    <w:abstractNumId w:val="20"/>
  </w:num>
  <w:num w:numId="20">
    <w:abstractNumId w:val="7"/>
  </w:num>
  <w:num w:numId="21">
    <w:abstractNumId w:val="28"/>
  </w:num>
  <w:num w:numId="22">
    <w:abstractNumId w:val="25"/>
  </w:num>
  <w:num w:numId="23">
    <w:abstractNumId w:val="18"/>
  </w:num>
  <w:num w:numId="24">
    <w:abstractNumId w:val="32"/>
  </w:num>
  <w:num w:numId="25">
    <w:abstractNumId w:val="24"/>
  </w:num>
  <w:num w:numId="26">
    <w:abstractNumId w:val="33"/>
  </w:num>
  <w:num w:numId="27">
    <w:abstractNumId w:val="12"/>
  </w:num>
  <w:num w:numId="28">
    <w:abstractNumId w:val="3"/>
  </w:num>
  <w:num w:numId="29">
    <w:abstractNumId w:val="30"/>
  </w:num>
  <w:num w:numId="30">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1"/>
  </w:num>
  <w:num w:numId="33">
    <w:abstractNumId w:val="40"/>
  </w:num>
  <w:num w:numId="34">
    <w:abstractNumId w:val="5"/>
  </w:num>
  <w:num w:numId="35">
    <w:abstractNumId w:val="36"/>
  </w:num>
  <w:num w:numId="36">
    <w:abstractNumId w:val="15"/>
  </w:num>
  <w:num w:numId="37">
    <w:abstractNumId w:val="21"/>
  </w:num>
  <w:num w:numId="38">
    <w:abstractNumId w:val="38"/>
  </w:num>
  <w:num w:numId="39">
    <w:abstractNumId w:val="39"/>
  </w:num>
  <w:num w:numId="40">
    <w:abstractNumId w:val="9"/>
  </w:num>
  <w:num w:numId="41">
    <w:abstractNumId w:val="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E48"/>
    <w:rsid w:val="000138F6"/>
    <w:rsid w:val="00023D7B"/>
    <w:rsid w:val="00026D1F"/>
    <w:rsid w:val="000340E3"/>
    <w:rsid w:val="00034190"/>
    <w:rsid w:val="0003674D"/>
    <w:rsid w:val="000448F9"/>
    <w:rsid w:val="0005390B"/>
    <w:rsid w:val="000552AA"/>
    <w:rsid w:val="00063BFD"/>
    <w:rsid w:val="00074FC5"/>
    <w:rsid w:val="00076B62"/>
    <w:rsid w:val="00077294"/>
    <w:rsid w:val="0008727D"/>
    <w:rsid w:val="000875C6"/>
    <w:rsid w:val="00091BF0"/>
    <w:rsid w:val="0009263A"/>
    <w:rsid w:val="000A2B89"/>
    <w:rsid w:val="000A6F03"/>
    <w:rsid w:val="000B689C"/>
    <w:rsid w:val="000B7800"/>
    <w:rsid w:val="000C0632"/>
    <w:rsid w:val="000C4538"/>
    <w:rsid w:val="000D210E"/>
    <w:rsid w:val="000D34F2"/>
    <w:rsid w:val="000D6AB8"/>
    <w:rsid w:val="000D7AE5"/>
    <w:rsid w:val="000E42EE"/>
    <w:rsid w:val="000E603B"/>
    <w:rsid w:val="000F183C"/>
    <w:rsid w:val="0010166B"/>
    <w:rsid w:val="00106F64"/>
    <w:rsid w:val="00112F02"/>
    <w:rsid w:val="00114066"/>
    <w:rsid w:val="00115798"/>
    <w:rsid w:val="00116C1E"/>
    <w:rsid w:val="001205D6"/>
    <w:rsid w:val="00125769"/>
    <w:rsid w:val="00127564"/>
    <w:rsid w:val="00127D35"/>
    <w:rsid w:val="00136FF7"/>
    <w:rsid w:val="0014528C"/>
    <w:rsid w:val="001456CB"/>
    <w:rsid w:val="001537CC"/>
    <w:rsid w:val="00153DB2"/>
    <w:rsid w:val="00155C74"/>
    <w:rsid w:val="0015615C"/>
    <w:rsid w:val="001676BA"/>
    <w:rsid w:val="001718CD"/>
    <w:rsid w:val="00181FDD"/>
    <w:rsid w:val="00194332"/>
    <w:rsid w:val="001B1232"/>
    <w:rsid w:val="001B7B09"/>
    <w:rsid w:val="001C24AA"/>
    <w:rsid w:val="001C4360"/>
    <w:rsid w:val="001D0197"/>
    <w:rsid w:val="001D2D0D"/>
    <w:rsid w:val="001D3313"/>
    <w:rsid w:val="001E3384"/>
    <w:rsid w:val="001F417C"/>
    <w:rsid w:val="001F6512"/>
    <w:rsid w:val="002028A9"/>
    <w:rsid w:val="00210911"/>
    <w:rsid w:val="0021296A"/>
    <w:rsid w:val="002129D5"/>
    <w:rsid w:val="002213D2"/>
    <w:rsid w:val="00221893"/>
    <w:rsid w:val="00224386"/>
    <w:rsid w:val="0022506C"/>
    <w:rsid w:val="00227E2F"/>
    <w:rsid w:val="00230775"/>
    <w:rsid w:val="00231DF2"/>
    <w:rsid w:val="00235A1A"/>
    <w:rsid w:val="002431DB"/>
    <w:rsid w:val="00244860"/>
    <w:rsid w:val="0024583B"/>
    <w:rsid w:val="00250C16"/>
    <w:rsid w:val="0025174E"/>
    <w:rsid w:val="00261AC1"/>
    <w:rsid w:val="00266D70"/>
    <w:rsid w:val="00273A31"/>
    <w:rsid w:val="00282983"/>
    <w:rsid w:val="00282E14"/>
    <w:rsid w:val="0028546D"/>
    <w:rsid w:val="0028624E"/>
    <w:rsid w:val="002863A2"/>
    <w:rsid w:val="00291E28"/>
    <w:rsid w:val="00293243"/>
    <w:rsid w:val="00294E4E"/>
    <w:rsid w:val="00295277"/>
    <w:rsid w:val="002969BF"/>
    <w:rsid w:val="002975A3"/>
    <w:rsid w:val="00297B0A"/>
    <w:rsid w:val="002B0220"/>
    <w:rsid w:val="002B3744"/>
    <w:rsid w:val="002B5C17"/>
    <w:rsid w:val="002C3EBC"/>
    <w:rsid w:val="002C4048"/>
    <w:rsid w:val="002C65D5"/>
    <w:rsid w:val="002E65F4"/>
    <w:rsid w:val="002E7192"/>
    <w:rsid w:val="002F51FF"/>
    <w:rsid w:val="002F53E5"/>
    <w:rsid w:val="00305B08"/>
    <w:rsid w:val="00315265"/>
    <w:rsid w:val="00320305"/>
    <w:rsid w:val="003250C9"/>
    <w:rsid w:val="0033150F"/>
    <w:rsid w:val="00335FB9"/>
    <w:rsid w:val="00341CB8"/>
    <w:rsid w:val="00354201"/>
    <w:rsid w:val="00356299"/>
    <w:rsid w:val="003577DB"/>
    <w:rsid w:val="00360559"/>
    <w:rsid w:val="0036488F"/>
    <w:rsid w:val="00373EF9"/>
    <w:rsid w:val="0037557C"/>
    <w:rsid w:val="00380489"/>
    <w:rsid w:val="00385A89"/>
    <w:rsid w:val="003915DB"/>
    <w:rsid w:val="003915E3"/>
    <w:rsid w:val="00392051"/>
    <w:rsid w:val="0039311D"/>
    <w:rsid w:val="003956EF"/>
    <w:rsid w:val="00396E4C"/>
    <w:rsid w:val="003A08A4"/>
    <w:rsid w:val="003A3452"/>
    <w:rsid w:val="003A3957"/>
    <w:rsid w:val="003A3CF5"/>
    <w:rsid w:val="003A66B7"/>
    <w:rsid w:val="003C223B"/>
    <w:rsid w:val="003C37C3"/>
    <w:rsid w:val="003C5CB6"/>
    <w:rsid w:val="003C63AC"/>
    <w:rsid w:val="003C72D0"/>
    <w:rsid w:val="003D01A7"/>
    <w:rsid w:val="003D0C10"/>
    <w:rsid w:val="003D3D66"/>
    <w:rsid w:val="003D636F"/>
    <w:rsid w:val="003D7325"/>
    <w:rsid w:val="003E552B"/>
    <w:rsid w:val="003E7735"/>
    <w:rsid w:val="003F3CBC"/>
    <w:rsid w:val="003F6640"/>
    <w:rsid w:val="003F7C17"/>
    <w:rsid w:val="00401FD2"/>
    <w:rsid w:val="00410560"/>
    <w:rsid w:val="00410A43"/>
    <w:rsid w:val="004153DE"/>
    <w:rsid w:val="00415EFC"/>
    <w:rsid w:val="00422D33"/>
    <w:rsid w:val="00440385"/>
    <w:rsid w:val="00440E30"/>
    <w:rsid w:val="00440ED0"/>
    <w:rsid w:val="0044209B"/>
    <w:rsid w:val="00443DF5"/>
    <w:rsid w:val="00447412"/>
    <w:rsid w:val="00455C6D"/>
    <w:rsid w:val="00456419"/>
    <w:rsid w:val="00460258"/>
    <w:rsid w:val="00477AB9"/>
    <w:rsid w:val="0048657B"/>
    <w:rsid w:val="00487E65"/>
    <w:rsid w:val="0049555E"/>
    <w:rsid w:val="004A07F3"/>
    <w:rsid w:val="004A5D9B"/>
    <w:rsid w:val="004B4CAC"/>
    <w:rsid w:val="004B7843"/>
    <w:rsid w:val="004C044F"/>
    <w:rsid w:val="004C3905"/>
    <w:rsid w:val="004C53A1"/>
    <w:rsid w:val="004D0922"/>
    <w:rsid w:val="004D21C9"/>
    <w:rsid w:val="004D5717"/>
    <w:rsid w:val="004D5D19"/>
    <w:rsid w:val="004E0AB6"/>
    <w:rsid w:val="004E49EC"/>
    <w:rsid w:val="004E4B3B"/>
    <w:rsid w:val="004E4D86"/>
    <w:rsid w:val="004F4DB0"/>
    <w:rsid w:val="004F7677"/>
    <w:rsid w:val="00503293"/>
    <w:rsid w:val="00503C34"/>
    <w:rsid w:val="005122A3"/>
    <w:rsid w:val="00517CC8"/>
    <w:rsid w:val="00520DCB"/>
    <w:rsid w:val="00521385"/>
    <w:rsid w:val="005275A0"/>
    <w:rsid w:val="00530EF5"/>
    <w:rsid w:val="00532A56"/>
    <w:rsid w:val="00533014"/>
    <w:rsid w:val="005346CB"/>
    <w:rsid w:val="00535547"/>
    <w:rsid w:val="00535992"/>
    <w:rsid w:val="005417E4"/>
    <w:rsid w:val="005455F8"/>
    <w:rsid w:val="0055573E"/>
    <w:rsid w:val="00560933"/>
    <w:rsid w:val="00562D63"/>
    <w:rsid w:val="00565562"/>
    <w:rsid w:val="00570A1B"/>
    <w:rsid w:val="00570E41"/>
    <w:rsid w:val="00576638"/>
    <w:rsid w:val="005849E6"/>
    <w:rsid w:val="00585F8E"/>
    <w:rsid w:val="005871D9"/>
    <w:rsid w:val="005879B6"/>
    <w:rsid w:val="005957ED"/>
    <w:rsid w:val="005A586C"/>
    <w:rsid w:val="005D142E"/>
    <w:rsid w:val="005E52C3"/>
    <w:rsid w:val="005E7C37"/>
    <w:rsid w:val="005F1708"/>
    <w:rsid w:val="005F1A5B"/>
    <w:rsid w:val="005F283E"/>
    <w:rsid w:val="0060068B"/>
    <w:rsid w:val="00606DB6"/>
    <w:rsid w:val="0060785C"/>
    <w:rsid w:val="00612CFD"/>
    <w:rsid w:val="00627A52"/>
    <w:rsid w:val="006306D3"/>
    <w:rsid w:val="0063240F"/>
    <w:rsid w:val="00632C43"/>
    <w:rsid w:val="00635102"/>
    <w:rsid w:val="00636BD7"/>
    <w:rsid w:val="006375A5"/>
    <w:rsid w:val="006412EA"/>
    <w:rsid w:val="00645695"/>
    <w:rsid w:val="00650CD4"/>
    <w:rsid w:val="00657017"/>
    <w:rsid w:val="006605E5"/>
    <w:rsid w:val="00660EDA"/>
    <w:rsid w:val="006617A4"/>
    <w:rsid w:val="00667227"/>
    <w:rsid w:val="00667DA9"/>
    <w:rsid w:val="00674243"/>
    <w:rsid w:val="006749F6"/>
    <w:rsid w:val="00682D26"/>
    <w:rsid w:val="00682DDB"/>
    <w:rsid w:val="006834E4"/>
    <w:rsid w:val="00687D69"/>
    <w:rsid w:val="00687E4F"/>
    <w:rsid w:val="006950AE"/>
    <w:rsid w:val="00695D3E"/>
    <w:rsid w:val="006A542A"/>
    <w:rsid w:val="006A7352"/>
    <w:rsid w:val="006B441C"/>
    <w:rsid w:val="006B5A71"/>
    <w:rsid w:val="006B7D0F"/>
    <w:rsid w:val="006D18CA"/>
    <w:rsid w:val="006D19DB"/>
    <w:rsid w:val="006E4FEE"/>
    <w:rsid w:val="006E6CC3"/>
    <w:rsid w:val="006F0EE4"/>
    <w:rsid w:val="006F3699"/>
    <w:rsid w:val="006F790C"/>
    <w:rsid w:val="00702624"/>
    <w:rsid w:val="00706103"/>
    <w:rsid w:val="007114F8"/>
    <w:rsid w:val="00712363"/>
    <w:rsid w:val="00712EFD"/>
    <w:rsid w:val="00716D30"/>
    <w:rsid w:val="007210F6"/>
    <w:rsid w:val="00723438"/>
    <w:rsid w:val="00724B79"/>
    <w:rsid w:val="0072576D"/>
    <w:rsid w:val="00733660"/>
    <w:rsid w:val="007340E1"/>
    <w:rsid w:val="00741EBC"/>
    <w:rsid w:val="007432E5"/>
    <w:rsid w:val="00743989"/>
    <w:rsid w:val="007450E8"/>
    <w:rsid w:val="007625BA"/>
    <w:rsid w:val="00776BDB"/>
    <w:rsid w:val="00776FDB"/>
    <w:rsid w:val="00787B07"/>
    <w:rsid w:val="00790C76"/>
    <w:rsid w:val="00790CBE"/>
    <w:rsid w:val="00794A75"/>
    <w:rsid w:val="0079503A"/>
    <w:rsid w:val="00795469"/>
    <w:rsid w:val="0079564F"/>
    <w:rsid w:val="00796729"/>
    <w:rsid w:val="00797214"/>
    <w:rsid w:val="007A291B"/>
    <w:rsid w:val="007B01A6"/>
    <w:rsid w:val="007B1119"/>
    <w:rsid w:val="007B5929"/>
    <w:rsid w:val="007C12AA"/>
    <w:rsid w:val="007C384C"/>
    <w:rsid w:val="007C4483"/>
    <w:rsid w:val="007C4A8E"/>
    <w:rsid w:val="007C5369"/>
    <w:rsid w:val="007D1657"/>
    <w:rsid w:val="007D47FE"/>
    <w:rsid w:val="007E39E1"/>
    <w:rsid w:val="007E4529"/>
    <w:rsid w:val="007F4792"/>
    <w:rsid w:val="007F7DA3"/>
    <w:rsid w:val="0080366A"/>
    <w:rsid w:val="0081788D"/>
    <w:rsid w:val="00825470"/>
    <w:rsid w:val="00834AF0"/>
    <w:rsid w:val="00842120"/>
    <w:rsid w:val="00842220"/>
    <w:rsid w:val="008427AA"/>
    <w:rsid w:val="00846B4A"/>
    <w:rsid w:val="00847A96"/>
    <w:rsid w:val="00853280"/>
    <w:rsid w:val="008553DE"/>
    <w:rsid w:val="008568EA"/>
    <w:rsid w:val="008617C4"/>
    <w:rsid w:val="008628CC"/>
    <w:rsid w:val="00864FD8"/>
    <w:rsid w:val="008656FA"/>
    <w:rsid w:val="00874280"/>
    <w:rsid w:val="00875D2A"/>
    <w:rsid w:val="008774E3"/>
    <w:rsid w:val="0088144C"/>
    <w:rsid w:val="0088550B"/>
    <w:rsid w:val="00885F00"/>
    <w:rsid w:val="008A2957"/>
    <w:rsid w:val="008B33E8"/>
    <w:rsid w:val="008B4DD7"/>
    <w:rsid w:val="008B4F3E"/>
    <w:rsid w:val="008C27BE"/>
    <w:rsid w:val="008C2924"/>
    <w:rsid w:val="008C60C0"/>
    <w:rsid w:val="008D1A3C"/>
    <w:rsid w:val="008D3B8A"/>
    <w:rsid w:val="008E46C1"/>
    <w:rsid w:val="008E60F4"/>
    <w:rsid w:val="008F041D"/>
    <w:rsid w:val="009240B2"/>
    <w:rsid w:val="00925A9D"/>
    <w:rsid w:val="009337F5"/>
    <w:rsid w:val="009358CD"/>
    <w:rsid w:val="00944040"/>
    <w:rsid w:val="00944E25"/>
    <w:rsid w:val="00945265"/>
    <w:rsid w:val="009469B5"/>
    <w:rsid w:val="009513E0"/>
    <w:rsid w:val="00951601"/>
    <w:rsid w:val="00953047"/>
    <w:rsid w:val="00956146"/>
    <w:rsid w:val="00965F62"/>
    <w:rsid w:val="00967728"/>
    <w:rsid w:val="00971EFD"/>
    <w:rsid w:val="009741D5"/>
    <w:rsid w:val="00977C96"/>
    <w:rsid w:val="00982FCF"/>
    <w:rsid w:val="00983FB8"/>
    <w:rsid w:val="0098565E"/>
    <w:rsid w:val="00985D76"/>
    <w:rsid w:val="00986237"/>
    <w:rsid w:val="00991BC1"/>
    <w:rsid w:val="00996943"/>
    <w:rsid w:val="00996D50"/>
    <w:rsid w:val="00997618"/>
    <w:rsid w:val="009A2849"/>
    <w:rsid w:val="009A73C4"/>
    <w:rsid w:val="009B113A"/>
    <w:rsid w:val="009B3C59"/>
    <w:rsid w:val="009B459A"/>
    <w:rsid w:val="009C3BCA"/>
    <w:rsid w:val="009D76A9"/>
    <w:rsid w:val="009D7D2C"/>
    <w:rsid w:val="009E00AF"/>
    <w:rsid w:val="009E210E"/>
    <w:rsid w:val="009E4A6C"/>
    <w:rsid w:val="009F18EC"/>
    <w:rsid w:val="009F2043"/>
    <w:rsid w:val="009F3BC9"/>
    <w:rsid w:val="00A01741"/>
    <w:rsid w:val="00A1021E"/>
    <w:rsid w:val="00A153DB"/>
    <w:rsid w:val="00A21EF1"/>
    <w:rsid w:val="00A34DA7"/>
    <w:rsid w:val="00A364CF"/>
    <w:rsid w:val="00A3761B"/>
    <w:rsid w:val="00A40490"/>
    <w:rsid w:val="00A439B9"/>
    <w:rsid w:val="00A46A6F"/>
    <w:rsid w:val="00A54482"/>
    <w:rsid w:val="00A54D6C"/>
    <w:rsid w:val="00A5509A"/>
    <w:rsid w:val="00A564C7"/>
    <w:rsid w:val="00A61E26"/>
    <w:rsid w:val="00A63977"/>
    <w:rsid w:val="00A65784"/>
    <w:rsid w:val="00A83BEF"/>
    <w:rsid w:val="00A86730"/>
    <w:rsid w:val="00A86AA4"/>
    <w:rsid w:val="00A86B19"/>
    <w:rsid w:val="00A86E08"/>
    <w:rsid w:val="00A9048E"/>
    <w:rsid w:val="00A93F3F"/>
    <w:rsid w:val="00A96DDA"/>
    <w:rsid w:val="00AA3895"/>
    <w:rsid w:val="00AA4829"/>
    <w:rsid w:val="00AB12FC"/>
    <w:rsid w:val="00AC50E4"/>
    <w:rsid w:val="00AD1796"/>
    <w:rsid w:val="00AD4CA9"/>
    <w:rsid w:val="00AE2231"/>
    <w:rsid w:val="00AE69A2"/>
    <w:rsid w:val="00AE796C"/>
    <w:rsid w:val="00AF1317"/>
    <w:rsid w:val="00AF291B"/>
    <w:rsid w:val="00AF2F09"/>
    <w:rsid w:val="00AF3626"/>
    <w:rsid w:val="00AF3BB1"/>
    <w:rsid w:val="00AF4A53"/>
    <w:rsid w:val="00B04529"/>
    <w:rsid w:val="00B06D36"/>
    <w:rsid w:val="00B13589"/>
    <w:rsid w:val="00B14752"/>
    <w:rsid w:val="00B16399"/>
    <w:rsid w:val="00B234F6"/>
    <w:rsid w:val="00B246B4"/>
    <w:rsid w:val="00B26347"/>
    <w:rsid w:val="00B31236"/>
    <w:rsid w:val="00B42B30"/>
    <w:rsid w:val="00B43D96"/>
    <w:rsid w:val="00B458F6"/>
    <w:rsid w:val="00B50202"/>
    <w:rsid w:val="00B54DD5"/>
    <w:rsid w:val="00B61545"/>
    <w:rsid w:val="00B64878"/>
    <w:rsid w:val="00B7425B"/>
    <w:rsid w:val="00B765A9"/>
    <w:rsid w:val="00B84F46"/>
    <w:rsid w:val="00B85B81"/>
    <w:rsid w:val="00B92FBB"/>
    <w:rsid w:val="00BA27E5"/>
    <w:rsid w:val="00BA5EE1"/>
    <w:rsid w:val="00BC0473"/>
    <w:rsid w:val="00BC2424"/>
    <w:rsid w:val="00BC4E6C"/>
    <w:rsid w:val="00BD2C78"/>
    <w:rsid w:val="00BD578B"/>
    <w:rsid w:val="00BD6119"/>
    <w:rsid w:val="00BF69D2"/>
    <w:rsid w:val="00C07B5F"/>
    <w:rsid w:val="00C12BED"/>
    <w:rsid w:val="00C20398"/>
    <w:rsid w:val="00C231AF"/>
    <w:rsid w:val="00C234D8"/>
    <w:rsid w:val="00C23DDD"/>
    <w:rsid w:val="00C35851"/>
    <w:rsid w:val="00C439A1"/>
    <w:rsid w:val="00C6141D"/>
    <w:rsid w:val="00C64254"/>
    <w:rsid w:val="00C73CD7"/>
    <w:rsid w:val="00C73FDC"/>
    <w:rsid w:val="00C74811"/>
    <w:rsid w:val="00C772EF"/>
    <w:rsid w:val="00C82CCE"/>
    <w:rsid w:val="00C922E3"/>
    <w:rsid w:val="00CA2FAD"/>
    <w:rsid w:val="00CA5B8E"/>
    <w:rsid w:val="00CA65D2"/>
    <w:rsid w:val="00CB1C6E"/>
    <w:rsid w:val="00CC4107"/>
    <w:rsid w:val="00CC5BEF"/>
    <w:rsid w:val="00CD0230"/>
    <w:rsid w:val="00CE6A0E"/>
    <w:rsid w:val="00CF68B6"/>
    <w:rsid w:val="00D00DDC"/>
    <w:rsid w:val="00D02F61"/>
    <w:rsid w:val="00D04803"/>
    <w:rsid w:val="00D1125E"/>
    <w:rsid w:val="00D115F7"/>
    <w:rsid w:val="00D12389"/>
    <w:rsid w:val="00D149EB"/>
    <w:rsid w:val="00D14B2E"/>
    <w:rsid w:val="00D2123D"/>
    <w:rsid w:val="00D230B7"/>
    <w:rsid w:val="00D23218"/>
    <w:rsid w:val="00D24502"/>
    <w:rsid w:val="00D258A7"/>
    <w:rsid w:val="00D30413"/>
    <w:rsid w:val="00D32293"/>
    <w:rsid w:val="00D32E5B"/>
    <w:rsid w:val="00D3608E"/>
    <w:rsid w:val="00D36635"/>
    <w:rsid w:val="00D40240"/>
    <w:rsid w:val="00D43FA7"/>
    <w:rsid w:val="00D4635B"/>
    <w:rsid w:val="00D5082F"/>
    <w:rsid w:val="00D55480"/>
    <w:rsid w:val="00D555C7"/>
    <w:rsid w:val="00D67524"/>
    <w:rsid w:val="00D70178"/>
    <w:rsid w:val="00D84C7E"/>
    <w:rsid w:val="00D963DD"/>
    <w:rsid w:val="00D968C8"/>
    <w:rsid w:val="00DA144E"/>
    <w:rsid w:val="00DA3B78"/>
    <w:rsid w:val="00DA5FC2"/>
    <w:rsid w:val="00DB3DAA"/>
    <w:rsid w:val="00DB4CBC"/>
    <w:rsid w:val="00DB5055"/>
    <w:rsid w:val="00DB5616"/>
    <w:rsid w:val="00DB6337"/>
    <w:rsid w:val="00DC0CA6"/>
    <w:rsid w:val="00DC298E"/>
    <w:rsid w:val="00DD4909"/>
    <w:rsid w:val="00DD712C"/>
    <w:rsid w:val="00DF2B2F"/>
    <w:rsid w:val="00DF653F"/>
    <w:rsid w:val="00E15347"/>
    <w:rsid w:val="00E22392"/>
    <w:rsid w:val="00E30296"/>
    <w:rsid w:val="00E30444"/>
    <w:rsid w:val="00E4367D"/>
    <w:rsid w:val="00E56372"/>
    <w:rsid w:val="00E60057"/>
    <w:rsid w:val="00E66BF6"/>
    <w:rsid w:val="00E672CB"/>
    <w:rsid w:val="00E679E8"/>
    <w:rsid w:val="00E705EF"/>
    <w:rsid w:val="00E84288"/>
    <w:rsid w:val="00E8787F"/>
    <w:rsid w:val="00E977AF"/>
    <w:rsid w:val="00EA5AD0"/>
    <w:rsid w:val="00EA6B3E"/>
    <w:rsid w:val="00EB1D75"/>
    <w:rsid w:val="00EB4CDE"/>
    <w:rsid w:val="00EC123F"/>
    <w:rsid w:val="00EC3E83"/>
    <w:rsid w:val="00EC7DF1"/>
    <w:rsid w:val="00ED053D"/>
    <w:rsid w:val="00ED2FB5"/>
    <w:rsid w:val="00EE0A7C"/>
    <w:rsid w:val="00EE1CC5"/>
    <w:rsid w:val="00EE51A1"/>
    <w:rsid w:val="00EE5BA8"/>
    <w:rsid w:val="00EE6765"/>
    <w:rsid w:val="00EF0B0D"/>
    <w:rsid w:val="00EF7D86"/>
    <w:rsid w:val="00F006B5"/>
    <w:rsid w:val="00F012AB"/>
    <w:rsid w:val="00F03119"/>
    <w:rsid w:val="00F0416B"/>
    <w:rsid w:val="00F050A4"/>
    <w:rsid w:val="00F06B36"/>
    <w:rsid w:val="00F25DBD"/>
    <w:rsid w:val="00F2776F"/>
    <w:rsid w:val="00F27B44"/>
    <w:rsid w:val="00F44EA7"/>
    <w:rsid w:val="00F47B64"/>
    <w:rsid w:val="00F611C6"/>
    <w:rsid w:val="00F62027"/>
    <w:rsid w:val="00F667F5"/>
    <w:rsid w:val="00F80A14"/>
    <w:rsid w:val="00F80D28"/>
    <w:rsid w:val="00F81658"/>
    <w:rsid w:val="00F927D4"/>
    <w:rsid w:val="00F97C2A"/>
    <w:rsid w:val="00FA3A0F"/>
    <w:rsid w:val="00FA61F7"/>
    <w:rsid w:val="00FB1650"/>
    <w:rsid w:val="00FB365F"/>
    <w:rsid w:val="00FB41B6"/>
    <w:rsid w:val="00FC0B84"/>
    <w:rsid w:val="00FC1DDB"/>
    <w:rsid w:val="00FC5FF0"/>
    <w:rsid w:val="00FD41D3"/>
    <w:rsid w:val="00FD651D"/>
    <w:rsid w:val="00FD659F"/>
    <w:rsid w:val="00FE6E4C"/>
    <w:rsid w:val="00FF2D22"/>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character" w:customStyle="1" w:styleId="UnresolvedMention">
    <w:name w:val="Unresolved Mention"/>
    <w:basedOn w:val="DefaultParagraphFont"/>
    <w:uiPriority w:val="99"/>
    <w:semiHidden/>
    <w:unhideWhenUsed/>
    <w:rsid w:val="001F417C"/>
    <w:rPr>
      <w:color w:val="605E5C"/>
      <w:shd w:val="clear" w:color="auto" w:fill="E1DFDD"/>
    </w:rPr>
  </w:style>
  <w:style w:type="character" w:styleId="FollowedHyperlink">
    <w:name w:val="FollowedHyperlink"/>
    <w:basedOn w:val="DefaultParagraphFont"/>
    <w:semiHidden/>
    <w:unhideWhenUsed/>
    <w:rsid w:val="0009263A"/>
    <w:rPr>
      <w:color w:val="954F72" w:themeColor="followedHyperlink"/>
      <w:u w:val="single"/>
    </w:rPr>
  </w:style>
  <w:style w:type="paragraph" w:styleId="FootnoteText">
    <w:name w:val="footnote text"/>
    <w:basedOn w:val="Normal"/>
    <w:link w:val="FootnoteTextChar"/>
    <w:semiHidden/>
    <w:unhideWhenUsed/>
    <w:rsid w:val="001C24AA"/>
  </w:style>
  <w:style w:type="character" w:customStyle="1" w:styleId="FootnoteTextChar">
    <w:name w:val="Footnote Text Char"/>
    <w:basedOn w:val="DefaultParagraphFont"/>
    <w:link w:val="FootnoteText"/>
    <w:semiHidden/>
    <w:rsid w:val="001C24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2365">
      <w:bodyDiv w:val="1"/>
      <w:marLeft w:val="0"/>
      <w:marRight w:val="0"/>
      <w:marTop w:val="0"/>
      <w:marBottom w:val="0"/>
      <w:divBdr>
        <w:top w:val="none" w:sz="0" w:space="0" w:color="auto"/>
        <w:left w:val="none" w:sz="0" w:space="0" w:color="auto"/>
        <w:bottom w:val="none" w:sz="0" w:space="0" w:color="auto"/>
        <w:right w:val="none" w:sz="0" w:space="0" w:color="auto"/>
      </w:divBdr>
    </w:div>
    <w:div w:id="251865586">
      <w:bodyDiv w:val="1"/>
      <w:marLeft w:val="0"/>
      <w:marRight w:val="0"/>
      <w:marTop w:val="0"/>
      <w:marBottom w:val="0"/>
      <w:divBdr>
        <w:top w:val="none" w:sz="0" w:space="0" w:color="auto"/>
        <w:left w:val="none" w:sz="0" w:space="0" w:color="auto"/>
        <w:bottom w:val="none" w:sz="0" w:space="0" w:color="auto"/>
        <w:right w:val="none" w:sz="0" w:space="0" w:color="auto"/>
      </w:divBdr>
    </w:div>
    <w:div w:id="480467227">
      <w:bodyDiv w:val="1"/>
      <w:marLeft w:val="0"/>
      <w:marRight w:val="0"/>
      <w:marTop w:val="0"/>
      <w:marBottom w:val="0"/>
      <w:divBdr>
        <w:top w:val="none" w:sz="0" w:space="0" w:color="auto"/>
        <w:left w:val="none" w:sz="0" w:space="0" w:color="auto"/>
        <w:bottom w:val="none" w:sz="0" w:space="0" w:color="auto"/>
        <w:right w:val="none" w:sz="0" w:space="0" w:color="auto"/>
      </w:divBdr>
    </w:div>
    <w:div w:id="547448710">
      <w:bodyDiv w:val="1"/>
      <w:marLeft w:val="0"/>
      <w:marRight w:val="0"/>
      <w:marTop w:val="0"/>
      <w:marBottom w:val="0"/>
      <w:divBdr>
        <w:top w:val="none" w:sz="0" w:space="0" w:color="auto"/>
        <w:left w:val="none" w:sz="0" w:space="0" w:color="auto"/>
        <w:bottom w:val="none" w:sz="0" w:space="0" w:color="auto"/>
        <w:right w:val="none" w:sz="0" w:space="0" w:color="auto"/>
      </w:divBdr>
    </w:div>
    <w:div w:id="55767234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77755">
      <w:bodyDiv w:val="1"/>
      <w:marLeft w:val="0"/>
      <w:marRight w:val="0"/>
      <w:marTop w:val="0"/>
      <w:marBottom w:val="0"/>
      <w:divBdr>
        <w:top w:val="none" w:sz="0" w:space="0" w:color="auto"/>
        <w:left w:val="none" w:sz="0" w:space="0" w:color="auto"/>
        <w:bottom w:val="none" w:sz="0" w:space="0" w:color="auto"/>
        <w:right w:val="none" w:sz="0" w:space="0" w:color="auto"/>
      </w:divBdr>
    </w:div>
    <w:div w:id="1103450596">
      <w:bodyDiv w:val="1"/>
      <w:marLeft w:val="0"/>
      <w:marRight w:val="0"/>
      <w:marTop w:val="0"/>
      <w:marBottom w:val="0"/>
      <w:divBdr>
        <w:top w:val="none" w:sz="0" w:space="0" w:color="auto"/>
        <w:left w:val="none" w:sz="0" w:space="0" w:color="auto"/>
        <w:bottom w:val="none" w:sz="0" w:space="0" w:color="auto"/>
        <w:right w:val="none" w:sz="0" w:space="0" w:color="auto"/>
      </w:divBdr>
    </w:div>
    <w:div w:id="1118452671">
      <w:bodyDiv w:val="1"/>
      <w:marLeft w:val="0"/>
      <w:marRight w:val="0"/>
      <w:marTop w:val="0"/>
      <w:marBottom w:val="0"/>
      <w:divBdr>
        <w:top w:val="none" w:sz="0" w:space="0" w:color="auto"/>
        <w:left w:val="none" w:sz="0" w:space="0" w:color="auto"/>
        <w:bottom w:val="none" w:sz="0" w:space="0" w:color="auto"/>
        <w:right w:val="none" w:sz="0" w:space="0" w:color="auto"/>
      </w:divBdr>
    </w:div>
    <w:div w:id="1187134721">
      <w:bodyDiv w:val="1"/>
      <w:marLeft w:val="0"/>
      <w:marRight w:val="0"/>
      <w:marTop w:val="0"/>
      <w:marBottom w:val="0"/>
      <w:divBdr>
        <w:top w:val="none" w:sz="0" w:space="0" w:color="auto"/>
        <w:left w:val="none" w:sz="0" w:space="0" w:color="auto"/>
        <w:bottom w:val="none" w:sz="0" w:space="0" w:color="auto"/>
        <w:right w:val="none" w:sz="0" w:space="0" w:color="auto"/>
      </w:divBdr>
    </w:div>
    <w:div w:id="1193877802">
      <w:bodyDiv w:val="1"/>
      <w:marLeft w:val="0"/>
      <w:marRight w:val="0"/>
      <w:marTop w:val="0"/>
      <w:marBottom w:val="0"/>
      <w:divBdr>
        <w:top w:val="none" w:sz="0" w:space="0" w:color="auto"/>
        <w:left w:val="none" w:sz="0" w:space="0" w:color="auto"/>
        <w:bottom w:val="none" w:sz="0" w:space="0" w:color="auto"/>
        <w:right w:val="none" w:sz="0" w:space="0" w:color="auto"/>
      </w:divBdr>
    </w:div>
    <w:div w:id="1314679194">
      <w:bodyDiv w:val="1"/>
      <w:marLeft w:val="0"/>
      <w:marRight w:val="0"/>
      <w:marTop w:val="0"/>
      <w:marBottom w:val="0"/>
      <w:divBdr>
        <w:top w:val="none" w:sz="0" w:space="0" w:color="auto"/>
        <w:left w:val="none" w:sz="0" w:space="0" w:color="auto"/>
        <w:bottom w:val="none" w:sz="0" w:space="0" w:color="auto"/>
        <w:right w:val="none" w:sz="0" w:space="0" w:color="auto"/>
      </w:divBdr>
    </w:div>
    <w:div w:id="1698968667">
      <w:bodyDiv w:val="1"/>
      <w:marLeft w:val="0"/>
      <w:marRight w:val="0"/>
      <w:marTop w:val="0"/>
      <w:marBottom w:val="0"/>
      <w:divBdr>
        <w:top w:val="none" w:sz="0" w:space="0" w:color="auto"/>
        <w:left w:val="none" w:sz="0" w:space="0" w:color="auto"/>
        <w:bottom w:val="none" w:sz="0" w:space="0" w:color="auto"/>
        <w:right w:val="none" w:sz="0" w:space="0" w:color="auto"/>
      </w:divBdr>
    </w:div>
    <w:div w:id="1712459595">
      <w:bodyDiv w:val="1"/>
      <w:marLeft w:val="0"/>
      <w:marRight w:val="0"/>
      <w:marTop w:val="0"/>
      <w:marBottom w:val="0"/>
      <w:divBdr>
        <w:top w:val="none" w:sz="0" w:space="0" w:color="auto"/>
        <w:left w:val="none" w:sz="0" w:space="0" w:color="auto"/>
        <w:bottom w:val="none" w:sz="0" w:space="0" w:color="auto"/>
        <w:right w:val="none" w:sz="0" w:space="0" w:color="auto"/>
      </w:divBdr>
    </w:div>
    <w:div w:id="1858615654">
      <w:bodyDiv w:val="1"/>
      <w:marLeft w:val="0"/>
      <w:marRight w:val="0"/>
      <w:marTop w:val="0"/>
      <w:marBottom w:val="0"/>
      <w:divBdr>
        <w:top w:val="none" w:sz="0" w:space="0" w:color="auto"/>
        <w:left w:val="none" w:sz="0" w:space="0" w:color="auto"/>
        <w:bottom w:val="none" w:sz="0" w:space="0" w:color="auto"/>
        <w:right w:val="none" w:sz="0" w:space="0" w:color="auto"/>
      </w:divBdr>
    </w:div>
    <w:div w:id="1976982991">
      <w:bodyDiv w:val="1"/>
      <w:marLeft w:val="0"/>
      <w:marRight w:val="0"/>
      <w:marTop w:val="0"/>
      <w:marBottom w:val="0"/>
      <w:divBdr>
        <w:top w:val="none" w:sz="0" w:space="0" w:color="auto"/>
        <w:left w:val="none" w:sz="0" w:space="0" w:color="auto"/>
        <w:bottom w:val="none" w:sz="0" w:space="0" w:color="auto"/>
        <w:right w:val="none" w:sz="0" w:space="0" w:color="auto"/>
      </w:divBdr>
    </w:div>
    <w:div w:id="20794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ocacy@creacionpositiv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health@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ldiario.es/catalunya/cierra-servicio-enfermedades-transmision-sexual-centro-barcelona-debido-epidemia_1_6382794.html" TargetMode="External"/><Relationship Id="rId3" Type="http://schemas.openxmlformats.org/officeDocument/2006/relationships/hyperlink" Target="https://www.boe.es/diario_boe/txt.php?id=BOE-A-2021-1663" TargetMode="External"/><Relationship Id="rId7" Type="http://schemas.openxmlformats.org/officeDocument/2006/relationships/hyperlink" Target="https://comite1desembre.org/news/ca/2020/10/27/0002/tancament-servei-drassanes" TargetMode="External"/><Relationship Id="rId2" Type="http://schemas.openxmlformats.org/officeDocument/2006/relationships/hyperlink" Target="https://www.boe.es/diario_boe/txt.php?id=BOE-A-2021-464" TargetMode="External"/><Relationship Id="rId1" Type="http://schemas.openxmlformats.org/officeDocument/2006/relationships/hyperlink" Target="https://drets-sexuals-i-reproductius.lassociacio.org/informe2020/" TargetMode="External"/><Relationship Id="rId6" Type="http://schemas.openxmlformats.org/officeDocument/2006/relationships/hyperlink" Target="https://www.eldiario.es/catalunya/cierra-servicio-enfermedades-transmision-sexual-centro-barcelona-debido-epidemia_1_6382794.html" TargetMode="External"/><Relationship Id="rId5" Type="http://schemas.openxmlformats.org/officeDocument/2006/relationships/hyperlink" Target="https://www.segre.com/es/noticias/guia/2021/05/19/el_aborto_quirurgico_llega_lleida_135066_1111.html" TargetMode="External"/><Relationship Id="rId10" Type="http://schemas.openxmlformats.org/officeDocument/2006/relationships/hyperlink" Target="http://www.tjussana.cat/repositori/element_1616428892.pdf" TargetMode="External"/><Relationship Id="rId4" Type="http://schemas.openxmlformats.org/officeDocument/2006/relationships/hyperlink" Target="https://www.naciodigital.cat/noticia/215022/lleis-pels-drets-lgtbi-dones-aprovades-ultima-hora-pendents-nou-govern" TargetMode="External"/><Relationship Id="rId9" Type="http://schemas.openxmlformats.org/officeDocument/2006/relationships/hyperlink" Target="https://www.ara.cat/societat/coronavirus-covid-19-ong-associacions-serveis-socials-tercer-sector-demanen-inversio-publica-fer-front-ajudes-pobres-relloguer-alimentacio_1_10399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A6195-030B-4F30-A096-D4EED4A51195}"/>
</file>

<file path=customXml/itemProps2.xml><?xml version="1.0" encoding="utf-8"?>
<ds:datastoreItem xmlns:ds="http://schemas.openxmlformats.org/officeDocument/2006/customXml" ds:itemID="{FE6F0B53-BB2C-412D-A42F-B9D82AE96D4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9BA38F55-35C9-4D1C-B6C2-6608A0B1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2628</Words>
  <Characters>14981</Characters>
  <Application>Microsoft Office Word</Application>
  <DocSecurity>4</DocSecurity>
  <Lines>124</Lines>
  <Paragraphs>35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17574</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2021-06-22T18:51:00Z</dcterms:created>
  <dcterms:modified xsi:type="dcterms:W3CDTF">2021-06-22T18:51:00Z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