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DE4FB" w14:textId="7044BEAC" w:rsidR="004C35BB" w:rsidRPr="0040794D" w:rsidRDefault="00E60045" w:rsidP="00D30D22">
      <w:pPr>
        <w:pBdr>
          <w:top w:val="nil"/>
          <w:left w:val="nil"/>
          <w:bottom w:val="nil"/>
          <w:right w:val="nil"/>
          <w:between w:val="nil"/>
        </w:pBdr>
        <w:jc w:val="both"/>
        <w:rPr>
          <w:color w:val="000000"/>
        </w:rPr>
      </w:pPr>
      <w:bookmarkStart w:id="0" w:name="_GoBack"/>
      <w:bookmarkEnd w:id="0"/>
      <w:r>
        <w:rPr>
          <w:b/>
          <w:noProof/>
          <w:color w:val="000000"/>
          <w:sz w:val="32"/>
          <w:szCs w:val="32"/>
        </w:rPr>
        <w:drawing>
          <wp:anchor distT="0" distB="0" distL="114300" distR="114300" simplePos="0" relativeHeight="251661312" behindDoc="0" locked="0" layoutInCell="1" allowOverlap="1" wp14:anchorId="4DE207F1" wp14:editId="78DC9E74">
            <wp:simplePos x="0" y="0"/>
            <wp:positionH relativeFrom="column">
              <wp:posOffset>4728210</wp:posOffset>
            </wp:positionH>
            <wp:positionV relativeFrom="paragraph">
              <wp:posOffset>-2540</wp:posOffset>
            </wp:positionV>
            <wp:extent cx="946150" cy="946150"/>
            <wp:effectExtent l="0" t="0" r="6350" b="635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sidR="004E337A" w:rsidRPr="0040794D">
        <w:rPr>
          <w:noProof/>
          <w:color w:val="000000"/>
        </w:rPr>
        <w:drawing>
          <wp:anchor distT="0" distB="0" distL="114300" distR="114300" simplePos="0" relativeHeight="251658240" behindDoc="0" locked="0" layoutInCell="1" allowOverlap="1" wp14:anchorId="2F350D90" wp14:editId="3233F2C4">
            <wp:simplePos x="0" y="0"/>
            <wp:positionH relativeFrom="column">
              <wp:posOffset>215452</wp:posOffset>
            </wp:positionH>
            <wp:positionV relativeFrom="paragraph">
              <wp:posOffset>17649</wp:posOffset>
            </wp:positionV>
            <wp:extent cx="1268235" cy="819260"/>
            <wp:effectExtent l="0" t="0" r="825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PC comp logo RGB b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343" cy="824498"/>
                    </a:xfrm>
                    <a:prstGeom prst="rect">
                      <a:avLst/>
                    </a:prstGeom>
                  </pic:spPr>
                </pic:pic>
              </a:graphicData>
            </a:graphic>
            <wp14:sizeRelH relativeFrom="page">
              <wp14:pctWidth>0</wp14:pctWidth>
            </wp14:sizeRelH>
            <wp14:sizeRelV relativeFrom="page">
              <wp14:pctHeight>0</wp14:pctHeight>
            </wp14:sizeRelV>
          </wp:anchor>
        </w:drawing>
      </w:r>
    </w:p>
    <w:p w14:paraId="7E766279" w14:textId="17254891" w:rsidR="004C35BB" w:rsidRPr="0040794D" w:rsidRDefault="00902F96">
      <w:pPr>
        <w:pBdr>
          <w:top w:val="nil"/>
          <w:left w:val="nil"/>
          <w:bottom w:val="nil"/>
          <w:right w:val="nil"/>
          <w:between w:val="nil"/>
        </w:pBdr>
        <w:jc w:val="both"/>
        <w:rPr>
          <w:color w:val="000000"/>
        </w:rPr>
      </w:pPr>
      <w:r>
        <w:rPr>
          <w:noProof/>
        </w:rPr>
        <w:drawing>
          <wp:anchor distT="0" distB="0" distL="114300" distR="114300" simplePos="0" relativeHeight="251660288" behindDoc="0" locked="0" layoutInCell="1" allowOverlap="1" wp14:anchorId="27CD7F18" wp14:editId="3360BAED">
            <wp:simplePos x="0" y="0"/>
            <wp:positionH relativeFrom="margin">
              <wp:align>center</wp:align>
            </wp:positionH>
            <wp:positionV relativeFrom="paragraph">
              <wp:posOffset>5715</wp:posOffset>
            </wp:positionV>
            <wp:extent cx="2188210" cy="723265"/>
            <wp:effectExtent l="0" t="0" r="2540" b="635"/>
            <wp:wrapThrough wrapText="bothSides">
              <wp:wrapPolygon edited="0">
                <wp:start x="1504" y="0"/>
                <wp:lineTo x="752" y="2845"/>
                <wp:lineTo x="0" y="7965"/>
                <wp:lineTo x="0" y="15930"/>
                <wp:lineTo x="18428" y="18774"/>
                <wp:lineTo x="18804" y="21050"/>
                <wp:lineTo x="19745" y="21050"/>
                <wp:lineTo x="19933" y="21050"/>
                <wp:lineTo x="20685" y="18774"/>
                <wp:lineTo x="21437" y="14223"/>
                <wp:lineTo x="21437" y="10809"/>
                <wp:lineTo x="21061" y="8534"/>
                <wp:lineTo x="19180" y="1138"/>
                <wp:lineTo x="18428" y="0"/>
                <wp:lineTo x="1504"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rporacion Humanas 15 AÑO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8210" cy="723265"/>
                    </a:xfrm>
                    <a:prstGeom prst="rect">
                      <a:avLst/>
                    </a:prstGeom>
                  </pic:spPr>
                </pic:pic>
              </a:graphicData>
            </a:graphic>
            <wp14:sizeRelH relativeFrom="margin">
              <wp14:pctWidth>0</wp14:pctWidth>
            </wp14:sizeRelH>
            <wp14:sizeRelV relativeFrom="margin">
              <wp14:pctHeight>0</wp14:pctHeight>
            </wp14:sizeRelV>
          </wp:anchor>
        </w:drawing>
      </w:r>
    </w:p>
    <w:p w14:paraId="1EACAE60" w14:textId="282D633C" w:rsidR="004C35BB" w:rsidRPr="0040794D" w:rsidRDefault="004C35BB">
      <w:pPr>
        <w:pBdr>
          <w:top w:val="nil"/>
          <w:left w:val="nil"/>
          <w:bottom w:val="nil"/>
          <w:right w:val="nil"/>
          <w:between w:val="nil"/>
        </w:pBdr>
        <w:jc w:val="both"/>
        <w:rPr>
          <w:b/>
          <w:color w:val="000000"/>
          <w:sz w:val="32"/>
          <w:szCs w:val="32"/>
        </w:rPr>
      </w:pPr>
    </w:p>
    <w:p w14:paraId="61AA5A6F" w14:textId="083E54A8" w:rsidR="00A31CAD" w:rsidRPr="0040794D" w:rsidRDefault="00A31CAD">
      <w:pPr>
        <w:pBdr>
          <w:top w:val="nil"/>
          <w:left w:val="nil"/>
          <w:bottom w:val="nil"/>
          <w:right w:val="nil"/>
          <w:between w:val="nil"/>
        </w:pBdr>
        <w:jc w:val="both"/>
        <w:rPr>
          <w:b/>
          <w:color w:val="000000"/>
          <w:sz w:val="32"/>
          <w:szCs w:val="32"/>
        </w:rPr>
      </w:pPr>
    </w:p>
    <w:p w14:paraId="5F5C520D" w14:textId="1B64FA78" w:rsidR="00A31CAD" w:rsidRPr="0040794D" w:rsidRDefault="00A31CAD" w:rsidP="00902F96">
      <w:pPr>
        <w:pBdr>
          <w:top w:val="nil"/>
          <w:left w:val="nil"/>
          <w:bottom w:val="nil"/>
          <w:right w:val="nil"/>
          <w:between w:val="nil"/>
        </w:pBdr>
        <w:jc w:val="center"/>
        <w:rPr>
          <w:b/>
          <w:color w:val="000000"/>
          <w:sz w:val="32"/>
          <w:szCs w:val="32"/>
        </w:rPr>
      </w:pPr>
    </w:p>
    <w:p w14:paraId="73C4B4FB" w14:textId="76DF5999" w:rsidR="00A31CAD" w:rsidRPr="0040794D" w:rsidRDefault="00A31CAD">
      <w:pPr>
        <w:pBdr>
          <w:top w:val="nil"/>
          <w:left w:val="nil"/>
          <w:bottom w:val="nil"/>
          <w:right w:val="nil"/>
          <w:between w:val="nil"/>
        </w:pBdr>
        <w:jc w:val="both"/>
        <w:rPr>
          <w:b/>
          <w:color w:val="000000"/>
          <w:sz w:val="32"/>
          <w:szCs w:val="32"/>
        </w:rPr>
      </w:pPr>
    </w:p>
    <w:p w14:paraId="5C5FEF7A" w14:textId="77777777" w:rsidR="00A31CAD" w:rsidRPr="0040794D" w:rsidRDefault="00A31CAD">
      <w:pPr>
        <w:pBdr>
          <w:top w:val="nil"/>
          <w:left w:val="nil"/>
          <w:bottom w:val="nil"/>
          <w:right w:val="nil"/>
          <w:between w:val="nil"/>
        </w:pBdr>
        <w:jc w:val="both"/>
        <w:rPr>
          <w:b/>
          <w:color w:val="000000"/>
          <w:sz w:val="32"/>
          <w:szCs w:val="32"/>
        </w:rPr>
      </w:pPr>
    </w:p>
    <w:p w14:paraId="6773038B" w14:textId="77777777" w:rsidR="00A31CAD" w:rsidRPr="0040794D" w:rsidRDefault="00A31CAD">
      <w:pPr>
        <w:pBdr>
          <w:top w:val="nil"/>
          <w:left w:val="nil"/>
          <w:bottom w:val="nil"/>
          <w:right w:val="nil"/>
          <w:between w:val="nil"/>
        </w:pBdr>
        <w:jc w:val="both"/>
        <w:rPr>
          <w:b/>
          <w:color w:val="000000"/>
          <w:sz w:val="32"/>
          <w:szCs w:val="32"/>
        </w:rPr>
      </w:pPr>
    </w:p>
    <w:p w14:paraId="60137B04" w14:textId="615DBB18" w:rsidR="004C35BB" w:rsidRPr="0040794D" w:rsidRDefault="00E20BF8">
      <w:pPr>
        <w:pBdr>
          <w:top w:val="nil"/>
          <w:left w:val="nil"/>
          <w:bottom w:val="nil"/>
          <w:right w:val="nil"/>
          <w:between w:val="nil"/>
        </w:pBdr>
        <w:jc w:val="both"/>
        <w:rPr>
          <w:b/>
          <w:color w:val="000000"/>
          <w:sz w:val="40"/>
          <w:szCs w:val="40"/>
        </w:rPr>
      </w:pPr>
      <w:r w:rsidRPr="0040794D">
        <w:rPr>
          <w:b/>
          <w:color w:val="000000"/>
          <w:sz w:val="40"/>
          <w:szCs w:val="40"/>
        </w:rPr>
        <w:t xml:space="preserve">Submission to the </w:t>
      </w:r>
      <w:r w:rsidR="001C04C6" w:rsidRPr="0040794D">
        <w:rPr>
          <w:b/>
          <w:color w:val="000000"/>
          <w:sz w:val="40"/>
          <w:szCs w:val="40"/>
        </w:rPr>
        <w:t xml:space="preserve">UN Special Rapporteur on </w:t>
      </w:r>
      <w:r w:rsidR="004E337A" w:rsidRPr="0040794D">
        <w:rPr>
          <w:b/>
          <w:color w:val="000000"/>
          <w:sz w:val="40"/>
          <w:szCs w:val="40"/>
        </w:rPr>
        <w:t>Health</w:t>
      </w:r>
    </w:p>
    <w:p w14:paraId="785A566F" w14:textId="77777777" w:rsidR="001C04C6" w:rsidRPr="0040794D" w:rsidRDefault="001C04C6">
      <w:pPr>
        <w:pBdr>
          <w:top w:val="nil"/>
          <w:left w:val="nil"/>
          <w:bottom w:val="nil"/>
          <w:right w:val="nil"/>
          <w:between w:val="nil"/>
        </w:pBdr>
        <w:jc w:val="both"/>
        <w:rPr>
          <w:b/>
          <w:color w:val="000000"/>
          <w:sz w:val="32"/>
          <w:szCs w:val="32"/>
        </w:rPr>
      </w:pPr>
    </w:p>
    <w:p w14:paraId="666335FF" w14:textId="265E040F" w:rsidR="004C35BB" w:rsidRPr="0040794D" w:rsidRDefault="00C06C5F">
      <w:pPr>
        <w:pBdr>
          <w:top w:val="nil"/>
          <w:left w:val="nil"/>
          <w:bottom w:val="nil"/>
          <w:right w:val="nil"/>
          <w:between w:val="nil"/>
        </w:pBdr>
        <w:jc w:val="both"/>
        <w:rPr>
          <w:b/>
          <w:color w:val="000000"/>
          <w:sz w:val="32"/>
          <w:szCs w:val="32"/>
        </w:rPr>
      </w:pPr>
      <w:r w:rsidRPr="0040794D">
        <w:rPr>
          <w:b/>
          <w:color w:val="000000"/>
          <w:sz w:val="32"/>
          <w:szCs w:val="32"/>
        </w:rPr>
        <w:t xml:space="preserve">On </w:t>
      </w:r>
      <w:r w:rsidR="004E337A" w:rsidRPr="0040794D">
        <w:rPr>
          <w:b/>
          <w:color w:val="000000"/>
          <w:sz w:val="32"/>
          <w:szCs w:val="32"/>
        </w:rPr>
        <w:t>the impact of the COVID</w:t>
      </w:r>
      <w:r w:rsidR="00E60045">
        <w:rPr>
          <w:b/>
          <w:color w:val="000000"/>
          <w:sz w:val="32"/>
          <w:szCs w:val="32"/>
        </w:rPr>
        <w:t>-</w:t>
      </w:r>
      <w:r w:rsidR="004E337A" w:rsidRPr="0040794D">
        <w:rPr>
          <w:b/>
          <w:color w:val="000000"/>
          <w:sz w:val="32"/>
          <w:szCs w:val="32"/>
        </w:rPr>
        <w:t xml:space="preserve">19 pandemic on </w:t>
      </w:r>
      <w:r w:rsidR="00BA105D">
        <w:rPr>
          <w:b/>
          <w:color w:val="000000"/>
          <w:sz w:val="32"/>
          <w:szCs w:val="32"/>
        </w:rPr>
        <w:t xml:space="preserve">certain aspects of </w:t>
      </w:r>
      <w:r w:rsidR="004E337A" w:rsidRPr="0040794D">
        <w:rPr>
          <w:b/>
          <w:color w:val="000000"/>
          <w:sz w:val="32"/>
          <w:szCs w:val="32"/>
        </w:rPr>
        <w:t>the right to sexual and reproductive health of women deprived of liberty</w:t>
      </w:r>
    </w:p>
    <w:p w14:paraId="071B66E9" w14:textId="77777777" w:rsidR="004C35BB" w:rsidRPr="0040794D" w:rsidRDefault="004C35BB">
      <w:pPr>
        <w:pBdr>
          <w:top w:val="nil"/>
          <w:left w:val="nil"/>
          <w:bottom w:val="nil"/>
          <w:right w:val="nil"/>
          <w:between w:val="nil"/>
        </w:pBdr>
        <w:jc w:val="both"/>
        <w:rPr>
          <w:color w:val="000000"/>
        </w:rPr>
      </w:pPr>
    </w:p>
    <w:p w14:paraId="4147A201" w14:textId="77777777" w:rsidR="004C35BB" w:rsidRPr="0040794D" w:rsidRDefault="004C35BB">
      <w:pPr>
        <w:pBdr>
          <w:top w:val="nil"/>
          <w:left w:val="nil"/>
          <w:bottom w:val="nil"/>
          <w:right w:val="nil"/>
          <w:between w:val="nil"/>
        </w:pBdr>
        <w:jc w:val="both"/>
        <w:rPr>
          <w:color w:val="000000"/>
        </w:rPr>
      </w:pPr>
    </w:p>
    <w:p w14:paraId="741EE464" w14:textId="77777777" w:rsidR="004C35BB" w:rsidRPr="0040794D" w:rsidRDefault="004C35BB">
      <w:pPr>
        <w:pBdr>
          <w:top w:val="nil"/>
          <w:left w:val="nil"/>
          <w:bottom w:val="nil"/>
          <w:right w:val="nil"/>
          <w:between w:val="nil"/>
        </w:pBdr>
        <w:jc w:val="both"/>
        <w:rPr>
          <w:b/>
          <w:color w:val="000000"/>
          <w:sz w:val="32"/>
          <w:szCs w:val="32"/>
        </w:rPr>
      </w:pPr>
    </w:p>
    <w:p w14:paraId="602CBCF9" w14:textId="36CE6B14" w:rsidR="004C35BB" w:rsidRPr="0040794D" w:rsidRDefault="004E337A">
      <w:pPr>
        <w:pBdr>
          <w:top w:val="nil"/>
          <w:left w:val="nil"/>
          <w:bottom w:val="nil"/>
          <w:right w:val="nil"/>
          <w:between w:val="nil"/>
        </w:pBdr>
        <w:jc w:val="both"/>
        <w:rPr>
          <w:b/>
          <w:color w:val="000000"/>
          <w:sz w:val="32"/>
          <w:szCs w:val="32"/>
        </w:rPr>
      </w:pPr>
      <w:r w:rsidRPr="0040794D">
        <w:rPr>
          <w:b/>
          <w:color w:val="000000"/>
          <w:sz w:val="32"/>
          <w:szCs w:val="32"/>
        </w:rPr>
        <w:t xml:space="preserve">10 June </w:t>
      </w:r>
      <w:r w:rsidR="00E20BF8" w:rsidRPr="0040794D">
        <w:rPr>
          <w:b/>
          <w:color w:val="000000"/>
          <w:sz w:val="32"/>
          <w:szCs w:val="32"/>
        </w:rPr>
        <w:t>202</w:t>
      </w:r>
      <w:r w:rsidR="001C04C6" w:rsidRPr="0040794D">
        <w:rPr>
          <w:b/>
          <w:color w:val="000000"/>
          <w:sz w:val="32"/>
          <w:szCs w:val="32"/>
        </w:rPr>
        <w:t>1</w:t>
      </w:r>
    </w:p>
    <w:p w14:paraId="2F5A84FC" w14:textId="77777777" w:rsidR="004C35BB" w:rsidRPr="0040794D" w:rsidRDefault="004C35BB">
      <w:pPr>
        <w:pBdr>
          <w:top w:val="nil"/>
          <w:left w:val="nil"/>
          <w:bottom w:val="nil"/>
          <w:right w:val="nil"/>
          <w:between w:val="nil"/>
        </w:pBdr>
        <w:jc w:val="both"/>
        <w:rPr>
          <w:color w:val="000000"/>
        </w:rPr>
      </w:pPr>
    </w:p>
    <w:p w14:paraId="3EAC79EF" w14:textId="77777777" w:rsidR="004C35BB" w:rsidRPr="0040794D" w:rsidRDefault="004C35BB">
      <w:pPr>
        <w:pBdr>
          <w:top w:val="nil"/>
          <w:left w:val="nil"/>
          <w:bottom w:val="nil"/>
          <w:right w:val="nil"/>
          <w:between w:val="nil"/>
        </w:pBdr>
        <w:jc w:val="both"/>
        <w:rPr>
          <w:color w:val="000000"/>
        </w:rPr>
      </w:pPr>
    </w:p>
    <w:p w14:paraId="79CE9D1D" w14:textId="77777777" w:rsidR="004C35BB" w:rsidRPr="0040794D" w:rsidRDefault="004C35BB">
      <w:pPr>
        <w:pBdr>
          <w:top w:val="nil"/>
          <w:left w:val="nil"/>
          <w:bottom w:val="nil"/>
          <w:right w:val="nil"/>
          <w:between w:val="nil"/>
        </w:pBdr>
        <w:jc w:val="both"/>
        <w:rPr>
          <w:color w:val="000000"/>
        </w:rPr>
      </w:pPr>
    </w:p>
    <w:p w14:paraId="066E52D5" w14:textId="6F0267E4" w:rsidR="004C35BB" w:rsidRPr="0040794D" w:rsidRDefault="00E20BF8">
      <w:pPr>
        <w:pBdr>
          <w:top w:val="nil"/>
          <w:left w:val="nil"/>
          <w:bottom w:val="nil"/>
          <w:right w:val="nil"/>
          <w:between w:val="nil"/>
        </w:pBdr>
        <w:jc w:val="both"/>
        <w:rPr>
          <w:b/>
          <w:color w:val="000000"/>
        </w:rPr>
      </w:pPr>
      <w:r w:rsidRPr="0040794D">
        <w:rPr>
          <w:b/>
          <w:color w:val="000000"/>
        </w:rPr>
        <w:t>Submitting organisation</w:t>
      </w:r>
      <w:r w:rsidR="004E337A" w:rsidRPr="0040794D">
        <w:rPr>
          <w:b/>
          <w:color w:val="000000"/>
        </w:rPr>
        <w:t>s</w:t>
      </w:r>
      <w:r w:rsidRPr="0040794D">
        <w:rPr>
          <w:b/>
          <w:color w:val="000000"/>
        </w:rPr>
        <w:t>:</w:t>
      </w:r>
    </w:p>
    <w:p w14:paraId="516C5B11" w14:textId="77777777" w:rsidR="004C35BB" w:rsidRPr="0040794D" w:rsidRDefault="004C35BB">
      <w:pPr>
        <w:pBdr>
          <w:top w:val="nil"/>
          <w:left w:val="nil"/>
          <w:bottom w:val="nil"/>
          <w:right w:val="nil"/>
          <w:between w:val="nil"/>
        </w:pBdr>
        <w:jc w:val="both"/>
        <w:rPr>
          <w:color w:val="000000"/>
        </w:rPr>
      </w:pPr>
    </w:p>
    <w:p w14:paraId="44EE8307" w14:textId="5537F444" w:rsidR="004C35BB" w:rsidRPr="0040794D" w:rsidRDefault="00E20BF8" w:rsidP="004E337A">
      <w:pPr>
        <w:pStyle w:val="ListParagraph"/>
        <w:numPr>
          <w:ilvl w:val="0"/>
          <w:numId w:val="16"/>
        </w:numPr>
        <w:pBdr>
          <w:top w:val="nil"/>
          <w:left w:val="nil"/>
          <w:bottom w:val="nil"/>
          <w:right w:val="nil"/>
          <w:between w:val="nil"/>
        </w:pBdr>
        <w:jc w:val="both"/>
        <w:rPr>
          <w:color w:val="000000"/>
        </w:rPr>
      </w:pPr>
      <w:r w:rsidRPr="0040794D">
        <w:rPr>
          <w:color w:val="000000"/>
        </w:rPr>
        <w:t xml:space="preserve">The International Drug Policy Consortium is a global network of </w:t>
      </w:r>
      <w:r w:rsidR="004E337A" w:rsidRPr="0040794D">
        <w:rPr>
          <w:color w:val="000000"/>
        </w:rPr>
        <w:t xml:space="preserve">191 </w:t>
      </w:r>
      <w:r w:rsidRPr="0040794D">
        <w:rPr>
          <w:color w:val="000000"/>
        </w:rPr>
        <w:t xml:space="preserve">non-government organizations that advocate for drug </w:t>
      </w:r>
      <w:r w:rsidR="00413D17" w:rsidRPr="0040794D">
        <w:rPr>
          <w:color w:val="000000"/>
        </w:rPr>
        <w:t>policy reform to advance social justice and human rights.</w:t>
      </w:r>
    </w:p>
    <w:p w14:paraId="680D59ED" w14:textId="77777777" w:rsidR="000E451C" w:rsidRPr="008301E0" w:rsidRDefault="000E451C" w:rsidP="008301E0">
      <w:pPr>
        <w:rPr>
          <w:color w:val="000000"/>
        </w:rPr>
      </w:pPr>
    </w:p>
    <w:p w14:paraId="7503DC94" w14:textId="15CA0334" w:rsidR="000E451C" w:rsidRDefault="000E451C" w:rsidP="004E337A">
      <w:pPr>
        <w:pStyle w:val="ListParagraph"/>
        <w:numPr>
          <w:ilvl w:val="0"/>
          <w:numId w:val="16"/>
        </w:numPr>
        <w:pBdr>
          <w:top w:val="nil"/>
          <w:left w:val="nil"/>
          <w:bottom w:val="nil"/>
          <w:right w:val="nil"/>
          <w:between w:val="nil"/>
        </w:pBdr>
        <w:jc w:val="both"/>
        <w:rPr>
          <w:color w:val="000000"/>
        </w:rPr>
      </w:pPr>
      <w:r>
        <w:rPr>
          <w:color w:val="000000"/>
        </w:rPr>
        <w:t xml:space="preserve">Corporación </w:t>
      </w:r>
      <w:r w:rsidRPr="000E451C">
        <w:rPr>
          <w:color w:val="000000"/>
        </w:rPr>
        <w:t>Humanas Colombia is a centre for studies an</w:t>
      </w:r>
      <w:r>
        <w:rPr>
          <w:color w:val="000000"/>
        </w:rPr>
        <w:t xml:space="preserve">d </w:t>
      </w:r>
      <w:r w:rsidR="006C4CAC">
        <w:rPr>
          <w:color w:val="000000"/>
        </w:rPr>
        <w:t xml:space="preserve">feminist </w:t>
      </w:r>
      <w:r>
        <w:rPr>
          <w:color w:val="000000"/>
        </w:rPr>
        <w:t>political action, formed by an interdisciplinary team of women that works from an intersectional approach in the promotion and protection of the human rights and gender justice of girls, young women, and adult women in the national, regional, and international spheres.</w:t>
      </w:r>
    </w:p>
    <w:p w14:paraId="54329BF6" w14:textId="77777777" w:rsidR="008301E0" w:rsidRPr="00BA2E0E" w:rsidRDefault="008301E0" w:rsidP="00BA2E0E">
      <w:pPr>
        <w:rPr>
          <w:color w:val="000000"/>
        </w:rPr>
      </w:pPr>
    </w:p>
    <w:p w14:paraId="1220A534" w14:textId="7F7D77F9" w:rsidR="008301E0" w:rsidRPr="00E60045" w:rsidRDefault="00E60045" w:rsidP="008301E0">
      <w:pPr>
        <w:pStyle w:val="ListParagraph"/>
        <w:numPr>
          <w:ilvl w:val="0"/>
          <w:numId w:val="16"/>
        </w:numPr>
        <w:pBdr>
          <w:top w:val="nil"/>
          <w:left w:val="nil"/>
          <w:bottom w:val="nil"/>
          <w:right w:val="nil"/>
          <w:between w:val="nil"/>
        </w:pBdr>
        <w:jc w:val="both"/>
        <w:rPr>
          <w:color w:val="000000"/>
        </w:rPr>
      </w:pPr>
      <w:r w:rsidRPr="00E60045">
        <w:rPr>
          <w:color w:val="000000"/>
        </w:rPr>
        <w:t>Penal Reform International is a non-governmental organisation working globally to promote criminal justice systems that uphold human rights for all and do no harm</w:t>
      </w:r>
      <w:r>
        <w:rPr>
          <w:color w:val="000000"/>
        </w:rPr>
        <w:t xml:space="preserve">. We run </w:t>
      </w:r>
      <w:r w:rsidRPr="00E60045">
        <w:rPr>
          <w:color w:val="000000"/>
        </w:rPr>
        <w:t>practical human rights programmes and support reforms that make criminal justice</w:t>
      </w:r>
      <w:r>
        <w:rPr>
          <w:color w:val="000000"/>
        </w:rPr>
        <w:t xml:space="preserve"> </w:t>
      </w:r>
      <w:r w:rsidRPr="00E60045">
        <w:rPr>
          <w:color w:val="000000"/>
        </w:rPr>
        <w:t>fair and effective</w:t>
      </w:r>
      <w:r>
        <w:rPr>
          <w:color w:val="000000"/>
        </w:rPr>
        <w:t xml:space="preserve">, </w:t>
      </w:r>
      <w:r w:rsidRPr="00E60045">
        <w:rPr>
          <w:color w:val="000000"/>
        </w:rPr>
        <w:t>non-discriminatory</w:t>
      </w:r>
      <w:r>
        <w:rPr>
          <w:color w:val="000000"/>
        </w:rPr>
        <w:t>,</w:t>
      </w:r>
      <w:r w:rsidRPr="00E60045">
        <w:rPr>
          <w:color w:val="000000"/>
        </w:rPr>
        <w:t xml:space="preserve"> and protect the rights of disadvantaged people.</w:t>
      </w:r>
    </w:p>
    <w:p w14:paraId="6863B564" w14:textId="77777777" w:rsidR="008301E0" w:rsidRPr="000E451C" w:rsidRDefault="008301E0" w:rsidP="008301E0">
      <w:pPr>
        <w:pStyle w:val="ListParagraph"/>
        <w:pBdr>
          <w:top w:val="nil"/>
          <w:left w:val="nil"/>
          <w:bottom w:val="nil"/>
          <w:right w:val="nil"/>
          <w:between w:val="nil"/>
        </w:pBdr>
        <w:jc w:val="both"/>
        <w:rPr>
          <w:color w:val="000000"/>
        </w:rPr>
      </w:pPr>
    </w:p>
    <w:p w14:paraId="303219AB" w14:textId="77777777" w:rsidR="000E451C" w:rsidRPr="00DA00AB" w:rsidRDefault="000E451C" w:rsidP="00DA00AB">
      <w:pPr>
        <w:rPr>
          <w:color w:val="000000"/>
        </w:rPr>
      </w:pPr>
    </w:p>
    <w:p w14:paraId="0D2573F2" w14:textId="77777777" w:rsidR="004C35BB" w:rsidRPr="000E451C" w:rsidRDefault="004C35BB">
      <w:pPr>
        <w:pBdr>
          <w:top w:val="nil"/>
          <w:left w:val="nil"/>
          <w:bottom w:val="nil"/>
          <w:right w:val="nil"/>
          <w:between w:val="nil"/>
        </w:pBdr>
        <w:jc w:val="both"/>
        <w:rPr>
          <w:color w:val="000000"/>
        </w:rPr>
      </w:pPr>
    </w:p>
    <w:p w14:paraId="3213C50B" w14:textId="01CA72AA" w:rsidR="004C35BB" w:rsidRPr="00DA00AB" w:rsidRDefault="00DA00AB">
      <w:pPr>
        <w:pBdr>
          <w:top w:val="nil"/>
          <w:left w:val="nil"/>
          <w:bottom w:val="nil"/>
          <w:right w:val="nil"/>
          <w:between w:val="nil"/>
        </w:pBdr>
        <w:jc w:val="both"/>
        <w:rPr>
          <w:color w:val="000000"/>
        </w:rPr>
      </w:pPr>
      <w:r w:rsidRPr="00DA00AB">
        <w:rPr>
          <w:b/>
          <w:bCs/>
          <w:color w:val="000000"/>
        </w:rPr>
        <w:t>Word count:</w:t>
      </w:r>
      <w:r>
        <w:rPr>
          <w:b/>
          <w:bCs/>
          <w:color w:val="000000"/>
        </w:rPr>
        <w:t xml:space="preserve"> </w:t>
      </w:r>
      <w:r>
        <w:rPr>
          <w:color w:val="000000"/>
        </w:rPr>
        <w:t>2,9</w:t>
      </w:r>
      <w:r w:rsidR="001B0FD9">
        <w:rPr>
          <w:color w:val="000000"/>
        </w:rPr>
        <w:t>10</w:t>
      </w:r>
      <w:r>
        <w:rPr>
          <w:color w:val="000000"/>
        </w:rPr>
        <w:t xml:space="preserve"> plus </w:t>
      </w:r>
      <w:r w:rsidR="00B8296C">
        <w:rPr>
          <w:color w:val="000000"/>
        </w:rPr>
        <w:t>A</w:t>
      </w:r>
      <w:r>
        <w:rPr>
          <w:color w:val="000000"/>
        </w:rPr>
        <w:t>nnex.</w:t>
      </w:r>
    </w:p>
    <w:p w14:paraId="393D8828" w14:textId="77777777" w:rsidR="00DA00AB" w:rsidRPr="000E451C" w:rsidRDefault="00DA00AB">
      <w:pPr>
        <w:pBdr>
          <w:top w:val="nil"/>
          <w:left w:val="nil"/>
          <w:bottom w:val="nil"/>
          <w:right w:val="nil"/>
          <w:between w:val="nil"/>
        </w:pBdr>
        <w:jc w:val="both"/>
        <w:rPr>
          <w:color w:val="000000"/>
        </w:rPr>
      </w:pPr>
    </w:p>
    <w:p w14:paraId="3B7AF915" w14:textId="73C56FFE" w:rsidR="004C35BB" w:rsidRPr="0040794D" w:rsidRDefault="00E20BF8">
      <w:pPr>
        <w:pBdr>
          <w:top w:val="nil"/>
          <w:left w:val="nil"/>
          <w:bottom w:val="nil"/>
          <w:right w:val="nil"/>
          <w:between w:val="nil"/>
        </w:pBdr>
        <w:jc w:val="both"/>
        <w:rPr>
          <w:b/>
          <w:color w:val="000000"/>
        </w:rPr>
      </w:pPr>
      <w:r w:rsidRPr="0040794D">
        <w:rPr>
          <w:b/>
          <w:color w:val="000000"/>
        </w:rPr>
        <w:t>Contact details</w:t>
      </w:r>
      <w:r w:rsidR="000E451C">
        <w:rPr>
          <w:b/>
          <w:color w:val="000000"/>
        </w:rPr>
        <w:t xml:space="preserve"> for this submission</w:t>
      </w:r>
      <w:r w:rsidRPr="0040794D">
        <w:rPr>
          <w:b/>
          <w:color w:val="000000"/>
        </w:rPr>
        <w:t>:</w:t>
      </w:r>
    </w:p>
    <w:p w14:paraId="77B27C68" w14:textId="77777777" w:rsidR="004C35BB" w:rsidRPr="0040794D" w:rsidRDefault="004C35BB">
      <w:pPr>
        <w:pBdr>
          <w:top w:val="nil"/>
          <w:left w:val="nil"/>
          <w:bottom w:val="nil"/>
          <w:right w:val="nil"/>
          <w:between w:val="nil"/>
        </w:pBdr>
        <w:jc w:val="both"/>
        <w:rPr>
          <w:color w:val="000000"/>
        </w:rPr>
      </w:pPr>
    </w:p>
    <w:p w14:paraId="155BA38F" w14:textId="5EA2C29F" w:rsidR="004C35BB" w:rsidRPr="0040794D" w:rsidRDefault="00E20BF8">
      <w:pPr>
        <w:pBdr>
          <w:top w:val="nil"/>
          <w:left w:val="nil"/>
          <w:bottom w:val="nil"/>
          <w:right w:val="nil"/>
          <w:between w:val="nil"/>
        </w:pBdr>
        <w:jc w:val="both"/>
        <w:rPr>
          <w:color w:val="000000"/>
        </w:rPr>
      </w:pPr>
      <w:r w:rsidRPr="0040794D">
        <w:rPr>
          <w:color w:val="000000"/>
        </w:rPr>
        <w:t>International Drug Policy Consortium</w:t>
      </w:r>
    </w:p>
    <w:p w14:paraId="779E6F80" w14:textId="77777777" w:rsidR="004C35BB" w:rsidRPr="0040794D" w:rsidRDefault="00E20BF8">
      <w:pPr>
        <w:pBdr>
          <w:top w:val="nil"/>
          <w:left w:val="nil"/>
          <w:bottom w:val="nil"/>
          <w:right w:val="nil"/>
          <w:between w:val="nil"/>
        </w:pBdr>
        <w:jc w:val="both"/>
        <w:rPr>
          <w:color w:val="000000"/>
        </w:rPr>
      </w:pPr>
      <w:r w:rsidRPr="0040794D">
        <w:rPr>
          <w:color w:val="000000"/>
        </w:rPr>
        <w:t xml:space="preserve">61 Mansell Street </w:t>
      </w:r>
    </w:p>
    <w:p w14:paraId="14287771" w14:textId="207D631D" w:rsidR="004C35BB" w:rsidRPr="0040794D" w:rsidRDefault="00E20BF8">
      <w:pPr>
        <w:pBdr>
          <w:top w:val="nil"/>
          <w:left w:val="nil"/>
          <w:bottom w:val="nil"/>
          <w:right w:val="nil"/>
          <w:between w:val="nil"/>
        </w:pBdr>
        <w:jc w:val="both"/>
        <w:rPr>
          <w:color w:val="000000"/>
        </w:rPr>
      </w:pPr>
      <w:r w:rsidRPr="0040794D">
        <w:rPr>
          <w:color w:val="000000"/>
        </w:rPr>
        <w:t>E1 8AN London, United Kingdom</w:t>
      </w:r>
    </w:p>
    <w:p w14:paraId="6F7AD9ED" w14:textId="288FBF68" w:rsidR="004C35BB" w:rsidRPr="0040794D" w:rsidRDefault="00312E41">
      <w:pPr>
        <w:pBdr>
          <w:top w:val="nil"/>
          <w:left w:val="nil"/>
          <w:bottom w:val="nil"/>
          <w:right w:val="nil"/>
          <w:between w:val="nil"/>
        </w:pBdr>
        <w:jc w:val="both"/>
        <w:rPr>
          <w:color w:val="0563C1"/>
          <w:u w:val="single"/>
        </w:rPr>
      </w:pPr>
      <w:hyperlink r:id="rId11" w:history="1">
        <w:r w:rsidR="00413D17" w:rsidRPr="0040794D">
          <w:rPr>
            <w:color w:val="0563C1"/>
            <w:u w:val="single"/>
          </w:rPr>
          <w:t>contact@idpc.net</w:t>
        </w:r>
      </w:hyperlink>
    </w:p>
    <w:p w14:paraId="5A561A4A" w14:textId="77777777" w:rsidR="00413D17" w:rsidRPr="0040794D" w:rsidRDefault="00413D17">
      <w:pPr>
        <w:pBdr>
          <w:top w:val="nil"/>
          <w:left w:val="nil"/>
          <w:bottom w:val="nil"/>
          <w:right w:val="nil"/>
          <w:between w:val="nil"/>
        </w:pBdr>
        <w:jc w:val="both"/>
        <w:rPr>
          <w:color w:val="000000"/>
        </w:rPr>
      </w:pPr>
    </w:p>
    <w:p w14:paraId="49BD1BFC" w14:textId="77777777" w:rsidR="00A667FB" w:rsidRPr="0040794D" w:rsidRDefault="00A667FB">
      <w:pPr>
        <w:pBdr>
          <w:top w:val="nil"/>
          <w:left w:val="nil"/>
          <w:bottom w:val="nil"/>
          <w:right w:val="nil"/>
          <w:between w:val="nil"/>
        </w:pBdr>
        <w:jc w:val="both"/>
        <w:rPr>
          <w:b/>
          <w:color w:val="000000"/>
          <w:sz w:val="32"/>
          <w:szCs w:val="32"/>
        </w:rPr>
        <w:sectPr w:rsidR="00A667FB" w:rsidRPr="0040794D">
          <w:headerReference w:type="default" r:id="rId12"/>
          <w:footerReference w:type="default" r:id="rId13"/>
          <w:endnotePr>
            <w:numFmt w:val="decimal"/>
          </w:endnotePr>
          <w:pgSz w:w="11906" w:h="16838"/>
          <w:pgMar w:top="1304" w:right="1134" w:bottom="1304" w:left="1134" w:header="720" w:footer="720" w:gutter="0"/>
          <w:pgNumType w:start="1"/>
          <w:cols w:space="720"/>
        </w:sectPr>
      </w:pPr>
    </w:p>
    <w:p w14:paraId="76E76856" w14:textId="48854BB2" w:rsidR="004C35BB" w:rsidRPr="0040794D" w:rsidRDefault="005F62C5" w:rsidP="00745167">
      <w:pPr>
        <w:pBdr>
          <w:top w:val="nil"/>
          <w:left w:val="nil"/>
          <w:bottom w:val="nil"/>
          <w:right w:val="nil"/>
          <w:between w:val="nil"/>
        </w:pBdr>
        <w:spacing w:after="200" w:line="276" w:lineRule="auto"/>
        <w:jc w:val="both"/>
        <w:rPr>
          <w:b/>
          <w:color w:val="000000"/>
          <w:sz w:val="28"/>
          <w:szCs w:val="28"/>
        </w:rPr>
      </w:pPr>
      <w:r w:rsidRPr="0040794D">
        <w:rPr>
          <w:b/>
          <w:color w:val="000000"/>
          <w:sz w:val="28"/>
          <w:szCs w:val="28"/>
        </w:rPr>
        <w:lastRenderedPageBreak/>
        <w:t>Introduction</w:t>
      </w:r>
      <w:r w:rsidR="008F7792" w:rsidRPr="0040794D">
        <w:rPr>
          <w:b/>
          <w:color w:val="000000"/>
          <w:sz w:val="28"/>
          <w:szCs w:val="28"/>
        </w:rPr>
        <w:t xml:space="preserve">: Women deprived of liberty </w:t>
      </w:r>
      <w:r w:rsidR="00C4071F" w:rsidRPr="0040794D">
        <w:rPr>
          <w:b/>
          <w:color w:val="000000"/>
          <w:sz w:val="28"/>
          <w:szCs w:val="28"/>
        </w:rPr>
        <w:t>facing multiple layers of discrimination</w:t>
      </w:r>
    </w:p>
    <w:p w14:paraId="3DC98F29" w14:textId="4D0A045C" w:rsidR="00980B63" w:rsidRPr="0040794D" w:rsidRDefault="00E20BF8" w:rsidP="00745167">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sidRPr="0040794D">
        <w:rPr>
          <w:color w:val="000000"/>
        </w:rPr>
        <w:t>The International Drug Policy Consortium (IDPC)</w:t>
      </w:r>
      <w:r w:rsidR="004E337A" w:rsidRPr="0040794D">
        <w:rPr>
          <w:color w:val="000000"/>
        </w:rPr>
        <w:t xml:space="preserve">, </w:t>
      </w:r>
      <w:r w:rsidR="00BA2E0E">
        <w:rPr>
          <w:color w:val="000000"/>
        </w:rPr>
        <w:t>Co</w:t>
      </w:r>
      <w:r w:rsidR="00902F96">
        <w:rPr>
          <w:color w:val="000000"/>
        </w:rPr>
        <w:t>rporaci</w:t>
      </w:r>
      <w:r w:rsidR="00902F96" w:rsidRPr="00902F96">
        <w:rPr>
          <w:color w:val="000000"/>
        </w:rPr>
        <w:t>ó</w:t>
      </w:r>
      <w:r w:rsidR="00902F96">
        <w:rPr>
          <w:color w:val="000000"/>
        </w:rPr>
        <w:t xml:space="preserve">n Humanas Colombia, </w:t>
      </w:r>
      <w:r w:rsidR="004E337A" w:rsidRPr="0040794D">
        <w:rPr>
          <w:color w:val="000000"/>
        </w:rPr>
        <w:t xml:space="preserve">Penal Reform International (PRI) </w:t>
      </w:r>
      <w:r w:rsidRPr="0040794D">
        <w:rPr>
          <w:color w:val="000000"/>
        </w:rPr>
        <w:t xml:space="preserve">welcome the opportunity to </w:t>
      </w:r>
      <w:r w:rsidR="008E5BB2" w:rsidRPr="0040794D">
        <w:rPr>
          <w:color w:val="000000"/>
        </w:rPr>
        <w:t>submit this paper</w:t>
      </w:r>
      <w:r w:rsidRPr="0040794D">
        <w:rPr>
          <w:color w:val="000000"/>
        </w:rPr>
        <w:t xml:space="preserve"> to the United Nations </w:t>
      </w:r>
      <w:r w:rsidR="001C04C6" w:rsidRPr="0040794D">
        <w:rPr>
          <w:color w:val="000000"/>
        </w:rPr>
        <w:t xml:space="preserve">Special Rapporteur on </w:t>
      </w:r>
      <w:r w:rsidR="00852E59" w:rsidRPr="0040794D">
        <w:rPr>
          <w:color w:val="000000"/>
        </w:rPr>
        <w:t xml:space="preserve">the right of everyone to the enjoyment of the highest attainable standard of physical and mental health </w:t>
      </w:r>
      <w:r w:rsidRPr="0040794D">
        <w:rPr>
          <w:color w:val="000000"/>
        </w:rPr>
        <w:t xml:space="preserve">(the </w:t>
      </w:r>
      <w:r w:rsidR="001C04C6" w:rsidRPr="0040794D">
        <w:rPr>
          <w:color w:val="000000"/>
        </w:rPr>
        <w:t>‘</w:t>
      </w:r>
      <w:r w:rsidR="00852E59" w:rsidRPr="0040794D">
        <w:rPr>
          <w:color w:val="000000"/>
        </w:rPr>
        <w:t>Special Rapporteur</w:t>
      </w:r>
      <w:r w:rsidR="001C04C6" w:rsidRPr="0040794D">
        <w:rPr>
          <w:color w:val="000000"/>
        </w:rPr>
        <w:t>’</w:t>
      </w:r>
      <w:r w:rsidRPr="0040794D">
        <w:rPr>
          <w:color w:val="000000"/>
        </w:rPr>
        <w:t xml:space="preserve">) concerning </w:t>
      </w:r>
      <w:r w:rsidR="00B949D2" w:rsidRPr="0040794D">
        <w:rPr>
          <w:color w:val="000000"/>
        </w:rPr>
        <w:t xml:space="preserve">the </w:t>
      </w:r>
      <w:r w:rsidR="00852E59" w:rsidRPr="0040794D">
        <w:rPr>
          <w:color w:val="000000"/>
        </w:rPr>
        <w:t>impact of the COVID-19 pandemic on certain aspects of the right to sexual and reproductive health of women deprived of liberty.</w:t>
      </w:r>
    </w:p>
    <w:p w14:paraId="73062D1E" w14:textId="3E1A6A67" w:rsidR="005F62C5" w:rsidRPr="0040794D" w:rsidRDefault="00980B63" w:rsidP="00745167">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sidRPr="0040794D">
        <w:rPr>
          <w:color w:val="000000"/>
        </w:rPr>
        <w:t xml:space="preserve">As of 2020, an estimated 741,000 women were incarcerated </w:t>
      </w:r>
      <w:r w:rsidR="008E5BB2" w:rsidRPr="0040794D">
        <w:rPr>
          <w:color w:val="000000"/>
        </w:rPr>
        <w:t>across the world</w:t>
      </w:r>
      <w:r w:rsidRPr="0040794D">
        <w:rPr>
          <w:color w:val="000000"/>
        </w:rPr>
        <w:t>.</w:t>
      </w:r>
      <w:r w:rsidRPr="0040794D">
        <w:rPr>
          <w:rStyle w:val="EndnoteReference"/>
          <w:color w:val="000000"/>
        </w:rPr>
        <w:endnoteReference w:id="1"/>
      </w:r>
      <w:r w:rsidRPr="0040794D">
        <w:rPr>
          <w:color w:val="000000"/>
        </w:rPr>
        <w:t xml:space="preserve"> </w:t>
      </w:r>
      <w:r w:rsidR="008E5BB2" w:rsidRPr="0040794D">
        <w:rPr>
          <w:color w:val="000000"/>
        </w:rPr>
        <w:t>F</w:t>
      </w:r>
      <w:r w:rsidRPr="0040794D">
        <w:rPr>
          <w:color w:val="000000"/>
        </w:rPr>
        <w:t xml:space="preserve">rom 2000 to 2020 </w:t>
      </w:r>
      <w:r w:rsidR="005E5404" w:rsidRPr="0040794D">
        <w:rPr>
          <w:color w:val="000000"/>
        </w:rPr>
        <w:t xml:space="preserve">the number of women deprived of liberty </w:t>
      </w:r>
      <w:r w:rsidRPr="0040794D">
        <w:rPr>
          <w:color w:val="000000"/>
        </w:rPr>
        <w:t>increased by a shocking 59%, while the male prison population is estimated to have risen by 20% between 2000 and 2017.</w:t>
      </w:r>
      <w:r w:rsidRPr="0040794D">
        <w:rPr>
          <w:rStyle w:val="EndnoteReference"/>
          <w:color w:val="000000"/>
        </w:rPr>
        <w:endnoteReference w:id="2"/>
      </w:r>
      <w:r w:rsidRPr="0040794D">
        <w:rPr>
          <w:color w:val="000000"/>
        </w:rPr>
        <w:t xml:space="preserve"> In the last 10 years, </w:t>
      </w:r>
      <w:r w:rsidR="008E5BB2" w:rsidRPr="0040794D">
        <w:rPr>
          <w:color w:val="000000"/>
        </w:rPr>
        <w:t xml:space="preserve">the increase in female prison population has concentrated in Asia (by 50%), in Africa (by 24%), and in </w:t>
      </w:r>
      <w:r w:rsidRPr="0040794D">
        <w:rPr>
          <w:color w:val="000000"/>
        </w:rPr>
        <w:t>Central and South America</w:t>
      </w:r>
      <w:r w:rsidR="008E5BB2" w:rsidRPr="0040794D">
        <w:rPr>
          <w:color w:val="000000"/>
        </w:rPr>
        <w:t xml:space="preserve"> (by </w:t>
      </w:r>
      <w:r w:rsidR="001F188B">
        <w:rPr>
          <w:color w:val="000000"/>
        </w:rPr>
        <w:t>19%</w:t>
      </w:r>
      <w:r w:rsidR="008E5BB2" w:rsidRPr="0040794D">
        <w:rPr>
          <w:color w:val="000000"/>
        </w:rPr>
        <w:t>)</w:t>
      </w:r>
      <w:r w:rsidRPr="0040794D">
        <w:rPr>
          <w:rStyle w:val="EndnoteReference"/>
          <w:color w:val="000000"/>
        </w:rPr>
        <w:endnoteReference w:id="3"/>
      </w:r>
      <w:r w:rsidRPr="0040794D">
        <w:rPr>
          <w:color w:val="000000"/>
        </w:rPr>
        <w:t xml:space="preserve">. The disproportionate impact of </w:t>
      </w:r>
      <w:r w:rsidR="008E5BB2" w:rsidRPr="0040794D">
        <w:rPr>
          <w:color w:val="000000"/>
        </w:rPr>
        <w:t xml:space="preserve">harshly </w:t>
      </w:r>
      <w:r w:rsidRPr="0040794D">
        <w:rPr>
          <w:color w:val="000000"/>
        </w:rPr>
        <w:t xml:space="preserve">punitive drug laws on women has played a critical role in this alarming trend: in countries like Peru or the Philippines, where the number of women in prison has more than doubled in the last 20 years, approximately 60% of women </w:t>
      </w:r>
      <w:r w:rsidR="008E5BB2" w:rsidRPr="0040794D">
        <w:rPr>
          <w:color w:val="000000"/>
        </w:rPr>
        <w:t xml:space="preserve">in prison </w:t>
      </w:r>
      <w:r w:rsidRPr="0040794D">
        <w:rPr>
          <w:color w:val="000000"/>
        </w:rPr>
        <w:t xml:space="preserve">have been </w:t>
      </w:r>
      <w:r w:rsidR="008E5BB2" w:rsidRPr="0040794D">
        <w:rPr>
          <w:color w:val="000000"/>
        </w:rPr>
        <w:t xml:space="preserve">incarcerated </w:t>
      </w:r>
      <w:r w:rsidRPr="0040794D">
        <w:rPr>
          <w:color w:val="000000"/>
        </w:rPr>
        <w:t>for drug offences.</w:t>
      </w:r>
      <w:r w:rsidRPr="0040794D">
        <w:rPr>
          <w:rStyle w:val="EndnoteReference"/>
          <w:color w:val="000000"/>
        </w:rPr>
        <w:endnoteReference w:id="4"/>
      </w:r>
    </w:p>
    <w:p w14:paraId="104CC0E7" w14:textId="66AD3A05" w:rsidR="00BB7BDD" w:rsidRPr="0040794D" w:rsidRDefault="00BB7BDD" w:rsidP="00745167">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sidRPr="0040794D">
        <w:rPr>
          <w:bCs/>
          <w:color w:val="000000"/>
        </w:rPr>
        <w:t xml:space="preserve">Approached through the intersectionality lens and the non-discrimination principles adopted by the Special Rapporteur in her 2021 </w:t>
      </w:r>
      <w:r w:rsidR="005F62C5" w:rsidRPr="0040794D">
        <w:rPr>
          <w:bCs/>
          <w:color w:val="000000"/>
        </w:rPr>
        <w:t>Strategic Priorities of Work</w:t>
      </w:r>
      <w:r w:rsidR="005F62C5" w:rsidRPr="0040794D">
        <w:rPr>
          <w:rStyle w:val="EndnoteReference"/>
          <w:bCs/>
          <w:color w:val="000000"/>
        </w:rPr>
        <w:endnoteReference w:id="5"/>
      </w:r>
      <w:r w:rsidRPr="0040794D">
        <w:rPr>
          <w:bCs/>
          <w:color w:val="000000"/>
        </w:rPr>
        <w:t xml:space="preserve">, evidence shows that </w:t>
      </w:r>
      <w:r w:rsidR="00F604F6" w:rsidRPr="0040794D">
        <w:rPr>
          <w:bCs/>
          <w:color w:val="000000"/>
        </w:rPr>
        <w:t xml:space="preserve">incarcerated </w:t>
      </w:r>
      <w:r w:rsidRPr="0040794D">
        <w:rPr>
          <w:bCs/>
          <w:color w:val="000000"/>
        </w:rPr>
        <w:t xml:space="preserve">women face </w:t>
      </w:r>
      <w:r w:rsidR="00F604F6" w:rsidRPr="0040794D">
        <w:rPr>
          <w:bCs/>
          <w:color w:val="000000"/>
        </w:rPr>
        <w:t xml:space="preserve">multiple layers of </w:t>
      </w:r>
      <w:r w:rsidR="005F62C5" w:rsidRPr="0040794D">
        <w:rPr>
          <w:bCs/>
          <w:color w:val="000000"/>
        </w:rPr>
        <w:t>stigma, discrimination, and oppression.</w:t>
      </w:r>
      <w:r w:rsidRPr="0040794D">
        <w:rPr>
          <w:bCs/>
          <w:color w:val="000000"/>
        </w:rPr>
        <w:t xml:space="preserve"> </w:t>
      </w:r>
      <w:r w:rsidR="005F62C5" w:rsidRPr="0040794D">
        <w:rPr>
          <w:color w:val="000000"/>
        </w:rPr>
        <w:t>Women are in contact with the criminal justice system because of discrimination and deprivation</w:t>
      </w:r>
      <w:r w:rsidR="005F62C5" w:rsidRPr="0040794D">
        <w:t>,</w:t>
      </w:r>
      <w:r w:rsidR="005F62C5" w:rsidRPr="0040794D">
        <w:rPr>
          <w:color w:val="000000"/>
          <w:vertAlign w:val="superscript"/>
        </w:rPr>
        <w:endnoteReference w:id="6"/>
      </w:r>
      <w:r w:rsidR="005F62C5" w:rsidRPr="0040794D">
        <w:rPr>
          <w:color w:val="000000"/>
        </w:rPr>
        <w:t xml:space="preserve"> including </w:t>
      </w:r>
      <w:r w:rsidR="00F604F6" w:rsidRPr="0040794D">
        <w:rPr>
          <w:color w:val="000000"/>
        </w:rPr>
        <w:t xml:space="preserve">through </w:t>
      </w:r>
      <w:r w:rsidR="005F62C5" w:rsidRPr="0040794D">
        <w:rPr>
          <w:color w:val="000000"/>
        </w:rPr>
        <w:t>poverty</w:t>
      </w:r>
      <w:r w:rsidR="004D3BC6" w:rsidRPr="0040794D">
        <w:rPr>
          <w:rStyle w:val="EndnoteReference"/>
          <w:color w:val="000000"/>
        </w:rPr>
        <w:endnoteReference w:id="7"/>
      </w:r>
      <w:r w:rsidR="005F62C5" w:rsidRPr="0040794D">
        <w:rPr>
          <w:color w:val="000000"/>
        </w:rPr>
        <w:t>, lack of education,</w:t>
      </w:r>
      <w:r w:rsidR="005F62C5" w:rsidRPr="0040794D">
        <w:rPr>
          <w:color w:val="000000"/>
          <w:vertAlign w:val="superscript"/>
        </w:rPr>
        <w:endnoteReference w:id="8"/>
      </w:r>
      <w:r w:rsidR="005F62C5" w:rsidRPr="0040794D">
        <w:rPr>
          <w:color w:val="000000"/>
        </w:rPr>
        <w:t xml:space="preserve"> and physical and mental abuse</w:t>
      </w:r>
      <w:r w:rsidR="005F62C5" w:rsidRPr="0040794D">
        <w:rPr>
          <w:color w:val="000000"/>
          <w:vertAlign w:val="superscript"/>
        </w:rPr>
        <w:endnoteReference w:id="9"/>
      </w:r>
      <w:r w:rsidR="005F62C5" w:rsidRPr="0040794D">
        <w:rPr>
          <w:color w:val="000000"/>
        </w:rPr>
        <w:t xml:space="preserve"> by partners and relatives. </w:t>
      </w:r>
      <w:r w:rsidR="00E90913" w:rsidRPr="0040794D">
        <w:rPr>
          <w:color w:val="000000"/>
        </w:rPr>
        <w:t xml:space="preserve">In the few countries where data is available, </w:t>
      </w:r>
      <w:r w:rsidR="00F604F6" w:rsidRPr="0040794D">
        <w:rPr>
          <w:color w:val="000000"/>
        </w:rPr>
        <w:t xml:space="preserve">it is clear that black, indigenous and other </w:t>
      </w:r>
      <w:r w:rsidR="00E90913" w:rsidRPr="0040794D">
        <w:rPr>
          <w:color w:val="000000"/>
        </w:rPr>
        <w:t xml:space="preserve">women </w:t>
      </w:r>
      <w:r w:rsidR="00F604F6" w:rsidRPr="0040794D">
        <w:rPr>
          <w:color w:val="000000"/>
        </w:rPr>
        <w:t xml:space="preserve">of colour </w:t>
      </w:r>
      <w:r w:rsidR="00E90913" w:rsidRPr="0040794D">
        <w:rPr>
          <w:color w:val="000000"/>
        </w:rPr>
        <w:t>are disproportionately represented in prisons.</w:t>
      </w:r>
      <w:r w:rsidR="00E90913" w:rsidRPr="0040794D">
        <w:rPr>
          <w:rStyle w:val="EndnoteReference"/>
          <w:color w:val="000000"/>
        </w:rPr>
        <w:endnoteReference w:id="10"/>
      </w:r>
      <w:r w:rsidR="00E90913" w:rsidRPr="0040794D">
        <w:rPr>
          <w:color w:val="000000"/>
        </w:rPr>
        <w:t xml:space="preserve"> </w:t>
      </w:r>
      <w:r w:rsidR="00F604F6" w:rsidRPr="0040794D">
        <w:rPr>
          <w:color w:val="000000"/>
        </w:rPr>
        <w:t>Evidence also shows that p</w:t>
      </w:r>
      <w:r w:rsidR="00263E5B" w:rsidRPr="0040794D">
        <w:rPr>
          <w:color w:val="000000"/>
        </w:rPr>
        <w:t xml:space="preserve">unitive drug laws, which </w:t>
      </w:r>
      <w:r w:rsidR="00F604F6" w:rsidRPr="0040794D">
        <w:rPr>
          <w:color w:val="000000"/>
        </w:rPr>
        <w:t>disproportionately target</w:t>
      </w:r>
      <w:r w:rsidR="00263E5B" w:rsidRPr="0040794D">
        <w:rPr>
          <w:color w:val="000000"/>
        </w:rPr>
        <w:t xml:space="preserve"> women, also target them on the basis of their race and ethnicity</w:t>
      </w:r>
      <w:r w:rsidR="00263E5B" w:rsidRPr="0040794D">
        <w:rPr>
          <w:vertAlign w:val="superscript"/>
        </w:rPr>
        <w:endnoteReference w:id="11"/>
      </w:r>
      <w:r w:rsidR="00263E5B" w:rsidRPr="0040794D">
        <w:rPr>
          <w:color w:val="000000"/>
        </w:rPr>
        <w:t>, or their status as migrant</w:t>
      </w:r>
      <w:r w:rsidR="00263E5B" w:rsidRPr="0040794D">
        <w:rPr>
          <w:rStyle w:val="EndnoteReference"/>
          <w:color w:val="000000"/>
        </w:rPr>
        <w:endnoteReference w:id="12"/>
      </w:r>
      <w:r w:rsidR="00263E5B" w:rsidRPr="0040794D">
        <w:rPr>
          <w:color w:val="000000"/>
        </w:rPr>
        <w:t>.</w:t>
      </w:r>
    </w:p>
    <w:p w14:paraId="0B3D6646" w14:textId="448B250D" w:rsidR="00BB7BDD" w:rsidRPr="0040794D" w:rsidRDefault="001B7A9C" w:rsidP="00745167">
      <w:pPr>
        <w:pStyle w:val="ListParagraph"/>
        <w:numPr>
          <w:ilvl w:val="0"/>
          <w:numId w:val="11"/>
        </w:numPr>
        <w:pBdr>
          <w:top w:val="nil"/>
          <w:left w:val="nil"/>
          <w:bottom w:val="nil"/>
          <w:right w:val="nil"/>
          <w:between w:val="nil"/>
        </w:pBdr>
        <w:spacing w:after="200" w:line="276" w:lineRule="auto"/>
        <w:ind w:left="426" w:hanging="426"/>
        <w:contextualSpacing w:val="0"/>
        <w:jc w:val="both"/>
        <w:rPr>
          <w:bCs/>
          <w:color w:val="000000"/>
        </w:rPr>
      </w:pPr>
      <w:r w:rsidRPr="0040794D">
        <w:rPr>
          <w:color w:val="000000"/>
        </w:rPr>
        <w:t xml:space="preserve">The world’s prison systems have been built by, and for, men. </w:t>
      </w:r>
      <w:r w:rsidR="008E5BB2" w:rsidRPr="0040794D">
        <w:rPr>
          <w:color w:val="000000"/>
        </w:rPr>
        <w:t>Women are estimated to constitute only 6</w:t>
      </w:r>
      <w:r w:rsidR="001F188B">
        <w:rPr>
          <w:color w:val="000000"/>
        </w:rPr>
        <w:t>.9</w:t>
      </w:r>
      <w:r w:rsidR="008E5BB2" w:rsidRPr="0040794D">
        <w:rPr>
          <w:color w:val="000000"/>
        </w:rPr>
        <w:t>% of the global prison population</w:t>
      </w:r>
      <w:r w:rsidR="005038AD" w:rsidRPr="0040794D">
        <w:rPr>
          <w:rStyle w:val="EndnoteReference"/>
          <w:color w:val="000000"/>
        </w:rPr>
        <w:endnoteReference w:id="13"/>
      </w:r>
      <w:r w:rsidR="008E5BB2" w:rsidRPr="0040794D">
        <w:rPr>
          <w:color w:val="000000"/>
        </w:rPr>
        <w:t xml:space="preserve">, and are frequently incarcerated in small annexes of prisons for men. </w:t>
      </w:r>
      <w:r w:rsidR="00263E5B" w:rsidRPr="0040794D">
        <w:rPr>
          <w:bCs/>
          <w:color w:val="000000"/>
        </w:rPr>
        <w:t>Under international human rights law, States must ensure that women deprived of liberty have access to adequate, affordable, and good quality sexual and reproductive health services and information, without discrimination</w:t>
      </w:r>
      <w:r w:rsidR="00745167" w:rsidRPr="0040794D">
        <w:rPr>
          <w:bCs/>
          <w:color w:val="000000"/>
        </w:rPr>
        <w:t>, and equal to those in the community</w:t>
      </w:r>
      <w:r w:rsidR="00263E5B" w:rsidRPr="0040794D">
        <w:rPr>
          <w:bCs/>
          <w:color w:val="000000"/>
        </w:rPr>
        <w:t xml:space="preserve">. However, </w:t>
      </w:r>
      <w:r w:rsidRPr="0040794D">
        <w:rPr>
          <w:bCs/>
          <w:color w:val="000000"/>
        </w:rPr>
        <w:t xml:space="preserve">in practice women’s </w:t>
      </w:r>
      <w:r w:rsidR="005038AD" w:rsidRPr="0040794D">
        <w:rPr>
          <w:bCs/>
          <w:color w:val="000000"/>
        </w:rPr>
        <w:t xml:space="preserve">rights and </w:t>
      </w:r>
      <w:r w:rsidRPr="0040794D">
        <w:rPr>
          <w:bCs/>
          <w:color w:val="000000"/>
        </w:rPr>
        <w:t>needs are frequently deprioritised, or ignored.</w:t>
      </w:r>
    </w:p>
    <w:p w14:paraId="00ECEC94" w14:textId="2B1769D4" w:rsidR="00852E59" w:rsidRPr="0040794D" w:rsidRDefault="00745167" w:rsidP="00745167">
      <w:pPr>
        <w:pStyle w:val="ListParagraph"/>
        <w:numPr>
          <w:ilvl w:val="0"/>
          <w:numId w:val="11"/>
        </w:numPr>
        <w:pBdr>
          <w:top w:val="nil"/>
          <w:left w:val="nil"/>
          <w:bottom w:val="nil"/>
          <w:right w:val="nil"/>
          <w:between w:val="nil"/>
        </w:pBdr>
        <w:spacing w:after="200" w:line="276" w:lineRule="auto"/>
        <w:ind w:left="426" w:hanging="426"/>
        <w:contextualSpacing w:val="0"/>
        <w:jc w:val="both"/>
        <w:rPr>
          <w:b/>
          <w:color w:val="000000"/>
        </w:rPr>
      </w:pPr>
      <w:r w:rsidRPr="0040794D">
        <w:rPr>
          <w:color w:val="000000"/>
        </w:rPr>
        <w:t xml:space="preserve">Drawing on </w:t>
      </w:r>
      <w:r w:rsidR="005038AD" w:rsidRPr="0040794D">
        <w:rPr>
          <w:color w:val="000000"/>
        </w:rPr>
        <w:t>several examples, including a comprehensive report on the situation</w:t>
      </w:r>
      <w:r w:rsidR="00F604F6" w:rsidRPr="0040794D">
        <w:rPr>
          <w:color w:val="000000"/>
        </w:rPr>
        <w:t xml:space="preserve"> of women deprived of liberty</w:t>
      </w:r>
      <w:r w:rsidR="005038AD" w:rsidRPr="0040794D">
        <w:rPr>
          <w:color w:val="000000"/>
        </w:rPr>
        <w:t xml:space="preserve"> in Colombia written by Corporaci</w:t>
      </w:r>
      <w:r w:rsidR="00F604F6" w:rsidRPr="0040794D">
        <w:rPr>
          <w:color w:val="000000"/>
        </w:rPr>
        <w:t>ó</w:t>
      </w:r>
      <w:r w:rsidR="005038AD" w:rsidRPr="0040794D">
        <w:rPr>
          <w:color w:val="000000"/>
        </w:rPr>
        <w:t xml:space="preserve">n Humanas Colombia (see </w:t>
      </w:r>
      <w:r w:rsidR="005038AD" w:rsidRPr="00DA00AB">
        <w:rPr>
          <w:b/>
          <w:bCs/>
          <w:color w:val="000000"/>
        </w:rPr>
        <w:t>Annex</w:t>
      </w:r>
      <w:r w:rsidR="005038AD" w:rsidRPr="0040794D">
        <w:rPr>
          <w:color w:val="000000"/>
        </w:rPr>
        <w:t xml:space="preserve"> for its original version in Spanish</w:t>
      </w:r>
      <w:r w:rsidR="000E451C">
        <w:rPr>
          <w:color w:val="000000"/>
        </w:rPr>
        <w:t xml:space="preserve"> and </w:t>
      </w:r>
      <w:r w:rsidR="005038AD" w:rsidRPr="0040794D">
        <w:rPr>
          <w:color w:val="000000"/>
        </w:rPr>
        <w:t>an automated translation to English)</w:t>
      </w:r>
      <w:r w:rsidRPr="0040794D">
        <w:rPr>
          <w:color w:val="000000"/>
        </w:rPr>
        <w:t>, this submission will outline how States’ responses to the COVID</w:t>
      </w:r>
      <w:r w:rsidR="001F188B">
        <w:rPr>
          <w:color w:val="000000"/>
        </w:rPr>
        <w:t>-</w:t>
      </w:r>
      <w:r w:rsidRPr="0040794D">
        <w:rPr>
          <w:color w:val="000000"/>
        </w:rPr>
        <w:t>19 pandemic have impact</w:t>
      </w:r>
      <w:r w:rsidR="00083BD4" w:rsidRPr="0040794D">
        <w:rPr>
          <w:color w:val="000000"/>
        </w:rPr>
        <w:t>ed</w:t>
      </w:r>
      <w:r w:rsidRPr="0040794D">
        <w:rPr>
          <w:color w:val="000000"/>
        </w:rPr>
        <w:t xml:space="preserve"> on the sexual and reproductive rights of women deprived of liberty. While this could be approached </w:t>
      </w:r>
      <w:r w:rsidR="00F604F6" w:rsidRPr="0040794D">
        <w:rPr>
          <w:color w:val="000000"/>
        </w:rPr>
        <w:t>fr</w:t>
      </w:r>
      <w:r w:rsidR="001F188B">
        <w:rPr>
          <w:color w:val="000000"/>
        </w:rPr>
        <w:t>o</w:t>
      </w:r>
      <w:r w:rsidR="00F604F6" w:rsidRPr="0040794D">
        <w:rPr>
          <w:color w:val="000000"/>
        </w:rPr>
        <w:t xml:space="preserve">m </w:t>
      </w:r>
      <w:r w:rsidRPr="0040794D">
        <w:rPr>
          <w:color w:val="000000"/>
        </w:rPr>
        <w:t xml:space="preserve">many </w:t>
      </w:r>
      <w:r w:rsidR="00083BD4" w:rsidRPr="0040794D">
        <w:rPr>
          <w:color w:val="000000"/>
        </w:rPr>
        <w:t>perspective</w:t>
      </w:r>
      <w:r w:rsidR="00F604F6" w:rsidRPr="0040794D">
        <w:rPr>
          <w:color w:val="000000"/>
        </w:rPr>
        <w:t>s</w:t>
      </w:r>
      <w:r w:rsidRPr="0040794D">
        <w:rPr>
          <w:color w:val="000000"/>
        </w:rPr>
        <w:t xml:space="preserve">, we </w:t>
      </w:r>
      <w:r w:rsidR="00083BD4" w:rsidRPr="0040794D">
        <w:rPr>
          <w:color w:val="000000"/>
        </w:rPr>
        <w:t xml:space="preserve">mostly </w:t>
      </w:r>
      <w:r w:rsidRPr="0040794D">
        <w:rPr>
          <w:color w:val="000000"/>
        </w:rPr>
        <w:t xml:space="preserve">focus on </w:t>
      </w:r>
      <w:r w:rsidR="00083BD4" w:rsidRPr="0040794D">
        <w:rPr>
          <w:color w:val="000000"/>
        </w:rPr>
        <w:t xml:space="preserve">a </w:t>
      </w:r>
      <w:r w:rsidRPr="0040794D">
        <w:rPr>
          <w:color w:val="000000"/>
        </w:rPr>
        <w:t xml:space="preserve">particular issue: the lack of access to </w:t>
      </w:r>
      <w:r w:rsidR="001F188B">
        <w:rPr>
          <w:color w:val="000000"/>
        </w:rPr>
        <w:t xml:space="preserve">menstrual </w:t>
      </w:r>
      <w:r w:rsidR="00484074">
        <w:rPr>
          <w:color w:val="000000"/>
        </w:rPr>
        <w:t>health</w:t>
      </w:r>
      <w:r w:rsidRPr="0040794D">
        <w:rPr>
          <w:color w:val="000000"/>
        </w:rPr>
        <w:t xml:space="preserve"> products for women, such as sanitary towels</w:t>
      </w:r>
      <w:r w:rsidR="00F604F6" w:rsidRPr="0040794D">
        <w:rPr>
          <w:color w:val="000000"/>
        </w:rPr>
        <w:t>, also known as period poverty</w:t>
      </w:r>
      <w:r w:rsidRPr="0040794D">
        <w:rPr>
          <w:color w:val="000000"/>
        </w:rPr>
        <w:t xml:space="preserve">. </w:t>
      </w:r>
      <w:r w:rsidR="00F604F6" w:rsidRPr="0040794D">
        <w:rPr>
          <w:color w:val="000000"/>
        </w:rPr>
        <w:t xml:space="preserve">In this as in many other issues, </w:t>
      </w:r>
      <w:r w:rsidR="001F188B">
        <w:rPr>
          <w:color w:val="000000"/>
        </w:rPr>
        <w:t xml:space="preserve">the </w:t>
      </w:r>
      <w:r w:rsidR="00F604F6" w:rsidRPr="0040794D">
        <w:rPr>
          <w:color w:val="000000"/>
        </w:rPr>
        <w:t>COVID</w:t>
      </w:r>
      <w:r w:rsidR="001F188B">
        <w:rPr>
          <w:color w:val="000000"/>
        </w:rPr>
        <w:t>-</w:t>
      </w:r>
      <w:r w:rsidR="00F604F6" w:rsidRPr="0040794D">
        <w:rPr>
          <w:color w:val="000000"/>
        </w:rPr>
        <w:t>19</w:t>
      </w:r>
      <w:r w:rsidR="001F188B">
        <w:rPr>
          <w:color w:val="000000"/>
        </w:rPr>
        <w:t xml:space="preserve"> pandemic</w:t>
      </w:r>
      <w:r w:rsidR="00F604F6" w:rsidRPr="0040794D">
        <w:rPr>
          <w:color w:val="000000"/>
        </w:rPr>
        <w:t xml:space="preserve"> exacerbated a series of rights violation and inequities that were already deeply ingrained before the pandemic.</w:t>
      </w:r>
    </w:p>
    <w:p w14:paraId="00E3513D" w14:textId="6BC36453" w:rsidR="004C35BB" w:rsidRPr="0040794D" w:rsidRDefault="00AF7437" w:rsidP="00745167">
      <w:pPr>
        <w:pBdr>
          <w:top w:val="nil"/>
          <w:left w:val="nil"/>
          <w:bottom w:val="nil"/>
          <w:right w:val="nil"/>
          <w:between w:val="nil"/>
        </w:pBdr>
        <w:spacing w:after="200" w:line="276" w:lineRule="auto"/>
        <w:jc w:val="both"/>
        <w:rPr>
          <w:b/>
          <w:color w:val="000000"/>
          <w:sz w:val="28"/>
          <w:szCs w:val="28"/>
        </w:rPr>
      </w:pPr>
      <w:r w:rsidRPr="0040794D">
        <w:rPr>
          <w:b/>
          <w:color w:val="000000"/>
          <w:sz w:val="28"/>
          <w:szCs w:val="28"/>
        </w:rPr>
        <w:lastRenderedPageBreak/>
        <w:t xml:space="preserve">Background: </w:t>
      </w:r>
      <w:r w:rsidR="00852E59" w:rsidRPr="0040794D">
        <w:rPr>
          <w:b/>
          <w:color w:val="000000"/>
          <w:sz w:val="28"/>
          <w:szCs w:val="28"/>
        </w:rPr>
        <w:t>International standards on the right to sexual and reproductive health of women deprived of liberty</w:t>
      </w:r>
    </w:p>
    <w:p w14:paraId="151D448E" w14:textId="7A8E710D" w:rsidR="00A06EC3" w:rsidRPr="00AB052E" w:rsidRDefault="00AB052E" w:rsidP="00745167">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T</w:t>
      </w:r>
      <w:r w:rsidRPr="00AB052E">
        <w:rPr>
          <w:color w:val="000000"/>
        </w:rPr>
        <w:t>he right to sexual and reproductive health is an integral</w:t>
      </w:r>
      <w:r>
        <w:rPr>
          <w:color w:val="000000"/>
        </w:rPr>
        <w:t xml:space="preserve"> </w:t>
      </w:r>
      <w:r w:rsidRPr="00AB052E">
        <w:rPr>
          <w:color w:val="000000"/>
        </w:rPr>
        <w:t>part of the right to health enshrined in article 12 of the International Covenant on Economic, Social and Cultural Rights</w:t>
      </w:r>
      <w:r w:rsidR="00A06EC3" w:rsidRPr="00AB052E">
        <w:rPr>
          <w:color w:val="000000"/>
        </w:rPr>
        <w:t>.</w:t>
      </w:r>
      <w:r w:rsidR="00A06EC3" w:rsidRPr="00AB052E">
        <w:rPr>
          <w:rStyle w:val="EndnoteReference"/>
          <w:color w:val="000000"/>
        </w:rPr>
        <w:endnoteReference w:id="14"/>
      </w:r>
      <w:r w:rsidR="00A06EC3" w:rsidRPr="00AB052E">
        <w:rPr>
          <w:color w:val="000000"/>
        </w:rPr>
        <w:t xml:space="preserve"> </w:t>
      </w:r>
      <w:r w:rsidRPr="00AB052E">
        <w:rPr>
          <w:color w:val="000000"/>
        </w:rPr>
        <w:t>S</w:t>
      </w:r>
      <w:r w:rsidR="003D3E30" w:rsidRPr="00AB052E">
        <w:rPr>
          <w:color w:val="000000"/>
        </w:rPr>
        <w:t xml:space="preserve">exual </w:t>
      </w:r>
      <w:r w:rsidR="00CC3880">
        <w:rPr>
          <w:color w:val="000000"/>
        </w:rPr>
        <w:t xml:space="preserve">and </w:t>
      </w:r>
      <w:r w:rsidR="00A06EC3" w:rsidRPr="00AB052E">
        <w:rPr>
          <w:color w:val="000000"/>
        </w:rPr>
        <w:t>reproductive health</w:t>
      </w:r>
      <w:r w:rsidR="003D3E30" w:rsidRPr="00AB052E">
        <w:rPr>
          <w:color w:val="000000"/>
        </w:rPr>
        <w:t xml:space="preserve"> </w:t>
      </w:r>
      <w:r w:rsidR="00A06EC3" w:rsidRPr="00AB052E">
        <w:rPr>
          <w:color w:val="000000"/>
        </w:rPr>
        <w:t>care</w:t>
      </w:r>
      <w:r w:rsidR="00CC3880">
        <w:rPr>
          <w:color w:val="000000"/>
        </w:rPr>
        <w:t>, goods, and information</w:t>
      </w:r>
      <w:r w:rsidR="00A06EC3" w:rsidRPr="00AB052E">
        <w:rPr>
          <w:color w:val="000000"/>
        </w:rPr>
        <w:t xml:space="preserve"> must be available in adequate numbers, </w:t>
      </w:r>
      <w:r w:rsidRPr="00AB052E">
        <w:rPr>
          <w:color w:val="000000"/>
        </w:rPr>
        <w:t xml:space="preserve">physically </w:t>
      </w:r>
      <w:r w:rsidR="00A06EC3" w:rsidRPr="00AB052E">
        <w:rPr>
          <w:color w:val="000000"/>
        </w:rPr>
        <w:t>accessible,</w:t>
      </w:r>
      <w:r w:rsidRPr="00AB052E">
        <w:rPr>
          <w:color w:val="000000"/>
        </w:rPr>
        <w:t xml:space="preserve"> affordable,</w:t>
      </w:r>
      <w:r w:rsidR="00A06EC3" w:rsidRPr="00AB052E">
        <w:rPr>
          <w:color w:val="000000"/>
        </w:rPr>
        <w:t xml:space="preserve"> </w:t>
      </w:r>
      <w:r w:rsidRPr="00AB052E">
        <w:rPr>
          <w:color w:val="000000"/>
        </w:rPr>
        <w:t xml:space="preserve">made available </w:t>
      </w:r>
      <w:r w:rsidR="00A06EC3" w:rsidRPr="00AB052E">
        <w:rPr>
          <w:color w:val="000000"/>
        </w:rPr>
        <w:t>without discrimination, and of good quality.</w:t>
      </w:r>
      <w:r w:rsidR="00A06EC3" w:rsidRPr="00AB052E">
        <w:rPr>
          <w:rStyle w:val="EndnoteReference"/>
          <w:color w:val="000000"/>
        </w:rPr>
        <w:endnoteReference w:id="15"/>
      </w:r>
      <w:r w:rsidR="00A06EC3" w:rsidRPr="00AB052E">
        <w:rPr>
          <w:color w:val="000000"/>
        </w:rPr>
        <w:t xml:space="preserve"> </w:t>
      </w:r>
    </w:p>
    <w:p w14:paraId="6B7F78F7" w14:textId="38151025" w:rsidR="00413D17" w:rsidRPr="0040794D" w:rsidRDefault="00A06EC3" w:rsidP="00745167">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sidRPr="0040794D">
        <w:rPr>
          <w:color w:val="000000"/>
        </w:rPr>
        <w:t xml:space="preserve">Article 12 of the Convention on the Elimination of all forms of Discrimination Against Women (CEDAW) commits States to ensure equal access for men and women to health care services, and to provide women with ‘appropriate services in connection with pregnancy, confinement, and the post-natal period’. The CEDAW Committee has made clear that, when discharging their obligations under this article, </w:t>
      </w:r>
      <w:r w:rsidR="00090498" w:rsidRPr="0040794D">
        <w:rPr>
          <w:color w:val="000000"/>
        </w:rPr>
        <w:t>States should ensure universal access for all women to a full range of high-quality and affordable health care, including sexual and reproductive health services.</w:t>
      </w:r>
      <w:r w:rsidR="00090498" w:rsidRPr="0040794D">
        <w:rPr>
          <w:rStyle w:val="EndnoteReference"/>
          <w:color w:val="000000"/>
        </w:rPr>
        <w:endnoteReference w:id="16"/>
      </w:r>
    </w:p>
    <w:p w14:paraId="31BD06F9" w14:textId="77777777" w:rsidR="00CC3880" w:rsidRDefault="00967595" w:rsidP="00745167">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sidRPr="0040794D">
        <w:rPr>
          <w:color w:val="000000"/>
        </w:rPr>
        <w:t xml:space="preserve">Women who are </w:t>
      </w:r>
      <w:r w:rsidR="003D3E30" w:rsidRPr="0040794D">
        <w:rPr>
          <w:color w:val="000000"/>
        </w:rPr>
        <w:t>incarcerated in a prison</w:t>
      </w:r>
      <w:r w:rsidRPr="0040794D">
        <w:rPr>
          <w:color w:val="000000"/>
        </w:rPr>
        <w:t xml:space="preserve">, or in </w:t>
      </w:r>
      <w:r w:rsidR="003D3E30" w:rsidRPr="0040794D">
        <w:rPr>
          <w:color w:val="000000"/>
        </w:rPr>
        <w:t xml:space="preserve">a different </w:t>
      </w:r>
      <w:r w:rsidRPr="0040794D">
        <w:rPr>
          <w:color w:val="000000"/>
        </w:rPr>
        <w:t xml:space="preserve">place of detention, </w:t>
      </w:r>
      <w:r w:rsidR="003D3E30" w:rsidRPr="0040794D">
        <w:rPr>
          <w:color w:val="000000"/>
        </w:rPr>
        <w:t xml:space="preserve">have had their right to liberty temporarily restricted, but </w:t>
      </w:r>
      <w:r w:rsidRPr="0040794D">
        <w:rPr>
          <w:color w:val="000000"/>
        </w:rPr>
        <w:t xml:space="preserve">their right to sexual and reproductive </w:t>
      </w:r>
      <w:r w:rsidR="003D3E30" w:rsidRPr="0040794D">
        <w:rPr>
          <w:color w:val="000000"/>
        </w:rPr>
        <w:t>health remains intact</w:t>
      </w:r>
      <w:r w:rsidRPr="0040794D">
        <w:rPr>
          <w:color w:val="000000"/>
        </w:rPr>
        <w:t xml:space="preserve">. </w:t>
      </w:r>
      <w:r w:rsidR="00CC3880">
        <w:rPr>
          <w:color w:val="000000"/>
        </w:rPr>
        <w:t>According to the UN Committee on Economic, Social and Cultural Rights, women deprived of liberty, ‘given their additional vulnerability by condition of their detention (…), are also groups that require the State to take particular steps to ensure their access to sexual and reproductive information, goods, and healthcare’.</w:t>
      </w:r>
      <w:r w:rsidR="00CC3880">
        <w:rPr>
          <w:rStyle w:val="EndnoteReference"/>
          <w:color w:val="000000"/>
        </w:rPr>
        <w:endnoteReference w:id="17"/>
      </w:r>
    </w:p>
    <w:p w14:paraId="2403010C" w14:textId="44E0CFCF" w:rsidR="00E21886" w:rsidRPr="0040794D" w:rsidRDefault="005770DA" w:rsidP="00745167">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sidRPr="0040794D">
        <w:rPr>
          <w:color w:val="000000"/>
        </w:rPr>
        <w:t>The United Nations Rules for the Treatment of Women Prisoner</w:t>
      </w:r>
      <w:r w:rsidR="001F188B">
        <w:rPr>
          <w:color w:val="000000"/>
        </w:rPr>
        <w:t>s</w:t>
      </w:r>
      <w:r w:rsidRPr="0040794D">
        <w:rPr>
          <w:color w:val="000000"/>
        </w:rPr>
        <w:t xml:space="preserve"> and Non-Custodial Measures for Women Offenders (known as the ‘Bangkok Rules’), </w:t>
      </w:r>
      <w:r w:rsidR="0010109C" w:rsidRPr="0040794D">
        <w:rPr>
          <w:color w:val="000000"/>
        </w:rPr>
        <w:t>which were adopted in 2010 by the UN General Assembly</w:t>
      </w:r>
      <w:r w:rsidR="003D3E30" w:rsidRPr="0040794D">
        <w:rPr>
          <w:color w:val="000000"/>
        </w:rPr>
        <w:t xml:space="preserve"> in a unanimous vote of all UN Member States</w:t>
      </w:r>
      <w:r w:rsidR="0010109C" w:rsidRPr="0040794D">
        <w:rPr>
          <w:color w:val="000000"/>
        </w:rPr>
        <w:t xml:space="preserve">, lay down a series of important rules concerning the right to sexual and reproductive health of women deprived of liberty. These include: </w:t>
      </w:r>
    </w:p>
    <w:p w14:paraId="6A71E28F" w14:textId="13912F6D" w:rsidR="00E21886" w:rsidRPr="0040794D" w:rsidRDefault="00E21886" w:rsidP="00745167">
      <w:pPr>
        <w:pStyle w:val="ListParagraph"/>
        <w:numPr>
          <w:ilvl w:val="1"/>
          <w:numId w:val="11"/>
        </w:numPr>
        <w:pBdr>
          <w:top w:val="nil"/>
          <w:left w:val="nil"/>
          <w:bottom w:val="nil"/>
          <w:right w:val="nil"/>
          <w:between w:val="nil"/>
        </w:pBdr>
        <w:spacing w:after="200" w:line="276" w:lineRule="auto"/>
        <w:contextualSpacing w:val="0"/>
        <w:jc w:val="both"/>
        <w:rPr>
          <w:color w:val="000000"/>
        </w:rPr>
      </w:pPr>
      <w:r w:rsidRPr="0040794D">
        <w:rPr>
          <w:color w:val="000000"/>
        </w:rPr>
        <w:t>the obligation to provide facilities and materials required to meet women’s specific hygiene needs, including sanitary towels provided free of charge, and disposal arrangements for blood-stained articles (Bangkok Rule 5)</w:t>
      </w:r>
      <w:r w:rsidRPr="0040794D">
        <w:rPr>
          <w:rStyle w:val="EndnoteReference"/>
          <w:color w:val="000000"/>
        </w:rPr>
        <w:endnoteReference w:id="18"/>
      </w:r>
      <w:r w:rsidRPr="0040794D">
        <w:rPr>
          <w:color w:val="000000"/>
        </w:rPr>
        <w:t xml:space="preserve">; </w:t>
      </w:r>
    </w:p>
    <w:p w14:paraId="54058F54" w14:textId="43D51BA0" w:rsidR="00E21886" w:rsidRPr="0040794D" w:rsidRDefault="0010109C" w:rsidP="00745167">
      <w:pPr>
        <w:pStyle w:val="ListParagraph"/>
        <w:numPr>
          <w:ilvl w:val="1"/>
          <w:numId w:val="11"/>
        </w:numPr>
        <w:pBdr>
          <w:top w:val="nil"/>
          <w:left w:val="nil"/>
          <w:bottom w:val="nil"/>
          <w:right w:val="nil"/>
          <w:between w:val="nil"/>
        </w:pBdr>
        <w:spacing w:after="200" w:line="276" w:lineRule="auto"/>
        <w:contextualSpacing w:val="0"/>
        <w:jc w:val="both"/>
        <w:rPr>
          <w:color w:val="000000"/>
        </w:rPr>
      </w:pPr>
      <w:r w:rsidRPr="0040794D">
        <w:rPr>
          <w:color w:val="000000"/>
        </w:rPr>
        <w:t>the obligation to diagnose and provide appropriate treatment for sexual health diseases as early as possible (Bangkok Rule 6)</w:t>
      </w:r>
      <w:r w:rsidR="00967595" w:rsidRPr="0040794D">
        <w:rPr>
          <w:color w:val="000000"/>
        </w:rPr>
        <w:t xml:space="preserve">; </w:t>
      </w:r>
      <w:r w:rsidRPr="0040794D">
        <w:rPr>
          <w:rStyle w:val="EndnoteReference"/>
          <w:color w:val="000000"/>
        </w:rPr>
        <w:endnoteReference w:id="19"/>
      </w:r>
      <w:r w:rsidR="00967595" w:rsidRPr="0040794D">
        <w:rPr>
          <w:color w:val="000000"/>
        </w:rPr>
        <w:t xml:space="preserve"> </w:t>
      </w:r>
    </w:p>
    <w:p w14:paraId="7CB7B970" w14:textId="61919759" w:rsidR="00E21886" w:rsidRPr="0040794D" w:rsidRDefault="00967595" w:rsidP="00745167">
      <w:pPr>
        <w:pStyle w:val="ListParagraph"/>
        <w:numPr>
          <w:ilvl w:val="1"/>
          <w:numId w:val="11"/>
        </w:numPr>
        <w:pBdr>
          <w:top w:val="nil"/>
          <w:left w:val="nil"/>
          <w:bottom w:val="nil"/>
          <w:right w:val="nil"/>
          <w:between w:val="nil"/>
        </w:pBdr>
        <w:spacing w:after="200" w:line="276" w:lineRule="auto"/>
        <w:contextualSpacing w:val="0"/>
        <w:jc w:val="both"/>
        <w:rPr>
          <w:color w:val="000000"/>
        </w:rPr>
      </w:pPr>
      <w:r w:rsidRPr="0040794D">
        <w:rPr>
          <w:color w:val="000000"/>
        </w:rPr>
        <w:t>the duty to provide gender-specific treatment and care equal to that in the community (Bangkok Rule 10)</w:t>
      </w:r>
      <w:r w:rsidRPr="0040794D">
        <w:rPr>
          <w:rStyle w:val="EndnoteReference"/>
          <w:color w:val="000000"/>
        </w:rPr>
        <w:endnoteReference w:id="20"/>
      </w:r>
      <w:r w:rsidRPr="0040794D">
        <w:rPr>
          <w:color w:val="000000"/>
        </w:rPr>
        <w:t xml:space="preserve">; </w:t>
      </w:r>
    </w:p>
    <w:p w14:paraId="4C6B67F7" w14:textId="1B24BEC2" w:rsidR="00E21886" w:rsidRPr="0040794D" w:rsidRDefault="00967595" w:rsidP="00745167">
      <w:pPr>
        <w:pStyle w:val="ListParagraph"/>
        <w:numPr>
          <w:ilvl w:val="1"/>
          <w:numId w:val="11"/>
        </w:numPr>
        <w:pBdr>
          <w:top w:val="nil"/>
          <w:left w:val="nil"/>
          <w:bottom w:val="nil"/>
          <w:right w:val="nil"/>
          <w:between w:val="nil"/>
        </w:pBdr>
        <w:spacing w:after="200" w:line="276" w:lineRule="auto"/>
        <w:contextualSpacing w:val="0"/>
        <w:jc w:val="both"/>
        <w:rPr>
          <w:color w:val="000000"/>
        </w:rPr>
      </w:pPr>
      <w:r w:rsidRPr="0040794D">
        <w:rPr>
          <w:color w:val="000000"/>
        </w:rPr>
        <w:t xml:space="preserve">the obligation </w:t>
      </w:r>
      <w:r w:rsidR="003D3E30" w:rsidRPr="0040794D">
        <w:rPr>
          <w:color w:val="000000"/>
        </w:rPr>
        <w:t xml:space="preserve">to </w:t>
      </w:r>
      <w:r w:rsidRPr="0040794D">
        <w:rPr>
          <w:color w:val="000000"/>
        </w:rPr>
        <w:t>provide preventive health-care measures and education on HIV/AIDS</w:t>
      </w:r>
      <w:r w:rsidR="003D3E30" w:rsidRPr="0040794D">
        <w:rPr>
          <w:color w:val="000000"/>
        </w:rPr>
        <w:t xml:space="preserve"> (Bangkok Rule 17)</w:t>
      </w:r>
      <w:r w:rsidRPr="0040794D">
        <w:rPr>
          <w:color w:val="000000"/>
        </w:rPr>
        <w:t xml:space="preserve">, </w:t>
      </w:r>
      <w:r w:rsidR="003D3E30" w:rsidRPr="0040794D">
        <w:rPr>
          <w:color w:val="000000"/>
        </w:rPr>
        <w:t xml:space="preserve">which should include </w:t>
      </w:r>
      <w:r w:rsidR="00E21886" w:rsidRPr="0040794D">
        <w:rPr>
          <w:color w:val="000000"/>
        </w:rPr>
        <w:t xml:space="preserve">consideration for </w:t>
      </w:r>
      <w:r w:rsidRPr="0040794D">
        <w:rPr>
          <w:color w:val="000000"/>
        </w:rPr>
        <w:t xml:space="preserve">the provision of </w:t>
      </w:r>
      <w:r w:rsidR="00E21886" w:rsidRPr="0040794D">
        <w:rPr>
          <w:color w:val="000000"/>
        </w:rPr>
        <w:t>condoms</w:t>
      </w:r>
      <w:r w:rsidR="003D3E30" w:rsidRPr="0040794D">
        <w:rPr>
          <w:color w:val="000000"/>
        </w:rPr>
        <w:t>,</w:t>
      </w:r>
      <w:r w:rsidR="00E21886" w:rsidRPr="0040794D">
        <w:rPr>
          <w:rStyle w:val="EndnoteReference"/>
          <w:color w:val="000000"/>
        </w:rPr>
        <w:endnoteReference w:id="21"/>
      </w:r>
      <w:r w:rsidRPr="0040794D">
        <w:rPr>
          <w:color w:val="000000"/>
        </w:rPr>
        <w:t xml:space="preserve"> and for breast and gynaecological cancer (Bangkok Rule 18), </w:t>
      </w:r>
      <w:r w:rsidR="003D3E30" w:rsidRPr="0040794D">
        <w:rPr>
          <w:color w:val="000000"/>
        </w:rPr>
        <w:t xml:space="preserve">as well as for other conditions like painful </w:t>
      </w:r>
      <w:r w:rsidRPr="0040794D">
        <w:rPr>
          <w:color w:val="000000"/>
        </w:rPr>
        <w:t>menstruation</w:t>
      </w:r>
      <w:r w:rsidRPr="0040794D">
        <w:rPr>
          <w:rStyle w:val="EndnoteReference"/>
          <w:color w:val="000000"/>
        </w:rPr>
        <w:endnoteReference w:id="22"/>
      </w:r>
      <w:r w:rsidRPr="0040794D">
        <w:rPr>
          <w:color w:val="000000"/>
        </w:rPr>
        <w:t xml:space="preserve">; </w:t>
      </w:r>
    </w:p>
    <w:p w14:paraId="1B193462" w14:textId="5FC95527" w:rsidR="005770DA" w:rsidRPr="0040794D" w:rsidRDefault="00967595" w:rsidP="00745167">
      <w:pPr>
        <w:pStyle w:val="ListParagraph"/>
        <w:numPr>
          <w:ilvl w:val="1"/>
          <w:numId w:val="11"/>
        </w:numPr>
        <w:pBdr>
          <w:top w:val="nil"/>
          <w:left w:val="nil"/>
          <w:bottom w:val="nil"/>
          <w:right w:val="nil"/>
          <w:between w:val="nil"/>
        </w:pBdr>
        <w:spacing w:after="200" w:line="276" w:lineRule="auto"/>
        <w:contextualSpacing w:val="0"/>
        <w:jc w:val="both"/>
        <w:rPr>
          <w:color w:val="000000"/>
        </w:rPr>
      </w:pPr>
      <w:r w:rsidRPr="0040794D">
        <w:rPr>
          <w:color w:val="000000"/>
        </w:rPr>
        <w:t>the right to receive conjugal visits (Bangkok Rule 27)</w:t>
      </w:r>
      <w:r w:rsidR="00E21886" w:rsidRPr="0040794D">
        <w:rPr>
          <w:color w:val="000000"/>
        </w:rPr>
        <w:t>; and</w:t>
      </w:r>
    </w:p>
    <w:p w14:paraId="60FC17C3" w14:textId="7F9104B3" w:rsidR="00AB052E" w:rsidRPr="00AB052E" w:rsidRDefault="001F188B" w:rsidP="00AB052E">
      <w:pPr>
        <w:pStyle w:val="ListParagraph"/>
        <w:numPr>
          <w:ilvl w:val="1"/>
          <w:numId w:val="11"/>
        </w:numPr>
        <w:pBdr>
          <w:top w:val="nil"/>
          <w:left w:val="nil"/>
          <w:bottom w:val="nil"/>
          <w:right w:val="nil"/>
          <w:between w:val="nil"/>
        </w:pBdr>
        <w:spacing w:after="200" w:line="276" w:lineRule="auto"/>
        <w:contextualSpacing w:val="0"/>
        <w:jc w:val="both"/>
        <w:rPr>
          <w:color w:val="000000"/>
        </w:rPr>
      </w:pPr>
      <w:r>
        <w:rPr>
          <w:color w:val="000000"/>
        </w:rPr>
        <w:t>additional</w:t>
      </w:r>
      <w:r w:rsidR="00E21886" w:rsidRPr="0040794D">
        <w:rPr>
          <w:color w:val="000000"/>
        </w:rPr>
        <w:t xml:space="preserve"> specific rules for women who are pregnant, breastfeeding, or with children in prison (Rules 48-52).</w:t>
      </w:r>
    </w:p>
    <w:p w14:paraId="2ADE7B94" w14:textId="2C02F02A" w:rsidR="003D3E30" w:rsidRPr="0040794D" w:rsidRDefault="00921782" w:rsidP="00745167">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sidRPr="0040794D">
        <w:rPr>
          <w:color w:val="000000"/>
        </w:rPr>
        <w:lastRenderedPageBreak/>
        <w:t xml:space="preserve">While touching </w:t>
      </w:r>
      <w:r w:rsidR="003D3E30" w:rsidRPr="0040794D">
        <w:rPr>
          <w:color w:val="000000"/>
        </w:rPr>
        <w:t xml:space="preserve">on </w:t>
      </w:r>
      <w:r w:rsidRPr="0040794D">
        <w:rPr>
          <w:color w:val="000000"/>
        </w:rPr>
        <w:t xml:space="preserve">several of these obligations, this submission </w:t>
      </w:r>
      <w:r w:rsidR="00AB052E">
        <w:rPr>
          <w:color w:val="000000"/>
        </w:rPr>
        <w:t xml:space="preserve">mostly </w:t>
      </w:r>
      <w:r w:rsidRPr="0040794D">
        <w:rPr>
          <w:color w:val="000000"/>
        </w:rPr>
        <w:t xml:space="preserve">focuses on the obligation to meet women’s specific </w:t>
      </w:r>
      <w:r w:rsidR="00C141D9" w:rsidRPr="0040794D">
        <w:rPr>
          <w:color w:val="000000"/>
        </w:rPr>
        <w:t xml:space="preserve">sanitary and hygiene </w:t>
      </w:r>
      <w:r w:rsidRPr="0040794D">
        <w:rPr>
          <w:color w:val="000000"/>
        </w:rPr>
        <w:t>needs</w:t>
      </w:r>
      <w:r w:rsidR="003D3E30" w:rsidRPr="0040794D">
        <w:rPr>
          <w:color w:val="000000"/>
        </w:rPr>
        <w:t xml:space="preserve"> (Bangkok Rule 5)</w:t>
      </w:r>
      <w:r w:rsidRPr="0040794D">
        <w:rPr>
          <w:color w:val="000000"/>
        </w:rPr>
        <w:t xml:space="preserve">, including through the provision of sanitary towels, </w:t>
      </w:r>
      <w:r w:rsidR="00C141D9" w:rsidRPr="0040794D">
        <w:rPr>
          <w:color w:val="000000"/>
        </w:rPr>
        <w:t xml:space="preserve">which </w:t>
      </w:r>
      <w:r w:rsidRPr="0040794D">
        <w:rPr>
          <w:color w:val="000000"/>
        </w:rPr>
        <w:t>UNODC considers to be ‘of particular importance’</w:t>
      </w:r>
      <w:r w:rsidR="00C141D9" w:rsidRPr="0040794D">
        <w:rPr>
          <w:rStyle w:val="EndnoteReference"/>
          <w:color w:val="000000"/>
        </w:rPr>
        <w:endnoteReference w:id="23"/>
      </w:r>
      <w:r w:rsidRPr="0040794D">
        <w:rPr>
          <w:color w:val="000000"/>
        </w:rPr>
        <w:t xml:space="preserve">. </w:t>
      </w:r>
      <w:r w:rsidR="003D3E30" w:rsidRPr="0040794D">
        <w:rPr>
          <w:color w:val="000000"/>
        </w:rPr>
        <w:t xml:space="preserve"> </w:t>
      </w:r>
      <w:r w:rsidR="00235F5B">
        <w:rPr>
          <w:color w:val="000000"/>
        </w:rPr>
        <w:t>It has been argued that the lack of provision of healthcare, products and information to manage menstruation is a particularly blatant example of the impact of prison systems on the bodies of women deprived of liberty.</w:t>
      </w:r>
      <w:r w:rsidR="00235F5B">
        <w:rPr>
          <w:rStyle w:val="EndnoteReference"/>
          <w:color w:val="000000"/>
        </w:rPr>
        <w:endnoteReference w:id="24"/>
      </w:r>
    </w:p>
    <w:p w14:paraId="6EE6CC51" w14:textId="796E3252" w:rsidR="00E21886" w:rsidRPr="0040794D" w:rsidRDefault="001F188B" w:rsidP="00745167">
      <w:pPr>
        <w:pStyle w:val="ListParagraph"/>
        <w:numPr>
          <w:ilvl w:val="0"/>
          <w:numId w:val="11"/>
        </w:numPr>
        <w:pBdr>
          <w:top w:val="nil"/>
          <w:left w:val="nil"/>
          <w:bottom w:val="nil"/>
          <w:right w:val="nil"/>
          <w:between w:val="nil"/>
        </w:pBdr>
        <w:spacing w:after="200" w:line="276" w:lineRule="auto"/>
        <w:ind w:left="426" w:hanging="426"/>
        <w:contextualSpacing w:val="0"/>
        <w:jc w:val="both"/>
        <w:rPr>
          <w:color w:val="000000"/>
        </w:rPr>
      </w:pPr>
      <w:r>
        <w:rPr>
          <w:color w:val="000000"/>
        </w:rPr>
        <w:t>O</w:t>
      </w:r>
      <w:r w:rsidRPr="0040794D">
        <w:rPr>
          <w:color w:val="000000"/>
        </w:rPr>
        <w:t xml:space="preserve">n </w:t>
      </w:r>
      <w:r w:rsidR="00C141D9" w:rsidRPr="0040794D">
        <w:rPr>
          <w:color w:val="000000"/>
        </w:rPr>
        <w:t>several occasions, the CEDAW Committee has urged States to ensure the provision of adequate access to health care and personal hygiene items for women in places of detention (see Concluding Observations on Moldova (2020)</w:t>
      </w:r>
      <w:r w:rsidR="00C141D9" w:rsidRPr="0040794D">
        <w:rPr>
          <w:rStyle w:val="EndnoteReference"/>
          <w:color w:val="000000"/>
        </w:rPr>
        <w:endnoteReference w:id="25"/>
      </w:r>
      <w:r w:rsidR="00C141D9" w:rsidRPr="0040794D">
        <w:rPr>
          <w:color w:val="000000"/>
        </w:rPr>
        <w:t>, Ethiopia (2019)</w:t>
      </w:r>
      <w:r w:rsidR="00C141D9" w:rsidRPr="0040794D">
        <w:rPr>
          <w:rStyle w:val="EndnoteReference"/>
          <w:color w:val="000000"/>
        </w:rPr>
        <w:endnoteReference w:id="26"/>
      </w:r>
      <w:r w:rsidR="00C141D9" w:rsidRPr="0040794D">
        <w:rPr>
          <w:color w:val="000000"/>
        </w:rPr>
        <w:t>, or Paraguay (2017)</w:t>
      </w:r>
      <w:r w:rsidR="00C141D9" w:rsidRPr="0040794D">
        <w:rPr>
          <w:rStyle w:val="EndnoteReference"/>
          <w:color w:val="000000"/>
        </w:rPr>
        <w:endnoteReference w:id="27"/>
      </w:r>
      <w:r w:rsidR="00C141D9" w:rsidRPr="0040794D">
        <w:rPr>
          <w:color w:val="000000"/>
        </w:rPr>
        <w:t xml:space="preserve">), often referring to the Bangkok Rules. </w:t>
      </w:r>
      <w:r w:rsidR="00921782" w:rsidRPr="0040794D">
        <w:rPr>
          <w:color w:val="000000"/>
        </w:rPr>
        <w:t xml:space="preserve">Additionally, the European Committee for the Prevention of Torture and Inhuman or Degrading Treatment or Punishment (CPT) considers that the failure to provide basic </w:t>
      </w:r>
      <w:r w:rsidR="003D3E30" w:rsidRPr="0040794D">
        <w:rPr>
          <w:color w:val="000000"/>
        </w:rPr>
        <w:t>articles relating to the management of menstruation</w:t>
      </w:r>
      <w:r w:rsidR="00921782" w:rsidRPr="0040794D">
        <w:rPr>
          <w:color w:val="000000"/>
        </w:rPr>
        <w:t xml:space="preserve"> can amount, in itself, to degrading treatment</w:t>
      </w:r>
      <w:r w:rsidR="00921782" w:rsidRPr="0040794D">
        <w:rPr>
          <w:rStyle w:val="EndnoteReference"/>
          <w:color w:val="000000"/>
        </w:rPr>
        <w:endnoteReference w:id="28"/>
      </w:r>
      <w:r w:rsidR="00921782" w:rsidRPr="0040794D">
        <w:rPr>
          <w:color w:val="000000"/>
        </w:rPr>
        <w:t xml:space="preserve">. </w:t>
      </w:r>
    </w:p>
    <w:p w14:paraId="187D4E54" w14:textId="77777777" w:rsidR="009D59EC" w:rsidRPr="0040794D" w:rsidRDefault="009D59EC" w:rsidP="009D59EC">
      <w:pPr>
        <w:pStyle w:val="ListParagraph"/>
        <w:pBdr>
          <w:top w:val="nil"/>
          <w:left w:val="nil"/>
          <w:bottom w:val="nil"/>
          <w:right w:val="nil"/>
          <w:between w:val="nil"/>
        </w:pBdr>
        <w:spacing w:after="200" w:line="276" w:lineRule="auto"/>
        <w:ind w:left="426"/>
        <w:contextualSpacing w:val="0"/>
        <w:jc w:val="both"/>
        <w:rPr>
          <w:color w:val="000000"/>
        </w:rPr>
      </w:pPr>
    </w:p>
    <w:p w14:paraId="618BECE0" w14:textId="25F7C420" w:rsidR="00F95176" w:rsidRPr="0040794D" w:rsidRDefault="00852E59" w:rsidP="00745167">
      <w:pPr>
        <w:pBdr>
          <w:top w:val="nil"/>
          <w:left w:val="nil"/>
          <w:bottom w:val="nil"/>
          <w:right w:val="nil"/>
          <w:between w:val="nil"/>
        </w:pBdr>
        <w:spacing w:after="200" w:line="276" w:lineRule="auto"/>
        <w:jc w:val="both"/>
        <w:rPr>
          <w:b/>
          <w:color w:val="000000"/>
          <w:sz w:val="28"/>
          <w:szCs w:val="28"/>
        </w:rPr>
      </w:pPr>
      <w:r w:rsidRPr="0040794D">
        <w:rPr>
          <w:b/>
          <w:color w:val="000000"/>
          <w:sz w:val="28"/>
          <w:szCs w:val="28"/>
        </w:rPr>
        <w:t>COVID</w:t>
      </w:r>
      <w:r w:rsidR="003D3E30" w:rsidRPr="0040794D">
        <w:rPr>
          <w:b/>
          <w:color w:val="000000"/>
          <w:sz w:val="28"/>
          <w:szCs w:val="28"/>
        </w:rPr>
        <w:t>-</w:t>
      </w:r>
      <w:r w:rsidRPr="0040794D">
        <w:rPr>
          <w:b/>
          <w:color w:val="000000"/>
          <w:sz w:val="28"/>
          <w:szCs w:val="28"/>
        </w:rPr>
        <w:t>19 response measures in places of detention, and their impact on women’s right to sexual and reproductive health</w:t>
      </w:r>
      <w:r w:rsidR="003D3E30" w:rsidRPr="0040794D">
        <w:rPr>
          <w:b/>
          <w:color w:val="000000"/>
          <w:sz w:val="28"/>
          <w:szCs w:val="28"/>
        </w:rPr>
        <w:t xml:space="preserve"> (Question</w:t>
      </w:r>
      <w:r w:rsidR="0040794D" w:rsidRPr="0040794D">
        <w:rPr>
          <w:b/>
          <w:color w:val="000000"/>
          <w:sz w:val="28"/>
          <w:szCs w:val="28"/>
        </w:rPr>
        <w:t>s</w:t>
      </w:r>
      <w:r w:rsidR="003D3E30" w:rsidRPr="0040794D">
        <w:rPr>
          <w:b/>
          <w:color w:val="000000"/>
          <w:sz w:val="28"/>
          <w:szCs w:val="28"/>
        </w:rPr>
        <w:t xml:space="preserve"> 1</w:t>
      </w:r>
      <w:r w:rsidR="0040794D" w:rsidRPr="0040794D">
        <w:rPr>
          <w:b/>
          <w:color w:val="000000"/>
          <w:sz w:val="28"/>
          <w:szCs w:val="28"/>
        </w:rPr>
        <w:t xml:space="preserve"> &amp; 3</w:t>
      </w:r>
      <w:r w:rsidR="003D3E30" w:rsidRPr="0040794D">
        <w:rPr>
          <w:b/>
          <w:color w:val="000000"/>
          <w:sz w:val="28"/>
          <w:szCs w:val="28"/>
        </w:rPr>
        <w:t>).</w:t>
      </w:r>
    </w:p>
    <w:p w14:paraId="4608F541" w14:textId="39E762B7" w:rsidR="003D3E30" w:rsidRPr="0040794D" w:rsidRDefault="003D3E30" w:rsidP="003D3E30">
      <w:pPr>
        <w:pBdr>
          <w:top w:val="nil"/>
          <w:left w:val="nil"/>
          <w:bottom w:val="nil"/>
          <w:right w:val="nil"/>
          <w:between w:val="nil"/>
        </w:pBdr>
        <w:spacing w:after="200" w:line="276" w:lineRule="auto"/>
        <w:ind w:firstLine="425"/>
        <w:jc w:val="both"/>
        <w:rPr>
          <w:b/>
          <w:color w:val="000000"/>
          <w:u w:val="single"/>
        </w:rPr>
      </w:pPr>
      <w:r w:rsidRPr="0040794D">
        <w:rPr>
          <w:b/>
          <w:color w:val="000000"/>
          <w:u w:val="single"/>
        </w:rPr>
        <w:t>Measures to respond to COVID-19 in places of detention</w:t>
      </w:r>
    </w:p>
    <w:p w14:paraId="47104EB7" w14:textId="0B8FFED5" w:rsidR="00E375C5" w:rsidRPr="0040794D" w:rsidRDefault="009D59EC" w:rsidP="00002C36">
      <w:pPr>
        <w:pStyle w:val="ListParagraph"/>
        <w:numPr>
          <w:ilvl w:val="0"/>
          <w:numId w:val="11"/>
        </w:numPr>
        <w:pBdr>
          <w:top w:val="nil"/>
          <w:left w:val="nil"/>
          <w:bottom w:val="nil"/>
          <w:right w:val="nil"/>
          <w:between w:val="nil"/>
        </w:pBdr>
        <w:spacing w:after="200" w:line="276" w:lineRule="auto"/>
        <w:ind w:left="425" w:hanging="425"/>
        <w:contextualSpacing w:val="0"/>
        <w:jc w:val="both"/>
        <w:rPr>
          <w:color w:val="000000"/>
        </w:rPr>
      </w:pPr>
      <w:r w:rsidRPr="0040794D">
        <w:rPr>
          <w:color w:val="000000"/>
        </w:rPr>
        <w:t xml:space="preserve">Prions and other places of detention are an extreme-risk environment for COVID-19, due to their closed, cramped, overcrowded and unsanitary </w:t>
      </w:r>
      <w:r w:rsidR="00E375C5" w:rsidRPr="0040794D">
        <w:rPr>
          <w:color w:val="000000"/>
        </w:rPr>
        <w:t>conditions</w:t>
      </w:r>
      <w:r w:rsidRPr="0040794D">
        <w:rPr>
          <w:color w:val="000000"/>
        </w:rPr>
        <w:t xml:space="preserve">, which render social distancing and other prevention interventions impossible. As of </w:t>
      </w:r>
      <w:r w:rsidR="00AB052E">
        <w:rPr>
          <w:color w:val="000000"/>
        </w:rPr>
        <w:t>M</w:t>
      </w:r>
      <w:r w:rsidR="00E375C5" w:rsidRPr="0040794D">
        <w:rPr>
          <w:color w:val="000000"/>
        </w:rPr>
        <w:t xml:space="preserve">ay </w:t>
      </w:r>
      <w:r w:rsidRPr="0040794D">
        <w:rPr>
          <w:color w:val="000000"/>
        </w:rPr>
        <w:t xml:space="preserve">2021, at least </w:t>
      </w:r>
      <w:r w:rsidR="005D7352" w:rsidRPr="0040794D">
        <w:rPr>
          <w:color w:val="000000"/>
        </w:rPr>
        <w:t>548,489</w:t>
      </w:r>
      <w:r w:rsidRPr="0040794D">
        <w:rPr>
          <w:color w:val="000000"/>
        </w:rPr>
        <w:t xml:space="preserve"> people deprived of liberty </w:t>
      </w:r>
      <w:r w:rsidR="00E375C5" w:rsidRPr="0040794D">
        <w:rPr>
          <w:color w:val="000000"/>
        </w:rPr>
        <w:t>had</w:t>
      </w:r>
      <w:r w:rsidRPr="0040794D">
        <w:rPr>
          <w:color w:val="000000"/>
        </w:rPr>
        <w:t xml:space="preserve"> tested positive for the virus, and at least </w:t>
      </w:r>
      <w:r w:rsidR="005D7352" w:rsidRPr="0040794D">
        <w:rPr>
          <w:color w:val="000000"/>
        </w:rPr>
        <w:t xml:space="preserve">3,968 </w:t>
      </w:r>
      <w:r w:rsidRPr="0040794D">
        <w:rPr>
          <w:color w:val="000000"/>
        </w:rPr>
        <w:t>deaths have been recorded as related to the virus</w:t>
      </w:r>
      <w:r w:rsidR="005D7352" w:rsidRPr="0040794D">
        <w:rPr>
          <w:rStyle w:val="EndnoteReference"/>
          <w:color w:val="000000"/>
        </w:rPr>
        <w:endnoteReference w:id="29"/>
      </w:r>
      <w:r w:rsidRPr="0040794D">
        <w:rPr>
          <w:color w:val="000000"/>
        </w:rPr>
        <w:t>, though both figures are likely to be a</w:t>
      </w:r>
      <w:r w:rsidR="005D7352" w:rsidRPr="0040794D">
        <w:rPr>
          <w:color w:val="000000"/>
        </w:rPr>
        <w:t xml:space="preserve"> gross</w:t>
      </w:r>
      <w:r w:rsidRPr="0040794D">
        <w:rPr>
          <w:color w:val="000000"/>
        </w:rPr>
        <w:t xml:space="preserve"> underestimate.</w:t>
      </w:r>
      <w:r w:rsidR="00C13F3B" w:rsidRPr="0040794D">
        <w:rPr>
          <w:color w:val="000000"/>
        </w:rPr>
        <w:t xml:space="preserve"> </w:t>
      </w:r>
    </w:p>
    <w:p w14:paraId="5A8954ED" w14:textId="150D31FF" w:rsidR="00F95176" w:rsidRPr="0040794D" w:rsidRDefault="00C13F3B" w:rsidP="00002C36">
      <w:pPr>
        <w:pStyle w:val="ListParagraph"/>
        <w:numPr>
          <w:ilvl w:val="0"/>
          <w:numId w:val="11"/>
        </w:numPr>
        <w:pBdr>
          <w:top w:val="nil"/>
          <w:left w:val="nil"/>
          <w:bottom w:val="nil"/>
          <w:right w:val="nil"/>
          <w:between w:val="nil"/>
        </w:pBdr>
        <w:spacing w:after="200" w:line="276" w:lineRule="auto"/>
        <w:ind w:left="425" w:hanging="425"/>
        <w:contextualSpacing w:val="0"/>
        <w:jc w:val="both"/>
        <w:rPr>
          <w:color w:val="000000"/>
        </w:rPr>
      </w:pPr>
      <w:r w:rsidRPr="0040794D">
        <w:rPr>
          <w:color w:val="000000"/>
        </w:rPr>
        <w:t>Data on the impact of the pandemic in prison remains gender blind – already an indicator of the lack of attention paid to women’s needs in the response to the pandemic</w:t>
      </w:r>
      <w:r w:rsidR="00E375C5" w:rsidRPr="0040794D">
        <w:rPr>
          <w:color w:val="000000"/>
        </w:rPr>
        <w:t>,</w:t>
      </w:r>
      <w:r w:rsidRPr="0040794D">
        <w:rPr>
          <w:rStyle w:val="EndnoteReference"/>
          <w:color w:val="000000"/>
        </w:rPr>
        <w:endnoteReference w:id="30"/>
      </w:r>
      <w:r w:rsidR="00E375C5" w:rsidRPr="0040794D">
        <w:rPr>
          <w:color w:val="000000"/>
        </w:rPr>
        <w:t xml:space="preserve"> and in places of detention.</w:t>
      </w:r>
    </w:p>
    <w:p w14:paraId="157B697A" w14:textId="46E7DDF1" w:rsidR="00D66F98" w:rsidRPr="0040794D" w:rsidRDefault="009D59EC" w:rsidP="00D66F98">
      <w:pPr>
        <w:pStyle w:val="ListParagraph"/>
        <w:numPr>
          <w:ilvl w:val="0"/>
          <w:numId w:val="11"/>
        </w:numPr>
        <w:pBdr>
          <w:top w:val="nil"/>
          <w:left w:val="nil"/>
          <w:bottom w:val="nil"/>
          <w:right w:val="nil"/>
          <w:between w:val="nil"/>
        </w:pBdr>
        <w:spacing w:after="200" w:line="276" w:lineRule="auto"/>
        <w:ind w:left="425" w:hanging="425"/>
        <w:contextualSpacing w:val="0"/>
        <w:jc w:val="both"/>
        <w:rPr>
          <w:color w:val="000000"/>
        </w:rPr>
      </w:pPr>
      <w:r w:rsidRPr="0040794D">
        <w:rPr>
          <w:color w:val="000000"/>
        </w:rPr>
        <w:t>At the outset of the pandemic, several UN entities, human rights expe</w:t>
      </w:r>
      <w:r w:rsidR="00E375C5" w:rsidRPr="0040794D">
        <w:rPr>
          <w:color w:val="000000"/>
        </w:rPr>
        <w:t>r</w:t>
      </w:r>
      <w:r w:rsidRPr="0040794D">
        <w:rPr>
          <w:color w:val="000000"/>
        </w:rPr>
        <w:t xml:space="preserve">ts, and civil society called for the decongestion of prisons as a measure to reduce the </w:t>
      </w:r>
      <w:r w:rsidR="001A77E5" w:rsidRPr="0040794D">
        <w:rPr>
          <w:color w:val="000000"/>
        </w:rPr>
        <w:t>spread of the virus</w:t>
      </w:r>
      <w:r w:rsidRPr="0040794D">
        <w:rPr>
          <w:rStyle w:val="EndnoteReference"/>
          <w:color w:val="000000"/>
        </w:rPr>
        <w:endnoteReference w:id="31"/>
      </w:r>
      <w:r w:rsidRPr="0040794D">
        <w:rPr>
          <w:color w:val="000000"/>
        </w:rPr>
        <w:t>.</w:t>
      </w:r>
      <w:r w:rsidR="005E5404" w:rsidRPr="0040794D">
        <w:rPr>
          <w:color w:val="000000"/>
        </w:rPr>
        <w:t xml:space="preserve"> </w:t>
      </w:r>
      <w:r w:rsidR="007547A8" w:rsidRPr="0040794D">
        <w:rPr>
          <w:color w:val="000000"/>
        </w:rPr>
        <w:t>Between March and June 2020, 10</w:t>
      </w:r>
      <w:r w:rsidR="00A67E18" w:rsidRPr="0040794D">
        <w:rPr>
          <w:color w:val="000000"/>
        </w:rPr>
        <w:t>9</w:t>
      </w:r>
      <w:r w:rsidR="007547A8" w:rsidRPr="0040794D">
        <w:rPr>
          <w:color w:val="000000"/>
        </w:rPr>
        <w:t xml:space="preserve"> countries announced measures </w:t>
      </w:r>
      <w:r w:rsidR="00E375C5" w:rsidRPr="0040794D">
        <w:rPr>
          <w:color w:val="000000"/>
        </w:rPr>
        <w:t>to address prison overcrowding</w:t>
      </w:r>
      <w:r w:rsidR="007547A8" w:rsidRPr="0040794D">
        <w:rPr>
          <w:color w:val="000000"/>
        </w:rPr>
        <w:t xml:space="preserve">, but their impact in practice </w:t>
      </w:r>
      <w:r w:rsidR="001A77E5" w:rsidRPr="0040794D">
        <w:rPr>
          <w:color w:val="000000"/>
        </w:rPr>
        <w:t>has been</w:t>
      </w:r>
      <w:r w:rsidR="007547A8" w:rsidRPr="0040794D">
        <w:rPr>
          <w:color w:val="000000"/>
        </w:rPr>
        <w:t xml:space="preserve"> small. I</w:t>
      </w:r>
      <w:r w:rsidR="005E5404" w:rsidRPr="0040794D">
        <w:rPr>
          <w:color w:val="000000"/>
        </w:rPr>
        <w:t>t is estimated that the global prison population was reduced by less than a 6%</w:t>
      </w:r>
      <w:r w:rsidR="005E5404" w:rsidRPr="0040794D">
        <w:rPr>
          <w:rStyle w:val="EndnoteReference"/>
          <w:color w:val="000000"/>
        </w:rPr>
        <w:endnoteReference w:id="32"/>
      </w:r>
      <w:r w:rsidR="005E5404" w:rsidRPr="0040794D">
        <w:rPr>
          <w:color w:val="000000"/>
        </w:rPr>
        <w:t xml:space="preserve">, </w:t>
      </w:r>
      <w:r w:rsidR="007547A8" w:rsidRPr="0040794D">
        <w:rPr>
          <w:color w:val="000000"/>
        </w:rPr>
        <w:t>through early releases, often through sentence commutation, pardons, diversions to home arrest, and release on bail/parole</w:t>
      </w:r>
      <w:r w:rsidR="005E5404" w:rsidRPr="0040794D">
        <w:rPr>
          <w:color w:val="000000"/>
        </w:rPr>
        <w:t xml:space="preserve">. </w:t>
      </w:r>
      <w:r w:rsidR="007547A8" w:rsidRPr="0040794D">
        <w:rPr>
          <w:color w:val="000000"/>
        </w:rPr>
        <w:t>Furthermore, women deprived of liberty were only explicitly targeted by decongestion measures in 20% of these countries. Examples of countries having specifically targeted women include the UK, Rwanda and Zimbabwe, which all committed to release women imprisoned with their children. (It is worth noting that, in the UK, by June 2020 only 16 out of the 70 women under consideration had been released).</w:t>
      </w:r>
      <w:r w:rsidR="007547A8" w:rsidRPr="0040794D">
        <w:rPr>
          <w:rStyle w:val="EndnoteReference"/>
          <w:color w:val="000000"/>
        </w:rPr>
        <w:endnoteReference w:id="33"/>
      </w:r>
    </w:p>
    <w:p w14:paraId="7E44997D" w14:textId="138D7831" w:rsidR="00D66F98" w:rsidRPr="0040794D" w:rsidRDefault="00E375C5" w:rsidP="00865660">
      <w:pPr>
        <w:pStyle w:val="ListParagraph"/>
        <w:numPr>
          <w:ilvl w:val="0"/>
          <w:numId w:val="11"/>
        </w:numPr>
        <w:pBdr>
          <w:top w:val="nil"/>
          <w:left w:val="nil"/>
          <w:bottom w:val="nil"/>
          <w:right w:val="nil"/>
          <w:between w:val="nil"/>
        </w:pBdr>
        <w:spacing w:after="200" w:line="276" w:lineRule="auto"/>
        <w:ind w:left="425" w:hanging="425"/>
        <w:contextualSpacing w:val="0"/>
        <w:jc w:val="both"/>
        <w:rPr>
          <w:color w:val="000000"/>
        </w:rPr>
      </w:pPr>
      <w:r w:rsidRPr="00235F5B">
        <w:rPr>
          <w:color w:val="000000"/>
        </w:rPr>
        <w:t>F</w:t>
      </w:r>
      <w:r w:rsidR="001A77E5" w:rsidRPr="00235F5B">
        <w:rPr>
          <w:color w:val="000000"/>
        </w:rPr>
        <w:t>or many States</w:t>
      </w:r>
      <w:r w:rsidRPr="00235F5B">
        <w:rPr>
          <w:color w:val="000000"/>
        </w:rPr>
        <w:t>,</w:t>
      </w:r>
      <w:r w:rsidR="001A77E5" w:rsidRPr="00235F5B">
        <w:rPr>
          <w:color w:val="000000"/>
        </w:rPr>
        <w:t xml:space="preserve"> the preferred way to address the pandemic</w:t>
      </w:r>
      <w:r w:rsidR="007547A8" w:rsidRPr="00235F5B">
        <w:rPr>
          <w:color w:val="000000"/>
        </w:rPr>
        <w:t xml:space="preserve"> </w:t>
      </w:r>
      <w:r w:rsidRPr="00235F5B">
        <w:rPr>
          <w:color w:val="000000"/>
        </w:rPr>
        <w:t xml:space="preserve">in </w:t>
      </w:r>
      <w:r w:rsidR="0040794D" w:rsidRPr="00235F5B">
        <w:rPr>
          <w:color w:val="000000"/>
        </w:rPr>
        <w:t xml:space="preserve">the carceral system </w:t>
      </w:r>
      <w:r w:rsidR="001A77E5" w:rsidRPr="00235F5B">
        <w:rPr>
          <w:color w:val="000000"/>
        </w:rPr>
        <w:t xml:space="preserve">has been to establish </w:t>
      </w:r>
      <w:r w:rsidR="00D66F98" w:rsidRPr="00235F5B">
        <w:rPr>
          <w:color w:val="000000"/>
        </w:rPr>
        <w:t xml:space="preserve">severe </w:t>
      </w:r>
      <w:r w:rsidR="001A77E5" w:rsidRPr="00235F5B">
        <w:rPr>
          <w:color w:val="000000"/>
        </w:rPr>
        <w:t>restrictions of movement within prisons themselves</w:t>
      </w:r>
      <w:r w:rsidR="0040794D" w:rsidRPr="00235F5B">
        <w:rPr>
          <w:color w:val="000000"/>
        </w:rPr>
        <w:t>, as well as restricting severely the interaction and contact between prisons and the community</w:t>
      </w:r>
      <w:r w:rsidR="001A77E5" w:rsidRPr="00235F5B">
        <w:rPr>
          <w:color w:val="000000"/>
        </w:rPr>
        <w:t>.</w:t>
      </w:r>
      <w:r w:rsidR="001A77E5" w:rsidRPr="00235F5B">
        <w:rPr>
          <w:rStyle w:val="EndnoteReference"/>
          <w:color w:val="000000"/>
        </w:rPr>
        <w:endnoteReference w:id="34"/>
      </w:r>
      <w:r w:rsidR="001A77E5" w:rsidRPr="00235F5B">
        <w:rPr>
          <w:color w:val="000000"/>
        </w:rPr>
        <w:t xml:space="preserve"> In what has been sometimes called ‘a lockdown within a lockdown’</w:t>
      </w:r>
      <w:r w:rsidR="00235F5B" w:rsidRPr="00235F5B">
        <w:rPr>
          <w:rStyle w:val="EndnoteReference"/>
          <w:color w:val="000000"/>
        </w:rPr>
        <w:endnoteReference w:id="35"/>
      </w:r>
      <w:r w:rsidR="001A77E5" w:rsidRPr="00235F5B">
        <w:rPr>
          <w:color w:val="000000"/>
        </w:rPr>
        <w:t xml:space="preserve">, prisons have been cut off from the external world, by </w:t>
      </w:r>
      <w:r w:rsidR="003D2C85">
        <w:rPr>
          <w:color w:val="000000"/>
        </w:rPr>
        <w:t>suspending</w:t>
      </w:r>
      <w:r w:rsidR="003D2C85" w:rsidRPr="00235F5B">
        <w:rPr>
          <w:color w:val="000000"/>
        </w:rPr>
        <w:t xml:space="preserve"> </w:t>
      </w:r>
      <w:r w:rsidR="00865660" w:rsidRPr="00235F5B">
        <w:rPr>
          <w:color w:val="000000"/>
        </w:rPr>
        <w:t xml:space="preserve">external </w:t>
      </w:r>
      <w:r w:rsidR="001A77E5" w:rsidRPr="00235F5B">
        <w:rPr>
          <w:color w:val="000000"/>
        </w:rPr>
        <w:t>visits</w:t>
      </w:r>
      <w:r w:rsidR="00865660" w:rsidRPr="00235F5B">
        <w:rPr>
          <w:color w:val="000000"/>
        </w:rPr>
        <w:t xml:space="preserve"> from families and partners</w:t>
      </w:r>
      <w:r w:rsidR="001A77E5" w:rsidRPr="00235F5B">
        <w:rPr>
          <w:color w:val="000000"/>
        </w:rPr>
        <w:t>,</w:t>
      </w:r>
      <w:r w:rsidR="00865660" w:rsidRPr="00235F5B">
        <w:rPr>
          <w:rStyle w:val="EndnoteReference"/>
          <w:color w:val="000000"/>
        </w:rPr>
        <w:endnoteReference w:id="36"/>
      </w:r>
      <w:r w:rsidR="001A77E5" w:rsidRPr="00235F5B">
        <w:rPr>
          <w:color w:val="000000"/>
        </w:rPr>
        <w:t xml:space="preserve"> and by denying access to </w:t>
      </w:r>
      <w:r w:rsidR="00D66F98" w:rsidRPr="00235F5B">
        <w:rPr>
          <w:color w:val="000000"/>
        </w:rPr>
        <w:t>prison by external services, including health</w:t>
      </w:r>
      <w:r w:rsidR="00D66F98" w:rsidRPr="0040794D">
        <w:rPr>
          <w:color w:val="000000"/>
        </w:rPr>
        <w:t xml:space="preserve"> care. </w:t>
      </w:r>
      <w:r w:rsidR="00A82F47" w:rsidRPr="0040794D">
        <w:rPr>
          <w:color w:val="000000"/>
        </w:rPr>
        <w:t xml:space="preserve">In some cases, measures to stop the delivery of products within prisons were also adopted. </w:t>
      </w:r>
      <w:r w:rsidR="00A67E18" w:rsidRPr="0040794D">
        <w:rPr>
          <w:color w:val="000000"/>
        </w:rPr>
        <w:t>In many countries in Europe, Americas and Oceania, prison authorities put in place cell-based isolation mechanisms that in practice entailed prolonged solitary confinement</w:t>
      </w:r>
      <w:r w:rsidR="0040794D" w:rsidRPr="0040794D">
        <w:rPr>
          <w:color w:val="000000"/>
        </w:rPr>
        <w:t xml:space="preserve"> for people deprived of liberty</w:t>
      </w:r>
      <w:r w:rsidR="00A67E18" w:rsidRPr="0040794D">
        <w:rPr>
          <w:color w:val="000000"/>
        </w:rPr>
        <w:t>, at a time for months</w:t>
      </w:r>
      <w:r w:rsidR="00D66F98" w:rsidRPr="0040794D">
        <w:rPr>
          <w:color w:val="000000"/>
        </w:rPr>
        <w:t>.</w:t>
      </w:r>
      <w:r w:rsidR="00D66F98" w:rsidRPr="0040794D">
        <w:rPr>
          <w:rStyle w:val="EndnoteReference"/>
          <w:color w:val="000000"/>
        </w:rPr>
        <w:endnoteReference w:id="37"/>
      </w:r>
      <w:r w:rsidR="00D66F98" w:rsidRPr="0040794D">
        <w:rPr>
          <w:color w:val="000000"/>
        </w:rPr>
        <w:t xml:space="preserve"> </w:t>
      </w:r>
    </w:p>
    <w:p w14:paraId="25575515" w14:textId="484105BF" w:rsidR="0040794D" w:rsidRPr="0040794D" w:rsidRDefault="0040794D" w:rsidP="0040794D">
      <w:pPr>
        <w:pBdr>
          <w:top w:val="nil"/>
          <w:left w:val="nil"/>
          <w:bottom w:val="nil"/>
          <w:right w:val="nil"/>
          <w:between w:val="nil"/>
        </w:pBdr>
        <w:spacing w:after="200" w:line="276" w:lineRule="auto"/>
        <w:ind w:firstLine="425"/>
        <w:jc w:val="both"/>
        <w:rPr>
          <w:b/>
          <w:color w:val="000000"/>
          <w:u w:val="single"/>
        </w:rPr>
      </w:pPr>
      <w:r w:rsidRPr="0040794D">
        <w:rPr>
          <w:b/>
          <w:color w:val="000000"/>
          <w:u w:val="single"/>
        </w:rPr>
        <w:t>Impact on the right to sexual and reproductive health of women deprived of liberty</w:t>
      </w:r>
    </w:p>
    <w:p w14:paraId="19D44DFC" w14:textId="6835F6F8" w:rsidR="0040794D" w:rsidRPr="0040794D" w:rsidRDefault="0040794D" w:rsidP="00865660">
      <w:pPr>
        <w:pStyle w:val="ListParagraph"/>
        <w:numPr>
          <w:ilvl w:val="0"/>
          <w:numId w:val="11"/>
        </w:numPr>
        <w:pBdr>
          <w:top w:val="nil"/>
          <w:left w:val="nil"/>
          <w:bottom w:val="nil"/>
          <w:right w:val="nil"/>
          <w:between w:val="nil"/>
        </w:pBdr>
        <w:spacing w:after="200" w:line="276" w:lineRule="auto"/>
        <w:ind w:left="425" w:hanging="425"/>
        <w:contextualSpacing w:val="0"/>
        <w:jc w:val="both"/>
        <w:rPr>
          <w:color w:val="000000"/>
        </w:rPr>
      </w:pPr>
      <w:r w:rsidRPr="0040794D">
        <w:rPr>
          <w:color w:val="000000"/>
        </w:rPr>
        <w:t>T</w:t>
      </w:r>
      <w:r w:rsidR="00B808B4" w:rsidRPr="0040794D">
        <w:rPr>
          <w:color w:val="000000"/>
        </w:rPr>
        <w:t>hese restrictive measures have come at a cost for the right to sexual and reproductive health of women deprived of liberty</w:t>
      </w:r>
      <w:r w:rsidRPr="0040794D">
        <w:rPr>
          <w:color w:val="000000"/>
        </w:rPr>
        <w:t>, particularly where its fulfilment relied on informal support (i.e. money, or direct supply of products) brought in by families, or by civil society organisations that have been denied access to prisons since the start of the pandemic</w:t>
      </w:r>
      <w:r w:rsidR="00B808B4" w:rsidRPr="0040794D">
        <w:rPr>
          <w:color w:val="000000"/>
        </w:rPr>
        <w:t>.</w:t>
      </w:r>
      <w:r w:rsidR="006912F3" w:rsidRPr="0040794D">
        <w:rPr>
          <w:color w:val="000000"/>
        </w:rPr>
        <w:t xml:space="preserve"> </w:t>
      </w:r>
    </w:p>
    <w:p w14:paraId="1C1C0F5A" w14:textId="7CBEAF0D" w:rsidR="00865660" w:rsidRPr="0040794D" w:rsidRDefault="00064DD1" w:rsidP="00865660">
      <w:pPr>
        <w:pStyle w:val="ListParagraph"/>
        <w:numPr>
          <w:ilvl w:val="0"/>
          <w:numId w:val="11"/>
        </w:numPr>
        <w:pBdr>
          <w:top w:val="nil"/>
          <w:left w:val="nil"/>
          <w:bottom w:val="nil"/>
          <w:right w:val="nil"/>
          <w:between w:val="nil"/>
        </w:pBdr>
        <w:spacing w:after="200" w:line="276" w:lineRule="auto"/>
        <w:ind w:left="425" w:hanging="425"/>
        <w:contextualSpacing w:val="0"/>
        <w:jc w:val="both"/>
        <w:rPr>
          <w:color w:val="000000"/>
        </w:rPr>
      </w:pPr>
      <w:r>
        <w:rPr>
          <w:color w:val="000000"/>
        </w:rPr>
        <w:t>I</w:t>
      </w:r>
      <w:r w:rsidR="00B808B4" w:rsidRPr="0040794D">
        <w:rPr>
          <w:color w:val="000000"/>
        </w:rPr>
        <w:t xml:space="preserve">n this section we provide </w:t>
      </w:r>
      <w:r>
        <w:rPr>
          <w:color w:val="000000"/>
        </w:rPr>
        <w:t xml:space="preserve">a few </w:t>
      </w:r>
      <w:r w:rsidR="00B808B4" w:rsidRPr="0040794D">
        <w:rPr>
          <w:color w:val="000000"/>
        </w:rPr>
        <w:t xml:space="preserve">examples </w:t>
      </w:r>
      <w:r>
        <w:rPr>
          <w:color w:val="000000"/>
        </w:rPr>
        <w:t>of how restrictive measures have impacted the rights to sexual and reproductive health of women deprived of liberty.</w:t>
      </w:r>
      <w:r w:rsidR="00B808B4" w:rsidRPr="0040794D">
        <w:rPr>
          <w:color w:val="000000"/>
        </w:rPr>
        <w:t xml:space="preserve"> </w:t>
      </w:r>
      <w:r>
        <w:rPr>
          <w:color w:val="000000"/>
        </w:rPr>
        <w:t xml:space="preserve">The number of examples is limited, as we lack comprehensive data about the sexual and reproductive health of women deprived of liberty – both before and after the pandemic. The examples are merely meant to </w:t>
      </w:r>
      <w:r w:rsidR="00B808B4" w:rsidRPr="0040794D">
        <w:rPr>
          <w:color w:val="000000"/>
        </w:rPr>
        <w:t xml:space="preserve">give a sense of </w:t>
      </w:r>
      <w:r>
        <w:rPr>
          <w:color w:val="000000"/>
        </w:rPr>
        <w:t xml:space="preserve">a range of </w:t>
      </w:r>
      <w:r w:rsidR="00B808B4" w:rsidRPr="0040794D">
        <w:rPr>
          <w:color w:val="000000"/>
        </w:rPr>
        <w:t>violations that are likely to be more widespread, and systematic.</w:t>
      </w:r>
    </w:p>
    <w:p w14:paraId="38331DB7" w14:textId="3548A1C7" w:rsidR="00C13F3B" w:rsidRPr="0040794D" w:rsidRDefault="00865660" w:rsidP="00212B4F">
      <w:pPr>
        <w:pStyle w:val="ListParagraph"/>
        <w:numPr>
          <w:ilvl w:val="1"/>
          <w:numId w:val="11"/>
        </w:numPr>
        <w:pBdr>
          <w:top w:val="nil"/>
          <w:left w:val="nil"/>
          <w:bottom w:val="nil"/>
          <w:right w:val="nil"/>
          <w:between w:val="nil"/>
        </w:pBdr>
        <w:tabs>
          <w:tab w:val="left" w:pos="1134"/>
        </w:tabs>
        <w:spacing w:after="200" w:line="276" w:lineRule="auto"/>
        <w:ind w:left="851" w:hanging="425"/>
        <w:contextualSpacing w:val="0"/>
        <w:jc w:val="both"/>
        <w:rPr>
          <w:color w:val="000000"/>
        </w:rPr>
      </w:pPr>
      <w:bookmarkStart w:id="1" w:name="_Hlk74219272"/>
      <w:r w:rsidRPr="0040794D">
        <w:rPr>
          <w:color w:val="000000"/>
          <w:u w:val="single"/>
        </w:rPr>
        <w:t>Interruption of supplies of hygiene and sanitary products</w:t>
      </w:r>
      <w:r w:rsidRPr="0040794D">
        <w:rPr>
          <w:color w:val="000000"/>
        </w:rPr>
        <w:t xml:space="preserve">. In many countries, the </w:t>
      </w:r>
      <w:r w:rsidR="00212B4F">
        <w:rPr>
          <w:color w:val="000000"/>
        </w:rPr>
        <w:t xml:space="preserve">ban on </w:t>
      </w:r>
      <w:r w:rsidRPr="0040794D">
        <w:rPr>
          <w:color w:val="000000"/>
        </w:rPr>
        <w:t xml:space="preserve">external visits </w:t>
      </w:r>
      <w:r w:rsidR="00212B4F">
        <w:rPr>
          <w:color w:val="000000"/>
        </w:rPr>
        <w:t xml:space="preserve">to prison </w:t>
      </w:r>
      <w:r w:rsidRPr="0040794D">
        <w:rPr>
          <w:color w:val="000000"/>
        </w:rPr>
        <w:t xml:space="preserve">has meant that people deprived of liberty did not have access anymore to </w:t>
      </w:r>
      <w:r w:rsidR="00212B4F">
        <w:rPr>
          <w:color w:val="000000"/>
        </w:rPr>
        <w:t xml:space="preserve">a supply of basic </w:t>
      </w:r>
      <w:r w:rsidRPr="0040794D">
        <w:rPr>
          <w:color w:val="000000"/>
        </w:rPr>
        <w:t>items on which they relied, including food</w:t>
      </w:r>
      <w:r w:rsidR="00212B4F">
        <w:rPr>
          <w:color w:val="000000"/>
        </w:rPr>
        <w:t xml:space="preserve">, </w:t>
      </w:r>
      <w:r w:rsidRPr="0040794D">
        <w:rPr>
          <w:color w:val="000000"/>
        </w:rPr>
        <w:t>clothes</w:t>
      </w:r>
      <w:r w:rsidR="00212B4F">
        <w:rPr>
          <w:color w:val="000000"/>
        </w:rPr>
        <w:t>, or money</w:t>
      </w:r>
      <w:r w:rsidRPr="0040794D">
        <w:rPr>
          <w:color w:val="000000"/>
        </w:rPr>
        <w:t>.</w:t>
      </w:r>
      <w:r w:rsidRPr="0040794D">
        <w:rPr>
          <w:rStyle w:val="EndnoteReference"/>
          <w:color w:val="000000"/>
        </w:rPr>
        <w:endnoteReference w:id="38"/>
      </w:r>
      <w:r w:rsidRPr="0040794D">
        <w:rPr>
          <w:color w:val="000000"/>
        </w:rPr>
        <w:t xml:space="preserve"> In some </w:t>
      </w:r>
      <w:r w:rsidR="00212B4F">
        <w:rPr>
          <w:color w:val="000000"/>
        </w:rPr>
        <w:t>cases</w:t>
      </w:r>
      <w:r w:rsidRPr="0040794D">
        <w:rPr>
          <w:color w:val="000000"/>
        </w:rPr>
        <w:t>, this also meant that women had no access to basic hygiene product</w:t>
      </w:r>
      <w:r w:rsidR="0086222E" w:rsidRPr="0040794D">
        <w:rPr>
          <w:color w:val="000000"/>
        </w:rPr>
        <w:t>s</w:t>
      </w:r>
      <w:r w:rsidRPr="0040794D">
        <w:rPr>
          <w:color w:val="000000"/>
        </w:rPr>
        <w:t>, such as sanitary towels</w:t>
      </w:r>
      <w:r w:rsidR="00212B4F">
        <w:rPr>
          <w:color w:val="000000"/>
        </w:rPr>
        <w:t xml:space="preserve"> and other products to manage menstruation</w:t>
      </w:r>
      <w:r w:rsidRPr="0040794D">
        <w:rPr>
          <w:color w:val="000000"/>
        </w:rPr>
        <w:t xml:space="preserve">. </w:t>
      </w:r>
    </w:p>
    <w:p w14:paraId="02AE8807" w14:textId="35E22873" w:rsidR="00DA00AB" w:rsidRDefault="00DA00AB" w:rsidP="00212B4F">
      <w:pPr>
        <w:pStyle w:val="ListParagraph"/>
        <w:numPr>
          <w:ilvl w:val="0"/>
          <w:numId w:val="17"/>
        </w:numPr>
        <w:pBdr>
          <w:top w:val="nil"/>
          <w:left w:val="nil"/>
          <w:bottom w:val="nil"/>
          <w:right w:val="nil"/>
          <w:between w:val="nil"/>
        </w:pBdr>
        <w:spacing w:after="200" w:line="276" w:lineRule="auto"/>
        <w:ind w:left="1276"/>
        <w:contextualSpacing w:val="0"/>
        <w:jc w:val="both"/>
        <w:rPr>
          <w:color w:val="000000"/>
        </w:rPr>
      </w:pPr>
      <w:r w:rsidRPr="00DA00AB">
        <w:rPr>
          <w:color w:val="000000"/>
        </w:rPr>
        <w:t xml:space="preserve">In </w:t>
      </w:r>
      <w:r w:rsidRPr="00DA00AB">
        <w:rPr>
          <w:b/>
          <w:bCs/>
          <w:color w:val="000000"/>
        </w:rPr>
        <w:t>India</w:t>
      </w:r>
      <w:r w:rsidRPr="00DA00AB">
        <w:rPr>
          <w:color w:val="000000"/>
        </w:rPr>
        <w:t xml:space="preserve">, </w:t>
      </w:r>
      <w:r>
        <w:rPr>
          <w:color w:val="000000"/>
        </w:rPr>
        <w:t xml:space="preserve">before the pandemic </w:t>
      </w:r>
      <w:r w:rsidRPr="00DA00AB">
        <w:rPr>
          <w:color w:val="000000"/>
        </w:rPr>
        <w:t xml:space="preserve">women </w:t>
      </w:r>
      <w:r>
        <w:rPr>
          <w:color w:val="000000"/>
        </w:rPr>
        <w:t xml:space="preserve">deprived of liberty </w:t>
      </w:r>
      <w:r w:rsidRPr="00DA00AB">
        <w:rPr>
          <w:color w:val="000000"/>
        </w:rPr>
        <w:t xml:space="preserve">generally relied on visits by family members or NGOs for their monthly supply of sanitary pads. This was disrupted when visits by outsiders including family and NGOs </w:t>
      </w:r>
      <w:r>
        <w:rPr>
          <w:color w:val="000000"/>
        </w:rPr>
        <w:t>were stopped to respond to the virus.</w:t>
      </w:r>
      <w:r>
        <w:rPr>
          <w:rStyle w:val="EndnoteReference"/>
          <w:color w:val="000000"/>
        </w:rPr>
        <w:endnoteReference w:id="39"/>
      </w:r>
    </w:p>
    <w:p w14:paraId="4F9352C3" w14:textId="1836A040" w:rsidR="00212B4F" w:rsidRPr="00DA00AB" w:rsidRDefault="00212B4F" w:rsidP="00212B4F">
      <w:pPr>
        <w:pStyle w:val="ListParagraph"/>
        <w:numPr>
          <w:ilvl w:val="0"/>
          <w:numId w:val="17"/>
        </w:numPr>
        <w:pBdr>
          <w:top w:val="nil"/>
          <w:left w:val="nil"/>
          <w:bottom w:val="nil"/>
          <w:right w:val="nil"/>
          <w:between w:val="nil"/>
        </w:pBdr>
        <w:spacing w:after="200" w:line="276" w:lineRule="auto"/>
        <w:ind w:left="1276"/>
        <w:contextualSpacing w:val="0"/>
        <w:jc w:val="both"/>
        <w:rPr>
          <w:color w:val="000000"/>
        </w:rPr>
      </w:pPr>
      <w:r w:rsidRPr="00DA00AB">
        <w:rPr>
          <w:color w:val="000000"/>
        </w:rPr>
        <w:t>I</w:t>
      </w:r>
      <w:r w:rsidR="00C13F3B" w:rsidRPr="00DA00AB">
        <w:rPr>
          <w:color w:val="000000"/>
        </w:rPr>
        <w:t xml:space="preserve">n </w:t>
      </w:r>
      <w:r w:rsidR="00C13F3B" w:rsidRPr="00DA00AB">
        <w:rPr>
          <w:b/>
          <w:bCs/>
          <w:color w:val="000000"/>
        </w:rPr>
        <w:t>Kenya</w:t>
      </w:r>
      <w:r w:rsidRPr="00DA00AB">
        <w:rPr>
          <w:b/>
          <w:bCs/>
          <w:color w:val="000000"/>
        </w:rPr>
        <w:t>,</w:t>
      </w:r>
      <w:r w:rsidR="00C13F3B" w:rsidRPr="00DA00AB">
        <w:rPr>
          <w:color w:val="000000"/>
        </w:rPr>
        <w:t xml:space="preserve"> the charities </w:t>
      </w:r>
      <w:r w:rsidRPr="00DA00AB">
        <w:rPr>
          <w:color w:val="000000"/>
        </w:rPr>
        <w:t xml:space="preserve">that </w:t>
      </w:r>
      <w:r w:rsidR="00C13F3B" w:rsidRPr="00DA00AB">
        <w:rPr>
          <w:color w:val="000000"/>
        </w:rPr>
        <w:t xml:space="preserve">would normally supply </w:t>
      </w:r>
      <w:r w:rsidRPr="00DA00AB">
        <w:rPr>
          <w:color w:val="000000"/>
        </w:rPr>
        <w:t xml:space="preserve">sanitary towels and other hygiene products were banned from delivering them as a measure to prevent the spread of </w:t>
      </w:r>
      <w:r w:rsidR="003D2C85" w:rsidRPr="00DA00AB">
        <w:rPr>
          <w:color w:val="000000"/>
        </w:rPr>
        <w:t xml:space="preserve">the virus </w:t>
      </w:r>
      <w:r w:rsidRPr="00DA00AB">
        <w:rPr>
          <w:color w:val="000000"/>
        </w:rPr>
        <w:t>in prisons</w:t>
      </w:r>
      <w:r w:rsidR="00C13F3B" w:rsidRPr="00DA00AB">
        <w:rPr>
          <w:color w:val="000000"/>
        </w:rPr>
        <w:t>.</w:t>
      </w:r>
      <w:r w:rsidR="00C13F3B" w:rsidRPr="00DA00AB">
        <w:rPr>
          <w:rStyle w:val="EndnoteReference"/>
          <w:color w:val="000000"/>
        </w:rPr>
        <w:endnoteReference w:id="40"/>
      </w:r>
    </w:p>
    <w:p w14:paraId="7890D240" w14:textId="2CE956EF" w:rsidR="00212B4F" w:rsidRPr="00DA00AB" w:rsidRDefault="00212B4F" w:rsidP="00212B4F">
      <w:pPr>
        <w:pStyle w:val="ListParagraph"/>
        <w:numPr>
          <w:ilvl w:val="0"/>
          <w:numId w:val="17"/>
        </w:numPr>
        <w:pBdr>
          <w:top w:val="nil"/>
          <w:left w:val="nil"/>
          <w:bottom w:val="nil"/>
          <w:right w:val="nil"/>
          <w:between w:val="nil"/>
        </w:pBdr>
        <w:spacing w:after="200" w:line="276" w:lineRule="auto"/>
        <w:ind w:left="1276"/>
        <w:contextualSpacing w:val="0"/>
        <w:jc w:val="both"/>
        <w:rPr>
          <w:color w:val="000000"/>
        </w:rPr>
      </w:pPr>
      <w:r w:rsidRPr="00DA00AB">
        <w:rPr>
          <w:color w:val="000000"/>
        </w:rPr>
        <w:t xml:space="preserve">In </w:t>
      </w:r>
      <w:r w:rsidR="00761BAC" w:rsidRPr="00DA00AB">
        <w:rPr>
          <w:b/>
          <w:bCs/>
          <w:color w:val="000000"/>
        </w:rPr>
        <w:t>Mexico</w:t>
      </w:r>
      <w:r w:rsidR="00761BAC" w:rsidRPr="00DA00AB">
        <w:rPr>
          <w:color w:val="000000"/>
        </w:rPr>
        <w:t xml:space="preserve">, </w:t>
      </w:r>
      <w:r w:rsidRPr="00DA00AB">
        <w:rPr>
          <w:color w:val="000000"/>
        </w:rPr>
        <w:t xml:space="preserve">before the pandemic </w:t>
      </w:r>
      <w:r w:rsidR="00761BAC" w:rsidRPr="00DA00AB">
        <w:rPr>
          <w:color w:val="000000"/>
        </w:rPr>
        <w:t xml:space="preserve">access </w:t>
      </w:r>
      <w:r w:rsidRPr="00DA00AB">
        <w:rPr>
          <w:color w:val="000000"/>
        </w:rPr>
        <w:t xml:space="preserve">to sanitary towels and other hygiene products </w:t>
      </w:r>
      <w:r w:rsidR="00761BAC" w:rsidRPr="00DA00AB">
        <w:rPr>
          <w:color w:val="000000"/>
        </w:rPr>
        <w:t xml:space="preserve">already </w:t>
      </w:r>
      <w:r w:rsidRPr="00DA00AB">
        <w:rPr>
          <w:color w:val="000000"/>
        </w:rPr>
        <w:t>relied on external supply of products or money by family members</w:t>
      </w:r>
      <w:r w:rsidR="00761BAC" w:rsidRPr="00DA00AB">
        <w:rPr>
          <w:rStyle w:val="EndnoteReference"/>
          <w:color w:val="000000"/>
        </w:rPr>
        <w:endnoteReference w:id="41"/>
      </w:r>
      <w:r w:rsidR="00761BAC" w:rsidRPr="00DA00AB">
        <w:rPr>
          <w:color w:val="000000"/>
        </w:rPr>
        <w:t xml:space="preserve"> (</w:t>
      </w:r>
      <w:r w:rsidRPr="00DA00AB">
        <w:rPr>
          <w:color w:val="000000"/>
        </w:rPr>
        <w:t xml:space="preserve">according to some reports, a </w:t>
      </w:r>
      <w:r w:rsidR="00761BAC" w:rsidRPr="00DA00AB">
        <w:rPr>
          <w:color w:val="000000"/>
        </w:rPr>
        <w:t xml:space="preserve">pack of sanitary pads </w:t>
      </w:r>
      <w:r w:rsidRPr="00DA00AB">
        <w:rPr>
          <w:color w:val="000000"/>
        </w:rPr>
        <w:t xml:space="preserve">could </w:t>
      </w:r>
      <w:r w:rsidR="00761BAC" w:rsidRPr="00DA00AB">
        <w:rPr>
          <w:color w:val="000000"/>
        </w:rPr>
        <w:t>be acquired within prisons at a cost of between 35 to 50 pesos, i.e. approx. 1.70 to 2.50 USD)</w:t>
      </w:r>
      <w:r w:rsidRPr="00DA00AB">
        <w:rPr>
          <w:color w:val="000000"/>
        </w:rPr>
        <w:t>.</w:t>
      </w:r>
      <w:r w:rsidR="00761BAC" w:rsidRPr="00DA00AB">
        <w:rPr>
          <w:color w:val="000000"/>
        </w:rPr>
        <w:t xml:space="preserve"> </w:t>
      </w:r>
      <w:r w:rsidRPr="00DA00AB">
        <w:rPr>
          <w:color w:val="000000"/>
        </w:rPr>
        <w:t>After the outset of the pandemic</w:t>
      </w:r>
      <w:r w:rsidR="00064F8A" w:rsidRPr="00DA00AB">
        <w:rPr>
          <w:color w:val="000000"/>
        </w:rPr>
        <w:t xml:space="preserve"> and the ban on external visits</w:t>
      </w:r>
      <w:r w:rsidRPr="00DA00AB">
        <w:rPr>
          <w:color w:val="000000"/>
        </w:rPr>
        <w:t xml:space="preserve">, </w:t>
      </w:r>
      <w:r w:rsidR="00064F8A" w:rsidRPr="00DA00AB">
        <w:rPr>
          <w:color w:val="000000"/>
        </w:rPr>
        <w:t xml:space="preserve">activist </w:t>
      </w:r>
      <w:r w:rsidR="00761BAC" w:rsidRPr="00DA00AB">
        <w:rPr>
          <w:color w:val="000000"/>
        </w:rPr>
        <w:t xml:space="preserve">characterised </w:t>
      </w:r>
      <w:r w:rsidR="00064F8A" w:rsidRPr="00DA00AB">
        <w:rPr>
          <w:color w:val="000000"/>
        </w:rPr>
        <w:t xml:space="preserve">the approach to this issue </w:t>
      </w:r>
      <w:r w:rsidR="00761BAC" w:rsidRPr="00DA00AB">
        <w:rPr>
          <w:color w:val="000000"/>
        </w:rPr>
        <w:t>as ‘complete oblivion’</w:t>
      </w:r>
      <w:r w:rsidR="00761BAC" w:rsidRPr="00DA00AB">
        <w:rPr>
          <w:rStyle w:val="EndnoteReference"/>
          <w:color w:val="000000"/>
        </w:rPr>
        <w:endnoteReference w:id="42"/>
      </w:r>
      <w:r w:rsidR="00064F8A" w:rsidRPr="00DA00AB">
        <w:rPr>
          <w:color w:val="000000"/>
        </w:rPr>
        <w:t>.</w:t>
      </w:r>
    </w:p>
    <w:p w14:paraId="40008A20" w14:textId="6F99B08A" w:rsidR="00BA105D" w:rsidRPr="00DA00AB" w:rsidRDefault="00064F8A" w:rsidP="00BA105D">
      <w:pPr>
        <w:pStyle w:val="ListParagraph"/>
        <w:numPr>
          <w:ilvl w:val="0"/>
          <w:numId w:val="17"/>
        </w:numPr>
        <w:pBdr>
          <w:top w:val="nil"/>
          <w:left w:val="nil"/>
          <w:bottom w:val="nil"/>
          <w:right w:val="nil"/>
          <w:between w:val="nil"/>
        </w:pBdr>
        <w:spacing w:after="200" w:line="276" w:lineRule="auto"/>
        <w:ind w:left="1276"/>
        <w:contextualSpacing w:val="0"/>
        <w:jc w:val="both"/>
        <w:rPr>
          <w:color w:val="000000"/>
        </w:rPr>
      </w:pPr>
      <w:r w:rsidRPr="00DA00AB">
        <w:rPr>
          <w:color w:val="000000"/>
        </w:rPr>
        <w:t>Similarly, i</w:t>
      </w:r>
      <w:r w:rsidR="00865660" w:rsidRPr="00DA00AB">
        <w:rPr>
          <w:color w:val="000000"/>
        </w:rPr>
        <w:t>n</w:t>
      </w:r>
      <w:r w:rsidR="00865660" w:rsidRPr="00DA00AB">
        <w:rPr>
          <w:b/>
          <w:bCs/>
          <w:color w:val="000000"/>
        </w:rPr>
        <w:t xml:space="preserve"> Colombia</w:t>
      </w:r>
      <w:r w:rsidRPr="00DA00AB">
        <w:rPr>
          <w:b/>
          <w:bCs/>
          <w:color w:val="000000"/>
        </w:rPr>
        <w:t xml:space="preserve"> </w:t>
      </w:r>
      <w:r w:rsidRPr="00DA00AB">
        <w:rPr>
          <w:color w:val="000000"/>
        </w:rPr>
        <w:t xml:space="preserve">the report by </w:t>
      </w:r>
      <w:r w:rsidR="00484074">
        <w:rPr>
          <w:color w:val="000000"/>
        </w:rPr>
        <w:t xml:space="preserve">Corporacion </w:t>
      </w:r>
      <w:r w:rsidRPr="00DA00AB">
        <w:rPr>
          <w:color w:val="000000"/>
        </w:rPr>
        <w:t>Humanas Colombia (see Annex A)</w:t>
      </w:r>
      <w:r w:rsidR="00865660" w:rsidRPr="00DA00AB">
        <w:rPr>
          <w:color w:val="000000"/>
        </w:rPr>
        <w:t xml:space="preserve"> </w:t>
      </w:r>
      <w:r w:rsidRPr="00DA00AB">
        <w:rPr>
          <w:color w:val="000000"/>
        </w:rPr>
        <w:t xml:space="preserve">points out that </w:t>
      </w:r>
      <w:r w:rsidR="0086222E" w:rsidRPr="00DA00AB">
        <w:rPr>
          <w:color w:val="000000"/>
        </w:rPr>
        <w:t xml:space="preserve">before </w:t>
      </w:r>
      <w:r w:rsidRPr="00DA00AB">
        <w:rPr>
          <w:color w:val="000000"/>
        </w:rPr>
        <w:t xml:space="preserve">COVID-19 </w:t>
      </w:r>
      <w:r w:rsidR="0086222E" w:rsidRPr="00DA00AB">
        <w:rPr>
          <w:color w:val="000000"/>
        </w:rPr>
        <w:t xml:space="preserve">intimate hygiene products such as sanitary towels </w:t>
      </w:r>
      <w:r w:rsidRPr="00DA00AB">
        <w:rPr>
          <w:color w:val="000000"/>
        </w:rPr>
        <w:t xml:space="preserve">were </w:t>
      </w:r>
      <w:r w:rsidR="0086222E" w:rsidRPr="00DA00AB">
        <w:rPr>
          <w:color w:val="000000"/>
        </w:rPr>
        <w:t xml:space="preserve">not provided </w:t>
      </w:r>
      <w:r w:rsidR="001615BB" w:rsidRPr="00DA00AB">
        <w:rPr>
          <w:color w:val="000000"/>
        </w:rPr>
        <w:t xml:space="preserve">for free </w:t>
      </w:r>
      <w:r w:rsidR="0086222E" w:rsidRPr="00DA00AB">
        <w:rPr>
          <w:color w:val="000000"/>
        </w:rPr>
        <w:t xml:space="preserve">by the government, but </w:t>
      </w:r>
      <w:r w:rsidRPr="00DA00AB">
        <w:rPr>
          <w:color w:val="000000"/>
        </w:rPr>
        <w:t xml:space="preserve">they had to </w:t>
      </w:r>
      <w:r w:rsidR="001615BB" w:rsidRPr="00DA00AB">
        <w:rPr>
          <w:color w:val="000000"/>
        </w:rPr>
        <w:t>be bought within prisons</w:t>
      </w:r>
      <w:r w:rsidRPr="00DA00AB">
        <w:rPr>
          <w:color w:val="000000"/>
        </w:rPr>
        <w:t>, or supplied by families</w:t>
      </w:r>
      <w:r w:rsidR="0086222E" w:rsidRPr="00DA00AB">
        <w:rPr>
          <w:color w:val="000000"/>
        </w:rPr>
        <w:t>.</w:t>
      </w:r>
      <w:r w:rsidR="001615BB" w:rsidRPr="00DA00AB">
        <w:rPr>
          <w:color w:val="000000"/>
        </w:rPr>
        <w:t xml:space="preserve"> At the start of the pandemic, the government immediately banned </w:t>
      </w:r>
      <w:r w:rsidRPr="00DA00AB">
        <w:rPr>
          <w:color w:val="000000"/>
        </w:rPr>
        <w:t xml:space="preserve">visits, as well </w:t>
      </w:r>
      <w:r w:rsidR="001615BB" w:rsidRPr="00DA00AB">
        <w:rPr>
          <w:color w:val="000000"/>
        </w:rPr>
        <w:t xml:space="preserve">the remittance of any products to people deprived of liberty, thus leaving women without access to such products. After </w:t>
      </w:r>
      <w:r w:rsidRPr="00DA00AB">
        <w:rPr>
          <w:color w:val="000000"/>
        </w:rPr>
        <w:t xml:space="preserve">several </w:t>
      </w:r>
      <w:r w:rsidR="001615BB" w:rsidRPr="00DA00AB">
        <w:rPr>
          <w:color w:val="000000"/>
        </w:rPr>
        <w:t xml:space="preserve">complaints, the government supplied </w:t>
      </w:r>
      <w:r w:rsidRPr="00DA00AB">
        <w:rPr>
          <w:color w:val="000000"/>
        </w:rPr>
        <w:t xml:space="preserve">a completely insufficient </w:t>
      </w:r>
      <w:r w:rsidR="001615BB" w:rsidRPr="00DA00AB">
        <w:rPr>
          <w:color w:val="000000"/>
        </w:rPr>
        <w:t>number of kits</w:t>
      </w:r>
      <w:r w:rsidRPr="00DA00AB">
        <w:rPr>
          <w:color w:val="000000"/>
        </w:rPr>
        <w:t>, leaving women with as little as a single pack of sanitary towels every 3 months.</w:t>
      </w:r>
      <w:r w:rsidRPr="00DA00AB">
        <w:rPr>
          <w:rStyle w:val="EndnoteReference"/>
          <w:color w:val="000000"/>
        </w:rPr>
        <w:endnoteReference w:id="43"/>
      </w:r>
      <w:r w:rsidR="001615BB" w:rsidRPr="00DA00AB">
        <w:rPr>
          <w:color w:val="000000"/>
        </w:rPr>
        <w:t xml:space="preserve"> </w:t>
      </w:r>
      <w:r w:rsidRPr="00DA00AB">
        <w:rPr>
          <w:color w:val="000000"/>
        </w:rPr>
        <w:t>F</w:t>
      </w:r>
      <w:r w:rsidR="001615BB" w:rsidRPr="00DA00AB">
        <w:rPr>
          <w:color w:val="000000"/>
        </w:rPr>
        <w:t>inally</w:t>
      </w:r>
      <w:r w:rsidR="006F218F" w:rsidRPr="00DA00AB">
        <w:rPr>
          <w:color w:val="000000"/>
        </w:rPr>
        <w:t xml:space="preserve">, </w:t>
      </w:r>
      <w:r w:rsidRPr="00DA00AB">
        <w:rPr>
          <w:color w:val="000000"/>
        </w:rPr>
        <w:t xml:space="preserve">authorities arranged </w:t>
      </w:r>
      <w:r w:rsidR="006F218F" w:rsidRPr="00DA00AB">
        <w:rPr>
          <w:color w:val="000000"/>
        </w:rPr>
        <w:t xml:space="preserve">for the supply of products </w:t>
      </w:r>
      <w:r w:rsidRPr="00DA00AB">
        <w:rPr>
          <w:color w:val="000000"/>
        </w:rPr>
        <w:t>through a private</w:t>
      </w:r>
      <w:r w:rsidR="006F218F" w:rsidRPr="00DA00AB">
        <w:rPr>
          <w:color w:val="000000"/>
        </w:rPr>
        <w:t xml:space="preserve"> </w:t>
      </w:r>
      <w:r w:rsidR="00484074">
        <w:rPr>
          <w:color w:val="000000"/>
        </w:rPr>
        <w:t xml:space="preserve">transport </w:t>
      </w:r>
      <w:r w:rsidR="006F218F" w:rsidRPr="00DA00AB">
        <w:rPr>
          <w:color w:val="000000"/>
        </w:rPr>
        <w:t xml:space="preserve">company, but </w:t>
      </w:r>
      <w:r w:rsidRPr="00DA00AB">
        <w:rPr>
          <w:color w:val="000000"/>
        </w:rPr>
        <w:t xml:space="preserve">they still </w:t>
      </w:r>
      <w:r w:rsidR="006F218F" w:rsidRPr="00DA00AB">
        <w:rPr>
          <w:color w:val="000000"/>
        </w:rPr>
        <w:t xml:space="preserve">have to be paid </w:t>
      </w:r>
      <w:r w:rsidRPr="00DA00AB">
        <w:rPr>
          <w:color w:val="000000"/>
        </w:rPr>
        <w:t xml:space="preserve">for </w:t>
      </w:r>
      <w:r w:rsidR="006F218F" w:rsidRPr="00DA00AB">
        <w:rPr>
          <w:color w:val="000000"/>
        </w:rPr>
        <w:t>by women deprived of liberty</w:t>
      </w:r>
      <w:r w:rsidR="00484074">
        <w:rPr>
          <w:color w:val="000000"/>
        </w:rPr>
        <w:t xml:space="preserve"> or their families</w:t>
      </w:r>
      <w:r w:rsidR="006F218F" w:rsidRPr="00DA00AB">
        <w:rPr>
          <w:color w:val="000000"/>
        </w:rPr>
        <w:t xml:space="preserve">, </w:t>
      </w:r>
      <w:r w:rsidRPr="00DA00AB">
        <w:rPr>
          <w:color w:val="000000"/>
        </w:rPr>
        <w:t xml:space="preserve">which has led to a black market within prisons </w:t>
      </w:r>
      <w:r w:rsidR="006F218F" w:rsidRPr="00DA00AB">
        <w:rPr>
          <w:color w:val="000000"/>
        </w:rPr>
        <w:t>(see Annex</w:t>
      </w:r>
      <w:r w:rsidRPr="00DA00AB">
        <w:rPr>
          <w:color w:val="000000"/>
        </w:rPr>
        <w:t xml:space="preserve"> A</w:t>
      </w:r>
      <w:r w:rsidR="006F218F" w:rsidRPr="00DA00AB">
        <w:rPr>
          <w:color w:val="000000"/>
        </w:rPr>
        <w:t>, p. 3).</w:t>
      </w:r>
    </w:p>
    <w:p w14:paraId="41572868" w14:textId="447011C0" w:rsidR="00BA105D" w:rsidRPr="00DA00AB" w:rsidRDefault="00BA105D" w:rsidP="00BA105D">
      <w:pPr>
        <w:pStyle w:val="ListParagraph"/>
        <w:numPr>
          <w:ilvl w:val="0"/>
          <w:numId w:val="17"/>
        </w:numPr>
        <w:pBdr>
          <w:top w:val="nil"/>
          <w:left w:val="nil"/>
          <w:bottom w:val="nil"/>
          <w:right w:val="nil"/>
          <w:between w:val="nil"/>
        </w:pBdr>
        <w:spacing w:after="200" w:line="276" w:lineRule="auto"/>
        <w:ind w:left="1276"/>
        <w:contextualSpacing w:val="0"/>
        <w:jc w:val="both"/>
        <w:rPr>
          <w:color w:val="000000"/>
        </w:rPr>
      </w:pPr>
      <w:r w:rsidRPr="00DA00AB">
        <w:rPr>
          <w:color w:val="000000"/>
        </w:rPr>
        <w:t xml:space="preserve">Lastly, it has been documented that in </w:t>
      </w:r>
      <w:r w:rsidRPr="00DA00AB">
        <w:rPr>
          <w:b/>
          <w:bCs/>
          <w:color w:val="000000"/>
        </w:rPr>
        <w:t>Uganda</w:t>
      </w:r>
      <w:r w:rsidRPr="00DA00AB">
        <w:rPr>
          <w:color w:val="000000"/>
        </w:rPr>
        <w:t xml:space="preserve"> the funds used to buy sanitary towels before the pandemic were diverted to the acquisition of hand washing materials.</w:t>
      </w:r>
    </w:p>
    <w:p w14:paraId="7F33B77C" w14:textId="6F42CF43" w:rsidR="00DA00AB" w:rsidRPr="00DA00AB" w:rsidRDefault="006F218F" w:rsidP="00DA00AB">
      <w:pPr>
        <w:pStyle w:val="ListParagraph"/>
        <w:numPr>
          <w:ilvl w:val="1"/>
          <w:numId w:val="11"/>
        </w:numPr>
        <w:pBdr>
          <w:top w:val="nil"/>
          <w:left w:val="nil"/>
          <w:bottom w:val="nil"/>
          <w:right w:val="nil"/>
          <w:between w:val="nil"/>
        </w:pBdr>
        <w:spacing w:after="200" w:line="276" w:lineRule="auto"/>
        <w:ind w:left="993" w:hanging="567"/>
        <w:contextualSpacing w:val="0"/>
        <w:jc w:val="both"/>
        <w:rPr>
          <w:color w:val="000000"/>
        </w:rPr>
      </w:pPr>
      <w:r w:rsidRPr="00DA00AB">
        <w:rPr>
          <w:color w:val="000000"/>
          <w:u w:val="single"/>
        </w:rPr>
        <w:t>Lack of gynaecological visits</w:t>
      </w:r>
      <w:r w:rsidRPr="00DA00AB">
        <w:rPr>
          <w:color w:val="000000"/>
        </w:rPr>
        <w:t xml:space="preserve">. </w:t>
      </w:r>
      <w:r w:rsidR="00064F8A" w:rsidRPr="00DA00AB">
        <w:rPr>
          <w:color w:val="000000"/>
        </w:rPr>
        <w:t xml:space="preserve">The report by </w:t>
      </w:r>
      <w:r w:rsidR="00484074">
        <w:rPr>
          <w:color w:val="000000"/>
        </w:rPr>
        <w:t xml:space="preserve">Corporacion </w:t>
      </w:r>
      <w:r w:rsidR="00064F8A" w:rsidRPr="00DA00AB">
        <w:rPr>
          <w:color w:val="000000"/>
        </w:rPr>
        <w:t>Humanas Colombia (Annex A) also shows that, b</w:t>
      </w:r>
      <w:r w:rsidRPr="00DA00AB">
        <w:rPr>
          <w:color w:val="000000"/>
        </w:rPr>
        <w:t xml:space="preserve">efore the pandemic, in </w:t>
      </w:r>
      <w:r w:rsidRPr="00DA00AB">
        <w:rPr>
          <w:b/>
          <w:bCs/>
          <w:color w:val="000000"/>
        </w:rPr>
        <w:t>Colombia</w:t>
      </w:r>
      <w:r w:rsidRPr="00DA00AB">
        <w:rPr>
          <w:color w:val="000000"/>
        </w:rPr>
        <w:t xml:space="preserve"> gynaecological professionals would visit prisons only once per month, </w:t>
      </w:r>
      <w:r w:rsidR="00064F8A" w:rsidRPr="00DA00AB">
        <w:rPr>
          <w:color w:val="000000"/>
        </w:rPr>
        <w:t xml:space="preserve">while </w:t>
      </w:r>
      <w:r w:rsidRPr="00DA00AB">
        <w:rPr>
          <w:color w:val="000000"/>
        </w:rPr>
        <w:t xml:space="preserve">Papanicolau tests would only take place every 2 or 3 months – which was already not enough to cover the needs of all women deprived of liberty. However, since the outset of the pandemic absolutely no visits have been allowed, in clear breach of Bangkok Rules 5 and 18. </w:t>
      </w:r>
      <w:r w:rsidR="00922437" w:rsidRPr="00DA00AB">
        <w:rPr>
          <w:color w:val="000000"/>
        </w:rPr>
        <w:t>Naturally, t</w:t>
      </w:r>
      <w:r w:rsidRPr="00DA00AB">
        <w:rPr>
          <w:color w:val="000000"/>
        </w:rPr>
        <w:t xml:space="preserve">his has </w:t>
      </w:r>
      <w:r w:rsidR="00064F8A" w:rsidRPr="00DA00AB">
        <w:rPr>
          <w:color w:val="000000"/>
        </w:rPr>
        <w:t xml:space="preserve">also </w:t>
      </w:r>
      <w:r w:rsidRPr="00DA00AB">
        <w:rPr>
          <w:color w:val="000000"/>
        </w:rPr>
        <w:t>had a</w:t>
      </w:r>
      <w:r w:rsidR="00064F8A" w:rsidRPr="00DA00AB">
        <w:rPr>
          <w:color w:val="000000"/>
        </w:rPr>
        <w:t xml:space="preserve"> serious</w:t>
      </w:r>
      <w:r w:rsidRPr="00DA00AB">
        <w:rPr>
          <w:color w:val="000000"/>
        </w:rPr>
        <w:t xml:space="preserve"> impact on the mental health of women, who are </w:t>
      </w:r>
      <w:r w:rsidR="00922437" w:rsidRPr="00DA00AB">
        <w:rPr>
          <w:color w:val="000000"/>
        </w:rPr>
        <w:t xml:space="preserve">worried </w:t>
      </w:r>
      <w:r w:rsidR="005D7352" w:rsidRPr="00DA00AB">
        <w:rPr>
          <w:color w:val="000000"/>
        </w:rPr>
        <w:t xml:space="preserve">by </w:t>
      </w:r>
      <w:r w:rsidR="00922437" w:rsidRPr="00DA00AB">
        <w:rPr>
          <w:color w:val="000000"/>
        </w:rPr>
        <w:t>the lack of attention and care for their health.</w:t>
      </w:r>
    </w:p>
    <w:p w14:paraId="73A7E0A5" w14:textId="17B6A0E2" w:rsidR="00DA00AB" w:rsidRPr="00DA00AB" w:rsidRDefault="00DA00AB" w:rsidP="00DA00AB">
      <w:pPr>
        <w:pStyle w:val="ListParagraph"/>
        <w:pBdr>
          <w:top w:val="nil"/>
          <w:left w:val="nil"/>
          <w:bottom w:val="nil"/>
          <w:right w:val="nil"/>
          <w:between w:val="nil"/>
        </w:pBdr>
        <w:spacing w:after="200" w:line="276" w:lineRule="auto"/>
        <w:ind w:left="993"/>
        <w:contextualSpacing w:val="0"/>
        <w:jc w:val="both"/>
        <w:rPr>
          <w:color w:val="000000"/>
        </w:rPr>
      </w:pPr>
      <w:r w:rsidRPr="00DA00AB">
        <w:t xml:space="preserve">While considering the categories of </w:t>
      </w:r>
      <w:r>
        <w:t xml:space="preserve">people deprived of liberty that could be </w:t>
      </w:r>
      <w:r w:rsidRPr="00DA00AB">
        <w:t xml:space="preserve">release during the pandemic in </w:t>
      </w:r>
      <w:r w:rsidRPr="00DA00AB">
        <w:rPr>
          <w:b/>
          <w:bCs/>
        </w:rPr>
        <w:t>India</w:t>
      </w:r>
      <w:r w:rsidRPr="00DA00AB">
        <w:t>, only the states of Punjab and Haryana considered pregnant women. Women as a vulnerable category for release was not considered by most states</w:t>
      </w:r>
      <w:r>
        <w:rPr>
          <w:rStyle w:val="EndnoteReference"/>
        </w:rPr>
        <w:endnoteReference w:id="44"/>
      </w:r>
      <w:r w:rsidRPr="00DA00AB">
        <w:t xml:space="preserve">. This becomes more concerning in light of the fact that, prisons across the country are already faced with a lack of regular visits by gynaecologists and pregnant women are normally taken to the district hospital for check-ups. </w:t>
      </w:r>
    </w:p>
    <w:p w14:paraId="053FD842" w14:textId="5FE3F666" w:rsidR="00064F8A" w:rsidRDefault="00865660" w:rsidP="00064F8A">
      <w:pPr>
        <w:pStyle w:val="ListParagraph"/>
        <w:numPr>
          <w:ilvl w:val="1"/>
          <w:numId w:val="11"/>
        </w:numPr>
        <w:pBdr>
          <w:top w:val="nil"/>
          <w:left w:val="nil"/>
          <w:bottom w:val="nil"/>
          <w:right w:val="nil"/>
          <w:between w:val="nil"/>
        </w:pBdr>
        <w:spacing w:after="200" w:line="276" w:lineRule="auto"/>
        <w:ind w:left="993" w:hanging="567"/>
        <w:contextualSpacing w:val="0"/>
        <w:jc w:val="both"/>
        <w:rPr>
          <w:color w:val="000000"/>
        </w:rPr>
      </w:pPr>
      <w:r w:rsidRPr="00064F8A">
        <w:rPr>
          <w:color w:val="000000"/>
          <w:u w:val="single"/>
        </w:rPr>
        <w:t xml:space="preserve">Lack of </w:t>
      </w:r>
      <w:r w:rsidR="006F218F" w:rsidRPr="00064F8A">
        <w:rPr>
          <w:color w:val="000000"/>
          <w:u w:val="single"/>
        </w:rPr>
        <w:t>conjugal visits</w:t>
      </w:r>
      <w:r w:rsidR="006F218F" w:rsidRPr="00064F8A">
        <w:rPr>
          <w:color w:val="000000"/>
        </w:rPr>
        <w:t xml:space="preserve">. In </w:t>
      </w:r>
      <w:r w:rsidR="006F218F" w:rsidRPr="00064F8A">
        <w:rPr>
          <w:b/>
          <w:bCs/>
          <w:color w:val="000000"/>
        </w:rPr>
        <w:t>Colombia</w:t>
      </w:r>
      <w:r w:rsidR="006F218F" w:rsidRPr="00064F8A">
        <w:rPr>
          <w:color w:val="000000"/>
        </w:rPr>
        <w:t xml:space="preserve">, </w:t>
      </w:r>
      <w:r w:rsidR="00922437">
        <w:rPr>
          <w:color w:val="000000"/>
        </w:rPr>
        <w:t xml:space="preserve">the report by </w:t>
      </w:r>
      <w:r w:rsidR="00484074">
        <w:rPr>
          <w:color w:val="000000"/>
        </w:rPr>
        <w:t xml:space="preserve">Corporacion </w:t>
      </w:r>
      <w:r w:rsidR="00922437">
        <w:rPr>
          <w:color w:val="000000"/>
        </w:rPr>
        <w:t xml:space="preserve">Humanas Colombia (Annex A) also shows </w:t>
      </w:r>
      <w:r w:rsidR="006F218F" w:rsidRPr="00064F8A">
        <w:rPr>
          <w:color w:val="000000"/>
        </w:rPr>
        <w:t xml:space="preserve">since the outset of the pandemic women deprived of liberty have been denied to right to intimate </w:t>
      </w:r>
      <w:r w:rsidR="00922437">
        <w:rPr>
          <w:color w:val="000000"/>
        </w:rPr>
        <w:t xml:space="preserve">conjugal </w:t>
      </w:r>
      <w:r w:rsidR="006F218F" w:rsidRPr="00064F8A">
        <w:rPr>
          <w:color w:val="000000"/>
        </w:rPr>
        <w:t xml:space="preserve">visits, both </w:t>
      </w:r>
      <w:r w:rsidR="00922437">
        <w:rPr>
          <w:color w:val="000000"/>
        </w:rPr>
        <w:t xml:space="preserve">with </w:t>
      </w:r>
      <w:r w:rsidR="006F218F" w:rsidRPr="00064F8A">
        <w:rPr>
          <w:color w:val="000000"/>
        </w:rPr>
        <w:t xml:space="preserve">people who live in the community, and </w:t>
      </w:r>
      <w:r w:rsidR="00922437">
        <w:rPr>
          <w:color w:val="000000"/>
        </w:rPr>
        <w:t xml:space="preserve">with </w:t>
      </w:r>
      <w:r w:rsidR="006F218F" w:rsidRPr="00064F8A">
        <w:rPr>
          <w:color w:val="000000"/>
        </w:rPr>
        <w:t>people who are already in prison. At the moment of writing this submission, national authorities have not set out any measure to resolve this issue</w:t>
      </w:r>
      <w:r w:rsidR="00922437">
        <w:rPr>
          <w:color w:val="000000"/>
        </w:rPr>
        <w:t>, thus leaving women without conjugal visits for over a year.</w:t>
      </w:r>
    </w:p>
    <w:p w14:paraId="21CEC016" w14:textId="3E40C655" w:rsidR="005D7352" w:rsidRPr="00064F8A" w:rsidRDefault="005D7352" w:rsidP="00064F8A">
      <w:pPr>
        <w:pStyle w:val="ListParagraph"/>
        <w:numPr>
          <w:ilvl w:val="1"/>
          <w:numId w:val="11"/>
        </w:numPr>
        <w:pBdr>
          <w:top w:val="nil"/>
          <w:left w:val="nil"/>
          <w:bottom w:val="nil"/>
          <w:right w:val="nil"/>
          <w:between w:val="nil"/>
        </w:pBdr>
        <w:spacing w:after="200" w:line="276" w:lineRule="auto"/>
        <w:ind w:left="993" w:hanging="567"/>
        <w:contextualSpacing w:val="0"/>
        <w:jc w:val="both"/>
        <w:rPr>
          <w:color w:val="000000"/>
        </w:rPr>
      </w:pPr>
      <w:r w:rsidRPr="00064F8A">
        <w:rPr>
          <w:color w:val="000000"/>
          <w:u w:val="single"/>
        </w:rPr>
        <w:t>Lack of adequate food</w:t>
      </w:r>
      <w:r w:rsidRPr="00064F8A">
        <w:rPr>
          <w:color w:val="000000"/>
        </w:rPr>
        <w:t xml:space="preserve">. In </w:t>
      </w:r>
      <w:r w:rsidRPr="00064F8A">
        <w:rPr>
          <w:b/>
          <w:bCs/>
          <w:color w:val="000000"/>
        </w:rPr>
        <w:t>Colombia</w:t>
      </w:r>
      <w:r w:rsidRPr="00064F8A">
        <w:rPr>
          <w:color w:val="000000"/>
        </w:rPr>
        <w:t xml:space="preserve">, </w:t>
      </w:r>
      <w:r w:rsidR="00E5749D">
        <w:rPr>
          <w:color w:val="000000"/>
        </w:rPr>
        <w:t xml:space="preserve">the report by </w:t>
      </w:r>
      <w:r w:rsidR="00484074">
        <w:rPr>
          <w:color w:val="000000"/>
        </w:rPr>
        <w:t xml:space="preserve">Corporacion </w:t>
      </w:r>
      <w:r w:rsidR="00E5749D">
        <w:rPr>
          <w:color w:val="000000"/>
        </w:rPr>
        <w:t xml:space="preserve">Humanas Colombia (Annex A) also details how, </w:t>
      </w:r>
      <w:r w:rsidRPr="00064F8A">
        <w:rPr>
          <w:color w:val="000000"/>
        </w:rPr>
        <w:t>during the first three months of the pandemic</w:t>
      </w:r>
      <w:r w:rsidR="00E5749D">
        <w:rPr>
          <w:color w:val="000000"/>
        </w:rPr>
        <w:t>,</w:t>
      </w:r>
      <w:r w:rsidRPr="00064F8A">
        <w:rPr>
          <w:color w:val="000000"/>
        </w:rPr>
        <w:t xml:space="preserve"> the food supplied to women deprived of liberty was provided raw, or semi-raw, </w:t>
      </w:r>
      <w:r w:rsidR="00E5749D">
        <w:rPr>
          <w:color w:val="000000"/>
        </w:rPr>
        <w:t xml:space="preserve">and </w:t>
      </w:r>
      <w:r w:rsidRPr="00064F8A">
        <w:rPr>
          <w:color w:val="000000"/>
        </w:rPr>
        <w:t xml:space="preserve">often in bad state. The specific dietary requirements of pregnant women or women who have given birth were not taken into consideration. In general, the private companies that supply food </w:t>
      </w:r>
      <w:r w:rsidR="00E5749D">
        <w:rPr>
          <w:color w:val="000000"/>
        </w:rPr>
        <w:t xml:space="preserve">to prisons have </w:t>
      </w:r>
      <w:r w:rsidRPr="00064F8A">
        <w:rPr>
          <w:color w:val="000000"/>
        </w:rPr>
        <w:t>proven to be unreliable, and the government hasn’t taken appropriate measures to ensure that they meet the needs of women deprived of liberty.</w:t>
      </w:r>
    </w:p>
    <w:bookmarkEnd w:id="1"/>
    <w:p w14:paraId="3EE929C1" w14:textId="69C032A7" w:rsidR="00B808B4" w:rsidRPr="0040794D" w:rsidRDefault="0086222E" w:rsidP="00637C5A">
      <w:pPr>
        <w:pStyle w:val="ListParagraph"/>
        <w:numPr>
          <w:ilvl w:val="0"/>
          <w:numId w:val="11"/>
        </w:numPr>
        <w:pBdr>
          <w:top w:val="nil"/>
          <w:left w:val="nil"/>
          <w:bottom w:val="nil"/>
          <w:right w:val="nil"/>
          <w:between w:val="nil"/>
        </w:pBdr>
        <w:spacing w:after="200" w:line="276" w:lineRule="auto"/>
        <w:ind w:left="425" w:hanging="425"/>
        <w:contextualSpacing w:val="0"/>
        <w:jc w:val="both"/>
        <w:rPr>
          <w:color w:val="000000"/>
        </w:rPr>
      </w:pPr>
      <w:r w:rsidRPr="0040794D">
        <w:rPr>
          <w:color w:val="000000"/>
        </w:rPr>
        <w:t xml:space="preserve">Beyond sexual and reproductive health, </w:t>
      </w:r>
      <w:r w:rsidR="00E5749D">
        <w:rPr>
          <w:color w:val="000000"/>
        </w:rPr>
        <w:t xml:space="preserve">the report attached as Annex A also </w:t>
      </w:r>
      <w:r w:rsidRPr="0040794D">
        <w:rPr>
          <w:color w:val="000000"/>
        </w:rPr>
        <w:t>documents how basic sanitation measures</w:t>
      </w:r>
      <w:r w:rsidR="00E5749D">
        <w:rPr>
          <w:color w:val="000000"/>
        </w:rPr>
        <w:t xml:space="preserve"> to prevent the spread of COVID-19</w:t>
      </w:r>
      <w:r w:rsidRPr="0040794D">
        <w:rPr>
          <w:color w:val="000000"/>
        </w:rPr>
        <w:t>, such as the provision water</w:t>
      </w:r>
      <w:r w:rsidR="00E5749D">
        <w:rPr>
          <w:color w:val="000000"/>
        </w:rPr>
        <w:t xml:space="preserve">, </w:t>
      </w:r>
      <w:r w:rsidRPr="0040794D">
        <w:rPr>
          <w:color w:val="000000"/>
        </w:rPr>
        <w:t xml:space="preserve">soap, </w:t>
      </w:r>
      <w:r w:rsidR="00E5749D">
        <w:rPr>
          <w:color w:val="000000"/>
        </w:rPr>
        <w:t xml:space="preserve">or </w:t>
      </w:r>
      <w:r w:rsidRPr="0040794D">
        <w:rPr>
          <w:color w:val="000000"/>
        </w:rPr>
        <w:t xml:space="preserve">PPE, was deficient; </w:t>
      </w:r>
      <w:r w:rsidR="00E5749D">
        <w:rPr>
          <w:color w:val="000000"/>
        </w:rPr>
        <w:t xml:space="preserve">for instance, </w:t>
      </w:r>
      <w:r w:rsidRPr="0040794D">
        <w:rPr>
          <w:color w:val="000000"/>
        </w:rPr>
        <w:t xml:space="preserve">in many cases the water </w:t>
      </w:r>
      <w:r w:rsidR="00E5749D">
        <w:rPr>
          <w:color w:val="000000"/>
        </w:rPr>
        <w:t xml:space="preserve">for washing </w:t>
      </w:r>
      <w:r w:rsidRPr="0040794D">
        <w:rPr>
          <w:color w:val="000000"/>
        </w:rPr>
        <w:t>was ‘gr</w:t>
      </w:r>
      <w:r w:rsidR="00E5749D">
        <w:rPr>
          <w:color w:val="000000"/>
        </w:rPr>
        <w:t>e</w:t>
      </w:r>
      <w:r w:rsidRPr="0040794D">
        <w:rPr>
          <w:color w:val="000000"/>
        </w:rPr>
        <w:t>y, of bad quality, and with oxid residues’</w:t>
      </w:r>
      <w:r w:rsidRPr="0040794D">
        <w:rPr>
          <w:rStyle w:val="EndnoteReference"/>
          <w:color w:val="000000"/>
        </w:rPr>
        <w:endnoteReference w:id="45"/>
      </w:r>
      <w:r w:rsidRPr="0040794D">
        <w:rPr>
          <w:color w:val="000000"/>
        </w:rPr>
        <w:t xml:space="preserve">. Furthermore, the number of toilets </w:t>
      </w:r>
      <w:r w:rsidR="00E5749D">
        <w:rPr>
          <w:color w:val="000000"/>
        </w:rPr>
        <w:t xml:space="preserve">and sanitary facilities </w:t>
      </w:r>
      <w:r w:rsidRPr="0040794D">
        <w:rPr>
          <w:color w:val="000000"/>
        </w:rPr>
        <w:t xml:space="preserve">remained insufficient </w:t>
      </w:r>
      <w:r w:rsidR="00E5749D">
        <w:rPr>
          <w:color w:val="000000"/>
        </w:rPr>
        <w:t xml:space="preserve">throughout the pandemic, </w:t>
      </w:r>
      <w:r w:rsidRPr="0040794D">
        <w:rPr>
          <w:color w:val="000000"/>
        </w:rPr>
        <w:t xml:space="preserve">considering the </w:t>
      </w:r>
      <w:r w:rsidR="00E5749D">
        <w:rPr>
          <w:color w:val="000000"/>
        </w:rPr>
        <w:t xml:space="preserve">number of women detained </w:t>
      </w:r>
      <w:r w:rsidRPr="0040794D">
        <w:rPr>
          <w:color w:val="000000"/>
        </w:rPr>
        <w:t xml:space="preserve">in these </w:t>
      </w:r>
      <w:r w:rsidR="00E5749D">
        <w:rPr>
          <w:color w:val="000000"/>
        </w:rPr>
        <w:t>prisons</w:t>
      </w:r>
      <w:r w:rsidRPr="0040794D">
        <w:rPr>
          <w:color w:val="000000"/>
        </w:rPr>
        <w:t xml:space="preserve">. </w:t>
      </w:r>
    </w:p>
    <w:p w14:paraId="15F68193" w14:textId="06303EA2" w:rsidR="0040794D" w:rsidRPr="0040794D" w:rsidRDefault="0040794D" w:rsidP="0040794D">
      <w:pPr>
        <w:pBdr>
          <w:top w:val="nil"/>
          <w:left w:val="nil"/>
          <w:bottom w:val="nil"/>
          <w:right w:val="nil"/>
          <w:between w:val="nil"/>
        </w:pBdr>
        <w:spacing w:after="200" w:line="276" w:lineRule="auto"/>
        <w:ind w:firstLine="425"/>
        <w:jc w:val="both"/>
        <w:rPr>
          <w:b/>
          <w:color w:val="000000"/>
          <w:u w:val="single"/>
        </w:rPr>
      </w:pPr>
      <w:r w:rsidRPr="0040794D">
        <w:rPr>
          <w:b/>
          <w:color w:val="000000"/>
          <w:u w:val="single"/>
        </w:rPr>
        <w:t>The pandemic exacerbated existing rights violations</w:t>
      </w:r>
    </w:p>
    <w:p w14:paraId="65DD1FFF" w14:textId="77777777" w:rsidR="00A57D08" w:rsidRDefault="005D18F1" w:rsidP="008141D6">
      <w:pPr>
        <w:pStyle w:val="ListParagraph"/>
        <w:numPr>
          <w:ilvl w:val="0"/>
          <w:numId w:val="11"/>
        </w:numPr>
        <w:pBdr>
          <w:top w:val="nil"/>
          <w:left w:val="nil"/>
          <w:bottom w:val="nil"/>
          <w:right w:val="nil"/>
          <w:between w:val="nil"/>
        </w:pBdr>
        <w:spacing w:after="200" w:line="276" w:lineRule="auto"/>
        <w:ind w:left="425" w:hanging="425"/>
        <w:contextualSpacing w:val="0"/>
        <w:jc w:val="both"/>
        <w:rPr>
          <w:color w:val="000000"/>
        </w:rPr>
      </w:pPr>
      <w:r w:rsidRPr="0040794D">
        <w:rPr>
          <w:color w:val="000000"/>
        </w:rPr>
        <w:t>The lack of access to sanitary products or knowledge of menstrual hygiene, commonly known as ‘period poverty’</w:t>
      </w:r>
      <w:r w:rsidRPr="0040794D">
        <w:rPr>
          <w:rStyle w:val="EndnoteReference"/>
          <w:color w:val="000000"/>
        </w:rPr>
        <w:endnoteReference w:id="46"/>
      </w:r>
      <w:r w:rsidRPr="0040794D">
        <w:rPr>
          <w:color w:val="000000"/>
        </w:rPr>
        <w:t xml:space="preserve">, </w:t>
      </w:r>
      <w:r w:rsidR="00E5749D">
        <w:rPr>
          <w:color w:val="000000"/>
        </w:rPr>
        <w:t xml:space="preserve">was already </w:t>
      </w:r>
      <w:r w:rsidRPr="0040794D">
        <w:rPr>
          <w:color w:val="000000"/>
        </w:rPr>
        <w:t>a frequent feature in prison systems</w:t>
      </w:r>
      <w:r w:rsidR="00E5749D">
        <w:rPr>
          <w:color w:val="000000"/>
        </w:rPr>
        <w:t xml:space="preserve"> across the world before the pandemic</w:t>
      </w:r>
      <w:r w:rsidRPr="0040794D">
        <w:rPr>
          <w:color w:val="000000"/>
        </w:rPr>
        <w:t>.</w:t>
      </w:r>
      <w:r w:rsidR="00E5749D">
        <w:rPr>
          <w:color w:val="000000"/>
        </w:rPr>
        <w:t xml:space="preserve"> Thus, the severe restrictions on contacts between prisons and </w:t>
      </w:r>
      <w:r w:rsidR="00A57D08">
        <w:rPr>
          <w:color w:val="000000"/>
        </w:rPr>
        <w:t>the community brought as a response to COVID-19 has only exacerbated a series of rights violations that were widespread beforehand. Some examples are provided below:</w:t>
      </w:r>
    </w:p>
    <w:p w14:paraId="62813E11" w14:textId="0FE53BBA" w:rsidR="00A57D08" w:rsidRDefault="005D18F1" w:rsidP="00A57D08">
      <w:pPr>
        <w:pStyle w:val="ListParagraph"/>
        <w:numPr>
          <w:ilvl w:val="1"/>
          <w:numId w:val="11"/>
        </w:numPr>
        <w:pBdr>
          <w:top w:val="nil"/>
          <w:left w:val="nil"/>
          <w:bottom w:val="nil"/>
          <w:right w:val="nil"/>
          <w:between w:val="nil"/>
        </w:pBdr>
        <w:spacing w:after="200" w:line="276" w:lineRule="auto"/>
        <w:ind w:left="851" w:hanging="425"/>
        <w:contextualSpacing w:val="0"/>
        <w:jc w:val="both"/>
        <w:rPr>
          <w:color w:val="000000"/>
        </w:rPr>
      </w:pPr>
      <w:r w:rsidRPr="0040794D">
        <w:rPr>
          <w:color w:val="000000"/>
        </w:rPr>
        <w:t xml:space="preserve">In </w:t>
      </w:r>
      <w:r w:rsidRPr="0040794D">
        <w:rPr>
          <w:b/>
          <w:bCs/>
          <w:color w:val="000000"/>
        </w:rPr>
        <w:t>India</w:t>
      </w:r>
      <w:r w:rsidRPr="0040794D">
        <w:rPr>
          <w:color w:val="000000"/>
        </w:rPr>
        <w:t>, the Commonwealth Human Rights Initiative found that some women deprived of liberty simply did not know that they could obtain free sanitary towels from prison authorities, and continued to buy them from prison canteen</w:t>
      </w:r>
      <w:r w:rsidR="00A57D08">
        <w:rPr>
          <w:color w:val="000000"/>
        </w:rPr>
        <w:t>s</w:t>
      </w:r>
      <w:r w:rsidRPr="0040794D">
        <w:rPr>
          <w:color w:val="000000"/>
        </w:rPr>
        <w:t xml:space="preserve">, </w:t>
      </w:r>
      <w:r w:rsidR="00A57D08">
        <w:rPr>
          <w:color w:val="000000"/>
        </w:rPr>
        <w:t xml:space="preserve">to source </w:t>
      </w:r>
      <w:r w:rsidRPr="0040794D">
        <w:rPr>
          <w:color w:val="000000"/>
        </w:rPr>
        <w:t xml:space="preserve">them from </w:t>
      </w:r>
      <w:r w:rsidR="00A57D08">
        <w:rPr>
          <w:color w:val="000000"/>
        </w:rPr>
        <w:t xml:space="preserve">their </w:t>
      </w:r>
      <w:r w:rsidRPr="0040794D">
        <w:rPr>
          <w:color w:val="000000"/>
        </w:rPr>
        <w:t>famil</w:t>
      </w:r>
      <w:r w:rsidR="00A57D08">
        <w:rPr>
          <w:color w:val="000000"/>
        </w:rPr>
        <w:t>ies</w:t>
      </w:r>
      <w:r w:rsidRPr="0040794D">
        <w:rPr>
          <w:color w:val="000000"/>
        </w:rPr>
        <w:t xml:space="preserve"> (though they were reluctant to ask male relatives), </w:t>
      </w:r>
      <w:r w:rsidR="00A57D08">
        <w:rPr>
          <w:color w:val="000000"/>
        </w:rPr>
        <w:t xml:space="preserve">or to merely </w:t>
      </w:r>
      <w:r w:rsidRPr="0040794D">
        <w:rPr>
          <w:color w:val="000000"/>
        </w:rPr>
        <w:t xml:space="preserve">resort to </w:t>
      </w:r>
      <w:r w:rsidR="00A57D08">
        <w:rPr>
          <w:color w:val="000000"/>
        </w:rPr>
        <w:t xml:space="preserve">using </w:t>
      </w:r>
      <w:r w:rsidRPr="0040794D">
        <w:rPr>
          <w:color w:val="000000"/>
        </w:rPr>
        <w:t>old cloths and rags</w:t>
      </w:r>
      <w:r w:rsidR="00A57D08">
        <w:rPr>
          <w:color w:val="000000"/>
        </w:rPr>
        <w:t>, thus putting their health at risk</w:t>
      </w:r>
      <w:r w:rsidRPr="0040794D">
        <w:rPr>
          <w:color w:val="000000"/>
        </w:rPr>
        <w:t>. In good part, this was a consequence of the fact that only 18% of all women incarcerated in Indian prisons are in women-only facilities, which means that their needs are deprioritised in comparison to men’s.</w:t>
      </w:r>
      <w:r w:rsidRPr="0040794D">
        <w:rPr>
          <w:rStyle w:val="EndnoteReference"/>
          <w:color w:val="000000"/>
        </w:rPr>
        <w:endnoteReference w:id="47"/>
      </w:r>
      <w:r w:rsidR="00C61980" w:rsidRPr="0040794D">
        <w:rPr>
          <w:color w:val="000000"/>
        </w:rPr>
        <w:t xml:space="preserve"> </w:t>
      </w:r>
    </w:p>
    <w:p w14:paraId="09F609C9" w14:textId="45B7D84B" w:rsidR="00A57D08" w:rsidRDefault="00C100FB" w:rsidP="00A57D08">
      <w:pPr>
        <w:pStyle w:val="ListParagraph"/>
        <w:numPr>
          <w:ilvl w:val="1"/>
          <w:numId w:val="11"/>
        </w:numPr>
        <w:pBdr>
          <w:top w:val="nil"/>
          <w:left w:val="nil"/>
          <w:bottom w:val="nil"/>
          <w:right w:val="nil"/>
          <w:between w:val="nil"/>
        </w:pBdr>
        <w:spacing w:after="200" w:line="276" w:lineRule="auto"/>
        <w:ind w:left="851" w:hanging="425"/>
        <w:contextualSpacing w:val="0"/>
        <w:jc w:val="both"/>
        <w:rPr>
          <w:color w:val="000000"/>
        </w:rPr>
      </w:pPr>
      <w:r w:rsidRPr="00C100FB">
        <w:rPr>
          <w:color w:val="000000"/>
        </w:rPr>
        <w:t xml:space="preserve">Thai law requires all prisons to provide sanitary pads to </w:t>
      </w:r>
      <w:r>
        <w:rPr>
          <w:color w:val="000000"/>
        </w:rPr>
        <w:t>women in prison</w:t>
      </w:r>
      <w:r w:rsidRPr="00C100FB">
        <w:rPr>
          <w:color w:val="000000"/>
        </w:rPr>
        <w:t xml:space="preserve"> free of charge, but does not specify how many.</w:t>
      </w:r>
      <w:r>
        <w:rPr>
          <w:color w:val="000000"/>
        </w:rPr>
        <w:t xml:space="preserve"> It has been</w:t>
      </w:r>
      <w:r w:rsidR="00A57D08" w:rsidRPr="0040794D">
        <w:rPr>
          <w:color w:val="000000"/>
        </w:rPr>
        <w:t xml:space="preserve"> </w:t>
      </w:r>
      <w:r w:rsidR="00735823">
        <w:rPr>
          <w:color w:val="000000"/>
        </w:rPr>
        <w:t>reported</w:t>
      </w:r>
      <w:r w:rsidR="00A57D08" w:rsidRPr="0040794D">
        <w:rPr>
          <w:color w:val="000000"/>
        </w:rPr>
        <w:t xml:space="preserve"> that last year women in Chaiyaphum Prison, in </w:t>
      </w:r>
      <w:r w:rsidR="00A57D08" w:rsidRPr="0040794D">
        <w:rPr>
          <w:b/>
          <w:bCs/>
          <w:color w:val="000000"/>
        </w:rPr>
        <w:t>Thailand</w:t>
      </w:r>
      <w:r w:rsidR="00A57D08" w:rsidRPr="0040794D">
        <w:rPr>
          <w:color w:val="000000"/>
        </w:rPr>
        <w:t>, received only 12 sanitary pad</w:t>
      </w:r>
      <w:r w:rsidR="00A57D08">
        <w:rPr>
          <w:color w:val="000000"/>
        </w:rPr>
        <w:t>s</w:t>
      </w:r>
      <w:r w:rsidR="00A57D08" w:rsidRPr="0040794D">
        <w:rPr>
          <w:color w:val="000000"/>
        </w:rPr>
        <w:t xml:space="preserve"> each for the whole year</w:t>
      </w:r>
      <w:r>
        <w:rPr>
          <w:color w:val="000000"/>
        </w:rPr>
        <w:t xml:space="preserve"> – 10 times less than their usual annual quota</w:t>
      </w:r>
      <w:r w:rsidR="00A57D08">
        <w:rPr>
          <w:color w:val="000000"/>
        </w:rPr>
        <w:t>.</w:t>
      </w:r>
      <w:r w:rsidR="00A57D08" w:rsidRPr="0040794D">
        <w:rPr>
          <w:color w:val="000000"/>
        </w:rPr>
        <w:t xml:space="preserve"> </w:t>
      </w:r>
      <w:r w:rsidRPr="00C100FB">
        <w:rPr>
          <w:color w:val="000000"/>
        </w:rPr>
        <w:t xml:space="preserve">The </w:t>
      </w:r>
      <w:r>
        <w:rPr>
          <w:color w:val="000000"/>
        </w:rPr>
        <w:t xml:space="preserve">Department of </w:t>
      </w:r>
      <w:r w:rsidRPr="00C100FB">
        <w:rPr>
          <w:color w:val="000000"/>
        </w:rPr>
        <w:t xml:space="preserve">Corrections says </w:t>
      </w:r>
      <w:r>
        <w:rPr>
          <w:color w:val="000000"/>
        </w:rPr>
        <w:t xml:space="preserve">it is allocated </w:t>
      </w:r>
      <w:r w:rsidRPr="00C100FB">
        <w:rPr>
          <w:color w:val="000000"/>
        </w:rPr>
        <w:t>only 50-60% of the total budget requested to purchase personal items for</w:t>
      </w:r>
      <w:r>
        <w:rPr>
          <w:color w:val="000000"/>
        </w:rPr>
        <w:t xml:space="preserve"> women in prison and </w:t>
      </w:r>
      <w:r w:rsidRPr="00C100FB">
        <w:rPr>
          <w:color w:val="000000"/>
        </w:rPr>
        <w:t xml:space="preserve">tries to fill the shortfall with donations from individuals and NGOs, and that </w:t>
      </w:r>
      <w:r>
        <w:rPr>
          <w:color w:val="000000"/>
        </w:rPr>
        <w:t>women</w:t>
      </w:r>
      <w:r w:rsidRPr="00C100FB">
        <w:rPr>
          <w:color w:val="000000"/>
        </w:rPr>
        <w:t xml:space="preserve"> can buy pads from prison commissaries with money they are given by visitors or have earned from prison labour.</w:t>
      </w:r>
      <w:r>
        <w:rPr>
          <w:rStyle w:val="EndnoteReference"/>
          <w:color w:val="000000"/>
        </w:rPr>
        <w:endnoteReference w:id="48"/>
      </w:r>
    </w:p>
    <w:p w14:paraId="51D4CEE5" w14:textId="137A0157" w:rsidR="005D18F1" w:rsidRPr="00EF470A" w:rsidRDefault="004D3BC6" w:rsidP="00A57D08">
      <w:pPr>
        <w:pStyle w:val="ListParagraph"/>
        <w:numPr>
          <w:ilvl w:val="1"/>
          <w:numId w:val="11"/>
        </w:numPr>
        <w:pBdr>
          <w:top w:val="nil"/>
          <w:left w:val="nil"/>
          <w:bottom w:val="nil"/>
          <w:right w:val="nil"/>
          <w:between w:val="nil"/>
        </w:pBdr>
        <w:spacing w:after="200" w:line="276" w:lineRule="auto"/>
        <w:ind w:left="851" w:hanging="425"/>
        <w:contextualSpacing w:val="0"/>
        <w:jc w:val="both"/>
        <w:rPr>
          <w:color w:val="000000"/>
        </w:rPr>
      </w:pPr>
      <w:r w:rsidRPr="0040794D">
        <w:rPr>
          <w:color w:val="000000"/>
        </w:rPr>
        <w:t xml:space="preserve">In the </w:t>
      </w:r>
      <w:r w:rsidRPr="00A57D08">
        <w:rPr>
          <w:b/>
          <w:bCs/>
          <w:color w:val="000000"/>
        </w:rPr>
        <w:t>United States</w:t>
      </w:r>
      <w:r w:rsidRPr="0040794D">
        <w:rPr>
          <w:color w:val="000000"/>
        </w:rPr>
        <w:t xml:space="preserve">, </w:t>
      </w:r>
      <w:r w:rsidR="00135671" w:rsidRPr="0040794D">
        <w:rPr>
          <w:color w:val="000000"/>
        </w:rPr>
        <w:t>many states do not provide free menstruation products</w:t>
      </w:r>
      <w:r w:rsidR="00135671" w:rsidRPr="0040794D">
        <w:rPr>
          <w:color w:val="111111"/>
          <w:shd w:val="clear" w:color="auto" w:fill="FFFFFF"/>
        </w:rPr>
        <w:t xml:space="preserve">, and where </w:t>
      </w:r>
      <w:r w:rsidR="00A57D08">
        <w:rPr>
          <w:color w:val="111111"/>
          <w:shd w:val="clear" w:color="auto" w:fill="FFFFFF"/>
        </w:rPr>
        <w:t xml:space="preserve">there is </w:t>
      </w:r>
      <w:r w:rsidR="00135671" w:rsidRPr="0040794D">
        <w:rPr>
          <w:color w:val="111111"/>
          <w:shd w:val="clear" w:color="auto" w:fill="FFFFFF"/>
        </w:rPr>
        <w:t>a mandate to supply them for free, the implementation is not smooth</w:t>
      </w:r>
      <w:r w:rsidR="00A57D08">
        <w:rPr>
          <w:color w:val="111111"/>
          <w:shd w:val="clear" w:color="auto" w:fill="FFFFFF"/>
        </w:rPr>
        <w:t>.</w:t>
      </w:r>
      <w:r w:rsidRPr="0040794D">
        <w:rPr>
          <w:color w:val="111111"/>
          <w:shd w:val="clear" w:color="auto" w:fill="FFFFFF"/>
        </w:rPr>
        <w:t xml:space="preserve"> </w:t>
      </w:r>
      <w:r w:rsidR="00A57D08">
        <w:rPr>
          <w:color w:val="111111"/>
          <w:shd w:val="clear" w:color="auto" w:fill="FFFFFF"/>
        </w:rPr>
        <w:t xml:space="preserve">Some of the issues reported include: </w:t>
      </w:r>
      <w:r w:rsidR="00135671" w:rsidRPr="0040794D">
        <w:rPr>
          <w:color w:val="111111"/>
          <w:shd w:val="clear" w:color="auto" w:fill="FFFFFF"/>
        </w:rPr>
        <w:t xml:space="preserve">a </w:t>
      </w:r>
      <w:r w:rsidRPr="0040794D">
        <w:rPr>
          <w:color w:val="111111"/>
          <w:shd w:val="clear" w:color="auto" w:fill="FFFFFF"/>
        </w:rPr>
        <w:t xml:space="preserve">lack of adequation to </w:t>
      </w:r>
      <w:r w:rsidR="00A57D08">
        <w:rPr>
          <w:color w:val="111111"/>
          <w:shd w:val="clear" w:color="auto" w:fill="FFFFFF"/>
        </w:rPr>
        <w:t xml:space="preserve">the </w:t>
      </w:r>
      <w:r w:rsidRPr="0040794D">
        <w:rPr>
          <w:color w:val="111111"/>
          <w:shd w:val="clear" w:color="auto" w:fill="FFFFFF"/>
        </w:rPr>
        <w:t>different ways in which women experience menstruation</w:t>
      </w:r>
      <w:r w:rsidR="00A57D08">
        <w:rPr>
          <w:color w:val="111111"/>
          <w:shd w:val="clear" w:color="auto" w:fill="FFFFFF"/>
        </w:rPr>
        <w:t xml:space="preserve"> (i.e. different types of amounts of sanitary towels)</w:t>
      </w:r>
      <w:r w:rsidRPr="0040794D">
        <w:rPr>
          <w:color w:val="111111"/>
          <w:shd w:val="clear" w:color="auto" w:fill="FFFFFF"/>
        </w:rPr>
        <w:t xml:space="preserve">; </w:t>
      </w:r>
      <w:r w:rsidR="00761BAC" w:rsidRPr="0040794D">
        <w:rPr>
          <w:color w:val="111111"/>
          <w:shd w:val="clear" w:color="auto" w:fill="FFFFFF"/>
        </w:rPr>
        <w:t xml:space="preserve">having to beg or bargain for </w:t>
      </w:r>
      <w:r w:rsidR="00A57D08">
        <w:rPr>
          <w:color w:val="111111"/>
          <w:shd w:val="clear" w:color="auto" w:fill="FFFFFF"/>
        </w:rPr>
        <w:t xml:space="preserve">extra </w:t>
      </w:r>
      <w:r w:rsidR="00761BAC" w:rsidRPr="0040794D">
        <w:rPr>
          <w:color w:val="111111"/>
          <w:shd w:val="clear" w:color="auto" w:fill="FFFFFF"/>
        </w:rPr>
        <w:t xml:space="preserve">sanitary </w:t>
      </w:r>
      <w:r w:rsidR="00A57D08">
        <w:rPr>
          <w:color w:val="111111"/>
          <w:shd w:val="clear" w:color="auto" w:fill="FFFFFF"/>
        </w:rPr>
        <w:t>towels</w:t>
      </w:r>
      <w:r w:rsidRPr="0040794D">
        <w:rPr>
          <w:color w:val="111111"/>
          <w:shd w:val="clear" w:color="auto" w:fill="FFFFFF"/>
        </w:rPr>
        <w:t xml:space="preserve">; or the </w:t>
      </w:r>
      <w:r w:rsidR="00A57D08">
        <w:rPr>
          <w:color w:val="111111"/>
          <w:shd w:val="clear" w:color="auto" w:fill="FFFFFF"/>
        </w:rPr>
        <w:t>fact that in some prisons sanitary towels were sold at unaffordable rates</w:t>
      </w:r>
      <w:r w:rsidRPr="0040794D">
        <w:rPr>
          <w:color w:val="111111"/>
          <w:shd w:val="clear" w:color="auto" w:fill="FFFFFF"/>
        </w:rPr>
        <w:t>.</w:t>
      </w:r>
      <w:r w:rsidRPr="0040794D">
        <w:rPr>
          <w:rStyle w:val="EndnoteReference"/>
          <w:color w:val="111111"/>
          <w:shd w:val="clear" w:color="auto" w:fill="FFFFFF"/>
        </w:rPr>
        <w:endnoteReference w:id="49"/>
      </w:r>
    </w:p>
    <w:p w14:paraId="0F3565A7" w14:textId="77777777" w:rsidR="0052641A" w:rsidRDefault="0052641A" w:rsidP="0052641A">
      <w:pPr>
        <w:widowControl w:val="0"/>
        <w:rPr>
          <w:color w:val="000000"/>
        </w:rPr>
        <w:sectPr w:rsidR="0052641A" w:rsidSect="00F604F6">
          <w:headerReference w:type="default" r:id="rId14"/>
          <w:endnotePr>
            <w:numFmt w:val="decimal"/>
          </w:endnotePr>
          <w:pgSz w:w="11906" w:h="16838"/>
          <w:pgMar w:top="1701" w:right="1134" w:bottom="1304" w:left="1134" w:header="720" w:footer="720" w:gutter="0"/>
          <w:pgNumType w:start="1"/>
          <w:cols w:space="720"/>
        </w:sectPr>
      </w:pPr>
    </w:p>
    <w:p w14:paraId="2B79082A" w14:textId="77777777" w:rsidR="005D18F1" w:rsidRPr="0040794D" w:rsidRDefault="005D18F1" w:rsidP="005D18F1">
      <w:pPr>
        <w:pBdr>
          <w:top w:val="nil"/>
          <w:left w:val="nil"/>
          <w:bottom w:val="nil"/>
          <w:right w:val="nil"/>
          <w:between w:val="nil"/>
        </w:pBdr>
        <w:spacing w:after="200" w:line="276" w:lineRule="auto"/>
        <w:jc w:val="both"/>
        <w:rPr>
          <w:color w:val="000000"/>
        </w:rPr>
      </w:pPr>
    </w:p>
    <w:sectPr w:rsidR="005D18F1" w:rsidRPr="0040794D" w:rsidSect="00F604F6">
      <w:endnotePr>
        <w:numFmt w:val="decimal"/>
      </w:endnotePr>
      <w:pgSz w:w="11906" w:h="16838"/>
      <w:pgMar w:top="1701" w:right="1134" w:bottom="130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A3686" w14:textId="77777777" w:rsidR="00B9288D" w:rsidRDefault="00B9288D">
      <w:r>
        <w:separator/>
      </w:r>
    </w:p>
  </w:endnote>
  <w:endnote w:type="continuationSeparator" w:id="0">
    <w:p w14:paraId="36D5C379" w14:textId="77777777" w:rsidR="00B9288D" w:rsidRDefault="00B9288D">
      <w:r>
        <w:continuationSeparator/>
      </w:r>
    </w:p>
  </w:endnote>
  <w:endnote w:id="1">
    <w:p w14:paraId="671EEAC8" w14:textId="30267D3B" w:rsidR="00064F8A" w:rsidRPr="00DA00AB" w:rsidRDefault="00064F8A">
      <w:pPr>
        <w:pStyle w:val="EndnoteText"/>
        <w:rPr>
          <w:b/>
          <w:bCs/>
          <w:sz w:val="24"/>
          <w:szCs w:val="24"/>
        </w:rPr>
      </w:pPr>
      <w:r w:rsidRPr="00DA00AB">
        <w:rPr>
          <w:b/>
          <w:bCs/>
          <w:sz w:val="24"/>
          <w:szCs w:val="24"/>
        </w:rPr>
        <w:t>ENDNOTES</w:t>
      </w:r>
    </w:p>
    <w:p w14:paraId="36ED0646" w14:textId="77777777" w:rsidR="00064F8A" w:rsidRPr="00BA105D" w:rsidRDefault="00064F8A">
      <w:pPr>
        <w:pStyle w:val="EndnoteText"/>
      </w:pPr>
    </w:p>
    <w:p w14:paraId="5BFF0E53" w14:textId="2821E222" w:rsidR="00980B63" w:rsidRPr="00DA00AB" w:rsidRDefault="00980B63" w:rsidP="00DA00AB">
      <w:pPr>
        <w:pStyle w:val="EndnoteText"/>
        <w:spacing w:after="60"/>
      </w:pPr>
      <w:r w:rsidRPr="00DA00AB">
        <w:rPr>
          <w:rStyle w:val="EndnoteReference"/>
        </w:rPr>
        <w:endnoteRef/>
      </w:r>
      <w:r w:rsidRPr="00DA00AB">
        <w:t xml:space="preserve"> </w:t>
      </w:r>
      <w:hyperlink r:id="rId1" w:history="1">
        <w:r w:rsidRPr="00DA00AB">
          <w:rPr>
            <w:rStyle w:val="Hyperlink"/>
          </w:rPr>
          <w:t>https://www.penalreform.org/blog/addressing-the-105000-increase-in-the-global-female/</w:t>
        </w:r>
      </w:hyperlink>
      <w:r w:rsidRPr="00DA00AB">
        <w:t xml:space="preserve"> </w:t>
      </w:r>
    </w:p>
  </w:endnote>
  <w:endnote w:id="2">
    <w:p w14:paraId="3FA5DAC7" w14:textId="18174A0B" w:rsidR="00980B63" w:rsidRPr="00DA00AB" w:rsidRDefault="00980B63" w:rsidP="00DA00AB">
      <w:pPr>
        <w:pStyle w:val="EndnoteText"/>
        <w:spacing w:after="60"/>
      </w:pPr>
      <w:r w:rsidRPr="00DA00AB">
        <w:rPr>
          <w:rStyle w:val="EndnoteReference"/>
        </w:rPr>
        <w:endnoteRef/>
      </w:r>
      <w:r w:rsidRPr="00DA00AB">
        <w:t xml:space="preserve"> </w:t>
      </w:r>
      <w:hyperlink r:id="rId2" w:history="1">
        <w:r w:rsidRPr="00DA00AB">
          <w:rPr>
            <w:rStyle w:val="Hyperlink"/>
          </w:rPr>
          <w:t>http://fileserver.idpc.net/library/Punitive_Drug_Laws_10_years_undermining_the_Bangkok_Rules.pdf</w:t>
        </w:r>
      </w:hyperlink>
      <w:r w:rsidRPr="00DA00AB">
        <w:t xml:space="preserve">, p. 4. </w:t>
      </w:r>
    </w:p>
  </w:endnote>
  <w:endnote w:id="3">
    <w:p w14:paraId="5B0C2F7A" w14:textId="13387676" w:rsidR="00980B63" w:rsidRPr="00DA00AB" w:rsidRDefault="00980B63" w:rsidP="00DA00AB">
      <w:pPr>
        <w:pStyle w:val="EndnoteText"/>
        <w:spacing w:after="60"/>
      </w:pPr>
      <w:r w:rsidRPr="00DA00AB">
        <w:rPr>
          <w:rStyle w:val="EndnoteReference"/>
        </w:rPr>
        <w:endnoteRef/>
      </w:r>
      <w:r w:rsidRPr="00DA00AB">
        <w:t xml:space="preserve"> </w:t>
      </w:r>
      <w:hyperlink r:id="rId3" w:history="1">
        <w:r w:rsidRPr="00DA00AB">
          <w:rPr>
            <w:rStyle w:val="Hyperlink"/>
          </w:rPr>
          <w:t>https://www.penalreform.org/blog/addressing-the-105000-increase-in-the-global-female/</w:t>
        </w:r>
      </w:hyperlink>
      <w:r w:rsidRPr="00DA00AB">
        <w:t xml:space="preserve"> </w:t>
      </w:r>
    </w:p>
  </w:endnote>
  <w:endnote w:id="4">
    <w:p w14:paraId="2B617086" w14:textId="685E78A5" w:rsidR="00980B63" w:rsidRPr="00DA00AB" w:rsidRDefault="00980B63" w:rsidP="00DA00AB">
      <w:pPr>
        <w:pStyle w:val="EndnoteText"/>
        <w:spacing w:after="60"/>
      </w:pPr>
      <w:r w:rsidRPr="00DA00AB">
        <w:rPr>
          <w:rStyle w:val="EndnoteReference"/>
        </w:rPr>
        <w:endnoteRef/>
      </w:r>
      <w:r w:rsidRPr="00DA00AB">
        <w:t xml:space="preserve"> </w:t>
      </w:r>
      <w:hyperlink r:id="rId4" w:history="1">
        <w:r w:rsidRPr="00DA00AB">
          <w:rPr>
            <w:rStyle w:val="Hyperlink"/>
          </w:rPr>
          <w:t>http://fileserver.idpc.net/library/Punitive_Drug_Laws_10_years_undermining_the_Bangkok_Rules.pdf</w:t>
        </w:r>
      </w:hyperlink>
      <w:r w:rsidRPr="00DA00AB">
        <w:t xml:space="preserve">, p. 4. </w:t>
      </w:r>
      <w:r w:rsidR="00BB7BDD" w:rsidRPr="00DA00AB">
        <w:t>The data for Peru is from 2014, and the data for the Philippines if from 2017.</w:t>
      </w:r>
    </w:p>
  </w:endnote>
  <w:endnote w:id="5">
    <w:p w14:paraId="3D73C778" w14:textId="5B32F9F9" w:rsidR="005F62C5" w:rsidRPr="00DA00AB" w:rsidRDefault="005F62C5" w:rsidP="00DA00AB">
      <w:pPr>
        <w:pStyle w:val="EndnoteText"/>
        <w:spacing w:after="60"/>
      </w:pPr>
      <w:r w:rsidRPr="00DA00AB">
        <w:rPr>
          <w:rStyle w:val="EndnoteReference"/>
        </w:rPr>
        <w:endnoteRef/>
      </w:r>
      <w:r w:rsidRPr="00DA00AB">
        <w:t xml:space="preserve"> A/HRC/47/28.</w:t>
      </w:r>
    </w:p>
  </w:endnote>
  <w:endnote w:id="6">
    <w:p w14:paraId="2431E901" w14:textId="77777777" w:rsidR="005F62C5" w:rsidRPr="00DA00AB" w:rsidRDefault="005F62C5" w:rsidP="00DA00AB">
      <w:pPr>
        <w:pBdr>
          <w:top w:val="nil"/>
          <w:left w:val="nil"/>
          <w:bottom w:val="nil"/>
          <w:right w:val="nil"/>
          <w:between w:val="nil"/>
        </w:pBdr>
        <w:spacing w:after="60"/>
        <w:rPr>
          <w:color w:val="000000"/>
          <w:sz w:val="20"/>
          <w:szCs w:val="20"/>
        </w:rPr>
      </w:pPr>
      <w:r w:rsidRPr="00DA00AB">
        <w:rPr>
          <w:rStyle w:val="EndnoteReference"/>
          <w:sz w:val="20"/>
          <w:szCs w:val="20"/>
        </w:rPr>
        <w:endnoteRef/>
      </w:r>
      <w:r w:rsidRPr="00DA00AB">
        <w:rPr>
          <w:color w:val="000000"/>
          <w:sz w:val="20"/>
          <w:szCs w:val="20"/>
        </w:rPr>
        <w:t xml:space="preserve"> </w:t>
      </w:r>
      <w:r w:rsidRPr="00DA00AB">
        <w:rPr>
          <w:sz w:val="20"/>
          <w:szCs w:val="20"/>
        </w:rPr>
        <w:t xml:space="preserve">United Nations Office on Drugs and Crime (UNODC) (2010), </w:t>
      </w:r>
      <w:r w:rsidRPr="00DA00AB">
        <w:rPr>
          <w:i/>
          <w:iCs/>
          <w:sz w:val="20"/>
          <w:szCs w:val="20"/>
        </w:rPr>
        <w:t>The Bangkok Rules – United Nations Rules for the treatment of women prisoners and non-custodial measures for women offenders with their commentary</w:t>
      </w:r>
      <w:r w:rsidRPr="00DA00AB">
        <w:rPr>
          <w:sz w:val="20"/>
          <w:szCs w:val="20"/>
        </w:rPr>
        <w:t xml:space="preserve">, p. 43, </w:t>
      </w:r>
      <w:hyperlink r:id="rId5" w:history="1">
        <w:r w:rsidRPr="00DA00AB">
          <w:rPr>
            <w:rStyle w:val="Hyperlink"/>
            <w:sz w:val="20"/>
            <w:szCs w:val="20"/>
          </w:rPr>
          <w:t>https://www.unodc.org/documents/justice-and-prison-reform/Bangkok_Rules_ENG_22032015.pdf</w:t>
        </w:r>
      </w:hyperlink>
    </w:p>
  </w:endnote>
  <w:endnote w:id="7">
    <w:p w14:paraId="677A2066" w14:textId="71EA2CC6" w:rsidR="004D3BC6" w:rsidRPr="00DA00AB" w:rsidRDefault="004D3BC6" w:rsidP="00DA00AB">
      <w:pPr>
        <w:pStyle w:val="EndnoteText"/>
        <w:spacing w:after="60"/>
      </w:pPr>
      <w:r w:rsidRPr="00DA00AB">
        <w:rPr>
          <w:rStyle w:val="EndnoteReference"/>
        </w:rPr>
        <w:endnoteRef/>
      </w:r>
      <w:r w:rsidRPr="00DA00AB">
        <w:t xml:space="preserve"> In the USA, 72% of women deprived of liberty had an annual income of under 22,500 USD before their incarceration. See: </w:t>
      </w:r>
      <w:hyperlink r:id="rId6" w:history="1">
        <w:r w:rsidRPr="00DA00AB">
          <w:rPr>
            <w:rStyle w:val="Hyperlink"/>
          </w:rPr>
          <w:t>https://www.prisonpolicy.org/reports/income.html</w:t>
        </w:r>
      </w:hyperlink>
      <w:r w:rsidRPr="00DA00AB">
        <w:t xml:space="preserve"> </w:t>
      </w:r>
    </w:p>
  </w:endnote>
  <w:endnote w:id="8">
    <w:p w14:paraId="29C48403" w14:textId="77777777" w:rsidR="005F62C5" w:rsidRPr="00DA00AB" w:rsidRDefault="005F62C5" w:rsidP="00DA00AB">
      <w:pPr>
        <w:pBdr>
          <w:top w:val="nil"/>
          <w:left w:val="nil"/>
          <w:bottom w:val="nil"/>
          <w:right w:val="nil"/>
          <w:between w:val="nil"/>
        </w:pBdr>
        <w:spacing w:after="60"/>
        <w:rPr>
          <w:color w:val="000000"/>
          <w:sz w:val="20"/>
          <w:szCs w:val="20"/>
        </w:rPr>
      </w:pPr>
      <w:r w:rsidRPr="00DA00AB">
        <w:rPr>
          <w:rStyle w:val="EndnoteReference"/>
          <w:sz w:val="20"/>
          <w:szCs w:val="20"/>
        </w:rPr>
        <w:endnoteRef/>
      </w:r>
      <w:r w:rsidRPr="00DA00AB">
        <w:rPr>
          <w:color w:val="000000"/>
          <w:sz w:val="20"/>
          <w:szCs w:val="20"/>
        </w:rPr>
        <w:t xml:space="preserve"> Uprimmy, R. et al (2016), </w:t>
      </w:r>
      <w:r w:rsidRPr="00DA00AB">
        <w:rPr>
          <w:i/>
          <w:iCs/>
          <w:color w:val="000000"/>
          <w:sz w:val="20"/>
          <w:szCs w:val="20"/>
        </w:rPr>
        <w:t>Women, drug policies, and incarceration: A Guide for Policy Reform in Colombia</w:t>
      </w:r>
      <w:r w:rsidRPr="00DA00AB">
        <w:rPr>
          <w:color w:val="000000"/>
          <w:sz w:val="20"/>
          <w:szCs w:val="20"/>
        </w:rPr>
        <w:t xml:space="preserve"> (Bogotá: Dejusticia), p. 23, </w:t>
      </w:r>
      <w:hyperlink r:id="rId7" w:history="1">
        <w:r w:rsidRPr="00DA00AB">
          <w:rPr>
            <w:rStyle w:val="Hyperlink"/>
            <w:sz w:val="20"/>
            <w:szCs w:val="20"/>
          </w:rPr>
          <w:t>https://www.dejusticia.org/wp-content/uploads/2017/04/fi_name_recurso_866.pdf?x54537</w:t>
        </w:r>
      </w:hyperlink>
    </w:p>
  </w:endnote>
  <w:endnote w:id="9">
    <w:p w14:paraId="730926DA" w14:textId="77777777" w:rsidR="005F62C5" w:rsidRPr="00DA00AB" w:rsidRDefault="005F62C5" w:rsidP="00DA00AB">
      <w:pPr>
        <w:pBdr>
          <w:top w:val="nil"/>
          <w:left w:val="nil"/>
          <w:bottom w:val="nil"/>
          <w:right w:val="nil"/>
          <w:between w:val="nil"/>
        </w:pBdr>
        <w:spacing w:after="60"/>
        <w:rPr>
          <w:color w:val="000000"/>
          <w:sz w:val="20"/>
          <w:szCs w:val="20"/>
        </w:rPr>
      </w:pPr>
      <w:r w:rsidRPr="00DA00AB">
        <w:rPr>
          <w:rStyle w:val="EndnoteReference"/>
          <w:sz w:val="20"/>
          <w:szCs w:val="20"/>
        </w:rPr>
        <w:endnoteRef/>
      </w:r>
      <w:r w:rsidRPr="00DA00AB">
        <w:rPr>
          <w:color w:val="000000"/>
          <w:sz w:val="20"/>
          <w:szCs w:val="20"/>
        </w:rPr>
        <w:t xml:space="preserve"> </w:t>
      </w:r>
      <w:r w:rsidRPr="00DA00AB">
        <w:rPr>
          <w:sz w:val="20"/>
          <w:szCs w:val="20"/>
        </w:rPr>
        <w:t xml:space="preserve">Barzanò, P. (2012), ‘The Bangkok Rules: An international response to the needs of women offenders’, </w:t>
      </w:r>
      <w:r w:rsidRPr="00DA00AB">
        <w:rPr>
          <w:i/>
          <w:iCs/>
          <w:sz w:val="20"/>
          <w:szCs w:val="20"/>
        </w:rPr>
        <w:t>Resource Material Series</w:t>
      </w:r>
      <w:r w:rsidRPr="00DA00AB">
        <w:rPr>
          <w:sz w:val="20"/>
          <w:szCs w:val="20"/>
        </w:rPr>
        <w:t xml:space="preserve"> </w:t>
      </w:r>
      <w:r w:rsidRPr="00DA00AB">
        <w:rPr>
          <w:b/>
          <w:bCs/>
          <w:sz w:val="20"/>
          <w:szCs w:val="20"/>
        </w:rPr>
        <w:t>90</w:t>
      </w:r>
      <w:r w:rsidRPr="00DA00AB">
        <w:rPr>
          <w:sz w:val="20"/>
          <w:szCs w:val="20"/>
        </w:rPr>
        <w:t xml:space="preserve">: 83, </w:t>
      </w:r>
      <w:hyperlink r:id="rId8" w:history="1">
        <w:r w:rsidRPr="00DA00AB">
          <w:rPr>
            <w:rStyle w:val="Hyperlink"/>
            <w:sz w:val="20"/>
            <w:szCs w:val="20"/>
          </w:rPr>
          <w:t>https://www.unafei.or.jp/publications/pdf/RS_No90/No90_11VE_Barzano.pdf</w:t>
        </w:r>
      </w:hyperlink>
    </w:p>
  </w:endnote>
  <w:endnote w:id="10">
    <w:p w14:paraId="40569317" w14:textId="524A714E" w:rsidR="00E90913" w:rsidRPr="00DA00AB" w:rsidRDefault="00E90913" w:rsidP="00DA00AB">
      <w:pPr>
        <w:pStyle w:val="EndnoteText"/>
        <w:spacing w:after="60"/>
      </w:pPr>
      <w:r w:rsidRPr="00DA00AB">
        <w:rPr>
          <w:rStyle w:val="EndnoteReference"/>
        </w:rPr>
        <w:endnoteRef/>
      </w:r>
      <w:r w:rsidRPr="00DA00AB">
        <w:t xml:space="preserve"> See for instance: </w:t>
      </w:r>
      <w:hyperlink r:id="rId9" w:history="1">
        <w:r w:rsidRPr="00DA00AB">
          <w:rPr>
            <w:rStyle w:val="Hyperlink"/>
          </w:rPr>
          <w:t>http://www.prisonreformtrust.org.uk/Portals/0/Documents/Counted%20Out.pdf</w:t>
        </w:r>
      </w:hyperlink>
      <w:r w:rsidRPr="00DA00AB">
        <w:t xml:space="preserve">, p. 3. </w:t>
      </w:r>
    </w:p>
  </w:endnote>
  <w:endnote w:id="11">
    <w:p w14:paraId="4B3711B2" w14:textId="77777777" w:rsidR="00263E5B" w:rsidRPr="00DA00AB" w:rsidRDefault="00263E5B" w:rsidP="00DA00AB">
      <w:pPr>
        <w:pBdr>
          <w:top w:val="nil"/>
          <w:left w:val="nil"/>
          <w:bottom w:val="nil"/>
          <w:right w:val="nil"/>
          <w:between w:val="nil"/>
        </w:pBdr>
        <w:spacing w:after="60"/>
        <w:rPr>
          <w:color w:val="000000"/>
          <w:sz w:val="20"/>
          <w:szCs w:val="20"/>
        </w:rPr>
      </w:pPr>
      <w:r w:rsidRPr="00DA00AB">
        <w:rPr>
          <w:rStyle w:val="EndnoteReference"/>
          <w:sz w:val="20"/>
          <w:szCs w:val="20"/>
        </w:rPr>
        <w:endnoteRef/>
      </w:r>
      <w:r w:rsidRPr="00DA00AB">
        <w:rPr>
          <w:color w:val="000000"/>
          <w:sz w:val="20"/>
          <w:szCs w:val="20"/>
        </w:rPr>
        <w:t xml:space="preserve"> See, amongst others: UN Committee on the Elimination of all forms of Racial Discrimination (2014), </w:t>
      </w:r>
      <w:r w:rsidRPr="00DA00AB">
        <w:rPr>
          <w:i/>
          <w:iCs/>
          <w:sz w:val="20"/>
          <w:szCs w:val="20"/>
        </w:rPr>
        <w:t>Concluding observations on the combined seventh to ninth periodic reports of United States of Americ</w:t>
      </w:r>
      <w:r w:rsidRPr="00DA00AB">
        <w:rPr>
          <w:sz w:val="20"/>
          <w:szCs w:val="20"/>
        </w:rPr>
        <w:t xml:space="preserve">a, UN Doc. </w:t>
      </w:r>
      <w:r w:rsidRPr="00DA00AB">
        <w:rPr>
          <w:color w:val="000000"/>
          <w:sz w:val="20"/>
          <w:szCs w:val="20"/>
        </w:rPr>
        <w:t xml:space="preserve">CERD/C/USA/CO/7-9, para. 20, </w:t>
      </w:r>
      <w:hyperlink r:id="rId10" w:history="1">
        <w:r w:rsidRPr="00DA00AB">
          <w:rPr>
            <w:rStyle w:val="Hyperlink"/>
            <w:sz w:val="20"/>
            <w:szCs w:val="20"/>
          </w:rPr>
          <w:t>https://tbinternet.ohchr.org/Treaties/CERD/Shared%20Documents/USA/CERD_C_USA_CO_7-9_18102_E.pdf</w:t>
        </w:r>
      </w:hyperlink>
      <w:r w:rsidRPr="00DA00AB">
        <w:rPr>
          <w:color w:val="000000"/>
          <w:sz w:val="20"/>
          <w:szCs w:val="20"/>
        </w:rPr>
        <w:t>;</w:t>
      </w:r>
      <w:r w:rsidRPr="00DA00AB">
        <w:rPr>
          <w:sz w:val="20"/>
          <w:szCs w:val="20"/>
        </w:rPr>
        <w:t xml:space="preserve"> </w:t>
      </w:r>
      <w:r w:rsidRPr="00DA00AB">
        <w:rPr>
          <w:color w:val="000000"/>
          <w:sz w:val="20"/>
          <w:szCs w:val="20"/>
        </w:rPr>
        <w:t xml:space="preserve">Hutt, D. (26 July 2019), ‘The Bail Challenge in Southeast </w:t>
      </w:r>
      <w:r w:rsidRPr="00DA00AB">
        <w:rPr>
          <w:sz w:val="20"/>
          <w:szCs w:val="20"/>
        </w:rPr>
        <w:t xml:space="preserve">Asia’, </w:t>
      </w:r>
      <w:r w:rsidRPr="00DA00AB">
        <w:rPr>
          <w:i/>
          <w:iCs/>
          <w:sz w:val="20"/>
          <w:szCs w:val="20"/>
        </w:rPr>
        <w:t>The Diplomat</w:t>
      </w:r>
      <w:r w:rsidRPr="00DA00AB">
        <w:rPr>
          <w:sz w:val="20"/>
          <w:szCs w:val="20"/>
        </w:rPr>
        <w:t>,</w:t>
      </w:r>
      <w:r w:rsidRPr="00DA00AB">
        <w:rPr>
          <w:rStyle w:val="Hyperlink"/>
          <w:sz w:val="20"/>
          <w:szCs w:val="20"/>
        </w:rPr>
        <w:t xml:space="preserve"> </w:t>
      </w:r>
      <w:hyperlink r:id="rId11" w:history="1">
        <w:r w:rsidRPr="00DA00AB">
          <w:rPr>
            <w:rStyle w:val="Hyperlink"/>
            <w:sz w:val="20"/>
            <w:szCs w:val="20"/>
          </w:rPr>
          <w:t>https://thediplomat.com/2019/07/the-bail-challenge-in-southeast-asia/</w:t>
        </w:r>
      </w:hyperlink>
      <w:r w:rsidRPr="00DA00AB">
        <w:rPr>
          <w:sz w:val="20"/>
          <w:szCs w:val="20"/>
        </w:rPr>
        <w:t xml:space="preserve">; Drug Policy Alliance (2015), </w:t>
      </w:r>
      <w:r w:rsidRPr="00DA00AB">
        <w:rPr>
          <w:i/>
          <w:iCs/>
          <w:sz w:val="20"/>
          <w:szCs w:val="20"/>
        </w:rPr>
        <w:t>The Drug War, Mass Incarceration and Race</w:t>
      </w:r>
      <w:r w:rsidRPr="00DA00AB">
        <w:rPr>
          <w:sz w:val="20"/>
          <w:szCs w:val="20"/>
        </w:rPr>
        <w:t xml:space="preserve">, </w:t>
      </w:r>
      <w:hyperlink r:id="rId12" w:history="1">
        <w:r w:rsidRPr="00DA00AB">
          <w:rPr>
            <w:rStyle w:val="Hyperlink"/>
            <w:sz w:val="20"/>
            <w:szCs w:val="20"/>
          </w:rPr>
          <w:t>https://www.unodc.org/documents/ungass2016/Contributions/Civil/DrugPolicyAlliance/DPA_Fact_Sheet_Drug_War_Mass_Incarceration_and_Race_June2015.pdf</w:t>
        </w:r>
      </w:hyperlink>
      <w:r w:rsidRPr="00DA00AB">
        <w:rPr>
          <w:sz w:val="20"/>
          <w:szCs w:val="20"/>
        </w:rPr>
        <w:t xml:space="preserve"> </w:t>
      </w:r>
    </w:p>
  </w:endnote>
  <w:endnote w:id="12">
    <w:p w14:paraId="1F9C10F7" w14:textId="78425FC1" w:rsidR="00263E5B" w:rsidRPr="00DA00AB" w:rsidRDefault="00263E5B" w:rsidP="00DA00AB">
      <w:pPr>
        <w:pStyle w:val="EndnoteText"/>
        <w:spacing w:after="60"/>
      </w:pPr>
      <w:r w:rsidRPr="00DA00AB">
        <w:rPr>
          <w:rStyle w:val="EndnoteReference"/>
        </w:rPr>
        <w:endnoteRef/>
      </w:r>
      <w:r w:rsidRPr="00DA00AB">
        <w:t xml:space="preserve"> </w:t>
      </w:r>
      <w:hyperlink r:id="rId13" w:history="1">
        <w:r w:rsidRPr="00DA00AB">
          <w:rPr>
            <w:rStyle w:val="Hyperlink"/>
          </w:rPr>
          <w:t>http://fileserver.idpc.net/library/Punitive_Drug_Laws_10_years_undermining_the_Bangkok_Rules.pdf</w:t>
        </w:r>
      </w:hyperlink>
      <w:r w:rsidRPr="00DA00AB">
        <w:t xml:space="preserve">, p. 18. </w:t>
      </w:r>
    </w:p>
  </w:endnote>
  <w:endnote w:id="13">
    <w:p w14:paraId="304DB94B" w14:textId="51AB43C0" w:rsidR="005038AD" w:rsidRPr="00DA00AB" w:rsidRDefault="005038AD" w:rsidP="00DA00AB">
      <w:pPr>
        <w:pStyle w:val="FootnoteText"/>
        <w:spacing w:after="60"/>
        <w:rPr>
          <w:color w:val="000000" w:themeColor="text1"/>
        </w:rPr>
      </w:pPr>
      <w:r w:rsidRPr="00DA00AB">
        <w:rPr>
          <w:rStyle w:val="EndnoteReference"/>
        </w:rPr>
        <w:endnoteRef/>
      </w:r>
      <w:r w:rsidRPr="00DA00AB">
        <w:t xml:space="preserve"> </w:t>
      </w:r>
      <w:r w:rsidRPr="00DA00AB">
        <w:rPr>
          <w:color w:val="000000" w:themeColor="text1"/>
        </w:rPr>
        <w:t xml:space="preserve">Walmsley, R. (2018). World Female Imprisonment List. London: World Prison Brief. </w:t>
      </w:r>
    </w:p>
  </w:endnote>
  <w:endnote w:id="14">
    <w:p w14:paraId="22E130AB" w14:textId="22B1B3B1" w:rsidR="00A06EC3" w:rsidRPr="00DA00AB" w:rsidRDefault="00A06EC3" w:rsidP="00DA00AB">
      <w:pPr>
        <w:pStyle w:val="EndnoteText"/>
        <w:spacing w:after="60"/>
      </w:pPr>
      <w:r w:rsidRPr="00DA00AB">
        <w:rPr>
          <w:rStyle w:val="EndnoteReference"/>
        </w:rPr>
        <w:endnoteRef/>
      </w:r>
      <w:r w:rsidRPr="00DA00AB">
        <w:t xml:space="preserve"> </w:t>
      </w:r>
      <w:r w:rsidR="00AB052E" w:rsidRPr="00DA00AB">
        <w:t>UN Committee on Economic, Social and Cultural Rights (2016), General Comment 22 on the right to sexual and reproductive health</w:t>
      </w:r>
      <w:r w:rsidRPr="00DA00AB">
        <w:t xml:space="preserve">, para. 1. </w:t>
      </w:r>
    </w:p>
  </w:endnote>
  <w:endnote w:id="15">
    <w:p w14:paraId="718FFCA1" w14:textId="36556933" w:rsidR="00A06EC3" w:rsidRPr="00DA00AB" w:rsidRDefault="00A06EC3" w:rsidP="00DA00AB">
      <w:pPr>
        <w:pStyle w:val="EndnoteText"/>
        <w:spacing w:after="60"/>
      </w:pPr>
      <w:r w:rsidRPr="00DA00AB">
        <w:rPr>
          <w:rStyle w:val="EndnoteReference"/>
        </w:rPr>
        <w:endnoteRef/>
      </w:r>
      <w:r w:rsidRPr="00DA00AB">
        <w:t xml:space="preserve"> A/61/338, para. 17.</w:t>
      </w:r>
    </w:p>
  </w:endnote>
  <w:endnote w:id="16">
    <w:p w14:paraId="564A63D4" w14:textId="6737FD25" w:rsidR="00090498" w:rsidRPr="00DA00AB" w:rsidRDefault="00090498" w:rsidP="00DA00AB">
      <w:pPr>
        <w:pStyle w:val="EndnoteText"/>
        <w:spacing w:after="60"/>
      </w:pPr>
      <w:r w:rsidRPr="00DA00AB">
        <w:rPr>
          <w:rStyle w:val="EndnoteReference"/>
        </w:rPr>
        <w:endnoteRef/>
      </w:r>
      <w:r w:rsidRPr="00DA00AB">
        <w:t xml:space="preserve"> Committee CEDAW (1999), General Recommendation 24, para. 29. </w:t>
      </w:r>
    </w:p>
  </w:endnote>
  <w:endnote w:id="17">
    <w:p w14:paraId="530950A0" w14:textId="77777777" w:rsidR="00CC3880" w:rsidRPr="00DA00AB" w:rsidRDefault="00CC3880" w:rsidP="00DA00AB">
      <w:pPr>
        <w:pStyle w:val="EndnoteText"/>
        <w:spacing w:after="60"/>
      </w:pPr>
      <w:r w:rsidRPr="00DA00AB">
        <w:rPr>
          <w:rStyle w:val="EndnoteReference"/>
        </w:rPr>
        <w:endnoteRef/>
      </w:r>
      <w:r w:rsidRPr="00DA00AB">
        <w:t xml:space="preserve"> UN Committee on Economic, Social and Cultural Rights (2016), General Comment 22 on the right to sexual and reproductive health, para. 31. </w:t>
      </w:r>
    </w:p>
  </w:endnote>
  <w:endnote w:id="18">
    <w:p w14:paraId="19F82405" w14:textId="2EEA30B5" w:rsidR="00E21886" w:rsidRPr="00DA00AB" w:rsidRDefault="00E21886" w:rsidP="00DA00AB">
      <w:pPr>
        <w:pStyle w:val="EndnoteText"/>
        <w:spacing w:after="60"/>
      </w:pPr>
      <w:r w:rsidRPr="00DA00AB">
        <w:rPr>
          <w:rStyle w:val="EndnoteReference"/>
        </w:rPr>
        <w:endnoteRef/>
      </w:r>
      <w:r w:rsidRPr="00DA00AB">
        <w:t xml:space="preserve"> </w:t>
      </w:r>
      <w:hyperlink r:id="rId14" w:history="1">
        <w:r w:rsidRPr="00DA00AB">
          <w:rPr>
            <w:rStyle w:val="Hyperlink"/>
          </w:rPr>
          <w:t>https://www.unodc.org/documents/justice-and-prison-reform/Bangkok_Rules_ENG_22032015.pdf</w:t>
        </w:r>
      </w:hyperlink>
      <w:r w:rsidRPr="00DA00AB">
        <w:t xml:space="preserve">, p. 27. </w:t>
      </w:r>
    </w:p>
  </w:endnote>
  <w:endnote w:id="19">
    <w:p w14:paraId="3235A502" w14:textId="4E509FE8" w:rsidR="0010109C" w:rsidRPr="00DA00AB" w:rsidRDefault="0010109C" w:rsidP="00DA00AB">
      <w:pPr>
        <w:pStyle w:val="EndnoteText"/>
        <w:spacing w:after="60"/>
      </w:pPr>
      <w:r w:rsidRPr="00DA00AB">
        <w:rPr>
          <w:rStyle w:val="EndnoteReference"/>
        </w:rPr>
        <w:endnoteRef/>
      </w:r>
      <w:r w:rsidRPr="00DA00AB">
        <w:t xml:space="preserve"> </w:t>
      </w:r>
      <w:hyperlink r:id="rId15" w:history="1">
        <w:r w:rsidRPr="00DA00AB">
          <w:rPr>
            <w:rStyle w:val="Hyperlink"/>
          </w:rPr>
          <w:t>https://www.unodc.org/documents/justice-and-prison-reform/Bangkok_Rules_ENG_22032015.pdf</w:t>
        </w:r>
      </w:hyperlink>
      <w:r w:rsidRPr="00DA00AB">
        <w:t xml:space="preserve">, p. 28. </w:t>
      </w:r>
    </w:p>
  </w:endnote>
  <w:endnote w:id="20">
    <w:p w14:paraId="7E0B6278" w14:textId="574BA58D" w:rsidR="00967595" w:rsidRPr="00DA00AB" w:rsidRDefault="00967595" w:rsidP="00DA00AB">
      <w:pPr>
        <w:pStyle w:val="EndnoteText"/>
        <w:spacing w:after="60"/>
      </w:pPr>
      <w:r w:rsidRPr="00DA00AB">
        <w:rPr>
          <w:rStyle w:val="EndnoteReference"/>
        </w:rPr>
        <w:endnoteRef/>
      </w:r>
      <w:r w:rsidRPr="00DA00AB">
        <w:t xml:space="preserve"> </w:t>
      </w:r>
      <w:hyperlink r:id="rId16" w:history="1">
        <w:r w:rsidRPr="00DA00AB">
          <w:rPr>
            <w:rStyle w:val="Hyperlink"/>
          </w:rPr>
          <w:t>https://www.unodc.org/documents/justice-and-prison-reform/Bangkok_Rules_ENG_22032015.pdf</w:t>
        </w:r>
      </w:hyperlink>
      <w:r w:rsidRPr="00DA00AB">
        <w:t xml:space="preserve">, p. 31. </w:t>
      </w:r>
    </w:p>
  </w:endnote>
  <w:endnote w:id="21">
    <w:p w14:paraId="7EE16003" w14:textId="750A80AA" w:rsidR="00E21886" w:rsidRPr="00DA00AB" w:rsidRDefault="00E21886" w:rsidP="00DA00AB">
      <w:pPr>
        <w:pStyle w:val="EndnoteText"/>
        <w:spacing w:after="60"/>
      </w:pPr>
      <w:r w:rsidRPr="00DA00AB">
        <w:rPr>
          <w:rStyle w:val="EndnoteReference"/>
        </w:rPr>
        <w:endnoteRef/>
      </w:r>
      <w:r w:rsidRPr="00DA00AB">
        <w:t xml:space="preserve"> </w:t>
      </w:r>
      <w:hyperlink r:id="rId17" w:history="1">
        <w:r w:rsidRPr="00DA00AB">
          <w:rPr>
            <w:rStyle w:val="Hyperlink"/>
          </w:rPr>
          <w:t>https://www.unodc.org/documents/justice-and-prison-reform/Bangkok_Rules_ENG_22032015.pdf</w:t>
        </w:r>
      </w:hyperlink>
      <w:r w:rsidRPr="00DA00AB">
        <w:t xml:space="preserve">, p. 33. </w:t>
      </w:r>
    </w:p>
  </w:endnote>
  <w:endnote w:id="22">
    <w:p w14:paraId="24CEA60C" w14:textId="0C205A06" w:rsidR="00967595" w:rsidRPr="00DA00AB" w:rsidRDefault="00967595" w:rsidP="00DA00AB">
      <w:pPr>
        <w:pStyle w:val="EndnoteText"/>
        <w:spacing w:after="60"/>
      </w:pPr>
      <w:r w:rsidRPr="00DA00AB">
        <w:rPr>
          <w:rStyle w:val="EndnoteReference"/>
        </w:rPr>
        <w:endnoteRef/>
      </w:r>
      <w:r w:rsidRPr="00DA00AB">
        <w:t xml:space="preserve"> </w:t>
      </w:r>
      <w:hyperlink r:id="rId18" w:history="1">
        <w:r w:rsidRPr="00DA00AB">
          <w:rPr>
            <w:rStyle w:val="Hyperlink"/>
          </w:rPr>
          <w:t>https://www.unodc.org/documents/justice-and-prison-reform/Bangkok_Rules_ENG_22032015.pdf</w:t>
        </w:r>
      </w:hyperlink>
      <w:r w:rsidRPr="00DA00AB">
        <w:t xml:space="preserve">, p. 33. </w:t>
      </w:r>
    </w:p>
  </w:endnote>
  <w:endnote w:id="23">
    <w:p w14:paraId="5DB651D1" w14:textId="6AE6D5A3" w:rsidR="00C141D9" w:rsidRPr="00DA00AB" w:rsidRDefault="00C141D9" w:rsidP="00DA00AB">
      <w:pPr>
        <w:pStyle w:val="EndnoteText"/>
        <w:spacing w:after="60"/>
      </w:pPr>
      <w:r w:rsidRPr="00DA00AB">
        <w:rPr>
          <w:rStyle w:val="EndnoteReference"/>
        </w:rPr>
        <w:endnoteRef/>
      </w:r>
      <w:r w:rsidRPr="00DA00AB">
        <w:t xml:space="preserve"> </w:t>
      </w:r>
      <w:hyperlink r:id="rId19" w:history="1">
        <w:r w:rsidRPr="00DA00AB">
          <w:rPr>
            <w:rStyle w:val="Hyperlink"/>
          </w:rPr>
          <w:t>https://www.unodc.org/documents/justice-and-prison-reform/Bangkok_Rules_ENG_22032015.pdf</w:t>
        </w:r>
      </w:hyperlink>
      <w:r w:rsidRPr="00DA00AB">
        <w:t xml:space="preserve">, p. 27. </w:t>
      </w:r>
    </w:p>
  </w:endnote>
  <w:endnote w:id="24">
    <w:p w14:paraId="07C45780" w14:textId="0350A1D6" w:rsidR="00235F5B" w:rsidRPr="00DA00AB" w:rsidRDefault="00235F5B" w:rsidP="00DA00AB">
      <w:pPr>
        <w:pStyle w:val="EndnoteText"/>
        <w:spacing w:after="60"/>
        <w:rPr>
          <w:lang w:val="es-ES"/>
        </w:rPr>
      </w:pPr>
      <w:r w:rsidRPr="00DA00AB">
        <w:rPr>
          <w:rStyle w:val="EndnoteReference"/>
        </w:rPr>
        <w:endnoteRef/>
      </w:r>
      <w:r w:rsidRPr="00DA00AB">
        <w:rPr>
          <w:lang w:val="es-ES"/>
        </w:rPr>
        <w:t xml:space="preserve"> </w:t>
      </w:r>
      <w:hyperlink r:id="rId20" w:history="1">
        <w:r w:rsidRPr="00DA00AB">
          <w:rPr>
            <w:rStyle w:val="Hyperlink"/>
            <w:lang w:val="es-ES"/>
          </w:rPr>
          <w:t>https://routesjournal.org/2020/08/15/r2009/</w:t>
        </w:r>
      </w:hyperlink>
      <w:r w:rsidRPr="00DA00AB">
        <w:rPr>
          <w:lang w:val="es-ES"/>
        </w:rPr>
        <w:t xml:space="preserve"> </w:t>
      </w:r>
    </w:p>
  </w:endnote>
  <w:endnote w:id="25">
    <w:p w14:paraId="71E3516F" w14:textId="24D04596" w:rsidR="00C141D9" w:rsidRPr="00DA00AB" w:rsidRDefault="00C141D9" w:rsidP="00DA00AB">
      <w:pPr>
        <w:pStyle w:val="EndnoteText"/>
        <w:spacing w:after="60"/>
      </w:pPr>
      <w:r w:rsidRPr="00DA00AB">
        <w:rPr>
          <w:rStyle w:val="EndnoteReference"/>
        </w:rPr>
        <w:endnoteRef/>
      </w:r>
      <w:r w:rsidRPr="00DA00AB">
        <w:rPr>
          <w:lang w:val="es-ES"/>
        </w:rPr>
        <w:t xml:space="preserve"> CEDAW/C/MDA/CO/6, para. </w:t>
      </w:r>
      <w:r w:rsidRPr="00DA00AB">
        <w:t xml:space="preserve">41. </w:t>
      </w:r>
    </w:p>
  </w:endnote>
  <w:endnote w:id="26">
    <w:p w14:paraId="56DB21A2" w14:textId="35A0F3AF" w:rsidR="00C141D9" w:rsidRPr="00DA00AB" w:rsidRDefault="00C141D9" w:rsidP="00DA00AB">
      <w:pPr>
        <w:pStyle w:val="EndnoteText"/>
        <w:spacing w:after="60"/>
      </w:pPr>
      <w:r w:rsidRPr="00DA00AB">
        <w:rPr>
          <w:rStyle w:val="EndnoteReference"/>
        </w:rPr>
        <w:endnoteRef/>
      </w:r>
      <w:r w:rsidRPr="00DA00AB">
        <w:t xml:space="preserve"> CEDAW/C/ETH/CO/8, para. 56. </w:t>
      </w:r>
    </w:p>
  </w:endnote>
  <w:endnote w:id="27">
    <w:p w14:paraId="39732FFF" w14:textId="05C038B5" w:rsidR="00C141D9" w:rsidRPr="00DA00AB" w:rsidRDefault="00C141D9" w:rsidP="00DA00AB">
      <w:pPr>
        <w:pStyle w:val="EndnoteText"/>
        <w:spacing w:after="60"/>
      </w:pPr>
      <w:r w:rsidRPr="00DA00AB">
        <w:rPr>
          <w:rStyle w:val="EndnoteReference"/>
        </w:rPr>
        <w:endnoteRef/>
      </w:r>
      <w:r w:rsidRPr="00DA00AB">
        <w:t xml:space="preserve"> CEDAW/C/PRY/CO/7, para. 44.</w:t>
      </w:r>
    </w:p>
  </w:endnote>
  <w:endnote w:id="28">
    <w:p w14:paraId="57DDA2AE" w14:textId="5835D7AD" w:rsidR="00921782" w:rsidRPr="00DA00AB" w:rsidRDefault="00921782" w:rsidP="00DA00AB">
      <w:pPr>
        <w:pStyle w:val="EndnoteText"/>
        <w:spacing w:after="60"/>
      </w:pPr>
      <w:r w:rsidRPr="00DA00AB">
        <w:rPr>
          <w:rStyle w:val="EndnoteReference"/>
        </w:rPr>
        <w:endnoteRef/>
      </w:r>
      <w:r w:rsidRPr="00DA00AB">
        <w:t xml:space="preserve"> </w:t>
      </w:r>
      <w:hyperlink r:id="rId21" w:history="1">
        <w:r w:rsidRPr="00DA00AB">
          <w:rPr>
            <w:rStyle w:val="Hyperlink"/>
          </w:rPr>
          <w:t>https://rm.coe.int/168077ff14</w:t>
        </w:r>
      </w:hyperlink>
      <w:r w:rsidRPr="00DA00AB">
        <w:t xml:space="preserve">, p. 4. </w:t>
      </w:r>
    </w:p>
  </w:endnote>
  <w:endnote w:id="29">
    <w:p w14:paraId="474716C9" w14:textId="78E87C3E" w:rsidR="005D7352" w:rsidRPr="00DA00AB" w:rsidRDefault="005D7352" w:rsidP="00DA00AB">
      <w:pPr>
        <w:pStyle w:val="EndnoteText"/>
        <w:spacing w:after="60"/>
      </w:pPr>
      <w:r w:rsidRPr="00DA00AB">
        <w:rPr>
          <w:rStyle w:val="EndnoteReference"/>
        </w:rPr>
        <w:endnoteRef/>
      </w:r>
      <w:r w:rsidRPr="00DA00AB">
        <w:t xml:space="preserve"> </w:t>
      </w:r>
      <w:hyperlink r:id="rId22" w:history="1">
        <w:r w:rsidRPr="00DA00AB">
          <w:rPr>
            <w:rStyle w:val="Hyperlink"/>
          </w:rPr>
          <w:t>https://www.jpp.org.pk/covid19-prisoners/</w:t>
        </w:r>
      </w:hyperlink>
      <w:r w:rsidRPr="00DA00AB">
        <w:t xml:space="preserve"> </w:t>
      </w:r>
    </w:p>
  </w:endnote>
  <w:endnote w:id="30">
    <w:p w14:paraId="7010EEC7" w14:textId="33808F26" w:rsidR="00C13F3B" w:rsidRPr="00DA00AB" w:rsidRDefault="00C13F3B" w:rsidP="00DA00AB">
      <w:pPr>
        <w:pStyle w:val="EndnoteText"/>
        <w:spacing w:after="60"/>
      </w:pPr>
      <w:r w:rsidRPr="00DA00AB">
        <w:rPr>
          <w:rStyle w:val="EndnoteReference"/>
        </w:rPr>
        <w:endnoteRef/>
      </w:r>
      <w:r w:rsidRPr="00DA00AB">
        <w:t xml:space="preserve"> </w:t>
      </w:r>
      <w:hyperlink r:id="rId23" w:history="1">
        <w:r w:rsidRPr="00DA00AB">
          <w:rPr>
            <w:rStyle w:val="Hyperlink"/>
          </w:rPr>
          <w:t>https://cdn.penalreform.org/wp-content/uploads/2021/02/ACHPR-Newsletter-No-14.pdf</w:t>
        </w:r>
      </w:hyperlink>
      <w:r w:rsidRPr="00DA00AB">
        <w:t xml:space="preserve">, p. 12. </w:t>
      </w:r>
    </w:p>
  </w:endnote>
  <w:endnote w:id="31">
    <w:p w14:paraId="441FDE4A" w14:textId="776377A2" w:rsidR="009D59EC" w:rsidRPr="00DA00AB" w:rsidRDefault="009D59EC" w:rsidP="00DA00AB">
      <w:pPr>
        <w:pStyle w:val="EndnoteText"/>
        <w:spacing w:after="60"/>
      </w:pPr>
      <w:r w:rsidRPr="00DA00AB">
        <w:rPr>
          <w:rStyle w:val="EndnoteReference"/>
        </w:rPr>
        <w:endnoteRef/>
      </w:r>
      <w:r w:rsidRPr="00DA00AB">
        <w:t xml:space="preserve"> </w:t>
      </w:r>
      <w:hyperlink r:id="rId24" w:history="1">
        <w:r w:rsidRPr="00DA00AB">
          <w:rPr>
            <w:rStyle w:val="Hyperlink"/>
          </w:rPr>
          <w:t>https://www.who.int/news/item/13-05-2020-unodc-who-unaids-and-ohchr-joint-statement-on-covid-19-in-prisons-and-other-closed-settings</w:t>
        </w:r>
      </w:hyperlink>
      <w:r w:rsidRPr="00DA00AB">
        <w:t xml:space="preserve"> </w:t>
      </w:r>
    </w:p>
  </w:endnote>
  <w:endnote w:id="32">
    <w:p w14:paraId="1982224F" w14:textId="75F4B68B" w:rsidR="005E5404" w:rsidRPr="00DA00AB" w:rsidRDefault="005E5404" w:rsidP="00DA00AB">
      <w:pPr>
        <w:pStyle w:val="EndnoteText"/>
        <w:spacing w:after="60"/>
      </w:pPr>
      <w:r w:rsidRPr="00DA00AB">
        <w:rPr>
          <w:rStyle w:val="EndnoteReference"/>
        </w:rPr>
        <w:endnoteRef/>
      </w:r>
      <w:r w:rsidRPr="00DA00AB">
        <w:t xml:space="preserve"> </w:t>
      </w:r>
      <w:hyperlink r:id="rId25" w:history="1">
        <w:r w:rsidRPr="00DA00AB">
          <w:rPr>
            <w:rStyle w:val="Hyperlink"/>
          </w:rPr>
          <w:t>https://www.hri.global/covid-19-prison-diversion-measures</w:t>
        </w:r>
      </w:hyperlink>
      <w:r w:rsidRPr="00DA00AB">
        <w:t xml:space="preserve"> </w:t>
      </w:r>
    </w:p>
  </w:endnote>
  <w:endnote w:id="33">
    <w:p w14:paraId="3F052D75" w14:textId="2C0B49D2" w:rsidR="007547A8" w:rsidRPr="00DA00AB" w:rsidRDefault="007547A8" w:rsidP="00DA00AB">
      <w:pPr>
        <w:pStyle w:val="EndnoteText"/>
        <w:spacing w:after="60"/>
      </w:pPr>
      <w:r w:rsidRPr="00DA00AB">
        <w:rPr>
          <w:rStyle w:val="EndnoteReference"/>
        </w:rPr>
        <w:endnoteRef/>
      </w:r>
      <w:r w:rsidRPr="00DA00AB">
        <w:t xml:space="preserve"> </w:t>
      </w:r>
      <w:hyperlink r:id="rId26" w:history="1">
        <w:r w:rsidRPr="00DA00AB">
          <w:rPr>
            <w:rStyle w:val="Hyperlink"/>
          </w:rPr>
          <w:t>http://fileserver.idpc.net/library/Punitive_Drug_Laws_10_years_undermining_the_Bangkok_Rules.pdf</w:t>
        </w:r>
      </w:hyperlink>
      <w:r w:rsidRPr="00DA00AB">
        <w:t xml:space="preserve">, p. 10. </w:t>
      </w:r>
    </w:p>
  </w:endnote>
  <w:endnote w:id="34">
    <w:p w14:paraId="6F2078C7" w14:textId="3BE20AF2" w:rsidR="001A77E5" w:rsidRPr="00DA00AB" w:rsidRDefault="001A77E5" w:rsidP="00DA00AB">
      <w:pPr>
        <w:pStyle w:val="EndnoteText"/>
        <w:spacing w:after="60"/>
      </w:pPr>
      <w:r w:rsidRPr="00DA00AB">
        <w:rPr>
          <w:rStyle w:val="EndnoteReference"/>
        </w:rPr>
        <w:endnoteRef/>
      </w:r>
      <w:r w:rsidRPr="00DA00AB">
        <w:t xml:space="preserve"> See case studies on Colombia and Ireland in: </w:t>
      </w:r>
      <w:hyperlink r:id="rId27" w:history="1">
        <w:r w:rsidRPr="00DA00AB">
          <w:rPr>
            <w:rStyle w:val="Hyperlink"/>
          </w:rPr>
          <w:t>https://idpc.net/publications/2021/03/prisons-and-covid-19-lessons-from-an-ongoing-crisis</w:t>
        </w:r>
      </w:hyperlink>
      <w:r w:rsidRPr="00DA00AB">
        <w:t xml:space="preserve"> </w:t>
      </w:r>
    </w:p>
  </w:endnote>
  <w:endnote w:id="35">
    <w:p w14:paraId="5BD89257" w14:textId="332AE75D" w:rsidR="00235F5B" w:rsidRPr="00DA00AB" w:rsidRDefault="00235F5B" w:rsidP="00DA00AB">
      <w:pPr>
        <w:pStyle w:val="EndnoteText"/>
        <w:spacing w:after="60"/>
      </w:pPr>
      <w:r w:rsidRPr="00DA00AB">
        <w:rPr>
          <w:rStyle w:val="EndnoteReference"/>
        </w:rPr>
        <w:endnoteRef/>
      </w:r>
      <w:r w:rsidRPr="00DA00AB">
        <w:t xml:space="preserve"> See for instance: </w:t>
      </w:r>
      <w:hyperlink r:id="rId28" w:history="1">
        <w:r w:rsidRPr="00DA00AB">
          <w:rPr>
            <w:rStyle w:val="Hyperlink"/>
          </w:rPr>
          <w:t>https://www.yorkpress.co.uk/news/18407985.prisoners-view-lockdown-prison/</w:t>
        </w:r>
      </w:hyperlink>
      <w:r w:rsidRPr="00DA00AB">
        <w:t xml:space="preserve">, </w:t>
      </w:r>
      <w:hyperlink r:id="rId29" w:history="1">
        <w:r w:rsidRPr="00DA00AB">
          <w:rPr>
            <w:rStyle w:val="Hyperlink"/>
          </w:rPr>
          <w:t>https://netherlandsnewslive.com/corona-and-prisons-a-lockdown-within-a-lockdown-not-being-allowed-to-hug-your-child-thats-very-tough/66581/</w:t>
        </w:r>
      </w:hyperlink>
      <w:r w:rsidRPr="00DA00AB">
        <w:t xml:space="preserve"> </w:t>
      </w:r>
    </w:p>
  </w:endnote>
  <w:endnote w:id="36">
    <w:p w14:paraId="0F02770F" w14:textId="561B0CC4" w:rsidR="00865660" w:rsidRPr="00DA00AB" w:rsidRDefault="00865660" w:rsidP="00DA00AB">
      <w:pPr>
        <w:pStyle w:val="EndnoteText"/>
        <w:spacing w:after="60"/>
      </w:pPr>
      <w:r w:rsidRPr="00DA00AB">
        <w:rPr>
          <w:rStyle w:val="EndnoteReference"/>
        </w:rPr>
        <w:endnoteRef/>
      </w:r>
      <w:r w:rsidRPr="00DA00AB">
        <w:t xml:space="preserve"> </w:t>
      </w:r>
      <w:hyperlink r:id="rId30" w:history="1">
        <w:r w:rsidRPr="00DA00AB">
          <w:rPr>
            <w:rStyle w:val="Hyperlink"/>
          </w:rPr>
          <w:t>https://cdn.penalreform.org/wp-content/uploads/2021/05/Global-prison-trends-2021.pdf</w:t>
        </w:r>
      </w:hyperlink>
      <w:r w:rsidRPr="00DA00AB">
        <w:t xml:space="preserve">, p. 33. </w:t>
      </w:r>
    </w:p>
  </w:endnote>
  <w:endnote w:id="37">
    <w:p w14:paraId="5BF32876" w14:textId="41CAF060" w:rsidR="00D66F98" w:rsidRPr="00DA00AB" w:rsidRDefault="00D66F98" w:rsidP="00DA00AB">
      <w:pPr>
        <w:pStyle w:val="EndnoteText"/>
        <w:spacing w:after="60"/>
      </w:pPr>
      <w:r w:rsidRPr="00DA00AB">
        <w:rPr>
          <w:rStyle w:val="EndnoteReference"/>
        </w:rPr>
        <w:endnoteRef/>
      </w:r>
      <w:r w:rsidRPr="00DA00AB">
        <w:t xml:space="preserve"> </w:t>
      </w:r>
      <w:hyperlink r:id="rId31" w:history="1">
        <w:r w:rsidRPr="00DA00AB">
          <w:rPr>
            <w:rStyle w:val="Hyperlink"/>
          </w:rPr>
          <w:t>https://cdn.penalreform.org/wp-content/uploads/2021/05/Global-prison-trends-2021.pdf</w:t>
        </w:r>
      </w:hyperlink>
      <w:r w:rsidRPr="00DA00AB">
        <w:t xml:space="preserve">, p. </w:t>
      </w:r>
      <w:r w:rsidR="00A67E18" w:rsidRPr="00DA00AB">
        <w:t>32</w:t>
      </w:r>
      <w:r w:rsidRPr="00DA00AB">
        <w:t xml:space="preserve">. </w:t>
      </w:r>
    </w:p>
  </w:endnote>
  <w:endnote w:id="38">
    <w:p w14:paraId="387FA91E" w14:textId="7FE59378" w:rsidR="00865660" w:rsidRPr="00DA00AB" w:rsidRDefault="00865660" w:rsidP="00DA00AB">
      <w:pPr>
        <w:pStyle w:val="EndnoteText"/>
        <w:spacing w:after="60"/>
      </w:pPr>
      <w:r w:rsidRPr="00DA00AB">
        <w:rPr>
          <w:rStyle w:val="EndnoteReference"/>
        </w:rPr>
        <w:endnoteRef/>
      </w:r>
      <w:r w:rsidRPr="00DA00AB">
        <w:t xml:space="preserve"> </w:t>
      </w:r>
      <w:hyperlink r:id="rId32" w:history="1">
        <w:r w:rsidRPr="00DA00AB">
          <w:rPr>
            <w:rStyle w:val="Hyperlink"/>
          </w:rPr>
          <w:t>https://cdn.penalreform.org/wp-content/uploads/2021/05/Global-prison-trends-2021.pdf</w:t>
        </w:r>
      </w:hyperlink>
      <w:r w:rsidRPr="00DA00AB">
        <w:t xml:space="preserve">, p. 33. </w:t>
      </w:r>
    </w:p>
  </w:endnote>
  <w:endnote w:id="39">
    <w:p w14:paraId="4036A363" w14:textId="696376D9" w:rsidR="00DA00AB" w:rsidRPr="00DA00AB" w:rsidRDefault="00DA00AB" w:rsidP="00DA00AB">
      <w:pPr>
        <w:pStyle w:val="EndnoteText"/>
        <w:spacing w:after="60"/>
      </w:pPr>
      <w:r w:rsidRPr="00DA00AB">
        <w:rPr>
          <w:rStyle w:val="EndnoteReference"/>
        </w:rPr>
        <w:endnoteRef/>
      </w:r>
      <w:r w:rsidRPr="00DA00AB">
        <w:t xml:space="preserve"> </w:t>
      </w:r>
      <w:hyperlink r:id="rId33" w:tgtFrame="_blank" w:history="1">
        <w:r w:rsidRPr="00DA00AB">
          <w:rPr>
            <w:rStyle w:val="Hyperlink"/>
            <w:color w:val="0563C1"/>
          </w:rPr>
          <w:t>https://www.news18.com/news/opinion/opinion-menstrual-hygiene-in-indian-prisons-needs-attention-period-2696461.html</w:t>
        </w:r>
      </w:hyperlink>
      <w:r w:rsidRPr="00DA00AB">
        <w:t xml:space="preserve"> </w:t>
      </w:r>
    </w:p>
  </w:endnote>
  <w:endnote w:id="40">
    <w:p w14:paraId="647AA106" w14:textId="23C1DB25" w:rsidR="00C13F3B" w:rsidRPr="00DA00AB" w:rsidRDefault="00C13F3B" w:rsidP="00DA00AB">
      <w:pPr>
        <w:pStyle w:val="EndnoteText"/>
        <w:spacing w:after="60"/>
      </w:pPr>
      <w:r w:rsidRPr="00DA00AB">
        <w:rPr>
          <w:rStyle w:val="EndnoteReference"/>
        </w:rPr>
        <w:endnoteRef/>
      </w:r>
      <w:r w:rsidRPr="00DA00AB">
        <w:t xml:space="preserve"> </w:t>
      </w:r>
      <w:hyperlink r:id="rId34" w:history="1">
        <w:r w:rsidRPr="00DA00AB">
          <w:rPr>
            <w:rStyle w:val="Hyperlink"/>
          </w:rPr>
          <w:t>https://cdn.penalreform.org/wp-content/uploads/2021/02/ACHPR-Newsletter-No-14.pdf</w:t>
        </w:r>
      </w:hyperlink>
      <w:r w:rsidRPr="00DA00AB">
        <w:t xml:space="preserve">, p. 12. </w:t>
      </w:r>
    </w:p>
  </w:endnote>
  <w:endnote w:id="41">
    <w:p w14:paraId="26B32601" w14:textId="4D284083" w:rsidR="00761BAC" w:rsidRPr="00DA00AB" w:rsidRDefault="00761BAC" w:rsidP="00DA00AB">
      <w:pPr>
        <w:pStyle w:val="EndnoteText"/>
        <w:spacing w:after="60"/>
      </w:pPr>
      <w:r w:rsidRPr="00DA00AB">
        <w:rPr>
          <w:rStyle w:val="EndnoteReference"/>
        </w:rPr>
        <w:endnoteRef/>
      </w:r>
      <w:r w:rsidRPr="00DA00AB">
        <w:t xml:space="preserve"> </w:t>
      </w:r>
      <w:hyperlink r:id="rId35" w:history="1">
        <w:r w:rsidRPr="00DA00AB">
          <w:rPr>
            <w:rStyle w:val="Hyperlink"/>
          </w:rPr>
          <w:t>https://www.eluniversal.com.mx/nacion/reclusas-improvisan-toallas-sanitarias-con-trapos-y-calcetines</w:t>
        </w:r>
      </w:hyperlink>
      <w:r w:rsidRPr="00DA00AB">
        <w:t xml:space="preserve"> </w:t>
      </w:r>
    </w:p>
  </w:endnote>
  <w:endnote w:id="42">
    <w:p w14:paraId="77986E2C" w14:textId="752EAA58" w:rsidR="00761BAC" w:rsidRPr="00DA00AB" w:rsidRDefault="00761BAC" w:rsidP="00DA00AB">
      <w:pPr>
        <w:pStyle w:val="EndnoteText"/>
        <w:spacing w:after="60"/>
      </w:pPr>
      <w:r w:rsidRPr="00DA00AB">
        <w:rPr>
          <w:rStyle w:val="EndnoteReference"/>
        </w:rPr>
        <w:endnoteRef/>
      </w:r>
      <w:r w:rsidRPr="00DA00AB">
        <w:t xml:space="preserve"> </w:t>
      </w:r>
      <w:hyperlink r:id="rId36" w:history="1">
        <w:r w:rsidRPr="00DA00AB">
          <w:rPr>
            <w:rStyle w:val="Hyperlink"/>
          </w:rPr>
          <w:t>https://www.reforma.com/aplicacioneslibre/preacceso/articulo/default.aspx?__rval=1&amp;urlredirect=https://www.reforma.com/exigen-menstruacion-digna-en-prisiones/ar2144986?referer=--7d616165662f3a3a6262623b727a7a7279703b767a783a--</w:t>
        </w:r>
      </w:hyperlink>
      <w:r w:rsidRPr="00DA00AB">
        <w:t xml:space="preserve"> </w:t>
      </w:r>
    </w:p>
  </w:endnote>
  <w:endnote w:id="43">
    <w:p w14:paraId="6897FADB" w14:textId="6108C9EE" w:rsidR="00064F8A" w:rsidRPr="00DA00AB" w:rsidRDefault="00064F8A" w:rsidP="00DA00AB">
      <w:pPr>
        <w:pStyle w:val="EndnoteText"/>
        <w:spacing w:after="60"/>
      </w:pPr>
      <w:r w:rsidRPr="00DA00AB">
        <w:rPr>
          <w:rStyle w:val="EndnoteReference"/>
        </w:rPr>
        <w:endnoteRef/>
      </w:r>
      <w:r w:rsidRPr="00DA00AB">
        <w:t xml:space="preserve"> See case study on Colombia and Ireland in: </w:t>
      </w:r>
      <w:hyperlink r:id="rId37" w:history="1">
        <w:r w:rsidRPr="00DA00AB">
          <w:rPr>
            <w:rStyle w:val="Hyperlink"/>
          </w:rPr>
          <w:t>https://idpc.net/publications/2021/03/prisons-and-covid-19-lessons-from-an-ongoing-crisis</w:t>
        </w:r>
      </w:hyperlink>
    </w:p>
  </w:endnote>
  <w:endnote w:id="44">
    <w:p w14:paraId="5446C55C" w14:textId="3286BE2A" w:rsidR="00DA00AB" w:rsidRPr="00DA00AB" w:rsidRDefault="00DA00AB" w:rsidP="00DA00AB">
      <w:pPr>
        <w:pStyle w:val="NormalWeb"/>
        <w:spacing w:before="0" w:beforeAutospacing="0" w:after="60" w:afterAutospacing="0"/>
        <w:rPr>
          <w:rFonts w:ascii="Times New Roman" w:hAnsi="Times New Roman" w:cs="Times New Roman"/>
          <w:sz w:val="20"/>
          <w:szCs w:val="20"/>
        </w:rPr>
      </w:pPr>
      <w:r w:rsidRPr="00DA00AB">
        <w:rPr>
          <w:rStyle w:val="EndnoteReference"/>
          <w:rFonts w:ascii="Times New Roman" w:hAnsi="Times New Roman" w:cs="Times New Roman"/>
          <w:sz w:val="20"/>
          <w:szCs w:val="20"/>
        </w:rPr>
        <w:endnoteRef/>
      </w:r>
      <w:hyperlink r:id="rId38" w:history="1">
        <w:r w:rsidRPr="00DA00AB">
          <w:rPr>
            <w:rStyle w:val="Hyperlink"/>
            <w:rFonts w:ascii="Times New Roman" w:hAnsi="Times New Roman" w:cs="Times New Roman"/>
            <w:sz w:val="20"/>
            <w:szCs w:val="20"/>
          </w:rPr>
          <w:t>https://humanrightsinitiative.org/download/Responding%20to%20the%20Pandemic%20Prisons%20&amp;%20Overcrowding%20Vol%201.pdf</w:t>
        </w:r>
      </w:hyperlink>
      <w:r w:rsidRPr="00DA00AB">
        <w:rPr>
          <w:rFonts w:ascii="Times New Roman" w:hAnsi="Times New Roman" w:cs="Times New Roman"/>
          <w:sz w:val="20"/>
          <w:szCs w:val="20"/>
        </w:rPr>
        <w:t xml:space="preserve"> p.43 </w:t>
      </w:r>
    </w:p>
  </w:endnote>
  <w:endnote w:id="45">
    <w:p w14:paraId="67596E6F" w14:textId="676E11CA" w:rsidR="0086222E" w:rsidRPr="00DA00AB" w:rsidRDefault="0086222E" w:rsidP="00DA00AB">
      <w:pPr>
        <w:pStyle w:val="EndnoteText"/>
        <w:spacing w:after="60"/>
      </w:pPr>
      <w:r w:rsidRPr="00DA00AB">
        <w:rPr>
          <w:rStyle w:val="EndnoteReference"/>
        </w:rPr>
        <w:endnoteRef/>
      </w:r>
      <w:r w:rsidRPr="00DA00AB">
        <w:t xml:space="preserve"> Annex, p. 2. </w:t>
      </w:r>
    </w:p>
  </w:endnote>
  <w:endnote w:id="46">
    <w:p w14:paraId="0A9D93F4" w14:textId="77777777" w:rsidR="005D18F1" w:rsidRPr="00DA00AB" w:rsidRDefault="005D18F1" w:rsidP="00DA00AB">
      <w:pPr>
        <w:pStyle w:val="EndnoteText"/>
        <w:spacing w:after="60"/>
      </w:pPr>
      <w:r w:rsidRPr="00DA00AB">
        <w:rPr>
          <w:rStyle w:val="EndnoteReference"/>
        </w:rPr>
        <w:endnoteRef/>
      </w:r>
      <w:r w:rsidRPr="00DA00AB">
        <w:t xml:space="preserve"> </w:t>
      </w:r>
      <w:hyperlink r:id="rId39" w:history="1">
        <w:r w:rsidRPr="00DA00AB">
          <w:rPr>
            <w:rStyle w:val="Hyperlink"/>
          </w:rPr>
          <w:t>https://cdn.penalreform.org/wp-content/uploads/2021/05/Global-prison-trends-2021.pdf</w:t>
        </w:r>
      </w:hyperlink>
      <w:r w:rsidRPr="00DA00AB">
        <w:t xml:space="preserve">, p. 22. </w:t>
      </w:r>
    </w:p>
  </w:endnote>
  <w:endnote w:id="47">
    <w:p w14:paraId="0CB35942" w14:textId="272484E3" w:rsidR="005D18F1" w:rsidRPr="00DA00AB" w:rsidRDefault="005D18F1" w:rsidP="00DA00AB">
      <w:pPr>
        <w:pStyle w:val="EndnoteText"/>
        <w:spacing w:after="60"/>
      </w:pPr>
      <w:r w:rsidRPr="00DA00AB">
        <w:rPr>
          <w:rStyle w:val="EndnoteReference"/>
        </w:rPr>
        <w:endnoteRef/>
      </w:r>
      <w:r w:rsidRPr="00DA00AB">
        <w:t xml:space="preserve"> </w:t>
      </w:r>
      <w:hyperlink r:id="rId40" w:history="1">
        <w:r w:rsidRPr="00DA00AB">
          <w:rPr>
            <w:rStyle w:val="Hyperlink"/>
          </w:rPr>
          <w:t>https://www.penalreform.org/blog/period-poverty-in-prisons-ensuring-menstrual-hygiene-and/</w:t>
        </w:r>
      </w:hyperlink>
      <w:r w:rsidRPr="00DA00AB">
        <w:t xml:space="preserve"> </w:t>
      </w:r>
    </w:p>
  </w:endnote>
  <w:endnote w:id="48">
    <w:p w14:paraId="74215052" w14:textId="570FE710" w:rsidR="00C100FB" w:rsidRPr="00DA00AB" w:rsidRDefault="00C100FB" w:rsidP="00DA00AB">
      <w:pPr>
        <w:pStyle w:val="EndnoteText"/>
        <w:spacing w:after="60"/>
        <w:rPr>
          <w:lang w:val="en-US"/>
        </w:rPr>
      </w:pPr>
      <w:r w:rsidRPr="00DA00AB">
        <w:rPr>
          <w:rStyle w:val="EndnoteReference"/>
        </w:rPr>
        <w:endnoteRef/>
      </w:r>
      <w:r w:rsidRPr="00DA00AB">
        <w:t xml:space="preserve"> https://www.reuters.com/article/us-thailand-prison-women-trfn-idUSKBN2861HT</w:t>
      </w:r>
    </w:p>
  </w:endnote>
  <w:endnote w:id="49">
    <w:p w14:paraId="70AC21F8" w14:textId="48704228" w:rsidR="004D3BC6" w:rsidRPr="00235F5B" w:rsidRDefault="004D3BC6" w:rsidP="00DA00AB">
      <w:pPr>
        <w:pStyle w:val="EndnoteText"/>
        <w:spacing w:after="60"/>
      </w:pPr>
      <w:r w:rsidRPr="00DA00AB">
        <w:rPr>
          <w:rStyle w:val="EndnoteReference"/>
        </w:rPr>
        <w:endnoteRef/>
      </w:r>
      <w:r w:rsidRPr="00DA00AB">
        <w:t xml:space="preserve"> See for instance: </w:t>
      </w:r>
      <w:hyperlink r:id="rId41" w:history="1">
        <w:r w:rsidRPr="00DA00AB">
          <w:rPr>
            <w:rStyle w:val="Hyperlink"/>
          </w:rPr>
          <w:t>https://routesjournal.org/2020/08/15/r2009/</w:t>
        </w:r>
      </w:hyperlink>
      <w:r w:rsidRPr="00DA00AB">
        <w:t xml:space="preserve">;  </w:t>
      </w:r>
      <w:hyperlink r:id="rId42" w:history="1">
        <w:r w:rsidRPr="00DA00AB">
          <w:rPr>
            <w:rStyle w:val="Hyperlink"/>
          </w:rPr>
          <w:t>https://periodaisle.com/blogs/all/the-hidden-impact-of-period-poverty-in-prisons</w:t>
        </w:r>
      </w:hyperlink>
      <w:r w:rsidRPr="00DA00A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759929"/>
      <w:docPartObj>
        <w:docPartGallery w:val="Page Numbers (Bottom of Page)"/>
        <w:docPartUnique/>
      </w:docPartObj>
    </w:sdtPr>
    <w:sdtEndPr>
      <w:rPr>
        <w:noProof/>
        <w:sz w:val="20"/>
        <w:szCs w:val="20"/>
      </w:rPr>
    </w:sdtEndPr>
    <w:sdtContent>
      <w:p w14:paraId="1FE818EA" w14:textId="6668074B" w:rsidR="0040794D" w:rsidRPr="0040794D" w:rsidRDefault="0040794D">
        <w:pPr>
          <w:pStyle w:val="Footer"/>
          <w:jc w:val="right"/>
          <w:rPr>
            <w:sz w:val="20"/>
            <w:szCs w:val="20"/>
          </w:rPr>
        </w:pPr>
        <w:r w:rsidRPr="0040794D">
          <w:rPr>
            <w:sz w:val="20"/>
            <w:szCs w:val="20"/>
          </w:rPr>
          <w:fldChar w:fldCharType="begin"/>
        </w:r>
        <w:r w:rsidRPr="0040794D">
          <w:rPr>
            <w:sz w:val="20"/>
            <w:szCs w:val="20"/>
          </w:rPr>
          <w:instrText xml:space="preserve"> PAGE   \* MERGEFORMAT </w:instrText>
        </w:r>
        <w:r w:rsidRPr="0040794D">
          <w:rPr>
            <w:sz w:val="20"/>
            <w:szCs w:val="20"/>
          </w:rPr>
          <w:fldChar w:fldCharType="separate"/>
        </w:r>
        <w:r w:rsidR="00312E41">
          <w:rPr>
            <w:noProof/>
            <w:sz w:val="20"/>
            <w:szCs w:val="20"/>
          </w:rPr>
          <w:t>1</w:t>
        </w:r>
        <w:r w:rsidRPr="0040794D">
          <w:rPr>
            <w:noProof/>
            <w:sz w:val="20"/>
            <w:szCs w:val="20"/>
          </w:rPr>
          <w:fldChar w:fldCharType="end"/>
        </w:r>
      </w:p>
    </w:sdtContent>
  </w:sdt>
  <w:p w14:paraId="71D80592" w14:textId="77777777" w:rsidR="00E20BF8" w:rsidRDefault="00E20BF8">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D7BAC" w14:textId="77777777" w:rsidR="00B9288D" w:rsidRDefault="00B9288D">
      <w:r>
        <w:separator/>
      </w:r>
    </w:p>
  </w:footnote>
  <w:footnote w:type="continuationSeparator" w:id="0">
    <w:p w14:paraId="6E4B67F2" w14:textId="77777777" w:rsidR="00B9288D" w:rsidRDefault="00B9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F49C" w14:textId="77777777" w:rsidR="00E20BF8" w:rsidRDefault="00E20BF8">
    <w:pPr>
      <w:pBdr>
        <w:top w:val="nil"/>
        <w:left w:val="nil"/>
        <w:bottom w:val="nil"/>
        <w:right w:val="nil"/>
        <w:between w:val="nil"/>
      </w:pBdr>
      <w:tabs>
        <w:tab w:val="center" w:pos="4513"/>
        <w:tab w:val="right" w:pos="9026"/>
      </w:tabs>
      <w:jc w:val="right"/>
      <w:rPr>
        <w: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DE256" w14:textId="72F789BF" w:rsidR="00A667FB" w:rsidRDefault="00A667FB">
    <w:pPr>
      <w:pBdr>
        <w:top w:val="nil"/>
        <w:left w:val="nil"/>
        <w:bottom w:val="nil"/>
        <w:right w:val="nil"/>
        <w:between w:val="nil"/>
      </w:pBdr>
      <w:tabs>
        <w:tab w:val="center" w:pos="4513"/>
        <w:tab w:val="right" w:pos="9026"/>
      </w:tabs>
      <w:jc w:val="right"/>
      <w:rPr>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EE3"/>
    <w:multiLevelType w:val="hybridMultilevel"/>
    <w:tmpl w:val="C84A5CB2"/>
    <w:lvl w:ilvl="0" w:tplc="6D085B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C0AA4"/>
    <w:multiLevelType w:val="hybridMultilevel"/>
    <w:tmpl w:val="35EC128A"/>
    <w:lvl w:ilvl="0" w:tplc="D8EA2F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36658"/>
    <w:multiLevelType w:val="hybridMultilevel"/>
    <w:tmpl w:val="C228101E"/>
    <w:lvl w:ilvl="0" w:tplc="B6627942">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E6AD5"/>
    <w:multiLevelType w:val="multilevel"/>
    <w:tmpl w:val="8176F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1A2016"/>
    <w:multiLevelType w:val="hybridMultilevel"/>
    <w:tmpl w:val="D61C673A"/>
    <w:lvl w:ilvl="0" w:tplc="939C64A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50F55"/>
    <w:multiLevelType w:val="hybridMultilevel"/>
    <w:tmpl w:val="F858C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9067E"/>
    <w:multiLevelType w:val="hybridMultilevel"/>
    <w:tmpl w:val="6860B5AE"/>
    <w:lvl w:ilvl="0" w:tplc="F4F4E85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AE314B"/>
    <w:multiLevelType w:val="multilevel"/>
    <w:tmpl w:val="759C5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B537E0"/>
    <w:multiLevelType w:val="hybridMultilevel"/>
    <w:tmpl w:val="8D2088B2"/>
    <w:lvl w:ilvl="0" w:tplc="D8EA2F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66311"/>
    <w:multiLevelType w:val="hybridMultilevel"/>
    <w:tmpl w:val="C240B6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F8E4A93"/>
    <w:multiLevelType w:val="hybridMultilevel"/>
    <w:tmpl w:val="729E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76DAE"/>
    <w:multiLevelType w:val="hybridMultilevel"/>
    <w:tmpl w:val="E4A06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31441A"/>
    <w:multiLevelType w:val="multilevel"/>
    <w:tmpl w:val="CAA6B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D37B5C"/>
    <w:multiLevelType w:val="hybridMultilevel"/>
    <w:tmpl w:val="FF180460"/>
    <w:lvl w:ilvl="0" w:tplc="29EE17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AE5E43"/>
    <w:multiLevelType w:val="multilevel"/>
    <w:tmpl w:val="118EF79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6E2B323E"/>
    <w:multiLevelType w:val="multilevel"/>
    <w:tmpl w:val="55922F3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7D8079CC"/>
    <w:multiLevelType w:val="multilevel"/>
    <w:tmpl w:val="CCF684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5"/>
  </w:num>
  <w:num w:numId="2">
    <w:abstractNumId w:val="12"/>
  </w:num>
  <w:num w:numId="3">
    <w:abstractNumId w:val="14"/>
  </w:num>
  <w:num w:numId="4">
    <w:abstractNumId w:val="7"/>
  </w:num>
  <w:num w:numId="5">
    <w:abstractNumId w:val="3"/>
  </w:num>
  <w:num w:numId="6">
    <w:abstractNumId w:val="16"/>
  </w:num>
  <w:num w:numId="7">
    <w:abstractNumId w:val="13"/>
  </w:num>
  <w:num w:numId="8">
    <w:abstractNumId w:val="0"/>
  </w:num>
  <w:num w:numId="9">
    <w:abstractNumId w:val="1"/>
  </w:num>
  <w:num w:numId="10">
    <w:abstractNumId w:val="8"/>
  </w:num>
  <w:num w:numId="11">
    <w:abstractNumId w:val="2"/>
  </w:num>
  <w:num w:numId="12">
    <w:abstractNumId w:val="6"/>
  </w:num>
  <w:num w:numId="13">
    <w:abstractNumId w:val="11"/>
  </w:num>
  <w:num w:numId="14">
    <w:abstractNumId w:val="10"/>
  </w:num>
  <w:num w:numId="15">
    <w:abstractNumId w:val="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BB"/>
    <w:rsid w:val="0004107F"/>
    <w:rsid w:val="00055438"/>
    <w:rsid w:val="000557ED"/>
    <w:rsid w:val="00064DD1"/>
    <w:rsid w:val="00064F8A"/>
    <w:rsid w:val="00083BD4"/>
    <w:rsid w:val="00090498"/>
    <w:rsid w:val="000E451C"/>
    <w:rsid w:val="0010109C"/>
    <w:rsid w:val="00113675"/>
    <w:rsid w:val="00116372"/>
    <w:rsid w:val="00135671"/>
    <w:rsid w:val="00152015"/>
    <w:rsid w:val="00156784"/>
    <w:rsid w:val="001615BB"/>
    <w:rsid w:val="00165F85"/>
    <w:rsid w:val="001A77E5"/>
    <w:rsid w:val="001B0FD9"/>
    <w:rsid w:val="001B7A9C"/>
    <w:rsid w:val="001C04C6"/>
    <w:rsid w:val="001F188B"/>
    <w:rsid w:val="00212B4F"/>
    <w:rsid w:val="00235F5B"/>
    <w:rsid w:val="00236AE7"/>
    <w:rsid w:val="00253022"/>
    <w:rsid w:val="00257FD2"/>
    <w:rsid w:val="00263E5B"/>
    <w:rsid w:val="002704BC"/>
    <w:rsid w:val="0028179A"/>
    <w:rsid w:val="002840D9"/>
    <w:rsid w:val="00285988"/>
    <w:rsid w:val="0029184B"/>
    <w:rsid w:val="002D17C4"/>
    <w:rsid w:val="002D70A4"/>
    <w:rsid w:val="00312E41"/>
    <w:rsid w:val="00334117"/>
    <w:rsid w:val="00347109"/>
    <w:rsid w:val="00376E00"/>
    <w:rsid w:val="003B0964"/>
    <w:rsid w:val="003D02F5"/>
    <w:rsid w:val="003D2C85"/>
    <w:rsid w:val="003D3E30"/>
    <w:rsid w:val="0040794D"/>
    <w:rsid w:val="00413D17"/>
    <w:rsid w:val="00427B55"/>
    <w:rsid w:val="004343CD"/>
    <w:rsid w:val="00437ACF"/>
    <w:rsid w:val="00470440"/>
    <w:rsid w:val="00484074"/>
    <w:rsid w:val="00487C8D"/>
    <w:rsid w:val="004B0464"/>
    <w:rsid w:val="004C35BB"/>
    <w:rsid w:val="004D029C"/>
    <w:rsid w:val="004D0AF7"/>
    <w:rsid w:val="004D3567"/>
    <w:rsid w:val="004D3BC6"/>
    <w:rsid w:val="004E337A"/>
    <w:rsid w:val="00501AE7"/>
    <w:rsid w:val="005038AD"/>
    <w:rsid w:val="005232F2"/>
    <w:rsid w:val="0052641A"/>
    <w:rsid w:val="0055029C"/>
    <w:rsid w:val="00573157"/>
    <w:rsid w:val="005770DA"/>
    <w:rsid w:val="005A1581"/>
    <w:rsid w:val="005B4971"/>
    <w:rsid w:val="005B4FF0"/>
    <w:rsid w:val="005B65E9"/>
    <w:rsid w:val="005D02B6"/>
    <w:rsid w:val="005D153E"/>
    <w:rsid w:val="005D18F1"/>
    <w:rsid w:val="005D7352"/>
    <w:rsid w:val="005E4F65"/>
    <w:rsid w:val="005E5404"/>
    <w:rsid w:val="005E7632"/>
    <w:rsid w:val="005F62C5"/>
    <w:rsid w:val="005F7A9C"/>
    <w:rsid w:val="0067274E"/>
    <w:rsid w:val="00676B97"/>
    <w:rsid w:val="006912F3"/>
    <w:rsid w:val="006C4CAC"/>
    <w:rsid w:val="006F218F"/>
    <w:rsid w:val="006F69A5"/>
    <w:rsid w:val="007169C9"/>
    <w:rsid w:val="007178A6"/>
    <w:rsid w:val="00735823"/>
    <w:rsid w:val="00745167"/>
    <w:rsid w:val="007547A8"/>
    <w:rsid w:val="00757AF4"/>
    <w:rsid w:val="00761BAC"/>
    <w:rsid w:val="00802880"/>
    <w:rsid w:val="00821F70"/>
    <w:rsid w:val="008250DC"/>
    <w:rsid w:val="008301E0"/>
    <w:rsid w:val="00830318"/>
    <w:rsid w:val="00830882"/>
    <w:rsid w:val="00831140"/>
    <w:rsid w:val="00852E59"/>
    <w:rsid w:val="0086222E"/>
    <w:rsid w:val="00865660"/>
    <w:rsid w:val="00875E7F"/>
    <w:rsid w:val="008B6B12"/>
    <w:rsid w:val="008C5C97"/>
    <w:rsid w:val="008E5BB2"/>
    <w:rsid w:val="008F3FE7"/>
    <w:rsid w:val="008F7792"/>
    <w:rsid w:val="00902F96"/>
    <w:rsid w:val="00921782"/>
    <w:rsid w:val="00922437"/>
    <w:rsid w:val="00930C99"/>
    <w:rsid w:val="009450A0"/>
    <w:rsid w:val="00967595"/>
    <w:rsid w:val="00980B63"/>
    <w:rsid w:val="009A0D64"/>
    <w:rsid w:val="009B2924"/>
    <w:rsid w:val="009C0DDE"/>
    <w:rsid w:val="009D59EC"/>
    <w:rsid w:val="00A06EC3"/>
    <w:rsid w:val="00A2411E"/>
    <w:rsid w:val="00A31CAD"/>
    <w:rsid w:val="00A46BFB"/>
    <w:rsid w:val="00A57D08"/>
    <w:rsid w:val="00A667FB"/>
    <w:rsid w:val="00A67E18"/>
    <w:rsid w:val="00A74147"/>
    <w:rsid w:val="00A82F47"/>
    <w:rsid w:val="00A930C9"/>
    <w:rsid w:val="00A971F2"/>
    <w:rsid w:val="00AB052E"/>
    <w:rsid w:val="00AE45E7"/>
    <w:rsid w:val="00AF59B4"/>
    <w:rsid w:val="00AF7437"/>
    <w:rsid w:val="00B111AA"/>
    <w:rsid w:val="00B67FA0"/>
    <w:rsid w:val="00B709ED"/>
    <w:rsid w:val="00B808B4"/>
    <w:rsid w:val="00B8296C"/>
    <w:rsid w:val="00B9288D"/>
    <w:rsid w:val="00B93DD6"/>
    <w:rsid w:val="00B949D2"/>
    <w:rsid w:val="00BA105D"/>
    <w:rsid w:val="00BA2E0E"/>
    <w:rsid w:val="00BB1F57"/>
    <w:rsid w:val="00BB7BDD"/>
    <w:rsid w:val="00BC151B"/>
    <w:rsid w:val="00BC188D"/>
    <w:rsid w:val="00C018E8"/>
    <w:rsid w:val="00C06C5F"/>
    <w:rsid w:val="00C100FB"/>
    <w:rsid w:val="00C13F3B"/>
    <w:rsid w:val="00C141D9"/>
    <w:rsid w:val="00C4071F"/>
    <w:rsid w:val="00C43904"/>
    <w:rsid w:val="00C43BE8"/>
    <w:rsid w:val="00C47D70"/>
    <w:rsid w:val="00C61980"/>
    <w:rsid w:val="00C94491"/>
    <w:rsid w:val="00CC3880"/>
    <w:rsid w:val="00CC50E8"/>
    <w:rsid w:val="00CD049E"/>
    <w:rsid w:val="00CF5AFB"/>
    <w:rsid w:val="00D06085"/>
    <w:rsid w:val="00D13ED4"/>
    <w:rsid w:val="00D30D22"/>
    <w:rsid w:val="00D66F98"/>
    <w:rsid w:val="00D70CAA"/>
    <w:rsid w:val="00D845CE"/>
    <w:rsid w:val="00D845E3"/>
    <w:rsid w:val="00D8738A"/>
    <w:rsid w:val="00DA00AB"/>
    <w:rsid w:val="00DE77EE"/>
    <w:rsid w:val="00DF36BB"/>
    <w:rsid w:val="00E110B6"/>
    <w:rsid w:val="00E20BF8"/>
    <w:rsid w:val="00E21886"/>
    <w:rsid w:val="00E375C5"/>
    <w:rsid w:val="00E41985"/>
    <w:rsid w:val="00E4514A"/>
    <w:rsid w:val="00E5749D"/>
    <w:rsid w:val="00E60045"/>
    <w:rsid w:val="00E646E1"/>
    <w:rsid w:val="00E90913"/>
    <w:rsid w:val="00EB0909"/>
    <w:rsid w:val="00ED57CB"/>
    <w:rsid w:val="00EE109E"/>
    <w:rsid w:val="00EF470A"/>
    <w:rsid w:val="00F1172D"/>
    <w:rsid w:val="00F60305"/>
    <w:rsid w:val="00F604F6"/>
    <w:rsid w:val="00F62546"/>
    <w:rsid w:val="00F779C5"/>
    <w:rsid w:val="00F95176"/>
    <w:rsid w:val="00FF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D2891F"/>
  <w15:docId w15:val="{2AA5CC8C-67B8-064F-AEC7-DAE9148F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D22"/>
    <w:pPr>
      <w:widowControl/>
    </w:pPr>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semiHidden/>
    <w:unhideWhenUsed/>
    <w:qFormat/>
    <w:pPr>
      <w:keepNext/>
      <w:keepLines/>
      <w:widowControl w:val="0"/>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b/>
      <w:sz w:val="72"/>
      <w:szCs w:val="72"/>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70CAA"/>
    <w:pPr>
      <w:widowControl w:val="0"/>
      <w:tabs>
        <w:tab w:val="center" w:pos="4513"/>
        <w:tab w:val="right" w:pos="9026"/>
      </w:tabs>
    </w:pPr>
  </w:style>
  <w:style w:type="character" w:customStyle="1" w:styleId="HeaderChar">
    <w:name w:val="Header Char"/>
    <w:basedOn w:val="DefaultParagraphFont"/>
    <w:link w:val="Header"/>
    <w:uiPriority w:val="99"/>
    <w:rsid w:val="00D70CAA"/>
  </w:style>
  <w:style w:type="paragraph" w:styleId="Footer">
    <w:name w:val="footer"/>
    <w:basedOn w:val="Normal"/>
    <w:link w:val="FooterChar"/>
    <w:uiPriority w:val="99"/>
    <w:unhideWhenUsed/>
    <w:rsid w:val="00D70CAA"/>
    <w:pPr>
      <w:widowControl w:val="0"/>
      <w:tabs>
        <w:tab w:val="center" w:pos="4513"/>
        <w:tab w:val="right" w:pos="9026"/>
      </w:tabs>
    </w:pPr>
  </w:style>
  <w:style w:type="character" w:customStyle="1" w:styleId="FooterChar">
    <w:name w:val="Footer Char"/>
    <w:basedOn w:val="DefaultParagraphFont"/>
    <w:link w:val="Footer"/>
    <w:uiPriority w:val="99"/>
    <w:rsid w:val="00D70CAA"/>
  </w:style>
  <w:style w:type="paragraph" w:styleId="FootnoteText">
    <w:name w:val="footnote text"/>
    <w:basedOn w:val="Normal"/>
    <w:link w:val="FootnoteTextChar"/>
    <w:uiPriority w:val="99"/>
    <w:unhideWhenUsed/>
    <w:rsid w:val="00D30D22"/>
    <w:pPr>
      <w:widowControl w:val="0"/>
    </w:pPr>
    <w:rPr>
      <w:sz w:val="20"/>
      <w:szCs w:val="20"/>
    </w:rPr>
  </w:style>
  <w:style w:type="character" w:customStyle="1" w:styleId="FootnoteTextChar">
    <w:name w:val="Footnote Text Char"/>
    <w:basedOn w:val="DefaultParagraphFont"/>
    <w:link w:val="FootnoteText"/>
    <w:uiPriority w:val="99"/>
    <w:rsid w:val="00D30D22"/>
    <w:rPr>
      <w:sz w:val="20"/>
      <w:szCs w:val="20"/>
    </w:rPr>
  </w:style>
  <w:style w:type="paragraph" w:styleId="EndnoteText">
    <w:name w:val="endnote text"/>
    <w:basedOn w:val="Normal"/>
    <w:link w:val="EndnoteTextChar"/>
    <w:uiPriority w:val="99"/>
    <w:semiHidden/>
    <w:unhideWhenUsed/>
    <w:rsid w:val="00D30D22"/>
    <w:pPr>
      <w:widowControl w:val="0"/>
    </w:pPr>
    <w:rPr>
      <w:sz w:val="20"/>
      <w:szCs w:val="20"/>
    </w:rPr>
  </w:style>
  <w:style w:type="character" w:customStyle="1" w:styleId="EndnoteTextChar">
    <w:name w:val="Endnote Text Char"/>
    <w:basedOn w:val="DefaultParagraphFont"/>
    <w:link w:val="EndnoteText"/>
    <w:uiPriority w:val="99"/>
    <w:semiHidden/>
    <w:rsid w:val="00D30D22"/>
    <w:rPr>
      <w:sz w:val="20"/>
      <w:szCs w:val="20"/>
    </w:rPr>
  </w:style>
  <w:style w:type="character" w:styleId="FootnoteReference">
    <w:name w:val="footnote reference"/>
    <w:basedOn w:val="DefaultParagraphFont"/>
    <w:uiPriority w:val="99"/>
    <w:semiHidden/>
    <w:unhideWhenUsed/>
    <w:rsid w:val="00D30D22"/>
    <w:rPr>
      <w:vertAlign w:val="superscript"/>
    </w:rPr>
  </w:style>
  <w:style w:type="character" w:styleId="EndnoteReference">
    <w:name w:val="endnote reference"/>
    <w:basedOn w:val="DefaultParagraphFont"/>
    <w:uiPriority w:val="99"/>
    <w:unhideWhenUsed/>
    <w:rsid w:val="00D30D22"/>
    <w:rPr>
      <w:vertAlign w:val="superscript"/>
    </w:rPr>
  </w:style>
  <w:style w:type="character" w:styleId="Hyperlink">
    <w:name w:val="Hyperlink"/>
    <w:basedOn w:val="DefaultParagraphFont"/>
    <w:uiPriority w:val="99"/>
    <w:unhideWhenUsed/>
    <w:rsid w:val="00D845E3"/>
    <w:rPr>
      <w:color w:val="0000FF"/>
      <w:u w:val="single"/>
    </w:rPr>
  </w:style>
  <w:style w:type="character" w:customStyle="1" w:styleId="UnresolvedMention">
    <w:name w:val="Unresolved Mention"/>
    <w:basedOn w:val="DefaultParagraphFont"/>
    <w:uiPriority w:val="99"/>
    <w:semiHidden/>
    <w:unhideWhenUsed/>
    <w:rsid w:val="00D845E3"/>
    <w:rPr>
      <w:color w:val="605E5C"/>
      <w:shd w:val="clear" w:color="auto" w:fill="E1DFDD"/>
    </w:rPr>
  </w:style>
  <w:style w:type="paragraph" w:styleId="BalloonText">
    <w:name w:val="Balloon Text"/>
    <w:basedOn w:val="Normal"/>
    <w:link w:val="BalloonTextChar"/>
    <w:uiPriority w:val="99"/>
    <w:semiHidden/>
    <w:unhideWhenUsed/>
    <w:rsid w:val="0055029C"/>
    <w:rPr>
      <w:sz w:val="18"/>
      <w:szCs w:val="18"/>
    </w:rPr>
  </w:style>
  <w:style w:type="character" w:customStyle="1" w:styleId="BalloonTextChar">
    <w:name w:val="Balloon Text Char"/>
    <w:basedOn w:val="DefaultParagraphFont"/>
    <w:link w:val="BalloonText"/>
    <w:uiPriority w:val="99"/>
    <w:semiHidden/>
    <w:rsid w:val="0055029C"/>
    <w:rPr>
      <w:sz w:val="18"/>
      <w:szCs w:val="18"/>
    </w:rPr>
  </w:style>
  <w:style w:type="paragraph" w:styleId="ListParagraph">
    <w:name w:val="List Paragraph"/>
    <w:basedOn w:val="Normal"/>
    <w:uiPriority w:val="34"/>
    <w:qFormat/>
    <w:rsid w:val="00470440"/>
    <w:pPr>
      <w:ind w:left="720"/>
      <w:contextualSpacing/>
    </w:pPr>
  </w:style>
  <w:style w:type="character" w:customStyle="1" w:styleId="normaltextrun">
    <w:name w:val="normaltextrun"/>
    <w:basedOn w:val="DefaultParagraphFont"/>
    <w:rsid w:val="00C94491"/>
  </w:style>
  <w:style w:type="character" w:customStyle="1" w:styleId="superscript">
    <w:name w:val="superscript"/>
    <w:basedOn w:val="DefaultParagraphFont"/>
    <w:rsid w:val="00C94491"/>
  </w:style>
  <w:style w:type="character" w:styleId="FollowedHyperlink">
    <w:name w:val="FollowedHyperlink"/>
    <w:basedOn w:val="DefaultParagraphFont"/>
    <w:uiPriority w:val="99"/>
    <w:semiHidden/>
    <w:unhideWhenUsed/>
    <w:rsid w:val="00D13ED4"/>
    <w:rPr>
      <w:color w:val="800080" w:themeColor="followedHyperlink"/>
      <w:u w:val="single"/>
    </w:rPr>
  </w:style>
  <w:style w:type="character" w:styleId="CommentReference">
    <w:name w:val="annotation reference"/>
    <w:basedOn w:val="DefaultParagraphFont"/>
    <w:uiPriority w:val="99"/>
    <w:semiHidden/>
    <w:unhideWhenUsed/>
    <w:rsid w:val="00902F96"/>
    <w:rPr>
      <w:sz w:val="16"/>
      <w:szCs w:val="16"/>
    </w:rPr>
  </w:style>
  <w:style w:type="paragraph" w:styleId="CommentText">
    <w:name w:val="annotation text"/>
    <w:basedOn w:val="Normal"/>
    <w:link w:val="CommentTextChar"/>
    <w:uiPriority w:val="99"/>
    <w:semiHidden/>
    <w:unhideWhenUsed/>
    <w:rsid w:val="00902F96"/>
    <w:rPr>
      <w:sz w:val="20"/>
      <w:szCs w:val="20"/>
    </w:rPr>
  </w:style>
  <w:style w:type="character" w:customStyle="1" w:styleId="CommentTextChar">
    <w:name w:val="Comment Text Char"/>
    <w:basedOn w:val="DefaultParagraphFont"/>
    <w:link w:val="CommentText"/>
    <w:uiPriority w:val="99"/>
    <w:semiHidden/>
    <w:rsid w:val="00902F96"/>
    <w:rPr>
      <w:sz w:val="20"/>
      <w:szCs w:val="20"/>
    </w:rPr>
  </w:style>
  <w:style w:type="paragraph" w:styleId="CommentSubject">
    <w:name w:val="annotation subject"/>
    <w:basedOn w:val="CommentText"/>
    <w:next w:val="CommentText"/>
    <w:link w:val="CommentSubjectChar"/>
    <w:uiPriority w:val="99"/>
    <w:semiHidden/>
    <w:unhideWhenUsed/>
    <w:rsid w:val="00902F96"/>
    <w:rPr>
      <w:b/>
      <w:bCs/>
    </w:rPr>
  </w:style>
  <w:style w:type="character" w:customStyle="1" w:styleId="CommentSubjectChar">
    <w:name w:val="Comment Subject Char"/>
    <w:basedOn w:val="CommentTextChar"/>
    <w:link w:val="CommentSubject"/>
    <w:uiPriority w:val="99"/>
    <w:semiHidden/>
    <w:rsid w:val="00902F96"/>
    <w:rPr>
      <w:b/>
      <w:bCs/>
      <w:sz w:val="20"/>
      <w:szCs w:val="20"/>
    </w:rPr>
  </w:style>
  <w:style w:type="paragraph" w:styleId="NormalWeb">
    <w:name w:val="Normal (Web)"/>
    <w:basedOn w:val="Normal"/>
    <w:uiPriority w:val="99"/>
    <w:unhideWhenUsed/>
    <w:rsid w:val="00DA00AB"/>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5838">
      <w:bodyDiv w:val="1"/>
      <w:marLeft w:val="0"/>
      <w:marRight w:val="0"/>
      <w:marTop w:val="0"/>
      <w:marBottom w:val="0"/>
      <w:divBdr>
        <w:top w:val="none" w:sz="0" w:space="0" w:color="auto"/>
        <w:left w:val="none" w:sz="0" w:space="0" w:color="auto"/>
        <w:bottom w:val="none" w:sz="0" w:space="0" w:color="auto"/>
        <w:right w:val="none" w:sz="0" w:space="0" w:color="auto"/>
      </w:divBdr>
    </w:div>
    <w:div w:id="474419302">
      <w:bodyDiv w:val="1"/>
      <w:marLeft w:val="0"/>
      <w:marRight w:val="0"/>
      <w:marTop w:val="0"/>
      <w:marBottom w:val="0"/>
      <w:divBdr>
        <w:top w:val="none" w:sz="0" w:space="0" w:color="auto"/>
        <w:left w:val="none" w:sz="0" w:space="0" w:color="auto"/>
        <w:bottom w:val="none" w:sz="0" w:space="0" w:color="auto"/>
        <w:right w:val="none" w:sz="0" w:space="0" w:color="auto"/>
      </w:divBdr>
    </w:div>
    <w:div w:id="494760958">
      <w:bodyDiv w:val="1"/>
      <w:marLeft w:val="0"/>
      <w:marRight w:val="0"/>
      <w:marTop w:val="0"/>
      <w:marBottom w:val="0"/>
      <w:divBdr>
        <w:top w:val="none" w:sz="0" w:space="0" w:color="auto"/>
        <w:left w:val="none" w:sz="0" w:space="0" w:color="auto"/>
        <w:bottom w:val="none" w:sz="0" w:space="0" w:color="auto"/>
        <w:right w:val="none" w:sz="0" w:space="0" w:color="auto"/>
      </w:divBdr>
    </w:div>
    <w:div w:id="658584535">
      <w:bodyDiv w:val="1"/>
      <w:marLeft w:val="0"/>
      <w:marRight w:val="0"/>
      <w:marTop w:val="0"/>
      <w:marBottom w:val="0"/>
      <w:divBdr>
        <w:top w:val="none" w:sz="0" w:space="0" w:color="auto"/>
        <w:left w:val="none" w:sz="0" w:space="0" w:color="auto"/>
        <w:bottom w:val="none" w:sz="0" w:space="0" w:color="auto"/>
        <w:right w:val="none" w:sz="0" w:space="0" w:color="auto"/>
      </w:divBdr>
    </w:div>
    <w:div w:id="671418792">
      <w:bodyDiv w:val="1"/>
      <w:marLeft w:val="0"/>
      <w:marRight w:val="0"/>
      <w:marTop w:val="0"/>
      <w:marBottom w:val="0"/>
      <w:divBdr>
        <w:top w:val="none" w:sz="0" w:space="0" w:color="auto"/>
        <w:left w:val="none" w:sz="0" w:space="0" w:color="auto"/>
        <w:bottom w:val="none" w:sz="0" w:space="0" w:color="auto"/>
        <w:right w:val="none" w:sz="0" w:space="0" w:color="auto"/>
      </w:divBdr>
    </w:div>
    <w:div w:id="816534572">
      <w:bodyDiv w:val="1"/>
      <w:marLeft w:val="0"/>
      <w:marRight w:val="0"/>
      <w:marTop w:val="0"/>
      <w:marBottom w:val="0"/>
      <w:divBdr>
        <w:top w:val="none" w:sz="0" w:space="0" w:color="auto"/>
        <w:left w:val="none" w:sz="0" w:space="0" w:color="auto"/>
        <w:bottom w:val="none" w:sz="0" w:space="0" w:color="auto"/>
        <w:right w:val="none" w:sz="0" w:space="0" w:color="auto"/>
      </w:divBdr>
    </w:div>
    <w:div w:id="829172087">
      <w:bodyDiv w:val="1"/>
      <w:marLeft w:val="0"/>
      <w:marRight w:val="0"/>
      <w:marTop w:val="0"/>
      <w:marBottom w:val="0"/>
      <w:divBdr>
        <w:top w:val="none" w:sz="0" w:space="0" w:color="auto"/>
        <w:left w:val="none" w:sz="0" w:space="0" w:color="auto"/>
        <w:bottom w:val="none" w:sz="0" w:space="0" w:color="auto"/>
        <w:right w:val="none" w:sz="0" w:space="0" w:color="auto"/>
      </w:divBdr>
    </w:div>
    <w:div w:id="885265012">
      <w:bodyDiv w:val="1"/>
      <w:marLeft w:val="0"/>
      <w:marRight w:val="0"/>
      <w:marTop w:val="0"/>
      <w:marBottom w:val="0"/>
      <w:divBdr>
        <w:top w:val="none" w:sz="0" w:space="0" w:color="auto"/>
        <w:left w:val="none" w:sz="0" w:space="0" w:color="auto"/>
        <w:bottom w:val="none" w:sz="0" w:space="0" w:color="auto"/>
        <w:right w:val="none" w:sz="0" w:space="0" w:color="auto"/>
      </w:divBdr>
    </w:div>
    <w:div w:id="986973652">
      <w:bodyDiv w:val="1"/>
      <w:marLeft w:val="0"/>
      <w:marRight w:val="0"/>
      <w:marTop w:val="0"/>
      <w:marBottom w:val="0"/>
      <w:divBdr>
        <w:top w:val="none" w:sz="0" w:space="0" w:color="auto"/>
        <w:left w:val="none" w:sz="0" w:space="0" w:color="auto"/>
        <w:bottom w:val="none" w:sz="0" w:space="0" w:color="auto"/>
        <w:right w:val="none" w:sz="0" w:space="0" w:color="auto"/>
      </w:divBdr>
    </w:div>
    <w:div w:id="1077095050">
      <w:bodyDiv w:val="1"/>
      <w:marLeft w:val="0"/>
      <w:marRight w:val="0"/>
      <w:marTop w:val="0"/>
      <w:marBottom w:val="0"/>
      <w:divBdr>
        <w:top w:val="none" w:sz="0" w:space="0" w:color="auto"/>
        <w:left w:val="none" w:sz="0" w:space="0" w:color="auto"/>
        <w:bottom w:val="none" w:sz="0" w:space="0" w:color="auto"/>
        <w:right w:val="none" w:sz="0" w:space="0" w:color="auto"/>
      </w:divBdr>
    </w:div>
    <w:div w:id="1111510925">
      <w:bodyDiv w:val="1"/>
      <w:marLeft w:val="0"/>
      <w:marRight w:val="0"/>
      <w:marTop w:val="0"/>
      <w:marBottom w:val="0"/>
      <w:divBdr>
        <w:top w:val="none" w:sz="0" w:space="0" w:color="auto"/>
        <w:left w:val="none" w:sz="0" w:space="0" w:color="auto"/>
        <w:bottom w:val="none" w:sz="0" w:space="0" w:color="auto"/>
        <w:right w:val="none" w:sz="0" w:space="0" w:color="auto"/>
      </w:divBdr>
    </w:div>
    <w:div w:id="1152258820">
      <w:bodyDiv w:val="1"/>
      <w:marLeft w:val="0"/>
      <w:marRight w:val="0"/>
      <w:marTop w:val="0"/>
      <w:marBottom w:val="0"/>
      <w:divBdr>
        <w:top w:val="none" w:sz="0" w:space="0" w:color="auto"/>
        <w:left w:val="none" w:sz="0" w:space="0" w:color="auto"/>
        <w:bottom w:val="none" w:sz="0" w:space="0" w:color="auto"/>
        <w:right w:val="none" w:sz="0" w:space="0" w:color="auto"/>
      </w:divBdr>
    </w:div>
    <w:div w:id="1248687204">
      <w:bodyDiv w:val="1"/>
      <w:marLeft w:val="0"/>
      <w:marRight w:val="0"/>
      <w:marTop w:val="0"/>
      <w:marBottom w:val="0"/>
      <w:divBdr>
        <w:top w:val="none" w:sz="0" w:space="0" w:color="auto"/>
        <w:left w:val="none" w:sz="0" w:space="0" w:color="auto"/>
        <w:bottom w:val="none" w:sz="0" w:space="0" w:color="auto"/>
        <w:right w:val="none" w:sz="0" w:space="0" w:color="auto"/>
      </w:divBdr>
    </w:div>
    <w:div w:id="1291940901">
      <w:bodyDiv w:val="1"/>
      <w:marLeft w:val="0"/>
      <w:marRight w:val="0"/>
      <w:marTop w:val="0"/>
      <w:marBottom w:val="0"/>
      <w:divBdr>
        <w:top w:val="none" w:sz="0" w:space="0" w:color="auto"/>
        <w:left w:val="none" w:sz="0" w:space="0" w:color="auto"/>
        <w:bottom w:val="none" w:sz="0" w:space="0" w:color="auto"/>
        <w:right w:val="none" w:sz="0" w:space="0" w:color="auto"/>
      </w:divBdr>
    </w:div>
    <w:div w:id="1333217587">
      <w:bodyDiv w:val="1"/>
      <w:marLeft w:val="0"/>
      <w:marRight w:val="0"/>
      <w:marTop w:val="0"/>
      <w:marBottom w:val="0"/>
      <w:divBdr>
        <w:top w:val="none" w:sz="0" w:space="0" w:color="auto"/>
        <w:left w:val="none" w:sz="0" w:space="0" w:color="auto"/>
        <w:bottom w:val="none" w:sz="0" w:space="0" w:color="auto"/>
        <w:right w:val="none" w:sz="0" w:space="0" w:color="auto"/>
      </w:divBdr>
    </w:div>
    <w:div w:id="1404065617">
      <w:bodyDiv w:val="1"/>
      <w:marLeft w:val="0"/>
      <w:marRight w:val="0"/>
      <w:marTop w:val="0"/>
      <w:marBottom w:val="0"/>
      <w:divBdr>
        <w:top w:val="none" w:sz="0" w:space="0" w:color="auto"/>
        <w:left w:val="none" w:sz="0" w:space="0" w:color="auto"/>
        <w:bottom w:val="none" w:sz="0" w:space="0" w:color="auto"/>
        <w:right w:val="none" w:sz="0" w:space="0" w:color="auto"/>
      </w:divBdr>
    </w:div>
    <w:div w:id="1790857643">
      <w:bodyDiv w:val="1"/>
      <w:marLeft w:val="0"/>
      <w:marRight w:val="0"/>
      <w:marTop w:val="0"/>
      <w:marBottom w:val="0"/>
      <w:divBdr>
        <w:top w:val="none" w:sz="0" w:space="0" w:color="auto"/>
        <w:left w:val="none" w:sz="0" w:space="0" w:color="auto"/>
        <w:bottom w:val="none" w:sz="0" w:space="0" w:color="auto"/>
        <w:right w:val="none" w:sz="0" w:space="0" w:color="auto"/>
      </w:divBdr>
    </w:div>
    <w:div w:id="1976330629">
      <w:bodyDiv w:val="1"/>
      <w:marLeft w:val="0"/>
      <w:marRight w:val="0"/>
      <w:marTop w:val="0"/>
      <w:marBottom w:val="0"/>
      <w:divBdr>
        <w:top w:val="none" w:sz="0" w:space="0" w:color="auto"/>
        <w:left w:val="none" w:sz="0" w:space="0" w:color="auto"/>
        <w:bottom w:val="none" w:sz="0" w:space="0" w:color="auto"/>
        <w:right w:val="none" w:sz="0" w:space="0" w:color="auto"/>
      </w:divBdr>
    </w:div>
    <w:div w:id="2058509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dpc.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www.unafei.or.jp/publications/pdf/RS_No90/No90_11VE_Barzano.pdf" TargetMode="External"/><Relationship Id="rId13" Type="http://schemas.openxmlformats.org/officeDocument/2006/relationships/hyperlink" Target="http://fileserver.idpc.net/library/Punitive_Drug_Laws_10_years_undermining_the_Bangkok_Rules.pdf" TargetMode="External"/><Relationship Id="rId18" Type="http://schemas.openxmlformats.org/officeDocument/2006/relationships/hyperlink" Target="https://www.unodc.org/documents/justice-and-prison-reform/Bangkok_Rules_ENG_22032015.pdf" TargetMode="External"/><Relationship Id="rId26" Type="http://schemas.openxmlformats.org/officeDocument/2006/relationships/hyperlink" Target="http://fileserver.idpc.net/library/Punitive_Drug_Laws_10_years_undermining_the_Bangkok_Rules.pdf" TargetMode="External"/><Relationship Id="rId39" Type="http://schemas.openxmlformats.org/officeDocument/2006/relationships/hyperlink" Target="https://cdn.penalreform.org/wp-content/uploads/2021/05/Global-prison-trends-2021.pdf" TargetMode="External"/><Relationship Id="rId3" Type="http://schemas.openxmlformats.org/officeDocument/2006/relationships/hyperlink" Target="https://www.penalreform.org/blog/addressing-the-105000-increase-in-the-global-female/" TargetMode="External"/><Relationship Id="rId21" Type="http://schemas.openxmlformats.org/officeDocument/2006/relationships/hyperlink" Target="https://rm.coe.int/168077ff14" TargetMode="External"/><Relationship Id="rId34" Type="http://schemas.openxmlformats.org/officeDocument/2006/relationships/hyperlink" Target="https://cdn.penalreform.org/wp-content/uploads/2021/02/ACHPR-Newsletter-No-14.pdf" TargetMode="External"/><Relationship Id="rId42" Type="http://schemas.openxmlformats.org/officeDocument/2006/relationships/hyperlink" Target="https://periodaisle.com/blogs/all/the-hidden-impact-of-period-poverty-in-prisons" TargetMode="External"/><Relationship Id="rId7" Type="http://schemas.openxmlformats.org/officeDocument/2006/relationships/hyperlink" Target="https://www.dejusticia.org/wp-content/uploads/2017/04/fi_name_recurso_866.pdf?x54537" TargetMode="External"/><Relationship Id="rId12" Type="http://schemas.openxmlformats.org/officeDocument/2006/relationships/hyperlink" Target="https://www.unodc.org/documents/ungass2016/Contributions/Civil/DrugPolicyAlliance/DPA_Fact_Sheet_Drug_War_Mass_Incarceration_and_Race_June2015.pdf" TargetMode="External"/><Relationship Id="rId17" Type="http://schemas.openxmlformats.org/officeDocument/2006/relationships/hyperlink" Target="https://www.unodc.org/documents/justice-and-prison-reform/Bangkok_Rules_ENG_22032015.pdf" TargetMode="External"/><Relationship Id="rId25" Type="http://schemas.openxmlformats.org/officeDocument/2006/relationships/hyperlink" Target="https://www.hri.global/covid-19-prison-diversion-measures" TargetMode="External"/><Relationship Id="rId33" Type="http://schemas.openxmlformats.org/officeDocument/2006/relationships/hyperlink" Target="https://www.news18.com/news/opinion/opinion-menstrual-hygiene-in-indian-prisons-needs-attention-period-2696461.html" TargetMode="External"/><Relationship Id="rId38" Type="http://schemas.openxmlformats.org/officeDocument/2006/relationships/hyperlink" Target="https://humanrightsinitiative.org/download/Responding%20to%20the%20Pandemic%20Prisons%20&amp;%20Overcrowding%20Vol%201.pdf" TargetMode="External"/><Relationship Id="rId2" Type="http://schemas.openxmlformats.org/officeDocument/2006/relationships/hyperlink" Target="http://fileserver.idpc.net/library/Punitive_Drug_Laws_10_years_undermining_the_Bangkok_Rules.pdf" TargetMode="External"/><Relationship Id="rId16" Type="http://schemas.openxmlformats.org/officeDocument/2006/relationships/hyperlink" Target="https://www.unodc.org/documents/justice-and-prison-reform/Bangkok_Rules_ENG_22032015.pdf" TargetMode="External"/><Relationship Id="rId20" Type="http://schemas.openxmlformats.org/officeDocument/2006/relationships/hyperlink" Target="https://routesjournal.org/2020/08/15/r2009/" TargetMode="External"/><Relationship Id="rId29" Type="http://schemas.openxmlformats.org/officeDocument/2006/relationships/hyperlink" Target="https://netherlandsnewslive.com/corona-and-prisons-a-lockdown-within-a-lockdown-not-being-allowed-to-hug-your-child-thats-very-tough/66581/" TargetMode="External"/><Relationship Id="rId41" Type="http://schemas.openxmlformats.org/officeDocument/2006/relationships/hyperlink" Target="https://routesjournal.org/2020/08/15/r2009/" TargetMode="External"/><Relationship Id="rId1" Type="http://schemas.openxmlformats.org/officeDocument/2006/relationships/hyperlink" Target="https://www.penalreform.org/blog/addressing-the-105000-increase-in-the-global-female/" TargetMode="External"/><Relationship Id="rId6" Type="http://schemas.openxmlformats.org/officeDocument/2006/relationships/hyperlink" Target="https://www.prisonpolicy.org/reports/income.html" TargetMode="External"/><Relationship Id="rId11" Type="http://schemas.openxmlformats.org/officeDocument/2006/relationships/hyperlink" Target="https://thediplomat.com/2019/07/the-bail-challenge-in-southeast-asia/" TargetMode="External"/><Relationship Id="rId24" Type="http://schemas.openxmlformats.org/officeDocument/2006/relationships/hyperlink" Target="https://www.who.int/news/item/13-05-2020-unodc-who-unaids-and-ohchr-joint-statement-on-covid-19-in-prisons-and-other-closed-settings" TargetMode="External"/><Relationship Id="rId32" Type="http://schemas.openxmlformats.org/officeDocument/2006/relationships/hyperlink" Target="https://cdn.penalreform.org/wp-content/uploads/2021/05/Global-prison-trends-2021.pdf" TargetMode="External"/><Relationship Id="rId37" Type="http://schemas.openxmlformats.org/officeDocument/2006/relationships/hyperlink" Target="https://idpc.net/publications/2021/03/prisons-and-covid-19-lessons-from-an-ongoing-crisis" TargetMode="External"/><Relationship Id="rId40" Type="http://schemas.openxmlformats.org/officeDocument/2006/relationships/hyperlink" Target="https://www.penalreform.org/blog/period-poverty-in-prisons-ensuring-menstrual-hygiene-and/" TargetMode="External"/><Relationship Id="rId5" Type="http://schemas.openxmlformats.org/officeDocument/2006/relationships/hyperlink" Target="https://www.unodc.org/documents/justice-and-prison-reform/Bangkok_Rules_ENG_22032015.pdf" TargetMode="External"/><Relationship Id="rId15" Type="http://schemas.openxmlformats.org/officeDocument/2006/relationships/hyperlink" Target="https://www.unodc.org/documents/justice-and-prison-reform/Bangkok_Rules_ENG_22032015.pdf" TargetMode="External"/><Relationship Id="rId23" Type="http://schemas.openxmlformats.org/officeDocument/2006/relationships/hyperlink" Target="https://cdn.penalreform.org/wp-content/uploads/2021/02/ACHPR-Newsletter-No-14.pdf" TargetMode="External"/><Relationship Id="rId28" Type="http://schemas.openxmlformats.org/officeDocument/2006/relationships/hyperlink" Target="https://www.yorkpress.co.uk/news/18407985.prisoners-view-lockdown-prison/" TargetMode="External"/><Relationship Id="rId36" Type="http://schemas.openxmlformats.org/officeDocument/2006/relationships/hyperlink" Target="https://www.reforma.com/aplicacioneslibre/preacceso/articulo/default.aspx?__rval=1&amp;urlredirect=https://www.reforma.com/exigen-menstruacion-digna-en-prisiones/ar2144986?referer=--7d616165662f3a3a6262623b727a7a7279703b767a783a--" TargetMode="External"/><Relationship Id="rId10" Type="http://schemas.openxmlformats.org/officeDocument/2006/relationships/hyperlink" Target="https://tbinternet.ohchr.org/Treaties/CERD/Shared%20Documents/USA/CERD_C_USA_CO_7-9_18102_E.pdf" TargetMode="External"/><Relationship Id="rId19" Type="http://schemas.openxmlformats.org/officeDocument/2006/relationships/hyperlink" Target="https://www.unodc.org/documents/justice-and-prison-reform/Bangkok_Rules_ENG_22032015.pdf" TargetMode="External"/><Relationship Id="rId31" Type="http://schemas.openxmlformats.org/officeDocument/2006/relationships/hyperlink" Target="https://cdn.penalreform.org/wp-content/uploads/2021/05/Global-prison-trends-2021.pdf" TargetMode="External"/><Relationship Id="rId4" Type="http://schemas.openxmlformats.org/officeDocument/2006/relationships/hyperlink" Target="http://fileserver.idpc.net/library/Punitive_Drug_Laws_10_years_undermining_the_Bangkok_Rules.pdf" TargetMode="External"/><Relationship Id="rId9" Type="http://schemas.openxmlformats.org/officeDocument/2006/relationships/hyperlink" Target="http://www.prisonreformtrust.org.uk/Portals/0/Documents/Counted%20Out.pdf" TargetMode="External"/><Relationship Id="rId14" Type="http://schemas.openxmlformats.org/officeDocument/2006/relationships/hyperlink" Target="https://www.unodc.org/documents/justice-and-prison-reform/Bangkok_Rules_ENG_22032015.pdf" TargetMode="External"/><Relationship Id="rId22" Type="http://schemas.openxmlformats.org/officeDocument/2006/relationships/hyperlink" Target="https://www.jpp.org.pk/covid19-prisoners/" TargetMode="External"/><Relationship Id="rId27" Type="http://schemas.openxmlformats.org/officeDocument/2006/relationships/hyperlink" Target="https://idpc.net/publications/2021/03/prisons-and-covid-19-lessons-from-an-ongoing-crisis" TargetMode="External"/><Relationship Id="rId30" Type="http://schemas.openxmlformats.org/officeDocument/2006/relationships/hyperlink" Target="https://cdn.penalreform.org/wp-content/uploads/2021/05/Global-prison-trends-2021.pdf" TargetMode="External"/><Relationship Id="rId35" Type="http://schemas.openxmlformats.org/officeDocument/2006/relationships/hyperlink" Target="https://www.eluniversal.com.mx/nacion/reclusas-improvisan-toallas-sanitarias-con-trapos-y-calcet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DA104C-982F-4FA8-9732-A7D25A36610C}">
  <ds:schemaRefs>
    <ds:schemaRef ds:uri="http://schemas.openxmlformats.org/officeDocument/2006/bibliography"/>
  </ds:schemaRefs>
</ds:datastoreItem>
</file>

<file path=customXml/itemProps2.xml><?xml version="1.0" encoding="utf-8"?>
<ds:datastoreItem xmlns:ds="http://schemas.openxmlformats.org/officeDocument/2006/customXml" ds:itemID="{8A89CF08-7CF3-429F-8FD5-E87573860AAC}"/>
</file>

<file path=customXml/itemProps3.xml><?xml version="1.0" encoding="utf-8"?>
<ds:datastoreItem xmlns:ds="http://schemas.openxmlformats.org/officeDocument/2006/customXml" ds:itemID="{B82D269C-A8EF-400C-8FDA-B7D14427132B}"/>
</file>

<file path=customXml/itemProps4.xml><?xml version="1.0" encoding="utf-8"?>
<ds:datastoreItem xmlns:ds="http://schemas.openxmlformats.org/officeDocument/2006/customXml" ds:itemID="{6DF68EB5-4F68-443C-9893-DCAF0FF3FC32}"/>
</file>

<file path=docProps/app.xml><?xml version="1.0" encoding="utf-8"?>
<Properties xmlns="http://schemas.openxmlformats.org/officeDocument/2006/extended-properties" xmlns:vt="http://schemas.openxmlformats.org/officeDocument/2006/docPropsVTypes">
  <Template>Normal.dotm</Template>
  <TotalTime>1</TotalTime>
  <Pages>15</Pages>
  <Words>2899</Words>
  <Characters>16529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dc:creator>
  <cp:lastModifiedBy>ZARRALUQUI Adriana</cp:lastModifiedBy>
  <cp:revision>2</cp:revision>
  <cp:lastPrinted>2020-06-15T10:26:00Z</cp:lastPrinted>
  <dcterms:created xsi:type="dcterms:W3CDTF">2021-06-22T19:18:00Z</dcterms:created>
  <dcterms:modified xsi:type="dcterms:W3CDTF">2021-06-22T19:18:00Z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