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rels" ContentType="application/vnd.openxmlformats-package.relationships+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word/diagrams/quickStyle1.xml" ContentType="application/vnd.openxmlformats-officedocument.drawingml.diagramStyle+xml"/>
  <Override PartName="/customXml/itemProps2.xml" ContentType="application/vnd.openxmlformats-officedocument.customXmlPropertie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F1" w:rsidRPr="00B014F9" w:rsidRDefault="00B014F9" w:rsidP="00597894">
      <w:pPr>
        <w:pStyle w:val="Title"/>
      </w:pPr>
      <w:bookmarkStart w:id="0" w:name="_GoBack"/>
      <w:bookmarkEnd w:id="0"/>
      <w:r w:rsidRPr="00B014F9">
        <w:t>Déficit</w:t>
      </w:r>
      <w:r w:rsidR="00A02EF1" w:rsidRPr="00B014F9">
        <w:t xml:space="preserve"> habitacional</w:t>
      </w:r>
    </w:p>
    <w:p w:rsidR="00597894" w:rsidRDefault="00597894" w:rsidP="00597894">
      <w:pPr>
        <w:pStyle w:val="Heading1"/>
      </w:pPr>
      <w:r>
        <w:t xml:space="preserve">Concepto del déficit </w:t>
      </w:r>
      <w:r w:rsidR="0030162C">
        <w:t>habitacional</w:t>
      </w:r>
    </w:p>
    <w:p w:rsidR="004970F2" w:rsidRPr="004970F2" w:rsidRDefault="004970F2" w:rsidP="004970F2"/>
    <w:p w:rsidR="00232852" w:rsidRDefault="0030162C" w:rsidP="00B014F9">
      <w:pPr>
        <w:jc w:val="both"/>
        <w:rPr>
          <w:rFonts w:ascii="Verdana" w:hAnsi="Verdana"/>
          <w:color w:val="000000"/>
          <w:sz w:val="20"/>
          <w:szCs w:val="20"/>
        </w:rPr>
      </w:pPr>
      <w:r>
        <w:rPr>
          <w:rFonts w:ascii="Verdana" w:hAnsi="Verdana"/>
          <w:color w:val="000000"/>
          <w:sz w:val="20"/>
          <w:szCs w:val="20"/>
        </w:rPr>
        <w:t xml:space="preserve">El déficit habitacional, no es sólo lo </w:t>
      </w:r>
      <w:r w:rsidR="004111E3">
        <w:rPr>
          <w:rFonts w:ascii="Verdana" w:hAnsi="Verdana"/>
          <w:color w:val="000000"/>
          <w:sz w:val="20"/>
          <w:szCs w:val="20"/>
        </w:rPr>
        <w:t>ausencia</w:t>
      </w:r>
      <w:r>
        <w:rPr>
          <w:rFonts w:ascii="Verdana" w:hAnsi="Verdana"/>
          <w:color w:val="000000"/>
          <w:sz w:val="20"/>
          <w:szCs w:val="20"/>
        </w:rPr>
        <w:t xml:space="preserve"> o falta de vivienda, sino </w:t>
      </w:r>
      <w:r w:rsidR="00A02EF1" w:rsidRPr="00B014F9">
        <w:rPr>
          <w:rFonts w:ascii="Verdana" w:hAnsi="Verdana"/>
          <w:color w:val="000000"/>
          <w:sz w:val="20"/>
          <w:szCs w:val="20"/>
        </w:rPr>
        <w:t xml:space="preserve">el conjunto de </w:t>
      </w:r>
      <w:r w:rsidR="004111E3">
        <w:rPr>
          <w:rFonts w:ascii="Verdana" w:hAnsi="Verdana"/>
          <w:color w:val="000000"/>
          <w:sz w:val="20"/>
          <w:szCs w:val="20"/>
        </w:rPr>
        <w:t xml:space="preserve">carencias o precariedad en la vivienda y las condiciones del entorno que determinan las condiciones en que habita </w:t>
      </w:r>
      <w:r w:rsidR="00A02EF1" w:rsidRPr="00B014F9">
        <w:rPr>
          <w:rFonts w:ascii="Verdana" w:hAnsi="Verdana"/>
          <w:color w:val="000000"/>
          <w:sz w:val="20"/>
          <w:szCs w:val="20"/>
        </w:rPr>
        <w:t>la población en un territorio</w:t>
      </w:r>
      <w:r w:rsidR="004111E3">
        <w:rPr>
          <w:rFonts w:ascii="Verdana" w:hAnsi="Verdana"/>
          <w:color w:val="000000"/>
          <w:sz w:val="20"/>
          <w:szCs w:val="20"/>
        </w:rPr>
        <w:t xml:space="preserve"> determinado</w:t>
      </w:r>
      <w:r w:rsidR="00A02EF1" w:rsidRPr="00B014F9">
        <w:rPr>
          <w:rFonts w:ascii="Verdana" w:hAnsi="Verdana"/>
          <w:color w:val="000000"/>
          <w:sz w:val="20"/>
          <w:szCs w:val="20"/>
        </w:rPr>
        <w:t>. </w:t>
      </w:r>
    </w:p>
    <w:p w:rsidR="004A66A3" w:rsidRDefault="004111E3" w:rsidP="00B014F9">
      <w:pPr>
        <w:jc w:val="both"/>
        <w:rPr>
          <w:rFonts w:ascii="Verdana" w:hAnsi="Verdana"/>
          <w:color w:val="000000"/>
          <w:sz w:val="20"/>
          <w:szCs w:val="20"/>
        </w:rPr>
      </w:pPr>
      <w:r>
        <w:rPr>
          <w:rFonts w:ascii="Verdana" w:hAnsi="Verdana"/>
          <w:color w:val="000000"/>
          <w:sz w:val="20"/>
          <w:szCs w:val="20"/>
        </w:rPr>
        <w:t xml:space="preserve">Determinar el </w:t>
      </w:r>
      <w:r w:rsidR="00A02EF1" w:rsidRPr="00B014F9">
        <w:rPr>
          <w:rFonts w:ascii="Verdana" w:hAnsi="Verdana"/>
          <w:color w:val="000000"/>
          <w:sz w:val="20"/>
          <w:szCs w:val="20"/>
        </w:rPr>
        <w:t xml:space="preserve">déficit absoluto o </w:t>
      </w:r>
      <w:r>
        <w:rPr>
          <w:rFonts w:ascii="Verdana" w:hAnsi="Verdana"/>
          <w:color w:val="000000"/>
          <w:sz w:val="20"/>
          <w:szCs w:val="20"/>
        </w:rPr>
        <w:t>falta</w:t>
      </w:r>
      <w:r w:rsidR="00A02EF1" w:rsidRPr="00B014F9">
        <w:rPr>
          <w:rFonts w:ascii="Verdana" w:hAnsi="Verdana"/>
          <w:color w:val="000000"/>
          <w:sz w:val="20"/>
          <w:szCs w:val="20"/>
        </w:rPr>
        <w:t xml:space="preserve"> de vivienda, es decir, </w:t>
      </w:r>
      <w:r>
        <w:rPr>
          <w:rFonts w:ascii="Verdana" w:hAnsi="Verdana"/>
          <w:color w:val="000000"/>
          <w:sz w:val="20"/>
          <w:szCs w:val="20"/>
        </w:rPr>
        <w:t xml:space="preserve">el déficit cuantitativo parte de bases más está dado por </w:t>
      </w:r>
      <w:r w:rsidR="00A02EF1" w:rsidRPr="00B014F9">
        <w:rPr>
          <w:rFonts w:ascii="Verdana" w:hAnsi="Verdana"/>
          <w:color w:val="000000"/>
          <w:sz w:val="20"/>
          <w:szCs w:val="20"/>
        </w:rPr>
        <w:t>la diferencia entre el total de familias y el total de unidades de vivienda</w:t>
      </w:r>
      <w:r>
        <w:rPr>
          <w:rFonts w:ascii="Verdana" w:hAnsi="Verdana"/>
          <w:color w:val="000000"/>
          <w:sz w:val="20"/>
          <w:szCs w:val="20"/>
        </w:rPr>
        <w:t xml:space="preserve">. </w:t>
      </w:r>
      <w:r w:rsidR="004A66A3">
        <w:rPr>
          <w:rFonts w:ascii="Verdana" w:hAnsi="Verdana"/>
          <w:color w:val="000000"/>
          <w:sz w:val="20"/>
          <w:szCs w:val="20"/>
        </w:rPr>
        <w:t xml:space="preserve">En el cálculo de este déficit debe considerarse la proyección de crecimiento de la población. </w:t>
      </w:r>
    </w:p>
    <w:p w:rsidR="004A66A3" w:rsidRDefault="004A66A3" w:rsidP="00FB3456">
      <w:pPr>
        <w:jc w:val="both"/>
        <w:rPr>
          <w:rFonts w:ascii="Verdana" w:hAnsi="Verdana"/>
          <w:color w:val="000000"/>
          <w:sz w:val="20"/>
          <w:szCs w:val="20"/>
        </w:rPr>
      </w:pPr>
      <w:r>
        <w:rPr>
          <w:rFonts w:ascii="Verdana" w:hAnsi="Verdana"/>
          <w:color w:val="000000"/>
          <w:sz w:val="20"/>
          <w:szCs w:val="20"/>
        </w:rPr>
        <w:t>Si bien, en l</w:t>
      </w:r>
      <w:r w:rsidR="004111E3">
        <w:rPr>
          <w:rFonts w:ascii="Verdana" w:hAnsi="Verdana"/>
          <w:color w:val="000000"/>
          <w:sz w:val="20"/>
          <w:szCs w:val="20"/>
        </w:rPr>
        <w:t xml:space="preserve">a definición del </w:t>
      </w:r>
      <w:r w:rsidR="00A02EF1" w:rsidRPr="00B014F9">
        <w:rPr>
          <w:rFonts w:ascii="Verdana" w:hAnsi="Verdana"/>
          <w:color w:val="000000"/>
          <w:sz w:val="20"/>
          <w:szCs w:val="20"/>
        </w:rPr>
        <w:t xml:space="preserve">déficit </w:t>
      </w:r>
      <w:r w:rsidR="004111E3">
        <w:rPr>
          <w:rFonts w:ascii="Verdana" w:hAnsi="Verdana"/>
          <w:color w:val="000000"/>
          <w:sz w:val="20"/>
          <w:szCs w:val="20"/>
        </w:rPr>
        <w:t>cualitativo</w:t>
      </w:r>
      <w:r>
        <w:rPr>
          <w:rFonts w:ascii="Verdana" w:hAnsi="Verdana"/>
          <w:color w:val="000000"/>
          <w:sz w:val="20"/>
          <w:szCs w:val="20"/>
        </w:rPr>
        <w:t xml:space="preserve"> se encuentran diferencias, para la definición de políticas efectivas de país, es fundamental e</w:t>
      </w:r>
      <w:r w:rsidRPr="004A66A3">
        <w:rPr>
          <w:rFonts w:ascii="Verdana" w:hAnsi="Verdana"/>
          <w:color w:val="000000"/>
          <w:sz w:val="20"/>
          <w:szCs w:val="20"/>
        </w:rPr>
        <w:t>ntender el déficit de forma integral</w:t>
      </w:r>
      <w:r w:rsidR="00FB3456">
        <w:rPr>
          <w:rFonts w:ascii="Verdana" w:hAnsi="Verdana"/>
          <w:color w:val="000000"/>
          <w:sz w:val="20"/>
          <w:szCs w:val="20"/>
        </w:rPr>
        <w:t>, e</w:t>
      </w:r>
      <w:r>
        <w:rPr>
          <w:rFonts w:ascii="Verdana" w:hAnsi="Verdana"/>
          <w:color w:val="000000"/>
          <w:sz w:val="20"/>
          <w:szCs w:val="20"/>
        </w:rPr>
        <w:t xml:space="preserve">xplicitar </w:t>
      </w:r>
      <w:r w:rsidR="00FB3456">
        <w:rPr>
          <w:rFonts w:ascii="Verdana" w:hAnsi="Verdana"/>
          <w:color w:val="000000"/>
          <w:sz w:val="20"/>
          <w:szCs w:val="20"/>
        </w:rPr>
        <w:t>sus características y f</w:t>
      </w:r>
      <w:r>
        <w:rPr>
          <w:rFonts w:ascii="Verdana" w:hAnsi="Verdana"/>
          <w:color w:val="000000"/>
          <w:sz w:val="20"/>
          <w:szCs w:val="20"/>
        </w:rPr>
        <w:t>ocalizar dónde se concentra</w:t>
      </w:r>
      <w:r w:rsidR="00FB3456">
        <w:rPr>
          <w:rFonts w:ascii="Verdana" w:hAnsi="Verdana"/>
          <w:color w:val="000000"/>
          <w:sz w:val="20"/>
          <w:szCs w:val="20"/>
        </w:rPr>
        <w:t>.</w:t>
      </w:r>
    </w:p>
    <w:p w:rsidR="007222F0" w:rsidRDefault="00FB3456" w:rsidP="007222F0">
      <w:pPr>
        <w:jc w:val="both"/>
        <w:rPr>
          <w:rFonts w:ascii="Verdana" w:hAnsi="Verdana"/>
          <w:color w:val="000000"/>
          <w:sz w:val="20"/>
          <w:szCs w:val="20"/>
        </w:rPr>
      </w:pPr>
      <w:r>
        <w:rPr>
          <w:rFonts w:ascii="Verdana" w:hAnsi="Verdana"/>
          <w:color w:val="000000"/>
          <w:sz w:val="20"/>
          <w:szCs w:val="20"/>
        </w:rPr>
        <w:t>Entender el déficit de forma integral, sign</w:t>
      </w:r>
      <w:r w:rsidR="007222F0">
        <w:rPr>
          <w:rFonts w:ascii="Verdana" w:hAnsi="Verdana"/>
          <w:color w:val="000000"/>
          <w:sz w:val="20"/>
          <w:szCs w:val="20"/>
        </w:rPr>
        <w:t>i</w:t>
      </w:r>
      <w:r>
        <w:rPr>
          <w:rFonts w:ascii="Verdana" w:hAnsi="Verdana"/>
          <w:color w:val="000000"/>
          <w:sz w:val="20"/>
          <w:szCs w:val="20"/>
        </w:rPr>
        <w:t xml:space="preserve">fica reconocer las variables </w:t>
      </w:r>
      <w:r w:rsidR="007222F0">
        <w:rPr>
          <w:rFonts w:ascii="Verdana" w:hAnsi="Verdana"/>
          <w:color w:val="000000"/>
          <w:sz w:val="20"/>
          <w:szCs w:val="20"/>
        </w:rPr>
        <w:t>que inciden en la calidad de la vivienda y hábitat, de forma que potencien el desarrollo de sus habitantes. La falta de una de las variables es considera parte del déficit</w:t>
      </w:r>
    </w:p>
    <w:p w:rsidR="006945B8" w:rsidRDefault="007222F0" w:rsidP="007222F0">
      <w:pPr>
        <w:jc w:val="both"/>
        <w:rPr>
          <w:rFonts w:ascii="Verdana" w:hAnsi="Verdana"/>
          <w:color w:val="000000"/>
          <w:sz w:val="20"/>
          <w:szCs w:val="20"/>
        </w:rPr>
      </w:pPr>
      <w:r>
        <w:rPr>
          <w:rFonts w:ascii="Verdana" w:hAnsi="Verdana"/>
          <w:color w:val="000000"/>
          <w:sz w:val="20"/>
          <w:szCs w:val="20"/>
        </w:rPr>
        <w:t>E</w:t>
      </w:r>
      <w:r w:rsidR="00A02EF1" w:rsidRPr="004A66A3">
        <w:rPr>
          <w:rFonts w:ascii="Verdana" w:hAnsi="Verdana"/>
          <w:color w:val="000000"/>
          <w:sz w:val="20"/>
          <w:szCs w:val="20"/>
        </w:rPr>
        <w:t xml:space="preserve">l déficit de vivienda no es un simple desajuste en el mercado habitacional, o consecuencia de diferencias técnicas, organizativas o de diseño en la producción de viviendas; su explicación debe referirse estructuralmente a otras carencias como las referidas al empleo y al ingreso, </w:t>
      </w:r>
      <w:r>
        <w:rPr>
          <w:rFonts w:ascii="Verdana" w:hAnsi="Verdana"/>
          <w:color w:val="000000"/>
          <w:sz w:val="20"/>
          <w:szCs w:val="20"/>
        </w:rPr>
        <w:t xml:space="preserve">que </w:t>
      </w:r>
      <w:r w:rsidR="00A02EF1" w:rsidRPr="004A66A3">
        <w:rPr>
          <w:rFonts w:ascii="Verdana" w:hAnsi="Verdana"/>
          <w:color w:val="000000"/>
          <w:sz w:val="20"/>
          <w:szCs w:val="20"/>
        </w:rPr>
        <w:t xml:space="preserve">inciden en su determinación causal, impidiendo que gran parte de la población, pueda pagar lo altos costos da la vivienda y de sus elementos componentes: tierra, materiales de construcción, fuerza de trabajo, financiamiento y tecnología. </w:t>
      </w:r>
    </w:p>
    <w:p w:rsidR="003D7745" w:rsidRPr="00832F77" w:rsidRDefault="003D7745" w:rsidP="003D7745">
      <w:pPr>
        <w:rPr>
          <w:rStyle w:val="TitleChar"/>
          <w:sz w:val="32"/>
          <w:szCs w:val="32"/>
        </w:rPr>
      </w:pPr>
      <w:r>
        <w:rPr>
          <w:rFonts w:ascii="Verdana" w:hAnsi="Verdana"/>
          <w:color w:val="000000"/>
          <w:sz w:val="20"/>
          <w:szCs w:val="20"/>
        </w:rPr>
        <w:t>La vivienda, e</w:t>
      </w:r>
      <w:r w:rsidRPr="003D7745">
        <w:rPr>
          <w:rFonts w:ascii="Verdana" w:hAnsi="Verdana"/>
          <w:color w:val="000000"/>
          <w:sz w:val="20"/>
          <w:szCs w:val="20"/>
        </w:rPr>
        <w:t>s</w:t>
      </w:r>
      <w:r>
        <w:rPr>
          <w:rFonts w:ascii="Verdana" w:hAnsi="Verdana"/>
          <w:color w:val="000000"/>
          <w:sz w:val="20"/>
          <w:szCs w:val="20"/>
        </w:rPr>
        <w:t xml:space="preserve"> por tanto, </w:t>
      </w:r>
      <w:r w:rsidRPr="003D7745">
        <w:rPr>
          <w:rFonts w:ascii="Verdana" w:hAnsi="Verdana"/>
          <w:i/>
          <w:color w:val="000000"/>
          <w:sz w:val="20"/>
          <w:szCs w:val="20"/>
        </w:rPr>
        <w:t>una inversión en desarrollo humano indispensable para una nación y un derecho humano inalienable. Todos los seres humanos requerimos un lugar donde habitar y desarrollarse con su familia, que les brinde abrigo y seguridad, que sea saludable, que nos otorgue pertenencia y nos permita el desarrollo de los lazos sociales</w:t>
      </w:r>
      <w:r>
        <w:rPr>
          <w:rFonts w:ascii="Verdana" w:hAnsi="Verdana"/>
          <w:color w:val="000000"/>
          <w:sz w:val="20"/>
          <w:szCs w:val="20"/>
        </w:rPr>
        <w:t xml:space="preserve"> (</w:t>
      </w:r>
      <w:proofErr w:type="spellStart"/>
      <w:r>
        <w:rPr>
          <w:rFonts w:ascii="Verdana" w:hAnsi="Verdana"/>
          <w:color w:val="000000"/>
          <w:sz w:val="20"/>
          <w:szCs w:val="20"/>
        </w:rPr>
        <w:t>Tornago</w:t>
      </w:r>
      <w:proofErr w:type="spellEnd"/>
      <w:r>
        <w:rPr>
          <w:rFonts w:ascii="Verdana" w:hAnsi="Verdana"/>
          <w:color w:val="000000"/>
          <w:sz w:val="20"/>
          <w:szCs w:val="20"/>
        </w:rPr>
        <w:t>, 2013).</w:t>
      </w:r>
    </w:p>
    <w:p w:rsidR="004970F2" w:rsidRDefault="007222F0" w:rsidP="004970F2">
      <w:pPr>
        <w:jc w:val="both"/>
        <w:rPr>
          <w:rFonts w:ascii="Verdana" w:hAnsi="Verdana"/>
          <w:color w:val="000000"/>
          <w:sz w:val="20"/>
          <w:szCs w:val="20"/>
        </w:rPr>
      </w:pPr>
      <w:r>
        <w:rPr>
          <w:rFonts w:ascii="Verdana" w:hAnsi="Verdana"/>
          <w:color w:val="000000"/>
          <w:sz w:val="20"/>
          <w:szCs w:val="20"/>
        </w:rPr>
        <w:t xml:space="preserve">El déficit </w:t>
      </w:r>
      <w:r w:rsidR="004970F2">
        <w:rPr>
          <w:rFonts w:ascii="Verdana" w:hAnsi="Verdana"/>
          <w:color w:val="000000"/>
          <w:sz w:val="20"/>
          <w:szCs w:val="20"/>
        </w:rPr>
        <w:t xml:space="preserve">total, </w:t>
      </w:r>
      <w:r>
        <w:rPr>
          <w:rFonts w:ascii="Verdana" w:hAnsi="Verdana"/>
          <w:color w:val="000000"/>
          <w:sz w:val="20"/>
          <w:szCs w:val="20"/>
        </w:rPr>
        <w:t>compuesto tanto por el cuantitativo como el cualitativo</w:t>
      </w:r>
      <w:r w:rsidR="004970F2">
        <w:rPr>
          <w:rFonts w:ascii="Verdana" w:hAnsi="Verdana"/>
          <w:color w:val="000000"/>
          <w:sz w:val="20"/>
          <w:szCs w:val="20"/>
        </w:rPr>
        <w:t>,</w:t>
      </w:r>
      <w:r>
        <w:rPr>
          <w:rFonts w:ascii="Verdana" w:hAnsi="Verdana"/>
          <w:color w:val="000000"/>
          <w:sz w:val="20"/>
          <w:szCs w:val="20"/>
        </w:rPr>
        <w:t xml:space="preserve"> debe considerar también el crecimiento demográfico, así </w:t>
      </w:r>
      <w:r w:rsidR="004970F2">
        <w:rPr>
          <w:rFonts w:ascii="Verdana" w:hAnsi="Verdana"/>
          <w:color w:val="000000"/>
          <w:sz w:val="20"/>
          <w:szCs w:val="20"/>
        </w:rPr>
        <w:t>como</w:t>
      </w:r>
      <w:r w:rsidR="004A66A3">
        <w:rPr>
          <w:rFonts w:ascii="Verdana" w:hAnsi="Verdana"/>
          <w:color w:val="000000"/>
          <w:sz w:val="20"/>
          <w:szCs w:val="20"/>
        </w:rPr>
        <w:t xml:space="preserve"> l</w:t>
      </w:r>
      <w:r w:rsidR="004970F2">
        <w:rPr>
          <w:rFonts w:ascii="Verdana" w:hAnsi="Verdana"/>
          <w:color w:val="000000"/>
          <w:sz w:val="20"/>
          <w:szCs w:val="20"/>
        </w:rPr>
        <w:t xml:space="preserve">os daños a consecuencia </w:t>
      </w:r>
      <w:r w:rsidR="004A66A3">
        <w:rPr>
          <w:rFonts w:ascii="Verdana" w:hAnsi="Verdana"/>
          <w:color w:val="000000"/>
          <w:sz w:val="20"/>
          <w:szCs w:val="20"/>
        </w:rPr>
        <w:t>de desastres, que cada vez son más crecientes como consecuencia del cambio climático.</w:t>
      </w:r>
    </w:p>
    <w:p w:rsidR="001212C9" w:rsidRPr="004970F2" w:rsidRDefault="004970F2" w:rsidP="004970F2">
      <w:pPr>
        <w:pStyle w:val="Heading1"/>
        <w:rPr>
          <w:rFonts w:ascii="Verdana" w:eastAsiaTheme="minorHAnsi" w:hAnsi="Verdana"/>
          <w:color w:val="000000"/>
          <w:sz w:val="20"/>
          <w:szCs w:val="20"/>
        </w:rPr>
      </w:pPr>
      <w:r>
        <w:rPr>
          <w:rFonts w:eastAsiaTheme="minorHAnsi"/>
        </w:rPr>
        <w:lastRenderedPageBreak/>
        <w:t>E</w:t>
      </w:r>
      <w:r w:rsidR="001212C9">
        <w:rPr>
          <w:rFonts w:eastAsiaTheme="minorHAnsi"/>
        </w:rPr>
        <w:t>nfoque de derecho en la interpretación del déficit habitacional</w:t>
      </w:r>
    </w:p>
    <w:p w:rsidR="00C516C7" w:rsidRDefault="00C516C7" w:rsidP="001212C9">
      <w:pPr>
        <w:pStyle w:val="Heading1"/>
        <w:jc w:val="both"/>
        <w:rPr>
          <w:rFonts w:ascii="Verdana" w:eastAsiaTheme="minorHAnsi" w:hAnsi="Verdana" w:cstheme="minorBidi"/>
          <w:b w:val="0"/>
          <w:bCs w:val="0"/>
          <w:color w:val="000000"/>
          <w:sz w:val="20"/>
          <w:szCs w:val="20"/>
        </w:rPr>
      </w:pPr>
      <w:r>
        <w:rPr>
          <w:rFonts w:ascii="Verdana" w:eastAsiaTheme="minorHAnsi" w:hAnsi="Verdana" w:cstheme="minorBidi"/>
          <w:b w:val="0"/>
          <w:bCs w:val="0"/>
          <w:color w:val="000000"/>
          <w:sz w:val="20"/>
          <w:szCs w:val="20"/>
        </w:rPr>
        <w:t>La visión integral del déficit habitacional se plantea desde un enfoque de derechos, principalmente en cuanto al derecho a la vivienda adecuada y el derecho a la ciudad.</w:t>
      </w:r>
    </w:p>
    <w:p w:rsidR="001212C9" w:rsidRPr="001212C9" w:rsidRDefault="001212C9" w:rsidP="001212C9">
      <w:pPr>
        <w:pStyle w:val="Heading1"/>
        <w:jc w:val="both"/>
        <w:rPr>
          <w:rFonts w:ascii="Verdana" w:eastAsiaTheme="minorHAnsi" w:hAnsi="Verdana" w:cstheme="minorBidi"/>
          <w:b w:val="0"/>
          <w:bCs w:val="0"/>
          <w:color w:val="000000"/>
          <w:sz w:val="20"/>
          <w:szCs w:val="20"/>
        </w:rPr>
      </w:pPr>
      <w:r w:rsidRPr="001212C9">
        <w:rPr>
          <w:rFonts w:ascii="Verdana" w:eastAsiaTheme="minorHAnsi" w:hAnsi="Verdana" w:cstheme="minorBidi"/>
          <w:b w:val="0"/>
          <w:bCs w:val="0"/>
          <w:color w:val="000000"/>
          <w:sz w:val="20"/>
          <w:szCs w:val="20"/>
        </w:rPr>
        <w:t>a) el Derecho a la Vivienda</w:t>
      </w:r>
      <w:r w:rsidR="004C10A8">
        <w:rPr>
          <w:rFonts w:ascii="Verdana" w:eastAsiaTheme="minorHAnsi" w:hAnsi="Verdana" w:cstheme="minorBidi"/>
          <w:b w:val="0"/>
          <w:bCs w:val="0"/>
          <w:color w:val="000000"/>
          <w:sz w:val="20"/>
          <w:szCs w:val="20"/>
        </w:rPr>
        <w:t xml:space="preserve"> (DESC, 1991)</w:t>
      </w:r>
      <w:r w:rsidRPr="001212C9">
        <w:rPr>
          <w:rFonts w:ascii="Verdana" w:eastAsiaTheme="minorHAnsi" w:hAnsi="Verdana" w:cstheme="minorBidi"/>
          <w:b w:val="0"/>
          <w:bCs w:val="0"/>
          <w:color w:val="000000"/>
          <w:sz w:val="20"/>
          <w:szCs w:val="20"/>
        </w:rPr>
        <w:t xml:space="preserve">, interpretando sus elementos funciónales y enfatizando en aquellos componentes que le dan significado y prioridad a lo colectivo, y lo público; </w:t>
      </w:r>
    </w:p>
    <w:p w:rsidR="00EC6B52" w:rsidRDefault="00EC6B52" w:rsidP="00EC6B52">
      <w:pPr>
        <w:pStyle w:val="Heading1"/>
        <w:jc w:val="both"/>
        <w:rPr>
          <w:rFonts w:ascii="Verdana" w:eastAsiaTheme="minorHAnsi" w:hAnsi="Verdana" w:cstheme="minorBidi"/>
          <w:b w:val="0"/>
          <w:bCs w:val="0"/>
          <w:color w:val="000000"/>
          <w:sz w:val="20"/>
          <w:szCs w:val="20"/>
        </w:rPr>
      </w:pPr>
      <w:r>
        <w:rPr>
          <w:rFonts w:ascii="Verdana" w:eastAsiaTheme="minorHAnsi" w:hAnsi="Verdana" w:cstheme="minorBidi"/>
          <w:b w:val="0"/>
          <w:bCs w:val="0"/>
          <w:color w:val="000000"/>
          <w:sz w:val="20"/>
          <w:szCs w:val="20"/>
        </w:rPr>
        <w:t>b</w:t>
      </w:r>
      <w:r w:rsidRPr="001212C9">
        <w:rPr>
          <w:rFonts w:ascii="Verdana" w:eastAsiaTheme="minorHAnsi" w:hAnsi="Verdana" w:cstheme="minorBidi"/>
          <w:b w:val="0"/>
          <w:bCs w:val="0"/>
          <w:color w:val="000000"/>
          <w:sz w:val="20"/>
          <w:szCs w:val="20"/>
        </w:rPr>
        <w:t xml:space="preserve">) </w:t>
      </w:r>
      <w:r>
        <w:rPr>
          <w:rFonts w:ascii="Verdana" w:eastAsiaTheme="minorHAnsi" w:hAnsi="Verdana" w:cstheme="minorBidi"/>
          <w:b w:val="0"/>
          <w:bCs w:val="0"/>
          <w:color w:val="000000"/>
          <w:sz w:val="20"/>
          <w:szCs w:val="20"/>
        </w:rPr>
        <w:t>el Derecho a la ciudad</w:t>
      </w:r>
      <w:r w:rsidR="004C10A8">
        <w:rPr>
          <w:rFonts w:ascii="Verdana" w:eastAsiaTheme="minorHAnsi" w:hAnsi="Verdana" w:cstheme="minorBidi"/>
          <w:b w:val="0"/>
          <w:bCs w:val="0"/>
          <w:color w:val="000000"/>
          <w:sz w:val="20"/>
          <w:szCs w:val="20"/>
        </w:rPr>
        <w:t xml:space="preserve"> y a la vivienda</w:t>
      </w:r>
      <w:r>
        <w:rPr>
          <w:rFonts w:ascii="Verdana" w:eastAsiaTheme="minorHAnsi" w:hAnsi="Verdana" w:cstheme="minorBidi"/>
          <w:b w:val="0"/>
          <w:bCs w:val="0"/>
          <w:color w:val="000000"/>
          <w:sz w:val="20"/>
          <w:szCs w:val="20"/>
        </w:rPr>
        <w:t>, que considera el acceso e inclusión física y social a la ciudad y sus beneficios.</w:t>
      </w:r>
      <w:r w:rsidR="004C10A8">
        <w:rPr>
          <w:rFonts w:ascii="Verdana" w:eastAsiaTheme="minorHAnsi" w:hAnsi="Verdana" w:cstheme="minorBidi"/>
          <w:b w:val="0"/>
          <w:bCs w:val="0"/>
          <w:color w:val="000000"/>
          <w:sz w:val="20"/>
          <w:szCs w:val="20"/>
        </w:rPr>
        <w:t xml:space="preserve"> La </w:t>
      </w:r>
      <w:r w:rsidR="004C10A8" w:rsidRPr="004C10A8">
        <w:rPr>
          <w:rFonts w:ascii="Verdana" w:eastAsiaTheme="minorHAnsi" w:hAnsi="Verdana" w:cstheme="minorBidi"/>
          <w:b w:val="0"/>
          <w:bCs w:val="0"/>
          <w:i/>
          <w:color w:val="000000"/>
          <w:sz w:val="20"/>
          <w:szCs w:val="20"/>
        </w:rPr>
        <w:t>Carta por los derechos a la Ciudad</w:t>
      </w:r>
      <w:r w:rsidR="004C10A8">
        <w:rPr>
          <w:rFonts w:ascii="Verdana" w:eastAsiaTheme="minorHAnsi" w:hAnsi="Verdana" w:cstheme="minorBidi"/>
          <w:b w:val="0"/>
          <w:bCs w:val="0"/>
          <w:i/>
          <w:color w:val="000000"/>
          <w:sz w:val="20"/>
          <w:szCs w:val="20"/>
        </w:rPr>
        <w:t>,</w:t>
      </w:r>
      <w:r w:rsidR="004C10A8">
        <w:rPr>
          <w:rFonts w:ascii="Verdana" w:eastAsiaTheme="minorHAnsi" w:hAnsi="Verdana" w:cstheme="minorBidi"/>
          <w:b w:val="0"/>
          <w:bCs w:val="0"/>
          <w:color w:val="000000"/>
          <w:sz w:val="20"/>
          <w:szCs w:val="20"/>
        </w:rPr>
        <w:t xml:space="preserve"> elaborada por HIC, plantea los “derechos habitacionales”</w:t>
      </w:r>
    </w:p>
    <w:p w:rsidR="001212C9" w:rsidRPr="001212C9" w:rsidRDefault="00EC6B52" w:rsidP="001212C9">
      <w:pPr>
        <w:pStyle w:val="Heading1"/>
        <w:jc w:val="both"/>
        <w:rPr>
          <w:rFonts w:ascii="Verdana" w:eastAsiaTheme="minorHAnsi" w:hAnsi="Verdana" w:cstheme="minorBidi"/>
          <w:b w:val="0"/>
          <w:bCs w:val="0"/>
          <w:color w:val="000000"/>
          <w:sz w:val="20"/>
          <w:szCs w:val="20"/>
        </w:rPr>
      </w:pPr>
      <w:r>
        <w:rPr>
          <w:rFonts w:ascii="Verdana" w:eastAsiaTheme="minorHAnsi" w:hAnsi="Verdana" w:cstheme="minorBidi"/>
          <w:b w:val="0"/>
          <w:bCs w:val="0"/>
          <w:color w:val="000000"/>
          <w:sz w:val="20"/>
          <w:szCs w:val="20"/>
        </w:rPr>
        <w:t>c</w:t>
      </w:r>
      <w:r w:rsidR="001212C9" w:rsidRPr="001212C9">
        <w:rPr>
          <w:rFonts w:ascii="Verdana" w:eastAsiaTheme="minorHAnsi" w:hAnsi="Verdana" w:cstheme="minorBidi"/>
          <w:b w:val="0"/>
          <w:bCs w:val="0"/>
          <w:color w:val="000000"/>
          <w:sz w:val="20"/>
          <w:szCs w:val="20"/>
        </w:rPr>
        <w:t>) la producción social del hábitat como concepto que describe integralmente el fenómeno, físico, cultural y económico, que representa la capacidad productiva de la población en materia habitacional, aún con sus limitaciones, las cuales se consideran superables en un ambiente favorable de políticas públicas</w:t>
      </w:r>
    </w:p>
    <w:p w:rsidR="00EC6B52" w:rsidRDefault="00EC6B52" w:rsidP="004C10A8">
      <w:pPr>
        <w:pStyle w:val="Heading1"/>
        <w:jc w:val="both"/>
        <w:rPr>
          <w:rFonts w:ascii="Verdana" w:eastAsiaTheme="minorHAnsi" w:hAnsi="Verdana" w:cstheme="minorBidi"/>
          <w:b w:val="0"/>
          <w:bCs w:val="0"/>
          <w:color w:val="000000"/>
          <w:sz w:val="20"/>
          <w:szCs w:val="20"/>
        </w:rPr>
      </w:pPr>
      <w:r>
        <w:rPr>
          <w:rFonts w:ascii="Verdana" w:eastAsiaTheme="minorHAnsi" w:hAnsi="Verdana" w:cstheme="minorBidi"/>
          <w:b w:val="0"/>
          <w:bCs w:val="0"/>
          <w:color w:val="000000"/>
          <w:sz w:val="20"/>
          <w:szCs w:val="20"/>
        </w:rPr>
        <w:t>d</w:t>
      </w:r>
      <w:r w:rsidR="001212C9" w:rsidRPr="001212C9">
        <w:rPr>
          <w:rFonts w:ascii="Verdana" w:eastAsiaTheme="minorHAnsi" w:hAnsi="Verdana" w:cstheme="minorBidi"/>
          <w:b w:val="0"/>
          <w:bCs w:val="0"/>
          <w:color w:val="000000"/>
          <w:sz w:val="20"/>
          <w:szCs w:val="20"/>
        </w:rPr>
        <w:t>) la gestión democrática del territorio como condición y plataforma, para el ejercicio de la ciudadanía, sujeto de derechos localizados en un territorio administrado y gobernado por las instituciones públicas responsable</w:t>
      </w:r>
      <w:r>
        <w:rPr>
          <w:rFonts w:ascii="Verdana" w:eastAsiaTheme="minorHAnsi" w:hAnsi="Verdana" w:cstheme="minorBidi"/>
          <w:b w:val="0"/>
          <w:bCs w:val="0"/>
          <w:color w:val="000000"/>
          <w:sz w:val="20"/>
          <w:szCs w:val="20"/>
        </w:rPr>
        <w:t>s así como las modalidades y prá</w:t>
      </w:r>
      <w:r w:rsidR="001212C9" w:rsidRPr="001212C9">
        <w:rPr>
          <w:rFonts w:ascii="Verdana" w:eastAsiaTheme="minorHAnsi" w:hAnsi="Verdana" w:cstheme="minorBidi"/>
          <w:b w:val="0"/>
          <w:bCs w:val="0"/>
          <w:color w:val="000000"/>
          <w:sz w:val="20"/>
          <w:szCs w:val="20"/>
        </w:rPr>
        <w:t>cticas para la definición de prioridades y la toma de decisiones que afectan la calidad de vida de los pobladores en materia habitacional.</w:t>
      </w:r>
      <w:r>
        <w:rPr>
          <w:rFonts w:ascii="Verdana" w:eastAsiaTheme="minorHAnsi" w:hAnsi="Verdana" w:cstheme="minorBidi"/>
          <w:b w:val="0"/>
          <w:bCs w:val="0"/>
          <w:color w:val="000000"/>
          <w:sz w:val="20"/>
          <w:szCs w:val="20"/>
        </w:rPr>
        <w:t xml:space="preserve"> Desde esta perspectiva se rescata al territorio como un espacio privilegiado de participación social en torno a objetivos concretos de las comunidades, donde se pueden construir relaciones asociativas entre los habitantes y relaciones de derechos y deberes con las institucionales estatales (PNUD/FUNDASAL, 2009).</w:t>
      </w:r>
    </w:p>
    <w:p w:rsidR="004C10A8" w:rsidRPr="004C10A8" w:rsidRDefault="004C10A8" w:rsidP="004C10A8"/>
    <w:p w:rsidR="00103995" w:rsidRDefault="00103995" w:rsidP="00103995">
      <w:pPr>
        <w:jc w:val="both"/>
        <w:rPr>
          <w:rFonts w:ascii="Verdana" w:hAnsi="Verdana"/>
          <w:sz w:val="20"/>
          <w:szCs w:val="20"/>
        </w:rPr>
      </w:pPr>
      <w:r w:rsidRPr="00103995">
        <w:rPr>
          <w:rFonts w:ascii="Verdana" w:hAnsi="Verdana"/>
          <w:sz w:val="20"/>
          <w:szCs w:val="20"/>
        </w:rPr>
        <w:t>El derecho a la vivienda, se encuentra estrechamente vinculado con el resto de derechos humanos civiles, políticos, económicos sociales y culturales. Así, la satisfacción de derecho a la vivienda está relacionada con la posibilidad de acceder a recursos que van más allá del alojamiento. Implica condiciones territoriales, seguridad jurídica, social y física, accesibilidad a servicios básicos, salud, educación, recreación, a la actividad económica, así como el derecho a la participación ciudadana que plantea este caso la posibilidad de participar en las políticas habitacionales.</w:t>
      </w:r>
    </w:p>
    <w:p w:rsidR="00103995" w:rsidRPr="00103995" w:rsidRDefault="00A2559B" w:rsidP="00103995">
      <w:pPr>
        <w:jc w:val="both"/>
        <w:rPr>
          <w:rFonts w:ascii="Verdana" w:hAnsi="Verdana"/>
          <w:sz w:val="20"/>
          <w:szCs w:val="20"/>
        </w:rPr>
      </w:pPr>
      <w:r>
        <w:rPr>
          <w:rFonts w:ascii="Verdana" w:hAnsi="Verdana"/>
          <w:sz w:val="20"/>
          <w:szCs w:val="20"/>
        </w:rPr>
        <w:t xml:space="preserve">El enfoque de derecho, está sustentado en una amplia normativa constitucional, regional e internacional que desarrolla los compromisos de los poderes públicos en materia habitacional; por ejemplo: Arts. 2, 3,32, 105, 119 de </w:t>
      </w:r>
      <w:r w:rsidR="00103995">
        <w:rPr>
          <w:rFonts w:ascii="Verdana" w:hAnsi="Verdana"/>
          <w:sz w:val="20"/>
          <w:szCs w:val="20"/>
        </w:rPr>
        <w:t xml:space="preserve">la Constitución de la República de El Salvador; </w:t>
      </w:r>
      <w:r>
        <w:rPr>
          <w:rFonts w:ascii="Verdana" w:hAnsi="Verdana"/>
          <w:sz w:val="20"/>
          <w:szCs w:val="20"/>
        </w:rPr>
        <w:t>Art. 25 d</w:t>
      </w:r>
      <w:r w:rsidR="00103995">
        <w:rPr>
          <w:rFonts w:ascii="Verdana" w:hAnsi="Verdana"/>
          <w:sz w:val="20"/>
          <w:szCs w:val="20"/>
        </w:rPr>
        <w:t xml:space="preserve">e la Declaración Universal de los Derechos Humanos; </w:t>
      </w:r>
      <w:r>
        <w:rPr>
          <w:rFonts w:ascii="Verdana" w:hAnsi="Verdana"/>
          <w:sz w:val="20"/>
          <w:szCs w:val="20"/>
        </w:rPr>
        <w:t>Art. 11 d</w:t>
      </w:r>
      <w:r w:rsidR="00103995">
        <w:rPr>
          <w:rFonts w:ascii="Verdana" w:hAnsi="Verdana"/>
          <w:sz w:val="20"/>
          <w:szCs w:val="20"/>
        </w:rPr>
        <w:t xml:space="preserve">el Pacto Internacional de Derechos </w:t>
      </w:r>
      <w:r>
        <w:rPr>
          <w:rFonts w:ascii="Verdana" w:hAnsi="Verdana"/>
          <w:sz w:val="20"/>
          <w:szCs w:val="20"/>
        </w:rPr>
        <w:t>Económicos, Sociales y Culturales, del Consejo Económico y Social de las Naciones Unidas.</w:t>
      </w:r>
    </w:p>
    <w:p w:rsidR="00B014F9" w:rsidRDefault="00597894" w:rsidP="00232852">
      <w:pPr>
        <w:pStyle w:val="Heading1"/>
      </w:pPr>
      <w:r>
        <w:lastRenderedPageBreak/>
        <w:t>Variables a considerar en el déficit habitacional</w:t>
      </w:r>
    </w:p>
    <w:p w:rsidR="00597894" w:rsidRDefault="00597894">
      <w:pPr>
        <w:jc w:val="both"/>
        <w:rPr>
          <w:sz w:val="20"/>
          <w:szCs w:val="20"/>
        </w:rPr>
      </w:pPr>
    </w:p>
    <w:p w:rsidR="00E74C24" w:rsidRPr="00E74C24" w:rsidRDefault="00E74C24">
      <w:pPr>
        <w:jc w:val="both"/>
        <w:rPr>
          <w:rFonts w:ascii="Verdana" w:hAnsi="Verdana"/>
          <w:sz w:val="20"/>
          <w:szCs w:val="20"/>
        </w:rPr>
      </w:pPr>
      <w:r w:rsidRPr="00E74C24">
        <w:rPr>
          <w:rFonts w:ascii="Verdana" w:hAnsi="Verdana"/>
          <w:sz w:val="20"/>
          <w:szCs w:val="20"/>
        </w:rPr>
        <w:t>Desde los enfoques y conceptos planteados, se retoman los componentes establecidos en l</w:t>
      </w:r>
      <w:r>
        <w:rPr>
          <w:rFonts w:ascii="Verdana" w:hAnsi="Verdana"/>
          <w:sz w:val="20"/>
          <w:szCs w:val="20"/>
        </w:rPr>
        <w:t>a</w:t>
      </w:r>
      <w:r w:rsidRPr="00E74C24">
        <w:rPr>
          <w:rFonts w:ascii="Verdana" w:hAnsi="Verdana"/>
          <w:sz w:val="20"/>
          <w:szCs w:val="20"/>
        </w:rPr>
        <w:t xml:space="preserve"> normativa internacional, que integran el derecho a la vivienda.</w:t>
      </w:r>
    </w:p>
    <w:p w:rsidR="00103995" w:rsidRDefault="00E74C24" w:rsidP="00E74C24">
      <w:pPr>
        <w:pStyle w:val="ListParagraph"/>
        <w:numPr>
          <w:ilvl w:val="0"/>
          <w:numId w:val="2"/>
        </w:numPr>
        <w:jc w:val="both"/>
        <w:rPr>
          <w:rFonts w:ascii="Verdana" w:hAnsi="Verdana"/>
          <w:sz w:val="20"/>
          <w:szCs w:val="20"/>
        </w:rPr>
      </w:pPr>
      <w:r w:rsidRPr="00E74C24">
        <w:rPr>
          <w:rFonts w:ascii="Verdana" w:hAnsi="Verdana"/>
          <w:sz w:val="20"/>
          <w:szCs w:val="20"/>
        </w:rPr>
        <w:t>Seguridad jurídica en la tenencia</w:t>
      </w:r>
      <w:r>
        <w:rPr>
          <w:rFonts w:ascii="Verdana" w:hAnsi="Verdana"/>
          <w:sz w:val="20"/>
          <w:szCs w:val="20"/>
        </w:rPr>
        <w:t xml:space="preserve">: incluyendo entre las diferentes modalidades de posesión, el régimen cooperativo. </w:t>
      </w:r>
    </w:p>
    <w:p w:rsidR="00E74C24" w:rsidRDefault="00E74C24" w:rsidP="00E74C24">
      <w:pPr>
        <w:pStyle w:val="ListParagraph"/>
        <w:numPr>
          <w:ilvl w:val="0"/>
          <w:numId w:val="2"/>
        </w:numPr>
        <w:jc w:val="both"/>
        <w:rPr>
          <w:rFonts w:ascii="Verdana" w:hAnsi="Verdana"/>
          <w:sz w:val="20"/>
          <w:szCs w:val="20"/>
        </w:rPr>
      </w:pPr>
      <w:r>
        <w:rPr>
          <w:rFonts w:ascii="Verdana" w:hAnsi="Verdana"/>
          <w:sz w:val="20"/>
          <w:szCs w:val="20"/>
        </w:rPr>
        <w:t>Disponibilidad de servicios, materiales, facilidades e infraestructuras.</w:t>
      </w:r>
    </w:p>
    <w:p w:rsidR="00E74C24" w:rsidRDefault="00E74C24" w:rsidP="00E74C24">
      <w:pPr>
        <w:pStyle w:val="ListParagraph"/>
        <w:numPr>
          <w:ilvl w:val="0"/>
          <w:numId w:val="2"/>
        </w:numPr>
        <w:jc w:val="both"/>
        <w:rPr>
          <w:rFonts w:ascii="Verdana" w:hAnsi="Verdana"/>
          <w:sz w:val="20"/>
          <w:szCs w:val="20"/>
        </w:rPr>
      </w:pPr>
      <w:r>
        <w:rPr>
          <w:rFonts w:ascii="Verdana" w:hAnsi="Verdana"/>
          <w:sz w:val="20"/>
          <w:szCs w:val="20"/>
        </w:rPr>
        <w:t>Gastos soportables: el gasto en vivienda no deben impedir la satisfacción de otras necesidades básicas.</w:t>
      </w:r>
    </w:p>
    <w:p w:rsidR="00E74C24" w:rsidRDefault="00E74C24" w:rsidP="00E74C24">
      <w:pPr>
        <w:pStyle w:val="ListParagraph"/>
        <w:numPr>
          <w:ilvl w:val="0"/>
          <w:numId w:val="2"/>
        </w:numPr>
        <w:jc w:val="both"/>
        <w:rPr>
          <w:rFonts w:ascii="Verdana" w:hAnsi="Verdana"/>
          <w:sz w:val="20"/>
          <w:szCs w:val="20"/>
        </w:rPr>
      </w:pPr>
      <w:r>
        <w:rPr>
          <w:rFonts w:ascii="Verdana" w:hAnsi="Verdana"/>
          <w:sz w:val="20"/>
          <w:szCs w:val="20"/>
        </w:rPr>
        <w:t>Habitabilidad: condiciones de higiene, salubridad y seguridad.</w:t>
      </w:r>
    </w:p>
    <w:p w:rsidR="00E74C24" w:rsidRDefault="00E74C24" w:rsidP="00E74C24">
      <w:pPr>
        <w:pStyle w:val="ListParagraph"/>
        <w:numPr>
          <w:ilvl w:val="0"/>
          <w:numId w:val="2"/>
        </w:numPr>
        <w:jc w:val="both"/>
        <w:rPr>
          <w:rFonts w:ascii="Verdana" w:hAnsi="Verdana"/>
          <w:sz w:val="20"/>
          <w:szCs w:val="20"/>
        </w:rPr>
      </w:pPr>
      <w:r>
        <w:rPr>
          <w:rFonts w:ascii="Verdana" w:hAnsi="Verdana"/>
          <w:sz w:val="20"/>
          <w:szCs w:val="20"/>
        </w:rPr>
        <w:t>Accesibilidad a todas las personas, sobre todo a grupos desfavorecidos.</w:t>
      </w:r>
    </w:p>
    <w:p w:rsidR="00E74C24" w:rsidRDefault="00E74C24" w:rsidP="00E74C24">
      <w:pPr>
        <w:pStyle w:val="ListParagraph"/>
        <w:numPr>
          <w:ilvl w:val="0"/>
          <w:numId w:val="2"/>
        </w:numPr>
        <w:jc w:val="both"/>
        <w:rPr>
          <w:rFonts w:ascii="Verdana" w:hAnsi="Verdana"/>
          <w:sz w:val="20"/>
          <w:szCs w:val="20"/>
        </w:rPr>
      </w:pPr>
      <w:r>
        <w:rPr>
          <w:rFonts w:ascii="Verdana" w:hAnsi="Verdana"/>
          <w:sz w:val="20"/>
          <w:szCs w:val="20"/>
        </w:rPr>
        <w:t>Ubicación: facilitar acceso a puestos de trabajo, escuelas, centros de salud, etc. No presentar riesgos físicos o sociales.</w:t>
      </w:r>
    </w:p>
    <w:p w:rsidR="004C10A8" w:rsidRDefault="004C10A8" w:rsidP="00E74C24">
      <w:pPr>
        <w:pStyle w:val="ListParagraph"/>
        <w:numPr>
          <w:ilvl w:val="0"/>
          <w:numId w:val="2"/>
        </w:numPr>
        <w:jc w:val="both"/>
        <w:rPr>
          <w:rFonts w:ascii="Verdana" w:hAnsi="Verdana"/>
          <w:sz w:val="20"/>
          <w:szCs w:val="20"/>
        </w:rPr>
      </w:pPr>
      <w:r>
        <w:rPr>
          <w:rFonts w:ascii="Verdana" w:hAnsi="Verdana"/>
          <w:sz w:val="20"/>
          <w:szCs w:val="20"/>
        </w:rPr>
        <w:t>Adecuación cultural: diseños y materiales deben respetar la identidad cultural y la diversidad del lugar y los colectivos involucrados.</w:t>
      </w:r>
    </w:p>
    <w:p w:rsidR="00560DC7" w:rsidRDefault="00560DC7" w:rsidP="00560DC7">
      <w:pPr>
        <w:pStyle w:val="ListParagraph"/>
        <w:jc w:val="both"/>
        <w:rPr>
          <w:rFonts w:ascii="Verdana" w:hAnsi="Verdana"/>
          <w:sz w:val="20"/>
          <w:szCs w:val="20"/>
        </w:rPr>
      </w:pPr>
    </w:p>
    <w:p w:rsidR="00560DC7" w:rsidRDefault="001F22F4" w:rsidP="004C10A8">
      <w:pPr>
        <w:jc w:val="both"/>
        <w:rPr>
          <w:rFonts w:ascii="Verdana" w:hAnsi="Verdana"/>
          <w:sz w:val="20"/>
          <w:szCs w:val="20"/>
        </w:rPr>
      </w:pPr>
      <w:r>
        <w:rPr>
          <w:rFonts w:ascii="Verdana" w:hAnsi="Verdana"/>
          <w:noProof/>
          <w:sz w:val="20"/>
          <w:szCs w:val="20"/>
          <w:lang w:val="en-GB" w:eastAsia="en-GB"/>
        </w:rPr>
        <w:drawing>
          <wp:inline distT="0" distB="0" distL="0" distR="0" wp14:anchorId="3CEEA8E9">
            <wp:extent cx="6333931" cy="354152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515" cy="3542970"/>
                    </a:xfrm>
                    <a:prstGeom prst="rect">
                      <a:avLst/>
                    </a:prstGeom>
                    <a:noFill/>
                  </pic:spPr>
                </pic:pic>
              </a:graphicData>
            </a:graphic>
          </wp:inline>
        </w:drawing>
      </w:r>
    </w:p>
    <w:p w:rsidR="00560DC7" w:rsidRDefault="00560DC7" w:rsidP="004C10A8">
      <w:pPr>
        <w:jc w:val="both"/>
        <w:rPr>
          <w:rFonts w:ascii="Verdana" w:hAnsi="Verdana"/>
          <w:sz w:val="20"/>
          <w:szCs w:val="20"/>
        </w:rPr>
      </w:pPr>
      <w:r>
        <w:rPr>
          <w:rFonts w:ascii="Verdana" w:hAnsi="Verdana"/>
          <w:sz w:val="20"/>
          <w:szCs w:val="20"/>
        </w:rPr>
        <w:t>En la valoración de estas variables se debe considerar los siguientes aspectos:</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Considerar que el hacinamiento no puede dar lugar a una situación habitacional que favorezca el desarrollo de los integrantes familiares, por lo que es déficit cuantitativo y cualitativo al mismo tiempo.</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La duración de los materiales también debe evaluarse para establecer un criterio más certero sobre la calidad constructiva de una vivienda.</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lastRenderedPageBreak/>
        <w:t>El diseño de una vivienda adecuada y saludable debe tener el área que mejor se acople a las necesidades de sus habitantes, así como no omitir estándares mínimos de ventilación e iluminación “para reducir costos”.</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La seguridad jurídica en la tenencia de la tierra y, en consecuencia, de la vivienda, es imprescindible para reducir la vulnerabilidad habitacional de las familias habitantes y garantizar sus posibilidades de desarrollo. Es un factor clave para determinar su una situación habitacional es deficitaria o no.</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Dado que no toda área territorial es apta para la habitabilidad humana, es importante reconocer que una vivienda edificada en un sitio de riesgo es un factor intrínseco de vulnerabilidad, tanto física como social y jurídica.</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La conectividad de la vivienda a los servicios que ofrece la ciudad –entendiendo esta como espacio socio-territorial de desarrollo económico, político y social– es imprescindible para hacer de esta un elemento detonante del desarrollo multinivel de sus habitantes. Por lo tanto, debe facilitar el acceso a la movilidad, a los servicios públicos más importantes y la integración económica de la población.</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Al concebir a la vivienda dignificante como elemento axial del hábitat de cada persona, su esencia no se puede desprender de lo que compone asimismo el entorno habitacional. El espacio público y el equipamiento comunitario, ubicados alrededor de la vivienda, complementan las condiciones de habitabilidad que pueda ofrecer únicamente la vivienda, convirtiéndose en satisfactores inmediatos de las necesidades de socialización de los habitantes.</w:t>
      </w:r>
    </w:p>
    <w:p w:rsidR="00456AB8" w:rsidRDefault="00456AB8" w:rsidP="00650FF8">
      <w:pPr>
        <w:rPr>
          <w:rFonts w:ascii="Verdana" w:hAnsi="Verdana"/>
          <w:sz w:val="20"/>
          <w:szCs w:val="20"/>
        </w:rPr>
      </w:pPr>
    </w:p>
    <w:p w:rsidR="00650FF8" w:rsidRPr="00650FF8" w:rsidRDefault="00456AB8" w:rsidP="00650FF8">
      <w:pPr>
        <w:rPr>
          <w:rFonts w:ascii="Verdana" w:hAnsi="Verdana"/>
          <w:sz w:val="20"/>
          <w:szCs w:val="20"/>
        </w:rPr>
      </w:pPr>
      <w:r>
        <w:rPr>
          <w:rFonts w:ascii="Verdana" w:hAnsi="Verdana"/>
          <w:sz w:val="20"/>
          <w:szCs w:val="20"/>
        </w:rPr>
        <w:t>Estas variables plantean la necesidad de revisar los</w:t>
      </w:r>
      <w:r w:rsidR="00650FF8" w:rsidRPr="00650FF8">
        <w:rPr>
          <w:rFonts w:ascii="Verdana" w:hAnsi="Verdana"/>
          <w:sz w:val="20"/>
          <w:szCs w:val="20"/>
        </w:rPr>
        <w:t xml:space="preserve"> parámetros tradicionales con los que </w:t>
      </w:r>
      <w:r>
        <w:rPr>
          <w:rFonts w:ascii="Verdana" w:hAnsi="Verdana"/>
          <w:sz w:val="20"/>
          <w:szCs w:val="20"/>
        </w:rPr>
        <w:t xml:space="preserve">se mide el déficit habitacional. Ya el PNUD recomienda en su informe de desarrollo humano, las siguientes </w:t>
      </w:r>
      <w:proofErr w:type="spellStart"/>
      <w:r>
        <w:rPr>
          <w:rFonts w:ascii="Verdana" w:hAnsi="Verdana"/>
          <w:sz w:val="20"/>
          <w:szCs w:val="20"/>
        </w:rPr>
        <w:t>moficaciones</w:t>
      </w:r>
      <w:proofErr w:type="spellEnd"/>
      <w:r w:rsidR="00650FF8" w:rsidRPr="00650FF8">
        <w:rPr>
          <w:rStyle w:val="FootnoteReference"/>
          <w:rFonts w:ascii="Verdana" w:hAnsi="Verdana"/>
          <w:sz w:val="20"/>
          <w:szCs w:val="20"/>
        </w:rPr>
        <w:footnoteReference w:id="1"/>
      </w:r>
      <w:r w:rsidR="00650FF8" w:rsidRPr="00650FF8">
        <w:rPr>
          <w:rFonts w:ascii="Verdana" w:hAnsi="Verdana"/>
          <w:sz w:val="20"/>
          <w:szCs w:val="20"/>
        </w:rPr>
        <w:t>:</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Techo: agregar a la lámina metálica como material constructivo deficiente.</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Paredes: agregar al bahareque</w:t>
      </w:r>
      <w:r>
        <w:rPr>
          <w:rFonts w:ascii="Verdana" w:hAnsi="Verdana"/>
          <w:sz w:val="20"/>
          <w:szCs w:val="20"/>
        </w:rPr>
        <w:t xml:space="preserve"> y</w:t>
      </w:r>
      <w:r w:rsidRPr="00650FF8">
        <w:rPr>
          <w:rFonts w:ascii="Verdana" w:hAnsi="Verdana"/>
          <w:sz w:val="20"/>
          <w:szCs w:val="20"/>
        </w:rPr>
        <w:t xml:space="preserve"> adobe </w:t>
      </w:r>
      <w:r w:rsidRPr="00456AB8">
        <w:rPr>
          <w:rFonts w:ascii="Verdana" w:hAnsi="Verdana"/>
          <w:sz w:val="20"/>
          <w:szCs w:val="20"/>
          <w:u w:val="single"/>
        </w:rPr>
        <w:t xml:space="preserve">mal elaborado, no </w:t>
      </w:r>
      <w:proofErr w:type="spellStart"/>
      <w:r w:rsidRPr="00456AB8">
        <w:rPr>
          <w:rFonts w:ascii="Verdana" w:hAnsi="Verdana"/>
          <w:sz w:val="20"/>
          <w:szCs w:val="20"/>
          <w:u w:val="single"/>
        </w:rPr>
        <w:t>sismorresistente</w:t>
      </w:r>
      <w:proofErr w:type="spellEnd"/>
      <w:r w:rsidRPr="00650FF8">
        <w:rPr>
          <w:rFonts w:ascii="Verdana" w:hAnsi="Verdana"/>
          <w:sz w:val="20"/>
          <w:szCs w:val="20"/>
        </w:rPr>
        <w:t>, madera y lámina metálica como materiales constructivos deficientes.</w:t>
      </w:r>
    </w:p>
    <w:p w:rsidR="00650FF8" w:rsidRPr="00650FF8" w:rsidRDefault="00650FF8" w:rsidP="00650FF8">
      <w:pPr>
        <w:pStyle w:val="ListParagraph"/>
        <w:numPr>
          <w:ilvl w:val="0"/>
          <w:numId w:val="3"/>
        </w:numPr>
        <w:rPr>
          <w:rFonts w:ascii="Verdana" w:hAnsi="Verdana"/>
          <w:sz w:val="20"/>
          <w:szCs w:val="20"/>
        </w:rPr>
      </w:pPr>
      <w:r w:rsidRPr="00650FF8">
        <w:rPr>
          <w:rFonts w:ascii="Verdana" w:hAnsi="Verdana"/>
          <w:sz w:val="20"/>
          <w:szCs w:val="20"/>
        </w:rPr>
        <w:t>Electricidad: agregar a la conexión eléctrica no privada (del vecino u otros) como fuente deficiente de acceso al servicio de energía eléctrica.</w:t>
      </w:r>
    </w:p>
    <w:p w:rsidR="00650FF8" w:rsidRPr="00650FF8" w:rsidRDefault="00650FF8" w:rsidP="00650FF8">
      <w:pPr>
        <w:pStyle w:val="ListParagraph"/>
        <w:numPr>
          <w:ilvl w:val="0"/>
          <w:numId w:val="3"/>
        </w:numPr>
        <w:spacing w:after="0" w:line="240" w:lineRule="auto"/>
        <w:rPr>
          <w:rFonts w:ascii="Verdana" w:hAnsi="Verdana" w:cs="Times New Roman"/>
          <w:sz w:val="20"/>
          <w:szCs w:val="20"/>
          <w:lang w:eastAsia="es-SV"/>
        </w:rPr>
      </w:pPr>
      <w:r w:rsidRPr="00650FF8">
        <w:rPr>
          <w:rFonts w:ascii="Verdana" w:hAnsi="Verdana"/>
          <w:sz w:val="20"/>
          <w:szCs w:val="20"/>
        </w:rPr>
        <w:t xml:space="preserve">Agua: agregar a la cañería no privada (del vecino u otros), pozos, pilas y chorros públicos, manantiales y aguas lluvias, como fuentes deficientes de acceso al servicio de agua potable. </w:t>
      </w:r>
    </w:p>
    <w:p w:rsidR="00650FF8" w:rsidRDefault="00650FF8" w:rsidP="00650FF8">
      <w:pPr>
        <w:pStyle w:val="ListParagraph"/>
        <w:numPr>
          <w:ilvl w:val="0"/>
          <w:numId w:val="3"/>
        </w:numPr>
        <w:spacing w:after="0" w:line="240" w:lineRule="auto"/>
        <w:rPr>
          <w:rFonts w:ascii="Verdana" w:hAnsi="Verdana" w:cs="Times New Roman"/>
          <w:sz w:val="20"/>
          <w:szCs w:val="20"/>
          <w:lang w:eastAsia="es-SV"/>
        </w:rPr>
      </w:pPr>
      <w:r w:rsidRPr="00650FF8">
        <w:rPr>
          <w:rFonts w:ascii="Verdana" w:hAnsi="Verdana"/>
          <w:sz w:val="20"/>
          <w:szCs w:val="20"/>
        </w:rPr>
        <w:t>Saneamiento: agregar a las letrinas de hoyo y solares, privadas o comunes, como fuentes deficientes de acceso al servicio de saneamiento.</w:t>
      </w:r>
      <w:r w:rsidRPr="00650FF8">
        <w:rPr>
          <w:rFonts w:ascii="Verdana" w:hAnsi="Verdana" w:cs="Times New Roman"/>
          <w:sz w:val="20"/>
          <w:szCs w:val="20"/>
          <w:lang w:eastAsia="es-SV"/>
        </w:rPr>
        <w:t xml:space="preserve"> </w:t>
      </w:r>
    </w:p>
    <w:p w:rsidR="00456AB8" w:rsidRDefault="00456AB8" w:rsidP="00456AB8">
      <w:pPr>
        <w:spacing w:after="0" w:line="240" w:lineRule="auto"/>
        <w:rPr>
          <w:rFonts w:ascii="Verdana" w:hAnsi="Verdana" w:cs="Times New Roman"/>
          <w:sz w:val="20"/>
          <w:szCs w:val="20"/>
          <w:lang w:eastAsia="es-SV"/>
        </w:rPr>
      </w:pPr>
    </w:p>
    <w:p w:rsidR="00456AB8" w:rsidRDefault="00456AB8" w:rsidP="00456AB8">
      <w:pPr>
        <w:spacing w:after="0" w:line="240" w:lineRule="auto"/>
        <w:rPr>
          <w:rFonts w:ascii="Verdana" w:hAnsi="Verdana" w:cs="Times New Roman"/>
          <w:sz w:val="20"/>
          <w:szCs w:val="20"/>
          <w:lang w:eastAsia="es-SV"/>
        </w:rPr>
      </w:pPr>
    </w:p>
    <w:p w:rsidR="00456AB8" w:rsidRPr="00456AB8" w:rsidRDefault="00456AB8" w:rsidP="00456AB8">
      <w:pPr>
        <w:spacing w:after="0" w:line="240" w:lineRule="auto"/>
        <w:rPr>
          <w:rFonts w:ascii="Verdana" w:hAnsi="Verdana" w:cs="Times New Roman"/>
          <w:sz w:val="20"/>
          <w:szCs w:val="20"/>
          <w:lang w:eastAsia="es-SV"/>
        </w:rPr>
      </w:pPr>
      <w:r>
        <w:rPr>
          <w:rFonts w:ascii="Verdana" w:hAnsi="Verdana" w:cs="Times New Roman"/>
          <w:sz w:val="20"/>
          <w:szCs w:val="20"/>
          <w:lang w:eastAsia="es-SV"/>
        </w:rPr>
        <w:t>Estas quedan aún cortas al considerar todas las variables expuestas previamente.</w:t>
      </w:r>
    </w:p>
    <w:p w:rsidR="00456AB8" w:rsidRDefault="00456AB8" w:rsidP="00456AB8">
      <w:pPr>
        <w:spacing w:after="0" w:line="240" w:lineRule="auto"/>
        <w:rPr>
          <w:rFonts w:ascii="Verdana" w:hAnsi="Verdana" w:cs="Times New Roman"/>
          <w:sz w:val="20"/>
          <w:szCs w:val="20"/>
          <w:lang w:eastAsia="es-SV"/>
        </w:rPr>
      </w:pPr>
    </w:p>
    <w:p w:rsidR="00456AB8" w:rsidRDefault="00456AB8" w:rsidP="00232852">
      <w:pPr>
        <w:pStyle w:val="Heading1"/>
      </w:pPr>
    </w:p>
    <w:p w:rsidR="002229E4" w:rsidRDefault="002229E4" w:rsidP="00232852">
      <w:pPr>
        <w:pStyle w:val="Heading1"/>
      </w:pPr>
      <w:r>
        <w:t>Características</w:t>
      </w:r>
      <w:r w:rsidR="000D65B4">
        <w:t xml:space="preserve"> </w:t>
      </w:r>
      <w:r>
        <w:t>del déficit en El Salvador</w:t>
      </w:r>
    </w:p>
    <w:p w:rsidR="00456AB8" w:rsidRDefault="00456AB8" w:rsidP="00456AB8">
      <w:pPr>
        <w:spacing w:after="0" w:line="240" w:lineRule="auto"/>
        <w:rPr>
          <w:rFonts w:ascii="Verdana" w:hAnsi="Verdana" w:cs="Times New Roman"/>
          <w:sz w:val="20"/>
          <w:szCs w:val="20"/>
          <w:lang w:eastAsia="es-SV"/>
        </w:rPr>
      </w:pPr>
    </w:p>
    <w:p w:rsidR="00456AB8" w:rsidRDefault="000D65B4" w:rsidP="00456AB8">
      <w:pPr>
        <w:spacing w:after="0" w:line="240" w:lineRule="auto"/>
        <w:rPr>
          <w:rFonts w:ascii="Verdana" w:hAnsi="Verdana" w:cs="Times New Roman"/>
          <w:sz w:val="20"/>
          <w:szCs w:val="20"/>
          <w:lang w:eastAsia="es-SV"/>
        </w:rPr>
      </w:pPr>
      <w:r>
        <w:rPr>
          <w:rFonts w:ascii="Verdana" w:hAnsi="Verdana" w:cs="Times New Roman"/>
          <w:sz w:val="20"/>
          <w:szCs w:val="20"/>
          <w:lang w:eastAsia="es-SV"/>
        </w:rPr>
        <w:t>En la caracterización del déficit debe considerarse la concentración en los sectores de menores ingresos económicos y en asentamientos precarios urbanos de las ciudades.</w:t>
      </w:r>
    </w:p>
    <w:p w:rsidR="000D65B4" w:rsidRDefault="000D65B4" w:rsidP="00456AB8">
      <w:pPr>
        <w:spacing w:after="0" w:line="240" w:lineRule="auto"/>
        <w:rPr>
          <w:rFonts w:ascii="Verdana" w:hAnsi="Verdana" w:cs="Times New Roman"/>
          <w:sz w:val="20"/>
          <w:szCs w:val="20"/>
          <w:lang w:eastAsia="es-SV"/>
        </w:rPr>
      </w:pPr>
    </w:p>
    <w:p w:rsidR="000D65B4" w:rsidRDefault="000D65B4" w:rsidP="00456AB8">
      <w:pPr>
        <w:spacing w:after="0" w:line="240" w:lineRule="auto"/>
        <w:rPr>
          <w:rFonts w:ascii="Verdana" w:hAnsi="Verdana" w:cs="Times New Roman"/>
          <w:sz w:val="20"/>
          <w:szCs w:val="20"/>
          <w:lang w:eastAsia="es-SV"/>
        </w:rPr>
      </w:pPr>
      <w:r>
        <w:rPr>
          <w:rFonts w:ascii="Verdana" w:hAnsi="Verdana" w:cs="Times New Roman"/>
          <w:sz w:val="20"/>
          <w:szCs w:val="20"/>
          <w:lang w:eastAsia="es-SV"/>
        </w:rPr>
        <w:t>Estudios en diferente tiempo y con diferentes fuentes de información llegan a resultados similares:</w:t>
      </w:r>
    </w:p>
    <w:p w:rsidR="000D65B4" w:rsidRDefault="000D65B4" w:rsidP="00456AB8">
      <w:pPr>
        <w:spacing w:after="0" w:line="240" w:lineRule="auto"/>
        <w:rPr>
          <w:rFonts w:ascii="Verdana" w:hAnsi="Verdana" w:cs="Times New Roman"/>
          <w:sz w:val="20"/>
          <w:szCs w:val="20"/>
          <w:lang w:eastAsia="es-SV"/>
        </w:rPr>
      </w:pPr>
    </w:p>
    <w:p w:rsidR="000D65B4" w:rsidRPr="00456AB8" w:rsidRDefault="000D65B4" w:rsidP="00456AB8">
      <w:pPr>
        <w:spacing w:after="0" w:line="240" w:lineRule="auto"/>
        <w:rPr>
          <w:rFonts w:ascii="Verdana" w:hAnsi="Verdana" w:cs="Times New Roman"/>
          <w:sz w:val="20"/>
          <w:szCs w:val="20"/>
          <w:lang w:eastAsia="es-SV"/>
        </w:rPr>
      </w:pPr>
      <w:r w:rsidRPr="000D65B4">
        <w:rPr>
          <w:rFonts w:ascii="Verdana" w:hAnsi="Verdana" w:cs="Times New Roman"/>
          <w:noProof/>
          <w:sz w:val="20"/>
          <w:szCs w:val="20"/>
          <w:lang w:val="en-GB" w:eastAsia="en-GB"/>
        </w:rPr>
        <w:drawing>
          <wp:inline distT="0" distB="0" distL="0" distR="0" wp14:anchorId="418C9C0C" wp14:editId="4A4B5C17">
            <wp:extent cx="5610225" cy="1085850"/>
            <wp:effectExtent l="38100" t="0" r="2857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21C0D" w:rsidRDefault="00021C0D" w:rsidP="00021C0D">
      <w:pPr>
        <w:rPr>
          <w:rFonts w:ascii="Century Gothic" w:hAnsi="Century Gothic"/>
          <w:sz w:val="18"/>
          <w:szCs w:val="18"/>
        </w:rPr>
      </w:pPr>
    </w:p>
    <w:p w:rsidR="00021C0D" w:rsidRPr="00021C0D" w:rsidRDefault="00021C0D" w:rsidP="00021C0D">
      <w:pPr>
        <w:jc w:val="both"/>
        <w:rPr>
          <w:rFonts w:ascii="Verdana" w:hAnsi="Verdana"/>
          <w:sz w:val="20"/>
          <w:szCs w:val="20"/>
        </w:rPr>
      </w:pPr>
      <w:r w:rsidRPr="00021C0D">
        <w:rPr>
          <w:rFonts w:ascii="Verdana" w:hAnsi="Verdana"/>
          <w:sz w:val="20"/>
          <w:szCs w:val="20"/>
        </w:rPr>
        <w:t xml:space="preserve">Con información más actualizada que brinda la DIGESTYC, también se confirma está concentración de carencias en los sectores poblacionales más empobrecidos, y más homogéneamente en el área rural. Así también, las deficiencias en servicios básicos son evidentes, entre condiciones de pobreza y por zonas de residencia: los sectores más empobrecidos presentan tasas más bajas de cobertura de servicios, sobre todo en los que involucran la salubridad habitacional de las familias; mientras que el área rural también presenta niveles en extremo deficientes prácticamente todos los servicios (menos energía eléctrica). Estas estimaciones se han elaborado tomando en cuenta que parámetros adicionales para medir la precariedad de una vivienda, sobre los cuales se hace énfasis en el apartado de la </w:t>
      </w:r>
      <w:r w:rsidRPr="00021C0D">
        <w:rPr>
          <w:rFonts w:ascii="Verdana" w:hAnsi="Verdana"/>
          <w:i/>
          <w:sz w:val="20"/>
          <w:szCs w:val="20"/>
        </w:rPr>
        <w:t>Propuesta</w:t>
      </w:r>
      <w:r w:rsidRPr="00021C0D">
        <w:rPr>
          <w:rFonts w:ascii="Verdana" w:hAnsi="Verdana"/>
          <w:sz w:val="20"/>
          <w:szCs w:val="20"/>
        </w:rPr>
        <w:t>. De hecho, al utilizar estos nuevos parámetros de medición, el PNUD estima que el déficit habitacional, para el mismo año 2009 en El Salvador, abarcaría al 69.7 % de los hogares salvadoreños, siempre con sus debidos sesgos de medición</w:t>
      </w:r>
      <w:r w:rsidRPr="00021C0D">
        <w:rPr>
          <w:rStyle w:val="FootnoteReference"/>
          <w:rFonts w:ascii="Verdana" w:hAnsi="Verdana"/>
          <w:sz w:val="20"/>
          <w:szCs w:val="20"/>
        </w:rPr>
        <w:footnoteReference w:id="2"/>
      </w:r>
      <w:r w:rsidRPr="00021C0D">
        <w:rPr>
          <w:rFonts w:ascii="Verdana" w:hAnsi="Verdana"/>
          <w:sz w:val="20"/>
          <w:szCs w:val="20"/>
        </w:rPr>
        <w:t>.</w:t>
      </w:r>
    </w:p>
    <w:p w:rsidR="00021C0D" w:rsidRPr="00021C0D" w:rsidRDefault="00021C0D" w:rsidP="00021C0D">
      <w:pPr>
        <w:jc w:val="both"/>
        <w:rPr>
          <w:rFonts w:ascii="Verdana" w:hAnsi="Verdana"/>
          <w:sz w:val="20"/>
          <w:szCs w:val="20"/>
        </w:rPr>
      </w:pPr>
      <w:r w:rsidRPr="00021C0D">
        <w:rPr>
          <w:rFonts w:ascii="Verdana" w:hAnsi="Verdana"/>
          <w:sz w:val="20"/>
          <w:szCs w:val="20"/>
        </w:rPr>
        <w:t>El tema de la seguridad de la tenencia es una variable que debe ser considerada en el déficit habitacional, pues también significa un componente de vulnerabilidad. Los niveles globales de propiedad de la vivienda –individual o colectiva– no son bajos, aunque sí es preocupante el alto porcentaje de hogares que revelan ser “ocupantes gratuitos” del sitio donde viven, lo que podría interpretarse como una situación de habitabilidad informal, ilegal y de extrema vulnerabilidad al desalojo.</w:t>
      </w:r>
    </w:p>
    <w:tbl>
      <w:tblPr>
        <w:tblW w:w="73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4"/>
        <w:gridCol w:w="1052"/>
        <w:gridCol w:w="993"/>
        <w:gridCol w:w="992"/>
        <w:gridCol w:w="992"/>
      </w:tblGrid>
      <w:tr w:rsidR="00021C0D" w:rsidTr="00021C0D">
        <w:trPr>
          <w:trHeight w:val="255"/>
          <w:jc w:val="center"/>
        </w:trPr>
        <w:tc>
          <w:tcPr>
            <w:tcW w:w="3344"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Porcentaje de la población</w:t>
            </w:r>
          </w:p>
        </w:tc>
        <w:tc>
          <w:tcPr>
            <w:tcW w:w="105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Total</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Urbano</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Rural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AMSS</w:t>
            </w:r>
          </w:p>
        </w:tc>
      </w:tr>
      <w:tr w:rsidR="00021C0D" w:rsidTr="00021C0D">
        <w:trPr>
          <w:trHeight w:val="255"/>
          <w:jc w:val="center"/>
        </w:trPr>
        <w:tc>
          <w:tcPr>
            <w:tcW w:w="3344"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 propietarios</w:t>
            </w:r>
          </w:p>
        </w:tc>
        <w:tc>
          <w:tcPr>
            <w:tcW w:w="105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67.97%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64.38%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74.86%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66.15%</w:t>
            </w:r>
          </w:p>
        </w:tc>
      </w:tr>
      <w:tr w:rsidR="00021C0D" w:rsidTr="00021C0D">
        <w:trPr>
          <w:trHeight w:val="255"/>
          <w:jc w:val="center"/>
        </w:trPr>
        <w:tc>
          <w:tcPr>
            <w:tcW w:w="3344"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 no propietarios / arrendatarios</w:t>
            </w:r>
          </w:p>
        </w:tc>
        <w:tc>
          <w:tcPr>
            <w:tcW w:w="105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14.22%</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19.62%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3.86%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21.71%</w:t>
            </w:r>
          </w:p>
        </w:tc>
      </w:tr>
      <w:tr w:rsidR="00021C0D" w:rsidTr="00021C0D">
        <w:trPr>
          <w:trHeight w:val="255"/>
          <w:jc w:val="center"/>
        </w:trPr>
        <w:tc>
          <w:tcPr>
            <w:tcW w:w="3344"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 ocupantes gratuitos</w:t>
            </w:r>
          </w:p>
        </w:tc>
        <w:tc>
          <w:tcPr>
            <w:tcW w:w="105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17.79%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21.28%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12.11%</w:t>
            </w:r>
          </w:p>
        </w:tc>
      </w:tr>
    </w:tbl>
    <w:p w:rsidR="00021C0D" w:rsidRDefault="00021C0D" w:rsidP="00021C0D">
      <w:pPr>
        <w:ind w:left="1276"/>
        <w:rPr>
          <w:rFonts w:ascii="Century Gothic" w:hAnsi="Century Gothic"/>
          <w:sz w:val="16"/>
          <w:szCs w:val="16"/>
        </w:rPr>
      </w:pPr>
      <w:r>
        <w:rPr>
          <w:rFonts w:ascii="Century Gothic" w:hAnsi="Century Gothic"/>
          <w:sz w:val="16"/>
          <w:szCs w:val="16"/>
        </w:rPr>
        <w:t>Fuente: EHPM 2012.</w:t>
      </w:r>
    </w:p>
    <w:p w:rsidR="00021C0D" w:rsidRPr="00021C0D" w:rsidRDefault="00021C0D" w:rsidP="00021C0D">
      <w:pPr>
        <w:jc w:val="both"/>
        <w:rPr>
          <w:rFonts w:ascii="Verdana" w:hAnsi="Verdana"/>
          <w:sz w:val="20"/>
          <w:szCs w:val="20"/>
        </w:rPr>
      </w:pPr>
      <w:r w:rsidRPr="00021C0D">
        <w:rPr>
          <w:rFonts w:ascii="Verdana" w:hAnsi="Verdana"/>
          <w:sz w:val="20"/>
          <w:szCs w:val="20"/>
        </w:rPr>
        <w:lastRenderedPageBreak/>
        <w:t>Un informe sobre el sector vivienda salvadoreño elaborado por ONU-Hábitat, revela que “el 67% de la demanda basada en los jefes de hogar que no poseen vivienda propia, presentan ingresos menores a tres salarios mínimos”</w:t>
      </w:r>
      <w:r w:rsidRPr="00021C0D">
        <w:rPr>
          <w:rStyle w:val="FootnoteReference"/>
          <w:rFonts w:ascii="Verdana" w:hAnsi="Verdana"/>
          <w:sz w:val="20"/>
          <w:szCs w:val="20"/>
        </w:rPr>
        <w:t xml:space="preserve"> </w:t>
      </w:r>
      <w:r w:rsidRPr="00021C0D">
        <w:rPr>
          <w:rStyle w:val="FootnoteReference"/>
          <w:rFonts w:ascii="Verdana" w:hAnsi="Verdana"/>
          <w:sz w:val="20"/>
          <w:szCs w:val="20"/>
        </w:rPr>
        <w:footnoteReference w:id="3"/>
      </w:r>
      <w:r w:rsidRPr="00021C0D">
        <w:rPr>
          <w:rFonts w:ascii="Verdana" w:hAnsi="Verdana"/>
          <w:sz w:val="20"/>
          <w:szCs w:val="20"/>
        </w:rPr>
        <w:t>, imposibilitándoles así de optar por una vivienda financiada a largo plazo. Este sector, según dicho estudio, conforma un gran nicho de demanda habitacional en esencia potencial, consistente de al menos 192 mil hogares. De acuerdo a lo calculado por el estudio, el grueso de esta demanda la conforman jefaturas de hogar que se emplean en el sector informal y provienen del área urbana</w:t>
      </w:r>
      <w:r w:rsidRPr="00021C0D">
        <w:rPr>
          <w:rStyle w:val="FootnoteReference"/>
          <w:rFonts w:ascii="Verdana" w:hAnsi="Verdana"/>
          <w:sz w:val="20"/>
          <w:szCs w:val="20"/>
        </w:rPr>
        <w:footnoteReference w:id="4"/>
      </w:r>
      <w:r w:rsidRPr="00021C0D">
        <w:rPr>
          <w:rFonts w:ascii="Verdana" w:hAnsi="Verdana"/>
          <w:sz w:val="20"/>
          <w:szCs w:val="20"/>
        </w:rPr>
        <w:t>.</w:t>
      </w:r>
    </w:p>
    <w:p w:rsidR="00021C0D" w:rsidRPr="00021C0D" w:rsidRDefault="00021C0D" w:rsidP="00021C0D">
      <w:pPr>
        <w:jc w:val="both"/>
        <w:rPr>
          <w:rFonts w:ascii="Verdana" w:hAnsi="Verdana"/>
          <w:sz w:val="20"/>
          <w:szCs w:val="20"/>
        </w:rPr>
      </w:pPr>
      <w:r w:rsidRPr="00021C0D">
        <w:rPr>
          <w:rFonts w:ascii="Verdana" w:hAnsi="Verdana"/>
          <w:sz w:val="20"/>
          <w:szCs w:val="20"/>
        </w:rPr>
        <w:t>De todos los hogares salvadoreños, al menos un 31 % presenta hacinamiento en su vivienda, pues en ella residen 5 o más miembros familiares. El área rural es el que, nuevamente, revela un nivel más alto de hacinamiento por unidad habitacional, con un 37 % de su población viviendo bajo estas condiciones. ONU-Hábitat arroja una cifra aún más alarmante: si, en promedio, 5 de cada 10 viviendas en el país sólo poseen un cuarto, y el núcleo familiar se compone de cuatro miembros, la situación de hacinamiento tendría que elevarse</w:t>
      </w:r>
      <w:r w:rsidRPr="00021C0D">
        <w:rPr>
          <w:rStyle w:val="FootnoteReference"/>
          <w:rFonts w:ascii="Verdana" w:hAnsi="Verdana"/>
          <w:sz w:val="20"/>
          <w:szCs w:val="20"/>
        </w:rPr>
        <w:footnoteReference w:id="5"/>
      </w:r>
      <w:r w:rsidRPr="00021C0D">
        <w:rPr>
          <w:rFonts w:ascii="Verdana" w:hAnsi="Verdana"/>
          <w:sz w:val="20"/>
          <w:szCs w:val="20"/>
        </w:rPr>
        <w:t>.</w:t>
      </w:r>
    </w:p>
    <w:tbl>
      <w:tblPr>
        <w:tblW w:w="625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992"/>
        <w:gridCol w:w="992"/>
        <w:gridCol w:w="992"/>
      </w:tblGrid>
      <w:tr w:rsidR="00021C0D" w:rsidTr="00021C0D">
        <w:trPr>
          <w:trHeight w:val="255"/>
          <w:jc w:val="center"/>
        </w:trPr>
        <w:tc>
          <w:tcPr>
            <w:tcW w:w="3276"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Porcentaje de la población</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Urbana</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Rural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AMSS</w:t>
            </w:r>
          </w:p>
        </w:tc>
      </w:tr>
      <w:tr w:rsidR="00021C0D" w:rsidTr="00021C0D">
        <w:trPr>
          <w:trHeight w:val="255"/>
          <w:jc w:val="center"/>
        </w:trPr>
        <w:tc>
          <w:tcPr>
            <w:tcW w:w="3276"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Hacinamiento (5 o más miembros)</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27.30%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37.95%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21C0D" w:rsidRDefault="00021C0D">
            <w:pPr>
              <w:spacing w:after="0" w:line="240" w:lineRule="auto"/>
              <w:jc w:val="center"/>
              <w:rPr>
                <w:rFonts w:ascii="Century Gothic" w:eastAsia="Times New Roman" w:hAnsi="Century Gothic" w:cs="Arial"/>
                <w:sz w:val="18"/>
                <w:szCs w:val="18"/>
                <w:lang w:eastAsia="es-SV"/>
              </w:rPr>
            </w:pPr>
            <w:r>
              <w:rPr>
                <w:rFonts w:ascii="Century Gothic" w:eastAsia="Times New Roman" w:hAnsi="Century Gothic" w:cs="Arial"/>
                <w:sz w:val="18"/>
                <w:szCs w:val="18"/>
                <w:lang w:eastAsia="es-SV"/>
              </w:rPr>
              <w:t>24.63%</w:t>
            </w:r>
          </w:p>
        </w:tc>
      </w:tr>
    </w:tbl>
    <w:p w:rsidR="00021C0D" w:rsidRDefault="00021C0D" w:rsidP="00021C0D">
      <w:pPr>
        <w:ind w:left="1276"/>
        <w:rPr>
          <w:rFonts w:ascii="Century Gothic" w:hAnsi="Century Gothic"/>
          <w:sz w:val="16"/>
          <w:szCs w:val="16"/>
        </w:rPr>
      </w:pPr>
      <w:r>
        <w:rPr>
          <w:rFonts w:ascii="Century Gothic" w:hAnsi="Century Gothic"/>
          <w:sz w:val="16"/>
          <w:szCs w:val="16"/>
        </w:rPr>
        <w:t>Fuente: EHPM 2012.</w:t>
      </w:r>
    </w:p>
    <w:p w:rsidR="00021C0D" w:rsidRPr="00021C0D" w:rsidRDefault="00021C0D" w:rsidP="00021C0D">
      <w:pPr>
        <w:jc w:val="both"/>
        <w:rPr>
          <w:rFonts w:ascii="Verdana" w:hAnsi="Verdana"/>
          <w:sz w:val="20"/>
          <w:szCs w:val="20"/>
        </w:rPr>
      </w:pPr>
      <w:r w:rsidRPr="00021C0D">
        <w:rPr>
          <w:rFonts w:ascii="Verdana" w:hAnsi="Verdana"/>
          <w:sz w:val="20"/>
          <w:szCs w:val="20"/>
        </w:rPr>
        <w:t>Bajo estos conceptos de déficit habitacional, se vuelven relevantes las cifras recopiladas por un estudio del PNUD y FUNDASAL, que indaga en las condiciones habitacionales y existencia de los asentamientos precarios/populares urbanos en 32 ciudades de El Salvador. Esta investigación revela que, aproximadamente un 13 % de la población urbana reside en este tipo de asentamientos</w:t>
      </w:r>
      <w:r w:rsidRPr="00021C0D">
        <w:rPr>
          <w:rStyle w:val="FootnoteReference"/>
          <w:rFonts w:ascii="Verdana" w:hAnsi="Verdana"/>
          <w:sz w:val="20"/>
          <w:szCs w:val="20"/>
        </w:rPr>
        <w:footnoteReference w:id="6"/>
      </w:r>
      <w:r w:rsidRPr="00021C0D">
        <w:rPr>
          <w:rFonts w:ascii="Verdana" w:hAnsi="Verdana"/>
          <w:sz w:val="20"/>
          <w:szCs w:val="20"/>
        </w:rPr>
        <w:t>, los cuales presentan la cara más cruenta y profunda del déficit habitacional cualitativo salvadoreño y, por ende, el del global.</w:t>
      </w:r>
    </w:p>
    <w:p w:rsidR="000D65B4" w:rsidRDefault="000D65B4" w:rsidP="00232852">
      <w:pPr>
        <w:pStyle w:val="Heading1"/>
      </w:pPr>
      <w:r>
        <w:t>Estimación del déficit en El Salvador</w:t>
      </w:r>
    </w:p>
    <w:p w:rsidR="009558EC" w:rsidRDefault="00E713E9" w:rsidP="009558EC">
      <w:r w:rsidRPr="00C529AE">
        <w:rPr>
          <w:rFonts w:ascii="Verdana" w:hAnsi="Verdana"/>
          <w:noProof/>
          <w:sz w:val="20"/>
          <w:szCs w:val="20"/>
          <w:lang w:val="en-GB" w:eastAsia="en-GB"/>
        </w:rPr>
        <w:drawing>
          <wp:anchor distT="0" distB="0" distL="114300" distR="114300" simplePos="0" relativeHeight="251658240" behindDoc="0" locked="0" layoutInCell="1" allowOverlap="1" wp14:anchorId="6D9D7C79" wp14:editId="4DBD186E">
            <wp:simplePos x="0" y="0"/>
            <wp:positionH relativeFrom="column">
              <wp:posOffset>-3810</wp:posOffset>
            </wp:positionH>
            <wp:positionV relativeFrom="paragraph">
              <wp:posOffset>196215</wp:posOffset>
            </wp:positionV>
            <wp:extent cx="2352675" cy="2143125"/>
            <wp:effectExtent l="19050" t="19050" r="28575" b="28575"/>
            <wp:wrapSquare wrapText="bothSides"/>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9558EC" w:rsidRDefault="00C529AE" w:rsidP="009558EC">
      <w:pPr>
        <w:rPr>
          <w:rFonts w:ascii="Verdana" w:hAnsi="Verdana"/>
          <w:sz w:val="20"/>
          <w:szCs w:val="20"/>
        </w:rPr>
      </w:pPr>
      <w:r w:rsidRPr="00C529AE">
        <w:rPr>
          <w:rFonts w:ascii="Verdana" w:hAnsi="Verdana"/>
          <w:sz w:val="20"/>
          <w:szCs w:val="20"/>
        </w:rPr>
        <w:t>Son diferentes las estimaciones del déficit habitacional, en to</w:t>
      </w:r>
      <w:r>
        <w:rPr>
          <w:rFonts w:ascii="Verdana" w:hAnsi="Verdana"/>
          <w:sz w:val="20"/>
          <w:szCs w:val="20"/>
        </w:rPr>
        <w:t>dos los casos implica una alta proporción de la población con carencias habitacionales.</w:t>
      </w:r>
    </w:p>
    <w:p w:rsidR="00C529AE" w:rsidRDefault="00C529AE" w:rsidP="009558EC">
      <w:pPr>
        <w:rPr>
          <w:rFonts w:ascii="Verdana" w:hAnsi="Verdana"/>
          <w:sz w:val="20"/>
          <w:szCs w:val="20"/>
        </w:rPr>
      </w:pPr>
      <w:r>
        <w:rPr>
          <w:rFonts w:ascii="Verdana" w:hAnsi="Verdana"/>
          <w:sz w:val="20"/>
          <w:szCs w:val="20"/>
        </w:rPr>
        <w:t xml:space="preserve">Si se toma el déficit del BID, plantea un 58% de la población con carencias habitacionales. </w:t>
      </w:r>
    </w:p>
    <w:p w:rsidR="00C529AE" w:rsidRDefault="00C529AE" w:rsidP="009558EC">
      <w:pPr>
        <w:rPr>
          <w:rFonts w:ascii="Verdana" w:hAnsi="Verdana"/>
          <w:sz w:val="20"/>
          <w:szCs w:val="20"/>
        </w:rPr>
      </w:pPr>
      <w:r>
        <w:rPr>
          <w:rFonts w:ascii="Verdana" w:hAnsi="Verdana"/>
          <w:sz w:val="20"/>
          <w:szCs w:val="20"/>
        </w:rPr>
        <w:t>En todos los casos la proporción es mayor en el déficit cualitativo. Según los datos del BID es del 41%.</w:t>
      </w:r>
    </w:p>
    <w:p w:rsidR="00C529AE" w:rsidRPr="00021C0D" w:rsidRDefault="00C529AE" w:rsidP="00021C0D">
      <w:pPr>
        <w:jc w:val="both"/>
        <w:rPr>
          <w:rFonts w:ascii="Verdana" w:hAnsi="Verdana"/>
          <w:sz w:val="20"/>
          <w:szCs w:val="20"/>
        </w:rPr>
      </w:pPr>
      <w:r w:rsidRPr="00E713E9">
        <w:rPr>
          <w:rFonts w:ascii="Verdana" w:hAnsi="Verdana"/>
          <w:sz w:val="20"/>
          <w:szCs w:val="20"/>
        </w:rPr>
        <w:lastRenderedPageBreak/>
        <w:t xml:space="preserve">Así, los datos más recientes sobre el déficit habitacional –correspondientes al año 2009– coinciden con una realidad de igual gravedad como lo es la de la pobreza: casi 6 familias salvadoreñas de cada 10 presentan una situación habitacional deficitaria, sea que carezcan de una vivienda </w:t>
      </w:r>
      <w:r w:rsidRPr="00021C0D">
        <w:rPr>
          <w:rFonts w:ascii="Verdana" w:hAnsi="Verdana"/>
          <w:sz w:val="20"/>
          <w:szCs w:val="20"/>
        </w:rPr>
        <w:t>per se</w:t>
      </w:r>
      <w:r w:rsidRPr="00E713E9">
        <w:rPr>
          <w:rFonts w:ascii="Verdana" w:hAnsi="Verdana"/>
          <w:sz w:val="20"/>
          <w:szCs w:val="20"/>
        </w:rPr>
        <w:t xml:space="preserve"> o estén viviendo en condiciones por debajo de los estándares mínimos de salubridad, habitabilidad y seguridad. Las divergencias del déficit cualitativo y cuantitativo entre el área rural y urbana arrojan dos indicios: dado que la pobreza es mayor en el área rural, la situación habitacional de sus habitantes es, cualitativamente, mucho más precaria que la de los residentes urbanos, en tanto que para ellos la conectividad a servicios se encuentra más accesible. Adicionalmente, el crecimiento vegetativo presiona porque las necesidades de construcción de vivienda crezcan a un ritmo del 2 % anual</w:t>
      </w:r>
      <w:r w:rsidRPr="00021C0D">
        <w:rPr>
          <w:vertAlign w:val="superscript"/>
        </w:rPr>
        <w:footnoteReference w:id="7"/>
      </w:r>
      <w:r w:rsidRPr="00E713E9">
        <w:rPr>
          <w:rFonts w:ascii="Verdana" w:hAnsi="Verdana"/>
          <w:sz w:val="20"/>
          <w:szCs w:val="20"/>
        </w:rPr>
        <w:t xml:space="preserve">. </w:t>
      </w:r>
    </w:p>
    <w:p w:rsidR="00597894" w:rsidRDefault="00597894" w:rsidP="00232852">
      <w:pPr>
        <w:pStyle w:val="Heading1"/>
      </w:pPr>
      <w:r>
        <w:t>Énfasis a considerar en la Política Nacional de Vivienda para responder a las características del déficit habitacional</w:t>
      </w:r>
    </w:p>
    <w:p w:rsidR="006C2C94" w:rsidRDefault="006C2C94" w:rsidP="003D7745"/>
    <w:p w:rsidR="006C2C94" w:rsidRPr="00021C0D" w:rsidRDefault="00021C0D" w:rsidP="003D7745">
      <w:pPr>
        <w:rPr>
          <w:rFonts w:ascii="Verdana" w:hAnsi="Verdana"/>
          <w:sz w:val="20"/>
          <w:szCs w:val="20"/>
        </w:rPr>
      </w:pPr>
      <w:r>
        <w:rPr>
          <w:rFonts w:ascii="Verdana" w:hAnsi="Verdana"/>
          <w:sz w:val="20"/>
          <w:szCs w:val="20"/>
        </w:rPr>
        <w:t>De acuerdo a las características del déficit es necesario que la Política de vivienda p</w:t>
      </w:r>
      <w:r w:rsidR="006C2C94" w:rsidRPr="00021C0D">
        <w:rPr>
          <w:rFonts w:ascii="Verdana" w:hAnsi="Verdana"/>
          <w:sz w:val="20"/>
          <w:szCs w:val="20"/>
        </w:rPr>
        <w:t>riori</w:t>
      </w:r>
      <w:r>
        <w:rPr>
          <w:rFonts w:ascii="Verdana" w:hAnsi="Verdana"/>
          <w:sz w:val="20"/>
          <w:szCs w:val="20"/>
        </w:rPr>
        <w:t>ce</w:t>
      </w:r>
      <w:r w:rsidR="006C2C94" w:rsidRPr="00021C0D">
        <w:rPr>
          <w:rFonts w:ascii="Verdana" w:hAnsi="Verdana"/>
          <w:sz w:val="20"/>
          <w:szCs w:val="20"/>
        </w:rPr>
        <w:t xml:space="preserve"> en la vivienda de interés social, entendiendo esta como:</w:t>
      </w:r>
    </w:p>
    <w:p w:rsidR="006C2C94" w:rsidRDefault="006C2C94" w:rsidP="003D7745">
      <w:r>
        <w:rPr>
          <w:noProof/>
          <w:lang w:val="en-GB" w:eastAsia="en-GB"/>
        </w:rPr>
        <w:drawing>
          <wp:inline distT="0" distB="0" distL="0" distR="0">
            <wp:extent cx="5495924" cy="3667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703" t="20220" r="54328" b="11649"/>
                    <a:stretch/>
                  </pic:blipFill>
                  <pic:spPr bwMode="auto">
                    <a:xfrm>
                      <a:off x="0" y="0"/>
                      <a:ext cx="5501173" cy="3670627"/>
                    </a:xfrm>
                    <a:prstGeom prst="rect">
                      <a:avLst/>
                    </a:prstGeom>
                    <a:noFill/>
                    <a:ln>
                      <a:noFill/>
                    </a:ln>
                    <a:extLst>
                      <a:ext uri="{53640926-AAD7-44D8-BBD7-CCE9431645EC}">
                        <a14:shadowObscured xmlns:a14="http://schemas.microsoft.com/office/drawing/2010/main"/>
                      </a:ext>
                    </a:extLst>
                  </pic:spPr>
                </pic:pic>
              </a:graphicData>
            </a:graphic>
          </wp:inline>
        </w:drawing>
      </w:r>
    </w:p>
    <w:p w:rsidR="003D7745" w:rsidRDefault="003D7745" w:rsidP="003D7745"/>
    <w:p w:rsidR="00103995" w:rsidRDefault="00103995" w:rsidP="00103995"/>
    <w:p w:rsidR="00103995" w:rsidRDefault="00021C0D" w:rsidP="00103995">
      <w:r>
        <w:lastRenderedPageBreak/>
        <w:t>Congruente con el</w:t>
      </w:r>
      <w:r w:rsidR="00103995">
        <w:t xml:space="preserve"> enfoque general</w:t>
      </w:r>
      <w:r>
        <w:t xml:space="preserve"> e integral planteado, se retoman Principios orientadores</w:t>
      </w:r>
      <w:r w:rsidR="00103995">
        <w:t xml:space="preserve"> básicos: </w:t>
      </w:r>
    </w:p>
    <w:p w:rsidR="00103995" w:rsidRDefault="00103995" w:rsidP="00103995">
      <w:r>
        <w:t xml:space="preserve">1. Las políticas tienen que ser sistémicas. </w:t>
      </w:r>
    </w:p>
    <w:p w:rsidR="00103995" w:rsidRDefault="00C47713" w:rsidP="00103995">
      <w:r>
        <w:t>2</w:t>
      </w:r>
      <w:r w:rsidR="00103995">
        <w:t xml:space="preserve">. </w:t>
      </w:r>
      <w:r>
        <w:t>P</w:t>
      </w:r>
      <w:r w:rsidR="00103995">
        <w:t xml:space="preserve">oner el acento en las necesidades y en la opinión de los usuarios </w:t>
      </w:r>
    </w:p>
    <w:p w:rsidR="00103995" w:rsidRDefault="00E9502F" w:rsidP="00103995">
      <w:r>
        <w:t>3</w:t>
      </w:r>
      <w:r w:rsidR="00103995">
        <w:t xml:space="preserve">. </w:t>
      </w:r>
      <w:r>
        <w:t xml:space="preserve">Priorización por parte del Estado en la vivienda de interés social. </w:t>
      </w:r>
      <w:r w:rsidR="00103995">
        <w:t xml:space="preserve">No se pueden dejar todas las soluciones libradas exclusivamente al mercado </w:t>
      </w:r>
    </w:p>
    <w:p w:rsidR="00E9502F" w:rsidRDefault="00E9502F" w:rsidP="00E9502F">
      <w:r>
        <w:t xml:space="preserve">5. Priorizar las áreas de pobreza: delimitarlas a partir de indicadores adecuados medidos entre otros, por índices de ingresos, salud, educación y vivienda. </w:t>
      </w:r>
    </w:p>
    <w:p w:rsidR="00E9502F" w:rsidRDefault="00103995" w:rsidP="00E9502F">
      <w:r>
        <w:t>5. Es necesario involucrar a todos los actores atendiendo a la naturaleza polisémica, compleja y diversa de la vivienda.</w:t>
      </w:r>
      <w:r w:rsidR="00E9502F">
        <w:t xml:space="preserve"> Comprometer a diversos actores públicos, privados y comunales. </w:t>
      </w:r>
    </w:p>
    <w:p w:rsidR="00E9502F" w:rsidRDefault="00E9502F" w:rsidP="00E9502F">
      <w:r>
        <w:t xml:space="preserve">3. Contextualizar adecuadamente el problema de la vivienda, atendiendo a su diversidad y a su complejidad. La realidad varía de una localidad a otra, y el problema de la vivienda tiene relación con variables económicas, culturales y ambientales, que deben ser tomadas en consideración. </w:t>
      </w:r>
    </w:p>
    <w:p w:rsidR="00103995" w:rsidRDefault="00103995" w:rsidP="00103995">
      <w:r>
        <w:t xml:space="preserve">6. Se debe atender los problemas de vivienda a partir de tipologías adecuadas. </w:t>
      </w:r>
    </w:p>
    <w:p w:rsidR="00103995" w:rsidRDefault="00103995" w:rsidP="00103995">
      <w:r>
        <w:t xml:space="preserve">7. Es necesario priorizar las situaciones y los casos de las familias más vulnerables. </w:t>
      </w:r>
    </w:p>
    <w:p w:rsidR="00103995" w:rsidRDefault="00E9502F" w:rsidP="00103995">
      <w:r>
        <w:t>8</w:t>
      </w:r>
      <w:r w:rsidR="00103995">
        <w:t xml:space="preserve">. Afirmar la integralidad y la progresividad: Soluciones en todo el país, que puedan contemplar de manera flexible todas las modalidades, priorizando a los sectores de menores recursos, y en general a las poblaciones que habitan en malas condiciones en los barrios populares y en las zonas rurales. </w:t>
      </w:r>
    </w:p>
    <w:p w:rsidR="00103995" w:rsidRDefault="00E9502F" w:rsidP="00103995">
      <w:r>
        <w:t>9</w:t>
      </w:r>
      <w:r w:rsidR="00103995">
        <w:t xml:space="preserve">. Poner énfasis en la naturaleza principalmente cualitativa del problema de la vivienda a fin de mejorar las condiciones de habitabilidad de la población, planificando y previendo las necesidades futuras de vivienda. </w:t>
      </w:r>
    </w:p>
    <w:p w:rsidR="00103995" w:rsidRDefault="00103995" w:rsidP="00103995">
      <w:r>
        <w:t xml:space="preserve">4. Apoyar las iniciativas en </w:t>
      </w:r>
      <w:proofErr w:type="gramStart"/>
      <w:r>
        <w:t>curso ,</w:t>
      </w:r>
      <w:proofErr w:type="gramEnd"/>
      <w:r>
        <w:t xml:space="preserve"> y crear las condiciones favorables para que estas iniciativas tengan el éxito esperado. Existen importantes experiencias que encierran un amplio bagaje de conocimientos, que han demostrado su viabilidad, y deben ser tomadas en cuenta. </w:t>
      </w:r>
    </w:p>
    <w:p w:rsidR="00103995" w:rsidRDefault="00103995" w:rsidP="00103995">
      <w:r>
        <w:t xml:space="preserve">7. </w:t>
      </w:r>
      <w:proofErr w:type="spellStart"/>
      <w:r>
        <w:t>Territorializar</w:t>
      </w:r>
      <w:proofErr w:type="spellEnd"/>
      <w:r>
        <w:t xml:space="preserve"> las soluciones e implementar los planes de acción local: Siendo el problema de la vivienda complejo y diverso, debe ser abordado de acuerdo cada la realidad y situación concretos. Una localidad debe contar con un plan de vivienda que co</w:t>
      </w:r>
      <w:r w:rsidR="00E9502F">
        <w:t xml:space="preserve">ntemple , entre otros aspectos: </w:t>
      </w:r>
      <w:r>
        <w:t xml:space="preserve"> la mejora de las viviendas asentadas en malas condiciones,</w:t>
      </w:r>
      <w:r w:rsidR="00E9502F">
        <w:t xml:space="preserve"> </w:t>
      </w:r>
      <w:r>
        <w:t>el déficit cuantitativo y la demanda anual proyectada,</w:t>
      </w:r>
      <w:r w:rsidR="00E9502F">
        <w:t xml:space="preserve"> </w:t>
      </w:r>
      <w:r>
        <w:t>las necesidades de reubicación de familias en riesgo,</w:t>
      </w:r>
      <w:r w:rsidR="00E9502F">
        <w:t xml:space="preserve"> </w:t>
      </w:r>
      <w:r>
        <w:t>el mejoramiento urbanístico del barrio y</w:t>
      </w:r>
      <w:r w:rsidR="00E9502F">
        <w:t xml:space="preserve"> </w:t>
      </w:r>
      <w:r>
        <w:t>la legalización de la propiedad cuando ello sea necesario.</w:t>
      </w:r>
    </w:p>
    <w:p w:rsidR="00103995" w:rsidRDefault="00103995" w:rsidP="00103995"/>
    <w:p w:rsidR="00C414F1" w:rsidRDefault="00C414F1" w:rsidP="00103995"/>
    <w:p w:rsidR="00C414F1" w:rsidRPr="00DF637E" w:rsidRDefault="00C414F1" w:rsidP="00103995">
      <w:pPr>
        <w:rPr>
          <w:rFonts w:ascii="Verdana" w:hAnsi="Verdana"/>
          <w:sz w:val="20"/>
          <w:szCs w:val="20"/>
        </w:rPr>
      </w:pPr>
      <w:r w:rsidRPr="00DF637E">
        <w:rPr>
          <w:rFonts w:ascii="Verdana" w:hAnsi="Verdana"/>
          <w:sz w:val="20"/>
          <w:szCs w:val="20"/>
        </w:rPr>
        <w:lastRenderedPageBreak/>
        <w:t>Para la puesta en práctica se propone</w:t>
      </w:r>
      <w:r w:rsidR="00103995" w:rsidRPr="00DF637E">
        <w:rPr>
          <w:rFonts w:ascii="Verdana" w:hAnsi="Verdana"/>
          <w:sz w:val="20"/>
          <w:szCs w:val="20"/>
        </w:rPr>
        <w:t>:</w:t>
      </w:r>
    </w:p>
    <w:p w:rsidR="00103995" w:rsidRPr="00DF637E" w:rsidRDefault="00C414F1" w:rsidP="00DF637E">
      <w:pPr>
        <w:pStyle w:val="ListParagraph"/>
        <w:numPr>
          <w:ilvl w:val="0"/>
          <w:numId w:val="4"/>
        </w:numPr>
        <w:jc w:val="both"/>
        <w:rPr>
          <w:rFonts w:ascii="Verdana" w:hAnsi="Verdana"/>
          <w:sz w:val="20"/>
          <w:szCs w:val="20"/>
        </w:rPr>
      </w:pPr>
      <w:r w:rsidRPr="00DF637E">
        <w:rPr>
          <w:rFonts w:ascii="Verdana" w:hAnsi="Verdana"/>
          <w:sz w:val="20"/>
          <w:szCs w:val="20"/>
        </w:rPr>
        <w:t>Inclusión del derecho humano a la vivienda en la normativa secundaria y especial. Desarrollar una Ley Especial de Vivienda de Interés Social, de cara a la prioridad del tema.</w:t>
      </w:r>
    </w:p>
    <w:p w:rsidR="00DF637E" w:rsidRDefault="00C414F1" w:rsidP="00DF637E">
      <w:pPr>
        <w:pStyle w:val="ListParagraph"/>
        <w:numPr>
          <w:ilvl w:val="0"/>
          <w:numId w:val="4"/>
        </w:numPr>
        <w:jc w:val="both"/>
        <w:rPr>
          <w:rFonts w:ascii="Verdana" w:hAnsi="Verdana"/>
          <w:sz w:val="20"/>
          <w:szCs w:val="20"/>
        </w:rPr>
      </w:pPr>
      <w:r w:rsidRPr="00DF637E">
        <w:rPr>
          <w:rFonts w:ascii="Verdana" w:hAnsi="Verdana"/>
          <w:sz w:val="20"/>
          <w:szCs w:val="20"/>
        </w:rPr>
        <w:t>Restructuración y fortalecimiento de la institucionalidad a cargo del sector vivienda: elevar a nivel de Ministerio,</w:t>
      </w:r>
      <w:r w:rsidR="00DF637E" w:rsidRPr="00DF637E">
        <w:rPr>
          <w:rFonts w:ascii="Verdana" w:hAnsi="Verdana"/>
          <w:sz w:val="20"/>
          <w:szCs w:val="20"/>
        </w:rPr>
        <w:t xml:space="preserve"> el ente rector del sector vivienda, articular además la participación de otros actores como el gremio académico, profesionales, empresas, organizaciones socio territoriales y </w:t>
      </w:r>
      <w:proofErr w:type="spellStart"/>
      <w:r w:rsidR="00DF637E" w:rsidRPr="00DF637E">
        <w:rPr>
          <w:rFonts w:ascii="Verdana" w:hAnsi="Verdana"/>
          <w:sz w:val="20"/>
          <w:szCs w:val="20"/>
        </w:rPr>
        <w:t>ong</w:t>
      </w:r>
      <w:proofErr w:type="spellEnd"/>
      <w:r w:rsidR="00DF637E" w:rsidRPr="00DF637E">
        <w:rPr>
          <w:rFonts w:ascii="Verdana" w:hAnsi="Verdana"/>
          <w:sz w:val="20"/>
          <w:szCs w:val="20"/>
        </w:rPr>
        <w:t xml:space="preserve"> dedicas al sector vivienda, con instituciones del estado con competencia en el tema como el Ministerio de Hacienda, Medio Ambiente y Recursos Naturales y el mismo Ministerio de Vivienda.</w:t>
      </w:r>
      <w:r w:rsidR="00DF637E">
        <w:rPr>
          <w:rFonts w:ascii="Verdana" w:hAnsi="Verdana"/>
          <w:sz w:val="20"/>
          <w:szCs w:val="20"/>
        </w:rPr>
        <w:t xml:space="preserve"> Fortalecer a los gobiernos locales con recursos para cumplir su rol de promoción y financiamiento de programas de vivienda o renovación urbana, estipulado en el Código Municipal.</w:t>
      </w:r>
    </w:p>
    <w:p w:rsidR="00DF637E" w:rsidRDefault="00DF637E" w:rsidP="00DF637E">
      <w:pPr>
        <w:pStyle w:val="ListParagraph"/>
        <w:numPr>
          <w:ilvl w:val="0"/>
          <w:numId w:val="4"/>
        </w:numPr>
        <w:jc w:val="both"/>
        <w:rPr>
          <w:rFonts w:ascii="Verdana" w:hAnsi="Verdana"/>
          <w:sz w:val="20"/>
          <w:szCs w:val="20"/>
        </w:rPr>
      </w:pPr>
      <w:r>
        <w:rPr>
          <w:rFonts w:ascii="Verdana" w:hAnsi="Verdana"/>
          <w:sz w:val="20"/>
          <w:szCs w:val="20"/>
        </w:rPr>
        <w:t>Financiamiento estructural para el sector vivienda de interés social: asignación de recursos del Estado (2% del presupuesto nacional). Priorizar la inversión Estatal en los sectores de menos de 4 Salarios Mínimos.</w:t>
      </w:r>
    </w:p>
    <w:p w:rsidR="00DF637E" w:rsidRPr="00DF637E" w:rsidRDefault="00DF637E" w:rsidP="00DF637E">
      <w:pPr>
        <w:pStyle w:val="ListParagraph"/>
        <w:numPr>
          <w:ilvl w:val="0"/>
          <w:numId w:val="4"/>
        </w:numPr>
        <w:jc w:val="both"/>
        <w:rPr>
          <w:rFonts w:ascii="Verdana" w:hAnsi="Verdana"/>
          <w:sz w:val="20"/>
          <w:szCs w:val="20"/>
        </w:rPr>
      </w:pPr>
      <w:r>
        <w:rPr>
          <w:rFonts w:ascii="Verdana" w:hAnsi="Verdana"/>
          <w:sz w:val="20"/>
          <w:szCs w:val="20"/>
        </w:rPr>
        <w:t>Declaratoria de interés público del acceso al suelo habitable para la vivienda de interés social e inclusión del derecho constitucional en la normativa secundaria.</w:t>
      </w:r>
    </w:p>
    <w:p w:rsidR="00506B7A" w:rsidRDefault="00506B7A"/>
    <w:p w:rsidR="00506B7A" w:rsidRDefault="00DF637E" w:rsidP="00DF637E">
      <w:pPr>
        <w:autoSpaceDE w:val="0"/>
        <w:autoSpaceDN w:val="0"/>
        <w:adjustRightInd w:val="0"/>
        <w:spacing w:after="0" w:line="240" w:lineRule="auto"/>
        <w:jc w:val="both"/>
        <w:rPr>
          <w:rFonts w:ascii="Verdana" w:hAnsi="Verdana" w:cs="TimesNewRoman,Bold"/>
          <w:b/>
          <w:bCs/>
          <w:i/>
          <w:sz w:val="20"/>
          <w:szCs w:val="20"/>
        </w:rPr>
      </w:pPr>
      <w:r w:rsidRPr="00DF637E">
        <w:rPr>
          <w:rFonts w:ascii="Verdana" w:hAnsi="Verdana" w:cs="TimesNewRoman"/>
          <w:color w:val="000000"/>
          <w:sz w:val="20"/>
          <w:szCs w:val="20"/>
        </w:rPr>
        <w:t xml:space="preserve">De acuerdo al planteamiento de las Naciones Unidas en su Asamblea </w:t>
      </w:r>
      <w:proofErr w:type="gramStart"/>
      <w:r w:rsidRPr="00DF637E">
        <w:rPr>
          <w:rFonts w:ascii="Verdana" w:hAnsi="Verdana" w:cs="TimesNewRoman"/>
          <w:color w:val="000000"/>
          <w:sz w:val="20"/>
          <w:szCs w:val="20"/>
        </w:rPr>
        <w:t>General ,</w:t>
      </w:r>
      <w:proofErr w:type="gramEnd"/>
      <w:r w:rsidRPr="00DF637E">
        <w:rPr>
          <w:rFonts w:ascii="Verdana" w:hAnsi="Verdana" w:cs="TimesNewRoman"/>
          <w:color w:val="000000"/>
          <w:sz w:val="20"/>
          <w:szCs w:val="20"/>
        </w:rPr>
        <w:t xml:space="preserve"> de Agosto 2012, la política de vivienda debe </w:t>
      </w:r>
      <w:r w:rsidR="00506B7A" w:rsidRPr="00DF637E">
        <w:rPr>
          <w:rFonts w:ascii="Verdana" w:hAnsi="Verdana" w:cs="TimesNewRoman"/>
          <w:color w:val="000000"/>
          <w:sz w:val="20"/>
          <w:szCs w:val="20"/>
        </w:rPr>
        <w:t xml:space="preserve">asegurarse de que </w:t>
      </w:r>
      <w:r w:rsidRPr="00DF637E">
        <w:rPr>
          <w:rFonts w:ascii="Verdana" w:hAnsi="Verdana" w:cs="TimesNewRoman"/>
          <w:color w:val="000000"/>
          <w:sz w:val="20"/>
          <w:szCs w:val="20"/>
        </w:rPr>
        <w:t>se</w:t>
      </w:r>
      <w:r w:rsidR="00506B7A" w:rsidRPr="00DF637E">
        <w:rPr>
          <w:rFonts w:ascii="Verdana" w:hAnsi="Verdana" w:cs="TimesNewRoman"/>
          <w:color w:val="000000"/>
          <w:sz w:val="20"/>
          <w:szCs w:val="20"/>
        </w:rPr>
        <w:t xml:space="preserve"> promueva el acceso a una vivienda que no solo</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 xml:space="preserve">sea asequible, sino </w:t>
      </w:r>
      <w:r w:rsidRPr="00DF637E">
        <w:rPr>
          <w:rFonts w:ascii="Verdana" w:hAnsi="Verdana" w:cs="TimesNewRoman"/>
          <w:color w:val="000000"/>
          <w:sz w:val="20"/>
          <w:szCs w:val="20"/>
        </w:rPr>
        <w:t>t</w:t>
      </w:r>
      <w:r w:rsidR="00506B7A" w:rsidRPr="00DF637E">
        <w:rPr>
          <w:rFonts w:ascii="Verdana" w:hAnsi="Verdana" w:cs="TimesNewRoman"/>
          <w:color w:val="000000"/>
          <w:sz w:val="20"/>
          <w:szCs w:val="20"/>
        </w:rPr>
        <w:t>ambién habitable, accesible y con una ubicación adecuada, y</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garantizar además la disponibilidad de ciertos servicios (como los de salud,</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educación y bienestar), medios de subsistencia, materiales de construcción,</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instalaciones e infraestructuras, así como la seguridad de la tenencia. Los Estados</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han de velar por que las políticas de vivienda no sean discriminatorias ni aumenten</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las desigualdades existentes. Al diseñar las políticas de financiación de la vivienda,</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los Estados deben prestar particular atención a los derechos de las personas pobres y</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desfavorecidas. Las políticas y legislaciones han de formularse de modo que</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reduzcan las desigualdades y permitan a las personas pobres y marginadas acceder a</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viviendas asequibles, en vez de beneficiar a los grupos sociales ya aventajados a</w:t>
      </w:r>
      <w:r w:rsidRPr="00DF637E">
        <w:rPr>
          <w:rFonts w:ascii="Verdana" w:hAnsi="Verdana" w:cs="TimesNewRoman"/>
          <w:color w:val="000000"/>
          <w:sz w:val="20"/>
          <w:szCs w:val="20"/>
        </w:rPr>
        <w:t xml:space="preserve"> </w:t>
      </w:r>
      <w:r w:rsidR="00506B7A" w:rsidRPr="00DF637E">
        <w:rPr>
          <w:rFonts w:ascii="Verdana" w:hAnsi="Verdana" w:cs="TimesNewRoman"/>
          <w:color w:val="000000"/>
          <w:sz w:val="20"/>
          <w:szCs w:val="20"/>
        </w:rPr>
        <w:t>expensas de los demás</w:t>
      </w:r>
      <w:r w:rsidRPr="00DF637E">
        <w:rPr>
          <w:rFonts w:ascii="Verdana" w:hAnsi="Verdana" w:cs="TimesNewRoman"/>
          <w:color w:val="000000"/>
          <w:sz w:val="20"/>
          <w:szCs w:val="20"/>
        </w:rPr>
        <w:t xml:space="preserve"> </w:t>
      </w:r>
      <w:r w:rsidRPr="004C1452">
        <w:rPr>
          <w:rFonts w:ascii="Verdana" w:hAnsi="Verdana" w:cs="TimesNewRoman"/>
          <w:i/>
          <w:color w:val="000000"/>
          <w:sz w:val="20"/>
          <w:szCs w:val="20"/>
        </w:rPr>
        <w:t>(</w:t>
      </w:r>
      <w:r w:rsidR="00506B7A" w:rsidRPr="004C1452">
        <w:rPr>
          <w:rFonts w:ascii="Verdana" w:hAnsi="Verdana" w:cs="TimesNewRoman"/>
          <w:i/>
          <w:sz w:val="20"/>
          <w:szCs w:val="20"/>
        </w:rPr>
        <w:t>Naciones Unidas</w:t>
      </w:r>
      <w:r w:rsidR="004C1452" w:rsidRPr="004C1452">
        <w:rPr>
          <w:rFonts w:ascii="Verdana" w:hAnsi="Verdana" w:cs="TimesNewRoman"/>
          <w:i/>
          <w:sz w:val="20"/>
          <w:szCs w:val="20"/>
        </w:rPr>
        <w:t xml:space="preserve">, </w:t>
      </w:r>
      <w:r w:rsidR="00506B7A" w:rsidRPr="004C1452">
        <w:rPr>
          <w:rFonts w:ascii="Verdana" w:hAnsi="Verdana" w:cs="TimesNewRoman,Bold"/>
          <w:b/>
          <w:bCs/>
          <w:i/>
          <w:sz w:val="20"/>
          <w:szCs w:val="20"/>
        </w:rPr>
        <w:t>Asamblea General</w:t>
      </w:r>
      <w:r w:rsidRPr="004C1452">
        <w:rPr>
          <w:rFonts w:ascii="Verdana" w:hAnsi="Verdana" w:cs="TimesNewRoman,Bold"/>
          <w:b/>
          <w:bCs/>
          <w:i/>
          <w:sz w:val="20"/>
          <w:szCs w:val="20"/>
        </w:rPr>
        <w:t xml:space="preserve">, </w:t>
      </w:r>
      <w:r w:rsidR="00506B7A" w:rsidRPr="004C1452">
        <w:rPr>
          <w:rFonts w:ascii="Verdana" w:hAnsi="Verdana" w:cs="TimesNewRoman"/>
          <w:i/>
          <w:sz w:val="20"/>
          <w:szCs w:val="20"/>
        </w:rPr>
        <w:t>10 de agosto de 2012</w:t>
      </w:r>
      <w:r w:rsidRPr="004C1452">
        <w:rPr>
          <w:rFonts w:ascii="Verdana" w:hAnsi="Verdana" w:cs="TimesNewRoman"/>
          <w:i/>
          <w:sz w:val="20"/>
          <w:szCs w:val="20"/>
        </w:rPr>
        <w:t xml:space="preserve">. </w:t>
      </w:r>
      <w:r w:rsidR="00506B7A" w:rsidRPr="004C1452">
        <w:rPr>
          <w:rFonts w:ascii="Verdana" w:hAnsi="Verdana" w:cs="TimesNewRoman,Bold"/>
          <w:b/>
          <w:bCs/>
          <w:i/>
          <w:sz w:val="20"/>
          <w:szCs w:val="20"/>
        </w:rPr>
        <w:t>Sexagésimo séptimo período de sesiones</w:t>
      </w:r>
      <w:r w:rsidR="004C1452" w:rsidRPr="004C1452">
        <w:rPr>
          <w:rFonts w:ascii="Verdana" w:hAnsi="Verdana" w:cs="TimesNewRoman,Bold"/>
          <w:b/>
          <w:bCs/>
          <w:i/>
          <w:sz w:val="20"/>
          <w:szCs w:val="20"/>
        </w:rPr>
        <w:t xml:space="preserve">, </w:t>
      </w:r>
      <w:r w:rsidR="00506B7A" w:rsidRPr="004C1452">
        <w:rPr>
          <w:rFonts w:ascii="Verdana" w:hAnsi="Verdana" w:cs="TimesNewRoman"/>
          <w:i/>
          <w:sz w:val="20"/>
          <w:szCs w:val="20"/>
        </w:rPr>
        <w:t>Tema 70 b) del programa provisional*</w:t>
      </w:r>
      <w:r w:rsidRPr="004C1452">
        <w:rPr>
          <w:rFonts w:ascii="Verdana" w:hAnsi="Verdana" w:cs="TimesNewRoman"/>
          <w:i/>
          <w:sz w:val="20"/>
          <w:szCs w:val="20"/>
        </w:rPr>
        <w:t xml:space="preserve"> </w:t>
      </w:r>
      <w:r w:rsidR="00506B7A" w:rsidRPr="004C1452">
        <w:rPr>
          <w:rFonts w:ascii="Verdana" w:hAnsi="Verdana" w:cs="TimesNewRoman,Bold"/>
          <w:b/>
          <w:bCs/>
          <w:i/>
          <w:sz w:val="20"/>
          <w:szCs w:val="20"/>
        </w:rPr>
        <w:t>Promoción y protección de los derechos humanos:</w:t>
      </w:r>
      <w:r w:rsidRPr="004C1452">
        <w:rPr>
          <w:rFonts w:ascii="Verdana" w:hAnsi="Verdana" w:cs="TimesNewRoman,Bold"/>
          <w:b/>
          <w:bCs/>
          <w:i/>
          <w:sz w:val="20"/>
          <w:szCs w:val="20"/>
        </w:rPr>
        <w:t xml:space="preserve"> </w:t>
      </w:r>
      <w:r w:rsidR="00506B7A" w:rsidRPr="004C1452">
        <w:rPr>
          <w:rFonts w:ascii="Verdana" w:hAnsi="Verdana" w:cs="TimesNewRoman,Bold"/>
          <w:b/>
          <w:bCs/>
          <w:i/>
          <w:sz w:val="20"/>
          <w:szCs w:val="20"/>
        </w:rPr>
        <w:t>cuestiones de derechos humanos, incluidos otros</w:t>
      </w:r>
      <w:r w:rsidRPr="004C1452">
        <w:rPr>
          <w:rFonts w:ascii="Verdana" w:hAnsi="Verdana" w:cs="TimesNewRoman,Bold"/>
          <w:b/>
          <w:bCs/>
          <w:i/>
          <w:sz w:val="20"/>
          <w:szCs w:val="20"/>
        </w:rPr>
        <w:t xml:space="preserve"> </w:t>
      </w:r>
      <w:r w:rsidR="00506B7A" w:rsidRPr="004C1452">
        <w:rPr>
          <w:rFonts w:ascii="Verdana" w:hAnsi="Verdana" w:cs="TimesNewRoman,Bold"/>
          <w:b/>
          <w:bCs/>
          <w:i/>
          <w:sz w:val="20"/>
          <w:szCs w:val="20"/>
        </w:rPr>
        <w:t>medios de mejorar el goce efectivo de los derechos</w:t>
      </w:r>
      <w:r w:rsidRPr="004C1452">
        <w:rPr>
          <w:rFonts w:ascii="Verdana" w:hAnsi="Verdana" w:cs="TimesNewRoman,Bold"/>
          <w:b/>
          <w:bCs/>
          <w:i/>
          <w:sz w:val="20"/>
          <w:szCs w:val="20"/>
        </w:rPr>
        <w:t xml:space="preserve"> </w:t>
      </w:r>
      <w:r w:rsidR="00506B7A" w:rsidRPr="004C1452">
        <w:rPr>
          <w:rFonts w:ascii="Verdana" w:hAnsi="Verdana" w:cs="TimesNewRoman,Bold"/>
          <w:b/>
          <w:bCs/>
          <w:i/>
          <w:sz w:val="20"/>
          <w:szCs w:val="20"/>
        </w:rPr>
        <w:t>humanos y las libertades fundamentales</w:t>
      </w:r>
      <w:r w:rsidRPr="004C1452">
        <w:rPr>
          <w:rFonts w:ascii="Verdana" w:hAnsi="Verdana" w:cs="TimesNewRoman,Bold"/>
          <w:b/>
          <w:bCs/>
          <w:i/>
          <w:sz w:val="20"/>
          <w:szCs w:val="20"/>
        </w:rPr>
        <w:t xml:space="preserve">. </w:t>
      </w:r>
      <w:r w:rsidR="00506B7A" w:rsidRPr="004C1452">
        <w:rPr>
          <w:rFonts w:ascii="Verdana" w:hAnsi="Verdana" w:cs="TimesNewRoman,Bold"/>
          <w:b/>
          <w:bCs/>
          <w:i/>
          <w:sz w:val="20"/>
          <w:szCs w:val="20"/>
        </w:rPr>
        <w:t>El derecho a una vivienda adecuada</w:t>
      </w:r>
      <w:r w:rsidR="004C1452">
        <w:rPr>
          <w:rFonts w:ascii="Verdana" w:hAnsi="Verdana" w:cs="TimesNewRoman,Bold"/>
          <w:b/>
          <w:bCs/>
          <w:i/>
          <w:sz w:val="20"/>
          <w:szCs w:val="20"/>
        </w:rPr>
        <w:t>).</w:t>
      </w: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r>
        <w:rPr>
          <w:rFonts w:ascii="Verdana" w:hAnsi="Verdana" w:cs="TimesNewRoman,Bold"/>
          <w:b/>
          <w:bCs/>
          <w:i/>
          <w:sz w:val="20"/>
          <w:szCs w:val="20"/>
        </w:rPr>
        <w:lastRenderedPageBreak/>
        <w:t>Lista de documentos de referencia:</w:t>
      </w:r>
    </w:p>
    <w:p w:rsidR="00B32A20" w:rsidRDefault="00B32A20" w:rsidP="00DF637E">
      <w:pPr>
        <w:autoSpaceDE w:val="0"/>
        <w:autoSpaceDN w:val="0"/>
        <w:adjustRightInd w:val="0"/>
        <w:spacing w:after="0" w:line="240" w:lineRule="auto"/>
        <w:jc w:val="both"/>
        <w:rPr>
          <w:rFonts w:ascii="Verdana" w:hAnsi="Verdana" w:cs="TimesNewRoman,Bold"/>
          <w:b/>
          <w:bCs/>
          <w:i/>
          <w:sz w:val="20"/>
          <w:szCs w:val="20"/>
        </w:rPr>
      </w:pPr>
    </w:p>
    <w:p w:rsidR="00B32A20" w:rsidRDefault="00B32A20" w:rsidP="00B32A20">
      <w:pPr>
        <w:pStyle w:val="Bibliography"/>
        <w:ind w:left="720" w:hanging="720"/>
        <w:rPr>
          <w:noProof/>
        </w:rPr>
      </w:pPr>
      <w:r>
        <w:rPr>
          <w:rFonts w:ascii="Verdana" w:hAnsi="Verdana"/>
          <w:sz w:val="20"/>
          <w:szCs w:val="20"/>
        </w:rPr>
        <w:fldChar w:fldCharType="begin"/>
      </w:r>
      <w:r>
        <w:rPr>
          <w:rFonts w:ascii="Verdana" w:hAnsi="Verdana"/>
          <w:sz w:val="20"/>
          <w:szCs w:val="20"/>
        </w:rPr>
        <w:instrText xml:space="preserve"> BIBLIOGRAPHY  \l 17418 </w:instrText>
      </w:r>
      <w:r>
        <w:rPr>
          <w:rFonts w:ascii="Verdana" w:hAnsi="Verdana"/>
          <w:sz w:val="20"/>
          <w:szCs w:val="20"/>
        </w:rPr>
        <w:fldChar w:fldCharType="separate"/>
      </w:r>
      <w:r>
        <w:rPr>
          <w:noProof/>
        </w:rPr>
        <w:t xml:space="preserve">César Patricio Bouillon, B. (2012). </w:t>
      </w:r>
      <w:r>
        <w:rPr>
          <w:i/>
          <w:iCs/>
          <w:noProof/>
        </w:rPr>
        <w:t>Un espacio para el desarrollo. Los mercados de vivienda en América Latina y El Caribe.</w:t>
      </w:r>
    </w:p>
    <w:p w:rsidR="00B32A20" w:rsidRDefault="00B32A20" w:rsidP="00B32A20">
      <w:pPr>
        <w:pStyle w:val="Bibliography"/>
        <w:ind w:left="720" w:hanging="720"/>
        <w:rPr>
          <w:noProof/>
        </w:rPr>
      </w:pPr>
      <w:r>
        <w:rPr>
          <w:noProof/>
        </w:rPr>
        <w:t xml:space="preserve">Comité de Derechos Económicos, S. y. (1991). </w:t>
      </w:r>
      <w:r>
        <w:rPr>
          <w:i/>
          <w:iCs/>
          <w:noProof/>
        </w:rPr>
        <w:t>Pacto Internacional de Derechos Económicos, Sociales y Culturales (PIDESC).</w:t>
      </w:r>
    </w:p>
    <w:p w:rsidR="00B32A20" w:rsidRDefault="00B32A20" w:rsidP="00B32A20">
      <w:pPr>
        <w:pStyle w:val="Bibliography"/>
        <w:ind w:left="720" w:hanging="720"/>
        <w:rPr>
          <w:noProof/>
        </w:rPr>
      </w:pPr>
      <w:r>
        <w:rPr>
          <w:noProof/>
        </w:rPr>
        <w:t xml:space="preserve">Consult, S. (2004). </w:t>
      </w:r>
      <w:r>
        <w:rPr>
          <w:i/>
          <w:iCs/>
          <w:noProof/>
        </w:rPr>
        <w:t>Política de Vivienda de Interés Social en El Salvador.</w:t>
      </w:r>
    </w:p>
    <w:p w:rsidR="00B32A20" w:rsidRDefault="00B32A20" w:rsidP="00B32A20">
      <w:pPr>
        <w:pStyle w:val="Bibliography"/>
        <w:ind w:left="720" w:hanging="720"/>
        <w:rPr>
          <w:noProof/>
        </w:rPr>
      </w:pPr>
      <w:r>
        <w:rPr>
          <w:noProof/>
        </w:rPr>
        <w:t>FUNDASAL. (2010). Anteproyecto Ley de vivienda de Interés Social. Una necesidad palpable, una propuesta para el acceso de los más pobres.</w:t>
      </w:r>
    </w:p>
    <w:p w:rsidR="00B32A20" w:rsidRDefault="00B32A20" w:rsidP="00B32A20">
      <w:pPr>
        <w:pStyle w:val="Bibliography"/>
        <w:ind w:left="720" w:hanging="720"/>
        <w:rPr>
          <w:noProof/>
        </w:rPr>
      </w:pPr>
      <w:r>
        <w:rPr>
          <w:noProof/>
        </w:rPr>
        <w:t xml:space="preserve">Mariela, T. (2013). </w:t>
      </w:r>
      <w:r>
        <w:rPr>
          <w:i/>
          <w:iCs/>
          <w:noProof/>
        </w:rPr>
        <w:t>Políticas alternativas de vivienda en América Latina y El Caribe.</w:t>
      </w:r>
    </w:p>
    <w:p w:rsidR="00B32A20" w:rsidRDefault="00B32A20" w:rsidP="00B32A20">
      <w:pPr>
        <w:pStyle w:val="Bibliography"/>
        <w:ind w:left="720" w:hanging="720"/>
        <w:rPr>
          <w:noProof/>
        </w:rPr>
      </w:pPr>
      <w:r>
        <w:rPr>
          <w:noProof/>
        </w:rPr>
        <w:t xml:space="preserve">Onu-hábitat. (2013). </w:t>
      </w:r>
      <w:r>
        <w:rPr>
          <w:i/>
          <w:iCs/>
          <w:noProof/>
        </w:rPr>
        <w:t>Perfil de Vivienda.</w:t>
      </w:r>
    </w:p>
    <w:p w:rsidR="00B32A20" w:rsidRDefault="00B32A20" w:rsidP="00B32A20">
      <w:pPr>
        <w:pStyle w:val="Bibliography"/>
        <w:ind w:left="720" w:hanging="720"/>
        <w:rPr>
          <w:noProof/>
        </w:rPr>
      </w:pPr>
      <w:r>
        <w:rPr>
          <w:noProof/>
        </w:rPr>
        <w:t xml:space="preserve">PNUD. (2010). </w:t>
      </w:r>
      <w:r>
        <w:rPr>
          <w:i/>
          <w:iCs/>
          <w:noProof/>
        </w:rPr>
        <w:t>Informe de Desarrollo Humano.</w:t>
      </w:r>
    </w:p>
    <w:p w:rsidR="00B32A20" w:rsidRDefault="00B32A20" w:rsidP="00B32A20">
      <w:pPr>
        <w:pStyle w:val="Bibliography"/>
        <w:ind w:left="720" w:hanging="720"/>
        <w:rPr>
          <w:noProof/>
        </w:rPr>
      </w:pPr>
      <w:r>
        <w:rPr>
          <w:noProof/>
        </w:rPr>
        <w:t xml:space="preserve">PNUD/FUNDASAL. (2009). </w:t>
      </w:r>
      <w:r>
        <w:rPr>
          <w:i/>
          <w:iCs/>
          <w:noProof/>
        </w:rPr>
        <w:t>Escenarios de vida desde la Exclusión Urbana. Una mirada al hábtiat popular de 32 ciudades de El Salvador.</w:t>
      </w:r>
    </w:p>
    <w:p w:rsidR="00B32A20" w:rsidRPr="00DF637E" w:rsidRDefault="00B32A20" w:rsidP="00B32A20">
      <w:pPr>
        <w:autoSpaceDE w:val="0"/>
        <w:autoSpaceDN w:val="0"/>
        <w:adjustRightInd w:val="0"/>
        <w:spacing w:after="0" w:line="240" w:lineRule="auto"/>
        <w:jc w:val="both"/>
        <w:rPr>
          <w:rFonts w:ascii="Verdana" w:hAnsi="Verdana"/>
          <w:sz w:val="20"/>
          <w:szCs w:val="20"/>
        </w:rPr>
      </w:pPr>
      <w:r>
        <w:rPr>
          <w:rFonts w:ascii="Verdana" w:hAnsi="Verdana"/>
          <w:sz w:val="20"/>
          <w:szCs w:val="20"/>
        </w:rPr>
        <w:fldChar w:fldCharType="end"/>
      </w:r>
    </w:p>
    <w:sectPr w:rsidR="00B32A20" w:rsidRPr="00DF637E">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55C" w:rsidRDefault="001B055C" w:rsidP="00650FF8">
      <w:pPr>
        <w:spacing w:after="0" w:line="240" w:lineRule="auto"/>
      </w:pPr>
      <w:r>
        <w:separator/>
      </w:r>
    </w:p>
  </w:endnote>
  <w:endnote w:type="continuationSeparator" w:id="0">
    <w:p w:rsidR="001B055C" w:rsidRDefault="001B055C" w:rsidP="0065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E2" w:rsidRDefault="002158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146593"/>
      <w:docPartObj>
        <w:docPartGallery w:val="Page Numbers (Bottom of Page)"/>
        <w:docPartUnique/>
      </w:docPartObj>
    </w:sdtPr>
    <w:sdtEndPr/>
    <w:sdtContent>
      <w:p w:rsidR="002158E2" w:rsidRDefault="002158E2">
        <w:pPr>
          <w:pStyle w:val="Footer"/>
          <w:jc w:val="right"/>
        </w:pPr>
        <w:r>
          <w:fldChar w:fldCharType="begin"/>
        </w:r>
        <w:r>
          <w:instrText>PAGE   \* MERGEFORMAT</w:instrText>
        </w:r>
        <w:r>
          <w:fldChar w:fldCharType="separate"/>
        </w:r>
        <w:r w:rsidR="00803EF6" w:rsidRPr="00803EF6">
          <w:rPr>
            <w:noProof/>
            <w:lang w:val="es-ES"/>
          </w:rPr>
          <w:t>1</w:t>
        </w:r>
        <w:r>
          <w:fldChar w:fldCharType="end"/>
        </w:r>
      </w:p>
    </w:sdtContent>
  </w:sdt>
  <w:p w:rsidR="002158E2" w:rsidRDefault="002158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E2" w:rsidRDefault="00215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55C" w:rsidRDefault="001B055C" w:rsidP="00650FF8">
      <w:pPr>
        <w:spacing w:after="0" w:line="240" w:lineRule="auto"/>
      </w:pPr>
      <w:r>
        <w:separator/>
      </w:r>
    </w:p>
  </w:footnote>
  <w:footnote w:type="continuationSeparator" w:id="0">
    <w:p w:rsidR="001B055C" w:rsidRDefault="001B055C" w:rsidP="00650FF8">
      <w:pPr>
        <w:spacing w:after="0" w:line="240" w:lineRule="auto"/>
      </w:pPr>
      <w:r>
        <w:continuationSeparator/>
      </w:r>
    </w:p>
  </w:footnote>
  <w:footnote w:id="1">
    <w:p w:rsidR="00650FF8" w:rsidRDefault="00650FF8" w:rsidP="00650FF8">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PNUD, </w:t>
      </w:r>
      <w:r>
        <w:rPr>
          <w:rFonts w:ascii="Century Gothic" w:hAnsi="Century Gothic"/>
          <w:i/>
          <w:sz w:val="14"/>
          <w:szCs w:val="14"/>
        </w:rPr>
        <w:t>Informe de Desarrollo Humano 2010</w:t>
      </w:r>
      <w:r>
        <w:rPr>
          <w:rFonts w:ascii="Century Gothic" w:hAnsi="Century Gothic"/>
          <w:sz w:val="14"/>
          <w:szCs w:val="14"/>
        </w:rPr>
        <w:t>, 2010, p. 143.</w:t>
      </w:r>
    </w:p>
  </w:footnote>
  <w:footnote w:id="2">
    <w:p w:rsidR="00021C0D" w:rsidRDefault="00021C0D" w:rsidP="00021C0D">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PNUD, </w:t>
      </w:r>
      <w:r>
        <w:rPr>
          <w:rFonts w:ascii="Century Gothic" w:hAnsi="Century Gothic"/>
          <w:i/>
          <w:sz w:val="14"/>
          <w:szCs w:val="14"/>
        </w:rPr>
        <w:t>Informe de Desarrollo Humano 2010</w:t>
      </w:r>
      <w:r>
        <w:rPr>
          <w:rFonts w:ascii="Century Gothic" w:hAnsi="Century Gothic"/>
          <w:sz w:val="14"/>
          <w:szCs w:val="14"/>
        </w:rPr>
        <w:t>, 2010, p. 144.</w:t>
      </w:r>
    </w:p>
  </w:footnote>
  <w:footnote w:id="3">
    <w:p w:rsidR="00021C0D" w:rsidRDefault="00021C0D" w:rsidP="00021C0D">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ONU-Hábitat, </w:t>
      </w:r>
      <w:r>
        <w:rPr>
          <w:rFonts w:ascii="Century Gothic" w:hAnsi="Century Gothic"/>
          <w:i/>
          <w:sz w:val="14"/>
          <w:szCs w:val="14"/>
        </w:rPr>
        <w:t>Perfil de Vivienda 2013</w:t>
      </w:r>
      <w:r>
        <w:rPr>
          <w:rFonts w:ascii="Century Gothic" w:hAnsi="Century Gothic"/>
          <w:sz w:val="14"/>
          <w:szCs w:val="14"/>
        </w:rPr>
        <w:t>, p. 23.</w:t>
      </w:r>
    </w:p>
  </w:footnote>
  <w:footnote w:id="4">
    <w:p w:rsidR="00021C0D" w:rsidRDefault="00021C0D" w:rsidP="00021C0D">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ONU-Hábitat, </w:t>
      </w:r>
      <w:r>
        <w:rPr>
          <w:rFonts w:ascii="Century Gothic" w:hAnsi="Century Gothic"/>
          <w:i/>
          <w:sz w:val="14"/>
          <w:szCs w:val="14"/>
        </w:rPr>
        <w:t>Perfil de Vivienda 2013</w:t>
      </w:r>
      <w:r>
        <w:rPr>
          <w:rFonts w:ascii="Century Gothic" w:hAnsi="Century Gothic"/>
          <w:sz w:val="14"/>
          <w:szCs w:val="14"/>
        </w:rPr>
        <w:t>, p. 113.</w:t>
      </w:r>
    </w:p>
  </w:footnote>
  <w:footnote w:id="5">
    <w:p w:rsidR="00021C0D" w:rsidRDefault="00021C0D" w:rsidP="00021C0D">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ONU-Hábitat, </w:t>
      </w:r>
      <w:r>
        <w:rPr>
          <w:rFonts w:ascii="Century Gothic" w:hAnsi="Century Gothic"/>
          <w:i/>
          <w:sz w:val="14"/>
          <w:szCs w:val="14"/>
        </w:rPr>
        <w:t>Perfil de Vivienda 2013</w:t>
      </w:r>
      <w:r>
        <w:rPr>
          <w:rFonts w:ascii="Century Gothic" w:hAnsi="Century Gothic"/>
          <w:sz w:val="14"/>
          <w:szCs w:val="14"/>
        </w:rPr>
        <w:t>, p. 108.</w:t>
      </w:r>
    </w:p>
  </w:footnote>
  <w:footnote w:id="6">
    <w:p w:rsidR="00021C0D" w:rsidRDefault="00021C0D" w:rsidP="00021C0D">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Hay que resaltar el 62 % de estos se ubica solamente en la zona central del país, donde se ubica el AMSS.</w:t>
      </w:r>
    </w:p>
  </w:footnote>
  <w:footnote w:id="7">
    <w:p w:rsidR="00C529AE" w:rsidRDefault="00C529AE" w:rsidP="00C529AE">
      <w:pPr>
        <w:pStyle w:val="FootnoteText"/>
        <w:jc w:val="both"/>
        <w:rPr>
          <w:rFonts w:ascii="Century Gothic" w:hAnsi="Century Gothic"/>
          <w:sz w:val="14"/>
          <w:szCs w:val="14"/>
        </w:rPr>
      </w:pPr>
      <w:r>
        <w:rPr>
          <w:rStyle w:val="FootnoteReference"/>
          <w:rFonts w:ascii="Century Gothic" w:hAnsi="Century Gothic"/>
          <w:sz w:val="14"/>
          <w:szCs w:val="14"/>
        </w:rPr>
        <w:footnoteRef/>
      </w:r>
      <w:r>
        <w:rPr>
          <w:rFonts w:ascii="Century Gothic" w:hAnsi="Century Gothic"/>
          <w:sz w:val="14"/>
          <w:szCs w:val="14"/>
        </w:rPr>
        <w:t xml:space="preserve"> ONU-Hábitat, </w:t>
      </w:r>
      <w:r>
        <w:rPr>
          <w:rFonts w:ascii="Century Gothic" w:hAnsi="Century Gothic"/>
          <w:i/>
          <w:sz w:val="14"/>
          <w:szCs w:val="14"/>
        </w:rPr>
        <w:t>Perfil de Vivienda 2013</w:t>
      </w:r>
      <w:r>
        <w:rPr>
          <w:rFonts w:ascii="Century Gothic" w:hAnsi="Century Gothic"/>
          <w:sz w:val="14"/>
          <w:szCs w:val="14"/>
        </w:rPr>
        <w:t>, p. 119.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E2" w:rsidRDefault="002158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E2" w:rsidRDefault="002158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E2" w:rsidRDefault="002158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1B81"/>
    <w:multiLevelType w:val="hybridMultilevel"/>
    <w:tmpl w:val="A5DEE83C"/>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0A11DC9"/>
    <w:multiLevelType w:val="hybridMultilevel"/>
    <w:tmpl w:val="9C1A3A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6D34227"/>
    <w:multiLevelType w:val="hybridMultilevel"/>
    <w:tmpl w:val="4198CB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772813C7"/>
    <w:multiLevelType w:val="hybridMultilevel"/>
    <w:tmpl w:val="F06AD762"/>
    <w:lvl w:ilvl="0" w:tplc="C6EE33F6">
      <w:start w:val="21"/>
      <w:numFmt w:val="bullet"/>
      <w:lvlText w:val="-"/>
      <w:lvlJc w:val="left"/>
      <w:pPr>
        <w:ind w:left="720" w:hanging="360"/>
      </w:pPr>
      <w:rPr>
        <w:rFonts w:ascii="Century Gothic" w:eastAsiaTheme="minorHAnsi" w:hAnsi="Century Gothic" w:cstheme="minorBidi"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EF1"/>
    <w:rsid w:val="00021C0D"/>
    <w:rsid w:val="000D65B4"/>
    <w:rsid w:val="00103995"/>
    <w:rsid w:val="001212C9"/>
    <w:rsid w:val="001B055C"/>
    <w:rsid w:val="001F22F4"/>
    <w:rsid w:val="002158E2"/>
    <w:rsid w:val="002229E4"/>
    <w:rsid w:val="00232852"/>
    <w:rsid w:val="002E190F"/>
    <w:rsid w:val="0030162C"/>
    <w:rsid w:val="003D7745"/>
    <w:rsid w:val="004111E3"/>
    <w:rsid w:val="00456AB8"/>
    <w:rsid w:val="004970F2"/>
    <w:rsid w:val="004A66A3"/>
    <w:rsid w:val="004C10A8"/>
    <w:rsid w:val="004C1452"/>
    <w:rsid w:val="00506B7A"/>
    <w:rsid w:val="0054728E"/>
    <w:rsid w:val="00550510"/>
    <w:rsid w:val="00560DC7"/>
    <w:rsid w:val="00597894"/>
    <w:rsid w:val="00650FF8"/>
    <w:rsid w:val="006945B8"/>
    <w:rsid w:val="006C2C94"/>
    <w:rsid w:val="007222F0"/>
    <w:rsid w:val="00803EF6"/>
    <w:rsid w:val="008A708D"/>
    <w:rsid w:val="009558EC"/>
    <w:rsid w:val="009E75BD"/>
    <w:rsid w:val="00A02EF1"/>
    <w:rsid w:val="00A2559B"/>
    <w:rsid w:val="00B014F9"/>
    <w:rsid w:val="00B32A20"/>
    <w:rsid w:val="00C414F1"/>
    <w:rsid w:val="00C47713"/>
    <w:rsid w:val="00C516C7"/>
    <w:rsid w:val="00C529AE"/>
    <w:rsid w:val="00C57E21"/>
    <w:rsid w:val="00D92453"/>
    <w:rsid w:val="00DF637E"/>
    <w:rsid w:val="00E713E9"/>
    <w:rsid w:val="00E74C24"/>
    <w:rsid w:val="00E9502F"/>
    <w:rsid w:val="00EC6B52"/>
    <w:rsid w:val="00FB345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78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28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78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89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978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285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66A3"/>
    <w:pPr>
      <w:ind w:left="720"/>
      <w:contextualSpacing/>
    </w:pPr>
  </w:style>
  <w:style w:type="paragraph" w:styleId="BalloonText">
    <w:name w:val="Balloon Text"/>
    <w:basedOn w:val="Normal"/>
    <w:link w:val="BalloonTextChar"/>
    <w:uiPriority w:val="99"/>
    <w:semiHidden/>
    <w:unhideWhenUsed/>
    <w:rsid w:val="00103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995"/>
    <w:rPr>
      <w:rFonts w:ascii="Tahoma" w:hAnsi="Tahoma" w:cs="Tahoma"/>
      <w:sz w:val="16"/>
      <w:szCs w:val="16"/>
    </w:rPr>
  </w:style>
  <w:style w:type="paragraph" w:styleId="FootnoteText">
    <w:name w:val="footnote text"/>
    <w:basedOn w:val="Normal"/>
    <w:link w:val="FootnoteTextChar"/>
    <w:uiPriority w:val="99"/>
    <w:semiHidden/>
    <w:unhideWhenUsed/>
    <w:rsid w:val="00650F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0FF8"/>
    <w:rPr>
      <w:sz w:val="20"/>
      <w:szCs w:val="20"/>
    </w:rPr>
  </w:style>
  <w:style w:type="character" w:styleId="FootnoteReference">
    <w:name w:val="footnote reference"/>
    <w:basedOn w:val="DefaultParagraphFont"/>
    <w:uiPriority w:val="99"/>
    <w:semiHidden/>
    <w:unhideWhenUsed/>
    <w:rsid w:val="00650FF8"/>
    <w:rPr>
      <w:vertAlign w:val="superscript"/>
    </w:rPr>
  </w:style>
  <w:style w:type="paragraph" w:styleId="Bibliography">
    <w:name w:val="Bibliography"/>
    <w:basedOn w:val="Normal"/>
    <w:next w:val="Normal"/>
    <w:uiPriority w:val="37"/>
    <w:unhideWhenUsed/>
    <w:rsid w:val="00B32A20"/>
  </w:style>
  <w:style w:type="paragraph" w:styleId="Header">
    <w:name w:val="header"/>
    <w:basedOn w:val="Normal"/>
    <w:link w:val="HeaderChar"/>
    <w:uiPriority w:val="99"/>
    <w:unhideWhenUsed/>
    <w:rsid w:val="002158E2"/>
    <w:pPr>
      <w:tabs>
        <w:tab w:val="center" w:pos="4419"/>
        <w:tab w:val="right" w:pos="8838"/>
      </w:tabs>
      <w:spacing w:after="0" w:line="240" w:lineRule="auto"/>
    </w:pPr>
  </w:style>
  <w:style w:type="character" w:customStyle="1" w:styleId="HeaderChar">
    <w:name w:val="Header Char"/>
    <w:basedOn w:val="DefaultParagraphFont"/>
    <w:link w:val="Header"/>
    <w:uiPriority w:val="99"/>
    <w:rsid w:val="002158E2"/>
  </w:style>
  <w:style w:type="paragraph" w:styleId="Footer">
    <w:name w:val="footer"/>
    <w:basedOn w:val="Normal"/>
    <w:link w:val="FooterChar"/>
    <w:uiPriority w:val="99"/>
    <w:unhideWhenUsed/>
    <w:rsid w:val="002158E2"/>
    <w:pPr>
      <w:tabs>
        <w:tab w:val="center" w:pos="4419"/>
        <w:tab w:val="right" w:pos="8838"/>
      </w:tabs>
      <w:spacing w:after="0" w:line="240" w:lineRule="auto"/>
    </w:pPr>
  </w:style>
  <w:style w:type="character" w:customStyle="1" w:styleId="FooterChar">
    <w:name w:val="Footer Char"/>
    <w:basedOn w:val="DefaultParagraphFont"/>
    <w:link w:val="Footer"/>
    <w:uiPriority w:val="99"/>
    <w:rsid w:val="002158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78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28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78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89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978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285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66A3"/>
    <w:pPr>
      <w:ind w:left="720"/>
      <w:contextualSpacing/>
    </w:pPr>
  </w:style>
  <w:style w:type="paragraph" w:styleId="BalloonText">
    <w:name w:val="Balloon Text"/>
    <w:basedOn w:val="Normal"/>
    <w:link w:val="BalloonTextChar"/>
    <w:uiPriority w:val="99"/>
    <w:semiHidden/>
    <w:unhideWhenUsed/>
    <w:rsid w:val="00103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995"/>
    <w:rPr>
      <w:rFonts w:ascii="Tahoma" w:hAnsi="Tahoma" w:cs="Tahoma"/>
      <w:sz w:val="16"/>
      <w:szCs w:val="16"/>
    </w:rPr>
  </w:style>
  <w:style w:type="paragraph" w:styleId="FootnoteText">
    <w:name w:val="footnote text"/>
    <w:basedOn w:val="Normal"/>
    <w:link w:val="FootnoteTextChar"/>
    <w:uiPriority w:val="99"/>
    <w:semiHidden/>
    <w:unhideWhenUsed/>
    <w:rsid w:val="00650F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0FF8"/>
    <w:rPr>
      <w:sz w:val="20"/>
      <w:szCs w:val="20"/>
    </w:rPr>
  </w:style>
  <w:style w:type="character" w:styleId="FootnoteReference">
    <w:name w:val="footnote reference"/>
    <w:basedOn w:val="DefaultParagraphFont"/>
    <w:uiPriority w:val="99"/>
    <w:semiHidden/>
    <w:unhideWhenUsed/>
    <w:rsid w:val="00650FF8"/>
    <w:rPr>
      <w:vertAlign w:val="superscript"/>
    </w:rPr>
  </w:style>
  <w:style w:type="paragraph" w:styleId="Bibliography">
    <w:name w:val="Bibliography"/>
    <w:basedOn w:val="Normal"/>
    <w:next w:val="Normal"/>
    <w:uiPriority w:val="37"/>
    <w:unhideWhenUsed/>
    <w:rsid w:val="00B32A20"/>
  </w:style>
  <w:style w:type="paragraph" w:styleId="Header">
    <w:name w:val="header"/>
    <w:basedOn w:val="Normal"/>
    <w:link w:val="HeaderChar"/>
    <w:uiPriority w:val="99"/>
    <w:unhideWhenUsed/>
    <w:rsid w:val="002158E2"/>
    <w:pPr>
      <w:tabs>
        <w:tab w:val="center" w:pos="4419"/>
        <w:tab w:val="right" w:pos="8838"/>
      </w:tabs>
      <w:spacing w:after="0" w:line="240" w:lineRule="auto"/>
    </w:pPr>
  </w:style>
  <w:style w:type="character" w:customStyle="1" w:styleId="HeaderChar">
    <w:name w:val="Header Char"/>
    <w:basedOn w:val="DefaultParagraphFont"/>
    <w:link w:val="Header"/>
    <w:uiPriority w:val="99"/>
    <w:rsid w:val="002158E2"/>
  </w:style>
  <w:style w:type="paragraph" w:styleId="Footer">
    <w:name w:val="footer"/>
    <w:basedOn w:val="Normal"/>
    <w:link w:val="FooterChar"/>
    <w:uiPriority w:val="99"/>
    <w:unhideWhenUsed/>
    <w:rsid w:val="002158E2"/>
    <w:pPr>
      <w:tabs>
        <w:tab w:val="center" w:pos="4419"/>
        <w:tab w:val="right" w:pos="8838"/>
      </w:tabs>
      <w:spacing w:after="0" w:line="240" w:lineRule="auto"/>
    </w:pPr>
  </w:style>
  <w:style w:type="character" w:customStyle="1" w:styleId="FooterChar">
    <w:name w:val="Footer Char"/>
    <w:basedOn w:val="DefaultParagraphFont"/>
    <w:link w:val="Footer"/>
    <w:uiPriority w:val="99"/>
    <w:rsid w:val="00215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285224">
      <w:bodyDiv w:val="1"/>
      <w:marLeft w:val="0"/>
      <w:marRight w:val="0"/>
      <w:marTop w:val="0"/>
      <w:marBottom w:val="0"/>
      <w:divBdr>
        <w:top w:val="none" w:sz="0" w:space="0" w:color="auto"/>
        <w:left w:val="none" w:sz="0" w:space="0" w:color="auto"/>
        <w:bottom w:val="none" w:sz="0" w:space="0" w:color="auto"/>
        <w:right w:val="none" w:sz="0" w:space="0" w:color="auto"/>
      </w:divBdr>
    </w:div>
    <w:div w:id="873733095">
      <w:bodyDiv w:val="1"/>
      <w:marLeft w:val="0"/>
      <w:marRight w:val="0"/>
      <w:marTop w:val="0"/>
      <w:marBottom w:val="0"/>
      <w:divBdr>
        <w:top w:val="none" w:sz="0" w:space="0" w:color="auto"/>
        <w:left w:val="none" w:sz="0" w:space="0" w:color="auto"/>
        <w:bottom w:val="none" w:sz="0" w:space="0" w:color="auto"/>
        <w:right w:val="none" w:sz="0" w:space="0" w:color="auto"/>
      </w:divBdr>
    </w:div>
    <w:div w:id="1004895606">
      <w:bodyDiv w:val="1"/>
      <w:marLeft w:val="0"/>
      <w:marRight w:val="0"/>
      <w:marTop w:val="0"/>
      <w:marBottom w:val="0"/>
      <w:divBdr>
        <w:top w:val="none" w:sz="0" w:space="0" w:color="auto"/>
        <w:left w:val="none" w:sz="0" w:space="0" w:color="auto"/>
        <w:bottom w:val="none" w:sz="0" w:space="0" w:color="auto"/>
        <w:right w:val="none" w:sz="0" w:space="0" w:color="auto"/>
      </w:divBdr>
      <w:divsChild>
        <w:div w:id="2082094062">
          <w:marLeft w:val="547"/>
          <w:marRight w:val="0"/>
          <w:marTop w:val="0"/>
          <w:marBottom w:val="0"/>
          <w:divBdr>
            <w:top w:val="none" w:sz="0" w:space="0" w:color="auto"/>
            <w:left w:val="none" w:sz="0" w:space="0" w:color="auto"/>
            <w:bottom w:val="none" w:sz="0" w:space="0" w:color="auto"/>
            <w:right w:val="none" w:sz="0" w:space="0" w:color="auto"/>
          </w:divBdr>
        </w:div>
        <w:div w:id="1162351164">
          <w:marLeft w:val="547"/>
          <w:marRight w:val="0"/>
          <w:marTop w:val="0"/>
          <w:marBottom w:val="0"/>
          <w:divBdr>
            <w:top w:val="none" w:sz="0" w:space="0" w:color="auto"/>
            <w:left w:val="none" w:sz="0" w:space="0" w:color="auto"/>
            <w:bottom w:val="none" w:sz="0" w:space="0" w:color="auto"/>
            <w:right w:val="none" w:sz="0" w:space="0" w:color="auto"/>
          </w:divBdr>
        </w:div>
        <w:div w:id="1056852635">
          <w:marLeft w:val="547"/>
          <w:marRight w:val="0"/>
          <w:marTop w:val="0"/>
          <w:marBottom w:val="0"/>
          <w:divBdr>
            <w:top w:val="none" w:sz="0" w:space="0" w:color="auto"/>
            <w:left w:val="none" w:sz="0" w:space="0" w:color="auto"/>
            <w:bottom w:val="none" w:sz="0" w:space="0" w:color="auto"/>
            <w:right w:val="none" w:sz="0" w:space="0" w:color="auto"/>
          </w:divBdr>
        </w:div>
      </w:divsChild>
    </w:div>
    <w:div w:id="1428429357">
      <w:bodyDiv w:val="1"/>
      <w:marLeft w:val="0"/>
      <w:marRight w:val="0"/>
      <w:marTop w:val="0"/>
      <w:marBottom w:val="0"/>
      <w:divBdr>
        <w:top w:val="none" w:sz="0" w:space="0" w:color="auto"/>
        <w:left w:val="none" w:sz="0" w:space="0" w:color="auto"/>
        <w:bottom w:val="none" w:sz="0" w:space="0" w:color="auto"/>
        <w:right w:val="none" w:sz="0" w:space="0" w:color="auto"/>
      </w:divBdr>
      <w:divsChild>
        <w:div w:id="450130634">
          <w:marLeft w:val="547"/>
          <w:marRight w:val="0"/>
          <w:marTop w:val="0"/>
          <w:marBottom w:val="0"/>
          <w:divBdr>
            <w:top w:val="none" w:sz="0" w:space="0" w:color="auto"/>
            <w:left w:val="none" w:sz="0" w:space="0" w:color="auto"/>
            <w:bottom w:val="none" w:sz="0" w:space="0" w:color="auto"/>
            <w:right w:val="none" w:sz="0" w:space="0" w:color="auto"/>
          </w:divBdr>
        </w:div>
        <w:div w:id="386073514">
          <w:marLeft w:val="547"/>
          <w:marRight w:val="0"/>
          <w:marTop w:val="0"/>
          <w:marBottom w:val="0"/>
          <w:divBdr>
            <w:top w:val="none" w:sz="0" w:space="0" w:color="auto"/>
            <w:left w:val="none" w:sz="0" w:space="0" w:color="auto"/>
            <w:bottom w:val="none" w:sz="0" w:space="0" w:color="auto"/>
            <w:right w:val="none" w:sz="0" w:space="0" w:color="auto"/>
          </w:divBdr>
        </w:div>
        <w:div w:id="1328636910">
          <w:marLeft w:val="547"/>
          <w:marRight w:val="0"/>
          <w:marTop w:val="0"/>
          <w:marBottom w:val="0"/>
          <w:divBdr>
            <w:top w:val="none" w:sz="0" w:space="0" w:color="auto"/>
            <w:left w:val="none" w:sz="0" w:space="0" w:color="auto"/>
            <w:bottom w:val="none" w:sz="0" w:space="0" w:color="auto"/>
            <w:right w:val="none" w:sz="0" w:space="0" w:color="auto"/>
          </w:divBdr>
        </w:div>
      </w:divsChild>
    </w:div>
    <w:div w:id="154733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e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E586E3-3338-471B-8F66-1DBAA4F4D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SV"/>
        </a:p>
      </dgm:t>
    </dgm:pt>
    <dgm:pt modelId="{B0B67212-65EF-4653-ACD3-71415129A54B}">
      <dgm:prSet phldrT="[Texto]"/>
      <dgm:spPr/>
      <dgm:t>
        <a:bodyPr/>
        <a:lstStyle/>
        <a:p>
          <a:r>
            <a:rPr lang="es-SV" dirty="0" smtClean="0"/>
            <a:t>El 78.2% con ingresos menores a 2 SM</a:t>
          </a:r>
          <a:endParaRPr lang="es-SV" dirty="0"/>
        </a:p>
      </dgm:t>
    </dgm:pt>
    <dgm:pt modelId="{405F0814-0D37-429C-966C-E866B5157646}" type="parTrans" cxnId="{BB194B7D-5C6A-41F8-8DAF-A900FD962A3B}">
      <dgm:prSet/>
      <dgm:spPr/>
      <dgm:t>
        <a:bodyPr/>
        <a:lstStyle/>
        <a:p>
          <a:endParaRPr lang="es-SV"/>
        </a:p>
      </dgm:t>
    </dgm:pt>
    <dgm:pt modelId="{E8E7A9C3-81A0-48DA-AE24-49EF1AB07E6A}" type="sibTrans" cxnId="{BB194B7D-5C6A-41F8-8DAF-A900FD962A3B}">
      <dgm:prSet/>
      <dgm:spPr/>
      <dgm:t>
        <a:bodyPr/>
        <a:lstStyle/>
        <a:p>
          <a:endParaRPr lang="es-SV"/>
        </a:p>
      </dgm:t>
    </dgm:pt>
    <dgm:pt modelId="{BD915D09-E43F-42E5-98CC-E210D565BD67}">
      <dgm:prSet phldrT="[Texto]"/>
      <dgm:spPr/>
      <dgm:t>
        <a:bodyPr/>
        <a:lstStyle/>
        <a:p>
          <a:r>
            <a:rPr lang="es-SV" dirty="0" smtClean="0"/>
            <a:t>Documento SUM </a:t>
          </a:r>
          <a:r>
            <a:rPr lang="es-SV" dirty="0" err="1" smtClean="0"/>
            <a:t>Consult</a:t>
          </a:r>
          <a:r>
            <a:rPr lang="es-SV" dirty="0" smtClean="0"/>
            <a:t> con datos VMVDU 2004</a:t>
          </a:r>
          <a:endParaRPr lang="es-SV" dirty="0"/>
        </a:p>
      </dgm:t>
    </dgm:pt>
    <dgm:pt modelId="{B0A48CDB-9CE6-45ED-8368-B05A46AAE4CC}" type="parTrans" cxnId="{29FD10F1-BCA8-4A45-8B57-13FE7FB404D6}">
      <dgm:prSet/>
      <dgm:spPr/>
      <dgm:t>
        <a:bodyPr/>
        <a:lstStyle/>
        <a:p>
          <a:endParaRPr lang="es-SV"/>
        </a:p>
      </dgm:t>
    </dgm:pt>
    <dgm:pt modelId="{57E1251D-6111-4C02-9FA9-ABD9BB791ED5}" type="sibTrans" cxnId="{29FD10F1-BCA8-4A45-8B57-13FE7FB404D6}">
      <dgm:prSet/>
      <dgm:spPr/>
      <dgm:t>
        <a:bodyPr/>
        <a:lstStyle/>
        <a:p>
          <a:endParaRPr lang="es-SV"/>
        </a:p>
      </dgm:t>
    </dgm:pt>
    <dgm:pt modelId="{766333BC-1569-4132-9E4B-664371E69EDC}">
      <dgm:prSet phldrT="[Texto]"/>
      <dgm:spPr/>
      <dgm:t>
        <a:bodyPr/>
        <a:lstStyle/>
        <a:p>
          <a:r>
            <a:rPr lang="es-SV" dirty="0" smtClean="0"/>
            <a:t>El 70.5% con ingresos inferiores a 1 SM</a:t>
          </a:r>
          <a:endParaRPr lang="es-SV" dirty="0"/>
        </a:p>
      </dgm:t>
    </dgm:pt>
    <dgm:pt modelId="{9481CECD-81AD-4340-BADE-8273BF5F4E07}" type="parTrans" cxnId="{EE4639FA-BEE1-4B1C-BA01-DDA8D6ED58F2}">
      <dgm:prSet/>
      <dgm:spPr/>
      <dgm:t>
        <a:bodyPr/>
        <a:lstStyle/>
        <a:p>
          <a:endParaRPr lang="es-SV"/>
        </a:p>
      </dgm:t>
    </dgm:pt>
    <dgm:pt modelId="{69A80CB4-FAE5-46BE-A8D1-FD96BFD5F634}" type="sibTrans" cxnId="{EE4639FA-BEE1-4B1C-BA01-DDA8D6ED58F2}">
      <dgm:prSet/>
      <dgm:spPr/>
      <dgm:t>
        <a:bodyPr/>
        <a:lstStyle/>
        <a:p>
          <a:endParaRPr lang="es-SV"/>
        </a:p>
      </dgm:t>
    </dgm:pt>
    <dgm:pt modelId="{5520C397-6229-46B1-ADA0-DF4571FBD864}">
      <dgm:prSet phldrT="[Texto]"/>
      <dgm:spPr/>
      <dgm:t>
        <a:bodyPr/>
        <a:lstStyle/>
        <a:p>
          <a:r>
            <a:rPr lang="es-SV" dirty="0" smtClean="0"/>
            <a:t>Datos del RUI, 2010</a:t>
          </a:r>
          <a:endParaRPr lang="es-SV" dirty="0"/>
        </a:p>
      </dgm:t>
    </dgm:pt>
    <dgm:pt modelId="{F9DCCAC5-FC25-4187-8832-325AB9261139}" type="parTrans" cxnId="{69B2F9E7-E9E4-4210-90FE-7306682C5E0B}">
      <dgm:prSet/>
      <dgm:spPr/>
      <dgm:t>
        <a:bodyPr/>
        <a:lstStyle/>
        <a:p>
          <a:endParaRPr lang="es-SV"/>
        </a:p>
      </dgm:t>
    </dgm:pt>
    <dgm:pt modelId="{0BF699B9-156E-43CF-9F54-6E54E25CADFC}" type="sibTrans" cxnId="{69B2F9E7-E9E4-4210-90FE-7306682C5E0B}">
      <dgm:prSet/>
      <dgm:spPr/>
      <dgm:t>
        <a:bodyPr/>
        <a:lstStyle/>
        <a:p>
          <a:endParaRPr lang="es-SV"/>
        </a:p>
      </dgm:t>
    </dgm:pt>
    <dgm:pt modelId="{3B6ED799-7618-498D-92CF-25D9576C66D7}" type="pres">
      <dgm:prSet presAssocID="{8FE586E3-3338-471B-8F66-1DBAA4F4DFBB}" presName="linear" presStyleCnt="0">
        <dgm:presLayoutVars>
          <dgm:animLvl val="lvl"/>
          <dgm:resizeHandles val="exact"/>
        </dgm:presLayoutVars>
      </dgm:prSet>
      <dgm:spPr/>
      <dgm:t>
        <a:bodyPr/>
        <a:lstStyle/>
        <a:p>
          <a:endParaRPr lang="es-SV"/>
        </a:p>
      </dgm:t>
    </dgm:pt>
    <dgm:pt modelId="{72DBF951-E377-4EF8-B418-53F274542D0C}" type="pres">
      <dgm:prSet presAssocID="{B0B67212-65EF-4653-ACD3-71415129A54B}" presName="parentText" presStyleLbl="node1" presStyleIdx="0" presStyleCnt="2">
        <dgm:presLayoutVars>
          <dgm:chMax val="0"/>
          <dgm:bulletEnabled val="1"/>
        </dgm:presLayoutVars>
      </dgm:prSet>
      <dgm:spPr/>
      <dgm:t>
        <a:bodyPr/>
        <a:lstStyle/>
        <a:p>
          <a:endParaRPr lang="es-SV"/>
        </a:p>
      </dgm:t>
    </dgm:pt>
    <dgm:pt modelId="{6EB71D47-6C38-47C0-9928-F7A2B17305E6}" type="pres">
      <dgm:prSet presAssocID="{B0B67212-65EF-4653-ACD3-71415129A54B}" presName="childText" presStyleLbl="revTx" presStyleIdx="0" presStyleCnt="2">
        <dgm:presLayoutVars>
          <dgm:bulletEnabled val="1"/>
        </dgm:presLayoutVars>
      </dgm:prSet>
      <dgm:spPr/>
      <dgm:t>
        <a:bodyPr/>
        <a:lstStyle/>
        <a:p>
          <a:endParaRPr lang="es-SV"/>
        </a:p>
      </dgm:t>
    </dgm:pt>
    <dgm:pt modelId="{050093AF-3E34-49B7-A6C4-FD06B61C6D54}" type="pres">
      <dgm:prSet presAssocID="{766333BC-1569-4132-9E4B-664371E69EDC}" presName="parentText" presStyleLbl="node1" presStyleIdx="1" presStyleCnt="2">
        <dgm:presLayoutVars>
          <dgm:chMax val="0"/>
          <dgm:bulletEnabled val="1"/>
        </dgm:presLayoutVars>
      </dgm:prSet>
      <dgm:spPr/>
      <dgm:t>
        <a:bodyPr/>
        <a:lstStyle/>
        <a:p>
          <a:endParaRPr lang="es-SV"/>
        </a:p>
      </dgm:t>
    </dgm:pt>
    <dgm:pt modelId="{8D817B06-A9D9-40A2-A19B-333E7C9F50CB}" type="pres">
      <dgm:prSet presAssocID="{766333BC-1569-4132-9E4B-664371E69EDC}" presName="childText" presStyleLbl="revTx" presStyleIdx="1" presStyleCnt="2">
        <dgm:presLayoutVars>
          <dgm:bulletEnabled val="1"/>
        </dgm:presLayoutVars>
      </dgm:prSet>
      <dgm:spPr/>
      <dgm:t>
        <a:bodyPr/>
        <a:lstStyle/>
        <a:p>
          <a:endParaRPr lang="es-SV"/>
        </a:p>
      </dgm:t>
    </dgm:pt>
  </dgm:ptLst>
  <dgm:cxnLst>
    <dgm:cxn modelId="{E1EBE776-544D-4835-B25E-A279E8572345}" type="presOf" srcId="{BD915D09-E43F-42E5-98CC-E210D565BD67}" destId="{6EB71D47-6C38-47C0-9928-F7A2B17305E6}" srcOrd="0" destOrd="0" presId="urn:microsoft.com/office/officeart/2005/8/layout/vList2"/>
    <dgm:cxn modelId="{EE4639FA-BEE1-4B1C-BA01-DDA8D6ED58F2}" srcId="{8FE586E3-3338-471B-8F66-1DBAA4F4DFBB}" destId="{766333BC-1569-4132-9E4B-664371E69EDC}" srcOrd="1" destOrd="0" parTransId="{9481CECD-81AD-4340-BADE-8273BF5F4E07}" sibTransId="{69A80CB4-FAE5-46BE-A8D1-FD96BFD5F634}"/>
    <dgm:cxn modelId="{947EEC81-EA97-4B33-99F4-D0082E6E7407}" type="presOf" srcId="{8FE586E3-3338-471B-8F66-1DBAA4F4DFBB}" destId="{3B6ED799-7618-498D-92CF-25D9576C66D7}" srcOrd="0" destOrd="0" presId="urn:microsoft.com/office/officeart/2005/8/layout/vList2"/>
    <dgm:cxn modelId="{85EEA5CD-5A32-4E13-90B3-0A9FF30AC844}" type="presOf" srcId="{766333BC-1569-4132-9E4B-664371E69EDC}" destId="{050093AF-3E34-49B7-A6C4-FD06B61C6D54}" srcOrd="0" destOrd="0" presId="urn:microsoft.com/office/officeart/2005/8/layout/vList2"/>
    <dgm:cxn modelId="{C46A0FA3-0B2A-412D-9553-15629BF16CE3}" type="presOf" srcId="{5520C397-6229-46B1-ADA0-DF4571FBD864}" destId="{8D817B06-A9D9-40A2-A19B-333E7C9F50CB}" srcOrd="0" destOrd="0" presId="urn:microsoft.com/office/officeart/2005/8/layout/vList2"/>
    <dgm:cxn modelId="{9FD6164A-4A61-4F18-A8A1-E4E35531256D}" type="presOf" srcId="{B0B67212-65EF-4653-ACD3-71415129A54B}" destId="{72DBF951-E377-4EF8-B418-53F274542D0C}" srcOrd="0" destOrd="0" presId="urn:microsoft.com/office/officeart/2005/8/layout/vList2"/>
    <dgm:cxn modelId="{BB194B7D-5C6A-41F8-8DAF-A900FD962A3B}" srcId="{8FE586E3-3338-471B-8F66-1DBAA4F4DFBB}" destId="{B0B67212-65EF-4653-ACD3-71415129A54B}" srcOrd="0" destOrd="0" parTransId="{405F0814-0D37-429C-966C-E866B5157646}" sibTransId="{E8E7A9C3-81A0-48DA-AE24-49EF1AB07E6A}"/>
    <dgm:cxn modelId="{69B2F9E7-E9E4-4210-90FE-7306682C5E0B}" srcId="{766333BC-1569-4132-9E4B-664371E69EDC}" destId="{5520C397-6229-46B1-ADA0-DF4571FBD864}" srcOrd="0" destOrd="0" parTransId="{F9DCCAC5-FC25-4187-8832-325AB9261139}" sibTransId="{0BF699B9-156E-43CF-9F54-6E54E25CADFC}"/>
    <dgm:cxn modelId="{29FD10F1-BCA8-4A45-8B57-13FE7FB404D6}" srcId="{B0B67212-65EF-4653-ACD3-71415129A54B}" destId="{BD915D09-E43F-42E5-98CC-E210D565BD67}" srcOrd="0" destOrd="0" parTransId="{B0A48CDB-9CE6-45ED-8368-B05A46AAE4CC}" sibTransId="{57E1251D-6111-4C02-9FA9-ABD9BB791ED5}"/>
    <dgm:cxn modelId="{FEF0BD7B-51D5-43AF-875F-E15E01FCF5FA}" type="presParOf" srcId="{3B6ED799-7618-498D-92CF-25D9576C66D7}" destId="{72DBF951-E377-4EF8-B418-53F274542D0C}" srcOrd="0" destOrd="0" presId="urn:microsoft.com/office/officeart/2005/8/layout/vList2"/>
    <dgm:cxn modelId="{77AA2518-CAB5-4F05-BB9E-3F484E50CF3C}" type="presParOf" srcId="{3B6ED799-7618-498D-92CF-25D9576C66D7}" destId="{6EB71D47-6C38-47C0-9928-F7A2B17305E6}" srcOrd="1" destOrd="0" presId="urn:microsoft.com/office/officeart/2005/8/layout/vList2"/>
    <dgm:cxn modelId="{FF1F365F-870E-4F9C-948E-FB312F0D76A6}" type="presParOf" srcId="{3B6ED799-7618-498D-92CF-25D9576C66D7}" destId="{050093AF-3E34-49B7-A6C4-FD06B61C6D54}" srcOrd="2" destOrd="0" presId="urn:microsoft.com/office/officeart/2005/8/layout/vList2"/>
    <dgm:cxn modelId="{7E0D1004-94E2-4D0D-AD8F-6F9A107AFEEE}" type="presParOf" srcId="{3B6ED799-7618-498D-92CF-25D9576C66D7}" destId="{8D817B06-A9D9-40A2-A19B-333E7C9F50CB}" srcOrd="3"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FCAA09-7952-4A33-8BE2-079B72E56E6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SV"/>
        </a:p>
      </dgm:t>
    </dgm:pt>
    <dgm:pt modelId="{609C8A25-A996-4736-B84B-DB161A7E9CC9}">
      <dgm:prSet phldrT="[Texto]" custT="1"/>
      <dgm:spPr/>
      <dgm:t>
        <a:bodyPr/>
        <a:lstStyle/>
        <a:p>
          <a:r>
            <a:rPr lang="es-SV" sz="1000" dirty="0" smtClean="0"/>
            <a:t>VMVDU- DIGESYC</a:t>
          </a:r>
        </a:p>
      </dgm:t>
    </dgm:pt>
    <dgm:pt modelId="{2F1A9EBD-25A9-4A9E-893F-91997FD399D4}" type="parTrans" cxnId="{A11027C0-FDB9-4F19-80F1-A8353D7E3EBB}">
      <dgm:prSet/>
      <dgm:spPr/>
      <dgm:t>
        <a:bodyPr/>
        <a:lstStyle/>
        <a:p>
          <a:endParaRPr lang="es-SV" sz="1000"/>
        </a:p>
      </dgm:t>
    </dgm:pt>
    <dgm:pt modelId="{58A90660-B995-4A2D-9CE9-8C8D46FAF106}" type="sibTrans" cxnId="{A11027C0-FDB9-4F19-80F1-A8353D7E3EBB}">
      <dgm:prSet/>
      <dgm:spPr/>
      <dgm:t>
        <a:bodyPr/>
        <a:lstStyle/>
        <a:p>
          <a:endParaRPr lang="es-SV" sz="1000"/>
        </a:p>
      </dgm:t>
    </dgm:pt>
    <dgm:pt modelId="{D04B5258-DFCD-4281-8712-6F1DF23ED602}">
      <dgm:prSet phldrT="[Texto]" custT="1"/>
      <dgm:spPr/>
      <dgm:t>
        <a:bodyPr/>
        <a:lstStyle/>
        <a:p>
          <a:r>
            <a:rPr lang="es-SV" sz="1000" dirty="0" smtClean="0"/>
            <a:t>Cuantitativo: 	  44,383</a:t>
          </a:r>
          <a:endParaRPr lang="es-SV" sz="1000" dirty="0"/>
        </a:p>
      </dgm:t>
    </dgm:pt>
    <dgm:pt modelId="{3DE78A07-98E9-48C0-BC99-8F11E30A3CA3}" type="parTrans" cxnId="{3621D702-E490-4D0A-AEFB-C64F0578C9B2}">
      <dgm:prSet/>
      <dgm:spPr/>
      <dgm:t>
        <a:bodyPr/>
        <a:lstStyle/>
        <a:p>
          <a:endParaRPr lang="es-SV" sz="1000"/>
        </a:p>
      </dgm:t>
    </dgm:pt>
    <dgm:pt modelId="{2B82469E-4F84-4316-BE28-888AF6C40041}" type="sibTrans" cxnId="{3621D702-E490-4D0A-AEFB-C64F0578C9B2}">
      <dgm:prSet/>
      <dgm:spPr/>
      <dgm:t>
        <a:bodyPr/>
        <a:lstStyle/>
        <a:p>
          <a:endParaRPr lang="es-SV" sz="1000"/>
        </a:p>
      </dgm:t>
    </dgm:pt>
    <dgm:pt modelId="{86564D29-A705-4039-9F46-EC6D438F3C54}">
      <dgm:prSet phldrT="[Texto]" custT="1"/>
      <dgm:spPr/>
      <dgm:t>
        <a:bodyPr/>
        <a:lstStyle/>
        <a:p>
          <a:r>
            <a:rPr lang="es-SV" sz="1000" dirty="0" smtClean="0"/>
            <a:t>Cualitativo: 	315,918</a:t>
          </a:r>
          <a:endParaRPr lang="es-SV" sz="1000" dirty="0"/>
        </a:p>
      </dgm:t>
    </dgm:pt>
    <dgm:pt modelId="{830EEAAE-F4DF-4360-A42F-507EFC0AED4D}" type="parTrans" cxnId="{6AE054D1-DC9D-40D8-B84D-ECEE0F14260E}">
      <dgm:prSet/>
      <dgm:spPr/>
      <dgm:t>
        <a:bodyPr/>
        <a:lstStyle/>
        <a:p>
          <a:endParaRPr lang="es-SV" sz="1000"/>
        </a:p>
      </dgm:t>
    </dgm:pt>
    <dgm:pt modelId="{62E0A92E-4865-4EC4-93F3-4B746C7FE728}" type="sibTrans" cxnId="{6AE054D1-DC9D-40D8-B84D-ECEE0F14260E}">
      <dgm:prSet/>
      <dgm:spPr/>
      <dgm:t>
        <a:bodyPr/>
        <a:lstStyle/>
        <a:p>
          <a:endParaRPr lang="es-SV" sz="1000"/>
        </a:p>
      </dgm:t>
    </dgm:pt>
    <dgm:pt modelId="{2F0D3BD8-3561-44C8-ABFD-5AA0102FB79E}">
      <dgm:prSet phldrT="[Texto]" custT="1"/>
      <dgm:spPr/>
      <dgm:t>
        <a:bodyPr/>
        <a:lstStyle/>
        <a:p>
          <a:r>
            <a:rPr lang="es-SV" sz="1000" dirty="0" smtClean="0"/>
            <a:t>PNUD</a:t>
          </a:r>
        </a:p>
      </dgm:t>
    </dgm:pt>
    <dgm:pt modelId="{8136381E-4843-46C0-BC0B-94D18811D461}" type="parTrans" cxnId="{F24E59BC-DA9F-4F85-8860-4B759B13E92C}">
      <dgm:prSet/>
      <dgm:spPr/>
      <dgm:t>
        <a:bodyPr/>
        <a:lstStyle/>
        <a:p>
          <a:endParaRPr lang="es-SV" sz="1000"/>
        </a:p>
      </dgm:t>
    </dgm:pt>
    <dgm:pt modelId="{4E1F5954-A43D-4392-860D-26D2DFCDE3DE}" type="sibTrans" cxnId="{F24E59BC-DA9F-4F85-8860-4B759B13E92C}">
      <dgm:prSet/>
      <dgm:spPr/>
      <dgm:t>
        <a:bodyPr/>
        <a:lstStyle/>
        <a:p>
          <a:endParaRPr lang="es-SV" sz="1000"/>
        </a:p>
      </dgm:t>
    </dgm:pt>
    <dgm:pt modelId="{D9418DC2-FA16-4B94-B0A3-B13D1DB846A1}">
      <dgm:prSet phldrT="[Texto]" custT="1"/>
      <dgm:spPr/>
      <dgm:t>
        <a:bodyPr/>
        <a:lstStyle/>
        <a:p>
          <a:r>
            <a:rPr lang="es-SV" sz="1000" dirty="0" smtClean="0"/>
            <a:t>Cuantitativo: 	  27,356</a:t>
          </a:r>
          <a:endParaRPr lang="es-SV" sz="1000" dirty="0"/>
        </a:p>
      </dgm:t>
    </dgm:pt>
    <dgm:pt modelId="{264C166F-53D6-4CA0-BF7A-A14577BB0345}" type="parTrans" cxnId="{521A8A92-A9AF-4827-B40C-DA195B07C7E2}">
      <dgm:prSet/>
      <dgm:spPr/>
      <dgm:t>
        <a:bodyPr/>
        <a:lstStyle/>
        <a:p>
          <a:endParaRPr lang="es-SV" sz="1000"/>
        </a:p>
      </dgm:t>
    </dgm:pt>
    <dgm:pt modelId="{FC0F8FD7-83E9-4D2C-B345-79AD2149C517}" type="sibTrans" cxnId="{521A8A92-A9AF-4827-B40C-DA195B07C7E2}">
      <dgm:prSet/>
      <dgm:spPr/>
      <dgm:t>
        <a:bodyPr/>
        <a:lstStyle/>
        <a:p>
          <a:endParaRPr lang="es-SV" sz="1000"/>
        </a:p>
      </dgm:t>
    </dgm:pt>
    <dgm:pt modelId="{FC772D87-072F-4A25-A034-F3807D6C6400}">
      <dgm:prSet phldrT="[Texto]" custT="1"/>
      <dgm:spPr/>
      <dgm:t>
        <a:bodyPr/>
        <a:lstStyle/>
        <a:p>
          <a:r>
            <a:rPr lang="es-SV" sz="1000" dirty="0" err="1" smtClean="0"/>
            <a:t>Onu</a:t>
          </a:r>
          <a:r>
            <a:rPr lang="es-SV" sz="1000" dirty="0" smtClean="0"/>
            <a:t>- hábitat</a:t>
          </a:r>
        </a:p>
      </dgm:t>
    </dgm:pt>
    <dgm:pt modelId="{A7C247D9-AE53-42FC-856F-CCA49E9F659B}" type="parTrans" cxnId="{14DCA7A9-5119-42A3-A788-6D749AB53F74}">
      <dgm:prSet/>
      <dgm:spPr/>
      <dgm:t>
        <a:bodyPr/>
        <a:lstStyle/>
        <a:p>
          <a:endParaRPr lang="es-SV" sz="1000"/>
        </a:p>
      </dgm:t>
    </dgm:pt>
    <dgm:pt modelId="{24F2B72C-DF8D-407E-98C2-64AB6B662072}" type="sibTrans" cxnId="{14DCA7A9-5119-42A3-A788-6D749AB53F74}">
      <dgm:prSet/>
      <dgm:spPr/>
      <dgm:t>
        <a:bodyPr/>
        <a:lstStyle/>
        <a:p>
          <a:endParaRPr lang="es-SV" sz="1000"/>
        </a:p>
      </dgm:t>
    </dgm:pt>
    <dgm:pt modelId="{A00760B9-A177-4ED7-B874-58319DD15FB1}">
      <dgm:prSet phldrT="[Texto]" custT="1"/>
      <dgm:spPr/>
      <dgm:t>
        <a:bodyPr/>
        <a:lstStyle/>
        <a:p>
          <a:r>
            <a:rPr lang="es-SV" sz="1000" dirty="0" smtClean="0"/>
            <a:t>Total: 	360,301</a:t>
          </a:r>
          <a:endParaRPr lang="es-SV" sz="1000" dirty="0"/>
        </a:p>
      </dgm:t>
    </dgm:pt>
    <dgm:pt modelId="{F4B721EA-D548-4920-B03C-75D08DA17546}" type="parTrans" cxnId="{B39D19B4-706E-4A55-A493-3218D4F0E264}">
      <dgm:prSet/>
      <dgm:spPr/>
      <dgm:t>
        <a:bodyPr/>
        <a:lstStyle/>
        <a:p>
          <a:endParaRPr lang="es-SV" sz="1000"/>
        </a:p>
      </dgm:t>
    </dgm:pt>
    <dgm:pt modelId="{6595924D-6912-4437-A90B-B71A70ACC6DC}" type="sibTrans" cxnId="{B39D19B4-706E-4A55-A493-3218D4F0E264}">
      <dgm:prSet/>
      <dgm:spPr/>
      <dgm:t>
        <a:bodyPr/>
        <a:lstStyle/>
        <a:p>
          <a:endParaRPr lang="es-SV" sz="1000"/>
        </a:p>
      </dgm:t>
    </dgm:pt>
    <dgm:pt modelId="{813503A5-948E-4EA6-B406-B047117AC46B}">
      <dgm:prSet custT="1"/>
      <dgm:spPr/>
      <dgm:t>
        <a:bodyPr/>
        <a:lstStyle/>
        <a:p>
          <a:r>
            <a:rPr lang="es-SV" sz="1000" dirty="0" smtClean="0"/>
            <a:t>Cualitativo: 	433,836</a:t>
          </a:r>
          <a:endParaRPr lang="es-SV" sz="1000" dirty="0"/>
        </a:p>
      </dgm:t>
    </dgm:pt>
    <dgm:pt modelId="{7542CEE5-0A00-4B52-BD55-FDD75E9B9BF9}" type="parTrans" cxnId="{83399127-C6C4-4E47-ADF9-C6326949F24B}">
      <dgm:prSet/>
      <dgm:spPr/>
      <dgm:t>
        <a:bodyPr/>
        <a:lstStyle/>
        <a:p>
          <a:endParaRPr lang="es-SV" sz="1000"/>
        </a:p>
      </dgm:t>
    </dgm:pt>
    <dgm:pt modelId="{255B7981-2AEE-435C-AF6D-BDC7CFDC88B2}" type="sibTrans" cxnId="{83399127-C6C4-4E47-ADF9-C6326949F24B}">
      <dgm:prSet/>
      <dgm:spPr/>
      <dgm:t>
        <a:bodyPr/>
        <a:lstStyle/>
        <a:p>
          <a:endParaRPr lang="es-SV" sz="1000"/>
        </a:p>
      </dgm:t>
    </dgm:pt>
    <dgm:pt modelId="{F0214D70-83EC-4A04-9F9F-4D481C4F6447}">
      <dgm:prSet custT="1"/>
      <dgm:spPr/>
      <dgm:t>
        <a:bodyPr/>
        <a:lstStyle/>
        <a:p>
          <a:r>
            <a:rPr lang="es-SV" sz="1000" dirty="0" smtClean="0"/>
            <a:t>Total: 	461,192</a:t>
          </a:r>
          <a:endParaRPr lang="es-SV" sz="1000" dirty="0"/>
        </a:p>
      </dgm:t>
    </dgm:pt>
    <dgm:pt modelId="{19C4BE29-0277-4802-90DD-3059F47995A3}" type="parTrans" cxnId="{9AC2CB1F-EB39-4126-9798-4B0C4F674C37}">
      <dgm:prSet/>
      <dgm:spPr/>
      <dgm:t>
        <a:bodyPr/>
        <a:lstStyle/>
        <a:p>
          <a:endParaRPr lang="es-SV" sz="1000"/>
        </a:p>
      </dgm:t>
    </dgm:pt>
    <dgm:pt modelId="{9C3B4451-E42E-4AA3-A2A3-96D2D4BD4C74}" type="sibTrans" cxnId="{9AC2CB1F-EB39-4126-9798-4B0C4F674C37}">
      <dgm:prSet/>
      <dgm:spPr/>
      <dgm:t>
        <a:bodyPr/>
        <a:lstStyle/>
        <a:p>
          <a:endParaRPr lang="es-SV" sz="1000"/>
        </a:p>
      </dgm:t>
    </dgm:pt>
    <dgm:pt modelId="{2D841D90-3686-4EBD-B949-EB4213AD34BF}">
      <dgm:prSet custT="1"/>
      <dgm:spPr/>
      <dgm:t>
        <a:bodyPr/>
        <a:lstStyle/>
        <a:p>
          <a:endParaRPr lang="es-SV" sz="1000" dirty="0"/>
        </a:p>
      </dgm:t>
    </dgm:pt>
    <dgm:pt modelId="{F38D806A-98FC-44B9-AB90-CB35AFA81180}" type="parTrans" cxnId="{336775E9-8BF0-44AA-9097-B5D83E4DC5C6}">
      <dgm:prSet/>
      <dgm:spPr/>
      <dgm:t>
        <a:bodyPr/>
        <a:lstStyle/>
        <a:p>
          <a:endParaRPr lang="es-SV" sz="1000"/>
        </a:p>
      </dgm:t>
    </dgm:pt>
    <dgm:pt modelId="{EEADF3E5-D6BF-4192-BAE1-CD59005D6F4F}" type="sibTrans" cxnId="{336775E9-8BF0-44AA-9097-B5D83E4DC5C6}">
      <dgm:prSet/>
      <dgm:spPr/>
      <dgm:t>
        <a:bodyPr/>
        <a:lstStyle/>
        <a:p>
          <a:endParaRPr lang="es-SV" sz="1000"/>
        </a:p>
      </dgm:t>
    </dgm:pt>
    <dgm:pt modelId="{C796AD43-8677-4541-8E42-F84700C5FC9E}">
      <dgm:prSet phldrT="[Texto]" custT="1"/>
      <dgm:spPr/>
      <dgm:t>
        <a:bodyPr/>
        <a:lstStyle/>
        <a:p>
          <a:r>
            <a:rPr lang="es-SV" sz="1000" dirty="0" smtClean="0"/>
            <a:t>Cuantitativo: 	  61,260</a:t>
          </a:r>
          <a:endParaRPr lang="es-SV" sz="1000" dirty="0"/>
        </a:p>
      </dgm:t>
    </dgm:pt>
    <dgm:pt modelId="{43A723D5-0D4D-4C66-BB41-1316754C9FBE}" type="parTrans" cxnId="{A4B0AEFE-4C0C-4C64-85D6-AE8141F3C9A4}">
      <dgm:prSet/>
      <dgm:spPr/>
      <dgm:t>
        <a:bodyPr/>
        <a:lstStyle/>
        <a:p>
          <a:endParaRPr lang="es-SV" sz="1000"/>
        </a:p>
      </dgm:t>
    </dgm:pt>
    <dgm:pt modelId="{4C53A41A-651B-40A5-833F-27FF7550762C}" type="sibTrans" cxnId="{A4B0AEFE-4C0C-4C64-85D6-AE8141F3C9A4}">
      <dgm:prSet/>
      <dgm:spPr/>
      <dgm:t>
        <a:bodyPr/>
        <a:lstStyle/>
        <a:p>
          <a:endParaRPr lang="es-SV" sz="1000"/>
        </a:p>
      </dgm:t>
    </dgm:pt>
    <dgm:pt modelId="{5E2D64C2-E43D-4A57-AD59-B06AC27BE735}">
      <dgm:prSet custT="1"/>
      <dgm:spPr/>
      <dgm:t>
        <a:bodyPr/>
        <a:lstStyle/>
        <a:p>
          <a:r>
            <a:rPr lang="es-SV" sz="1000" dirty="0" smtClean="0"/>
            <a:t>Cualitativo: 	416,648</a:t>
          </a:r>
          <a:endParaRPr lang="es-SV" sz="1000" dirty="0"/>
        </a:p>
      </dgm:t>
    </dgm:pt>
    <dgm:pt modelId="{D06C2C54-E9FB-4594-A9FE-177972275C6E}" type="parTrans" cxnId="{6EC6E2E1-B25D-48D2-B5DA-00DBFFEA4941}">
      <dgm:prSet/>
      <dgm:spPr/>
      <dgm:t>
        <a:bodyPr/>
        <a:lstStyle/>
        <a:p>
          <a:endParaRPr lang="es-SV" sz="1000"/>
        </a:p>
      </dgm:t>
    </dgm:pt>
    <dgm:pt modelId="{4D02417C-438A-4D2F-B6F6-72B2EDFDD03F}" type="sibTrans" cxnId="{6EC6E2E1-B25D-48D2-B5DA-00DBFFEA4941}">
      <dgm:prSet/>
      <dgm:spPr/>
      <dgm:t>
        <a:bodyPr/>
        <a:lstStyle/>
        <a:p>
          <a:endParaRPr lang="es-SV" sz="1000"/>
        </a:p>
      </dgm:t>
    </dgm:pt>
    <dgm:pt modelId="{C925EB54-65E0-4F46-8E36-492284C20247}">
      <dgm:prSet custT="1"/>
      <dgm:spPr/>
      <dgm:t>
        <a:bodyPr/>
        <a:lstStyle/>
        <a:p>
          <a:r>
            <a:rPr lang="es-SV" sz="1000" dirty="0" smtClean="0"/>
            <a:t>Total: 	477,908</a:t>
          </a:r>
          <a:endParaRPr lang="es-SV" sz="1000" dirty="0"/>
        </a:p>
      </dgm:t>
    </dgm:pt>
    <dgm:pt modelId="{6628121B-15EA-430E-9919-6C6FAFBD1D0A}" type="parTrans" cxnId="{4987A17A-107F-496B-82F9-06EC127A14E7}">
      <dgm:prSet/>
      <dgm:spPr/>
      <dgm:t>
        <a:bodyPr/>
        <a:lstStyle/>
        <a:p>
          <a:endParaRPr lang="es-SV" sz="1000"/>
        </a:p>
      </dgm:t>
    </dgm:pt>
    <dgm:pt modelId="{9CB16EE4-BC59-43A5-AEB4-4C861AC14DB9}" type="sibTrans" cxnId="{4987A17A-107F-496B-82F9-06EC127A14E7}">
      <dgm:prSet/>
      <dgm:spPr/>
      <dgm:t>
        <a:bodyPr/>
        <a:lstStyle/>
        <a:p>
          <a:endParaRPr lang="es-SV" sz="1000"/>
        </a:p>
      </dgm:t>
    </dgm:pt>
    <dgm:pt modelId="{A8B6E51D-94EA-4935-9596-11C0A4E9A73D}" type="pres">
      <dgm:prSet presAssocID="{C2FCAA09-7952-4A33-8BE2-079B72E56E66}" presName="linearFlow" presStyleCnt="0">
        <dgm:presLayoutVars>
          <dgm:dir/>
          <dgm:animLvl val="lvl"/>
          <dgm:resizeHandles val="exact"/>
        </dgm:presLayoutVars>
      </dgm:prSet>
      <dgm:spPr/>
      <dgm:t>
        <a:bodyPr/>
        <a:lstStyle/>
        <a:p>
          <a:endParaRPr lang="es-SV"/>
        </a:p>
      </dgm:t>
    </dgm:pt>
    <dgm:pt modelId="{30FBBB9F-8F40-4692-B8E4-9FEE278A5F72}" type="pres">
      <dgm:prSet presAssocID="{609C8A25-A996-4736-B84B-DB161A7E9CC9}" presName="composite" presStyleCnt="0"/>
      <dgm:spPr/>
    </dgm:pt>
    <dgm:pt modelId="{3B04A2D2-EE05-48C2-8B3C-D15DCAFF9700}" type="pres">
      <dgm:prSet presAssocID="{609C8A25-A996-4736-B84B-DB161A7E9CC9}" presName="parentText" presStyleLbl="alignNode1" presStyleIdx="0" presStyleCnt="3">
        <dgm:presLayoutVars>
          <dgm:chMax val="1"/>
          <dgm:bulletEnabled val="1"/>
        </dgm:presLayoutVars>
      </dgm:prSet>
      <dgm:spPr/>
      <dgm:t>
        <a:bodyPr/>
        <a:lstStyle/>
        <a:p>
          <a:endParaRPr lang="es-SV"/>
        </a:p>
      </dgm:t>
    </dgm:pt>
    <dgm:pt modelId="{6F051295-BE00-4DF2-9E8F-22C6EC71D0DD}" type="pres">
      <dgm:prSet presAssocID="{609C8A25-A996-4736-B84B-DB161A7E9CC9}" presName="descendantText" presStyleLbl="alignAcc1" presStyleIdx="0" presStyleCnt="3">
        <dgm:presLayoutVars>
          <dgm:bulletEnabled val="1"/>
        </dgm:presLayoutVars>
      </dgm:prSet>
      <dgm:spPr/>
      <dgm:t>
        <a:bodyPr/>
        <a:lstStyle/>
        <a:p>
          <a:endParaRPr lang="es-SV"/>
        </a:p>
      </dgm:t>
    </dgm:pt>
    <dgm:pt modelId="{B649F74B-45C3-4592-A655-12BA9B890CC8}" type="pres">
      <dgm:prSet presAssocID="{58A90660-B995-4A2D-9CE9-8C8D46FAF106}" presName="sp" presStyleCnt="0"/>
      <dgm:spPr/>
    </dgm:pt>
    <dgm:pt modelId="{D1A4F456-EC5A-4FA9-AF6C-11C8A51683FF}" type="pres">
      <dgm:prSet presAssocID="{2F0D3BD8-3561-44C8-ABFD-5AA0102FB79E}" presName="composite" presStyleCnt="0"/>
      <dgm:spPr/>
    </dgm:pt>
    <dgm:pt modelId="{506449F3-9F1F-440F-B525-FD697DDE51B3}" type="pres">
      <dgm:prSet presAssocID="{2F0D3BD8-3561-44C8-ABFD-5AA0102FB79E}" presName="parentText" presStyleLbl="alignNode1" presStyleIdx="1" presStyleCnt="3">
        <dgm:presLayoutVars>
          <dgm:chMax val="1"/>
          <dgm:bulletEnabled val="1"/>
        </dgm:presLayoutVars>
      </dgm:prSet>
      <dgm:spPr/>
      <dgm:t>
        <a:bodyPr/>
        <a:lstStyle/>
        <a:p>
          <a:endParaRPr lang="es-SV"/>
        </a:p>
      </dgm:t>
    </dgm:pt>
    <dgm:pt modelId="{FAF5648A-612A-4584-926A-865E8E60B99B}" type="pres">
      <dgm:prSet presAssocID="{2F0D3BD8-3561-44C8-ABFD-5AA0102FB79E}" presName="descendantText" presStyleLbl="alignAcc1" presStyleIdx="1" presStyleCnt="3">
        <dgm:presLayoutVars>
          <dgm:bulletEnabled val="1"/>
        </dgm:presLayoutVars>
      </dgm:prSet>
      <dgm:spPr/>
      <dgm:t>
        <a:bodyPr/>
        <a:lstStyle/>
        <a:p>
          <a:endParaRPr lang="es-SV"/>
        </a:p>
      </dgm:t>
    </dgm:pt>
    <dgm:pt modelId="{6BAE9FA7-B1A0-4849-AC19-062C78544DAC}" type="pres">
      <dgm:prSet presAssocID="{4E1F5954-A43D-4392-860D-26D2DFCDE3DE}" presName="sp" presStyleCnt="0"/>
      <dgm:spPr/>
    </dgm:pt>
    <dgm:pt modelId="{087634D1-5EC7-4EE1-BCBC-56CA4C749DA7}" type="pres">
      <dgm:prSet presAssocID="{FC772D87-072F-4A25-A034-F3807D6C6400}" presName="composite" presStyleCnt="0"/>
      <dgm:spPr/>
    </dgm:pt>
    <dgm:pt modelId="{D6D6CF27-A2D3-4C68-9480-2F5774DCFD09}" type="pres">
      <dgm:prSet presAssocID="{FC772D87-072F-4A25-A034-F3807D6C6400}" presName="parentText" presStyleLbl="alignNode1" presStyleIdx="2" presStyleCnt="3">
        <dgm:presLayoutVars>
          <dgm:chMax val="1"/>
          <dgm:bulletEnabled val="1"/>
        </dgm:presLayoutVars>
      </dgm:prSet>
      <dgm:spPr/>
      <dgm:t>
        <a:bodyPr/>
        <a:lstStyle/>
        <a:p>
          <a:endParaRPr lang="es-SV"/>
        </a:p>
      </dgm:t>
    </dgm:pt>
    <dgm:pt modelId="{DD99ECF3-18FF-493A-8E5F-3F3E7B33EAF2}" type="pres">
      <dgm:prSet presAssocID="{FC772D87-072F-4A25-A034-F3807D6C6400}" presName="descendantText" presStyleLbl="alignAcc1" presStyleIdx="2" presStyleCnt="3">
        <dgm:presLayoutVars>
          <dgm:bulletEnabled val="1"/>
        </dgm:presLayoutVars>
      </dgm:prSet>
      <dgm:spPr/>
      <dgm:t>
        <a:bodyPr/>
        <a:lstStyle/>
        <a:p>
          <a:endParaRPr lang="es-SV"/>
        </a:p>
      </dgm:t>
    </dgm:pt>
  </dgm:ptLst>
  <dgm:cxnLst>
    <dgm:cxn modelId="{B39D19B4-706E-4A55-A493-3218D4F0E264}" srcId="{609C8A25-A996-4736-B84B-DB161A7E9CC9}" destId="{A00760B9-A177-4ED7-B874-58319DD15FB1}" srcOrd="2" destOrd="0" parTransId="{F4B721EA-D548-4920-B03C-75D08DA17546}" sibTransId="{6595924D-6912-4437-A90B-B71A70ACC6DC}"/>
    <dgm:cxn modelId="{09FD08CF-3D91-4EC5-9796-71DB312767CE}" type="presOf" srcId="{C2FCAA09-7952-4A33-8BE2-079B72E56E66}" destId="{A8B6E51D-94EA-4935-9596-11C0A4E9A73D}" srcOrd="0" destOrd="0" presId="urn:microsoft.com/office/officeart/2005/8/layout/chevron2"/>
    <dgm:cxn modelId="{3044F36E-D77D-4327-B4FB-D7838BC042FB}" type="presOf" srcId="{C796AD43-8677-4541-8E42-F84700C5FC9E}" destId="{DD99ECF3-18FF-493A-8E5F-3F3E7B33EAF2}" srcOrd="0" destOrd="0" presId="urn:microsoft.com/office/officeart/2005/8/layout/chevron2"/>
    <dgm:cxn modelId="{14DCA7A9-5119-42A3-A788-6D749AB53F74}" srcId="{C2FCAA09-7952-4A33-8BE2-079B72E56E66}" destId="{FC772D87-072F-4A25-A034-F3807D6C6400}" srcOrd="2" destOrd="0" parTransId="{A7C247D9-AE53-42FC-856F-CCA49E9F659B}" sibTransId="{24F2B72C-DF8D-407E-98C2-64AB6B662072}"/>
    <dgm:cxn modelId="{E7A0228B-050D-44C8-A40F-355C6980633F}" type="presOf" srcId="{2F0D3BD8-3561-44C8-ABFD-5AA0102FB79E}" destId="{506449F3-9F1F-440F-B525-FD697DDE51B3}" srcOrd="0" destOrd="0" presId="urn:microsoft.com/office/officeart/2005/8/layout/chevron2"/>
    <dgm:cxn modelId="{E0853255-2DD3-48CF-A2B0-CF425A25EE1C}" type="presOf" srcId="{D04B5258-DFCD-4281-8712-6F1DF23ED602}" destId="{6F051295-BE00-4DF2-9E8F-22C6EC71D0DD}" srcOrd="0" destOrd="0" presId="urn:microsoft.com/office/officeart/2005/8/layout/chevron2"/>
    <dgm:cxn modelId="{9C112DB9-3045-41C4-BB66-74EEC7388080}" type="presOf" srcId="{FC772D87-072F-4A25-A034-F3807D6C6400}" destId="{D6D6CF27-A2D3-4C68-9480-2F5774DCFD09}" srcOrd="0" destOrd="0" presId="urn:microsoft.com/office/officeart/2005/8/layout/chevron2"/>
    <dgm:cxn modelId="{4987A17A-107F-496B-82F9-06EC127A14E7}" srcId="{FC772D87-072F-4A25-A034-F3807D6C6400}" destId="{C925EB54-65E0-4F46-8E36-492284C20247}" srcOrd="2" destOrd="0" parTransId="{6628121B-15EA-430E-9919-6C6FAFBD1D0A}" sibTransId="{9CB16EE4-BC59-43A5-AEB4-4C861AC14DB9}"/>
    <dgm:cxn modelId="{A4B0AEFE-4C0C-4C64-85D6-AE8141F3C9A4}" srcId="{FC772D87-072F-4A25-A034-F3807D6C6400}" destId="{C796AD43-8677-4541-8E42-F84700C5FC9E}" srcOrd="0" destOrd="0" parTransId="{43A723D5-0D4D-4C66-BB41-1316754C9FBE}" sibTransId="{4C53A41A-651B-40A5-833F-27FF7550762C}"/>
    <dgm:cxn modelId="{D3A69477-CC92-48B1-B81A-B1405823A525}" type="presOf" srcId="{5E2D64C2-E43D-4A57-AD59-B06AC27BE735}" destId="{DD99ECF3-18FF-493A-8E5F-3F3E7B33EAF2}" srcOrd="0" destOrd="1" presId="urn:microsoft.com/office/officeart/2005/8/layout/chevron2"/>
    <dgm:cxn modelId="{DE2B5712-AFFC-4A3E-A170-BBB727311620}" type="presOf" srcId="{A00760B9-A177-4ED7-B874-58319DD15FB1}" destId="{6F051295-BE00-4DF2-9E8F-22C6EC71D0DD}" srcOrd="0" destOrd="2" presId="urn:microsoft.com/office/officeart/2005/8/layout/chevron2"/>
    <dgm:cxn modelId="{521A8A92-A9AF-4827-B40C-DA195B07C7E2}" srcId="{2F0D3BD8-3561-44C8-ABFD-5AA0102FB79E}" destId="{D9418DC2-FA16-4B94-B0A3-B13D1DB846A1}" srcOrd="0" destOrd="0" parTransId="{264C166F-53D6-4CA0-BF7A-A14577BB0345}" sibTransId="{FC0F8FD7-83E9-4D2C-B345-79AD2149C517}"/>
    <dgm:cxn modelId="{F24E59BC-DA9F-4F85-8860-4B759B13E92C}" srcId="{C2FCAA09-7952-4A33-8BE2-079B72E56E66}" destId="{2F0D3BD8-3561-44C8-ABFD-5AA0102FB79E}" srcOrd="1" destOrd="0" parTransId="{8136381E-4843-46C0-BC0B-94D18811D461}" sibTransId="{4E1F5954-A43D-4392-860D-26D2DFCDE3DE}"/>
    <dgm:cxn modelId="{0410A78B-DC8C-4154-905E-C28D9898E6BF}" type="presOf" srcId="{2D841D90-3686-4EBD-B949-EB4213AD34BF}" destId="{DD99ECF3-18FF-493A-8E5F-3F3E7B33EAF2}" srcOrd="0" destOrd="3" presId="urn:microsoft.com/office/officeart/2005/8/layout/chevron2"/>
    <dgm:cxn modelId="{A11027C0-FDB9-4F19-80F1-A8353D7E3EBB}" srcId="{C2FCAA09-7952-4A33-8BE2-079B72E56E66}" destId="{609C8A25-A996-4736-B84B-DB161A7E9CC9}" srcOrd="0" destOrd="0" parTransId="{2F1A9EBD-25A9-4A9E-893F-91997FD399D4}" sibTransId="{58A90660-B995-4A2D-9CE9-8C8D46FAF106}"/>
    <dgm:cxn modelId="{9AC2CB1F-EB39-4126-9798-4B0C4F674C37}" srcId="{2F0D3BD8-3561-44C8-ABFD-5AA0102FB79E}" destId="{F0214D70-83EC-4A04-9F9F-4D481C4F6447}" srcOrd="2" destOrd="0" parTransId="{19C4BE29-0277-4802-90DD-3059F47995A3}" sibTransId="{9C3B4451-E42E-4AA3-A2A3-96D2D4BD4C74}"/>
    <dgm:cxn modelId="{6EC6E2E1-B25D-48D2-B5DA-00DBFFEA4941}" srcId="{FC772D87-072F-4A25-A034-F3807D6C6400}" destId="{5E2D64C2-E43D-4A57-AD59-B06AC27BE735}" srcOrd="1" destOrd="0" parTransId="{D06C2C54-E9FB-4594-A9FE-177972275C6E}" sibTransId="{4D02417C-438A-4D2F-B6F6-72B2EDFDD03F}"/>
    <dgm:cxn modelId="{E237FE5C-92CA-4700-B54C-E3EECE95D484}" type="presOf" srcId="{D9418DC2-FA16-4B94-B0A3-B13D1DB846A1}" destId="{FAF5648A-612A-4584-926A-865E8E60B99B}" srcOrd="0" destOrd="0" presId="urn:microsoft.com/office/officeart/2005/8/layout/chevron2"/>
    <dgm:cxn modelId="{C6A2764C-F70E-4FD8-98C5-415ED74F051F}" type="presOf" srcId="{C925EB54-65E0-4F46-8E36-492284C20247}" destId="{DD99ECF3-18FF-493A-8E5F-3F3E7B33EAF2}" srcOrd="0" destOrd="2" presId="urn:microsoft.com/office/officeart/2005/8/layout/chevron2"/>
    <dgm:cxn modelId="{83399127-C6C4-4E47-ADF9-C6326949F24B}" srcId="{2F0D3BD8-3561-44C8-ABFD-5AA0102FB79E}" destId="{813503A5-948E-4EA6-B406-B047117AC46B}" srcOrd="1" destOrd="0" parTransId="{7542CEE5-0A00-4B52-BD55-FDD75E9B9BF9}" sibTransId="{255B7981-2AEE-435C-AF6D-BDC7CFDC88B2}"/>
    <dgm:cxn modelId="{6AE054D1-DC9D-40D8-B84D-ECEE0F14260E}" srcId="{609C8A25-A996-4736-B84B-DB161A7E9CC9}" destId="{86564D29-A705-4039-9F46-EC6D438F3C54}" srcOrd="1" destOrd="0" parTransId="{830EEAAE-F4DF-4360-A42F-507EFC0AED4D}" sibTransId="{62E0A92E-4865-4EC4-93F3-4B746C7FE728}"/>
    <dgm:cxn modelId="{3E936F64-38B0-4D9A-9464-4D358C6784D9}" type="presOf" srcId="{86564D29-A705-4039-9F46-EC6D438F3C54}" destId="{6F051295-BE00-4DF2-9E8F-22C6EC71D0DD}" srcOrd="0" destOrd="1" presId="urn:microsoft.com/office/officeart/2005/8/layout/chevron2"/>
    <dgm:cxn modelId="{336775E9-8BF0-44AA-9097-B5D83E4DC5C6}" srcId="{FC772D87-072F-4A25-A034-F3807D6C6400}" destId="{2D841D90-3686-4EBD-B949-EB4213AD34BF}" srcOrd="3" destOrd="0" parTransId="{F38D806A-98FC-44B9-AB90-CB35AFA81180}" sibTransId="{EEADF3E5-D6BF-4192-BAE1-CD59005D6F4F}"/>
    <dgm:cxn modelId="{9EF3B141-32C4-47AE-9454-24BE5376CEC5}" type="presOf" srcId="{609C8A25-A996-4736-B84B-DB161A7E9CC9}" destId="{3B04A2D2-EE05-48C2-8B3C-D15DCAFF9700}" srcOrd="0" destOrd="0" presId="urn:microsoft.com/office/officeart/2005/8/layout/chevron2"/>
    <dgm:cxn modelId="{07499D8B-7ECA-4646-BCE6-22A5F44D5B5C}" type="presOf" srcId="{F0214D70-83EC-4A04-9F9F-4D481C4F6447}" destId="{FAF5648A-612A-4584-926A-865E8E60B99B}" srcOrd="0" destOrd="2" presId="urn:microsoft.com/office/officeart/2005/8/layout/chevron2"/>
    <dgm:cxn modelId="{6C1AE2E6-BF7F-48D8-B408-E3107347A0F5}" type="presOf" srcId="{813503A5-948E-4EA6-B406-B047117AC46B}" destId="{FAF5648A-612A-4584-926A-865E8E60B99B}" srcOrd="0" destOrd="1" presId="urn:microsoft.com/office/officeart/2005/8/layout/chevron2"/>
    <dgm:cxn modelId="{3621D702-E490-4D0A-AEFB-C64F0578C9B2}" srcId="{609C8A25-A996-4736-B84B-DB161A7E9CC9}" destId="{D04B5258-DFCD-4281-8712-6F1DF23ED602}" srcOrd="0" destOrd="0" parTransId="{3DE78A07-98E9-48C0-BC99-8F11E30A3CA3}" sibTransId="{2B82469E-4F84-4316-BE28-888AF6C40041}"/>
    <dgm:cxn modelId="{99DBF7B2-287A-441D-A7D3-56BCE1A58240}" type="presParOf" srcId="{A8B6E51D-94EA-4935-9596-11C0A4E9A73D}" destId="{30FBBB9F-8F40-4692-B8E4-9FEE278A5F72}" srcOrd="0" destOrd="0" presId="urn:microsoft.com/office/officeart/2005/8/layout/chevron2"/>
    <dgm:cxn modelId="{4A3F5ACC-A35C-413A-8296-2EC134874C12}" type="presParOf" srcId="{30FBBB9F-8F40-4692-B8E4-9FEE278A5F72}" destId="{3B04A2D2-EE05-48C2-8B3C-D15DCAFF9700}" srcOrd="0" destOrd="0" presId="urn:microsoft.com/office/officeart/2005/8/layout/chevron2"/>
    <dgm:cxn modelId="{CD256C22-BD73-491C-BCD5-F9988F8ABE71}" type="presParOf" srcId="{30FBBB9F-8F40-4692-B8E4-9FEE278A5F72}" destId="{6F051295-BE00-4DF2-9E8F-22C6EC71D0DD}" srcOrd="1" destOrd="0" presId="urn:microsoft.com/office/officeart/2005/8/layout/chevron2"/>
    <dgm:cxn modelId="{627EA0CD-6244-4F64-8AA6-0094F1109CEA}" type="presParOf" srcId="{A8B6E51D-94EA-4935-9596-11C0A4E9A73D}" destId="{B649F74B-45C3-4592-A655-12BA9B890CC8}" srcOrd="1" destOrd="0" presId="urn:microsoft.com/office/officeart/2005/8/layout/chevron2"/>
    <dgm:cxn modelId="{5270F533-0014-4C69-BE20-87BBCB8D3A33}" type="presParOf" srcId="{A8B6E51D-94EA-4935-9596-11C0A4E9A73D}" destId="{D1A4F456-EC5A-4FA9-AF6C-11C8A51683FF}" srcOrd="2" destOrd="0" presId="urn:microsoft.com/office/officeart/2005/8/layout/chevron2"/>
    <dgm:cxn modelId="{9B7C2779-60D4-4DF7-812E-D664FE085EA3}" type="presParOf" srcId="{D1A4F456-EC5A-4FA9-AF6C-11C8A51683FF}" destId="{506449F3-9F1F-440F-B525-FD697DDE51B3}" srcOrd="0" destOrd="0" presId="urn:microsoft.com/office/officeart/2005/8/layout/chevron2"/>
    <dgm:cxn modelId="{462ECBDF-E3FF-4538-B116-BB48F5ECDDA7}" type="presParOf" srcId="{D1A4F456-EC5A-4FA9-AF6C-11C8A51683FF}" destId="{FAF5648A-612A-4584-926A-865E8E60B99B}" srcOrd="1" destOrd="0" presId="urn:microsoft.com/office/officeart/2005/8/layout/chevron2"/>
    <dgm:cxn modelId="{843F1961-9AC8-467F-8B59-A3A94A4C97C2}" type="presParOf" srcId="{A8B6E51D-94EA-4935-9596-11C0A4E9A73D}" destId="{6BAE9FA7-B1A0-4849-AC19-062C78544DAC}" srcOrd="3" destOrd="0" presId="urn:microsoft.com/office/officeart/2005/8/layout/chevron2"/>
    <dgm:cxn modelId="{F5AA0D64-C20A-4977-8C18-9CAA5014B33B}" type="presParOf" srcId="{A8B6E51D-94EA-4935-9596-11C0A4E9A73D}" destId="{087634D1-5EC7-4EE1-BCBC-56CA4C749DA7}" srcOrd="4" destOrd="0" presId="urn:microsoft.com/office/officeart/2005/8/layout/chevron2"/>
    <dgm:cxn modelId="{FF24A48D-BFEE-47F3-9C43-AB6DCF6D5E6F}" type="presParOf" srcId="{087634D1-5EC7-4EE1-BCBC-56CA4C749DA7}" destId="{D6D6CF27-A2D3-4C68-9480-2F5774DCFD09}" srcOrd="0" destOrd="0" presId="urn:microsoft.com/office/officeart/2005/8/layout/chevron2"/>
    <dgm:cxn modelId="{25BC737A-2224-4725-B8B9-33C5C63712CE}" type="presParOf" srcId="{087634D1-5EC7-4EE1-BCBC-56CA4C749DA7}" destId="{DD99ECF3-18FF-493A-8E5F-3F3E7B33EAF2}"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BF951-E377-4EF8-B418-53F274542D0C}">
      <dsp:nvSpPr>
        <dsp:cNvPr id="0" name=""/>
        <dsp:cNvSpPr/>
      </dsp:nvSpPr>
      <dsp:spPr>
        <a:xfrm>
          <a:off x="0" y="15839"/>
          <a:ext cx="5610225"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s-SV" sz="1300" kern="1200" dirty="0" smtClean="0"/>
            <a:t>El 78.2% con ingresos menores a 2 SM</a:t>
          </a:r>
          <a:endParaRPr lang="es-SV" sz="1300" kern="1200" dirty="0"/>
        </a:p>
      </dsp:txBody>
      <dsp:txXfrm>
        <a:off x="15221" y="31060"/>
        <a:ext cx="5579783" cy="281363"/>
      </dsp:txXfrm>
    </dsp:sp>
    <dsp:sp modelId="{6EB71D47-6C38-47C0-9928-F7A2B17305E6}">
      <dsp:nvSpPr>
        <dsp:cNvPr id="0" name=""/>
        <dsp:cNvSpPr/>
      </dsp:nvSpPr>
      <dsp:spPr>
        <a:xfrm>
          <a:off x="0" y="327645"/>
          <a:ext cx="5610225"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6510" rIns="92456" bIns="16510" numCol="1" spcCol="1270" anchor="t" anchorCtr="0">
          <a:noAutofit/>
        </a:bodyPr>
        <a:lstStyle/>
        <a:p>
          <a:pPr marL="57150" lvl="1" indent="-57150" algn="l" defTabSz="444500">
            <a:lnSpc>
              <a:spcPct val="90000"/>
            </a:lnSpc>
            <a:spcBef>
              <a:spcPct val="0"/>
            </a:spcBef>
            <a:spcAft>
              <a:spcPct val="20000"/>
            </a:spcAft>
            <a:buChar char="••"/>
          </a:pPr>
          <a:r>
            <a:rPr lang="es-SV" sz="1000" kern="1200" dirty="0" smtClean="0"/>
            <a:t>Documento SUM </a:t>
          </a:r>
          <a:r>
            <a:rPr lang="es-SV" sz="1000" kern="1200" dirty="0" err="1" smtClean="0"/>
            <a:t>Consult</a:t>
          </a:r>
          <a:r>
            <a:rPr lang="es-SV" sz="1000" kern="1200" dirty="0" smtClean="0"/>
            <a:t> con datos VMVDU 2004</a:t>
          </a:r>
          <a:endParaRPr lang="es-SV" sz="1000" kern="1200" dirty="0"/>
        </a:p>
      </dsp:txBody>
      <dsp:txXfrm>
        <a:off x="0" y="327645"/>
        <a:ext cx="5610225" cy="215280"/>
      </dsp:txXfrm>
    </dsp:sp>
    <dsp:sp modelId="{050093AF-3E34-49B7-A6C4-FD06B61C6D54}">
      <dsp:nvSpPr>
        <dsp:cNvPr id="0" name=""/>
        <dsp:cNvSpPr/>
      </dsp:nvSpPr>
      <dsp:spPr>
        <a:xfrm>
          <a:off x="0" y="542925"/>
          <a:ext cx="5610225"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s-SV" sz="1300" kern="1200" dirty="0" smtClean="0"/>
            <a:t>El 70.5% con ingresos inferiores a 1 SM</a:t>
          </a:r>
          <a:endParaRPr lang="es-SV" sz="1300" kern="1200" dirty="0"/>
        </a:p>
      </dsp:txBody>
      <dsp:txXfrm>
        <a:off x="15221" y="558146"/>
        <a:ext cx="5579783" cy="281363"/>
      </dsp:txXfrm>
    </dsp:sp>
    <dsp:sp modelId="{8D817B06-A9D9-40A2-A19B-333E7C9F50CB}">
      <dsp:nvSpPr>
        <dsp:cNvPr id="0" name=""/>
        <dsp:cNvSpPr/>
      </dsp:nvSpPr>
      <dsp:spPr>
        <a:xfrm>
          <a:off x="0" y="854730"/>
          <a:ext cx="5610225"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6510" rIns="92456" bIns="16510" numCol="1" spcCol="1270" anchor="t" anchorCtr="0">
          <a:noAutofit/>
        </a:bodyPr>
        <a:lstStyle/>
        <a:p>
          <a:pPr marL="57150" lvl="1" indent="-57150" algn="l" defTabSz="444500">
            <a:lnSpc>
              <a:spcPct val="90000"/>
            </a:lnSpc>
            <a:spcBef>
              <a:spcPct val="0"/>
            </a:spcBef>
            <a:spcAft>
              <a:spcPct val="20000"/>
            </a:spcAft>
            <a:buChar char="••"/>
          </a:pPr>
          <a:r>
            <a:rPr lang="es-SV" sz="1000" kern="1200" dirty="0" smtClean="0"/>
            <a:t>Datos del RUI, 2010</a:t>
          </a:r>
          <a:endParaRPr lang="es-SV" sz="1000" kern="1200" dirty="0"/>
        </a:p>
      </dsp:txBody>
      <dsp:txXfrm>
        <a:off x="0" y="854730"/>
        <a:ext cx="5610225" cy="215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4A2D2-EE05-48C2-8B3C-D15DCAFF9700}">
      <dsp:nvSpPr>
        <dsp:cNvPr id="0" name=""/>
        <dsp:cNvSpPr/>
      </dsp:nvSpPr>
      <dsp:spPr>
        <a:xfrm rot="5400000">
          <a:off x="-128430" y="129697"/>
          <a:ext cx="856203" cy="5993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dirty="0" smtClean="0"/>
            <a:t>VMVDU- DIGESYC</a:t>
          </a:r>
        </a:p>
      </dsp:txBody>
      <dsp:txXfrm rot="-5400000">
        <a:off x="1" y="300937"/>
        <a:ext cx="599342" cy="256861"/>
      </dsp:txXfrm>
    </dsp:sp>
    <dsp:sp modelId="{6F051295-BE00-4DF2-9E8F-22C6EC71D0DD}">
      <dsp:nvSpPr>
        <dsp:cNvPr id="0" name=""/>
        <dsp:cNvSpPr/>
      </dsp:nvSpPr>
      <dsp:spPr>
        <a:xfrm rot="5400000">
          <a:off x="1197596" y="-596986"/>
          <a:ext cx="556825" cy="17533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SV" sz="1000" kern="1200" dirty="0" smtClean="0"/>
            <a:t>Cuantitativo: 	  44,383</a:t>
          </a:r>
          <a:endParaRPr lang="es-SV" sz="1000" kern="1200" dirty="0"/>
        </a:p>
        <a:p>
          <a:pPr marL="57150" lvl="1" indent="-57150" algn="l" defTabSz="444500">
            <a:lnSpc>
              <a:spcPct val="90000"/>
            </a:lnSpc>
            <a:spcBef>
              <a:spcPct val="0"/>
            </a:spcBef>
            <a:spcAft>
              <a:spcPct val="15000"/>
            </a:spcAft>
            <a:buChar char="••"/>
          </a:pPr>
          <a:r>
            <a:rPr lang="es-SV" sz="1000" kern="1200" dirty="0" smtClean="0"/>
            <a:t>Cualitativo: 	315,918</a:t>
          </a:r>
          <a:endParaRPr lang="es-SV" sz="1000" kern="1200" dirty="0"/>
        </a:p>
        <a:p>
          <a:pPr marL="57150" lvl="1" indent="-57150" algn="l" defTabSz="444500">
            <a:lnSpc>
              <a:spcPct val="90000"/>
            </a:lnSpc>
            <a:spcBef>
              <a:spcPct val="0"/>
            </a:spcBef>
            <a:spcAft>
              <a:spcPct val="15000"/>
            </a:spcAft>
            <a:buChar char="••"/>
          </a:pPr>
          <a:r>
            <a:rPr lang="es-SV" sz="1000" kern="1200" dirty="0" smtClean="0"/>
            <a:t>Total: 	360,301</a:t>
          </a:r>
          <a:endParaRPr lang="es-SV" sz="1000" kern="1200" dirty="0"/>
        </a:p>
      </dsp:txBody>
      <dsp:txXfrm rot="-5400000">
        <a:off x="599343" y="28449"/>
        <a:ext cx="1726150" cy="502461"/>
      </dsp:txXfrm>
    </dsp:sp>
    <dsp:sp modelId="{506449F3-9F1F-440F-B525-FD697DDE51B3}">
      <dsp:nvSpPr>
        <dsp:cNvPr id="0" name=""/>
        <dsp:cNvSpPr/>
      </dsp:nvSpPr>
      <dsp:spPr>
        <a:xfrm rot="5400000">
          <a:off x="-128430" y="771891"/>
          <a:ext cx="856203" cy="5993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dirty="0" smtClean="0"/>
            <a:t>PNUD</a:t>
          </a:r>
        </a:p>
      </dsp:txBody>
      <dsp:txXfrm rot="-5400000">
        <a:off x="1" y="943131"/>
        <a:ext cx="599342" cy="256861"/>
      </dsp:txXfrm>
    </dsp:sp>
    <dsp:sp modelId="{FAF5648A-612A-4584-926A-865E8E60B99B}">
      <dsp:nvSpPr>
        <dsp:cNvPr id="0" name=""/>
        <dsp:cNvSpPr/>
      </dsp:nvSpPr>
      <dsp:spPr>
        <a:xfrm rot="5400000">
          <a:off x="1197742" y="45060"/>
          <a:ext cx="556532" cy="17533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SV" sz="1000" kern="1200" dirty="0" smtClean="0"/>
            <a:t>Cuantitativo: 	  27,356</a:t>
          </a:r>
          <a:endParaRPr lang="es-SV" sz="1000" kern="1200" dirty="0"/>
        </a:p>
        <a:p>
          <a:pPr marL="57150" lvl="1" indent="-57150" algn="l" defTabSz="444500">
            <a:lnSpc>
              <a:spcPct val="90000"/>
            </a:lnSpc>
            <a:spcBef>
              <a:spcPct val="0"/>
            </a:spcBef>
            <a:spcAft>
              <a:spcPct val="15000"/>
            </a:spcAft>
            <a:buChar char="••"/>
          </a:pPr>
          <a:r>
            <a:rPr lang="es-SV" sz="1000" kern="1200" dirty="0" smtClean="0"/>
            <a:t>Cualitativo: 	433,836</a:t>
          </a:r>
          <a:endParaRPr lang="es-SV" sz="1000" kern="1200" dirty="0"/>
        </a:p>
        <a:p>
          <a:pPr marL="57150" lvl="1" indent="-57150" algn="l" defTabSz="444500">
            <a:lnSpc>
              <a:spcPct val="90000"/>
            </a:lnSpc>
            <a:spcBef>
              <a:spcPct val="0"/>
            </a:spcBef>
            <a:spcAft>
              <a:spcPct val="15000"/>
            </a:spcAft>
            <a:buChar char="••"/>
          </a:pPr>
          <a:r>
            <a:rPr lang="es-SV" sz="1000" kern="1200" dirty="0" smtClean="0"/>
            <a:t>Total: 	461,192</a:t>
          </a:r>
          <a:endParaRPr lang="es-SV" sz="1000" kern="1200" dirty="0"/>
        </a:p>
      </dsp:txBody>
      <dsp:txXfrm rot="-5400000">
        <a:off x="599342" y="670628"/>
        <a:ext cx="1726164" cy="502196"/>
      </dsp:txXfrm>
    </dsp:sp>
    <dsp:sp modelId="{D6D6CF27-A2D3-4C68-9480-2F5774DCFD09}">
      <dsp:nvSpPr>
        <dsp:cNvPr id="0" name=""/>
        <dsp:cNvSpPr/>
      </dsp:nvSpPr>
      <dsp:spPr>
        <a:xfrm rot="5400000">
          <a:off x="-128430" y="1414084"/>
          <a:ext cx="856203" cy="5993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dirty="0" err="1" smtClean="0"/>
            <a:t>Onu</a:t>
          </a:r>
          <a:r>
            <a:rPr lang="es-SV" sz="1000" kern="1200" dirty="0" smtClean="0"/>
            <a:t>- hábitat</a:t>
          </a:r>
        </a:p>
      </dsp:txBody>
      <dsp:txXfrm rot="-5400000">
        <a:off x="1" y="1585324"/>
        <a:ext cx="599342" cy="256861"/>
      </dsp:txXfrm>
    </dsp:sp>
    <dsp:sp modelId="{DD99ECF3-18FF-493A-8E5F-3F3E7B33EAF2}">
      <dsp:nvSpPr>
        <dsp:cNvPr id="0" name=""/>
        <dsp:cNvSpPr/>
      </dsp:nvSpPr>
      <dsp:spPr>
        <a:xfrm rot="5400000">
          <a:off x="1197742" y="687253"/>
          <a:ext cx="556532" cy="17533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SV" sz="1000" kern="1200" dirty="0" smtClean="0"/>
            <a:t>Cuantitativo: 	  61,260</a:t>
          </a:r>
          <a:endParaRPr lang="es-SV" sz="1000" kern="1200" dirty="0"/>
        </a:p>
        <a:p>
          <a:pPr marL="57150" lvl="1" indent="-57150" algn="l" defTabSz="444500">
            <a:lnSpc>
              <a:spcPct val="90000"/>
            </a:lnSpc>
            <a:spcBef>
              <a:spcPct val="0"/>
            </a:spcBef>
            <a:spcAft>
              <a:spcPct val="15000"/>
            </a:spcAft>
            <a:buChar char="••"/>
          </a:pPr>
          <a:r>
            <a:rPr lang="es-SV" sz="1000" kern="1200" dirty="0" smtClean="0"/>
            <a:t>Cualitativo: 	416,648</a:t>
          </a:r>
          <a:endParaRPr lang="es-SV" sz="1000" kern="1200" dirty="0"/>
        </a:p>
        <a:p>
          <a:pPr marL="57150" lvl="1" indent="-57150" algn="l" defTabSz="444500">
            <a:lnSpc>
              <a:spcPct val="90000"/>
            </a:lnSpc>
            <a:spcBef>
              <a:spcPct val="0"/>
            </a:spcBef>
            <a:spcAft>
              <a:spcPct val="15000"/>
            </a:spcAft>
            <a:buChar char="••"/>
          </a:pPr>
          <a:r>
            <a:rPr lang="es-SV" sz="1000" kern="1200" dirty="0" smtClean="0"/>
            <a:t>Total: 	477,908</a:t>
          </a:r>
          <a:endParaRPr lang="es-SV" sz="1000" kern="1200" dirty="0"/>
        </a:p>
        <a:p>
          <a:pPr marL="57150" lvl="1" indent="-57150" algn="l" defTabSz="444500">
            <a:lnSpc>
              <a:spcPct val="90000"/>
            </a:lnSpc>
            <a:spcBef>
              <a:spcPct val="0"/>
            </a:spcBef>
            <a:spcAft>
              <a:spcPct val="15000"/>
            </a:spcAft>
            <a:buChar char="••"/>
          </a:pPr>
          <a:endParaRPr lang="es-SV" sz="1000" kern="1200" dirty="0"/>
        </a:p>
      </dsp:txBody>
      <dsp:txXfrm rot="-5400000">
        <a:off x="599342" y="1312821"/>
        <a:ext cx="1726164" cy="50219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b:Source>
    <b:Tag>Mar13</b:Tag>
    <b:SourceType>Book</b:SourceType>
    <b:Guid>{CE387639-CFA2-4474-852E-FD8F0CB221E7}</b:Guid>
    <b:Title>Políticas alternativas de vivienda en América Latina y El Caribe</b:Title>
    <b:Year>2013</b:Year>
    <b:Author>
      <b:Author>
        <b:NameList>
          <b:Person>
            <b:Last>Mariela</b:Last>
            <b:First>Tonago</b:First>
          </b:Person>
        </b:NameList>
      </b:Author>
    </b:Author>
    <b:RefOrder>1</b:RefOrder>
  </b:Source>
  <b:Source>
    <b:Tag>PNU09</b:Tag>
    <b:SourceType>Book</b:SourceType>
    <b:Guid>{E00B24B1-0B80-430B-BC30-419544E45965}</b:Guid>
    <b:Title>Escenarios de vida desde la Exclusión Urbana. Una mirada al hábtiat popular de 32 ciudades de El Salvador</b:Title>
    <b:Year>2009</b:Year>
    <b:Author>
      <b:Author>
        <b:Corporate>PNUD/FUNDASAL</b:Corporate>
      </b:Author>
    </b:Author>
    <b:RefOrder>2</b:RefOrder>
  </b:Source>
  <b:Source>
    <b:Tag>Com91</b:Tag>
    <b:SourceType>Book</b:SourceType>
    <b:Guid>{93B81CF7-9E3A-431B-A6B3-49D17AE01B9F}</b:Guid>
    <b:Author>
      <b:Author>
        <b:NameList>
          <b:Person>
            <b:Last>Comité de Derechos Económicos</b:Last>
            <b:First>Sociales</b:First>
            <b:Middle>y Culturales de Naciones Unidas</b:Middle>
          </b:Person>
        </b:NameList>
      </b:Author>
    </b:Author>
    <b:Title>Pacto Internacional de Derechos Económicos, Sociales y Culturales (PIDESC)</b:Title>
    <b:Year>1991</b:Year>
    <b:RefOrder>3</b:RefOrder>
  </b:Source>
  <b:Source>
    <b:Tag>PNU10</b:Tag>
    <b:SourceType>Book</b:SourceType>
    <b:Guid>{864C202B-3813-49FB-A42A-91BF3F604FEC}</b:Guid>
    <b:Author>
      <b:Author>
        <b:NameList>
          <b:Person>
            <b:Last>PNUD</b:Last>
          </b:Person>
        </b:NameList>
      </b:Author>
    </b:Author>
    <b:Title>Informe de Desarrollo Humano</b:Title>
    <b:Year>2010</b:Year>
    <b:RefOrder>4</b:RefOrder>
  </b:Source>
  <b:Source>
    <b:Tag>Sum04</b:Tag>
    <b:SourceType>Book</b:SourceType>
    <b:Guid>{D2A431C9-924A-4085-A66A-02E5B590E22F}</b:Guid>
    <b:Author>
      <b:Author>
        <b:NameList>
          <b:Person>
            <b:Last>Consult</b:Last>
            <b:First>Sum</b:First>
          </b:Person>
        </b:NameList>
      </b:Author>
    </b:Author>
    <b:Title>Política de Vivienda de Interés Social en El Salvador</b:Title>
    <b:Year>2004</b:Year>
    <b:RefOrder>5</b:RefOrder>
  </b:Source>
  <b:Source>
    <b:Tag>FUN10</b:Tag>
    <b:SourceType>Misc</b:SourceType>
    <b:Guid>{FC401631-E816-49A0-85CE-C5B928D46271}</b:Guid>
    <b:Author>
      <b:Author>
        <b:Corporate>FUNDASAL</b:Corporate>
      </b:Author>
    </b:Author>
    <b:Title>Anteproyecto Ley de vivienda de Interés Social. Una necesidad palpable, una propuesta para el acceso de los más pobres</b:Title>
    <b:Year>2010</b:Year>
    <b:RefOrder>6</b:RefOrder>
  </b:Source>
  <b:Source>
    <b:Tag>Cés12</b:Tag>
    <b:SourceType>Book</b:SourceType>
    <b:Guid>{21691F36-6759-45E6-A0C6-D39658223F28}</b:Guid>
    <b:Author>
      <b:Author>
        <b:NameList>
          <b:Person>
            <b:Last>César Patricio Bouillon</b:Last>
            <b:First>BID</b:First>
          </b:Person>
        </b:NameList>
      </b:Author>
    </b:Author>
    <b:Title>Un espacio para el desarrollo. Los mercados de vivienda en América Latina y El Caribe</b:Title>
    <b:Year>2012</b:Year>
    <b:RefOrder>7</b:RefOrder>
  </b:Source>
  <b:Source>
    <b:Tag>Onu13</b:Tag>
    <b:SourceType>Book</b:SourceType>
    <b:Guid>{DDEEFBF3-7C90-4B38-97D4-6FE24B8C4128}</b:Guid>
    <b:Author>
      <b:Author>
        <b:NameList>
          <b:Person>
            <b:Last>Onu-hábitat</b:Last>
          </b:Person>
        </b:NameList>
      </b:Author>
    </b:Author>
    <b:Title>Perfil de Vivienda</b:Title>
    <b:Year>2013</b:Year>
    <b:RefOrder>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3DBB8D-D4E6-42E6-BD67-521C0FFAE5B1}"/>
</file>

<file path=customXml/itemProps2.xml><?xml version="1.0" encoding="utf-8"?>
<ds:datastoreItem xmlns:ds="http://schemas.openxmlformats.org/officeDocument/2006/customXml" ds:itemID="{DED4DF24-5C9F-473A-AE21-6818993FA1BA}"/>
</file>

<file path=customXml/itemProps3.xml><?xml version="1.0" encoding="utf-8"?>
<ds:datastoreItem xmlns:ds="http://schemas.openxmlformats.org/officeDocument/2006/customXml" ds:itemID="{328F68E1-D0A9-4DD4-A9A4-9477341520BE}"/>
</file>

<file path=customXml/itemProps4.xml><?xml version="1.0" encoding="utf-8"?>
<ds:datastoreItem xmlns:ds="http://schemas.openxmlformats.org/officeDocument/2006/customXml" ds:itemID="{1BCABC49-43B0-4147-AD56-7705EF6D7451}"/>
</file>

<file path=docProps/app.xml><?xml version="1.0" encoding="utf-8"?>
<Properties xmlns="http://schemas.openxmlformats.org/officeDocument/2006/extended-properties" xmlns:vt="http://schemas.openxmlformats.org/officeDocument/2006/docPropsVTypes">
  <Template>Normal</Template>
  <TotalTime>3</TotalTime>
  <Pages>10</Pages>
  <Words>3017</Words>
  <Characters>17200</Characters>
  <Application>Microsoft Office Word</Application>
  <DocSecurity>0</DocSecurity>
  <Lines>143</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RIVERA</dc:creator>
  <cp:lastModifiedBy>Mariannick Koffi</cp:lastModifiedBy>
  <cp:revision>2</cp:revision>
  <cp:lastPrinted>2013-10-18T01:10:00Z</cp:lastPrinted>
  <dcterms:created xsi:type="dcterms:W3CDTF">2015-10-28T09:27:00Z</dcterms:created>
  <dcterms:modified xsi:type="dcterms:W3CDTF">2015-10-28T09:27:00Z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3212400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