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DE" w:rsidRDefault="00257ADE" w:rsidP="00257ADE">
      <w:pPr>
        <w:jc w:val="center"/>
        <w:rPr>
          <w:b/>
          <w:sz w:val="24"/>
          <w:szCs w:val="24"/>
        </w:rPr>
      </w:pPr>
      <w:r>
        <w:rPr>
          <w:b/>
          <w:i/>
          <w:sz w:val="24"/>
          <w:szCs w:val="24"/>
        </w:rPr>
        <w:t xml:space="preserve">Labour rights in the context of structural adjustment </w:t>
      </w:r>
      <w:r>
        <w:rPr>
          <w:b/>
          <w:i/>
          <w:sz w:val="24"/>
          <w:szCs w:val="24"/>
        </w:rPr>
        <w:br/>
        <w:t>and fiscal consolidation policies</w:t>
      </w:r>
    </w:p>
    <w:p w:rsidR="00747BC2" w:rsidRDefault="00747BC2" w:rsidP="00747BC2">
      <w:pPr>
        <w:jc w:val="both"/>
        <w:rPr>
          <w:sz w:val="24"/>
          <w:szCs w:val="24"/>
        </w:rPr>
      </w:pPr>
    </w:p>
    <w:p w:rsidR="00257ADE" w:rsidRPr="00927406" w:rsidRDefault="00257ADE" w:rsidP="00257ADE">
      <w:pPr>
        <w:jc w:val="both"/>
      </w:pPr>
      <w:r w:rsidRPr="00927406">
        <w:t xml:space="preserve">Country: Portugal </w:t>
      </w:r>
    </w:p>
    <w:p w:rsidR="00257ADE" w:rsidRPr="00927406" w:rsidRDefault="00257ADE" w:rsidP="00257ADE">
      <w:pPr>
        <w:jc w:val="both"/>
      </w:pPr>
      <w:r w:rsidRPr="00927406">
        <w:t>Time period: 2008-2015</w:t>
      </w:r>
    </w:p>
    <w:p w:rsidR="00257ADE" w:rsidRPr="00927406" w:rsidRDefault="00257ADE" w:rsidP="00747BC2">
      <w:pPr>
        <w:jc w:val="both"/>
      </w:pPr>
      <w:r w:rsidRPr="00927406">
        <w:t>Contributor: Observatory of Crisis and Alternatives, Centre for Social Studies, Coimbra University Portugal</w:t>
      </w:r>
    </w:p>
    <w:p w:rsidR="00257ADE" w:rsidRPr="00927406" w:rsidRDefault="00257ADE" w:rsidP="00747BC2">
      <w:pPr>
        <w:jc w:val="both"/>
        <w:rPr>
          <w:lang w:val="en-US"/>
        </w:rPr>
      </w:pPr>
    </w:p>
    <w:p w:rsidR="00747BC2" w:rsidRPr="00927406" w:rsidRDefault="00257ADE" w:rsidP="00747BC2">
      <w:pPr>
        <w:rPr>
          <w:lang w:val="en-US"/>
        </w:rPr>
      </w:pPr>
      <w:r w:rsidRPr="00927406">
        <w:rPr>
          <w:lang w:val="en-US"/>
        </w:rPr>
        <w:t>1 Structural reform program</w:t>
      </w:r>
      <w:r w:rsidR="00747BC2" w:rsidRPr="00927406">
        <w:rPr>
          <w:lang w:val="en-US"/>
        </w:rPr>
        <w:t>(s) an</w:t>
      </w:r>
      <w:r w:rsidRPr="00927406">
        <w:rPr>
          <w:lang w:val="en-US"/>
        </w:rPr>
        <w:t>d fiscal consolidation program</w:t>
      </w:r>
      <w:r w:rsidR="00747BC2" w:rsidRPr="00927406">
        <w:rPr>
          <w:lang w:val="en-US"/>
        </w:rPr>
        <w:t xml:space="preserve">s </w:t>
      </w:r>
    </w:p>
    <w:p w:rsidR="00257ADE" w:rsidRPr="00927406" w:rsidRDefault="00257ADE" w:rsidP="00747BC2">
      <w:pPr>
        <w:rPr>
          <w:lang w:val="en-US"/>
        </w:rPr>
      </w:pPr>
    </w:p>
    <w:p w:rsidR="000C05A1" w:rsidRPr="00927406" w:rsidRDefault="000C05A1" w:rsidP="00747BC2">
      <w:pPr>
        <w:rPr>
          <w:lang w:val="en-US"/>
        </w:rPr>
      </w:pPr>
      <w:r w:rsidRPr="00927406">
        <w:rPr>
          <w:lang w:val="en-US"/>
        </w:rPr>
        <w:t>1.1 L</w:t>
      </w:r>
      <w:r w:rsidR="00257ADE" w:rsidRPr="00927406">
        <w:rPr>
          <w:lang w:val="en-US"/>
        </w:rPr>
        <w:t>abo</w:t>
      </w:r>
      <w:r w:rsidR="00747BC2" w:rsidRPr="00927406">
        <w:rPr>
          <w:lang w:val="en-US"/>
        </w:rPr>
        <w:t>r market reforms (</w:t>
      </w:r>
      <w:proofErr w:type="spellStart"/>
      <w:r w:rsidR="00747BC2" w:rsidRPr="00927406">
        <w:rPr>
          <w:lang w:val="en-US"/>
        </w:rPr>
        <w:t>flexibilisations</w:t>
      </w:r>
      <w:proofErr w:type="spellEnd"/>
      <w:r w:rsidR="00747BC2" w:rsidRPr="00927406">
        <w:rPr>
          <w:lang w:val="en-US"/>
        </w:rPr>
        <w:t>);</w:t>
      </w:r>
    </w:p>
    <w:p w:rsidR="00747BC2" w:rsidRPr="00927406" w:rsidRDefault="00747BC2" w:rsidP="00747BC2">
      <w:pPr>
        <w:rPr>
          <w:lang w:val="en-US"/>
        </w:rPr>
      </w:pPr>
    </w:p>
    <w:p w:rsidR="00D26F66" w:rsidRPr="00927406" w:rsidRDefault="00D26F66" w:rsidP="00D26F66">
      <w:pPr>
        <w:pStyle w:val="Default"/>
        <w:numPr>
          <w:ilvl w:val="0"/>
          <w:numId w:val="1"/>
        </w:numPr>
        <w:rPr>
          <w:rFonts w:eastAsia="Times New Roman"/>
          <w:color w:val="auto"/>
          <w:sz w:val="20"/>
          <w:szCs w:val="20"/>
          <w:lang w:val="en-US"/>
        </w:rPr>
      </w:pPr>
      <w:r w:rsidRPr="00927406">
        <w:rPr>
          <w:rFonts w:eastAsia="Times New Roman"/>
          <w:color w:val="auto"/>
          <w:sz w:val="20"/>
          <w:szCs w:val="20"/>
          <w:lang w:val="en-US"/>
        </w:rPr>
        <w:t>Working time adaptability and new working time arrangements – including individual and group adaptability; introducing the schemes of bank of hours and concentrated timetables (Law 7/2009);</w:t>
      </w:r>
    </w:p>
    <w:p w:rsidR="00D408F5" w:rsidRPr="00927406" w:rsidRDefault="00D408F5" w:rsidP="00D408F5">
      <w:pPr>
        <w:pStyle w:val="Default"/>
        <w:numPr>
          <w:ilvl w:val="0"/>
          <w:numId w:val="1"/>
        </w:numPr>
        <w:rPr>
          <w:rFonts w:eastAsia="Times New Roman"/>
          <w:color w:val="auto"/>
          <w:sz w:val="20"/>
          <w:szCs w:val="20"/>
          <w:lang w:val="en-US"/>
        </w:rPr>
      </w:pPr>
      <w:r w:rsidRPr="00927406">
        <w:rPr>
          <w:rFonts w:eastAsia="Times New Roman"/>
          <w:color w:val="auto"/>
          <w:sz w:val="20"/>
          <w:szCs w:val="20"/>
          <w:lang w:val="en-US"/>
        </w:rPr>
        <w:t>Facilitating individual dismissals linked to unsuitability of the worker and linked to the extinction of work positions (Law 23/2012, Law 27/2014). One year after the entry into force of Law 23/2012, the Constitutional Court (Judgment 602/2013) determined that some of the regulations were unconstitutional for breaking the principle of job security (article 53 of the Portuguese Constitution). Nevertheless, the Constitutional Court accepted that individual dismissals linked to unsuitability of the worker could be possible regardless of the introduction of new technologies or</w:t>
      </w:r>
      <w:r w:rsidR="00D26F66" w:rsidRPr="00927406">
        <w:rPr>
          <w:rFonts w:eastAsia="Times New Roman"/>
          <w:color w:val="auto"/>
          <w:sz w:val="20"/>
          <w:szCs w:val="20"/>
          <w:lang w:val="en-US"/>
        </w:rPr>
        <w:t xml:space="preserve"> other changes to the workplace;</w:t>
      </w:r>
    </w:p>
    <w:p w:rsidR="000C05A1" w:rsidRPr="00927406" w:rsidRDefault="00D408F5" w:rsidP="00747BC2">
      <w:pPr>
        <w:pStyle w:val="Default"/>
        <w:numPr>
          <w:ilvl w:val="0"/>
          <w:numId w:val="1"/>
        </w:numPr>
        <w:rPr>
          <w:rFonts w:eastAsia="Times New Roman"/>
          <w:color w:val="auto"/>
          <w:sz w:val="20"/>
          <w:szCs w:val="20"/>
          <w:lang w:val="en-US"/>
        </w:rPr>
      </w:pPr>
      <w:r w:rsidRPr="00927406">
        <w:rPr>
          <w:rFonts w:eastAsia="Times New Roman"/>
          <w:color w:val="auto"/>
          <w:sz w:val="20"/>
          <w:szCs w:val="20"/>
          <w:lang w:val="en-US"/>
        </w:rPr>
        <w:t xml:space="preserve">Reduction of severance pay (Law 53/2011, Law 23/2012 and </w:t>
      </w:r>
      <w:r w:rsidR="00D26F66" w:rsidRPr="00927406">
        <w:rPr>
          <w:rFonts w:eastAsia="Times New Roman"/>
          <w:color w:val="auto"/>
          <w:sz w:val="20"/>
          <w:szCs w:val="20"/>
          <w:lang w:val="en-US"/>
        </w:rPr>
        <w:t>Law 69/2013);</w:t>
      </w:r>
      <w:r w:rsidRPr="00927406">
        <w:rPr>
          <w:rFonts w:eastAsia="Times New Roman"/>
          <w:color w:val="auto"/>
          <w:sz w:val="20"/>
          <w:szCs w:val="20"/>
          <w:lang w:val="en-US"/>
        </w:rPr>
        <w:t xml:space="preserve"> </w:t>
      </w:r>
      <w:r w:rsidR="000C05A1" w:rsidRPr="00927406">
        <w:rPr>
          <w:rFonts w:eastAsia="Times New Roman"/>
          <w:color w:val="auto"/>
          <w:sz w:val="20"/>
          <w:szCs w:val="20"/>
          <w:lang w:val="en-US"/>
        </w:rPr>
        <w:t xml:space="preserve"> </w:t>
      </w:r>
    </w:p>
    <w:p w:rsidR="00D408F5" w:rsidRPr="00927406" w:rsidRDefault="00D408F5" w:rsidP="00747BC2">
      <w:pPr>
        <w:pStyle w:val="Default"/>
        <w:numPr>
          <w:ilvl w:val="0"/>
          <w:numId w:val="1"/>
        </w:numPr>
        <w:rPr>
          <w:rFonts w:eastAsia="Times New Roman"/>
          <w:color w:val="auto"/>
          <w:sz w:val="20"/>
          <w:szCs w:val="20"/>
          <w:lang w:val="en-US"/>
        </w:rPr>
      </w:pPr>
      <w:r w:rsidRPr="00927406">
        <w:rPr>
          <w:rFonts w:eastAsia="Times New Roman"/>
          <w:color w:val="auto"/>
          <w:sz w:val="20"/>
          <w:szCs w:val="20"/>
          <w:lang w:val="en-US"/>
        </w:rPr>
        <w:t xml:space="preserve">Special regime allowing fixed-term employment contracts to be subject to 2 additional renovations and an additional maximum duration of 18 months (Law 3/2012, </w:t>
      </w:r>
      <w:r w:rsidR="00B22F9E" w:rsidRPr="00927406">
        <w:rPr>
          <w:rFonts w:eastAsia="Times New Roman"/>
          <w:color w:val="auto"/>
          <w:sz w:val="20"/>
          <w:szCs w:val="20"/>
          <w:lang w:val="en-US"/>
        </w:rPr>
        <w:t>Law 76/2013);</w:t>
      </w:r>
    </w:p>
    <w:p w:rsidR="000C05A1" w:rsidRPr="00927406" w:rsidRDefault="000C05A1" w:rsidP="00D26F66">
      <w:pPr>
        <w:pStyle w:val="Default"/>
        <w:ind w:left="720"/>
        <w:rPr>
          <w:rFonts w:eastAsia="Times New Roman"/>
          <w:color w:val="auto"/>
          <w:sz w:val="20"/>
          <w:szCs w:val="20"/>
          <w:lang w:val="en-US"/>
        </w:rPr>
      </w:pPr>
    </w:p>
    <w:p w:rsidR="00747BC2" w:rsidRPr="00927406" w:rsidRDefault="000C05A1" w:rsidP="00747BC2">
      <w:pPr>
        <w:rPr>
          <w:lang w:val="en-US"/>
        </w:rPr>
      </w:pPr>
      <w:r w:rsidRPr="00927406">
        <w:rPr>
          <w:lang w:val="en-US"/>
        </w:rPr>
        <w:t>1.2 C</w:t>
      </w:r>
      <w:r w:rsidR="00747BC2" w:rsidRPr="00927406">
        <w:rPr>
          <w:lang w:val="en-US"/>
        </w:rPr>
        <w:t xml:space="preserve">hanges to the national </w:t>
      </w:r>
      <w:proofErr w:type="spellStart"/>
      <w:r w:rsidR="00747BC2" w:rsidRPr="00927406">
        <w:rPr>
          <w:lang w:val="en-US"/>
        </w:rPr>
        <w:t>labour</w:t>
      </w:r>
      <w:proofErr w:type="spellEnd"/>
      <w:r w:rsidR="00747BC2" w:rsidRPr="00927406">
        <w:rPr>
          <w:lang w:val="en-US"/>
        </w:rPr>
        <w:t xml:space="preserve"> law;</w:t>
      </w:r>
    </w:p>
    <w:p w:rsidR="00747BC2" w:rsidRPr="00927406" w:rsidRDefault="00747BC2" w:rsidP="00747BC2">
      <w:pPr>
        <w:rPr>
          <w:lang w:val="en-US"/>
        </w:rPr>
      </w:pPr>
    </w:p>
    <w:p w:rsidR="002B04BD" w:rsidRPr="00927406" w:rsidRDefault="00747BC2" w:rsidP="00747BC2">
      <w:pPr>
        <w:pStyle w:val="Default"/>
        <w:rPr>
          <w:sz w:val="20"/>
          <w:szCs w:val="20"/>
          <w:lang w:val="en-US"/>
        </w:rPr>
      </w:pPr>
      <w:r w:rsidRPr="00927406">
        <w:rPr>
          <w:sz w:val="20"/>
          <w:szCs w:val="20"/>
          <w:lang w:val="en-US"/>
        </w:rPr>
        <w:t xml:space="preserve">A new </w:t>
      </w:r>
      <w:proofErr w:type="spellStart"/>
      <w:r w:rsidRPr="00927406">
        <w:rPr>
          <w:sz w:val="20"/>
          <w:szCs w:val="20"/>
          <w:lang w:val="en-US"/>
        </w:rPr>
        <w:t>Labour</w:t>
      </w:r>
      <w:proofErr w:type="spellEnd"/>
      <w:r w:rsidRPr="00927406">
        <w:rPr>
          <w:sz w:val="20"/>
          <w:szCs w:val="20"/>
          <w:lang w:val="en-US"/>
        </w:rPr>
        <w:t xml:space="preserve"> Code (LC) was set by Law 7/2009 </w:t>
      </w:r>
      <w:r w:rsidR="002B04BD" w:rsidRPr="00927406">
        <w:rPr>
          <w:sz w:val="20"/>
          <w:szCs w:val="20"/>
          <w:lang w:val="en-US"/>
        </w:rPr>
        <w:t>introducing the following</w:t>
      </w:r>
      <w:r w:rsidRPr="00927406">
        <w:rPr>
          <w:sz w:val="20"/>
          <w:szCs w:val="20"/>
          <w:lang w:val="en-US"/>
        </w:rPr>
        <w:t xml:space="preserve"> changes</w:t>
      </w:r>
      <w:r w:rsidR="002B04BD" w:rsidRPr="00927406">
        <w:rPr>
          <w:sz w:val="20"/>
          <w:szCs w:val="20"/>
          <w:lang w:val="en-US"/>
        </w:rPr>
        <w:t>:</w:t>
      </w:r>
    </w:p>
    <w:p w:rsidR="002B04BD" w:rsidRPr="00927406" w:rsidRDefault="002B04BD" w:rsidP="002B04BD">
      <w:pPr>
        <w:pStyle w:val="Default"/>
        <w:numPr>
          <w:ilvl w:val="0"/>
          <w:numId w:val="1"/>
        </w:numPr>
        <w:rPr>
          <w:sz w:val="20"/>
          <w:szCs w:val="20"/>
          <w:lang w:val="en-US"/>
        </w:rPr>
      </w:pPr>
      <w:r w:rsidRPr="00927406">
        <w:rPr>
          <w:sz w:val="20"/>
          <w:szCs w:val="20"/>
          <w:lang w:val="en-US"/>
        </w:rPr>
        <w:t xml:space="preserve">Collective agreements may establish less </w:t>
      </w:r>
      <w:proofErr w:type="spellStart"/>
      <w:r w:rsidRPr="00927406">
        <w:rPr>
          <w:sz w:val="20"/>
          <w:szCs w:val="20"/>
          <w:lang w:val="en-US"/>
        </w:rPr>
        <w:t>favourable</w:t>
      </w:r>
      <w:proofErr w:type="spellEnd"/>
      <w:r w:rsidRPr="00927406">
        <w:rPr>
          <w:sz w:val="20"/>
          <w:szCs w:val="20"/>
          <w:lang w:val="en-US"/>
        </w:rPr>
        <w:t xml:space="preserve"> rules for the employees than those defined by law except in areas some areas;</w:t>
      </w:r>
    </w:p>
    <w:p w:rsidR="002B04BD" w:rsidRPr="00927406" w:rsidRDefault="00747BC2" w:rsidP="002B04BD">
      <w:pPr>
        <w:pStyle w:val="Default"/>
        <w:numPr>
          <w:ilvl w:val="0"/>
          <w:numId w:val="1"/>
        </w:numPr>
        <w:rPr>
          <w:sz w:val="20"/>
          <w:szCs w:val="20"/>
          <w:lang w:val="en-US"/>
        </w:rPr>
      </w:pPr>
      <w:r w:rsidRPr="00927406">
        <w:rPr>
          <w:sz w:val="20"/>
          <w:szCs w:val="20"/>
          <w:lang w:val="en-US"/>
        </w:rPr>
        <w:t xml:space="preserve">Vocational training – defining </w:t>
      </w:r>
      <w:proofErr w:type="spellStart"/>
      <w:r w:rsidRPr="00927406">
        <w:rPr>
          <w:sz w:val="20"/>
          <w:szCs w:val="20"/>
          <w:lang w:val="en-US"/>
        </w:rPr>
        <w:t>standardised</w:t>
      </w:r>
      <w:proofErr w:type="spellEnd"/>
      <w:r w:rsidRPr="00927406">
        <w:rPr>
          <w:sz w:val="20"/>
          <w:szCs w:val="20"/>
          <w:lang w:val="en-US"/>
        </w:rPr>
        <w:t xml:space="preserve"> rights to employees in permanent and fixed-term employment contracts, with the right to minimum of hours per year of certified training; </w:t>
      </w:r>
    </w:p>
    <w:p w:rsidR="002B04BD" w:rsidRPr="00927406" w:rsidRDefault="00747BC2" w:rsidP="002B04BD">
      <w:pPr>
        <w:pStyle w:val="Default"/>
        <w:numPr>
          <w:ilvl w:val="0"/>
          <w:numId w:val="1"/>
        </w:numPr>
        <w:rPr>
          <w:sz w:val="20"/>
          <w:szCs w:val="20"/>
          <w:lang w:val="en-US"/>
        </w:rPr>
      </w:pPr>
      <w:r w:rsidRPr="00927406">
        <w:rPr>
          <w:sz w:val="20"/>
          <w:szCs w:val="20"/>
          <w:lang w:val="en-US"/>
        </w:rPr>
        <w:t xml:space="preserve">Fixed-term contracts – limiting the grounds for fixed-term contracts and reducing their total duration from 6 to 3 years; and a maximum duration of 6 years for fixed-term contracts with an uncertain duration; </w:t>
      </w:r>
    </w:p>
    <w:p w:rsidR="002B04BD" w:rsidRPr="00927406" w:rsidRDefault="00747BC2" w:rsidP="002B04BD">
      <w:pPr>
        <w:pStyle w:val="Default"/>
        <w:numPr>
          <w:ilvl w:val="0"/>
          <w:numId w:val="1"/>
        </w:numPr>
        <w:rPr>
          <w:sz w:val="20"/>
          <w:szCs w:val="20"/>
          <w:lang w:val="en-US"/>
        </w:rPr>
      </w:pPr>
      <w:r w:rsidRPr="00927406">
        <w:rPr>
          <w:sz w:val="20"/>
          <w:szCs w:val="20"/>
          <w:lang w:val="en-US"/>
        </w:rPr>
        <w:t>Working time adaptability and new working time arrangements – including individual and group adaptability; introducing the schemes of bank of hou</w:t>
      </w:r>
      <w:r w:rsidR="002B04BD" w:rsidRPr="00927406">
        <w:rPr>
          <w:sz w:val="20"/>
          <w:szCs w:val="20"/>
          <w:lang w:val="en-US"/>
        </w:rPr>
        <w:t>rs and concentrated timetables;</w:t>
      </w:r>
    </w:p>
    <w:p w:rsidR="002B04BD" w:rsidRPr="00927406" w:rsidRDefault="002B04BD" w:rsidP="002B04BD">
      <w:pPr>
        <w:pStyle w:val="Default"/>
        <w:numPr>
          <w:ilvl w:val="0"/>
          <w:numId w:val="1"/>
        </w:numPr>
        <w:rPr>
          <w:sz w:val="20"/>
          <w:szCs w:val="20"/>
          <w:lang w:val="en-US"/>
        </w:rPr>
      </w:pPr>
      <w:r w:rsidRPr="00927406">
        <w:rPr>
          <w:sz w:val="20"/>
          <w:szCs w:val="20"/>
          <w:lang w:val="en-US"/>
        </w:rPr>
        <w:t>Dismissal disciplinary procedures – making disciplinary procedures for dismissal faster.</w:t>
      </w:r>
    </w:p>
    <w:p w:rsidR="002B04BD" w:rsidRPr="00927406" w:rsidRDefault="002B04BD" w:rsidP="002B04BD">
      <w:pPr>
        <w:pStyle w:val="Default"/>
        <w:numPr>
          <w:ilvl w:val="0"/>
          <w:numId w:val="1"/>
        </w:numPr>
        <w:rPr>
          <w:sz w:val="20"/>
          <w:szCs w:val="20"/>
          <w:lang w:val="en-US"/>
        </w:rPr>
      </w:pPr>
      <w:r w:rsidRPr="00927406">
        <w:rPr>
          <w:sz w:val="20"/>
          <w:szCs w:val="20"/>
          <w:lang w:val="en-US"/>
        </w:rPr>
        <w:t xml:space="preserve">Principle of more </w:t>
      </w:r>
      <w:proofErr w:type="spellStart"/>
      <w:r w:rsidRPr="00927406">
        <w:rPr>
          <w:sz w:val="20"/>
          <w:szCs w:val="20"/>
          <w:lang w:val="en-US"/>
        </w:rPr>
        <w:t>favourable</w:t>
      </w:r>
      <w:proofErr w:type="spellEnd"/>
      <w:r w:rsidRPr="00927406">
        <w:rPr>
          <w:sz w:val="20"/>
          <w:szCs w:val="20"/>
          <w:lang w:val="en-US"/>
        </w:rPr>
        <w:t xml:space="preserve"> treatment – when the employment contract establishes more </w:t>
      </w:r>
      <w:proofErr w:type="spellStart"/>
      <w:r w:rsidRPr="00927406">
        <w:rPr>
          <w:sz w:val="20"/>
          <w:szCs w:val="20"/>
          <w:lang w:val="en-US"/>
        </w:rPr>
        <w:t>favourable</w:t>
      </w:r>
      <w:proofErr w:type="spellEnd"/>
      <w:r w:rsidRPr="00927406">
        <w:rPr>
          <w:sz w:val="20"/>
          <w:szCs w:val="20"/>
          <w:lang w:val="en-US"/>
        </w:rPr>
        <w:t xml:space="preserve"> conditions to the employee it prevails over provisions of collective agreements; </w:t>
      </w:r>
    </w:p>
    <w:p w:rsidR="000C05A1" w:rsidRPr="00927406" w:rsidRDefault="002B04BD" w:rsidP="000C05A1">
      <w:pPr>
        <w:pStyle w:val="Default"/>
        <w:numPr>
          <w:ilvl w:val="0"/>
          <w:numId w:val="1"/>
        </w:numPr>
        <w:rPr>
          <w:sz w:val="20"/>
          <w:szCs w:val="20"/>
          <w:lang w:val="en-US"/>
        </w:rPr>
      </w:pPr>
      <w:r w:rsidRPr="00927406">
        <w:rPr>
          <w:sz w:val="20"/>
          <w:szCs w:val="20"/>
          <w:lang w:val="en-US"/>
        </w:rPr>
        <w:t>Delegation on workers’ representative structures at the workplace – while previously only trade unions could negotiate company-level collective agreements</w:t>
      </w:r>
      <w:r w:rsidR="000C05A1" w:rsidRPr="00927406">
        <w:rPr>
          <w:sz w:val="20"/>
          <w:szCs w:val="20"/>
          <w:lang w:val="en-US"/>
        </w:rPr>
        <w:t>;</w:t>
      </w:r>
    </w:p>
    <w:p w:rsidR="000C05A1" w:rsidRPr="00927406" w:rsidRDefault="002B04BD" w:rsidP="000C05A1">
      <w:pPr>
        <w:pStyle w:val="Default"/>
        <w:numPr>
          <w:ilvl w:val="0"/>
          <w:numId w:val="1"/>
        </w:numPr>
        <w:rPr>
          <w:sz w:val="20"/>
          <w:szCs w:val="20"/>
          <w:lang w:val="en-US"/>
        </w:rPr>
      </w:pPr>
      <w:r w:rsidRPr="00927406">
        <w:rPr>
          <w:sz w:val="20"/>
          <w:szCs w:val="20"/>
          <w:lang w:val="en-US"/>
        </w:rPr>
        <w:t xml:space="preserve">Validity and survival of collective agreements – creating a transitory specific regime for agreements with a survival clause that were negotiated prior </w:t>
      </w:r>
      <w:r w:rsidR="000C05A1" w:rsidRPr="00927406">
        <w:rPr>
          <w:sz w:val="20"/>
          <w:szCs w:val="20"/>
          <w:lang w:val="en-US"/>
        </w:rPr>
        <w:t xml:space="preserve">to the introduction of LC; revising the general regime through a reduction of the survival period and the creation of a special regime for future cases of agreements with survival clause; and foreseeing compulsory arbitration proceedings related with lapsing of collective agreements. </w:t>
      </w:r>
    </w:p>
    <w:p w:rsidR="001F7207" w:rsidRPr="00927406" w:rsidRDefault="001F7207" w:rsidP="001F7207">
      <w:pPr>
        <w:pStyle w:val="Default"/>
        <w:numPr>
          <w:ilvl w:val="0"/>
          <w:numId w:val="1"/>
        </w:numPr>
        <w:rPr>
          <w:sz w:val="20"/>
          <w:szCs w:val="20"/>
          <w:lang w:val="en-US"/>
        </w:rPr>
      </w:pPr>
      <w:r w:rsidRPr="00927406">
        <w:rPr>
          <w:sz w:val="20"/>
          <w:szCs w:val="20"/>
          <w:lang w:val="en-US"/>
        </w:rPr>
        <w:t xml:space="preserve">Law 23/2012 amending the LC 2009 introduced </w:t>
      </w:r>
      <w:r w:rsidRPr="00927406">
        <w:rPr>
          <w:i/>
          <w:iCs/>
          <w:sz w:val="20"/>
          <w:szCs w:val="20"/>
          <w:lang w:val="en-US"/>
        </w:rPr>
        <w:t xml:space="preserve">de facto </w:t>
      </w:r>
      <w:r w:rsidRPr="00927406">
        <w:rPr>
          <w:sz w:val="20"/>
          <w:szCs w:val="20"/>
          <w:lang w:val="en-US"/>
        </w:rPr>
        <w:t>unpaid working time through the reduction of the vacation period by three days and the cut of four public holidays (both without income compensation) and the reduction by half on overtime payments. These measures were included as well in the regulations regarding public sector employees (Law 35/2014).</w:t>
      </w:r>
    </w:p>
    <w:p w:rsidR="002B04BD" w:rsidRPr="00927406" w:rsidRDefault="002B04BD" w:rsidP="000C05A1">
      <w:pPr>
        <w:pStyle w:val="Default"/>
        <w:ind w:left="720"/>
        <w:rPr>
          <w:sz w:val="20"/>
          <w:szCs w:val="20"/>
          <w:lang w:val="en-US"/>
        </w:rPr>
      </w:pPr>
    </w:p>
    <w:p w:rsidR="000C05A1" w:rsidRPr="00927406" w:rsidRDefault="000C05A1" w:rsidP="000C05A1">
      <w:pPr>
        <w:jc w:val="both"/>
        <w:rPr>
          <w:lang w:val="en-US"/>
        </w:rPr>
      </w:pPr>
      <w:r w:rsidRPr="00927406">
        <w:rPr>
          <w:lang w:val="en-US"/>
        </w:rPr>
        <w:t>1.3 C</w:t>
      </w:r>
      <w:r w:rsidR="00747BC2" w:rsidRPr="00927406">
        <w:rPr>
          <w:lang w:val="en-US"/>
        </w:rPr>
        <w:t>hanges to the system of collective bargaining;</w:t>
      </w:r>
    </w:p>
    <w:p w:rsidR="000C05A1" w:rsidRPr="00927406" w:rsidRDefault="000C05A1" w:rsidP="000C05A1">
      <w:pPr>
        <w:jc w:val="both"/>
        <w:rPr>
          <w:lang w:val="en-US"/>
        </w:rPr>
      </w:pPr>
    </w:p>
    <w:p w:rsidR="000C05A1" w:rsidRPr="00927406" w:rsidRDefault="000C05A1" w:rsidP="000C05A1">
      <w:pPr>
        <w:jc w:val="both"/>
        <w:rPr>
          <w:lang w:val="en-US"/>
        </w:rPr>
      </w:pPr>
      <w:r w:rsidRPr="00927406">
        <w:rPr>
          <w:lang w:val="en-US"/>
        </w:rPr>
        <w:t>Law 7/2009:</w:t>
      </w:r>
    </w:p>
    <w:p w:rsidR="000C05A1" w:rsidRPr="00927406" w:rsidRDefault="000C05A1" w:rsidP="000C05A1">
      <w:pPr>
        <w:pStyle w:val="PargrafodaLista"/>
        <w:numPr>
          <w:ilvl w:val="0"/>
          <w:numId w:val="2"/>
        </w:numPr>
        <w:jc w:val="both"/>
        <w:rPr>
          <w:lang w:val="en-US"/>
        </w:rPr>
      </w:pPr>
      <w:r w:rsidRPr="00927406">
        <w:rPr>
          <w:lang w:val="en-US"/>
        </w:rPr>
        <w:t xml:space="preserve">Delegation </w:t>
      </w:r>
      <w:r w:rsidR="00D26F66" w:rsidRPr="00927406">
        <w:rPr>
          <w:lang w:val="en-US"/>
        </w:rPr>
        <w:t xml:space="preserve">of collective bargaining </w:t>
      </w:r>
      <w:r w:rsidRPr="00927406">
        <w:rPr>
          <w:lang w:val="en-US"/>
        </w:rPr>
        <w:t xml:space="preserve">on workers’ representative structures at the workplace </w:t>
      </w:r>
    </w:p>
    <w:p w:rsidR="000C05A1" w:rsidRPr="00927406" w:rsidRDefault="000C05A1" w:rsidP="000C05A1">
      <w:pPr>
        <w:pStyle w:val="PargrafodaLista"/>
        <w:numPr>
          <w:ilvl w:val="0"/>
          <w:numId w:val="2"/>
        </w:numPr>
        <w:jc w:val="both"/>
        <w:rPr>
          <w:lang w:val="en-US"/>
        </w:rPr>
      </w:pPr>
      <w:r w:rsidRPr="00927406">
        <w:rPr>
          <w:lang w:val="en-US"/>
        </w:rPr>
        <w:t xml:space="preserve">Validity and survival of collective agreements </w:t>
      </w:r>
    </w:p>
    <w:p w:rsidR="00747BC2" w:rsidRPr="00927406" w:rsidRDefault="000C05A1" w:rsidP="000C05A1">
      <w:pPr>
        <w:jc w:val="both"/>
        <w:rPr>
          <w:lang w:val="en-US"/>
        </w:rPr>
      </w:pPr>
      <w:r w:rsidRPr="00927406">
        <w:t>Law 59/2008:</w:t>
      </w:r>
      <w:r w:rsidR="00747BC2" w:rsidRPr="00927406">
        <w:rPr>
          <w:lang w:val="en-US"/>
        </w:rPr>
        <w:t xml:space="preserve"> </w:t>
      </w:r>
    </w:p>
    <w:p w:rsidR="000C05A1" w:rsidRPr="00927406" w:rsidRDefault="00D26F66" w:rsidP="000C05A1">
      <w:pPr>
        <w:pStyle w:val="PargrafodaLista"/>
        <w:numPr>
          <w:ilvl w:val="0"/>
          <w:numId w:val="3"/>
        </w:numPr>
        <w:jc w:val="both"/>
        <w:rPr>
          <w:lang w:val="en-US"/>
        </w:rPr>
      </w:pPr>
      <w:r w:rsidRPr="00927406">
        <w:lastRenderedPageBreak/>
        <w:t>I</w:t>
      </w:r>
      <w:r w:rsidR="000C05A1" w:rsidRPr="00927406">
        <w:t>ntroduced, for the first time in Portugal, the possibility of collective agreements in the public sector having the same standing as private sector agreements, although it limited the range of issues to be reg</w:t>
      </w:r>
      <w:r w:rsidR="0000396A" w:rsidRPr="00927406">
        <w:t>ulated by collective agreements.</w:t>
      </w:r>
    </w:p>
    <w:p w:rsidR="001F7207" w:rsidRPr="00927406" w:rsidRDefault="001F7207" w:rsidP="001F7207">
      <w:pPr>
        <w:jc w:val="both"/>
      </w:pPr>
      <w:r w:rsidRPr="00927406">
        <w:t xml:space="preserve">Law 23/2012: </w:t>
      </w:r>
    </w:p>
    <w:p w:rsidR="001F7207" w:rsidRPr="00927406" w:rsidRDefault="001F7207" w:rsidP="001F7207">
      <w:pPr>
        <w:pStyle w:val="PargrafodaLista"/>
        <w:numPr>
          <w:ilvl w:val="0"/>
          <w:numId w:val="3"/>
        </w:numPr>
        <w:jc w:val="both"/>
        <w:rPr>
          <w:lang w:val="en-US"/>
        </w:rPr>
      </w:pPr>
      <w:r w:rsidRPr="00927406">
        <w:t xml:space="preserve">introduced the possibility of sector collective agreements to define that regulations in domains such as functional and geographical mobility, working time and wages could be set up by collective agreements at another level, including company agreements (principle of open clause); </w:t>
      </w:r>
    </w:p>
    <w:p w:rsidR="001F7207" w:rsidRPr="00927406" w:rsidRDefault="001F7207" w:rsidP="001F7207">
      <w:pPr>
        <w:pStyle w:val="PargrafodaLista"/>
        <w:numPr>
          <w:ilvl w:val="0"/>
          <w:numId w:val="3"/>
        </w:numPr>
        <w:jc w:val="both"/>
        <w:rPr>
          <w:lang w:val="en-US"/>
        </w:rPr>
      </w:pPr>
      <w:r w:rsidRPr="00927406">
        <w:t>reduced to 150 employees the threshold firm size above which workers’ representatives can conclude collective agreements</w:t>
      </w:r>
    </w:p>
    <w:p w:rsidR="00282FD5" w:rsidRPr="00927406" w:rsidRDefault="00282FD5" w:rsidP="00282FD5">
      <w:pPr>
        <w:jc w:val="both"/>
      </w:pPr>
      <w:r w:rsidRPr="00927406">
        <w:t xml:space="preserve">Resolution 90/2012: </w:t>
      </w:r>
    </w:p>
    <w:p w:rsidR="00282FD5" w:rsidRPr="00927406" w:rsidRDefault="00282FD5" w:rsidP="00282FD5">
      <w:pPr>
        <w:pStyle w:val="PargrafodaLista"/>
        <w:numPr>
          <w:ilvl w:val="0"/>
          <w:numId w:val="6"/>
        </w:numPr>
        <w:jc w:val="both"/>
        <w:rPr>
          <w:lang w:val="en-US"/>
        </w:rPr>
      </w:pPr>
      <w:proofErr w:type="gramStart"/>
      <w:r w:rsidRPr="00927406">
        <w:t>blocked</w:t>
      </w:r>
      <w:proofErr w:type="gramEnd"/>
      <w:r w:rsidRPr="00927406">
        <w:t xml:space="preserve"> extension ordinances and imposed the revision of regulations on the extension of collective agreements introducing stricter conditions whereby collective agreements could only be extended if the signatory employers’ organisations employ more than 50% of all employees in the industry concerned.</w:t>
      </w:r>
    </w:p>
    <w:p w:rsidR="00282FD5" w:rsidRPr="00927406" w:rsidRDefault="00282FD5" w:rsidP="00282FD5">
      <w:pPr>
        <w:pStyle w:val="Default"/>
        <w:rPr>
          <w:sz w:val="20"/>
          <w:szCs w:val="20"/>
          <w:lang w:val="en-US"/>
        </w:rPr>
      </w:pPr>
      <w:r w:rsidRPr="00927406">
        <w:rPr>
          <w:sz w:val="20"/>
          <w:szCs w:val="20"/>
          <w:lang w:val="en-US"/>
        </w:rPr>
        <w:t xml:space="preserve">Law 23/2012, article 7, governing ‘relations between regulatory sources’ stipulated the nullity, the reduction or suspension of the provisions of collective agreements, as follows: </w:t>
      </w:r>
    </w:p>
    <w:p w:rsidR="00282FD5" w:rsidRPr="00927406" w:rsidRDefault="00282FD5" w:rsidP="00282FD5">
      <w:pPr>
        <w:pStyle w:val="PargrafodaLista"/>
        <w:numPr>
          <w:ilvl w:val="0"/>
          <w:numId w:val="6"/>
        </w:numPr>
        <w:jc w:val="both"/>
      </w:pPr>
      <w:r w:rsidRPr="00927406">
        <w:t xml:space="preserve">Nullity of the provisions of collective agreements providing for amounts higher than those resulting from the Labour Code in relation to severance pay (Article 7, paragraph 1); </w:t>
      </w:r>
    </w:p>
    <w:p w:rsidR="00282FD5" w:rsidRPr="00927406" w:rsidRDefault="00282FD5" w:rsidP="00282FD5">
      <w:pPr>
        <w:pStyle w:val="PargrafodaLista"/>
        <w:numPr>
          <w:ilvl w:val="0"/>
          <w:numId w:val="6"/>
        </w:numPr>
        <w:jc w:val="both"/>
      </w:pPr>
      <w:r w:rsidRPr="00927406">
        <w:t xml:space="preserve">Nullity of the provisions of collective agreements providing compensatory rest for overtime work (article 7, paragraph 2); </w:t>
      </w:r>
    </w:p>
    <w:p w:rsidR="00282FD5" w:rsidRPr="00927406" w:rsidRDefault="00282FD5" w:rsidP="00282FD5">
      <w:pPr>
        <w:pStyle w:val="PargrafodaLista"/>
        <w:numPr>
          <w:ilvl w:val="0"/>
          <w:numId w:val="6"/>
        </w:numPr>
        <w:jc w:val="both"/>
      </w:pPr>
      <w:r w:rsidRPr="00927406">
        <w:t xml:space="preserve">The reduction in collective agreements provisions providing for increases in annual holidays, reducing them by an amount equivalent to three days (article 7, paragraph 3); </w:t>
      </w:r>
    </w:p>
    <w:p w:rsidR="00282FD5" w:rsidRPr="00927406" w:rsidRDefault="00282FD5" w:rsidP="00282FD5">
      <w:pPr>
        <w:pStyle w:val="PargrafodaLista"/>
        <w:numPr>
          <w:ilvl w:val="0"/>
          <w:numId w:val="6"/>
        </w:numPr>
        <w:jc w:val="both"/>
      </w:pPr>
      <w:r w:rsidRPr="00927406">
        <w:t xml:space="preserve">The suspension for two years of the provisions of collective agreements providing for overtime payment increases higher than those established in the Labour Code (article 7, paragraph 4); </w:t>
      </w:r>
    </w:p>
    <w:p w:rsidR="00282FD5" w:rsidRPr="00927406" w:rsidRDefault="00282FD5" w:rsidP="00282FD5">
      <w:pPr>
        <w:pStyle w:val="PargrafodaLista"/>
        <w:numPr>
          <w:ilvl w:val="0"/>
          <w:numId w:val="6"/>
        </w:numPr>
        <w:jc w:val="both"/>
      </w:pPr>
      <w:r w:rsidRPr="00927406">
        <w:t xml:space="preserve">The reduction by half of the amounts referred above of the provisions of collective agreements after the expiration of the period of </w:t>
      </w:r>
      <w:proofErr w:type="spellStart"/>
      <w:r w:rsidRPr="00927406">
        <w:t>tw</w:t>
      </w:r>
      <w:proofErr w:type="spellEnd"/>
      <w:r w:rsidRPr="00927406">
        <w:t xml:space="preserve"> </w:t>
      </w:r>
      <w:proofErr w:type="gramStart"/>
      <w:r w:rsidRPr="00927406">
        <w:t>years,</w:t>
      </w:r>
      <w:proofErr w:type="gramEnd"/>
      <w:r w:rsidRPr="00927406">
        <w:t xml:space="preserve"> provided they are not lower than those established by the LC (article 7, paragraph 5). </w:t>
      </w:r>
    </w:p>
    <w:p w:rsidR="0000396A" w:rsidRPr="00927406" w:rsidRDefault="00282FD5" w:rsidP="00282FD5">
      <w:pPr>
        <w:ind w:left="360"/>
        <w:jc w:val="both"/>
      </w:pPr>
      <w:r w:rsidRPr="00927406">
        <w:t>[One year after the entry into force of the Law 23/2012, on 20 September 2013, the Constitutional Court considered it unconstitutional on several issues (Judgment 602/2013) including paragraphs 2, 3 and 5 of article 7 on the grounds that they violated the right to collective bargaining (article 18, paragraph 2, and article 56, paragraph 3 and 4 of the Portuguese Constitution). However, limits to collective agreements in relation to severance pay and overtime payment were accepted by the Constitutional Court.]</w:t>
      </w:r>
    </w:p>
    <w:p w:rsidR="00282FD5" w:rsidRPr="00927406" w:rsidRDefault="00282FD5" w:rsidP="00282FD5">
      <w:pPr>
        <w:ind w:left="360"/>
        <w:jc w:val="both"/>
        <w:rPr>
          <w:lang w:val="en-US"/>
        </w:rPr>
      </w:pPr>
    </w:p>
    <w:p w:rsidR="00747BC2" w:rsidRPr="00927406" w:rsidRDefault="000C05A1" w:rsidP="00AF626E">
      <w:pPr>
        <w:pStyle w:val="PargrafodaLista"/>
        <w:numPr>
          <w:ilvl w:val="1"/>
          <w:numId w:val="4"/>
        </w:numPr>
        <w:jc w:val="both"/>
        <w:rPr>
          <w:lang w:val="en-US"/>
        </w:rPr>
      </w:pPr>
      <w:r w:rsidRPr="00927406">
        <w:rPr>
          <w:lang w:val="en-US"/>
        </w:rPr>
        <w:t>F</w:t>
      </w:r>
      <w:r w:rsidR="00747BC2" w:rsidRPr="00927406">
        <w:rPr>
          <w:lang w:val="en-US"/>
        </w:rPr>
        <w:t>reezing of salary increases for public service workers and civil servants;</w:t>
      </w:r>
    </w:p>
    <w:p w:rsidR="0000396A" w:rsidRPr="00927406" w:rsidRDefault="0000396A" w:rsidP="000C05A1">
      <w:pPr>
        <w:jc w:val="both"/>
        <w:rPr>
          <w:lang w:val="en-US"/>
        </w:rPr>
      </w:pPr>
    </w:p>
    <w:p w:rsidR="0000396A" w:rsidRPr="00927406" w:rsidRDefault="0000396A" w:rsidP="0000396A">
      <w:pPr>
        <w:pStyle w:val="PargrafodaLista"/>
        <w:numPr>
          <w:ilvl w:val="0"/>
          <w:numId w:val="3"/>
        </w:numPr>
        <w:jc w:val="both"/>
      </w:pPr>
      <w:r w:rsidRPr="00927406">
        <w:t>Law 12-A/2008</w:t>
      </w:r>
      <w:r w:rsidR="00AF626E" w:rsidRPr="00927406">
        <w:t xml:space="preserve"> </w:t>
      </w:r>
      <w:r w:rsidRPr="00927406">
        <w:t>established two types of employment relationship in the public sector – by appointment (limited to the core functions) and by employment contract;</w:t>
      </w:r>
    </w:p>
    <w:p w:rsidR="0000396A" w:rsidRPr="00927406" w:rsidRDefault="003C6B87" w:rsidP="0000396A">
      <w:pPr>
        <w:pStyle w:val="PargrafodaLista"/>
        <w:numPr>
          <w:ilvl w:val="0"/>
          <w:numId w:val="3"/>
        </w:numPr>
        <w:jc w:val="both"/>
        <w:rPr>
          <w:lang w:val="en-US"/>
        </w:rPr>
      </w:pPr>
      <w:r w:rsidRPr="00927406">
        <w:rPr>
          <w:lang w:val="en-US"/>
        </w:rPr>
        <w:t xml:space="preserve">2011 budget until 2016: </w:t>
      </w:r>
      <w:r w:rsidR="00373A9A" w:rsidRPr="00927406">
        <w:rPr>
          <w:lang w:val="en-US"/>
        </w:rPr>
        <w:t>N</w:t>
      </w:r>
      <w:r w:rsidR="0000396A" w:rsidRPr="00927406">
        <w:rPr>
          <w:lang w:val="en-US"/>
        </w:rPr>
        <w:t>ominal cuts (between 3.5% and 10%) in public sector wages above 1500 Euros.</w:t>
      </w:r>
    </w:p>
    <w:p w:rsidR="003C6B87" w:rsidRPr="00927406" w:rsidRDefault="003C6B87" w:rsidP="0000396A">
      <w:pPr>
        <w:pStyle w:val="PargrafodaLista"/>
        <w:numPr>
          <w:ilvl w:val="0"/>
          <w:numId w:val="3"/>
        </w:numPr>
        <w:jc w:val="both"/>
        <w:rPr>
          <w:lang w:val="en-US"/>
        </w:rPr>
      </w:pPr>
      <w:r w:rsidRPr="00927406">
        <w:rPr>
          <w:lang w:val="en-US"/>
        </w:rPr>
        <w:t>2012:</w:t>
      </w:r>
      <w:r w:rsidRPr="00927406">
        <w:t xml:space="preserve"> Christmas bonuses were cut by 50%; and in 2012 Christmas and holiday bonuses (adding the equivalent of two months’ salary to the annual income of workers) were suspended, a measure of which implementation in 2013 was overturned by the Constitutional Court (Judgment 353/2012).</w:t>
      </w:r>
    </w:p>
    <w:p w:rsidR="003C6B87" w:rsidRPr="00927406" w:rsidRDefault="003C6B87" w:rsidP="0000396A">
      <w:pPr>
        <w:pStyle w:val="PargrafodaLista"/>
        <w:numPr>
          <w:ilvl w:val="0"/>
          <w:numId w:val="3"/>
        </w:numPr>
        <w:jc w:val="both"/>
        <w:rPr>
          <w:lang w:val="en-US"/>
        </w:rPr>
      </w:pPr>
      <w:r w:rsidRPr="00927406">
        <w:t>In 2013, the government increased the weekly working hours for the public sector from 35 to 40 hours with no equivalent wage increase, therefore reducing in practice the sector hourly wage (Law 68/2013).</w:t>
      </w:r>
    </w:p>
    <w:p w:rsidR="003C6B87" w:rsidRPr="00927406" w:rsidRDefault="003C6B87" w:rsidP="0000396A">
      <w:pPr>
        <w:pStyle w:val="PargrafodaLista"/>
        <w:numPr>
          <w:ilvl w:val="0"/>
          <w:numId w:val="3"/>
        </w:numPr>
        <w:jc w:val="both"/>
        <w:rPr>
          <w:lang w:val="en-US"/>
        </w:rPr>
      </w:pPr>
      <w:r w:rsidRPr="00927406">
        <w:t xml:space="preserve">In 2014, the government extended the nominal cuts </w:t>
      </w:r>
      <w:r w:rsidRPr="00927406">
        <w:rPr>
          <w:lang w:val="en-US"/>
        </w:rPr>
        <w:t xml:space="preserve">%) in the public sector </w:t>
      </w:r>
      <w:r w:rsidRPr="00927406">
        <w:t xml:space="preserve">to wages above 675 Euros, a measure which the Constitutional Court overturned declaring it unconstitutional (Judgment 413/2014). </w:t>
      </w:r>
    </w:p>
    <w:p w:rsidR="003C6B87" w:rsidRPr="00927406" w:rsidRDefault="003C6B87" w:rsidP="003C6B87">
      <w:pPr>
        <w:pStyle w:val="PargrafodaLista"/>
        <w:numPr>
          <w:ilvl w:val="0"/>
          <w:numId w:val="3"/>
        </w:numPr>
        <w:jc w:val="both"/>
        <w:rPr>
          <w:lang w:val="en-US"/>
        </w:rPr>
      </w:pPr>
      <w:r w:rsidRPr="00927406">
        <w:rPr>
          <w:lang w:val="en-US"/>
        </w:rPr>
        <w:t xml:space="preserve">Collective bargaining was </w:t>
      </w:r>
      <w:proofErr w:type="spellStart"/>
      <w:r w:rsidRPr="00927406">
        <w:rPr>
          <w:lang w:val="en-US"/>
        </w:rPr>
        <w:t>paralysed</w:t>
      </w:r>
      <w:proofErr w:type="spellEnd"/>
      <w:r w:rsidRPr="00927406">
        <w:rPr>
          <w:lang w:val="en-US"/>
        </w:rPr>
        <w:t xml:space="preserve">. Wage freeze and wage nominal cuts were not negotiated. The government blocked, in 2014 and 2015, the collective agreements signed in local administration for the return of the weekly working time of 35 hours, following the entry in force of Law 68/2013 and Law 35/2014. Claiming the right to interfere on collective bargaining in local administration, the government blockaded around 500 collective local agreements in this period. Eventually, in October 2015, the Constitutional Court considered unconstitutional the government’s interference in collective bargaining in local administration (Judgment 494/2015). </w:t>
      </w:r>
    </w:p>
    <w:p w:rsidR="003C6B87" w:rsidRPr="00927406" w:rsidRDefault="003C6B87" w:rsidP="003C6B87">
      <w:pPr>
        <w:pStyle w:val="PargrafodaLista"/>
        <w:numPr>
          <w:ilvl w:val="0"/>
          <w:numId w:val="3"/>
        </w:numPr>
        <w:jc w:val="both"/>
        <w:rPr>
          <w:lang w:val="en-US"/>
        </w:rPr>
      </w:pPr>
      <w:r w:rsidRPr="00927406">
        <w:t>Law 35/2014 redefined employment relations in the public sector aligning them mostly with the changes to the LC of 2009 resulting from the Law 23/2012.</w:t>
      </w:r>
    </w:p>
    <w:p w:rsidR="001F7207" w:rsidRPr="00927406" w:rsidRDefault="001F7207" w:rsidP="003C6B87">
      <w:pPr>
        <w:pStyle w:val="PargrafodaLista"/>
        <w:numPr>
          <w:ilvl w:val="0"/>
          <w:numId w:val="3"/>
        </w:numPr>
        <w:jc w:val="both"/>
        <w:rPr>
          <w:lang w:val="en-US"/>
        </w:rPr>
      </w:pPr>
      <w:r w:rsidRPr="00927406">
        <w:rPr>
          <w:lang w:val="en-US"/>
        </w:rPr>
        <w:t xml:space="preserve">Law 35/2014 introduced </w:t>
      </w:r>
      <w:r w:rsidRPr="00927406">
        <w:rPr>
          <w:i/>
          <w:iCs/>
          <w:lang w:val="en-US"/>
        </w:rPr>
        <w:t xml:space="preserve">de facto </w:t>
      </w:r>
      <w:r w:rsidRPr="00927406">
        <w:rPr>
          <w:lang w:val="en-US"/>
        </w:rPr>
        <w:t>unpaid working time through the reduction of the vacation period by three days and the cut of four public holidays (both without income compensation) and the reduction by half on overtime payments.</w:t>
      </w:r>
    </w:p>
    <w:p w:rsidR="003C6B87" w:rsidRPr="00927406" w:rsidRDefault="003C6B87" w:rsidP="003C6B87">
      <w:pPr>
        <w:pStyle w:val="PargrafodaLista"/>
        <w:jc w:val="both"/>
        <w:rPr>
          <w:lang w:val="en-US"/>
        </w:rPr>
      </w:pPr>
    </w:p>
    <w:p w:rsidR="00747BC2" w:rsidRDefault="0000396A" w:rsidP="004D52D8">
      <w:pPr>
        <w:pStyle w:val="PargrafodaLista"/>
        <w:numPr>
          <w:ilvl w:val="1"/>
          <w:numId w:val="4"/>
        </w:numPr>
        <w:jc w:val="both"/>
        <w:rPr>
          <w:lang w:val="en-US"/>
        </w:rPr>
      </w:pPr>
      <w:r w:rsidRPr="00927406">
        <w:rPr>
          <w:lang w:val="en-US"/>
        </w:rPr>
        <w:t>R</w:t>
      </w:r>
      <w:r w:rsidR="00747BC2" w:rsidRPr="00927406">
        <w:rPr>
          <w:lang w:val="en-US"/>
        </w:rPr>
        <w:t>eduction of the number of people employed in the public service;</w:t>
      </w:r>
    </w:p>
    <w:p w:rsidR="00790818" w:rsidRPr="00927406" w:rsidRDefault="00790818" w:rsidP="00790818">
      <w:pPr>
        <w:pStyle w:val="PargrafodaLista"/>
        <w:ind w:left="360"/>
        <w:jc w:val="both"/>
        <w:rPr>
          <w:lang w:val="en-US"/>
        </w:rPr>
      </w:pPr>
    </w:p>
    <w:p w:rsidR="00B53253" w:rsidRDefault="000F7AFD" w:rsidP="00E33E58">
      <w:pPr>
        <w:pStyle w:val="PargrafodaLista"/>
        <w:numPr>
          <w:ilvl w:val="0"/>
          <w:numId w:val="3"/>
        </w:numPr>
        <w:jc w:val="both"/>
        <w:rPr>
          <w:lang w:val="pt-PT"/>
        </w:rPr>
      </w:pPr>
      <w:r w:rsidRPr="00927406">
        <w:rPr>
          <w:lang w:val="en-US"/>
        </w:rPr>
        <w:t>Employment in the public service decreased under the MoU, from</w:t>
      </w:r>
      <w:r w:rsidR="00B53253" w:rsidRPr="00927406">
        <w:rPr>
          <w:lang w:val="en-US"/>
        </w:rPr>
        <w:t xml:space="preserve"> 727.173</w:t>
      </w:r>
      <w:r w:rsidRPr="00927406">
        <w:rPr>
          <w:lang w:val="en-US"/>
        </w:rPr>
        <w:t xml:space="preserve">, in December 2011, to </w:t>
      </w:r>
      <w:r w:rsidR="00B53253" w:rsidRPr="00927406">
        <w:rPr>
          <w:lang w:val="en-US"/>
        </w:rPr>
        <w:t xml:space="preserve">655.914, </w:t>
      </w:r>
      <w:r w:rsidRPr="00927406">
        <w:rPr>
          <w:lang w:val="en-US"/>
        </w:rPr>
        <w:t>in December 2014</w:t>
      </w:r>
      <w:r w:rsidR="00B53253" w:rsidRPr="00927406">
        <w:rPr>
          <w:lang w:val="en-US"/>
        </w:rPr>
        <w:t xml:space="preserve"> (-10%)</w:t>
      </w:r>
      <w:r w:rsidRPr="00927406">
        <w:rPr>
          <w:lang w:val="en-US"/>
        </w:rPr>
        <w:t xml:space="preserve">. The present figure (June 2016) is </w:t>
      </w:r>
      <w:r w:rsidR="00B53253" w:rsidRPr="00927406">
        <w:rPr>
          <w:lang w:val="en-US"/>
        </w:rPr>
        <w:t xml:space="preserve">659.149. The largest reduction (-26.818) was in education. </w:t>
      </w:r>
      <w:r w:rsidR="00B53253" w:rsidRPr="00927406">
        <w:rPr>
          <w:lang w:val="pt-PT"/>
        </w:rPr>
        <w:t>(</w:t>
      </w:r>
      <w:proofErr w:type="spellStart"/>
      <w:r w:rsidR="00B53253" w:rsidRPr="00927406">
        <w:rPr>
          <w:lang w:val="pt-PT"/>
        </w:rPr>
        <w:t>Source</w:t>
      </w:r>
      <w:proofErr w:type="spellEnd"/>
      <w:r w:rsidR="00B53253" w:rsidRPr="00927406">
        <w:rPr>
          <w:lang w:val="pt-PT"/>
        </w:rPr>
        <w:t xml:space="preserve">: Boletim Estatístico do Emprego Público - BOEP n.º 14 (nova série), </w:t>
      </w:r>
      <w:proofErr w:type="spellStart"/>
      <w:r w:rsidR="00B53253" w:rsidRPr="00927406">
        <w:rPr>
          <w:lang w:val="pt-PT"/>
        </w:rPr>
        <w:t>available</w:t>
      </w:r>
      <w:proofErr w:type="spellEnd"/>
      <w:r w:rsidR="00B53253" w:rsidRPr="00927406">
        <w:rPr>
          <w:lang w:val="pt-PT"/>
        </w:rPr>
        <w:t xml:space="preserve"> </w:t>
      </w:r>
      <w:proofErr w:type="spellStart"/>
      <w:r w:rsidR="00B53253" w:rsidRPr="00927406">
        <w:rPr>
          <w:lang w:val="pt-PT"/>
        </w:rPr>
        <w:t>at</w:t>
      </w:r>
      <w:proofErr w:type="spellEnd"/>
      <w:r w:rsidR="00B53253" w:rsidRPr="00927406">
        <w:rPr>
          <w:lang w:val="pt-PT"/>
        </w:rPr>
        <w:t xml:space="preserve"> </w:t>
      </w:r>
      <w:hyperlink r:id="rId8" w:history="1">
        <w:r w:rsidR="000F43D2" w:rsidRPr="00027F5B">
          <w:rPr>
            <w:rStyle w:val="Hiperligao"/>
            <w:lang w:val="pt-PT"/>
          </w:rPr>
          <w:t>http://www.dgaep.gov.pt/index.cfm?OBJID=F82200C9-44AE-446E-A9FB-70C117898028&amp;ID=108</w:t>
        </w:r>
      </w:hyperlink>
    </w:p>
    <w:p w:rsidR="000F43D2" w:rsidRPr="00927406" w:rsidRDefault="000F43D2" w:rsidP="000F43D2">
      <w:pPr>
        <w:pStyle w:val="PargrafodaLista"/>
        <w:jc w:val="both"/>
        <w:rPr>
          <w:lang w:val="pt-PT"/>
        </w:rPr>
      </w:pPr>
    </w:p>
    <w:p w:rsidR="00747BC2" w:rsidRPr="00927406" w:rsidRDefault="0000396A" w:rsidP="0000396A">
      <w:pPr>
        <w:jc w:val="both"/>
        <w:rPr>
          <w:lang w:val="en-US"/>
        </w:rPr>
      </w:pPr>
      <w:r w:rsidRPr="00927406">
        <w:rPr>
          <w:lang w:val="en-US"/>
        </w:rPr>
        <w:t>1.6</w:t>
      </w:r>
      <w:r w:rsidR="00747BC2" w:rsidRPr="00927406">
        <w:rPr>
          <w:lang w:val="en-US"/>
        </w:rPr>
        <w:t xml:space="preserve"> </w:t>
      </w:r>
      <w:r w:rsidR="003C6B87" w:rsidRPr="00927406">
        <w:rPr>
          <w:lang w:val="en-US"/>
        </w:rPr>
        <w:t>F</w:t>
      </w:r>
      <w:r w:rsidR="00747BC2" w:rsidRPr="00927406">
        <w:rPr>
          <w:lang w:val="en-US"/>
        </w:rPr>
        <w:t xml:space="preserve">reezing or reduction of minimum wage; </w:t>
      </w:r>
    </w:p>
    <w:p w:rsidR="001F7207" w:rsidRPr="00927406" w:rsidRDefault="001F7207" w:rsidP="001F7207">
      <w:pPr>
        <w:pStyle w:val="Default"/>
        <w:rPr>
          <w:rFonts w:eastAsia="Times New Roman"/>
          <w:color w:val="auto"/>
          <w:sz w:val="20"/>
          <w:szCs w:val="20"/>
          <w:lang w:val="en-US"/>
        </w:rPr>
      </w:pPr>
    </w:p>
    <w:p w:rsidR="001F7207" w:rsidRPr="00927406" w:rsidRDefault="00B53253" w:rsidP="001F7207">
      <w:pPr>
        <w:pStyle w:val="Default"/>
        <w:numPr>
          <w:ilvl w:val="0"/>
          <w:numId w:val="5"/>
        </w:numPr>
        <w:jc w:val="both"/>
        <w:rPr>
          <w:sz w:val="20"/>
          <w:szCs w:val="20"/>
          <w:lang w:val="en-US"/>
        </w:rPr>
      </w:pPr>
      <w:r w:rsidRPr="00927406">
        <w:rPr>
          <w:sz w:val="20"/>
          <w:szCs w:val="20"/>
          <w:lang w:val="en-US"/>
        </w:rPr>
        <w:t>Under the MoU</w:t>
      </w:r>
      <w:r w:rsidR="001F7207" w:rsidRPr="00927406">
        <w:rPr>
          <w:sz w:val="20"/>
          <w:szCs w:val="20"/>
          <w:lang w:val="en-US"/>
        </w:rPr>
        <w:t xml:space="preserve"> (2011-2014) the national minimum wage was frozen at EUR 485 per month</w:t>
      </w:r>
      <w:r w:rsidR="00E33E58" w:rsidRPr="00927406">
        <w:rPr>
          <w:sz w:val="20"/>
          <w:szCs w:val="20"/>
          <w:lang w:val="en-US"/>
        </w:rPr>
        <w:t>. In 2015 it was raised to 505 euro, and in 2016 to 530 euro.</w:t>
      </w:r>
    </w:p>
    <w:p w:rsidR="004D52D8" w:rsidRPr="00927406" w:rsidRDefault="004D52D8" w:rsidP="0000396A">
      <w:pPr>
        <w:jc w:val="both"/>
        <w:rPr>
          <w:lang w:val="en-US"/>
        </w:rPr>
      </w:pPr>
    </w:p>
    <w:p w:rsidR="00747BC2" w:rsidRPr="00927406" w:rsidRDefault="0000396A" w:rsidP="0000396A">
      <w:pPr>
        <w:jc w:val="both"/>
        <w:rPr>
          <w:lang w:val="en-US"/>
        </w:rPr>
      </w:pPr>
      <w:r w:rsidRPr="00927406">
        <w:rPr>
          <w:lang w:val="en-US"/>
        </w:rPr>
        <w:t>1.7</w:t>
      </w:r>
      <w:r w:rsidR="00747BC2" w:rsidRPr="00927406">
        <w:rPr>
          <w:lang w:val="en-US"/>
        </w:rPr>
        <w:t xml:space="preserve"> </w:t>
      </w:r>
      <w:r w:rsidR="003C6B87" w:rsidRPr="00927406">
        <w:rPr>
          <w:lang w:val="en-US"/>
        </w:rPr>
        <w:t>P</w:t>
      </w:r>
      <w:r w:rsidR="00747BC2" w:rsidRPr="00927406">
        <w:rPr>
          <w:lang w:val="en-US"/>
        </w:rPr>
        <w:t xml:space="preserve">rivatization of state-owned or controlled businesses and services; </w:t>
      </w:r>
    </w:p>
    <w:p w:rsidR="003A5220" w:rsidRPr="00927406" w:rsidRDefault="003A5220" w:rsidP="0000396A">
      <w:pPr>
        <w:jc w:val="both"/>
        <w:rPr>
          <w:lang w:val="en-US"/>
        </w:rPr>
      </w:pPr>
    </w:p>
    <w:p w:rsidR="003A5220" w:rsidRPr="00927406" w:rsidRDefault="004D52D8" w:rsidP="00E33E58">
      <w:pPr>
        <w:pStyle w:val="PargrafodaLista"/>
        <w:numPr>
          <w:ilvl w:val="0"/>
          <w:numId w:val="3"/>
        </w:numPr>
        <w:jc w:val="both"/>
        <w:rPr>
          <w:lang w:val="en-US"/>
        </w:rPr>
      </w:pPr>
      <w:r w:rsidRPr="00927406">
        <w:rPr>
          <w:lang w:val="en-US"/>
        </w:rPr>
        <w:t xml:space="preserve">2011-2014 (as stipulated in the MoU): </w:t>
      </w:r>
      <w:r w:rsidR="003A5220" w:rsidRPr="00927406">
        <w:rPr>
          <w:lang w:val="en-US"/>
        </w:rPr>
        <w:t xml:space="preserve">EGF (waste treatment), EDP (Electricity Production), REN (Electricity distribution), CTT (mail), </w:t>
      </w:r>
      <w:proofErr w:type="spellStart"/>
      <w:r w:rsidR="003A5220" w:rsidRPr="00927406">
        <w:rPr>
          <w:lang w:val="en-US"/>
        </w:rPr>
        <w:t>Fidelidade</w:t>
      </w:r>
      <w:proofErr w:type="spellEnd"/>
      <w:r w:rsidR="003A5220" w:rsidRPr="00927406">
        <w:rPr>
          <w:lang w:val="en-US"/>
        </w:rPr>
        <w:t xml:space="preserve"> (insurance), ANA (airports), CP </w:t>
      </w:r>
      <w:proofErr w:type="spellStart"/>
      <w:r w:rsidR="003A5220" w:rsidRPr="00927406">
        <w:rPr>
          <w:lang w:val="en-US"/>
        </w:rPr>
        <w:t>Carga</w:t>
      </w:r>
      <w:proofErr w:type="spellEnd"/>
      <w:r w:rsidR="003A5220" w:rsidRPr="00927406">
        <w:rPr>
          <w:lang w:val="en-US"/>
        </w:rPr>
        <w:t xml:space="preserve"> (railroad cargo), TAP (airline, partially reversed in 2016)</w:t>
      </w:r>
      <w:r w:rsidRPr="00927406">
        <w:rPr>
          <w:lang w:val="en-US"/>
        </w:rPr>
        <w:t>. The total proceeds amounted to 10 billion euro.</w:t>
      </w:r>
    </w:p>
    <w:p w:rsidR="003A5220" w:rsidRPr="00927406" w:rsidRDefault="003A5220" w:rsidP="0000396A">
      <w:pPr>
        <w:jc w:val="both"/>
        <w:rPr>
          <w:lang w:val="en-US"/>
        </w:rPr>
      </w:pPr>
    </w:p>
    <w:p w:rsidR="00747BC2" w:rsidRPr="00927406" w:rsidRDefault="0000396A" w:rsidP="0000396A">
      <w:pPr>
        <w:jc w:val="both"/>
        <w:rPr>
          <w:lang w:val="en-US"/>
        </w:rPr>
      </w:pPr>
      <w:r w:rsidRPr="00927406">
        <w:rPr>
          <w:lang w:val="en-US"/>
        </w:rPr>
        <w:t>1.</w:t>
      </w:r>
      <w:r w:rsidR="000F7AFD" w:rsidRPr="00927406">
        <w:rPr>
          <w:lang w:val="en-US"/>
        </w:rPr>
        <w:t xml:space="preserve">8 </w:t>
      </w:r>
      <w:r w:rsidRPr="00927406">
        <w:rPr>
          <w:lang w:val="en-US"/>
        </w:rPr>
        <w:t>R</w:t>
      </w:r>
      <w:r w:rsidR="00747BC2" w:rsidRPr="00927406">
        <w:rPr>
          <w:lang w:val="en-US"/>
        </w:rPr>
        <w:t>eform of system of unemployment and/or social security benefits;</w:t>
      </w:r>
    </w:p>
    <w:p w:rsidR="0000396A" w:rsidRPr="00927406" w:rsidRDefault="0000396A" w:rsidP="0000396A">
      <w:pPr>
        <w:jc w:val="both"/>
        <w:rPr>
          <w:lang w:val="en-US"/>
        </w:rPr>
      </w:pPr>
    </w:p>
    <w:p w:rsidR="0000396A" w:rsidRPr="00927406" w:rsidRDefault="0000396A" w:rsidP="0000396A">
      <w:pPr>
        <w:pStyle w:val="Default"/>
        <w:numPr>
          <w:ilvl w:val="0"/>
          <w:numId w:val="3"/>
        </w:numPr>
        <w:rPr>
          <w:sz w:val="20"/>
          <w:szCs w:val="20"/>
          <w:lang w:val="en-US"/>
        </w:rPr>
      </w:pPr>
      <w:r w:rsidRPr="00927406">
        <w:rPr>
          <w:sz w:val="20"/>
          <w:szCs w:val="20"/>
          <w:lang w:val="en-US"/>
        </w:rPr>
        <w:t>In 2009, temporary measures to address raising unemployment extending the period during which claimants were entitled to receive unemployment insurance (UI) and unemployment assistance (UA) and increasing the coverage of UI by reducing the number of days a claimant must have worked to be eligible (withdrawn in March 2010.</w:t>
      </w:r>
    </w:p>
    <w:p w:rsidR="0000396A" w:rsidRPr="00927406" w:rsidRDefault="0000396A" w:rsidP="0000396A">
      <w:pPr>
        <w:pStyle w:val="Default"/>
        <w:numPr>
          <w:ilvl w:val="0"/>
          <w:numId w:val="3"/>
        </w:numPr>
        <w:rPr>
          <w:sz w:val="20"/>
          <w:szCs w:val="20"/>
          <w:lang w:val="en-US"/>
        </w:rPr>
      </w:pPr>
      <w:r w:rsidRPr="00927406">
        <w:rPr>
          <w:sz w:val="20"/>
          <w:szCs w:val="20"/>
          <w:lang w:val="en-US"/>
        </w:rPr>
        <w:t>Decree-Law 7</w:t>
      </w:r>
      <w:r w:rsidR="00790818">
        <w:rPr>
          <w:sz w:val="20"/>
          <w:szCs w:val="20"/>
          <w:lang w:val="en-US"/>
        </w:rPr>
        <w:t xml:space="preserve">2/2010 published in June 2010: </w:t>
      </w:r>
      <w:r w:rsidRPr="00927406">
        <w:rPr>
          <w:sz w:val="20"/>
          <w:szCs w:val="20"/>
          <w:lang w:val="en-US"/>
        </w:rPr>
        <w:t>change</w:t>
      </w:r>
      <w:r w:rsidR="00790818">
        <w:rPr>
          <w:sz w:val="20"/>
          <w:szCs w:val="20"/>
          <w:lang w:val="en-US"/>
        </w:rPr>
        <w:t>d</w:t>
      </w:r>
      <w:r w:rsidRPr="00927406">
        <w:rPr>
          <w:sz w:val="20"/>
          <w:szCs w:val="20"/>
          <w:lang w:val="en-US"/>
        </w:rPr>
        <w:t xml:space="preserve"> the basis of calculation of UI, limiting it to no more than 75% of the net amount earned during the claimant’s previous job (instead of the previous maximum of 65% of gross earnings) and to no more than three times the value of the social support index (IAS), which in 2010 was set at €419.22 per month; and the obligation of beneficiaries to accept a job offer even if the wage was only 10% higher than their UI (when previously the wage had to be 25% higher). </w:t>
      </w:r>
    </w:p>
    <w:p w:rsidR="00855345" w:rsidRPr="00927406" w:rsidRDefault="00855345" w:rsidP="00855345">
      <w:pPr>
        <w:pStyle w:val="Default"/>
        <w:numPr>
          <w:ilvl w:val="0"/>
          <w:numId w:val="3"/>
        </w:numPr>
        <w:rPr>
          <w:rFonts w:eastAsia="Times New Roman"/>
          <w:color w:val="auto"/>
          <w:sz w:val="20"/>
          <w:szCs w:val="20"/>
          <w:lang w:val="en-US"/>
        </w:rPr>
      </w:pPr>
      <w:r w:rsidRPr="00927406">
        <w:rPr>
          <w:rFonts w:eastAsia="Times New Roman"/>
          <w:color w:val="auto"/>
          <w:sz w:val="20"/>
          <w:szCs w:val="20"/>
          <w:lang w:val="en-US"/>
        </w:rPr>
        <w:t>Law 64/2012 reduced unemployment protection – the amount of the unemployment benefit and the duration of the unemployment benefit – and reduced the necessary contributory period to access unemployment benefits from 450 days to 360 days.</w:t>
      </w:r>
    </w:p>
    <w:p w:rsidR="001A4F9B" w:rsidRPr="00927406" w:rsidRDefault="001A4F9B" w:rsidP="003C6B87">
      <w:pPr>
        <w:jc w:val="both"/>
        <w:rPr>
          <w:lang w:val="en-US"/>
        </w:rPr>
      </w:pPr>
    </w:p>
    <w:p w:rsidR="001A4F9B" w:rsidRPr="00927406" w:rsidRDefault="001A4F9B" w:rsidP="001A4F9B">
      <w:pPr>
        <w:jc w:val="both"/>
        <w:rPr>
          <w:b/>
          <w:lang w:val="en-US"/>
        </w:rPr>
      </w:pPr>
      <w:r w:rsidRPr="00927406">
        <w:rPr>
          <w:lang w:val="en-US"/>
        </w:rPr>
        <w:t xml:space="preserve">2. </w:t>
      </w:r>
      <w:r w:rsidRPr="00927406">
        <w:rPr>
          <w:b/>
          <w:lang w:val="en-US"/>
        </w:rPr>
        <w:t xml:space="preserve">Pease explain if the above mentioned reforms were implemented at the Government’s own </w:t>
      </w:r>
      <w:proofErr w:type="gramStart"/>
      <w:r w:rsidRPr="00927406">
        <w:rPr>
          <w:b/>
          <w:lang w:val="en-US"/>
        </w:rPr>
        <w:t>initiative,</w:t>
      </w:r>
      <w:proofErr w:type="gramEnd"/>
      <w:r w:rsidRPr="00927406">
        <w:rPr>
          <w:b/>
          <w:lang w:val="en-US"/>
        </w:rPr>
        <w:t xml:space="preserve"> or if they were part of </w:t>
      </w:r>
      <w:proofErr w:type="spellStart"/>
      <w:r w:rsidRPr="00927406">
        <w:rPr>
          <w:b/>
          <w:lang w:val="en-US"/>
        </w:rPr>
        <w:t>conditionalities</w:t>
      </w:r>
      <w:proofErr w:type="spellEnd"/>
      <w:r w:rsidRPr="00927406">
        <w:rPr>
          <w:b/>
          <w:lang w:val="en-US"/>
        </w:rPr>
        <w:t xml:space="preserve"> for emergency lending or other financial assistance from an international financial institution (IMF, ESM etc.) or responded to other factors?</w:t>
      </w:r>
    </w:p>
    <w:p w:rsidR="001A4F9B" w:rsidRPr="00927406" w:rsidRDefault="001A4F9B" w:rsidP="001A4F9B">
      <w:pPr>
        <w:jc w:val="both"/>
        <w:rPr>
          <w:lang w:val="en-US"/>
        </w:rPr>
      </w:pPr>
    </w:p>
    <w:p w:rsidR="001A4F9B" w:rsidRDefault="00790818" w:rsidP="001A4F9B">
      <w:pPr>
        <w:jc w:val="both"/>
        <w:rPr>
          <w:lang w:val="en-US"/>
        </w:rPr>
      </w:pPr>
      <w:r>
        <w:rPr>
          <w:lang w:val="en-US"/>
        </w:rPr>
        <w:t>M</w:t>
      </w:r>
      <w:r w:rsidR="001A4F9B" w:rsidRPr="00927406">
        <w:rPr>
          <w:lang w:val="en-US"/>
        </w:rPr>
        <w:t xml:space="preserve">ost reforms in this period were part of </w:t>
      </w:r>
      <w:proofErr w:type="spellStart"/>
      <w:r w:rsidR="001A4F9B" w:rsidRPr="00927406">
        <w:rPr>
          <w:lang w:val="en-US"/>
        </w:rPr>
        <w:t>conditionalities</w:t>
      </w:r>
      <w:proofErr w:type="spellEnd"/>
      <w:r w:rsidR="001A4F9B" w:rsidRPr="00927406">
        <w:rPr>
          <w:lang w:val="en-US"/>
        </w:rPr>
        <w:t xml:space="preserve"> of the MoU celebrated between Portugal and the troika institutions. </w:t>
      </w:r>
      <w:r>
        <w:rPr>
          <w:lang w:val="en-US"/>
        </w:rPr>
        <w:t xml:space="preserve">For a detailed specification see Campos Lima, Maria and Manuel </w:t>
      </w:r>
      <w:proofErr w:type="spellStart"/>
      <w:r>
        <w:rPr>
          <w:lang w:val="en-US"/>
        </w:rPr>
        <w:t>Abrantes</w:t>
      </w:r>
      <w:proofErr w:type="spellEnd"/>
      <w:r>
        <w:rPr>
          <w:lang w:val="en-US"/>
        </w:rPr>
        <w:t xml:space="preserve"> (2016), “DIADSE – Dialogue for Advancing Social Europe: country report Portugal.</w:t>
      </w:r>
    </w:p>
    <w:p w:rsidR="00790818" w:rsidRPr="00927406" w:rsidRDefault="00790818" w:rsidP="001A4F9B">
      <w:pPr>
        <w:jc w:val="both"/>
        <w:rPr>
          <w:lang w:val="en-US"/>
        </w:rPr>
      </w:pPr>
    </w:p>
    <w:p w:rsidR="001A4F9B" w:rsidRPr="00927406" w:rsidRDefault="001A4F9B" w:rsidP="001A4F9B">
      <w:pPr>
        <w:jc w:val="both"/>
        <w:rPr>
          <w:lang w:val="en-US"/>
        </w:rPr>
      </w:pPr>
      <w:r w:rsidRPr="00927406">
        <w:rPr>
          <w:lang w:val="en-US"/>
        </w:rPr>
        <w:t xml:space="preserve">3. </w:t>
      </w:r>
      <w:r w:rsidRPr="00927406">
        <w:rPr>
          <w:b/>
          <w:lang w:val="en-US"/>
        </w:rPr>
        <w:t>What kind of mechanisms for consultation with government representatives and financial institutions were used during the design and implementation of the above reforms? Could you provide a brief overview of the consultative process that accompanied the reform process?</w:t>
      </w:r>
      <w:r w:rsidRPr="00927406">
        <w:rPr>
          <w:lang w:val="en-US"/>
        </w:rPr>
        <w:t xml:space="preserve"> </w:t>
      </w:r>
    </w:p>
    <w:p w:rsidR="001A4F9B" w:rsidRPr="00927406" w:rsidRDefault="001A4F9B" w:rsidP="001A4F9B">
      <w:pPr>
        <w:jc w:val="both"/>
        <w:rPr>
          <w:lang w:val="en-US"/>
        </w:rPr>
      </w:pPr>
    </w:p>
    <w:p w:rsidR="001A4F9B" w:rsidRPr="00927406" w:rsidRDefault="00344661" w:rsidP="001A4F9B">
      <w:pPr>
        <w:jc w:val="both"/>
        <w:rPr>
          <w:lang w:val="en-US"/>
        </w:rPr>
      </w:pPr>
      <w:r w:rsidRPr="00927406">
        <w:rPr>
          <w:lang w:val="en-US"/>
        </w:rPr>
        <w:t>Until May 2011 t</w:t>
      </w:r>
      <w:r w:rsidR="001A4F9B" w:rsidRPr="00927406">
        <w:rPr>
          <w:lang w:val="en-US"/>
        </w:rPr>
        <w:t xml:space="preserve">he programs </w:t>
      </w:r>
      <w:r w:rsidRPr="00927406">
        <w:rPr>
          <w:lang w:val="en-US"/>
        </w:rPr>
        <w:t xml:space="preserve">(Stability and Growth Plans) were </w:t>
      </w:r>
      <w:r w:rsidR="001A4F9B" w:rsidRPr="00927406">
        <w:rPr>
          <w:lang w:val="en-US"/>
        </w:rPr>
        <w:t xml:space="preserve">designed </w:t>
      </w:r>
      <w:r w:rsidRPr="00927406">
        <w:rPr>
          <w:lang w:val="en-US"/>
        </w:rPr>
        <w:t>in consultation between the government and the EU institutions.</w:t>
      </w:r>
      <w:r w:rsidR="001A4F9B" w:rsidRPr="00927406">
        <w:rPr>
          <w:lang w:val="en-US"/>
        </w:rPr>
        <w:t xml:space="preserve"> </w:t>
      </w:r>
      <w:r w:rsidRPr="00927406">
        <w:rPr>
          <w:lang w:val="en-US"/>
        </w:rPr>
        <w:t xml:space="preserve">The MoU was negotiated between the government and the troika institutions, </w:t>
      </w:r>
      <w:r w:rsidR="004661BF" w:rsidRPr="00927406">
        <w:rPr>
          <w:lang w:val="en-US"/>
        </w:rPr>
        <w:t xml:space="preserve">subscribed by a caretaker government, </w:t>
      </w:r>
      <w:r w:rsidRPr="00927406">
        <w:rPr>
          <w:lang w:val="en-US"/>
        </w:rPr>
        <w:t>and never formally adopted in the Parliament. Eleven reviews of the MoU took place between May 2011 and May 2014, involving consultations between the representatives of the institutions, the government and social partners. During the program the IMF established a permanent</w:t>
      </w:r>
      <w:r w:rsidR="001A4F9B" w:rsidRPr="00927406">
        <w:rPr>
          <w:lang w:val="en-US"/>
        </w:rPr>
        <w:t xml:space="preserve"> </w:t>
      </w:r>
      <w:r w:rsidRPr="00927406">
        <w:rPr>
          <w:lang w:val="en-US"/>
        </w:rPr>
        <w:t>delegation in Lisbon.</w:t>
      </w:r>
    </w:p>
    <w:p w:rsidR="001A4F9B" w:rsidRPr="00927406" w:rsidRDefault="001A4F9B" w:rsidP="001A4F9B">
      <w:pPr>
        <w:jc w:val="both"/>
        <w:rPr>
          <w:lang w:val="en-US"/>
        </w:rPr>
      </w:pPr>
    </w:p>
    <w:p w:rsidR="001A4F9B" w:rsidRPr="00927406" w:rsidRDefault="001A4F9B" w:rsidP="001A4F9B">
      <w:pPr>
        <w:jc w:val="both"/>
        <w:rPr>
          <w:lang w:val="en-US"/>
        </w:rPr>
      </w:pPr>
      <w:r w:rsidRPr="00927406">
        <w:rPr>
          <w:lang w:val="en-US"/>
        </w:rPr>
        <w:t xml:space="preserve">4. </w:t>
      </w:r>
      <w:proofErr w:type="gramStart"/>
      <w:r w:rsidRPr="00927406">
        <w:rPr>
          <w:b/>
          <w:lang w:val="en-US"/>
        </w:rPr>
        <w:t>Has</w:t>
      </w:r>
      <w:proofErr w:type="gramEnd"/>
      <w:r w:rsidRPr="00927406">
        <w:rPr>
          <w:b/>
          <w:lang w:val="en-US"/>
        </w:rPr>
        <w:t xml:space="preserve"> your organization or the Government in your country evaluated the </w:t>
      </w:r>
      <w:proofErr w:type="spellStart"/>
      <w:r w:rsidRPr="00927406">
        <w:rPr>
          <w:b/>
          <w:lang w:val="en-US"/>
        </w:rPr>
        <w:t>programme’s</w:t>
      </w:r>
      <w:proofErr w:type="spellEnd"/>
      <w:r w:rsidRPr="00927406">
        <w:rPr>
          <w:b/>
          <w:lang w:val="en-US"/>
        </w:rPr>
        <w:t xml:space="preserve"> impact on economic and social rights? What have been t</w:t>
      </w:r>
      <w:r w:rsidR="00344661" w:rsidRPr="00927406">
        <w:rPr>
          <w:b/>
          <w:lang w:val="en-US"/>
        </w:rPr>
        <w:t xml:space="preserve">he results of your monitoring? </w:t>
      </w:r>
      <w:r w:rsidRPr="00927406">
        <w:rPr>
          <w:b/>
          <w:lang w:val="en-US"/>
        </w:rPr>
        <w:t>Could you explain the methodologies used and share impact assessment or evaluation reports?</w:t>
      </w:r>
      <w:r w:rsidRPr="00927406">
        <w:rPr>
          <w:lang w:val="en-US"/>
        </w:rPr>
        <w:t xml:space="preserve"> </w:t>
      </w:r>
    </w:p>
    <w:p w:rsidR="004661BF" w:rsidRPr="00927406" w:rsidRDefault="004661BF" w:rsidP="001A4F9B">
      <w:pPr>
        <w:jc w:val="both"/>
        <w:rPr>
          <w:lang w:val="en-US"/>
        </w:rPr>
      </w:pPr>
    </w:p>
    <w:p w:rsidR="004661BF" w:rsidRPr="00927406" w:rsidRDefault="004661BF" w:rsidP="001A4F9B">
      <w:pPr>
        <w:jc w:val="both"/>
        <w:rPr>
          <w:lang w:val="en-US"/>
        </w:rPr>
      </w:pPr>
      <w:r w:rsidRPr="00927406">
        <w:rPr>
          <w:lang w:val="en-US"/>
        </w:rPr>
        <w:t xml:space="preserve">The Observatory for Crises and Alternatives of CES, produced two reports, one in 2014 and the other in 2016, (available in Portuguese, see </w:t>
      </w:r>
      <w:hyperlink r:id="rId9" w:history="1">
        <w:r w:rsidRPr="00927406">
          <w:rPr>
            <w:rStyle w:val="Hiperligao"/>
            <w:lang w:val="en-US"/>
          </w:rPr>
          <w:t>http://www.almedina.net/catalog/product_info.php?products_id=30887</w:t>
        </w:r>
      </w:hyperlink>
      <w:r w:rsidRPr="00927406">
        <w:rPr>
          <w:lang w:val="en-US"/>
        </w:rPr>
        <w:t xml:space="preserve"> and </w:t>
      </w:r>
      <w:hyperlink r:id="rId10" w:history="1">
        <w:r w:rsidRPr="00927406">
          <w:rPr>
            <w:rStyle w:val="Hiperligao"/>
            <w:lang w:val="en-US"/>
          </w:rPr>
          <w:t>http://www.ces.uc.pt/cesalmedina/?id=10638</w:t>
        </w:r>
      </w:hyperlink>
      <w:r w:rsidR="00AF4CB7" w:rsidRPr="00927406">
        <w:rPr>
          <w:lang w:val="en-US"/>
        </w:rPr>
        <w:t>)</w:t>
      </w:r>
      <w:r w:rsidRPr="00927406">
        <w:rPr>
          <w:lang w:val="en-US"/>
        </w:rPr>
        <w:t>. Those report draw on statistical data, analysis of legislation and of reports produced by the troika institutions</w:t>
      </w:r>
      <w:r w:rsidR="00AF4CB7" w:rsidRPr="00927406">
        <w:rPr>
          <w:lang w:val="en-US"/>
        </w:rPr>
        <w:t>,</w:t>
      </w:r>
      <w:r w:rsidRPr="00927406">
        <w:rPr>
          <w:lang w:val="en-US"/>
        </w:rPr>
        <w:t xml:space="preserve"> to </w:t>
      </w:r>
      <w:r w:rsidR="00AF4CB7" w:rsidRPr="00927406">
        <w:rPr>
          <w:lang w:val="en-US"/>
        </w:rPr>
        <w:t>assess</w:t>
      </w:r>
      <w:r w:rsidRPr="00927406">
        <w:rPr>
          <w:lang w:val="en-US"/>
        </w:rPr>
        <w:t xml:space="preserve"> the social and economic impact of the MoU. </w:t>
      </w:r>
      <w:r w:rsidR="00AF4CB7" w:rsidRPr="00927406">
        <w:rPr>
          <w:lang w:val="en-US"/>
        </w:rPr>
        <w:t>Our b</w:t>
      </w:r>
      <w:r w:rsidRPr="00927406">
        <w:rPr>
          <w:lang w:val="en-US"/>
        </w:rPr>
        <w:t>asic findings</w:t>
      </w:r>
      <w:r w:rsidR="00AF4CB7" w:rsidRPr="00927406">
        <w:rPr>
          <w:lang w:val="en-US"/>
        </w:rPr>
        <w:t xml:space="preserve"> are the following</w:t>
      </w:r>
      <w:r w:rsidRPr="00927406">
        <w:rPr>
          <w:lang w:val="en-US"/>
        </w:rPr>
        <w:t>:</w:t>
      </w:r>
    </w:p>
    <w:p w:rsidR="00A976E1" w:rsidRPr="00927406" w:rsidRDefault="00A976E1" w:rsidP="004661BF">
      <w:pPr>
        <w:pStyle w:val="PargrafodaLista"/>
        <w:numPr>
          <w:ilvl w:val="0"/>
          <w:numId w:val="8"/>
        </w:numPr>
        <w:jc w:val="both"/>
        <w:rPr>
          <w:lang w:val="en-US"/>
        </w:rPr>
      </w:pPr>
      <w:r w:rsidRPr="00927406">
        <w:rPr>
          <w:lang w:val="en-US"/>
        </w:rPr>
        <w:t xml:space="preserve">External indebtedness fueled by capital flows from surplus countries in the euro area channeled mostly to real estate and construction was the root cause of the Portuguese crisis; </w:t>
      </w:r>
    </w:p>
    <w:p w:rsidR="00A976E1" w:rsidRPr="00927406" w:rsidRDefault="00A976E1" w:rsidP="004661BF">
      <w:pPr>
        <w:pStyle w:val="PargrafodaLista"/>
        <w:numPr>
          <w:ilvl w:val="0"/>
          <w:numId w:val="8"/>
        </w:numPr>
        <w:jc w:val="both"/>
        <w:rPr>
          <w:lang w:val="en-US"/>
        </w:rPr>
      </w:pPr>
      <w:r w:rsidRPr="00927406">
        <w:rPr>
          <w:lang w:val="en-US"/>
        </w:rPr>
        <w:t>The Portuguese bailout was triggered by a liquidity crisis affecting the highly indebted baking sector, not by a solvency crisis of the state;</w:t>
      </w:r>
    </w:p>
    <w:p w:rsidR="004661BF" w:rsidRPr="00927406" w:rsidRDefault="00A976E1" w:rsidP="004661BF">
      <w:pPr>
        <w:pStyle w:val="PargrafodaLista"/>
        <w:numPr>
          <w:ilvl w:val="0"/>
          <w:numId w:val="8"/>
        </w:numPr>
        <w:jc w:val="both"/>
        <w:rPr>
          <w:lang w:val="en-US"/>
        </w:rPr>
      </w:pPr>
      <w:r w:rsidRPr="00927406">
        <w:rPr>
          <w:lang w:val="en-US"/>
        </w:rPr>
        <w:t>Aiming at a “frontloaded” fiscal consolidation and internal devaluation</w:t>
      </w:r>
      <w:r w:rsidR="00AF4CB7" w:rsidRPr="00927406">
        <w:rPr>
          <w:lang w:val="en-US"/>
        </w:rPr>
        <w:t>,</w:t>
      </w:r>
      <w:r w:rsidRPr="00927406">
        <w:rPr>
          <w:lang w:val="en-US"/>
        </w:rPr>
        <w:t xml:space="preserve"> the bailout produced recession, unemployment and emigration </w:t>
      </w:r>
      <w:r w:rsidR="00AF4CB7" w:rsidRPr="00927406">
        <w:rPr>
          <w:lang w:val="en-US"/>
        </w:rPr>
        <w:t>at</w:t>
      </w:r>
      <w:r w:rsidRPr="00927406">
        <w:rPr>
          <w:lang w:val="en-US"/>
        </w:rPr>
        <w:t xml:space="preserve"> levels that far exceeded the troika forecasts;</w:t>
      </w:r>
    </w:p>
    <w:p w:rsidR="00A976E1" w:rsidRPr="00927406" w:rsidRDefault="00A976E1" w:rsidP="004661BF">
      <w:pPr>
        <w:pStyle w:val="PargrafodaLista"/>
        <w:numPr>
          <w:ilvl w:val="0"/>
          <w:numId w:val="8"/>
        </w:numPr>
        <w:jc w:val="both"/>
        <w:rPr>
          <w:lang w:val="en-US"/>
        </w:rPr>
      </w:pPr>
      <w:r w:rsidRPr="00927406">
        <w:rPr>
          <w:lang w:val="en-US"/>
        </w:rPr>
        <w:t xml:space="preserve">Due mostly to </w:t>
      </w:r>
      <w:r w:rsidR="00AF4CB7" w:rsidRPr="00927406">
        <w:rPr>
          <w:lang w:val="en-US"/>
        </w:rPr>
        <w:t>the reduction</w:t>
      </w:r>
      <w:r w:rsidRPr="00927406">
        <w:rPr>
          <w:lang w:val="en-US"/>
        </w:rPr>
        <w:t xml:space="preserve"> of internal demand</w:t>
      </w:r>
      <w:r w:rsidR="00AF4CB7" w:rsidRPr="00927406">
        <w:rPr>
          <w:lang w:val="en-US"/>
        </w:rPr>
        <w:t>,</w:t>
      </w:r>
      <w:r w:rsidRPr="00927406">
        <w:rPr>
          <w:lang w:val="en-US"/>
        </w:rPr>
        <w:t xml:space="preserve"> the current account balance improved, but the debt (public and private) increased substantially, the situation of the baking sector further deteriorated due to non-performing loans;</w:t>
      </w:r>
    </w:p>
    <w:p w:rsidR="00A976E1" w:rsidRPr="00927406" w:rsidRDefault="00AF4CB7" w:rsidP="004661BF">
      <w:pPr>
        <w:pStyle w:val="PargrafodaLista"/>
        <w:numPr>
          <w:ilvl w:val="0"/>
          <w:numId w:val="8"/>
        </w:numPr>
        <w:jc w:val="both"/>
        <w:rPr>
          <w:lang w:val="en-US"/>
        </w:rPr>
      </w:pPr>
      <w:r w:rsidRPr="00927406">
        <w:rPr>
          <w:lang w:val="en-US"/>
        </w:rPr>
        <w:t xml:space="preserve">Overall the stock of capital and the active population have shrunk substantially, undermining the prospects for recovery. </w:t>
      </w:r>
      <w:r w:rsidR="00A976E1" w:rsidRPr="00927406">
        <w:rPr>
          <w:lang w:val="en-US"/>
        </w:rPr>
        <w:t xml:space="preserve"> </w:t>
      </w:r>
    </w:p>
    <w:p w:rsidR="00AF4CB7" w:rsidRPr="00927406" w:rsidRDefault="00AF4CB7" w:rsidP="001A4F9B">
      <w:pPr>
        <w:jc w:val="both"/>
        <w:rPr>
          <w:lang w:val="en-US"/>
        </w:rPr>
      </w:pPr>
      <w:r w:rsidRPr="00927406">
        <w:rPr>
          <w:lang w:val="en-US"/>
        </w:rPr>
        <w:t xml:space="preserve">The government failed to produce any overall assessment of the MoU. The IMF has produced relevant assessments: </w:t>
      </w:r>
    </w:p>
    <w:p w:rsidR="00AF4CB7" w:rsidRPr="00927406" w:rsidRDefault="00AF4CB7" w:rsidP="001A4F9B">
      <w:pPr>
        <w:jc w:val="both"/>
        <w:rPr>
          <w:lang w:val="en-US"/>
        </w:rPr>
      </w:pPr>
      <w:r w:rsidRPr="00927406">
        <w:rPr>
          <w:lang w:val="en-US"/>
        </w:rPr>
        <w:t>(</w:t>
      </w:r>
      <w:hyperlink r:id="rId11" w:history="1">
        <w:r w:rsidRPr="00927406">
          <w:rPr>
            <w:rStyle w:val="Hiperligao"/>
            <w:lang w:val="en-US"/>
          </w:rPr>
          <w:t>http://www.ieo-imf.org/ieo/pages/CompletedEvaluation267.aspx</w:t>
        </w:r>
      </w:hyperlink>
      <w:r w:rsidRPr="00927406">
        <w:rPr>
          <w:lang w:val="en-US"/>
        </w:rPr>
        <w:t xml:space="preserve"> and http://www.ieo-imf.org/ieo/files/completedevaluations/EAC__BP_16-02_05_The_Portuguese_Crisis_and_the_IMF%20v2.PDF)</w:t>
      </w:r>
    </w:p>
    <w:p w:rsidR="00AF4CB7" w:rsidRPr="00927406" w:rsidRDefault="00AF4CB7" w:rsidP="001A4F9B">
      <w:pPr>
        <w:jc w:val="both"/>
        <w:rPr>
          <w:lang w:val="en-US"/>
        </w:rPr>
      </w:pPr>
    </w:p>
    <w:p w:rsidR="001A4F9B" w:rsidRPr="00927406" w:rsidRDefault="001A4F9B" w:rsidP="001A4F9B">
      <w:pPr>
        <w:jc w:val="both"/>
        <w:rPr>
          <w:lang w:val="en-US"/>
        </w:rPr>
      </w:pPr>
      <w:r w:rsidRPr="00927406">
        <w:rPr>
          <w:lang w:val="en-US"/>
        </w:rPr>
        <w:t xml:space="preserve">5. </w:t>
      </w:r>
      <w:r w:rsidRPr="00927406">
        <w:rPr>
          <w:b/>
          <w:lang w:val="en-US"/>
        </w:rPr>
        <w:t>To what extent did the reforms have a positive or negative impact on the following rights contained in international human rights treaties</w:t>
      </w:r>
      <w:r w:rsidRPr="00927406">
        <w:rPr>
          <w:lang w:val="en-US"/>
        </w:rPr>
        <w:t xml:space="preserve">: </w:t>
      </w:r>
    </w:p>
    <w:p w:rsidR="007275F9" w:rsidRPr="00927406" w:rsidRDefault="007275F9" w:rsidP="001A4F9B">
      <w:pPr>
        <w:ind w:left="720"/>
        <w:jc w:val="both"/>
        <w:rPr>
          <w:lang w:val="en-US"/>
        </w:rPr>
      </w:pPr>
    </w:p>
    <w:p w:rsidR="001A4F9B" w:rsidRPr="00927406" w:rsidRDefault="001A4F9B" w:rsidP="001A4F9B">
      <w:pPr>
        <w:ind w:left="720"/>
        <w:jc w:val="both"/>
        <w:rPr>
          <w:lang w:val="en-US"/>
        </w:rPr>
      </w:pPr>
      <w:r w:rsidRPr="00927406">
        <w:rPr>
          <w:lang w:val="en-US"/>
        </w:rPr>
        <w:t>(</w:t>
      </w:r>
      <w:proofErr w:type="gramStart"/>
      <w:r w:rsidRPr="00927406">
        <w:rPr>
          <w:lang w:val="en-US"/>
        </w:rPr>
        <w:t>a</w:t>
      </w:r>
      <w:proofErr w:type="gramEnd"/>
      <w:r w:rsidRPr="00927406">
        <w:rPr>
          <w:lang w:val="en-US"/>
        </w:rPr>
        <w:t>) Freedom of association – workers have the right to form and join, without prior authorization, organizations of their own choosing for the defense of their occupational and industrial interests.</w:t>
      </w:r>
      <w:r w:rsidRPr="00927406" w:rsidDel="00E962BE">
        <w:rPr>
          <w:rStyle w:val="Refdenotaderodap"/>
          <w:lang w:val="en-US"/>
        </w:rPr>
        <w:footnoteReference w:id="1"/>
      </w:r>
    </w:p>
    <w:p w:rsidR="00AF4CB7" w:rsidRPr="00927406" w:rsidRDefault="00AF4CB7" w:rsidP="001A4F9B">
      <w:pPr>
        <w:ind w:left="720"/>
        <w:jc w:val="both"/>
        <w:rPr>
          <w:lang w:val="en-US"/>
        </w:rPr>
      </w:pPr>
    </w:p>
    <w:p w:rsidR="00AF4CB7" w:rsidRPr="00927406" w:rsidRDefault="00AF4CB7" w:rsidP="001A4F9B">
      <w:pPr>
        <w:ind w:left="720"/>
        <w:jc w:val="both"/>
        <w:rPr>
          <w:lang w:val="en-US"/>
        </w:rPr>
      </w:pPr>
      <w:r w:rsidRPr="00927406">
        <w:rPr>
          <w:lang w:val="en-US"/>
        </w:rPr>
        <w:t xml:space="preserve">No direct impact. However, a decline of the engagement of workers in trade unions and other associations reflects </w:t>
      </w:r>
      <w:r w:rsidR="007556EE" w:rsidRPr="00927406">
        <w:rPr>
          <w:lang w:val="en-US"/>
        </w:rPr>
        <w:t>a deterioration of the conditions for free exercise of rights within firms.</w:t>
      </w:r>
    </w:p>
    <w:p w:rsidR="00AF4CB7" w:rsidRPr="00927406" w:rsidRDefault="00AF4CB7" w:rsidP="001A4F9B">
      <w:pPr>
        <w:ind w:left="720"/>
        <w:jc w:val="both"/>
        <w:rPr>
          <w:lang w:val="en-US"/>
        </w:rPr>
      </w:pPr>
    </w:p>
    <w:p w:rsidR="001A4F9B" w:rsidRPr="00927406" w:rsidRDefault="001A4F9B" w:rsidP="001A4F9B">
      <w:pPr>
        <w:jc w:val="both"/>
        <w:rPr>
          <w:lang w:val="en-US"/>
        </w:rPr>
      </w:pPr>
      <w:r w:rsidRPr="00927406">
        <w:rPr>
          <w:lang w:val="en-US"/>
        </w:rPr>
        <w:tab/>
        <w:t>(b) Right to collective bargaining</w:t>
      </w:r>
      <w:r w:rsidRPr="00927406">
        <w:rPr>
          <w:rStyle w:val="Refdenotaderodap"/>
        </w:rPr>
        <w:footnoteReference w:id="2"/>
      </w:r>
    </w:p>
    <w:p w:rsidR="007275F9" w:rsidRPr="00927406" w:rsidRDefault="007275F9" w:rsidP="001A4F9B">
      <w:pPr>
        <w:jc w:val="both"/>
        <w:rPr>
          <w:lang w:val="en-US"/>
        </w:rPr>
      </w:pPr>
    </w:p>
    <w:p w:rsidR="007275F9" w:rsidRPr="00927406" w:rsidRDefault="007275F9" w:rsidP="007275F9">
      <w:pPr>
        <w:ind w:left="708"/>
        <w:jc w:val="both"/>
        <w:rPr>
          <w:lang w:val="en-US"/>
        </w:rPr>
      </w:pPr>
      <w:r w:rsidRPr="00927406">
        <w:rPr>
          <w:lang w:val="en-US"/>
        </w:rPr>
        <w:t xml:space="preserve">Negative impacts: on the coverage of labor relations by collective agreements, the transferring of collective bargaining to the level of the enterprise, the denial to enact of agreements of workers in municipal administration with the </w:t>
      </w:r>
      <w:r w:rsidR="00927406" w:rsidRPr="00927406">
        <w:rPr>
          <w:lang w:val="en-US"/>
        </w:rPr>
        <w:t>municipalities</w:t>
      </w:r>
      <w:r w:rsidRPr="00927406">
        <w:rPr>
          <w:lang w:val="en-US"/>
        </w:rPr>
        <w:t>.</w:t>
      </w:r>
    </w:p>
    <w:p w:rsidR="007275F9" w:rsidRPr="00927406" w:rsidRDefault="007275F9" w:rsidP="007275F9">
      <w:pPr>
        <w:ind w:left="708"/>
        <w:jc w:val="both"/>
        <w:rPr>
          <w:lang w:val="en-US"/>
        </w:rPr>
      </w:pPr>
      <w:r w:rsidRPr="00927406">
        <w:rPr>
          <w:lang w:val="en-US"/>
        </w:rPr>
        <w:t xml:space="preserve"> </w:t>
      </w:r>
    </w:p>
    <w:p w:rsidR="007275F9" w:rsidRPr="00927406" w:rsidRDefault="001A4F9B" w:rsidP="001A4F9B">
      <w:pPr>
        <w:jc w:val="both"/>
        <w:rPr>
          <w:lang w:val="en-US"/>
        </w:rPr>
      </w:pPr>
      <w:r w:rsidRPr="00927406">
        <w:rPr>
          <w:lang w:val="en-US"/>
        </w:rPr>
        <w:tab/>
        <w:t>(c) Right to strike in conformity with domestic laws</w:t>
      </w:r>
      <w:r w:rsidRPr="00927406">
        <w:rPr>
          <w:rStyle w:val="Refdenotaderodap"/>
          <w:lang w:val="en-US"/>
        </w:rPr>
        <w:footnoteReference w:id="3"/>
      </w:r>
    </w:p>
    <w:p w:rsidR="007275F9" w:rsidRPr="00927406" w:rsidRDefault="007275F9" w:rsidP="007275F9">
      <w:pPr>
        <w:ind w:left="708"/>
        <w:jc w:val="both"/>
        <w:rPr>
          <w:lang w:val="en-US"/>
        </w:rPr>
      </w:pPr>
    </w:p>
    <w:p w:rsidR="007275F9" w:rsidRPr="00927406" w:rsidRDefault="007275F9" w:rsidP="007275F9">
      <w:pPr>
        <w:ind w:left="708"/>
        <w:jc w:val="both"/>
        <w:rPr>
          <w:lang w:val="en-US"/>
        </w:rPr>
      </w:pPr>
      <w:r w:rsidRPr="00927406">
        <w:rPr>
          <w:lang w:val="en-US"/>
        </w:rPr>
        <w:t>No direct impact</w:t>
      </w:r>
    </w:p>
    <w:p w:rsidR="007275F9" w:rsidRPr="00927406" w:rsidRDefault="001A4F9B" w:rsidP="001A4F9B">
      <w:pPr>
        <w:jc w:val="both"/>
        <w:rPr>
          <w:lang w:val="en-US"/>
        </w:rPr>
      </w:pPr>
      <w:r w:rsidRPr="00927406">
        <w:rPr>
          <w:lang w:val="en-US"/>
        </w:rPr>
        <w:tab/>
      </w:r>
    </w:p>
    <w:p w:rsidR="001A4F9B" w:rsidRPr="00927406" w:rsidRDefault="001A4F9B" w:rsidP="007275F9">
      <w:pPr>
        <w:ind w:left="708"/>
        <w:jc w:val="both"/>
        <w:rPr>
          <w:lang w:val="en-US"/>
        </w:rPr>
      </w:pPr>
      <w:r w:rsidRPr="00927406">
        <w:rPr>
          <w:lang w:val="en-US"/>
        </w:rPr>
        <w:t>(d) Right to freedom of assembly</w:t>
      </w:r>
    </w:p>
    <w:p w:rsidR="00927406" w:rsidRDefault="00927406" w:rsidP="007275F9">
      <w:pPr>
        <w:ind w:left="708"/>
        <w:jc w:val="both"/>
        <w:rPr>
          <w:lang w:val="en-US"/>
        </w:rPr>
      </w:pPr>
    </w:p>
    <w:p w:rsidR="007275F9" w:rsidRPr="00927406" w:rsidRDefault="007275F9" w:rsidP="007275F9">
      <w:pPr>
        <w:ind w:left="708"/>
        <w:jc w:val="both"/>
        <w:rPr>
          <w:lang w:val="en-US"/>
        </w:rPr>
      </w:pPr>
      <w:r w:rsidRPr="00927406">
        <w:rPr>
          <w:lang w:val="en-US"/>
        </w:rPr>
        <w:t>No direct impact</w:t>
      </w:r>
    </w:p>
    <w:p w:rsidR="007275F9" w:rsidRPr="00927406" w:rsidRDefault="007275F9" w:rsidP="007275F9">
      <w:pPr>
        <w:ind w:left="708"/>
        <w:jc w:val="both"/>
        <w:rPr>
          <w:lang w:val="en-US"/>
        </w:rPr>
      </w:pPr>
    </w:p>
    <w:p w:rsidR="001A4F9B" w:rsidRPr="00927406" w:rsidRDefault="001A4F9B" w:rsidP="001A4F9B">
      <w:pPr>
        <w:ind w:left="720"/>
        <w:jc w:val="both"/>
        <w:rPr>
          <w:lang w:val="en-US"/>
        </w:rPr>
      </w:pPr>
      <w:r w:rsidRPr="00927406">
        <w:rPr>
          <w:lang w:val="en-US"/>
        </w:rPr>
        <w:t xml:space="preserve">(e) Right to just and </w:t>
      </w:r>
      <w:proofErr w:type="spellStart"/>
      <w:r w:rsidRPr="00927406">
        <w:rPr>
          <w:lang w:val="en-US"/>
        </w:rPr>
        <w:t>favourable</w:t>
      </w:r>
      <w:proofErr w:type="spellEnd"/>
      <w:r w:rsidRPr="00927406">
        <w:rPr>
          <w:lang w:val="en-US"/>
        </w:rPr>
        <w:t xml:space="preserve"> conditions of work (fair and decent living wages for workers and their families; safe and healthy working conditions; rest, leisure and reasonable limitation of working hours; etc.)</w:t>
      </w:r>
      <w:r w:rsidRPr="00927406">
        <w:rPr>
          <w:rStyle w:val="Refdenotaderodap"/>
          <w:lang w:val="en-US"/>
        </w:rPr>
        <w:footnoteReference w:id="4"/>
      </w:r>
    </w:p>
    <w:p w:rsidR="007275F9" w:rsidRPr="00927406" w:rsidRDefault="007275F9" w:rsidP="001A4F9B">
      <w:pPr>
        <w:ind w:left="720"/>
        <w:jc w:val="both"/>
        <w:rPr>
          <w:lang w:val="en-US"/>
        </w:rPr>
      </w:pPr>
    </w:p>
    <w:p w:rsidR="007275F9" w:rsidRPr="00927406" w:rsidRDefault="007275F9" w:rsidP="001A4F9B">
      <w:pPr>
        <w:ind w:left="720"/>
        <w:jc w:val="both"/>
        <w:rPr>
          <w:lang w:val="en-US"/>
        </w:rPr>
      </w:pPr>
      <w:r w:rsidRPr="00927406">
        <w:rPr>
          <w:lang w:val="en-US"/>
        </w:rPr>
        <w:t>Negative impacts</w:t>
      </w:r>
      <w:r w:rsidRPr="00927406">
        <w:rPr>
          <w:lang w:val="en-US"/>
        </w:rPr>
        <w:t>: the freeze in the minimum wage 2011-2014, the extension of the working week in public administration from 35 to 40, the suppression of holidays, the reduction of remuneration of extra work time.</w:t>
      </w:r>
    </w:p>
    <w:p w:rsidR="007275F9" w:rsidRPr="00927406" w:rsidRDefault="007275F9" w:rsidP="001A4F9B">
      <w:pPr>
        <w:ind w:left="720"/>
        <w:jc w:val="both"/>
        <w:rPr>
          <w:lang w:val="en-US"/>
        </w:rPr>
      </w:pPr>
      <w:r w:rsidRPr="00927406">
        <w:rPr>
          <w:lang w:val="en-US"/>
        </w:rPr>
        <w:t xml:space="preserve"> </w:t>
      </w:r>
    </w:p>
    <w:p w:rsidR="001A4F9B" w:rsidRPr="00927406" w:rsidRDefault="001A4F9B" w:rsidP="001A4F9B">
      <w:pPr>
        <w:jc w:val="both"/>
        <w:rPr>
          <w:lang w:val="en-US"/>
        </w:rPr>
      </w:pPr>
      <w:r w:rsidRPr="00927406">
        <w:rPr>
          <w:lang w:val="en-US"/>
        </w:rPr>
        <w:tab/>
        <w:t>(f) Right to social security, including social insurance</w:t>
      </w:r>
      <w:r w:rsidRPr="00927406">
        <w:rPr>
          <w:rStyle w:val="Refdenotaderodap"/>
          <w:lang w:val="en-US"/>
        </w:rPr>
        <w:footnoteReference w:id="5"/>
      </w:r>
    </w:p>
    <w:p w:rsidR="00CC18AF" w:rsidRPr="00927406" w:rsidRDefault="00CC18AF" w:rsidP="001A4F9B">
      <w:pPr>
        <w:jc w:val="both"/>
      </w:pPr>
    </w:p>
    <w:p w:rsidR="007275F9" w:rsidRPr="00927406" w:rsidRDefault="005E04C5" w:rsidP="001A4F9B">
      <w:pPr>
        <w:ind w:left="720"/>
        <w:jc w:val="both"/>
        <w:rPr>
          <w:lang w:val="en-US"/>
        </w:rPr>
      </w:pPr>
      <w:r w:rsidRPr="00927406">
        <w:rPr>
          <w:lang w:val="en-US"/>
        </w:rPr>
        <w:t>Negative impacts</w:t>
      </w:r>
      <w:r w:rsidRPr="00927406">
        <w:rPr>
          <w:lang w:val="en-US"/>
        </w:rPr>
        <w:t>: Reduction in amount and duration of unemployment benefits; severe cuts in pensions</w:t>
      </w:r>
    </w:p>
    <w:p w:rsidR="005E04C5" w:rsidRPr="00927406" w:rsidRDefault="005E04C5" w:rsidP="001A4F9B">
      <w:pPr>
        <w:ind w:left="720"/>
        <w:jc w:val="both"/>
        <w:rPr>
          <w:lang w:val="en-US"/>
        </w:rPr>
      </w:pPr>
    </w:p>
    <w:p w:rsidR="001A4F9B" w:rsidRPr="00927406" w:rsidRDefault="001A4F9B" w:rsidP="001A4F9B">
      <w:pPr>
        <w:ind w:left="720"/>
        <w:jc w:val="both"/>
      </w:pPr>
      <w:r w:rsidRPr="00927406">
        <w:rPr>
          <w:lang w:val="en-US"/>
        </w:rPr>
        <w:t xml:space="preserve">(g) Prohibition of all forms of forced </w:t>
      </w:r>
      <w:proofErr w:type="spellStart"/>
      <w:r w:rsidRPr="00927406">
        <w:rPr>
          <w:lang w:val="en-US"/>
        </w:rPr>
        <w:t>labour</w:t>
      </w:r>
      <w:proofErr w:type="spellEnd"/>
      <w:r w:rsidRPr="00927406">
        <w:rPr>
          <w:rStyle w:val="Refdenotaderodap"/>
          <w:lang w:val="en-US"/>
        </w:rPr>
        <w:footnoteReference w:id="6"/>
      </w:r>
      <w:r w:rsidRPr="00927406">
        <w:rPr>
          <w:lang w:val="en-US"/>
        </w:rPr>
        <w:t xml:space="preserve"> and of harmful child </w:t>
      </w:r>
      <w:proofErr w:type="spellStart"/>
      <w:r w:rsidRPr="00927406">
        <w:rPr>
          <w:lang w:val="en-US"/>
        </w:rPr>
        <w:t>labour</w:t>
      </w:r>
      <w:proofErr w:type="spellEnd"/>
      <w:r w:rsidRPr="00927406">
        <w:rPr>
          <w:rStyle w:val="Refdenotaderodap"/>
          <w:lang w:val="en-US"/>
        </w:rPr>
        <w:footnoteReference w:id="7"/>
      </w:r>
    </w:p>
    <w:p w:rsidR="007275F9" w:rsidRPr="00927406" w:rsidRDefault="007275F9" w:rsidP="001A4F9B">
      <w:pPr>
        <w:ind w:left="720"/>
        <w:jc w:val="both"/>
        <w:rPr>
          <w:lang w:val="en-US"/>
        </w:rPr>
      </w:pPr>
    </w:p>
    <w:p w:rsidR="00CC18AF" w:rsidRPr="00927406" w:rsidRDefault="00CC18AF" w:rsidP="001A4F9B">
      <w:pPr>
        <w:ind w:left="720"/>
        <w:jc w:val="both"/>
        <w:rPr>
          <w:lang w:val="en-US"/>
        </w:rPr>
      </w:pPr>
      <w:r w:rsidRPr="00927406">
        <w:rPr>
          <w:lang w:val="en-US"/>
        </w:rPr>
        <w:t>No direct impact. Most cases reported are related to exploitation abroad (included in EU countries) of Portuguese emigrant workers.</w:t>
      </w:r>
    </w:p>
    <w:p w:rsidR="005E04C5" w:rsidRPr="00927406" w:rsidRDefault="005E04C5" w:rsidP="001A4F9B">
      <w:pPr>
        <w:ind w:left="720"/>
        <w:jc w:val="both"/>
        <w:rPr>
          <w:lang w:val="en-US"/>
        </w:rPr>
      </w:pPr>
    </w:p>
    <w:p w:rsidR="001A4F9B" w:rsidRPr="00927406" w:rsidRDefault="001A4F9B" w:rsidP="001A4F9B">
      <w:pPr>
        <w:ind w:left="720"/>
        <w:jc w:val="both"/>
        <w:rPr>
          <w:lang w:val="en-US"/>
        </w:rPr>
      </w:pPr>
      <w:r w:rsidRPr="00927406">
        <w:rPr>
          <w:lang w:val="en-US"/>
        </w:rPr>
        <w:t>(h) Non-discrimination in employment (equal pay for equal work; equality of opportunity and treatment, etc.)</w:t>
      </w:r>
      <w:r w:rsidRPr="00927406">
        <w:rPr>
          <w:rStyle w:val="Refdenotaderodap"/>
          <w:lang w:val="en-US"/>
        </w:rPr>
        <w:footnoteReference w:id="8"/>
      </w:r>
    </w:p>
    <w:p w:rsidR="005E04C5" w:rsidRPr="00927406" w:rsidRDefault="005E04C5" w:rsidP="001A4F9B">
      <w:pPr>
        <w:ind w:left="720"/>
        <w:jc w:val="both"/>
        <w:rPr>
          <w:lang w:val="en-US"/>
        </w:rPr>
      </w:pPr>
    </w:p>
    <w:p w:rsidR="005E04C5" w:rsidRPr="00927406" w:rsidRDefault="005E04C5" w:rsidP="001A4F9B">
      <w:pPr>
        <w:ind w:left="720"/>
        <w:jc w:val="both"/>
        <w:rPr>
          <w:lang w:val="en-US"/>
        </w:rPr>
      </w:pPr>
      <w:r w:rsidRPr="00927406">
        <w:rPr>
          <w:lang w:val="en-US"/>
        </w:rPr>
        <w:t>Negative impacts: high incidence of involuntary temporary employment, undeclared work, and “dependent</w:t>
      </w:r>
      <w:r w:rsidR="00927406">
        <w:rPr>
          <w:lang w:val="en-US"/>
        </w:rPr>
        <w:t>” self-</w:t>
      </w:r>
      <w:r w:rsidRPr="00927406">
        <w:rPr>
          <w:lang w:val="en-US"/>
        </w:rPr>
        <w:t xml:space="preserve">employment affecting in particular the youths. </w:t>
      </w:r>
    </w:p>
    <w:p w:rsidR="001A4F9B" w:rsidRPr="00927406" w:rsidRDefault="001A4F9B" w:rsidP="001A4F9B">
      <w:pPr>
        <w:jc w:val="both"/>
        <w:rPr>
          <w:lang w:val="en-US"/>
        </w:rPr>
      </w:pPr>
    </w:p>
    <w:p w:rsidR="001A4F9B" w:rsidRPr="00927406" w:rsidRDefault="001A4F9B" w:rsidP="001A4F9B">
      <w:pPr>
        <w:jc w:val="both"/>
        <w:rPr>
          <w:lang w:val="en-US"/>
        </w:rPr>
      </w:pPr>
      <w:r w:rsidRPr="00927406">
        <w:rPr>
          <w:lang w:val="en-US"/>
        </w:rPr>
        <w:t xml:space="preserve">6. </w:t>
      </w:r>
      <w:r w:rsidRPr="00927406">
        <w:rPr>
          <w:b/>
          <w:lang w:val="en-US"/>
        </w:rPr>
        <w:t>Please explain changes/impacts caused by the reforms in the following areas:</w:t>
      </w:r>
    </w:p>
    <w:p w:rsidR="00604C17" w:rsidRPr="00927406" w:rsidRDefault="00604C17" w:rsidP="00604C17">
      <w:pPr>
        <w:jc w:val="both"/>
        <w:rPr>
          <w:lang w:val="en-US"/>
        </w:rPr>
      </w:pPr>
    </w:p>
    <w:p w:rsidR="001A4F9B" w:rsidRPr="00927406" w:rsidRDefault="001A4F9B" w:rsidP="00E0326C">
      <w:pPr>
        <w:pStyle w:val="PargrafodaLista"/>
        <w:numPr>
          <w:ilvl w:val="0"/>
          <w:numId w:val="9"/>
        </w:numPr>
        <w:jc w:val="both"/>
        <w:rPr>
          <w:lang w:val="en-US"/>
        </w:rPr>
      </w:pPr>
      <w:r w:rsidRPr="00927406">
        <w:rPr>
          <w:lang w:val="en-US"/>
        </w:rPr>
        <w:t>levels of unemployment</w:t>
      </w:r>
    </w:p>
    <w:p w:rsidR="00E0326C" w:rsidRPr="00927406" w:rsidRDefault="00E0326C" w:rsidP="00E0326C">
      <w:pPr>
        <w:jc w:val="both"/>
        <w:rPr>
          <w:lang w:val="en-US"/>
        </w:rPr>
      </w:pPr>
    </w:p>
    <w:p w:rsidR="00E0326C" w:rsidRPr="00927406" w:rsidRDefault="00E0326C" w:rsidP="00E0326C">
      <w:pPr>
        <w:jc w:val="both"/>
        <w:rPr>
          <w:lang w:val="en-US"/>
        </w:rPr>
      </w:pPr>
      <w:r w:rsidRPr="00927406">
        <w:rPr>
          <w:lang w:val="en-US"/>
        </w:rPr>
        <w:t>Recession caused by “frontloaded” fiscal consolidation and internal devaluation had a huge impact on employment and unemployment</w:t>
      </w:r>
    </w:p>
    <w:p w:rsidR="003D16FB" w:rsidRPr="00927406" w:rsidRDefault="003D16FB" w:rsidP="001A4F9B">
      <w:pPr>
        <w:ind w:firstLine="720"/>
        <w:jc w:val="both"/>
        <w:rPr>
          <w:lang w:val="en-US"/>
        </w:rPr>
      </w:pPr>
    </w:p>
    <w:p w:rsidR="00E0326C" w:rsidRPr="00927406" w:rsidRDefault="00E0326C" w:rsidP="00E0326C">
      <w:pPr>
        <w:jc w:val="both"/>
        <w:rPr>
          <w:b/>
          <w:lang w:val="en-US"/>
        </w:rPr>
      </w:pPr>
      <w:r w:rsidRPr="00927406">
        <w:rPr>
          <w:b/>
          <w:lang w:val="en-US"/>
        </w:rPr>
        <w:t>Rate of unemployment (Source: Eurostat)</w:t>
      </w:r>
    </w:p>
    <w:tbl>
      <w:tblPr>
        <w:tblW w:w="768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tblGrid>
      <w:tr w:rsidR="00604C17" w:rsidRPr="00927406" w:rsidTr="00604C17">
        <w:trPr>
          <w:trHeight w:val="255"/>
        </w:trPr>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2008</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2009</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2010</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2011</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2012</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2013</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2014</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2015</w:t>
            </w:r>
          </w:p>
        </w:tc>
      </w:tr>
      <w:tr w:rsidR="00604C17" w:rsidRPr="00927406" w:rsidTr="00604C17">
        <w:trPr>
          <w:trHeight w:val="255"/>
        </w:trPr>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8,8</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10,7</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12</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12,9</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15,8</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16,4</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14,1</w:t>
            </w:r>
          </w:p>
        </w:tc>
        <w:tc>
          <w:tcPr>
            <w:tcW w:w="960" w:type="dxa"/>
            <w:tcBorders>
              <w:top w:val="nil"/>
              <w:left w:val="nil"/>
              <w:bottom w:val="nil"/>
              <w:right w:val="nil"/>
            </w:tcBorders>
            <w:shd w:val="clear" w:color="auto" w:fill="auto"/>
            <w:noWrap/>
            <w:vAlign w:val="bottom"/>
            <w:hideMark/>
          </w:tcPr>
          <w:p w:rsidR="00604C17" w:rsidRPr="00927406" w:rsidRDefault="00604C17" w:rsidP="00604C17">
            <w:pPr>
              <w:jc w:val="right"/>
              <w:rPr>
                <w:lang w:val="pt-PT" w:eastAsia="pt-PT"/>
              </w:rPr>
            </w:pPr>
            <w:r w:rsidRPr="00927406">
              <w:rPr>
                <w:lang w:val="pt-PT" w:eastAsia="pt-PT"/>
              </w:rPr>
              <w:t>12,6</w:t>
            </w:r>
          </w:p>
        </w:tc>
      </w:tr>
    </w:tbl>
    <w:p w:rsidR="003D16FB" w:rsidRPr="00927406" w:rsidRDefault="003D16FB" w:rsidP="001A4F9B">
      <w:pPr>
        <w:ind w:firstLine="720"/>
        <w:jc w:val="both"/>
        <w:rPr>
          <w:lang w:val="en-US"/>
        </w:rPr>
      </w:pPr>
      <w:bookmarkStart w:id="0" w:name="_GoBack"/>
      <w:bookmarkEnd w:id="0"/>
    </w:p>
    <w:p w:rsidR="00927406" w:rsidRPr="00927406" w:rsidRDefault="001A4F9B" w:rsidP="00927406">
      <w:pPr>
        <w:pStyle w:val="PargrafodaLista"/>
        <w:numPr>
          <w:ilvl w:val="0"/>
          <w:numId w:val="9"/>
        </w:numPr>
        <w:jc w:val="both"/>
        <w:rPr>
          <w:lang w:val="en-US"/>
        </w:rPr>
      </w:pPr>
      <w:r w:rsidRPr="00927406">
        <w:rPr>
          <w:lang w:val="en-US"/>
        </w:rPr>
        <w:t>poverty (including the number of peop</w:t>
      </w:r>
      <w:r w:rsidR="003D16FB" w:rsidRPr="00927406">
        <w:rPr>
          <w:lang w:val="en-US"/>
        </w:rPr>
        <w:t>le considered as working poor)</w:t>
      </w:r>
    </w:p>
    <w:p w:rsidR="00927406" w:rsidRDefault="00927406" w:rsidP="00927406">
      <w:pPr>
        <w:jc w:val="both"/>
        <w:rPr>
          <w:b/>
          <w:bCs/>
          <w:lang w:val="en-US"/>
        </w:rPr>
      </w:pPr>
    </w:p>
    <w:p w:rsidR="00E0326C" w:rsidRPr="00927406" w:rsidRDefault="00E0326C" w:rsidP="00927406">
      <w:pPr>
        <w:jc w:val="both"/>
        <w:rPr>
          <w:lang w:val="en-US"/>
        </w:rPr>
      </w:pPr>
      <w:r w:rsidRPr="00927406">
        <w:rPr>
          <w:bCs/>
          <w:lang w:val="en-US"/>
        </w:rPr>
        <w:t>“</w:t>
      </w:r>
      <w:proofErr w:type="spellStart"/>
      <w:r w:rsidRPr="00927406">
        <w:rPr>
          <w:bCs/>
          <w:lang w:val="en-US"/>
        </w:rPr>
        <w:t>Desigualdade</w:t>
      </w:r>
      <w:proofErr w:type="spellEnd"/>
      <w:r w:rsidRPr="00927406">
        <w:rPr>
          <w:bCs/>
          <w:lang w:val="en-US"/>
        </w:rPr>
        <w:t xml:space="preserve"> </w:t>
      </w:r>
      <w:proofErr w:type="spellStart"/>
      <w:r w:rsidRPr="00927406">
        <w:rPr>
          <w:bCs/>
          <w:lang w:val="en-US"/>
        </w:rPr>
        <w:t>Económica</w:t>
      </w:r>
      <w:proofErr w:type="spellEnd"/>
      <w:r w:rsidRPr="00927406">
        <w:rPr>
          <w:bCs/>
          <w:lang w:val="en-US"/>
        </w:rPr>
        <w:t xml:space="preserve"> </w:t>
      </w:r>
      <w:proofErr w:type="spellStart"/>
      <w:r w:rsidRPr="00927406">
        <w:rPr>
          <w:bCs/>
          <w:lang w:val="en-US"/>
        </w:rPr>
        <w:t>em</w:t>
      </w:r>
      <w:proofErr w:type="spellEnd"/>
      <w:r w:rsidRPr="00927406">
        <w:rPr>
          <w:bCs/>
          <w:lang w:val="en-US"/>
        </w:rPr>
        <w:t xml:space="preserve"> Portugal</w:t>
      </w:r>
      <w:r w:rsidR="00927406">
        <w:rPr>
          <w:bCs/>
          <w:lang w:val="en-US"/>
        </w:rPr>
        <w:t xml:space="preserve">”, a recently </w:t>
      </w:r>
      <w:proofErr w:type="spellStart"/>
      <w:r w:rsidR="00927406">
        <w:rPr>
          <w:bCs/>
          <w:lang w:val="en-US"/>
        </w:rPr>
        <w:t>plublished</w:t>
      </w:r>
      <w:proofErr w:type="spellEnd"/>
      <w:r w:rsidR="00927406">
        <w:rPr>
          <w:bCs/>
          <w:lang w:val="en-US"/>
        </w:rPr>
        <w:t xml:space="preserve"> rep</w:t>
      </w:r>
      <w:r w:rsidRPr="00927406">
        <w:rPr>
          <w:bCs/>
          <w:lang w:val="en-US"/>
        </w:rPr>
        <w:t xml:space="preserve">ort (available at </w:t>
      </w:r>
      <w:hyperlink r:id="rId12" w:history="1">
        <w:r w:rsidRPr="00927406">
          <w:rPr>
            <w:rStyle w:val="Hiperligao"/>
            <w:lang w:val="en-US"/>
          </w:rPr>
          <w:t>https://www.ffms.pt/publicacoes/detalhe/847/desigualdade-economica-em-portugal</w:t>
        </w:r>
      </w:hyperlink>
      <w:r w:rsidRPr="00927406">
        <w:rPr>
          <w:bCs/>
          <w:lang w:val="en-US"/>
        </w:rPr>
        <w:t xml:space="preserve">) provides a detailed picture of the evolution of poverty </w:t>
      </w:r>
      <w:r w:rsidR="001212EB" w:rsidRPr="00927406">
        <w:rPr>
          <w:bCs/>
          <w:lang w:val="en-US"/>
        </w:rPr>
        <w:t>and</w:t>
      </w:r>
      <w:r w:rsidRPr="00927406">
        <w:rPr>
          <w:bCs/>
          <w:lang w:val="en-US"/>
        </w:rPr>
        <w:t xml:space="preserve"> inequality in Portugal.</w:t>
      </w:r>
    </w:p>
    <w:p w:rsidR="00E95B0E" w:rsidRPr="00927406" w:rsidRDefault="00E95B0E" w:rsidP="00E95B0E">
      <w:pPr>
        <w:pStyle w:val="Cabealho2"/>
        <w:rPr>
          <w:bCs w:val="0"/>
          <w:sz w:val="20"/>
          <w:szCs w:val="20"/>
          <w:lang w:val="en-US" w:eastAsia="en-US"/>
        </w:rPr>
      </w:pPr>
      <w:r w:rsidRPr="00927406">
        <w:rPr>
          <w:bCs w:val="0"/>
          <w:sz w:val="20"/>
          <w:szCs w:val="20"/>
          <w:lang w:val="en-US" w:eastAsia="en-US"/>
        </w:rPr>
        <w:t>Severe material deprivation rate (</w:t>
      </w:r>
      <w:r w:rsidR="00AE7B59" w:rsidRPr="00927406">
        <w:rPr>
          <w:bCs w:val="0"/>
          <w:sz w:val="20"/>
          <w:szCs w:val="20"/>
          <w:lang w:val="en-US" w:eastAsia="en-US"/>
        </w:rPr>
        <w:t xml:space="preserve">Source: </w:t>
      </w:r>
      <w:r w:rsidRPr="00927406">
        <w:rPr>
          <w:bCs w:val="0"/>
          <w:sz w:val="20"/>
          <w:szCs w:val="20"/>
          <w:lang w:val="en-US" w:eastAsia="en-US"/>
        </w:rPr>
        <w:t>Eurostat)</w:t>
      </w:r>
    </w:p>
    <w:tbl>
      <w:tblPr>
        <w:tblW w:w="0" w:type="auto"/>
        <w:tblCellSpacing w:w="0" w:type="dxa"/>
        <w:tblLayout w:type="fixed"/>
        <w:tblCellMar>
          <w:left w:w="0" w:type="dxa"/>
          <w:right w:w="0" w:type="dxa"/>
        </w:tblCellMar>
        <w:tblLook w:val="04A0" w:firstRow="1" w:lastRow="0" w:firstColumn="1" w:lastColumn="0" w:noHBand="0" w:noVBand="1"/>
      </w:tblPr>
      <w:tblGrid>
        <w:gridCol w:w="851"/>
        <w:gridCol w:w="709"/>
        <w:gridCol w:w="850"/>
        <w:gridCol w:w="709"/>
        <w:gridCol w:w="709"/>
        <w:gridCol w:w="708"/>
        <w:gridCol w:w="709"/>
        <w:gridCol w:w="709"/>
      </w:tblGrid>
      <w:tr w:rsidR="00604C17" w:rsidRPr="00927406" w:rsidTr="005E04C5">
        <w:trPr>
          <w:trHeight w:val="525"/>
          <w:tblCellSpacing w:w="0" w:type="dxa"/>
        </w:trPr>
        <w:tc>
          <w:tcPr>
            <w:tcW w:w="851" w:type="dxa"/>
            <w:shd w:val="clear" w:color="auto" w:fill="auto"/>
            <w:vAlign w:val="center"/>
            <w:hideMark/>
          </w:tcPr>
          <w:p w:rsidR="00E95B0E" w:rsidRPr="00927406" w:rsidRDefault="00E95B0E" w:rsidP="00604C17">
            <w:pPr>
              <w:jc w:val="right"/>
              <w:rPr>
                <w:lang w:val="pt-PT" w:eastAsia="pt-PT"/>
              </w:rPr>
            </w:pPr>
            <w:r w:rsidRPr="00927406">
              <w:rPr>
                <w:lang w:val="pt-PT" w:eastAsia="pt-PT"/>
              </w:rPr>
              <w:t>2008 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2009 </w:t>
            </w:r>
          </w:p>
        </w:tc>
        <w:tc>
          <w:tcPr>
            <w:tcW w:w="850" w:type="dxa"/>
            <w:shd w:val="clear" w:color="auto" w:fill="auto"/>
            <w:vAlign w:val="center"/>
            <w:hideMark/>
          </w:tcPr>
          <w:p w:rsidR="00E95B0E" w:rsidRPr="00927406" w:rsidRDefault="00E95B0E" w:rsidP="00604C17">
            <w:pPr>
              <w:jc w:val="right"/>
              <w:rPr>
                <w:lang w:val="pt-PT" w:eastAsia="pt-PT"/>
              </w:rPr>
            </w:pPr>
            <w:r w:rsidRPr="00927406">
              <w:rPr>
                <w:lang w:val="pt-PT" w:eastAsia="pt-PT"/>
              </w:rPr>
              <w:t>2010 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2011 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2012 </w:t>
            </w:r>
          </w:p>
        </w:tc>
        <w:tc>
          <w:tcPr>
            <w:tcW w:w="708" w:type="dxa"/>
            <w:shd w:val="clear" w:color="auto" w:fill="auto"/>
            <w:vAlign w:val="center"/>
            <w:hideMark/>
          </w:tcPr>
          <w:p w:rsidR="00E95B0E" w:rsidRPr="00927406" w:rsidRDefault="00E95B0E" w:rsidP="00604C17">
            <w:pPr>
              <w:jc w:val="right"/>
              <w:rPr>
                <w:lang w:val="pt-PT" w:eastAsia="pt-PT"/>
              </w:rPr>
            </w:pPr>
            <w:r w:rsidRPr="00927406">
              <w:rPr>
                <w:lang w:val="pt-PT" w:eastAsia="pt-PT"/>
              </w:rPr>
              <w:t>2013 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2014 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2015 </w:t>
            </w:r>
          </w:p>
        </w:tc>
      </w:tr>
      <w:tr w:rsidR="00604C17" w:rsidRPr="00927406" w:rsidTr="005E04C5">
        <w:trPr>
          <w:trHeight w:val="525"/>
          <w:tblCellSpacing w:w="0" w:type="dxa"/>
        </w:trPr>
        <w:tc>
          <w:tcPr>
            <w:tcW w:w="851" w:type="dxa"/>
            <w:shd w:val="clear" w:color="auto" w:fill="auto"/>
            <w:vAlign w:val="center"/>
            <w:hideMark/>
          </w:tcPr>
          <w:p w:rsidR="00E95B0E" w:rsidRPr="00927406" w:rsidRDefault="00E95B0E" w:rsidP="00604C17">
            <w:pPr>
              <w:jc w:val="right"/>
              <w:rPr>
                <w:lang w:val="pt-PT" w:eastAsia="pt-PT"/>
              </w:rPr>
            </w:pPr>
            <w:r w:rsidRPr="00927406">
              <w:rPr>
                <w:lang w:val="pt-PT" w:eastAsia="pt-PT"/>
              </w:rPr>
              <w:t>9.7 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9.1 </w:t>
            </w:r>
          </w:p>
        </w:tc>
        <w:tc>
          <w:tcPr>
            <w:tcW w:w="850" w:type="dxa"/>
            <w:shd w:val="clear" w:color="auto" w:fill="auto"/>
            <w:vAlign w:val="center"/>
            <w:hideMark/>
          </w:tcPr>
          <w:p w:rsidR="00E95B0E" w:rsidRPr="00927406" w:rsidRDefault="00E95B0E" w:rsidP="00604C17">
            <w:pPr>
              <w:jc w:val="right"/>
              <w:rPr>
                <w:lang w:val="pt-PT" w:eastAsia="pt-PT"/>
              </w:rPr>
            </w:pPr>
            <w:r w:rsidRPr="00927406">
              <w:rPr>
                <w:lang w:val="pt-PT" w:eastAsia="pt-PT"/>
              </w:rPr>
              <w:t>9.0 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8.3 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8.6 </w:t>
            </w:r>
          </w:p>
        </w:tc>
        <w:tc>
          <w:tcPr>
            <w:tcW w:w="708" w:type="dxa"/>
            <w:shd w:val="clear" w:color="auto" w:fill="auto"/>
            <w:vAlign w:val="center"/>
            <w:hideMark/>
          </w:tcPr>
          <w:p w:rsidR="00E95B0E" w:rsidRPr="00927406" w:rsidRDefault="00E95B0E" w:rsidP="00604C17">
            <w:pPr>
              <w:jc w:val="right"/>
              <w:rPr>
                <w:lang w:val="pt-PT" w:eastAsia="pt-PT"/>
              </w:rPr>
            </w:pPr>
            <w:r w:rsidRPr="00927406">
              <w:rPr>
                <w:lang w:val="pt-PT" w:eastAsia="pt-PT"/>
              </w:rPr>
              <w:t>10.9 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10.6 </w:t>
            </w:r>
          </w:p>
        </w:tc>
        <w:tc>
          <w:tcPr>
            <w:tcW w:w="709" w:type="dxa"/>
            <w:shd w:val="clear" w:color="auto" w:fill="auto"/>
            <w:vAlign w:val="center"/>
            <w:hideMark/>
          </w:tcPr>
          <w:p w:rsidR="00E95B0E" w:rsidRPr="00927406" w:rsidRDefault="00E95B0E" w:rsidP="00604C17">
            <w:pPr>
              <w:jc w:val="right"/>
              <w:rPr>
                <w:lang w:val="pt-PT" w:eastAsia="pt-PT"/>
              </w:rPr>
            </w:pPr>
            <w:r w:rsidRPr="00927406">
              <w:rPr>
                <w:lang w:val="pt-PT" w:eastAsia="pt-PT"/>
              </w:rPr>
              <w:t>9.6 </w:t>
            </w:r>
          </w:p>
        </w:tc>
      </w:tr>
    </w:tbl>
    <w:p w:rsidR="00E95B0E" w:rsidRPr="00927406" w:rsidRDefault="00E95B0E" w:rsidP="00E95B0E">
      <w:pPr>
        <w:pStyle w:val="Cabealho2"/>
        <w:rPr>
          <w:bCs w:val="0"/>
          <w:sz w:val="20"/>
          <w:szCs w:val="20"/>
          <w:lang w:val="en-US" w:eastAsia="en-US"/>
        </w:rPr>
      </w:pPr>
      <w:r w:rsidRPr="00927406">
        <w:rPr>
          <w:bCs w:val="0"/>
          <w:sz w:val="20"/>
          <w:szCs w:val="20"/>
          <w:lang w:val="en-US" w:eastAsia="en-US"/>
        </w:rPr>
        <w:t>In-work at-risk-of-poverty rate - EU-SILC survey (</w:t>
      </w:r>
      <w:r w:rsidR="009B0625" w:rsidRPr="00927406">
        <w:rPr>
          <w:bCs w:val="0"/>
          <w:sz w:val="20"/>
          <w:szCs w:val="20"/>
          <w:lang w:val="en-US" w:eastAsia="en-US"/>
        </w:rPr>
        <w:t xml:space="preserve">Source: </w:t>
      </w:r>
      <w:r w:rsidRPr="00927406">
        <w:rPr>
          <w:bCs w:val="0"/>
          <w:sz w:val="20"/>
          <w:szCs w:val="20"/>
          <w:lang w:val="en-US" w:eastAsia="en-US"/>
        </w:rPr>
        <w:t>Eurostat)</w:t>
      </w:r>
    </w:p>
    <w:tbl>
      <w:tblPr>
        <w:tblW w:w="0" w:type="auto"/>
        <w:tblCellSpacing w:w="0" w:type="dxa"/>
        <w:tblLayout w:type="fixed"/>
        <w:tblCellMar>
          <w:left w:w="0" w:type="dxa"/>
          <w:right w:w="0" w:type="dxa"/>
        </w:tblCellMar>
        <w:tblLook w:val="04A0" w:firstRow="1" w:lastRow="0" w:firstColumn="1" w:lastColumn="0" w:noHBand="0" w:noVBand="1"/>
      </w:tblPr>
      <w:tblGrid>
        <w:gridCol w:w="851"/>
        <w:gridCol w:w="709"/>
        <w:gridCol w:w="850"/>
        <w:gridCol w:w="709"/>
        <w:gridCol w:w="709"/>
        <w:gridCol w:w="708"/>
        <w:gridCol w:w="709"/>
        <w:gridCol w:w="709"/>
      </w:tblGrid>
      <w:tr w:rsidR="00E95B0E" w:rsidRPr="00927406" w:rsidTr="005E04C5">
        <w:trPr>
          <w:trHeight w:val="525"/>
          <w:tblCellSpacing w:w="0" w:type="dxa"/>
        </w:trPr>
        <w:tc>
          <w:tcPr>
            <w:tcW w:w="851" w:type="dxa"/>
            <w:shd w:val="clear" w:color="auto" w:fill="auto"/>
            <w:vAlign w:val="center"/>
            <w:hideMark/>
          </w:tcPr>
          <w:p w:rsidR="00E95B0E" w:rsidRPr="00927406" w:rsidRDefault="00E95B0E" w:rsidP="00E95B0E">
            <w:pPr>
              <w:rPr>
                <w:lang w:val="en-US" w:eastAsia="pt-PT"/>
              </w:rPr>
            </w:pPr>
            <w:r w:rsidRPr="00927406">
              <w:rPr>
                <w:lang w:val="en-US" w:eastAsia="pt-PT"/>
              </w:rPr>
              <w:t>2008 </w:t>
            </w:r>
          </w:p>
        </w:tc>
        <w:tc>
          <w:tcPr>
            <w:tcW w:w="709" w:type="dxa"/>
            <w:shd w:val="clear" w:color="auto" w:fill="auto"/>
            <w:vAlign w:val="center"/>
            <w:hideMark/>
          </w:tcPr>
          <w:p w:rsidR="00E95B0E" w:rsidRPr="00927406" w:rsidRDefault="00E95B0E" w:rsidP="00E95B0E">
            <w:pPr>
              <w:rPr>
                <w:lang w:val="en-US" w:eastAsia="pt-PT"/>
              </w:rPr>
            </w:pPr>
            <w:r w:rsidRPr="00927406">
              <w:rPr>
                <w:lang w:val="en-US" w:eastAsia="pt-PT"/>
              </w:rPr>
              <w:t>2009 </w:t>
            </w:r>
          </w:p>
        </w:tc>
        <w:tc>
          <w:tcPr>
            <w:tcW w:w="850" w:type="dxa"/>
            <w:shd w:val="clear" w:color="auto" w:fill="auto"/>
            <w:vAlign w:val="center"/>
            <w:hideMark/>
          </w:tcPr>
          <w:p w:rsidR="00E95B0E" w:rsidRPr="00927406" w:rsidRDefault="00E95B0E" w:rsidP="00E95B0E">
            <w:pPr>
              <w:rPr>
                <w:lang w:val="en-US" w:eastAsia="pt-PT"/>
              </w:rPr>
            </w:pPr>
            <w:r w:rsidRPr="00927406">
              <w:rPr>
                <w:lang w:val="en-US" w:eastAsia="pt-PT"/>
              </w:rPr>
              <w:t>2010 </w:t>
            </w:r>
          </w:p>
        </w:tc>
        <w:tc>
          <w:tcPr>
            <w:tcW w:w="709" w:type="dxa"/>
            <w:shd w:val="clear" w:color="auto" w:fill="auto"/>
            <w:vAlign w:val="center"/>
            <w:hideMark/>
          </w:tcPr>
          <w:p w:rsidR="00E95B0E" w:rsidRPr="00927406" w:rsidRDefault="00E95B0E" w:rsidP="00E95B0E">
            <w:pPr>
              <w:rPr>
                <w:lang w:val="en-US" w:eastAsia="pt-PT"/>
              </w:rPr>
            </w:pPr>
            <w:r w:rsidRPr="00927406">
              <w:rPr>
                <w:lang w:val="en-US" w:eastAsia="pt-PT"/>
              </w:rPr>
              <w:t>2011 </w:t>
            </w:r>
          </w:p>
        </w:tc>
        <w:tc>
          <w:tcPr>
            <w:tcW w:w="709" w:type="dxa"/>
            <w:shd w:val="clear" w:color="auto" w:fill="auto"/>
            <w:vAlign w:val="center"/>
            <w:hideMark/>
          </w:tcPr>
          <w:p w:rsidR="00E95B0E" w:rsidRPr="00927406" w:rsidRDefault="00E95B0E" w:rsidP="00E95B0E">
            <w:pPr>
              <w:rPr>
                <w:lang w:val="en-US" w:eastAsia="pt-PT"/>
              </w:rPr>
            </w:pPr>
            <w:r w:rsidRPr="00927406">
              <w:rPr>
                <w:lang w:val="en-US" w:eastAsia="pt-PT"/>
              </w:rPr>
              <w:t>2012 </w:t>
            </w:r>
          </w:p>
        </w:tc>
        <w:tc>
          <w:tcPr>
            <w:tcW w:w="708" w:type="dxa"/>
            <w:shd w:val="clear" w:color="auto" w:fill="auto"/>
            <w:vAlign w:val="center"/>
            <w:hideMark/>
          </w:tcPr>
          <w:p w:rsidR="00E95B0E" w:rsidRPr="00927406" w:rsidRDefault="00E95B0E" w:rsidP="00E95B0E">
            <w:pPr>
              <w:rPr>
                <w:lang w:val="en-US" w:eastAsia="pt-PT"/>
              </w:rPr>
            </w:pPr>
            <w:r w:rsidRPr="00927406">
              <w:rPr>
                <w:lang w:val="en-US" w:eastAsia="pt-PT"/>
              </w:rPr>
              <w:t>2013 </w:t>
            </w:r>
          </w:p>
        </w:tc>
        <w:tc>
          <w:tcPr>
            <w:tcW w:w="709" w:type="dxa"/>
            <w:shd w:val="clear" w:color="auto" w:fill="auto"/>
            <w:vAlign w:val="center"/>
            <w:hideMark/>
          </w:tcPr>
          <w:p w:rsidR="00E95B0E" w:rsidRPr="00927406" w:rsidRDefault="00E95B0E" w:rsidP="00E95B0E">
            <w:pPr>
              <w:rPr>
                <w:lang w:val="en-US" w:eastAsia="pt-PT"/>
              </w:rPr>
            </w:pPr>
            <w:r w:rsidRPr="00927406">
              <w:rPr>
                <w:lang w:val="en-US" w:eastAsia="pt-PT"/>
              </w:rPr>
              <w:t>2014 </w:t>
            </w:r>
          </w:p>
        </w:tc>
        <w:tc>
          <w:tcPr>
            <w:tcW w:w="709" w:type="dxa"/>
            <w:shd w:val="clear" w:color="auto" w:fill="auto"/>
            <w:vAlign w:val="center"/>
            <w:hideMark/>
          </w:tcPr>
          <w:p w:rsidR="00E95B0E" w:rsidRPr="00927406" w:rsidRDefault="00E95B0E" w:rsidP="00E95B0E">
            <w:pPr>
              <w:rPr>
                <w:lang w:val="en-US" w:eastAsia="pt-PT"/>
              </w:rPr>
            </w:pPr>
            <w:r w:rsidRPr="00927406">
              <w:rPr>
                <w:lang w:val="en-US" w:eastAsia="pt-PT"/>
              </w:rPr>
              <w:t>2015 </w:t>
            </w:r>
          </w:p>
        </w:tc>
      </w:tr>
      <w:tr w:rsidR="00E95B0E" w:rsidRPr="00927406" w:rsidTr="005E04C5">
        <w:trPr>
          <w:trHeight w:val="525"/>
          <w:tblCellSpacing w:w="0" w:type="dxa"/>
        </w:trPr>
        <w:tc>
          <w:tcPr>
            <w:tcW w:w="851" w:type="dxa"/>
            <w:shd w:val="clear" w:color="auto" w:fill="auto"/>
            <w:vAlign w:val="center"/>
            <w:hideMark/>
          </w:tcPr>
          <w:p w:rsidR="00E95B0E" w:rsidRPr="00927406" w:rsidRDefault="00E95B0E" w:rsidP="00E95B0E">
            <w:pPr>
              <w:rPr>
                <w:lang w:val="en-US" w:eastAsia="pt-PT"/>
              </w:rPr>
            </w:pPr>
            <w:r w:rsidRPr="00927406">
              <w:rPr>
                <w:lang w:val="en-US" w:eastAsia="pt-PT"/>
              </w:rPr>
              <w:t>11.8 </w:t>
            </w:r>
          </w:p>
        </w:tc>
        <w:tc>
          <w:tcPr>
            <w:tcW w:w="709" w:type="dxa"/>
            <w:shd w:val="clear" w:color="auto" w:fill="auto"/>
            <w:vAlign w:val="center"/>
            <w:hideMark/>
          </w:tcPr>
          <w:p w:rsidR="00E95B0E" w:rsidRPr="00927406" w:rsidRDefault="00E95B0E" w:rsidP="00E95B0E">
            <w:pPr>
              <w:rPr>
                <w:lang w:val="en-US" w:eastAsia="pt-PT"/>
              </w:rPr>
            </w:pPr>
            <w:r w:rsidRPr="00927406">
              <w:rPr>
                <w:lang w:val="en-US" w:eastAsia="pt-PT"/>
              </w:rPr>
              <w:t>10.3 </w:t>
            </w:r>
          </w:p>
        </w:tc>
        <w:tc>
          <w:tcPr>
            <w:tcW w:w="850" w:type="dxa"/>
            <w:shd w:val="clear" w:color="auto" w:fill="auto"/>
            <w:vAlign w:val="center"/>
            <w:hideMark/>
          </w:tcPr>
          <w:p w:rsidR="00E95B0E" w:rsidRPr="00927406" w:rsidRDefault="00E95B0E" w:rsidP="00E95B0E">
            <w:pPr>
              <w:rPr>
                <w:lang w:val="en-US" w:eastAsia="pt-PT"/>
              </w:rPr>
            </w:pPr>
            <w:r w:rsidRPr="00927406">
              <w:rPr>
                <w:lang w:val="en-US" w:eastAsia="pt-PT"/>
              </w:rPr>
              <w:t>9.7 </w:t>
            </w:r>
          </w:p>
        </w:tc>
        <w:tc>
          <w:tcPr>
            <w:tcW w:w="709" w:type="dxa"/>
            <w:shd w:val="clear" w:color="auto" w:fill="auto"/>
            <w:vAlign w:val="center"/>
            <w:hideMark/>
          </w:tcPr>
          <w:p w:rsidR="00E95B0E" w:rsidRPr="00927406" w:rsidRDefault="00E95B0E" w:rsidP="00E95B0E">
            <w:pPr>
              <w:rPr>
                <w:lang w:val="pt-PT" w:eastAsia="pt-PT"/>
              </w:rPr>
            </w:pPr>
            <w:r w:rsidRPr="00927406">
              <w:rPr>
                <w:lang w:val="pt-PT" w:eastAsia="pt-PT"/>
              </w:rPr>
              <w:t>10.3 </w:t>
            </w:r>
          </w:p>
        </w:tc>
        <w:tc>
          <w:tcPr>
            <w:tcW w:w="709" w:type="dxa"/>
            <w:shd w:val="clear" w:color="auto" w:fill="auto"/>
            <w:vAlign w:val="center"/>
            <w:hideMark/>
          </w:tcPr>
          <w:p w:rsidR="00E95B0E" w:rsidRPr="00927406" w:rsidRDefault="00E95B0E" w:rsidP="00E95B0E">
            <w:pPr>
              <w:rPr>
                <w:lang w:val="pt-PT" w:eastAsia="pt-PT"/>
              </w:rPr>
            </w:pPr>
            <w:r w:rsidRPr="00927406">
              <w:rPr>
                <w:lang w:val="pt-PT" w:eastAsia="pt-PT"/>
              </w:rPr>
              <w:t>9.9 </w:t>
            </w:r>
          </w:p>
        </w:tc>
        <w:tc>
          <w:tcPr>
            <w:tcW w:w="708" w:type="dxa"/>
            <w:shd w:val="clear" w:color="auto" w:fill="auto"/>
            <w:vAlign w:val="center"/>
            <w:hideMark/>
          </w:tcPr>
          <w:p w:rsidR="00E95B0E" w:rsidRPr="00927406" w:rsidRDefault="00E95B0E" w:rsidP="00E95B0E">
            <w:pPr>
              <w:rPr>
                <w:lang w:val="pt-PT" w:eastAsia="pt-PT"/>
              </w:rPr>
            </w:pPr>
            <w:r w:rsidRPr="00927406">
              <w:rPr>
                <w:lang w:val="pt-PT" w:eastAsia="pt-PT"/>
              </w:rPr>
              <w:t>10.5 </w:t>
            </w:r>
          </w:p>
        </w:tc>
        <w:tc>
          <w:tcPr>
            <w:tcW w:w="709" w:type="dxa"/>
            <w:shd w:val="clear" w:color="auto" w:fill="auto"/>
            <w:vAlign w:val="center"/>
            <w:hideMark/>
          </w:tcPr>
          <w:p w:rsidR="00E95B0E" w:rsidRPr="00927406" w:rsidRDefault="00E95B0E" w:rsidP="00E95B0E">
            <w:pPr>
              <w:rPr>
                <w:lang w:val="pt-PT" w:eastAsia="pt-PT"/>
              </w:rPr>
            </w:pPr>
            <w:r w:rsidRPr="00927406">
              <w:rPr>
                <w:lang w:val="pt-PT" w:eastAsia="pt-PT"/>
              </w:rPr>
              <w:t>10.7 </w:t>
            </w:r>
          </w:p>
        </w:tc>
        <w:tc>
          <w:tcPr>
            <w:tcW w:w="709" w:type="dxa"/>
            <w:shd w:val="clear" w:color="auto" w:fill="auto"/>
            <w:vAlign w:val="center"/>
            <w:hideMark/>
          </w:tcPr>
          <w:p w:rsidR="00E95B0E" w:rsidRPr="00927406" w:rsidRDefault="00E95B0E" w:rsidP="00E95B0E">
            <w:pPr>
              <w:rPr>
                <w:lang w:val="pt-PT" w:eastAsia="pt-PT"/>
              </w:rPr>
            </w:pPr>
            <w:r w:rsidRPr="00927406">
              <w:rPr>
                <w:lang w:val="pt-PT" w:eastAsia="pt-PT"/>
              </w:rPr>
              <w:t>10.9 </w:t>
            </w:r>
          </w:p>
        </w:tc>
      </w:tr>
    </w:tbl>
    <w:p w:rsidR="00E95B0E" w:rsidRPr="00927406" w:rsidRDefault="00E95B0E" w:rsidP="001A4F9B">
      <w:pPr>
        <w:ind w:left="720"/>
        <w:jc w:val="both"/>
        <w:rPr>
          <w:lang w:val="en-US"/>
        </w:rPr>
      </w:pPr>
    </w:p>
    <w:p w:rsidR="009B0625" w:rsidRPr="00927406" w:rsidRDefault="001A4F9B" w:rsidP="00E0326C">
      <w:pPr>
        <w:pStyle w:val="PargrafodaLista"/>
        <w:numPr>
          <w:ilvl w:val="0"/>
          <w:numId w:val="9"/>
        </w:numPr>
        <w:jc w:val="both"/>
        <w:rPr>
          <w:lang w:val="en-US"/>
        </w:rPr>
      </w:pPr>
      <w:r w:rsidRPr="00927406">
        <w:rPr>
          <w:lang w:val="en-US"/>
        </w:rPr>
        <w:t>involuntary temporary employment</w:t>
      </w:r>
      <w:r w:rsidR="009B0625" w:rsidRPr="00927406">
        <w:rPr>
          <w:lang w:val="en-US"/>
        </w:rPr>
        <w:t xml:space="preserve"> (Source: </w:t>
      </w:r>
      <w:proofErr w:type="spellStart"/>
      <w:r w:rsidR="009B0625" w:rsidRPr="00927406">
        <w:rPr>
          <w:lang w:val="en-US"/>
        </w:rPr>
        <w:t>Instituto</w:t>
      </w:r>
      <w:proofErr w:type="spellEnd"/>
      <w:r w:rsidR="009B0625" w:rsidRPr="00927406">
        <w:rPr>
          <w:lang w:val="en-US"/>
        </w:rPr>
        <w:t xml:space="preserve"> Nacional de </w:t>
      </w:r>
      <w:proofErr w:type="spellStart"/>
      <w:r w:rsidR="009B0625" w:rsidRPr="00927406">
        <w:rPr>
          <w:lang w:val="en-US"/>
        </w:rPr>
        <w:t>Estatística</w:t>
      </w:r>
      <w:proofErr w:type="spellEnd"/>
      <w:r w:rsidR="009B0625" w:rsidRPr="00927406">
        <w:rPr>
          <w:lang w:val="en-US"/>
        </w:rPr>
        <w:t>)</w:t>
      </w:r>
    </w:p>
    <w:p w:rsidR="00E0326C" w:rsidRPr="00927406" w:rsidRDefault="00E0326C" w:rsidP="00E0326C">
      <w:pPr>
        <w:jc w:val="both"/>
        <w:rPr>
          <w:lang w:val="en-US"/>
        </w:rPr>
      </w:pPr>
    </w:p>
    <w:p w:rsidR="00E0326C" w:rsidRPr="00927406" w:rsidRDefault="00E0326C" w:rsidP="00E0326C">
      <w:pPr>
        <w:jc w:val="both"/>
        <w:rPr>
          <w:lang w:val="en-US"/>
        </w:rPr>
      </w:pPr>
      <w:r w:rsidRPr="00927406">
        <w:rPr>
          <w:lang w:val="en-US"/>
        </w:rPr>
        <w:t xml:space="preserve">Involuntary temporary employment and other forms precarious employment increased </w:t>
      </w:r>
      <w:proofErr w:type="spellStart"/>
      <w:r w:rsidRPr="00927406">
        <w:rPr>
          <w:lang w:val="en-US"/>
        </w:rPr>
        <w:t>substantialy</w:t>
      </w:r>
      <w:proofErr w:type="spellEnd"/>
      <w:r w:rsidRPr="00927406">
        <w:rPr>
          <w:lang w:val="en-US"/>
        </w:rPr>
        <w:t xml:space="preserve">. </w:t>
      </w:r>
    </w:p>
    <w:p w:rsidR="00E0326C" w:rsidRPr="00927406" w:rsidRDefault="00E0326C" w:rsidP="00E0326C">
      <w:pPr>
        <w:jc w:val="both"/>
        <w:rPr>
          <w:b/>
          <w:lang w:val="en-US"/>
        </w:rPr>
      </w:pPr>
    </w:p>
    <w:p w:rsidR="00E0326C" w:rsidRPr="00927406" w:rsidRDefault="00E0326C" w:rsidP="00E0326C">
      <w:pPr>
        <w:jc w:val="both"/>
        <w:rPr>
          <w:b/>
          <w:lang w:val="en-US"/>
        </w:rPr>
      </w:pPr>
      <w:r w:rsidRPr="00927406">
        <w:rPr>
          <w:b/>
          <w:lang w:val="en-US"/>
        </w:rPr>
        <w:t>T</w:t>
      </w:r>
      <w:r w:rsidRPr="00927406">
        <w:rPr>
          <w:b/>
          <w:lang w:val="en-US"/>
        </w:rPr>
        <w:t>emporary employment</w:t>
      </w:r>
      <w:r w:rsidRPr="00927406">
        <w:rPr>
          <w:b/>
          <w:lang w:val="en-US"/>
        </w:rPr>
        <w:t>,</w:t>
      </w:r>
      <w:r w:rsidRPr="00927406">
        <w:rPr>
          <w:b/>
          <w:lang w:val="en-US"/>
        </w:rPr>
        <w:t xml:space="preserve"> </w:t>
      </w:r>
      <w:r w:rsidRPr="00927406">
        <w:rPr>
          <w:b/>
          <w:lang w:val="en-US"/>
        </w:rPr>
        <w:t xml:space="preserve">n. of people </w:t>
      </w:r>
      <w:r w:rsidRPr="00927406">
        <w:rPr>
          <w:b/>
          <w:lang w:val="en-US"/>
        </w:rPr>
        <w:t xml:space="preserve">(Source: </w:t>
      </w:r>
      <w:proofErr w:type="spellStart"/>
      <w:r w:rsidRPr="00927406">
        <w:rPr>
          <w:b/>
          <w:lang w:val="en-US"/>
        </w:rPr>
        <w:t>Instituto</w:t>
      </w:r>
      <w:proofErr w:type="spellEnd"/>
      <w:r w:rsidRPr="00927406">
        <w:rPr>
          <w:b/>
          <w:lang w:val="en-US"/>
        </w:rPr>
        <w:t xml:space="preserve"> Nacional de </w:t>
      </w:r>
      <w:proofErr w:type="spellStart"/>
      <w:r w:rsidRPr="00927406">
        <w:rPr>
          <w:b/>
          <w:lang w:val="en-US"/>
        </w:rPr>
        <w:t>Estatística</w:t>
      </w:r>
      <w:proofErr w:type="spellEnd"/>
      <w:r w:rsidRPr="00927406">
        <w:rPr>
          <w:b/>
          <w:lang w:val="en-US"/>
        </w:rPr>
        <w:t>)</w:t>
      </w:r>
    </w:p>
    <w:p w:rsidR="001A4F9B" w:rsidRPr="00927406" w:rsidRDefault="001A4F9B" w:rsidP="001A4F9B">
      <w:pPr>
        <w:ind w:left="720"/>
        <w:jc w:val="both"/>
        <w:rPr>
          <w:lang w:val="en-US"/>
        </w:rPr>
      </w:pPr>
    </w:p>
    <w:tbl>
      <w:tblPr>
        <w:tblW w:w="0" w:type="auto"/>
        <w:tblCellSpacing w:w="0" w:type="dxa"/>
        <w:tblLayout w:type="fixed"/>
        <w:tblCellMar>
          <w:left w:w="0" w:type="dxa"/>
          <w:right w:w="0" w:type="dxa"/>
        </w:tblCellMar>
        <w:tblLook w:val="04A0" w:firstRow="1" w:lastRow="0" w:firstColumn="1" w:lastColumn="0" w:noHBand="0" w:noVBand="1"/>
      </w:tblPr>
      <w:tblGrid>
        <w:gridCol w:w="1134"/>
        <w:gridCol w:w="993"/>
        <w:gridCol w:w="1417"/>
        <w:gridCol w:w="1418"/>
        <w:gridCol w:w="1275"/>
      </w:tblGrid>
      <w:tr w:rsidR="009B0625" w:rsidRPr="00927406" w:rsidTr="005E04C5">
        <w:trPr>
          <w:trHeight w:val="525"/>
          <w:tblCellSpacing w:w="0" w:type="dxa"/>
        </w:trPr>
        <w:tc>
          <w:tcPr>
            <w:tcW w:w="1134" w:type="dxa"/>
            <w:shd w:val="clear" w:color="auto" w:fill="auto"/>
            <w:vAlign w:val="center"/>
            <w:hideMark/>
          </w:tcPr>
          <w:p w:rsidR="009B0625" w:rsidRPr="00927406" w:rsidRDefault="009B0625" w:rsidP="004E0AEB">
            <w:pPr>
              <w:rPr>
                <w:lang w:val="en-US" w:eastAsia="pt-PT"/>
              </w:rPr>
            </w:pPr>
            <w:r w:rsidRPr="00927406">
              <w:rPr>
                <w:lang w:val="en-US" w:eastAsia="pt-PT"/>
              </w:rPr>
              <w:t>2011 </w:t>
            </w:r>
          </w:p>
        </w:tc>
        <w:tc>
          <w:tcPr>
            <w:tcW w:w="993" w:type="dxa"/>
            <w:shd w:val="clear" w:color="auto" w:fill="auto"/>
            <w:vAlign w:val="center"/>
            <w:hideMark/>
          </w:tcPr>
          <w:p w:rsidR="009B0625" w:rsidRPr="00927406" w:rsidRDefault="009B0625" w:rsidP="004E0AEB">
            <w:pPr>
              <w:rPr>
                <w:lang w:val="en-US" w:eastAsia="pt-PT"/>
              </w:rPr>
            </w:pPr>
            <w:r w:rsidRPr="00927406">
              <w:rPr>
                <w:lang w:val="en-US" w:eastAsia="pt-PT"/>
              </w:rPr>
              <w:t>2012 </w:t>
            </w:r>
          </w:p>
        </w:tc>
        <w:tc>
          <w:tcPr>
            <w:tcW w:w="1417" w:type="dxa"/>
            <w:shd w:val="clear" w:color="auto" w:fill="auto"/>
            <w:vAlign w:val="center"/>
            <w:hideMark/>
          </w:tcPr>
          <w:p w:rsidR="009B0625" w:rsidRPr="00927406" w:rsidRDefault="009B0625" w:rsidP="004E0AEB">
            <w:pPr>
              <w:rPr>
                <w:lang w:val="en-US" w:eastAsia="pt-PT"/>
              </w:rPr>
            </w:pPr>
            <w:r w:rsidRPr="00927406">
              <w:rPr>
                <w:lang w:val="en-US" w:eastAsia="pt-PT"/>
              </w:rPr>
              <w:t>2013 </w:t>
            </w:r>
          </w:p>
        </w:tc>
        <w:tc>
          <w:tcPr>
            <w:tcW w:w="1418" w:type="dxa"/>
            <w:shd w:val="clear" w:color="auto" w:fill="auto"/>
            <w:vAlign w:val="center"/>
            <w:hideMark/>
          </w:tcPr>
          <w:p w:rsidR="009B0625" w:rsidRPr="00927406" w:rsidRDefault="009B0625" w:rsidP="004E0AEB">
            <w:pPr>
              <w:rPr>
                <w:lang w:val="en-US" w:eastAsia="pt-PT"/>
              </w:rPr>
            </w:pPr>
            <w:r w:rsidRPr="00927406">
              <w:rPr>
                <w:lang w:val="en-US" w:eastAsia="pt-PT"/>
              </w:rPr>
              <w:t>2014 </w:t>
            </w:r>
          </w:p>
        </w:tc>
        <w:tc>
          <w:tcPr>
            <w:tcW w:w="1275" w:type="dxa"/>
            <w:shd w:val="clear" w:color="auto" w:fill="auto"/>
            <w:vAlign w:val="center"/>
            <w:hideMark/>
          </w:tcPr>
          <w:p w:rsidR="009B0625" w:rsidRPr="00927406" w:rsidRDefault="009B0625" w:rsidP="004E0AEB">
            <w:pPr>
              <w:rPr>
                <w:lang w:val="en-US" w:eastAsia="pt-PT"/>
              </w:rPr>
            </w:pPr>
            <w:r w:rsidRPr="00927406">
              <w:rPr>
                <w:lang w:val="en-US" w:eastAsia="pt-PT"/>
              </w:rPr>
              <w:t>2015 </w:t>
            </w:r>
          </w:p>
        </w:tc>
      </w:tr>
      <w:tr w:rsidR="009B0625" w:rsidRPr="00927406" w:rsidTr="005E04C5">
        <w:trPr>
          <w:trHeight w:val="525"/>
          <w:tblCellSpacing w:w="0" w:type="dxa"/>
        </w:trPr>
        <w:tc>
          <w:tcPr>
            <w:tcW w:w="1134" w:type="dxa"/>
            <w:shd w:val="clear" w:color="auto" w:fill="auto"/>
            <w:vAlign w:val="center"/>
            <w:hideMark/>
          </w:tcPr>
          <w:p w:rsidR="009B0625" w:rsidRPr="00927406" w:rsidRDefault="009B0625" w:rsidP="004E0AEB">
            <w:pPr>
              <w:rPr>
                <w:lang w:val="en-US" w:eastAsia="pt-PT"/>
              </w:rPr>
            </w:pPr>
            <w:r w:rsidRPr="00927406">
              <w:rPr>
                <w:lang w:val="en-US" w:eastAsia="pt-PT"/>
              </w:rPr>
              <w:t>230200</w:t>
            </w:r>
          </w:p>
        </w:tc>
        <w:tc>
          <w:tcPr>
            <w:tcW w:w="993" w:type="dxa"/>
            <w:shd w:val="clear" w:color="auto" w:fill="auto"/>
            <w:vAlign w:val="center"/>
            <w:hideMark/>
          </w:tcPr>
          <w:p w:rsidR="009B0625" w:rsidRPr="00927406" w:rsidRDefault="009B0625" w:rsidP="004E0AEB">
            <w:pPr>
              <w:rPr>
                <w:lang w:val="en-US" w:eastAsia="pt-PT"/>
              </w:rPr>
            </w:pPr>
            <w:r w:rsidRPr="00927406">
              <w:rPr>
                <w:lang w:val="en-US" w:eastAsia="pt-PT"/>
              </w:rPr>
              <w:t> 254500</w:t>
            </w:r>
          </w:p>
        </w:tc>
        <w:tc>
          <w:tcPr>
            <w:tcW w:w="1417" w:type="dxa"/>
            <w:shd w:val="clear" w:color="auto" w:fill="auto"/>
            <w:vAlign w:val="center"/>
            <w:hideMark/>
          </w:tcPr>
          <w:p w:rsidR="009B0625" w:rsidRPr="00927406" w:rsidRDefault="009B0625" w:rsidP="004E0AEB">
            <w:pPr>
              <w:rPr>
                <w:lang w:val="en-US" w:eastAsia="pt-PT"/>
              </w:rPr>
            </w:pPr>
            <w:r w:rsidRPr="00927406">
              <w:rPr>
                <w:lang w:val="en-US" w:eastAsia="pt-PT"/>
              </w:rPr>
              <w:t>259100 </w:t>
            </w:r>
          </w:p>
        </w:tc>
        <w:tc>
          <w:tcPr>
            <w:tcW w:w="1418" w:type="dxa"/>
            <w:shd w:val="clear" w:color="auto" w:fill="auto"/>
            <w:vAlign w:val="center"/>
            <w:hideMark/>
          </w:tcPr>
          <w:p w:rsidR="009B0625" w:rsidRPr="00927406" w:rsidRDefault="009B0625" w:rsidP="004E0AEB">
            <w:pPr>
              <w:rPr>
                <w:lang w:val="en-US" w:eastAsia="pt-PT"/>
              </w:rPr>
            </w:pPr>
            <w:r w:rsidRPr="00927406">
              <w:rPr>
                <w:lang w:val="en-US" w:eastAsia="pt-PT"/>
              </w:rPr>
              <w:t>251700 </w:t>
            </w:r>
          </w:p>
        </w:tc>
        <w:tc>
          <w:tcPr>
            <w:tcW w:w="1275" w:type="dxa"/>
            <w:shd w:val="clear" w:color="auto" w:fill="auto"/>
            <w:vAlign w:val="center"/>
            <w:hideMark/>
          </w:tcPr>
          <w:p w:rsidR="009B0625" w:rsidRPr="00927406" w:rsidRDefault="009B0625" w:rsidP="004E0AEB">
            <w:pPr>
              <w:rPr>
                <w:lang w:val="en-US" w:eastAsia="pt-PT"/>
              </w:rPr>
            </w:pPr>
            <w:r w:rsidRPr="00927406">
              <w:rPr>
                <w:lang w:val="en-US" w:eastAsia="pt-PT"/>
              </w:rPr>
              <w:t>243000 </w:t>
            </w:r>
          </w:p>
        </w:tc>
      </w:tr>
    </w:tbl>
    <w:p w:rsidR="009B0625" w:rsidRPr="00927406" w:rsidRDefault="009B0625" w:rsidP="009B0625">
      <w:pPr>
        <w:jc w:val="both"/>
        <w:rPr>
          <w:lang w:val="en-US"/>
        </w:rPr>
      </w:pPr>
    </w:p>
    <w:p w:rsidR="001A4F9B" w:rsidRPr="00927406" w:rsidRDefault="001A4F9B" w:rsidP="009B0625">
      <w:pPr>
        <w:jc w:val="both"/>
        <w:rPr>
          <w:lang w:val="en-US"/>
        </w:rPr>
      </w:pPr>
      <w:r w:rsidRPr="00927406">
        <w:rPr>
          <w:lang w:val="en-US"/>
        </w:rPr>
        <w:t xml:space="preserve">(d) </w:t>
      </w:r>
      <w:proofErr w:type="gramStart"/>
      <w:r w:rsidRPr="00927406">
        <w:rPr>
          <w:b/>
          <w:lang w:val="en-US"/>
        </w:rPr>
        <w:t>non-standard</w:t>
      </w:r>
      <w:proofErr w:type="gramEnd"/>
      <w:r w:rsidRPr="00927406">
        <w:rPr>
          <w:b/>
          <w:lang w:val="en-US"/>
        </w:rPr>
        <w:t xml:space="preserve"> work contracts</w:t>
      </w:r>
      <w:r w:rsidRPr="00927406">
        <w:rPr>
          <w:lang w:val="en-US"/>
        </w:rPr>
        <w:t xml:space="preserve">, </w:t>
      </w:r>
    </w:p>
    <w:p w:rsidR="009B0625" w:rsidRPr="00927406" w:rsidRDefault="009B0625" w:rsidP="009B0625">
      <w:pPr>
        <w:jc w:val="both"/>
        <w:rPr>
          <w:lang w:val="en-US"/>
        </w:rPr>
      </w:pPr>
    </w:p>
    <w:p w:rsidR="009B0625" w:rsidRPr="00927406" w:rsidRDefault="009B0625" w:rsidP="009B0625">
      <w:pPr>
        <w:jc w:val="both"/>
        <w:rPr>
          <w:lang w:val="en-US"/>
        </w:rPr>
      </w:pPr>
      <w:r w:rsidRPr="00927406">
        <w:rPr>
          <w:lang w:val="en-US"/>
        </w:rPr>
        <w:t>Not available</w:t>
      </w:r>
    </w:p>
    <w:p w:rsidR="00E95B0E" w:rsidRPr="00927406" w:rsidRDefault="00E95B0E" w:rsidP="001A4F9B">
      <w:pPr>
        <w:ind w:left="720"/>
        <w:jc w:val="both"/>
        <w:rPr>
          <w:lang w:val="en-US"/>
        </w:rPr>
      </w:pPr>
    </w:p>
    <w:p w:rsidR="00E95B0E" w:rsidRPr="00927406" w:rsidRDefault="001A4F9B" w:rsidP="009B0625">
      <w:pPr>
        <w:jc w:val="both"/>
        <w:rPr>
          <w:lang w:val="en-US"/>
        </w:rPr>
      </w:pPr>
      <w:r w:rsidRPr="00927406">
        <w:rPr>
          <w:lang w:val="en-US"/>
        </w:rPr>
        <w:t xml:space="preserve">(e) </w:t>
      </w:r>
      <w:proofErr w:type="gramStart"/>
      <w:r w:rsidRPr="00927406">
        <w:rPr>
          <w:lang w:val="en-US"/>
        </w:rPr>
        <w:t>irregular</w:t>
      </w:r>
      <w:proofErr w:type="gramEnd"/>
      <w:r w:rsidRPr="00927406">
        <w:rPr>
          <w:lang w:val="en-US"/>
        </w:rPr>
        <w:t xml:space="preserve"> and/or informal work arrangements or</w:t>
      </w:r>
    </w:p>
    <w:p w:rsidR="001A4F9B" w:rsidRPr="00927406" w:rsidRDefault="001A4F9B" w:rsidP="001A4F9B">
      <w:pPr>
        <w:ind w:left="720"/>
        <w:jc w:val="both"/>
        <w:rPr>
          <w:lang w:val="en-US"/>
        </w:rPr>
      </w:pPr>
      <w:r w:rsidRPr="00927406">
        <w:rPr>
          <w:lang w:val="en-US"/>
        </w:rPr>
        <w:t xml:space="preserve"> </w:t>
      </w:r>
    </w:p>
    <w:p w:rsidR="001A4F9B" w:rsidRPr="00927406" w:rsidRDefault="001A4F9B" w:rsidP="00851529">
      <w:pPr>
        <w:jc w:val="both"/>
        <w:rPr>
          <w:b/>
          <w:lang w:val="en-US"/>
        </w:rPr>
      </w:pPr>
      <w:r w:rsidRPr="00927406">
        <w:rPr>
          <w:lang w:val="en-US"/>
        </w:rPr>
        <w:t xml:space="preserve">(f) </w:t>
      </w:r>
      <w:proofErr w:type="gramStart"/>
      <w:r w:rsidRPr="00927406">
        <w:rPr>
          <w:b/>
          <w:lang w:val="en-US"/>
        </w:rPr>
        <w:t>the</w:t>
      </w:r>
      <w:proofErr w:type="gramEnd"/>
      <w:r w:rsidRPr="00927406">
        <w:rPr>
          <w:b/>
          <w:lang w:val="en-US"/>
        </w:rPr>
        <w:t xml:space="preserve"> percentage of people contributing to or receiving benefits from unemployment social security or public health insurance?</w:t>
      </w:r>
    </w:p>
    <w:p w:rsidR="00851529" w:rsidRPr="00927406" w:rsidRDefault="00851529" w:rsidP="00851529">
      <w:pPr>
        <w:jc w:val="both"/>
        <w:rPr>
          <w:lang w:val="en-US"/>
        </w:rPr>
      </w:pPr>
    </w:p>
    <w:p w:rsidR="00E0326C" w:rsidRPr="00927406" w:rsidRDefault="00E0326C" w:rsidP="00851529">
      <w:pPr>
        <w:jc w:val="both"/>
        <w:rPr>
          <w:lang w:val="en-US"/>
        </w:rPr>
      </w:pPr>
      <w:r w:rsidRPr="00927406">
        <w:rPr>
          <w:lang w:val="en-US"/>
        </w:rPr>
        <w:t>In spite of the absence of reliable data</w:t>
      </w:r>
      <w:r w:rsidR="00927406" w:rsidRPr="00927406">
        <w:rPr>
          <w:lang w:val="en-US"/>
        </w:rPr>
        <w:t>,</w:t>
      </w:r>
      <w:r w:rsidRPr="00927406">
        <w:rPr>
          <w:lang w:val="en-US"/>
        </w:rPr>
        <w:t xml:space="preserve"> informal work arrangements have probably increased during the MoU period.</w:t>
      </w:r>
    </w:p>
    <w:p w:rsidR="00E0326C" w:rsidRPr="00927406" w:rsidRDefault="00E0326C" w:rsidP="00851529">
      <w:pPr>
        <w:jc w:val="both"/>
        <w:rPr>
          <w:b/>
          <w:lang w:val="en-US"/>
        </w:rPr>
      </w:pPr>
    </w:p>
    <w:p w:rsidR="00307D4C" w:rsidRPr="00927406" w:rsidRDefault="00307D4C" w:rsidP="00851529">
      <w:pPr>
        <w:jc w:val="both"/>
        <w:rPr>
          <w:b/>
          <w:lang w:val="en-US"/>
        </w:rPr>
      </w:pPr>
      <w:r w:rsidRPr="00927406">
        <w:rPr>
          <w:b/>
          <w:lang w:val="en-US"/>
        </w:rPr>
        <w:t xml:space="preserve">Percentage of people employed </w:t>
      </w:r>
      <w:r w:rsidR="00E0326C" w:rsidRPr="00927406">
        <w:rPr>
          <w:b/>
          <w:lang w:val="en-US"/>
        </w:rPr>
        <w:t xml:space="preserve">in the private sector </w:t>
      </w:r>
      <w:r w:rsidRPr="00927406">
        <w:rPr>
          <w:b/>
          <w:lang w:val="en-US"/>
        </w:rPr>
        <w:t>(excluding public administration) contributing to social security (Source: Eurostat, author’s computations):</w:t>
      </w:r>
    </w:p>
    <w:p w:rsidR="00E0326C" w:rsidRPr="00927406" w:rsidRDefault="00E0326C" w:rsidP="00851529">
      <w:pPr>
        <w:jc w:val="both"/>
        <w:rPr>
          <w:lang w:val="en-US"/>
        </w:rPr>
      </w:pP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E0326C" w:rsidRPr="00E0326C" w:rsidTr="00E0326C">
        <w:trPr>
          <w:trHeight w:val="300"/>
        </w:trPr>
        <w:tc>
          <w:tcPr>
            <w:tcW w:w="960" w:type="dxa"/>
            <w:tcBorders>
              <w:top w:val="nil"/>
              <w:left w:val="nil"/>
              <w:bottom w:val="nil"/>
              <w:right w:val="nil"/>
            </w:tcBorders>
            <w:shd w:val="clear" w:color="000000" w:fill="FFFFFF"/>
            <w:vAlign w:val="center"/>
            <w:hideMark/>
          </w:tcPr>
          <w:p w:rsidR="00E0326C" w:rsidRPr="00E0326C" w:rsidRDefault="00E0326C" w:rsidP="00E0326C">
            <w:pPr>
              <w:jc w:val="right"/>
              <w:rPr>
                <w:color w:val="000000"/>
                <w:lang w:val="pt-PT" w:eastAsia="pt-PT"/>
              </w:rPr>
            </w:pPr>
            <w:r w:rsidRPr="00E0326C">
              <w:rPr>
                <w:color w:val="000000"/>
                <w:lang w:val="pt-PT" w:eastAsia="pt-PT"/>
              </w:rPr>
              <w:t>2011 </w:t>
            </w:r>
          </w:p>
        </w:tc>
        <w:tc>
          <w:tcPr>
            <w:tcW w:w="960" w:type="dxa"/>
            <w:tcBorders>
              <w:top w:val="nil"/>
              <w:left w:val="nil"/>
              <w:bottom w:val="nil"/>
              <w:right w:val="nil"/>
            </w:tcBorders>
            <w:shd w:val="clear" w:color="000000" w:fill="FFFFFF"/>
            <w:vAlign w:val="center"/>
            <w:hideMark/>
          </w:tcPr>
          <w:p w:rsidR="00E0326C" w:rsidRPr="00E0326C" w:rsidRDefault="00E0326C" w:rsidP="00E0326C">
            <w:pPr>
              <w:jc w:val="right"/>
              <w:rPr>
                <w:color w:val="000000"/>
                <w:lang w:val="pt-PT" w:eastAsia="pt-PT"/>
              </w:rPr>
            </w:pPr>
            <w:r w:rsidRPr="00E0326C">
              <w:rPr>
                <w:color w:val="000000"/>
                <w:lang w:val="pt-PT" w:eastAsia="pt-PT"/>
              </w:rPr>
              <w:t>2012 </w:t>
            </w:r>
          </w:p>
        </w:tc>
        <w:tc>
          <w:tcPr>
            <w:tcW w:w="960" w:type="dxa"/>
            <w:tcBorders>
              <w:top w:val="nil"/>
              <w:left w:val="nil"/>
              <w:bottom w:val="nil"/>
              <w:right w:val="nil"/>
            </w:tcBorders>
            <w:shd w:val="clear" w:color="000000" w:fill="FFFFFF"/>
            <w:vAlign w:val="center"/>
            <w:hideMark/>
          </w:tcPr>
          <w:p w:rsidR="00E0326C" w:rsidRPr="00E0326C" w:rsidRDefault="00E0326C" w:rsidP="00E0326C">
            <w:pPr>
              <w:jc w:val="right"/>
              <w:rPr>
                <w:color w:val="000000"/>
                <w:lang w:val="pt-PT" w:eastAsia="pt-PT"/>
              </w:rPr>
            </w:pPr>
            <w:r w:rsidRPr="00E0326C">
              <w:rPr>
                <w:color w:val="000000"/>
                <w:lang w:val="pt-PT" w:eastAsia="pt-PT"/>
              </w:rPr>
              <w:t>2013 </w:t>
            </w:r>
          </w:p>
        </w:tc>
        <w:tc>
          <w:tcPr>
            <w:tcW w:w="960" w:type="dxa"/>
            <w:tcBorders>
              <w:top w:val="nil"/>
              <w:left w:val="nil"/>
              <w:bottom w:val="nil"/>
              <w:right w:val="nil"/>
            </w:tcBorders>
            <w:shd w:val="clear" w:color="000000" w:fill="FFFFFF"/>
            <w:vAlign w:val="center"/>
            <w:hideMark/>
          </w:tcPr>
          <w:p w:rsidR="00E0326C" w:rsidRPr="00E0326C" w:rsidRDefault="00E0326C" w:rsidP="00E0326C">
            <w:pPr>
              <w:jc w:val="right"/>
              <w:rPr>
                <w:color w:val="000000"/>
                <w:lang w:val="pt-PT" w:eastAsia="pt-PT"/>
              </w:rPr>
            </w:pPr>
            <w:r w:rsidRPr="00E0326C">
              <w:rPr>
                <w:color w:val="000000"/>
                <w:lang w:val="pt-PT" w:eastAsia="pt-PT"/>
              </w:rPr>
              <w:t>2014 </w:t>
            </w:r>
          </w:p>
        </w:tc>
        <w:tc>
          <w:tcPr>
            <w:tcW w:w="960" w:type="dxa"/>
            <w:tcBorders>
              <w:top w:val="nil"/>
              <w:left w:val="nil"/>
              <w:bottom w:val="nil"/>
              <w:right w:val="nil"/>
            </w:tcBorders>
            <w:shd w:val="clear" w:color="000000" w:fill="FFFFFF"/>
            <w:vAlign w:val="center"/>
            <w:hideMark/>
          </w:tcPr>
          <w:p w:rsidR="00E0326C" w:rsidRPr="00E0326C" w:rsidRDefault="00E0326C" w:rsidP="00E0326C">
            <w:pPr>
              <w:jc w:val="right"/>
              <w:rPr>
                <w:color w:val="000000"/>
                <w:lang w:val="pt-PT" w:eastAsia="pt-PT"/>
              </w:rPr>
            </w:pPr>
            <w:r w:rsidRPr="00E0326C">
              <w:rPr>
                <w:color w:val="000000"/>
                <w:lang w:val="pt-PT" w:eastAsia="pt-PT"/>
              </w:rPr>
              <w:t>2015 </w:t>
            </w:r>
          </w:p>
        </w:tc>
      </w:tr>
      <w:tr w:rsidR="00E0326C" w:rsidRPr="00E0326C" w:rsidTr="00E0326C">
        <w:trPr>
          <w:trHeight w:val="300"/>
        </w:trPr>
        <w:tc>
          <w:tcPr>
            <w:tcW w:w="960" w:type="dxa"/>
            <w:tcBorders>
              <w:top w:val="nil"/>
              <w:left w:val="nil"/>
              <w:bottom w:val="nil"/>
              <w:right w:val="nil"/>
            </w:tcBorders>
            <w:shd w:val="clear" w:color="auto" w:fill="auto"/>
            <w:noWrap/>
            <w:vAlign w:val="bottom"/>
            <w:hideMark/>
          </w:tcPr>
          <w:p w:rsidR="00E0326C" w:rsidRPr="00E0326C" w:rsidRDefault="00E0326C" w:rsidP="00E0326C">
            <w:pPr>
              <w:jc w:val="right"/>
              <w:rPr>
                <w:color w:val="000000"/>
                <w:lang w:val="pt-PT" w:eastAsia="pt-PT"/>
              </w:rPr>
            </w:pPr>
            <w:r w:rsidRPr="00E0326C">
              <w:rPr>
                <w:color w:val="000000"/>
                <w:lang w:val="pt-PT" w:eastAsia="pt-PT"/>
              </w:rPr>
              <w:t>86,4%</w:t>
            </w:r>
          </w:p>
        </w:tc>
        <w:tc>
          <w:tcPr>
            <w:tcW w:w="960" w:type="dxa"/>
            <w:tcBorders>
              <w:top w:val="nil"/>
              <w:left w:val="nil"/>
              <w:bottom w:val="nil"/>
              <w:right w:val="nil"/>
            </w:tcBorders>
            <w:shd w:val="clear" w:color="auto" w:fill="auto"/>
            <w:noWrap/>
            <w:vAlign w:val="bottom"/>
            <w:hideMark/>
          </w:tcPr>
          <w:p w:rsidR="00E0326C" w:rsidRPr="00E0326C" w:rsidRDefault="00E0326C" w:rsidP="00E0326C">
            <w:pPr>
              <w:jc w:val="right"/>
              <w:rPr>
                <w:color w:val="000000"/>
                <w:lang w:val="pt-PT" w:eastAsia="pt-PT"/>
              </w:rPr>
            </w:pPr>
            <w:r w:rsidRPr="00E0326C">
              <w:rPr>
                <w:color w:val="000000"/>
                <w:lang w:val="pt-PT" w:eastAsia="pt-PT"/>
              </w:rPr>
              <w:t>85,5%</w:t>
            </w:r>
          </w:p>
        </w:tc>
        <w:tc>
          <w:tcPr>
            <w:tcW w:w="960" w:type="dxa"/>
            <w:tcBorders>
              <w:top w:val="nil"/>
              <w:left w:val="nil"/>
              <w:bottom w:val="nil"/>
              <w:right w:val="nil"/>
            </w:tcBorders>
            <w:shd w:val="clear" w:color="auto" w:fill="auto"/>
            <w:noWrap/>
            <w:vAlign w:val="bottom"/>
            <w:hideMark/>
          </w:tcPr>
          <w:p w:rsidR="00E0326C" w:rsidRPr="00E0326C" w:rsidRDefault="00E0326C" w:rsidP="00E0326C">
            <w:pPr>
              <w:jc w:val="right"/>
              <w:rPr>
                <w:color w:val="000000"/>
                <w:lang w:val="pt-PT" w:eastAsia="pt-PT"/>
              </w:rPr>
            </w:pPr>
            <w:r w:rsidRPr="00E0326C">
              <w:rPr>
                <w:color w:val="000000"/>
                <w:lang w:val="pt-PT" w:eastAsia="pt-PT"/>
              </w:rPr>
              <w:t>84,6%</w:t>
            </w:r>
          </w:p>
        </w:tc>
        <w:tc>
          <w:tcPr>
            <w:tcW w:w="960" w:type="dxa"/>
            <w:tcBorders>
              <w:top w:val="nil"/>
              <w:left w:val="nil"/>
              <w:bottom w:val="nil"/>
              <w:right w:val="nil"/>
            </w:tcBorders>
            <w:shd w:val="clear" w:color="auto" w:fill="auto"/>
            <w:noWrap/>
            <w:vAlign w:val="bottom"/>
            <w:hideMark/>
          </w:tcPr>
          <w:p w:rsidR="00E0326C" w:rsidRPr="00E0326C" w:rsidRDefault="00E0326C" w:rsidP="00E0326C">
            <w:pPr>
              <w:jc w:val="right"/>
              <w:rPr>
                <w:color w:val="000000"/>
                <w:lang w:val="pt-PT" w:eastAsia="pt-PT"/>
              </w:rPr>
            </w:pPr>
            <w:r w:rsidRPr="00E0326C">
              <w:rPr>
                <w:color w:val="000000"/>
                <w:lang w:val="pt-PT" w:eastAsia="pt-PT"/>
              </w:rPr>
              <w:t>83,5%</w:t>
            </w:r>
          </w:p>
        </w:tc>
        <w:tc>
          <w:tcPr>
            <w:tcW w:w="960" w:type="dxa"/>
            <w:tcBorders>
              <w:top w:val="nil"/>
              <w:left w:val="nil"/>
              <w:bottom w:val="nil"/>
              <w:right w:val="nil"/>
            </w:tcBorders>
            <w:shd w:val="clear" w:color="auto" w:fill="auto"/>
            <w:noWrap/>
            <w:vAlign w:val="bottom"/>
            <w:hideMark/>
          </w:tcPr>
          <w:p w:rsidR="00E0326C" w:rsidRPr="00E0326C" w:rsidRDefault="00E0326C" w:rsidP="00E0326C">
            <w:pPr>
              <w:jc w:val="right"/>
              <w:rPr>
                <w:color w:val="000000"/>
                <w:lang w:val="pt-PT" w:eastAsia="pt-PT"/>
              </w:rPr>
            </w:pPr>
            <w:r w:rsidRPr="00E0326C">
              <w:rPr>
                <w:color w:val="000000"/>
                <w:lang w:val="pt-PT" w:eastAsia="pt-PT"/>
              </w:rPr>
              <w:t>84,9%</w:t>
            </w:r>
          </w:p>
        </w:tc>
      </w:tr>
    </w:tbl>
    <w:p w:rsidR="00E0326C" w:rsidRPr="00927406" w:rsidRDefault="00E0326C" w:rsidP="00851529">
      <w:pPr>
        <w:jc w:val="both"/>
        <w:rPr>
          <w:lang w:val="en-US"/>
        </w:rPr>
      </w:pPr>
    </w:p>
    <w:p w:rsidR="00E95B0E" w:rsidRPr="00927406" w:rsidRDefault="00E95B0E" w:rsidP="001A4F9B">
      <w:pPr>
        <w:ind w:left="720"/>
        <w:jc w:val="both"/>
        <w:rPr>
          <w:lang w:val="en-US"/>
        </w:rPr>
      </w:pPr>
    </w:p>
    <w:p w:rsidR="001A4F9B" w:rsidRPr="00927406" w:rsidRDefault="00344661" w:rsidP="001A4F9B">
      <w:pPr>
        <w:jc w:val="both"/>
        <w:rPr>
          <w:lang w:val="en-US"/>
        </w:rPr>
      </w:pPr>
      <w:r w:rsidRPr="00927406">
        <w:rPr>
          <w:lang w:val="en-US"/>
        </w:rPr>
        <w:t xml:space="preserve">7. </w:t>
      </w:r>
      <w:r w:rsidR="001A4F9B" w:rsidRPr="00927406">
        <w:rPr>
          <w:b/>
          <w:lang w:val="en-US"/>
        </w:rPr>
        <w:t xml:space="preserve">How did the reforms affect the inclusion/exclusion of the following groups in the </w:t>
      </w:r>
      <w:proofErr w:type="spellStart"/>
      <w:r w:rsidR="001A4F9B" w:rsidRPr="00927406">
        <w:rPr>
          <w:b/>
          <w:lang w:val="en-US"/>
        </w:rPr>
        <w:t>labour</w:t>
      </w:r>
      <w:proofErr w:type="spellEnd"/>
      <w:r w:rsidR="001A4F9B" w:rsidRPr="00927406">
        <w:rPr>
          <w:b/>
          <w:lang w:val="en-US"/>
        </w:rPr>
        <w:t xml:space="preserve"> market: young persons, older persons, persons with disabilities, migrant workers, and members of ethnic/racial minorities?</w:t>
      </w:r>
      <w:r w:rsidR="001A4F9B" w:rsidRPr="00927406">
        <w:rPr>
          <w:lang w:val="en-US"/>
        </w:rPr>
        <w:t xml:space="preserve"> </w:t>
      </w:r>
    </w:p>
    <w:p w:rsidR="00261109" w:rsidRPr="00927406" w:rsidRDefault="00261109" w:rsidP="001A4F9B">
      <w:pPr>
        <w:jc w:val="both"/>
        <w:rPr>
          <w:lang w:val="en-US"/>
        </w:rPr>
      </w:pPr>
    </w:p>
    <w:p w:rsidR="006A6205" w:rsidRPr="00927406" w:rsidRDefault="006A6205" w:rsidP="001A4F9B">
      <w:pPr>
        <w:jc w:val="both"/>
        <w:rPr>
          <w:lang w:val="en-US"/>
        </w:rPr>
      </w:pPr>
      <w:r w:rsidRPr="00927406">
        <w:rPr>
          <w:lang w:val="en-US"/>
        </w:rPr>
        <w:t xml:space="preserve">Young persons were particularly affected by unemployment (38% </w:t>
      </w:r>
      <w:proofErr w:type="gramStart"/>
      <w:r w:rsidR="00215884" w:rsidRPr="00927406">
        <w:rPr>
          <w:lang w:val="en-US"/>
        </w:rPr>
        <w:t>decrease</w:t>
      </w:r>
      <w:proofErr w:type="gramEnd"/>
      <w:r w:rsidRPr="00927406">
        <w:rPr>
          <w:lang w:val="en-US"/>
        </w:rPr>
        <w:t xml:space="preserve"> in employment, against an over</w:t>
      </w:r>
      <w:r w:rsidR="00215884" w:rsidRPr="00927406">
        <w:rPr>
          <w:lang w:val="en-US"/>
        </w:rPr>
        <w:t>all decrease of 10%). Migrant workers, particularly in construction, were also disproportionally affect</w:t>
      </w:r>
      <w:r w:rsidR="00927406" w:rsidRPr="00927406">
        <w:rPr>
          <w:lang w:val="en-US"/>
        </w:rPr>
        <w:t>ed</w:t>
      </w:r>
      <w:r w:rsidR="00215884" w:rsidRPr="00927406">
        <w:rPr>
          <w:lang w:val="en-US"/>
        </w:rPr>
        <w:t xml:space="preserve">. Conversely, employment of older persons increased 6%. Data is not available for ethnic/racial minorities and persons with disabilities. </w:t>
      </w:r>
    </w:p>
    <w:p w:rsidR="006A6205" w:rsidRPr="00927406" w:rsidRDefault="006A6205" w:rsidP="001A4F9B">
      <w:pPr>
        <w:jc w:val="both"/>
        <w:rPr>
          <w:lang w:val="en-US"/>
        </w:rPr>
      </w:pPr>
    </w:p>
    <w:p w:rsidR="00F17EAC" w:rsidRPr="00927406" w:rsidRDefault="00F17EAC" w:rsidP="001A4F9B">
      <w:pPr>
        <w:jc w:val="both"/>
        <w:rPr>
          <w:b/>
          <w:lang w:val="en-US"/>
        </w:rPr>
      </w:pPr>
      <w:r w:rsidRPr="00927406">
        <w:rPr>
          <w:b/>
          <w:lang w:val="en-US"/>
        </w:rPr>
        <w:t>Employment by sex</w:t>
      </w:r>
      <w:r w:rsidR="006748DA" w:rsidRPr="00927406">
        <w:rPr>
          <w:b/>
          <w:lang w:val="en-US"/>
        </w:rPr>
        <w:t>,</w:t>
      </w:r>
      <w:r w:rsidRPr="00927406">
        <w:rPr>
          <w:b/>
          <w:lang w:val="en-US"/>
        </w:rPr>
        <w:t xml:space="preserve"> age</w:t>
      </w:r>
      <w:r w:rsidR="006748DA" w:rsidRPr="00927406">
        <w:rPr>
          <w:b/>
          <w:lang w:val="en-US"/>
        </w:rPr>
        <w:t>, nationality</w:t>
      </w:r>
      <w:r w:rsidR="00927406" w:rsidRPr="00927406">
        <w:rPr>
          <w:b/>
          <w:lang w:val="en-US"/>
        </w:rPr>
        <w:t xml:space="preserve"> (thousand people)</w:t>
      </w:r>
      <w:r w:rsidRPr="00927406">
        <w:rPr>
          <w:b/>
          <w:lang w:val="en-US"/>
        </w:rPr>
        <w:t>: Portugal 2008-2015 (Source: Eurostat)</w:t>
      </w:r>
    </w:p>
    <w:tbl>
      <w:tblPr>
        <w:tblW w:w="9371" w:type="dxa"/>
        <w:tblInd w:w="55" w:type="dxa"/>
        <w:tblLayout w:type="fixed"/>
        <w:tblCellMar>
          <w:left w:w="70" w:type="dxa"/>
          <w:right w:w="70" w:type="dxa"/>
        </w:tblCellMar>
        <w:tblLook w:val="04A0" w:firstRow="1" w:lastRow="0" w:firstColumn="1" w:lastColumn="0" w:noHBand="0" w:noVBand="1"/>
      </w:tblPr>
      <w:tblGrid>
        <w:gridCol w:w="2283"/>
        <w:gridCol w:w="709"/>
        <w:gridCol w:w="709"/>
        <w:gridCol w:w="709"/>
        <w:gridCol w:w="992"/>
        <w:gridCol w:w="992"/>
        <w:gridCol w:w="992"/>
        <w:gridCol w:w="993"/>
        <w:gridCol w:w="992"/>
      </w:tblGrid>
      <w:tr w:rsidR="00DA077E" w:rsidRPr="00927406" w:rsidTr="00215884">
        <w:trPr>
          <w:trHeight w:val="255"/>
        </w:trPr>
        <w:tc>
          <w:tcPr>
            <w:tcW w:w="2283" w:type="dxa"/>
            <w:tcBorders>
              <w:top w:val="nil"/>
              <w:left w:val="nil"/>
              <w:bottom w:val="nil"/>
              <w:right w:val="nil"/>
            </w:tcBorders>
          </w:tcPr>
          <w:p w:rsidR="00DA077E" w:rsidRPr="00927406" w:rsidRDefault="00DA077E" w:rsidP="006748DA">
            <w:pPr>
              <w:jc w:val="right"/>
              <w:rPr>
                <w:lang w:val="en-US" w:eastAsia="pt-PT"/>
              </w:rPr>
            </w:pPr>
          </w:p>
        </w:tc>
        <w:tc>
          <w:tcPr>
            <w:tcW w:w="709" w:type="dxa"/>
            <w:tcBorders>
              <w:top w:val="nil"/>
              <w:left w:val="nil"/>
              <w:bottom w:val="nil"/>
              <w:right w:val="nil"/>
            </w:tcBorders>
            <w:shd w:val="clear" w:color="auto" w:fill="auto"/>
            <w:noWrap/>
            <w:vAlign w:val="bottom"/>
            <w:hideMark/>
          </w:tcPr>
          <w:p w:rsidR="00DA077E" w:rsidRPr="00927406" w:rsidRDefault="00DA077E" w:rsidP="006748DA">
            <w:pPr>
              <w:jc w:val="right"/>
              <w:rPr>
                <w:lang w:val="en-US" w:eastAsia="pt-PT"/>
              </w:rPr>
            </w:pPr>
            <w:r w:rsidRPr="00927406">
              <w:rPr>
                <w:lang w:val="en-US" w:eastAsia="pt-PT"/>
              </w:rPr>
              <w:t>2008</w:t>
            </w:r>
          </w:p>
        </w:tc>
        <w:tc>
          <w:tcPr>
            <w:tcW w:w="709" w:type="dxa"/>
            <w:tcBorders>
              <w:top w:val="nil"/>
              <w:left w:val="nil"/>
              <w:bottom w:val="nil"/>
              <w:right w:val="nil"/>
            </w:tcBorders>
            <w:shd w:val="clear" w:color="auto" w:fill="auto"/>
            <w:noWrap/>
            <w:vAlign w:val="bottom"/>
            <w:hideMark/>
          </w:tcPr>
          <w:p w:rsidR="00DA077E" w:rsidRPr="00927406" w:rsidRDefault="00DA077E" w:rsidP="006748DA">
            <w:pPr>
              <w:jc w:val="right"/>
              <w:rPr>
                <w:lang w:val="en-US" w:eastAsia="pt-PT"/>
              </w:rPr>
            </w:pPr>
            <w:r w:rsidRPr="00927406">
              <w:rPr>
                <w:lang w:val="en-US" w:eastAsia="pt-PT"/>
              </w:rPr>
              <w:t>2009</w:t>
            </w:r>
          </w:p>
        </w:tc>
        <w:tc>
          <w:tcPr>
            <w:tcW w:w="709" w:type="dxa"/>
            <w:tcBorders>
              <w:top w:val="nil"/>
              <w:left w:val="nil"/>
              <w:bottom w:val="nil"/>
              <w:right w:val="nil"/>
            </w:tcBorders>
            <w:shd w:val="clear" w:color="auto" w:fill="auto"/>
            <w:noWrap/>
            <w:vAlign w:val="bottom"/>
            <w:hideMark/>
          </w:tcPr>
          <w:p w:rsidR="00DA077E" w:rsidRPr="00927406" w:rsidRDefault="00DA077E" w:rsidP="006748DA">
            <w:pPr>
              <w:jc w:val="right"/>
              <w:rPr>
                <w:lang w:val="en-US" w:eastAsia="pt-PT"/>
              </w:rPr>
            </w:pPr>
            <w:r w:rsidRPr="00927406">
              <w:rPr>
                <w:lang w:val="en-US" w:eastAsia="pt-PT"/>
              </w:rPr>
              <w:t>2010</w:t>
            </w:r>
          </w:p>
        </w:tc>
        <w:tc>
          <w:tcPr>
            <w:tcW w:w="992" w:type="dxa"/>
            <w:tcBorders>
              <w:top w:val="nil"/>
              <w:left w:val="nil"/>
              <w:bottom w:val="nil"/>
              <w:right w:val="nil"/>
            </w:tcBorders>
            <w:shd w:val="clear" w:color="auto" w:fill="auto"/>
            <w:noWrap/>
            <w:vAlign w:val="bottom"/>
            <w:hideMark/>
          </w:tcPr>
          <w:p w:rsidR="00DA077E" w:rsidRPr="00927406" w:rsidRDefault="00DA077E" w:rsidP="006748DA">
            <w:pPr>
              <w:jc w:val="right"/>
              <w:rPr>
                <w:lang w:val="en-US" w:eastAsia="pt-PT"/>
              </w:rPr>
            </w:pPr>
            <w:r w:rsidRPr="00927406">
              <w:rPr>
                <w:lang w:val="en-US" w:eastAsia="pt-PT"/>
              </w:rPr>
              <w:t>2011</w:t>
            </w:r>
            <w:r w:rsidR="00F17EAC" w:rsidRPr="00927406">
              <w:rPr>
                <w:lang w:val="en-US" w:eastAsia="pt-PT"/>
              </w:rPr>
              <w:t xml:space="preserve"> (a)</w:t>
            </w:r>
          </w:p>
        </w:tc>
        <w:tc>
          <w:tcPr>
            <w:tcW w:w="992" w:type="dxa"/>
            <w:tcBorders>
              <w:top w:val="nil"/>
              <w:left w:val="nil"/>
              <w:bottom w:val="nil"/>
              <w:right w:val="nil"/>
            </w:tcBorders>
            <w:shd w:val="clear" w:color="auto" w:fill="auto"/>
            <w:noWrap/>
            <w:vAlign w:val="bottom"/>
            <w:hideMark/>
          </w:tcPr>
          <w:p w:rsidR="00DA077E" w:rsidRPr="00927406" w:rsidRDefault="00DA077E" w:rsidP="006748DA">
            <w:pPr>
              <w:jc w:val="right"/>
              <w:rPr>
                <w:lang w:val="en-US" w:eastAsia="pt-PT"/>
              </w:rPr>
            </w:pPr>
            <w:r w:rsidRPr="00927406">
              <w:rPr>
                <w:lang w:val="en-US" w:eastAsia="pt-PT"/>
              </w:rPr>
              <w:t>2012</w:t>
            </w:r>
          </w:p>
        </w:tc>
        <w:tc>
          <w:tcPr>
            <w:tcW w:w="992" w:type="dxa"/>
            <w:tcBorders>
              <w:top w:val="nil"/>
              <w:left w:val="nil"/>
              <w:bottom w:val="nil"/>
              <w:right w:val="nil"/>
            </w:tcBorders>
            <w:shd w:val="clear" w:color="auto" w:fill="auto"/>
            <w:noWrap/>
            <w:vAlign w:val="bottom"/>
            <w:hideMark/>
          </w:tcPr>
          <w:p w:rsidR="00DA077E" w:rsidRPr="00927406" w:rsidRDefault="00DA077E" w:rsidP="006748DA">
            <w:pPr>
              <w:jc w:val="right"/>
              <w:rPr>
                <w:lang w:val="en-US" w:eastAsia="pt-PT"/>
              </w:rPr>
            </w:pPr>
            <w:r w:rsidRPr="00927406">
              <w:rPr>
                <w:lang w:val="en-US" w:eastAsia="pt-PT"/>
              </w:rPr>
              <w:t>2013</w:t>
            </w:r>
          </w:p>
        </w:tc>
        <w:tc>
          <w:tcPr>
            <w:tcW w:w="993" w:type="dxa"/>
            <w:tcBorders>
              <w:top w:val="nil"/>
              <w:left w:val="nil"/>
              <w:bottom w:val="nil"/>
              <w:right w:val="nil"/>
            </w:tcBorders>
          </w:tcPr>
          <w:p w:rsidR="00DA077E" w:rsidRPr="00927406" w:rsidRDefault="00DA077E" w:rsidP="006748DA">
            <w:pPr>
              <w:jc w:val="right"/>
              <w:rPr>
                <w:lang w:val="en-US" w:eastAsia="pt-PT"/>
              </w:rPr>
            </w:pPr>
            <w:r w:rsidRPr="00927406">
              <w:rPr>
                <w:lang w:val="en-US" w:eastAsia="pt-PT"/>
              </w:rPr>
              <w:t>2014</w:t>
            </w:r>
          </w:p>
        </w:tc>
        <w:tc>
          <w:tcPr>
            <w:tcW w:w="992" w:type="dxa"/>
            <w:tcBorders>
              <w:top w:val="nil"/>
              <w:left w:val="nil"/>
              <w:bottom w:val="nil"/>
              <w:right w:val="nil"/>
            </w:tcBorders>
          </w:tcPr>
          <w:p w:rsidR="00DA077E" w:rsidRPr="00927406" w:rsidRDefault="00DA077E" w:rsidP="006748DA">
            <w:pPr>
              <w:jc w:val="right"/>
              <w:rPr>
                <w:lang w:val="en-US" w:eastAsia="pt-PT"/>
              </w:rPr>
            </w:pPr>
            <w:r w:rsidRPr="00927406">
              <w:rPr>
                <w:lang w:val="en-US" w:eastAsia="pt-PT"/>
              </w:rPr>
              <w:t>2015</w:t>
            </w:r>
          </w:p>
        </w:tc>
      </w:tr>
      <w:tr w:rsidR="00DA077E" w:rsidRPr="00927406" w:rsidTr="00215884">
        <w:trPr>
          <w:trHeight w:val="255"/>
        </w:trPr>
        <w:tc>
          <w:tcPr>
            <w:tcW w:w="2283" w:type="dxa"/>
            <w:tcBorders>
              <w:top w:val="nil"/>
              <w:left w:val="nil"/>
              <w:bottom w:val="nil"/>
              <w:right w:val="nil"/>
            </w:tcBorders>
          </w:tcPr>
          <w:p w:rsidR="006748DA" w:rsidRPr="00927406" w:rsidRDefault="00DA077E" w:rsidP="00215884">
            <w:pPr>
              <w:rPr>
                <w:lang w:val="en-US"/>
              </w:rPr>
            </w:pPr>
            <w:r w:rsidRPr="00927406">
              <w:rPr>
                <w:lang w:val="en-US"/>
              </w:rPr>
              <w:t>Employment (total)</w:t>
            </w:r>
          </w:p>
        </w:tc>
        <w:tc>
          <w:tcPr>
            <w:tcW w:w="709" w:type="dxa"/>
            <w:tcBorders>
              <w:top w:val="nil"/>
              <w:left w:val="nil"/>
              <w:bottom w:val="nil"/>
              <w:right w:val="nil"/>
            </w:tcBorders>
            <w:shd w:val="clear" w:color="auto" w:fill="auto"/>
            <w:noWrap/>
            <w:vAlign w:val="bottom"/>
          </w:tcPr>
          <w:p w:rsidR="00DA077E" w:rsidRPr="00927406" w:rsidRDefault="00927406" w:rsidP="006748DA">
            <w:pPr>
              <w:jc w:val="right"/>
              <w:rPr>
                <w:lang w:val="en-US"/>
              </w:rPr>
            </w:pPr>
            <w:r w:rsidRPr="00927406">
              <w:rPr>
                <w:lang w:val="en-US"/>
              </w:rPr>
              <w:t>4</w:t>
            </w:r>
            <w:r w:rsidR="00DA077E" w:rsidRPr="00927406">
              <w:rPr>
                <w:lang w:val="en-US"/>
              </w:rPr>
              <w:t>786</w:t>
            </w:r>
          </w:p>
        </w:tc>
        <w:tc>
          <w:tcPr>
            <w:tcW w:w="709" w:type="dxa"/>
            <w:tcBorders>
              <w:top w:val="nil"/>
              <w:left w:val="nil"/>
              <w:bottom w:val="nil"/>
              <w:right w:val="nil"/>
            </w:tcBorders>
            <w:shd w:val="clear" w:color="auto" w:fill="auto"/>
            <w:noWrap/>
            <w:vAlign w:val="bottom"/>
          </w:tcPr>
          <w:p w:rsidR="00DA077E" w:rsidRPr="00927406" w:rsidRDefault="00927406" w:rsidP="006748DA">
            <w:pPr>
              <w:jc w:val="right"/>
              <w:rPr>
                <w:lang w:val="en-US"/>
              </w:rPr>
            </w:pPr>
            <w:r w:rsidRPr="00927406">
              <w:rPr>
                <w:lang w:val="en-US"/>
              </w:rPr>
              <w:t>4</w:t>
            </w:r>
            <w:r w:rsidR="006748DA" w:rsidRPr="00927406">
              <w:rPr>
                <w:lang w:val="en-US"/>
              </w:rPr>
              <w:t>645</w:t>
            </w:r>
          </w:p>
        </w:tc>
        <w:tc>
          <w:tcPr>
            <w:tcW w:w="709" w:type="dxa"/>
            <w:tcBorders>
              <w:top w:val="nil"/>
              <w:left w:val="nil"/>
              <w:bottom w:val="nil"/>
              <w:right w:val="nil"/>
            </w:tcBorders>
            <w:shd w:val="clear" w:color="auto" w:fill="auto"/>
            <w:noWrap/>
            <w:vAlign w:val="bottom"/>
          </w:tcPr>
          <w:p w:rsidR="00DA077E" w:rsidRPr="00927406" w:rsidRDefault="00927406" w:rsidP="006748DA">
            <w:pPr>
              <w:jc w:val="right"/>
              <w:rPr>
                <w:lang w:val="en-US"/>
              </w:rPr>
            </w:pPr>
            <w:r w:rsidRPr="00927406">
              <w:rPr>
                <w:lang w:val="en-US"/>
              </w:rPr>
              <w:t>4</w:t>
            </w:r>
            <w:r w:rsidR="00DA077E" w:rsidRPr="00927406">
              <w:rPr>
                <w:lang w:val="en-US"/>
              </w:rPr>
              <w:t>577</w:t>
            </w:r>
          </w:p>
        </w:tc>
        <w:tc>
          <w:tcPr>
            <w:tcW w:w="992" w:type="dxa"/>
            <w:tcBorders>
              <w:top w:val="nil"/>
              <w:left w:val="nil"/>
              <w:bottom w:val="nil"/>
              <w:right w:val="nil"/>
            </w:tcBorders>
            <w:shd w:val="clear" w:color="auto" w:fill="auto"/>
            <w:noWrap/>
            <w:vAlign w:val="bottom"/>
          </w:tcPr>
          <w:p w:rsidR="00DA077E" w:rsidRPr="00927406" w:rsidRDefault="00927406" w:rsidP="006748DA">
            <w:pPr>
              <w:jc w:val="right"/>
              <w:rPr>
                <w:lang w:val="en-US"/>
              </w:rPr>
            </w:pPr>
            <w:r w:rsidRPr="00927406">
              <w:rPr>
                <w:lang w:val="en-US"/>
              </w:rPr>
              <w:t>4</w:t>
            </w:r>
            <w:r w:rsidR="00DA077E" w:rsidRPr="00927406">
              <w:rPr>
                <w:lang w:val="en-US"/>
              </w:rPr>
              <w:t>453</w:t>
            </w:r>
          </w:p>
        </w:tc>
        <w:tc>
          <w:tcPr>
            <w:tcW w:w="992" w:type="dxa"/>
            <w:tcBorders>
              <w:top w:val="nil"/>
              <w:left w:val="nil"/>
              <w:bottom w:val="nil"/>
              <w:right w:val="nil"/>
            </w:tcBorders>
            <w:shd w:val="clear" w:color="auto" w:fill="auto"/>
            <w:noWrap/>
            <w:vAlign w:val="bottom"/>
          </w:tcPr>
          <w:p w:rsidR="00DA077E" w:rsidRPr="00927406" w:rsidRDefault="00927406" w:rsidP="006748DA">
            <w:pPr>
              <w:jc w:val="right"/>
              <w:rPr>
                <w:lang w:val="en-US"/>
              </w:rPr>
            </w:pPr>
            <w:r w:rsidRPr="00927406">
              <w:rPr>
                <w:lang w:val="en-US"/>
              </w:rPr>
              <w:t>4</w:t>
            </w:r>
            <w:r w:rsidR="00DA077E" w:rsidRPr="00927406">
              <w:rPr>
                <w:lang w:val="en-US"/>
              </w:rPr>
              <w:t>256 </w:t>
            </w:r>
          </w:p>
        </w:tc>
        <w:tc>
          <w:tcPr>
            <w:tcW w:w="992" w:type="dxa"/>
            <w:tcBorders>
              <w:top w:val="nil"/>
              <w:left w:val="nil"/>
              <w:bottom w:val="nil"/>
              <w:right w:val="nil"/>
            </w:tcBorders>
            <w:shd w:val="clear" w:color="auto" w:fill="auto"/>
            <w:noWrap/>
            <w:vAlign w:val="bottom"/>
          </w:tcPr>
          <w:p w:rsidR="00DA077E" w:rsidRPr="00927406" w:rsidRDefault="00927406" w:rsidP="006748DA">
            <w:pPr>
              <w:jc w:val="right"/>
              <w:rPr>
                <w:lang w:val="en-US"/>
              </w:rPr>
            </w:pPr>
            <w:r w:rsidRPr="00927406">
              <w:rPr>
                <w:lang w:val="en-US"/>
              </w:rPr>
              <w:t>4</w:t>
            </w:r>
            <w:r w:rsidR="00DA077E" w:rsidRPr="00927406">
              <w:rPr>
                <w:lang w:val="en-US"/>
              </w:rPr>
              <w:t>158</w:t>
            </w:r>
          </w:p>
        </w:tc>
        <w:tc>
          <w:tcPr>
            <w:tcW w:w="993" w:type="dxa"/>
            <w:tcBorders>
              <w:top w:val="nil"/>
              <w:left w:val="nil"/>
              <w:bottom w:val="nil"/>
              <w:right w:val="nil"/>
            </w:tcBorders>
          </w:tcPr>
          <w:p w:rsidR="00DA077E" w:rsidRPr="00927406" w:rsidRDefault="00927406" w:rsidP="006748DA">
            <w:pPr>
              <w:jc w:val="right"/>
              <w:rPr>
                <w:lang w:val="en-US"/>
              </w:rPr>
            </w:pPr>
            <w:r w:rsidRPr="00927406">
              <w:rPr>
                <w:lang w:val="en-US"/>
              </w:rPr>
              <w:t>4</w:t>
            </w:r>
            <w:r w:rsidR="00DA077E" w:rsidRPr="00927406">
              <w:rPr>
                <w:lang w:val="en-US"/>
              </w:rPr>
              <w:t>254</w:t>
            </w:r>
          </w:p>
        </w:tc>
        <w:tc>
          <w:tcPr>
            <w:tcW w:w="992" w:type="dxa"/>
            <w:tcBorders>
              <w:top w:val="nil"/>
              <w:left w:val="nil"/>
              <w:bottom w:val="nil"/>
              <w:right w:val="nil"/>
            </w:tcBorders>
          </w:tcPr>
          <w:p w:rsidR="00DA077E" w:rsidRPr="00927406" w:rsidRDefault="00927406" w:rsidP="006748DA">
            <w:pPr>
              <w:jc w:val="right"/>
              <w:rPr>
                <w:lang w:val="en-US"/>
              </w:rPr>
            </w:pPr>
            <w:r w:rsidRPr="00927406">
              <w:rPr>
                <w:lang w:val="en-US"/>
              </w:rPr>
              <w:t>4</w:t>
            </w:r>
            <w:r w:rsidR="00DA077E" w:rsidRPr="00927406">
              <w:rPr>
                <w:lang w:val="en-US"/>
              </w:rPr>
              <w:t>309</w:t>
            </w:r>
          </w:p>
        </w:tc>
      </w:tr>
      <w:tr w:rsidR="00F17EAC" w:rsidRPr="00927406" w:rsidTr="00215884">
        <w:trPr>
          <w:trHeight w:val="255"/>
        </w:trPr>
        <w:tc>
          <w:tcPr>
            <w:tcW w:w="2283" w:type="dxa"/>
            <w:tcBorders>
              <w:top w:val="nil"/>
              <w:left w:val="nil"/>
              <w:bottom w:val="nil"/>
              <w:right w:val="nil"/>
            </w:tcBorders>
          </w:tcPr>
          <w:p w:rsidR="006748DA" w:rsidRPr="00927406" w:rsidRDefault="00F17EAC" w:rsidP="00215884">
            <w:pPr>
              <w:rPr>
                <w:lang w:val="en-US"/>
              </w:rPr>
            </w:pPr>
            <w:r w:rsidRPr="00927406">
              <w:rPr>
                <w:lang w:val="en-US"/>
              </w:rPr>
              <w:t>Employment</w:t>
            </w:r>
            <w:r w:rsidR="00215884" w:rsidRPr="00927406">
              <w:rPr>
                <w:lang w:val="en-US"/>
              </w:rPr>
              <w:t xml:space="preserve"> (15-</w:t>
            </w:r>
            <w:r w:rsidRPr="00927406">
              <w:rPr>
                <w:lang w:val="en-US"/>
              </w:rPr>
              <w:t>24)</w:t>
            </w:r>
          </w:p>
        </w:tc>
        <w:tc>
          <w:tcPr>
            <w:tcW w:w="709"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408 </w:t>
            </w:r>
          </w:p>
        </w:tc>
        <w:tc>
          <w:tcPr>
            <w:tcW w:w="709"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363 </w:t>
            </w:r>
          </w:p>
        </w:tc>
        <w:tc>
          <w:tcPr>
            <w:tcW w:w="709"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323</w:t>
            </w:r>
          </w:p>
        </w:tc>
        <w:tc>
          <w:tcPr>
            <w:tcW w:w="992"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305</w:t>
            </w:r>
          </w:p>
        </w:tc>
        <w:tc>
          <w:tcPr>
            <w:tcW w:w="992"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260</w:t>
            </w:r>
          </w:p>
        </w:tc>
        <w:tc>
          <w:tcPr>
            <w:tcW w:w="992" w:type="dxa"/>
            <w:tcBorders>
              <w:top w:val="nil"/>
              <w:left w:val="nil"/>
              <w:bottom w:val="nil"/>
              <w:right w:val="nil"/>
            </w:tcBorders>
            <w:shd w:val="clear" w:color="auto" w:fill="auto"/>
            <w:noWrap/>
            <w:vAlign w:val="bottom"/>
          </w:tcPr>
          <w:p w:rsidR="006748DA" w:rsidRPr="00927406" w:rsidRDefault="00F17EAC" w:rsidP="006748DA">
            <w:pPr>
              <w:jc w:val="right"/>
              <w:rPr>
                <w:lang w:val="pt-PT" w:eastAsia="pt-PT"/>
              </w:rPr>
            </w:pPr>
            <w:r w:rsidRPr="00927406">
              <w:rPr>
                <w:lang w:val="pt-PT" w:eastAsia="pt-PT"/>
              </w:rPr>
              <w:t>241</w:t>
            </w:r>
          </w:p>
        </w:tc>
        <w:tc>
          <w:tcPr>
            <w:tcW w:w="993" w:type="dxa"/>
            <w:tcBorders>
              <w:top w:val="nil"/>
              <w:left w:val="nil"/>
              <w:bottom w:val="nil"/>
              <w:right w:val="nil"/>
            </w:tcBorders>
          </w:tcPr>
          <w:p w:rsidR="006748DA" w:rsidRPr="00927406" w:rsidRDefault="006748DA" w:rsidP="006748DA">
            <w:pPr>
              <w:jc w:val="right"/>
              <w:rPr>
                <w:lang w:val="pt-PT" w:eastAsia="pt-PT"/>
              </w:rPr>
            </w:pPr>
          </w:p>
          <w:p w:rsidR="00F17EAC" w:rsidRPr="00927406" w:rsidRDefault="00F17EAC" w:rsidP="006748DA">
            <w:pPr>
              <w:jc w:val="right"/>
              <w:rPr>
                <w:lang w:val="pt-PT" w:eastAsia="pt-PT"/>
              </w:rPr>
            </w:pPr>
            <w:r w:rsidRPr="00927406">
              <w:rPr>
                <w:lang w:val="pt-PT" w:eastAsia="pt-PT"/>
              </w:rPr>
              <w:t>247</w:t>
            </w:r>
          </w:p>
        </w:tc>
        <w:tc>
          <w:tcPr>
            <w:tcW w:w="992" w:type="dxa"/>
            <w:tcBorders>
              <w:top w:val="nil"/>
              <w:left w:val="nil"/>
              <w:bottom w:val="nil"/>
              <w:right w:val="nil"/>
            </w:tcBorders>
          </w:tcPr>
          <w:p w:rsidR="006748DA" w:rsidRPr="00927406" w:rsidRDefault="006748DA" w:rsidP="006748DA">
            <w:pPr>
              <w:jc w:val="right"/>
              <w:rPr>
                <w:lang w:val="pt-PT" w:eastAsia="pt-PT"/>
              </w:rPr>
            </w:pPr>
          </w:p>
          <w:p w:rsidR="00F17EAC" w:rsidRPr="00927406" w:rsidRDefault="00F17EAC" w:rsidP="006748DA">
            <w:pPr>
              <w:jc w:val="right"/>
              <w:rPr>
                <w:lang w:val="pt-PT" w:eastAsia="pt-PT"/>
              </w:rPr>
            </w:pPr>
            <w:r w:rsidRPr="00927406">
              <w:rPr>
                <w:lang w:val="pt-PT" w:eastAsia="pt-PT"/>
              </w:rPr>
              <w:t>251</w:t>
            </w:r>
          </w:p>
        </w:tc>
      </w:tr>
      <w:tr w:rsidR="00F17EAC" w:rsidRPr="00927406" w:rsidTr="00215884">
        <w:trPr>
          <w:trHeight w:val="255"/>
        </w:trPr>
        <w:tc>
          <w:tcPr>
            <w:tcW w:w="2283" w:type="dxa"/>
            <w:tcBorders>
              <w:top w:val="nil"/>
              <w:left w:val="nil"/>
              <w:bottom w:val="nil"/>
              <w:right w:val="nil"/>
            </w:tcBorders>
          </w:tcPr>
          <w:p w:rsidR="00F17EAC" w:rsidRPr="00927406" w:rsidRDefault="00F17EAC" w:rsidP="00215884">
            <w:pPr>
              <w:rPr>
                <w:lang w:val="en-US"/>
              </w:rPr>
            </w:pPr>
            <w:r w:rsidRPr="00927406">
              <w:rPr>
                <w:lang w:val="en-US"/>
              </w:rPr>
              <w:t>Employment</w:t>
            </w:r>
          </w:p>
          <w:p w:rsidR="00F17EAC" w:rsidRPr="00927406" w:rsidRDefault="00F17EAC" w:rsidP="00215884">
            <w:pPr>
              <w:rPr>
                <w:lang w:val="en-US"/>
              </w:rPr>
            </w:pPr>
            <w:r w:rsidRPr="00927406">
              <w:rPr>
                <w:lang w:val="en-US"/>
              </w:rPr>
              <w:t>(55-64)</w:t>
            </w:r>
          </w:p>
        </w:tc>
        <w:tc>
          <w:tcPr>
            <w:tcW w:w="709"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635 </w:t>
            </w:r>
          </w:p>
        </w:tc>
        <w:tc>
          <w:tcPr>
            <w:tcW w:w="709"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631</w:t>
            </w:r>
          </w:p>
        </w:tc>
        <w:tc>
          <w:tcPr>
            <w:tcW w:w="709"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637 </w:t>
            </w:r>
          </w:p>
        </w:tc>
        <w:tc>
          <w:tcPr>
            <w:tcW w:w="992"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623</w:t>
            </w:r>
          </w:p>
        </w:tc>
        <w:tc>
          <w:tcPr>
            <w:tcW w:w="992"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614 </w:t>
            </w:r>
          </w:p>
        </w:tc>
        <w:tc>
          <w:tcPr>
            <w:tcW w:w="992" w:type="dxa"/>
            <w:tcBorders>
              <w:top w:val="nil"/>
              <w:left w:val="nil"/>
              <w:bottom w:val="nil"/>
              <w:right w:val="nil"/>
            </w:tcBorders>
            <w:shd w:val="clear" w:color="auto" w:fill="auto"/>
            <w:noWrap/>
            <w:vAlign w:val="bottom"/>
          </w:tcPr>
          <w:p w:rsidR="00F17EAC" w:rsidRPr="00927406" w:rsidRDefault="00F17EAC" w:rsidP="006748DA">
            <w:pPr>
              <w:jc w:val="right"/>
              <w:rPr>
                <w:lang w:val="pt-PT" w:eastAsia="pt-PT"/>
              </w:rPr>
            </w:pPr>
            <w:r w:rsidRPr="00927406">
              <w:rPr>
                <w:lang w:val="pt-PT" w:eastAsia="pt-PT"/>
              </w:rPr>
              <w:t>625 </w:t>
            </w:r>
          </w:p>
        </w:tc>
        <w:tc>
          <w:tcPr>
            <w:tcW w:w="993" w:type="dxa"/>
            <w:tcBorders>
              <w:top w:val="nil"/>
              <w:left w:val="nil"/>
              <w:bottom w:val="nil"/>
              <w:right w:val="nil"/>
            </w:tcBorders>
          </w:tcPr>
          <w:p w:rsidR="006748DA" w:rsidRPr="00927406" w:rsidRDefault="006748DA" w:rsidP="006748DA">
            <w:pPr>
              <w:jc w:val="right"/>
              <w:rPr>
                <w:lang w:val="pt-PT" w:eastAsia="pt-PT"/>
              </w:rPr>
            </w:pPr>
          </w:p>
          <w:p w:rsidR="00F17EAC" w:rsidRPr="00927406" w:rsidRDefault="00F17EAC" w:rsidP="006748DA">
            <w:pPr>
              <w:jc w:val="right"/>
              <w:rPr>
                <w:lang w:val="pt-PT" w:eastAsia="pt-PT"/>
              </w:rPr>
            </w:pPr>
            <w:r w:rsidRPr="00927406">
              <w:rPr>
                <w:lang w:val="pt-PT" w:eastAsia="pt-PT"/>
              </w:rPr>
              <w:t>640</w:t>
            </w:r>
          </w:p>
        </w:tc>
        <w:tc>
          <w:tcPr>
            <w:tcW w:w="992" w:type="dxa"/>
            <w:tcBorders>
              <w:top w:val="nil"/>
              <w:left w:val="nil"/>
              <w:bottom w:val="nil"/>
              <w:right w:val="nil"/>
            </w:tcBorders>
          </w:tcPr>
          <w:p w:rsidR="006748DA" w:rsidRPr="00927406" w:rsidRDefault="006748DA" w:rsidP="006748DA">
            <w:pPr>
              <w:jc w:val="right"/>
              <w:rPr>
                <w:lang w:val="pt-PT" w:eastAsia="pt-PT"/>
              </w:rPr>
            </w:pPr>
          </w:p>
          <w:p w:rsidR="00F17EAC" w:rsidRPr="00927406" w:rsidRDefault="00F17EAC" w:rsidP="006748DA">
            <w:pPr>
              <w:jc w:val="right"/>
              <w:rPr>
                <w:lang w:val="pt-PT" w:eastAsia="pt-PT"/>
              </w:rPr>
            </w:pPr>
            <w:r w:rsidRPr="00927406">
              <w:rPr>
                <w:lang w:val="pt-PT" w:eastAsia="pt-PT"/>
              </w:rPr>
              <w:t>673</w:t>
            </w:r>
          </w:p>
        </w:tc>
      </w:tr>
      <w:tr w:rsidR="008A52B0" w:rsidRPr="00927406" w:rsidTr="00215884">
        <w:trPr>
          <w:trHeight w:val="255"/>
        </w:trPr>
        <w:tc>
          <w:tcPr>
            <w:tcW w:w="2283" w:type="dxa"/>
            <w:tcBorders>
              <w:top w:val="nil"/>
              <w:left w:val="nil"/>
              <w:bottom w:val="nil"/>
              <w:right w:val="nil"/>
            </w:tcBorders>
          </w:tcPr>
          <w:p w:rsidR="008A52B0" w:rsidRPr="00927406" w:rsidRDefault="008A52B0" w:rsidP="00215884">
            <w:pPr>
              <w:rPr>
                <w:lang w:val="en-US"/>
              </w:rPr>
            </w:pPr>
            <w:r w:rsidRPr="00927406">
              <w:rPr>
                <w:lang w:val="en-US"/>
              </w:rPr>
              <w:t>Employment rate of non-EU nationals, age group 20-64</w:t>
            </w:r>
          </w:p>
        </w:tc>
        <w:tc>
          <w:tcPr>
            <w:tcW w:w="709" w:type="dxa"/>
            <w:tcBorders>
              <w:top w:val="nil"/>
              <w:left w:val="nil"/>
              <w:bottom w:val="nil"/>
              <w:right w:val="nil"/>
            </w:tcBorders>
            <w:shd w:val="clear" w:color="auto" w:fill="auto"/>
            <w:noWrap/>
            <w:vAlign w:val="center"/>
          </w:tcPr>
          <w:p w:rsidR="008A52B0" w:rsidRPr="00927406" w:rsidRDefault="008A52B0" w:rsidP="006748DA">
            <w:pPr>
              <w:jc w:val="right"/>
              <w:rPr>
                <w:lang w:val="pt-PT" w:eastAsia="pt-PT"/>
              </w:rPr>
            </w:pPr>
            <w:r w:rsidRPr="00927406">
              <w:rPr>
                <w:lang w:val="pt-PT" w:eastAsia="pt-PT"/>
              </w:rPr>
              <w:t>78.0 </w:t>
            </w:r>
          </w:p>
        </w:tc>
        <w:tc>
          <w:tcPr>
            <w:tcW w:w="709" w:type="dxa"/>
            <w:tcBorders>
              <w:top w:val="nil"/>
              <w:left w:val="nil"/>
              <w:bottom w:val="nil"/>
              <w:right w:val="nil"/>
            </w:tcBorders>
            <w:shd w:val="clear" w:color="auto" w:fill="auto"/>
            <w:noWrap/>
            <w:vAlign w:val="center"/>
          </w:tcPr>
          <w:p w:rsidR="008A52B0" w:rsidRPr="00927406" w:rsidRDefault="008A52B0" w:rsidP="00215884">
            <w:pPr>
              <w:jc w:val="right"/>
              <w:rPr>
                <w:lang w:val="pt-PT" w:eastAsia="pt-PT"/>
              </w:rPr>
            </w:pPr>
            <w:r w:rsidRPr="00927406">
              <w:rPr>
                <w:lang w:val="pt-PT" w:eastAsia="pt-PT"/>
              </w:rPr>
              <w:t>71.1</w:t>
            </w:r>
          </w:p>
        </w:tc>
        <w:tc>
          <w:tcPr>
            <w:tcW w:w="709" w:type="dxa"/>
            <w:tcBorders>
              <w:top w:val="nil"/>
              <w:left w:val="nil"/>
              <w:bottom w:val="nil"/>
              <w:right w:val="nil"/>
            </w:tcBorders>
            <w:shd w:val="clear" w:color="auto" w:fill="auto"/>
            <w:noWrap/>
            <w:vAlign w:val="center"/>
          </w:tcPr>
          <w:p w:rsidR="008A52B0" w:rsidRPr="00927406" w:rsidRDefault="008A52B0" w:rsidP="006748DA">
            <w:pPr>
              <w:jc w:val="right"/>
              <w:rPr>
                <w:lang w:val="pt-PT" w:eastAsia="pt-PT"/>
              </w:rPr>
            </w:pPr>
            <w:r w:rsidRPr="00927406">
              <w:rPr>
                <w:lang w:val="pt-PT" w:eastAsia="pt-PT"/>
              </w:rPr>
              <w:t>69.2 </w:t>
            </w:r>
          </w:p>
        </w:tc>
        <w:tc>
          <w:tcPr>
            <w:tcW w:w="992" w:type="dxa"/>
            <w:tcBorders>
              <w:top w:val="nil"/>
              <w:left w:val="nil"/>
              <w:bottom w:val="nil"/>
              <w:right w:val="nil"/>
            </w:tcBorders>
            <w:shd w:val="clear" w:color="auto" w:fill="auto"/>
            <w:noWrap/>
            <w:vAlign w:val="center"/>
          </w:tcPr>
          <w:p w:rsidR="008A52B0" w:rsidRPr="00927406" w:rsidRDefault="008A52B0" w:rsidP="00215884">
            <w:pPr>
              <w:jc w:val="right"/>
              <w:rPr>
                <w:lang w:val="pt-PT" w:eastAsia="pt-PT"/>
              </w:rPr>
            </w:pPr>
            <w:r w:rsidRPr="00927406">
              <w:rPr>
                <w:lang w:val="pt-PT" w:eastAsia="pt-PT"/>
              </w:rPr>
              <w:t>66.2</w:t>
            </w:r>
          </w:p>
        </w:tc>
        <w:tc>
          <w:tcPr>
            <w:tcW w:w="992" w:type="dxa"/>
            <w:tcBorders>
              <w:top w:val="nil"/>
              <w:left w:val="nil"/>
              <w:bottom w:val="nil"/>
              <w:right w:val="nil"/>
            </w:tcBorders>
            <w:shd w:val="clear" w:color="auto" w:fill="auto"/>
            <w:noWrap/>
            <w:vAlign w:val="center"/>
          </w:tcPr>
          <w:p w:rsidR="008A52B0" w:rsidRPr="00927406" w:rsidRDefault="008A52B0" w:rsidP="006748DA">
            <w:pPr>
              <w:jc w:val="right"/>
              <w:rPr>
                <w:lang w:val="pt-PT" w:eastAsia="pt-PT"/>
              </w:rPr>
            </w:pPr>
            <w:r w:rsidRPr="00927406">
              <w:rPr>
                <w:lang w:val="pt-PT" w:eastAsia="pt-PT"/>
              </w:rPr>
              <w:t>62.2 </w:t>
            </w:r>
          </w:p>
        </w:tc>
        <w:tc>
          <w:tcPr>
            <w:tcW w:w="992" w:type="dxa"/>
            <w:tcBorders>
              <w:top w:val="nil"/>
              <w:left w:val="nil"/>
              <w:bottom w:val="nil"/>
              <w:right w:val="nil"/>
            </w:tcBorders>
            <w:shd w:val="clear" w:color="auto" w:fill="auto"/>
            <w:noWrap/>
            <w:vAlign w:val="center"/>
          </w:tcPr>
          <w:p w:rsidR="008A52B0" w:rsidRPr="00927406" w:rsidRDefault="008A52B0" w:rsidP="006748DA">
            <w:pPr>
              <w:jc w:val="right"/>
              <w:rPr>
                <w:lang w:val="pt-PT" w:eastAsia="pt-PT"/>
              </w:rPr>
            </w:pPr>
            <w:r w:rsidRPr="00927406">
              <w:rPr>
                <w:lang w:val="pt-PT" w:eastAsia="pt-PT"/>
              </w:rPr>
              <w:t>58.7 </w:t>
            </w:r>
          </w:p>
        </w:tc>
        <w:tc>
          <w:tcPr>
            <w:tcW w:w="993" w:type="dxa"/>
            <w:tcBorders>
              <w:top w:val="nil"/>
              <w:left w:val="nil"/>
              <w:bottom w:val="nil"/>
              <w:right w:val="nil"/>
            </w:tcBorders>
            <w:vAlign w:val="center"/>
          </w:tcPr>
          <w:p w:rsidR="008A52B0" w:rsidRPr="00927406" w:rsidRDefault="008A52B0" w:rsidP="006748DA">
            <w:pPr>
              <w:jc w:val="right"/>
              <w:rPr>
                <w:lang w:val="pt-PT" w:eastAsia="pt-PT"/>
              </w:rPr>
            </w:pPr>
            <w:r w:rsidRPr="00927406">
              <w:rPr>
                <w:lang w:val="pt-PT" w:eastAsia="pt-PT"/>
              </w:rPr>
              <w:t>64.3 </w:t>
            </w:r>
          </w:p>
        </w:tc>
        <w:tc>
          <w:tcPr>
            <w:tcW w:w="992" w:type="dxa"/>
            <w:tcBorders>
              <w:top w:val="nil"/>
              <w:left w:val="nil"/>
              <w:bottom w:val="nil"/>
              <w:right w:val="nil"/>
            </w:tcBorders>
            <w:vAlign w:val="center"/>
          </w:tcPr>
          <w:p w:rsidR="008A52B0" w:rsidRPr="00927406" w:rsidRDefault="008A52B0" w:rsidP="006748DA">
            <w:pPr>
              <w:jc w:val="right"/>
              <w:rPr>
                <w:lang w:val="pt-PT" w:eastAsia="pt-PT"/>
              </w:rPr>
            </w:pPr>
            <w:r w:rsidRPr="00927406">
              <w:rPr>
                <w:lang w:val="pt-PT" w:eastAsia="pt-PT"/>
              </w:rPr>
              <w:t>63.5</w:t>
            </w:r>
          </w:p>
        </w:tc>
      </w:tr>
    </w:tbl>
    <w:p w:rsidR="00DA077E" w:rsidRPr="00927406" w:rsidRDefault="00F17EAC" w:rsidP="006748DA">
      <w:pPr>
        <w:pStyle w:val="PargrafodaLista"/>
        <w:numPr>
          <w:ilvl w:val="0"/>
          <w:numId w:val="7"/>
        </w:numPr>
        <w:ind w:left="426" w:hanging="426"/>
        <w:jc w:val="both"/>
        <w:rPr>
          <w:lang w:val="en-US"/>
        </w:rPr>
      </w:pPr>
      <w:r w:rsidRPr="00927406">
        <w:rPr>
          <w:lang w:val="en-US"/>
        </w:rPr>
        <w:t>Break in time series</w:t>
      </w:r>
    </w:p>
    <w:p w:rsidR="006748DA" w:rsidRPr="00927406" w:rsidRDefault="006748DA" w:rsidP="001A4F9B">
      <w:pPr>
        <w:jc w:val="both"/>
        <w:rPr>
          <w:lang w:val="en-US"/>
        </w:rPr>
      </w:pPr>
    </w:p>
    <w:p w:rsidR="001A4F9B" w:rsidRPr="00927406" w:rsidRDefault="001A4F9B" w:rsidP="001A4F9B">
      <w:pPr>
        <w:jc w:val="both"/>
        <w:rPr>
          <w:b/>
          <w:lang w:val="en-US"/>
        </w:rPr>
      </w:pPr>
      <w:r w:rsidRPr="00927406">
        <w:rPr>
          <w:lang w:val="en-US"/>
        </w:rPr>
        <w:t xml:space="preserve">8. </w:t>
      </w:r>
      <w:r w:rsidRPr="00927406">
        <w:rPr>
          <w:b/>
          <w:lang w:val="en-US"/>
        </w:rPr>
        <w:t xml:space="preserve">How did the reforms affect the inclusion/exclusion of women in the </w:t>
      </w:r>
      <w:proofErr w:type="spellStart"/>
      <w:r w:rsidRPr="00927406">
        <w:rPr>
          <w:b/>
          <w:lang w:val="en-US"/>
        </w:rPr>
        <w:t>labour</w:t>
      </w:r>
      <w:proofErr w:type="spellEnd"/>
      <w:r w:rsidRPr="00927406">
        <w:rPr>
          <w:b/>
          <w:lang w:val="en-US"/>
        </w:rPr>
        <w:t xml:space="preserve"> market? Were there any impacts on the gender-related wage gap, and on the women’s right to enjoy the same rights in employment on an equal basis with men (for example, the right to maternity leave with pay or comparable social benefits; the right to protection from dismissal on the grounds of pregnancy, maternity leave or marital status, etc.)</w:t>
      </w:r>
      <w:r w:rsidRPr="00927406">
        <w:rPr>
          <w:rStyle w:val="Refdenotaderodap"/>
          <w:b/>
          <w:lang w:val="en-US"/>
        </w:rPr>
        <w:footnoteReference w:id="9"/>
      </w:r>
      <w:r w:rsidRPr="00927406">
        <w:rPr>
          <w:b/>
          <w:lang w:val="en-US"/>
        </w:rPr>
        <w:t>?</w:t>
      </w:r>
    </w:p>
    <w:p w:rsidR="00FF10B8" w:rsidRPr="00927406" w:rsidRDefault="00FF10B8" w:rsidP="001A4F9B">
      <w:pPr>
        <w:jc w:val="both"/>
        <w:rPr>
          <w:b/>
          <w:lang w:val="en-US"/>
        </w:rPr>
      </w:pPr>
    </w:p>
    <w:p w:rsidR="00215884" w:rsidRPr="00927406" w:rsidRDefault="00215884" w:rsidP="00215884">
      <w:pPr>
        <w:jc w:val="both"/>
        <w:rPr>
          <w:lang w:val="en-US"/>
        </w:rPr>
      </w:pPr>
      <w:r w:rsidRPr="00927406">
        <w:rPr>
          <w:lang w:val="en-US"/>
        </w:rPr>
        <w:t>In this period, f</w:t>
      </w:r>
      <w:r w:rsidR="006A6205" w:rsidRPr="00927406">
        <w:rPr>
          <w:lang w:val="en-US"/>
        </w:rPr>
        <w:t>emale employment decreased 5.2% (against a total decre</w:t>
      </w:r>
      <w:r w:rsidRPr="00927406">
        <w:rPr>
          <w:lang w:val="en-US"/>
        </w:rPr>
        <w:t>a</w:t>
      </w:r>
      <w:r w:rsidR="006A6205" w:rsidRPr="00927406">
        <w:rPr>
          <w:lang w:val="en-US"/>
        </w:rPr>
        <w:t>se of 10%)</w:t>
      </w:r>
      <w:r w:rsidRPr="00927406">
        <w:rPr>
          <w:lang w:val="en-US"/>
        </w:rPr>
        <w:t xml:space="preserve">. The gender pay gap increased 5.3 percent points. Formally the rights to maternity leave with pay or comparable social benefits, to protection from dismissal on the grounds of pregnancy, maternity leave or marital status were not threatened. However, informally, the pressures </w:t>
      </w:r>
      <w:r w:rsidR="00584E9A" w:rsidRPr="00927406">
        <w:rPr>
          <w:lang w:val="en-US"/>
        </w:rPr>
        <w:t xml:space="preserve">on women </w:t>
      </w:r>
      <w:r w:rsidRPr="00927406">
        <w:rPr>
          <w:lang w:val="en-US"/>
        </w:rPr>
        <w:t>in the workplace increased. Reflecting</w:t>
      </w:r>
      <w:r w:rsidR="00584E9A" w:rsidRPr="00927406">
        <w:rPr>
          <w:lang w:val="en-US"/>
        </w:rPr>
        <w:t xml:space="preserve"> lower levels of employment in the public administration were the pay gap is lower, and</w:t>
      </w:r>
      <w:r w:rsidRPr="00927406">
        <w:rPr>
          <w:lang w:val="en-US"/>
        </w:rPr>
        <w:t xml:space="preserve"> a weaker standing of women in the labor market </w:t>
      </w:r>
      <w:r w:rsidR="00584E9A" w:rsidRPr="00927406">
        <w:rPr>
          <w:lang w:val="en-US"/>
        </w:rPr>
        <w:t xml:space="preserve">in general, </w:t>
      </w:r>
      <w:r w:rsidRPr="00927406">
        <w:rPr>
          <w:lang w:val="en-US"/>
        </w:rPr>
        <w:t xml:space="preserve">the gender gap increased substantially. </w:t>
      </w:r>
    </w:p>
    <w:p w:rsidR="006A6205" w:rsidRPr="00927406" w:rsidRDefault="006A6205" w:rsidP="001A4F9B">
      <w:pPr>
        <w:jc w:val="both"/>
        <w:rPr>
          <w:lang w:val="en-US"/>
        </w:rPr>
      </w:pPr>
    </w:p>
    <w:p w:rsidR="006A6205" w:rsidRPr="00927406" w:rsidRDefault="006A6205" w:rsidP="001A4F9B">
      <w:pPr>
        <w:jc w:val="both"/>
        <w:rPr>
          <w:b/>
          <w:lang w:val="fr-FR"/>
        </w:rPr>
      </w:pPr>
      <w:proofErr w:type="spellStart"/>
      <w:r w:rsidRPr="00927406">
        <w:rPr>
          <w:b/>
          <w:lang w:val="fr-FR"/>
        </w:rPr>
        <w:t>Employment</w:t>
      </w:r>
      <w:proofErr w:type="spellEnd"/>
      <w:r w:rsidRPr="00927406">
        <w:rPr>
          <w:b/>
          <w:lang w:val="fr-FR"/>
        </w:rPr>
        <w:t xml:space="preserve"> (</w:t>
      </w:r>
      <w:proofErr w:type="spellStart"/>
      <w:r w:rsidRPr="00927406">
        <w:rPr>
          <w:b/>
          <w:lang w:val="fr-FR"/>
        </w:rPr>
        <w:t>Female</w:t>
      </w:r>
      <w:proofErr w:type="spellEnd"/>
      <w:r w:rsidRPr="00927406">
        <w:rPr>
          <w:b/>
          <w:lang w:val="fr-FR"/>
        </w:rPr>
        <w:t>): Portugal 2008-2015 (Source: Eurostat)</w:t>
      </w:r>
    </w:p>
    <w:p w:rsidR="006A6205" w:rsidRPr="00927406" w:rsidRDefault="006A6205" w:rsidP="001A4F9B">
      <w:pPr>
        <w:jc w:val="both"/>
        <w:rPr>
          <w:b/>
          <w:lang w:val="fr-FR"/>
        </w:rPr>
      </w:pPr>
    </w:p>
    <w:tbl>
      <w:tblPr>
        <w:tblW w:w="7229" w:type="dxa"/>
        <w:tblInd w:w="55" w:type="dxa"/>
        <w:tblLayout w:type="fixed"/>
        <w:tblCellMar>
          <w:left w:w="70" w:type="dxa"/>
          <w:right w:w="70" w:type="dxa"/>
        </w:tblCellMar>
        <w:tblLook w:val="04A0" w:firstRow="1" w:lastRow="0" w:firstColumn="1" w:lastColumn="0" w:noHBand="0" w:noVBand="1"/>
      </w:tblPr>
      <w:tblGrid>
        <w:gridCol w:w="708"/>
        <w:gridCol w:w="724"/>
        <w:gridCol w:w="836"/>
        <w:gridCol w:w="992"/>
        <w:gridCol w:w="992"/>
        <w:gridCol w:w="992"/>
        <w:gridCol w:w="993"/>
        <w:gridCol w:w="992"/>
      </w:tblGrid>
      <w:tr w:rsidR="006A6205" w:rsidRPr="00927406" w:rsidTr="006A6205">
        <w:trPr>
          <w:trHeight w:val="255"/>
        </w:trPr>
        <w:tc>
          <w:tcPr>
            <w:tcW w:w="708"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2008</w:t>
            </w:r>
          </w:p>
        </w:tc>
        <w:tc>
          <w:tcPr>
            <w:tcW w:w="724"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2009</w:t>
            </w:r>
          </w:p>
        </w:tc>
        <w:tc>
          <w:tcPr>
            <w:tcW w:w="836"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2010</w:t>
            </w:r>
          </w:p>
        </w:tc>
        <w:tc>
          <w:tcPr>
            <w:tcW w:w="992"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2011 (a)</w:t>
            </w:r>
          </w:p>
        </w:tc>
        <w:tc>
          <w:tcPr>
            <w:tcW w:w="992"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2012</w:t>
            </w:r>
          </w:p>
        </w:tc>
        <w:tc>
          <w:tcPr>
            <w:tcW w:w="992"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2013</w:t>
            </w:r>
          </w:p>
        </w:tc>
        <w:tc>
          <w:tcPr>
            <w:tcW w:w="993" w:type="dxa"/>
            <w:tcBorders>
              <w:top w:val="nil"/>
              <w:left w:val="nil"/>
              <w:bottom w:val="nil"/>
              <w:right w:val="nil"/>
            </w:tcBorders>
          </w:tcPr>
          <w:p w:rsidR="006A6205" w:rsidRPr="00927406" w:rsidRDefault="006A6205" w:rsidP="00981442">
            <w:pPr>
              <w:jc w:val="right"/>
              <w:rPr>
                <w:lang w:val="pt-PT" w:eastAsia="pt-PT"/>
              </w:rPr>
            </w:pPr>
            <w:r w:rsidRPr="00927406">
              <w:rPr>
                <w:lang w:val="pt-PT" w:eastAsia="pt-PT"/>
              </w:rPr>
              <w:t>2014</w:t>
            </w:r>
          </w:p>
        </w:tc>
        <w:tc>
          <w:tcPr>
            <w:tcW w:w="992" w:type="dxa"/>
            <w:tcBorders>
              <w:top w:val="nil"/>
              <w:left w:val="nil"/>
              <w:bottom w:val="nil"/>
              <w:right w:val="nil"/>
            </w:tcBorders>
          </w:tcPr>
          <w:p w:rsidR="006A6205" w:rsidRPr="00927406" w:rsidRDefault="006A6205" w:rsidP="00981442">
            <w:pPr>
              <w:jc w:val="right"/>
              <w:rPr>
                <w:lang w:val="pt-PT" w:eastAsia="pt-PT"/>
              </w:rPr>
            </w:pPr>
            <w:r w:rsidRPr="00927406">
              <w:rPr>
                <w:lang w:val="pt-PT" w:eastAsia="pt-PT"/>
              </w:rPr>
              <w:t>2015</w:t>
            </w:r>
          </w:p>
        </w:tc>
      </w:tr>
      <w:tr w:rsidR="006A6205" w:rsidRPr="00927406" w:rsidTr="006A6205">
        <w:trPr>
          <w:trHeight w:val="255"/>
        </w:trPr>
        <w:tc>
          <w:tcPr>
            <w:tcW w:w="708"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2,243</w:t>
            </w:r>
          </w:p>
        </w:tc>
        <w:tc>
          <w:tcPr>
            <w:tcW w:w="724"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2,209</w:t>
            </w:r>
          </w:p>
        </w:tc>
        <w:tc>
          <w:tcPr>
            <w:tcW w:w="836"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2,187</w:t>
            </w:r>
          </w:p>
        </w:tc>
        <w:tc>
          <w:tcPr>
            <w:tcW w:w="992"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2,147</w:t>
            </w:r>
          </w:p>
        </w:tc>
        <w:tc>
          <w:tcPr>
            <w:tcW w:w="992"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2,079</w:t>
            </w:r>
          </w:p>
        </w:tc>
        <w:tc>
          <w:tcPr>
            <w:tcW w:w="992" w:type="dxa"/>
            <w:tcBorders>
              <w:top w:val="nil"/>
              <w:left w:val="nil"/>
              <w:bottom w:val="nil"/>
              <w:right w:val="nil"/>
            </w:tcBorders>
            <w:shd w:val="clear" w:color="auto" w:fill="auto"/>
            <w:noWrap/>
            <w:vAlign w:val="bottom"/>
            <w:hideMark/>
          </w:tcPr>
          <w:p w:rsidR="006A6205" w:rsidRPr="00927406" w:rsidRDefault="006A6205" w:rsidP="00981442">
            <w:pPr>
              <w:jc w:val="right"/>
              <w:rPr>
                <w:lang w:val="pt-PT" w:eastAsia="pt-PT"/>
              </w:rPr>
            </w:pPr>
            <w:r w:rsidRPr="00927406">
              <w:rPr>
                <w:lang w:val="pt-PT" w:eastAsia="pt-PT"/>
              </w:rPr>
              <w:t>2,042</w:t>
            </w:r>
          </w:p>
        </w:tc>
        <w:tc>
          <w:tcPr>
            <w:tcW w:w="993" w:type="dxa"/>
            <w:tcBorders>
              <w:top w:val="nil"/>
              <w:left w:val="nil"/>
              <w:bottom w:val="nil"/>
              <w:right w:val="nil"/>
            </w:tcBorders>
          </w:tcPr>
          <w:p w:rsidR="006A6205" w:rsidRPr="00927406" w:rsidRDefault="006A6205" w:rsidP="00981442">
            <w:pPr>
              <w:jc w:val="right"/>
              <w:rPr>
                <w:lang w:val="pt-PT" w:eastAsia="pt-PT"/>
              </w:rPr>
            </w:pPr>
          </w:p>
          <w:p w:rsidR="006A6205" w:rsidRPr="00927406" w:rsidRDefault="006A6205" w:rsidP="00981442">
            <w:pPr>
              <w:jc w:val="right"/>
              <w:rPr>
                <w:lang w:val="pt-PT" w:eastAsia="pt-PT"/>
              </w:rPr>
            </w:pPr>
            <w:r w:rsidRPr="00927406">
              <w:rPr>
                <w:lang w:val="pt-PT" w:eastAsia="pt-PT"/>
              </w:rPr>
              <w:t>2,091</w:t>
            </w:r>
          </w:p>
        </w:tc>
        <w:tc>
          <w:tcPr>
            <w:tcW w:w="992" w:type="dxa"/>
            <w:tcBorders>
              <w:top w:val="nil"/>
              <w:left w:val="nil"/>
              <w:bottom w:val="nil"/>
              <w:right w:val="nil"/>
            </w:tcBorders>
          </w:tcPr>
          <w:p w:rsidR="006A6205" w:rsidRPr="00927406" w:rsidRDefault="006A6205" w:rsidP="00981442">
            <w:pPr>
              <w:jc w:val="right"/>
              <w:rPr>
                <w:lang w:val="pt-PT" w:eastAsia="pt-PT"/>
              </w:rPr>
            </w:pPr>
          </w:p>
          <w:p w:rsidR="006A6205" w:rsidRPr="00927406" w:rsidRDefault="006A6205" w:rsidP="00981442">
            <w:pPr>
              <w:jc w:val="right"/>
              <w:rPr>
                <w:lang w:val="pt-PT" w:eastAsia="pt-PT"/>
              </w:rPr>
            </w:pPr>
            <w:r w:rsidRPr="00927406">
              <w:rPr>
                <w:lang w:val="pt-PT" w:eastAsia="pt-PT"/>
              </w:rPr>
              <w:t>2,127</w:t>
            </w:r>
          </w:p>
        </w:tc>
      </w:tr>
    </w:tbl>
    <w:p w:rsidR="00FF10B8" w:rsidRPr="00927406" w:rsidRDefault="00FF10B8" w:rsidP="00FF10B8">
      <w:pPr>
        <w:pStyle w:val="Cabealho2"/>
        <w:rPr>
          <w:bCs w:val="0"/>
          <w:sz w:val="20"/>
          <w:szCs w:val="20"/>
          <w:lang w:val="en-US" w:eastAsia="en-US"/>
        </w:rPr>
      </w:pPr>
      <w:r w:rsidRPr="00927406">
        <w:rPr>
          <w:bCs w:val="0"/>
          <w:sz w:val="20"/>
          <w:szCs w:val="20"/>
          <w:lang w:val="en-US" w:eastAsia="en-US"/>
        </w:rPr>
        <w:t>Gender pay gap in unadjusted form (Source: Eurostat)</w:t>
      </w:r>
    </w:p>
    <w:tbl>
      <w:tblPr>
        <w:tblW w:w="0" w:type="auto"/>
        <w:tblCellSpacing w:w="0" w:type="dxa"/>
        <w:tblCellMar>
          <w:left w:w="0" w:type="dxa"/>
          <w:right w:w="0" w:type="dxa"/>
        </w:tblCellMar>
        <w:tblLook w:val="04A0" w:firstRow="1" w:lastRow="0" w:firstColumn="1" w:lastColumn="0" w:noHBand="0" w:noVBand="1"/>
      </w:tblPr>
      <w:tblGrid>
        <w:gridCol w:w="993"/>
        <w:gridCol w:w="992"/>
        <w:gridCol w:w="992"/>
        <w:gridCol w:w="992"/>
        <w:gridCol w:w="1134"/>
        <w:gridCol w:w="993"/>
        <w:gridCol w:w="1134"/>
      </w:tblGrid>
      <w:tr w:rsidR="00FF10B8" w:rsidRPr="00927406" w:rsidTr="00584E9A">
        <w:trPr>
          <w:trHeight w:val="525"/>
          <w:tblCellSpacing w:w="0" w:type="dxa"/>
        </w:trPr>
        <w:tc>
          <w:tcPr>
            <w:tcW w:w="993" w:type="dxa"/>
            <w:shd w:val="clear" w:color="auto" w:fill="auto"/>
            <w:vAlign w:val="center"/>
            <w:hideMark/>
          </w:tcPr>
          <w:p w:rsidR="00FF10B8" w:rsidRPr="00927406" w:rsidRDefault="00FF10B8" w:rsidP="00584E9A">
            <w:pPr>
              <w:jc w:val="right"/>
              <w:rPr>
                <w:lang w:val="pt-PT" w:eastAsia="pt-PT"/>
              </w:rPr>
            </w:pPr>
            <w:r w:rsidRPr="00927406">
              <w:rPr>
                <w:lang w:val="pt-PT" w:eastAsia="pt-PT"/>
              </w:rPr>
              <w:t>2008 </w:t>
            </w:r>
          </w:p>
        </w:tc>
        <w:tc>
          <w:tcPr>
            <w:tcW w:w="992" w:type="dxa"/>
            <w:shd w:val="clear" w:color="auto" w:fill="auto"/>
            <w:vAlign w:val="center"/>
            <w:hideMark/>
          </w:tcPr>
          <w:p w:rsidR="00FF10B8" w:rsidRPr="00927406" w:rsidRDefault="00FF10B8" w:rsidP="00584E9A">
            <w:pPr>
              <w:jc w:val="right"/>
              <w:rPr>
                <w:lang w:val="pt-PT" w:eastAsia="pt-PT"/>
              </w:rPr>
            </w:pPr>
            <w:r w:rsidRPr="00927406">
              <w:rPr>
                <w:lang w:val="pt-PT" w:eastAsia="pt-PT"/>
              </w:rPr>
              <w:t>2009 </w:t>
            </w:r>
          </w:p>
        </w:tc>
        <w:tc>
          <w:tcPr>
            <w:tcW w:w="992" w:type="dxa"/>
            <w:shd w:val="clear" w:color="auto" w:fill="auto"/>
            <w:vAlign w:val="center"/>
            <w:hideMark/>
          </w:tcPr>
          <w:p w:rsidR="00FF10B8" w:rsidRPr="00927406" w:rsidRDefault="00FF10B8" w:rsidP="00584E9A">
            <w:pPr>
              <w:jc w:val="right"/>
              <w:rPr>
                <w:lang w:val="pt-PT" w:eastAsia="pt-PT"/>
              </w:rPr>
            </w:pPr>
            <w:r w:rsidRPr="00927406">
              <w:rPr>
                <w:lang w:val="pt-PT" w:eastAsia="pt-PT"/>
              </w:rPr>
              <w:t>2010 </w:t>
            </w:r>
          </w:p>
        </w:tc>
        <w:tc>
          <w:tcPr>
            <w:tcW w:w="992" w:type="dxa"/>
            <w:shd w:val="clear" w:color="auto" w:fill="auto"/>
            <w:vAlign w:val="center"/>
            <w:hideMark/>
          </w:tcPr>
          <w:p w:rsidR="00FF10B8" w:rsidRPr="00927406" w:rsidRDefault="00FF10B8" w:rsidP="00584E9A">
            <w:pPr>
              <w:jc w:val="right"/>
              <w:rPr>
                <w:lang w:val="pt-PT" w:eastAsia="pt-PT"/>
              </w:rPr>
            </w:pPr>
            <w:r w:rsidRPr="00927406">
              <w:rPr>
                <w:lang w:val="pt-PT" w:eastAsia="pt-PT"/>
              </w:rPr>
              <w:t>2011 </w:t>
            </w:r>
          </w:p>
        </w:tc>
        <w:tc>
          <w:tcPr>
            <w:tcW w:w="1134" w:type="dxa"/>
            <w:shd w:val="clear" w:color="auto" w:fill="auto"/>
            <w:vAlign w:val="center"/>
            <w:hideMark/>
          </w:tcPr>
          <w:p w:rsidR="00FF10B8" w:rsidRPr="00927406" w:rsidRDefault="00FF10B8" w:rsidP="00584E9A">
            <w:pPr>
              <w:jc w:val="right"/>
              <w:rPr>
                <w:lang w:val="pt-PT" w:eastAsia="pt-PT"/>
              </w:rPr>
            </w:pPr>
            <w:r w:rsidRPr="00927406">
              <w:rPr>
                <w:lang w:val="pt-PT" w:eastAsia="pt-PT"/>
              </w:rPr>
              <w:t>2012 </w:t>
            </w:r>
          </w:p>
        </w:tc>
        <w:tc>
          <w:tcPr>
            <w:tcW w:w="993" w:type="dxa"/>
            <w:shd w:val="clear" w:color="auto" w:fill="auto"/>
            <w:vAlign w:val="center"/>
            <w:hideMark/>
          </w:tcPr>
          <w:p w:rsidR="00FF10B8" w:rsidRPr="00927406" w:rsidRDefault="00FF10B8" w:rsidP="00584E9A">
            <w:pPr>
              <w:jc w:val="right"/>
              <w:rPr>
                <w:lang w:val="pt-PT" w:eastAsia="pt-PT"/>
              </w:rPr>
            </w:pPr>
            <w:r w:rsidRPr="00927406">
              <w:rPr>
                <w:lang w:val="pt-PT" w:eastAsia="pt-PT"/>
              </w:rPr>
              <w:t>2013 </w:t>
            </w:r>
          </w:p>
        </w:tc>
        <w:tc>
          <w:tcPr>
            <w:tcW w:w="1134" w:type="dxa"/>
            <w:shd w:val="clear" w:color="auto" w:fill="auto"/>
            <w:vAlign w:val="center"/>
            <w:hideMark/>
          </w:tcPr>
          <w:p w:rsidR="00FF10B8" w:rsidRPr="00927406" w:rsidRDefault="00FF10B8" w:rsidP="00584E9A">
            <w:pPr>
              <w:jc w:val="right"/>
              <w:rPr>
                <w:lang w:val="pt-PT" w:eastAsia="pt-PT"/>
              </w:rPr>
            </w:pPr>
            <w:r w:rsidRPr="00927406">
              <w:rPr>
                <w:lang w:val="pt-PT" w:eastAsia="pt-PT"/>
              </w:rPr>
              <w:t>2014 </w:t>
            </w:r>
          </w:p>
        </w:tc>
      </w:tr>
      <w:tr w:rsidR="00584E9A" w:rsidRPr="00927406" w:rsidTr="00584E9A">
        <w:trPr>
          <w:trHeight w:val="525"/>
          <w:tblCellSpacing w:w="0" w:type="dxa"/>
        </w:trPr>
        <w:tc>
          <w:tcPr>
            <w:tcW w:w="993" w:type="dxa"/>
            <w:shd w:val="clear" w:color="auto" w:fill="auto"/>
            <w:vAlign w:val="center"/>
            <w:hideMark/>
          </w:tcPr>
          <w:p w:rsidR="00FF10B8" w:rsidRPr="00927406" w:rsidRDefault="00FF10B8" w:rsidP="00584E9A">
            <w:pPr>
              <w:jc w:val="right"/>
              <w:rPr>
                <w:lang w:val="pt-PT" w:eastAsia="pt-PT"/>
              </w:rPr>
            </w:pPr>
            <w:r w:rsidRPr="00927406">
              <w:rPr>
                <w:lang w:val="pt-PT" w:eastAsia="pt-PT"/>
              </w:rPr>
              <w:t>9.2 </w:t>
            </w:r>
          </w:p>
        </w:tc>
        <w:tc>
          <w:tcPr>
            <w:tcW w:w="992" w:type="dxa"/>
            <w:shd w:val="clear" w:color="auto" w:fill="auto"/>
            <w:vAlign w:val="center"/>
            <w:hideMark/>
          </w:tcPr>
          <w:p w:rsidR="00FF10B8" w:rsidRPr="00927406" w:rsidRDefault="00FF10B8" w:rsidP="00584E9A">
            <w:pPr>
              <w:jc w:val="right"/>
              <w:rPr>
                <w:lang w:val="pt-PT" w:eastAsia="pt-PT"/>
              </w:rPr>
            </w:pPr>
            <w:r w:rsidRPr="00927406">
              <w:rPr>
                <w:lang w:val="pt-PT" w:eastAsia="pt-PT"/>
              </w:rPr>
              <w:t>10.0 </w:t>
            </w:r>
          </w:p>
        </w:tc>
        <w:tc>
          <w:tcPr>
            <w:tcW w:w="992" w:type="dxa"/>
            <w:shd w:val="clear" w:color="auto" w:fill="auto"/>
            <w:vAlign w:val="center"/>
            <w:hideMark/>
          </w:tcPr>
          <w:p w:rsidR="00FF10B8" w:rsidRPr="00927406" w:rsidRDefault="00FF10B8" w:rsidP="00584E9A">
            <w:pPr>
              <w:jc w:val="right"/>
              <w:rPr>
                <w:lang w:val="pt-PT" w:eastAsia="pt-PT"/>
              </w:rPr>
            </w:pPr>
            <w:r w:rsidRPr="00927406">
              <w:rPr>
                <w:lang w:val="pt-PT" w:eastAsia="pt-PT"/>
              </w:rPr>
              <w:t>12.8 </w:t>
            </w:r>
          </w:p>
        </w:tc>
        <w:tc>
          <w:tcPr>
            <w:tcW w:w="992" w:type="dxa"/>
            <w:shd w:val="clear" w:color="auto" w:fill="auto"/>
            <w:vAlign w:val="center"/>
            <w:hideMark/>
          </w:tcPr>
          <w:p w:rsidR="00FF10B8" w:rsidRPr="00927406" w:rsidRDefault="00FF10B8" w:rsidP="00584E9A">
            <w:pPr>
              <w:jc w:val="right"/>
              <w:rPr>
                <w:lang w:val="pt-PT" w:eastAsia="pt-PT"/>
              </w:rPr>
            </w:pPr>
            <w:r w:rsidRPr="00927406">
              <w:rPr>
                <w:lang w:val="pt-PT" w:eastAsia="pt-PT"/>
              </w:rPr>
              <w:t>12.8 </w:t>
            </w:r>
          </w:p>
        </w:tc>
        <w:tc>
          <w:tcPr>
            <w:tcW w:w="1134" w:type="dxa"/>
            <w:shd w:val="clear" w:color="auto" w:fill="auto"/>
            <w:vAlign w:val="center"/>
            <w:hideMark/>
          </w:tcPr>
          <w:p w:rsidR="00FF10B8" w:rsidRPr="00927406" w:rsidRDefault="00FF10B8" w:rsidP="00584E9A">
            <w:pPr>
              <w:jc w:val="right"/>
              <w:rPr>
                <w:lang w:val="pt-PT" w:eastAsia="pt-PT"/>
              </w:rPr>
            </w:pPr>
            <w:r w:rsidRPr="00927406">
              <w:rPr>
                <w:lang w:val="pt-PT" w:eastAsia="pt-PT"/>
              </w:rPr>
              <w:t>14.8 </w:t>
            </w:r>
          </w:p>
        </w:tc>
        <w:tc>
          <w:tcPr>
            <w:tcW w:w="993" w:type="dxa"/>
            <w:shd w:val="clear" w:color="auto" w:fill="auto"/>
            <w:vAlign w:val="center"/>
            <w:hideMark/>
          </w:tcPr>
          <w:p w:rsidR="00FF10B8" w:rsidRPr="00927406" w:rsidRDefault="00FF10B8" w:rsidP="00584E9A">
            <w:pPr>
              <w:jc w:val="right"/>
              <w:rPr>
                <w:lang w:val="pt-PT" w:eastAsia="pt-PT"/>
              </w:rPr>
            </w:pPr>
            <w:r w:rsidRPr="00927406">
              <w:rPr>
                <w:lang w:val="pt-PT" w:eastAsia="pt-PT"/>
              </w:rPr>
              <w:t>13.0 </w:t>
            </w:r>
          </w:p>
        </w:tc>
        <w:tc>
          <w:tcPr>
            <w:tcW w:w="1134" w:type="dxa"/>
            <w:shd w:val="clear" w:color="auto" w:fill="auto"/>
            <w:vAlign w:val="center"/>
            <w:hideMark/>
          </w:tcPr>
          <w:p w:rsidR="00FF10B8" w:rsidRPr="00927406" w:rsidRDefault="00FF10B8" w:rsidP="00584E9A">
            <w:pPr>
              <w:jc w:val="right"/>
              <w:rPr>
                <w:lang w:val="pt-PT" w:eastAsia="pt-PT"/>
              </w:rPr>
            </w:pPr>
            <w:r w:rsidRPr="00927406">
              <w:rPr>
                <w:lang w:val="pt-PT" w:eastAsia="pt-PT"/>
              </w:rPr>
              <w:t>14.5 </w:t>
            </w:r>
          </w:p>
        </w:tc>
      </w:tr>
    </w:tbl>
    <w:p w:rsidR="00FF10B8" w:rsidRPr="00927406" w:rsidRDefault="00FF10B8" w:rsidP="00FF10B8">
      <w:pPr>
        <w:jc w:val="both"/>
        <w:rPr>
          <w:lang w:val="en-US"/>
        </w:rPr>
      </w:pPr>
    </w:p>
    <w:p w:rsidR="00850F12" w:rsidRPr="00927406" w:rsidRDefault="001A4F9B" w:rsidP="001A4F9B">
      <w:pPr>
        <w:jc w:val="both"/>
        <w:rPr>
          <w:lang w:val="en-US"/>
        </w:rPr>
      </w:pPr>
      <w:r w:rsidRPr="00927406">
        <w:rPr>
          <w:lang w:val="en-US"/>
        </w:rPr>
        <w:t xml:space="preserve">9. </w:t>
      </w:r>
      <w:r w:rsidRPr="00927406">
        <w:rPr>
          <w:b/>
          <w:lang w:val="en-US"/>
        </w:rPr>
        <w:t xml:space="preserve">Could you provide information whether the reforms resulted in an increase in the activity of organized </w:t>
      </w:r>
      <w:proofErr w:type="spellStart"/>
      <w:r w:rsidRPr="00927406">
        <w:rPr>
          <w:b/>
          <w:lang w:val="en-US"/>
        </w:rPr>
        <w:t>labour</w:t>
      </w:r>
      <w:proofErr w:type="spellEnd"/>
      <w:r w:rsidRPr="00927406">
        <w:rPr>
          <w:b/>
          <w:lang w:val="en-US"/>
        </w:rPr>
        <w:t xml:space="preserve">, including strikes and protests? Could you describe possible human rights concerns related to the treatment or safety of </w:t>
      </w:r>
      <w:proofErr w:type="spellStart"/>
      <w:r w:rsidRPr="00927406">
        <w:rPr>
          <w:b/>
          <w:lang w:val="en-US"/>
        </w:rPr>
        <w:t>labour</w:t>
      </w:r>
      <w:proofErr w:type="spellEnd"/>
      <w:r w:rsidRPr="00927406">
        <w:rPr>
          <w:b/>
          <w:lang w:val="en-US"/>
        </w:rPr>
        <w:t xml:space="preserve"> representatives, workers, or individuals who participated in trade union work, strikes or public demonstrations or were affected by them, that have been brought to your attention?</w:t>
      </w:r>
      <w:r w:rsidRPr="00927406">
        <w:rPr>
          <w:lang w:val="en-US"/>
        </w:rPr>
        <w:t xml:space="preserve"> </w:t>
      </w:r>
    </w:p>
    <w:p w:rsidR="00850F12" w:rsidRPr="00927406" w:rsidRDefault="00850F12" w:rsidP="001A4F9B">
      <w:pPr>
        <w:jc w:val="both"/>
        <w:rPr>
          <w:lang w:val="en-US"/>
        </w:rPr>
      </w:pPr>
    </w:p>
    <w:p w:rsidR="00850F12" w:rsidRPr="00927406" w:rsidRDefault="00850F12" w:rsidP="001A4F9B">
      <w:pPr>
        <w:jc w:val="both"/>
        <w:rPr>
          <w:lang w:val="en-US"/>
        </w:rPr>
      </w:pPr>
      <w:r w:rsidRPr="00927406">
        <w:rPr>
          <w:lang w:val="en-US"/>
        </w:rPr>
        <w:t>In the four years (2010-2014) five general strikes took place (against a total of five in the preceding 35 years): November</w:t>
      </w:r>
      <w:r w:rsidR="001A4F9B" w:rsidRPr="00927406">
        <w:rPr>
          <w:lang w:val="en-US"/>
        </w:rPr>
        <w:t xml:space="preserve"> </w:t>
      </w:r>
      <w:r w:rsidRPr="00927406">
        <w:rPr>
          <w:lang w:val="en-US"/>
        </w:rPr>
        <w:t xml:space="preserve">24, 2010, November 24, 2011, March 22, 2012, November 14, 2012, </w:t>
      </w:r>
      <w:proofErr w:type="gramStart"/>
      <w:r w:rsidRPr="00927406">
        <w:rPr>
          <w:lang w:val="en-US"/>
        </w:rPr>
        <w:t>June</w:t>
      </w:r>
      <w:proofErr w:type="gramEnd"/>
      <w:r w:rsidRPr="00927406">
        <w:rPr>
          <w:lang w:val="en-US"/>
        </w:rPr>
        <w:t xml:space="preserve"> 27, 2013. A public sector strike took place on November 8, 2013. Huge demonstrations called informal groups of citizens took place in March 12, 2011 and September 15, 2012.</w:t>
      </w:r>
    </w:p>
    <w:p w:rsidR="001A4F9B" w:rsidRPr="00927406" w:rsidRDefault="00850F12" w:rsidP="001A4F9B">
      <w:pPr>
        <w:jc w:val="both"/>
        <w:rPr>
          <w:lang w:val="en-US"/>
        </w:rPr>
      </w:pPr>
      <w:r w:rsidRPr="00927406">
        <w:rPr>
          <w:lang w:val="en-US"/>
        </w:rPr>
        <w:t xml:space="preserve"> </w:t>
      </w:r>
    </w:p>
    <w:p w:rsidR="001A4F9B" w:rsidRPr="00927406" w:rsidRDefault="001A4F9B" w:rsidP="001A4F9B">
      <w:pPr>
        <w:jc w:val="both"/>
        <w:rPr>
          <w:b/>
          <w:lang w:val="en-US"/>
        </w:rPr>
      </w:pPr>
      <w:r w:rsidRPr="00927406">
        <w:rPr>
          <w:lang w:val="en-US"/>
        </w:rPr>
        <w:t xml:space="preserve">10. </w:t>
      </w:r>
      <w:r w:rsidRPr="00927406">
        <w:rPr>
          <w:b/>
          <w:lang w:val="en-US"/>
        </w:rPr>
        <w:t xml:space="preserve">Can you describe a particular successful measure or good practice that had a positive impact on the enjoyment of </w:t>
      </w:r>
      <w:proofErr w:type="spellStart"/>
      <w:r w:rsidRPr="00927406">
        <w:rPr>
          <w:b/>
          <w:lang w:val="en-US"/>
        </w:rPr>
        <w:t>labour</w:t>
      </w:r>
      <w:proofErr w:type="spellEnd"/>
      <w:r w:rsidRPr="00927406">
        <w:rPr>
          <w:b/>
          <w:lang w:val="en-US"/>
        </w:rPr>
        <w:t xml:space="preserve"> rights or other economic and social </w:t>
      </w:r>
      <w:r w:rsidR="003D16FB" w:rsidRPr="00927406">
        <w:rPr>
          <w:b/>
          <w:lang w:val="en-US"/>
        </w:rPr>
        <w:t xml:space="preserve">rights? </w:t>
      </w:r>
      <w:r w:rsidRPr="00927406">
        <w:rPr>
          <w:b/>
          <w:lang w:val="en-US"/>
        </w:rPr>
        <w:t>If possible, please provide a reference or link to a report supporting your assessment.</w:t>
      </w:r>
    </w:p>
    <w:p w:rsidR="003D16FB" w:rsidRPr="00927406" w:rsidRDefault="003D16FB" w:rsidP="001A4F9B">
      <w:pPr>
        <w:jc w:val="both"/>
        <w:rPr>
          <w:b/>
          <w:lang w:val="en-US"/>
        </w:rPr>
      </w:pPr>
    </w:p>
    <w:p w:rsidR="003D16FB" w:rsidRPr="00927406" w:rsidRDefault="00B07117" w:rsidP="001A4F9B">
      <w:pPr>
        <w:jc w:val="both"/>
        <w:rPr>
          <w:lang w:val="en-US"/>
        </w:rPr>
      </w:pPr>
      <w:r w:rsidRPr="00927406">
        <w:rPr>
          <w:lang w:val="en-US"/>
        </w:rPr>
        <w:t xml:space="preserve">During this period measures with a positive impact on the enjoyment of </w:t>
      </w:r>
      <w:r w:rsidR="00215884" w:rsidRPr="00927406">
        <w:rPr>
          <w:lang w:val="en-US"/>
        </w:rPr>
        <w:t>labor</w:t>
      </w:r>
      <w:r w:rsidRPr="00927406">
        <w:rPr>
          <w:lang w:val="en-US"/>
        </w:rPr>
        <w:t xml:space="preserve"> rights or other economic and social rights were the rulings by the Constitutional Court above mentioned.</w:t>
      </w:r>
      <w:r w:rsidR="00927406" w:rsidRPr="00927406">
        <w:rPr>
          <w:lang w:val="en-US"/>
        </w:rPr>
        <w:t xml:space="preserve"> (</w:t>
      </w:r>
      <w:proofErr w:type="gramStart"/>
      <w:r w:rsidR="00927406" w:rsidRPr="00927406">
        <w:rPr>
          <w:lang w:val="en-US"/>
        </w:rPr>
        <w:t>see</w:t>
      </w:r>
      <w:proofErr w:type="gramEnd"/>
      <w:r w:rsidR="00927406" w:rsidRPr="00927406">
        <w:rPr>
          <w:lang w:val="en-US"/>
        </w:rPr>
        <w:t xml:space="preserve"> https://www.ft.com/content/b5c9a802-f48d-11e3-a143-00144feabdc0)</w:t>
      </w:r>
    </w:p>
    <w:p w:rsidR="001A4F9B" w:rsidRPr="00927406" w:rsidRDefault="001A4F9B" w:rsidP="001A4F9B">
      <w:pPr>
        <w:rPr>
          <w:lang w:val="en-US"/>
        </w:rPr>
      </w:pPr>
      <w:r w:rsidRPr="00927406">
        <w:rPr>
          <w:lang w:val="en-US"/>
        </w:rPr>
        <w:br w:type="page"/>
      </w:r>
    </w:p>
    <w:sectPr w:rsidR="001A4F9B" w:rsidRPr="009274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BC" w:rsidRDefault="009D5DBC" w:rsidP="001A4F9B">
      <w:r>
        <w:separator/>
      </w:r>
    </w:p>
  </w:endnote>
  <w:endnote w:type="continuationSeparator" w:id="0">
    <w:p w:rsidR="009D5DBC" w:rsidRDefault="009D5DBC" w:rsidP="001A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BC" w:rsidRDefault="009D5DBC" w:rsidP="001A4F9B">
      <w:r>
        <w:separator/>
      </w:r>
    </w:p>
  </w:footnote>
  <w:footnote w:type="continuationSeparator" w:id="0">
    <w:p w:rsidR="009D5DBC" w:rsidRDefault="009D5DBC" w:rsidP="001A4F9B">
      <w:r>
        <w:continuationSeparator/>
      </w:r>
    </w:p>
  </w:footnote>
  <w:footnote w:id="1">
    <w:p w:rsidR="001A4F9B" w:rsidRPr="00240B81" w:rsidRDefault="001A4F9B" w:rsidP="001A4F9B">
      <w:pPr>
        <w:pStyle w:val="Textodenotaderodap"/>
        <w:rPr>
          <w:lang w:val="en-US"/>
        </w:rPr>
      </w:pPr>
      <w:r>
        <w:rPr>
          <w:rStyle w:val="Refdenotaderodap"/>
        </w:rPr>
        <w:footnoteRef/>
      </w:r>
      <w:r>
        <w:t xml:space="preserve"> </w:t>
      </w:r>
      <w:r>
        <w:rPr>
          <w:lang w:val="en-US"/>
        </w:rPr>
        <w:t xml:space="preserve">See </w:t>
      </w:r>
      <w:r>
        <w:t xml:space="preserve">International Covenant on Civil and Political Rights (ICCPR), art. </w:t>
      </w:r>
      <w:proofErr w:type="gramStart"/>
      <w:r>
        <w:t>22; International Covenant on Economic, Social and Cultural Rights (ICESCR), art.</w:t>
      </w:r>
      <w:proofErr w:type="gramEnd"/>
      <w:r>
        <w:t xml:space="preserve"> </w:t>
      </w:r>
      <w:proofErr w:type="gramStart"/>
      <w:r>
        <w:t>8; International Labour Organisation (ILO) Convention 87.</w:t>
      </w:r>
      <w:proofErr w:type="gramEnd"/>
    </w:p>
  </w:footnote>
  <w:footnote w:id="2">
    <w:p w:rsidR="001A4F9B" w:rsidRPr="000029C6" w:rsidRDefault="001A4F9B" w:rsidP="001A4F9B">
      <w:pPr>
        <w:pStyle w:val="Textodenotaderodap"/>
        <w:rPr>
          <w:lang w:val="en-US"/>
        </w:rPr>
      </w:pPr>
      <w:r>
        <w:rPr>
          <w:rStyle w:val="Refdenotaderodap"/>
        </w:rPr>
        <w:footnoteRef/>
      </w:r>
      <w:r>
        <w:t xml:space="preserve"> See ICCPR, art. </w:t>
      </w:r>
      <w:proofErr w:type="gramStart"/>
      <w:r>
        <w:t>22; ILO Convention 98.</w:t>
      </w:r>
      <w:proofErr w:type="gramEnd"/>
    </w:p>
  </w:footnote>
  <w:footnote w:id="3">
    <w:p w:rsidR="001A4F9B" w:rsidRPr="00DC7457" w:rsidRDefault="001A4F9B" w:rsidP="001A4F9B">
      <w:pPr>
        <w:pStyle w:val="Textodenotaderodap"/>
      </w:pPr>
      <w:r>
        <w:rPr>
          <w:rStyle w:val="Refdenotaderodap"/>
        </w:rPr>
        <w:footnoteRef/>
      </w:r>
      <w:r>
        <w:t xml:space="preserve"> See ICESCR, art. </w:t>
      </w:r>
      <w:proofErr w:type="gramStart"/>
      <w:r>
        <w:t>8(d).</w:t>
      </w:r>
      <w:proofErr w:type="gramEnd"/>
    </w:p>
  </w:footnote>
  <w:footnote w:id="4">
    <w:p w:rsidR="001A4F9B" w:rsidRPr="00DC7457" w:rsidRDefault="001A4F9B" w:rsidP="001A4F9B">
      <w:pPr>
        <w:pStyle w:val="Textodenotaderodap"/>
      </w:pPr>
      <w:r>
        <w:rPr>
          <w:rStyle w:val="Refdenotaderodap"/>
        </w:rPr>
        <w:footnoteRef/>
      </w:r>
      <w:r>
        <w:t xml:space="preserve"> See ICESCR, art. 7.</w:t>
      </w:r>
    </w:p>
  </w:footnote>
  <w:footnote w:id="5">
    <w:p w:rsidR="001A4F9B" w:rsidRPr="00D21E5A" w:rsidRDefault="001A4F9B" w:rsidP="001A4F9B">
      <w:pPr>
        <w:pStyle w:val="Textodenotaderodap"/>
      </w:pPr>
      <w:r>
        <w:rPr>
          <w:rStyle w:val="Refdenotaderodap"/>
        </w:rPr>
        <w:footnoteRef/>
      </w:r>
      <w:r>
        <w:t xml:space="preserve"> See ICESCR, art. </w:t>
      </w:r>
      <w:proofErr w:type="gramStart"/>
      <w:r>
        <w:t>9, and ILO Convention 102 and ILO Social protection Floor Recommendation, 2012 (No. 202).</w:t>
      </w:r>
      <w:proofErr w:type="gramEnd"/>
    </w:p>
  </w:footnote>
  <w:footnote w:id="6">
    <w:p w:rsidR="001A4F9B" w:rsidRPr="000029C6" w:rsidRDefault="001A4F9B" w:rsidP="001A4F9B">
      <w:pPr>
        <w:pStyle w:val="Textodenotaderodap"/>
        <w:rPr>
          <w:lang w:val="en-US"/>
        </w:rPr>
      </w:pPr>
      <w:r>
        <w:rPr>
          <w:rStyle w:val="Refdenotaderodap"/>
        </w:rPr>
        <w:footnoteRef/>
      </w:r>
      <w:r>
        <w:t xml:space="preserve"> See </w:t>
      </w:r>
      <w:r>
        <w:rPr>
          <w:rStyle w:val="reference-text"/>
        </w:rPr>
        <w:t xml:space="preserve">ICCPR, art. </w:t>
      </w:r>
      <w:proofErr w:type="gramStart"/>
      <w:r>
        <w:rPr>
          <w:rStyle w:val="reference-text"/>
        </w:rPr>
        <w:t>8; ILO Conventions 29 and 105.</w:t>
      </w:r>
      <w:proofErr w:type="gramEnd"/>
    </w:p>
  </w:footnote>
  <w:footnote w:id="7">
    <w:p w:rsidR="001A4F9B" w:rsidRDefault="001A4F9B" w:rsidP="001A4F9B">
      <w:r>
        <w:rPr>
          <w:rStyle w:val="Refdenotaderodap"/>
        </w:rPr>
        <w:footnoteRef/>
      </w:r>
      <w:r>
        <w:t xml:space="preserve"> See Convention on the Rights of the Child, art.</w:t>
      </w:r>
      <w:r>
        <w:rPr>
          <w:rStyle w:val="reference-text"/>
        </w:rPr>
        <w:t xml:space="preserve"> </w:t>
      </w:r>
      <w:proofErr w:type="gramStart"/>
      <w:r>
        <w:rPr>
          <w:rStyle w:val="reference-text"/>
        </w:rPr>
        <w:t>32; ILO Conventions 138 and 182.</w:t>
      </w:r>
      <w:proofErr w:type="gramEnd"/>
    </w:p>
  </w:footnote>
  <w:footnote w:id="8">
    <w:p w:rsidR="001A4F9B" w:rsidRPr="00891A87" w:rsidRDefault="001A4F9B" w:rsidP="001A4F9B">
      <w:pPr>
        <w:pStyle w:val="Textodenotaderodap"/>
        <w:rPr>
          <w:lang w:val="en-US"/>
        </w:rPr>
      </w:pPr>
      <w:r>
        <w:rPr>
          <w:rStyle w:val="Refdenotaderodap"/>
        </w:rPr>
        <w:footnoteRef/>
      </w:r>
      <w:r>
        <w:t xml:space="preserve"> </w:t>
      </w:r>
      <w:r>
        <w:rPr>
          <w:lang w:val="en-US"/>
        </w:rPr>
        <w:t xml:space="preserve">See ILO Conventions 100 and 111; Convention on the Elimination of All Forms of Discrimination against Women, art. </w:t>
      </w:r>
      <w:proofErr w:type="gramStart"/>
      <w:r>
        <w:rPr>
          <w:lang w:val="en-US"/>
        </w:rPr>
        <w:t>11; Committee on the Elimination of Discrimination against Women, General Recommendations Nos. 13 and 16; Convention on the Elimination of All Forms of Racial Discrimination, art.</w:t>
      </w:r>
      <w:proofErr w:type="gramEnd"/>
      <w:r>
        <w:rPr>
          <w:lang w:val="en-US"/>
        </w:rPr>
        <w:t xml:space="preserve"> 5(e</w:t>
      </w:r>
      <w:proofErr w:type="gramStart"/>
      <w:r>
        <w:rPr>
          <w:lang w:val="en-US"/>
        </w:rPr>
        <w:t>)(</w:t>
      </w:r>
      <w:proofErr w:type="spellStart"/>
      <w:proofErr w:type="gramEnd"/>
      <w:r>
        <w:rPr>
          <w:lang w:val="en-US"/>
        </w:rPr>
        <w:t>i</w:t>
      </w:r>
      <w:proofErr w:type="spellEnd"/>
      <w:r>
        <w:rPr>
          <w:lang w:val="en-US"/>
        </w:rPr>
        <w:t xml:space="preserve">)-(ii); Convention on the Rights of Persons with Disabilities, art. </w:t>
      </w:r>
      <w:proofErr w:type="gramStart"/>
      <w:r>
        <w:rPr>
          <w:lang w:val="en-US"/>
        </w:rPr>
        <w:t>27; International Convention on the Protection of the Rights of All Migrant Workers and Members of Their Families, arts.</w:t>
      </w:r>
      <w:proofErr w:type="gramEnd"/>
      <w:r>
        <w:rPr>
          <w:lang w:val="en-US"/>
        </w:rPr>
        <w:t xml:space="preserve"> </w:t>
      </w:r>
      <w:proofErr w:type="gramStart"/>
      <w:r>
        <w:rPr>
          <w:lang w:val="en-US"/>
        </w:rPr>
        <w:t>25, 26.</w:t>
      </w:r>
      <w:proofErr w:type="gramEnd"/>
    </w:p>
  </w:footnote>
  <w:footnote w:id="9">
    <w:p w:rsidR="001A4F9B" w:rsidRPr="00C6182A" w:rsidRDefault="001A4F9B" w:rsidP="001A4F9B">
      <w:pPr>
        <w:pStyle w:val="Textodenotaderodap"/>
        <w:rPr>
          <w:lang w:val="en-US"/>
        </w:rPr>
      </w:pPr>
      <w:r>
        <w:rPr>
          <w:rStyle w:val="Refdenotaderodap"/>
        </w:rPr>
        <w:footnoteRef/>
      </w:r>
      <w:r>
        <w:t xml:space="preserve"> </w:t>
      </w:r>
      <w:r>
        <w:rPr>
          <w:lang w:val="en-US"/>
        </w:rPr>
        <w:t>See Convention on the Elimination of All Forms of Discrimination against Women, art.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1E5"/>
    <w:multiLevelType w:val="hybridMultilevel"/>
    <w:tmpl w:val="BFCC6FBC"/>
    <w:lvl w:ilvl="0" w:tplc="3AE031A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86C0BB5"/>
    <w:multiLevelType w:val="multilevel"/>
    <w:tmpl w:val="7C4E4D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0BE189F"/>
    <w:multiLevelType w:val="hybridMultilevel"/>
    <w:tmpl w:val="80A264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10C7069"/>
    <w:multiLevelType w:val="hybridMultilevel"/>
    <w:tmpl w:val="2946D0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66E01B8"/>
    <w:multiLevelType w:val="hybridMultilevel"/>
    <w:tmpl w:val="DBDC2C06"/>
    <w:lvl w:ilvl="0" w:tplc="78ACC714">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nsid w:val="5BEC33C7"/>
    <w:multiLevelType w:val="hybridMultilevel"/>
    <w:tmpl w:val="5CBE6BA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67B3042E"/>
    <w:multiLevelType w:val="hybridMultilevel"/>
    <w:tmpl w:val="7F988E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68641925"/>
    <w:multiLevelType w:val="hybridMultilevel"/>
    <w:tmpl w:val="8C4831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AD11293"/>
    <w:multiLevelType w:val="hybridMultilevel"/>
    <w:tmpl w:val="8FC63F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2"/>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C2"/>
    <w:rsid w:val="00000166"/>
    <w:rsid w:val="00001BFC"/>
    <w:rsid w:val="00002AB3"/>
    <w:rsid w:val="000032B4"/>
    <w:rsid w:val="00003477"/>
    <w:rsid w:val="0000396A"/>
    <w:rsid w:val="000051A1"/>
    <w:rsid w:val="00005903"/>
    <w:rsid w:val="0000776A"/>
    <w:rsid w:val="00010A74"/>
    <w:rsid w:val="00010FE3"/>
    <w:rsid w:val="0001105A"/>
    <w:rsid w:val="00011793"/>
    <w:rsid w:val="00012585"/>
    <w:rsid w:val="000135AA"/>
    <w:rsid w:val="000135F0"/>
    <w:rsid w:val="00013671"/>
    <w:rsid w:val="00013F9B"/>
    <w:rsid w:val="0001462A"/>
    <w:rsid w:val="0001497E"/>
    <w:rsid w:val="00014F2A"/>
    <w:rsid w:val="000156B9"/>
    <w:rsid w:val="00016242"/>
    <w:rsid w:val="00016389"/>
    <w:rsid w:val="00016749"/>
    <w:rsid w:val="00016F0A"/>
    <w:rsid w:val="000175E9"/>
    <w:rsid w:val="00017C30"/>
    <w:rsid w:val="00020756"/>
    <w:rsid w:val="00021B27"/>
    <w:rsid w:val="00021E30"/>
    <w:rsid w:val="00022131"/>
    <w:rsid w:val="000223E8"/>
    <w:rsid w:val="000238A9"/>
    <w:rsid w:val="000238BA"/>
    <w:rsid w:val="00024A59"/>
    <w:rsid w:val="0002519C"/>
    <w:rsid w:val="0002556D"/>
    <w:rsid w:val="00025881"/>
    <w:rsid w:val="0002594A"/>
    <w:rsid w:val="00025D14"/>
    <w:rsid w:val="0002621A"/>
    <w:rsid w:val="00026611"/>
    <w:rsid w:val="0002684E"/>
    <w:rsid w:val="000274E1"/>
    <w:rsid w:val="000278D5"/>
    <w:rsid w:val="00027EF2"/>
    <w:rsid w:val="00030A55"/>
    <w:rsid w:val="00031607"/>
    <w:rsid w:val="00031A0E"/>
    <w:rsid w:val="00031A2D"/>
    <w:rsid w:val="0003201C"/>
    <w:rsid w:val="00033DD5"/>
    <w:rsid w:val="000342EE"/>
    <w:rsid w:val="00034424"/>
    <w:rsid w:val="00034B00"/>
    <w:rsid w:val="00034D2D"/>
    <w:rsid w:val="00034DCB"/>
    <w:rsid w:val="0003511C"/>
    <w:rsid w:val="00035F14"/>
    <w:rsid w:val="00037462"/>
    <w:rsid w:val="00037A51"/>
    <w:rsid w:val="00040BA3"/>
    <w:rsid w:val="000421AA"/>
    <w:rsid w:val="00042569"/>
    <w:rsid w:val="00043FB5"/>
    <w:rsid w:val="000444FA"/>
    <w:rsid w:val="0004452F"/>
    <w:rsid w:val="000448AC"/>
    <w:rsid w:val="0004535E"/>
    <w:rsid w:val="000458A9"/>
    <w:rsid w:val="00045BA7"/>
    <w:rsid w:val="00045C1F"/>
    <w:rsid w:val="00045DE1"/>
    <w:rsid w:val="00045ECE"/>
    <w:rsid w:val="00047C26"/>
    <w:rsid w:val="00050C45"/>
    <w:rsid w:val="00050E4C"/>
    <w:rsid w:val="000512D5"/>
    <w:rsid w:val="0005252F"/>
    <w:rsid w:val="00052631"/>
    <w:rsid w:val="0005299F"/>
    <w:rsid w:val="00052A4C"/>
    <w:rsid w:val="000531E5"/>
    <w:rsid w:val="000548E5"/>
    <w:rsid w:val="000549B6"/>
    <w:rsid w:val="000552BE"/>
    <w:rsid w:val="00055EDD"/>
    <w:rsid w:val="00055F48"/>
    <w:rsid w:val="00055FA7"/>
    <w:rsid w:val="00055FD7"/>
    <w:rsid w:val="00056A6B"/>
    <w:rsid w:val="00056FF3"/>
    <w:rsid w:val="00057643"/>
    <w:rsid w:val="0005782A"/>
    <w:rsid w:val="00060866"/>
    <w:rsid w:val="00060A33"/>
    <w:rsid w:val="00060DC0"/>
    <w:rsid w:val="00061782"/>
    <w:rsid w:val="00061A1D"/>
    <w:rsid w:val="00061F37"/>
    <w:rsid w:val="00062BC5"/>
    <w:rsid w:val="00062F2F"/>
    <w:rsid w:val="00063004"/>
    <w:rsid w:val="000630EE"/>
    <w:rsid w:val="00063B8C"/>
    <w:rsid w:val="00063DC0"/>
    <w:rsid w:val="00063EA8"/>
    <w:rsid w:val="00064902"/>
    <w:rsid w:val="00064AE1"/>
    <w:rsid w:val="00065F79"/>
    <w:rsid w:val="0006718F"/>
    <w:rsid w:val="00067528"/>
    <w:rsid w:val="0006796B"/>
    <w:rsid w:val="0006799F"/>
    <w:rsid w:val="0007046D"/>
    <w:rsid w:val="000706E3"/>
    <w:rsid w:val="00070AE9"/>
    <w:rsid w:val="00070CB0"/>
    <w:rsid w:val="00070D1F"/>
    <w:rsid w:val="00070FEB"/>
    <w:rsid w:val="000717D3"/>
    <w:rsid w:val="00072807"/>
    <w:rsid w:val="000738AA"/>
    <w:rsid w:val="0007413C"/>
    <w:rsid w:val="00074566"/>
    <w:rsid w:val="00074CBC"/>
    <w:rsid w:val="0007565E"/>
    <w:rsid w:val="0007599C"/>
    <w:rsid w:val="00075FC8"/>
    <w:rsid w:val="00076928"/>
    <w:rsid w:val="000774BF"/>
    <w:rsid w:val="000776B6"/>
    <w:rsid w:val="000777FB"/>
    <w:rsid w:val="00080866"/>
    <w:rsid w:val="00080A34"/>
    <w:rsid w:val="00081231"/>
    <w:rsid w:val="00081445"/>
    <w:rsid w:val="00081E04"/>
    <w:rsid w:val="00082F40"/>
    <w:rsid w:val="00083324"/>
    <w:rsid w:val="00084160"/>
    <w:rsid w:val="000848C0"/>
    <w:rsid w:val="00084B69"/>
    <w:rsid w:val="0008617A"/>
    <w:rsid w:val="00086559"/>
    <w:rsid w:val="00087937"/>
    <w:rsid w:val="00090013"/>
    <w:rsid w:val="0009014D"/>
    <w:rsid w:val="000907A9"/>
    <w:rsid w:val="000910F1"/>
    <w:rsid w:val="00091372"/>
    <w:rsid w:val="00091D82"/>
    <w:rsid w:val="0009208F"/>
    <w:rsid w:val="00092822"/>
    <w:rsid w:val="00092C3E"/>
    <w:rsid w:val="00092EB6"/>
    <w:rsid w:val="00093087"/>
    <w:rsid w:val="00093259"/>
    <w:rsid w:val="00093EB2"/>
    <w:rsid w:val="000942F4"/>
    <w:rsid w:val="00094F84"/>
    <w:rsid w:val="00095144"/>
    <w:rsid w:val="00095195"/>
    <w:rsid w:val="00095BB3"/>
    <w:rsid w:val="0009641A"/>
    <w:rsid w:val="0009645C"/>
    <w:rsid w:val="000968A0"/>
    <w:rsid w:val="00097DD0"/>
    <w:rsid w:val="000A0A46"/>
    <w:rsid w:val="000A1440"/>
    <w:rsid w:val="000A181C"/>
    <w:rsid w:val="000A23A3"/>
    <w:rsid w:val="000A23E5"/>
    <w:rsid w:val="000A2E8C"/>
    <w:rsid w:val="000A2FA3"/>
    <w:rsid w:val="000A3209"/>
    <w:rsid w:val="000A4029"/>
    <w:rsid w:val="000A4060"/>
    <w:rsid w:val="000A4F3A"/>
    <w:rsid w:val="000A5773"/>
    <w:rsid w:val="000A61E0"/>
    <w:rsid w:val="000A6752"/>
    <w:rsid w:val="000A6F6B"/>
    <w:rsid w:val="000A7396"/>
    <w:rsid w:val="000A7AB8"/>
    <w:rsid w:val="000A7FE8"/>
    <w:rsid w:val="000B09C9"/>
    <w:rsid w:val="000B0F0F"/>
    <w:rsid w:val="000B1331"/>
    <w:rsid w:val="000B14A1"/>
    <w:rsid w:val="000B185B"/>
    <w:rsid w:val="000B199C"/>
    <w:rsid w:val="000B1AEB"/>
    <w:rsid w:val="000B1CDE"/>
    <w:rsid w:val="000B1F9D"/>
    <w:rsid w:val="000B22E7"/>
    <w:rsid w:val="000B23BC"/>
    <w:rsid w:val="000B2D12"/>
    <w:rsid w:val="000B2DE0"/>
    <w:rsid w:val="000B2E7D"/>
    <w:rsid w:val="000B4A78"/>
    <w:rsid w:val="000B5516"/>
    <w:rsid w:val="000B62F2"/>
    <w:rsid w:val="000B70DB"/>
    <w:rsid w:val="000B7613"/>
    <w:rsid w:val="000C05A1"/>
    <w:rsid w:val="000C0BC6"/>
    <w:rsid w:val="000C0EA3"/>
    <w:rsid w:val="000C1225"/>
    <w:rsid w:val="000C1AFB"/>
    <w:rsid w:val="000C1B85"/>
    <w:rsid w:val="000C2849"/>
    <w:rsid w:val="000C2A17"/>
    <w:rsid w:val="000C42CA"/>
    <w:rsid w:val="000C4490"/>
    <w:rsid w:val="000C469B"/>
    <w:rsid w:val="000C4971"/>
    <w:rsid w:val="000C5E31"/>
    <w:rsid w:val="000C5F0C"/>
    <w:rsid w:val="000C5F82"/>
    <w:rsid w:val="000C61EA"/>
    <w:rsid w:val="000C77D8"/>
    <w:rsid w:val="000C7AEF"/>
    <w:rsid w:val="000C7DED"/>
    <w:rsid w:val="000D07A0"/>
    <w:rsid w:val="000D0BDF"/>
    <w:rsid w:val="000D0D35"/>
    <w:rsid w:val="000D1434"/>
    <w:rsid w:val="000D1CC2"/>
    <w:rsid w:val="000D25FB"/>
    <w:rsid w:val="000D263E"/>
    <w:rsid w:val="000D2DC6"/>
    <w:rsid w:val="000D2E64"/>
    <w:rsid w:val="000D33BF"/>
    <w:rsid w:val="000D4094"/>
    <w:rsid w:val="000D40C6"/>
    <w:rsid w:val="000D4418"/>
    <w:rsid w:val="000D4D8F"/>
    <w:rsid w:val="000D4DCC"/>
    <w:rsid w:val="000D52B9"/>
    <w:rsid w:val="000D536E"/>
    <w:rsid w:val="000D5C22"/>
    <w:rsid w:val="000D6088"/>
    <w:rsid w:val="000D6D0F"/>
    <w:rsid w:val="000D6DCE"/>
    <w:rsid w:val="000D780C"/>
    <w:rsid w:val="000E0628"/>
    <w:rsid w:val="000E0BFF"/>
    <w:rsid w:val="000E0D9B"/>
    <w:rsid w:val="000E11EC"/>
    <w:rsid w:val="000E1848"/>
    <w:rsid w:val="000E18A6"/>
    <w:rsid w:val="000E19D6"/>
    <w:rsid w:val="000E1AE2"/>
    <w:rsid w:val="000E1D98"/>
    <w:rsid w:val="000E217F"/>
    <w:rsid w:val="000E256E"/>
    <w:rsid w:val="000E25A8"/>
    <w:rsid w:val="000E2D43"/>
    <w:rsid w:val="000E338B"/>
    <w:rsid w:val="000E3794"/>
    <w:rsid w:val="000E380B"/>
    <w:rsid w:val="000E405C"/>
    <w:rsid w:val="000E429F"/>
    <w:rsid w:val="000E4D5B"/>
    <w:rsid w:val="000E4F5F"/>
    <w:rsid w:val="000E70EB"/>
    <w:rsid w:val="000E7781"/>
    <w:rsid w:val="000F0543"/>
    <w:rsid w:val="000F0DBC"/>
    <w:rsid w:val="000F1118"/>
    <w:rsid w:val="000F116A"/>
    <w:rsid w:val="000F200B"/>
    <w:rsid w:val="000F2637"/>
    <w:rsid w:val="000F2A86"/>
    <w:rsid w:val="000F308B"/>
    <w:rsid w:val="000F327B"/>
    <w:rsid w:val="000F368F"/>
    <w:rsid w:val="000F3DD9"/>
    <w:rsid w:val="000F4101"/>
    <w:rsid w:val="000F43D2"/>
    <w:rsid w:val="000F51F4"/>
    <w:rsid w:val="000F521E"/>
    <w:rsid w:val="000F5424"/>
    <w:rsid w:val="000F5A3F"/>
    <w:rsid w:val="000F6063"/>
    <w:rsid w:val="000F63A6"/>
    <w:rsid w:val="000F6455"/>
    <w:rsid w:val="000F6F08"/>
    <w:rsid w:val="000F6F0A"/>
    <w:rsid w:val="000F72E7"/>
    <w:rsid w:val="000F76E1"/>
    <w:rsid w:val="000F7AFD"/>
    <w:rsid w:val="00102FB9"/>
    <w:rsid w:val="00103B19"/>
    <w:rsid w:val="00103B63"/>
    <w:rsid w:val="00103F9D"/>
    <w:rsid w:val="0010404B"/>
    <w:rsid w:val="001040C2"/>
    <w:rsid w:val="001048ED"/>
    <w:rsid w:val="00104C2F"/>
    <w:rsid w:val="001051B6"/>
    <w:rsid w:val="001052F1"/>
    <w:rsid w:val="00105EC3"/>
    <w:rsid w:val="001073CE"/>
    <w:rsid w:val="00107868"/>
    <w:rsid w:val="00107ADE"/>
    <w:rsid w:val="00107BAD"/>
    <w:rsid w:val="00107D63"/>
    <w:rsid w:val="00110011"/>
    <w:rsid w:val="001101D7"/>
    <w:rsid w:val="00110E78"/>
    <w:rsid w:val="0011135E"/>
    <w:rsid w:val="00111B3B"/>
    <w:rsid w:val="00112696"/>
    <w:rsid w:val="00112F2F"/>
    <w:rsid w:val="00114209"/>
    <w:rsid w:val="00114540"/>
    <w:rsid w:val="0011457B"/>
    <w:rsid w:val="00114864"/>
    <w:rsid w:val="00115593"/>
    <w:rsid w:val="0011595B"/>
    <w:rsid w:val="001161D1"/>
    <w:rsid w:val="0011691E"/>
    <w:rsid w:val="0011695E"/>
    <w:rsid w:val="0011698F"/>
    <w:rsid w:val="001173F1"/>
    <w:rsid w:val="001212EB"/>
    <w:rsid w:val="00121820"/>
    <w:rsid w:val="0012182E"/>
    <w:rsid w:val="00121A1A"/>
    <w:rsid w:val="0012272D"/>
    <w:rsid w:val="0012274F"/>
    <w:rsid w:val="00122879"/>
    <w:rsid w:val="00122FD8"/>
    <w:rsid w:val="0012341F"/>
    <w:rsid w:val="00123AEE"/>
    <w:rsid w:val="00123E6F"/>
    <w:rsid w:val="0012401B"/>
    <w:rsid w:val="001247E2"/>
    <w:rsid w:val="00125763"/>
    <w:rsid w:val="00126139"/>
    <w:rsid w:val="0012737D"/>
    <w:rsid w:val="001314E4"/>
    <w:rsid w:val="00131586"/>
    <w:rsid w:val="001317BB"/>
    <w:rsid w:val="00131B20"/>
    <w:rsid w:val="00131E71"/>
    <w:rsid w:val="001327F6"/>
    <w:rsid w:val="00133878"/>
    <w:rsid w:val="001344BA"/>
    <w:rsid w:val="00134D89"/>
    <w:rsid w:val="00135BDC"/>
    <w:rsid w:val="00136417"/>
    <w:rsid w:val="00137079"/>
    <w:rsid w:val="00137C27"/>
    <w:rsid w:val="001401A7"/>
    <w:rsid w:val="00140A7A"/>
    <w:rsid w:val="001412C8"/>
    <w:rsid w:val="001412DB"/>
    <w:rsid w:val="00141A82"/>
    <w:rsid w:val="00141BD8"/>
    <w:rsid w:val="00143F33"/>
    <w:rsid w:val="00144220"/>
    <w:rsid w:val="001443AA"/>
    <w:rsid w:val="0014455E"/>
    <w:rsid w:val="00144900"/>
    <w:rsid w:val="001449CA"/>
    <w:rsid w:val="00144FAD"/>
    <w:rsid w:val="00145CAD"/>
    <w:rsid w:val="00145E2E"/>
    <w:rsid w:val="001463FD"/>
    <w:rsid w:val="00146635"/>
    <w:rsid w:val="0015019B"/>
    <w:rsid w:val="00150A79"/>
    <w:rsid w:val="001519C5"/>
    <w:rsid w:val="00151F1A"/>
    <w:rsid w:val="00152003"/>
    <w:rsid w:val="00152466"/>
    <w:rsid w:val="001530A5"/>
    <w:rsid w:val="00153387"/>
    <w:rsid w:val="00153734"/>
    <w:rsid w:val="00153914"/>
    <w:rsid w:val="00154131"/>
    <w:rsid w:val="00154942"/>
    <w:rsid w:val="00154CB2"/>
    <w:rsid w:val="00155054"/>
    <w:rsid w:val="0015576C"/>
    <w:rsid w:val="00157563"/>
    <w:rsid w:val="00157F6A"/>
    <w:rsid w:val="00157FA3"/>
    <w:rsid w:val="00157FA7"/>
    <w:rsid w:val="00160444"/>
    <w:rsid w:val="00160800"/>
    <w:rsid w:val="00160C3B"/>
    <w:rsid w:val="001612B4"/>
    <w:rsid w:val="00161855"/>
    <w:rsid w:val="00161B24"/>
    <w:rsid w:val="00162171"/>
    <w:rsid w:val="001626D8"/>
    <w:rsid w:val="00163126"/>
    <w:rsid w:val="001637EC"/>
    <w:rsid w:val="00163980"/>
    <w:rsid w:val="0016401D"/>
    <w:rsid w:val="00164149"/>
    <w:rsid w:val="00164576"/>
    <w:rsid w:val="00164D8E"/>
    <w:rsid w:val="00164FED"/>
    <w:rsid w:val="00165138"/>
    <w:rsid w:val="00165BA7"/>
    <w:rsid w:val="001660E1"/>
    <w:rsid w:val="00166111"/>
    <w:rsid w:val="001662FB"/>
    <w:rsid w:val="00166331"/>
    <w:rsid w:val="00166A5A"/>
    <w:rsid w:val="00166AB3"/>
    <w:rsid w:val="00166BCE"/>
    <w:rsid w:val="00167D34"/>
    <w:rsid w:val="00170496"/>
    <w:rsid w:val="00170D8B"/>
    <w:rsid w:val="00171586"/>
    <w:rsid w:val="00171931"/>
    <w:rsid w:val="00171FD8"/>
    <w:rsid w:val="00173A1C"/>
    <w:rsid w:val="00173C20"/>
    <w:rsid w:val="00174254"/>
    <w:rsid w:val="00174D9A"/>
    <w:rsid w:val="00174FDE"/>
    <w:rsid w:val="00175D74"/>
    <w:rsid w:val="00177074"/>
    <w:rsid w:val="00177DAB"/>
    <w:rsid w:val="00177F6D"/>
    <w:rsid w:val="00180472"/>
    <w:rsid w:val="00181437"/>
    <w:rsid w:val="00182E59"/>
    <w:rsid w:val="0018357B"/>
    <w:rsid w:val="00183696"/>
    <w:rsid w:val="00183F48"/>
    <w:rsid w:val="0018426D"/>
    <w:rsid w:val="00184479"/>
    <w:rsid w:val="001850B2"/>
    <w:rsid w:val="001858A6"/>
    <w:rsid w:val="00185E3B"/>
    <w:rsid w:val="00187867"/>
    <w:rsid w:val="00190084"/>
    <w:rsid w:val="0019045F"/>
    <w:rsid w:val="00190A53"/>
    <w:rsid w:val="00191B13"/>
    <w:rsid w:val="001930A8"/>
    <w:rsid w:val="001945DD"/>
    <w:rsid w:val="001946AD"/>
    <w:rsid w:val="00194ABC"/>
    <w:rsid w:val="001954D9"/>
    <w:rsid w:val="00196003"/>
    <w:rsid w:val="00196BE8"/>
    <w:rsid w:val="00197114"/>
    <w:rsid w:val="00197B00"/>
    <w:rsid w:val="00197F9F"/>
    <w:rsid w:val="001A06D6"/>
    <w:rsid w:val="001A087E"/>
    <w:rsid w:val="001A08C5"/>
    <w:rsid w:val="001A09F1"/>
    <w:rsid w:val="001A1C5E"/>
    <w:rsid w:val="001A1EAB"/>
    <w:rsid w:val="001A38AE"/>
    <w:rsid w:val="001A3CE3"/>
    <w:rsid w:val="001A3F65"/>
    <w:rsid w:val="001A42F1"/>
    <w:rsid w:val="001A4853"/>
    <w:rsid w:val="001A4F9B"/>
    <w:rsid w:val="001A52D7"/>
    <w:rsid w:val="001A600E"/>
    <w:rsid w:val="001A613C"/>
    <w:rsid w:val="001B02FB"/>
    <w:rsid w:val="001B12D8"/>
    <w:rsid w:val="001B3ABD"/>
    <w:rsid w:val="001B4037"/>
    <w:rsid w:val="001B4FD7"/>
    <w:rsid w:val="001B6B13"/>
    <w:rsid w:val="001B6D78"/>
    <w:rsid w:val="001B6DD3"/>
    <w:rsid w:val="001B6F6E"/>
    <w:rsid w:val="001B751D"/>
    <w:rsid w:val="001B7B7F"/>
    <w:rsid w:val="001B7BAE"/>
    <w:rsid w:val="001B7E5E"/>
    <w:rsid w:val="001B7E9D"/>
    <w:rsid w:val="001C0727"/>
    <w:rsid w:val="001C0AD3"/>
    <w:rsid w:val="001C0DFD"/>
    <w:rsid w:val="001C1019"/>
    <w:rsid w:val="001C16D5"/>
    <w:rsid w:val="001C1A46"/>
    <w:rsid w:val="001C1FEB"/>
    <w:rsid w:val="001C277D"/>
    <w:rsid w:val="001C29D9"/>
    <w:rsid w:val="001C2C40"/>
    <w:rsid w:val="001C2E5C"/>
    <w:rsid w:val="001C31A5"/>
    <w:rsid w:val="001C44A0"/>
    <w:rsid w:val="001C4590"/>
    <w:rsid w:val="001C57BE"/>
    <w:rsid w:val="001C679F"/>
    <w:rsid w:val="001C6998"/>
    <w:rsid w:val="001C7DFA"/>
    <w:rsid w:val="001D00B2"/>
    <w:rsid w:val="001D03AD"/>
    <w:rsid w:val="001D108A"/>
    <w:rsid w:val="001D129F"/>
    <w:rsid w:val="001D19DE"/>
    <w:rsid w:val="001D3365"/>
    <w:rsid w:val="001D365C"/>
    <w:rsid w:val="001D37D6"/>
    <w:rsid w:val="001D4316"/>
    <w:rsid w:val="001D43D2"/>
    <w:rsid w:val="001D4CEF"/>
    <w:rsid w:val="001D4EF4"/>
    <w:rsid w:val="001D4F71"/>
    <w:rsid w:val="001D54B8"/>
    <w:rsid w:val="001D5601"/>
    <w:rsid w:val="001D62E3"/>
    <w:rsid w:val="001D7264"/>
    <w:rsid w:val="001E0385"/>
    <w:rsid w:val="001E09F4"/>
    <w:rsid w:val="001E0FF9"/>
    <w:rsid w:val="001E1439"/>
    <w:rsid w:val="001E1A9B"/>
    <w:rsid w:val="001E2E47"/>
    <w:rsid w:val="001E3F14"/>
    <w:rsid w:val="001E3FC0"/>
    <w:rsid w:val="001E44E5"/>
    <w:rsid w:val="001E5629"/>
    <w:rsid w:val="001E63B1"/>
    <w:rsid w:val="001E647C"/>
    <w:rsid w:val="001E6ED1"/>
    <w:rsid w:val="001E6FFD"/>
    <w:rsid w:val="001E7B28"/>
    <w:rsid w:val="001E7F61"/>
    <w:rsid w:val="001F003B"/>
    <w:rsid w:val="001F0182"/>
    <w:rsid w:val="001F071F"/>
    <w:rsid w:val="001F090C"/>
    <w:rsid w:val="001F09E4"/>
    <w:rsid w:val="001F0A79"/>
    <w:rsid w:val="001F2190"/>
    <w:rsid w:val="001F24A9"/>
    <w:rsid w:val="001F2647"/>
    <w:rsid w:val="001F3CF8"/>
    <w:rsid w:val="001F3D24"/>
    <w:rsid w:val="001F3D59"/>
    <w:rsid w:val="001F41D6"/>
    <w:rsid w:val="001F4270"/>
    <w:rsid w:val="001F484B"/>
    <w:rsid w:val="001F4C87"/>
    <w:rsid w:val="001F5009"/>
    <w:rsid w:val="001F5142"/>
    <w:rsid w:val="001F5B01"/>
    <w:rsid w:val="001F5CED"/>
    <w:rsid w:val="001F5F24"/>
    <w:rsid w:val="001F634E"/>
    <w:rsid w:val="001F66F3"/>
    <w:rsid w:val="001F6A6E"/>
    <w:rsid w:val="001F7078"/>
    <w:rsid w:val="001F7207"/>
    <w:rsid w:val="00201EB0"/>
    <w:rsid w:val="002033E4"/>
    <w:rsid w:val="0020371F"/>
    <w:rsid w:val="0020381C"/>
    <w:rsid w:val="00203B66"/>
    <w:rsid w:val="00204AB6"/>
    <w:rsid w:val="00205827"/>
    <w:rsid w:val="002058D2"/>
    <w:rsid w:val="00205A2E"/>
    <w:rsid w:val="00205BD5"/>
    <w:rsid w:val="00206052"/>
    <w:rsid w:val="002069FC"/>
    <w:rsid w:val="00206E03"/>
    <w:rsid w:val="00206FBD"/>
    <w:rsid w:val="0020772F"/>
    <w:rsid w:val="0020781F"/>
    <w:rsid w:val="0021098E"/>
    <w:rsid w:val="00210B81"/>
    <w:rsid w:val="002126E9"/>
    <w:rsid w:val="00212CF9"/>
    <w:rsid w:val="00213E68"/>
    <w:rsid w:val="002143BD"/>
    <w:rsid w:val="00214E52"/>
    <w:rsid w:val="00215178"/>
    <w:rsid w:val="00215196"/>
    <w:rsid w:val="00215884"/>
    <w:rsid w:val="00215AED"/>
    <w:rsid w:val="00216E12"/>
    <w:rsid w:val="00217592"/>
    <w:rsid w:val="00220C31"/>
    <w:rsid w:val="00220CE0"/>
    <w:rsid w:val="002216AF"/>
    <w:rsid w:val="00223654"/>
    <w:rsid w:val="0022388A"/>
    <w:rsid w:val="00223B8B"/>
    <w:rsid w:val="00223CC8"/>
    <w:rsid w:val="00224EA0"/>
    <w:rsid w:val="00225FEC"/>
    <w:rsid w:val="00226097"/>
    <w:rsid w:val="002268F9"/>
    <w:rsid w:val="00226920"/>
    <w:rsid w:val="002269D9"/>
    <w:rsid w:val="002273BA"/>
    <w:rsid w:val="00227603"/>
    <w:rsid w:val="0022767E"/>
    <w:rsid w:val="002279AE"/>
    <w:rsid w:val="00227C13"/>
    <w:rsid w:val="00227CDE"/>
    <w:rsid w:val="00230522"/>
    <w:rsid w:val="00230931"/>
    <w:rsid w:val="00230EE0"/>
    <w:rsid w:val="00231F7F"/>
    <w:rsid w:val="00231FA2"/>
    <w:rsid w:val="002323BB"/>
    <w:rsid w:val="002323E1"/>
    <w:rsid w:val="00233BF9"/>
    <w:rsid w:val="002341EE"/>
    <w:rsid w:val="00234370"/>
    <w:rsid w:val="00234A05"/>
    <w:rsid w:val="00234D44"/>
    <w:rsid w:val="00234FC1"/>
    <w:rsid w:val="002355DF"/>
    <w:rsid w:val="00235C42"/>
    <w:rsid w:val="00236034"/>
    <w:rsid w:val="002369DD"/>
    <w:rsid w:val="00236D74"/>
    <w:rsid w:val="002370E6"/>
    <w:rsid w:val="00237288"/>
    <w:rsid w:val="00237727"/>
    <w:rsid w:val="002404CA"/>
    <w:rsid w:val="002446F9"/>
    <w:rsid w:val="00244971"/>
    <w:rsid w:val="002451D7"/>
    <w:rsid w:val="00247294"/>
    <w:rsid w:val="00247565"/>
    <w:rsid w:val="0024764C"/>
    <w:rsid w:val="002502FD"/>
    <w:rsid w:val="00250359"/>
    <w:rsid w:val="00251649"/>
    <w:rsid w:val="00251B5B"/>
    <w:rsid w:val="00252CF3"/>
    <w:rsid w:val="002541D2"/>
    <w:rsid w:val="00254BB7"/>
    <w:rsid w:val="00255295"/>
    <w:rsid w:val="00255630"/>
    <w:rsid w:val="002559BB"/>
    <w:rsid w:val="00255F3A"/>
    <w:rsid w:val="00256494"/>
    <w:rsid w:val="0025663A"/>
    <w:rsid w:val="00256C87"/>
    <w:rsid w:val="0025749A"/>
    <w:rsid w:val="00257ADE"/>
    <w:rsid w:val="00260C75"/>
    <w:rsid w:val="00261109"/>
    <w:rsid w:val="00261116"/>
    <w:rsid w:val="002618F9"/>
    <w:rsid w:val="00261C36"/>
    <w:rsid w:val="00261EC6"/>
    <w:rsid w:val="0026285B"/>
    <w:rsid w:val="00262A9E"/>
    <w:rsid w:val="00262AEE"/>
    <w:rsid w:val="00263325"/>
    <w:rsid w:val="002636E5"/>
    <w:rsid w:val="00263DBA"/>
    <w:rsid w:val="00265A2A"/>
    <w:rsid w:val="00265DB4"/>
    <w:rsid w:val="00266457"/>
    <w:rsid w:val="002668E2"/>
    <w:rsid w:val="00266EAF"/>
    <w:rsid w:val="00266F28"/>
    <w:rsid w:val="00267237"/>
    <w:rsid w:val="002679C6"/>
    <w:rsid w:val="0027040B"/>
    <w:rsid w:val="0027073B"/>
    <w:rsid w:val="00271723"/>
    <w:rsid w:val="00271E7F"/>
    <w:rsid w:val="00272679"/>
    <w:rsid w:val="0027273F"/>
    <w:rsid w:val="00272D0F"/>
    <w:rsid w:val="00272ED6"/>
    <w:rsid w:val="002742AF"/>
    <w:rsid w:val="00275931"/>
    <w:rsid w:val="00275B26"/>
    <w:rsid w:val="00275C76"/>
    <w:rsid w:val="00277460"/>
    <w:rsid w:val="002779DF"/>
    <w:rsid w:val="00277B83"/>
    <w:rsid w:val="002807A7"/>
    <w:rsid w:val="002809F6"/>
    <w:rsid w:val="00280E85"/>
    <w:rsid w:val="00282478"/>
    <w:rsid w:val="002828C2"/>
    <w:rsid w:val="00282FD5"/>
    <w:rsid w:val="0028354A"/>
    <w:rsid w:val="00283924"/>
    <w:rsid w:val="002840E9"/>
    <w:rsid w:val="002850DC"/>
    <w:rsid w:val="002853BD"/>
    <w:rsid w:val="00285A28"/>
    <w:rsid w:val="002869EA"/>
    <w:rsid w:val="002875DF"/>
    <w:rsid w:val="00287A25"/>
    <w:rsid w:val="0029025D"/>
    <w:rsid w:val="00290F9C"/>
    <w:rsid w:val="002911D1"/>
    <w:rsid w:val="002918E7"/>
    <w:rsid w:val="00291B05"/>
    <w:rsid w:val="00291FE8"/>
    <w:rsid w:val="00292749"/>
    <w:rsid w:val="00292776"/>
    <w:rsid w:val="0029286C"/>
    <w:rsid w:val="0029369A"/>
    <w:rsid w:val="0029424F"/>
    <w:rsid w:val="002946EB"/>
    <w:rsid w:val="00294DED"/>
    <w:rsid w:val="00296B42"/>
    <w:rsid w:val="0029759A"/>
    <w:rsid w:val="00297858"/>
    <w:rsid w:val="002A1C91"/>
    <w:rsid w:val="002A1F2E"/>
    <w:rsid w:val="002A25DD"/>
    <w:rsid w:val="002A3402"/>
    <w:rsid w:val="002A3B49"/>
    <w:rsid w:val="002A3BE9"/>
    <w:rsid w:val="002A3EB7"/>
    <w:rsid w:val="002A3ED3"/>
    <w:rsid w:val="002A41C9"/>
    <w:rsid w:val="002A46C2"/>
    <w:rsid w:val="002A4846"/>
    <w:rsid w:val="002A539F"/>
    <w:rsid w:val="002A5670"/>
    <w:rsid w:val="002A5B25"/>
    <w:rsid w:val="002A66E4"/>
    <w:rsid w:val="002A6F89"/>
    <w:rsid w:val="002A7365"/>
    <w:rsid w:val="002A775E"/>
    <w:rsid w:val="002A7A35"/>
    <w:rsid w:val="002B0168"/>
    <w:rsid w:val="002B04BD"/>
    <w:rsid w:val="002B1854"/>
    <w:rsid w:val="002B3463"/>
    <w:rsid w:val="002B34DF"/>
    <w:rsid w:val="002B3808"/>
    <w:rsid w:val="002B3866"/>
    <w:rsid w:val="002B3DED"/>
    <w:rsid w:val="002B3F1D"/>
    <w:rsid w:val="002B57BC"/>
    <w:rsid w:val="002B57E3"/>
    <w:rsid w:val="002B594B"/>
    <w:rsid w:val="002B5C54"/>
    <w:rsid w:val="002B5D7E"/>
    <w:rsid w:val="002B60B4"/>
    <w:rsid w:val="002B6923"/>
    <w:rsid w:val="002B6954"/>
    <w:rsid w:val="002B6A82"/>
    <w:rsid w:val="002B74F5"/>
    <w:rsid w:val="002C195A"/>
    <w:rsid w:val="002C1E44"/>
    <w:rsid w:val="002C2B41"/>
    <w:rsid w:val="002C3037"/>
    <w:rsid w:val="002C3069"/>
    <w:rsid w:val="002C344A"/>
    <w:rsid w:val="002C3ED1"/>
    <w:rsid w:val="002C4244"/>
    <w:rsid w:val="002C42F9"/>
    <w:rsid w:val="002C4A44"/>
    <w:rsid w:val="002C4A87"/>
    <w:rsid w:val="002C610E"/>
    <w:rsid w:val="002C6116"/>
    <w:rsid w:val="002C644A"/>
    <w:rsid w:val="002C6637"/>
    <w:rsid w:val="002C79FD"/>
    <w:rsid w:val="002C7D8C"/>
    <w:rsid w:val="002C7FD7"/>
    <w:rsid w:val="002D078C"/>
    <w:rsid w:val="002D08CD"/>
    <w:rsid w:val="002D09F2"/>
    <w:rsid w:val="002D1138"/>
    <w:rsid w:val="002D13D1"/>
    <w:rsid w:val="002D1C24"/>
    <w:rsid w:val="002D232D"/>
    <w:rsid w:val="002D3666"/>
    <w:rsid w:val="002D3DF0"/>
    <w:rsid w:val="002D433E"/>
    <w:rsid w:val="002D4BD7"/>
    <w:rsid w:val="002D55D0"/>
    <w:rsid w:val="002D6D63"/>
    <w:rsid w:val="002E0A99"/>
    <w:rsid w:val="002E0D6E"/>
    <w:rsid w:val="002E11CF"/>
    <w:rsid w:val="002E125D"/>
    <w:rsid w:val="002E143B"/>
    <w:rsid w:val="002E229D"/>
    <w:rsid w:val="002E2A39"/>
    <w:rsid w:val="002E34B5"/>
    <w:rsid w:val="002E397A"/>
    <w:rsid w:val="002E43EF"/>
    <w:rsid w:val="002E6287"/>
    <w:rsid w:val="002E6655"/>
    <w:rsid w:val="002E69DD"/>
    <w:rsid w:val="002E6A5E"/>
    <w:rsid w:val="002E6F76"/>
    <w:rsid w:val="002E7075"/>
    <w:rsid w:val="002E78B4"/>
    <w:rsid w:val="002F1B67"/>
    <w:rsid w:val="002F30C7"/>
    <w:rsid w:val="002F351D"/>
    <w:rsid w:val="002F581B"/>
    <w:rsid w:val="002F661B"/>
    <w:rsid w:val="002F6AB6"/>
    <w:rsid w:val="002F72C3"/>
    <w:rsid w:val="002F7576"/>
    <w:rsid w:val="002F7983"/>
    <w:rsid w:val="003002AA"/>
    <w:rsid w:val="003011D4"/>
    <w:rsid w:val="00301824"/>
    <w:rsid w:val="00301D82"/>
    <w:rsid w:val="00302E16"/>
    <w:rsid w:val="00303C6D"/>
    <w:rsid w:val="00304008"/>
    <w:rsid w:val="00304D37"/>
    <w:rsid w:val="00304DED"/>
    <w:rsid w:val="0030642A"/>
    <w:rsid w:val="003068C8"/>
    <w:rsid w:val="00306AF2"/>
    <w:rsid w:val="00306B27"/>
    <w:rsid w:val="00307103"/>
    <w:rsid w:val="00307198"/>
    <w:rsid w:val="00307D4C"/>
    <w:rsid w:val="003107FB"/>
    <w:rsid w:val="00310B23"/>
    <w:rsid w:val="00310C8E"/>
    <w:rsid w:val="00310D37"/>
    <w:rsid w:val="00310F88"/>
    <w:rsid w:val="003120F6"/>
    <w:rsid w:val="00312F90"/>
    <w:rsid w:val="0031335A"/>
    <w:rsid w:val="00313832"/>
    <w:rsid w:val="0031423C"/>
    <w:rsid w:val="00314ACB"/>
    <w:rsid w:val="00314E89"/>
    <w:rsid w:val="00316896"/>
    <w:rsid w:val="00317D2C"/>
    <w:rsid w:val="00320532"/>
    <w:rsid w:val="00321284"/>
    <w:rsid w:val="0032218B"/>
    <w:rsid w:val="00323146"/>
    <w:rsid w:val="00323232"/>
    <w:rsid w:val="0032375F"/>
    <w:rsid w:val="003237A0"/>
    <w:rsid w:val="003237A7"/>
    <w:rsid w:val="00323F45"/>
    <w:rsid w:val="00324114"/>
    <w:rsid w:val="003242AE"/>
    <w:rsid w:val="00325890"/>
    <w:rsid w:val="00325F26"/>
    <w:rsid w:val="003269B6"/>
    <w:rsid w:val="00326E89"/>
    <w:rsid w:val="0032729E"/>
    <w:rsid w:val="003273BC"/>
    <w:rsid w:val="003301EE"/>
    <w:rsid w:val="00330261"/>
    <w:rsid w:val="003305AD"/>
    <w:rsid w:val="003309C7"/>
    <w:rsid w:val="00330A6C"/>
    <w:rsid w:val="00330FC5"/>
    <w:rsid w:val="00331304"/>
    <w:rsid w:val="003314F4"/>
    <w:rsid w:val="003316D9"/>
    <w:rsid w:val="00332C34"/>
    <w:rsid w:val="00332E49"/>
    <w:rsid w:val="00333887"/>
    <w:rsid w:val="00333CB8"/>
    <w:rsid w:val="00333EC0"/>
    <w:rsid w:val="00335AC1"/>
    <w:rsid w:val="003361C3"/>
    <w:rsid w:val="003363B6"/>
    <w:rsid w:val="003369B2"/>
    <w:rsid w:val="00337356"/>
    <w:rsid w:val="00337881"/>
    <w:rsid w:val="00340039"/>
    <w:rsid w:val="0034036D"/>
    <w:rsid w:val="00340C77"/>
    <w:rsid w:val="0034103E"/>
    <w:rsid w:val="00341A55"/>
    <w:rsid w:val="00341C9E"/>
    <w:rsid w:val="00341FCC"/>
    <w:rsid w:val="00342183"/>
    <w:rsid w:val="00342F81"/>
    <w:rsid w:val="003433F2"/>
    <w:rsid w:val="0034350D"/>
    <w:rsid w:val="00343866"/>
    <w:rsid w:val="00344251"/>
    <w:rsid w:val="00344661"/>
    <w:rsid w:val="003449F3"/>
    <w:rsid w:val="00344BE6"/>
    <w:rsid w:val="00344E6E"/>
    <w:rsid w:val="00345585"/>
    <w:rsid w:val="00345833"/>
    <w:rsid w:val="0034585A"/>
    <w:rsid w:val="00345868"/>
    <w:rsid w:val="00345E13"/>
    <w:rsid w:val="00346576"/>
    <w:rsid w:val="003467FF"/>
    <w:rsid w:val="00346AD4"/>
    <w:rsid w:val="00347096"/>
    <w:rsid w:val="003471AB"/>
    <w:rsid w:val="00347389"/>
    <w:rsid w:val="00347487"/>
    <w:rsid w:val="00347B14"/>
    <w:rsid w:val="00347CD4"/>
    <w:rsid w:val="00350B48"/>
    <w:rsid w:val="00350D3C"/>
    <w:rsid w:val="00350E71"/>
    <w:rsid w:val="003539C5"/>
    <w:rsid w:val="00353D13"/>
    <w:rsid w:val="00354317"/>
    <w:rsid w:val="00355984"/>
    <w:rsid w:val="00355E0C"/>
    <w:rsid w:val="00356CB9"/>
    <w:rsid w:val="00356DBD"/>
    <w:rsid w:val="003577E2"/>
    <w:rsid w:val="003612C6"/>
    <w:rsid w:val="00361581"/>
    <w:rsid w:val="0036207F"/>
    <w:rsid w:val="00362D4D"/>
    <w:rsid w:val="00363A41"/>
    <w:rsid w:val="00363CAB"/>
    <w:rsid w:val="0036457B"/>
    <w:rsid w:val="00364B8E"/>
    <w:rsid w:val="00364F75"/>
    <w:rsid w:val="0036604D"/>
    <w:rsid w:val="00366A01"/>
    <w:rsid w:val="00366D96"/>
    <w:rsid w:val="00367490"/>
    <w:rsid w:val="00367593"/>
    <w:rsid w:val="0036783C"/>
    <w:rsid w:val="003678F3"/>
    <w:rsid w:val="00367995"/>
    <w:rsid w:val="0037047C"/>
    <w:rsid w:val="00370A9A"/>
    <w:rsid w:val="003736D8"/>
    <w:rsid w:val="00373766"/>
    <w:rsid w:val="00373A9A"/>
    <w:rsid w:val="00374651"/>
    <w:rsid w:val="00374850"/>
    <w:rsid w:val="00374E7E"/>
    <w:rsid w:val="003758EC"/>
    <w:rsid w:val="00375972"/>
    <w:rsid w:val="00375A3A"/>
    <w:rsid w:val="00375BB1"/>
    <w:rsid w:val="00375DA3"/>
    <w:rsid w:val="003761A5"/>
    <w:rsid w:val="003762DD"/>
    <w:rsid w:val="00376623"/>
    <w:rsid w:val="00376860"/>
    <w:rsid w:val="00376E14"/>
    <w:rsid w:val="00376EBD"/>
    <w:rsid w:val="003808DC"/>
    <w:rsid w:val="00381C05"/>
    <w:rsid w:val="003829C8"/>
    <w:rsid w:val="00382CAA"/>
    <w:rsid w:val="00383F19"/>
    <w:rsid w:val="00383F8E"/>
    <w:rsid w:val="003843C9"/>
    <w:rsid w:val="00384BF6"/>
    <w:rsid w:val="00384D00"/>
    <w:rsid w:val="0038519E"/>
    <w:rsid w:val="003854BE"/>
    <w:rsid w:val="0038592E"/>
    <w:rsid w:val="00385A8B"/>
    <w:rsid w:val="00385B13"/>
    <w:rsid w:val="003860BB"/>
    <w:rsid w:val="00386B8E"/>
    <w:rsid w:val="00386E2C"/>
    <w:rsid w:val="00386ED9"/>
    <w:rsid w:val="0038722B"/>
    <w:rsid w:val="00387842"/>
    <w:rsid w:val="00387CE2"/>
    <w:rsid w:val="003902A8"/>
    <w:rsid w:val="003902B9"/>
    <w:rsid w:val="00390450"/>
    <w:rsid w:val="00391104"/>
    <w:rsid w:val="003914DD"/>
    <w:rsid w:val="0039161C"/>
    <w:rsid w:val="0039234F"/>
    <w:rsid w:val="00392F33"/>
    <w:rsid w:val="00392FB6"/>
    <w:rsid w:val="0039349C"/>
    <w:rsid w:val="00393A23"/>
    <w:rsid w:val="00393A36"/>
    <w:rsid w:val="00393F1C"/>
    <w:rsid w:val="0039418E"/>
    <w:rsid w:val="0039420F"/>
    <w:rsid w:val="003947D5"/>
    <w:rsid w:val="0039498F"/>
    <w:rsid w:val="0039501E"/>
    <w:rsid w:val="00395B0B"/>
    <w:rsid w:val="003961A8"/>
    <w:rsid w:val="00396AD1"/>
    <w:rsid w:val="003976EB"/>
    <w:rsid w:val="00397C69"/>
    <w:rsid w:val="003A07D0"/>
    <w:rsid w:val="003A0C7D"/>
    <w:rsid w:val="003A165E"/>
    <w:rsid w:val="003A1EE9"/>
    <w:rsid w:val="003A39E7"/>
    <w:rsid w:val="003A4049"/>
    <w:rsid w:val="003A43AB"/>
    <w:rsid w:val="003A49D3"/>
    <w:rsid w:val="003A4AD1"/>
    <w:rsid w:val="003A5220"/>
    <w:rsid w:val="003A5CB4"/>
    <w:rsid w:val="003A6715"/>
    <w:rsid w:val="003A6B8C"/>
    <w:rsid w:val="003A74F1"/>
    <w:rsid w:val="003A76ED"/>
    <w:rsid w:val="003B028B"/>
    <w:rsid w:val="003B0760"/>
    <w:rsid w:val="003B1168"/>
    <w:rsid w:val="003B139B"/>
    <w:rsid w:val="003B24DE"/>
    <w:rsid w:val="003B2AC1"/>
    <w:rsid w:val="003B3BB7"/>
    <w:rsid w:val="003B5C36"/>
    <w:rsid w:val="003B60EA"/>
    <w:rsid w:val="003B61CC"/>
    <w:rsid w:val="003B6B3F"/>
    <w:rsid w:val="003B6C47"/>
    <w:rsid w:val="003B719C"/>
    <w:rsid w:val="003B75E5"/>
    <w:rsid w:val="003B7BEE"/>
    <w:rsid w:val="003B7E08"/>
    <w:rsid w:val="003C03A9"/>
    <w:rsid w:val="003C0623"/>
    <w:rsid w:val="003C094D"/>
    <w:rsid w:val="003C0EBA"/>
    <w:rsid w:val="003C16AC"/>
    <w:rsid w:val="003C1CE7"/>
    <w:rsid w:val="003C2B07"/>
    <w:rsid w:val="003C2D61"/>
    <w:rsid w:val="003C2DA1"/>
    <w:rsid w:val="003C306A"/>
    <w:rsid w:val="003C3092"/>
    <w:rsid w:val="003C37D0"/>
    <w:rsid w:val="003C381C"/>
    <w:rsid w:val="003C38F3"/>
    <w:rsid w:val="003C4AB0"/>
    <w:rsid w:val="003C4F35"/>
    <w:rsid w:val="003C6251"/>
    <w:rsid w:val="003C6257"/>
    <w:rsid w:val="003C6B87"/>
    <w:rsid w:val="003C6CAA"/>
    <w:rsid w:val="003C6D52"/>
    <w:rsid w:val="003C7311"/>
    <w:rsid w:val="003C798F"/>
    <w:rsid w:val="003C7B45"/>
    <w:rsid w:val="003C7C48"/>
    <w:rsid w:val="003C7CBB"/>
    <w:rsid w:val="003C7E9A"/>
    <w:rsid w:val="003D04F4"/>
    <w:rsid w:val="003D08A5"/>
    <w:rsid w:val="003D0FAD"/>
    <w:rsid w:val="003D16FB"/>
    <w:rsid w:val="003D22C7"/>
    <w:rsid w:val="003D23C0"/>
    <w:rsid w:val="003D251E"/>
    <w:rsid w:val="003D2F0E"/>
    <w:rsid w:val="003D35D4"/>
    <w:rsid w:val="003D383F"/>
    <w:rsid w:val="003D3D14"/>
    <w:rsid w:val="003D4E7D"/>
    <w:rsid w:val="003D4E91"/>
    <w:rsid w:val="003D6957"/>
    <w:rsid w:val="003D7010"/>
    <w:rsid w:val="003D7666"/>
    <w:rsid w:val="003D7C0F"/>
    <w:rsid w:val="003E009F"/>
    <w:rsid w:val="003E1565"/>
    <w:rsid w:val="003E2622"/>
    <w:rsid w:val="003E321B"/>
    <w:rsid w:val="003E3E73"/>
    <w:rsid w:val="003E4187"/>
    <w:rsid w:val="003E435C"/>
    <w:rsid w:val="003E4AC8"/>
    <w:rsid w:val="003E5306"/>
    <w:rsid w:val="003E554B"/>
    <w:rsid w:val="003E5877"/>
    <w:rsid w:val="003E6681"/>
    <w:rsid w:val="003E78E1"/>
    <w:rsid w:val="003E7CCF"/>
    <w:rsid w:val="003E7E3E"/>
    <w:rsid w:val="003F04F8"/>
    <w:rsid w:val="003F07E4"/>
    <w:rsid w:val="003F0A97"/>
    <w:rsid w:val="003F19D8"/>
    <w:rsid w:val="003F1AA2"/>
    <w:rsid w:val="003F2547"/>
    <w:rsid w:val="003F2C30"/>
    <w:rsid w:val="003F342D"/>
    <w:rsid w:val="003F3D7F"/>
    <w:rsid w:val="003F419B"/>
    <w:rsid w:val="003F4886"/>
    <w:rsid w:val="003F4A83"/>
    <w:rsid w:val="003F529B"/>
    <w:rsid w:val="003F53CC"/>
    <w:rsid w:val="003F5B67"/>
    <w:rsid w:val="003F69B8"/>
    <w:rsid w:val="003F6B2D"/>
    <w:rsid w:val="003F6D3B"/>
    <w:rsid w:val="003F776B"/>
    <w:rsid w:val="003F7F68"/>
    <w:rsid w:val="00400794"/>
    <w:rsid w:val="00400812"/>
    <w:rsid w:val="0040142A"/>
    <w:rsid w:val="004014E8"/>
    <w:rsid w:val="00401568"/>
    <w:rsid w:val="0040174E"/>
    <w:rsid w:val="00401A93"/>
    <w:rsid w:val="00402033"/>
    <w:rsid w:val="00402C2C"/>
    <w:rsid w:val="00402FC0"/>
    <w:rsid w:val="00403794"/>
    <w:rsid w:val="00403823"/>
    <w:rsid w:val="00403935"/>
    <w:rsid w:val="00403CDC"/>
    <w:rsid w:val="004042A9"/>
    <w:rsid w:val="00404A3B"/>
    <w:rsid w:val="00405DC7"/>
    <w:rsid w:val="00406699"/>
    <w:rsid w:val="00406CF2"/>
    <w:rsid w:val="0041083A"/>
    <w:rsid w:val="00410895"/>
    <w:rsid w:val="00410EE0"/>
    <w:rsid w:val="00411864"/>
    <w:rsid w:val="00411AAD"/>
    <w:rsid w:val="00413802"/>
    <w:rsid w:val="00413BB0"/>
    <w:rsid w:val="00414A56"/>
    <w:rsid w:val="00414DED"/>
    <w:rsid w:val="00415187"/>
    <w:rsid w:val="0041592A"/>
    <w:rsid w:val="004159B0"/>
    <w:rsid w:val="00415A4B"/>
    <w:rsid w:val="00415B2E"/>
    <w:rsid w:val="0041711F"/>
    <w:rsid w:val="00417660"/>
    <w:rsid w:val="00417AA1"/>
    <w:rsid w:val="00417CA2"/>
    <w:rsid w:val="00420510"/>
    <w:rsid w:val="0042105B"/>
    <w:rsid w:val="00421837"/>
    <w:rsid w:val="00421A99"/>
    <w:rsid w:val="00421B7B"/>
    <w:rsid w:val="00423465"/>
    <w:rsid w:val="00423912"/>
    <w:rsid w:val="00424230"/>
    <w:rsid w:val="004243C6"/>
    <w:rsid w:val="00424750"/>
    <w:rsid w:val="00424BAC"/>
    <w:rsid w:val="00424CCF"/>
    <w:rsid w:val="00425034"/>
    <w:rsid w:val="00425378"/>
    <w:rsid w:val="00425B0B"/>
    <w:rsid w:val="00425F08"/>
    <w:rsid w:val="00426336"/>
    <w:rsid w:val="00427958"/>
    <w:rsid w:val="004309F2"/>
    <w:rsid w:val="00430BE2"/>
    <w:rsid w:val="004313DE"/>
    <w:rsid w:val="004313FA"/>
    <w:rsid w:val="0043368E"/>
    <w:rsid w:val="004344CF"/>
    <w:rsid w:val="0043475C"/>
    <w:rsid w:val="00435803"/>
    <w:rsid w:val="00437137"/>
    <w:rsid w:val="00437C15"/>
    <w:rsid w:val="004411EB"/>
    <w:rsid w:val="00441410"/>
    <w:rsid w:val="00441828"/>
    <w:rsid w:val="00441997"/>
    <w:rsid w:val="0044331E"/>
    <w:rsid w:val="00443570"/>
    <w:rsid w:val="004441CD"/>
    <w:rsid w:val="00445E27"/>
    <w:rsid w:val="0044681B"/>
    <w:rsid w:val="00446B3C"/>
    <w:rsid w:val="004509ED"/>
    <w:rsid w:val="00452128"/>
    <w:rsid w:val="004526F3"/>
    <w:rsid w:val="00452C7E"/>
    <w:rsid w:val="00452DF9"/>
    <w:rsid w:val="00453015"/>
    <w:rsid w:val="00453D0F"/>
    <w:rsid w:val="004548C9"/>
    <w:rsid w:val="00454C1B"/>
    <w:rsid w:val="00454CDD"/>
    <w:rsid w:val="004550E0"/>
    <w:rsid w:val="00455251"/>
    <w:rsid w:val="00455517"/>
    <w:rsid w:val="00455950"/>
    <w:rsid w:val="004560FC"/>
    <w:rsid w:val="004563CF"/>
    <w:rsid w:val="004566C4"/>
    <w:rsid w:val="00456CBD"/>
    <w:rsid w:val="00457C6D"/>
    <w:rsid w:val="00457CD2"/>
    <w:rsid w:val="00457E64"/>
    <w:rsid w:val="00460186"/>
    <w:rsid w:val="004607AD"/>
    <w:rsid w:val="00461450"/>
    <w:rsid w:val="004615C0"/>
    <w:rsid w:val="0046191D"/>
    <w:rsid w:val="004633A7"/>
    <w:rsid w:val="00463B35"/>
    <w:rsid w:val="00465532"/>
    <w:rsid w:val="004656A3"/>
    <w:rsid w:val="00465C2B"/>
    <w:rsid w:val="004661BF"/>
    <w:rsid w:val="004678CD"/>
    <w:rsid w:val="004678FB"/>
    <w:rsid w:val="004704B8"/>
    <w:rsid w:val="0047170B"/>
    <w:rsid w:val="00471BFF"/>
    <w:rsid w:val="00471CF3"/>
    <w:rsid w:val="004726B0"/>
    <w:rsid w:val="004727E5"/>
    <w:rsid w:val="00472F8A"/>
    <w:rsid w:val="004731F9"/>
    <w:rsid w:val="0047338C"/>
    <w:rsid w:val="00474146"/>
    <w:rsid w:val="00474196"/>
    <w:rsid w:val="004751EF"/>
    <w:rsid w:val="00475257"/>
    <w:rsid w:val="004763D3"/>
    <w:rsid w:val="0047673D"/>
    <w:rsid w:val="00476962"/>
    <w:rsid w:val="004771D4"/>
    <w:rsid w:val="004779F2"/>
    <w:rsid w:val="004808A1"/>
    <w:rsid w:val="004811D2"/>
    <w:rsid w:val="004811E0"/>
    <w:rsid w:val="0048201F"/>
    <w:rsid w:val="004829CC"/>
    <w:rsid w:val="00482A2D"/>
    <w:rsid w:val="004838D6"/>
    <w:rsid w:val="00483C4A"/>
    <w:rsid w:val="00484574"/>
    <w:rsid w:val="00484653"/>
    <w:rsid w:val="004846C8"/>
    <w:rsid w:val="00484C9C"/>
    <w:rsid w:val="00485E2E"/>
    <w:rsid w:val="00486511"/>
    <w:rsid w:val="00486628"/>
    <w:rsid w:val="004869C8"/>
    <w:rsid w:val="00486BDB"/>
    <w:rsid w:val="00486E2A"/>
    <w:rsid w:val="004878A0"/>
    <w:rsid w:val="00487A12"/>
    <w:rsid w:val="00487E83"/>
    <w:rsid w:val="00487F60"/>
    <w:rsid w:val="0049026F"/>
    <w:rsid w:val="00491313"/>
    <w:rsid w:val="0049140B"/>
    <w:rsid w:val="00492480"/>
    <w:rsid w:val="00493100"/>
    <w:rsid w:val="00493A4E"/>
    <w:rsid w:val="0049452E"/>
    <w:rsid w:val="00494535"/>
    <w:rsid w:val="00494F47"/>
    <w:rsid w:val="004957C4"/>
    <w:rsid w:val="0049612C"/>
    <w:rsid w:val="004962E7"/>
    <w:rsid w:val="0049645B"/>
    <w:rsid w:val="004966B2"/>
    <w:rsid w:val="00496776"/>
    <w:rsid w:val="004969A3"/>
    <w:rsid w:val="00497185"/>
    <w:rsid w:val="004972EB"/>
    <w:rsid w:val="004978A7"/>
    <w:rsid w:val="00497BDB"/>
    <w:rsid w:val="004A1371"/>
    <w:rsid w:val="004A18AA"/>
    <w:rsid w:val="004A1AC3"/>
    <w:rsid w:val="004A234B"/>
    <w:rsid w:val="004A24AA"/>
    <w:rsid w:val="004A32BB"/>
    <w:rsid w:val="004A3370"/>
    <w:rsid w:val="004A3485"/>
    <w:rsid w:val="004A358F"/>
    <w:rsid w:val="004A3822"/>
    <w:rsid w:val="004A3E72"/>
    <w:rsid w:val="004A3F3E"/>
    <w:rsid w:val="004A435A"/>
    <w:rsid w:val="004A57DA"/>
    <w:rsid w:val="004A64BE"/>
    <w:rsid w:val="004A6C10"/>
    <w:rsid w:val="004A6D88"/>
    <w:rsid w:val="004A782B"/>
    <w:rsid w:val="004B01A7"/>
    <w:rsid w:val="004B0860"/>
    <w:rsid w:val="004B0D73"/>
    <w:rsid w:val="004B0E57"/>
    <w:rsid w:val="004B0F6D"/>
    <w:rsid w:val="004B117C"/>
    <w:rsid w:val="004B1C59"/>
    <w:rsid w:val="004B294C"/>
    <w:rsid w:val="004B29E0"/>
    <w:rsid w:val="004B2BAF"/>
    <w:rsid w:val="004B2BC0"/>
    <w:rsid w:val="004B3594"/>
    <w:rsid w:val="004B3C74"/>
    <w:rsid w:val="004B3D77"/>
    <w:rsid w:val="004B47E0"/>
    <w:rsid w:val="004B4AD2"/>
    <w:rsid w:val="004B5BD2"/>
    <w:rsid w:val="004B6BD1"/>
    <w:rsid w:val="004B74F8"/>
    <w:rsid w:val="004B7B1F"/>
    <w:rsid w:val="004B7F94"/>
    <w:rsid w:val="004C026C"/>
    <w:rsid w:val="004C1094"/>
    <w:rsid w:val="004C1875"/>
    <w:rsid w:val="004C22DC"/>
    <w:rsid w:val="004C27A7"/>
    <w:rsid w:val="004C2EDE"/>
    <w:rsid w:val="004C3216"/>
    <w:rsid w:val="004C4744"/>
    <w:rsid w:val="004C4891"/>
    <w:rsid w:val="004C4964"/>
    <w:rsid w:val="004C54CD"/>
    <w:rsid w:val="004C54D2"/>
    <w:rsid w:val="004C567F"/>
    <w:rsid w:val="004C5726"/>
    <w:rsid w:val="004C5A80"/>
    <w:rsid w:val="004C5FCE"/>
    <w:rsid w:val="004C6054"/>
    <w:rsid w:val="004C62A5"/>
    <w:rsid w:val="004C67FB"/>
    <w:rsid w:val="004C6C67"/>
    <w:rsid w:val="004C79E5"/>
    <w:rsid w:val="004C7C36"/>
    <w:rsid w:val="004D04D3"/>
    <w:rsid w:val="004D057F"/>
    <w:rsid w:val="004D0A76"/>
    <w:rsid w:val="004D0BE2"/>
    <w:rsid w:val="004D202F"/>
    <w:rsid w:val="004D2508"/>
    <w:rsid w:val="004D276B"/>
    <w:rsid w:val="004D2A29"/>
    <w:rsid w:val="004D2B5A"/>
    <w:rsid w:val="004D3D53"/>
    <w:rsid w:val="004D3E61"/>
    <w:rsid w:val="004D3F9F"/>
    <w:rsid w:val="004D4EA9"/>
    <w:rsid w:val="004D526C"/>
    <w:rsid w:val="004D52D8"/>
    <w:rsid w:val="004D54FD"/>
    <w:rsid w:val="004D64EE"/>
    <w:rsid w:val="004D6F82"/>
    <w:rsid w:val="004D72EE"/>
    <w:rsid w:val="004D7C5E"/>
    <w:rsid w:val="004D7F2C"/>
    <w:rsid w:val="004E0748"/>
    <w:rsid w:val="004E0BAB"/>
    <w:rsid w:val="004E121F"/>
    <w:rsid w:val="004E1308"/>
    <w:rsid w:val="004E14E3"/>
    <w:rsid w:val="004E1824"/>
    <w:rsid w:val="004E2540"/>
    <w:rsid w:val="004E2D07"/>
    <w:rsid w:val="004E3038"/>
    <w:rsid w:val="004E3088"/>
    <w:rsid w:val="004E3143"/>
    <w:rsid w:val="004E34C3"/>
    <w:rsid w:val="004E4048"/>
    <w:rsid w:val="004E43CF"/>
    <w:rsid w:val="004E6257"/>
    <w:rsid w:val="004E660E"/>
    <w:rsid w:val="004E6F1D"/>
    <w:rsid w:val="004E733A"/>
    <w:rsid w:val="004E7592"/>
    <w:rsid w:val="004E7802"/>
    <w:rsid w:val="004E79C2"/>
    <w:rsid w:val="004E7D0A"/>
    <w:rsid w:val="004F0559"/>
    <w:rsid w:val="004F06F6"/>
    <w:rsid w:val="004F1CE1"/>
    <w:rsid w:val="004F22C7"/>
    <w:rsid w:val="004F286B"/>
    <w:rsid w:val="004F3442"/>
    <w:rsid w:val="004F381E"/>
    <w:rsid w:val="004F494D"/>
    <w:rsid w:val="004F4AAC"/>
    <w:rsid w:val="004F5645"/>
    <w:rsid w:val="004F584D"/>
    <w:rsid w:val="004F5CD0"/>
    <w:rsid w:val="004F626C"/>
    <w:rsid w:val="004F6289"/>
    <w:rsid w:val="004F6733"/>
    <w:rsid w:val="004F76A8"/>
    <w:rsid w:val="0050088A"/>
    <w:rsid w:val="00500E76"/>
    <w:rsid w:val="00500F96"/>
    <w:rsid w:val="0050136B"/>
    <w:rsid w:val="00501BEB"/>
    <w:rsid w:val="00502206"/>
    <w:rsid w:val="00502354"/>
    <w:rsid w:val="00502610"/>
    <w:rsid w:val="005026D8"/>
    <w:rsid w:val="00502A2A"/>
    <w:rsid w:val="00502CCB"/>
    <w:rsid w:val="005032CE"/>
    <w:rsid w:val="005038C5"/>
    <w:rsid w:val="00504352"/>
    <w:rsid w:val="005047BE"/>
    <w:rsid w:val="00504CC8"/>
    <w:rsid w:val="00505844"/>
    <w:rsid w:val="00506B38"/>
    <w:rsid w:val="00506FB1"/>
    <w:rsid w:val="00507176"/>
    <w:rsid w:val="005074F0"/>
    <w:rsid w:val="0050755D"/>
    <w:rsid w:val="00507FC9"/>
    <w:rsid w:val="00510A4A"/>
    <w:rsid w:val="00511D72"/>
    <w:rsid w:val="00511E7B"/>
    <w:rsid w:val="00511FF4"/>
    <w:rsid w:val="005125D8"/>
    <w:rsid w:val="00513253"/>
    <w:rsid w:val="00514912"/>
    <w:rsid w:val="00514DDE"/>
    <w:rsid w:val="005154FC"/>
    <w:rsid w:val="00515992"/>
    <w:rsid w:val="00515A5D"/>
    <w:rsid w:val="005160F1"/>
    <w:rsid w:val="00516342"/>
    <w:rsid w:val="00516FA6"/>
    <w:rsid w:val="005176F9"/>
    <w:rsid w:val="00517B07"/>
    <w:rsid w:val="00517C1D"/>
    <w:rsid w:val="00517FAC"/>
    <w:rsid w:val="0052041D"/>
    <w:rsid w:val="00520B5F"/>
    <w:rsid w:val="00520C31"/>
    <w:rsid w:val="005217CD"/>
    <w:rsid w:val="00522260"/>
    <w:rsid w:val="00522331"/>
    <w:rsid w:val="00522884"/>
    <w:rsid w:val="005238CF"/>
    <w:rsid w:val="00523F72"/>
    <w:rsid w:val="005241E9"/>
    <w:rsid w:val="00524DC0"/>
    <w:rsid w:val="0052624F"/>
    <w:rsid w:val="0052725D"/>
    <w:rsid w:val="00530612"/>
    <w:rsid w:val="00530CEF"/>
    <w:rsid w:val="0053207A"/>
    <w:rsid w:val="00532421"/>
    <w:rsid w:val="0053271C"/>
    <w:rsid w:val="0053295F"/>
    <w:rsid w:val="00532C87"/>
    <w:rsid w:val="00532CAB"/>
    <w:rsid w:val="00532FFA"/>
    <w:rsid w:val="0053317B"/>
    <w:rsid w:val="0053358C"/>
    <w:rsid w:val="00533F96"/>
    <w:rsid w:val="005343A3"/>
    <w:rsid w:val="005343BA"/>
    <w:rsid w:val="0053460D"/>
    <w:rsid w:val="00534782"/>
    <w:rsid w:val="00534932"/>
    <w:rsid w:val="00534933"/>
    <w:rsid w:val="00534E31"/>
    <w:rsid w:val="005350BE"/>
    <w:rsid w:val="00535C6A"/>
    <w:rsid w:val="00535F64"/>
    <w:rsid w:val="00535FEF"/>
    <w:rsid w:val="00536215"/>
    <w:rsid w:val="0053635E"/>
    <w:rsid w:val="005367CF"/>
    <w:rsid w:val="005373FD"/>
    <w:rsid w:val="00537D47"/>
    <w:rsid w:val="00537E88"/>
    <w:rsid w:val="005400FA"/>
    <w:rsid w:val="005408F2"/>
    <w:rsid w:val="00540A50"/>
    <w:rsid w:val="00540D69"/>
    <w:rsid w:val="00541B41"/>
    <w:rsid w:val="00541E26"/>
    <w:rsid w:val="00541F2F"/>
    <w:rsid w:val="0054218B"/>
    <w:rsid w:val="00542843"/>
    <w:rsid w:val="005431E1"/>
    <w:rsid w:val="00543311"/>
    <w:rsid w:val="00543BD9"/>
    <w:rsid w:val="00543D98"/>
    <w:rsid w:val="0054535D"/>
    <w:rsid w:val="0054581A"/>
    <w:rsid w:val="00545CEA"/>
    <w:rsid w:val="00545EC4"/>
    <w:rsid w:val="00546174"/>
    <w:rsid w:val="005466C9"/>
    <w:rsid w:val="00546FB0"/>
    <w:rsid w:val="0054721D"/>
    <w:rsid w:val="00547280"/>
    <w:rsid w:val="00547985"/>
    <w:rsid w:val="00547B62"/>
    <w:rsid w:val="00550C96"/>
    <w:rsid w:val="00550D1E"/>
    <w:rsid w:val="0055115E"/>
    <w:rsid w:val="00551A4B"/>
    <w:rsid w:val="00552109"/>
    <w:rsid w:val="00552370"/>
    <w:rsid w:val="00552E93"/>
    <w:rsid w:val="00553184"/>
    <w:rsid w:val="00553308"/>
    <w:rsid w:val="00553C0C"/>
    <w:rsid w:val="00554475"/>
    <w:rsid w:val="00555746"/>
    <w:rsid w:val="00556A51"/>
    <w:rsid w:val="00556F77"/>
    <w:rsid w:val="00557456"/>
    <w:rsid w:val="00557852"/>
    <w:rsid w:val="00560342"/>
    <w:rsid w:val="00560B20"/>
    <w:rsid w:val="00561B8A"/>
    <w:rsid w:val="00562125"/>
    <w:rsid w:val="005624C4"/>
    <w:rsid w:val="00562D6E"/>
    <w:rsid w:val="005630F6"/>
    <w:rsid w:val="00563127"/>
    <w:rsid w:val="00563378"/>
    <w:rsid w:val="0056337F"/>
    <w:rsid w:val="005634DA"/>
    <w:rsid w:val="0056377F"/>
    <w:rsid w:val="005637EF"/>
    <w:rsid w:val="00563A6C"/>
    <w:rsid w:val="00563CEC"/>
    <w:rsid w:val="005640BD"/>
    <w:rsid w:val="00564962"/>
    <w:rsid w:val="00564AB9"/>
    <w:rsid w:val="00565263"/>
    <w:rsid w:val="0056644F"/>
    <w:rsid w:val="00566597"/>
    <w:rsid w:val="005670A6"/>
    <w:rsid w:val="0056746B"/>
    <w:rsid w:val="005676B3"/>
    <w:rsid w:val="00570243"/>
    <w:rsid w:val="00570ECB"/>
    <w:rsid w:val="005717EF"/>
    <w:rsid w:val="00571C3C"/>
    <w:rsid w:val="00572135"/>
    <w:rsid w:val="00572243"/>
    <w:rsid w:val="005725DE"/>
    <w:rsid w:val="005729A5"/>
    <w:rsid w:val="00573021"/>
    <w:rsid w:val="00573344"/>
    <w:rsid w:val="00575205"/>
    <w:rsid w:val="005766BB"/>
    <w:rsid w:val="005768E6"/>
    <w:rsid w:val="00576C9A"/>
    <w:rsid w:val="00576FDE"/>
    <w:rsid w:val="0057760B"/>
    <w:rsid w:val="0058105C"/>
    <w:rsid w:val="0058165D"/>
    <w:rsid w:val="0058296E"/>
    <w:rsid w:val="00582B89"/>
    <w:rsid w:val="00583008"/>
    <w:rsid w:val="0058339E"/>
    <w:rsid w:val="00583A14"/>
    <w:rsid w:val="00584408"/>
    <w:rsid w:val="00584E9A"/>
    <w:rsid w:val="00585288"/>
    <w:rsid w:val="005854FC"/>
    <w:rsid w:val="00585984"/>
    <w:rsid w:val="005862D9"/>
    <w:rsid w:val="0058676B"/>
    <w:rsid w:val="005867F6"/>
    <w:rsid w:val="005868DD"/>
    <w:rsid w:val="00586C4B"/>
    <w:rsid w:val="00587BB2"/>
    <w:rsid w:val="005902AB"/>
    <w:rsid w:val="00590BC1"/>
    <w:rsid w:val="00590DCD"/>
    <w:rsid w:val="005913A0"/>
    <w:rsid w:val="005913C4"/>
    <w:rsid w:val="0059166E"/>
    <w:rsid w:val="00591AED"/>
    <w:rsid w:val="00591CFF"/>
    <w:rsid w:val="005920D4"/>
    <w:rsid w:val="005925BB"/>
    <w:rsid w:val="00592825"/>
    <w:rsid w:val="005934D0"/>
    <w:rsid w:val="00593684"/>
    <w:rsid w:val="005936A5"/>
    <w:rsid w:val="0059459B"/>
    <w:rsid w:val="00594660"/>
    <w:rsid w:val="005946C3"/>
    <w:rsid w:val="00594A2D"/>
    <w:rsid w:val="0059506A"/>
    <w:rsid w:val="00595135"/>
    <w:rsid w:val="0059575D"/>
    <w:rsid w:val="00595769"/>
    <w:rsid w:val="00595795"/>
    <w:rsid w:val="00595858"/>
    <w:rsid w:val="0059608A"/>
    <w:rsid w:val="005960FC"/>
    <w:rsid w:val="00597268"/>
    <w:rsid w:val="0059753C"/>
    <w:rsid w:val="005A174A"/>
    <w:rsid w:val="005A1AFB"/>
    <w:rsid w:val="005A1B63"/>
    <w:rsid w:val="005A29D4"/>
    <w:rsid w:val="005A29E7"/>
    <w:rsid w:val="005A2AF2"/>
    <w:rsid w:val="005A2CE1"/>
    <w:rsid w:val="005A3168"/>
    <w:rsid w:val="005A39A8"/>
    <w:rsid w:val="005A4D03"/>
    <w:rsid w:val="005A4F40"/>
    <w:rsid w:val="005A54F9"/>
    <w:rsid w:val="005A55A8"/>
    <w:rsid w:val="005A6BCC"/>
    <w:rsid w:val="005A7E61"/>
    <w:rsid w:val="005A7F22"/>
    <w:rsid w:val="005B0686"/>
    <w:rsid w:val="005B06AB"/>
    <w:rsid w:val="005B1715"/>
    <w:rsid w:val="005B1C5B"/>
    <w:rsid w:val="005B26B5"/>
    <w:rsid w:val="005B29B3"/>
    <w:rsid w:val="005B2B96"/>
    <w:rsid w:val="005B5559"/>
    <w:rsid w:val="005B57FC"/>
    <w:rsid w:val="005B59B0"/>
    <w:rsid w:val="005C06F7"/>
    <w:rsid w:val="005C1344"/>
    <w:rsid w:val="005C1570"/>
    <w:rsid w:val="005C1D4C"/>
    <w:rsid w:val="005C2383"/>
    <w:rsid w:val="005C3E07"/>
    <w:rsid w:val="005C3FAB"/>
    <w:rsid w:val="005C44FA"/>
    <w:rsid w:val="005C45F1"/>
    <w:rsid w:val="005C4ACC"/>
    <w:rsid w:val="005C5EBE"/>
    <w:rsid w:val="005C5F7F"/>
    <w:rsid w:val="005C6105"/>
    <w:rsid w:val="005C7F53"/>
    <w:rsid w:val="005D0CD4"/>
    <w:rsid w:val="005D11C8"/>
    <w:rsid w:val="005D145A"/>
    <w:rsid w:val="005D1488"/>
    <w:rsid w:val="005D18BA"/>
    <w:rsid w:val="005D1EEC"/>
    <w:rsid w:val="005D242A"/>
    <w:rsid w:val="005D2CEC"/>
    <w:rsid w:val="005D2D16"/>
    <w:rsid w:val="005D2DCC"/>
    <w:rsid w:val="005D3259"/>
    <w:rsid w:val="005D3680"/>
    <w:rsid w:val="005D3B36"/>
    <w:rsid w:val="005D40F3"/>
    <w:rsid w:val="005D460F"/>
    <w:rsid w:val="005D51DD"/>
    <w:rsid w:val="005D53F0"/>
    <w:rsid w:val="005D5430"/>
    <w:rsid w:val="005D6D42"/>
    <w:rsid w:val="005D7526"/>
    <w:rsid w:val="005D7B9C"/>
    <w:rsid w:val="005D7F67"/>
    <w:rsid w:val="005E001E"/>
    <w:rsid w:val="005E0149"/>
    <w:rsid w:val="005E04C5"/>
    <w:rsid w:val="005E0695"/>
    <w:rsid w:val="005E090F"/>
    <w:rsid w:val="005E0C7F"/>
    <w:rsid w:val="005E0EAC"/>
    <w:rsid w:val="005E1D2D"/>
    <w:rsid w:val="005E1F50"/>
    <w:rsid w:val="005E2C0A"/>
    <w:rsid w:val="005E2D68"/>
    <w:rsid w:val="005E30EA"/>
    <w:rsid w:val="005E4224"/>
    <w:rsid w:val="005E46FC"/>
    <w:rsid w:val="005E5699"/>
    <w:rsid w:val="005E58DE"/>
    <w:rsid w:val="005E5D6D"/>
    <w:rsid w:val="005E5E5F"/>
    <w:rsid w:val="005E6E58"/>
    <w:rsid w:val="005E71CD"/>
    <w:rsid w:val="005E720C"/>
    <w:rsid w:val="005E72EB"/>
    <w:rsid w:val="005E758B"/>
    <w:rsid w:val="005E77F1"/>
    <w:rsid w:val="005F04E9"/>
    <w:rsid w:val="005F0F36"/>
    <w:rsid w:val="005F15B8"/>
    <w:rsid w:val="005F1C52"/>
    <w:rsid w:val="005F2358"/>
    <w:rsid w:val="005F2592"/>
    <w:rsid w:val="005F25AF"/>
    <w:rsid w:val="005F2CAB"/>
    <w:rsid w:val="005F2EA9"/>
    <w:rsid w:val="005F3709"/>
    <w:rsid w:val="005F38A4"/>
    <w:rsid w:val="005F3983"/>
    <w:rsid w:val="005F3C5E"/>
    <w:rsid w:val="005F42D7"/>
    <w:rsid w:val="005F604E"/>
    <w:rsid w:val="005F76BE"/>
    <w:rsid w:val="005F7959"/>
    <w:rsid w:val="005F7BEC"/>
    <w:rsid w:val="0060002A"/>
    <w:rsid w:val="00600133"/>
    <w:rsid w:val="006003E6"/>
    <w:rsid w:val="00600F59"/>
    <w:rsid w:val="00602344"/>
    <w:rsid w:val="00602753"/>
    <w:rsid w:val="006028EB"/>
    <w:rsid w:val="00603230"/>
    <w:rsid w:val="00603634"/>
    <w:rsid w:val="00603769"/>
    <w:rsid w:val="00603BC2"/>
    <w:rsid w:val="00603FF9"/>
    <w:rsid w:val="00604C17"/>
    <w:rsid w:val="00605192"/>
    <w:rsid w:val="006058DE"/>
    <w:rsid w:val="00606878"/>
    <w:rsid w:val="00607CFC"/>
    <w:rsid w:val="00610649"/>
    <w:rsid w:val="00610B1A"/>
    <w:rsid w:val="00610CD3"/>
    <w:rsid w:val="006119CD"/>
    <w:rsid w:val="006119FC"/>
    <w:rsid w:val="00611B80"/>
    <w:rsid w:val="0061210B"/>
    <w:rsid w:val="006123BC"/>
    <w:rsid w:val="00612CCD"/>
    <w:rsid w:val="00612FBB"/>
    <w:rsid w:val="006138BE"/>
    <w:rsid w:val="0061394F"/>
    <w:rsid w:val="0061397E"/>
    <w:rsid w:val="006140BF"/>
    <w:rsid w:val="0061447D"/>
    <w:rsid w:val="006147CF"/>
    <w:rsid w:val="006153C3"/>
    <w:rsid w:val="00616742"/>
    <w:rsid w:val="00616DCF"/>
    <w:rsid w:val="0061727A"/>
    <w:rsid w:val="0061773D"/>
    <w:rsid w:val="00617CAA"/>
    <w:rsid w:val="00620176"/>
    <w:rsid w:val="00620AA4"/>
    <w:rsid w:val="00620CE4"/>
    <w:rsid w:val="00620D34"/>
    <w:rsid w:val="00621595"/>
    <w:rsid w:val="0062211A"/>
    <w:rsid w:val="00624102"/>
    <w:rsid w:val="00625019"/>
    <w:rsid w:val="006251DB"/>
    <w:rsid w:val="00625B7B"/>
    <w:rsid w:val="00625F12"/>
    <w:rsid w:val="00626D43"/>
    <w:rsid w:val="00627780"/>
    <w:rsid w:val="006300C8"/>
    <w:rsid w:val="00630471"/>
    <w:rsid w:val="00630BEB"/>
    <w:rsid w:val="00631C2E"/>
    <w:rsid w:val="00633422"/>
    <w:rsid w:val="00634305"/>
    <w:rsid w:val="00634362"/>
    <w:rsid w:val="00634438"/>
    <w:rsid w:val="00634F4B"/>
    <w:rsid w:val="006356FB"/>
    <w:rsid w:val="006359B5"/>
    <w:rsid w:val="00635C81"/>
    <w:rsid w:val="00636252"/>
    <w:rsid w:val="00636ABB"/>
    <w:rsid w:val="0063720B"/>
    <w:rsid w:val="00637240"/>
    <w:rsid w:val="00637669"/>
    <w:rsid w:val="006379C1"/>
    <w:rsid w:val="00637EAA"/>
    <w:rsid w:val="00640141"/>
    <w:rsid w:val="006403FB"/>
    <w:rsid w:val="00640700"/>
    <w:rsid w:val="006424F0"/>
    <w:rsid w:val="006425DE"/>
    <w:rsid w:val="006427A0"/>
    <w:rsid w:val="00642A70"/>
    <w:rsid w:val="006431C1"/>
    <w:rsid w:val="00643374"/>
    <w:rsid w:val="00643959"/>
    <w:rsid w:val="00643A27"/>
    <w:rsid w:val="00643E42"/>
    <w:rsid w:val="0064409A"/>
    <w:rsid w:val="0064461A"/>
    <w:rsid w:val="00644B8D"/>
    <w:rsid w:val="00645FB9"/>
    <w:rsid w:val="006462F9"/>
    <w:rsid w:val="006469CE"/>
    <w:rsid w:val="00646A55"/>
    <w:rsid w:val="00646BED"/>
    <w:rsid w:val="006479A1"/>
    <w:rsid w:val="00647B52"/>
    <w:rsid w:val="00647F91"/>
    <w:rsid w:val="006503F5"/>
    <w:rsid w:val="006509BD"/>
    <w:rsid w:val="0065103A"/>
    <w:rsid w:val="006516F0"/>
    <w:rsid w:val="00651B9B"/>
    <w:rsid w:val="006529C6"/>
    <w:rsid w:val="006541A4"/>
    <w:rsid w:val="006546D9"/>
    <w:rsid w:val="006548C2"/>
    <w:rsid w:val="00654F28"/>
    <w:rsid w:val="00655CC3"/>
    <w:rsid w:val="00655EF3"/>
    <w:rsid w:val="006564E0"/>
    <w:rsid w:val="0065714D"/>
    <w:rsid w:val="00660AFD"/>
    <w:rsid w:val="006610B4"/>
    <w:rsid w:val="00661318"/>
    <w:rsid w:val="006615A5"/>
    <w:rsid w:val="00661848"/>
    <w:rsid w:val="006621E6"/>
    <w:rsid w:val="0066290B"/>
    <w:rsid w:val="00662B48"/>
    <w:rsid w:val="00662B8C"/>
    <w:rsid w:val="006636C9"/>
    <w:rsid w:val="006640CB"/>
    <w:rsid w:val="0066446A"/>
    <w:rsid w:val="00664744"/>
    <w:rsid w:val="00665790"/>
    <w:rsid w:val="00665A08"/>
    <w:rsid w:val="00666471"/>
    <w:rsid w:val="0066745D"/>
    <w:rsid w:val="00667558"/>
    <w:rsid w:val="00670D69"/>
    <w:rsid w:val="00671016"/>
    <w:rsid w:val="0067133E"/>
    <w:rsid w:val="00671DAA"/>
    <w:rsid w:val="00671EF3"/>
    <w:rsid w:val="00672553"/>
    <w:rsid w:val="00672999"/>
    <w:rsid w:val="0067354D"/>
    <w:rsid w:val="00673B0D"/>
    <w:rsid w:val="006743EC"/>
    <w:rsid w:val="00674454"/>
    <w:rsid w:val="006748DA"/>
    <w:rsid w:val="00675F09"/>
    <w:rsid w:val="00676171"/>
    <w:rsid w:val="006761BC"/>
    <w:rsid w:val="00676267"/>
    <w:rsid w:val="00676534"/>
    <w:rsid w:val="006765F7"/>
    <w:rsid w:val="006771AF"/>
    <w:rsid w:val="00677AC6"/>
    <w:rsid w:val="00677CC2"/>
    <w:rsid w:val="0068124A"/>
    <w:rsid w:val="0068138D"/>
    <w:rsid w:val="0068168A"/>
    <w:rsid w:val="00682578"/>
    <w:rsid w:val="006829A2"/>
    <w:rsid w:val="006835B4"/>
    <w:rsid w:val="00683A0C"/>
    <w:rsid w:val="0068441C"/>
    <w:rsid w:val="00684B59"/>
    <w:rsid w:val="00684CFD"/>
    <w:rsid w:val="00684F37"/>
    <w:rsid w:val="006850E7"/>
    <w:rsid w:val="0068628C"/>
    <w:rsid w:val="00686710"/>
    <w:rsid w:val="00687467"/>
    <w:rsid w:val="006874CE"/>
    <w:rsid w:val="0068788D"/>
    <w:rsid w:val="00687B83"/>
    <w:rsid w:val="00687FF4"/>
    <w:rsid w:val="00691682"/>
    <w:rsid w:val="00691733"/>
    <w:rsid w:val="00691977"/>
    <w:rsid w:val="00692203"/>
    <w:rsid w:val="0069257D"/>
    <w:rsid w:val="00693233"/>
    <w:rsid w:val="00694767"/>
    <w:rsid w:val="0069491B"/>
    <w:rsid w:val="00695FF1"/>
    <w:rsid w:val="006963C2"/>
    <w:rsid w:val="0069696C"/>
    <w:rsid w:val="00696B47"/>
    <w:rsid w:val="006971B0"/>
    <w:rsid w:val="0069768D"/>
    <w:rsid w:val="006A0CBC"/>
    <w:rsid w:val="006A0F91"/>
    <w:rsid w:val="006A10D2"/>
    <w:rsid w:val="006A12A4"/>
    <w:rsid w:val="006A1FCC"/>
    <w:rsid w:val="006A2222"/>
    <w:rsid w:val="006A27EB"/>
    <w:rsid w:val="006A33BA"/>
    <w:rsid w:val="006A3DF7"/>
    <w:rsid w:val="006A4192"/>
    <w:rsid w:val="006A48DB"/>
    <w:rsid w:val="006A4C0C"/>
    <w:rsid w:val="006A5296"/>
    <w:rsid w:val="006A5BA5"/>
    <w:rsid w:val="006A5EBB"/>
    <w:rsid w:val="006A6205"/>
    <w:rsid w:val="006A675B"/>
    <w:rsid w:val="006A6B78"/>
    <w:rsid w:val="006A714E"/>
    <w:rsid w:val="006A7B8F"/>
    <w:rsid w:val="006A7D07"/>
    <w:rsid w:val="006A7F8B"/>
    <w:rsid w:val="006B0348"/>
    <w:rsid w:val="006B1092"/>
    <w:rsid w:val="006B1B4B"/>
    <w:rsid w:val="006B2D0F"/>
    <w:rsid w:val="006B2E4A"/>
    <w:rsid w:val="006B3596"/>
    <w:rsid w:val="006B3A05"/>
    <w:rsid w:val="006B3BEB"/>
    <w:rsid w:val="006B41B6"/>
    <w:rsid w:val="006B48C1"/>
    <w:rsid w:val="006B4A53"/>
    <w:rsid w:val="006B4CCF"/>
    <w:rsid w:val="006B6547"/>
    <w:rsid w:val="006B66BF"/>
    <w:rsid w:val="006B6A79"/>
    <w:rsid w:val="006B6C88"/>
    <w:rsid w:val="006B7286"/>
    <w:rsid w:val="006B7478"/>
    <w:rsid w:val="006B7BD1"/>
    <w:rsid w:val="006B7EC8"/>
    <w:rsid w:val="006C1E76"/>
    <w:rsid w:val="006C1EC6"/>
    <w:rsid w:val="006C1FD7"/>
    <w:rsid w:val="006C2109"/>
    <w:rsid w:val="006C2CCD"/>
    <w:rsid w:val="006C3033"/>
    <w:rsid w:val="006C4534"/>
    <w:rsid w:val="006C599F"/>
    <w:rsid w:val="006C5B62"/>
    <w:rsid w:val="006C5E93"/>
    <w:rsid w:val="006C646D"/>
    <w:rsid w:val="006C7085"/>
    <w:rsid w:val="006C7A4F"/>
    <w:rsid w:val="006D12E9"/>
    <w:rsid w:val="006D1307"/>
    <w:rsid w:val="006D13C2"/>
    <w:rsid w:val="006D1CF2"/>
    <w:rsid w:val="006D3389"/>
    <w:rsid w:val="006D37B2"/>
    <w:rsid w:val="006D3AF8"/>
    <w:rsid w:val="006D45D3"/>
    <w:rsid w:val="006D4903"/>
    <w:rsid w:val="006D49D0"/>
    <w:rsid w:val="006D5B7C"/>
    <w:rsid w:val="006D64E0"/>
    <w:rsid w:val="006D64FD"/>
    <w:rsid w:val="006D6C92"/>
    <w:rsid w:val="006D749F"/>
    <w:rsid w:val="006D7CE8"/>
    <w:rsid w:val="006E04FD"/>
    <w:rsid w:val="006E05E9"/>
    <w:rsid w:val="006E0AC6"/>
    <w:rsid w:val="006E2360"/>
    <w:rsid w:val="006E2DE6"/>
    <w:rsid w:val="006E3818"/>
    <w:rsid w:val="006E3E10"/>
    <w:rsid w:val="006E3F72"/>
    <w:rsid w:val="006E3FA7"/>
    <w:rsid w:val="006E58FA"/>
    <w:rsid w:val="006E6090"/>
    <w:rsid w:val="006E67F7"/>
    <w:rsid w:val="006E6EBB"/>
    <w:rsid w:val="006E72B1"/>
    <w:rsid w:val="006E74F0"/>
    <w:rsid w:val="006F010D"/>
    <w:rsid w:val="006F0EE1"/>
    <w:rsid w:val="006F1182"/>
    <w:rsid w:val="006F1441"/>
    <w:rsid w:val="006F1631"/>
    <w:rsid w:val="006F18B2"/>
    <w:rsid w:val="006F1900"/>
    <w:rsid w:val="006F19D2"/>
    <w:rsid w:val="006F2F15"/>
    <w:rsid w:val="006F376D"/>
    <w:rsid w:val="006F4037"/>
    <w:rsid w:val="006F4202"/>
    <w:rsid w:val="006F49BF"/>
    <w:rsid w:val="006F53FF"/>
    <w:rsid w:val="006F5646"/>
    <w:rsid w:val="006F56E4"/>
    <w:rsid w:val="006F5CF1"/>
    <w:rsid w:val="006F5E0D"/>
    <w:rsid w:val="006F612B"/>
    <w:rsid w:val="006F6AC0"/>
    <w:rsid w:val="006F7045"/>
    <w:rsid w:val="006F7053"/>
    <w:rsid w:val="006F7962"/>
    <w:rsid w:val="007000CF"/>
    <w:rsid w:val="0070118D"/>
    <w:rsid w:val="00701297"/>
    <w:rsid w:val="00703855"/>
    <w:rsid w:val="007043AE"/>
    <w:rsid w:val="0070478F"/>
    <w:rsid w:val="00704A81"/>
    <w:rsid w:val="00704FEB"/>
    <w:rsid w:val="00705756"/>
    <w:rsid w:val="00705C05"/>
    <w:rsid w:val="00706CDA"/>
    <w:rsid w:val="00707CE1"/>
    <w:rsid w:val="00707FE4"/>
    <w:rsid w:val="0071075F"/>
    <w:rsid w:val="007109CA"/>
    <w:rsid w:val="0071115F"/>
    <w:rsid w:val="00711AE1"/>
    <w:rsid w:val="00711B2A"/>
    <w:rsid w:val="007120C1"/>
    <w:rsid w:val="00712972"/>
    <w:rsid w:val="00712C17"/>
    <w:rsid w:val="00714780"/>
    <w:rsid w:val="00714931"/>
    <w:rsid w:val="007150FA"/>
    <w:rsid w:val="00716120"/>
    <w:rsid w:val="00716624"/>
    <w:rsid w:val="007172E4"/>
    <w:rsid w:val="00717523"/>
    <w:rsid w:val="00717584"/>
    <w:rsid w:val="00717CE3"/>
    <w:rsid w:val="00717F24"/>
    <w:rsid w:val="007205AD"/>
    <w:rsid w:val="00720890"/>
    <w:rsid w:val="00720DBB"/>
    <w:rsid w:val="00720F58"/>
    <w:rsid w:val="00721070"/>
    <w:rsid w:val="0072164E"/>
    <w:rsid w:val="00722437"/>
    <w:rsid w:val="00722B2A"/>
    <w:rsid w:val="00723B31"/>
    <w:rsid w:val="00723F33"/>
    <w:rsid w:val="007240BC"/>
    <w:rsid w:val="007242CB"/>
    <w:rsid w:val="00724383"/>
    <w:rsid w:val="00724B06"/>
    <w:rsid w:val="007259B3"/>
    <w:rsid w:val="007265BF"/>
    <w:rsid w:val="00726D55"/>
    <w:rsid w:val="00727542"/>
    <w:rsid w:val="007275F9"/>
    <w:rsid w:val="007276CD"/>
    <w:rsid w:val="00727A59"/>
    <w:rsid w:val="00727D4A"/>
    <w:rsid w:val="00727F1C"/>
    <w:rsid w:val="007304E3"/>
    <w:rsid w:val="00730F43"/>
    <w:rsid w:val="00730F60"/>
    <w:rsid w:val="0073113E"/>
    <w:rsid w:val="00731E4C"/>
    <w:rsid w:val="00732689"/>
    <w:rsid w:val="0073396A"/>
    <w:rsid w:val="00733C40"/>
    <w:rsid w:val="00733E61"/>
    <w:rsid w:val="007342A0"/>
    <w:rsid w:val="00734537"/>
    <w:rsid w:val="00734D84"/>
    <w:rsid w:val="00734E4C"/>
    <w:rsid w:val="00735020"/>
    <w:rsid w:val="00735209"/>
    <w:rsid w:val="00735B22"/>
    <w:rsid w:val="007362AD"/>
    <w:rsid w:val="00736FD1"/>
    <w:rsid w:val="00737075"/>
    <w:rsid w:val="00737AA0"/>
    <w:rsid w:val="00737DB7"/>
    <w:rsid w:val="00740921"/>
    <w:rsid w:val="00740FAE"/>
    <w:rsid w:val="00741325"/>
    <w:rsid w:val="0074161B"/>
    <w:rsid w:val="0074207D"/>
    <w:rsid w:val="00742540"/>
    <w:rsid w:val="0074287E"/>
    <w:rsid w:val="007429F0"/>
    <w:rsid w:val="00743209"/>
    <w:rsid w:val="0074346C"/>
    <w:rsid w:val="007436C2"/>
    <w:rsid w:val="007436E8"/>
    <w:rsid w:val="007445F8"/>
    <w:rsid w:val="0074503B"/>
    <w:rsid w:val="0074601B"/>
    <w:rsid w:val="00746370"/>
    <w:rsid w:val="007463D2"/>
    <w:rsid w:val="007465FB"/>
    <w:rsid w:val="0074705E"/>
    <w:rsid w:val="007470CC"/>
    <w:rsid w:val="0074759B"/>
    <w:rsid w:val="00747BC2"/>
    <w:rsid w:val="00747FB9"/>
    <w:rsid w:val="00752525"/>
    <w:rsid w:val="007526CE"/>
    <w:rsid w:val="00752779"/>
    <w:rsid w:val="007529EC"/>
    <w:rsid w:val="00753745"/>
    <w:rsid w:val="00753F7D"/>
    <w:rsid w:val="007540C5"/>
    <w:rsid w:val="00754FE8"/>
    <w:rsid w:val="007552C9"/>
    <w:rsid w:val="007556EE"/>
    <w:rsid w:val="007562DF"/>
    <w:rsid w:val="00756662"/>
    <w:rsid w:val="00756943"/>
    <w:rsid w:val="00756B98"/>
    <w:rsid w:val="00756CFA"/>
    <w:rsid w:val="007570E5"/>
    <w:rsid w:val="00757A24"/>
    <w:rsid w:val="00757AFF"/>
    <w:rsid w:val="00757D4E"/>
    <w:rsid w:val="007601A7"/>
    <w:rsid w:val="00760F4F"/>
    <w:rsid w:val="00760F6D"/>
    <w:rsid w:val="00761672"/>
    <w:rsid w:val="00762765"/>
    <w:rsid w:val="007627F7"/>
    <w:rsid w:val="00762805"/>
    <w:rsid w:val="007640D6"/>
    <w:rsid w:val="007653DC"/>
    <w:rsid w:val="00765C85"/>
    <w:rsid w:val="00765C8A"/>
    <w:rsid w:val="00765EAA"/>
    <w:rsid w:val="007662FE"/>
    <w:rsid w:val="007675E4"/>
    <w:rsid w:val="00767BD6"/>
    <w:rsid w:val="00767F67"/>
    <w:rsid w:val="00770423"/>
    <w:rsid w:val="00770A7D"/>
    <w:rsid w:val="0077182C"/>
    <w:rsid w:val="007718DD"/>
    <w:rsid w:val="00771C2A"/>
    <w:rsid w:val="00771DC0"/>
    <w:rsid w:val="00772FF3"/>
    <w:rsid w:val="00773F85"/>
    <w:rsid w:val="00776B8D"/>
    <w:rsid w:val="0077715D"/>
    <w:rsid w:val="00777241"/>
    <w:rsid w:val="007776B2"/>
    <w:rsid w:val="00777FEE"/>
    <w:rsid w:val="00780320"/>
    <w:rsid w:val="0078073E"/>
    <w:rsid w:val="00781E45"/>
    <w:rsid w:val="007822EC"/>
    <w:rsid w:val="00782312"/>
    <w:rsid w:val="00783193"/>
    <w:rsid w:val="00783DE0"/>
    <w:rsid w:val="007843B0"/>
    <w:rsid w:val="007845CC"/>
    <w:rsid w:val="0078468F"/>
    <w:rsid w:val="00784B56"/>
    <w:rsid w:val="00784EBE"/>
    <w:rsid w:val="007852B2"/>
    <w:rsid w:val="00785E0D"/>
    <w:rsid w:val="007860A0"/>
    <w:rsid w:val="00786FBC"/>
    <w:rsid w:val="0079013C"/>
    <w:rsid w:val="007901DA"/>
    <w:rsid w:val="00790818"/>
    <w:rsid w:val="00790946"/>
    <w:rsid w:val="00790DCA"/>
    <w:rsid w:val="007916C9"/>
    <w:rsid w:val="00791778"/>
    <w:rsid w:val="00792298"/>
    <w:rsid w:val="0079307C"/>
    <w:rsid w:val="00793831"/>
    <w:rsid w:val="00793E4B"/>
    <w:rsid w:val="00793E5F"/>
    <w:rsid w:val="00793FC9"/>
    <w:rsid w:val="007941D6"/>
    <w:rsid w:val="00795884"/>
    <w:rsid w:val="00796AAF"/>
    <w:rsid w:val="00796C3E"/>
    <w:rsid w:val="00797068"/>
    <w:rsid w:val="007975E6"/>
    <w:rsid w:val="00797909"/>
    <w:rsid w:val="007A0124"/>
    <w:rsid w:val="007A0896"/>
    <w:rsid w:val="007A206B"/>
    <w:rsid w:val="007A2AE2"/>
    <w:rsid w:val="007A30F5"/>
    <w:rsid w:val="007A3323"/>
    <w:rsid w:val="007A3390"/>
    <w:rsid w:val="007A3820"/>
    <w:rsid w:val="007A3C8E"/>
    <w:rsid w:val="007A4605"/>
    <w:rsid w:val="007A51D2"/>
    <w:rsid w:val="007A6089"/>
    <w:rsid w:val="007A64EC"/>
    <w:rsid w:val="007A6C3C"/>
    <w:rsid w:val="007A718D"/>
    <w:rsid w:val="007A7243"/>
    <w:rsid w:val="007A77EA"/>
    <w:rsid w:val="007B0306"/>
    <w:rsid w:val="007B0B5E"/>
    <w:rsid w:val="007B0D3D"/>
    <w:rsid w:val="007B114E"/>
    <w:rsid w:val="007B1F83"/>
    <w:rsid w:val="007B2059"/>
    <w:rsid w:val="007B2287"/>
    <w:rsid w:val="007B26B7"/>
    <w:rsid w:val="007B2A36"/>
    <w:rsid w:val="007B2C34"/>
    <w:rsid w:val="007B3255"/>
    <w:rsid w:val="007B426B"/>
    <w:rsid w:val="007B5681"/>
    <w:rsid w:val="007B5905"/>
    <w:rsid w:val="007B598E"/>
    <w:rsid w:val="007B64DD"/>
    <w:rsid w:val="007B6605"/>
    <w:rsid w:val="007B66A4"/>
    <w:rsid w:val="007B66CC"/>
    <w:rsid w:val="007B6B37"/>
    <w:rsid w:val="007B714B"/>
    <w:rsid w:val="007B76D9"/>
    <w:rsid w:val="007C0155"/>
    <w:rsid w:val="007C01D7"/>
    <w:rsid w:val="007C2627"/>
    <w:rsid w:val="007C2837"/>
    <w:rsid w:val="007C2BBF"/>
    <w:rsid w:val="007C40F4"/>
    <w:rsid w:val="007C477A"/>
    <w:rsid w:val="007C49F8"/>
    <w:rsid w:val="007C4CA3"/>
    <w:rsid w:val="007C65AA"/>
    <w:rsid w:val="007C7500"/>
    <w:rsid w:val="007C7FF1"/>
    <w:rsid w:val="007D09EF"/>
    <w:rsid w:val="007D0B1C"/>
    <w:rsid w:val="007D0C92"/>
    <w:rsid w:val="007D1155"/>
    <w:rsid w:val="007D177D"/>
    <w:rsid w:val="007D17D9"/>
    <w:rsid w:val="007D358A"/>
    <w:rsid w:val="007D3B98"/>
    <w:rsid w:val="007D4140"/>
    <w:rsid w:val="007D4EBE"/>
    <w:rsid w:val="007D4EBF"/>
    <w:rsid w:val="007D4FA4"/>
    <w:rsid w:val="007D5837"/>
    <w:rsid w:val="007D6911"/>
    <w:rsid w:val="007D6C29"/>
    <w:rsid w:val="007D71E6"/>
    <w:rsid w:val="007D74D0"/>
    <w:rsid w:val="007D796F"/>
    <w:rsid w:val="007E0A68"/>
    <w:rsid w:val="007E0FCB"/>
    <w:rsid w:val="007E2431"/>
    <w:rsid w:val="007E37AD"/>
    <w:rsid w:val="007E38D3"/>
    <w:rsid w:val="007E4648"/>
    <w:rsid w:val="007E4A48"/>
    <w:rsid w:val="007E5097"/>
    <w:rsid w:val="007E5228"/>
    <w:rsid w:val="007E6487"/>
    <w:rsid w:val="007E6A68"/>
    <w:rsid w:val="007E6BE9"/>
    <w:rsid w:val="007E781B"/>
    <w:rsid w:val="007E7AD5"/>
    <w:rsid w:val="007F005A"/>
    <w:rsid w:val="007F0457"/>
    <w:rsid w:val="007F0C1E"/>
    <w:rsid w:val="007F0C3A"/>
    <w:rsid w:val="007F0E1E"/>
    <w:rsid w:val="007F114A"/>
    <w:rsid w:val="007F11D8"/>
    <w:rsid w:val="007F1955"/>
    <w:rsid w:val="007F1A4C"/>
    <w:rsid w:val="007F1AD5"/>
    <w:rsid w:val="007F1BA1"/>
    <w:rsid w:val="007F226B"/>
    <w:rsid w:val="007F29ED"/>
    <w:rsid w:val="007F351B"/>
    <w:rsid w:val="007F4123"/>
    <w:rsid w:val="007F4299"/>
    <w:rsid w:val="007F4E1A"/>
    <w:rsid w:val="007F506A"/>
    <w:rsid w:val="007F5D2D"/>
    <w:rsid w:val="007F5E8A"/>
    <w:rsid w:val="007F6135"/>
    <w:rsid w:val="007F69FB"/>
    <w:rsid w:val="007F7EAC"/>
    <w:rsid w:val="007F7FE6"/>
    <w:rsid w:val="0080030B"/>
    <w:rsid w:val="00800E2D"/>
    <w:rsid w:val="008011B0"/>
    <w:rsid w:val="008013D2"/>
    <w:rsid w:val="00801AD6"/>
    <w:rsid w:val="00801BC3"/>
    <w:rsid w:val="00801CAD"/>
    <w:rsid w:val="00801D22"/>
    <w:rsid w:val="00801F51"/>
    <w:rsid w:val="0080216F"/>
    <w:rsid w:val="00802933"/>
    <w:rsid w:val="00802EDD"/>
    <w:rsid w:val="00803552"/>
    <w:rsid w:val="00803F0B"/>
    <w:rsid w:val="00804500"/>
    <w:rsid w:val="008046BB"/>
    <w:rsid w:val="0080601A"/>
    <w:rsid w:val="008062BA"/>
    <w:rsid w:val="00806715"/>
    <w:rsid w:val="008068DC"/>
    <w:rsid w:val="00806C7E"/>
    <w:rsid w:val="00807022"/>
    <w:rsid w:val="00807463"/>
    <w:rsid w:val="008078F7"/>
    <w:rsid w:val="00807B0E"/>
    <w:rsid w:val="00810811"/>
    <w:rsid w:val="0081082F"/>
    <w:rsid w:val="008108C4"/>
    <w:rsid w:val="00810AC1"/>
    <w:rsid w:val="00810C2F"/>
    <w:rsid w:val="008112B1"/>
    <w:rsid w:val="00812653"/>
    <w:rsid w:val="00812CBD"/>
    <w:rsid w:val="00812D27"/>
    <w:rsid w:val="00813007"/>
    <w:rsid w:val="0081402A"/>
    <w:rsid w:val="00814080"/>
    <w:rsid w:val="0081479E"/>
    <w:rsid w:val="00814A73"/>
    <w:rsid w:val="00815564"/>
    <w:rsid w:val="00815832"/>
    <w:rsid w:val="00815DB0"/>
    <w:rsid w:val="008160BE"/>
    <w:rsid w:val="0081629F"/>
    <w:rsid w:val="00816832"/>
    <w:rsid w:val="00817D83"/>
    <w:rsid w:val="008219B4"/>
    <w:rsid w:val="00822160"/>
    <w:rsid w:val="008221E6"/>
    <w:rsid w:val="0082245B"/>
    <w:rsid w:val="00823D1C"/>
    <w:rsid w:val="00824170"/>
    <w:rsid w:val="00825761"/>
    <w:rsid w:val="008259B9"/>
    <w:rsid w:val="00825C10"/>
    <w:rsid w:val="00825E4E"/>
    <w:rsid w:val="008268F1"/>
    <w:rsid w:val="00830709"/>
    <w:rsid w:val="00830FC7"/>
    <w:rsid w:val="0083147C"/>
    <w:rsid w:val="00832414"/>
    <w:rsid w:val="00832723"/>
    <w:rsid w:val="00832FF7"/>
    <w:rsid w:val="008330FB"/>
    <w:rsid w:val="00833648"/>
    <w:rsid w:val="00833A60"/>
    <w:rsid w:val="00833A62"/>
    <w:rsid w:val="0083418B"/>
    <w:rsid w:val="00834290"/>
    <w:rsid w:val="00834E94"/>
    <w:rsid w:val="00835694"/>
    <w:rsid w:val="008356D1"/>
    <w:rsid w:val="00835873"/>
    <w:rsid w:val="00835BD9"/>
    <w:rsid w:val="00835FDA"/>
    <w:rsid w:val="008361ED"/>
    <w:rsid w:val="0083629B"/>
    <w:rsid w:val="008372D5"/>
    <w:rsid w:val="0083738B"/>
    <w:rsid w:val="00837FBE"/>
    <w:rsid w:val="00840560"/>
    <w:rsid w:val="00840933"/>
    <w:rsid w:val="00840BCF"/>
    <w:rsid w:val="00841D6E"/>
    <w:rsid w:val="00842372"/>
    <w:rsid w:val="00842C46"/>
    <w:rsid w:val="00843564"/>
    <w:rsid w:val="00843D0B"/>
    <w:rsid w:val="00844D5B"/>
    <w:rsid w:val="00845059"/>
    <w:rsid w:val="0084511F"/>
    <w:rsid w:val="00845BD9"/>
    <w:rsid w:val="00845EEF"/>
    <w:rsid w:val="0084665B"/>
    <w:rsid w:val="0084669F"/>
    <w:rsid w:val="00846A66"/>
    <w:rsid w:val="00846B8B"/>
    <w:rsid w:val="008472B0"/>
    <w:rsid w:val="008473D1"/>
    <w:rsid w:val="00847497"/>
    <w:rsid w:val="00847826"/>
    <w:rsid w:val="00850F12"/>
    <w:rsid w:val="008514A3"/>
    <w:rsid w:val="00851529"/>
    <w:rsid w:val="00851A77"/>
    <w:rsid w:val="00851D1C"/>
    <w:rsid w:val="00853472"/>
    <w:rsid w:val="00853D06"/>
    <w:rsid w:val="00854805"/>
    <w:rsid w:val="00855075"/>
    <w:rsid w:val="00855345"/>
    <w:rsid w:val="008560F4"/>
    <w:rsid w:val="00856971"/>
    <w:rsid w:val="00856ECC"/>
    <w:rsid w:val="0085712E"/>
    <w:rsid w:val="0085738A"/>
    <w:rsid w:val="008607EF"/>
    <w:rsid w:val="00860BB5"/>
    <w:rsid w:val="00860EC3"/>
    <w:rsid w:val="0086105E"/>
    <w:rsid w:val="008613AA"/>
    <w:rsid w:val="008613ED"/>
    <w:rsid w:val="0086214E"/>
    <w:rsid w:val="008623DF"/>
    <w:rsid w:val="008633DB"/>
    <w:rsid w:val="0086362F"/>
    <w:rsid w:val="00863AB2"/>
    <w:rsid w:val="00864231"/>
    <w:rsid w:val="008645BD"/>
    <w:rsid w:val="00864A5B"/>
    <w:rsid w:val="00864C09"/>
    <w:rsid w:val="008653C1"/>
    <w:rsid w:val="00865421"/>
    <w:rsid w:val="008657BE"/>
    <w:rsid w:val="00865E23"/>
    <w:rsid w:val="00866131"/>
    <w:rsid w:val="008663EC"/>
    <w:rsid w:val="00866AAE"/>
    <w:rsid w:val="008670D3"/>
    <w:rsid w:val="00867F95"/>
    <w:rsid w:val="00872886"/>
    <w:rsid w:val="00872EE5"/>
    <w:rsid w:val="00873867"/>
    <w:rsid w:val="00873C36"/>
    <w:rsid w:val="0087458F"/>
    <w:rsid w:val="00875249"/>
    <w:rsid w:val="0087546C"/>
    <w:rsid w:val="0087573D"/>
    <w:rsid w:val="008761AB"/>
    <w:rsid w:val="008766CF"/>
    <w:rsid w:val="0087680E"/>
    <w:rsid w:val="00876960"/>
    <w:rsid w:val="00876ADF"/>
    <w:rsid w:val="00876C14"/>
    <w:rsid w:val="0087730A"/>
    <w:rsid w:val="008773CD"/>
    <w:rsid w:val="0087766B"/>
    <w:rsid w:val="0087766D"/>
    <w:rsid w:val="00877889"/>
    <w:rsid w:val="00880357"/>
    <w:rsid w:val="0088097A"/>
    <w:rsid w:val="008811FC"/>
    <w:rsid w:val="00881434"/>
    <w:rsid w:val="00882AF3"/>
    <w:rsid w:val="00882BF0"/>
    <w:rsid w:val="008835D9"/>
    <w:rsid w:val="00883E72"/>
    <w:rsid w:val="0088426D"/>
    <w:rsid w:val="0088427A"/>
    <w:rsid w:val="008842DA"/>
    <w:rsid w:val="008843B8"/>
    <w:rsid w:val="008843E9"/>
    <w:rsid w:val="00885810"/>
    <w:rsid w:val="00885AEA"/>
    <w:rsid w:val="00885C47"/>
    <w:rsid w:val="0088754E"/>
    <w:rsid w:val="00887699"/>
    <w:rsid w:val="008877BC"/>
    <w:rsid w:val="00890434"/>
    <w:rsid w:val="0089049E"/>
    <w:rsid w:val="008908CE"/>
    <w:rsid w:val="0089120B"/>
    <w:rsid w:val="008919DA"/>
    <w:rsid w:val="00891A15"/>
    <w:rsid w:val="00893713"/>
    <w:rsid w:val="00893AB9"/>
    <w:rsid w:val="008942EF"/>
    <w:rsid w:val="008948FD"/>
    <w:rsid w:val="00894E09"/>
    <w:rsid w:val="00895308"/>
    <w:rsid w:val="00895874"/>
    <w:rsid w:val="00895E7A"/>
    <w:rsid w:val="008961C9"/>
    <w:rsid w:val="00896627"/>
    <w:rsid w:val="00896D1B"/>
    <w:rsid w:val="008A00E9"/>
    <w:rsid w:val="008A0968"/>
    <w:rsid w:val="008A0C97"/>
    <w:rsid w:val="008A0E0D"/>
    <w:rsid w:val="008A0FDC"/>
    <w:rsid w:val="008A105C"/>
    <w:rsid w:val="008A1099"/>
    <w:rsid w:val="008A1312"/>
    <w:rsid w:val="008A1F1D"/>
    <w:rsid w:val="008A231E"/>
    <w:rsid w:val="008A2571"/>
    <w:rsid w:val="008A2AE2"/>
    <w:rsid w:val="008A4E81"/>
    <w:rsid w:val="008A523F"/>
    <w:rsid w:val="008A52B0"/>
    <w:rsid w:val="008A5307"/>
    <w:rsid w:val="008A5BE0"/>
    <w:rsid w:val="008A7894"/>
    <w:rsid w:val="008A7A6A"/>
    <w:rsid w:val="008A7E76"/>
    <w:rsid w:val="008A7EFB"/>
    <w:rsid w:val="008B0C01"/>
    <w:rsid w:val="008B0F96"/>
    <w:rsid w:val="008B22F1"/>
    <w:rsid w:val="008B27D9"/>
    <w:rsid w:val="008B2D1C"/>
    <w:rsid w:val="008B2F9A"/>
    <w:rsid w:val="008B397E"/>
    <w:rsid w:val="008B3CC2"/>
    <w:rsid w:val="008B4829"/>
    <w:rsid w:val="008B4E46"/>
    <w:rsid w:val="008B62EA"/>
    <w:rsid w:val="008B65AC"/>
    <w:rsid w:val="008B6CD1"/>
    <w:rsid w:val="008C0947"/>
    <w:rsid w:val="008C0ADE"/>
    <w:rsid w:val="008C1207"/>
    <w:rsid w:val="008C1AF4"/>
    <w:rsid w:val="008C2453"/>
    <w:rsid w:val="008C29FE"/>
    <w:rsid w:val="008C3AEE"/>
    <w:rsid w:val="008C568F"/>
    <w:rsid w:val="008C6831"/>
    <w:rsid w:val="008C77EE"/>
    <w:rsid w:val="008D04AB"/>
    <w:rsid w:val="008D04F9"/>
    <w:rsid w:val="008D091E"/>
    <w:rsid w:val="008D0AFE"/>
    <w:rsid w:val="008D0E12"/>
    <w:rsid w:val="008D1083"/>
    <w:rsid w:val="008D1250"/>
    <w:rsid w:val="008D1CD5"/>
    <w:rsid w:val="008D1EDB"/>
    <w:rsid w:val="008D2D33"/>
    <w:rsid w:val="008D323C"/>
    <w:rsid w:val="008D38AF"/>
    <w:rsid w:val="008D3924"/>
    <w:rsid w:val="008D408C"/>
    <w:rsid w:val="008D4141"/>
    <w:rsid w:val="008D4461"/>
    <w:rsid w:val="008D46A2"/>
    <w:rsid w:val="008D46A3"/>
    <w:rsid w:val="008D5A46"/>
    <w:rsid w:val="008D6E45"/>
    <w:rsid w:val="008D7231"/>
    <w:rsid w:val="008E03D5"/>
    <w:rsid w:val="008E074B"/>
    <w:rsid w:val="008E07B2"/>
    <w:rsid w:val="008E0B8C"/>
    <w:rsid w:val="008E0ED3"/>
    <w:rsid w:val="008E1D3E"/>
    <w:rsid w:val="008E2020"/>
    <w:rsid w:val="008E32A7"/>
    <w:rsid w:val="008E388A"/>
    <w:rsid w:val="008E3FD4"/>
    <w:rsid w:val="008E4E98"/>
    <w:rsid w:val="008E595B"/>
    <w:rsid w:val="008E5B22"/>
    <w:rsid w:val="008E625A"/>
    <w:rsid w:val="008E6A91"/>
    <w:rsid w:val="008E725F"/>
    <w:rsid w:val="008F0139"/>
    <w:rsid w:val="008F21D8"/>
    <w:rsid w:val="008F223C"/>
    <w:rsid w:val="008F2625"/>
    <w:rsid w:val="008F3540"/>
    <w:rsid w:val="008F3E25"/>
    <w:rsid w:val="008F42D1"/>
    <w:rsid w:val="008F4718"/>
    <w:rsid w:val="008F4AB8"/>
    <w:rsid w:val="008F5628"/>
    <w:rsid w:val="008F71B8"/>
    <w:rsid w:val="008F79BE"/>
    <w:rsid w:val="008F7D1F"/>
    <w:rsid w:val="0090101F"/>
    <w:rsid w:val="00901D54"/>
    <w:rsid w:val="00901F7F"/>
    <w:rsid w:val="00902075"/>
    <w:rsid w:val="00902D5F"/>
    <w:rsid w:val="00902D88"/>
    <w:rsid w:val="00902DB1"/>
    <w:rsid w:val="00903B63"/>
    <w:rsid w:val="00904202"/>
    <w:rsid w:val="00905422"/>
    <w:rsid w:val="00905ECD"/>
    <w:rsid w:val="00905F86"/>
    <w:rsid w:val="00906E21"/>
    <w:rsid w:val="00907694"/>
    <w:rsid w:val="00910350"/>
    <w:rsid w:val="00911961"/>
    <w:rsid w:val="00911F33"/>
    <w:rsid w:val="00912A3C"/>
    <w:rsid w:val="00912B50"/>
    <w:rsid w:val="00913180"/>
    <w:rsid w:val="00913371"/>
    <w:rsid w:val="00913A97"/>
    <w:rsid w:val="00914000"/>
    <w:rsid w:val="00914D5D"/>
    <w:rsid w:val="00914FBD"/>
    <w:rsid w:val="00915B4F"/>
    <w:rsid w:val="00915CB1"/>
    <w:rsid w:val="00915D1D"/>
    <w:rsid w:val="00915E4F"/>
    <w:rsid w:val="00915EBB"/>
    <w:rsid w:val="00916817"/>
    <w:rsid w:val="00916B56"/>
    <w:rsid w:val="00917224"/>
    <w:rsid w:val="0092081E"/>
    <w:rsid w:val="00922FB5"/>
    <w:rsid w:val="00923297"/>
    <w:rsid w:val="009234B1"/>
    <w:rsid w:val="00923B92"/>
    <w:rsid w:val="00923DA4"/>
    <w:rsid w:val="0092409B"/>
    <w:rsid w:val="00924800"/>
    <w:rsid w:val="00924A1A"/>
    <w:rsid w:val="00924B0E"/>
    <w:rsid w:val="00924F67"/>
    <w:rsid w:val="009266B2"/>
    <w:rsid w:val="009269B5"/>
    <w:rsid w:val="00926D8B"/>
    <w:rsid w:val="00927406"/>
    <w:rsid w:val="009277A2"/>
    <w:rsid w:val="00927AE8"/>
    <w:rsid w:val="00927B18"/>
    <w:rsid w:val="00927DA8"/>
    <w:rsid w:val="00930DF4"/>
    <w:rsid w:val="0093136D"/>
    <w:rsid w:val="00931EA2"/>
    <w:rsid w:val="00932989"/>
    <w:rsid w:val="00932E4A"/>
    <w:rsid w:val="0093339B"/>
    <w:rsid w:val="009335F5"/>
    <w:rsid w:val="00933CE7"/>
    <w:rsid w:val="00934D72"/>
    <w:rsid w:val="00934FB5"/>
    <w:rsid w:val="009350D1"/>
    <w:rsid w:val="009357C7"/>
    <w:rsid w:val="00935DAF"/>
    <w:rsid w:val="0093617B"/>
    <w:rsid w:val="00936280"/>
    <w:rsid w:val="0093642B"/>
    <w:rsid w:val="00936794"/>
    <w:rsid w:val="00936DDD"/>
    <w:rsid w:val="00936F2C"/>
    <w:rsid w:val="009379EA"/>
    <w:rsid w:val="00937B95"/>
    <w:rsid w:val="00937C3C"/>
    <w:rsid w:val="00937EC4"/>
    <w:rsid w:val="0094013F"/>
    <w:rsid w:val="009402FB"/>
    <w:rsid w:val="00940646"/>
    <w:rsid w:val="00940EBF"/>
    <w:rsid w:val="00941906"/>
    <w:rsid w:val="009425F8"/>
    <w:rsid w:val="009443D6"/>
    <w:rsid w:val="009449ED"/>
    <w:rsid w:val="00944A3D"/>
    <w:rsid w:val="00945144"/>
    <w:rsid w:val="009453F2"/>
    <w:rsid w:val="00945567"/>
    <w:rsid w:val="00945629"/>
    <w:rsid w:val="009456DD"/>
    <w:rsid w:val="00945EC8"/>
    <w:rsid w:val="00947282"/>
    <w:rsid w:val="009475A8"/>
    <w:rsid w:val="00947816"/>
    <w:rsid w:val="00947860"/>
    <w:rsid w:val="00947BEC"/>
    <w:rsid w:val="00947CB0"/>
    <w:rsid w:val="009502FE"/>
    <w:rsid w:val="009504C4"/>
    <w:rsid w:val="00950924"/>
    <w:rsid w:val="00950F7F"/>
    <w:rsid w:val="009518F2"/>
    <w:rsid w:val="00952D10"/>
    <w:rsid w:val="00952D26"/>
    <w:rsid w:val="009543A7"/>
    <w:rsid w:val="0095471C"/>
    <w:rsid w:val="00954A97"/>
    <w:rsid w:val="00954B1B"/>
    <w:rsid w:val="00955A09"/>
    <w:rsid w:val="00955E0E"/>
    <w:rsid w:val="00957024"/>
    <w:rsid w:val="00957210"/>
    <w:rsid w:val="0095764D"/>
    <w:rsid w:val="00957A60"/>
    <w:rsid w:val="00957B26"/>
    <w:rsid w:val="009601CF"/>
    <w:rsid w:val="0096170E"/>
    <w:rsid w:val="00962C94"/>
    <w:rsid w:val="00962D11"/>
    <w:rsid w:val="00962D6C"/>
    <w:rsid w:val="00962FCE"/>
    <w:rsid w:val="009630B5"/>
    <w:rsid w:val="009639E8"/>
    <w:rsid w:val="00963A98"/>
    <w:rsid w:val="00963B94"/>
    <w:rsid w:val="009641F0"/>
    <w:rsid w:val="00964DCC"/>
    <w:rsid w:val="009650E2"/>
    <w:rsid w:val="00965213"/>
    <w:rsid w:val="00965B36"/>
    <w:rsid w:val="00965BB3"/>
    <w:rsid w:val="00966838"/>
    <w:rsid w:val="00966F50"/>
    <w:rsid w:val="00967199"/>
    <w:rsid w:val="009709B6"/>
    <w:rsid w:val="00970B14"/>
    <w:rsid w:val="00971367"/>
    <w:rsid w:val="00971612"/>
    <w:rsid w:val="00971E2F"/>
    <w:rsid w:val="0097235C"/>
    <w:rsid w:val="00972869"/>
    <w:rsid w:val="00972EA1"/>
    <w:rsid w:val="00973DD3"/>
    <w:rsid w:val="0097415C"/>
    <w:rsid w:val="00974160"/>
    <w:rsid w:val="00975D0E"/>
    <w:rsid w:val="00976CA3"/>
    <w:rsid w:val="0097743C"/>
    <w:rsid w:val="00977705"/>
    <w:rsid w:val="0098059C"/>
    <w:rsid w:val="00980F76"/>
    <w:rsid w:val="009816B9"/>
    <w:rsid w:val="009817BA"/>
    <w:rsid w:val="0098183F"/>
    <w:rsid w:val="00981A56"/>
    <w:rsid w:val="009821A4"/>
    <w:rsid w:val="009822AD"/>
    <w:rsid w:val="00983F36"/>
    <w:rsid w:val="00984534"/>
    <w:rsid w:val="0098494E"/>
    <w:rsid w:val="00984A7D"/>
    <w:rsid w:val="00984B7B"/>
    <w:rsid w:val="009858C7"/>
    <w:rsid w:val="00985B37"/>
    <w:rsid w:val="00986271"/>
    <w:rsid w:val="00986D1C"/>
    <w:rsid w:val="00986F68"/>
    <w:rsid w:val="009872C7"/>
    <w:rsid w:val="00987976"/>
    <w:rsid w:val="00987A58"/>
    <w:rsid w:val="009901C9"/>
    <w:rsid w:val="009914E0"/>
    <w:rsid w:val="00992387"/>
    <w:rsid w:val="00992AB9"/>
    <w:rsid w:val="00993140"/>
    <w:rsid w:val="009932D1"/>
    <w:rsid w:val="009934D9"/>
    <w:rsid w:val="009937C3"/>
    <w:rsid w:val="00994554"/>
    <w:rsid w:val="009945AD"/>
    <w:rsid w:val="0099470B"/>
    <w:rsid w:val="009975BD"/>
    <w:rsid w:val="0099764D"/>
    <w:rsid w:val="00997931"/>
    <w:rsid w:val="009A0421"/>
    <w:rsid w:val="009A0525"/>
    <w:rsid w:val="009A08B7"/>
    <w:rsid w:val="009A12C1"/>
    <w:rsid w:val="009A1557"/>
    <w:rsid w:val="009A164A"/>
    <w:rsid w:val="009A1BA7"/>
    <w:rsid w:val="009A1C7A"/>
    <w:rsid w:val="009A2951"/>
    <w:rsid w:val="009A4456"/>
    <w:rsid w:val="009A4FC1"/>
    <w:rsid w:val="009A5626"/>
    <w:rsid w:val="009A61C3"/>
    <w:rsid w:val="009A6405"/>
    <w:rsid w:val="009A645A"/>
    <w:rsid w:val="009A6933"/>
    <w:rsid w:val="009A719D"/>
    <w:rsid w:val="009A72B1"/>
    <w:rsid w:val="009A7A12"/>
    <w:rsid w:val="009A7BE2"/>
    <w:rsid w:val="009B0625"/>
    <w:rsid w:val="009B08DB"/>
    <w:rsid w:val="009B0EBF"/>
    <w:rsid w:val="009B1357"/>
    <w:rsid w:val="009B3340"/>
    <w:rsid w:val="009B3B64"/>
    <w:rsid w:val="009B3DCA"/>
    <w:rsid w:val="009B43BD"/>
    <w:rsid w:val="009B498A"/>
    <w:rsid w:val="009B4FF9"/>
    <w:rsid w:val="009B6150"/>
    <w:rsid w:val="009B6A19"/>
    <w:rsid w:val="009B6EBD"/>
    <w:rsid w:val="009B7A7B"/>
    <w:rsid w:val="009B7FA9"/>
    <w:rsid w:val="009C0538"/>
    <w:rsid w:val="009C0DFE"/>
    <w:rsid w:val="009C2076"/>
    <w:rsid w:val="009C2406"/>
    <w:rsid w:val="009C27E7"/>
    <w:rsid w:val="009C2D0F"/>
    <w:rsid w:val="009C3A89"/>
    <w:rsid w:val="009C3E51"/>
    <w:rsid w:val="009C4345"/>
    <w:rsid w:val="009C4C24"/>
    <w:rsid w:val="009C4FDF"/>
    <w:rsid w:val="009C5617"/>
    <w:rsid w:val="009C5937"/>
    <w:rsid w:val="009C5B8E"/>
    <w:rsid w:val="009C5DA7"/>
    <w:rsid w:val="009C5EB5"/>
    <w:rsid w:val="009C5F07"/>
    <w:rsid w:val="009C714A"/>
    <w:rsid w:val="009C75EC"/>
    <w:rsid w:val="009D0078"/>
    <w:rsid w:val="009D0102"/>
    <w:rsid w:val="009D04D5"/>
    <w:rsid w:val="009D0563"/>
    <w:rsid w:val="009D1E10"/>
    <w:rsid w:val="009D2751"/>
    <w:rsid w:val="009D2BBC"/>
    <w:rsid w:val="009D30CB"/>
    <w:rsid w:val="009D335C"/>
    <w:rsid w:val="009D37B5"/>
    <w:rsid w:val="009D3A7F"/>
    <w:rsid w:val="009D4646"/>
    <w:rsid w:val="009D48C4"/>
    <w:rsid w:val="009D516D"/>
    <w:rsid w:val="009D5693"/>
    <w:rsid w:val="009D5774"/>
    <w:rsid w:val="009D5DBC"/>
    <w:rsid w:val="009D6639"/>
    <w:rsid w:val="009D686A"/>
    <w:rsid w:val="009D7065"/>
    <w:rsid w:val="009D73F9"/>
    <w:rsid w:val="009E06F0"/>
    <w:rsid w:val="009E113E"/>
    <w:rsid w:val="009E161F"/>
    <w:rsid w:val="009E21A4"/>
    <w:rsid w:val="009E24F8"/>
    <w:rsid w:val="009E2680"/>
    <w:rsid w:val="009E2DA0"/>
    <w:rsid w:val="009E3E4E"/>
    <w:rsid w:val="009E48DE"/>
    <w:rsid w:val="009E4ABA"/>
    <w:rsid w:val="009E4C97"/>
    <w:rsid w:val="009E5382"/>
    <w:rsid w:val="009E5B6A"/>
    <w:rsid w:val="009E65BC"/>
    <w:rsid w:val="009E6924"/>
    <w:rsid w:val="009E6A33"/>
    <w:rsid w:val="009E7A8C"/>
    <w:rsid w:val="009E7F97"/>
    <w:rsid w:val="009F0570"/>
    <w:rsid w:val="009F0A28"/>
    <w:rsid w:val="009F18C3"/>
    <w:rsid w:val="009F1A30"/>
    <w:rsid w:val="009F2BA5"/>
    <w:rsid w:val="009F34B8"/>
    <w:rsid w:val="009F368A"/>
    <w:rsid w:val="009F36A9"/>
    <w:rsid w:val="009F3876"/>
    <w:rsid w:val="009F3A05"/>
    <w:rsid w:val="009F3CBC"/>
    <w:rsid w:val="009F3DC0"/>
    <w:rsid w:val="009F3E8E"/>
    <w:rsid w:val="009F52F8"/>
    <w:rsid w:val="009F67F5"/>
    <w:rsid w:val="009F6FA2"/>
    <w:rsid w:val="009F7812"/>
    <w:rsid w:val="009F7E1A"/>
    <w:rsid w:val="00A0013B"/>
    <w:rsid w:val="00A001FB"/>
    <w:rsid w:val="00A004E9"/>
    <w:rsid w:val="00A009CB"/>
    <w:rsid w:val="00A01306"/>
    <w:rsid w:val="00A017EC"/>
    <w:rsid w:val="00A01ED5"/>
    <w:rsid w:val="00A02647"/>
    <w:rsid w:val="00A02F8A"/>
    <w:rsid w:val="00A039DB"/>
    <w:rsid w:val="00A03A95"/>
    <w:rsid w:val="00A03DD3"/>
    <w:rsid w:val="00A044AA"/>
    <w:rsid w:val="00A04CFF"/>
    <w:rsid w:val="00A053A0"/>
    <w:rsid w:val="00A0555D"/>
    <w:rsid w:val="00A0587A"/>
    <w:rsid w:val="00A06B61"/>
    <w:rsid w:val="00A070AA"/>
    <w:rsid w:val="00A07469"/>
    <w:rsid w:val="00A10F84"/>
    <w:rsid w:val="00A11245"/>
    <w:rsid w:val="00A11992"/>
    <w:rsid w:val="00A11C0A"/>
    <w:rsid w:val="00A1256F"/>
    <w:rsid w:val="00A12657"/>
    <w:rsid w:val="00A128B9"/>
    <w:rsid w:val="00A1327D"/>
    <w:rsid w:val="00A14C13"/>
    <w:rsid w:val="00A14DD9"/>
    <w:rsid w:val="00A1661C"/>
    <w:rsid w:val="00A16A98"/>
    <w:rsid w:val="00A17558"/>
    <w:rsid w:val="00A17BEB"/>
    <w:rsid w:val="00A17EB1"/>
    <w:rsid w:val="00A17F52"/>
    <w:rsid w:val="00A201CB"/>
    <w:rsid w:val="00A20B94"/>
    <w:rsid w:val="00A211A9"/>
    <w:rsid w:val="00A21356"/>
    <w:rsid w:val="00A21677"/>
    <w:rsid w:val="00A21837"/>
    <w:rsid w:val="00A2211D"/>
    <w:rsid w:val="00A2257C"/>
    <w:rsid w:val="00A229F8"/>
    <w:rsid w:val="00A22ABD"/>
    <w:rsid w:val="00A22FFF"/>
    <w:rsid w:val="00A23007"/>
    <w:rsid w:val="00A2337A"/>
    <w:rsid w:val="00A23BFF"/>
    <w:rsid w:val="00A23DF7"/>
    <w:rsid w:val="00A240FF"/>
    <w:rsid w:val="00A24296"/>
    <w:rsid w:val="00A246D7"/>
    <w:rsid w:val="00A24BEC"/>
    <w:rsid w:val="00A24F50"/>
    <w:rsid w:val="00A2564D"/>
    <w:rsid w:val="00A26C39"/>
    <w:rsid w:val="00A26FD6"/>
    <w:rsid w:val="00A271EE"/>
    <w:rsid w:val="00A27C65"/>
    <w:rsid w:val="00A309CE"/>
    <w:rsid w:val="00A30E3B"/>
    <w:rsid w:val="00A310AE"/>
    <w:rsid w:val="00A314FD"/>
    <w:rsid w:val="00A317D8"/>
    <w:rsid w:val="00A31A28"/>
    <w:rsid w:val="00A31A90"/>
    <w:rsid w:val="00A32363"/>
    <w:rsid w:val="00A327FF"/>
    <w:rsid w:val="00A35337"/>
    <w:rsid w:val="00A35A0A"/>
    <w:rsid w:val="00A365E8"/>
    <w:rsid w:val="00A36B31"/>
    <w:rsid w:val="00A371A4"/>
    <w:rsid w:val="00A37B17"/>
    <w:rsid w:val="00A40A60"/>
    <w:rsid w:val="00A40DAE"/>
    <w:rsid w:val="00A412E0"/>
    <w:rsid w:val="00A41A70"/>
    <w:rsid w:val="00A4231B"/>
    <w:rsid w:val="00A43BBB"/>
    <w:rsid w:val="00A44460"/>
    <w:rsid w:val="00A4460F"/>
    <w:rsid w:val="00A457FB"/>
    <w:rsid w:val="00A45EFC"/>
    <w:rsid w:val="00A45F16"/>
    <w:rsid w:val="00A466E6"/>
    <w:rsid w:val="00A470EF"/>
    <w:rsid w:val="00A47C96"/>
    <w:rsid w:val="00A512BD"/>
    <w:rsid w:val="00A5140A"/>
    <w:rsid w:val="00A51957"/>
    <w:rsid w:val="00A51CE2"/>
    <w:rsid w:val="00A52CD6"/>
    <w:rsid w:val="00A53257"/>
    <w:rsid w:val="00A54F12"/>
    <w:rsid w:val="00A56550"/>
    <w:rsid w:val="00A56AFB"/>
    <w:rsid w:val="00A57A93"/>
    <w:rsid w:val="00A57CBC"/>
    <w:rsid w:val="00A57E51"/>
    <w:rsid w:val="00A602BC"/>
    <w:rsid w:val="00A60320"/>
    <w:rsid w:val="00A608AB"/>
    <w:rsid w:val="00A60958"/>
    <w:rsid w:val="00A61680"/>
    <w:rsid w:val="00A61918"/>
    <w:rsid w:val="00A619BA"/>
    <w:rsid w:val="00A62107"/>
    <w:rsid w:val="00A625CE"/>
    <w:rsid w:val="00A627E3"/>
    <w:rsid w:val="00A63359"/>
    <w:rsid w:val="00A63C2D"/>
    <w:rsid w:val="00A6419B"/>
    <w:rsid w:val="00A645D6"/>
    <w:rsid w:val="00A6494B"/>
    <w:rsid w:val="00A65100"/>
    <w:rsid w:val="00A66AE9"/>
    <w:rsid w:val="00A676CB"/>
    <w:rsid w:val="00A709BA"/>
    <w:rsid w:val="00A70EB4"/>
    <w:rsid w:val="00A71FA2"/>
    <w:rsid w:val="00A71FDC"/>
    <w:rsid w:val="00A7217D"/>
    <w:rsid w:val="00A7281B"/>
    <w:rsid w:val="00A72907"/>
    <w:rsid w:val="00A72E3F"/>
    <w:rsid w:val="00A74295"/>
    <w:rsid w:val="00A744CA"/>
    <w:rsid w:val="00A74E5C"/>
    <w:rsid w:val="00A74E5E"/>
    <w:rsid w:val="00A753AC"/>
    <w:rsid w:val="00A76439"/>
    <w:rsid w:val="00A768B4"/>
    <w:rsid w:val="00A80412"/>
    <w:rsid w:val="00A80423"/>
    <w:rsid w:val="00A80EAB"/>
    <w:rsid w:val="00A8130A"/>
    <w:rsid w:val="00A81C02"/>
    <w:rsid w:val="00A8292B"/>
    <w:rsid w:val="00A829C3"/>
    <w:rsid w:val="00A830C9"/>
    <w:rsid w:val="00A844A5"/>
    <w:rsid w:val="00A8544E"/>
    <w:rsid w:val="00A85780"/>
    <w:rsid w:val="00A857B6"/>
    <w:rsid w:val="00A861DD"/>
    <w:rsid w:val="00A86275"/>
    <w:rsid w:val="00A8639B"/>
    <w:rsid w:val="00A869E5"/>
    <w:rsid w:val="00A871C3"/>
    <w:rsid w:val="00A87C30"/>
    <w:rsid w:val="00A87CA0"/>
    <w:rsid w:val="00A87F5D"/>
    <w:rsid w:val="00A87F79"/>
    <w:rsid w:val="00A911C0"/>
    <w:rsid w:val="00A91A8A"/>
    <w:rsid w:val="00A91AC2"/>
    <w:rsid w:val="00A92043"/>
    <w:rsid w:val="00A933CD"/>
    <w:rsid w:val="00A95610"/>
    <w:rsid w:val="00A959E2"/>
    <w:rsid w:val="00A967F4"/>
    <w:rsid w:val="00A96F1D"/>
    <w:rsid w:val="00A976E1"/>
    <w:rsid w:val="00A978EE"/>
    <w:rsid w:val="00AA022E"/>
    <w:rsid w:val="00AA104C"/>
    <w:rsid w:val="00AA15FF"/>
    <w:rsid w:val="00AA1742"/>
    <w:rsid w:val="00AA26FC"/>
    <w:rsid w:val="00AA3709"/>
    <w:rsid w:val="00AA3EE7"/>
    <w:rsid w:val="00AA43F6"/>
    <w:rsid w:val="00AA4569"/>
    <w:rsid w:val="00AA53A5"/>
    <w:rsid w:val="00AA562B"/>
    <w:rsid w:val="00AA5B6D"/>
    <w:rsid w:val="00AA63BF"/>
    <w:rsid w:val="00AA6690"/>
    <w:rsid w:val="00AA6944"/>
    <w:rsid w:val="00AA6CC9"/>
    <w:rsid w:val="00AA73D5"/>
    <w:rsid w:val="00AA7423"/>
    <w:rsid w:val="00AB018A"/>
    <w:rsid w:val="00AB021D"/>
    <w:rsid w:val="00AB0944"/>
    <w:rsid w:val="00AB1534"/>
    <w:rsid w:val="00AB165D"/>
    <w:rsid w:val="00AB18B9"/>
    <w:rsid w:val="00AB1DEE"/>
    <w:rsid w:val="00AB20EB"/>
    <w:rsid w:val="00AB2113"/>
    <w:rsid w:val="00AB2186"/>
    <w:rsid w:val="00AB2933"/>
    <w:rsid w:val="00AB3942"/>
    <w:rsid w:val="00AB3AE8"/>
    <w:rsid w:val="00AB3AFB"/>
    <w:rsid w:val="00AB4AE0"/>
    <w:rsid w:val="00AB4B76"/>
    <w:rsid w:val="00AB4E6D"/>
    <w:rsid w:val="00AB4FA1"/>
    <w:rsid w:val="00AB5749"/>
    <w:rsid w:val="00AB5AB8"/>
    <w:rsid w:val="00AB5C90"/>
    <w:rsid w:val="00AB6610"/>
    <w:rsid w:val="00AB6686"/>
    <w:rsid w:val="00AB6695"/>
    <w:rsid w:val="00AB6CC2"/>
    <w:rsid w:val="00AB708C"/>
    <w:rsid w:val="00AB7CF4"/>
    <w:rsid w:val="00AC1166"/>
    <w:rsid w:val="00AC17DA"/>
    <w:rsid w:val="00AC1BE4"/>
    <w:rsid w:val="00AC23F6"/>
    <w:rsid w:val="00AC3988"/>
    <w:rsid w:val="00AC3B28"/>
    <w:rsid w:val="00AC4CD7"/>
    <w:rsid w:val="00AC51E1"/>
    <w:rsid w:val="00AC52F9"/>
    <w:rsid w:val="00AC57A1"/>
    <w:rsid w:val="00AC58E3"/>
    <w:rsid w:val="00AC5C91"/>
    <w:rsid w:val="00AC723E"/>
    <w:rsid w:val="00AC75DD"/>
    <w:rsid w:val="00AC7A8E"/>
    <w:rsid w:val="00AC7DBD"/>
    <w:rsid w:val="00AD0719"/>
    <w:rsid w:val="00AD0B60"/>
    <w:rsid w:val="00AD1135"/>
    <w:rsid w:val="00AD18C5"/>
    <w:rsid w:val="00AD1ADE"/>
    <w:rsid w:val="00AD203D"/>
    <w:rsid w:val="00AD3154"/>
    <w:rsid w:val="00AD379D"/>
    <w:rsid w:val="00AD4A8E"/>
    <w:rsid w:val="00AD4BA6"/>
    <w:rsid w:val="00AD5265"/>
    <w:rsid w:val="00AD59E9"/>
    <w:rsid w:val="00AD5DC4"/>
    <w:rsid w:val="00AD6F44"/>
    <w:rsid w:val="00AD720B"/>
    <w:rsid w:val="00AD78BC"/>
    <w:rsid w:val="00AD7DF0"/>
    <w:rsid w:val="00AE020A"/>
    <w:rsid w:val="00AE16AD"/>
    <w:rsid w:val="00AE1FDF"/>
    <w:rsid w:val="00AE206D"/>
    <w:rsid w:val="00AE2466"/>
    <w:rsid w:val="00AE273F"/>
    <w:rsid w:val="00AE2875"/>
    <w:rsid w:val="00AE29CE"/>
    <w:rsid w:val="00AE3B13"/>
    <w:rsid w:val="00AE4B55"/>
    <w:rsid w:val="00AE515F"/>
    <w:rsid w:val="00AE523C"/>
    <w:rsid w:val="00AE5AF3"/>
    <w:rsid w:val="00AE5C6C"/>
    <w:rsid w:val="00AE654F"/>
    <w:rsid w:val="00AE6568"/>
    <w:rsid w:val="00AE724F"/>
    <w:rsid w:val="00AE7550"/>
    <w:rsid w:val="00AE756F"/>
    <w:rsid w:val="00AE77DD"/>
    <w:rsid w:val="00AE7B59"/>
    <w:rsid w:val="00AE7C5E"/>
    <w:rsid w:val="00AF0BC5"/>
    <w:rsid w:val="00AF1202"/>
    <w:rsid w:val="00AF2760"/>
    <w:rsid w:val="00AF298F"/>
    <w:rsid w:val="00AF3476"/>
    <w:rsid w:val="00AF4148"/>
    <w:rsid w:val="00AF440D"/>
    <w:rsid w:val="00AF4913"/>
    <w:rsid w:val="00AF4CB7"/>
    <w:rsid w:val="00AF53B8"/>
    <w:rsid w:val="00AF55D7"/>
    <w:rsid w:val="00AF5AE7"/>
    <w:rsid w:val="00AF626E"/>
    <w:rsid w:val="00AF6AB8"/>
    <w:rsid w:val="00AF6BB8"/>
    <w:rsid w:val="00AF6C21"/>
    <w:rsid w:val="00AF73F4"/>
    <w:rsid w:val="00AF7D12"/>
    <w:rsid w:val="00B001CD"/>
    <w:rsid w:val="00B00491"/>
    <w:rsid w:val="00B00521"/>
    <w:rsid w:val="00B0064D"/>
    <w:rsid w:val="00B00B06"/>
    <w:rsid w:val="00B00CBE"/>
    <w:rsid w:val="00B00D1A"/>
    <w:rsid w:val="00B01A0A"/>
    <w:rsid w:val="00B0201A"/>
    <w:rsid w:val="00B0253A"/>
    <w:rsid w:val="00B026E4"/>
    <w:rsid w:val="00B026FC"/>
    <w:rsid w:val="00B02CB9"/>
    <w:rsid w:val="00B02CCD"/>
    <w:rsid w:val="00B031E2"/>
    <w:rsid w:val="00B03673"/>
    <w:rsid w:val="00B03F29"/>
    <w:rsid w:val="00B04C70"/>
    <w:rsid w:val="00B04DB7"/>
    <w:rsid w:val="00B05930"/>
    <w:rsid w:val="00B05CAD"/>
    <w:rsid w:val="00B07117"/>
    <w:rsid w:val="00B072DA"/>
    <w:rsid w:val="00B1032C"/>
    <w:rsid w:val="00B104DD"/>
    <w:rsid w:val="00B105D3"/>
    <w:rsid w:val="00B11096"/>
    <w:rsid w:val="00B11510"/>
    <w:rsid w:val="00B122F6"/>
    <w:rsid w:val="00B12A94"/>
    <w:rsid w:val="00B132A0"/>
    <w:rsid w:val="00B1335A"/>
    <w:rsid w:val="00B13775"/>
    <w:rsid w:val="00B13968"/>
    <w:rsid w:val="00B13B35"/>
    <w:rsid w:val="00B13FCB"/>
    <w:rsid w:val="00B14217"/>
    <w:rsid w:val="00B1487F"/>
    <w:rsid w:val="00B148A4"/>
    <w:rsid w:val="00B1499E"/>
    <w:rsid w:val="00B14C93"/>
    <w:rsid w:val="00B14C95"/>
    <w:rsid w:val="00B14FF1"/>
    <w:rsid w:val="00B15030"/>
    <w:rsid w:val="00B1503B"/>
    <w:rsid w:val="00B152FD"/>
    <w:rsid w:val="00B167BE"/>
    <w:rsid w:val="00B16A39"/>
    <w:rsid w:val="00B16C8B"/>
    <w:rsid w:val="00B178A2"/>
    <w:rsid w:val="00B206FA"/>
    <w:rsid w:val="00B2090B"/>
    <w:rsid w:val="00B21134"/>
    <w:rsid w:val="00B21784"/>
    <w:rsid w:val="00B22738"/>
    <w:rsid w:val="00B22DAC"/>
    <w:rsid w:val="00B22E0A"/>
    <w:rsid w:val="00B22F9E"/>
    <w:rsid w:val="00B23488"/>
    <w:rsid w:val="00B235A8"/>
    <w:rsid w:val="00B244EC"/>
    <w:rsid w:val="00B24606"/>
    <w:rsid w:val="00B2469D"/>
    <w:rsid w:val="00B2485E"/>
    <w:rsid w:val="00B24ADC"/>
    <w:rsid w:val="00B24C5D"/>
    <w:rsid w:val="00B24F33"/>
    <w:rsid w:val="00B252FA"/>
    <w:rsid w:val="00B25516"/>
    <w:rsid w:val="00B25F3B"/>
    <w:rsid w:val="00B260AD"/>
    <w:rsid w:val="00B26C3D"/>
    <w:rsid w:val="00B26C99"/>
    <w:rsid w:val="00B27619"/>
    <w:rsid w:val="00B27A66"/>
    <w:rsid w:val="00B30166"/>
    <w:rsid w:val="00B304CD"/>
    <w:rsid w:val="00B30504"/>
    <w:rsid w:val="00B30C45"/>
    <w:rsid w:val="00B3128A"/>
    <w:rsid w:val="00B31581"/>
    <w:rsid w:val="00B3158D"/>
    <w:rsid w:val="00B31942"/>
    <w:rsid w:val="00B31B17"/>
    <w:rsid w:val="00B31B99"/>
    <w:rsid w:val="00B32223"/>
    <w:rsid w:val="00B32BCD"/>
    <w:rsid w:val="00B32BEF"/>
    <w:rsid w:val="00B33CA3"/>
    <w:rsid w:val="00B347BB"/>
    <w:rsid w:val="00B34E7A"/>
    <w:rsid w:val="00B35726"/>
    <w:rsid w:val="00B35A9E"/>
    <w:rsid w:val="00B3740B"/>
    <w:rsid w:val="00B376E8"/>
    <w:rsid w:val="00B37A8F"/>
    <w:rsid w:val="00B37E9A"/>
    <w:rsid w:val="00B40408"/>
    <w:rsid w:val="00B4042D"/>
    <w:rsid w:val="00B413D8"/>
    <w:rsid w:val="00B41495"/>
    <w:rsid w:val="00B415CC"/>
    <w:rsid w:val="00B427E7"/>
    <w:rsid w:val="00B432B0"/>
    <w:rsid w:val="00B4335B"/>
    <w:rsid w:val="00B4375D"/>
    <w:rsid w:val="00B43A2B"/>
    <w:rsid w:val="00B43ADE"/>
    <w:rsid w:val="00B43B19"/>
    <w:rsid w:val="00B450B6"/>
    <w:rsid w:val="00B47EF7"/>
    <w:rsid w:val="00B505C6"/>
    <w:rsid w:val="00B50A7A"/>
    <w:rsid w:val="00B50C2D"/>
    <w:rsid w:val="00B514CA"/>
    <w:rsid w:val="00B515F7"/>
    <w:rsid w:val="00B520F7"/>
    <w:rsid w:val="00B527DD"/>
    <w:rsid w:val="00B52ED1"/>
    <w:rsid w:val="00B531E1"/>
    <w:rsid w:val="00B53253"/>
    <w:rsid w:val="00B53271"/>
    <w:rsid w:val="00B532BC"/>
    <w:rsid w:val="00B5342D"/>
    <w:rsid w:val="00B537B5"/>
    <w:rsid w:val="00B53DE2"/>
    <w:rsid w:val="00B541DE"/>
    <w:rsid w:val="00B5425B"/>
    <w:rsid w:val="00B554AA"/>
    <w:rsid w:val="00B55602"/>
    <w:rsid w:val="00B55C5A"/>
    <w:rsid w:val="00B55D50"/>
    <w:rsid w:val="00B560EF"/>
    <w:rsid w:val="00B563F3"/>
    <w:rsid w:val="00B564FE"/>
    <w:rsid w:val="00B5656C"/>
    <w:rsid w:val="00B5781B"/>
    <w:rsid w:val="00B60433"/>
    <w:rsid w:val="00B60708"/>
    <w:rsid w:val="00B61136"/>
    <w:rsid w:val="00B61316"/>
    <w:rsid w:val="00B61600"/>
    <w:rsid w:val="00B61C35"/>
    <w:rsid w:val="00B627E7"/>
    <w:rsid w:val="00B62C78"/>
    <w:rsid w:val="00B644AB"/>
    <w:rsid w:val="00B64944"/>
    <w:rsid w:val="00B64C71"/>
    <w:rsid w:val="00B6519D"/>
    <w:rsid w:val="00B651FB"/>
    <w:rsid w:val="00B65252"/>
    <w:rsid w:val="00B65AE7"/>
    <w:rsid w:val="00B65D1E"/>
    <w:rsid w:val="00B6642E"/>
    <w:rsid w:val="00B664CC"/>
    <w:rsid w:val="00B6662A"/>
    <w:rsid w:val="00B666A0"/>
    <w:rsid w:val="00B66F07"/>
    <w:rsid w:val="00B67FBF"/>
    <w:rsid w:val="00B700D5"/>
    <w:rsid w:val="00B70C43"/>
    <w:rsid w:val="00B71891"/>
    <w:rsid w:val="00B723AC"/>
    <w:rsid w:val="00B73E04"/>
    <w:rsid w:val="00B74319"/>
    <w:rsid w:val="00B751B6"/>
    <w:rsid w:val="00B75A29"/>
    <w:rsid w:val="00B76CAC"/>
    <w:rsid w:val="00B76D55"/>
    <w:rsid w:val="00B772C4"/>
    <w:rsid w:val="00B802DB"/>
    <w:rsid w:val="00B80CC6"/>
    <w:rsid w:val="00B80EA5"/>
    <w:rsid w:val="00B80EFA"/>
    <w:rsid w:val="00B813A9"/>
    <w:rsid w:val="00B817B0"/>
    <w:rsid w:val="00B81B12"/>
    <w:rsid w:val="00B828A8"/>
    <w:rsid w:val="00B835B7"/>
    <w:rsid w:val="00B838D6"/>
    <w:rsid w:val="00B84A94"/>
    <w:rsid w:val="00B85042"/>
    <w:rsid w:val="00B86112"/>
    <w:rsid w:val="00B86D4E"/>
    <w:rsid w:val="00B87EEF"/>
    <w:rsid w:val="00B924C2"/>
    <w:rsid w:val="00B92BAA"/>
    <w:rsid w:val="00B93904"/>
    <w:rsid w:val="00B9396D"/>
    <w:rsid w:val="00B93C59"/>
    <w:rsid w:val="00B93ED0"/>
    <w:rsid w:val="00B94F55"/>
    <w:rsid w:val="00B9513F"/>
    <w:rsid w:val="00B95EED"/>
    <w:rsid w:val="00B97799"/>
    <w:rsid w:val="00B979FE"/>
    <w:rsid w:val="00BA0108"/>
    <w:rsid w:val="00BA0489"/>
    <w:rsid w:val="00BA138C"/>
    <w:rsid w:val="00BA14F1"/>
    <w:rsid w:val="00BA1B0F"/>
    <w:rsid w:val="00BA1DDE"/>
    <w:rsid w:val="00BA2040"/>
    <w:rsid w:val="00BA269E"/>
    <w:rsid w:val="00BA30C1"/>
    <w:rsid w:val="00BA324D"/>
    <w:rsid w:val="00BA339C"/>
    <w:rsid w:val="00BA3457"/>
    <w:rsid w:val="00BA3B71"/>
    <w:rsid w:val="00BA47AD"/>
    <w:rsid w:val="00BA487F"/>
    <w:rsid w:val="00BA6128"/>
    <w:rsid w:val="00BA6DDD"/>
    <w:rsid w:val="00BA75B5"/>
    <w:rsid w:val="00BB09EC"/>
    <w:rsid w:val="00BB0A2C"/>
    <w:rsid w:val="00BB0E41"/>
    <w:rsid w:val="00BB20AD"/>
    <w:rsid w:val="00BB2E38"/>
    <w:rsid w:val="00BB3413"/>
    <w:rsid w:val="00BB4EEF"/>
    <w:rsid w:val="00BB5319"/>
    <w:rsid w:val="00BB5348"/>
    <w:rsid w:val="00BB597D"/>
    <w:rsid w:val="00BB5E3F"/>
    <w:rsid w:val="00BB6378"/>
    <w:rsid w:val="00BB67CB"/>
    <w:rsid w:val="00BB6FDA"/>
    <w:rsid w:val="00BB7240"/>
    <w:rsid w:val="00BB7250"/>
    <w:rsid w:val="00BB757E"/>
    <w:rsid w:val="00BB7D52"/>
    <w:rsid w:val="00BC01B0"/>
    <w:rsid w:val="00BC01FE"/>
    <w:rsid w:val="00BC02D9"/>
    <w:rsid w:val="00BC1438"/>
    <w:rsid w:val="00BC166B"/>
    <w:rsid w:val="00BC28D8"/>
    <w:rsid w:val="00BC3229"/>
    <w:rsid w:val="00BC3CE7"/>
    <w:rsid w:val="00BC3FA9"/>
    <w:rsid w:val="00BC42E0"/>
    <w:rsid w:val="00BC4C87"/>
    <w:rsid w:val="00BC4FFA"/>
    <w:rsid w:val="00BC59D3"/>
    <w:rsid w:val="00BC5A90"/>
    <w:rsid w:val="00BC5EFD"/>
    <w:rsid w:val="00BC6419"/>
    <w:rsid w:val="00BC65DC"/>
    <w:rsid w:val="00BC6CEB"/>
    <w:rsid w:val="00BC701C"/>
    <w:rsid w:val="00BC7E14"/>
    <w:rsid w:val="00BD08D1"/>
    <w:rsid w:val="00BD233B"/>
    <w:rsid w:val="00BD252F"/>
    <w:rsid w:val="00BD2989"/>
    <w:rsid w:val="00BD2D59"/>
    <w:rsid w:val="00BD4026"/>
    <w:rsid w:val="00BD442A"/>
    <w:rsid w:val="00BD456F"/>
    <w:rsid w:val="00BD4F6F"/>
    <w:rsid w:val="00BD56C3"/>
    <w:rsid w:val="00BD5BBF"/>
    <w:rsid w:val="00BD5C15"/>
    <w:rsid w:val="00BD6550"/>
    <w:rsid w:val="00BD6A86"/>
    <w:rsid w:val="00BD72C0"/>
    <w:rsid w:val="00BD7E48"/>
    <w:rsid w:val="00BE0233"/>
    <w:rsid w:val="00BE0244"/>
    <w:rsid w:val="00BE173D"/>
    <w:rsid w:val="00BE1861"/>
    <w:rsid w:val="00BE196D"/>
    <w:rsid w:val="00BE21D3"/>
    <w:rsid w:val="00BE232A"/>
    <w:rsid w:val="00BE48E5"/>
    <w:rsid w:val="00BE5968"/>
    <w:rsid w:val="00BE5D6D"/>
    <w:rsid w:val="00BE5E7B"/>
    <w:rsid w:val="00BE69BB"/>
    <w:rsid w:val="00BE6D4F"/>
    <w:rsid w:val="00BE76CA"/>
    <w:rsid w:val="00BE78AB"/>
    <w:rsid w:val="00BE7AAE"/>
    <w:rsid w:val="00BF0698"/>
    <w:rsid w:val="00BF09F7"/>
    <w:rsid w:val="00BF2243"/>
    <w:rsid w:val="00BF2993"/>
    <w:rsid w:val="00BF29FF"/>
    <w:rsid w:val="00BF2BC5"/>
    <w:rsid w:val="00BF35DB"/>
    <w:rsid w:val="00BF3C1C"/>
    <w:rsid w:val="00BF3FAC"/>
    <w:rsid w:val="00BF40EB"/>
    <w:rsid w:val="00BF52A6"/>
    <w:rsid w:val="00BF5601"/>
    <w:rsid w:val="00BF6061"/>
    <w:rsid w:val="00BF6452"/>
    <w:rsid w:val="00BF76C5"/>
    <w:rsid w:val="00BF7B41"/>
    <w:rsid w:val="00C0038F"/>
    <w:rsid w:val="00C00775"/>
    <w:rsid w:val="00C00AC4"/>
    <w:rsid w:val="00C01D38"/>
    <w:rsid w:val="00C01EC7"/>
    <w:rsid w:val="00C0248E"/>
    <w:rsid w:val="00C032E0"/>
    <w:rsid w:val="00C0362A"/>
    <w:rsid w:val="00C03B45"/>
    <w:rsid w:val="00C041C7"/>
    <w:rsid w:val="00C04731"/>
    <w:rsid w:val="00C04D00"/>
    <w:rsid w:val="00C0513D"/>
    <w:rsid w:val="00C05764"/>
    <w:rsid w:val="00C05D5F"/>
    <w:rsid w:val="00C05E3D"/>
    <w:rsid w:val="00C06366"/>
    <w:rsid w:val="00C067C7"/>
    <w:rsid w:val="00C07FF1"/>
    <w:rsid w:val="00C11867"/>
    <w:rsid w:val="00C11AB2"/>
    <w:rsid w:val="00C12278"/>
    <w:rsid w:val="00C12439"/>
    <w:rsid w:val="00C12E5F"/>
    <w:rsid w:val="00C1315B"/>
    <w:rsid w:val="00C13426"/>
    <w:rsid w:val="00C1402A"/>
    <w:rsid w:val="00C1407C"/>
    <w:rsid w:val="00C14627"/>
    <w:rsid w:val="00C14DF7"/>
    <w:rsid w:val="00C1549B"/>
    <w:rsid w:val="00C1587F"/>
    <w:rsid w:val="00C15CD5"/>
    <w:rsid w:val="00C1645A"/>
    <w:rsid w:val="00C164DD"/>
    <w:rsid w:val="00C16F98"/>
    <w:rsid w:val="00C177E5"/>
    <w:rsid w:val="00C20F31"/>
    <w:rsid w:val="00C21558"/>
    <w:rsid w:val="00C21BCD"/>
    <w:rsid w:val="00C2236B"/>
    <w:rsid w:val="00C2292F"/>
    <w:rsid w:val="00C22BB5"/>
    <w:rsid w:val="00C22C37"/>
    <w:rsid w:val="00C22CF4"/>
    <w:rsid w:val="00C24154"/>
    <w:rsid w:val="00C24AB5"/>
    <w:rsid w:val="00C24BFC"/>
    <w:rsid w:val="00C24D92"/>
    <w:rsid w:val="00C24E42"/>
    <w:rsid w:val="00C24EF3"/>
    <w:rsid w:val="00C253F1"/>
    <w:rsid w:val="00C26083"/>
    <w:rsid w:val="00C263D1"/>
    <w:rsid w:val="00C26B03"/>
    <w:rsid w:val="00C30922"/>
    <w:rsid w:val="00C310D1"/>
    <w:rsid w:val="00C310DC"/>
    <w:rsid w:val="00C3172D"/>
    <w:rsid w:val="00C31754"/>
    <w:rsid w:val="00C31950"/>
    <w:rsid w:val="00C31AFC"/>
    <w:rsid w:val="00C31F02"/>
    <w:rsid w:val="00C33621"/>
    <w:rsid w:val="00C339E5"/>
    <w:rsid w:val="00C34B1D"/>
    <w:rsid w:val="00C351DB"/>
    <w:rsid w:val="00C35494"/>
    <w:rsid w:val="00C35F9F"/>
    <w:rsid w:val="00C3624B"/>
    <w:rsid w:val="00C36539"/>
    <w:rsid w:val="00C37295"/>
    <w:rsid w:val="00C37C2E"/>
    <w:rsid w:val="00C40653"/>
    <w:rsid w:val="00C410AC"/>
    <w:rsid w:val="00C41189"/>
    <w:rsid w:val="00C41217"/>
    <w:rsid w:val="00C41A3D"/>
    <w:rsid w:val="00C42226"/>
    <w:rsid w:val="00C422DB"/>
    <w:rsid w:val="00C431A0"/>
    <w:rsid w:val="00C43333"/>
    <w:rsid w:val="00C44269"/>
    <w:rsid w:val="00C4448E"/>
    <w:rsid w:val="00C44834"/>
    <w:rsid w:val="00C46251"/>
    <w:rsid w:val="00C46EDB"/>
    <w:rsid w:val="00C47C62"/>
    <w:rsid w:val="00C509DA"/>
    <w:rsid w:val="00C50C47"/>
    <w:rsid w:val="00C50DB9"/>
    <w:rsid w:val="00C532CD"/>
    <w:rsid w:val="00C54378"/>
    <w:rsid w:val="00C54796"/>
    <w:rsid w:val="00C55927"/>
    <w:rsid w:val="00C55A1D"/>
    <w:rsid w:val="00C5736E"/>
    <w:rsid w:val="00C57799"/>
    <w:rsid w:val="00C578B0"/>
    <w:rsid w:val="00C57F62"/>
    <w:rsid w:val="00C609CE"/>
    <w:rsid w:val="00C60AAF"/>
    <w:rsid w:val="00C6138A"/>
    <w:rsid w:val="00C6277A"/>
    <w:rsid w:val="00C62E9D"/>
    <w:rsid w:val="00C63187"/>
    <w:rsid w:val="00C655C5"/>
    <w:rsid w:val="00C65C41"/>
    <w:rsid w:val="00C66AA7"/>
    <w:rsid w:val="00C67380"/>
    <w:rsid w:val="00C67681"/>
    <w:rsid w:val="00C6774F"/>
    <w:rsid w:val="00C679EA"/>
    <w:rsid w:val="00C67C61"/>
    <w:rsid w:val="00C70485"/>
    <w:rsid w:val="00C7061A"/>
    <w:rsid w:val="00C70F96"/>
    <w:rsid w:val="00C7145C"/>
    <w:rsid w:val="00C71E16"/>
    <w:rsid w:val="00C722F5"/>
    <w:rsid w:val="00C72653"/>
    <w:rsid w:val="00C7290C"/>
    <w:rsid w:val="00C72E6E"/>
    <w:rsid w:val="00C73651"/>
    <w:rsid w:val="00C738DF"/>
    <w:rsid w:val="00C73FC6"/>
    <w:rsid w:val="00C7408E"/>
    <w:rsid w:val="00C744A8"/>
    <w:rsid w:val="00C74992"/>
    <w:rsid w:val="00C750A6"/>
    <w:rsid w:val="00C754C9"/>
    <w:rsid w:val="00C754D0"/>
    <w:rsid w:val="00C76742"/>
    <w:rsid w:val="00C774E5"/>
    <w:rsid w:val="00C776B5"/>
    <w:rsid w:val="00C77AD9"/>
    <w:rsid w:val="00C806FF"/>
    <w:rsid w:val="00C807A0"/>
    <w:rsid w:val="00C807DB"/>
    <w:rsid w:val="00C811D5"/>
    <w:rsid w:val="00C81326"/>
    <w:rsid w:val="00C81AF5"/>
    <w:rsid w:val="00C82797"/>
    <w:rsid w:val="00C82F3F"/>
    <w:rsid w:val="00C83F02"/>
    <w:rsid w:val="00C8524A"/>
    <w:rsid w:val="00C860D3"/>
    <w:rsid w:val="00C863BD"/>
    <w:rsid w:val="00C878F7"/>
    <w:rsid w:val="00C8795E"/>
    <w:rsid w:val="00C90497"/>
    <w:rsid w:val="00C90B2A"/>
    <w:rsid w:val="00C913FF"/>
    <w:rsid w:val="00C914D3"/>
    <w:rsid w:val="00C9264B"/>
    <w:rsid w:val="00C93582"/>
    <w:rsid w:val="00C95043"/>
    <w:rsid w:val="00C956CF"/>
    <w:rsid w:val="00C959EA"/>
    <w:rsid w:val="00C95A06"/>
    <w:rsid w:val="00C95A14"/>
    <w:rsid w:val="00C95CB2"/>
    <w:rsid w:val="00C96604"/>
    <w:rsid w:val="00C96FD2"/>
    <w:rsid w:val="00C977CC"/>
    <w:rsid w:val="00C979C9"/>
    <w:rsid w:val="00C97AC4"/>
    <w:rsid w:val="00CA028A"/>
    <w:rsid w:val="00CA03D9"/>
    <w:rsid w:val="00CA092F"/>
    <w:rsid w:val="00CA0B12"/>
    <w:rsid w:val="00CA2B87"/>
    <w:rsid w:val="00CA2E41"/>
    <w:rsid w:val="00CA4C13"/>
    <w:rsid w:val="00CA4C4C"/>
    <w:rsid w:val="00CA4E5C"/>
    <w:rsid w:val="00CA5178"/>
    <w:rsid w:val="00CA53AC"/>
    <w:rsid w:val="00CA5B58"/>
    <w:rsid w:val="00CA6205"/>
    <w:rsid w:val="00CA758C"/>
    <w:rsid w:val="00CA76A2"/>
    <w:rsid w:val="00CB0220"/>
    <w:rsid w:val="00CB0C00"/>
    <w:rsid w:val="00CB0E9B"/>
    <w:rsid w:val="00CB0FF9"/>
    <w:rsid w:val="00CB15F0"/>
    <w:rsid w:val="00CB1834"/>
    <w:rsid w:val="00CB1C35"/>
    <w:rsid w:val="00CB1DFC"/>
    <w:rsid w:val="00CB22CB"/>
    <w:rsid w:val="00CB27C8"/>
    <w:rsid w:val="00CB30BA"/>
    <w:rsid w:val="00CB3285"/>
    <w:rsid w:val="00CB4995"/>
    <w:rsid w:val="00CB5BAD"/>
    <w:rsid w:val="00CB683A"/>
    <w:rsid w:val="00CB7038"/>
    <w:rsid w:val="00CB706D"/>
    <w:rsid w:val="00CB7C00"/>
    <w:rsid w:val="00CC0209"/>
    <w:rsid w:val="00CC06FE"/>
    <w:rsid w:val="00CC18AF"/>
    <w:rsid w:val="00CC1A0F"/>
    <w:rsid w:val="00CC1D3D"/>
    <w:rsid w:val="00CC218B"/>
    <w:rsid w:val="00CC24CB"/>
    <w:rsid w:val="00CC324D"/>
    <w:rsid w:val="00CC3324"/>
    <w:rsid w:val="00CC3A12"/>
    <w:rsid w:val="00CC3C99"/>
    <w:rsid w:val="00CC3E03"/>
    <w:rsid w:val="00CC43E9"/>
    <w:rsid w:val="00CC484E"/>
    <w:rsid w:val="00CC50E8"/>
    <w:rsid w:val="00CC63E3"/>
    <w:rsid w:val="00CC64E5"/>
    <w:rsid w:val="00CC6F4F"/>
    <w:rsid w:val="00CC7011"/>
    <w:rsid w:val="00CC75F3"/>
    <w:rsid w:val="00CC76E9"/>
    <w:rsid w:val="00CC78C3"/>
    <w:rsid w:val="00CC7996"/>
    <w:rsid w:val="00CD0677"/>
    <w:rsid w:val="00CD0A00"/>
    <w:rsid w:val="00CD0A29"/>
    <w:rsid w:val="00CD0BDF"/>
    <w:rsid w:val="00CD0D46"/>
    <w:rsid w:val="00CD0FA0"/>
    <w:rsid w:val="00CD0FE4"/>
    <w:rsid w:val="00CD1ABF"/>
    <w:rsid w:val="00CD1C2C"/>
    <w:rsid w:val="00CD1F90"/>
    <w:rsid w:val="00CD2242"/>
    <w:rsid w:val="00CD3619"/>
    <w:rsid w:val="00CD3907"/>
    <w:rsid w:val="00CD3DAA"/>
    <w:rsid w:val="00CD4844"/>
    <w:rsid w:val="00CD53DC"/>
    <w:rsid w:val="00CD5D19"/>
    <w:rsid w:val="00CD616D"/>
    <w:rsid w:val="00CD690B"/>
    <w:rsid w:val="00CD7066"/>
    <w:rsid w:val="00CE05D7"/>
    <w:rsid w:val="00CE0B44"/>
    <w:rsid w:val="00CE0D1F"/>
    <w:rsid w:val="00CE18EA"/>
    <w:rsid w:val="00CE255B"/>
    <w:rsid w:val="00CE25C4"/>
    <w:rsid w:val="00CE283C"/>
    <w:rsid w:val="00CE2F47"/>
    <w:rsid w:val="00CE3213"/>
    <w:rsid w:val="00CE3DD1"/>
    <w:rsid w:val="00CE4244"/>
    <w:rsid w:val="00CE45A1"/>
    <w:rsid w:val="00CE47E2"/>
    <w:rsid w:val="00CE4F79"/>
    <w:rsid w:val="00CE5672"/>
    <w:rsid w:val="00CE56DF"/>
    <w:rsid w:val="00CE5840"/>
    <w:rsid w:val="00CE6026"/>
    <w:rsid w:val="00CE712A"/>
    <w:rsid w:val="00CF102A"/>
    <w:rsid w:val="00CF149F"/>
    <w:rsid w:val="00CF164E"/>
    <w:rsid w:val="00CF1868"/>
    <w:rsid w:val="00CF1A38"/>
    <w:rsid w:val="00CF1C56"/>
    <w:rsid w:val="00CF227D"/>
    <w:rsid w:val="00CF2308"/>
    <w:rsid w:val="00CF25D5"/>
    <w:rsid w:val="00CF26DC"/>
    <w:rsid w:val="00CF3136"/>
    <w:rsid w:val="00CF3279"/>
    <w:rsid w:val="00CF3854"/>
    <w:rsid w:val="00CF3958"/>
    <w:rsid w:val="00CF3F2C"/>
    <w:rsid w:val="00CF4178"/>
    <w:rsid w:val="00CF63CC"/>
    <w:rsid w:val="00CF6D1E"/>
    <w:rsid w:val="00CF7032"/>
    <w:rsid w:val="00CF780C"/>
    <w:rsid w:val="00CF7C42"/>
    <w:rsid w:val="00D0046B"/>
    <w:rsid w:val="00D007A9"/>
    <w:rsid w:val="00D00B87"/>
    <w:rsid w:val="00D01849"/>
    <w:rsid w:val="00D01A2D"/>
    <w:rsid w:val="00D01D8C"/>
    <w:rsid w:val="00D038E7"/>
    <w:rsid w:val="00D045E6"/>
    <w:rsid w:val="00D05B01"/>
    <w:rsid w:val="00D05DD4"/>
    <w:rsid w:val="00D0605B"/>
    <w:rsid w:val="00D0643E"/>
    <w:rsid w:val="00D07313"/>
    <w:rsid w:val="00D07B48"/>
    <w:rsid w:val="00D07B5A"/>
    <w:rsid w:val="00D101BB"/>
    <w:rsid w:val="00D10A37"/>
    <w:rsid w:val="00D10BDF"/>
    <w:rsid w:val="00D1179B"/>
    <w:rsid w:val="00D12819"/>
    <w:rsid w:val="00D12BD4"/>
    <w:rsid w:val="00D141EE"/>
    <w:rsid w:val="00D14D2F"/>
    <w:rsid w:val="00D14EAB"/>
    <w:rsid w:val="00D15156"/>
    <w:rsid w:val="00D151D6"/>
    <w:rsid w:val="00D153CC"/>
    <w:rsid w:val="00D15EBF"/>
    <w:rsid w:val="00D164BF"/>
    <w:rsid w:val="00D16985"/>
    <w:rsid w:val="00D16B33"/>
    <w:rsid w:val="00D200B6"/>
    <w:rsid w:val="00D207FA"/>
    <w:rsid w:val="00D210AE"/>
    <w:rsid w:val="00D21872"/>
    <w:rsid w:val="00D21937"/>
    <w:rsid w:val="00D22394"/>
    <w:rsid w:val="00D22450"/>
    <w:rsid w:val="00D230EA"/>
    <w:rsid w:val="00D238D2"/>
    <w:rsid w:val="00D23E39"/>
    <w:rsid w:val="00D23E8B"/>
    <w:rsid w:val="00D24836"/>
    <w:rsid w:val="00D249B0"/>
    <w:rsid w:val="00D252F1"/>
    <w:rsid w:val="00D255D8"/>
    <w:rsid w:val="00D26F66"/>
    <w:rsid w:val="00D27089"/>
    <w:rsid w:val="00D2799A"/>
    <w:rsid w:val="00D27A4C"/>
    <w:rsid w:val="00D27D8F"/>
    <w:rsid w:val="00D30333"/>
    <w:rsid w:val="00D30987"/>
    <w:rsid w:val="00D317BA"/>
    <w:rsid w:val="00D31855"/>
    <w:rsid w:val="00D31AE1"/>
    <w:rsid w:val="00D31BE0"/>
    <w:rsid w:val="00D31F0C"/>
    <w:rsid w:val="00D325EB"/>
    <w:rsid w:val="00D32727"/>
    <w:rsid w:val="00D32950"/>
    <w:rsid w:val="00D332EB"/>
    <w:rsid w:val="00D349C0"/>
    <w:rsid w:val="00D35FCC"/>
    <w:rsid w:val="00D36106"/>
    <w:rsid w:val="00D3637E"/>
    <w:rsid w:val="00D4020C"/>
    <w:rsid w:val="00D40524"/>
    <w:rsid w:val="00D408F5"/>
    <w:rsid w:val="00D41A8B"/>
    <w:rsid w:val="00D43631"/>
    <w:rsid w:val="00D4412B"/>
    <w:rsid w:val="00D44678"/>
    <w:rsid w:val="00D44A61"/>
    <w:rsid w:val="00D44E1E"/>
    <w:rsid w:val="00D44F12"/>
    <w:rsid w:val="00D4520B"/>
    <w:rsid w:val="00D458C9"/>
    <w:rsid w:val="00D45EBB"/>
    <w:rsid w:val="00D462F1"/>
    <w:rsid w:val="00D46651"/>
    <w:rsid w:val="00D46E37"/>
    <w:rsid w:val="00D472B0"/>
    <w:rsid w:val="00D47419"/>
    <w:rsid w:val="00D47720"/>
    <w:rsid w:val="00D477F1"/>
    <w:rsid w:val="00D47E62"/>
    <w:rsid w:val="00D50387"/>
    <w:rsid w:val="00D50658"/>
    <w:rsid w:val="00D509AF"/>
    <w:rsid w:val="00D50F02"/>
    <w:rsid w:val="00D51281"/>
    <w:rsid w:val="00D51361"/>
    <w:rsid w:val="00D518FA"/>
    <w:rsid w:val="00D51E67"/>
    <w:rsid w:val="00D52B57"/>
    <w:rsid w:val="00D536D2"/>
    <w:rsid w:val="00D54369"/>
    <w:rsid w:val="00D546D1"/>
    <w:rsid w:val="00D546FD"/>
    <w:rsid w:val="00D54949"/>
    <w:rsid w:val="00D54EA8"/>
    <w:rsid w:val="00D55044"/>
    <w:rsid w:val="00D552F4"/>
    <w:rsid w:val="00D553B3"/>
    <w:rsid w:val="00D55C3B"/>
    <w:rsid w:val="00D55D7B"/>
    <w:rsid w:val="00D56957"/>
    <w:rsid w:val="00D569F9"/>
    <w:rsid w:val="00D56CFA"/>
    <w:rsid w:val="00D57623"/>
    <w:rsid w:val="00D60363"/>
    <w:rsid w:val="00D6038D"/>
    <w:rsid w:val="00D609B1"/>
    <w:rsid w:val="00D60EA9"/>
    <w:rsid w:val="00D61540"/>
    <w:rsid w:val="00D617F1"/>
    <w:rsid w:val="00D61E60"/>
    <w:rsid w:val="00D62005"/>
    <w:rsid w:val="00D6230B"/>
    <w:rsid w:val="00D623C2"/>
    <w:rsid w:val="00D62A8D"/>
    <w:rsid w:val="00D62F23"/>
    <w:rsid w:val="00D63281"/>
    <w:rsid w:val="00D63318"/>
    <w:rsid w:val="00D63556"/>
    <w:rsid w:val="00D6357F"/>
    <w:rsid w:val="00D636C0"/>
    <w:rsid w:val="00D63B2B"/>
    <w:rsid w:val="00D63B58"/>
    <w:rsid w:val="00D64E5B"/>
    <w:rsid w:val="00D6521C"/>
    <w:rsid w:val="00D659CF"/>
    <w:rsid w:val="00D664BE"/>
    <w:rsid w:val="00D66773"/>
    <w:rsid w:val="00D66A74"/>
    <w:rsid w:val="00D66D7A"/>
    <w:rsid w:val="00D66EA1"/>
    <w:rsid w:val="00D67B88"/>
    <w:rsid w:val="00D704E4"/>
    <w:rsid w:val="00D70598"/>
    <w:rsid w:val="00D7150B"/>
    <w:rsid w:val="00D7188E"/>
    <w:rsid w:val="00D71B7A"/>
    <w:rsid w:val="00D72919"/>
    <w:rsid w:val="00D73185"/>
    <w:rsid w:val="00D73E11"/>
    <w:rsid w:val="00D73F6E"/>
    <w:rsid w:val="00D7451E"/>
    <w:rsid w:val="00D74B2C"/>
    <w:rsid w:val="00D74B4C"/>
    <w:rsid w:val="00D75AC2"/>
    <w:rsid w:val="00D75BF1"/>
    <w:rsid w:val="00D76FBB"/>
    <w:rsid w:val="00D76FBE"/>
    <w:rsid w:val="00D7785C"/>
    <w:rsid w:val="00D8013B"/>
    <w:rsid w:val="00D8055E"/>
    <w:rsid w:val="00D81D01"/>
    <w:rsid w:val="00D82B4D"/>
    <w:rsid w:val="00D82C44"/>
    <w:rsid w:val="00D82D9A"/>
    <w:rsid w:val="00D82F37"/>
    <w:rsid w:val="00D83C00"/>
    <w:rsid w:val="00D83C99"/>
    <w:rsid w:val="00D8471C"/>
    <w:rsid w:val="00D85236"/>
    <w:rsid w:val="00D85CC4"/>
    <w:rsid w:val="00D87461"/>
    <w:rsid w:val="00D9065D"/>
    <w:rsid w:val="00D91219"/>
    <w:rsid w:val="00D91267"/>
    <w:rsid w:val="00D92862"/>
    <w:rsid w:val="00D93119"/>
    <w:rsid w:val="00D93B79"/>
    <w:rsid w:val="00D93CBD"/>
    <w:rsid w:val="00D93E28"/>
    <w:rsid w:val="00D94C56"/>
    <w:rsid w:val="00D954BA"/>
    <w:rsid w:val="00D95791"/>
    <w:rsid w:val="00D95BA4"/>
    <w:rsid w:val="00D962F4"/>
    <w:rsid w:val="00D9674C"/>
    <w:rsid w:val="00D96E7A"/>
    <w:rsid w:val="00D972CA"/>
    <w:rsid w:val="00D972FC"/>
    <w:rsid w:val="00D97B5B"/>
    <w:rsid w:val="00DA077E"/>
    <w:rsid w:val="00DA1FC6"/>
    <w:rsid w:val="00DA3DE9"/>
    <w:rsid w:val="00DA4100"/>
    <w:rsid w:val="00DA41C5"/>
    <w:rsid w:val="00DA4246"/>
    <w:rsid w:val="00DA4622"/>
    <w:rsid w:val="00DA4C96"/>
    <w:rsid w:val="00DA4F81"/>
    <w:rsid w:val="00DA505A"/>
    <w:rsid w:val="00DA5C80"/>
    <w:rsid w:val="00DA5CE0"/>
    <w:rsid w:val="00DA6299"/>
    <w:rsid w:val="00DA6349"/>
    <w:rsid w:val="00DA65C9"/>
    <w:rsid w:val="00DA71C2"/>
    <w:rsid w:val="00DA71F9"/>
    <w:rsid w:val="00DB0DCA"/>
    <w:rsid w:val="00DB127A"/>
    <w:rsid w:val="00DB1A7E"/>
    <w:rsid w:val="00DB1BF3"/>
    <w:rsid w:val="00DB20E5"/>
    <w:rsid w:val="00DB40F4"/>
    <w:rsid w:val="00DB5213"/>
    <w:rsid w:val="00DB5B2A"/>
    <w:rsid w:val="00DB5D85"/>
    <w:rsid w:val="00DB5EBA"/>
    <w:rsid w:val="00DB6C42"/>
    <w:rsid w:val="00DB6FC3"/>
    <w:rsid w:val="00DB727A"/>
    <w:rsid w:val="00DB7417"/>
    <w:rsid w:val="00DB7777"/>
    <w:rsid w:val="00DB77DF"/>
    <w:rsid w:val="00DC045F"/>
    <w:rsid w:val="00DC14FC"/>
    <w:rsid w:val="00DC18C6"/>
    <w:rsid w:val="00DC2033"/>
    <w:rsid w:val="00DC2279"/>
    <w:rsid w:val="00DC227B"/>
    <w:rsid w:val="00DC258B"/>
    <w:rsid w:val="00DC2D0B"/>
    <w:rsid w:val="00DC2EEB"/>
    <w:rsid w:val="00DC31C5"/>
    <w:rsid w:val="00DC3712"/>
    <w:rsid w:val="00DC4143"/>
    <w:rsid w:val="00DC449A"/>
    <w:rsid w:val="00DC4E21"/>
    <w:rsid w:val="00DC50BF"/>
    <w:rsid w:val="00DC5168"/>
    <w:rsid w:val="00DC56E7"/>
    <w:rsid w:val="00DC5EB5"/>
    <w:rsid w:val="00DC61BD"/>
    <w:rsid w:val="00DC6F07"/>
    <w:rsid w:val="00DC7466"/>
    <w:rsid w:val="00DC75C4"/>
    <w:rsid w:val="00DC7727"/>
    <w:rsid w:val="00DC7D57"/>
    <w:rsid w:val="00DD027B"/>
    <w:rsid w:val="00DD0F7C"/>
    <w:rsid w:val="00DD198C"/>
    <w:rsid w:val="00DD290A"/>
    <w:rsid w:val="00DD3D6D"/>
    <w:rsid w:val="00DD4C06"/>
    <w:rsid w:val="00DD4C6F"/>
    <w:rsid w:val="00DD5691"/>
    <w:rsid w:val="00DD5C83"/>
    <w:rsid w:val="00DD5D47"/>
    <w:rsid w:val="00DD6302"/>
    <w:rsid w:val="00DD6319"/>
    <w:rsid w:val="00DD67DE"/>
    <w:rsid w:val="00DD6BC8"/>
    <w:rsid w:val="00DD706A"/>
    <w:rsid w:val="00DD7499"/>
    <w:rsid w:val="00DD78E8"/>
    <w:rsid w:val="00DD7EDB"/>
    <w:rsid w:val="00DE0171"/>
    <w:rsid w:val="00DE0207"/>
    <w:rsid w:val="00DE0210"/>
    <w:rsid w:val="00DE0ED3"/>
    <w:rsid w:val="00DE1BBF"/>
    <w:rsid w:val="00DE1E2D"/>
    <w:rsid w:val="00DE1F74"/>
    <w:rsid w:val="00DE2F57"/>
    <w:rsid w:val="00DE317D"/>
    <w:rsid w:val="00DE3B92"/>
    <w:rsid w:val="00DE4342"/>
    <w:rsid w:val="00DE46FD"/>
    <w:rsid w:val="00DE5351"/>
    <w:rsid w:val="00DE53C8"/>
    <w:rsid w:val="00DE62CC"/>
    <w:rsid w:val="00DE7ABF"/>
    <w:rsid w:val="00DF0064"/>
    <w:rsid w:val="00DF0827"/>
    <w:rsid w:val="00DF0A6B"/>
    <w:rsid w:val="00DF1762"/>
    <w:rsid w:val="00DF1E2A"/>
    <w:rsid w:val="00DF211A"/>
    <w:rsid w:val="00DF3414"/>
    <w:rsid w:val="00DF3A6A"/>
    <w:rsid w:val="00DF3FE2"/>
    <w:rsid w:val="00DF5086"/>
    <w:rsid w:val="00DF5398"/>
    <w:rsid w:val="00DF576A"/>
    <w:rsid w:val="00DF5930"/>
    <w:rsid w:val="00DF5D1F"/>
    <w:rsid w:val="00DF5ED6"/>
    <w:rsid w:val="00DF620C"/>
    <w:rsid w:val="00DF620F"/>
    <w:rsid w:val="00DF6FB9"/>
    <w:rsid w:val="00DF7D1A"/>
    <w:rsid w:val="00DF7D1F"/>
    <w:rsid w:val="00E004B0"/>
    <w:rsid w:val="00E00922"/>
    <w:rsid w:val="00E00CEA"/>
    <w:rsid w:val="00E00F97"/>
    <w:rsid w:val="00E011AC"/>
    <w:rsid w:val="00E014FE"/>
    <w:rsid w:val="00E01652"/>
    <w:rsid w:val="00E01B2A"/>
    <w:rsid w:val="00E0326C"/>
    <w:rsid w:val="00E03AD2"/>
    <w:rsid w:val="00E04289"/>
    <w:rsid w:val="00E057BA"/>
    <w:rsid w:val="00E064B2"/>
    <w:rsid w:val="00E06649"/>
    <w:rsid w:val="00E06A96"/>
    <w:rsid w:val="00E06DBF"/>
    <w:rsid w:val="00E074BB"/>
    <w:rsid w:val="00E07B2A"/>
    <w:rsid w:val="00E106A2"/>
    <w:rsid w:val="00E10A93"/>
    <w:rsid w:val="00E10AE7"/>
    <w:rsid w:val="00E122C2"/>
    <w:rsid w:val="00E12FA6"/>
    <w:rsid w:val="00E130FA"/>
    <w:rsid w:val="00E1310F"/>
    <w:rsid w:val="00E13408"/>
    <w:rsid w:val="00E13571"/>
    <w:rsid w:val="00E13ED7"/>
    <w:rsid w:val="00E14877"/>
    <w:rsid w:val="00E14EC5"/>
    <w:rsid w:val="00E14F88"/>
    <w:rsid w:val="00E151F3"/>
    <w:rsid w:val="00E153E0"/>
    <w:rsid w:val="00E15914"/>
    <w:rsid w:val="00E15A65"/>
    <w:rsid w:val="00E15C27"/>
    <w:rsid w:val="00E1644E"/>
    <w:rsid w:val="00E1659A"/>
    <w:rsid w:val="00E165DA"/>
    <w:rsid w:val="00E169A7"/>
    <w:rsid w:val="00E16E6B"/>
    <w:rsid w:val="00E16F66"/>
    <w:rsid w:val="00E1763D"/>
    <w:rsid w:val="00E20395"/>
    <w:rsid w:val="00E20844"/>
    <w:rsid w:val="00E20B32"/>
    <w:rsid w:val="00E215C4"/>
    <w:rsid w:val="00E220BB"/>
    <w:rsid w:val="00E22862"/>
    <w:rsid w:val="00E22B3D"/>
    <w:rsid w:val="00E22FF7"/>
    <w:rsid w:val="00E233F6"/>
    <w:rsid w:val="00E23757"/>
    <w:rsid w:val="00E241F9"/>
    <w:rsid w:val="00E245B7"/>
    <w:rsid w:val="00E24F07"/>
    <w:rsid w:val="00E25027"/>
    <w:rsid w:val="00E2549F"/>
    <w:rsid w:val="00E266E1"/>
    <w:rsid w:val="00E26DC0"/>
    <w:rsid w:val="00E30288"/>
    <w:rsid w:val="00E30805"/>
    <w:rsid w:val="00E30B1F"/>
    <w:rsid w:val="00E31BFD"/>
    <w:rsid w:val="00E32338"/>
    <w:rsid w:val="00E332BE"/>
    <w:rsid w:val="00E33E58"/>
    <w:rsid w:val="00E34141"/>
    <w:rsid w:val="00E3436B"/>
    <w:rsid w:val="00E3461C"/>
    <w:rsid w:val="00E3487F"/>
    <w:rsid w:val="00E34F29"/>
    <w:rsid w:val="00E35B51"/>
    <w:rsid w:val="00E36D9C"/>
    <w:rsid w:val="00E371E7"/>
    <w:rsid w:val="00E408A6"/>
    <w:rsid w:val="00E40977"/>
    <w:rsid w:val="00E40A7F"/>
    <w:rsid w:val="00E40DFF"/>
    <w:rsid w:val="00E41B29"/>
    <w:rsid w:val="00E41B94"/>
    <w:rsid w:val="00E4213D"/>
    <w:rsid w:val="00E42399"/>
    <w:rsid w:val="00E42D16"/>
    <w:rsid w:val="00E42E02"/>
    <w:rsid w:val="00E4325E"/>
    <w:rsid w:val="00E4376A"/>
    <w:rsid w:val="00E44643"/>
    <w:rsid w:val="00E44ACD"/>
    <w:rsid w:val="00E45DA0"/>
    <w:rsid w:val="00E45E21"/>
    <w:rsid w:val="00E46012"/>
    <w:rsid w:val="00E463BE"/>
    <w:rsid w:val="00E468B1"/>
    <w:rsid w:val="00E47555"/>
    <w:rsid w:val="00E4798B"/>
    <w:rsid w:val="00E47CE4"/>
    <w:rsid w:val="00E47CF3"/>
    <w:rsid w:val="00E50A66"/>
    <w:rsid w:val="00E51764"/>
    <w:rsid w:val="00E51863"/>
    <w:rsid w:val="00E526B0"/>
    <w:rsid w:val="00E52F78"/>
    <w:rsid w:val="00E53100"/>
    <w:rsid w:val="00E549F8"/>
    <w:rsid w:val="00E54F21"/>
    <w:rsid w:val="00E553E0"/>
    <w:rsid w:val="00E5595E"/>
    <w:rsid w:val="00E55E42"/>
    <w:rsid w:val="00E56063"/>
    <w:rsid w:val="00E568B6"/>
    <w:rsid w:val="00E56CA9"/>
    <w:rsid w:val="00E5726E"/>
    <w:rsid w:val="00E5773C"/>
    <w:rsid w:val="00E57D20"/>
    <w:rsid w:val="00E60754"/>
    <w:rsid w:val="00E60810"/>
    <w:rsid w:val="00E6148E"/>
    <w:rsid w:val="00E61758"/>
    <w:rsid w:val="00E621AF"/>
    <w:rsid w:val="00E62A7D"/>
    <w:rsid w:val="00E62E6E"/>
    <w:rsid w:val="00E635BB"/>
    <w:rsid w:val="00E65148"/>
    <w:rsid w:val="00E65339"/>
    <w:rsid w:val="00E65E10"/>
    <w:rsid w:val="00E6628C"/>
    <w:rsid w:val="00E666CE"/>
    <w:rsid w:val="00E66D59"/>
    <w:rsid w:val="00E66EB2"/>
    <w:rsid w:val="00E671B8"/>
    <w:rsid w:val="00E701DA"/>
    <w:rsid w:val="00E70433"/>
    <w:rsid w:val="00E707F5"/>
    <w:rsid w:val="00E70A34"/>
    <w:rsid w:val="00E7278D"/>
    <w:rsid w:val="00E728C7"/>
    <w:rsid w:val="00E72EB4"/>
    <w:rsid w:val="00E73287"/>
    <w:rsid w:val="00E7330E"/>
    <w:rsid w:val="00E73D27"/>
    <w:rsid w:val="00E74125"/>
    <w:rsid w:val="00E74FEF"/>
    <w:rsid w:val="00E75889"/>
    <w:rsid w:val="00E75895"/>
    <w:rsid w:val="00E75F5F"/>
    <w:rsid w:val="00E76096"/>
    <w:rsid w:val="00E76B0B"/>
    <w:rsid w:val="00E772C2"/>
    <w:rsid w:val="00E774C8"/>
    <w:rsid w:val="00E777A8"/>
    <w:rsid w:val="00E804D4"/>
    <w:rsid w:val="00E81105"/>
    <w:rsid w:val="00E81768"/>
    <w:rsid w:val="00E81D47"/>
    <w:rsid w:val="00E81DD0"/>
    <w:rsid w:val="00E81DD3"/>
    <w:rsid w:val="00E81E6B"/>
    <w:rsid w:val="00E81F22"/>
    <w:rsid w:val="00E82393"/>
    <w:rsid w:val="00E82DC9"/>
    <w:rsid w:val="00E8449A"/>
    <w:rsid w:val="00E8570F"/>
    <w:rsid w:val="00E85F04"/>
    <w:rsid w:val="00E85F62"/>
    <w:rsid w:val="00E86F12"/>
    <w:rsid w:val="00E875D1"/>
    <w:rsid w:val="00E87788"/>
    <w:rsid w:val="00E87835"/>
    <w:rsid w:val="00E87AC1"/>
    <w:rsid w:val="00E87E54"/>
    <w:rsid w:val="00E9073A"/>
    <w:rsid w:val="00E91652"/>
    <w:rsid w:val="00E91D45"/>
    <w:rsid w:val="00E92003"/>
    <w:rsid w:val="00E9223A"/>
    <w:rsid w:val="00E92966"/>
    <w:rsid w:val="00E92E31"/>
    <w:rsid w:val="00E92F36"/>
    <w:rsid w:val="00E93181"/>
    <w:rsid w:val="00E93957"/>
    <w:rsid w:val="00E94607"/>
    <w:rsid w:val="00E94732"/>
    <w:rsid w:val="00E94783"/>
    <w:rsid w:val="00E94EEF"/>
    <w:rsid w:val="00E95454"/>
    <w:rsid w:val="00E95B0E"/>
    <w:rsid w:val="00E96D55"/>
    <w:rsid w:val="00E96DF8"/>
    <w:rsid w:val="00E9783E"/>
    <w:rsid w:val="00E97899"/>
    <w:rsid w:val="00EA0205"/>
    <w:rsid w:val="00EA1248"/>
    <w:rsid w:val="00EA1C50"/>
    <w:rsid w:val="00EA1ED0"/>
    <w:rsid w:val="00EA25EF"/>
    <w:rsid w:val="00EA2D70"/>
    <w:rsid w:val="00EA40A9"/>
    <w:rsid w:val="00EA5534"/>
    <w:rsid w:val="00EA5AC0"/>
    <w:rsid w:val="00EA6437"/>
    <w:rsid w:val="00EA66EC"/>
    <w:rsid w:val="00EA6A19"/>
    <w:rsid w:val="00EA733C"/>
    <w:rsid w:val="00EB01BA"/>
    <w:rsid w:val="00EB0741"/>
    <w:rsid w:val="00EB0928"/>
    <w:rsid w:val="00EB1258"/>
    <w:rsid w:val="00EB2773"/>
    <w:rsid w:val="00EB2BB4"/>
    <w:rsid w:val="00EB2EB7"/>
    <w:rsid w:val="00EB38E9"/>
    <w:rsid w:val="00EB3AF4"/>
    <w:rsid w:val="00EB4BB3"/>
    <w:rsid w:val="00EB544E"/>
    <w:rsid w:val="00EB63CB"/>
    <w:rsid w:val="00EB6980"/>
    <w:rsid w:val="00EB6DCE"/>
    <w:rsid w:val="00EB723D"/>
    <w:rsid w:val="00EC01F8"/>
    <w:rsid w:val="00EC0352"/>
    <w:rsid w:val="00EC0CD4"/>
    <w:rsid w:val="00EC1C9A"/>
    <w:rsid w:val="00EC2F18"/>
    <w:rsid w:val="00EC3B19"/>
    <w:rsid w:val="00EC419E"/>
    <w:rsid w:val="00EC4753"/>
    <w:rsid w:val="00EC5513"/>
    <w:rsid w:val="00EC556B"/>
    <w:rsid w:val="00EC6721"/>
    <w:rsid w:val="00EC70D0"/>
    <w:rsid w:val="00EC7116"/>
    <w:rsid w:val="00ED07A7"/>
    <w:rsid w:val="00ED0E81"/>
    <w:rsid w:val="00ED0F40"/>
    <w:rsid w:val="00ED1E7F"/>
    <w:rsid w:val="00ED201B"/>
    <w:rsid w:val="00ED201F"/>
    <w:rsid w:val="00ED28DE"/>
    <w:rsid w:val="00ED2E3B"/>
    <w:rsid w:val="00ED2E5B"/>
    <w:rsid w:val="00ED2E8F"/>
    <w:rsid w:val="00ED3BF2"/>
    <w:rsid w:val="00ED3DF9"/>
    <w:rsid w:val="00ED4CA3"/>
    <w:rsid w:val="00ED5D49"/>
    <w:rsid w:val="00ED68D7"/>
    <w:rsid w:val="00ED69D9"/>
    <w:rsid w:val="00ED757F"/>
    <w:rsid w:val="00ED786B"/>
    <w:rsid w:val="00ED7D52"/>
    <w:rsid w:val="00ED7DC9"/>
    <w:rsid w:val="00ED7FB7"/>
    <w:rsid w:val="00EE076E"/>
    <w:rsid w:val="00EE0968"/>
    <w:rsid w:val="00EE1958"/>
    <w:rsid w:val="00EE2A2A"/>
    <w:rsid w:val="00EE3DA6"/>
    <w:rsid w:val="00EE4189"/>
    <w:rsid w:val="00EE41A2"/>
    <w:rsid w:val="00EE47DC"/>
    <w:rsid w:val="00EE4B7E"/>
    <w:rsid w:val="00EE4E04"/>
    <w:rsid w:val="00EE6503"/>
    <w:rsid w:val="00EE6C1B"/>
    <w:rsid w:val="00EE6FAF"/>
    <w:rsid w:val="00EE7D93"/>
    <w:rsid w:val="00EE7E8F"/>
    <w:rsid w:val="00EF0061"/>
    <w:rsid w:val="00EF081A"/>
    <w:rsid w:val="00EF12CC"/>
    <w:rsid w:val="00EF1C6B"/>
    <w:rsid w:val="00EF27D6"/>
    <w:rsid w:val="00EF3063"/>
    <w:rsid w:val="00EF3524"/>
    <w:rsid w:val="00EF3745"/>
    <w:rsid w:val="00EF402D"/>
    <w:rsid w:val="00EF4293"/>
    <w:rsid w:val="00EF471D"/>
    <w:rsid w:val="00EF4AB0"/>
    <w:rsid w:val="00EF53FB"/>
    <w:rsid w:val="00EF547C"/>
    <w:rsid w:val="00EF54A0"/>
    <w:rsid w:val="00EF5EA7"/>
    <w:rsid w:val="00EF67F3"/>
    <w:rsid w:val="00EF69C1"/>
    <w:rsid w:val="00EF7E37"/>
    <w:rsid w:val="00F00186"/>
    <w:rsid w:val="00F009A6"/>
    <w:rsid w:val="00F013A5"/>
    <w:rsid w:val="00F01525"/>
    <w:rsid w:val="00F01D0A"/>
    <w:rsid w:val="00F028C9"/>
    <w:rsid w:val="00F03476"/>
    <w:rsid w:val="00F045D5"/>
    <w:rsid w:val="00F05128"/>
    <w:rsid w:val="00F062E5"/>
    <w:rsid w:val="00F06B75"/>
    <w:rsid w:val="00F079A8"/>
    <w:rsid w:val="00F10020"/>
    <w:rsid w:val="00F11146"/>
    <w:rsid w:val="00F111D8"/>
    <w:rsid w:val="00F11E31"/>
    <w:rsid w:val="00F12369"/>
    <w:rsid w:val="00F1246D"/>
    <w:rsid w:val="00F12DC3"/>
    <w:rsid w:val="00F13513"/>
    <w:rsid w:val="00F136BC"/>
    <w:rsid w:val="00F13D54"/>
    <w:rsid w:val="00F141B9"/>
    <w:rsid w:val="00F15613"/>
    <w:rsid w:val="00F15AFE"/>
    <w:rsid w:val="00F160E6"/>
    <w:rsid w:val="00F1644B"/>
    <w:rsid w:val="00F16C7B"/>
    <w:rsid w:val="00F172A5"/>
    <w:rsid w:val="00F178E9"/>
    <w:rsid w:val="00F17D19"/>
    <w:rsid w:val="00F17EAC"/>
    <w:rsid w:val="00F20B07"/>
    <w:rsid w:val="00F20B22"/>
    <w:rsid w:val="00F20E45"/>
    <w:rsid w:val="00F21069"/>
    <w:rsid w:val="00F21C45"/>
    <w:rsid w:val="00F222A2"/>
    <w:rsid w:val="00F23C87"/>
    <w:rsid w:val="00F24272"/>
    <w:rsid w:val="00F248F8"/>
    <w:rsid w:val="00F24958"/>
    <w:rsid w:val="00F24A4B"/>
    <w:rsid w:val="00F24DAB"/>
    <w:rsid w:val="00F258BB"/>
    <w:rsid w:val="00F258C8"/>
    <w:rsid w:val="00F265AB"/>
    <w:rsid w:val="00F265E5"/>
    <w:rsid w:val="00F27008"/>
    <w:rsid w:val="00F270D4"/>
    <w:rsid w:val="00F27636"/>
    <w:rsid w:val="00F302A6"/>
    <w:rsid w:val="00F30552"/>
    <w:rsid w:val="00F30929"/>
    <w:rsid w:val="00F31467"/>
    <w:rsid w:val="00F318E2"/>
    <w:rsid w:val="00F31B41"/>
    <w:rsid w:val="00F327A9"/>
    <w:rsid w:val="00F3371E"/>
    <w:rsid w:val="00F33B00"/>
    <w:rsid w:val="00F33DDB"/>
    <w:rsid w:val="00F3423F"/>
    <w:rsid w:val="00F344B2"/>
    <w:rsid w:val="00F348B5"/>
    <w:rsid w:val="00F3495E"/>
    <w:rsid w:val="00F3498F"/>
    <w:rsid w:val="00F35420"/>
    <w:rsid w:val="00F3570F"/>
    <w:rsid w:val="00F35729"/>
    <w:rsid w:val="00F3573B"/>
    <w:rsid w:val="00F35F81"/>
    <w:rsid w:val="00F364CE"/>
    <w:rsid w:val="00F3717B"/>
    <w:rsid w:val="00F3764F"/>
    <w:rsid w:val="00F37727"/>
    <w:rsid w:val="00F3792E"/>
    <w:rsid w:val="00F37935"/>
    <w:rsid w:val="00F37BAD"/>
    <w:rsid w:val="00F40073"/>
    <w:rsid w:val="00F40BFE"/>
    <w:rsid w:val="00F411BA"/>
    <w:rsid w:val="00F42181"/>
    <w:rsid w:val="00F42B01"/>
    <w:rsid w:val="00F42CD8"/>
    <w:rsid w:val="00F42F70"/>
    <w:rsid w:val="00F43365"/>
    <w:rsid w:val="00F43E31"/>
    <w:rsid w:val="00F43F13"/>
    <w:rsid w:val="00F44742"/>
    <w:rsid w:val="00F44C33"/>
    <w:rsid w:val="00F45767"/>
    <w:rsid w:val="00F46AE8"/>
    <w:rsid w:val="00F46C4F"/>
    <w:rsid w:val="00F4745E"/>
    <w:rsid w:val="00F47562"/>
    <w:rsid w:val="00F4797B"/>
    <w:rsid w:val="00F5104D"/>
    <w:rsid w:val="00F51222"/>
    <w:rsid w:val="00F51443"/>
    <w:rsid w:val="00F51F1B"/>
    <w:rsid w:val="00F52B55"/>
    <w:rsid w:val="00F5325A"/>
    <w:rsid w:val="00F5366D"/>
    <w:rsid w:val="00F53751"/>
    <w:rsid w:val="00F5416B"/>
    <w:rsid w:val="00F548AC"/>
    <w:rsid w:val="00F5533E"/>
    <w:rsid w:val="00F55916"/>
    <w:rsid w:val="00F55BC1"/>
    <w:rsid w:val="00F55EEE"/>
    <w:rsid w:val="00F5627A"/>
    <w:rsid w:val="00F579A1"/>
    <w:rsid w:val="00F57ADB"/>
    <w:rsid w:val="00F601BB"/>
    <w:rsid w:val="00F60DE7"/>
    <w:rsid w:val="00F61168"/>
    <w:rsid w:val="00F62156"/>
    <w:rsid w:val="00F6226F"/>
    <w:rsid w:val="00F62332"/>
    <w:rsid w:val="00F626F7"/>
    <w:rsid w:val="00F62B9A"/>
    <w:rsid w:val="00F62D08"/>
    <w:rsid w:val="00F63654"/>
    <w:rsid w:val="00F64793"/>
    <w:rsid w:val="00F65CB2"/>
    <w:rsid w:val="00F65D1D"/>
    <w:rsid w:val="00F65EB4"/>
    <w:rsid w:val="00F66D7E"/>
    <w:rsid w:val="00F678BA"/>
    <w:rsid w:val="00F67B87"/>
    <w:rsid w:val="00F70B57"/>
    <w:rsid w:val="00F70BA7"/>
    <w:rsid w:val="00F71880"/>
    <w:rsid w:val="00F721DA"/>
    <w:rsid w:val="00F72884"/>
    <w:rsid w:val="00F72BBC"/>
    <w:rsid w:val="00F73F5F"/>
    <w:rsid w:val="00F74171"/>
    <w:rsid w:val="00F74863"/>
    <w:rsid w:val="00F74BE8"/>
    <w:rsid w:val="00F75283"/>
    <w:rsid w:val="00F75399"/>
    <w:rsid w:val="00F75571"/>
    <w:rsid w:val="00F76473"/>
    <w:rsid w:val="00F77226"/>
    <w:rsid w:val="00F77829"/>
    <w:rsid w:val="00F77BD7"/>
    <w:rsid w:val="00F80783"/>
    <w:rsid w:val="00F80822"/>
    <w:rsid w:val="00F80845"/>
    <w:rsid w:val="00F8096D"/>
    <w:rsid w:val="00F80C4B"/>
    <w:rsid w:val="00F81FA2"/>
    <w:rsid w:val="00F82BD0"/>
    <w:rsid w:val="00F831E5"/>
    <w:rsid w:val="00F83220"/>
    <w:rsid w:val="00F83F8E"/>
    <w:rsid w:val="00F85234"/>
    <w:rsid w:val="00F8598B"/>
    <w:rsid w:val="00F875DB"/>
    <w:rsid w:val="00F8772C"/>
    <w:rsid w:val="00F9077D"/>
    <w:rsid w:val="00F923F7"/>
    <w:rsid w:val="00F92ECE"/>
    <w:rsid w:val="00F92EFE"/>
    <w:rsid w:val="00F92F44"/>
    <w:rsid w:val="00F93A99"/>
    <w:rsid w:val="00F93EC3"/>
    <w:rsid w:val="00F94349"/>
    <w:rsid w:val="00F948B4"/>
    <w:rsid w:val="00F949CA"/>
    <w:rsid w:val="00F95061"/>
    <w:rsid w:val="00F95DBD"/>
    <w:rsid w:val="00F96691"/>
    <w:rsid w:val="00F9682F"/>
    <w:rsid w:val="00F9767F"/>
    <w:rsid w:val="00FA0126"/>
    <w:rsid w:val="00FA03A8"/>
    <w:rsid w:val="00FA053F"/>
    <w:rsid w:val="00FA0D7E"/>
    <w:rsid w:val="00FA0D91"/>
    <w:rsid w:val="00FA12E8"/>
    <w:rsid w:val="00FA398E"/>
    <w:rsid w:val="00FA3CCA"/>
    <w:rsid w:val="00FA4224"/>
    <w:rsid w:val="00FA4291"/>
    <w:rsid w:val="00FA42E8"/>
    <w:rsid w:val="00FA44F4"/>
    <w:rsid w:val="00FA4BE6"/>
    <w:rsid w:val="00FA5140"/>
    <w:rsid w:val="00FA6D59"/>
    <w:rsid w:val="00FA726D"/>
    <w:rsid w:val="00FA7665"/>
    <w:rsid w:val="00FA7EFC"/>
    <w:rsid w:val="00FB02F8"/>
    <w:rsid w:val="00FB08AE"/>
    <w:rsid w:val="00FB0A2E"/>
    <w:rsid w:val="00FB1621"/>
    <w:rsid w:val="00FB165C"/>
    <w:rsid w:val="00FB1991"/>
    <w:rsid w:val="00FB1CB6"/>
    <w:rsid w:val="00FB1D31"/>
    <w:rsid w:val="00FB22EA"/>
    <w:rsid w:val="00FB2B18"/>
    <w:rsid w:val="00FB324A"/>
    <w:rsid w:val="00FB3315"/>
    <w:rsid w:val="00FB3781"/>
    <w:rsid w:val="00FB40B9"/>
    <w:rsid w:val="00FB480A"/>
    <w:rsid w:val="00FB4E18"/>
    <w:rsid w:val="00FB50C3"/>
    <w:rsid w:val="00FB5CCA"/>
    <w:rsid w:val="00FB5CE4"/>
    <w:rsid w:val="00FB6142"/>
    <w:rsid w:val="00FB61D7"/>
    <w:rsid w:val="00FB627D"/>
    <w:rsid w:val="00FB62E5"/>
    <w:rsid w:val="00FB6AFA"/>
    <w:rsid w:val="00FB6D19"/>
    <w:rsid w:val="00FB70E3"/>
    <w:rsid w:val="00FB7C95"/>
    <w:rsid w:val="00FC0481"/>
    <w:rsid w:val="00FC08D5"/>
    <w:rsid w:val="00FC18DA"/>
    <w:rsid w:val="00FC2075"/>
    <w:rsid w:val="00FC3144"/>
    <w:rsid w:val="00FC32DF"/>
    <w:rsid w:val="00FC331B"/>
    <w:rsid w:val="00FC3E26"/>
    <w:rsid w:val="00FC56F3"/>
    <w:rsid w:val="00FC5FEA"/>
    <w:rsid w:val="00FC60D2"/>
    <w:rsid w:val="00FC692B"/>
    <w:rsid w:val="00FC6B2C"/>
    <w:rsid w:val="00FC6CA3"/>
    <w:rsid w:val="00FC7449"/>
    <w:rsid w:val="00FC75C3"/>
    <w:rsid w:val="00FC787B"/>
    <w:rsid w:val="00FC7A4E"/>
    <w:rsid w:val="00FC7C49"/>
    <w:rsid w:val="00FC7DB7"/>
    <w:rsid w:val="00FD16DF"/>
    <w:rsid w:val="00FD1A3A"/>
    <w:rsid w:val="00FD1FF9"/>
    <w:rsid w:val="00FD2EA0"/>
    <w:rsid w:val="00FD31F6"/>
    <w:rsid w:val="00FD4158"/>
    <w:rsid w:val="00FD41CD"/>
    <w:rsid w:val="00FD4AFB"/>
    <w:rsid w:val="00FD4BAA"/>
    <w:rsid w:val="00FD5025"/>
    <w:rsid w:val="00FD57E9"/>
    <w:rsid w:val="00FD5EA3"/>
    <w:rsid w:val="00FD6C49"/>
    <w:rsid w:val="00FD6E22"/>
    <w:rsid w:val="00FD7544"/>
    <w:rsid w:val="00FD7D16"/>
    <w:rsid w:val="00FE1A03"/>
    <w:rsid w:val="00FE1CB1"/>
    <w:rsid w:val="00FE3160"/>
    <w:rsid w:val="00FE32B4"/>
    <w:rsid w:val="00FE34A6"/>
    <w:rsid w:val="00FE38B7"/>
    <w:rsid w:val="00FE398A"/>
    <w:rsid w:val="00FE4783"/>
    <w:rsid w:val="00FE4883"/>
    <w:rsid w:val="00FE4A8C"/>
    <w:rsid w:val="00FE4BF2"/>
    <w:rsid w:val="00FE5931"/>
    <w:rsid w:val="00FE5E29"/>
    <w:rsid w:val="00FE6A1C"/>
    <w:rsid w:val="00FE72C4"/>
    <w:rsid w:val="00FE779B"/>
    <w:rsid w:val="00FE7C85"/>
    <w:rsid w:val="00FE7F44"/>
    <w:rsid w:val="00FF055E"/>
    <w:rsid w:val="00FF086F"/>
    <w:rsid w:val="00FF10B8"/>
    <w:rsid w:val="00FF176E"/>
    <w:rsid w:val="00FF1C1A"/>
    <w:rsid w:val="00FF1E84"/>
    <w:rsid w:val="00FF26ED"/>
    <w:rsid w:val="00FF3218"/>
    <w:rsid w:val="00FF345F"/>
    <w:rsid w:val="00FF35A2"/>
    <w:rsid w:val="00FF3DC6"/>
    <w:rsid w:val="00FF4424"/>
    <w:rsid w:val="00FF450D"/>
    <w:rsid w:val="00FF5CB6"/>
    <w:rsid w:val="00FF6022"/>
    <w:rsid w:val="00FF6134"/>
    <w:rsid w:val="00FF6323"/>
    <w:rsid w:val="00FF690E"/>
    <w:rsid w:val="00FF7D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C2"/>
    <w:pPr>
      <w:spacing w:after="0" w:line="240" w:lineRule="auto"/>
    </w:pPr>
    <w:rPr>
      <w:rFonts w:ascii="Times New Roman" w:eastAsia="Times New Roman" w:hAnsi="Times New Roman" w:cs="Times New Roman"/>
      <w:sz w:val="20"/>
      <w:szCs w:val="20"/>
      <w:lang w:val="en-GB"/>
    </w:rPr>
  </w:style>
  <w:style w:type="paragraph" w:styleId="Cabealho1">
    <w:name w:val="heading 1"/>
    <w:basedOn w:val="Normal"/>
    <w:next w:val="Normal"/>
    <w:link w:val="Cabealho1Carcter"/>
    <w:uiPriority w:val="9"/>
    <w:qFormat/>
    <w:rsid w:val="00E03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link w:val="Cabealho2Carcter"/>
    <w:uiPriority w:val="9"/>
    <w:qFormat/>
    <w:rsid w:val="00B53253"/>
    <w:pPr>
      <w:spacing w:before="100" w:beforeAutospacing="1" w:after="100" w:afterAutospacing="1"/>
      <w:outlineLvl w:val="1"/>
    </w:pPr>
    <w:rPr>
      <w:b/>
      <w:bCs/>
      <w:sz w:val="36"/>
      <w:szCs w:val="36"/>
      <w:lang w:val="pt-PT" w:eastAsia="pt-PT"/>
    </w:rPr>
  </w:style>
  <w:style w:type="paragraph" w:styleId="Cabealho3">
    <w:name w:val="heading 3"/>
    <w:basedOn w:val="Normal"/>
    <w:next w:val="Normal"/>
    <w:link w:val="Cabealho3Carcter"/>
    <w:uiPriority w:val="9"/>
    <w:semiHidden/>
    <w:unhideWhenUsed/>
    <w:qFormat/>
    <w:rsid w:val="008A52B0"/>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47BC2"/>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0C05A1"/>
    <w:pPr>
      <w:ind w:left="720"/>
      <w:contextualSpacing/>
    </w:pPr>
  </w:style>
  <w:style w:type="character" w:customStyle="1" w:styleId="Cabealho2Carcter">
    <w:name w:val="Cabeçalho 2 Carácter"/>
    <w:basedOn w:val="Tipodeletrapredefinidodopargrafo"/>
    <w:link w:val="Cabealho2"/>
    <w:uiPriority w:val="9"/>
    <w:rsid w:val="00B53253"/>
    <w:rPr>
      <w:rFonts w:ascii="Times New Roman" w:eastAsia="Times New Roman" w:hAnsi="Times New Roman" w:cs="Times New Roman"/>
      <w:b/>
      <w:bCs/>
      <w:sz w:val="36"/>
      <w:szCs w:val="36"/>
      <w:lang w:eastAsia="pt-PT"/>
    </w:rPr>
  </w:style>
  <w:style w:type="character" w:styleId="Refdenotaderodap">
    <w:name w:val="footnote reference"/>
    <w:uiPriority w:val="99"/>
    <w:rsid w:val="001A4F9B"/>
    <w:rPr>
      <w:rFonts w:cs="Times New Roman"/>
      <w:vertAlign w:val="superscript"/>
    </w:rPr>
  </w:style>
  <w:style w:type="paragraph" w:styleId="Textodenotaderodap">
    <w:name w:val="footnote text"/>
    <w:basedOn w:val="Normal"/>
    <w:link w:val="TextodenotaderodapCarcter"/>
    <w:uiPriority w:val="99"/>
    <w:rsid w:val="001A4F9B"/>
  </w:style>
  <w:style w:type="character" w:customStyle="1" w:styleId="TextodenotaderodapCarcter">
    <w:name w:val="Texto de nota de rodapé Carácter"/>
    <w:basedOn w:val="Tipodeletrapredefinidodopargrafo"/>
    <w:link w:val="Textodenotaderodap"/>
    <w:uiPriority w:val="99"/>
    <w:rsid w:val="001A4F9B"/>
    <w:rPr>
      <w:rFonts w:ascii="Times New Roman" w:eastAsia="Times New Roman" w:hAnsi="Times New Roman" w:cs="Times New Roman"/>
      <w:sz w:val="20"/>
      <w:szCs w:val="20"/>
      <w:lang w:val="en-GB"/>
    </w:rPr>
  </w:style>
  <w:style w:type="character" w:customStyle="1" w:styleId="reference-text">
    <w:name w:val="reference-text"/>
    <w:basedOn w:val="Tipodeletrapredefinidodopargrafo"/>
    <w:rsid w:val="001A4F9B"/>
  </w:style>
  <w:style w:type="character" w:styleId="nfase">
    <w:name w:val="Emphasis"/>
    <w:basedOn w:val="Tipodeletrapredefinidodopargrafo"/>
    <w:uiPriority w:val="20"/>
    <w:qFormat/>
    <w:rsid w:val="00DA077E"/>
    <w:rPr>
      <w:i/>
      <w:iCs/>
    </w:rPr>
  </w:style>
  <w:style w:type="paragraph" w:styleId="Textodebalo">
    <w:name w:val="Balloon Text"/>
    <w:basedOn w:val="Normal"/>
    <w:link w:val="TextodebaloCarcter"/>
    <w:uiPriority w:val="99"/>
    <w:semiHidden/>
    <w:unhideWhenUsed/>
    <w:rsid w:val="00DA077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A077E"/>
    <w:rPr>
      <w:rFonts w:ascii="Tahoma" w:eastAsia="Times New Roman" w:hAnsi="Tahoma" w:cs="Tahoma"/>
      <w:sz w:val="16"/>
      <w:szCs w:val="16"/>
      <w:lang w:val="en-GB"/>
    </w:rPr>
  </w:style>
  <w:style w:type="character" w:customStyle="1" w:styleId="leftside">
    <w:name w:val="left_side"/>
    <w:basedOn w:val="Tipodeletrapredefinidodopargrafo"/>
    <w:rsid w:val="00F17EAC"/>
  </w:style>
  <w:style w:type="character" w:customStyle="1" w:styleId="Cabealho3Carcter">
    <w:name w:val="Cabeçalho 3 Carácter"/>
    <w:basedOn w:val="Tipodeletrapredefinidodopargrafo"/>
    <w:link w:val="Cabealho3"/>
    <w:uiPriority w:val="9"/>
    <w:semiHidden/>
    <w:rsid w:val="008A52B0"/>
    <w:rPr>
      <w:rFonts w:asciiTheme="majorHAnsi" w:eastAsiaTheme="majorEastAsia" w:hAnsiTheme="majorHAnsi" w:cstheme="majorBidi"/>
      <w:b/>
      <w:bCs/>
      <w:color w:val="4F81BD" w:themeColor="accent1"/>
      <w:sz w:val="20"/>
      <w:szCs w:val="20"/>
      <w:lang w:val="en-GB"/>
    </w:rPr>
  </w:style>
  <w:style w:type="character" w:styleId="Hiperligao">
    <w:name w:val="Hyperlink"/>
    <w:basedOn w:val="Tipodeletrapredefinidodopargrafo"/>
    <w:uiPriority w:val="99"/>
    <w:unhideWhenUsed/>
    <w:rsid w:val="004661BF"/>
    <w:rPr>
      <w:color w:val="0000FF" w:themeColor="hyperlink"/>
      <w:u w:val="single"/>
    </w:rPr>
  </w:style>
  <w:style w:type="character" w:customStyle="1" w:styleId="Cabealho1Carcter">
    <w:name w:val="Cabeçalho 1 Carácter"/>
    <w:basedOn w:val="Tipodeletrapredefinidodopargrafo"/>
    <w:link w:val="Cabealho1"/>
    <w:uiPriority w:val="9"/>
    <w:rsid w:val="00E0326C"/>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C2"/>
    <w:pPr>
      <w:spacing w:after="0" w:line="240" w:lineRule="auto"/>
    </w:pPr>
    <w:rPr>
      <w:rFonts w:ascii="Times New Roman" w:eastAsia="Times New Roman" w:hAnsi="Times New Roman" w:cs="Times New Roman"/>
      <w:sz w:val="20"/>
      <w:szCs w:val="20"/>
      <w:lang w:val="en-GB"/>
    </w:rPr>
  </w:style>
  <w:style w:type="paragraph" w:styleId="Cabealho1">
    <w:name w:val="heading 1"/>
    <w:basedOn w:val="Normal"/>
    <w:next w:val="Normal"/>
    <w:link w:val="Cabealho1Carcter"/>
    <w:uiPriority w:val="9"/>
    <w:qFormat/>
    <w:rsid w:val="00E03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link w:val="Cabealho2Carcter"/>
    <w:uiPriority w:val="9"/>
    <w:qFormat/>
    <w:rsid w:val="00B53253"/>
    <w:pPr>
      <w:spacing w:before="100" w:beforeAutospacing="1" w:after="100" w:afterAutospacing="1"/>
      <w:outlineLvl w:val="1"/>
    </w:pPr>
    <w:rPr>
      <w:b/>
      <w:bCs/>
      <w:sz w:val="36"/>
      <w:szCs w:val="36"/>
      <w:lang w:val="pt-PT" w:eastAsia="pt-PT"/>
    </w:rPr>
  </w:style>
  <w:style w:type="paragraph" w:styleId="Cabealho3">
    <w:name w:val="heading 3"/>
    <w:basedOn w:val="Normal"/>
    <w:next w:val="Normal"/>
    <w:link w:val="Cabealho3Carcter"/>
    <w:uiPriority w:val="9"/>
    <w:semiHidden/>
    <w:unhideWhenUsed/>
    <w:qFormat/>
    <w:rsid w:val="008A52B0"/>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47BC2"/>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0C05A1"/>
    <w:pPr>
      <w:ind w:left="720"/>
      <w:contextualSpacing/>
    </w:pPr>
  </w:style>
  <w:style w:type="character" w:customStyle="1" w:styleId="Cabealho2Carcter">
    <w:name w:val="Cabeçalho 2 Carácter"/>
    <w:basedOn w:val="Tipodeletrapredefinidodopargrafo"/>
    <w:link w:val="Cabealho2"/>
    <w:uiPriority w:val="9"/>
    <w:rsid w:val="00B53253"/>
    <w:rPr>
      <w:rFonts w:ascii="Times New Roman" w:eastAsia="Times New Roman" w:hAnsi="Times New Roman" w:cs="Times New Roman"/>
      <w:b/>
      <w:bCs/>
      <w:sz w:val="36"/>
      <w:szCs w:val="36"/>
      <w:lang w:eastAsia="pt-PT"/>
    </w:rPr>
  </w:style>
  <w:style w:type="character" w:styleId="Refdenotaderodap">
    <w:name w:val="footnote reference"/>
    <w:uiPriority w:val="99"/>
    <w:rsid w:val="001A4F9B"/>
    <w:rPr>
      <w:rFonts w:cs="Times New Roman"/>
      <w:vertAlign w:val="superscript"/>
    </w:rPr>
  </w:style>
  <w:style w:type="paragraph" w:styleId="Textodenotaderodap">
    <w:name w:val="footnote text"/>
    <w:basedOn w:val="Normal"/>
    <w:link w:val="TextodenotaderodapCarcter"/>
    <w:uiPriority w:val="99"/>
    <w:rsid w:val="001A4F9B"/>
  </w:style>
  <w:style w:type="character" w:customStyle="1" w:styleId="TextodenotaderodapCarcter">
    <w:name w:val="Texto de nota de rodapé Carácter"/>
    <w:basedOn w:val="Tipodeletrapredefinidodopargrafo"/>
    <w:link w:val="Textodenotaderodap"/>
    <w:uiPriority w:val="99"/>
    <w:rsid w:val="001A4F9B"/>
    <w:rPr>
      <w:rFonts w:ascii="Times New Roman" w:eastAsia="Times New Roman" w:hAnsi="Times New Roman" w:cs="Times New Roman"/>
      <w:sz w:val="20"/>
      <w:szCs w:val="20"/>
      <w:lang w:val="en-GB"/>
    </w:rPr>
  </w:style>
  <w:style w:type="character" w:customStyle="1" w:styleId="reference-text">
    <w:name w:val="reference-text"/>
    <w:basedOn w:val="Tipodeletrapredefinidodopargrafo"/>
    <w:rsid w:val="001A4F9B"/>
  </w:style>
  <w:style w:type="character" w:styleId="nfase">
    <w:name w:val="Emphasis"/>
    <w:basedOn w:val="Tipodeletrapredefinidodopargrafo"/>
    <w:uiPriority w:val="20"/>
    <w:qFormat/>
    <w:rsid w:val="00DA077E"/>
    <w:rPr>
      <w:i/>
      <w:iCs/>
    </w:rPr>
  </w:style>
  <w:style w:type="paragraph" w:styleId="Textodebalo">
    <w:name w:val="Balloon Text"/>
    <w:basedOn w:val="Normal"/>
    <w:link w:val="TextodebaloCarcter"/>
    <w:uiPriority w:val="99"/>
    <w:semiHidden/>
    <w:unhideWhenUsed/>
    <w:rsid w:val="00DA077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A077E"/>
    <w:rPr>
      <w:rFonts w:ascii="Tahoma" w:eastAsia="Times New Roman" w:hAnsi="Tahoma" w:cs="Tahoma"/>
      <w:sz w:val="16"/>
      <w:szCs w:val="16"/>
      <w:lang w:val="en-GB"/>
    </w:rPr>
  </w:style>
  <w:style w:type="character" w:customStyle="1" w:styleId="leftside">
    <w:name w:val="left_side"/>
    <w:basedOn w:val="Tipodeletrapredefinidodopargrafo"/>
    <w:rsid w:val="00F17EAC"/>
  </w:style>
  <w:style w:type="character" w:customStyle="1" w:styleId="Cabealho3Carcter">
    <w:name w:val="Cabeçalho 3 Carácter"/>
    <w:basedOn w:val="Tipodeletrapredefinidodopargrafo"/>
    <w:link w:val="Cabealho3"/>
    <w:uiPriority w:val="9"/>
    <w:semiHidden/>
    <w:rsid w:val="008A52B0"/>
    <w:rPr>
      <w:rFonts w:asciiTheme="majorHAnsi" w:eastAsiaTheme="majorEastAsia" w:hAnsiTheme="majorHAnsi" w:cstheme="majorBidi"/>
      <w:b/>
      <w:bCs/>
      <w:color w:val="4F81BD" w:themeColor="accent1"/>
      <w:sz w:val="20"/>
      <w:szCs w:val="20"/>
      <w:lang w:val="en-GB"/>
    </w:rPr>
  </w:style>
  <w:style w:type="character" w:styleId="Hiperligao">
    <w:name w:val="Hyperlink"/>
    <w:basedOn w:val="Tipodeletrapredefinidodopargrafo"/>
    <w:uiPriority w:val="99"/>
    <w:unhideWhenUsed/>
    <w:rsid w:val="004661BF"/>
    <w:rPr>
      <w:color w:val="0000FF" w:themeColor="hyperlink"/>
      <w:u w:val="single"/>
    </w:rPr>
  </w:style>
  <w:style w:type="character" w:customStyle="1" w:styleId="Cabealho1Carcter">
    <w:name w:val="Cabeçalho 1 Carácter"/>
    <w:basedOn w:val="Tipodeletrapredefinidodopargrafo"/>
    <w:link w:val="Cabealho1"/>
    <w:uiPriority w:val="9"/>
    <w:rsid w:val="00E0326C"/>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3825">
      <w:bodyDiv w:val="1"/>
      <w:marLeft w:val="0"/>
      <w:marRight w:val="0"/>
      <w:marTop w:val="0"/>
      <w:marBottom w:val="0"/>
      <w:divBdr>
        <w:top w:val="none" w:sz="0" w:space="0" w:color="auto"/>
        <w:left w:val="none" w:sz="0" w:space="0" w:color="auto"/>
        <w:bottom w:val="none" w:sz="0" w:space="0" w:color="auto"/>
        <w:right w:val="none" w:sz="0" w:space="0" w:color="auto"/>
      </w:divBdr>
      <w:divsChild>
        <w:div w:id="823157290">
          <w:marLeft w:val="0"/>
          <w:marRight w:val="0"/>
          <w:marTop w:val="30"/>
          <w:marBottom w:val="0"/>
          <w:divBdr>
            <w:top w:val="none" w:sz="0" w:space="0" w:color="auto"/>
            <w:left w:val="none" w:sz="0" w:space="0" w:color="auto"/>
            <w:bottom w:val="none" w:sz="0" w:space="0" w:color="auto"/>
            <w:right w:val="none" w:sz="0" w:space="0" w:color="auto"/>
          </w:divBdr>
        </w:div>
        <w:div w:id="2037581629">
          <w:marLeft w:val="0"/>
          <w:marRight w:val="0"/>
          <w:marTop w:val="30"/>
          <w:marBottom w:val="0"/>
          <w:divBdr>
            <w:top w:val="none" w:sz="0" w:space="0" w:color="auto"/>
            <w:left w:val="none" w:sz="0" w:space="0" w:color="auto"/>
            <w:bottom w:val="none" w:sz="0" w:space="0" w:color="auto"/>
            <w:right w:val="none" w:sz="0" w:space="0" w:color="auto"/>
          </w:divBdr>
        </w:div>
        <w:div w:id="947545714">
          <w:marLeft w:val="0"/>
          <w:marRight w:val="0"/>
          <w:marTop w:val="30"/>
          <w:marBottom w:val="0"/>
          <w:divBdr>
            <w:top w:val="none" w:sz="0" w:space="0" w:color="auto"/>
            <w:left w:val="none" w:sz="0" w:space="0" w:color="auto"/>
            <w:bottom w:val="none" w:sz="0" w:space="0" w:color="auto"/>
            <w:right w:val="none" w:sz="0" w:space="0" w:color="auto"/>
          </w:divBdr>
        </w:div>
        <w:div w:id="1172600733">
          <w:marLeft w:val="0"/>
          <w:marRight w:val="0"/>
          <w:marTop w:val="30"/>
          <w:marBottom w:val="0"/>
          <w:divBdr>
            <w:top w:val="none" w:sz="0" w:space="0" w:color="auto"/>
            <w:left w:val="none" w:sz="0" w:space="0" w:color="auto"/>
            <w:bottom w:val="none" w:sz="0" w:space="0" w:color="auto"/>
            <w:right w:val="none" w:sz="0" w:space="0" w:color="auto"/>
          </w:divBdr>
        </w:div>
        <w:div w:id="1737390783">
          <w:marLeft w:val="0"/>
          <w:marRight w:val="0"/>
          <w:marTop w:val="30"/>
          <w:marBottom w:val="0"/>
          <w:divBdr>
            <w:top w:val="none" w:sz="0" w:space="0" w:color="auto"/>
            <w:left w:val="none" w:sz="0" w:space="0" w:color="auto"/>
            <w:bottom w:val="none" w:sz="0" w:space="0" w:color="auto"/>
            <w:right w:val="none" w:sz="0" w:space="0" w:color="auto"/>
          </w:divBdr>
        </w:div>
        <w:div w:id="798259231">
          <w:marLeft w:val="0"/>
          <w:marRight w:val="0"/>
          <w:marTop w:val="30"/>
          <w:marBottom w:val="0"/>
          <w:divBdr>
            <w:top w:val="none" w:sz="0" w:space="0" w:color="auto"/>
            <w:left w:val="none" w:sz="0" w:space="0" w:color="auto"/>
            <w:bottom w:val="none" w:sz="0" w:space="0" w:color="auto"/>
            <w:right w:val="none" w:sz="0" w:space="0" w:color="auto"/>
          </w:divBdr>
        </w:div>
        <w:div w:id="1745762617">
          <w:marLeft w:val="0"/>
          <w:marRight w:val="0"/>
          <w:marTop w:val="30"/>
          <w:marBottom w:val="0"/>
          <w:divBdr>
            <w:top w:val="none" w:sz="0" w:space="0" w:color="auto"/>
            <w:left w:val="none" w:sz="0" w:space="0" w:color="auto"/>
            <w:bottom w:val="none" w:sz="0" w:space="0" w:color="auto"/>
            <w:right w:val="none" w:sz="0" w:space="0" w:color="auto"/>
          </w:divBdr>
        </w:div>
        <w:div w:id="1508716300">
          <w:marLeft w:val="0"/>
          <w:marRight w:val="0"/>
          <w:marTop w:val="30"/>
          <w:marBottom w:val="0"/>
          <w:divBdr>
            <w:top w:val="none" w:sz="0" w:space="0" w:color="auto"/>
            <w:left w:val="none" w:sz="0" w:space="0" w:color="auto"/>
            <w:bottom w:val="none" w:sz="0" w:space="0" w:color="auto"/>
            <w:right w:val="none" w:sz="0" w:space="0" w:color="auto"/>
          </w:divBdr>
        </w:div>
      </w:divsChild>
    </w:div>
    <w:div w:id="66541850">
      <w:bodyDiv w:val="1"/>
      <w:marLeft w:val="0"/>
      <w:marRight w:val="0"/>
      <w:marTop w:val="0"/>
      <w:marBottom w:val="0"/>
      <w:divBdr>
        <w:top w:val="none" w:sz="0" w:space="0" w:color="auto"/>
        <w:left w:val="none" w:sz="0" w:space="0" w:color="auto"/>
        <w:bottom w:val="none" w:sz="0" w:space="0" w:color="auto"/>
        <w:right w:val="none" w:sz="0" w:space="0" w:color="auto"/>
      </w:divBdr>
    </w:div>
    <w:div w:id="82655425">
      <w:bodyDiv w:val="1"/>
      <w:marLeft w:val="0"/>
      <w:marRight w:val="0"/>
      <w:marTop w:val="0"/>
      <w:marBottom w:val="0"/>
      <w:divBdr>
        <w:top w:val="none" w:sz="0" w:space="0" w:color="auto"/>
        <w:left w:val="none" w:sz="0" w:space="0" w:color="auto"/>
        <w:bottom w:val="none" w:sz="0" w:space="0" w:color="auto"/>
        <w:right w:val="none" w:sz="0" w:space="0" w:color="auto"/>
      </w:divBdr>
    </w:div>
    <w:div w:id="105581591">
      <w:bodyDiv w:val="1"/>
      <w:marLeft w:val="0"/>
      <w:marRight w:val="0"/>
      <w:marTop w:val="0"/>
      <w:marBottom w:val="0"/>
      <w:divBdr>
        <w:top w:val="none" w:sz="0" w:space="0" w:color="auto"/>
        <w:left w:val="none" w:sz="0" w:space="0" w:color="auto"/>
        <w:bottom w:val="none" w:sz="0" w:space="0" w:color="auto"/>
        <w:right w:val="none" w:sz="0" w:space="0" w:color="auto"/>
      </w:divBdr>
    </w:div>
    <w:div w:id="117839618">
      <w:bodyDiv w:val="1"/>
      <w:marLeft w:val="0"/>
      <w:marRight w:val="0"/>
      <w:marTop w:val="0"/>
      <w:marBottom w:val="0"/>
      <w:divBdr>
        <w:top w:val="none" w:sz="0" w:space="0" w:color="auto"/>
        <w:left w:val="none" w:sz="0" w:space="0" w:color="auto"/>
        <w:bottom w:val="none" w:sz="0" w:space="0" w:color="auto"/>
        <w:right w:val="none" w:sz="0" w:space="0" w:color="auto"/>
      </w:divBdr>
    </w:div>
    <w:div w:id="130368784">
      <w:bodyDiv w:val="1"/>
      <w:marLeft w:val="0"/>
      <w:marRight w:val="0"/>
      <w:marTop w:val="0"/>
      <w:marBottom w:val="0"/>
      <w:divBdr>
        <w:top w:val="none" w:sz="0" w:space="0" w:color="auto"/>
        <w:left w:val="none" w:sz="0" w:space="0" w:color="auto"/>
        <w:bottom w:val="none" w:sz="0" w:space="0" w:color="auto"/>
        <w:right w:val="none" w:sz="0" w:space="0" w:color="auto"/>
      </w:divBdr>
    </w:div>
    <w:div w:id="149834188">
      <w:bodyDiv w:val="1"/>
      <w:marLeft w:val="0"/>
      <w:marRight w:val="0"/>
      <w:marTop w:val="0"/>
      <w:marBottom w:val="0"/>
      <w:divBdr>
        <w:top w:val="none" w:sz="0" w:space="0" w:color="auto"/>
        <w:left w:val="none" w:sz="0" w:space="0" w:color="auto"/>
        <w:bottom w:val="none" w:sz="0" w:space="0" w:color="auto"/>
        <w:right w:val="none" w:sz="0" w:space="0" w:color="auto"/>
      </w:divBdr>
      <w:divsChild>
        <w:div w:id="1255700243">
          <w:marLeft w:val="0"/>
          <w:marRight w:val="0"/>
          <w:marTop w:val="0"/>
          <w:marBottom w:val="0"/>
          <w:divBdr>
            <w:top w:val="none" w:sz="0" w:space="0" w:color="auto"/>
            <w:left w:val="none" w:sz="0" w:space="0" w:color="auto"/>
            <w:bottom w:val="none" w:sz="0" w:space="0" w:color="auto"/>
            <w:right w:val="none" w:sz="0" w:space="0" w:color="auto"/>
          </w:divBdr>
        </w:div>
        <w:div w:id="903685560">
          <w:marLeft w:val="0"/>
          <w:marRight w:val="0"/>
          <w:marTop w:val="0"/>
          <w:marBottom w:val="0"/>
          <w:divBdr>
            <w:top w:val="none" w:sz="0" w:space="0" w:color="auto"/>
            <w:left w:val="none" w:sz="0" w:space="0" w:color="auto"/>
            <w:bottom w:val="none" w:sz="0" w:space="0" w:color="auto"/>
            <w:right w:val="none" w:sz="0" w:space="0" w:color="auto"/>
          </w:divBdr>
        </w:div>
        <w:div w:id="518543082">
          <w:marLeft w:val="0"/>
          <w:marRight w:val="0"/>
          <w:marTop w:val="0"/>
          <w:marBottom w:val="0"/>
          <w:divBdr>
            <w:top w:val="none" w:sz="0" w:space="0" w:color="auto"/>
            <w:left w:val="none" w:sz="0" w:space="0" w:color="auto"/>
            <w:bottom w:val="none" w:sz="0" w:space="0" w:color="auto"/>
            <w:right w:val="none" w:sz="0" w:space="0" w:color="auto"/>
          </w:divBdr>
        </w:div>
        <w:div w:id="1791435804">
          <w:marLeft w:val="0"/>
          <w:marRight w:val="0"/>
          <w:marTop w:val="0"/>
          <w:marBottom w:val="0"/>
          <w:divBdr>
            <w:top w:val="none" w:sz="0" w:space="0" w:color="auto"/>
            <w:left w:val="none" w:sz="0" w:space="0" w:color="auto"/>
            <w:bottom w:val="none" w:sz="0" w:space="0" w:color="auto"/>
            <w:right w:val="none" w:sz="0" w:space="0" w:color="auto"/>
          </w:divBdr>
        </w:div>
        <w:div w:id="1489981867">
          <w:marLeft w:val="0"/>
          <w:marRight w:val="0"/>
          <w:marTop w:val="0"/>
          <w:marBottom w:val="0"/>
          <w:divBdr>
            <w:top w:val="none" w:sz="0" w:space="0" w:color="auto"/>
            <w:left w:val="none" w:sz="0" w:space="0" w:color="auto"/>
            <w:bottom w:val="none" w:sz="0" w:space="0" w:color="auto"/>
            <w:right w:val="none" w:sz="0" w:space="0" w:color="auto"/>
          </w:divBdr>
        </w:div>
        <w:div w:id="1043016044">
          <w:marLeft w:val="0"/>
          <w:marRight w:val="0"/>
          <w:marTop w:val="0"/>
          <w:marBottom w:val="0"/>
          <w:divBdr>
            <w:top w:val="none" w:sz="0" w:space="0" w:color="auto"/>
            <w:left w:val="none" w:sz="0" w:space="0" w:color="auto"/>
            <w:bottom w:val="none" w:sz="0" w:space="0" w:color="auto"/>
            <w:right w:val="none" w:sz="0" w:space="0" w:color="auto"/>
          </w:divBdr>
        </w:div>
        <w:div w:id="799567667">
          <w:marLeft w:val="0"/>
          <w:marRight w:val="0"/>
          <w:marTop w:val="0"/>
          <w:marBottom w:val="0"/>
          <w:divBdr>
            <w:top w:val="none" w:sz="0" w:space="0" w:color="auto"/>
            <w:left w:val="none" w:sz="0" w:space="0" w:color="auto"/>
            <w:bottom w:val="none" w:sz="0" w:space="0" w:color="auto"/>
            <w:right w:val="none" w:sz="0" w:space="0" w:color="auto"/>
          </w:divBdr>
        </w:div>
      </w:divsChild>
    </w:div>
    <w:div w:id="386492957">
      <w:bodyDiv w:val="1"/>
      <w:marLeft w:val="0"/>
      <w:marRight w:val="0"/>
      <w:marTop w:val="0"/>
      <w:marBottom w:val="0"/>
      <w:divBdr>
        <w:top w:val="none" w:sz="0" w:space="0" w:color="auto"/>
        <w:left w:val="none" w:sz="0" w:space="0" w:color="auto"/>
        <w:bottom w:val="none" w:sz="0" w:space="0" w:color="auto"/>
        <w:right w:val="none" w:sz="0" w:space="0" w:color="auto"/>
      </w:divBdr>
    </w:div>
    <w:div w:id="531185131">
      <w:bodyDiv w:val="1"/>
      <w:marLeft w:val="0"/>
      <w:marRight w:val="0"/>
      <w:marTop w:val="0"/>
      <w:marBottom w:val="0"/>
      <w:divBdr>
        <w:top w:val="none" w:sz="0" w:space="0" w:color="auto"/>
        <w:left w:val="none" w:sz="0" w:space="0" w:color="auto"/>
        <w:bottom w:val="none" w:sz="0" w:space="0" w:color="auto"/>
        <w:right w:val="none" w:sz="0" w:space="0" w:color="auto"/>
      </w:divBdr>
      <w:divsChild>
        <w:div w:id="1873766358">
          <w:marLeft w:val="0"/>
          <w:marRight w:val="0"/>
          <w:marTop w:val="0"/>
          <w:marBottom w:val="0"/>
          <w:divBdr>
            <w:top w:val="none" w:sz="0" w:space="0" w:color="auto"/>
            <w:left w:val="none" w:sz="0" w:space="0" w:color="auto"/>
            <w:bottom w:val="none" w:sz="0" w:space="0" w:color="auto"/>
            <w:right w:val="none" w:sz="0" w:space="0" w:color="auto"/>
          </w:divBdr>
        </w:div>
        <w:div w:id="539099519">
          <w:marLeft w:val="0"/>
          <w:marRight w:val="0"/>
          <w:marTop w:val="0"/>
          <w:marBottom w:val="0"/>
          <w:divBdr>
            <w:top w:val="none" w:sz="0" w:space="0" w:color="auto"/>
            <w:left w:val="none" w:sz="0" w:space="0" w:color="auto"/>
            <w:bottom w:val="none" w:sz="0" w:space="0" w:color="auto"/>
            <w:right w:val="none" w:sz="0" w:space="0" w:color="auto"/>
          </w:divBdr>
        </w:div>
        <w:div w:id="1853953881">
          <w:marLeft w:val="0"/>
          <w:marRight w:val="0"/>
          <w:marTop w:val="0"/>
          <w:marBottom w:val="0"/>
          <w:divBdr>
            <w:top w:val="none" w:sz="0" w:space="0" w:color="auto"/>
            <w:left w:val="none" w:sz="0" w:space="0" w:color="auto"/>
            <w:bottom w:val="none" w:sz="0" w:space="0" w:color="auto"/>
            <w:right w:val="none" w:sz="0" w:space="0" w:color="auto"/>
          </w:divBdr>
        </w:div>
        <w:div w:id="1101027918">
          <w:marLeft w:val="0"/>
          <w:marRight w:val="0"/>
          <w:marTop w:val="0"/>
          <w:marBottom w:val="0"/>
          <w:divBdr>
            <w:top w:val="none" w:sz="0" w:space="0" w:color="auto"/>
            <w:left w:val="none" w:sz="0" w:space="0" w:color="auto"/>
            <w:bottom w:val="none" w:sz="0" w:space="0" w:color="auto"/>
            <w:right w:val="none" w:sz="0" w:space="0" w:color="auto"/>
          </w:divBdr>
        </w:div>
        <w:div w:id="244803466">
          <w:marLeft w:val="0"/>
          <w:marRight w:val="0"/>
          <w:marTop w:val="0"/>
          <w:marBottom w:val="0"/>
          <w:divBdr>
            <w:top w:val="none" w:sz="0" w:space="0" w:color="auto"/>
            <w:left w:val="none" w:sz="0" w:space="0" w:color="auto"/>
            <w:bottom w:val="none" w:sz="0" w:space="0" w:color="auto"/>
            <w:right w:val="none" w:sz="0" w:space="0" w:color="auto"/>
          </w:divBdr>
        </w:div>
        <w:div w:id="1104691002">
          <w:marLeft w:val="0"/>
          <w:marRight w:val="0"/>
          <w:marTop w:val="0"/>
          <w:marBottom w:val="0"/>
          <w:divBdr>
            <w:top w:val="none" w:sz="0" w:space="0" w:color="auto"/>
            <w:left w:val="none" w:sz="0" w:space="0" w:color="auto"/>
            <w:bottom w:val="none" w:sz="0" w:space="0" w:color="auto"/>
            <w:right w:val="none" w:sz="0" w:space="0" w:color="auto"/>
          </w:divBdr>
        </w:div>
        <w:div w:id="614097954">
          <w:marLeft w:val="0"/>
          <w:marRight w:val="0"/>
          <w:marTop w:val="0"/>
          <w:marBottom w:val="0"/>
          <w:divBdr>
            <w:top w:val="none" w:sz="0" w:space="0" w:color="auto"/>
            <w:left w:val="none" w:sz="0" w:space="0" w:color="auto"/>
            <w:bottom w:val="none" w:sz="0" w:space="0" w:color="auto"/>
            <w:right w:val="none" w:sz="0" w:space="0" w:color="auto"/>
          </w:divBdr>
        </w:div>
        <w:div w:id="592280878">
          <w:marLeft w:val="0"/>
          <w:marRight w:val="0"/>
          <w:marTop w:val="0"/>
          <w:marBottom w:val="0"/>
          <w:divBdr>
            <w:top w:val="none" w:sz="0" w:space="0" w:color="auto"/>
            <w:left w:val="none" w:sz="0" w:space="0" w:color="auto"/>
            <w:bottom w:val="none" w:sz="0" w:space="0" w:color="auto"/>
            <w:right w:val="none" w:sz="0" w:space="0" w:color="auto"/>
          </w:divBdr>
        </w:div>
      </w:divsChild>
    </w:div>
    <w:div w:id="570119406">
      <w:bodyDiv w:val="1"/>
      <w:marLeft w:val="0"/>
      <w:marRight w:val="0"/>
      <w:marTop w:val="0"/>
      <w:marBottom w:val="0"/>
      <w:divBdr>
        <w:top w:val="none" w:sz="0" w:space="0" w:color="auto"/>
        <w:left w:val="none" w:sz="0" w:space="0" w:color="auto"/>
        <w:bottom w:val="none" w:sz="0" w:space="0" w:color="auto"/>
        <w:right w:val="none" w:sz="0" w:space="0" w:color="auto"/>
      </w:divBdr>
    </w:div>
    <w:div w:id="629240216">
      <w:bodyDiv w:val="1"/>
      <w:marLeft w:val="0"/>
      <w:marRight w:val="0"/>
      <w:marTop w:val="0"/>
      <w:marBottom w:val="0"/>
      <w:divBdr>
        <w:top w:val="none" w:sz="0" w:space="0" w:color="auto"/>
        <w:left w:val="none" w:sz="0" w:space="0" w:color="auto"/>
        <w:bottom w:val="none" w:sz="0" w:space="0" w:color="auto"/>
        <w:right w:val="none" w:sz="0" w:space="0" w:color="auto"/>
      </w:divBdr>
    </w:div>
    <w:div w:id="648483515">
      <w:bodyDiv w:val="1"/>
      <w:marLeft w:val="0"/>
      <w:marRight w:val="0"/>
      <w:marTop w:val="0"/>
      <w:marBottom w:val="0"/>
      <w:divBdr>
        <w:top w:val="none" w:sz="0" w:space="0" w:color="auto"/>
        <w:left w:val="none" w:sz="0" w:space="0" w:color="auto"/>
        <w:bottom w:val="none" w:sz="0" w:space="0" w:color="auto"/>
        <w:right w:val="none" w:sz="0" w:space="0" w:color="auto"/>
      </w:divBdr>
      <w:divsChild>
        <w:div w:id="1119684517">
          <w:marLeft w:val="0"/>
          <w:marRight w:val="0"/>
          <w:marTop w:val="0"/>
          <w:marBottom w:val="0"/>
          <w:divBdr>
            <w:top w:val="none" w:sz="0" w:space="0" w:color="auto"/>
            <w:left w:val="none" w:sz="0" w:space="0" w:color="auto"/>
            <w:bottom w:val="none" w:sz="0" w:space="0" w:color="auto"/>
            <w:right w:val="none" w:sz="0" w:space="0" w:color="auto"/>
          </w:divBdr>
        </w:div>
        <w:div w:id="1408647591">
          <w:marLeft w:val="0"/>
          <w:marRight w:val="0"/>
          <w:marTop w:val="0"/>
          <w:marBottom w:val="0"/>
          <w:divBdr>
            <w:top w:val="none" w:sz="0" w:space="0" w:color="auto"/>
            <w:left w:val="none" w:sz="0" w:space="0" w:color="auto"/>
            <w:bottom w:val="none" w:sz="0" w:space="0" w:color="auto"/>
            <w:right w:val="none" w:sz="0" w:space="0" w:color="auto"/>
          </w:divBdr>
        </w:div>
        <w:div w:id="738947089">
          <w:marLeft w:val="0"/>
          <w:marRight w:val="0"/>
          <w:marTop w:val="0"/>
          <w:marBottom w:val="0"/>
          <w:divBdr>
            <w:top w:val="none" w:sz="0" w:space="0" w:color="auto"/>
            <w:left w:val="none" w:sz="0" w:space="0" w:color="auto"/>
            <w:bottom w:val="none" w:sz="0" w:space="0" w:color="auto"/>
            <w:right w:val="none" w:sz="0" w:space="0" w:color="auto"/>
          </w:divBdr>
        </w:div>
        <w:div w:id="1737581404">
          <w:marLeft w:val="0"/>
          <w:marRight w:val="0"/>
          <w:marTop w:val="0"/>
          <w:marBottom w:val="0"/>
          <w:divBdr>
            <w:top w:val="none" w:sz="0" w:space="0" w:color="auto"/>
            <w:left w:val="none" w:sz="0" w:space="0" w:color="auto"/>
            <w:bottom w:val="none" w:sz="0" w:space="0" w:color="auto"/>
            <w:right w:val="none" w:sz="0" w:space="0" w:color="auto"/>
          </w:divBdr>
        </w:div>
        <w:div w:id="1593388919">
          <w:marLeft w:val="0"/>
          <w:marRight w:val="0"/>
          <w:marTop w:val="0"/>
          <w:marBottom w:val="0"/>
          <w:divBdr>
            <w:top w:val="none" w:sz="0" w:space="0" w:color="auto"/>
            <w:left w:val="none" w:sz="0" w:space="0" w:color="auto"/>
            <w:bottom w:val="none" w:sz="0" w:space="0" w:color="auto"/>
            <w:right w:val="none" w:sz="0" w:space="0" w:color="auto"/>
          </w:divBdr>
        </w:div>
        <w:div w:id="1815222295">
          <w:marLeft w:val="0"/>
          <w:marRight w:val="0"/>
          <w:marTop w:val="0"/>
          <w:marBottom w:val="0"/>
          <w:divBdr>
            <w:top w:val="none" w:sz="0" w:space="0" w:color="auto"/>
            <w:left w:val="none" w:sz="0" w:space="0" w:color="auto"/>
            <w:bottom w:val="none" w:sz="0" w:space="0" w:color="auto"/>
            <w:right w:val="none" w:sz="0" w:space="0" w:color="auto"/>
          </w:divBdr>
        </w:div>
        <w:div w:id="914359319">
          <w:marLeft w:val="0"/>
          <w:marRight w:val="0"/>
          <w:marTop w:val="0"/>
          <w:marBottom w:val="0"/>
          <w:divBdr>
            <w:top w:val="none" w:sz="0" w:space="0" w:color="auto"/>
            <w:left w:val="none" w:sz="0" w:space="0" w:color="auto"/>
            <w:bottom w:val="none" w:sz="0" w:space="0" w:color="auto"/>
            <w:right w:val="none" w:sz="0" w:space="0" w:color="auto"/>
          </w:divBdr>
        </w:div>
        <w:div w:id="1995333734">
          <w:marLeft w:val="0"/>
          <w:marRight w:val="0"/>
          <w:marTop w:val="0"/>
          <w:marBottom w:val="0"/>
          <w:divBdr>
            <w:top w:val="none" w:sz="0" w:space="0" w:color="auto"/>
            <w:left w:val="none" w:sz="0" w:space="0" w:color="auto"/>
            <w:bottom w:val="none" w:sz="0" w:space="0" w:color="auto"/>
            <w:right w:val="none" w:sz="0" w:space="0" w:color="auto"/>
          </w:divBdr>
        </w:div>
      </w:divsChild>
    </w:div>
    <w:div w:id="791284200">
      <w:bodyDiv w:val="1"/>
      <w:marLeft w:val="0"/>
      <w:marRight w:val="0"/>
      <w:marTop w:val="0"/>
      <w:marBottom w:val="0"/>
      <w:divBdr>
        <w:top w:val="none" w:sz="0" w:space="0" w:color="auto"/>
        <w:left w:val="none" w:sz="0" w:space="0" w:color="auto"/>
        <w:bottom w:val="none" w:sz="0" w:space="0" w:color="auto"/>
        <w:right w:val="none" w:sz="0" w:space="0" w:color="auto"/>
      </w:divBdr>
      <w:divsChild>
        <w:div w:id="337510917">
          <w:marLeft w:val="0"/>
          <w:marRight w:val="0"/>
          <w:marTop w:val="0"/>
          <w:marBottom w:val="0"/>
          <w:divBdr>
            <w:top w:val="none" w:sz="0" w:space="0" w:color="auto"/>
            <w:left w:val="none" w:sz="0" w:space="0" w:color="auto"/>
            <w:bottom w:val="none" w:sz="0" w:space="0" w:color="auto"/>
            <w:right w:val="none" w:sz="0" w:space="0" w:color="auto"/>
          </w:divBdr>
        </w:div>
        <w:div w:id="1990556460">
          <w:marLeft w:val="0"/>
          <w:marRight w:val="0"/>
          <w:marTop w:val="0"/>
          <w:marBottom w:val="0"/>
          <w:divBdr>
            <w:top w:val="none" w:sz="0" w:space="0" w:color="auto"/>
            <w:left w:val="none" w:sz="0" w:space="0" w:color="auto"/>
            <w:bottom w:val="none" w:sz="0" w:space="0" w:color="auto"/>
            <w:right w:val="none" w:sz="0" w:space="0" w:color="auto"/>
          </w:divBdr>
        </w:div>
        <w:div w:id="2137723215">
          <w:marLeft w:val="0"/>
          <w:marRight w:val="0"/>
          <w:marTop w:val="0"/>
          <w:marBottom w:val="0"/>
          <w:divBdr>
            <w:top w:val="none" w:sz="0" w:space="0" w:color="auto"/>
            <w:left w:val="none" w:sz="0" w:space="0" w:color="auto"/>
            <w:bottom w:val="none" w:sz="0" w:space="0" w:color="auto"/>
            <w:right w:val="none" w:sz="0" w:space="0" w:color="auto"/>
          </w:divBdr>
        </w:div>
        <w:div w:id="567152073">
          <w:marLeft w:val="0"/>
          <w:marRight w:val="0"/>
          <w:marTop w:val="0"/>
          <w:marBottom w:val="0"/>
          <w:divBdr>
            <w:top w:val="none" w:sz="0" w:space="0" w:color="auto"/>
            <w:left w:val="none" w:sz="0" w:space="0" w:color="auto"/>
            <w:bottom w:val="none" w:sz="0" w:space="0" w:color="auto"/>
            <w:right w:val="none" w:sz="0" w:space="0" w:color="auto"/>
          </w:divBdr>
        </w:div>
        <w:div w:id="1675910880">
          <w:marLeft w:val="0"/>
          <w:marRight w:val="0"/>
          <w:marTop w:val="0"/>
          <w:marBottom w:val="0"/>
          <w:divBdr>
            <w:top w:val="none" w:sz="0" w:space="0" w:color="auto"/>
            <w:left w:val="none" w:sz="0" w:space="0" w:color="auto"/>
            <w:bottom w:val="none" w:sz="0" w:space="0" w:color="auto"/>
            <w:right w:val="none" w:sz="0" w:space="0" w:color="auto"/>
          </w:divBdr>
        </w:div>
        <w:div w:id="1254894514">
          <w:marLeft w:val="0"/>
          <w:marRight w:val="0"/>
          <w:marTop w:val="0"/>
          <w:marBottom w:val="0"/>
          <w:divBdr>
            <w:top w:val="none" w:sz="0" w:space="0" w:color="auto"/>
            <w:left w:val="none" w:sz="0" w:space="0" w:color="auto"/>
            <w:bottom w:val="none" w:sz="0" w:space="0" w:color="auto"/>
            <w:right w:val="none" w:sz="0" w:space="0" w:color="auto"/>
          </w:divBdr>
        </w:div>
        <w:div w:id="1367947239">
          <w:marLeft w:val="0"/>
          <w:marRight w:val="0"/>
          <w:marTop w:val="0"/>
          <w:marBottom w:val="0"/>
          <w:divBdr>
            <w:top w:val="none" w:sz="0" w:space="0" w:color="auto"/>
            <w:left w:val="none" w:sz="0" w:space="0" w:color="auto"/>
            <w:bottom w:val="none" w:sz="0" w:space="0" w:color="auto"/>
            <w:right w:val="none" w:sz="0" w:space="0" w:color="auto"/>
          </w:divBdr>
        </w:div>
        <w:div w:id="972364648">
          <w:marLeft w:val="0"/>
          <w:marRight w:val="0"/>
          <w:marTop w:val="0"/>
          <w:marBottom w:val="0"/>
          <w:divBdr>
            <w:top w:val="none" w:sz="0" w:space="0" w:color="auto"/>
            <w:left w:val="none" w:sz="0" w:space="0" w:color="auto"/>
            <w:bottom w:val="none" w:sz="0" w:space="0" w:color="auto"/>
            <w:right w:val="none" w:sz="0" w:space="0" w:color="auto"/>
          </w:divBdr>
        </w:div>
      </w:divsChild>
    </w:div>
    <w:div w:id="849832384">
      <w:bodyDiv w:val="1"/>
      <w:marLeft w:val="0"/>
      <w:marRight w:val="0"/>
      <w:marTop w:val="0"/>
      <w:marBottom w:val="0"/>
      <w:divBdr>
        <w:top w:val="none" w:sz="0" w:space="0" w:color="auto"/>
        <w:left w:val="none" w:sz="0" w:space="0" w:color="auto"/>
        <w:bottom w:val="none" w:sz="0" w:space="0" w:color="auto"/>
        <w:right w:val="none" w:sz="0" w:space="0" w:color="auto"/>
      </w:divBdr>
      <w:divsChild>
        <w:div w:id="32468931">
          <w:marLeft w:val="0"/>
          <w:marRight w:val="0"/>
          <w:marTop w:val="0"/>
          <w:marBottom w:val="0"/>
          <w:divBdr>
            <w:top w:val="none" w:sz="0" w:space="0" w:color="auto"/>
            <w:left w:val="none" w:sz="0" w:space="0" w:color="auto"/>
            <w:bottom w:val="none" w:sz="0" w:space="0" w:color="auto"/>
            <w:right w:val="none" w:sz="0" w:space="0" w:color="auto"/>
          </w:divBdr>
          <w:divsChild>
            <w:div w:id="155191882">
              <w:marLeft w:val="0"/>
              <w:marRight w:val="0"/>
              <w:marTop w:val="0"/>
              <w:marBottom w:val="0"/>
              <w:divBdr>
                <w:top w:val="none" w:sz="0" w:space="0" w:color="auto"/>
                <w:left w:val="none" w:sz="0" w:space="0" w:color="auto"/>
                <w:bottom w:val="none" w:sz="0" w:space="0" w:color="auto"/>
                <w:right w:val="none" w:sz="0" w:space="0" w:color="auto"/>
              </w:divBdr>
            </w:div>
            <w:div w:id="1418938576">
              <w:marLeft w:val="0"/>
              <w:marRight w:val="0"/>
              <w:marTop w:val="0"/>
              <w:marBottom w:val="0"/>
              <w:divBdr>
                <w:top w:val="none" w:sz="0" w:space="0" w:color="auto"/>
                <w:left w:val="none" w:sz="0" w:space="0" w:color="auto"/>
                <w:bottom w:val="none" w:sz="0" w:space="0" w:color="auto"/>
                <w:right w:val="none" w:sz="0" w:space="0" w:color="auto"/>
              </w:divBdr>
            </w:div>
          </w:divsChild>
        </w:div>
        <w:div w:id="708992467">
          <w:marLeft w:val="0"/>
          <w:marRight w:val="0"/>
          <w:marTop w:val="0"/>
          <w:marBottom w:val="0"/>
          <w:divBdr>
            <w:top w:val="none" w:sz="0" w:space="0" w:color="auto"/>
            <w:left w:val="none" w:sz="0" w:space="0" w:color="auto"/>
            <w:bottom w:val="none" w:sz="0" w:space="0" w:color="auto"/>
            <w:right w:val="none" w:sz="0" w:space="0" w:color="auto"/>
          </w:divBdr>
          <w:divsChild>
            <w:div w:id="871572479">
              <w:marLeft w:val="0"/>
              <w:marRight w:val="0"/>
              <w:marTop w:val="0"/>
              <w:marBottom w:val="0"/>
              <w:divBdr>
                <w:top w:val="none" w:sz="0" w:space="0" w:color="auto"/>
                <w:left w:val="none" w:sz="0" w:space="0" w:color="auto"/>
                <w:bottom w:val="none" w:sz="0" w:space="0" w:color="auto"/>
                <w:right w:val="none" w:sz="0" w:space="0" w:color="auto"/>
              </w:divBdr>
            </w:div>
            <w:div w:id="2058626849">
              <w:marLeft w:val="0"/>
              <w:marRight w:val="0"/>
              <w:marTop w:val="0"/>
              <w:marBottom w:val="0"/>
              <w:divBdr>
                <w:top w:val="none" w:sz="0" w:space="0" w:color="auto"/>
                <w:left w:val="none" w:sz="0" w:space="0" w:color="auto"/>
                <w:bottom w:val="none" w:sz="0" w:space="0" w:color="auto"/>
                <w:right w:val="none" w:sz="0" w:space="0" w:color="auto"/>
              </w:divBdr>
            </w:div>
          </w:divsChild>
        </w:div>
        <w:div w:id="553666384">
          <w:marLeft w:val="0"/>
          <w:marRight w:val="0"/>
          <w:marTop w:val="0"/>
          <w:marBottom w:val="0"/>
          <w:divBdr>
            <w:top w:val="none" w:sz="0" w:space="0" w:color="auto"/>
            <w:left w:val="none" w:sz="0" w:space="0" w:color="auto"/>
            <w:bottom w:val="none" w:sz="0" w:space="0" w:color="auto"/>
            <w:right w:val="none" w:sz="0" w:space="0" w:color="auto"/>
          </w:divBdr>
          <w:divsChild>
            <w:div w:id="128207865">
              <w:marLeft w:val="0"/>
              <w:marRight w:val="0"/>
              <w:marTop w:val="0"/>
              <w:marBottom w:val="0"/>
              <w:divBdr>
                <w:top w:val="none" w:sz="0" w:space="0" w:color="auto"/>
                <w:left w:val="none" w:sz="0" w:space="0" w:color="auto"/>
                <w:bottom w:val="none" w:sz="0" w:space="0" w:color="auto"/>
                <w:right w:val="none" w:sz="0" w:space="0" w:color="auto"/>
              </w:divBdr>
            </w:div>
            <w:div w:id="957369167">
              <w:marLeft w:val="0"/>
              <w:marRight w:val="0"/>
              <w:marTop w:val="0"/>
              <w:marBottom w:val="0"/>
              <w:divBdr>
                <w:top w:val="none" w:sz="0" w:space="0" w:color="auto"/>
                <w:left w:val="none" w:sz="0" w:space="0" w:color="auto"/>
                <w:bottom w:val="none" w:sz="0" w:space="0" w:color="auto"/>
                <w:right w:val="none" w:sz="0" w:space="0" w:color="auto"/>
              </w:divBdr>
            </w:div>
          </w:divsChild>
        </w:div>
        <w:div w:id="546260708">
          <w:marLeft w:val="0"/>
          <w:marRight w:val="0"/>
          <w:marTop w:val="0"/>
          <w:marBottom w:val="0"/>
          <w:divBdr>
            <w:top w:val="none" w:sz="0" w:space="0" w:color="auto"/>
            <w:left w:val="none" w:sz="0" w:space="0" w:color="auto"/>
            <w:bottom w:val="none" w:sz="0" w:space="0" w:color="auto"/>
            <w:right w:val="none" w:sz="0" w:space="0" w:color="auto"/>
          </w:divBdr>
          <w:divsChild>
            <w:div w:id="1952126876">
              <w:marLeft w:val="0"/>
              <w:marRight w:val="0"/>
              <w:marTop w:val="0"/>
              <w:marBottom w:val="0"/>
              <w:divBdr>
                <w:top w:val="none" w:sz="0" w:space="0" w:color="auto"/>
                <w:left w:val="none" w:sz="0" w:space="0" w:color="auto"/>
                <w:bottom w:val="none" w:sz="0" w:space="0" w:color="auto"/>
                <w:right w:val="none" w:sz="0" w:space="0" w:color="auto"/>
              </w:divBdr>
            </w:div>
            <w:div w:id="1559512757">
              <w:marLeft w:val="0"/>
              <w:marRight w:val="0"/>
              <w:marTop w:val="0"/>
              <w:marBottom w:val="0"/>
              <w:divBdr>
                <w:top w:val="none" w:sz="0" w:space="0" w:color="auto"/>
                <w:left w:val="none" w:sz="0" w:space="0" w:color="auto"/>
                <w:bottom w:val="none" w:sz="0" w:space="0" w:color="auto"/>
                <w:right w:val="none" w:sz="0" w:space="0" w:color="auto"/>
              </w:divBdr>
            </w:div>
          </w:divsChild>
        </w:div>
        <w:div w:id="1465273063">
          <w:marLeft w:val="0"/>
          <w:marRight w:val="0"/>
          <w:marTop w:val="0"/>
          <w:marBottom w:val="0"/>
          <w:divBdr>
            <w:top w:val="none" w:sz="0" w:space="0" w:color="auto"/>
            <w:left w:val="none" w:sz="0" w:space="0" w:color="auto"/>
            <w:bottom w:val="none" w:sz="0" w:space="0" w:color="auto"/>
            <w:right w:val="none" w:sz="0" w:space="0" w:color="auto"/>
          </w:divBdr>
          <w:divsChild>
            <w:div w:id="770054472">
              <w:marLeft w:val="0"/>
              <w:marRight w:val="0"/>
              <w:marTop w:val="0"/>
              <w:marBottom w:val="0"/>
              <w:divBdr>
                <w:top w:val="none" w:sz="0" w:space="0" w:color="auto"/>
                <w:left w:val="none" w:sz="0" w:space="0" w:color="auto"/>
                <w:bottom w:val="none" w:sz="0" w:space="0" w:color="auto"/>
                <w:right w:val="none" w:sz="0" w:space="0" w:color="auto"/>
              </w:divBdr>
            </w:div>
            <w:div w:id="1925872307">
              <w:marLeft w:val="0"/>
              <w:marRight w:val="0"/>
              <w:marTop w:val="0"/>
              <w:marBottom w:val="0"/>
              <w:divBdr>
                <w:top w:val="none" w:sz="0" w:space="0" w:color="auto"/>
                <w:left w:val="none" w:sz="0" w:space="0" w:color="auto"/>
                <w:bottom w:val="none" w:sz="0" w:space="0" w:color="auto"/>
                <w:right w:val="none" w:sz="0" w:space="0" w:color="auto"/>
              </w:divBdr>
            </w:div>
          </w:divsChild>
        </w:div>
        <w:div w:id="1798525018">
          <w:marLeft w:val="0"/>
          <w:marRight w:val="0"/>
          <w:marTop w:val="0"/>
          <w:marBottom w:val="0"/>
          <w:divBdr>
            <w:top w:val="none" w:sz="0" w:space="0" w:color="auto"/>
            <w:left w:val="none" w:sz="0" w:space="0" w:color="auto"/>
            <w:bottom w:val="none" w:sz="0" w:space="0" w:color="auto"/>
            <w:right w:val="none" w:sz="0" w:space="0" w:color="auto"/>
          </w:divBdr>
          <w:divsChild>
            <w:div w:id="487870096">
              <w:marLeft w:val="0"/>
              <w:marRight w:val="0"/>
              <w:marTop w:val="0"/>
              <w:marBottom w:val="0"/>
              <w:divBdr>
                <w:top w:val="none" w:sz="0" w:space="0" w:color="auto"/>
                <w:left w:val="none" w:sz="0" w:space="0" w:color="auto"/>
                <w:bottom w:val="none" w:sz="0" w:space="0" w:color="auto"/>
                <w:right w:val="none" w:sz="0" w:space="0" w:color="auto"/>
              </w:divBdr>
            </w:div>
            <w:div w:id="93018104">
              <w:marLeft w:val="0"/>
              <w:marRight w:val="0"/>
              <w:marTop w:val="0"/>
              <w:marBottom w:val="0"/>
              <w:divBdr>
                <w:top w:val="none" w:sz="0" w:space="0" w:color="auto"/>
                <w:left w:val="none" w:sz="0" w:space="0" w:color="auto"/>
                <w:bottom w:val="none" w:sz="0" w:space="0" w:color="auto"/>
                <w:right w:val="none" w:sz="0" w:space="0" w:color="auto"/>
              </w:divBdr>
            </w:div>
          </w:divsChild>
        </w:div>
        <w:div w:id="1311715065">
          <w:marLeft w:val="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1551067903">
              <w:marLeft w:val="0"/>
              <w:marRight w:val="0"/>
              <w:marTop w:val="0"/>
              <w:marBottom w:val="0"/>
              <w:divBdr>
                <w:top w:val="none" w:sz="0" w:space="0" w:color="auto"/>
                <w:left w:val="none" w:sz="0" w:space="0" w:color="auto"/>
                <w:bottom w:val="none" w:sz="0" w:space="0" w:color="auto"/>
                <w:right w:val="none" w:sz="0" w:space="0" w:color="auto"/>
              </w:divBdr>
            </w:div>
          </w:divsChild>
        </w:div>
        <w:div w:id="1588730002">
          <w:marLeft w:val="0"/>
          <w:marRight w:val="0"/>
          <w:marTop w:val="0"/>
          <w:marBottom w:val="0"/>
          <w:divBdr>
            <w:top w:val="none" w:sz="0" w:space="0" w:color="auto"/>
            <w:left w:val="none" w:sz="0" w:space="0" w:color="auto"/>
            <w:bottom w:val="none" w:sz="0" w:space="0" w:color="auto"/>
            <w:right w:val="none" w:sz="0" w:space="0" w:color="auto"/>
          </w:divBdr>
          <w:divsChild>
            <w:div w:id="7249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698">
      <w:bodyDiv w:val="1"/>
      <w:marLeft w:val="0"/>
      <w:marRight w:val="0"/>
      <w:marTop w:val="0"/>
      <w:marBottom w:val="0"/>
      <w:divBdr>
        <w:top w:val="none" w:sz="0" w:space="0" w:color="auto"/>
        <w:left w:val="none" w:sz="0" w:space="0" w:color="auto"/>
        <w:bottom w:val="none" w:sz="0" w:space="0" w:color="auto"/>
        <w:right w:val="none" w:sz="0" w:space="0" w:color="auto"/>
      </w:divBdr>
    </w:div>
    <w:div w:id="899555762">
      <w:bodyDiv w:val="1"/>
      <w:marLeft w:val="0"/>
      <w:marRight w:val="0"/>
      <w:marTop w:val="0"/>
      <w:marBottom w:val="0"/>
      <w:divBdr>
        <w:top w:val="none" w:sz="0" w:space="0" w:color="auto"/>
        <w:left w:val="none" w:sz="0" w:space="0" w:color="auto"/>
        <w:bottom w:val="none" w:sz="0" w:space="0" w:color="auto"/>
        <w:right w:val="none" w:sz="0" w:space="0" w:color="auto"/>
      </w:divBdr>
      <w:divsChild>
        <w:div w:id="883492051">
          <w:marLeft w:val="0"/>
          <w:marRight w:val="0"/>
          <w:marTop w:val="30"/>
          <w:marBottom w:val="0"/>
          <w:divBdr>
            <w:top w:val="none" w:sz="0" w:space="0" w:color="auto"/>
            <w:left w:val="none" w:sz="0" w:space="0" w:color="auto"/>
            <w:bottom w:val="none" w:sz="0" w:space="0" w:color="auto"/>
            <w:right w:val="none" w:sz="0" w:space="0" w:color="auto"/>
          </w:divBdr>
        </w:div>
        <w:div w:id="768813210">
          <w:marLeft w:val="0"/>
          <w:marRight w:val="0"/>
          <w:marTop w:val="30"/>
          <w:marBottom w:val="0"/>
          <w:divBdr>
            <w:top w:val="none" w:sz="0" w:space="0" w:color="auto"/>
            <w:left w:val="none" w:sz="0" w:space="0" w:color="auto"/>
            <w:bottom w:val="none" w:sz="0" w:space="0" w:color="auto"/>
            <w:right w:val="none" w:sz="0" w:space="0" w:color="auto"/>
          </w:divBdr>
        </w:div>
        <w:div w:id="518394175">
          <w:marLeft w:val="0"/>
          <w:marRight w:val="0"/>
          <w:marTop w:val="30"/>
          <w:marBottom w:val="0"/>
          <w:divBdr>
            <w:top w:val="none" w:sz="0" w:space="0" w:color="auto"/>
            <w:left w:val="none" w:sz="0" w:space="0" w:color="auto"/>
            <w:bottom w:val="none" w:sz="0" w:space="0" w:color="auto"/>
            <w:right w:val="none" w:sz="0" w:space="0" w:color="auto"/>
          </w:divBdr>
        </w:div>
        <w:div w:id="420688609">
          <w:marLeft w:val="0"/>
          <w:marRight w:val="0"/>
          <w:marTop w:val="30"/>
          <w:marBottom w:val="0"/>
          <w:divBdr>
            <w:top w:val="none" w:sz="0" w:space="0" w:color="auto"/>
            <w:left w:val="none" w:sz="0" w:space="0" w:color="auto"/>
            <w:bottom w:val="none" w:sz="0" w:space="0" w:color="auto"/>
            <w:right w:val="none" w:sz="0" w:space="0" w:color="auto"/>
          </w:divBdr>
        </w:div>
        <w:div w:id="1720586857">
          <w:marLeft w:val="0"/>
          <w:marRight w:val="0"/>
          <w:marTop w:val="30"/>
          <w:marBottom w:val="0"/>
          <w:divBdr>
            <w:top w:val="none" w:sz="0" w:space="0" w:color="auto"/>
            <w:left w:val="none" w:sz="0" w:space="0" w:color="auto"/>
            <w:bottom w:val="none" w:sz="0" w:space="0" w:color="auto"/>
            <w:right w:val="none" w:sz="0" w:space="0" w:color="auto"/>
          </w:divBdr>
        </w:div>
        <w:div w:id="1604067192">
          <w:marLeft w:val="0"/>
          <w:marRight w:val="0"/>
          <w:marTop w:val="30"/>
          <w:marBottom w:val="0"/>
          <w:divBdr>
            <w:top w:val="none" w:sz="0" w:space="0" w:color="auto"/>
            <w:left w:val="none" w:sz="0" w:space="0" w:color="auto"/>
            <w:bottom w:val="none" w:sz="0" w:space="0" w:color="auto"/>
            <w:right w:val="none" w:sz="0" w:space="0" w:color="auto"/>
          </w:divBdr>
        </w:div>
        <w:div w:id="1596400913">
          <w:marLeft w:val="0"/>
          <w:marRight w:val="0"/>
          <w:marTop w:val="30"/>
          <w:marBottom w:val="0"/>
          <w:divBdr>
            <w:top w:val="none" w:sz="0" w:space="0" w:color="auto"/>
            <w:left w:val="none" w:sz="0" w:space="0" w:color="auto"/>
            <w:bottom w:val="none" w:sz="0" w:space="0" w:color="auto"/>
            <w:right w:val="none" w:sz="0" w:space="0" w:color="auto"/>
          </w:divBdr>
        </w:div>
        <w:div w:id="311061356">
          <w:marLeft w:val="0"/>
          <w:marRight w:val="0"/>
          <w:marTop w:val="30"/>
          <w:marBottom w:val="0"/>
          <w:divBdr>
            <w:top w:val="none" w:sz="0" w:space="0" w:color="auto"/>
            <w:left w:val="none" w:sz="0" w:space="0" w:color="auto"/>
            <w:bottom w:val="none" w:sz="0" w:space="0" w:color="auto"/>
            <w:right w:val="none" w:sz="0" w:space="0" w:color="auto"/>
          </w:divBdr>
        </w:div>
      </w:divsChild>
    </w:div>
    <w:div w:id="1027021323">
      <w:bodyDiv w:val="1"/>
      <w:marLeft w:val="0"/>
      <w:marRight w:val="0"/>
      <w:marTop w:val="0"/>
      <w:marBottom w:val="0"/>
      <w:divBdr>
        <w:top w:val="none" w:sz="0" w:space="0" w:color="auto"/>
        <w:left w:val="none" w:sz="0" w:space="0" w:color="auto"/>
        <w:bottom w:val="none" w:sz="0" w:space="0" w:color="auto"/>
        <w:right w:val="none" w:sz="0" w:space="0" w:color="auto"/>
      </w:divBdr>
    </w:div>
    <w:div w:id="1068578841">
      <w:bodyDiv w:val="1"/>
      <w:marLeft w:val="0"/>
      <w:marRight w:val="0"/>
      <w:marTop w:val="0"/>
      <w:marBottom w:val="0"/>
      <w:divBdr>
        <w:top w:val="none" w:sz="0" w:space="0" w:color="auto"/>
        <w:left w:val="none" w:sz="0" w:space="0" w:color="auto"/>
        <w:bottom w:val="none" w:sz="0" w:space="0" w:color="auto"/>
        <w:right w:val="none" w:sz="0" w:space="0" w:color="auto"/>
      </w:divBdr>
    </w:div>
    <w:div w:id="1106192756">
      <w:bodyDiv w:val="1"/>
      <w:marLeft w:val="0"/>
      <w:marRight w:val="0"/>
      <w:marTop w:val="0"/>
      <w:marBottom w:val="0"/>
      <w:divBdr>
        <w:top w:val="none" w:sz="0" w:space="0" w:color="auto"/>
        <w:left w:val="none" w:sz="0" w:space="0" w:color="auto"/>
        <w:bottom w:val="none" w:sz="0" w:space="0" w:color="auto"/>
        <w:right w:val="none" w:sz="0" w:space="0" w:color="auto"/>
      </w:divBdr>
    </w:div>
    <w:div w:id="1127160785">
      <w:bodyDiv w:val="1"/>
      <w:marLeft w:val="0"/>
      <w:marRight w:val="0"/>
      <w:marTop w:val="0"/>
      <w:marBottom w:val="0"/>
      <w:divBdr>
        <w:top w:val="none" w:sz="0" w:space="0" w:color="auto"/>
        <w:left w:val="none" w:sz="0" w:space="0" w:color="auto"/>
        <w:bottom w:val="none" w:sz="0" w:space="0" w:color="auto"/>
        <w:right w:val="none" w:sz="0" w:space="0" w:color="auto"/>
      </w:divBdr>
      <w:divsChild>
        <w:div w:id="1373768324">
          <w:marLeft w:val="0"/>
          <w:marRight w:val="0"/>
          <w:marTop w:val="30"/>
          <w:marBottom w:val="0"/>
          <w:divBdr>
            <w:top w:val="none" w:sz="0" w:space="0" w:color="auto"/>
            <w:left w:val="none" w:sz="0" w:space="0" w:color="auto"/>
            <w:bottom w:val="none" w:sz="0" w:space="0" w:color="auto"/>
            <w:right w:val="none" w:sz="0" w:space="0" w:color="auto"/>
          </w:divBdr>
        </w:div>
        <w:div w:id="1828400859">
          <w:marLeft w:val="0"/>
          <w:marRight w:val="0"/>
          <w:marTop w:val="30"/>
          <w:marBottom w:val="0"/>
          <w:divBdr>
            <w:top w:val="none" w:sz="0" w:space="0" w:color="auto"/>
            <w:left w:val="none" w:sz="0" w:space="0" w:color="auto"/>
            <w:bottom w:val="none" w:sz="0" w:space="0" w:color="auto"/>
            <w:right w:val="none" w:sz="0" w:space="0" w:color="auto"/>
          </w:divBdr>
        </w:div>
        <w:div w:id="642848856">
          <w:marLeft w:val="0"/>
          <w:marRight w:val="0"/>
          <w:marTop w:val="30"/>
          <w:marBottom w:val="0"/>
          <w:divBdr>
            <w:top w:val="none" w:sz="0" w:space="0" w:color="auto"/>
            <w:left w:val="none" w:sz="0" w:space="0" w:color="auto"/>
            <w:bottom w:val="none" w:sz="0" w:space="0" w:color="auto"/>
            <w:right w:val="none" w:sz="0" w:space="0" w:color="auto"/>
          </w:divBdr>
        </w:div>
        <w:div w:id="121075267">
          <w:marLeft w:val="0"/>
          <w:marRight w:val="0"/>
          <w:marTop w:val="30"/>
          <w:marBottom w:val="0"/>
          <w:divBdr>
            <w:top w:val="none" w:sz="0" w:space="0" w:color="auto"/>
            <w:left w:val="none" w:sz="0" w:space="0" w:color="auto"/>
            <w:bottom w:val="none" w:sz="0" w:space="0" w:color="auto"/>
            <w:right w:val="none" w:sz="0" w:space="0" w:color="auto"/>
          </w:divBdr>
        </w:div>
        <w:div w:id="586958306">
          <w:marLeft w:val="0"/>
          <w:marRight w:val="0"/>
          <w:marTop w:val="30"/>
          <w:marBottom w:val="0"/>
          <w:divBdr>
            <w:top w:val="none" w:sz="0" w:space="0" w:color="auto"/>
            <w:left w:val="none" w:sz="0" w:space="0" w:color="auto"/>
            <w:bottom w:val="none" w:sz="0" w:space="0" w:color="auto"/>
            <w:right w:val="none" w:sz="0" w:space="0" w:color="auto"/>
          </w:divBdr>
        </w:div>
        <w:div w:id="2102405775">
          <w:marLeft w:val="0"/>
          <w:marRight w:val="0"/>
          <w:marTop w:val="30"/>
          <w:marBottom w:val="0"/>
          <w:divBdr>
            <w:top w:val="none" w:sz="0" w:space="0" w:color="auto"/>
            <w:left w:val="none" w:sz="0" w:space="0" w:color="auto"/>
            <w:bottom w:val="none" w:sz="0" w:space="0" w:color="auto"/>
            <w:right w:val="none" w:sz="0" w:space="0" w:color="auto"/>
          </w:divBdr>
        </w:div>
        <w:div w:id="1077942799">
          <w:marLeft w:val="0"/>
          <w:marRight w:val="0"/>
          <w:marTop w:val="30"/>
          <w:marBottom w:val="0"/>
          <w:divBdr>
            <w:top w:val="none" w:sz="0" w:space="0" w:color="auto"/>
            <w:left w:val="none" w:sz="0" w:space="0" w:color="auto"/>
            <w:bottom w:val="none" w:sz="0" w:space="0" w:color="auto"/>
            <w:right w:val="none" w:sz="0" w:space="0" w:color="auto"/>
          </w:divBdr>
        </w:div>
        <w:div w:id="1291938738">
          <w:marLeft w:val="0"/>
          <w:marRight w:val="0"/>
          <w:marTop w:val="30"/>
          <w:marBottom w:val="0"/>
          <w:divBdr>
            <w:top w:val="none" w:sz="0" w:space="0" w:color="auto"/>
            <w:left w:val="none" w:sz="0" w:space="0" w:color="auto"/>
            <w:bottom w:val="none" w:sz="0" w:space="0" w:color="auto"/>
            <w:right w:val="none" w:sz="0" w:space="0" w:color="auto"/>
          </w:divBdr>
        </w:div>
      </w:divsChild>
    </w:div>
    <w:div w:id="1155104019">
      <w:bodyDiv w:val="1"/>
      <w:marLeft w:val="0"/>
      <w:marRight w:val="0"/>
      <w:marTop w:val="0"/>
      <w:marBottom w:val="0"/>
      <w:divBdr>
        <w:top w:val="none" w:sz="0" w:space="0" w:color="auto"/>
        <w:left w:val="none" w:sz="0" w:space="0" w:color="auto"/>
        <w:bottom w:val="none" w:sz="0" w:space="0" w:color="auto"/>
        <w:right w:val="none" w:sz="0" w:space="0" w:color="auto"/>
      </w:divBdr>
    </w:div>
    <w:div w:id="1250577764">
      <w:bodyDiv w:val="1"/>
      <w:marLeft w:val="0"/>
      <w:marRight w:val="0"/>
      <w:marTop w:val="0"/>
      <w:marBottom w:val="0"/>
      <w:divBdr>
        <w:top w:val="none" w:sz="0" w:space="0" w:color="auto"/>
        <w:left w:val="none" w:sz="0" w:space="0" w:color="auto"/>
        <w:bottom w:val="none" w:sz="0" w:space="0" w:color="auto"/>
        <w:right w:val="none" w:sz="0" w:space="0" w:color="auto"/>
      </w:divBdr>
    </w:div>
    <w:div w:id="1350763754">
      <w:bodyDiv w:val="1"/>
      <w:marLeft w:val="0"/>
      <w:marRight w:val="0"/>
      <w:marTop w:val="0"/>
      <w:marBottom w:val="0"/>
      <w:divBdr>
        <w:top w:val="none" w:sz="0" w:space="0" w:color="auto"/>
        <w:left w:val="none" w:sz="0" w:space="0" w:color="auto"/>
        <w:bottom w:val="none" w:sz="0" w:space="0" w:color="auto"/>
        <w:right w:val="none" w:sz="0" w:space="0" w:color="auto"/>
      </w:divBdr>
      <w:divsChild>
        <w:div w:id="1684163838">
          <w:marLeft w:val="0"/>
          <w:marRight w:val="0"/>
          <w:marTop w:val="0"/>
          <w:marBottom w:val="0"/>
          <w:divBdr>
            <w:top w:val="none" w:sz="0" w:space="0" w:color="auto"/>
            <w:left w:val="none" w:sz="0" w:space="0" w:color="auto"/>
            <w:bottom w:val="none" w:sz="0" w:space="0" w:color="auto"/>
            <w:right w:val="none" w:sz="0" w:space="0" w:color="auto"/>
          </w:divBdr>
        </w:div>
      </w:divsChild>
    </w:div>
    <w:div w:id="1353804189">
      <w:bodyDiv w:val="1"/>
      <w:marLeft w:val="0"/>
      <w:marRight w:val="0"/>
      <w:marTop w:val="0"/>
      <w:marBottom w:val="0"/>
      <w:divBdr>
        <w:top w:val="none" w:sz="0" w:space="0" w:color="auto"/>
        <w:left w:val="none" w:sz="0" w:space="0" w:color="auto"/>
        <w:bottom w:val="none" w:sz="0" w:space="0" w:color="auto"/>
        <w:right w:val="none" w:sz="0" w:space="0" w:color="auto"/>
      </w:divBdr>
      <w:divsChild>
        <w:div w:id="1142772934">
          <w:marLeft w:val="0"/>
          <w:marRight w:val="0"/>
          <w:marTop w:val="0"/>
          <w:marBottom w:val="0"/>
          <w:divBdr>
            <w:top w:val="none" w:sz="0" w:space="0" w:color="auto"/>
            <w:left w:val="none" w:sz="0" w:space="0" w:color="auto"/>
            <w:bottom w:val="none" w:sz="0" w:space="0" w:color="auto"/>
            <w:right w:val="none" w:sz="0" w:space="0" w:color="auto"/>
          </w:divBdr>
        </w:div>
        <w:div w:id="1440219953">
          <w:marLeft w:val="0"/>
          <w:marRight w:val="0"/>
          <w:marTop w:val="0"/>
          <w:marBottom w:val="0"/>
          <w:divBdr>
            <w:top w:val="none" w:sz="0" w:space="0" w:color="auto"/>
            <w:left w:val="none" w:sz="0" w:space="0" w:color="auto"/>
            <w:bottom w:val="none" w:sz="0" w:space="0" w:color="auto"/>
            <w:right w:val="none" w:sz="0" w:space="0" w:color="auto"/>
          </w:divBdr>
        </w:div>
        <w:div w:id="2097164112">
          <w:marLeft w:val="0"/>
          <w:marRight w:val="0"/>
          <w:marTop w:val="0"/>
          <w:marBottom w:val="0"/>
          <w:divBdr>
            <w:top w:val="none" w:sz="0" w:space="0" w:color="auto"/>
            <w:left w:val="none" w:sz="0" w:space="0" w:color="auto"/>
            <w:bottom w:val="none" w:sz="0" w:space="0" w:color="auto"/>
            <w:right w:val="none" w:sz="0" w:space="0" w:color="auto"/>
          </w:divBdr>
        </w:div>
        <w:div w:id="604994757">
          <w:marLeft w:val="0"/>
          <w:marRight w:val="0"/>
          <w:marTop w:val="0"/>
          <w:marBottom w:val="0"/>
          <w:divBdr>
            <w:top w:val="none" w:sz="0" w:space="0" w:color="auto"/>
            <w:left w:val="none" w:sz="0" w:space="0" w:color="auto"/>
            <w:bottom w:val="none" w:sz="0" w:space="0" w:color="auto"/>
            <w:right w:val="none" w:sz="0" w:space="0" w:color="auto"/>
          </w:divBdr>
        </w:div>
        <w:div w:id="824708069">
          <w:marLeft w:val="0"/>
          <w:marRight w:val="0"/>
          <w:marTop w:val="0"/>
          <w:marBottom w:val="0"/>
          <w:divBdr>
            <w:top w:val="none" w:sz="0" w:space="0" w:color="auto"/>
            <w:left w:val="none" w:sz="0" w:space="0" w:color="auto"/>
            <w:bottom w:val="none" w:sz="0" w:space="0" w:color="auto"/>
            <w:right w:val="none" w:sz="0" w:space="0" w:color="auto"/>
          </w:divBdr>
        </w:div>
        <w:div w:id="1849321804">
          <w:marLeft w:val="0"/>
          <w:marRight w:val="0"/>
          <w:marTop w:val="0"/>
          <w:marBottom w:val="0"/>
          <w:divBdr>
            <w:top w:val="none" w:sz="0" w:space="0" w:color="auto"/>
            <w:left w:val="none" w:sz="0" w:space="0" w:color="auto"/>
            <w:bottom w:val="none" w:sz="0" w:space="0" w:color="auto"/>
            <w:right w:val="none" w:sz="0" w:space="0" w:color="auto"/>
          </w:divBdr>
        </w:div>
        <w:div w:id="640036304">
          <w:marLeft w:val="0"/>
          <w:marRight w:val="0"/>
          <w:marTop w:val="0"/>
          <w:marBottom w:val="0"/>
          <w:divBdr>
            <w:top w:val="none" w:sz="0" w:space="0" w:color="auto"/>
            <w:left w:val="none" w:sz="0" w:space="0" w:color="auto"/>
            <w:bottom w:val="none" w:sz="0" w:space="0" w:color="auto"/>
            <w:right w:val="none" w:sz="0" w:space="0" w:color="auto"/>
          </w:divBdr>
        </w:div>
        <w:div w:id="402263184">
          <w:marLeft w:val="0"/>
          <w:marRight w:val="0"/>
          <w:marTop w:val="0"/>
          <w:marBottom w:val="0"/>
          <w:divBdr>
            <w:top w:val="none" w:sz="0" w:space="0" w:color="auto"/>
            <w:left w:val="none" w:sz="0" w:space="0" w:color="auto"/>
            <w:bottom w:val="none" w:sz="0" w:space="0" w:color="auto"/>
            <w:right w:val="none" w:sz="0" w:space="0" w:color="auto"/>
          </w:divBdr>
        </w:div>
      </w:divsChild>
    </w:div>
    <w:div w:id="1355037972">
      <w:bodyDiv w:val="1"/>
      <w:marLeft w:val="0"/>
      <w:marRight w:val="0"/>
      <w:marTop w:val="0"/>
      <w:marBottom w:val="0"/>
      <w:divBdr>
        <w:top w:val="none" w:sz="0" w:space="0" w:color="auto"/>
        <w:left w:val="none" w:sz="0" w:space="0" w:color="auto"/>
        <w:bottom w:val="none" w:sz="0" w:space="0" w:color="auto"/>
        <w:right w:val="none" w:sz="0" w:space="0" w:color="auto"/>
      </w:divBdr>
      <w:divsChild>
        <w:div w:id="570122844">
          <w:marLeft w:val="0"/>
          <w:marRight w:val="0"/>
          <w:marTop w:val="0"/>
          <w:marBottom w:val="0"/>
          <w:divBdr>
            <w:top w:val="none" w:sz="0" w:space="0" w:color="auto"/>
            <w:left w:val="none" w:sz="0" w:space="0" w:color="auto"/>
            <w:bottom w:val="none" w:sz="0" w:space="0" w:color="auto"/>
            <w:right w:val="none" w:sz="0" w:space="0" w:color="auto"/>
          </w:divBdr>
        </w:div>
        <w:div w:id="64110442">
          <w:marLeft w:val="0"/>
          <w:marRight w:val="0"/>
          <w:marTop w:val="0"/>
          <w:marBottom w:val="0"/>
          <w:divBdr>
            <w:top w:val="none" w:sz="0" w:space="0" w:color="auto"/>
            <w:left w:val="none" w:sz="0" w:space="0" w:color="auto"/>
            <w:bottom w:val="none" w:sz="0" w:space="0" w:color="auto"/>
            <w:right w:val="none" w:sz="0" w:space="0" w:color="auto"/>
          </w:divBdr>
        </w:div>
        <w:div w:id="1476526452">
          <w:marLeft w:val="0"/>
          <w:marRight w:val="0"/>
          <w:marTop w:val="0"/>
          <w:marBottom w:val="0"/>
          <w:divBdr>
            <w:top w:val="none" w:sz="0" w:space="0" w:color="auto"/>
            <w:left w:val="none" w:sz="0" w:space="0" w:color="auto"/>
            <w:bottom w:val="none" w:sz="0" w:space="0" w:color="auto"/>
            <w:right w:val="none" w:sz="0" w:space="0" w:color="auto"/>
          </w:divBdr>
        </w:div>
        <w:div w:id="902758572">
          <w:marLeft w:val="0"/>
          <w:marRight w:val="0"/>
          <w:marTop w:val="0"/>
          <w:marBottom w:val="0"/>
          <w:divBdr>
            <w:top w:val="none" w:sz="0" w:space="0" w:color="auto"/>
            <w:left w:val="none" w:sz="0" w:space="0" w:color="auto"/>
            <w:bottom w:val="none" w:sz="0" w:space="0" w:color="auto"/>
            <w:right w:val="none" w:sz="0" w:space="0" w:color="auto"/>
          </w:divBdr>
        </w:div>
        <w:div w:id="1391466251">
          <w:marLeft w:val="0"/>
          <w:marRight w:val="0"/>
          <w:marTop w:val="0"/>
          <w:marBottom w:val="0"/>
          <w:divBdr>
            <w:top w:val="none" w:sz="0" w:space="0" w:color="auto"/>
            <w:left w:val="none" w:sz="0" w:space="0" w:color="auto"/>
            <w:bottom w:val="none" w:sz="0" w:space="0" w:color="auto"/>
            <w:right w:val="none" w:sz="0" w:space="0" w:color="auto"/>
          </w:divBdr>
        </w:div>
        <w:div w:id="558515093">
          <w:marLeft w:val="0"/>
          <w:marRight w:val="0"/>
          <w:marTop w:val="0"/>
          <w:marBottom w:val="0"/>
          <w:divBdr>
            <w:top w:val="none" w:sz="0" w:space="0" w:color="auto"/>
            <w:left w:val="none" w:sz="0" w:space="0" w:color="auto"/>
            <w:bottom w:val="none" w:sz="0" w:space="0" w:color="auto"/>
            <w:right w:val="none" w:sz="0" w:space="0" w:color="auto"/>
          </w:divBdr>
        </w:div>
        <w:div w:id="1272741113">
          <w:marLeft w:val="0"/>
          <w:marRight w:val="0"/>
          <w:marTop w:val="0"/>
          <w:marBottom w:val="0"/>
          <w:divBdr>
            <w:top w:val="none" w:sz="0" w:space="0" w:color="auto"/>
            <w:left w:val="none" w:sz="0" w:space="0" w:color="auto"/>
            <w:bottom w:val="none" w:sz="0" w:space="0" w:color="auto"/>
            <w:right w:val="none" w:sz="0" w:space="0" w:color="auto"/>
          </w:divBdr>
        </w:div>
        <w:div w:id="231433559">
          <w:marLeft w:val="0"/>
          <w:marRight w:val="0"/>
          <w:marTop w:val="0"/>
          <w:marBottom w:val="0"/>
          <w:divBdr>
            <w:top w:val="none" w:sz="0" w:space="0" w:color="auto"/>
            <w:left w:val="none" w:sz="0" w:space="0" w:color="auto"/>
            <w:bottom w:val="none" w:sz="0" w:space="0" w:color="auto"/>
            <w:right w:val="none" w:sz="0" w:space="0" w:color="auto"/>
          </w:divBdr>
        </w:div>
      </w:divsChild>
    </w:div>
    <w:div w:id="1358461972">
      <w:bodyDiv w:val="1"/>
      <w:marLeft w:val="0"/>
      <w:marRight w:val="0"/>
      <w:marTop w:val="0"/>
      <w:marBottom w:val="0"/>
      <w:divBdr>
        <w:top w:val="none" w:sz="0" w:space="0" w:color="auto"/>
        <w:left w:val="none" w:sz="0" w:space="0" w:color="auto"/>
        <w:bottom w:val="none" w:sz="0" w:space="0" w:color="auto"/>
        <w:right w:val="none" w:sz="0" w:space="0" w:color="auto"/>
      </w:divBdr>
    </w:div>
    <w:div w:id="1396120265">
      <w:bodyDiv w:val="1"/>
      <w:marLeft w:val="0"/>
      <w:marRight w:val="0"/>
      <w:marTop w:val="0"/>
      <w:marBottom w:val="0"/>
      <w:divBdr>
        <w:top w:val="none" w:sz="0" w:space="0" w:color="auto"/>
        <w:left w:val="none" w:sz="0" w:space="0" w:color="auto"/>
        <w:bottom w:val="none" w:sz="0" w:space="0" w:color="auto"/>
        <w:right w:val="none" w:sz="0" w:space="0" w:color="auto"/>
      </w:divBdr>
    </w:div>
    <w:div w:id="1404454652">
      <w:bodyDiv w:val="1"/>
      <w:marLeft w:val="0"/>
      <w:marRight w:val="0"/>
      <w:marTop w:val="0"/>
      <w:marBottom w:val="0"/>
      <w:divBdr>
        <w:top w:val="none" w:sz="0" w:space="0" w:color="auto"/>
        <w:left w:val="none" w:sz="0" w:space="0" w:color="auto"/>
        <w:bottom w:val="none" w:sz="0" w:space="0" w:color="auto"/>
        <w:right w:val="none" w:sz="0" w:space="0" w:color="auto"/>
      </w:divBdr>
    </w:div>
    <w:div w:id="1434125779">
      <w:bodyDiv w:val="1"/>
      <w:marLeft w:val="0"/>
      <w:marRight w:val="0"/>
      <w:marTop w:val="0"/>
      <w:marBottom w:val="0"/>
      <w:divBdr>
        <w:top w:val="none" w:sz="0" w:space="0" w:color="auto"/>
        <w:left w:val="none" w:sz="0" w:space="0" w:color="auto"/>
        <w:bottom w:val="none" w:sz="0" w:space="0" w:color="auto"/>
        <w:right w:val="none" w:sz="0" w:space="0" w:color="auto"/>
      </w:divBdr>
    </w:div>
    <w:div w:id="1497107409">
      <w:bodyDiv w:val="1"/>
      <w:marLeft w:val="0"/>
      <w:marRight w:val="0"/>
      <w:marTop w:val="0"/>
      <w:marBottom w:val="0"/>
      <w:divBdr>
        <w:top w:val="none" w:sz="0" w:space="0" w:color="auto"/>
        <w:left w:val="none" w:sz="0" w:space="0" w:color="auto"/>
        <w:bottom w:val="none" w:sz="0" w:space="0" w:color="auto"/>
        <w:right w:val="none" w:sz="0" w:space="0" w:color="auto"/>
      </w:divBdr>
      <w:divsChild>
        <w:div w:id="1562668052">
          <w:marLeft w:val="0"/>
          <w:marRight w:val="0"/>
          <w:marTop w:val="30"/>
          <w:marBottom w:val="0"/>
          <w:divBdr>
            <w:top w:val="none" w:sz="0" w:space="0" w:color="auto"/>
            <w:left w:val="none" w:sz="0" w:space="0" w:color="auto"/>
            <w:bottom w:val="none" w:sz="0" w:space="0" w:color="auto"/>
            <w:right w:val="none" w:sz="0" w:space="0" w:color="auto"/>
          </w:divBdr>
        </w:div>
        <w:div w:id="1409696517">
          <w:marLeft w:val="0"/>
          <w:marRight w:val="0"/>
          <w:marTop w:val="30"/>
          <w:marBottom w:val="0"/>
          <w:divBdr>
            <w:top w:val="none" w:sz="0" w:space="0" w:color="auto"/>
            <w:left w:val="none" w:sz="0" w:space="0" w:color="auto"/>
            <w:bottom w:val="none" w:sz="0" w:space="0" w:color="auto"/>
            <w:right w:val="none" w:sz="0" w:space="0" w:color="auto"/>
          </w:divBdr>
        </w:div>
        <w:div w:id="1153523799">
          <w:marLeft w:val="0"/>
          <w:marRight w:val="0"/>
          <w:marTop w:val="30"/>
          <w:marBottom w:val="0"/>
          <w:divBdr>
            <w:top w:val="none" w:sz="0" w:space="0" w:color="auto"/>
            <w:left w:val="none" w:sz="0" w:space="0" w:color="auto"/>
            <w:bottom w:val="none" w:sz="0" w:space="0" w:color="auto"/>
            <w:right w:val="none" w:sz="0" w:space="0" w:color="auto"/>
          </w:divBdr>
        </w:div>
        <w:div w:id="321350162">
          <w:marLeft w:val="0"/>
          <w:marRight w:val="0"/>
          <w:marTop w:val="30"/>
          <w:marBottom w:val="0"/>
          <w:divBdr>
            <w:top w:val="none" w:sz="0" w:space="0" w:color="auto"/>
            <w:left w:val="none" w:sz="0" w:space="0" w:color="auto"/>
            <w:bottom w:val="none" w:sz="0" w:space="0" w:color="auto"/>
            <w:right w:val="none" w:sz="0" w:space="0" w:color="auto"/>
          </w:divBdr>
        </w:div>
        <w:div w:id="1403522903">
          <w:marLeft w:val="0"/>
          <w:marRight w:val="0"/>
          <w:marTop w:val="30"/>
          <w:marBottom w:val="0"/>
          <w:divBdr>
            <w:top w:val="none" w:sz="0" w:space="0" w:color="auto"/>
            <w:left w:val="none" w:sz="0" w:space="0" w:color="auto"/>
            <w:bottom w:val="none" w:sz="0" w:space="0" w:color="auto"/>
            <w:right w:val="none" w:sz="0" w:space="0" w:color="auto"/>
          </w:divBdr>
        </w:div>
        <w:div w:id="91512324">
          <w:marLeft w:val="0"/>
          <w:marRight w:val="0"/>
          <w:marTop w:val="30"/>
          <w:marBottom w:val="0"/>
          <w:divBdr>
            <w:top w:val="none" w:sz="0" w:space="0" w:color="auto"/>
            <w:left w:val="none" w:sz="0" w:space="0" w:color="auto"/>
            <w:bottom w:val="none" w:sz="0" w:space="0" w:color="auto"/>
            <w:right w:val="none" w:sz="0" w:space="0" w:color="auto"/>
          </w:divBdr>
        </w:div>
        <w:div w:id="1463108668">
          <w:marLeft w:val="0"/>
          <w:marRight w:val="0"/>
          <w:marTop w:val="30"/>
          <w:marBottom w:val="0"/>
          <w:divBdr>
            <w:top w:val="none" w:sz="0" w:space="0" w:color="auto"/>
            <w:left w:val="none" w:sz="0" w:space="0" w:color="auto"/>
            <w:bottom w:val="none" w:sz="0" w:space="0" w:color="auto"/>
            <w:right w:val="none" w:sz="0" w:space="0" w:color="auto"/>
          </w:divBdr>
        </w:div>
        <w:div w:id="1080952077">
          <w:marLeft w:val="0"/>
          <w:marRight w:val="0"/>
          <w:marTop w:val="30"/>
          <w:marBottom w:val="0"/>
          <w:divBdr>
            <w:top w:val="none" w:sz="0" w:space="0" w:color="auto"/>
            <w:left w:val="none" w:sz="0" w:space="0" w:color="auto"/>
            <w:bottom w:val="none" w:sz="0" w:space="0" w:color="auto"/>
            <w:right w:val="none" w:sz="0" w:space="0" w:color="auto"/>
          </w:divBdr>
        </w:div>
      </w:divsChild>
    </w:div>
    <w:div w:id="1510176069">
      <w:bodyDiv w:val="1"/>
      <w:marLeft w:val="0"/>
      <w:marRight w:val="0"/>
      <w:marTop w:val="0"/>
      <w:marBottom w:val="0"/>
      <w:divBdr>
        <w:top w:val="none" w:sz="0" w:space="0" w:color="auto"/>
        <w:left w:val="none" w:sz="0" w:space="0" w:color="auto"/>
        <w:bottom w:val="none" w:sz="0" w:space="0" w:color="auto"/>
        <w:right w:val="none" w:sz="0" w:space="0" w:color="auto"/>
      </w:divBdr>
    </w:div>
    <w:div w:id="1533615507">
      <w:bodyDiv w:val="1"/>
      <w:marLeft w:val="0"/>
      <w:marRight w:val="0"/>
      <w:marTop w:val="0"/>
      <w:marBottom w:val="0"/>
      <w:divBdr>
        <w:top w:val="none" w:sz="0" w:space="0" w:color="auto"/>
        <w:left w:val="none" w:sz="0" w:space="0" w:color="auto"/>
        <w:bottom w:val="none" w:sz="0" w:space="0" w:color="auto"/>
        <w:right w:val="none" w:sz="0" w:space="0" w:color="auto"/>
      </w:divBdr>
    </w:div>
    <w:div w:id="1544899631">
      <w:bodyDiv w:val="1"/>
      <w:marLeft w:val="0"/>
      <w:marRight w:val="0"/>
      <w:marTop w:val="0"/>
      <w:marBottom w:val="0"/>
      <w:divBdr>
        <w:top w:val="none" w:sz="0" w:space="0" w:color="auto"/>
        <w:left w:val="none" w:sz="0" w:space="0" w:color="auto"/>
        <w:bottom w:val="none" w:sz="0" w:space="0" w:color="auto"/>
        <w:right w:val="none" w:sz="0" w:space="0" w:color="auto"/>
      </w:divBdr>
    </w:div>
    <w:div w:id="1640920373">
      <w:bodyDiv w:val="1"/>
      <w:marLeft w:val="0"/>
      <w:marRight w:val="0"/>
      <w:marTop w:val="0"/>
      <w:marBottom w:val="0"/>
      <w:divBdr>
        <w:top w:val="none" w:sz="0" w:space="0" w:color="auto"/>
        <w:left w:val="none" w:sz="0" w:space="0" w:color="auto"/>
        <w:bottom w:val="none" w:sz="0" w:space="0" w:color="auto"/>
        <w:right w:val="none" w:sz="0" w:space="0" w:color="auto"/>
      </w:divBdr>
      <w:divsChild>
        <w:div w:id="800612132">
          <w:marLeft w:val="0"/>
          <w:marRight w:val="0"/>
          <w:marTop w:val="0"/>
          <w:marBottom w:val="0"/>
          <w:divBdr>
            <w:top w:val="none" w:sz="0" w:space="0" w:color="auto"/>
            <w:left w:val="none" w:sz="0" w:space="0" w:color="auto"/>
            <w:bottom w:val="none" w:sz="0" w:space="0" w:color="auto"/>
            <w:right w:val="none" w:sz="0" w:space="0" w:color="auto"/>
          </w:divBdr>
        </w:div>
        <w:div w:id="526868244">
          <w:marLeft w:val="0"/>
          <w:marRight w:val="0"/>
          <w:marTop w:val="0"/>
          <w:marBottom w:val="0"/>
          <w:divBdr>
            <w:top w:val="none" w:sz="0" w:space="0" w:color="auto"/>
            <w:left w:val="none" w:sz="0" w:space="0" w:color="auto"/>
            <w:bottom w:val="none" w:sz="0" w:space="0" w:color="auto"/>
            <w:right w:val="none" w:sz="0" w:space="0" w:color="auto"/>
          </w:divBdr>
        </w:div>
        <w:div w:id="615063308">
          <w:marLeft w:val="0"/>
          <w:marRight w:val="0"/>
          <w:marTop w:val="0"/>
          <w:marBottom w:val="0"/>
          <w:divBdr>
            <w:top w:val="none" w:sz="0" w:space="0" w:color="auto"/>
            <w:left w:val="none" w:sz="0" w:space="0" w:color="auto"/>
            <w:bottom w:val="none" w:sz="0" w:space="0" w:color="auto"/>
            <w:right w:val="none" w:sz="0" w:space="0" w:color="auto"/>
          </w:divBdr>
        </w:div>
        <w:div w:id="280235013">
          <w:marLeft w:val="0"/>
          <w:marRight w:val="0"/>
          <w:marTop w:val="0"/>
          <w:marBottom w:val="0"/>
          <w:divBdr>
            <w:top w:val="none" w:sz="0" w:space="0" w:color="auto"/>
            <w:left w:val="none" w:sz="0" w:space="0" w:color="auto"/>
            <w:bottom w:val="none" w:sz="0" w:space="0" w:color="auto"/>
            <w:right w:val="none" w:sz="0" w:space="0" w:color="auto"/>
          </w:divBdr>
        </w:div>
        <w:div w:id="426508781">
          <w:marLeft w:val="0"/>
          <w:marRight w:val="0"/>
          <w:marTop w:val="0"/>
          <w:marBottom w:val="0"/>
          <w:divBdr>
            <w:top w:val="none" w:sz="0" w:space="0" w:color="auto"/>
            <w:left w:val="none" w:sz="0" w:space="0" w:color="auto"/>
            <w:bottom w:val="none" w:sz="0" w:space="0" w:color="auto"/>
            <w:right w:val="none" w:sz="0" w:space="0" w:color="auto"/>
          </w:divBdr>
        </w:div>
        <w:div w:id="2071296405">
          <w:marLeft w:val="0"/>
          <w:marRight w:val="0"/>
          <w:marTop w:val="0"/>
          <w:marBottom w:val="0"/>
          <w:divBdr>
            <w:top w:val="none" w:sz="0" w:space="0" w:color="auto"/>
            <w:left w:val="none" w:sz="0" w:space="0" w:color="auto"/>
            <w:bottom w:val="none" w:sz="0" w:space="0" w:color="auto"/>
            <w:right w:val="none" w:sz="0" w:space="0" w:color="auto"/>
          </w:divBdr>
        </w:div>
        <w:div w:id="1991596547">
          <w:marLeft w:val="0"/>
          <w:marRight w:val="0"/>
          <w:marTop w:val="0"/>
          <w:marBottom w:val="0"/>
          <w:divBdr>
            <w:top w:val="none" w:sz="0" w:space="0" w:color="auto"/>
            <w:left w:val="none" w:sz="0" w:space="0" w:color="auto"/>
            <w:bottom w:val="none" w:sz="0" w:space="0" w:color="auto"/>
            <w:right w:val="none" w:sz="0" w:space="0" w:color="auto"/>
          </w:divBdr>
        </w:div>
        <w:div w:id="936866425">
          <w:marLeft w:val="0"/>
          <w:marRight w:val="0"/>
          <w:marTop w:val="0"/>
          <w:marBottom w:val="0"/>
          <w:divBdr>
            <w:top w:val="none" w:sz="0" w:space="0" w:color="auto"/>
            <w:left w:val="none" w:sz="0" w:space="0" w:color="auto"/>
            <w:bottom w:val="none" w:sz="0" w:space="0" w:color="auto"/>
            <w:right w:val="none" w:sz="0" w:space="0" w:color="auto"/>
          </w:divBdr>
        </w:div>
      </w:divsChild>
    </w:div>
    <w:div w:id="1655842143">
      <w:bodyDiv w:val="1"/>
      <w:marLeft w:val="0"/>
      <w:marRight w:val="0"/>
      <w:marTop w:val="0"/>
      <w:marBottom w:val="0"/>
      <w:divBdr>
        <w:top w:val="none" w:sz="0" w:space="0" w:color="auto"/>
        <w:left w:val="none" w:sz="0" w:space="0" w:color="auto"/>
        <w:bottom w:val="none" w:sz="0" w:space="0" w:color="auto"/>
        <w:right w:val="none" w:sz="0" w:space="0" w:color="auto"/>
      </w:divBdr>
    </w:div>
    <w:div w:id="1665935391">
      <w:bodyDiv w:val="1"/>
      <w:marLeft w:val="0"/>
      <w:marRight w:val="0"/>
      <w:marTop w:val="0"/>
      <w:marBottom w:val="0"/>
      <w:divBdr>
        <w:top w:val="none" w:sz="0" w:space="0" w:color="auto"/>
        <w:left w:val="none" w:sz="0" w:space="0" w:color="auto"/>
        <w:bottom w:val="none" w:sz="0" w:space="0" w:color="auto"/>
        <w:right w:val="none" w:sz="0" w:space="0" w:color="auto"/>
      </w:divBdr>
      <w:divsChild>
        <w:div w:id="1913544547">
          <w:marLeft w:val="0"/>
          <w:marRight w:val="0"/>
          <w:marTop w:val="0"/>
          <w:marBottom w:val="0"/>
          <w:divBdr>
            <w:top w:val="none" w:sz="0" w:space="0" w:color="auto"/>
            <w:left w:val="none" w:sz="0" w:space="0" w:color="auto"/>
            <w:bottom w:val="none" w:sz="0" w:space="0" w:color="auto"/>
            <w:right w:val="none" w:sz="0" w:space="0" w:color="auto"/>
          </w:divBdr>
        </w:div>
        <w:div w:id="2057196937">
          <w:marLeft w:val="0"/>
          <w:marRight w:val="0"/>
          <w:marTop w:val="0"/>
          <w:marBottom w:val="0"/>
          <w:divBdr>
            <w:top w:val="none" w:sz="0" w:space="0" w:color="auto"/>
            <w:left w:val="none" w:sz="0" w:space="0" w:color="auto"/>
            <w:bottom w:val="none" w:sz="0" w:space="0" w:color="auto"/>
            <w:right w:val="none" w:sz="0" w:space="0" w:color="auto"/>
          </w:divBdr>
        </w:div>
        <w:div w:id="2065129939">
          <w:marLeft w:val="0"/>
          <w:marRight w:val="0"/>
          <w:marTop w:val="0"/>
          <w:marBottom w:val="0"/>
          <w:divBdr>
            <w:top w:val="none" w:sz="0" w:space="0" w:color="auto"/>
            <w:left w:val="none" w:sz="0" w:space="0" w:color="auto"/>
            <w:bottom w:val="none" w:sz="0" w:space="0" w:color="auto"/>
            <w:right w:val="none" w:sz="0" w:space="0" w:color="auto"/>
          </w:divBdr>
        </w:div>
        <w:div w:id="2010058789">
          <w:marLeft w:val="0"/>
          <w:marRight w:val="0"/>
          <w:marTop w:val="0"/>
          <w:marBottom w:val="0"/>
          <w:divBdr>
            <w:top w:val="none" w:sz="0" w:space="0" w:color="auto"/>
            <w:left w:val="none" w:sz="0" w:space="0" w:color="auto"/>
            <w:bottom w:val="none" w:sz="0" w:space="0" w:color="auto"/>
            <w:right w:val="none" w:sz="0" w:space="0" w:color="auto"/>
          </w:divBdr>
        </w:div>
        <w:div w:id="2004895562">
          <w:marLeft w:val="0"/>
          <w:marRight w:val="0"/>
          <w:marTop w:val="0"/>
          <w:marBottom w:val="0"/>
          <w:divBdr>
            <w:top w:val="none" w:sz="0" w:space="0" w:color="auto"/>
            <w:left w:val="none" w:sz="0" w:space="0" w:color="auto"/>
            <w:bottom w:val="none" w:sz="0" w:space="0" w:color="auto"/>
            <w:right w:val="none" w:sz="0" w:space="0" w:color="auto"/>
          </w:divBdr>
        </w:div>
        <w:div w:id="143855023">
          <w:marLeft w:val="0"/>
          <w:marRight w:val="0"/>
          <w:marTop w:val="0"/>
          <w:marBottom w:val="0"/>
          <w:divBdr>
            <w:top w:val="none" w:sz="0" w:space="0" w:color="auto"/>
            <w:left w:val="none" w:sz="0" w:space="0" w:color="auto"/>
            <w:bottom w:val="none" w:sz="0" w:space="0" w:color="auto"/>
            <w:right w:val="none" w:sz="0" w:space="0" w:color="auto"/>
          </w:divBdr>
        </w:div>
        <w:div w:id="68626556">
          <w:marLeft w:val="0"/>
          <w:marRight w:val="0"/>
          <w:marTop w:val="0"/>
          <w:marBottom w:val="0"/>
          <w:divBdr>
            <w:top w:val="none" w:sz="0" w:space="0" w:color="auto"/>
            <w:left w:val="none" w:sz="0" w:space="0" w:color="auto"/>
            <w:bottom w:val="none" w:sz="0" w:space="0" w:color="auto"/>
            <w:right w:val="none" w:sz="0" w:space="0" w:color="auto"/>
          </w:divBdr>
        </w:div>
        <w:div w:id="625354084">
          <w:marLeft w:val="0"/>
          <w:marRight w:val="0"/>
          <w:marTop w:val="0"/>
          <w:marBottom w:val="0"/>
          <w:divBdr>
            <w:top w:val="none" w:sz="0" w:space="0" w:color="auto"/>
            <w:left w:val="none" w:sz="0" w:space="0" w:color="auto"/>
            <w:bottom w:val="none" w:sz="0" w:space="0" w:color="auto"/>
            <w:right w:val="none" w:sz="0" w:space="0" w:color="auto"/>
          </w:divBdr>
        </w:div>
      </w:divsChild>
    </w:div>
    <w:div w:id="1784031610">
      <w:bodyDiv w:val="1"/>
      <w:marLeft w:val="0"/>
      <w:marRight w:val="0"/>
      <w:marTop w:val="0"/>
      <w:marBottom w:val="0"/>
      <w:divBdr>
        <w:top w:val="none" w:sz="0" w:space="0" w:color="auto"/>
        <w:left w:val="none" w:sz="0" w:space="0" w:color="auto"/>
        <w:bottom w:val="none" w:sz="0" w:space="0" w:color="auto"/>
        <w:right w:val="none" w:sz="0" w:space="0" w:color="auto"/>
      </w:divBdr>
      <w:divsChild>
        <w:div w:id="1778940197">
          <w:marLeft w:val="0"/>
          <w:marRight w:val="0"/>
          <w:marTop w:val="0"/>
          <w:marBottom w:val="0"/>
          <w:divBdr>
            <w:top w:val="none" w:sz="0" w:space="0" w:color="auto"/>
            <w:left w:val="none" w:sz="0" w:space="0" w:color="auto"/>
            <w:bottom w:val="none" w:sz="0" w:space="0" w:color="auto"/>
            <w:right w:val="none" w:sz="0" w:space="0" w:color="auto"/>
          </w:divBdr>
        </w:div>
        <w:div w:id="431971027">
          <w:marLeft w:val="0"/>
          <w:marRight w:val="0"/>
          <w:marTop w:val="0"/>
          <w:marBottom w:val="0"/>
          <w:divBdr>
            <w:top w:val="none" w:sz="0" w:space="0" w:color="auto"/>
            <w:left w:val="none" w:sz="0" w:space="0" w:color="auto"/>
            <w:bottom w:val="none" w:sz="0" w:space="0" w:color="auto"/>
            <w:right w:val="none" w:sz="0" w:space="0" w:color="auto"/>
          </w:divBdr>
        </w:div>
        <w:div w:id="1643148950">
          <w:marLeft w:val="0"/>
          <w:marRight w:val="0"/>
          <w:marTop w:val="0"/>
          <w:marBottom w:val="0"/>
          <w:divBdr>
            <w:top w:val="none" w:sz="0" w:space="0" w:color="auto"/>
            <w:left w:val="none" w:sz="0" w:space="0" w:color="auto"/>
            <w:bottom w:val="none" w:sz="0" w:space="0" w:color="auto"/>
            <w:right w:val="none" w:sz="0" w:space="0" w:color="auto"/>
          </w:divBdr>
        </w:div>
        <w:div w:id="245264250">
          <w:marLeft w:val="0"/>
          <w:marRight w:val="0"/>
          <w:marTop w:val="0"/>
          <w:marBottom w:val="0"/>
          <w:divBdr>
            <w:top w:val="none" w:sz="0" w:space="0" w:color="auto"/>
            <w:left w:val="none" w:sz="0" w:space="0" w:color="auto"/>
            <w:bottom w:val="none" w:sz="0" w:space="0" w:color="auto"/>
            <w:right w:val="none" w:sz="0" w:space="0" w:color="auto"/>
          </w:divBdr>
        </w:div>
        <w:div w:id="1297175290">
          <w:marLeft w:val="0"/>
          <w:marRight w:val="0"/>
          <w:marTop w:val="0"/>
          <w:marBottom w:val="0"/>
          <w:divBdr>
            <w:top w:val="none" w:sz="0" w:space="0" w:color="auto"/>
            <w:left w:val="none" w:sz="0" w:space="0" w:color="auto"/>
            <w:bottom w:val="none" w:sz="0" w:space="0" w:color="auto"/>
            <w:right w:val="none" w:sz="0" w:space="0" w:color="auto"/>
          </w:divBdr>
        </w:div>
        <w:div w:id="1704792845">
          <w:marLeft w:val="0"/>
          <w:marRight w:val="0"/>
          <w:marTop w:val="0"/>
          <w:marBottom w:val="0"/>
          <w:divBdr>
            <w:top w:val="none" w:sz="0" w:space="0" w:color="auto"/>
            <w:left w:val="none" w:sz="0" w:space="0" w:color="auto"/>
            <w:bottom w:val="none" w:sz="0" w:space="0" w:color="auto"/>
            <w:right w:val="none" w:sz="0" w:space="0" w:color="auto"/>
          </w:divBdr>
        </w:div>
        <w:div w:id="1462112019">
          <w:marLeft w:val="0"/>
          <w:marRight w:val="0"/>
          <w:marTop w:val="0"/>
          <w:marBottom w:val="0"/>
          <w:divBdr>
            <w:top w:val="none" w:sz="0" w:space="0" w:color="auto"/>
            <w:left w:val="none" w:sz="0" w:space="0" w:color="auto"/>
            <w:bottom w:val="none" w:sz="0" w:space="0" w:color="auto"/>
            <w:right w:val="none" w:sz="0" w:space="0" w:color="auto"/>
          </w:divBdr>
        </w:div>
      </w:divsChild>
    </w:div>
    <w:div w:id="1805922188">
      <w:bodyDiv w:val="1"/>
      <w:marLeft w:val="0"/>
      <w:marRight w:val="0"/>
      <w:marTop w:val="0"/>
      <w:marBottom w:val="0"/>
      <w:divBdr>
        <w:top w:val="none" w:sz="0" w:space="0" w:color="auto"/>
        <w:left w:val="none" w:sz="0" w:space="0" w:color="auto"/>
        <w:bottom w:val="none" w:sz="0" w:space="0" w:color="auto"/>
        <w:right w:val="none" w:sz="0" w:space="0" w:color="auto"/>
      </w:divBdr>
      <w:divsChild>
        <w:div w:id="1899439674">
          <w:marLeft w:val="0"/>
          <w:marRight w:val="0"/>
          <w:marTop w:val="0"/>
          <w:marBottom w:val="0"/>
          <w:divBdr>
            <w:top w:val="none" w:sz="0" w:space="0" w:color="auto"/>
            <w:left w:val="none" w:sz="0" w:space="0" w:color="auto"/>
            <w:bottom w:val="none" w:sz="0" w:space="0" w:color="auto"/>
            <w:right w:val="none" w:sz="0" w:space="0" w:color="auto"/>
          </w:divBdr>
        </w:div>
        <w:div w:id="365443958">
          <w:marLeft w:val="0"/>
          <w:marRight w:val="0"/>
          <w:marTop w:val="0"/>
          <w:marBottom w:val="0"/>
          <w:divBdr>
            <w:top w:val="none" w:sz="0" w:space="0" w:color="auto"/>
            <w:left w:val="none" w:sz="0" w:space="0" w:color="auto"/>
            <w:bottom w:val="none" w:sz="0" w:space="0" w:color="auto"/>
            <w:right w:val="none" w:sz="0" w:space="0" w:color="auto"/>
          </w:divBdr>
        </w:div>
        <w:div w:id="1205750305">
          <w:marLeft w:val="0"/>
          <w:marRight w:val="0"/>
          <w:marTop w:val="0"/>
          <w:marBottom w:val="0"/>
          <w:divBdr>
            <w:top w:val="none" w:sz="0" w:space="0" w:color="auto"/>
            <w:left w:val="none" w:sz="0" w:space="0" w:color="auto"/>
            <w:bottom w:val="none" w:sz="0" w:space="0" w:color="auto"/>
            <w:right w:val="none" w:sz="0" w:space="0" w:color="auto"/>
          </w:divBdr>
        </w:div>
        <w:div w:id="1904557418">
          <w:marLeft w:val="0"/>
          <w:marRight w:val="0"/>
          <w:marTop w:val="0"/>
          <w:marBottom w:val="0"/>
          <w:divBdr>
            <w:top w:val="none" w:sz="0" w:space="0" w:color="auto"/>
            <w:left w:val="none" w:sz="0" w:space="0" w:color="auto"/>
            <w:bottom w:val="none" w:sz="0" w:space="0" w:color="auto"/>
            <w:right w:val="none" w:sz="0" w:space="0" w:color="auto"/>
          </w:divBdr>
        </w:div>
        <w:div w:id="549802456">
          <w:marLeft w:val="0"/>
          <w:marRight w:val="0"/>
          <w:marTop w:val="0"/>
          <w:marBottom w:val="0"/>
          <w:divBdr>
            <w:top w:val="none" w:sz="0" w:space="0" w:color="auto"/>
            <w:left w:val="none" w:sz="0" w:space="0" w:color="auto"/>
            <w:bottom w:val="none" w:sz="0" w:space="0" w:color="auto"/>
            <w:right w:val="none" w:sz="0" w:space="0" w:color="auto"/>
          </w:divBdr>
        </w:div>
        <w:div w:id="2049988257">
          <w:marLeft w:val="0"/>
          <w:marRight w:val="0"/>
          <w:marTop w:val="0"/>
          <w:marBottom w:val="0"/>
          <w:divBdr>
            <w:top w:val="none" w:sz="0" w:space="0" w:color="auto"/>
            <w:left w:val="none" w:sz="0" w:space="0" w:color="auto"/>
            <w:bottom w:val="none" w:sz="0" w:space="0" w:color="auto"/>
            <w:right w:val="none" w:sz="0" w:space="0" w:color="auto"/>
          </w:divBdr>
        </w:div>
        <w:div w:id="20710577">
          <w:marLeft w:val="0"/>
          <w:marRight w:val="0"/>
          <w:marTop w:val="0"/>
          <w:marBottom w:val="0"/>
          <w:divBdr>
            <w:top w:val="none" w:sz="0" w:space="0" w:color="auto"/>
            <w:left w:val="none" w:sz="0" w:space="0" w:color="auto"/>
            <w:bottom w:val="none" w:sz="0" w:space="0" w:color="auto"/>
            <w:right w:val="none" w:sz="0" w:space="0" w:color="auto"/>
          </w:divBdr>
        </w:div>
        <w:div w:id="348068493">
          <w:marLeft w:val="0"/>
          <w:marRight w:val="0"/>
          <w:marTop w:val="0"/>
          <w:marBottom w:val="0"/>
          <w:divBdr>
            <w:top w:val="none" w:sz="0" w:space="0" w:color="auto"/>
            <w:left w:val="none" w:sz="0" w:space="0" w:color="auto"/>
            <w:bottom w:val="none" w:sz="0" w:space="0" w:color="auto"/>
            <w:right w:val="none" w:sz="0" w:space="0" w:color="auto"/>
          </w:divBdr>
        </w:div>
      </w:divsChild>
    </w:div>
    <w:div w:id="1806896910">
      <w:bodyDiv w:val="1"/>
      <w:marLeft w:val="0"/>
      <w:marRight w:val="0"/>
      <w:marTop w:val="0"/>
      <w:marBottom w:val="0"/>
      <w:divBdr>
        <w:top w:val="none" w:sz="0" w:space="0" w:color="auto"/>
        <w:left w:val="none" w:sz="0" w:space="0" w:color="auto"/>
        <w:bottom w:val="none" w:sz="0" w:space="0" w:color="auto"/>
        <w:right w:val="none" w:sz="0" w:space="0" w:color="auto"/>
      </w:divBdr>
    </w:div>
    <w:div w:id="1953705356">
      <w:bodyDiv w:val="1"/>
      <w:marLeft w:val="0"/>
      <w:marRight w:val="0"/>
      <w:marTop w:val="0"/>
      <w:marBottom w:val="0"/>
      <w:divBdr>
        <w:top w:val="none" w:sz="0" w:space="0" w:color="auto"/>
        <w:left w:val="none" w:sz="0" w:space="0" w:color="auto"/>
        <w:bottom w:val="none" w:sz="0" w:space="0" w:color="auto"/>
        <w:right w:val="none" w:sz="0" w:space="0" w:color="auto"/>
      </w:divBdr>
    </w:div>
    <w:div w:id="2033678577">
      <w:bodyDiv w:val="1"/>
      <w:marLeft w:val="0"/>
      <w:marRight w:val="0"/>
      <w:marTop w:val="0"/>
      <w:marBottom w:val="0"/>
      <w:divBdr>
        <w:top w:val="none" w:sz="0" w:space="0" w:color="auto"/>
        <w:left w:val="none" w:sz="0" w:space="0" w:color="auto"/>
        <w:bottom w:val="none" w:sz="0" w:space="0" w:color="auto"/>
        <w:right w:val="none" w:sz="0" w:space="0" w:color="auto"/>
      </w:divBdr>
      <w:divsChild>
        <w:div w:id="1553344653">
          <w:marLeft w:val="0"/>
          <w:marRight w:val="0"/>
          <w:marTop w:val="0"/>
          <w:marBottom w:val="0"/>
          <w:divBdr>
            <w:top w:val="none" w:sz="0" w:space="0" w:color="auto"/>
            <w:left w:val="none" w:sz="0" w:space="0" w:color="auto"/>
            <w:bottom w:val="none" w:sz="0" w:space="0" w:color="auto"/>
            <w:right w:val="none" w:sz="0" w:space="0" w:color="auto"/>
          </w:divBdr>
          <w:divsChild>
            <w:div w:id="1297100571">
              <w:marLeft w:val="0"/>
              <w:marRight w:val="0"/>
              <w:marTop w:val="0"/>
              <w:marBottom w:val="0"/>
              <w:divBdr>
                <w:top w:val="none" w:sz="0" w:space="0" w:color="auto"/>
                <w:left w:val="none" w:sz="0" w:space="0" w:color="auto"/>
                <w:bottom w:val="none" w:sz="0" w:space="0" w:color="auto"/>
                <w:right w:val="none" w:sz="0" w:space="0" w:color="auto"/>
              </w:divBdr>
              <w:divsChild>
                <w:div w:id="781001322">
                  <w:marLeft w:val="0"/>
                  <w:marRight w:val="0"/>
                  <w:marTop w:val="0"/>
                  <w:marBottom w:val="0"/>
                  <w:divBdr>
                    <w:top w:val="none" w:sz="0" w:space="0" w:color="auto"/>
                    <w:left w:val="none" w:sz="0" w:space="0" w:color="auto"/>
                    <w:bottom w:val="none" w:sz="0" w:space="0" w:color="auto"/>
                    <w:right w:val="none" w:sz="0" w:space="0" w:color="auto"/>
                  </w:divBdr>
                </w:div>
                <w:div w:id="1139423970">
                  <w:marLeft w:val="0"/>
                  <w:marRight w:val="0"/>
                  <w:marTop w:val="0"/>
                  <w:marBottom w:val="0"/>
                  <w:divBdr>
                    <w:top w:val="none" w:sz="0" w:space="0" w:color="auto"/>
                    <w:left w:val="none" w:sz="0" w:space="0" w:color="auto"/>
                    <w:bottom w:val="none" w:sz="0" w:space="0" w:color="auto"/>
                    <w:right w:val="none" w:sz="0" w:space="0" w:color="auto"/>
                  </w:divBdr>
                </w:div>
                <w:div w:id="432747512">
                  <w:marLeft w:val="0"/>
                  <w:marRight w:val="0"/>
                  <w:marTop w:val="0"/>
                  <w:marBottom w:val="0"/>
                  <w:divBdr>
                    <w:top w:val="none" w:sz="0" w:space="0" w:color="auto"/>
                    <w:left w:val="none" w:sz="0" w:space="0" w:color="auto"/>
                    <w:bottom w:val="none" w:sz="0" w:space="0" w:color="auto"/>
                    <w:right w:val="none" w:sz="0" w:space="0" w:color="auto"/>
                  </w:divBdr>
                </w:div>
                <w:div w:id="952439187">
                  <w:marLeft w:val="0"/>
                  <w:marRight w:val="0"/>
                  <w:marTop w:val="0"/>
                  <w:marBottom w:val="0"/>
                  <w:divBdr>
                    <w:top w:val="none" w:sz="0" w:space="0" w:color="auto"/>
                    <w:left w:val="none" w:sz="0" w:space="0" w:color="auto"/>
                    <w:bottom w:val="none" w:sz="0" w:space="0" w:color="auto"/>
                    <w:right w:val="none" w:sz="0" w:space="0" w:color="auto"/>
                  </w:divBdr>
                </w:div>
                <w:div w:id="803235513">
                  <w:marLeft w:val="0"/>
                  <w:marRight w:val="0"/>
                  <w:marTop w:val="0"/>
                  <w:marBottom w:val="0"/>
                  <w:divBdr>
                    <w:top w:val="none" w:sz="0" w:space="0" w:color="auto"/>
                    <w:left w:val="none" w:sz="0" w:space="0" w:color="auto"/>
                    <w:bottom w:val="none" w:sz="0" w:space="0" w:color="auto"/>
                    <w:right w:val="none" w:sz="0" w:space="0" w:color="auto"/>
                  </w:divBdr>
                </w:div>
                <w:div w:id="1835686054">
                  <w:marLeft w:val="0"/>
                  <w:marRight w:val="0"/>
                  <w:marTop w:val="0"/>
                  <w:marBottom w:val="0"/>
                  <w:divBdr>
                    <w:top w:val="none" w:sz="0" w:space="0" w:color="auto"/>
                    <w:left w:val="none" w:sz="0" w:space="0" w:color="auto"/>
                    <w:bottom w:val="none" w:sz="0" w:space="0" w:color="auto"/>
                    <w:right w:val="none" w:sz="0" w:space="0" w:color="auto"/>
                  </w:divBdr>
                </w:div>
                <w:div w:id="75368428">
                  <w:marLeft w:val="0"/>
                  <w:marRight w:val="0"/>
                  <w:marTop w:val="0"/>
                  <w:marBottom w:val="0"/>
                  <w:divBdr>
                    <w:top w:val="none" w:sz="0" w:space="0" w:color="auto"/>
                    <w:left w:val="none" w:sz="0" w:space="0" w:color="auto"/>
                    <w:bottom w:val="none" w:sz="0" w:space="0" w:color="auto"/>
                    <w:right w:val="none" w:sz="0" w:space="0" w:color="auto"/>
                  </w:divBdr>
                </w:div>
                <w:div w:id="19742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8398">
          <w:marLeft w:val="0"/>
          <w:marRight w:val="0"/>
          <w:marTop w:val="0"/>
          <w:marBottom w:val="0"/>
          <w:divBdr>
            <w:top w:val="none" w:sz="0" w:space="0" w:color="auto"/>
            <w:left w:val="none" w:sz="0" w:space="0" w:color="auto"/>
            <w:bottom w:val="none" w:sz="0" w:space="0" w:color="auto"/>
            <w:right w:val="none" w:sz="0" w:space="0" w:color="auto"/>
          </w:divBdr>
        </w:div>
        <w:div w:id="1537738841">
          <w:marLeft w:val="0"/>
          <w:marRight w:val="0"/>
          <w:marTop w:val="0"/>
          <w:marBottom w:val="0"/>
          <w:divBdr>
            <w:top w:val="none" w:sz="0" w:space="0" w:color="auto"/>
            <w:left w:val="none" w:sz="0" w:space="0" w:color="auto"/>
            <w:bottom w:val="none" w:sz="0" w:space="0" w:color="auto"/>
            <w:right w:val="none" w:sz="0" w:space="0" w:color="auto"/>
          </w:divBdr>
        </w:div>
        <w:div w:id="1280454343">
          <w:marLeft w:val="0"/>
          <w:marRight w:val="0"/>
          <w:marTop w:val="0"/>
          <w:marBottom w:val="0"/>
          <w:divBdr>
            <w:top w:val="none" w:sz="0" w:space="0" w:color="auto"/>
            <w:left w:val="none" w:sz="0" w:space="0" w:color="auto"/>
            <w:bottom w:val="none" w:sz="0" w:space="0" w:color="auto"/>
            <w:right w:val="none" w:sz="0" w:space="0" w:color="auto"/>
          </w:divBdr>
        </w:div>
        <w:div w:id="689140196">
          <w:marLeft w:val="0"/>
          <w:marRight w:val="0"/>
          <w:marTop w:val="0"/>
          <w:marBottom w:val="0"/>
          <w:divBdr>
            <w:top w:val="none" w:sz="0" w:space="0" w:color="auto"/>
            <w:left w:val="none" w:sz="0" w:space="0" w:color="auto"/>
            <w:bottom w:val="none" w:sz="0" w:space="0" w:color="auto"/>
            <w:right w:val="none" w:sz="0" w:space="0" w:color="auto"/>
          </w:divBdr>
        </w:div>
        <w:div w:id="1442383073">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1840265453">
          <w:marLeft w:val="0"/>
          <w:marRight w:val="0"/>
          <w:marTop w:val="0"/>
          <w:marBottom w:val="0"/>
          <w:divBdr>
            <w:top w:val="none" w:sz="0" w:space="0" w:color="auto"/>
            <w:left w:val="none" w:sz="0" w:space="0" w:color="auto"/>
            <w:bottom w:val="none" w:sz="0" w:space="0" w:color="auto"/>
            <w:right w:val="none" w:sz="0" w:space="0" w:color="auto"/>
          </w:divBdr>
        </w:div>
      </w:divsChild>
    </w:div>
    <w:div w:id="2098206029">
      <w:bodyDiv w:val="1"/>
      <w:marLeft w:val="0"/>
      <w:marRight w:val="0"/>
      <w:marTop w:val="0"/>
      <w:marBottom w:val="0"/>
      <w:divBdr>
        <w:top w:val="none" w:sz="0" w:space="0" w:color="auto"/>
        <w:left w:val="none" w:sz="0" w:space="0" w:color="auto"/>
        <w:bottom w:val="none" w:sz="0" w:space="0" w:color="auto"/>
        <w:right w:val="none" w:sz="0" w:space="0" w:color="auto"/>
      </w:divBdr>
    </w:div>
    <w:div w:id="2108309270">
      <w:bodyDiv w:val="1"/>
      <w:marLeft w:val="0"/>
      <w:marRight w:val="0"/>
      <w:marTop w:val="0"/>
      <w:marBottom w:val="0"/>
      <w:divBdr>
        <w:top w:val="none" w:sz="0" w:space="0" w:color="auto"/>
        <w:left w:val="none" w:sz="0" w:space="0" w:color="auto"/>
        <w:bottom w:val="none" w:sz="0" w:space="0" w:color="auto"/>
        <w:right w:val="none" w:sz="0" w:space="0" w:color="auto"/>
      </w:divBdr>
      <w:divsChild>
        <w:div w:id="1261647804">
          <w:marLeft w:val="0"/>
          <w:marRight w:val="0"/>
          <w:marTop w:val="30"/>
          <w:marBottom w:val="0"/>
          <w:divBdr>
            <w:top w:val="none" w:sz="0" w:space="0" w:color="auto"/>
            <w:left w:val="none" w:sz="0" w:space="0" w:color="auto"/>
            <w:bottom w:val="none" w:sz="0" w:space="0" w:color="auto"/>
            <w:right w:val="none" w:sz="0" w:space="0" w:color="auto"/>
          </w:divBdr>
        </w:div>
        <w:div w:id="750542355">
          <w:marLeft w:val="0"/>
          <w:marRight w:val="0"/>
          <w:marTop w:val="30"/>
          <w:marBottom w:val="0"/>
          <w:divBdr>
            <w:top w:val="none" w:sz="0" w:space="0" w:color="auto"/>
            <w:left w:val="none" w:sz="0" w:space="0" w:color="auto"/>
            <w:bottom w:val="none" w:sz="0" w:space="0" w:color="auto"/>
            <w:right w:val="none" w:sz="0" w:space="0" w:color="auto"/>
          </w:divBdr>
        </w:div>
        <w:div w:id="655836991">
          <w:marLeft w:val="0"/>
          <w:marRight w:val="0"/>
          <w:marTop w:val="30"/>
          <w:marBottom w:val="0"/>
          <w:divBdr>
            <w:top w:val="none" w:sz="0" w:space="0" w:color="auto"/>
            <w:left w:val="none" w:sz="0" w:space="0" w:color="auto"/>
            <w:bottom w:val="none" w:sz="0" w:space="0" w:color="auto"/>
            <w:right w:val="none" w:sz="0" w:space="0" w:color="auto"/>
          </w:divBdr>
        </w:div>
        <w:div w:id="1569807713">
          <w:marLeft w:val="0"/>
          <w:marRight w:val="0"/>
          <w:marTop w:val="30"/>
          <w:marBottom w:val="0"/>
          <w:divBdr>
            <w:top w:val="none" w:sz="0" w:space="0" w:color="auto"/>
            <w:left w:val="none" w:sz="0" w:space="0" w:color="auto"/>
            <w:bottom w:val="none" w:sz="0" w:space="0" w:color="auto"/>
            <w:right w:val="none" w:sz="0" w:space="0" w:color="auto"/>
          </w:divBdr>
        </w:div>
        <w:div w:id="2013750927">
          <w:marLeft w:val="0"/>
          <w:marRight w:val="0"/>
          <w:marTop w:val="30"/>
          <w:marBottom w:val="0"/>
          <w:divBdr>
            <w:top w:val="none" w:sz="0" w:space="0" w:color="auto"/>
            <w:left w:val="none" w:sz="0" w:space="0" w:color="auto"/>
            <w:bottom w:val="none" w:sz="0" w:space="0" w:color="auto"/>
            <w:right w:val="none" w:sz="0" w:space="0" w:color="auto"/>
          </w:divBdr>
        </w:div>
        <w:div w:id="610211099">
          <w:marLeft w:val="0"/>
          <w:marRight w:val="0"/>
          <w:marTop w:val="30"/>
          <w:marBottom w:val="0"/>
          <w:divBdr>
            <w:top w:val="none" w:sz="0" w:space="0" w:color="auto"/>
            <w:left w:val="none" w:sz="0" w:space="0" w:color="auto"/>
            <w:bottom w:val="none" w:sz="0" w:space="0" w:color="auto"/>
            <w:right w:val="none" w:sz="0" w:space="0" w:color="auto"/>
          </w:divBdr>
        </w:div>
        <w:div w:id="987976334">
          <w:marLeft w:val="0"/>
          <w:marRight w:val="0"/>
          <w:marTop w:val="30"/>
          <w:marBottom w:val="0"/>
          <w:divBdr>
            <w:top w:val="none" w:sz="0" w:space="0" w:color="auto"/>
            <w:left w:val="none" w:sz="0" w:space="0" w:color="auto"/>
            <w:bottom w:val="none" w:sz="0" w:space="0" w:color="auto"/>
            <w:right w:val="none" w:sz="0" w:space="0" w:color="auto"/>
          </w:divBdr>
        </w:div>
        <w:div w:id="688947189">
          <w:marLeft w:val="0"/>
          <w:marRight w:val="0"/>
          <w:marTop w:val="30"/>
          <w:marBottom w:val="0"/>
          <w:divBdr>
            <w:top w:val="none" w:sz="0" w:space="0" w:color="auto"/>
            <w:left w:val="none" w:sz="0" w:space="0" w:color="auto"/>
            <w:bottom w:val="none" w:sz="0" w:space="0" w:color="auto"/>
            <w:right w:val="none" w:sz="0" w:space="0" w:color="auto"/>
          </w:divBdr>
        </w:div>
      </w:divsChild>
    </w:div>
    <w:div w:id="21408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ep.gov.pt/index.cfm?OBJID=F82200C9-44AE-446E-A9FB-70C117898028&amp;ID=10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fms.pt/publicacoes/detalhe/847/desigualdade-economica-em-portuga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o-imf.org/ieo/pages/CompletedEvaluation267.aspx"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ces.uc.pt/cesalmedina/?id=10638" TargetMode="External"/><Relationship Id="rId4" Type="http://schemas.openxmlformats.org/officeDocument/2006/relationships/settings" Target="settings.xml"/><Relationship Id="rId9" Type="http://schemas.openxmlformats.org/officeDocument/2006/relationships/hyperlink" Target="http://www.almedina.net/catalog/product_info.php?products_id=30887"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00AC72-2594-435A-AD91-A30B5F3F04F1}"/>
</file>

<file path=customXml/itemProps2.xml><?xml version="1.0" encoding="utf-8"?>
<ds:datastoreItem xmlns:ds="http://schemas.openxmlformats.org/officeDocument/2006/customXml" ds:itemID="{5A175762-65AA-442C-9DE6-7CAD1373A985}"/>
</file>

<file path=customXml/itemProps3.xml><?xml version="1.0" encoding="utf-8"?>
<ds:datastoreItem xmlns:ds="http://schemas.openxmlformats.org/officeDocument/2006/customXml" ds:itemID="{7F266835-87CB-4ECE-8CE1-9F203258B721}"/>
</file>

<file path=docProps/app.xml><?xml version="1.0" encoding="utf-8"?>
<Properties xmlns="http://schemas.openxmlformats.org/officeDocument/2006/extended-properties" xmlns:vt="http://schemas.openxmlformats.org/officeDocument/2006/docPropsVTypes">
  <Template>Normal</Template>
  <TotalTime>408</TotalTime>
  <Pages>8</Pages>
  <Words>3386</Words>
  <Characters>18290</Characters>
  <Application>Microsoft Office Word</Application>
  <DocSecurity>0</DocSecurity>
  <Lines>152</Lines>
  <Paragraphs>43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Severe material deprivation rate (Source: Eurostat)</vt:lpstr>
      <vt:lpstr>    In-work at-risk-of-poverty rate - EU-SILC survey (Source: Eurostat)</vt:lpstr>
      <vt:lpstr>    Gender pay gap in unadjusted form (Source: Eurostat)</vt:lpstr>
    </vt:vector>
  </TitlesOfParts>
  <Company>CES - Centro de Estudos Sociais</Company>
  <LinksUpToDate>false</LinksUpToDate>
  <CharactersWithSpaces>21633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BECOM</dc:creator>
  <cp:lastModifiedBy>BECOM</cp:lastModifiedBy>
  <cp:revision>9</cp:revision>
  <dcterms:created xsi:type="dcterms:W3CDTF">2016-10-17T15:34:00Z</dcterms:created>
  <dcterms:modified xsi:type="dcterms:W3CDTF">2016-10-19T13:17:00Z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