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4A0" w:firstRow="1" w:lastRow="0" w:firstColumn="1" w:lastColumn="0" w:noHBand="0" w:noVBand="1"/>
      </w:tblPr>
      <w:tblGrid>
        <w:gridCol w:w="5138"/>
        <w:gridCol w:w="3887"/>
      </w:tblGrid>
      <w:tr w:rsidR="00C12008" w14:paraId="3C8BE719" w14:textId="77777777" w:rsidTr="00C12008">
        <w:trPr>
          <w:trHeight w:val="270"/>
        </w:trPr>
        <w:tc>
          <w:tcPr>
            <w:tcW w:w="2500" w:type="pct"/>
            <w:tcMar>
              <w:top w:w="0" w:type="dxa"/>
              <w:left w:w="108" w:type="dxa"/>
              <w:bottom w:w="0" w:type="dxa"/>
              <w:right w:w="108" w:type="dxa"/>
            </w:tcMar>
            <w:hideMark/>
          </w:tcPr>
          <w:p w14:paraId="3C8BE717" w14:textId="77777777" w:rsidR="00C12008" w:rsidRDefault="00C12008">
            <w:pPr>
              <w:rPr>
                <w:rFonts w:ascii="Calibri" w:hAnsi="Calibri"/>
                <w:lang w:val="en-GB"/>
              </w:rPr>
            </w:pPr>
            <w:r>
              <w:rPr>
                <w:noProof/>
                <w:lang w:val="en-GB" w:eastAsia="en-GB"/>
              </w:rPr>
              <w:drawing>
                <wp:inline distT="0" distB="0" distL="0" distR="0" wp14:anchorId="3C8BE72E" wp14:editId="3C8BE72F">
                  <wp:extent cx="3125470" cy="962025"/>
                  <wp:effectExtent l="0" t="0" r="0" b="9525"/>
                  <wp:docPr id="2" name="Picture 2" descr="cid:image001.gif@01D38878.F0857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gif@01D38878.F0857E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125470" cy="962025"/>
                          </a:xfrm>
                          <a:prstGeom prst="rect">
                            <a:avLst/>
                          </a:prstGeom>
                          <a:noFill/>
                          <a:ln>
                            <a:noFill/>
                          </a:ln>
                        </pic:spPr>
                      </pic:pic>
                    </a:graphicData>
                  </a:graphic>
                </wp:inline>
              </w:drawing>
            </w:r>
          </w:p>
        </w:tc>
        <w:tc>
          <w:tcPr>
            <w:tcW w:w="2500" w:type="pct"/>
            <w:tcMar>
              <w:top w:w="0" w:type="dxa"/>
              <w:left w:w="108" w:type="dxa"/>
              <w:bottom w:w="0" w:type="dxa"/>
              <w:right w:w="108" w:type="dxa"/>
            </w:tcMar>
            <w:hideMark/>
          </w:tcPr>
          <w:p w14:paraId="3C8BE718" w14:textId="77777777" w:rsidR="00C12008" w:rsidRDefault="00C12008">
            <w:pPr>
              <w:jc w:val="right"/>
            </w:pPr>
            <w:r>
              <w:rPr>
                <w:noProof/>
                <w:lang w:val="en-GB" w:eastAsia="en-GB"/>
              </w:rPr>
              <w:drawing>
                <wp:inline distT="0" distB="0" distL="0" distR="0" wp14:anchorId="3C8BE730" wp14:editId="3C8BE731">
                  <wp:extent cx="2094865" cy="962025"/>
                  <wp:effectExtent l="0" t="0" r="635" b="9525"/>
                  <wp:docPr id="1" name="Picture 1" descr="cid:image004.gif@01D38871.7A905E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gif@01D38871.7A905E4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094865" cy="962025"/>
                          </a:xfrm>
                          <a:prstGeom prst="rect">
                            <a:avLst/>
                          </a:prstGeom>
                          <a:noFill/>
                          <a:ln>
                            <a:noFill/>
                          </a:ln>
                        </pic:spPr>
                      </pic:pic>
                    </a:graphicData>
                  </a:graphic>
                </wp:inline>
              </w:drawing>
            </w:r>
          </w:p>
        </w:tc>
      </w:tr>
    </w:tbl>
    <w:p w14:paraId="3C8BE71A" w14:textId="77777777" w:rsidR="00C12008" w:rsidRDefault="00C12008" w:rsidP="00C12008">
      <w:pPr>
        <w:rPr>
          <w:rFonts w:ascii="Calibri" w:hAnsi="Calibri" w:cs="Calibri"/>
        </w:rPr>
      </w:pPr>
      <w:r>
        <w:t> </w:t>
      </w:r>
    </w:p>
    <w:p w14:paraId="3C8BE71B" w14:textId="087477B6" w:rsidR="00C12008" w:rsidRPr="00C14983" w:rsidRDefault="00431F77" w:rsidP="00C14983">
      <w:pPr>
        <w:jc w:val="center"/>
        <w:rPr>
          <w:b/>
          <w:bCs/>
          <w:sz w:val="32"/>
          <w:szCs w:val="32"/>
        </w:rPr>
      </w:pPr>
      <w:r>
        <w:rPr>
          <w:b/>
          <w:bCs/>
          <w:sz w:val="32"/>
          <w:szCs w:val="32"/>
        </w:rPr>
        <w:t xml:space="preserve">Hungary: more needs to be done </w:t>
      </w:r>
      <w:bookmarkStart w:id="0" w:name="_GoBack"/>
      <w:bookmarkEnd w:id="0"/>
      <w:r>
        <w:rPr>
          <w:b/>
          <w:bCs/>
          <w:sz w:val="32"/>
          <w:szCs w:val="32"/>
        </w:rPr>
        <w:t xml:space="preserve">to bring legislation on </w:t>
      </w:r>
      <w:r w:rsidR="006108B1" w:rsidRPr="006108B1">
        <w:rPr>
          <w:b/>
          <w:bCs/>
          <w:sz w:val="32"/>
          <w:szCs w:val="32"/>
        </w:rPr>
        <w:t xml:space="preserve">administrative courts </w:t>
      </w:r>
      <w:r>
        <w:rPr>
          <w:b/>
          <w:bCs/>
          <w:sz w:val="32"/>
          <w:szCs w:val="32"/>
        </w:rPr>
        <w:t>i</w:t>
      </w:r>
      <w:r w:rsidR="006108B1" w:rsidRPr="006108B1">
        <w:rPr>
          <w:b/>
          <w:bCs/>
          <w:sz w:val="32"/>
          <w:szCs w:val="32"/>
        </w:rPr>
        <w:t>n line with international standards</w:t>
      </w:r>
      <w:r w:rsidR="00C12008" w:rsidRPr="00C12008">
        <w:rPr>
          <w:b/>
          <w:bCs/>
          <w:sz w:val="32"/>
          <w:szCs w:val="32"/>
        </w:rPr>
        <w:t>, UN Expert say</w:t>
      </w:r>
      <w:r w:rsidR="00B369E0">
        <w:rPr>
          <w:b/>
          <w:bCs/>
          <w:sz w:val="32"/>
          <w:szCs w:val="32"/>
        </w:rPr>
        <w:t>s.</w:t>
      </w:r>
      <w:r w:rsidR="0058652C">
        <w:rPr>
          <w:b/>
          <w:bCs/>
          <w:sz w:val="32"/>
          <w:szCs w:val="32"/>
        </w:rPr>
        <w:t xml:space="preserve"> </w:t>
      </w:r>
    </w:p>
    <w:p w14:paraId="4C4399E1" w14:textId="1F5F0589" w:rsidR="00E5461F" w:rsidRDefault="00CF0618" w:rsidP="00E5461F">
      <w:pPr>
        <w:jc w:val="both"/>
        <w:rPr>
          <w:rFonts w:ascii="Arial" w:hAnsi="Arial" w:cs="Arial"/>
          <w:sz w:val="24"/>
          <w:szCs w:val="24"/>
        </w:rPr>
      </w:pPr>
      <w:r>
        <w:rPr>
          <w:rFonts w:ascii="Arial" w:hAnsi="Arial" w:cs="Arial"/>
          <w:sz w:val="24"/>
          <w:szCs w:val="24"/>
        </w:rPr>
        <w:t>GENEVA (</w:t>
      </w:r>
      <w:r w:rsidR="005D36FC">
        <w:rPr>
          <w:rFonts w:ascii="Arial" w:hAnsi="Arial" w:cs="Arial"/>
          <w:sz w:val="24"/>
          <w:szCs w:val="24"/>
        </w:rPr>
        <w:t>5</w:t>
      </w:r>
      <w:r w:rsidR="008F5444" w:rsidRPr="00740E4C">
        <w:rPr>
          <w:rFonts w:ascii="Arial" w:hAnsi="Arial" w:cs="Arial"/>
          <w:sz w:val="24"/>
          <w:szCs w:val="24"/>
        </w:rPr>
        <w:t xml:space="preserve"> </w:t>
      </w:r>
      <w:r w:rsidR="00D61801">
        <w:rPr>
          <w:rFonts w:ascii="Arial" w:hAnsi="Arial" w:cs="Arial"/>
          <w:sz w:val="24"/>
          <w:szCs w:val="24"/>
        </w:rPr>
        <w:t>April</w:t>
      </w:r>
      <w:r w:rsidR="00D61801" w:rsidRPr="00740E4C">
        <w:rPr>
          <w:rFonts w:ascii="Arial" w:hAnsi="Arial" w:cs="Arial"/>
          <w:sz w:val="24"/>
          <w:szCs w:val="24"/>
        </w:rPr>
        <w:t xml:space="preserve"> </w:t>
      </w:r>
      <w:r w:rsidR="008F5444" w:rsidRPr="00740E4C">
        <w:rPr>
          <w:rFonts w:ascii="Arial" w:hAnsi="Arial" w:cs="Arial"/>
          <w:sz w:val="24"/>
          <w:szCs w:val="24"/>
        </w:rPr>
        <w:t xml:space="preserve">2019) </w:t>
      </w:r>
      <w:r w:rsidR="006A50E1">
        <w:rPr>
          <w:rFonts w:ascii="Arial" w:hAnsi="Arial" w:cs="Arial"/>
          <w:sz w:val="24"/>
          <w:szCs w:val="24"/>
        </w:rPr>
        <w:t>–</w:t>
      </w:r>
      <w:r w:rsidR="008F5444" w:rsidRPr="00740E4C">
        <w:rPr>
          <w:rFonts w:ascii="Arial" w:hAnsi="Arial" w:cs="Arial"/>
          <w:sz w:val="24"/>
          <w:szCs w:val="24"/>
        </w:rPr>
        <w:t xml:space="preserve"> </w:t>
      </w:r>
      <w:r w:rsidR="006A50E1" w:rsidRPr="006A50E1">
        <w:rPr>
          <w:rFonts w:ascii="Arial" w:hAnsi="Arial" w:cs="Arial"/>
          <w:sz w:val="24"/>
          <w:szCs w:val="24"/>
        </w:rPr>
        <w:t xml:space="preserve">The Hungarian Parliament </w:t>
      </w:r>
      <w:r w:rsidR="00232FE9">
        <w:rPr>
          <w:rFonts w:ascii="Arial" w:hAnsi="Arial" w:cs="Arial"/>
          <w:sz w:val="24"/>
          <w:szCs w:val="24"/>
        </w:rPr>
        <w:t>has recently amended t</w:t>
      </w:r>
      <w:r w:rsidR="006A50E1" w:rsidRPr="006A50E1">
        <w:rPr>
          <w:rFonts w:ascii="Arial" w:hAnsi="Arial" w:cs="Arial"/>
          <w:sz w:val="24"/>
          <w:szCs w:val="24"/>
        </w:rPr>
        <w:t>he laws on administrative courts</w:t>
      </w:r>
      <w:r w:rsidR="00E5461F">
        <w:rPr>
          <w:rFonts w:ascii="Arial" w:hAnsi="Arial" w:cs="Arial"/>
          <w:sz w:val="24"/>
          <w:szCs w:val="24"/>
        </w:rPr>
        <w:t xml:space="preserve">, adopted in December 2018, in order to bring </w:t>
      </w:r>
      <w:r w:rsidR="005B34C1">
        <w:rPr>
          <w:rFonts w:ascii="Arial" w:hAnsi="Arial" w:cs="Arial"/>
          <w:sz w:val="24"/>
          <w:szCs w:val="24"/>
        </w:rPr>
        <w:t>them</w:t>
      </w:r>
      <w:r w:rsidR="00E5461F">
        <w:rPr>
          <w:rFonts w:ascii="Arial" w:hAnsi="Arial" w:cs="Arial"/>
          <w:sz w:val="24"/>
          <w:szCs w:val="24"/>
        </w:rPr>
        <w:t xml:space="preserve"> in line with international standards.</w:t>
      </w:r>
      <w:r w:rsidR="00087854">
        <w:rPr>
          <w:rFonts w:ascii="Arial" w:hAnsi="Arial" w:cs="Arial"/>
          <w:sz w:val="24"/>
          <w:szCs w:val="24"/>
        </w:rPr>
        <w:t xml:space="preserve"> </w:t>
      </w:r>
    </w:p>
    <w:p w14:paraId="3CE609EA" w14:textId="11893057" w:rsidR="00741D4D" w:rsidRDefault="00BA132B" w:rsidP="008F5444">
      <w:pPr>
        <w:jc w:val="both"/>
        <w:rPr>
          <w:rFonts w:ascii="Arial" w:hAnsi="Arial" w:cs="Arial"/>
          <w:sz w:val="24"/>
          <w:szCs w:val="24"/>
        </w:rPr>
      </w:pPr>
      <w:r>
        <w:rPr>
          <w:rFonts w:ascii="Arial" w:hAnsi="Arial" w:cs="Arial"/>
          <w:sz w:val="24"/>
          <w:szCs w:val="24"/>
        </w:rPr>
        <w:t>At that time</w:t>
      </w:r>
      <w:r w:rsidR="008F5444" w:rsidRPr="00740E4C">
        <w:rPr>
          <w:rFonts w:ascii="Arial" w:hAnsi="Arial" w:cs="Arial"/>
          <w:sz w:val="24"/>
          <w:szCs w:val="24"/>
        </w:rPr>
        <w:t>, the Special Rapporteur on the independence of judges and lawyers</w:t>
      </w:r>
      <w:r w:rsidR="00232FE9">
        <w:rPr>
          <w:rFonts w:ascii="Arial" w:hAnsi="Arial" w:cs="Arial"/>
          <w:sz w:val="24"/>
          <w:szCs w:val="24"/>
        </w:rPr>
        <w:t>, Diego García-Sayán,</w:t>
      </w:r>
      <w:r w:rsidR="008F5444" w:rsidRPr="00740E4C">
        <w:rPr>
          <w:rFonts w:ascii="Arial" w:hAnsi="Arial" w:cs="Arial"/>
          <w:sz w:val="24"/>
          <w:szCs w:val="24"/>
        </w:rPr>
        <w:t xml:space="preserve"> </w:t>
      </w:r>
      <w:r>
        <w:rPr>
          <w:rFonts w:ascii="Arial" w:hAnsi="Arial" w:cs="Arial"/>
          <w:sz w:val="24"/>
          <w:szCs w:val="24"/>
        </w:rPr>
        <w:t>addressed a communication to the Government (</w:t>
      </w:r>
      <w:hyperlink r:id="rId13" w:history="1">
        <w:r w:rsidRPr="00726905">
          <w:rPr>
            <w:rStyle w:val="Hyperlink"/>
            <w:rFonts w:ascii="Arial" w:hAnsi="Arial" w:cs="Arial"/>
            <w:sz w:val="24"/>
            <w:szCs w:val="24"/>
          </w:rPr>
          <w:t>AL HUN 8/2018</w:t>
        </w:r>
      </w:hyperlink>
      <w:r>
        <w:rPr>
          <w:rFonts w:ascii="Arial" w:hAnsi="Arial" w:cs="Arial"/>
          <w:sz w:val="24"/>
          <w:szCs w:val="24"/>
        </w:rPr>
        <w:t xml:space="preserve">) to </w:t>
      </w:r>
      <w:r w:rsidR="008F5444" w:rsidRPr="00740E4C">
        <w:rPr>
          <w:rFonts w:ascii="Arial" w:hAnsi="Arial" w:cs="Arial"/>
          <w:sz w:val="24"/>
          <w:szCs w:val="24"/>
        </w:rPr>
        <w:t>raise concern</w:t>
      </w:r>
      <w:r w:rsidR="00E5461F">
        <w:rPr>
          <w:rFonts w:ascii="Arial" w:hAnsi="Arial" w:cs="Arial"/>
          <w:sz w:val="24"/>
          <w:szCs w:val="24"/>
        </w:rPr>
        <w:t>s</w:t>
      </w:r>
      <w:r w:rsidR="008F5444" w:rsidRPr="00740E4C">
        <w:rPr>
          <w:rFonts w:ascii="Arial" w:hAnsi="Arial" w:cs="Arial"/>
          <w:sz w:val="24"/>
          <w:szCs w:val="24"/>
        </w:rPr>
        <w:t xml:space="preserve"> about </w:t>
      </w:r>
      <w:r w:rsidR="00741D4D">
        <w:rPr>
          <w:rFonts w:ascii="Arial" w:hAnsi="Arial" w:cs="Arial"/>
          <w:sz w:val="24"/>
          <w:szCs w:val="24"/>
        </w:rPr>
        <w:t>two</w:t>
      </w:r>
      <w:r w:rsidR="00741D4D" w:rsidRPr="00741D4D">
        <w:rPr>
          <w:rFonts w:ascii="Arial" w:hAnsi="Arial" w:cs="Arial"/>
          <w:sz w:val="24"/>
          <w:szCs w:val="24"/>
        </w:rPr>
        <w:t xml:space="preserve"> laws establishing a </w:t>
      </w:r>
      <w:r w:rsidR="00741D4D">
        <w:rPr>
          <w:rFonts w:ascii="Arial" w:hAnsi="Arial" w:cs="Arial"/>
          <w:sz w:val="24"/>
          <w:szCs w:val="24"/>
        </w:rPr>
        <w:t>new</w:t>
      </w:r>
      <w:r w:rsidR="00741D4D" w:rsidRPr="00741D4D">
        <w:rPr>
          <w:rFonts w:ascii="Arial" w:hAnsi="Arial" w:cs="Arial"/>
          <w:sz w:val="24"/>
          <w:szCs w:val="24"/>
        </w:rPr>
        <w:t xml:space="preserve"> system of administrative courts, with its own high court (the future Supreme Administrative Court) and its own judicial council (the future National Administrative Judicial Council, or NAJC).</w:t>
      </w:r>
      <w:r w:rsidR="00E5461F">
        <w:rPr>
          <w:rFonts w:ascii="Arial" w:hAnsi="Arial" w:cs="Arial"/>
          <w:sz w:val="24"/>
          <w:szCs w:val="24"/>
        </w:rPr>
        <w:t xml:space="preserve"> </w:t>
      </w:r>
    </w:p>
    <w:p w14:paraId="5A8C8E10" w14:textId="24CDB9FF" w:rsidR="00500681" w:rsidRDefault="00741D4D" w:rsidP="008F5444">
      <w:pPr>
        <w:jc w:val="both"/>
        <w:rPr>
          <w:rFonts w:ascii="Arial" w:hAnsi="Arial" w:cs="Arial"/>
          <w:sz w:val="24"/>
          <w:szCs w:val="24"/>
        </w:rPr>
      </w:pPr>
      <w:r>
        <w:rPr>
          <w:rFonts w:ascii="Arial" w:hAnsi="Arial" w:cs="Arial"/>
          <w:sz w:val="24"/>
          <w:szCs w:val="24"/>
        </w:rPr>
        <w:t>Under the new system, which will enter into force in January 2020,</w:t>
      </w:r>
      <w:r w:rsidR="00500681">
        <w:rPr>
          <w:rFonts w:ascii="Arial" w:hAnsi="Arial" w:cs="Arial"/>
          <w:sz w:val="24"/>
          <w:szCs w:val="24"/>
        </w:rPr>
        <w:t xml:space="preserve"> </w:t>
      </w:r>
      <w:r>
        <w:rPr>
          <w:rFonts w:ascii="Arial" w:hAnsi="Arial" w:cs="Arial"/>
          <w:sz w:val="24"/>
          <w:szCs w:val="24"/>
        </w:rPr>
        <w:t xml:space="preserve">the </w:t>
      </w:r>
      <w:r w:rsidRPr="00F81766">
        <w:rPr>
          <w:rFonts w:ascii="Arial" w:hAnsi="Arial" w:cs="Arial"/>
          <w:sz w:val="24"/>
          <w:szCs w:val="24"/>
        </w:rPr>
        <w:t>new administrative courts</w:t>
      </w:r>
      <w:r>
        <w:rPr>
          <w:rFonts w:ascii="Arial" w:hAnsi="Arial" w:cs="Arial"/>
          <w:sz w:val="24"/>
          <w:szCs w:val="24"/>
        </w:rPr>
        <w:t xml:space="preserve"> </w:t>
      </w:r>
      <w:r w:rsidR="00F2258F">
        <w:rPr>
          <w:rFonts w:ascii="Arial" w:hAnsi="Arial" w:cs="Arial"/>
          <w:sz w:val="24"/>
          <w:szCs w:val="24"/>
        </w:rPr>
        <w:t xml:space="preserve">will have </w:t>
      </w:r>
      <w:r w:rsidR="00500681" w:rsidRPr="00F81766">
        <w:rPr>
          <w:rFonts w:ascii="Arial" w:hAnsi="Arial" w:cs="Arial"/>
          <w:sz w:val="24"/>
          <w:szCs w:val="24"/>
        </w:rPr>
        <w:t>jurisdiction on a number of human rights</w:t>
      </w:r>
      <w:r w:rsidR="00087854">
        <w:rPr>
          <w:rFonts w:ascii="Arial" w:hAnsi="Arial" w:cs="Arial"/>
          <w:sz w:val="24"/>
          <w:szCs w:val="24"/>
        </w:rPr>
        <w:t xml:space="preserve"> </w:t>
      </w:r>
      <w:r w:rsidR="00500681" w:rsidRPr="00F81766">
        <w:rPr>
          <w:rFonts w:ascii="Arial" w:hAnsi="Arial" w:cs="Arial"/>
          <w:sz w:val="24"/>
          <w:szCs w:val="24"/>
        </w:rPr>
        <w:t>related issues, such as human rights violations perpetrated by the police and other law enforcement officials, asylum</w:t>
      </w:r>
      <w:r w:rsidR="00F2258F">
        <w:rPr>
          <w:rFonts w:ascii="Arial" w:hAnsi="Arial" w:cs="Arial"/>
          <w:sz w:val="24"/>
          <w:szCs w:val="24"/>
        </w:rPr>
        <w:t>,</w:t>
      </w:r>
      <w:r w:rsidR="00500681" w:rsidRPr="00F81766">
        <w:rPr>
          <w:rFonts w:ascii="Arial" w:hAnsi="Arial" w:cs="Arial"/>
          <w:sz w:val="24"/>
          <w:szCs w:val="24"/>
        </w:rPr>
        <w:t xml:space="preserve"> the legitimate exercise of the right to peaceful assembly</w:t>
      </w:r>
      <w:r w:rsidR="00F2258F">
        <w:rPr>
          <w:rFonts w:ascii="Arial" w:hAnsi="Arial" w:cs="Arial"/>
          <w:sz w:val="24"/>
          <w:szCs w:val="24"/>
        </w:rPr>
        <w:t xml:space="preserve"> and </w:t>
      </w:r>
      <w:r w:rsidR="001B2305">
        <w:rPr>
          <w:rFonts w:ascii="Arial" w:hAnsi="Arial" w:cs="Arial"/>
          <w:sz w:val="24"/>
          <w:szCs w:val="24"/>
        </w:rPr>
        <w:t>they</w:t>
      </w:r>
      <w:r w:rsidR="00F2258F">
        <w:rPr>
          <w:rFonts w:ascii="Arial" w:hAnsi="Arial" w:cs="Arial"/>
          <w:sz w:val="24"/>
          <w:szCs w:val="24"/>
        </w:rPr>
        <w:t xml:space="preserve"> might also end up having jurisdiction on political elections and freedom of information. The courts </w:t>
      </w:r>
      <w:r w:rsidR="00500681" w:rsidRPr="00F81766">
        <w:rPr>
          <w:rFonts w:ascii="Arial" w:hAnsi="Arial" w:cs="Arial"/>
          <w:sz w:val="24"/>
          <w:szCs w:val="24"/>
        </w:rPr>
        <w:t>would also adjudicate on matters with significant economic relevance.</w:t>
      </w:r>
    </w:p>
    <w:p w14:paraId="6E6B5BB9" w14:textId="269D5EBF" w:rsidR="00872E3F" w:rsidRDefault="008F5444" w:rsidP="00872E3F">
      <w:pPr>
        <w:jc w:val="both"/>
        <w:rPr>
          <w:rFonts w:ascii="Arial" w:hAnsi="Arial" w:cs="Arial"/>
          <w:sz w:val="24"/>
          <w:szCs w:val="24"/>
        </w:rPr>
      </w:pPr>
      <w:r w:rsidRPr="00740E4C">
        <w:rPr>
          <w:rFonts w:ascii="Arial" w:hAnsi="Arial" w:cs="Arial"/>
          <w:sz w:val="24"/>
          <w:szCs w:val="24"/>
        </w:rPr>
        <w:t xml:space="preserve">“I fear that the new administrative court system would </w:t>
      </w:r>
      <w:r w:rsidR="001709F4" w:rsidRPr="00740E4C">
        <w:rPr>
          <w:rFonts w:ascii="Arial" w:hAnsi="Arial" w:cs="Arial"/>
          <w:sz w:val="24"/>
          <w:szCs w:val="24"/>
        </w:rPr>
        <w:t xml:space="preserve">be placed </w:t>
      </w:r>
      <w:r w:rsidRPr="00740E4C">
        <w:rPr>
          <w:rFonts w:ascii="Arial" w:hAnsi="Arial" w:cs="Arial"/>
          <w:sz w:val="24"/>
          <w:szCs w:val="24"/>
        </w:rPr>
        <w:t>under the control of the Minister of Justice, which might undermine the principles of judicial independence and the separation of powers</w:t>
      </w:r>
      <w:r w:rsidR="00500681">
        <w:rPr>
          <w:rFonts w:ascii="Arial" w:hAnsi="Arial" w:cs="Arial"/>
          <w:sz w:val="24"/>
          <w:szCs w:val="24"/>
        </w:rPr>
        <w:t>,</w:t>
      </w:r>
      <w:r w:rsidRPr="00740E4C">
        <w:rPr>
          <w:rFonts w:ascii="Arial" w:hAnsi="Arial" w:cs="Arial"/>
          <w:sz w:val="24"/>
          <w:szCs w:val="24"/>
        </w:rPr>
        <w:t xml:space="preserve">” said the UN </w:t>
      </w:r>
      <w:r w:rsidR="00872E3F">
        <w:rPr>
          <w:rFonts w:ascii="Arial" w:hAnsi="Arial" w:cs="Arial"/>
          <w:sz w:val="24"/>
          <w:szCs w:val="24"/>
        </w:rPr>
        <w:t>e</w:t>
      </w:r>
      <w:r w:rsidR="00872E3F" w:rsidRPr="00740E4C">
        <w:rPr>
          <w:rFonts w:ascii="Arial" w:hAnsi="Arial" w:cs="Arial"/>
          <w:sz w:val="24"/>
          <w:szCs w:val="24"/>
        </w:rPr>
        <w:t>xpert</w:t>
      </w:r>
      <w:r w:rsidR="00872E3F">
        <w:rPr>
          <w:rFonts w:ascii="Arial" w:hAnsi="Arial" w:cs="Arial"/>
          <w:sz w:val="24"/>
          <w:szCs w:val="24"/>
        </w:rPr>
        <w:t xml:space="preserve"> </w:t>
      </w:r>
      <w:r w:rsidR="00740E4C">
        <w:rPr>
          <w:rFonts w:ascii="Arial" w:hAnsi="Arial" w:cs="Arial"/>
          <w:sz w:val="24"/>
          <w:szCs w:val="24"/>
        </w:rPr>
        <w:t>at the time</w:t>
      </w:r>
      <w:r w:rsidRPr="00740E4C">
        <w:rPr>
          <w:rFonts w:ascii="Arial" w:hAnsi="Arial" w:cs="Arial"/>
          <w:sz w:val="24"/>
          <w:szCs w:val="24"/>
        </w:rPr>
        <w:t>.</w:t>
      </w:r>
      <w:r w:rsidR="00500681">
        <w:rPr>
          <w:rFonts w:ascii="Arial" w:hAnsi="Arial" w:cs="Arial"/>
          <w:sz w:val="24"/>
          <w:szCs w:val="24"/>
        </w:rPr>
        <w:t xml:space="preserve"> In particular, the </w:t>
      </w:r>
      <w:r w:rsidR="00872E3F">
        <w:rPr>
          <w:rFonts w:ascii="Arial" w:hAnsi="Arial" w:cs="Arial"/>
          <w:sz w:val="24"/>
          <w:szCs w:val="24"/>
        </w:rPr>
        <w:t>Special Rapporteur</w:t>
      </w:r>
      <w:r w:rsidR="00500681">
        <w:rPr>
          <w:rFonts w:ascii="Arial" w:hAnsi="Arial" w:cs="Arial"/>
          <w:sz w:val="24"/>
          <w:szCs w:val="24"/>
        </w:rPr>
        <w:t xml:space="preserve"> raised concerns about the </w:t>
      </w:r>
      <w:r w:rsidR="00500681" w:rsidRPr="00872E3F">
        <w:rPr>
          <w:rFonts w:ascii="Arial" w:hAnsi="Arial" w:cs="Arial"/>
          <w:sz w:val="24"/>
          <w:szCs w:val="24"/>
        </w:rPr>
        <w:t xml:space="preserve">wide-ranging powers </w:t>
      </w:r>
      <w:r w:rsidR="00872E3F">
        <w:rPr>
          <w:rFonts w:ascii="Arial" w:hAnsi="Arial" w:cs="Arial"/>
          <w:sz w:val="24"/>
          <w:szCs w:val="24"/>
        </w:rPr>
        <w:t xml:space="preserve">of the Minister </w:t>
      </w:r>
      <w:r w:rsidR="00500681" w:rsidRPr="00872E3F">
        <w:rPr>
          <w:rFonts w:ascii="Arial" w:hAnsi="Arial" w:cs="Arial"/>
          <w:sz w:val="24"/>
          <w:szCs w:val="24"/>
        </w:rPr>
        <w:t>with regard to the appointment and promotion of administrative judges</w:t>
      </w:r>
      <w:r w:rsidR="00872E3F">
        <w:rPr>
          <w:rFonts w:ascii="Arial" w:hAnsi="Arial" w:cs="Arial"/>
          <w:sz w:val="24"/>
          <w:szCs w:val="24"/>
        </w:rPr>
        <w:t xml:space="preserve">, </w:t>
      </w:r>
      <w:r w:rsidR="00872E3F" w:rsidRPr="00872E3F">
        <w:rPr>
          <w:rFonts w:ascii="Arial" w:hAnsi="Arial" w:cs="Arial"/>
          <w:sz w:val="24"/>
          <w:szCs w:val="24"/>
        </w:rPr>
        <w:t>the determination and allocation of budgetary resources to</w:t>
      </w:r>
      <w:r w:rsidR="00872E3F">
        <w:rPr>
          <w:rFonts w:ascii="Arial" w:hAnsi="Arial" w:cs="Arial"/>
          <w:sz w:val="24"/>
          <w:szCs w:val="24"/>
        </w:rPr>
        <w:t xml:space="preserve"> </w:t>
      </w:r>
      <w:r w:rsidR="00872E3F" w:rsidRPr="00872E3F">
        <w:rPr>
          <w:rFonts w:ascii="Arial" w:hAnsi="Arial" w:cs="Arial"/>
          <w:sz w:val="24"/>
          <w:szCs w:val="24"/>
        </w:rPr>
        <w:t>administrative courts</w:t>
      </w:r>
      <w:r w:rsidR="00872E3F">
        <w:rPr>
          <w:rFonts w:ascii="Arial" w:hAnsi="Arial" w:cs="Arial"/>
          <w:sz w:val="24"/>
          <w:szCs w:val="24"/>
        </w:rPr>
        <w:t xml:space="preserve">, and </w:t>
      </w:r>
      <w:r w:rsidR="00872E3F" w:rsidRPr="00872E3F">
        <w:rPr>
          <w:rFonts w:ascii="Arial" w:hAnsi="Arial" w:cs="Arial"/>
          <w:sz w:val="24"/>
          <w:szCs w:val="24"/>
        </w:rPr>
        <w:t>the internal organi</w:t>
      </w:r>
      <w:r w:rsidR="00232FE9">
        <w:rPr>
          <w:rFonts w:ascii="Arial" w:hAnsi="Arial" w:cs="Arial"/>
          <w:sz w:val="24"/>
          <w:szCs w:val="24"/>
        </w:rPr>
        <w:t>z</w:t>
      </w:r>
      <w:r w:rsidR="00872E3F" w:rsidRPr="00872E3F">
        <w:rPr>
          <w:rFonts w:ascii="Arial" w:hAnsi="Arial" w:cs="Arial"/>
          <w:sz w:val="24"/>
          <w:szCs w:val="24"/>
        </w:rPr>
        <w:t>ation of regional administrative courts</w:t>
      </w:r>
      <w:r w:rsidR="00500681" w:rsidRPr="00872E3F">
        <w:rPr>
          <w:rFonts w:ascii="Arial" w:hAnsi="Arial" w:cs="Arial"/>
          <w:sz w:val="24"/>
          <w:szCs w:val="24"/>
        </w:rPr>
        <w:t xml:space="preserve">. </w:t>
      </w:r>
      <w:r w:rsidR="00872E3F">
        <w:rPr>
          <w:rFonts w:ascii="Arial" w:hAnsi="Arial" w:cs="Arial"/>
          <w:sz w:val="24"/>
          <w:szCs w:val="24"/>
        </w:rPr>
        <w:t xml:space="preserve">The expert also noted that the </w:t>
      </w:r>
      <w:r w:rsidR="00872E3F" w:rsidRPr="00872E3F">
        <w:rPr>
          <w:rFonts w:ascii="Arial" w:hAnsi="Arial" w:cs="Arial"/>
          <w:sz w:val="24"/>
          <w:szCs w:val="24"/>
        </w:rPr>
        <w:t>new National Administrative Judicial Council (NAJC) would have no real power over judicial organi</w:t>
      </w:r>
      <w:r w:rsidR="00232FE9">
        <w:rPr>
          <w:rFonts w:ascii="Arial" w:hAnsi="Arial" w:cs="Arial"/>
          <w:sz w:val="24"/>
          <w:szCs w:val="24"/>
        </w:rPr>
        <w:t>z</w:t>
      </w:r>
      <w:r w:rsidR="00872E3F" w:rsidRPr="00872E3F">
        <w:rPr>
          <w:rFonts w:ascii="Arial" w:hAnsi="Arial" w:cs="Arial"/>
          <w:sz w:val="24"/>
          <w:szCs w:val="24"/>
        </w:rPr>
        <w:t>ation or administration, since all the important powers are vested either with the Minister of Justice or with the President of the Administrative High Court.</w:t>
      </w:r>
    </w:p>
    <w:p w14:paraId="4D05CFD5" w14:textId="2F508C00" w:rsidR="00371301" w:rsidRDefault="00872E3F" w:rsidP="00872E3F">
      <w:pPr>
        <w:jc w:val="both"/>
        <w:rPr>
          <w:rFonts w:ascii="Arial" w:hAnsi="Arial" w:cs="Arial"/>
          <w:sz w:val="24"/>
          <w:szCs w:val="24"/>
        </w:rPr>
      </w:pPr>
      <w:r>
        <w:rPr>
          <w:rFonts w:ascii="Arial" w:hAnsi="Arial" w:cs="Arial"/>
          <w:sz w:val="24"/>
          <w:szCs w:val="24"/>
        </w:rPr>
        <w:t>“I</w:t>
      </w:r>
      <w:r w:rsidRPr="00872E3F">
        <w:rPr>
          <w:rFonts w:ascii="Arial" w:hAnsi="Arial" w:cs="Arial"/>
          <w:sz w:val="24"/>
          <w:szCs w:val="24"/>
        </w:rPr>
        <w:t xml:space="preserve">f implemented in its current form, the </w:t>
      </w:r>
      <w:r>
        <w:rPr>
          <w:rFonts w:ascii="Arial" w:hAnsi="Arial" w:cs="Arial"/>
          <w:sz w:val="24"/>
          <w:szCs w:val="24"/>
        </w:rPr>
        <w:t xml:space="preserve">new legislation would undermine the </w:t>
      </w:r>
      <w:r w:rsidRPr="00872E3F">
        <w:rPr>
          <w:rFonts w:ascii="Arial" w:hAnsi="Arial" w:cs="Arial"/>
          <w:sz w:val="24"/>
          <w:szCs w:val="24"/>
        </w:rPr>
        <w:t xml:space="preserve">independence of the judiciary in Hungary, since </w:t>
      </w:r>
      <w:r>
        <w:rPr>
          <w:rFonts w:ascii="Arial" w:hAnsi="Arial" w:cs="Arial"/>
          <w:sz w:val="24"/>
          <w:szCs w:val="24"/>
        </w:rPr>
        <w:t xml:space="preserve">it </w:t>
      </w:r>
      <w:r w:rsidRPr="00872E3F">
        <w:rPr>
          <w:rFonts w:ascii="Arial" w:hAnsi="Arial" w:cs="Arial"/>
          <w:sz w:val="24"/>
          <w:szCs w:val="24"/>
        </w:rPr>
        <w:t>paves the way for the Government’s political interference with the actual composition and functioning of the new administrative courts</w:t>
      </w:r>
      <w:r>
        <w:rPr>
          <w:rFonts w:ascii="Arial" w:hAnsi="Arial" w:cs="Arial"/>
          <w:sz w:val="24"/>
          <w:szCs w:val="24"/>
        </w:rPr>
        <w:t xml:space="preserve">,” concluded Mr. García-Sayán. The Special Rapporteur </w:t>
      </w:r>
      <w:r>
        <w:rPr>
          <w:rFonts w:ascii="Arial" w:hAnsi="Arial" w:cs="Arial"/>
          <w:sz w:val="24"/>
          <w:szCs w:val="24"/>
        </w:rPr>
        <w:lastRenderedPageBreak/>
        <w:t xml:space="preserve">requested the Government of Hungary to respond to his communication within 60 days. To date, his letter has received no response.  </w:t>
      </w:r>
    </w:p>
    <w:p w14:paraId="3D77A845" w14:textId="6EF4CAA8" w:rsidR="00454FA6" w:rsidRDefault="00454FA6" w:rsidP="00454FA6">
      <w:pPr>
        <w:jc w:val="both"/>
        <w:rPr>
          <w:rFonts w:ascii="Arial" w:hAnsi="Arial" w:cs="Arial"/>
          <w:sz w:val="24"/>
          <w:szCs w:val="24"/>
        </w:rPr>
      </w:pPr>
      <w:r>
        <w:rPr>
          <w:rFonts w:ascii="Arial" w:hAnsi="Arial" w:cs="Arial"/>
          <w:sz w:val="24"/>
          <w:szCs w:val="24"/>
        </w:rPr>
        <w:t xml:space="preserve">In March 2019, the </w:t>
      </w:r>
      <w:r w:rsidRPr="005F1B3C">
        <w:rPr>
          <w:rFonts w:ascii="Arial" w:hAnsi="Arial" w:cs="Arial"/>
          <w:sz w:val="24"/>
          <w:szCs w:val="24"/>
        </w:rPr>
        <w:t>European Commission for Democracy through Law</w:t>
      </w:r>
      <w:r>
        <w:rPr>
          <w:rFonts w:ascii="Arial" w:hAnsi="Arial" w:cs="Arial"/>
          <w:sz w:val="24"/>
          <w:szCs w:val="24"/>
        </w:rPr>
        <w:t xml:space="preserve"> (the “</w:t>
      </w:r>
      <w:r w:rsidRPr="005F1B3C">
        <w:rPr>
          <w:rFonts w:ascii="Arial" w:hAnsi="Arial" w:cs="Arial"/>
          <w:sz w:val="24"/>
          <w:szCs w:val="24"/>
        </w:rPr>
        <w:t>Venice Commission</w:t>
      </w:r>
      <w:r>
        <w:rPr>
          <w:rFonts w:ascii="Arial" w:hAnsi="Arial" w:cs="Arial"/>
          <w:sz w:val="24"/>
          <w:szCs w:val="24"/>
        </w:rPr>
        <w:t xml:space="preserve">”) adopted an </w:t>
      </w:r>
      <w:hyperlink r:id="rId14" w:history="1">
        <w:r w:rsidRPr="001B2305">
          <w:rPr>
            <w:rStyle w:val="Hyperlink"/>
            <w:rFonts w:ascii="Arial" w:hAnsi="Arial" w:cs="Arial"/>
            <w:sz w:val="24"/>
            <w:szCs w:val="24"/>
          </w:rPr>
          <w:t>opinion</w:t>
        </w:r>
      </w:hyperlink>
      <w:r>
        <w:rPr>
          <w:rFonts w:ascii="Arial" w:hAnsi="Arial" w:cs="Arial"/>
          <w:sz w:val="24"/>
          <w:szCs w:val="24"/>
        </w:rPr>
        <w:t xml:space="preserve"> on the new administrative </w:t>
      </w:r>
      <w:r w:rsidR="00741D4D">
        <w:rPr>
          <w:rFonts w:ascii="Arial" w:hAnsi="Arial" w:cs="Arial"/>
          <w:sz w:val="24"/>
          <w:szCs w:val="24"/>
        </w:rPr>
        <w:t>justice system</w:t>
      </w:r>
      <w:r>
        <w:rPr>
          <w:rFonts w:ascii="Arial" w:hAnsi="Arial" w:cs="Arial"/>
          <w:sz w:val="24"/>
          <w:szCs w:val="24"/>
        </w:rPr>
        <w:t xml:space="preserve">. Back in November 2018, </w:t>
      </w:r>
      <w:r w:rsidRPr="00454FA6">
        <w:rPr>
          <w:rFonts w:ascii="Arial" w:hAnsi="Arial" w:cs="Arial"/>
          <w:sz w:val="24"/>
          <w:szCs w:val="24"/>
        </w:rPr>
        <w:t>the Minister of Justice</w:t>
      </w:r>
      <w:r>
        <w:rPr>
          <w:rFonts w:ascii="Arial" w:hAnsi="Arial" w:cs="Arial"/>
          <w:sz w:val="24"/>
          <w:szCs w:val="24"/>
        </w:rPr>
        <w:t xml:space="preserve"> said</w:t>
      </w:r>
      <w:r w:rsidRPr="00454FA6">
        <w:rPr>
          <w:rFonts w:ascii="Arial" w:hAnsi="Arial" w:cs="Arial"/>
          <w:sz w:val="24"/>
          <w:szCs w:val="24"/>
        </w:rPr>
        <w:t xml:space="preserve"> that it would assess the Venice Commission’s opinion, and carry out corrections to the law if required.</w:t>
      </w:r>
    </w:p>
    <w:p w14:paraId="37731B8F" w14:textId="5958E0BD" w:rsidR="00454FA6" w:rsidRPr="00D97889" w:rsidRDefault="00454FA6" w:rsidP="00454FA6">
      <w:pPr>
        <w:jc w:val="both"/>
        <w:rPr>
          <w:rFonts w:ascii="Arial" w:hAnsi="Arial" w:cs="Arial"/>
          <w:sz w:val="24"/>
          <w:szCs w:val="24"/>
        </w:rPr>
      </w:pPr>
      <w:r>
        <w:rPr>
          <w:rFonts w:ascii="Arial" w:hAnsi="Arial" w:cs="Arial"/>
          <w:sz w:val="24"/>
          <w:szCs w:val="24"/>
        </w:rPr>
        <w:t xml:space="preserve">The opinion assesses the new court system </w:t>
      </w:r>
      <w:r w:rsidRPr="005F1B3C">
        <w:rPr>
          <w:rFonts w:ascii="Arial" w:hAnsi="Arial" w:cs="Arial"/>
          <w:sz w:val="24"/>
          <w:szCs w:val="24"/>
        </w:rPr>
        <w:t xml:space="preserve">in the light of existing principles and standards </w:t>
      </w:r>
      <w:r>
        <w:rPr>
          <w:rFonts w:ascii="Arial" w:hAnsi="Arial" w:cs="Arial"/>
          <w:sz w:val="24"/>
          <w:szCs w:val="24"/>
        </w:rPr>
        <w:t>relating to</w:t>
      </w:r>
      <w:r w:rsidRPr="005F1B3C">
        <w:rPr>
          <w:rFonts w:ascii="Arial" w:hAnsi="Arial" w:cs="Arial"/>
          <w:sz w:val="24"/>
          <w:szCs w:val="24"/>
        </w:rPr>
        <w:t xml:space="preserve"> the independence of </w:t>
      </w:r>
      <w:r>
        <w:rPr>
          <w:rFonts w:ascii="Arial" w:hAnsi="Arial" w:cs="Arial"/>
          <w:sz w:val="24"/>
          <w:szCs w:val="24"/>
        </w:rPr>
        <w:t>the judiciary</w:t>
      </w:r>
      <w:r w:rsidRPr="005F1B3C">
        <w:rPr>
          <w:rFonts w:ascii="Arial" w:hAnsi="Arial" w:cs="Arial"/>
          <w:sz w:val="24"/>
          <w:szCs w:val="24"/>
        </w:rPr>
        <w:t xml:space="preserve"> and </w:t>
      </w:r>
      <w:r>
        <w:rPr>
          <w:rFonts w:ascii="Arial" w:hAnsi="Arial" w:cs="Arial"/>
          <w:sz w:val="24"/>
          <w:szCs w:val="24"/>
        </w:rPr>
        <w:t xml:space="preserve">the </w:t>
      </w:r>
      <w:r w:rsidRPr="005F1B3C">
        <w:rPr>
          <w:rFonts w:ascii="Arial" w:hAnsi="Arial" w:cs="Arial"/>
          <w:sz w:val="24"/>
          <w:szCs w:val="24"/>
        </w:rPr>
        <w:t xml:space="preserve">separation of powers, which are key </w:t>
      </w:r>
      <w:r>
        <w:rPr>
          <w:rFonts w:ascii="Arial" w:hAnsi="Arial" w:cs="Arial"/>
          <w:sz w:val="24"/>
          <w:szCs w:val="24"/>
        </w:rPr>
        <w:t>compon</w:t>
      </w:r>
      <w:r w:rsidRPr="005F1B3C">
        <w:rPr>
          <w:rFonts w:ascii="Arial" w:hAnsi="Arial" w:cs="Arial"/>
          <w:sz w:val="24"/>
          <w:szCs w:val="24"/>
        </w:rPr>
        <w:t>ents of the rule of law</w:t>
      </w:r>
      <w:r w:rsidRPr="00D97889">
        <w:rPr>
          <w:rFonts w:ascii="Arial" w:hAnsi="Arial" w:cs="Arial"/>
          <w:sz w:val="24"/>
          <w:szCs w:val="24"/>
        </w:rPr>
        <w:t>.</w:t>
      </w:r>
      <w:r>
        <w:rPr>
          <w:rFonts w:ascii="Arial" w:hAnsi="Arial" w:cs="Arial"/>
          <w:color w:val="FF0000"/>
          <w:sz w:val="24"/>
          <w:szCs w:val="24"/>
        </w:rPr>
        <w:t xml:space="preserve"> </w:t>
      </w:r>
      <w:r w:rsidRPr="00D97889">
        <w:rPr>
          <w:rFonts w:ascii="Arial" w:hAnsi="Arial" w:cs="Arial"/>
          <w:sz w:val="24"/>
          <w:szCs w:val="24"/>
        </w:rPr>
        <w:t xml:space="preserve">The opinion concludes that </w:t>
      </w:r>
      <w:r w:rsidR="00741D4D" w:rsidRPr="00D97889">
        <w:rPr>
          <w:rFonts w:ascii="Arial" w:hAnsi="Arial" w:cs="Arial"/>
          <w:sz w:val="24"/>
          <w:szCs w:val="24"/>
        </w:rPr>
        <w:t xml:space="preserve">the new </w:t>
      </w:r>
      <w:r w:rsidR="00AF53BC" w:rsidRPr="00D97889">
        <w:rPr>
          <w:rFonts w:ascii="Arial" w:hAnsi="Arial" w:cs="Arial"/>
          <w:sz w:val="24"/>
          <w:szCs w:val="24"/>
        </w:rPr>
        <w:t>system presents</w:t>
      </w:r>
      <w:r w:rsidR="00291229">
        <w:rPr>
          <w:rFonts w:ascii="Arial" w:hAnsi="Arial" w:cs="Arial"/>
          <w:sz w:val="24"/>
          <w:szCs w:val="24"/>
        </w:rPr>
        <w:t xml:space="preserve"> some</w:t>
      </w:r>
      <w:r w:rsidR="00AF53BC" w:rsidRPr="00D97889">
        <w:rPr>
          <w:rFonts w:ascii="Arial" w:hAnsi="Arial" w:cs="Arial"/>
          <w:sz w:val="24"/>
          <w:szCs w:val="24"/>
        </w:rPr>
        <w:t xml:space="preserve"> </w:t>
      </w:r>
      <w:r w:rsidR="00E760CB">
        <w:rPr>
          <w:rFonts w:ascii="Arial" w:hAnsi="Arial" w:cs="Arial"/>
          <w:sz w:val="24"/>
          <w:szCs w:val="24"/>
        </w:rPr>
        <w:t xml:space="preserve">of </w:t>
      </w:r>
      <w:r w:rsidR="00AF53BC" w:rsidRPr="00D97889">
        <w:rPr>
          <w:rFonts w:ascii="Arial" w:hAnsi="Arial" w:cs="Arial"/>
          <w:sz w:val="24"/>
          <w:szCs w:val="24"/>
        </w:rPr>
        <w:t>the same drawbacks that the Venice Commission outlined in the past in relation to the reform of the ordinary court system. The major drawback – the Commission said – is that “very extensive powers” are concentrated in the hands of a few stakeholders, and there are “no effective checks and balances to counteract those powers”.</w:t>
      </w:r>
    </w:p>
    <w:p w14:paraId="5C0C4FC6" w14:textId="47E6AB67" w:rsidR="00AF53BC" w:rsidRDefault="00AF53BC" w:rsidP="00AF53BC">
      <w:pPr>
        <w:jc w:val="both"/>
        <w:rPr>
          <w:rFonts w:ascii="Arial" w:hAnsi="Arial" w:cs="Arial"/>
          <w:sz w:val="24"/>
          <w:szCs w:val="24"/>
        </w:rPr>
      </w:pPr>
      <w:r>
        <w:rPr>
          <w:rFonts w:ascii="Arial" w:hAnsi="Arial" w:cs="Arial"/>
          <w:sz w:val="24"/>
          <w:szCs w:val="24"/>
        </w:rPr>
        <w:t xml:space="preserve">The Special Rapporteur welcomes the decision of Hungarian authorities to review its legislation on the administrative justice system in light of the recommendations made by the Venice Commission. </w:t>
      </w:r>
      <w:r w:rsidR="00B35B7F">
        <w:rPr>
          <w:rFonts w:ascii="Arial" w:hAnsi="Arial" w:cs="Arial"/>
          <w:sz w:val="24"/>
          <w:szCs w:val="24"/>
        </w:rPr>
        <w:t>However, he notes with concern that a</w:t>
      </w:r>
      <w:r>
        <w:rPr>
          <w:rFonts w:ascii="Arial" w:hAnsi="Arial" w:cs="Arial"/>
          <w:sz w:val="24"/>
          <w:szCs w:val="24"/>
        </w:rPr>
        <w:t xml:space="preserve">ccording to the </w:t>
      </w:r>
      <w:r w:rsidR="00B35B7F">
        <w:rPr>
          <w:rFonts w:ascii="Arial" w:hAnsi="Arial" w:cs="Arial"/>
          <w:sz w:val="24"/>
          <w:szCs w:val="24"/>
        </w:rPr>
        <w:t>information received from civil society organi</w:t>
      </w:r>
      <w:r w:rsidR="00232FE9">
        <w:rPr>
          <w:rFonts w:ascii="Arial" w:hAnsi="Arial" w:cs="Arial"/>
          <w:sz w:val="24"/>
          <w:szCs w:val="24"/>
        </w:rPr>
        <w:t>z</w:t>
      </w:r>
      <w:r w:rsidR="00B35B7F">
        <w:rPr>
          <w:rFonts w:ascii="Arial" w:hAnsi="Arial" w:cs="Arial"/>
          <w:sz w:val="24"/>
          <w:szCs w:val="24"/>
        </w:rPr>
        <w:t>ations</w:t>
      </w:r>
      <w:r>
        <w:rPr>
          <w:rFonts w:ascii="Arial" w:hAnsi="Arial" w:cs="Arial"/>
          <w:sz w:val="24"/>
          <w:szCs w:val="24"/>
        </w:rPr>
        <w:t>,</w:t>
      </w:r>
      <w:r w:rsidRPr="00AF53BC">
        <w:rPr>
          <w:rFonts w:ascii="Arial" w:hAnsi="Arial" w:cs="Arial"/>
          <w:sz w:val="24"/>
          <w:szCs w:val="24"/>
        </w:rPr>
        <w:t xml:space="preserve"> these amendments </w:t>
      </w:r>
      <w:r w:rsidR="00B35B7F">
        <w:rPr>
          <w:rFonts w:ascii="Arial" w:hAnsi="Arial" w:cs="Arial"/>
          <w:sz w:val="24"/>
          <w:szCs w:val="24"/>
        </w:rPr>
        <w:t xml:space="preserve">only </w:t>
      </w:r>
      <w:r w:rsidRPr="00AF53BC">
        <w:rPr>
          <w:rFonts w:ascii="Arial" w:hAnsi="Arial" w:cs="Arial"/>
          <w:sz w:val="24"/>
          <w:szCs w:val="24"/>
        </w:rPr>
        <w:t>address a</w:t>
      </w:r>
      <w:r w:rsidR="00B35B7F">
        <w:rPr>
          <w:rFonts w:ascii="Arial" w:hAnsi="Arial" w:cs="Arial"/>
          <w:sz w:val="24"/>
          <w:szCs w:val="24"/>
        </w:rPr>
        <w:t xml:space="preserve"> fraction of the recommendations made </w:t>
      </w:r>
      <w:r>
        <w:rPr>
          <w:rFonts w:ascii="Arial" w:hAnsi="Arial" w:cs="Arial"/>
          <w:sz w:val="24"/>
          <w:szCs w:val="24"/>
        </w:rPr>
        <w:t xml:space="preserve">by </w:t>
      </w:r>
      <w:r w:rsidRPr="00AF53BC">
        <w:rPr>
          <w:rFonts w:ascii="Arial" w:hAnsi="Arial" w:cs="Arial"/>
          <w:sz w:val="24"/>
          <w:szCs w:val="24"/>
        </w:rPr>
        <w:t>the Venice Commission</w:t>
      </w:r>
      <w:r>
        <w:rPr>
          <w:rFonts w:ascii="Arial" w:hAnsi="Arial" w:cs="Arial"/>
          <w:sz w:val="24"/>
          <w:szCs w:val="24"/>
        </w:rPr>
        <w:t xml:space="preserve">. </w:t>
      </w:r>
    </w:p>
    <w:p w14:paraId="332D0021" w14:textId="1790BE9B" w:rsidR="00A87FEE" w:rsidRPr="00726905" w:rsidRDefault="00B35B7F" w:rsidP="00AF53BC">
      <w:pPr>
        <w:jc w:val="both"/>
        <w:rPr>
          <w:rFonts w:ascii="Arial" w:hAnsi="Arial" w:cs="Arial"/>
          <w:sz w:val="24"/>
          <w:szCs w:val="24"/>
        </w:rPr>
      </w:pPr>
      <w:r>
        <w:rPr>
          <w:rFonts w:ascii="Arial" w:hAnsi="Arial" w:cs="Arial"/>
          <w:sz w:val="24"/>
          <w:szCs w:val="24"/>
        </w:rPr>
        <w:t xml:space="preserve">“The proposed amendments address </w:t>
      </w:r>
      <w:r w:rsidR="00F30E2D">
        <w:rPr>
          <w:rFonts w:ascii="Arial" w:hAnsi="Arial" w:cs="Arial"/>
          <w:sz w:val="24"/>
          <w:szCs w:val="24"/>
        </w:rPr>
        <w:t xml:space="preserve">some of </w:t>
      </w:r>
      <w:r>
        <w:rPr>
          <w:rFonts w:ascii="Arial" w:hAnsi="Arial" w:cs="Arial"/>
          <w:sz w:val="24"/>
          <w:szCs w:val="24"/>
        </w:rPr>
        <w:t xml:space="preserve">the concerns of the Venice Commission in relation </w:t>
      </w:r>
      <w:r w:rsidR="001B2305">
        <w:rPr>
          <w:rFonts w:ascii="Arial" w:hAnsi="Arial" w:cs="Arial"/>
          <w:sz w:val="24"/>
          <w:szCs w:val="24"/>
        </w:rPr>
        <w:t xml:space="preserve">to </w:t>
      </w:r>
      <w:r w:rsidRPr="00B35B7F">
        <w:rPr>
          <w:rFonts w:ascii="Arial" w:hAnsi="Arial" w:cs="Arial"/>
          <w:sz w:val="24"/>
          <w:szCs w:val="24"/>
        </w:rPr>
        <w:t>the recruitment procedure of administrative judges,</w:t>
      </w:r>
      <w:r>
        <w:rPr>
          <w:rFonts w:ascii="Arial" w:hAnsi="Arial" w:cs="Arial"/>
          <w:sz w:val="24"/>
          <w:szCs w:val="24"/>
        </w:rPr>
        <w:t xml:space="preserve"> but only with regard to the ‘regular’ recruitment procedure. </w:t>
      </w:r>
      <w:r w:rsidRPr="00B35B7F">
        <w:rPr>
          <w:rFonts w:ascii="Arial" w:hAnsi="Arial" w:cs="Arial"/>
          <w:sz w:val="24"/>
          <w:szCs w:val="24"/>
        </w:rPr>
        <w:t xml:space="preserve">During the </w:t>
      </w:r>
      <w:r w:rsidRPr="00726905">
        <w:rPr>
          <w:rFonts w:ascii="Arial" w:hAnsi="Arial" w:cs="Arial"/>
          <w:sz w:val="24"/>
          <w:szCs w:val="24"/>
        </w:rPr>
        <w:t xml:space="preserve">transitional period prior to the entry into force of the administrative court system, the powers of the Minister of Justice will continue to be unfettered,” said the Special Rapporteur. </w:t>
      </w:r>
      <w:r w:rsidR="00F30E2D" w:rsidRPr="00726905">
        <w:rPr>
          <w:rFonts w:ascii="Arial" w:hAnsi="Arial" w:cs="Arial"/>
          <w:sz w:val="24"/>
          <w:szCs w:val="24"/>
        </w:rPr>
        <w:t xml:space="preserve">This potentially may </w:t>
      </w:r>
      <w:r w:rsidR="00593CCC" w:rsidRPr="00726905">
        <w:rPr>
          <w:rFonts w:ascii="Arial" w:hAnsi="Arial" w:cs="Arial"/>
          <w:sz w:val="24"/>
          <w:szCs w:val="24"/>
        </w:rPr>
        <w:t>a</w:t>
      </w:r>
      <w:r w:rsidR="00F30E2D" w:rsidRPr="00726905">
        <w:rPr>
          <w:rFonts w:ascii="Arial" w:hAnsi="Arial" w:cs="Arial"/>
          <w:sz w:val="24"/>
          <w:szCs w:val="24"/>
        </w:rPr>
        <w:t>ffect the selection of up to 180 judges, thus the majority of judges working in the new court system.</w:t>
      </w:r>
      <w:r w:rsidR="00593CCC" w:rsidRPr="00726905">
        <w:rPr>
          <w:rFonts w:ascii="Arial" w:hAnsi="Arial" w:cs="Arial"/>
          <w:sz w:val="24"/>
          <w:szCs w:val="24"/>
        </w:rPr>
        <w:t xml:space="preserve"> </w:t>
      </w:r>
      <w:r w:rsidR="00F30E2D" w:rsidRPr="00726905">
        <w:rPr>
          <w:rFonts w:ascii="Arial" w:hAnsi="Arial" w:cs="Arial"/>
          <w:sz w:val="24"/>
          <w:szCs w:val="24"/>
        </w:rPr>
        <w:t>Current judges reported on a climate of “fear”.</w:t>
      </w:r>
    </w:p>
    <w:p w14:paraId="0F310E6D" w14:textId="29F5D237" w:rsidR="00B35B7F" w:rsidRDefault="00B35B7F" w:rsidP="00AF53BC">
      <w:pPr>
        <w:jc w:val="both"/>
        <w:rPr>
          <w:rFonts w:ascii="Arial" w:hAnsi="Arial" w:cs="Arial"/>
          <w:sz w:val="24"/>
          <w:szCs w:val="24"/>
        </w:rPr>
      </w:pPr>
      <w:r w:rsidRPr="00726905">
        <w:rPr>
          <w:rFonts w:ascii="Arial" w:hAnsi="Arial" w:cs="Arial"/>
          <w:sz w:val="24"/>
          <w:szCs w:val="24"/>
        </w:rPr>
        <w:t>The Minister would choose candidates from a list provided by</w:t>
      </w:r>
      <w:r w:rsidRPr="00B35B7F">
        <w:rPr>
          <w:rFonts w:ascii="Arial" w:hAnsi="Arial" w:cs="Arial"/>
          <w:sz w:val="24"/>
          <w:szCs w:val="24"/>
        </w:rPr>
        <w:t xml:space="preserve"> an ad hoc committee consisting of</w:t>
      </w:r>
      <w:r w:rsidR="00F2258F">
        <w:rPr>
          <w:rFonts w:ascii="Arial" w:hAnsi="Arial" w:cs="Arial"/>
          <w:sz w:val="24"/>
          <w:szCs w:val="24"/>
        </w:rPr>
        <w:t xml:space="preserve"> the President-elect of the Supreme Administrative Court,</w:t>
      </w:r>
      <w:r w:rsidRPr="00B35B7F">
        <w:rPr>
          <w:rFonts w:ascii="Arial" w:hAnsi="Arial" w:cs="Arial"/>
          <w:sz w:val="24"/>
          <w:szCs w:val="24"/>
        </w:rPr>
        <w:t xml:space="preserve"> </w:t>
      </w:r>
      <w:r w:rsidR="00410A15">
        <w:rPr>
          <w:rFonts w:ascii="Arial" w:hAnsi="Arial" w:cs="Arial"/>
          <w:sz w:val="24"/>
          <w:szCs w:val="24"/>
        </w:rPr>
        <w:t>six</w:t>
      </w:r>
      <w:r w:rsidR="00410A15" w:rsidRPr="00B35B7F">
        <w:rPr>
          <w:rFonts w:ascii="Arial" w:hAnsi="Arial" w:cs="Arial"/>
          <w:sz w:val="24"/>
          <w:szCs w:val="24"/>
        </w:rPr>
        <w:t xml:space="preserve"> </w:t>
      </w:r>
      <w:r w:rsidRPr="00B35B7F">
        <w:rPr>
          <w:rFonts w:ascii="Arial" w:hAnsi="Arial" w:cs="Arial"/>
          <w:sz w:val="24"/>
          <w:szCs w:val="24"/>
        </w:rPr>
        <w:t>randomly selected judges</w:t>
      </w:r>
      <w:r w:rsidR="001B2305">
        <w:rPr>
          <w:rFonts w:ascii="Arial" w:hAnsi="Arial" w:cs="Arial"/>
          <w:sz w:val="24"/>
          <w:szCs w:val="24"/>
        </w:rPr>
        <w:t xml:space="preserve"> and</w:t>
      </w:r>
      <w:r w:rsidRPr="00B35B7F">
        <w:rPr>
          <w:rFonts w:ascii="Arial" w:hAnsi="Arial" w:cs="Arial"/>
          <w:sz w:val="24"/>
          <w:szCs w:val="24"/>
        </w:rPr>
        <w:t xml:space="preserve"> four other members nominated by the Parliamentary Committee for Justice, the Chief Prosecutor, the Minister responsible for the Public Administration and the President of the Bar Association. </w:t>
      </w:r>
      <w:r w:rsidR="00AC32C2">
        <w:rPr>
          <w:rFonts w:ascii="Arial" w:hAnsi="Arial" w:cs="Arial"/>
          <w:sz w:val="24"/>
          <w:szCs w:val="24"/>
        </w:rPr>
        <w:t>The Minister</w:t>
      </w:r>
      <w:r w:rsidRPr="00B35B7F">
        <w:rPr>
          <w:rFonts w:ascii="Arial" w:hAnsi="Arial" w:cs="Arial"/>
          <w:sz w:val="24"/>
          <w:szCs w:val="24"/>
        </w:rPr>
        <w:t xml:space="preserve"> would be able to disregard the ranking of applicant judges presented by the ad hoc committee and de facto recommend any person on the list for appointment by the President of the Republic</w:t>
      </w:r>
      <w:r w:rsidR="00087854">
        <w:rPr>
          <w:rFonts w:ascii="Arial" w:hAnsi="Arial" w:cs="Arial"/>
          <w:sz w:val="24"/>
          <w:szCs w:val="24"/>
        </w:rPr>
        <w:t xml:space="preserve">. </w:t>
      </w:r>
      <w:r w:rsidR="001B2305">
        <w:rPr>
          <w:rFonts w:ascii="Arial" w:hAnsi="Arial" w:cs="Arial"/>
          <w:sz w:val="24"/>
          <w:szCs w:val="24"/>
        </w:rPr>
        <w:t>The</w:t>
      </w:r>
      <w:r w:rsidR="00087854">
        <w:rPr>
          <w:rFonts w:ascii="Arial" w:hAnsi="Arial" w:cs="Arial"/>
          <w:sz w:val="24"/>
          <w:szCs w:val="24"/>
        </w:rPr>
        <w:t xml:space="preserve"> President would not have power to vet or change the appointment, he or she would have to </w:t>
      </w:r>
      <w:r w:rsidR="001B2305">
        <w:rPr>
          <w:rFonts w:ascii="Arial" w:hAnsi="Arial" w:cs="Arial"/>
          <w:sz w:val="24"/>
          <w:szCs w:val="24"/>
        </w:rPr>
        <w:t>sign and accept</w:t>
      </w:r>
      <w:r w:rsidR="00087854">
        <w:rPr>
          <w:rFonts w:ascii="Arial" w:hAnsi="Arial" w:cs="Arial"/>
          <w:sz w:val="24"/>
          <w:szCs w:val="24"/>
        </w:rPr>
        <w:t xml:space="preserve"> the proposal presented.</w:t>
      </w:r>
    </w:p>
    <w:p w14:paraId="39977CDC" w14:textId="77777777" w:rsidR="00A87FEE" w:rsidRDefault="00A87FEE" w:rsidP="00B35B7F">
      <w:pPr>
        <w:jc w:val="both"/>
        <w:rPr>
          <w:rFonts w:ascii="Arial" w:hAnsi="Arial" w:cs="Arial"/>
          <w:sz w:val="24"/>
          <w:szCs w:val="24"/>
        </w:rPr>
      </w:pPr>
      <w:r>
        <w:rPr>
          <w:rFonts w:ascii="Arial" w:hAnsi="Arial" w:cs="Arial"/>
          <w:sz w:val="24"/>
          <w:szCs w:val="24"/>
        </w:rPr>
        <w:t>“I urge the Hungarian Government t</w:t>
      </w:r>
      <w:r w:rsidR="00B35B7F" w:rsidRPr="00B35B7F">
        <w:rPr>
          <w:rFonts w:ascii="Arial" w:hAnsi="Arial" w:cs="Arial"/>
          <w:sz w:val="24"/>
          <w:szCs w:val="24"/>
        </w:rPr>
        <w:t>o</w:t>
      </w:r>
      <w:r>
        <w:rPr>
          <w:rFonts w:ascii="Arial" w:hAnsi="Arial" w:cs="Arial"/>
          <w:sz w:val="24"/>
          <w:szCs w:val="24"/>
        </w:rPr>
        <w:t xml:space="preserve"> review the selection procedure for the appointment of administrative judges in light of the recommendations made by the Venice Commission. This is particularly important with regard to the initial selection, since the widespread interferences in the selection of administrative judges may have </w:t>
      </w:r>
      <w:r>
        <w:rPr>
          <w:rFonts w:ascii="Arial" w:hAnsi="Arial" w:cs="Arial"/>
          <w:sz w:val="24"/>
          <w:szCs w:val="24"/>
        </w:rPr>
        <w:lastRenderedPageBreak/>
        <w:t xml:space="preserve">long-lasting adverse effects on the independence of the administrative justice system,” concluded Mr. García-Sayán. </w:t>
      </w:r>
    </w:p>
    <w:p w14:paraId="3646AE0D" w14:textId="568E3EAD" w:rsidR="00DF2251" w:rsidRDefault="00DF2251" w:rsidP="00B35B7F">
      <w:pPr>
        <w:jc w:val="both"/>
        <w:rPr>
          <w:rFonts w:ascii="Arial" w:hAnsi="Arial" w:cs="Arial"/>
          <w:sz w:val="24"/>
          <w:szCs w:val="24"/>
        </w:rPr>
      </w:pPr>
      <w:r>
        <w:rPr>
          <w:rFonts w:ascii="Arial" w:hAnsi="Arial" w:cs="Arial"/>
          <w:sz w:val="24"/>
          <w:szCs w:val="24"/>
        </w:rPr>
        <w:t>In relation to the system of judicial self-governance, t</w:t>
      </w:r>
      <w:r w:rsidR="00B01128">
        <w:rPr>
          <w:rFonts w:ascii="Arial" w:hAnsi="Arial" w:cs="Arial"/>
          <w:sz w:val="24"/>
          <w:szCs w:val="24"/>
        </w:rPr>
        <w:t xml:space="preserve">he </w:t>
      </w:r>
      <w:r>
        <w:rPr>
          <w:rFonts w:ascii="Arial" w:hAnsi="Arial" w:cs="Arial"/>
          <w:sz w:val="24"/>
          <w:szCs w:val="24"/>
        </w:rPr>
        <w:t xml:space="preserve">expert considers that the </w:t>
      </w:r>
      <w:r w:rsidR="00B01128">
        <w:rPr>
          <w:rFonts w:ascii="Arial" w:hAnsi="Arial" w:cs="Arial"/>
          <w:sz w:val="24"/>
          <w:szCs w:val="24"/>
        </w:rPr>
        <w:t xml:space="preserve">proposed amendments </w:t>
      </w:r>
      <w:r>
        <w:rPr>
          <w:rFonts w:ascii="Arial" w:hAnsi="Arial" w:cs="Arial"/>
          <w:sz w:val="24"/>
          <w:szCs w:val="24"/>
        </w:rPr>
        <w:t xml:space="preserve">fail to address the concerns expressed by the Venice Commission </w:t>
      </w:r>
      <w:r w:rsidR="00B01128">
        <w:rPr>
          <w:rFonts w:ascii="Arial" w:hAnsi="Arial" w:cs="Arial"/>
          <w:sz w:val="24"/>
          <w:szCs w:val="24"/>
        </w:rPr>
        <w:t>with regard to the strengthening of</w:t>
      </w:r>
      <w:r>
        <w:rPr>
          <w:rFonts w:ascii="Arial" w:hAnsi="Arial" w:cs="Arial"/>
          <w:sz w:val="24"/>
          <w:szCs w:val="24"/>
        </w:rPr>
        <w:t xml:space="preserve"> </w:t>
      </w:r>
      <w:r w:rsidR="001B2305">
        <w:rPr>
          <w:rFonts w:ascii="Arial" w:hAnsi="Arial" w:cs="Arial"/>
          <w:sz w:val="24"/>
          <w:szCs w:val="24"/>
        </w:rPr>
        <w:t xml:space="preserve">the </w:t>
      </w:r>
      <w:r>
        <w:rPr>
          <w:rFonts w:ascii="Arial" w:hAnsi="Arial" w:cs="Arial"/>
          <w:sz w:val="24"/>
          <w:szCs w:val="24"/>
        </w:rPr>
        <w:t>national judicial council</w:t>
      </w:r>
      <w:r w:rsidR="00B01128">
        <w:rPr>
          <w:rFonts w:ascii="Arial" w:hAnsi="Arial" w:cs="Arial"/>
          <w:sz w:val="24"/>
          <w:szCs w:val="24"/>
        </w:rPr>
        <w:t xml:space="preserve">. “Despite the changes proposed by the Government, the powers of the </w:t>
      </w:r>
      <w:r w:rsidR="00B01128" w:rsidRPr="00872E3F">
        <w:rPr>
          <w:rFonts w:ascii="Arial" w:hAnsi="Arial" w:cs="Arial"/>
          <w:sz w:val="24"/>
          <w:szCs w:val="24"/>
        </w:rPr>
        <w:t>National Administrative Judicial Council</w:t>
      </w:r>
      <w:r w:rsidR="00B01128">
        <w:rPr>
          <w:rFonts w:ascii="Arial" w:hAnsi="Arial" w:cs="Arial"/>
          <w:sz w:val="24"/>
          <w:szCs w:val="24"/>
        </w:rPr>
        <w:t xml:space="preserve"> in relation to the selection of administrative judges, </w:t>
      </w:r>
      <w:r w:rsidR="00B01128" w:rsidRPr="00B01128">
        <w:rPr>
          <w:rFonts w:ascii="Arial" w:hAnsi="Arial" w:cs="Arial"/>
          <w:sz w:val="24"/>
          <w:szCs w:val="24"/>
        </w:rPr>
        <w:t>heads of court</w:t>
      </w:r>
      <w:r w:rsidR="00B01128">
        <w:rPr>
          <w:rFonts w:ascii="Arial" w:hAnsi="Arial" w:cs="Arial"/>
          <w:sz w:val="24"/>
          <w:szCs w:val="24"/>
        </w:rPr>
        <w:t xml:space="preserve"> and the </w:t>
      </w:r>
      <w:r w:rsidR="00B01128" w:rsidRPr="00B01128">
        <w:rPr>
          <w:rFonts w:ascii="Arial" w:hAnsi="Arial" w:cs="Arial"/>
          <w:sz w:val="24"/>
          <w:szCs w:val="24"/>
        </w:rPr>
        <w:t>President of the Administrative High Court</w:t>
      </w:r>
      <w:r w:rsidR="00B01128">
        <w:rPr>
          <w:rFonts w:ascii="Arial" w:hAnsi="Arial" w:cs="Arial"/>
          <w:sz w:val="24"/>
          <w:szCs w:val="24"/>
        </w:rPr>
        <w:t xml:space="preserve"> remains extremely limited,” warned the Special Rapporteur. </w:t>
      </w:r>
    </w:p>
    <w:p w14:paraId="119E7546" w14:textId="67F63E4A" w:rsidR="00B01128" w:rsidRDefault="00B01128" w:rsidP="00B35B7F">
      <w:pPr>
        <w:jc w:val="both"/>
        <w:rPr>
          <w:rFonts w:ascii="Arial" w:hAnsi="Arial" w:cs="Arial"/>
          <w:sz w:val="24"/>
          <w:szCs w:val="24"/>
        </w:rPr>
      </w:pPr>
      <w:r>
        <w:rPr>
          <w:rFonts w:ascii="Arial" w:hAnsi="Arial" w:cs="Arial"/>
          <w:sz w:val="24"/>
          <w:szCs w:val="24"/>
        </w:rPr>
        <w:t>“</w:t>
      </w:r>
      <w:r w:rsidRPr="00B35B7F">
        <w:rPr>
          <w:rFonts w:ascii="Arial" w:hAnsi="Arial" w:cs="Arial"/>
          <w:sz w:val="24"/>
          <w:szCs w:val="24"/>
        </w:rPr>
        <w:t>A</w:t>
      </w:r>
      <w:r>
        <w:rPr>
          <w:rFonts w:ascii="Arial" w:hAnsi="Arial" w:cs="Arial"/>
          <w:sz w:val="24"/>
          <w:szCs w:val="24"/>
        </w:rPr>
        <w:t>dditional g</w:t>
      </w:r>
      <w:r w:rsidRPr="00B35B7F">
        <w:rPr>
          <w:rFonts w:ascii="Arial" w:hAnsi="Arial" w:cs="Arial"/>
          <w:sz w:val="24"/>
          <w:szCs w:val="24"/>
        </w:rPr>
        <w:t xml:space="preserve">uarantees </w:t>
      </w:r>
      <w:r>
        <w:rPr>
          <w:rFonts w:ascii="Arial" w:hAnsi="Arial" w:cs="Arial"/>
          <w:sz w:val="24"/>
          <w:szCs w:val="24"/>
        </w:rPr>
        <w:t xml:space="preserve">would need </w:t>
      </w:r>
      <w:r w:rsidRPr="00B35B7F">
        <w:rPr>
          <w:rFonts w:ascii="Arial" w:hAnsi="Arial" w:cs="Arial"/>
          <w:sz w:val="24"/>
          <w:szCs w:val="24"/>
        </w:rPr>
        <w:t xml:space="preserve">to be </w:t>
      </w:r>
      <w:r>
        <w:rPr>
          <w:rFonts w:ascii="Arial" w:hAnsi="Arial" w:cs="Arial"/>
          <w:sz w:val="24"/>
          <w:szCs w:val="24"/>
        </w:rPr>
        <w:t xml:space="preserve">developed to </w:t>
      </w:r>
      <w:r w:rsidR="00DF2251">
        <w:rPr>
          <w:rFonts w:ascii="Arial" w:hAnsi="Arial" w:cs="Arial"/>
          <w:sz w:val="24"/>
          <w:szCs w:val="24"/>
        </w:rPr>
        <w:t>strengthen the independence and autonomy of the NAJC, and appropriate measures need t</w:t>
      </w:r>
      <w:r w:rsidR="00410A15">
        <w:rPr>
          <w:rFonts w:ascii="Arial" w:hAnsi="Arial" w:cs="Arial"/>
          <w:sz w:val="24"/>
          <w:szCs w:val="24"/>
        </w:rPr>
        <w:t>o</w:t>
      </w:r>
      <w:r w:rsidR="00DF2251">
        <w:rPr>
          <w:rFonts w:ascii="Arial" w:hAnsi="Arial" w:cs="Arial"/>
          <w:sz w:val="24"/>
          <w:szCs w:val="24"/>
        </w:rPr>
        <w:t xml:space="preserve"> be adopted to </w:t>
      </w:r>
      <w:r w:rsidRPr="00B35B7F">
        <w:rPr>
          <w:rFonts w:ascii="Arial" w:hAnsi="Arial" w:cs="Arial"/>
          <w:sz w:val="24"/>
          <w:szCs w:val="24"/>
        </w:rPr>
        <w:t xml:space="preserve">counterbalance the broad powers </w:t>
      </w:r>
      <w:r>
        <w:rPr>
          <w:rFonts w:ascii="Arial" w:hAnsi="Arial" w:cs="Arial"/>
          <w:sz w:val="24"/>
          <w:szCs w:val="24"/>
        </w:rPr>
        <w:t xml:space="preserve">entrusted by the </w:t>
      </w:r>
      <w:r w:rsidR="00DF2251">
        <w:rPr>
          <w:rFonts w:ascii="Arial" w:hAnsi="Arial" w:cs="Arial"/>
          <w:sz w:val="24"/>
          <w:szCs w:val="24"/>
        </w:rPr>
        <w:t xml:space="preserve">legislation on administrative courts to </w:t>
      </w:r>
      <w:r w:rsidRPr="00B35B7F">
        <w:rPr>
          <w:rFonts w:ascii="Arial" w:hAnsi="Arial" w:cs="Arial"/>
          <w:sz w:val="24"/>
          <w:szCs w:val="24"/>
        </w:rPr>
        <w:t>the Minister of Justice and the President of the Supreme Administrative Court</w:t>
      </w:r>
      <w:r w:rsidR="00DF2251">
        <w:rPr>
          <w:rFonts w:ascii="Arial" w:hAnsi="Arial" w:cs="Arial"/>
          <w:sz w:val="24"/>
          <w:szCs w:val="24"/>
        </w:rPr>
        <w:t>,” he concluded</w:t>
      </w:r>
      <w:r w:rsidRPr="00B35B7F">
        <w:rPr>
          <w:rFonts w:ascii="Arial" w:hAnsi="Arial" w:cs="Arial"/>
          <w:sz w:val="24"/>
          <w:szCs w:val="24"/>
        </w:rPr>
        <w:t>.</w:t>
      </w:r>
    </w:p>
    <w:p w14:paraId="255FB6E7" w14:textId="77777777" w:rsidR="00D97889" w:rsidRDefault="00DF2251" w:rsidP="00DF2251">
      <w:pPr>
        <w:jc w:val="both"/>
        <w:rPr>
          <w:rFonts w:ascii="Arial" w:hAnsi="Arial" w:cs="Arial"/>
          <w:sz w:val="24"/>
          <w:szCs w:val="24"/>
        </w:rPr>
      </w:pPr>
      <w:r>
        <w:rPr>
          <w:rFonts w:ascii="Arial" w:hAnsi="Arial" w:cs="Arial"/>
          <w:sz w:val="24"/>
          <w:szCs w:val="24"/>
        </w:rPr>
        <w:t xml:space="preserve">Finally, the Special Rapporteur emphasized that </w:t>
      </w:r>
      <w:r w:rsidRPr="00DF2251">
        <w:rPr>
          <w:rFonts w:ascii="Arial" w:hAnsi="Arial" w:cs="Arial"/>
          <w:sz w:val="24"/>
          <w:szCs w:val="24"/>
        </w:rPr>
        <w:t xml:space="preserve">any reform of the judiciary should aim at strengthening the independence and impartiality of the judiciary, not at bringing the judicial system under the control of the executive and legislative branches. </w:t>
      </w:r>
    </w:p>
    <w:p w14:paraId="6E842901" w14:textId="2A07639E" w:rsidR="00DF2251" w:rsidRPr="00DF2251" w:rsidRDefault="00DF2251" w:rsidP="00DF2251">
      <w:pPr>
        <w:jc w:val="both"/>
        <w:rPr>
          <w:rFonts w:ascii="Arial" w:hAnsi="Arial" w:cs="Arial"/>
          <w:sz w:val="24"/>
          <w:szCs w:val="24"/>
        </w:rPr>
      </w:pPr>
      <w:r>
        <w:rPr>
          <w:rFonts w:ascii="Arial" w:hAnsi="Arial" w:cs="Arial"/>
          <w:sz w:val="24"/>
          <w:szCs w:val="24"/>
        </w:rPr>
        <w:t>“</w:t>
      </w:r>
      <w:r w:rsidRPr="00DF2251">
        <w:rPr>
          <w:rFonts w:ascii="Arial" w:hAnsi="Arial" w:cs="Arial"/>
          <w:sz w:val="24"/>
          <w:szCs w:val="24"/>
        </w:rPr>
        <w:t xml:space="preserve">The </w:t>
      </w:r>
      <w:r>
        <w:rPr>
          <w:rFonts w:ascii="Arial" w:hAnsi="Arial" w:cs="Arial"/>
          <w:sz w:val="24"/>
          <w:szCs w:val="24"/>
        </w:rPr>
        <w:t xml:space="preserve">review </w:t>
      </w:r>
      <w:r w:rsidR="001B2305">
        <w:rPr>
          <w:rFonts w:ascii="Arial" w:hAnsi="Arial" w:cs="Arial"/>
          <w:sz w:val="24"/>
          <w:szCs w:val="24"/>
        </w:rPr>
        <w:t xml:space="preserve">of </w:t>
      </w:r>
      <w:r>
        <w:rPr>
          <w:rFonts w:ascii="Arial" w:hAnsi="Arial" w:cs="Arial"/>
          <w:sz w:val="24"/>
          <w:szCs w:val="24"/>
        </w:rPr>
        <w:t>the legislative package on the administrative justice reform</w:t>
      </w:r>
      <w:r w:rsidRPr="00DF2251">
        <w:rPr>
          <w:rFonts w:ascii="Arial" w:hAnsi="Arial" w:cs="Arial"/>
          <w:sz w:val="24"/>
          <w:szCs w:val="24"/>
        </w:rPr>
        <w:t xml:space="preserve"> should be the result of an open, fair and transparent process, involving not only the parliamentary majority and the opposition, but also the judiciary itself and civil society actors.</w:t>
      </w:r>
      <w:r w:rsidR="00D97889">
        <w:rPr>
          <w:rFonts w:ascii="Arial" w:hAnsi="Arial" w:cs="Arial"/>
          <w:sz w:val="24"/>
          <w:szCs w:val="24"/>
        </w:rPr>
        <w:t xml:space="preserve"> It </w:t>
      </w:r>
      <w:r w:rsidR="00D97889" w:rsidRPr="00DF2251">
        <w:rPr>
          <w:rFonts w:ascii="Arial" w:hAnsi="Arial" w:cs="Arial"/>
          <w:sz w:val="24"/>
          <w:szCs w:val="24"/>
        </w:rPr>
        <w:t xml:space="preserve">should be carried out in accordance with existing norms and standards relating to the independence of the judiciary, the separation of powers and the rule of law, as enshrined in the </w:t>
      </w:r>
      <w:r w:rsidR="00D97889">
        <w:rPr>
          <w:rFonts w:ascii="Arial" w:hAnsi="Arial" w:cs="Arial"/>
          <w:sz w:val="24"/>
          <w:szCs w:val="24"/>
        </w:rPr>
        <w:t xml:space="preserve">Hungarian </w:t>
      </w:r>
      <w:r w:rsidR="00D97889" w:rsidRPr="00DF2251">
        <w:rPr>
          <w:rFonts w:ascii="Arial" w:hAnsi="Arial" w:cs="Arial"/>
          <w:sz w:val="24"/>
          <w:szCs w:val="24"/>
        </w:rPr>
        <w:t xml:space="preserve">Constitution and in a vast array of international and regional treaties to which </w:t>
      </w:r>
      <w:r w:rsidR="00D97889">
        <w:rPr>
          <w:rFonts w:ascii="Arial" w:hAnsi="Arial" w:cs="Arial"/>
          <w:sz w:val="24"/>
          <w:szCs w:val="24"/>
        </w:rPr>
        <w:t>Hungary</w:t>
      </w:r>
      <w:r w:rsidR="00D97889" w:rsidRPr="00DF2251">
        <w:rPr>
          <w:rFonts w:ascii="Arial" w:hAnsi="Arial" w:cs="Arial"/>
          <w:sz w:val="24"/>
          <w:szCs w:val="24"/>
        </w:rPr>
        <w:t xml:space="preserve"> is a party.</w:t>
      </w:r>
      <w:r w:rsidR="00D97889">
        <w:rPr>
          <w:rFonts w:ascii="Arial" w:hAnsi="Arial" w:cs="Arial"/>
          <w:sz w:val="24"/>
          <w:szCs w:val="24"/>
        </w:rPr>
        <w:t xml:space="preserve"> </w:t>
      </w:r>
      <w:r w:rsidR="00D97889" w:rsidRPr="00DF2251">
        <w:rPr>
          <w:rFonts w:ascii="Arial" w:hAnsi="Arial" w:cs="Arial"/>
          <w:sz w:val="24"/>
          <w:szCs w:val="24"/>
        </w:rPr>
        <w:t xml:space="preserve">The recommendations made by international and regional </w:t>
      </w:r>
      <w:r w:rsidR="00D97889">
        <w:rPr>
          <w:rFonts w:ascii="Arial" w:hAnsi="Arial" w:cs="Arial"/>
          <w:sz w:val="24"/>
          <w:szCs w:val="24"/>
        </w:rPr>
        <w:t>human rights mechanisms</w:t>
      </w:r>
      <w:r w:rsidR="00D97889" w:rsidRPr="00DF2251">
        <w:rPr>
          <w:rFonts w:ascii="Arial" w:hAnsi="Arial" w:cs="Arial"/>
          <w:sz w:val="24"/>
          <w:szCs w:val="24"/>
        </w:rPr>
        <w:t>, such as the Venice Commission,</w:t>
      </w:r>
      <w:r w:rsidR="00D97889" w:rsidRPr="00D97889">
        <w:rPr>
          <w:rFonts w:ascii="Arial" w:hAnsi="Arial" w:cs="Arial"/>
          <w:sz w:val="24"/>
          <w:szCs w:val="24"/>
        </w:rPr>
        <w:t xml:space="preserve"> </w:t>
      </w:r>
      <w:r w:rsidR="00D97889" w:rsidRPr="00DF2251">
        <w:rPr>
          <w:rFonts w:ascii="Arial" w:hAnsi="Arial" w:cs="Arial"/>
          <w:sz w:val="24"/>
          <w:szCs w:val="24"/>
        </w:rPr>
        <w:t xml:space="preserve">should be taken into account in the development and implementation of </w:t>
      </w:r>
      <w:r w:rsidR="00D97889">
        <w:rPr>
          <w:rFonts w:ascii="Arial" w:hAnsi="Arial" w:cs="Arial"/>
          <w:sz w:val="24"/>
          <w:szCs w:val="24"/>
        </w:rPr>
        <w:t xml:space="preserve">a new administrative court system that is independent, </w:t>
      </w:r>
      <w:r w:rsidR="00D97889" w:rsidRPr="00DF2251">
        <w:rPr>
          <w:rFonts w:ascii="Arial" w:hAnsi="Arial" w:cs="Arial"/>
          <w:sz w:val="24"/>
          <w:szCs w:val="24"/>
        </w:rPr>
        <w:t>impartial</w:t>
      </w:r>
      <w:r w:rsidR="00D97889">
        <w:rPr>
          <w:rFonts w:ascii="Arial" w:hAnsi="Arial" w:cs="Arial"/>
          <w:sz w:val="24"/>
          <w:szCs w:val="24"/>
        </w:rPr>
        <w:t xml:space="preserve"> and effective,” said Mr. García-Sayán</w:t>
      </w:r>
      <w:r w:rsidR="00D97889" w:rsidRPr="00DF2251">
        <w:rPr>
          <w:rFonts w:ascii="Arial" w:hAnsi="Arial" w:cs="Arial"/>
          <w:sz w:val="24"/>
          <w:szCs w:val="24"/>
        </w:rPr>
        <w:t>.</w:t>
      </w:r>
    </w:p>
    <w:p w14:paraId="3C8BE726" w14:textId="77777777" w:rsidR="00C12008" w:rsidRPr="00BB3FD3" w:rsidRDefault="00C12008" w:rsidP="00C12008">
      <w:pPr>
        <w:rPr>
          <w:rFonts w:ascii="Arial" w:hAnsi="Arial" w:cs="Arial"/>
          <w:sz w:val="24"/>
          <w:szCs w:val="24"/>
          <w:lang w:val="en-GB"/>
        </w:rPr>
      </w:pPr>
      <w:r w:rsidRPr="00DF2D84">
        <w:rPr>
          <w:rFonts w:ascii="Arial" w:hAnsi="Arial" w:cs="Arial"/>
          <w:sz w:val="24"/>
          <w:szCs w:val="24"/>
        </w:rPr>
        <w:t>ENDS</w:t>
      </w:r>
      <w:r w:rsidRPr="00BB3FD3">
        <w:rPr>
          <w:rFonts w:ascii="Arial" w:hAnsi="Arial" w:cs="Arial"/>
          <w:sz w:val="24"/>
          <w:szCs w:val="24"/>
          <w:lang w:val="en-GB"/>
        </w:rPr>
        <w:t> </w:t>
      </w:r>
    </w:p>
    <w:p w14:paraId="43DFCDC7" w14:textId="77777777" w:rsidR="00D97889" w:rsidRDefault="00D97889" w:rsidP="00D97889">
      <w:pPr>
        <w:pStyle w:val="NormalWeb"/>
        <w:rPr>
          <w:rFonts w:ascii="Segoe UI" w:hAnsi="Segoe UI" w:cs="Segoe UI"/>
          <w:color w:val="444444"/>
          <w:lang w:val="en-US"/>
        </w:rPr>
      </w:pPr>
      <w:r>
        <w:rPr>
          <w:rStyle w:val="Strong"/>
          <w:rFonts w:ascii="Segoe UI" w:hAnsi="Segoe UI" w:cs="Segoe UI"/>
          <w:i/>
          <w:iCs/>
          <w:color w:val="444444"/>
          <w:lang w:val="en-US"/>
        </w:rPr>
        <w:t>Mr.</w:t>
      </w:r>
      <w:r>
        <w:rPr>
          <w:rStyle w:val="Emphasis"/>
          <w:rFonts w:ascii="Segoe UI" w:hAnsi="Segoe UI" w:cs="Segoe UI"/>
          <w:color w:val="444444"/>
          <w:lang w:val="en-US"/>
        </w:rPr>
        <w:t> </w:t>
      </w:r>
      <w:r>
        <w:rPr>
          <w:rStyle w:val="Strong"/>
          <w:rFonts w:ascii="Segoe UI" w:hAnsi="Segoe UI" w:cs="Segoe UI"/>
          <w:i/>
          <w:iCs/>
          <w:color w:val="444444"/>
          <w:lang w:val="en-US"/>
        </w:rPr>
        <w:t>Diego García-Sayán</w:t>
      </w:r>
      <w:r>
        <w:rPr>
          <w:rStyle w:val="Emphasis"/>
          <w:rFonts w:ascii="Segoe UI" w:hAnsi="Segoe UI" w:cs="Segoe UI"/>
          <w:color w:val="444444"/>
          <w:lang w:val="en-US"/>
        </w:rPr>
        <w:t> took up his functions as UN </w:t>
      </w:r>
      <w:hyperlink r:id="rId15" w:history="1">
        <w:r>
          <w:rPr>
            <w:rStyle w:val="Hyperlink"/>
            <w:rFonts w:ascii="Segoe UI" w:hAnsi="Segoe UI" w:cs="Segoe UI"/>
            <w:i/>
            <w:iCs/>
            <w:lang w:val="en-US"/>
          </w:rPr>
          <w:t>Special Rapporteur on the independence of judges and lawyers</w:t>
        </w:r>
      </w:hyperlink>
      <w:r>
        <w:rPr>
          <w:rStyle w:val="Emphasis"/>
          <w:rFonts w:ascii="Segoe UI" w:hAnsi="Segoe UI" w:cs="Segoe UI"/>
          <w:color w:val="444444"/>
          <w:lang w:val="en-US"/>
        </w:rPr>
        <w:t> in December 2016. Mr. García-Sayán was formerly a judge of the Inter-American Court of Human Rights for two consecutive terms. During his tenure, he was elected Vice-President of the Court (2008-2009) and President of the Court (2009-2013). He has long-standing experience working on human rights issues in a variety of settings, including for the United Nations and the Organization of American States.</w:t>
      </w:r>
    </w:p>
    <w:p w14:paraId="3C8BE729" w14:textId="70A2A66C" w:rsidR="00DF2D84" w:rsidRPr="00D97889" w:rsidRDefault="00DF2D84" w:rsidP="00D97889">
      <w:pPr>
        <w:pStyle w:val="NormalWeb"/>
        <w:rPr>
          <w:rStyle w:val="Strong"/>
          <w:rFonts w:ascii="Segoe UI" w:hAnsi="Segoe UI" w:cs="Segoe UI"/>
          <w:b w:val="0"/>
          <w:i/>
          <w:color w:val="444444"/>
          <w:lang w:val="en-US"/>
        </w:rPr>
      </w:pPr>
      <w:r w:rsidRPr="00D97889">
        <w:rPr>
          <w:rStyle w:val="Strong"/>
          <w:rFonts w:ascii="Segoe UI" w:hAnsi="Segoe UI" w:cs="Segoe UI"/>
          <w:b w:val="0"/>
          <w:i/>
          <w:color w:val="444444"/>
          <w:lang w:val="en-US"/>
        </w:rPr>
        <w:t xml:space="preserve">The Special Rapporteurs are part of what is known as the </w:t>
      </w:r>
      <w:hyperlink r:id="rId16" w:history="1">
        <w:r w:rsidRPr="00D97889">
          <w:rPr>
            <w:rStyle w:val="Strong"/>
            <w:rFonts w:ascii="Segoe UI" w:hAnsi="Segoe UI" w:cs="Segoe UI"/>
            <w:b w:val="0"/>
            <w:i/>
            <w:color w:val="444444"/>
            <w:lang w:val="en-US"/>
          </w:rPr>
          <w:t>Special Procedures</w:t>
        </w:r>
      </w:hyperlink>
      <w:r w:rsidRPr="00D97889">
        <w:rPr>
          <w:rStyle w:val="Strong"/>
          <w:rFonts w:ascii="Segoe UI" w:hAnsi="Segoe UI" w:cs="Segoe UI"/>
          <w:b w:val="0"/>
          <w:i/>
          <w:color w:val="444444"/>
          <w:lang w:val="en-US"/>
        </w:rPr>
        <w:t xml:space="preserve"> of the Human Rights Council. Special Procedures, the largest body of independent experts in the UN Human Rights system, is the general name of the Council’s independent fact-</w:t>
      </w:r>
      <w:r w:rsidRPr="00D97889">
        <w:rPr>
          <w:rStyle w:val="Strong"/>
          <w:rFonts w:ascii="Segoe UI" w:hAnsi="Segoe UI" w:cs="Segoe UI"/>
          <w:b w:val="0"/>
          <w:i/>
          <w:color w:val="444444"/>
          <w:lang w:val="en-US"/>
        </w:rPr>
        <w:lastRenderedPageBreak/>
        <w:t>finding and monitoring mechanisms that address either specific country situations or thematic issues in all parts of the world. Special Procedures’ experts work on a voluntary basis; they are not UN staff and do not receive a salary for their work. They are independent from any government or organization and serve in their individual capacity.</w:t>
      </w:r>
    </w:p>
    <w:p w14:paraId="3C8BE72D" w14:textId="28F15790" w:rsidR="005B37D0" w:rsidRPr="00D97889" w:rsidRDefault="00D97889" w:rsidP="00D97889">
      <w:pPr>
        <w:pStyle w:val="NormalWeb"/>
        <w:rPr>
          <w:rStyle w:val="Strong"/>
          <w:rFonts w:ascii="Segoe UI" w:hAnsi="Segoe UI" w:cs="Segoe UI"/>
          <w:b w:val="0"/>
          <w:i/>
          <w:iCs/>
          <w:color w:val="444444"/>
          <w:lang w:val="en-US"/>
        </w:rPr>
      </w:pPr>
      <w:r w:rsidRPr="00D97889">
        <w:rPr>
          <w:rStyle w:val="Strong"/>
          <w:rFonts w:ascii="Segoe UI" w:hAnsi="Segoe UI" w:cs="Segoe UI"/>
          <w:b w:val="0"/>
          <w:i/>
        </w:rPr>
        <w:t>For further information and </w:t>
      </w:r>
      <w:r w:rsidRPr="00D97889">
        <w:rPr>
          <w:rStyle w:val="Strong"/>
          <w:rFonts w:ascii="Segoe UI" w:hAnsi="Segoe UI" w:cs="Segoe UI"/>
          <w:b w:val="0"/>
          <w:i/>
          <w:iCs/>
          <w:color w:val="444444"/>
          <w:lang w:val="en-US"/>
        </w:rPr>
        <w:t>media requests</w:t>
      </w:r>
      <w:r w:rsidRPr="00D97889">
        <w:rPr>
          <w:rStyle w:val="Strong"/>
          <w:rFonts w:ascii="Segoe UI" w:hAnsi="Segoe UI" w:cs="Segoe UI"/>
          <w:b w:val="0"/>
          <w:i/>
        </w:rPr>
        <w:t>, please contact: Mr. Stefano Sensi (+41 22 917 79237 / </w:t>
      </w:r>
      <w:hyperlink r:id="rId17" w:history="1">
        <w:r w:rsidRPr="00D97889">
          <w:rPr>
            <w:rStyle w:val="Strong"/>
            <w:rFonts w:ascii="Segoe UI" w:hAnsi="Segoe UI" w:cs="Segoe UI"/>
            <w:b w:val="0"/>
            <w:i/>
            <w:color w:val="444444"/>
          </w:rPr>
          <w:t>srindependencejl@ohchr.org</w:t>
        </w:r>
      </w:hyperlink>
      <w:r w:rsidRPr="00D97889">
        <w:rPr>
          <w:rStyle w:val="Strong"/>
          <w:rFonts w:ascii="Segoe UI" w:hAnsi="Segoe UI" w:cs="Segoe UI"/>
          <w:b w:val="0"/>
          <w:i/>
        </w:rPr>
        <w:t>)</w:t>
      </w:r>
    </w:p>
    <w:sectPr w:rsidR="005B37D0" w:rsidRPr="00D97889" w:rsidSect="00560D6E">
      <w:pgSz w:w="11905" w:h="16837"/>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7624B01" w16cid:durableId="20509877"/>
  <w16cid:commentId w16cid:paraId="45D360AA" w16cid:durableId="20509A32"/>
  <w16cid:commentId w16cid:paraId="7A18A3D6" w16cid:durableId="20509A6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D8CC4D" w14:textId="77777777" w:rsidR="00210272" w:rsidRDefault="00210272" w:rsidP="009D614B">
      <w:pPr>
        <w:spacing w:after="0" w:line="240" w:lineRule="auto"/>
      </w:pPr>
      <w:r>
        <w:separator/>
      </w:r>
    </w:p>
  </w:endnote>
  <w:endnote w:type="continuationSeparator" w:id="0">
    <w:p w14:paraId="3A940B7D" w14:textId="77777777" w:rsidR="00210272" w:rsidRDefault="00210272" w:rsidP="009D61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A3877E" w14:textId="77777777" w:rsidR="00210272" w:rsidRDefault="00210272" w:rsidP="009D614B">
      <w:pPr>
        <w:spacing w:after="0" w:line="240" w:lineRule="auto"/>
      </w:pPr>
      <w:r>
        <w:separator/>
      </w:r>
    </w:p>
  </w:footnote>
  <w:footnote w:type="continuationSeparator" w:id="0">
    <w:p w14:paraId="12FE09EE" w14:textId="77777777" w:rsidR="00210272" w:rsidRDefault="00210272" w:rsidP="009D61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tDAzMzE3tDQ3NTMwNLJU0lEKTi0uzszPAykwqgUA19CuyywAAAA="/>
  </w:docVars>
  <w:rsids>
    <w:rsidRoot w:val="009D614B"/>
    <w:rsid w:val="00032D49"/>
    <w:rsid w:val="00087854"/>
    <w:rsid w:val="000A79CA"/>
    <w:rsid w:val="000E6107"/>
    <w:rsid w:val="000F636B"/>
    <w:rsid w:val="0010128A"/>
    <w:rsid w:val="001422BB"/>
    <w:rsid w:val="00142F86"/>
    <w:rsid w:val="0016475B"/>
    <w:rsid w:val="00164ACA"/>
    <w:rsid w:val="001709F4"/>
    <w:rsid w:val="00180B8C"/>
    <w:rsid w:val="00185F61"/>
    <w:rsid w:val="00186014"/>
    <w:rsid w:val="001B2305"/>
    <w:rsid w:val="00210272"/>
    <w:rsid w:val="00232FE9"/>
    <w:rsid w:val="00254100"/>
    <w:rsid w:val="00291229"/>
    <w:rsid w:val="00291C06"/>
    <w:rsid w:val="002E4007"/>
    <w:rsid w:val="00310097"/>
    <w:rsid w:val="00310674"/>
    <w:rsid w:val="00317A61"/>
    <w:rsid w:val="00336A1D"/>
    <w:rsid w:val="00350914"/>
    <w:rsid w:val="0035173A"/>
    <w:rsid w:val="003522C5"/>
    <w:rsid w:val="00371301"/>
    <w:rsid w:val="003B00EC"/>
    <w:rsid w:val="00410A15"/>
    <w:rsid w:val="00431F77"/>
    <w:rsid w:val="00437CDE"/>
    <w:rsid w:val="00454FA6"/>
    <w:rsid w:val="00461BC3"/>
    <w:rsid w:val="005000BE"/>
    <w:rsid w:val="00500681"/>
    <w:rsid w:val="00513DC5"/>
    <w:rsid w:val="00535E46"/>
    <w:rsid w:val="0058652C"/>
    <w:rsid w:val="00593CCC"/>
    <w:rsid w:val="005B34C1"/>
    <w:rsid w:val="005B37D0"/>
    <w:rsid w:val="005D36FC"/>
    <w:rsid w:val="005E556C"/>
    <w:rsid w:val="005E72E9"/>
    <w:rsid w:val="005F1B3C"/>
    <w:rsid w:val="006108B1"/>
    <w:rsid w:val="00646432"/>
    <w:rsid w:val="006A50E1"/>
    <w:rsid w:val="006B46FF"/>
    <w:rsid w:val="006B6099"/>
    <w:rsid w:val="006E37EA"/>
    <w:rsid w:val="00726905"/>
    <w:rsid w:val="00740E4C"/>
    <w:rsid w:val="00741D4D"/>
    <w:rsid w:val="00756E0E"/>
    <w:rsid w:val="00801CB9"/>
    <w:rsid w:val="00812E97"/>
    <w:rsid w:val="00845949"/>
    <w:rsid w:val="008639B3"/>
    <w:rsid w:val="00872692"/>
    <w:rsid w:val="00872E3F"/>
    <w:rsid w:val="00884889"/>
    <w:rsid w:val="008A5484"/>
    <w:rsid w:val="008F5444"/>
    <w:rsid w:val="009238F6"/>
    <w:rsid w:val="00971442"/>
    <w:rsid w:val="00980C9F"/>
    <w:rsid w:val="009967B4"/>
    <w:rsid w:val="009D614B"/>
    <w:rsid w:val="00A17AA6"/>
    <w:rsid w:val="00A33730"/>
    <w:rsid w:val="00A33772"/>
    <w:rsid w:val="00A42D65"/>
    <w:rsid w:val="00A45080"/>
    <w:rsid w:val="00A66FED"/>
    <w:rsid w:val="00A87FEE"/>
    <w:rsid w:val="00A92C92"/>
    <w:rsid w:val="00AB0084"/>
    <w:rsid w:val="00AB688B"/>
    <w:rsid w:val="00AC32C2"/>
    <w:rsid w:val="00AC3D37"/>
    <w:rsid w:val="00AD6054"/>
    <w:rsid w:val="00AF53BC"/>
    <w:rsid w:val="00B01128"/>
    <w:rsid w:val="00B35B7F"/>
    <w:rsid w:val="00B369E0"/>
    <w:rsid w:val="00B61DAC"/>
    <w:rsid w:val="00B965C4"/>
    <w:rsid w:val="00BA132B"/>
    <w:rsid w:val="00BB3FD3"/>
    <w:rsid w:val="00BF2B7D"/>
    <w:rsid w:val="00C12008"/>
    <w:rsid w:val="00C14983"/>
    <w:rsid w:val="00C25768"/>
    <w:rsid w:val="00C42D94"/>
    <w:rsid w:val="00C4443A"/>
    <w:rsid w:val="00C6402F"/>
    <w:rsid w:val="00C64478"/>
    <w:rsid w:val="00CB1FA4"/>
    <w:rsid w:val="00CD576E"/>
    <w:rsid w:val="00CD5DC3"/>
    <w:rsid w:val="00CF0618"/>
    <w:rsid w:val="00D32F49"/>
    <w:rsid w:val="00D61801"/>
    <w:rsid w:val="00D73006"/>
    <w:rsid w:val="00D85FC0"/>
    <w:rsid w:val="00D92CAE"/>
    <w:rsid w:val="00D97889"/>
    <w:rsid w:val="00DA1E84"/>
    <w:rsid w:val="00DB6D62"/>
    <w:rsid w:val="00DD717E"/>
    <w:rsid w:val="00DE3327"/>
    <w:rsid w:val="00DF2251"/>
    <w:rsid w:val="00DF2D84"/>
    <w:rsid w:val="00DF7C79"/>
    <w:rsid w:val="00E24ED2"/>
    <w:rsid w:val="00E5461F"/>
    <w:rsid w:val="00E760CB"/>
    <w:rsid w:val="00EC5B7C"/>
    <w:rsid w:val="00EE3E6A"/>
    <w:rsid w:val="00EE6853"/>
    <w:rsid w:val="00F2258F"/>
    <w:rsid w:val="00F30E2D"/>
    <w:rsid w:val="00F5656F"/>
    <w:rsid w:val="00F620B2"/>
    <w:rsid w:val="00F641EA"/>
    <w:rsid w:val="00F81766"/>
    <w:rsid w:val="00F912CD"/>
    <w:rsid w:val="00F941AB"/>
    <w:rsid w:val="00FB56C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BE717"/>
  <w15:chartTrackingRefBased/>
  <w15:docId w15:val="{8DD97A04-D239-476B-A8F9-7F5B0B460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14B"/>
    <w:pPr>
      <w:spacing w:after="200" w:line="276" w:lineRule="auto"/>
    </w:pPr>
    <w:rPr>
      <w:rFonts w:asciiTheme="minorHAnsi" w:hAnsiTheme="minorHAnsi"/>
      <w:lang w:val="en-US"/>
    </w:rPr>
  </w:style>
  <w:style w:type="paragraph" w:styleId="Heading4">
    <w:name w:val="heading 4"/>
    <w:basedOn w:val="Normal"/>
    <w:link w:val="Heading4Char"/>
    <w:uiPriority w:val="9"/>
    <w:qFormat/>
    <w:rsid w:val="005E556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614B"/>
    <w:rPr>
      <w:color w:val="0563C1" w:themeColor="hyperlink"/>
      <w:u w:val="single"/>
    </w:rPr>
  </w:style>
  <w:style w:type="paragraph" w:styleId="FootnoteText">
    <w:name w:val="footnote text"/>
    <w:basedOn w:val="Normal"/>
    <w:link w:val="FootnoteTextChar"/>
    <w:uiPriority w:val="99"/>
    <w:semiHidden/>
    <w:unhideWhenUsed/>
    <w:rsid w:val="009D614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D614B"/>
    <w:rPr>
      <w:rFonts w:asciiTheme="minorHAnsi" w:hAnsiTheme="minorHAnsi"/>
      <w:sz w:val="20"/>
      <w:szCs w:val="20"/>
      <w:lang w:val="en-US"/>
    </w:rPr>
  </w:style>
  <w:style w:type="character" w:styleId="FootnoteReference">
    <w:name w:val="footnote reference"/>
    <w:basedOn w:val="DefaultParagraphFont"/>
    <w:uiPriority w:val="99"/>
    <w:semiHidden/>
    <w:unhideWhenUsed/>
    <w:rsid w:val="009D614B"/>
    <w:rPr>
      <w:vertAlign w:val="superscript"/>
    </w:rPr>
  </w:style>
  <w:style w:type="character" w:customStyle="1" w:styleId="Heading4Char">
    <w:name w:val="Heading 4 Char"/>
    <w:basedOn w:val="DefaultParagraphFont"/>
    <w:link w:val="Heading4"/>
    <w:uiPriority w:val="9"/>
    <w:rsid w:val="005E556C"/>
    <w:rPr>
      <w:rFonts w:eastAsia="Times New Roman" w:cs="Times New Roman"/>
      <w:b/>
      <w:bCs/>
      <w:sz w:val="24"/>
      <w:szCs w:val="24"/>
      <w:lang w:val="en-US"/>
    </w:rPr>
  </w:style>
  <w:style w:type="paragraph" w:styleId="BalloonText">
    <w:name w:val="Balloon Text"/>
    <w:basedOn w:val="Normal"/>
    <w:link w:val="BalloonTextChar"/>
    <w:uiPriority w:val="99"/>
    <w:semiHidden/>
    <w:unhideWhenUsed/>
    <w:rsid w:val="003517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73A"/>
    <w:rPr>
      <w:rFonts w:ascii="Segoe UI" w:hAnsi="Segoe UI" w:cs="Segoe UI"/>
      <w:sz w:val="18"/>
      <w:szCs w:val="18"/>
      <w:lang w:val="en-US"/>
    </w:rPr>
  </w:style>
  <w:style w:type="paragraph" w:styleId="NormalWeb">
    <w:name w:val="Normal (Web)"/>
    <w:basedOn w:val="Normal"/>
    <w:uiPriority w:val="99"/>
    <w:unhideWhenUsed/>
    <w:rsid w:val="00980C9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Emphasis">
    <w:name w:val="Emphasis"/>
    <w:basedOn w:val="DefaultParagraphFont"/>
    <w:uiPriority w:val="20"/>
    <w:qFormat/>
    <w:rsid w:val="00980C9F"/>
    <w:rPr>
      <w:i/>
      <w:iCs/>
    </w:rPr>
  </w:style>
  <w:style w:type="character" w:styleId="Strong">
    <w:name w:val="Strong"/>
    <w:basedOn w:val="DefaultParagraphFont"/>
    <w:uiPriority w:val="22"/>
    <w:qFormat/>
    <w:rsid w:val="00980C9F"/>
    <w:rPr>
      <w:b/>
      <w:bCs/>
    </w:rPr>
  </w:style>
  <w:style w:type="paragraph" w:styleId="ListParagraph">
    <w:name w:val="List Paragraph"/>
    <w:basedOn w:val="Normal"/>
    <w:uiPriority w:val="34"/>
    <w:qFormat/>
    <w:rsid w:val="00B01128"/>
    <w:pPr>
      <w:ind w:left="720"/>
      <w:contextualSpacing/>
    </w:pPr>
  </w:style>
  <w:style w:type="character" w:styleId="CommentReference">
    <w:name w:val="annotation reference"/>
    <w:basedOn w:val="DefaultParagraphFont"/>
    <w:uiPriority w:val="99"/>
    <w:semiHidden/>
    <w:unhideWhenUsed/>
    <w:rsid w:val="00291229"/>
    <w:rPr>
      <w:sz w:val="16"/>
      <w:szCs w:val="16"/>
    </w:rPr>
  </w:style>
  <w:style w:type="paragraph" w:styleId="CommentText">
    <w:name w:val="annotation text"/>
    <w:basedOn w:val="Normal"/>
    <w:link w:val="CommentTextChar"/>
    <w:uiPriority w:val="99"/>
    <w:semiHidden/>
    <w:unhideWhenUsed/>
    <w:rsid w:val="00291229"/>
    <w:pPr>
      <w:spacing w:line="240" w:lineRule="auto"/>
    </w:pPr>
    <w:rPr>
      <w:sz w:val="20"/>
      <w:szCs w:val="20"/>
    </w:rPr>
  </w:style>
  <w:style w:type="character" w:customStyle="1" w:styleId="CommentTextChar">
    <w:name w:val="Comment Text Char"/>
    <w:basedOn w:val="DefaultParagraphFont"/>
    <w:link w:val="CommentText"/>
    <w:uiPriority w:val="99"/>
    <w:semiHidden/>
    <w:rsid w:val="00291229"/>
    <w:rPr>
      <w:rFonts w:asciiTheme="minorHAnsi" w:hAnsiTheme="minorHAnsi"/>
      <w:sz w:val="20"/>
      <w:szCs w:val="20"/>
      <w:lang w:val="en-US"/>
    </w:rPr>
  </w:style>
  <w:style w:type="paragraph" w:styleId="CommentSubject">
    <w:name w:val="annotation subject"/>
    <w:basedOn w:val="CommentText"/>
    <w:next w:val="CommentText"/>
    <w:link w:val="CommentSubjectChar"/>
    <w:uiPriority w:val="99"/>
    <w:semiHidden/>
    <w:unhideWhenUsed/>
    <w:rsid w:val="00291229"/>
    <w:rPr>
      <w:b/>
      <w:bCs/>
    </w:rPr>
  </w:style>
  <w:style w:type="character" w:customStyle="1" w:styleId="CommentSubjectChar">
    <w:name w:val="Comment Subject Char"/>
    <w:basedOn w:val="CommentTextChar"/>
    <w:link w:val="CommentSubject"/>
    <w:uiPriority w:val="99"/>
    <w:semiHidden/>
    <w:rsid w:val="00291229"/>
    <w:rPr>
      <w:rFonts w:asciiTheme="minorHAnsi" w:hAnsiTheme="minorHAnsi"/>
      <w:b/>
      <w:bCs/>
      <w:sz w:val="20"/>
      <w:szCs w:val="20"/>
      <w:lang w:val="en-US"/>
    </w:rPr>
  </w:style>
  <w:style w:type="paragraph" w:styleId="Revision">
    <w:name w:val="Revision"/>
    <w:hidden/>
    <w:uiPriority w:val="99"/>
    <w:semiHidden/>
    <w:rsid w:val="00E24ED2"/>
    <w:pPr>
      <w:spacing w:after="0" w:line="240" w:lineRule="auto"/>
    </w:pPr>
    <w:rPr>
      <w:rFonts w:asciiTheme="minorHAnsi" w:hAnsiTheme="minorHAnsi"/>
      <w:lang w:val="en-US"/>
    </w:rPr>
  </w:style>
  <w:style w:type="character" w:styleId="FollowedHyperlink">
    <w:name w:val="FollowedHyperlink"/>
    <w:basedOn w:val="DefaultParagraphFont"/>
    <w:uiPriority w:val="99"/>
    <w:semiHidden/>
    <w:unhideWhenUsed/>
    <w:rsid w:val="0087269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5751">
      <w:bodyDiv w:val="1"/>
      <w:marLeft w:val="0"/>
      <w:marRight w:val="0"/>
      <w:marTop w:val="0"/>
      <w:marBottom w:val="0"/>
      <w:divBdr>
        <w:top w:val="none" w:sz="0" w:space="0" w:color="auto"/>
        <w:left w:val="none" w:sz="0" w:space="0" w:color="auto"/>
        <w:bottom w:val="none" w:sz="0" w:space="0" w:color="auto"/>
        <w:right w:val="none" w:sz="0" w:space="0" w:color="auto"/>
      </w:divBdr>
    </w:div>
    <w:div w:id="1691907223">
      <w:bodyDiv w:val="1"/>
      <w:marLeft w:val="0"/>
      <w:marRight w:val="0"/>
      <w:marTop w:val="0"/>
      <w:marBottom w:val="0"/>
      <w:divBdr>
        <w:top w:val="none" w:sz="0" w:space="0" w:color="auto"/>
        <w:left w:val="none" w:sz="0" w:space="0" w:color="auto"/>
        <w:bottom w:val="none" w:sz="0" w:space="0" w:color="auto"/>
        <w:right w:val="none" w:sz="0" w:space="0" w:color="auto"/>
      </w:divBdr>
    </w:div>
    <w:div w:id="1826192978">
      <w:bodyDiv w:val="1"/>
      <w:marLeft w:val="0"/>
      <w:marRight w:val="0"/>
      <w:marTop w:val="0"/>
      <w:marBottom w:val="0"/>
      <w:divBdr>
        <w:top w:val="none" w:sz="0" w:space="0" w:color="auto"/>
        <w:left w:val="none" w:sz="0" w:space="0" w:color="auto"/>
        <w:bottom w:val="none" w:sz="0" w:space="0" w:color="auto"/>
        <w:right w:val="none" w:sz="0" w:space="0" w:color="auto"/>
      </w:divBdr>
    </w:div>
    <w:div w:id="2030137287">
      <w:bodyDiv w:val="1"/>
      <w:marLeft w:val="0"/>
      <w:marRight w:val="0"/>
      <w:marTop w:val="0"/>
      <w:marBottom w:val="0"/>
      <w:divBdr>
        <w:top w:val="none" w:sz="0" w:space="0" w:color="auto"/>
        <w:left w:val="none" w:sz="0" w:space="0" w:color="auto"/>
        <w:bottom w:val="none" w:sz="0" w:space="0" w:color="auto"/>
        <w:right w:val="none" w:sz="0" w:space="0" w:color="auto"/>
      </w:divBdr>
      <w:divsChild>
        <w:div w:id="1535801435">
          <w:marLeft w:val="0"/>
          <w:marRight w:val="0"/>
          <w:marTop w:val="0"/>
          <w:marBottom w:val="0"/>
          <w:divBdr>
            <w:top w:val="none" w:sz="0" w:space="0" w:color="auto"/>
            <w:left w:val="none" w:sz="0" w:space="0" w:color="auto"/>
            <w:bottom w:val="none" w:sz="0" w:space="0" w:color="auto"/>
            <w:right w:val="none" w:sz="0" w:space="0" w:color="auto"/>
          </w:divBdr>
          <w:divsChild>
            <w:div w:id="765422715">
              <w:marLeft w:val="0"/>
              <w:marRight w:val="0"/>
              <w:marTop w:val="0"/>
              <w:marBottom w:val="0"/>
              <w:divBdr>
                <w:top w:val="none" w:sz="0" w:space="0" w:color="auto"/>
                <w:left w:val="none" w:sz="0" w:space="0" w:color="auto"/>
                <w:bottom w:val="none" w:sz="0" w:space="0" w:color="auto"/>
                <w:right w:val="none" w:sz="0" w:space="0" w:color="auto"/>
              </w:divBdr>
              <w:divsChild>
                <w:div w:id="254359443">
                  <w:marLeft w:val="0"/>
                  <w:marRight w:val="0"/>
                  <w:marTop w:val="0"/>
                  <w:marBottom w:val="0"/>
                  <w:divBdr>
                    <w:top w:val="none" w:sz="0" w:space="0" w:color="auto"/>
                    <w:left w:val="none" w:sz="0" w:space="0" w:color="auto"/>
                    <w:bottom w:val="none" w:sz="0" w:space="0" w:color="auto"/>
                    <w:right w:val="none" w:sz="0" w:space="0" w:color="auto"/>
                  </w:divBdr>
                  <w:divsChild>
                    <w:div w:id="454252687">
                      <w:marLeft w:val="0"/>
                      <w:marRight w:val="0"/>
                      <w:marTop w:val="0"/>
                      <w:marBottom w:val="0"/>
                      <w:divBdr>
                        <w:top w:val="none" w:sz="0" w:space="0" w:color="auto"/>
                        <w:left w:val="none" w:sz="0" w:space="0" w:color="auto"/>
                        <w:bottom w:val="none" w:sz="0" w:space="0" w:color="auto"/>
                        <w:right w:val="none" w:sz="0" w:space="0" w:color="auto"/>
                      </w:divBdr>
                      <w:divsChild>
                        <w:div w:id="888492535">
                          <w:marLeft w:val="1200"/>
                          <w:marRight w:val="1200"/>
                          <w:marTop w:val="150"/>
                          <w:marBottom w:val="150"/>
                          <w:divBdr>
                            <w:top w:val="none" w:sz="0" w:space="0" w:color="auto"/>
                            <w:left w:val="none" w:sz="0" w:space="0" w:color="auto"/>
                            <w:bottom w:val="none" w:sz="0" w:space="0" w:color="auto"/>
                            <w:right w:val="none" w:sz="0" w:space="0" w:color="auto"/>
                          </w:divBdr>
                          <w:divsChild>
                            <w:div w:id="171527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pcommreports.ohchr.org/TMResultsBase/DownLoadPublicCommunicationFile?gId=24283"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cid:image004.gif@01D38871.7A905E40" TargetMode="External"/><Relationship Id="rId17" Type="http://schemas.openxmlformats.org/officeDocument/2006/relationships/hyperlink" Target="mailto:srindependencejl@ohchr.org" TargetMode="External"/><Relationship Id="rId2" Type="http://schemas.openxmlformats.org/officeDocument/2006/relationships/customXml" Target="../customXml/item2.xml"/><Relationship Id="rId16" Type="http://schemas.openxmlformats.org/officeDocument/2006/relationships/hyperlink" Target="http://www.ohchr.org/EN/HRBodies/SP/Pages/Welcomepage.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gif"/><Relationship Id="rId5" Type="http://schemas.openxmlformats.org/officeDocument/2006/relationships/settings" Target="settings.xml"/><Relationship Id="rId15" Type="http://schemas.openxmlformats.org/officeDocument/2006/relationships/hyperlink" Target="http://www.ohchr.org/EN/Issues/Judiciary/Pages/IDPIndex.aspx" TargetMode="External"/><Relationship Id="rId10" Type="http://schemas.openxmlformats.org/officeDocument/2006/relationships/image" Target="cid:image001.gif@01D38878.F0857ED0"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hyperlink" Target="https://www.venice.coe.int/webforms/documents/?opinion=943&amp;year=all" TargetMode="External"/><Relationship Id="rId22" Type="http://schemas.microsoft.com/office/2016/09/relationships/commentsIds" Target="commentsId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79B52B2-AC62-4369-AAA1-4EFC1870E0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EF2E55-B56A-441C-B754-3FF7BE749379}">
  <ds:schemaRefs>
    <ds:schemaRef ds:uri="http://schemas.microsoft.com/sharepoint/v3/contenttype/forms"/>
  </ds:schemaRefs>
</ds:datastoreItem>
</file>

<file path=customXml/itemProps3.xml><?xml version="1.0" encoding="utf-8"?>
<ds:datastoreItem xmlns:ds="http://schemas.openxmlformats.org/officeDocument/2006/customXml" ds:itemID="{E38BF938-629A-436D-B507-0BEBB6288AD7}">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1368</Words>
  <Characters>7799</Characters>
  <Application>Microsoft Office Word</Application>
  <DocSecurity>0</DocSecurity>
  <Lines>64</Lines>
  <Paragraphs>18</Paragraphs>
  <ScaleCrop>false</ScaleCrop>
  <HeadingPairs>
    <vt:vector size="6" baseType="variant">
      <vt:variant>
        <vt:lpstr>Title</vt:lpstr>
      </vt:variant>
      <vt:variant>
        <vt:i4>1</vt:i4>
      </vt:variant>
      <vt:variant>
        <vt:lpstr>Cím</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9149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GS</dc:creator>
  <cp:keywords/>
  <dc:description/>
  <cp:lastModifiedBy>ONANDIA Gotzon</cp:lastModifiedBy>
  <cp:revision>2</cp:revision>
  <cp:lastPrinted>2019-03-20T09:21:00Z</cp:lastPrinted>
  <dcterms:created xsi:type="dcterms:W3CDTF">2019-04-08T12:55:00Z</dcterms:created>
  <dcterms:modified xsi:type="dcterms:W3CDTF">2019-04-08T12:55:00Z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