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0C1B2" w14:textId="77777777" w:rsidR="00557A56" w:rsidRDefault="00557A56" w:rsidP="001F63CF">
      <w:pPr>
        <w:pStyle w:val="Normal1"/>
        <w:jc w:val="center"/>
        <w:rPr>
          <w:b/>
          <w:noProof/>
          <w:sz w:val="28"/>
          <w:szCs w:val="28"/>
          <w:lang w:eastAsia="en-GB"/>
        </w:rPr>
      </w:pPr>
    </w:p>
    <w:p w14:paraId="77B19CE8" w14:textId="77777777" w:rsidR="00557A56" w:rsidRDefault="00557A56" w:rsidP="001F63CF">
      <w:pPr>
        <w:pStyle w:val="Normal1"/>
        <w:jc w:val="center"/>
        <w:rPr>
          <w:b/>
          <w:noProof/>
          <w:sz w:val="28"/>
          <w:szCs w:val="28"/>
          <w:lang w:eastAsia="en-GB"/>
        </w:rPr>
      </w:pPr>
    </w:p>
    <w:p w14:paraId="3DC8B941" w14:textId="31CBEF8C" w:rsidR="001F63CF" w:rsidRDefault="002B250B" w:rsidP="001F63CF">
      <w:pPr>
        <w:pStyle w:val="Normal1"/>
        <w:jc w:val="center"/>
        <w:rPr>
          <w:b/>
          <w:noProof/>
          <w:sz w:val="28"/>
          <w:szCs w:val="28"/>
          <w:lang w:eastAsia="en-GB"/>
        </w:rPr>
      </w:pPr>
      <w:r>
        <w:rPr>
          <w:b/>
          <w:noProof/>
          <w:sz w:val="28"/>
          <w:szCs w:val="28"/>
          <w:lang w:eastAsia="en-GB"/>
        </w:rPr>
        <w:t xml:space="preserve">United Nations </w:t>
      </w:r>
      <w:r w:rsidR="001F63CF">
        <w:rPr>
          <w:b/>
          <w:noProof/>
          <w:sz w:val="28"/>
          <w:szCs w:val="28"/>
          <w:lang w:eastAsia="en-GB"/>
        </w:rPr>
        <w:t>Seminar of the E</w:t>
      </w:r>
      <w:r w:rsidR="001F63CF" w:rsidRPr="00420C48">
        <w:rPr>
          <w:b/>
          <w:noProof/>
          <w:sz w:val="28"/>
          <w:szCs w:val="28"/>
          <w:lang w:eastAsia="en-GB"/>
        </w:rPr>
        <w:t xml:space="preserve">xpert Mechanism on the Rights of </w:t>
      </w:r>
      <w:r w:rsidR="001F63CF">
        <w:rPr>
          <w:b/>
          <w:noProof/>
          <w:sz w:val="28"/>
          <w:szCs w:val="28"/>
          <w:lang w:eastAsia="en-GB"/>
        </w:rPr>
        <w:t>indigenous peoples</w:t>
      </w:r>
    </w:p>
    <w:p w14:paraId="5877BC0B" w14:textId="77777777" w:rsidR="001F63CF" w:rsidRDefault="001F63CF" w:rsidP="001F63CF">
      <w:pPr>
        <w:pStyle w:val="Normal1"/>
        <w:jc w:val="center"/>
        <w:rPr>
          <w:b/>
          <w:noProof/>
          <w:sz w:val="28"/>
          <w:szCs w:val="28"/>
        </w:rPr>
      </w:pPr>
    </w:p>
    <w:p w14:paraId="0475CC24" w14:textId="2C0AECB9" w:rsidR="007C4BAF" w:rsidRDefault="00CA6BDD" w:rsidP="001F63CF">
      <w:pPr>
        <w:pStyle w:val="Normal1"/>
        <w:jc w:val="center"/>
        <w:rPr>
          <w:b/>
          <w:noProof/>
          <w:sz w:val="28"/>
          <w:szCs w:val="28"/>
        </w:rPr>
      </w:pPr>
      <w:r>
        <w:rPr>
          <w:b/>
          <w:noProof/>
          <w:sz w:val="28"/>
          <w:szCs w:val="28"/>
        </w:rPr>
        <w:t>“</w:t>
      </w:r>
      <w:r w:rsidR="00AE18DF">
        <w:rPr>
          <w:b/>
          <w:noProof/>
          <w:sz w:val="28"/>
          <w:szCs w:val="28"/>
        </w:rPr>
        <w:t>Right to Land</w:t>
      </w:r>
      <w:r w:rsidR="00051F05">
        <w:rPr>
          <w:b/>
          <w:noProof/>
          <w:sz w:val="28"/>
          <w:szCs w:val="28"/>
        </w:rPr>
        <w:t xml:space="preserve"> under the UN</w:t>
      </w:r>
      <w:r w:rsidR="00594605">
        <w:rPr>
          <w:b/>
          <w:noProof/>
          <w:sz w:val="28"/>
          <w:szCs w:val="28"/>
        </w:rPr>
        <w:t xml:space="preserve"> Declaration on the Rights of Indigenous Peoples</w:t>
      </w:r>
      <w:r w:rsidR="005D053D">
        <w:rPr>
          <w:b/>
          <w:noProof/>
          <w:sz w:val="28"/>
          <w:szCs w:val="28"/>
        </w:rPr>
        <w:t xml:space="preserve">: A Human Rights </w:t>
      </w:r>
      <w:r w:rsidR="00375576">
        <w:rPr>
          <w:b/>
          <w:noProof/>
          <w:sz w:val="28"/>
          <w:szCs w:val="28"/>
        </w:rPr>
        <w:t>focus</w:t>
      </w:r>
      <w:r>
        <w:rPr>
          <w:b/>
          <w:noProof/>
          <w:sz w:val="28"/>
          <w:szCs w:val="28"/>
        </w:rPr>
        <w:t>”</w:t>
      </w:r>
    </w:p>
    <w:p w14:paraId="362521E6" w14:textId="59D4027C" w:rsidR="007C4BAF" w:rsidRPr="007C4BAF" w:rsidRDefault="00B325EF" w:rsidP="000A51CB">
      <w:pPr>
        <w:jc w:val="center"/>
        <w:rPr>
          <w:rFonts w:eastAsiaTheme="minorHAnsi" w:cstheme="minorBidi"/>
          <w:sz w:val="22"/>
          <w:szCs w:val="21"/>
          <w:lang w:val="en-US" w:eastAsia="en-US" w:bidi="th-TH"/>
        </w:rPr>
      </w:pPr>
      <w:r>
        <w:rPr>
          <w:rFonts w:eastAsiaTheme="minorHAnsi" w:cstheme="minorBidi"/>
          <w:sz w:val="22"/>
          <w:szCs w:val="21"/>
          <w:lang w:eastAsia="en-US"/>
        </w:rPr>
        <w:t xml:space="preserve">Centre for Human Rights, Faculty of Law, </w:t>
      </w:r>
      <w:r w:rsidR="008E135E">
        <w:rPr>
          <w:rFonts w:eastAsiaTheme="minorHAnsi" w:cstheme="minorBidi"/>
          <w:sz w:val="22"/>
          <w:szCs w:val="21"/>
          <w:lang w:eastAsia="en-US"/>
        </w:rPr>
        <w:t>University of Pretoria, Pretoria, South Africa</w:t>
      </w:r>
    </w:p>
    <w:p w14:paraId="49923D76" w14:textId="77777777" w:rsidR="007C4BAF" w:rsidRPr="007C4BAF" w:rsidRDefault="007C4BAF" w:rsidP="007C4BAF">
      <w:pPr>
        <w:jc w:val="center"/>
        <w:rPr>
          <w:rFonts w:asciiTheme="minorHAnsi" w:hAnsiTheme="minorHAnsi"/>
          <w:b/>
          <w:sz w:val="22"/>
          <w:szCs w:val="22"/>
          <w:lang w:eastAsia="en-US"/>
        </w:rPr>
      </w:pPr>
    </w:p>
    <w:p w14:paraId="0A4CA798" w14:textId="77777777" w:rsidR="001F63CF" w:rsidRPr="00C03935" w:rsidRDefault="001F63CF" w:rsidP="007C4BAF">
      <w:pPr>
        <w:pStyle w:val="Normal1"/>
        <w:rPr>
          <w:b/>
          <w:noProof/>
          <w:sz w:val="28"/>
          <w:szCs w:val="28"/>
        </w:rPr>
      </w:pPr>
    </w:p>
    <w:p w14:paraId="39C62FE3" w14:textId="77777777" w:rsidR="001F63CF" w:rsidRPr="00420C48" w:rsidRDefault="008E135E" w:rsidP="001F63CF">
      <w:pPr>
        <w:pStyle w:val="Normal1"/>
        <w:jc w:val="center"/>
        <w:rPr>
          <w:i/>
          <w:sz w:val="28"/>
          <w:szCs w:val="28"/>
        </w:rPr>
      </w:pPr>
      <w:r>
        <w:rPr>
          <w:i/>
          <w:sz w:val="28"/>
          <w:szCs w:val="28"/>
        </w:rPr>
        <w:t>Pretoria, South Africa</w:t>
      </w:r>
    </w:p>
    <w:p w14:paraId="0327DDC0" w14:textId="2DFE3962" w:rsidR="001F63CF" w:rsidRPr="00420C48" w:rsidRDefault="00375576" w:rsidP="001F63CF">
      <w:pPr>
        <w:pStyle w:val="Normal1"/>
        <w:jc w:val="center"/>
        <w:rPr>
          <w:i/>
          <w:sz w:val="28"/>
          <w:szCs w:val="28"/>
        </w:rPr>
      </w:pPr>
      <w:r>
        <w:rPr>
          <w:i/>
          <w:sz w:val="28"/>
          <w:szCs w:val="28"/>
        </w:rPr>
        <w:t xml:space="preserve">30 September and 1 </w:t>
      </w:r>
      <w:r w:rsidR="008E135E">
        <w:rPr>
          <w:i/>
          <w:sz w:val="28"/>
          <w:szCs w:val="28"/>
        </w:rPr>
        <w:t>October 2019</w:t>
      </w:r>
    </w:p>
    <w:p w14:paraId="2B72D0C3" w14:textId="77777777" w:rsidR="001F63CF" w:rsidRPr="00420C48" w:rsidRDefault="001F63CF" w:rsidP="001F63CF">
      <w:pPr>
        <w:pStyle w:val="Normal1"/>
        <w:jc w:val="center"/>
        <w:rPr>
          <w:i/>
          <w:sz w:val="28"/>
          <w:szCs w:val="28"/>
        </w:rPr>
      </w:pPr>
    </w:p>
    <w:p w14:paraId="6EBFA3A7" w14:textId="77777777" w:rsidR="001F63CF" w:rsidRPr="00420C48" w:rsidRDefault="001F63CF" w:rsidP="001F63CF">
      <w:pPr>
        <w:pStyle w:val="Normal1"/>
        <w:jc w:val="center"/>
        <w:rPr>
          <w:b/>
          <w:i/>
          <w:sz w:val="28"/>
          <w:szCs w:val="28"/>
        </w:rPr>
      </w:pPr>
      <w:r w:rsidRPr="00420C48">
        <w:rPr>
          <w:b/>
          <w:i/>
          <w:sz w:val="28"/>
          <w:szCs w:val="28"/>
        </w:rPr>
        <w:t>Concept Note</w:t>
      </w:r>
    </w:p>
    <w:p w14:paraId="18DCE580" w14:textId="2EE821A4" w:rsidR="00151171" w:rsidRDefault="00151171" w:rsidP="001F63CF">
      <w:pPr>
        <w:pStyle w:val="Normal1"/>
        <w:rPr>
          <w:b/>
          <w:sz w:val="24"/>
          <w:szCs w:val="24"/>
        </w:rPr>
      </w:pPr>
    </w:p>
    <w:p w14:paraId="283D9685" w14:textId="7678F1B0" w:rsidR="001F63CF" w:rsidRPr="00420C48" w:rsidRDefault="001F63CF" w:rsidP="001F63CF">
      <w:pPr>
        <w:pStyle w:val="Normal1"/>
        <w:rPr>
          <w:b/>
          <w:sz w:val="24"/>
          <w:szCs w:val="24"/>
        </w:rPr>
      </w:pPr>
      <w:r w:rsidRPr="00420C48">
        <w:rPr>
          <w:b/>
          <w:sz w:val="24"/>
          <w:szCs w:val="24"/>
        </w:rPr>
        <w:t>Background</w:t>
      </w:r>
    </w:p>
    <w:p w14:paraId="5DC427CF" w14:textId="77777777" w:rsidR="001F63CF" w:rsidRPr="006D3D9C" w:rsidRDefault="001F63CF" w:rsidP="001F63CF">
      <w:pPr>
        <w:pStyle w:val="Normal1"/>
        <w:rPr>
          <w:b/>
        </w:rPr>
      </w:pPr>
    </w:p>
    <w:p w14:paraId="49381294" w14:textId="73966B3D" w:rsidR="001F63CF" w:rsidRDefault="001F63CF" w:rsidP="001F63CF">
      <w:pPr>
        <w:pStyle w:val="Normal1"/>
        <w:tabs>
          <w:tab w:val="left" w:pos="993"/>
        </w:tabs>
      </w:pPr>
      <w:r>
        <w:t xml:space="preserve">1. </w:t>
      </w:r>
      <w:r w:rsidRPr="006D3D9C">
        <w:t xml:space="preserve">Established by the United Nations Human Rights Council in 2007, the Expert Mechanism </w:t>
      </w:r>
      <w:r>
        <w:t xml:space="preserve">on the Rights of Indigenous Peoples is a subsidiary body </w:t>
      </w:r>
      <w:r w:rsidR="002B250B">
        <w:t xml:space="preserve">composed of seven independent members </w:t>
      </w:r>
      <w:r>
        <w:t xml:space="preserve">that </w:t>
      </w:r>
      <w:r w:rsidRPr="006D3D9C">
        <w:t>provides the Council with</w:t>
      </w:r>
      <w:r>
        <w:t xml:space="preserve"> expertise and</w:t>
      </w:r>
      <w:r w:rsidRPr="006D3D9C">
        <w:t xml:space="preserve"> advice on the rights of indigenous peoples </w:t>
      </w:r>
      <w:r>
        <w:t>as set out in the United Nations Declaration on the Rights of Indigenous Peoples (the Declaration)</w:t>
      </w:r>
      <w:r w:rsidRPr="006D3D9C">
        <w:t xml:space="preserve">. </w:t>
      </w:r>
      <w:r w:rsidR="005D053D">
        <w:t>The seven members serve</w:t>
      </w:r>
      <w:r>
        <w:t xml:space="preserve"> in their individual capacities.</w:t>
      </w:r>
    </w:p>
    <w:p w14:paraId="072DA491" w14:textId="77777777" w:rsidR="001F63CF" w:rsidRDefault="001F63CF" w:rsidP="001F63CF">
      <w:pPr>
        <w:pStyle w:val="Normal1"/>
        <w:tabs>
          <w:tab w:val="left" w:pos="993"/>
        </w:tabs>
      </w:pPr>
    </w:p>
    <w:p w14:paraId="7D0EF842" w14:textId="77777777" w:rsidR="001F63CF" w:rsidRDefault="001F63CF" w:rsidP="001F63CF">
      <w:pPr>
        <w:pStyle w:val="Normal1"/>
        <w:tabs>
          <w:tab w:val="left" w:pos="993"/>
        </w:tabs>
      </w:pPr>
      <w:r>
        <w:t>2. In September 2016, the Human Rights Council amended the mandate of the Expert Mechanism, to include inter alia the preparation of an annual study on the status of the rights of indigenous peoples worldwide in the achievement of the ends of the Declaration, focusing on one or more interrelated articles of the Declaration.</w:t>
      </w:r>
    </w:p>
    <w:p w14:paraId="4256F4E9" w14:textId="77777777" w:rsidR="001F63CF" w:rsidRDefault="001F63CF" w:rsidP="001F63CF">
      <w:pPr>
        <w:pStyle w:val="Normal1"/>
        <w:tabs>
          <w:tab w:val="left" w:pos="993"/>
        </w:tabs>
      </w:pPr>
    </w:p>
    <w:p w14:paraId="1CFE6F14" w14:textId="4B7D65F9" w:rsidR="001F63CF" w:rsidRPr="00AE18DF" w:rsidRDefault="001F63CF" w:rsidP="001F63CF">
      <w:pPr>
        <w:pStyle w:val="Normal1"/>
        <w:tabs>
          <w:tab w:val="left" w:pos="993"/>
        </w:tabs>
        <w:rPr>
          <w:rFonts w:asciiTheme="minorHAnsi" w:hAnsiTheme="minorHAnsi" w:cstheme="minorHAnsi"/>
        </w:rPr>
      </w:pPr>
      <w:r>
        <w:t>3. In this f</w:t>
      </w:r>
      <w:r w:rsidR="00A23EE2">
        <w:t>ramework, the Expert Mechanism held</w:t>
      </w:r>
      <w:r w:rsidR="008E135E" w:rsidRPr="00AE18DF">
        <w:rPr>
          <w:rFonts w:asciiTheme="minorHAnsi" w:hAnsiTheme="minorHAnsi" w:cstheme="minorHAnsi"/>
        </w:rPr>
        <w:t xml:space="preserve"> a seminar</w:t>
      </w:r>
      <w:r w:rsidR="00375576">
        <w:rPr>
          <w:rFonts w:asciiTheme="minorHAnsi" w:hAnsiTheme="minorHAnsi" w:cstheme="minorHAnsi"/>
        </w:rPr>
        <w:t xml:space="preserve"> in Pretoria, South Africa, on 30 September and 1</w:t>
      </w:r>
      <w:r w:rsidR="008E135E" w:rsidRPr="00AE18DF">
        <w:rPr>
          <w:rFonts w:asciiTheme="minorHAnsi" w:hAnsiTheme="minorHAnsi" w:cstheme="minorHAnsi"/>
        </w:rPr>
        <w:t xml:space="preserve"> October 2019</w:t>
      </w:r>
      <w:r w:rsidRPr="00AE18DF">
        <w:rPr>
          <w:rFonts w:asciiTheme="minorHAnsi" w:hAnsiTheme="minorHAnsi" w:cstheme="minorHAnsi"/>
        </w:rPr>
        <w:t xml:space="preserve">, on the </w:t>
      </w:r>
      <w:r w:rsidR="008E135E" w:rsidRPr="00AE18DF">
        <w:rPr>
          <w:rFonts w:asciiTheme="minorHAnsi" w:hAnsiTheme="minorHAnsi" w:cstheme="minorHAnsi"/>
        </w:rPr>
        <w:t>t</w:t>
      </w:r>
      <w:r w:rsidR="00375576">
        <w:rPr>
          <w:rFonts w:asciiTheme="minorHAnsi" w:hAnsiTheme="minorHAnsi" w:cstheme="minorHAnsi"/>
        </w:rPr>
        <w:t xml:space="preserve">heme of its next annual study: </w:t>
      </w:r>
      <w:r w:rsidR="00AE18DF" w:rsidRPr="00AE18DF">
        <w:rPr>
          <w:rFonts w:asciiTheme="minorHAnsi" w:hAnsiTheme="minorHAnsi" w:cstheme="minorHAnsi"/>
          <w:noProof/>
        </w:rPr>
        <w:t>Right to Land under the UNDRIP: A Human Rights focus</w:t>
      </w:r>
      <w:r w:rsidR="00AE18DF">
        <w:rPr>
          <w:rFonts w:asciiTheme="minorHAnsi" w:hAnsiTheme="minorHAnsi" w:cstheme="minorHAnsi"/>
          <w:noProof/>
        </w:rPr>
        <w:t>.</w:t>
      </w:r>
    </w:p>
    <w:p w14:paraId="67F82356" w14:textId="77777777" w:rsidR="001F63CF" w:rsidRPr="00AE18DF" w:rsidRDefault="001F63CF" w:rsidP="001F63CF">
      <w:pPr>
        <w:pStyle w:val="Normal1"/>
        <w:tabs>
          <w:tab w:val="left" w:pos="993"/>
        </w:tabs>
        <w:rPr>
          <w:rFonts w:asciiTheme="minorHAnsi" w:hAnsiTheme="minorHAnsi" w:cstheme="minorHAnsi"/>
        </w:rPr>
      </w:pPr>
    </w:p>
    <w:p w14:paraId="3570889D" w14:textId="1FF85FE1" w:rsidR="001F63CF" w:rsidRDefault="001F63CF" w:rsidP="001F63CF">
      <w:pPr>
        <w:pStyle w:val="Normal1"/>
        <w:tabs>
          <w:tab w:val="left" w:pos="993"/>
        </w:tabs>
      </w:pPr>
      <w:r w:rsidRPr="00AE18DF">
        <w:rPr>
          <w:rFonts w:asciiTheme="minorHAnsi" w:hAnsiTheme="minorHAnsi" w:cstheme="minorHAnsi"/>
        </w:rPr>
        <w:t>4. The studies and</w:t>
      </w:r>
      <w:r w:rsidR="00AE18DF">
        <w:rPr>
          <w:rFonts w:asciiTheme="minorHAnsi" w:hAnsiTheme="minorHAnsi" w:cstheme="minorHAnsi"/>
        </w:rPr>
        <w:t xml:space="preserve"> advice of the Expert Mechanism</w:t>
      </w:r>
      <w:r>
        <w:t xml:space="preserve"> provide a better understanding of the provi</w:t>
      </w:r>
      <w:r w:rsidR="00AE18DF">
        <w:t xml:space="preserve">sions of the Declaration and </w:t>
      </w:r>
      <w:r>
        <w:t>propose concrete actions that States, indigenous peoples, civil society, national human rights institutions</w:t>
      </w:r>
      <w:r w:rsidR="002B250B">
        <w:t>, international organizations</w:t>
      </w:r>
      <w:r w:rsidR="005D053D">
        <w:t>, businesses</w:t>
      </w:r>
      <w:r>
        <w:t xml:space="preserve"> and others can take in order to further its implementation. </w:t>
      </w:r>
      <w:r>
        <w:rPr>
          <w:rStyle w:val="FootnoteReference"/>
        </w:rPr>
        <w:footnoteReference w:id="1"/>
      </w:r>
      <w:r w:rsidRPr="006D3D9C">
        <w:t xml:space="preserve">The Office of the </w:t>
      </w:r>
      <w:r>
        <w:t xml:space="preserve">United Nations </w:t>
      </w:r>
      <w:r w:rsidRPr="006D3D9C">
        <w:t>High Commissioner for Human Rights (OHCHR) provides</w:t>
      </w:r>
      <w:r w:rsidR="00594605">
        <w:t xml:space="preserve"> technical and substantive</w:t>
      </w:r>
      <w:r w:rsidRPr="006D3D9C">
        <w:t xml:space="preserve"> support to the Expert Mechanism.</w:t>
      </w:r>
    </w:p>
    <w:p w14:paraId="3935B7DE" w14:textId="77777777" w:rsidR="001F63CF" w:rsidRPr="006D3D9C" w:rsidRDefault="001F63CF" w:rsidP="001F63CF">
      <w:pPr>
        <w:pStyle w:val="Normal1"/>
        <w:tabs>
          <w:tab w:val="left" w:pos="993"/>
        </w:tabs>
      </w:pPr>
    </w:p>
    <w:p w14:paraId="552FE2C7" w14:textId="77777777" w:rsidR="00375576" w:rsidRDefault="00375576" w:rsidP="001F63CF">
      <w:pPr>
        <w:pStyle w:val="PlainText"/>
      </w:pPr>
    </w:p>
    <w:p w14:paraId="6073C81F" w14:textId="77777777" w:rsidR="00375576" w:rsidRDefault="00375576" w:rsidP="001F63CF">
      <w:pPr>
        <w:pStyle w:val="PlainText"/>
      </w:pPr>
    </w:p>
    <w:p w14:paraId="189916DF" w14:textId="77777777" w:rsidR="00375576" w:rsidRDefault="00375576" w:rsidP="001F63CF">
      <w:pPr>
        <w:pStyle w:val="PlainText"/>
      </w:pPr>
    </w:p>
    <w:p w14:paraId="5CDB8867" w14:textId="7A15F6BA" w:rsidR="001F63CF" w:rsidRDefault="001F63CF" w:rsidP="001F63CF">
      <w:pPr>
        <w:pStyle w:val="PlainText"/>
      </w:pPr>
      <w:r>
        <w:t xml:space="preserve">5. The Expert Mechanism has traditionally </w:t>
      </w:r>
      <w:r w:rsidR="00B325EF">
        <w:t>collaborated</w:t>
      </w:r>
      <w:r>
        <w:t xml:space="preserve"> with academic instituti</w:t>
      </w:r>
      <w:r w:rsidR="00A23EE2">
        <w:t>ons. This seminar was</w:t>
      </w:r>
      <w:r>
        <w:t xml:space="preserve"> co-hosted by the</w:t>
      </w:r>
      <w:r w:rsidR="008E135E">
        <w:t xml:space="preserve"> </w:t>
      </w:r>
      <w:r w:rsidR="00B325EF">
        <w:t>Centre for Human Rights, Faculty of Law,</w:t>
      </w:r>
      <w:r w:rsidR="008E135E">
        <w:t xml:space="preserve"> Pretoria University, South Africa</w:t>
      </w:r>
      <w:r>
        <w:t>.</w:t>
      </w:r>
    </w:p>
    <w:p w14:paraId="0940F87E" w14:textId="73CDCCF7" w:rsidR="001F63CF" w:rsidRDefault="001F63CF" w:rsidP="001F63CF">
      <w:pPr>
        <w:pStyle w:val="Normal1"/>
        <w:rPr>
          <w:rFonts w:cstheme="minorBidi"/>
          <w:b/>
          <w:szCs w:val="28"/>
          <w:lang w:bidi="th-TH"/>
        </w:rPr>
      </w:pPr>
    </w:p>
    <w:p w14:paraId="1C89ACF4" w14:textId="77777777" w:rsidR="001F63CF" w:rsidRPr="001F63CF" w:rsidRDefault="001F63CF" w:rsidP="001F63CF">
      <w:pPr>
        <w:pStyle w:val="Normal1"/>
        <w:rPr>
          <w:rFonts w:cstheme="minorBidi"/>
          <w:b/>
          <w:szCs w:val="28"/>
          <w:lang w:bidi="th-TH"/>
        </w:rPr>
      </w:pPr>
    </w:p>
    <w:p w14:paraId="68BCC270" w14:textId="77777777" w:rsidR="001F63CF" w:rsidRPr="00420C48" w:rsidRDefault="001F63CF" w:rsidP="001F63CF">
      <w:pPr>
        <w:pStyle w:val="Normal1"/>
        <w:rPr>
          <w:b/>
        </w:rPr>
      </w:pPr>
      <w:r w:rsidRPr="00420C48">
        <w:rPr>
          <w:b/>
        </w:rPr>
        <w:t>Objectives</w:t>
      </w:r>
    </w:p>
    <w:p w14:paraId="2C7C2C90" w14:textId="77777777" w:rsidR="001F63CF" w:rsidRDefault="001F63CF" w:rsidP="001F63CF">
      <w:pPr>
        <w:pStyle w:val="Normal1"/>
      </w:pPr>
    </w:p>
    <w:p w14:paraId="32C65D0A" w14:textId="1A3DED7D" w:rsidR="001F63CF" w:rsidRDefault="001F63CF" w:rsidP="001F63CF">
      <w:pPr>
        <w:pStyle w:val="ListParagraph"/>
        <w:numPr>
          <w:ilvl w:val="0"/>
          <w:numId w:val="2"/>
        </w:numPr>
      </w:pPr>
      <w:r>
        <w:t xml:space="preserve">Hold an in-depth discussion on </w:t>
      </w:r>
      <w:r w:rsidR="005D053D">
        <w:t>the topic to give input to</w:t>
      </w:r>
      <w:r w:rsidR="008E135E">
        <w:t xml:space="preserve"> EMRIP’s 2020</w:t>
      </w:r>
      <w:r>
        <w:t xml:space="preserve"> study </w:t>
      </w:r>
    </w:p>
    <w:p w14:paraId="50068AD8" w14:textId="7AD3C193" w:rsidR="00594605" w:rsidRDefault="00594605" w:rsidP="00594605">
      <w:pPr>
        <w:pStyle w:val="ListParagraph"/>
        <w:numPr>
          <w:ilvl w:val="0"/>
          <w:numId w:val="2"/>
        </w:numPr>
      </w:pPr>
      <w:r>
        <w:t xml:space="preserve">Discuss the latest related developments in the policy, legal and institutional fields, at national, regional and international levels </w:t>
      </w:r>
    </w:p>
    <w:p w14:paraId="715C9562" w14:textId="77777777" w:rsidR="00AE18DF" w:rsidRDefault="001F63CF" w:rsidP="00AE18DF">
      <w:pPr>
        <w:pStyle w:val="ListParagraph"/>
        <w:numPr>
          <w:ilvl w:val="0"/>
          <w:numId w:val="2"/>
        </w:numPr>
      </w:pPr>
      <w:r>
        <w:t xml:space="preserve">Identify good practices and challenges from different regions relating to the theme </w:t>
      </w:r>
    </w:p>
    <w:p w14:paraId="43F34DA1" w14:textId="35705ADB" w:rsidR="001F63CF" w:rsidRPr="00594605" w:rsidRDefault="001F63CF" w:rsidP="00AE18DF">
      <w:pPr>
        <w:pStyle w:val="ListParagraph"/>
        <w:numPr>
          <w:ilvl w:val="0"/>
          <w:numId w:val="2"/>
        </w:numPr>
      </w:pPr>
      <w:r w:rsidRPr="00AE18DF">
        <w:rPr>
          <w:rFonts w:eastAsia="Arial Unicode MS" w:cs="Arial Unicode MS"/>
        </w:rPr>
        <w:t xml:space="preserve">Contribute to </w:t>
      </w:r>
      <w:r w:rsidR="00AE18DF" w:rsidRPr="00AE18DF">
        <w:rPr>
          <w:rFonts w:eastAsia="Arial Unicode MS" w:cs="Arial Unicode MS"/>
        </w:rPr>
        <w:t xml:space="preserve">a human </w:t>
      </w:r>
      <w:r w:rsidR="005D053D">
        <w:rPr>
          <w:rFonts w:eastAsia="Arial Unicode MS" w:cs="Arial Unicode MS"/>
        </w:rPr>
        <w:t>rights based approach to</w:t>
      </w:r>
      <w:r w:rsidR="00AE18DF" w:rsidRPr="00AE18DF">
        <w:rPr>
          <w:rFonts w:eastAsia="Arial Unicode MS" w:cs="Arial Unicode MS"/>
        </w:rPr>
        <w:t xml:space="preserve"> the land rights of indigenous peoples under the UNDRIP</w:t>
      </w:r>
    </w:p>
    <w:p w14:paraId="2B69D5CA" w14:textId="77777777" w:rsidR="00594605" w:rsidRDefault="00594605" w:rsidP="001F63CF">
      <w:pPr>
        <w:pStyle w:val="Normal1"/>
      </w:pPr>
    </w:p>
    <w:p w14:paraId="61792FB4" w14:textId="77777777" w:rsidR="001F63CF" w:rsidRPr="00420C48" w:rsidRDefault="001F63CF" w:rsidP="001F63CF">
      <w:pPr>
        <w:pStyle w:val="Normal1"/>
        <w:rPr>
          <w:b/>
        </w:rPr>
      </w:pPr>
      <w:r w:rsidRPr="00420C48">
        <w:rPr>
          <w:b/>
        </w:rPr>
        <w:t>Participants</w:t>
      </w:r>
    </w:p>
    <w:p w14:paraId="0127F645" w14:textId="77777777" w:rsidR="001F63CF" w:rsidRDefault="001F63CF" w:rsidP="001F63CF">
      <w:pPr>
        <w:pStyle w:val="Normal1"/>
        <w:rPr>
          <w:b/>
        </w:rPr>
      </w:pPr>
    </w:p>
    <w:p w14:paraId="751F5B6D" w14:textId="1E3F4753" w:rsidR="001F63CF" w:rsidRDefault="001F63CF" w:rsidP="001F63CF">
      <w:pPr>
        <w:pStyle w:val="Normal1"/>
      </w:pPr>
      <w:r>
        <w:t>6. The 2-</w:t>
      </w:r>
      <w:r w:rsidR="00B57B4B">
        <w:t>day expert seminar (</w:t>
      </w:r>
      <w:r w:rsidR="00B57B4B">
        <w:rPr>
          <w:rFonts w:cs="Calibri"/>
          <w:b/>
          <w:bCs/>
        </w:rPr>
        <w:t>30 Sept</w:t>
      </w:r>
      <w:r w:rsidR="00B325EF">
        <w:rPr>
          <w:rFonts w:cs="Calibri"/>
          <w:b/>
          <w:bCs/>
        </w:rPr>
        <w:t>ember</w:t>
      </w:r>
      <w:r w:rsidR="00375576">
        <w:rPr>
          <w:rFonts w:cs="Calibri"/>
          <w:b/>
          <w:bCs/>
        </w:rPr>
        <w:t xml:space="preserve"> and 1 </w:t>
      </w:r>
      <w:r w:rsidR="00B325EF">
        <w:rPr>
          <w:rFonts w:cs="Calibri"/>
          <w:b/>
          <w:bCs/>
          <w:vertAlign w:val="superscript"/>
        </w:rPr>
        <w:t xml:space="preserve"> </w:t>
      </w:r>
      <w:r w:rsidR="00B57B4B">
        <w:rPr>
          <w:rFonts w:cs="Calibri"/>
          <w:b/>
          <w:bCs/>
        </w:rPr>
        <w:t>October</w:t>
      </w:r>
      <w:r w:rsidR="00A23EE2">
        <w:t>) was</w:t>
      </w:r>
      <w:bookmarkStart w:id="0" w:name="_GoBack"/>
      <w:bookmarkEnd w:id="0"/>
      <w:r>
        <w:t xml:space="preserve"> attended by approximately 30-45 participants including:</w:t>
      </w:r>
    </w:p>
    <w:p w14:paraId="4F0364CD" w14:textId="77777777" w:rsidR="001F63CF" w:rsidRDefault="001F63CF" w:rsidP="001F63CF">
      <w:pPr>
        <w:pStyle w:val="Normal1"/>
      </w:pPr>
    </w:p>
    <w:p w14:paraId="503EE9C2" w14:textId="77777777" w:rsidR="001F63CF" w:rsidRDefault="001F63CF" w:rsidP="001F63CF">
      <w:pPr>
        <w:pStyle w:val="Normal1"/>
        <w:numPr>
          <w:ilvl w:val="0"/>
          <w:numId w:val="1"/>
        </w:numPr>
      </w:pPr>
      <w:r>
        <w:t xml:space="preserve">Members of the UN Expert Mechanism on the Rights of indigenous peoples </w:t>
      </w:r>
    </w:p>
    <w:p w14:paraId="189A96CA" w14:textId="4B7FB582" w:rsidR="001F63CF" w:rsidRDefault="008E135E" w:rsidP="001F63CF">
      <w:pPr>
        <w:pStyle w:val="Normal1"/>
        <w:numPr>
          <w:ilvl w:val="0"/>
          <w:numId w:val="1"/>
        </w:numPr>
      </w:pPr>
      <w:r>
        <w:t>Experts on land rights</w:t>
      </w:r>
      <w:r w:rsidR="001F63CF">
        <w:t xml:space="preserve"> and indigenous peoples from different regions</w:t>
      </w:r>
    </w:p>
    <w:p w14:paraId="7D631C35" w14:textId="628F9000" w:rsidR="002B250B" w:rsidRDefault="002B250B" w:rsidP="00594605">
      <w:pPr>
        <w:pStyle w:val="Normal1"/>
        <w:numPr>
          <w:ilvl w:val="0"/>
          <w:numId w:val="1"/>
        </w:numPr>
      </w:pPr>
      <w:r>
        <w:t>Indigenous peoples from the region</w:t>
      </w:r>
    </w:p>
    <w:p w14:paraId="7D9778A7" w14:textId="77777777" w:rsidR="001F63CF" w:rsidRDefault="001F63CF" w:rsidP="001F63CF">
      <w:pPr>
        <w:pStyle w:val="Normal1"/>
        <w:numPr>
          <w:ilvl w:val="0"/>
          <w:numId w:val="1"/>
        </w:numPr>
      </w:pPr>
      <w:r>
        <w:t>Staff of the Office of the UN High Commissioner for Human Rights</w:t>
      </w:r>
    </w:p>
    <w:p w14:paraId="36FCA47E" w14:textId="73AB364F" w:rsidR="001F63CF" w:rsidRDefault="008E135E" w:rsidP="001F63CF">
      <w:pPr>
        <w:pStyle w:val="Normal1"/>
        <w:numPr>
          <w:ilvl w:val="0"/>
          <w:numId w:val="1"/>
        </w:numPr>
      </w:pPr>
      <w:r>
        <w:t>Faculty</w:t>
      </w:r>
      <w:r w:rsidR="00594605">
        <w:t xml:space="preserve"> of law</w:t>
      </w:r>
      <w:r>
        <w:t xml:space="preserve"> from Pretoria</w:t>
      </w:r>
      <w:r w:rsidR="001F63CF">
        <w:t xml:space="preserve"> University</w:t>
      </w:r>
    </w:p>
    <w:p w14:paraId="153F3923" w14:textId="77777777" w:rsidR="001F63CF" w:rsidRDefault="001F63CF" w:rsidP="001F63CF">
      <w:pPr>
        <w:pStyle w:val="Normal1"/>
        <w:numPr>
          <w:ilvl w:val="0"/>
          <w:numId w:val="1"/>
        </w:numPr>
      </w:pPr>
      <w:r>
        <w:t>Staff from relevant UN agencies</w:t>
      </w:r>
    </w:p>
    <w:p w14:paraId="779135B3" w14:textId="79A0C15B" w:rsidR="004524A0" w:rsidRDefault="00B325EF" w:rsidP="001F63CF">
      <w:pPr>
        <w:pStyle w:val="Normal1"/>
        <w:numPr>
          <w:ilvl w:val="0"/>
          <w:numId w:val="1"/>
        </w:numPr>
      </w:pPr>
      <w:r>
        <w:t>National Human Rights Institutions</w:t>
      </w:r>
    </w:p>
    <w:p w14:paraId="7EEFE0F1" w14:textId="77777777" w:rsidR="001F63CF" w:rsidRDefault="001F63CF" w:rsidP="003729B6">
      <w:pPr>
        <w:pStyle w:val="Normal1"/>
        <w:numPr>
          <w:ilvl w:val="0"/>
          <w:numId w:val="1"/>
        </w:numPr>
      </w:pPr>
      <w:r>
        <w:t xml:space="preserve">Students are welcome to observe </w:t>
      </w:r>
      <w:r w:rsidR="008E135E">
        <w:t xml:space="preserve">the proceedings of the seminar </w:t>
      </w:r>
    </w:p>
    <w:p w14:paraId="539574D6" w14:textId="77777777" w:rsidR="008E135E" w:rsidRDefault="008E135E" w:rsidP="00AE18DF">
      <w:pPr>
        <w:pStyle w:val="Normal1"/>
        <w:ind w:left="720"/>
      </w:pPr>
    </w:p>
    <w:p w14:paraId="27B0162D" w14:textId="77777777" w:rsidR="001F63CF" w:rsidRPr="00C03935" w:rsidRDefault="001F63CF" w:rsidP="001F63CF">
      <w:pPr>
        <w:pStyle w:val="Normal1"/>
        <w:rPr>
          <w:b/>
        </w:rPr>
      </w:pPr>
      <w:r w:rsidRPr="00C03935">
        <w:rPr>
          <w:b/>
        </w:rPr>
        <w:t>Focus of study</w:t>
      </w:r>
    </w:p>
    <w:p w14:paraId="294F8D6C" w14:textId="77777777" w:rsidR="001F63CF" w:rsidRDefault="001F63CF" w:rsidP="001F63CF">
      <w:pPr>
        <w:pStyle w:val="Normal1"/>
      </w:pPr>
    </w:p>
    <w:p w14:paraId="6BF1303D" w14:textId="23AFC4CA" w:rsidR="001F63CF" w:rsidRDefault="001F63CF" w:rsidP="001F63CF">
      <w:pPr>
        <w:pStyle w:val="Normal1"/>
      </w:pPr>
      <w:r>
        <w:t>7. T</w:t>
      </w:r>
      <w:r w:rsidRPr="00631356">
        <w:t xml:space="preserve">o assist </w:t>
      </w:r>
      <w:r>
        <w:t>all parties in contributing to this seminar</w:t>
      </w:r>
      <w:r w:rsidRPr="00631356">
        <w:t>, the EMRIP set</w:t>
      </w:r>
      <w:r>
        <w:t>s</w:t>
      </w:r>
      <w:r w:rsidRPr="00631356">
        <w:t xml:space="preserve"> out </w:t>
      </w:r>
      <w:r>
        <w:t>below some of the elements it intends to focus on in its study</w:t>
      </w:r>
      <w:r w:rsidR="00322779">
        <w:rPr>
          <w:rStyle w:val="FootnoteReference"/>
        </w:rPr>
        <w:footnoteReference w:id="2"/>
      </w:r>
      <w:r>
        <w:t>.</w:t>
      </w:r>
    </w:p>
    <w:p w14:paraId="33DA7AAC" w14:textId="77777777" w:rsidR="00267D41" w:rsidRDefault="00267D41" w:rsidP="00267D41">
      <w:pPr>
        <w:pStyle w:val="Corpo"/>
        <w:rPr>
          <w:rFonts w:cs="Times New Roman"/>
          <w:color w:val="auto"/>
          <w:bdr w:val="none" w:sz="0" w:space="0" w:color="auto"/>
          <w:lang w:val="en-GB" w:eastAsia="en-US"/>
        </w:rPr>
      </w:pPr>
    </w:p>
    <w:p w14:paraId="774CA499" w14:textId="3920A158" w:rsidR="0054730D" w:rsidRPr="006F0071" w:rsidRDefault="0054730D" w:rsidP="00267D41">
      <w:pPr>
        <w:pStyle w:val="Corpo"/>
        <w:rPr>
          <w:rFonts w:ascii="Times New Roman" w:hAnsi="Times New Roman" w:cs="Times New Roman"/>
          <w:b/>
          <w:color w:val="auto"/>
          <w:sz w:val="24"/>
          <w:szCs w:val="24"/>
          <w:lang w:val="en-GB"/>
        </w:rPr>
      </w:pPr>
      <w:r w:rsidRPr="006F0071">
        <w:rPr>
          <w:rFonts w:ascii="Times New Roman" w:hAnsi="Times New Roman" w:cs="Times New Roman"/>
          <w:b/>
          <w:color w:val="auto"/>
          <w:sz w:val="24"/>
          <w:szCs w:val="24"/>
          <w:lang w:val="en-GB"/>
        </w:rPr>
        <w:t>Recognition of a right to land</w:t>
      </w:r>
      <w:r>
        <w:rPr>
          <w:rFonts w:ascii="Times New Roman" w:hAnsi="Times New Roman" w:cs="Times New Roman"/>
          <w:b/>
          <w:color w:val="auto"/>
          <w:sz w:val="24"/>
          <w:szCs w:val="24"/>
          <w:lang w:val="en-GB"/>
        </w:rPr>
        <w:t>/</w:t>
      </w:r>
      <w:r w:rsidRPr="006F0071">
        <w:rPr>
          <w:rFonts w:ascii="Times New Roman" w:hAnsi="Times New Roman" w:cs="Times New Roman"/>
          <w:b/>
          <w:color w:val="auto"/>
          <w:sz w:val="24"/>
          <w:szCs w:val="24"/>
          <w:lang w:val="en-GB"/>
        </w:rPr>
        <w:t xml:space="preserve">establishment </w:t>
      </w:r>
      <w:r>
        <w:rPr>
          <w:rFonts w:ascii="Times New Roman" w:hAnsi="Times New Roman" w:cs="Times New Roman"/>
          <w:b/>
          <w:color w:val="auto"/>
          <w:sz w:val="24"/>
          <w:szCs w:val="24"/>
          <w:lang w:val="en-GB"/>
        </w:rPr>
        <w:t>of processes to adjudicate land</w:t>
      </w:r>
      <w:r w:rsidRPr="006F0071">
        <w:rPr>
          <w:rFonts w:ascii="Times New Roman" w:hAnsi="Times New Roman" w:cs="Times New Roman"/>
          <w:b/>
          <w:color w:val="auto"/>
          <w:sz w:val="24"/>
          <w:szCs w:val="24"/>
          <w:lang w:val="en-GB"/>
        </w:rPr>
        <w:t xml:space="preserve"> rights</w:t>
      </w:r>
      <w:r>
        <w:rPr>
          <w:rFonts w:ascii="Times New Roman" w:hAnsi="Times New Roman" w:cs="Times New Roman"/>
          <w:b/>
          <w:color w:val="auto"/>
          <w:sz w:val="24"/>
          <w:szCs w:val="24"/>
          <w:lang w:val="en-GB"/>
        </w:rPr>
        <w:t>/involvement of indigenous peoples</w:t>
      </w:r>
      <w:r w:rsidRPr="006F0071">
        <w:rPr>
          <w:rFonts w:ascii="Times New Roman" w:hAnsi="Times New Roman" w:cs="Times New Roman"/>
          <w:b/>
          <w:color w:val="auto"/>
          <w:sz w:val="24"/>
          <w:szCs w:val="24"/>
          <w:lang w:val="en-GB"/>
        </w:rPr>
        <w:t xml:space="preserve"> (articles </w:t>
      </w:r>
      <w:r w:rsidR="00151171">
        <w:rPr>
          <w:rFonts w:ascii="Times New Roman" w:hAnsi="Times New Roman" w:cs="Times New Roman"/>
          <w:b/>
          <w:color w:val="auto"/>
          <w:sz w:val="24"/>
          <w:szCs w:val="24"/>
          <w:lang w:val="en-GB"/>
        </w:rPr>
        <w:t xml:space="preserve">25, </w:t>
      </w:r>
      <w:r w:rsidRPr="006F0071">
        <w:rPr>
          <w:rFonts w:ascii="Times New Roman" w:hAnsi="Times New Roman" w:cs="Times New Roman"/>
          <w:b/>
          <w:color w:val="auto"/>
          <w:sz w:val="24"/>
          <w:szCs w:val="24"/>
          <w:lang w:val="en-GB"/>
        </w:rPr>
        <w:t>26, 27</w:t>
      </w:r>
      <w:r>
        <w:rPr>
          <w:rFonts w:ascii="Times New Roman" w:hAnsi="Times New Roman" w:cs="Times New Roman"/>
          <w:b/>
          <w:color w:val="auto"/>
          <w:sz w:val="24"/>
          <w:szCs w:val="24"/>
          <w:lang w:val="en-GB"/>
        </w:rPr>
        <w:t xml:space="preserve">, 30, 32 </w:t>
      </w:r>
      <w:r w:rsidRPr="006F0071">
        <w:rPr>
          <w:rFonts w:ascii="Times New Roman" w:hAnsi="Times New Roman" w:cs="Times New Roman"/>
          <w:b/>
          <w:color w:val="auto"/>
          <w:sz w:val="24"/>
          <w:szCs w:val="24"/>
          <w:lang w:val="en-GB"/>
        </w:rPr>
        <w:t>of the UNDRIP)</w:t>
      </w:r>
    </w:p>
    <w:p w14:paraId="6FB78472" w14:textId="0971C678" w:rsidR="00267D41" w:rsidRDefault="00267D41">
      <w:pPr>
        <w:spacing w:after="200" w:line="276" w:lineRule="auto"/>
        <w:rPr>
          <w:rFonts w:ascii="Times New Roman" w:hAnsi="Times New Roman"/>
          <w:sz w:val="24"/>
          <w:szCs w:val="24"/>
          <w:u w:color="000000"/>
          <w:bdr w:val="nil"/>
          <w:lang w:eastAsia="nb-NO"/>
        </w:rPr>
      </w:pPr>
      <w:r>
        <w:rPr>
          <w:rFonts w:ascii="Times New Roman" w:hAnsi="Times New Roman"/>
          <w:sz w:val="24"/>
          <w:szCs w:val="24"/>
        </w:rPr>
        <w:lastRenderedPageBreak/>
        <w:t xml:space="preserve"> </w:t>
      </w:r>
    </w:p>
    <w:p w14:paraId="60611BEA" w14:textId="77777777" w:rsidR="00267D41" w:rsidRDefault="00267D41" w:rsidP="0054730D">
      <w:pPr>
        <w:pStyle w:val="Corpo"/>
        <w:ind w:left="174"/>
        <w:rPr>
          <w:rFonts w:ascii="Times New Roman" w:hAnsi="Times New Roman" w:cs="Times New Roman"/>
          <w:color w:val="auto"/>
          <w:sz w:val="24"/>
          <w:szCs w:val="24"/>
          <w:lang w:val="en-GB"/>
        </w:rPr>
      </w:pPr>
    </w:p>
    <w:p w14:paraId="5F2B3D44" w14:textId="77777777" w:rsidR="00267D41" w:rsidRDefault="00267D41" w:rsidP="00267D41">
      <w:pPr>
        <w:pStyle w:val="Corpo"/>
        <w:ind w:left="894"/>
        <w:rPr>
          <w:rFonts w:ascii="Times New Roman" w:hAnsi="Times New Roman" w:cs="Times New Roman"/>
          <w:color w:val="auto"/>
          <w:sz w:val="24"/>
          <w:szCs w:val="24"/>
          <w:lang w:val="en-GB"/>
        </w:rPr>
      </w:pPr>
    </w:p>
    <w:p w14:paraId="63739F9F" w14:textId="3473F282" w:rsidR="00267D41" w:rsidRDefault="0054730D" w:rsidP="00267D41">
      <w:pPr>
        <w:pStyle w:val="Corpo"/>
        <w:ind w:left="894"/>
        <w:rPr>
          <w:rFonts w:ascii="Times New Roman" w:hAnsi="Times New Roman" w:cs="Times New Roman"/>
          <w:color w:val="auto"/>
          <w:sz w:val="24"/>
          <w:szCs w:val="24"/>
          <w:lang w:val="en-GB"/>
        </w:rPr>
      </w:pPr>
      <w:r w:rsidRPr="006F0071">
        <w:rPr>
          <w:rFonts w:ascii="Times New Roman" w:hAnsi="Times New Roman" w:cs="Times New Roman"/>
          <w:color w:val="auto"/>
          <w:sz w:val="24"/>
          <w:szCs w:val="24"/>
          <w:lang w:val="en-GB"/>
        </w:rPr>
        <w:t>C</w:t>
      </w:r>
      <w:r>
        <w:rPr>
          <w:rFonts w:ascii="Times New Roman" w:hAnsi="Times New Roman" w:cs="Times New Roman"/>
          <w:color w:val="auto"/>
          <w:sz w:val="24"/>
          <w:szCs w:val="24"/>
          <w:lang w:val="en-GB"/>
        </w:rPr>
        <w:t>ould c</w:t>
      </w:r>
      <w:r w:rsidRPr="006F0071">
        <w:rPr>
          <w:rFonts w:ascii="Times New Roman" w:hAnsi="Times New Roman" w:cs="Times New Roman"/>
          <w:color w:val="auto"/>
          <w:sz w:val="24"/>
          <w:szCs w:val="24"/>
          <w:lang w:val="en-GB"/>
        </w:rPr>
        <w:t>onsider</w:t>
      </w:r>
      <w:r>
        <w:rPr>
          <w:rFonts w:ascii="Times New Roman" w:hAnsi="Times New Roman" w:cs="Times New Roman"/>
          <w:color w:val="auto"/>
          <w:sz w:val="24"/>
          <w:szCs w:val="24"/>
          <w:lang w:val="en-GB"/>
        </w:rPr>
        <w:t xml:space="preserve"> but not limited to:</w:t>
      </w:r>
    </w:p>
    <w:p w14:paraId="67C0D81C" w14:textId="2847BEE8" w:rsidR="0054730D" w:rsidRPr="00267D41" w:rsidRDefault="0054730D" w:rsidP="00267D41">
      <w:pPr>
        <w:pStyle w:val="Corpo"/>
        <w:numPr>
          <w:ilvl w:val="0"/>
          <w:numId w:val="14"/>
        </w:numPr>
        <w:rPr>
          <w:rFonts w:ascii="Times New Roman" w:hAnsi="Times New Roman" w:cs="Times New Roman"/>
          <w:color w:val="auto"/>
          <w:sz w:val="24"/>
          <w:szCs w:val="24"/>
          <w:lang w:val="en-GB"/>
        </w:rPr>
      </w:pPr>
      <w:r w:rsidRPr="00267D41">
        <w:rPr>
          <w:rFonts w:ascii="Times New Roman" w:hAnsi="Times New Roman" w:cs="Times New Roman"/>
          <w:color w:val="auto"/>
          <w:sz w:val="24"/>
          <w:szCs w:val="24"/>
          <w:lang w:val="en-GB"/>
        </w:rPr>
        <w:t xml:space="preserve">The extent to which domestic law, policies or practices relating to the recognition and protection of indigenous peoples’ right to own, live and use their lands, territories and resources conforms with the UNDRIP. </w:t>
      </w:r>
    </w:p>
    <w:p w14:paraId="6C2FA14E" w14:textId="694EAF72" w:rsidR="0054730D" w:rsidRDefault="0054730D" w:rsidP="0054730D">
      <w:pPr>
        <w:pStyle w:val="Corpo"/>
        <w:numPr>
          <w:ilvl w:val="0"/>
          <w:numId w:val="11"/>
        </w:numPr>
        <w:rPr>
          <w:rFonts w:ascii="Times New Roman" w:hAnsi="Times New Roman" w:cs="Times New Roman"/>
          <w:color w:val="auto"/>
          <w:sz w:val="24"/>
          <w:szCs w:val="24"/>
          <w:lang w:val="en-GB"/>
        </w:rPr>
      </w:pPr>
      <w:r>
        <w:rPr>
          <w:rFonts w:ascii="Times New Roman" w:hAnsi="Times New Roman" w:cs="Times New Roman"/>
          <w:color w:val="auto"/>
          <w:sz w:val="24"/>
          <w:szCs w:val="24"/>
          <w:lang w:val="en-US"/>
        </w:rPr>
        <w:t xml:space="preserve">The </w:t>
      </w:r>
      <w:r w:rsidRPr="006F0071">
        <w:rPr>
          <w:rFonts w:ascii="Times New Roman" w:hAnsi="Times New Roman" w:cs="Times New Roman"/>
          <w:color w:val="auto"/>
          <w:sz w:val="24"/>
          <w:szCs w:val="24"/>
          <w:lang w:val="en-GB"/>
        </w:rPr>
        <w:t>extent</w:t>
      </w:r>
      <w:r>
        <w:rPr>
          <w:rFonts w:ascii="Times New Roman" w:hAnsi="Times New Roman" w:cs="Times New Roman"/>
          <w:color w:val="auto"/>
          <w:sz w:val="24"/>
          <w:szCs w:val="24"/>
          <w:lang w:val="en-GB"/>
        </w:rPr>
        <w:t xml:space="preserve"> to which</w:t>
      </w:r>
      <w:r w:rsidRPr="006F0071">
        <w:rPr>
          <w:rFonts w:ascii="Times New Roman" w:hAnsi="Times New Roman" w:cs="Times New Roman"/>
          <w:color w:val="auto"/>
          <w:sz w:val="24"/>
          <w:szCs w:val="24"/>
          <w:lang w:val="en-GB"/>
        </w:rPr>
        <w:t xml:space="preserve"> these laws, policies, practices respect the traditions and land tenure systems of indigenous peoples</w:t>
      </w:r>
      <w:r w:rsidR="00AE18DF">
        <w:rPr>
          <w:rFonts w:ascii="Times New Roman" w:hAnsi="Times New Roman" w:cs="Times New Roman"/>
          <w:color w:val="auto"/>
          <w:sz w:val="24"/>
          <w:szCs w:val="24"/>
          <w:lang w:val="en-GB"/>
        </w:rPr>
        <w:t>.</w:t>
      </w:r>
    </w:p>
    <w:p w14:paraId="7A4C2631" w14:textId="65BCC283" w:rsidR="0054730D" w:rsidRPr="006F0071" w:rsidRDefault="0054730D" w:rsidP="0054730D">
      <w:pPr>
        <w:pStyle w:val="Corpo"/>
        <w:numPr>
          <w:ilvl w:val="0"/>
          <w:numId w:val="11"/>
        </w:numPr>
        <w:rPr>
          <w:rFonts w:ascii="Times New Roman" w:hAnsi="Times New Roman" w:cs="Times New Roman"/>
          <w:color w:val="auto"/>
          <w:sz w:val="24"/>
          <w:szCs w:val="24"/>
          <w:lang w:val="en-GB"/>
        </w:rPr>
      </w:pPr>
      <w:r w:rsidRPr="006F0071">
        <w:rPr>
          <w:rFonts w:ascii="Times New Roman" w:hAnsi="Times New Roman" w:cs="Times New Roman"/>
          <w:color w:val="auto"/>
          <w:sz w:val="24"/>
          <w:szCs w:val="24"/>
          <w:lang w:val="en-GB"/>
        </w:rPr>
        <w:t xml:space="preserve">Positive examples of processes established by States to recognise </w:t>
      </w:r>
      <w:r>
        <w:rPr>
          <w:rFonts w:ascii="Times New Roman" w:hAnsi="Times New Roman" w:cs="Times New Roman"/>
          <w:color w:val="auto"/>
          <w:sz w:val="24"/>
          <w:szCs w:val="24"/>
          <w:lang w:val="en-GB"/>
        </w:rPr>
        <w:t>and adjudicate the rights of indigenous peoples to their lands, territories and resources and</w:t>
      </w:r>
      <w:r w:rsidRPr="006F0071">
        <w:rPr>
          <w:rFonts w:ascii="Times New Roman" w:hAnsi="Times New Roman" w:cs="Times New Roman"/>
          <w:color w:val="auto"/>
          <w:sz w:val="24"/>
          <w:szCs w:val="24"/>
          <w:lang w:val="en-GB"/>
        </w:rPr>
        <w:t xml:space="preserve"> the extent to which </w:t>
      </w:r>
      <w:r>
        <w:rPr>
          <w:rFonts w:ascii="Times New Roman" w:hAnsi="Times New Roman" w:cs="Times New Roman"/>
          <w:color w:val="auto"/>
          <w:sz w:val="24"/>
          <w:szCs w:val="24"/>
          <w:lang w:val="en-GB"/>
        </w:rPr>
        <w:t>indigenous people</w:t>
      </w:r>
      <w:r w:rsidRPr="006F0071">
        <w:rPr>
          <w:rFonts w:ascii="Times New Roman" w:hAnsi="Times New Roman" w:cs="Times New Roman"/>
          <w:color w:val="auto"/>
          <w:sz w:val="24"/>
          <w:szCs w:val="24"/>
          <w:lang w:val="en-GB"/>
        </w:rPr>
        <w:t>s are involved in this process</w:t>
      </w:r>
      <w:r w:rsidR="00AE18DF">
        <w:rPr>
          <w:rFonts w:ascii="Times New Roman" w:hAnsi="Times New Roman" w:cs="Times New Roman"/>
          <w:color w:val="auto"/>
          <w:sz w:val="24"/>
          <w:szCs w:val="24"/>
          <w:lang w:val="en-GB"/>
        </w:rPr>
        <w:t>.</w:t>
      </w:r>
    </w:p>
    <w:p w14:paraId="5662258D" w14:textId="4329229D" w:rsidR="0054730D" w:rsidRDefault="0054730D" w:rsidP="0054730D">
      <w:pPr>
        <w:pStyle w:val="Corpo"/>
        <w:numPr>
          <w:ilvl w:val="0"/>
          <w:numId w:val="11"/>
        </w:numPr>
        <w:rPr>
          <w:rFonts w:ascii="Times New Roman" w:hAnsi="Times New Roman" w:cs="Times New Roman"/>
          <w:color w:val="auto"/>
          <w:sz w:val="24"/>
          <w:szCs w:val="24"/>
        </w:rPr>
      </w:pPr>
      <w:r>
        <w:rPr>
          <w:rFonts w:ascii="Times New Roman" w:hAnsi="Times New Roman" w:cs="Times New Roman"/>
          <w:color w:val="auto"/>
          <w:sz w:val="24"/>
          <w:szCs w:val="24"/>
          <w:lang w:val="en-GB"/>
        </w:rPr>
        <w:t>E</w:t>
      </w:r>
      <w:r w:rsidRPr="006F0071">
        <w:rPr>
          <w:rFonts w:ascii="Times New Roman" w:hAnsi="Times New Roman" w:cs="Times New Roman"/>
          <w:color w:val="auto"/>
          <w:sz w:val="24"/>
          <w:szCs w:val="24"/>
          <w:lang w:val="en-GB"/>
        </w:rPr>
        <w:t>xperiences from Land Tribunals that have</w:t>
      </w:r>
      <w:r>
        <w:rPr>
          <w:rFonts w:ascii="Times New Roman" w:hAnsi="Times New Roman" w:cs="Times New Roman"/>
          <w:color w:val="auto"/>
          <w:sz w:val="24"/>
          <w:szCs w:val="24"/>
          <w:lang w:val="en-GB"/>
        </w:rPr>
        <w:t xml:space="preserve"> a</w:t>
      </w:r>
      <w:r w:rsidRPr="006F0071">
        <w:rPr>
          <w:rFonts w:ascii="Times New Roman" w:hAnsi="Times New Roman" w:cs="Times New Roman"/>
          <w:color w:val="auto"/>
          <w:sz w:val="24"/>
          <w:szCs w:val="24"/>
          <w:lang w:val="en-GB"/>
        </w:rPr>
        <w:t xml:space="preserve"> mandate to identify and recognize indigenous ownershi</w:t>
      </w:r>
      <w:r>
        <w:rPr>
          <w:rFonts w:ascii="Times New Roman" w:hAnsi="Times New Roman" w:cs="Times New Roman"/>
          <w:color w:val="auto"/>
          <w:sz w:val="24"/>
          <w:szCs w:val="24"/>
          <w:lang w:val="en-GB"/>
        </w:rPr>
        <w:t xml:space="preserve">p and usufruct rights to lands and extent to which these experiences </w:t>
      </w:r>
      <w:r w:rsidR="00216727">
        <w:rPr>
          <w:rFonts w:ascii="Times New Roman" w:hAnsi="Times New Roman" w:cs="Times New Roman"/>
          <w:color w:val="auto"/>
          <w:sz w:val="24"/>
          <w:szCs w:val="24"/>
          <w:lang w:val="en-GB"/>
        </w:rPr>
        <w:t>are positive</w:t>
      </w:r>
      <w:r>
        <w:rPr>
          <w:rFonts w:ascii="Times New Roman" w:hAnsi="Times New Roman" w:cs="Times New Roman"/>
          <w:color w:val="auto"/>
          <w:sz w:val="24"/>
          <w:szCs w:val="24"/>
          <w:lang w:val="en-GB"/>
        </w:rPr>
        <w:t xml:space="preserve">, and if not </w:t>
      </w:r>
      <w:r w:rsidRPr="00525055">
        <w:rPr>
          <w:rFonts w:ascii="Times New Roman" w:hAnsi="Times New Roman" w:cs="Times New Roman"/>
          <w:color w:val="auto"/>
          <w:sz w:val="24"/>
          <w:szCs w:val="24"/>
          <w:lang w:val="en-GB"/>
        </w:rPr>
        <w:t>why not. The extent to which</w:t>
      </w:r>
      <w:r w:rsidRPr="00525055">
        <w:rPr>
          <w:rFonts w:ascii="Times New Roman" w:hAnsi="Times New Roman" w:cs="Times New Roman"/>
          <w:color w:val="auto"/>
          <w:sz w:val="24"/>
          <w:szCs w:val="24"/>
        </w:rPr>
        <w:t xml:space="preserve"> they apply or respect indigenous customary law when assessing land claims</w:t>
      </w:r>
      <w:r w:rsidR="00AE18DF">
        <w:rPr>
          <w:rFonts w:ascii="Times New Roman" w:hAnsi="Times New Roman" w:cs="Times New Roman"/>
          <w:color w:val="auto"/>
          <w:sz w:val="24"/>
          <w:szCs w:val="24"/>
        </w:rPr>
        <w:t>.</w:t>
      </w:r>
    </w:p>
    <w:p w14:paraId="690E852F" w14:textId="1C0F44FF" w:rsidR="0054730D" w:rsidRPr="00216727" w:rsidRDefault="0054730D" w:rsidP="00216727">
      <w:pPr>
        <w:pStyle w:val="Corpo"/>
        <w:numPr>
          <w:ilvl w:val="0"/>
          <w:numId w:val="11"/>
        </w:numPr>
        <w:rPr>
          <w:rFonts w:ascii="Times New Roman" w:hAnsi="Times New Roman" w:cs="Times New Roman"/>
          <w:color w:val="auto"/>
          <w:sz w:val="24"/>
          <w:szCs w:val="24"/>
          <w:lang w:val="en-GB"/>
        </w:rPr>
      </w:pPr>
      <w:r w:rsidRPr="006F0071">
        <w:rPr>
          <w:rFonts w:ascii="Times New Roman" w:hAnsi="Times New Roman" w:cs="Times New Roman"/>
          <w:color w:val="auto"/>
          <w:sz w:val="24"/>
          <w:szCs w:val="24"/>
          <w:lang w:val="en-GB"/>
        </w:rPr>
        <w:t xml:space="preserve">Good practices of demarcation, including self-demarcation by indigenous peoples, </w:t>
      </w:r>
      <w:r w:rsidR="00216727">
        <w:rPr>
          <w:rFonts w:ascii="Times New Roman" w:hAnsi="Times New Roman" w:cs="Times New Roman"/>
          <w:color w:val="auto"/>
          <w:sz w:val="24"/>
          <w:szCs w:val="24"/>
          <w:lang w:val="en-GB"/>
        </w:rPr>
        <w:t>and titling.</w:t>
      </w:r>
    </w:p>
    <w:p w14:paraId="6D184A4B" w14:textId="581E60E3" w:rsidR="0054730D" w:rsidRPr="00634E70" w:rsidRDefault="0054730D" w:rsidP="0054730D">
      <w:pPr>
        <w:pStyle w:val="Corpo"/>
        <w:numPr>
          <w:ilvl w:val="0"/>
          <w:numId w:val="11"/>
        </w:numPr>
        <w:rPr>
          <w:rFonts w:ascii="Times New Roman" w:hAnsi="Times New Roman" w:cs="Times New Roman"/>
          <w:color w:val="auto"/>
          <w:sz w:val="24"/>
          <w:szCs w:val="24"/>
          <w:lang w:val="en-GB"/>
        </w:rPr>
      </w:pPr>
      <w:r w:rsidRPr="006F0071">
        <w:rPr>
          <w:rFonts w:ascii="Times New Roman" w:hAnsi="Times New Roman" w:cs="Times New Roman"/>
          <w:color w:val="auto"/>
          <w:sz w:val="24"/>
          <w:szCs w:val="24"/>
          <w:lang w:val="en-GB"/>
        </w:rPr>
        <w:t>The role of national courts in</w:t>
      </w:r>
      <w:r>
        <w:rPr>
          <w:rFonts w:ascii="Times New Roman" w:hAnsi="Times New Roman" w:cs="Times New Roman"/>
          <w:color w:val="auto"/>
          <w:sz w:val="24"/>
          <w:szCs w:val="24"/>
          <w:lang w:val="en-GB"/>
        </w:rPr>
        <w:t xml:space="preserve"> land rights conflicts, the extent of knowledge within the legal profession on </w:t>
      </w:r>
      <w:r w:rsidRPr="006F0071">
        <w:rPr>
          <w:rFonts w:ascii="Times New Roman" w:hAnsi="Times New Roman" w:cs="Times New Roman"/>
          <w:color w:val="auto"/>
          <w:sz w:val="24"/>
          <w:szCs w:val="24"/>
          <w:lang w:val="en-GB"/>
        </w:rPr>
        <w:t>U</w:t>
      </w:r>
      <w:r>
        <w:rPr>
          <w:rFonts w:ascii="Times New Roman" w:hAnsi="Times New Roman" w:cs="Times New Roman"/>
          <w:color w:val="auto"/>
          <w:sz w:val="24"/>
          <w:szCs w:val="24"/>
          <w:lang w:val="en-GB"/>
        </w:rPr>
        <w:t>NDRIP and indigenous peoples’ rights</w:t>
      </w:r>
      <w:r w:rsidR="00594605">
        <w:rPr>
          <w:rFonts w:ascii="Times New Roman" w:hAnsi="Times New Roman" w:cs="Times New Roman"/>
          <w:color w:val="auto"/>
          <w:sz w:val="24"/>
          <w:szCs w:val="24"/>
          <w:lang w:val="en-GB"/>
        </w:rPr>
        <w:t>, and the extent to which national courts refer to the UNDRIP and international human rights law in interpreting indigenous peoples rights.</w:t>
      </w:r>
      <w:r w:rsidR="00151171">
        <w:rPr>
          <w:rFonts w:ascii="Times New Roman" w:hAnsi="Times New Roman" w:cs="Times New Roman"/>
          <w:color w:val="auto"/>
          <w:sz w:val="24"/>
          <w:szCs w:val="24"/>
          <w:lang w:val="en-GB"/>
        </w:rPr>
        <w:t xml:space="preserve"> </w:t>
      </w:r>
      <w:r w:rsidR="00A62CAD">
        <w:rPr>
          <w:rFonts w:ascii="Times New Roman" w:hAnsi="Times New Roman" w:cs="Times New Roman"/>
          <w:color w:val="auto"/>
          <w:sz w:val="24"/>
          <w:szCs w:val="24"/>
          <w:lang w:val="en-GB"/>
        </w:rPr>
        <w:t>The relationship between</w:t>
      </w:r>
      <w:r w:rsidR="00151171">
        <w:rPr>
          <w:rFonts w:ascii="Times New Roman" w:hAnsi="Times New Roman" w:cs="Times New Roman"/>
          <w:color w:val="auto"/>
          <w:sz w:val="24"/>
          <w:szCs w:val="24"/>
          <w:lang w:val="en-GB"/>
        </w:rPr>
        <w:t xml:space="preserve"> national litigation and subsequent claims to regional human rights tribunals.</w:t>
      </w:r>
      <w:r w:rsidR="00A62CAD">
        <w:rPr>
          <w:rFonts w:ascii="Times New Roman" w:hAnsi="Times New Roman" w:cs="Times New Roman"/>
          <w:color w:val="auto"/>
          <w:sz w:val="24"/>
          <w:szCs w:val="24"/>
          <w:lang w:val="en-GB"/>
        </w:rPr>
        <w:t xml:space="preserve"> Unintended consequences of successful land claims (violenc</w:t>
      </w:r>
      <w:r w:rsidR="00B471A0">
        <w:rPr>
          <w:rFonts w:ascii="Times New Roman" w:hAnsi="Times New Roman" w:cs="Times New Roman"/>
          <w:color w:val="auto"/>
          <w:sz w:val="24"/>
          <w:szCs w:val="24"/>
          <w:lang w:val="en-GB"/>
        </w:rPr>
        <w:t>e, fati</w:t>
      </w:r>
      <w:r w:rsidR="00A62CAD">
        <w:rPr>
          <w:rFonts w:ascii="Times New Roman" w:hAnsi="Times New Roman" w:cs="Times New Roman"/>
          <w:color w:val="auto"/>
          <w:sz w:val="24"/>
          <w:szCs w:val="24"/>
          <w:lang w:val="en-GB"/>
        </w:rPr>
        <w:t>gue..)</w:t>
      </w:r>
    </w:p>
    <w:p w14:paraId="57E70080" w14:textId="1F0BBADC" w:rsidR="0054730D" w:rsidRDefault="0054730D" w:rsidP="0054730D">
      <w:pPr>
        <w:pStyle w:val="Corpo"/>
        <w:numPr>
          <w:ilvl w:val="0"/>
          <w:numId w:val="11"/>
        </w:numPr>
        <w:rPr>
          <w:rFonts w:ascii="Times New Roman" w:eastAsia="SimSun" w:hAnsi="Times New Roman" w:cs="Times New Roman"/>
          <w:spacing w:val="4"/>
          <w:w w:val="103"/>
          <w:kern w:val="14"/>
          <w:sz w:val="24"/>
          <w:szCs w:val="24"/>
        </w:rPr>
      </w:pPr>
      <w:r w:rsidRPr="00525055">
        <w:rPr>
          <w:rFonts w:ascii="Times New Roman" w:hAnsi="Times New Roman" w:cs="Times New Roman"/>
          <w:color w:val="auto"/>
          <w:sz w:val="24"/>
          <w:szCs w:val="24"/>
        </w:rPr>
        <w:t xml:space="preserve">Extent to which indigenous peoples can determine </w:t>
      </w:r>
      <w:r w:rsidRPr="00050A81">
        <w:rPr>
          <w:rFonts w:ascii="Times New Roman" w:eastAsia="SimSun" w:hAnsi="Times New Roman" w:cs="Times New Roman"/>
          <w:spacing w:val="4"/>
          <w:w w:val="103"/>
          <w:kern w:val="14"/>
          <w:sz w:val="24"/>
          <w:szCs w:val="24"/>
        </w:rPr>
        <w:t>and develop priorities and strategies for the development or use of their lands or territories and other resources</w:t>
      </w:r>
      <w:r w:rsidR="004524A0">
        <w:rPr>
          <w:rFonts w:ascii="Times New Roman" w:eastAsia="SimSun" w:hAnsi="Times New Roman" w:cs="Times New Roman"/>
          <w:spacing w:val="4"/>
          <w:w w:val="103"/>
          <w:kern w:val="14"/>
          <w:sz w:val="24"/>
          <w:szCs w:val="24"/>
        </w:rPr>
        <w:t xml:space="preserve">, </w:t>
      </w:r>
      <w:r w:rsidR="00B471A0">
        <w:rPr>
          <w:rFonts w:ascii="Times New Roman" w:eastAsia="SimSun" w:hAnsi="Times New Roman" w:cs="Times New Roman"/>
          <w:spacing w:val="4"/>
          <w:w w:val="103"/>
          <w:kern w:val="14"/>
          <w:sz w:val="24"/>
          <w:szCs w:val="24"/>
        </w:rPr>
        <w:t>including by</w:t>
      </w:r>
      <w:r w:rsidR="005525B3" w:rsidRPr="005525B3">
        <w:rPr>
          <w:rFonts w:ascii="Times New Roman" w:eastAsia="SimSun" w:hAnsi="Times New Roman" w:cs="Times New Roman"/>
          <w:spacing w:val="4"/>
          <w:w w:val="103"/>
          <w:kern w:val="14"/>
          <w:sz w:val="24"/>
          <w:szCs w:val="24"/>
        </w:rPr>
        <w:t xml:space="preserve"> exercising their traditional occupations and ensuring </w:t>
      </w:r>
      <w:r w:rsidR="00B471A0">
        <w:rPr>
          <w:rFonts w:ascii="Times New Roman" w:eastAsia="SimSun" w:hAnsi="Times New Roman" w:cs="Times New Roman"/>
          <w:spacing w:val="4"/>
          <w:w w:val="103"/>
          <w:kern w:val="14"/>
          <w:sz w:val="24"/>
          <w:szCs w:val="24"/>
        </w:rPr>
        <w:t xml:space="preserve">their </w:t>
      </w:r>
      <w:r w:rsidR="005525B3" w:rsidRPr="005525B3">
        <w:rPr>
          <w:rFonts w:ascii="Times New Roman" w:eastAsia="SimSun" w:hAnsi="Times New Roman" w:cs="Times New Roman"/>
          <w:spacing w:val="4"/>
          <w:w w:val="103"/>
          <w:kern w:val="14"/>
          <w:sz w:val="24"/>
          <w:szCs w:val="24"/>
        </w:rPr>
        <w:t>livelihoods</w:t>
      </w:r>
      <w:r w:rsidRPr="00050A81">
        <w:rPr>
          <w:rFonts w:ascii="Times New Roman" w:eastAsia="SimSun" w:hAnsi="Times New Roman" w:cs="Times New Roman"/>
          <w:spacing w:val="4"/>
          <w:w w:val="103"/>
          <w:kern w:val="14"/>
          <w:sz w:val="24"/>
          <w:szCs w:val="24"/>
        </w:rPr>
        <w:t>.</w:t>
      </w:r>
      <w:r>
        <w:rPr>
          <w:rFonts w:ascii="Times New Roman" w:eastAsia="SimSun" w:hAnsi="Times New Roman" w:cs="Times New Roman"/>
          <w:spacing w:val="4"/>
          <w:w w:val="103"/>
          <w:kern w:val="14"/>
          <w:sz w:val="24"/>
          <w:szCs w:val="24"/>
        </w:rPr>
        <w:t xml:space="preserve">  </w:t>
      </w:r>
    </w:p>
    <w:p w14:paraId="540B2602" w14:textId="10D6A2C3" w:rsidR="0054730D" w:rsidRPr="00525055" w:rsidRDefault="0054730D" w:rsidP="0054730D">
      <w:pPr>
        <w:pStyle w:val="Corpo"/>
        <w:numPr>
          <w:ilvl w:val="0"/>
          <w:numId w:val="11"/>
        </w:numPr>
        <w:rPr>
          <w:rFonts w:ascii="Times New Roman" w:hAnsi="Times New Roman" w:cs="Times New Roman"/>
          <w:color w:val="auto"/>
          <w:sz w:val="24"/>
          <w:szCs w:val="24"/>
        </w:rPr>
      </w:pPr>
      <w:r>
        <w:rPr>
          <w:rFonts w:ascii="Times New Roman" w:eastAsia="SimSun" w:hAnsi="Times New Roman" w:cs="Times New Roman"/>
          <w:spacing w:val="4"/>
          <w:w w:val="103"/>
          <w:kern w:val="14"/>
          <w:sz w:val="24"/>
          <w:szCs w:val="24"/>
        </w:rPr>
        <w:t>Extent to which States apply the norm of free, prior and informed consent for the approval of projects affecting indigenous peoples lands, territories and resources, bearing in mind the Study produced by the EMRIP on this topic</w:t>
      </w:r>
      <w:r w:rsidR="00216727">
        <w:rPr>
          <w:rFonts w:ascii="Times New Roman" w:eastAsia="SimSun" w:hAnsi="Times New Roman" w:cs="Times New Roman"/>
          <w:spacing w:val="4"/>
          <w:w w:val="103"/>
          <w:kern w:val="14"/>
          <w:sz w:val="24"/>
          <w:szCs w:val="24"/>
        </w:rPr>
        <w:t>,</w:t>
      </w:r>
      <w:r>
        <w:rPr>
          <w:rFonts w:ascii="Times New Roman" w:eastAsia="SimSun" w:hAnsi="Times New Roman" w:cs="Times New Roman"/>
          <w:spacing w:val="4"/>
          <w:w w:val="103"/>
          <w:kern w:val="14"/>
          <w:sz w:val="24"/>
          <w:szCs w:val="24"/>
        </w:rPr>
        <w:t xml:space="preserve"> in 2018 - </w:t>
      </w:r>
      <w:r w:rsidRPr="00525055">
        <w:rPr>
          <w:rFonts w:ascii="Times New Roman" w:eastAsia="SimSun" w:hAnsi="Times New Roman" w:cs="Times New Roman"/>
          <w:spacing w:val="4"/>
          <w:w w:val="103"/>
          <w:kern w:val="14"/>
          <w:sz w:val="24"/>
          <w:szCs w:val="24"/>
        </w:rPr>
        <w:t>http://ap.ohchr.org/documents/dpage_e.aspx?si=A/HRC/39/62</w:t>
      </w:r>
    </w:p>
    <w:p w14:paraId="6DD295D2" w14:textId="52EB1B72" w:rsidR="00267D41" w:rsidRPr="00267D41" w:rsidRDefault="00267D41" w:rsidP="001375F9">
      <w:pPr>
        <w:pStyle w:val="Corpo"/>
        <w:rPr>
          <w:rFonts w:ascii="Times New Roman" w:hAnsi="Times New Roman" w:cs="Times New Roman"/>
          <w:color w:val="auto"/>
          <w:sz w:val="24"/>
          <w:szCs w:val="24"/>
          <w:lang w:val="en-GB"/>
        </w:rPr>
      </w:pPr>
    </w:p>
    <w:p w14:paraId="787B20E2" w14:textId="77777777" w:rsidR="0054730D" w:rsidRPr="00525055" w:rsidRDefault="0054730D" w:rsidP="001375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right="1267"/>
        <w:jc w:val="both"/>
        <w:rPr>
          <w:rFonts w:ascii="Times New Roman" w:eastAsia="SimSun" w:hAnsi="Times New Roman"/>
          <w:spacing w:val="4"/>
          <w:w w:val="103"/>
          <w:kern w:val="14"/>
          <w:highlight w:val="yellow"/>
        </w:rPr>
      </w:pPr>
      <w:r>
        <w:lastRenderedPageBreak/>
        <w:t xml:space="preserve"> </w:t>
      </w:r>
      <w:r>
        <w:rPr>
          <w:rFonts w:ascii="Times New Roman" w:eastAsia="SimSun" w:hAnsi="Times New Roman"/>
          <w:spacing w:val="4"/>
          <w:w w:val="103"/>
          <w:kern w:val="14"/>
          <w:highlight w:val="yellow"/>
        </w:rPr>
        <w:t xml:space="preserve"> </w:t>
      </w:r>
    </w:p>
    <w:p w14:paraId="26A96D99" w14:textId="77777777" w:rsidR="0054730D" w:rsidRDefault="0054730D" w:rsidP="0054730D">
      <w:pPr>
        <w:pStyle w:val="Corpo"/>
        <w:ind w:left="174"/>
        <w:rPr>
          <w:rFonts w:ascii="Times New Roman" w:hAnsi="Times New Roman" w:cs="Times New Roman"/>
          <w:b/>
          <w:color w:val="auto"/>
          <w:sz w:val="24"/>
          <w:szCs w:val="24"/>
          <w:lang w:val="en-GB"/>
        </w:rPr>
      </w:pPr>
      <w:r>
        <w:rPr>
          <w:rFonts w:ascii="Times New Roman" w:hAnsi="Times New Roman" w:cs="Times New Roman"/>
          <w:b/>
          <w:color w:val="auto"/>
          <w:sz w:val="24"/>
          <w:szCs w:val="24"/>
          <w:lang w:val="en-GB"/>
        </w:rPr>
        <w:t xml:space="preserve">Effective mechanisms/programmes/remedies (articles 8, 10, </w:t>
      </w:r>
      <w:r w:rsidRPr="006F0071">
        <w:rPr>
          <w:rFonts w:ascii="Times New Roman" w:hAnsi="Times New Roman" w:cs="Times New Roman"/>
          <w:b/>
          <w:color w:val="auto"/>
          <w:sz w:val="24"/>
          <w:szCs w:val="24"/>
          <w:lang w:val="en-GB"/>
        </w:rPr>
        <w:t>28</w:t>
      </w:r>
      <w:r>
        <w:rPr>
          <w:rFonts w:ascii="Times New Roman" w:hAnsi="Times New Roman" w:cs="Times New Roman"/>
          <w:b/>
          <w:color w:val="auto"/>
          <w:sz w:val="24"/>
          <w:szCs w:val="24"/>
          <w:lang w:val="en-GB"/>
        </w:rPr>
        <w:t>, 29, 32</w:t>
      </w:r>
      <w:r w:rsidRPr="006F0071">
        <w:rPr>
          <w:rFonts w:ascii="Times New Roman" w:hAnsi="Times New Roman" w:cs="Times New Roman"/>
          <w:b/>
          <w:color w:val="auto"/>
          <w:sz w:val="24"/>
          <w:szCs w:val="24"/>
          <w:lang w:val="en-GB"/>
        </w:rPr>
        <w:t xml:space="preserve"> of the UNDRIP)</w:t>
      </w:r>
    </w:p>
    <w:p w14:paraId="4CDE44D9" w14:textId="77777777" w:rsidR="0054730D" w:rsidRDefault="0054730D" w:rsidP="0054730D">
      <w:pPr>
        <w:pStyle w:val="Corpo"/>
        <w:ind w:left="174"/>
        <w:rPr>
          <w:rFonts w:ascii="Times New Roman" w:hAnsi="Times New Roman" w:cs="Times New Roman"/>
          <w:color w:val="auto"/>
          <w:sz w:val="24"/>
          <w:szCs w:val="24"/>
          <w:lang w:val="en-GB"/>
        </w:rPr>
      </w:pPr>
      <w:r w:rsidRPr="00D53603">
        <w:rPr>
          <w:rFonts w:ascii="Times New Roman" w:hAnsi="Times New Roman" w:cs="Times New Roman"/>
          <w:color w:val="auto"/>
          <w:sz w:val="24"/>
          <w:szCs w:val="24"/>
          <w:lang w:val="en-GB"/>
        </w:rPr>
        <w:t>C</w:t>
      </w:r>
      <w:r>
        <w:rPr>
          <w:rFonts w:ascii="Times New Roman" w:hAnsi="Times New Roman" w:cs="Times New Roman"/>
          <w:color w:val="auto"/>
          <w:sz w:val="24"/>
          <w:szCs w:val="24"/>
          <w:lang w:val="en-GB"/>
        </w:rPr>
        <w:t>ould c</w:t>
      </w:r>
      <w:r w:rsidRPr="00D53603">
        <w:rPr>
          <w:rFonts w:ascii="Times New Roman" w:hAnsi="Times New Roman" w:cs="Times New Roman"/>
          <w:color w:val="auto"/>
          <w:sz w:val="24"/>
          <w:szCs w:val="24"/>
          <w:lang w:val="en-GB"/>
        </w:rPr>
        <w:t>onsider</w:t>
      </w:r>
      <w:r>
        <w:rPr>
          <w:rFonts w:ascii="Times New Roman" w:hAnsi="Times New Roman" w:cs="Times New Roman"/>
          <w:color w:val="auto"/>
          <w:sz w:val="24"/>
          <w:szCs w:val="24"/>
          <w:lang w:val="en-GB"/>
        </w:rPr>
        <w:t xml:space="preserve"> but not limited to</w:t>
      </w:r>
      <w:r w:rsidRPr="00D53603">
        <w:rPr>
          <w:rFonts w:ascii="Times New Roman" w:hAnsi="Times New Roman" w:cs="Times New Roman"/>
          <w:color w:val="auto"/>
          <w:sz w:val="24"/>
          <w:szCs w:val="24"/>
          <w:lang w:val="en-GB"/>
        </w:rPr>
        <w:t xml:space="preserve">: </w:t>
      </w:r>
    </w:p>
    <w:p w14:paraId="06041081" w14:textId="4EEB46F3" w:rsidR="0054730D" w:rsidRPr="00D53603" w:rsidRDefault="0054730D" w:rsidP="0054730D">
      <w:pPr>
        <w:pStyle w:val="Corpo"/>
        <w:numPr>
          <w:ilvl w:val="0"/>
          <w:numId w:val="10"/>
        </w:numP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Types of mechanisms</w:t>
      </w:r>
      <w:r w:rsidR="004524A0">
        <w:rPr>
          <w:rFonts w:ascii="Times New Roman" w:hAnsi="Times New Roman" w:cs="Times New Roman"/>
          <w:color w:val="auto"/>
          <w:sz w:val="24"/>
          <w:szCs w:val="24"/>
          <w:lang w:val="en-GB"/>
        </w:rPr>
        <w:t xml:space="preserve">, assessment and consultation efforts, </w:t>
      </w:r>
      <w:r>
        <w:rPr>
          <w:rFonts w:ascii="Times New Roman" w:hAnsi="Times New Roman" w:cs="Times New Roman"/>
          <w:color w:val="auto"/>
          <w:sz w:val="24"/>
          <w:szCs w:val="24"/>
          <w:lang w:val="en-GB"/>
        </w:rPr>
        <w:t>established by States</w:t>
      </w:r>
      <w:r w:rsidRPr="00D53603">
        <w:rPr>
          <w:rFonts w:ascii="Times New Roman" w:hAnsi="Times New Roman" w:cs="Times New Roman"/>
          <w:color w:val="auto"/>
          <w:sz w:val="24"/>
          <w:szCs w:val="24"/>
          <w:lang w:val="en-GB"/>
        </w:rPr>
        <w:t xml:space="preserve"> for the prevention of and redress for the dispossession of indigenous peoples’ lands, territories or resources</w:t>
      </w:r>
      <w:r w:rsidR="00216727">
        <w:rPr>
          <w:rFonts w:ascii="Times New Roman" w:hAnsi="Times New Roman" w:cs="Times New Roman"/>
          <w:color w:val="auto"/>
          <w:sz w:val="24"/>
          <w:szCs w:val="24"/>
          <w:lang w:val="en-GB"/>
        </w:rPr>
        <w:t>.</w:t>
      </w:r>
      <w:r>
        <w:rPr>
          <w:rFonts w:ascii="Times New Roman" w:hAnsi="Times New Roman" w:cs="Times New Roman"/>
          <w:color w:val="auto"/>
          <w:sz w:val="24"/>
          <w:szCs w:val="24"/>
          <w:lang w:val="en-GB"/>
        </w:rPr>
        <w:t xml:space="preserve">  </w:t>
      </w:r>
    </w:p>
    <w:p w14:paraId="64F9C5E8" w14:textId="5E3D3840" w:rsidR="0054730D" w:rsidRPr="00B57B4B" w:rsidRDefault="0054730D" w:rsidP="0054730D">
      <w:pPr>
        <w:pStyle w:val="Corpo"/>
        <w:numPr>
          <w:ilvl w:val="0"/>
          <w:numId w:val="10"/>
        </w:numPr>
        <w:rPr>
          <w:rFonts w:ascii="Times New Roman" w:hAnsi="Times New Roman" w:cs="Times New Roman"/>
          <w:color w:val="auto"/>
          <w:sz w:val="24"/>
          <w:szCs w:val="24"/>
          <w:lang w:val="en-GB"/>
        </w:rPr>
      </w:pPr>
      <w:r w:rsidRPr="00D53603">
        <w:rPr>
          <w:rFonts w:ascii="Times New Roman" w:hAnsi="Times New Roman" w:cs="Times New Roman"/>
          <w:color w:val="auto"/>
          <w:sz w:val="24"/>
          <w:szCs w:val="24"/>
          <w:lang w:val="en-GB"/>
        </w:rPr>
        <w:t>Forms of redres</w:t>
      </w:r>
      <w:r>
        <w:rPr>
          <w:rFonts w:ascii="Times New Roman" w:hAnsi="Times New Roman" w:cs="Times New Roman"/>
          <w:color w:val="auto"/>
          <w:sz w:val="24"/>
          <w:szCs w:val="24"/>
          <w:lang w:val="en-GB"/>
        </w:rPr>
        <w:t xml:space="preserve">s granted to indigenous peoples, including </w:t>
      </w:r>
      <w:r w:rsidRPr="00D53603">
        <w:rPr>
          <w:rFonts w:ascii="Times New Roman" w:hAnsi="Times New Roman" w:cs="Times New Roman"/>
          <w:color w:val="auto"/>
          <w:sz w:val="24"/>
          <w:szCs w:val="24"/>
          <w:lang w:val="en-GB"/>
        </w:rPr>
        <w:t>restitution, compensation or other forms of redress following the confiscation</w:t>
      </w:r>
      <w:r>
        <w:rPr>
          <w:rFonts w:ascii="Times New Roman" w:hAnsi="Times New Roman" w:cs="Times New Roman"/>
          <w:color w:val="auto"/>
          <w:sz w:val="24"/>
          <w:szCs w:val="24"/>
          <w:lang w:val="en-GB"/>
        </w:rPr>
        <w:t>,</w:t>
      </w:r>
      <w:r w:rsidRPr="00D53603">
        <w:rPr>
          <w:rFonts w:ascii="Times New Roman" w:hAnsi="Times New Roman" w:cs="Times New Roman"/>
          <w:color w:val="auto"/>
          <w:sz w:val="24"/>
          <w:szCs w:val="24"/>
          <w:lang w:val="en-GB"/>
        </w:rPr>
        <w:t xml:space="preserve"> occupation</w:t>
      </w:r>
      <w:r>
        <w:rPr>
          <w:rFonts w:ascii="Times New Roman" w:hAnsi="Times New Roman" w:cs="Times New Roman"/>
          <w:color w:val="auto"/>
          <w:sz w:val="24"/>
          <w:szCs w:val="24"/>
          <w:lang w:val="en-GB"/>
        </w:rPr>
        <w:t>,</w:t>
      </w:r>
      <w:r w:rsidRPr="00D53603">
        <w:rPr>
          <w:rFonts w:ascii="Times New Roman" w:hAnsi="Times New Roman" w:cs="Times New Roman"/>
          <w:color w:val="auto"/>
          <w:sz w:val="24"/>
          <w:szCs w:val="24"/>
          <w:lang w:val="en-GB"/>
        </w:rPr>
        <w:t xml:space="preserve"> use</w:t>
      </w:r>
      <w:r>
        <w:rPr>
          <w:rFonts w:ascii="Times New Roman" w:hAnsi="Times New Roman" w:cs="Times New Roman"/>
          <w:color w:val="auto"/>
          <w:sz w:val="24"/>
          <w:szCs w:val="24"/>
          <w:lang w:val="en-GB"/>
        </w:rPr>
        <w:t xml:space="preserve">, or damage to </w:t>
      </w:r>
      <w:r w:rsidRPr="00B57B4B">
        <w:rPr>
          <w:rFonts w:ascii="Times New Roman" w:hAnsi="Times New Roman" w:cs="Times New Roman"/>
          <w:color w:val="auto"/>
          <w:sz w:val="24"/>
          <w:szCs w:val="24"/>
          <w:lang w:val="en-GB"/>
        </w:rPr>
        <w:t xml:space="preserve">indigenous peoples land without their free, prior or informed consent, bearing in mind the </w:t>
      </w:r>
      <w:r w:rsidRPr="00B57B4B">
        <w:rPr>
          <w:rFonts w:ascii="Times New Roman" w:eastAsia="SimSun" w:hAnsi="Times New Roman" w:cs="Times New Roman"/>
          <w:spacing w:val="4"/>
          <w:w w:val="103"/>
          <w:kern w:val="14"/>
          <w:sz w:val="24"/>
          <w:szCs w:val="24"/>
        </w:rPr>
        <w:t>Study produced by the EMRIP on this topic in 2018 (see above)</w:t>
      </w:r>
      <w:r w:rsidR="00216727" w:rsidRPr="00B57B4B">
        <w:rPr>
          <w:rFonts w:ascii="Times New Roman" w:eastAsia="SimSun" w:hAnsi="Times New Roman" w:cs="Times New Roman"/>
          <w:spacing w:val="4"/>
          <w:w w:val="103"/>
          <w:kern w:val="14"/>
          <w:sz w:val="24"/>
          <w:szCs w:val="24"/>
        </w:rPr>
        <w:t>.</w:t>
      </w:r>
    </w:p>
    <w:p w14:paraId="4F0CE6AC" w14:textId="5DDB3B14" w:rsidR="00DF250A" w:rsidRPr="00A23EE2" w:rsidRDefault="0054730D" w:rsidP="001375F9">
      <w:pPr>
        <w:pStyle w:val="Corpo"/>
        <w:numPr>
          <w:ilvl w:val="0"/>
          <w:numId w:val="10"/>
        </w:numPr>
        <w:rPr>
          <w:rFonts w:ascii="Times New Roman" w:hAnsi="Times New Roman" w:cs="Times New Roman"/>
          <w:b/>
          <w:color w:val="auto"/>
          <w:sz w:val="24"/>
          <w:szCs w:val="24"/>
          <w:lang w:val="en-US"/>
        </w:rPr>
      </w:pPr>
      <w:r w:rsidRPr="00B57B4B">
        <w:rPr>
          <w:rFonts w:ascii="Times New Roman" w:hAnsi="Times New Roman" w:cs="Times New Roman"/>
          <w:sz w:val="24"/>
          <w:szCs w:val="24"/>
        </w:rPr>
        <w:t xml:space="preserve">Assistance programmes established by States to ensure </w:t>
      </w:r>
      <w:r w:rsidRPr="00B57B4B">
        <w:rPr>
          <w:rFonts w:ascii="Times New Roman" w:hAnsi="Times New Roman" w:cs="Times New Roman"/>
          <w:color w:val="auto"/>
          <w:sz w:val="24"/>
          <w:szCs w:val="24"/>
          <w:lang w:val="en-GB"/>
        </w:rPr>
        <w:t>the conservation and protection of the environment</w:t>
      </w:r>
      <w:r w:rsidR="003729B6" w:rsidRPr="00B57B4B">
        <w:rPr>
          <w:rFonts w:ascii="Times New Roman" w:hAnsi="Times New Roman" w:cs="Times New Roman"/>
          <w:color w:val="auto"/>
          <w:sz w:val="24"/>
          <w:szCs w:val="24"/>
          <w:lang w:val="en-GB"/>
        </w:rPr>
        <w:t xml:space="preserve">, management or co-management of World heritage sites and </w:t>
      </w:r>
      <w:r w:rsidR="003729B6" w:rsidRPr="00A23EE2">
        <w:rPr>
          <w:rFonts w:ascii="Times New Roman" w:hAnsi="Times New Roman" w:cs="Times New Roman"/>
          <w:color w:val="auto"/>
          <w:sz w:val="24"/>
          <w:szCs w:val="24"/>
          <w:lang w:val="en-GB"/>
        </w:rPr>
        <w:t xml:space="preserve">natural protection areas on indigenous lands, </w:t>
      </w:r>
      <w:r w:rsidRPr="00A23EE2">
        <w:rPr>
          <w:rFonts w:ascii="Times New Roman" w:hAnsi="Times New Roman" w:cs="Times New Roman"/>
          <w:color w:val="auto"/>
          <w:sz w:val="24"/>
          <w:szCs w:val="24"/>
          <w:lang w:val="en-GB"/>
        </w:rPr>
        <w:t>and the</w:t>
      </w:r>
      <w:r w:rsidRPr="00A23EE2">
        <w:rPr>
          <w:rFonts w:ascii="Times New Roman" w:hAnsi="Times New Roman" w:cs="Times New Roman"/>
          <w:color w:val="auto"/>
          <w:sz w:val="24"/>
          <w:szCs w:val="24"/>
        </w:rPr>
        <w:t xml:space="preserve"> productive capacity of indigenous peoples’ lands</w:t>
      </w:r>
      <w:r w:rsidR="00216727" w:rsidRPr="00A23EE2">
        <w:rPr>
          <w:rFonts w:ascii="Times New Roman" w:hAnsi="Times New Roman" w:cs="Times New Roman"/>
          <w:color w:val="auto"/>
          <w:sz w:val="24"/>
          <w:szCs w:val="24"/>
        </w:rPr>
        <w:t>.</w:t>
      </w:r>
    </w:p>
    <w:p w14:paraId="201B6C5C" w14:textId="77777777" w:rsidR="00C43D4D" w:rsidRPr="00A23EE2" w:rsidRDefault="00C43D4D" w:rsidP="00735A0D">
      <w:pPr>
        <w:pStyle w:val="Corpo"/>
        <w:rPr>
          <w:rFonts w:ascii="Times New Roman" w:hAnsi="Times New Roman" w:cs="Times New Roman"/>
          <w:color w:val="auto"/>
          <w:sz w:val="24"/>
          <w:szCs w:val="24"/>
          <w:lang w:val="en-US"/>
        </w:rPr>
      </w:pPr>
    </w:p>
    <w:p w14:paraId="49B5572A" w14:textId="3E7647E1" w:rsidR="00735A0D" w:rsidRPr="00A23EE2" w:rsidRDefault="00735A0D" w:rsidP="00735A0D">
      <w:pPr>
        <w:pStyle w:val="Corpo"/>
        <w:rPr>
          <w:color w:val="auto"/>
          <w:lang w:val="en-US"/>
        </w:rPr>
      </w:pPr>
      <w:r w:rsidRPr="00A23EE2">
        <w:rPr>
          <w:rFonts w:ascii="Times New Roman" w:hAnsi="Times New Roman" w:cs="Times New Roman"/>
          <w:color w:val="auto"/>
          <w:sz w:val="24"/>
          <w:szCs w:val="24"/>
          <w:lang w:val="en-US"/>
        </w:rPr>
        <w:t>……………………………………………………………………………………………</w:t>
      </w:r>
    </w:p>
    <w:sectPr w:rsidR="00735A0D" w:rsidRPr="00A23EE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84D7A" w14:textId="77777777" w:rsidR="001024AC" w:rsidRDefault="001024AC" w:rsidP="001F63CF">
      <w:r>
        <w:separator/>
      </w:r>
    </w:p>
  </w:endnote>
  <w:endnote w:type="continuationSeparator" w:id="0">
    <w:p w14:paraId="1E24D2E8" w14:textId="77777777" w:rsidR="001024AC" w:rsidRDefault="001024AC" w:rsidP="001F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altName w:val="Leelawadee UI"/>
    <w:panose1 w:val="02020603050405020304"/>
    <w:charset w:val="00"/>
    <w:family w:val="roman"/>
    <w:pitch w:val="variable"/>
    <w:sig w:usb0="00000000"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D49B2" w14:textId="77777777" w:rsidR="00B54E0E" w:rsidRDefault="00B54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663808"/>
      <w:docPartObj>
        <w:docPartGallery w:val="Page Numbers (Bottom of Page)"/>
        <w:docPartUnique/>
      </w:docPartObj>
    </w:sdtPr>
    <w:sdtEndPr>
      <w:rPr>
        <w:noProof/>
      </w:rPr>
    </w:sdtEndPr>
    <w:sdtContent>
      <w:p w14:paraId="489A63E4" w14:textId="50F1C113" w:rsidR="000A51CB" w:rsidRDefault="000A51CB">
        <w:pPr>
          <w:pStyle w:val="Footer"/>
          <w:jc w:val="center"/>
        </w:pPr>
        <w:r>
          <w:fldChar w:fldCharType="begin"/>
        </w:r>
        <w:r>
          <w:instrText xml:space="preserve"> PAGE   \* MERGEFORMAT </w:instrText>
        </w:r>
        <w:r>
          <w:fldChar w:fldCharType="separate"/>
        </w:r>
        <w:r w:rsidR="00A23EE2">
          <w:rPr>
            <w:noProof/>
          </w:rPr>
          <w:t>4</w:t>
        </w:r>
        <w:r>
          <w:rPr>
            <w:noProof/>
          </w:rPr>
          <w:fldChar w:fldCharType="end"/>
        </w:r>
      </w:p>
    </w:sdtContent>
  </w:sdt>
  <w:p w14:paraId="7192366B" w14:textId="77777777" w:rsidR="004524A0" w:rsidRDefault="004524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1FB69" w14:textId="77777777" w:rsidR="00B54E0E" w:rsidRDefault="00B54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48E19" w14:textId="77777777" w:rsidR="001024AC" w:rsidRDefault="001024AC" w:rsidP="001F63CF">
      <w:r>
        <w:separator/>
      </w:r>
    </w:p>
  </w:footnote>
  <w:footnote w:type="continuationSeparator" w:id="0">
    <w:p w14:paraId="6272352F" w14:textId="77777777" w:rsidR="001024AC" w:rsidRDefault="001024AC" w:rsidP="001F63CF">
      <w:r>
        <w:continuationSeparator/>
      </w:r>
    </w:p>
  </w:footnote>
  <w:footnote w:id="1">
    <w:p w14:paraId="739BAEA6" w14:textId="34CC16D3" w:rsidR="004524A0" w:rsidRPr="004F2514" w:rsidRDefault="004524A0" w:rsidP="001F63CF">
      <w:pPr>
        <w:pStyle w:val="FootnoteText"/>
        <w:rPr>
          <w:rFonts w:ascii="Times New Roman" w:hAnsi="Times New Roman"/>
        </w:rPr>
      </w:pPr>
      <w:r w:rsidRPr="004F2514">
        <w:rPr>
          <w:rStyle w:val="FootnoteReference"/>
          <w:rFonts w:ascii="Times New Roman" w:hAnsi="Times New Roman"/>
        </w:rPr>
        <w:footnoteRef/>
      </w:r>
      <w:r w:rsidRPr="004F2514">
        <w:rPr>
          <w:rFonts w:ascii="Times New Roman" w:hAnsi="Times New Roman"/>
        </w:rPr>
        <w:t xml:space="preserve"> To date, the Expert Mechanism has carried out studies on themes including indigenous peoples’ rights with respect to their cultural heritage; access to justice for indigenous peoples; the right to health and indigenous peoples;</w:t>
      </w:r>
      <w:r w:rsidR="005D053D" w:rsidRPr="004F2514">
        <w:rPr>
          <w:rFonts w:ascii="Times New Roman" w:hAnsi="Times New Roman"/>
        </w:rPr>
        <w:t xml:space="preserve"> right to participate in decision-making;</w:t>
      </w:r>
      <w:r w:rsidRPr="004F2514">
        <w:rPr>
          <w:rFonts w:ascii="Times New Roman" w:hAnsi="Times New Roman"/>
        </w:rPr>
        <w:t xml:space="preserve"> the right of indigenous peoples to education; the free, prior and informed consent and migration.</w:t>
      </w:r>
    </w:p>
  </w:footnote>
  <w:footnote w:id="2">
    <w:p w14:paraId="291D510D" w14:textId="31246359" w:rsidR="00322779" w:rsidRPr="004F2514" w:rsidRDefault="00322779">
      <w:pPr>
        <w:pStyle w:val="FootnoteText"/>
        <w:rPr>
          <w:rFonts w:ascii="Times New Roman" w:hAnsi="Times New Roman"/>
        </w:rPr>
      </w:pPr>
      <w:r w:rsidRPr="004F2514">
        <w:rPr>
          <w:rStyle w:val="FootnoteReference"/>
          <w:rFonts w:ascii="Times New Roman" w:hAnsi="Times New Roman"/>
        </w:rPr>
        <w:footnoteRef/>
      </w:r>
      <w:r w:rsidRPr="004F2514">
        <w:rPr>
          <w:rFonts w:ascii="Times New Roman" w:hAnsi="Times New Roman"/>
        </w:rPr>
        <w:t xml:space="preserve"> The introduction and legal framework </w:t>
      </w:r>
      <w:r w:rsidR="00267D41">
        <w:rPr>
          <w:rFonts w:ascii="Times New Roman" w:hAnsi="Times New Roman"/>
        </w:rPr>
        <w:t>to the Study</w:t>
      </w:r>
      <w:r w:rsidRPr="004F2514">
        <w:rPr>
          <w:rFonts w:ascii="Times New Roman" w:hAnsi="Times New Roman"/>
        </w:rPr>
        <w:t xml:space="preserve"> will include the link between self-determination (</w:t>
      </w:r>
      <w:r w:rsidR="00267D41">
        <w:rPr>
          <w:rFonts w:ascii="Times New Roman" w:hAnsi="Times New Roman"/>
        </w:rPr>
        <w:t xml:space="preserve">UNDRIP </w:t>
      </w:r>
      <w:r w:rsidR="004F2514" w:rsidRPr="004F2514">
        <w:rPr>
          <w:rFonts w:ascii="Times New Roman" w:hAnsi="Times New Roman"/>
        </w:rPr>
        <w:t xml:space="preserve">preamble paras. 6, 10, 11 and 12 and </w:t>
      </w:r>
      <w:r w:rsidRPr="004F2514">
        <w:rPr>
          <w:rFonts w:ascii="Times New Roman" w:hAnsi="Times New Roman"/>
        </w:rPr>
        <w:t>articles 3, 4 and 5) and land</w:t>
      </w:r>
      <w:r w:rsidR="004F2514" w:rsidRPr="004F2514">
        <w:rPr>
          <w:rFonts w:ascii="Times New Roman" w:hAnsi="Times New Roman"/>
        </w:rPr>
        <w:t>s, territories and natural resources.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17F4C" w14:textId="77777777" w:rsidR="00B54E0E" w:rsidRDefault="00B54E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C52F5" w14:textId="328DADC4" w:rsidR="004524A0" w:rsidRPr="00267D41" w:rsidRDefault="00557A56" w:rsidP="001C0C34">
    <w:pPr>
      <w:pStyle w:val="Header"/>
      <w:tabs>
        <w:tab w:val="clear" w:pos="4680"/>
        <w:tab w:val="clear" w:pos="9360"/>
        <w:tab w:val="left" w:pos="2040"/>
        <w:tab w:val="left" w:pos="3615"/>
      </w:tabs>
      <w:jc w:val="right"/>
      <w:rPr>
        <w:rFonts w:cstheme="minorBidi"/>
        <w:b/>
        <w:szCs w:val="25"/>
        <w:cs/>
        <w:lang w:bidi="th-TH"/>
      </w:rPr>
    </w:pPr>
    <w:r w:rsidRPr="00B14B73">
      <w:rPr>
        <w:rFonts w:asciiTheme="minorHAnsi" w:hAnsiTheme="minorHAnsi"/>
        <w:noProof/>
      </w:rPr>
      <w:drawing>
        <wp:anchor distT="0" distB="0" distL="114300" distR="114300" simplePos="0" relativeHeight="251659264" behindDoc="1" locked="0" layoutInCell="1" allowOverlap="1" wp14:anchorId="2E147DCB" wp14:editId="55AA1409">
          <wp:simplePos x="0" y="0"/>
          <wp:positionH relativeFrom="column">
            <wp:posOffset>-96012</wp:posOffset>
          </wp:positionH>
          <wp:positionV relativeFrom="paragraph">
            <wp:posOffset>-296545</wp:posOffset>
          </wp:positionV>
          <wp:extent cx="1990725" cy="927735"/>
          <wp:effectExtent l="0" t="0" r="0" b="0"/>
          <wp:wrapThrough wrapText="bothSides">
            <wp:wrapPolygon edited="0">
              <wp:start x="3927" y="3105"/>
              <wp:lineTo x="3100" y="6209"/>
              <wp:lineTo x="1447" y="11088"/>
              <wp:lineTo x="1447" y="16411"/>
              <wp:lineTo x="3514" y="17741"/>
              <wp:lineTo x="11989" y="18628"/>
              <wp:lineTo x="12815" y="18628"/>
              <wp:lineTo x="19843" y="17741"/>
              <wp:lineTo x="20463" y="16854"/>
              <wp:lineTo x="19636" y="11088"/>
              <wp:lineTo x="20256" y="8427"/>
              <wp:lineTo x="4961" y="3105"/>
              <wp:lineTo x="3927" y="3105"/>
            </wp:wrapPolygon>
          </wp:wrapThrough>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27735"/>
                  </a:xfrm>
                  <a:prstGeom prst="rect">
                    <a:avLst/>
                  </a:prstGeom>
                  <a:noFill/>
                  <a:ln>
                    <a:noFill/>
                  </a:ln>
                </pic:spPr>
              </pic:pic>
            </a:graphicData>
          </a:graphic>
          <wp14:sizeRelH relativeFrom="page">
            <wp14:pctWidth>0</wp14:pctWidth>
          </wp14:sizeRelH>
          <wp14:sizeRelV relativeFrom="page">
            <wp14:pctHeight>0</wp14:pctHeight>
          </wp14:sizeRelV>
        </wp:anchor>
      </w:drawing>
    </w:r>
    <w:r w:rsidR="00267D41">
      <w:rPr>
        <w:rFonts w:cstheme="minorBidi"/>
        <w:szCs w:val="25"/>
        <w:cs/>
        <w:lang w:bidi="th-TH"/>
      </w:rPr>
      <w:tab/>
    </w:r>
    <w:r w:rsidR="00267D41">
      <w:rPr>
        <w:rFonts w:cstheme="minorBidi"/>
        <w:szCs w:val="25"/>
        <w:cs/>
        <w:lang w:bidi="th-TH"/>
      </w:rPr>
      <w:tab/>
    </w:r>
    <w:r w:rsidR="00267D41">
      <w:rPr>
        <w:rFonts w:cstheme="minorBidi"/>
        <w:szCs w:val="25"/>
        <w:cs/>
        <w:lang w:bidi="th-TH"/>
      </w:rPr>
      <w:tab/>
    </w:r>
    <w:r w:rsidR="001C0C34">
      <w:rPr>
        <w:rFonts w:cstheme="minorBidi"/>
        <w:b/>
        <w:noProof/>
        <w:szCs w:val="25"/>
      </w:rPr>
      <w:drawing>
        <wp:inline distT="0" distB="0" distL="0" distR="0" wp14:anchorId="004FF63F" wp14:editId="1B3C49F0">
          <wp:extent cx="848252"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UP LOGO only one.png"/>
                  <pic:cNvPicPr/>
                </pic:nvPicPr>
                <pic:blipFill rotWithShape="1">
                  <a:blip r:embed="rId2">
                    <a:extLst>
                      <a:ext uri="{28A0092B-C50C-407E-A947-70E740481C1C}">
                        <a14:useLocalDpi xmlns:a14="http://schemas.microsoft.com/office/drawing/2010/main" val="0"/>
                      </a:ext>
                    </a:extLst>
                  </a:blip>
                  <a:srcRect l="13059" t="8246" r="12028" b="10997"/>
                  <a:stretch/>
                </pic:blipFill>
                <pic:spPr bwMode="auto">
                  <a:xfrm>
                    <a:off x="0" y="0"/>
                    <a:ext cx="852922" cy="919434"/>
                  </a:xfrm>
                  <a:prstGeom prst="rect">
                    <a:avLst/>
                  </a:prstGeom>
                  <a:ln>
                    <a:noFill/>
                  </a:ln>
                  <a:extLst>
                    <a:ext uri="{53640926-AAD7-44D8-BBD7-CCE9431645EC}">
                      <a14:shadowObscured xmlns:a14="http://schemas.microsoft.com/office/drawing/2010/main"/>
                    </a:ext>
                  </a:extLst>
                </pic:spPr>
              </pic:pic>
            </a:graphicData>
          </a:graphic>
        </wp:inline>
      </w:drawing>
    </w:r>
  </w:p>
  <w:p w14:paraId="20327B47" w14:textId="5DC29B29" w:rsidR="004524A0" w:rsidRPr="001C0C34" w:rsidRDefault="004524A0" w:rsidP="008E73CB">
    <w:pPr>
      <w:pStyle w:val="Header"/>
      <w:tabs>
        <w:tab w:val="clear" w:pos="4680"/>
        <w:tab w:val="clear" w:pos="9360"/>
        <w:tab w:val="left" w:pos="8415"/>
      </w:tabs>
      <w:rPr>
        <w:lang w:val="en-US"/>
      </w:rPr>
    </w:pPr>
    <w:r>
      <w:rPr>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80BE0" w14:textId="77777777" w:rsidR="00B54E0E" w:rsidRDefault="00B54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729"/>
    <w:multiLevelType w:val="hybridMultilevel"/>
    <w:tmpl w:val="A48C3066"/>
    <w:lvl w:ilvl="0" w:tplc="08090001">
      <w:start w:val="1"/>
      <w:numFmt w:val="bullet"/>
      <w:lvlText w:val=""/>
      <w:lvlJc w:val="left"/>
      <w:pPr>
        <w:ind w:left="894" w:hanging="360"/>
      </w:pPr>
      <w:rPr>
        <w:rFonts w:ascii="Symbol" w:hAnsi="Symbol" w:hint="default"/>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1" w15:restartNumberingAfterBreak="0">
    <w:nsid w:val="0C8C7DD9"/>
    <w:multiLevelType w:val="hybridMultilevel"/>
    <w:tmpl w:val="A810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E7CD1"/>
    <w:multiLevelType w:val="hybridMultilevel"/>
    <w:tmpl w:val="4D4E284E"/>
    <w:lvl w:ilvl="0" w:tplc="08090001">
      <w:start w:val="1"/>
      <w:numFmt w:val="bullet"/>
      <w:lvlText w:val=""/>
      <w:lvlJc w:val="left"/>
      <w:pPr>
        <w:ind w:left="894" w:hanging="360"/>
      </w:pPr>
      <w:rPr>
        <w:rFonts w:ascii="Symbol" w:hAnsi="Symbol" w:hint="default"/>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3" w15:restartNumberingAfterBreak="0">
    <w:nsid w:val="12103667"/>
    <w:multiLevelType w:val="hybridMultilevel"/>
    <w:tmpl w:val="8E94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811491"/>
    <w:multiLevelType w:val="hybridMultilevel"/>
    <w:tmpl w:val="30CEAD2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7543D6"/>
    <w:multiLevelType w:val="hybridMultilevel"/>
    <w:tmpl w:val="6BBEC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4547A"/>
    <w:multiLevelType w:val="hybridMultilevel"/>
    <w:tmpl w:val="823CC5E0"/>
    <w:numStyleLink w:val="Marcadores"/>
  </w:abstractNum>
  <w:abstractNum w:abstractNumId="7" w15:restartNumberingAfterBreak="0">
    <w:nsid w:val="386B128E"/>
    <w:multiLevelType w:val="hybridMultilevel"/>
    <w:tmpl w:val="0EC4E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65D08"/>
    <w:multiLevelType w:val="hybridMultilevel"/>
    <w:tmpl w:val="823CC5E0"/>
    <w:styleLink w:val="Marcadores"/>
    <w:lvl w:ilvl="0" w:tplc="D28CD5C0">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2C2AEC">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425F68">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52552C">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BA9D2C">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16D146">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F83C36">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BC3306">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54B82A">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1835D78"/>
    <w:multiLevelType w:val="hybridMultilevel"/>
    <w:tmpl w:val="0CE6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03AF2"/>
    <w:multiLevelType w:val="hybridMultilevel"/>
    <w:tmpl w:val="293C3904"/>
    <w:lvl w:ilvl="0" w:tplc="08090001">
      <w:start w:val="1"/>
      <w:numFmt w:val="bullet"/>
      <w:lvlText w:val=""/>
      <w:lvlJc w:val="left"/>
      <w:pPr>
        <w:ind w:left="894" w:hanging="360"/>
      </w:pPr>
      <w:rPr>
        <w:rFonts w:ascii="Symbol" w:hAnsi="Symbol" w:hint="default"/>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11" w15:restartNumberingAfterBreak="0">
    <w:nsid w:val="586D19B1"/>
    <w:multiLevelType w:val="hybridMultilevel"/>
    <w:tmpl w:val="8E0C0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9A5378"/>
    <w:multiLevelType w:val="hybridMultilevel"/>
    <w:tmpl w:val="E834C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03214A"/>
    <w:multiLevelType w:val="hybridMultilevel"/>
    <w:tmpl w:val="2D4C1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3"/>
  </w:num>
  <w:num w:numId="4">
    <w:abstractNumId w:val="12"/>
  </w:num>
  <w:num w:numId="5">
    <w:abstractNumId w:val="7"/>
  </w:num>
  <w:num w:numId="6">
    <w:abstractNumId w:val="4"/>
  </w:num>
  <w:num w:numId="7">
    <w:abstractNumId w:val="9"/>
  </w:num>
  <w:num w:numId="8">
    <w:abstractNumId w:val="8"/>
  </w:num>
  <w:num w:numId="9">
    <w:abstractNumId w:val="6"/>
  </w:num>
  <w:num w:numId="10">
    <w:abstractNumId w:val="0"/>
  </w:num>
  <w:num w:numId="11">
    <w:abstractNumId w:val="2"/>
  </w:num>
  <w:num w:numId="12">
    <w:abstractNumId w:val="5"/>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CF"/>
    <w:rsid w:val="00051F05"/>
    <w:rsid w:val="000A51CB"/>
    <w:rsid w:val="000F6C67"/>
    <w:rsid w:val="0010026B"/>
    <w:rsid w:val="001024AC"/>
    <w:rsid w:val="001375F9"/>
    <w:rsid w:val="00147B19"/>
    <w:rsid w:val="00151171"/>
    <w:rsid w:val="00161BCD"/>
    <w:rsid w:val="00184CDE"/>
    <w:rsid w:val="001B6709"/>
    <w:rsid w:val="001C0C34"/>
    <w:rsid w:val="001E1888"/>
    <w:rsid w:val="001F63CF"/>
    <w:rsid w:val="002137F7"/>
    <w:rsid w:val="00216727"/>
    <w:rsid w:val="00267D41"/>
    <w:rsid w:val="002B250B"/>
    <w:rsid w:val="00322779"/>
    <w:rsid w:val="003729B6"/>
    <w:rsid w:val="00375576"/>
    <w:rsid w:val="003B3514"/>
    <w:rsid w:val="004347AC"/>
    <w:rsid w:val="004524A0"/>
    <w:rsid w:val="0049407E"/>
    <w:rsid w:val="00494995"/>
    <w:rsid w:val="004B4BA4"/>
    <w:rsid w:val="004F2514"/>
    <w:rsid w:val="0054730D"/>
    <w:rsid w:val="005525B3"/>
    <w:rsid w:val="00557A56"/>
    <w:rsid w:val="00594605"/>
    <w:rsid w:val="005D053D"/>
    <w:rsid w:val="00621834"/>
    <w:rsid w:val="006F7406"/>
    <w:rsid w:val="00735A0D"/>
    <w:rsid w:val="007C4BAF"/>
    <w:rsid w:val="007F6DC7"/>
    <w:rsid w:val="008218F1"/>
    <w:rsid w:val="0089371B"/>
    <w:rsid w:val="008E135E"/>
    <w:rsid w:val="008E73CB"/>
    <w:rsid w:val="008F7FE7"/>
    <w:rsid w:val="00A03CFF"/>
    <w:rsid w:val="00A147FA"/>
    <w:rsid w:val="00A23EE2"/>
    <w:rsid w:val="00A62CAD"/>
    <w:rsid w:val="00AB32C8"/>
    <w:rsid w:val="00AE18DF"/>
    <w:rsid w:val="00B325EF"/>
    <w:rsid w:val="00B471A0"/>
    <w:rsid w:val="00B54E0E"/>
    <w:rsid w:val="00B57B4B"/>
    <w:rsid w:val="00BF2E5D"/>
    <w:rsid w:val="00C43D4D"/>
    <w:rsid w:val="00CA24CB"/>
    <w:rsid w:val="00CA6BDD"/>
    <w:rsid w:val="00CF3E5C"/>
    <w:rsid w:val="00D07770"/>
    <w:rsid w:val="00D74950"/>
    <w:rsid w:val="00D956F2"/>
    <w:rsid w:val="00DF250A"/>
    <w:rsid w:val="00E40A13"/>
    <w:rsid w:val="00ED183F"/>
    <w:rsid w:val="00EF7F98"/>
    <w:rsid w:val="00F320C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5620197"/>
  <w15:docId w15:val="{BCE8D122-E1F5-4305-8C4D-647C2EBC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3CF"/>
    <w:pPr>
      <w:spacing w:after="0" w:line="240" w:lineRule="auto"/>
    </w:pPr>
    <w:rPr>
      <w:rFonts w:ascii="Calibri" w:eastAsia="Calibri" w:hAnsi="Calibri" w:cs="Times New Roman"/>
      <w:sz w:val="20"/>
      <w:szCs w:val="20"/>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3CF"/>
    <w:pPr>
      <w:tabs>
        <w:tab w:val="center" w:pos="4680"/>
        <w:tab w:val="right" w:pos="9360"/>
      </w:tabs>
    </w:pPr>
  </w:style>
  <w:style w:type="character" w:customStyle="1" w:styleId="HeaderChar">
    <w:name w:val="Header Char"/>
    <w:basedOn w:val="DefaultParagraphFont"/>
    <w:link w:val="Header"/>
    <w:uiPriority w:val="99"/>
    <w:rsid w:val="001F63CF"/>
  </w:style>
  <w:style w:type="paragraph" w:styleId="Footer">
    <w:name w:val="footer"/>
    <w:basedOn w:val="Normal"/>
    <w:link w:val="FooterChar"/>
    <w:uiPriority w:val="99"/>
    <w:unhideWhenUsed/>
    <w:rsid w:val="001F63CF"/>
    <w:pPr>
      <w:tabs>
        <w:tab w:val="center" w:pos="4680"/>
        <w:tab w:val="right" w:pos="9360"/>
      </w:tabs>
    </w:pPr>
  </w:style>
  <w:style w:type="character" w:customStyle="1" w:styleId="FooterChar">
    <w:name w:val="Footer Char"/>
    <w:basedOn w:val="DefaultParagraphFont"/>
    <w:link w:val="Footer"/>
    <w:uiPriority w:val="99"/>
    <w:rsid w:val="001F63CF"/>
  </w:style>
  <w:style w:type="paragraph" w:styleId="BalloonText">
    <w:name w:val="Balloon Text"/>
    <w:basedOn w:val="Normal"/>
    <w:link w:val="BalloonTextChar"/>
    <w:uiPriority w:val="99"/>
    <w:semiHidden/>
    <w:unhideWhenUsed/>
    <w:rsid w:val="001F63CF"/>
    <w:rPr>
      <w:rFonts w:ascii="Tahoma" w:hAnsi="Tahoma" w:cs="Angsana New"/>
      <w:sz w:val="16"/>
    </w:rPr>
  </w:style>
  <w:style w:type="character" w:customStyle="1" w:styleId="BalloonTextChar">
    <w:name w:val="Balloon Text Char"/>
    <w:basedOn w:val="DefaultParagraphFont"/>
    <w:link w:val="BalloonText"/>
    <w:uiPriority w:val="99"/>
    <w:semiHidden/>
    <w:rsid w:val="001F63CF"/>
    <w:rPr>
      <w:rFonts w:ascii="Tahoma" w:hAnsi="Tahoma" w:cs="Angsana New"/>
      <w:sz w:val="16"/>
      <w:szCs w:val="20"/>
    </w:rPr>
  </w:style>
  <w:style w:type="paragraph" w:customStyle="1" w:styleId="Normal1">
    <w:name w:val="Normal1"/>
    <w:qFormat/>
    <w:rsid w:val="001F63CF"/>
    <w:pPr>
      <w:spacing w:after="0" w:line="240" w:lineRule="auto"/>
    </w:pPr>
    <w:rPr>
      <w:rFonts w:ascii="Calibri" w:eastAsia="Calibri" w:hAnsi="Calibri" w:cs="Times New Roman"/>
      <w:szCs w:val="22"/>
      <w:lang w:val="en-GB" w:bidi="ar-SA"/>
    </w:rPr>
  </w:style>
  <w:style w:type="paragraph" w:styleId="ListParagraph">
    <w:name w:val="List Paragraph"/>
    <w:basedOn w:val="Normal1"/>
    <w:uiPriority w:val="34"/>
    <w:qFormat/>
    <w:rsid w:val="001F63CF"/>
    <w:pPr>
      <w:ind w:left="720"/>
      <w:contextualSpacing/>
    </w:pPr>
  </w:style>
  <w:style w:type="paragraph" w:styleId="FootnoteText">
    <w:name w:val="footnote text"/>
    <w:basedOn w:val="Normal"/>
    <w:link w:val="FootnoteTextChar"/>
    <w:uiPriority w:val="99"/>
    <w:unhideWhenUsed/>
    <w:rsid w:val="001F63CF"/>
  </w:style>
  <w:style w:type="character" w:customStyle="1" w:styleId="FootnoteTextChar">
    <w:name w:val="Footnote Text Char"/>
    <w:basedOn w:val="DefaultParagraphFont"/>
    <w:link w:val="FootnoteText"/>
    <w:uiPriority w:val="99"/>
    <w:rsid w:val="001F63CF"/>
    <w:rPr>
      <w:rFonts w:ascii="Calibri" w:eastAsia="Calibri" w:hAnsi="Calibri" w:cs="Times New Roman"/>
      <w:sz w:val="20"/>
      <w:szCs w:val="20"/>
      <w:lang w:val="en-GB" w:eastAsia="en-GB" w:bidi="ar-SA"/>
    </w:rPr>
  </w:style>
  <w:style w:type="character" w:styleId="FootnoteReference">
    <w:name w:val="footnote reference"/>
    <w:basedOn w:val="DefaultParagraphFont"/>
    <w:uiPriority w:val="99"/>
    <w:semiHidden/>
    <w:unhideWhenUsed/>
    <w:rsid w:val="001F63CF"/>
    <w:rPr>
      <w:vertAlign w:val="superscript"/>
    </w:rPr>
  </w:style>
  <w:style w:type="paragraph" w:styleId="PlainText">
    <w:name w:val="Plain Text"/>
    <w:basedOn w:val="Normal"/>
    <w:link w:val="PlainTextChar"/>
    <w:uiPriority w:val="99"/>
    <w:unhideWhenUsed/>
    <w:rsid w:val="001F63CF"/>
    <w:rPr>
      <w:rFonts w:eastAsiaTheme="minorHAnsi" w:cstheme="minorBidi"/>
      <w:sz w:val="22"/>
      <w:szCs w:val="21"/>
      <w:lang w:eastAsia="en-US"/>
    </w:rPr>
  </w:style>
  <w:style w:type="character" w:customStyle="1" w:styleId="PlainTextChar">
    <w:name w:val="Plain Text Char"/>
    <w:basedOn w:val="DefaultParagraphFont"/>
    <w:link w:val="PlainText"/>
    <w:uiPriority w:val="99"/>
    <w:rsid w:val="001F63CF"/>
    <w:rPr>
      <w:rFonts w:ascii="Calibri" w:hAnsi="Calibri"/>
      <w:szCs w:val="21"/>
      <w:lang w:val="en-GB" w:bidi="ar-SA"/>
    </w:rPr>
  </w:style>
  <w:style w:type="paragraph" w:customStyle="1" w:styleId="Corpo">
    <w:name w:val="Corpo"/>
    <w:rsid w:val="000F6C67"/>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val="nb-NO" w:eastAsia="nb-NO" w:bidi="ar-SA"/>
    </w:rPr>
  </w:style>
  <w:style w:type="numbering" w:customStyle="1" w:styleId="Marcadores">
    <w:name w:val="Marcadores"/>
    <w:rsid w:val="000F6C67"/>
    <w:pPr>
      <w:numPr>
        <w:numId w:val="8"/>
      </w:numPr>
    </w:pPr>
  </w:style>
  <w:style w:type="paragraph" w:styleId="CommentText">
    <w:name w:val="annotation text"/>
    <w:basedOn w:val="Normal"/>
    <w:link w:val="CommentTextChar"/>
    <w:uiPriority w:val="99"/>
    <w:unhideWhenUsed/>
    <w:rsid w:val="000F6C67"/>
    <w:pPr>
      <w:pBdr>
        <w:top w:val="nil"/>
        <w:left w:val="nil"/>
        <w:bottom w:val="nil"/>
        <w:right w:val="nil"/>
        <w:between w:val="nil"/>
        <w:bar w:val="nil"/>
      </w:pBdr>
    </w:pPr>
    <w:rPr>
      <w:rFonts w:ascii="Times New Roman" w:eastAsia="Arial Unicode MS" w:hAnsi="Times New Roman"/>
      <w:bdr w:val="nil"/>
      <w:lang w:val="en-US" w:eastAsia="en-US"/>
    </w:rPr>
  </w:style>
  <w:style w:type="character" w:customStyle="1" w:styleId="CommentTextChar">
    <w:name w:val="Comment Text Char"/>
    <w:basedOn w:val="DefaultParagraphFont"/>
    <w:link w:val="CommentText"/>
    <w:uiPriority w:val="99"/>
    <w:rsid w:val="000F6C67"/>
    <w:rPr>
      <w:rFonts w:ascii="Times New Roman" w:eastAsia="Arial Unicode MS" w:hAnsi="Times New Roman" w:cs="Times New Roman"/>
      <w:sz w:val="20"/>
      <w:szCs w:val="20"/>
      <w:bdr w:val="nil"/>
      <w:lang w:bidi="ar-SA"/>
    </w:rPr>
  </w:style>
  <w:style w:type="character" w:styleId="CommentReference">
    <w:name w:val="annotation reference"/>
    <w:basedOn w:val="DefaultParagraphFont"/>
    <w:uiPriority w:val="99"/>
    <w:semiHidden/>
    <w:unhideWhenUsed/>
    <w:rsid w:val="000F6C67"/>
    <w:rPr>
      <w:sz w:val="16"/>
      <w:szCs w:val="16"/>
    </w:rPr>
  </w:style>
  <w:style w:type="paragraph" w:styleId="CommentSubject">
    <w:name w:val="annotation subject"/>
    <w:basedOn w:val="CommentText"/>
    <w:next w:val="CommentText"/>
    <w:link w:val="CommentSubjectChar"/>
    <w:uiPriority w:val="99"/>
    <w:semiHidden/>
    <w:unhideWhenUsed/>
    <w:rsid w:val="00A03CF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
      <w:bCs/>
      <w:bdr w:val="none" w:sz="0" w:space="0" w:color="auto"/>
      <w:lang w:val="en-GB" w:eastAsia="en-GB"/>
    </w:rPr>
  </w:style>
  <w:style w:type="character" w:customStyle="1" w:styleId="CommentSubjectChar">
    <w:name w:val="Comment Subject Char"/>
    <w:basedOn w:val="CommentTextChar"/>
    <w:link w:val="CommentSubject"/>
    <w:uiPriority w:val="99"/>
    <w:semiHidden/>
    <w:rsid w:val="00A03CFF"/>
    <w:rPr>
      <w:rFonts w:ascii="Calibri" w:eastAsia="Calibri" w:hAnsi="Calibri" w:cs="Times New Roman"/>
      <w:b/>
      <w:bCs/>
      <w:sz w:val="20"/>
      <w:szCs w:val="20"/>
      <w:bdr w:val="nil"/>
      <w:lang w:val="en-GB" w:eastAsia="en-GB" w:bidi="ar-SA"/>
    </w:rPr>
  </w:style>
  <w:style w:type="paragraph" w:styleId="NormalWeb">
    <w:name w:val="Normal (Web)"/>
    <w:basedOn w:val="Normal"/>
    <w:uiPriority w:val="99"/>
    <w:semiHidden/>
    <w:unhideWhenUsed/>
    <w:rsid w:val="004524A0"/>
    <w:pPr>
      <w:spacing w:before="100" w:beforeAutospacing="1" w:after="100" w:afterAutospacing="1"/>
    </w:pPr>
    <w:rPr>
      <w:rFonts w:ascii="Times New Roman" w:eastAsiaTheme="minorHAnsi" w:hAnsi="Times New Roman"/>
      <w:lang w:val="ru-RU" w:eastAsia="ru-RU"/>
    </w:rPr>
  </w:style>
  <w:style w:type="character" w:styleId="Hyperlink">
    <w:name w:val="Hyperlink"/>
    <w:basedOn w:val="DefaultParagraphFont"/>
    <w:uiPriority w:val="99"/>
    <w:unhideWhenUsed/>
    <w:rsid w:val="00B471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439644">
      <w:bodyDiv w:val="1"/>
      <w:marLeft w:val="0"/>
      <w:marRight w:val="0"/>
      <w:marTop w:val="0"/>
      <w:marBottom w:val="0"/>
      <w:divBdr>
        <w:top w:val="none" w:sz="0" w:space="0" w:color="auto"/>
        <w:left w:val="none" w:sz="0" w:space="0" w:color="auto"/>
        <w:bottom w:val="none" w:sz="0" w:space="0" w:color="auto"/>
        <w:right w:val="none" w:sz="0" w:space="0" w:color="auto"/>
      </w:divBdr>
      <w:divsChild>
        <w:div w:id="1793161731">
          <w:marLeft w:val="0"/>
          <w:marRight w:val="0"/>
          <w:marTop w:val="0"/>
          <w:marBottom w:val="0"/>
          <w:divBdr>
            <w:top w:val="none" w:sz="0" w:space="0" w:color="auto"/>
            <w:left w:val="none" w:sz="0" w:space="0" w:color="auto"/>
            <w:bottom w:val="none" w:sz="0" w:space="0" w:color="auto"/>
            <w:right w:val="none" w:sz="0" w:space="0" w:color="auto"/>
          </w:divBdr>
          <w:divsChild>
            <w:div w:id="1494948125">
              <w:marLeft w:val="0"/>
              <w:marRight w:val="0"/>
              <w:marTop w:val="0"/>
              <w:marBottom w:val="0"/>
              <w:divBdr>
                <w:top w:val="none" w:sz="0" w:space="0" w:color="auto"/>
                <w:left w:val="none" w:sz="0" w:space="0" w:color="auto"/>
                <w:bottom w:val="none" w:sz="0" w:space="0" w:color="auto"/>
                <w:right w:val="none" w:sz="0" w:space="0" w:color="auto"/>
              </w:divBdr>
              <w:divsChild>
                <w:div w:id="14922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A4BF2F-0883-451C-8BE0-6C4677AC1659}">
  <ds:schemaRefs>
    <ds:schemaRef ds:uri="http://schemas.openxmlformats.org/officeDocument/2006/bibliography"/>
  </ds:schemaRefs>
</ds:datastoreItem>
</file>

<file path=customXml/itemProps2.xml><?xml version="1.0" encoding="utf-8"?>
<ds:datastoreItem xmlns:ds="http://schemas.openxmlformats.org/officeDocument/2006/customXml" ds:itemID="{F3B63C25-D896-4CB0-A7A2-BAC006BBDE10}"/>
</file>

<file path=customXml/itemProps3.xml><?xml version="1.0" encoding="utf-8"?>
<ds:datastoreItem xmlns:ds="http://schemas.openxmlformats.org/officeDocument/2006/customXml" ds:itemID="{0BAE0031-9BE7-44C5-98AC-099E6668F476}"/>
</file>

<file path=customXml/itemProps4.xml><?xml version="1.0" encoding="utf-8"?>
<ds:datastoreItem xmlns:ds="http://schemas.openxmlformats.org/officeDocument/2006/customXml" ds:itemID="{B78F80F6-82E4-4709-ACDB-5E72F52A4E11}"/>
</file>

<file path=docProps/app.xml><?xml version="1.0" encoding="utf-8"?>
<Properties xmlns="http://schemas.openxmlformats.org/officeDocument/2006/extended-properties" xmlns:vt="http://schemas.openxmlformats.org/officeDocument/2006/docPropsVTypes">
  <Template>Normal.dotm</Template>
  <TotalTime>1</TotalTime>
  <Pages>4</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FOX Catherine</cp:lastModifiedBy>
  <cp:revision>2</cp:revision>
  <dcterms:created xsi:type="dcterms:W3CDTF">2019-10-21T13:40:00Z</dcterms:created>
  <dcterms:modified xsi:type="dcterms:W3CDTF">2019-10-21T13:40:00Z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