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3C" w:rsidRDefault="000F3F97">
      <w:r>
        <w:t>PARLIAMENTARY ASSEMBLY, COMMITTEE ON LEGAL AFFAIRS AND HUMAN RIGHTS</w:t>
      </w:r>
    </w:p>
    <w:p w:rsidR="001937AB" w:rsidRDefault="000F3F97">
      <w:r>
        <w:t>HUMAN RIGHTS COMPATIBILITY OF INVESTOR-STATE ARBITRATIION IN INTERNATIONAL INVESTOR-PROTECTION AGREEMENTS</w:t>
      </w:r>
      <w:r w:rsidR="00E84EC7">
        <w:t xml:space="preserve">,   </w:t>
      </w:r>
      <w:r>
        <w:t xml:space="preserve">STRASBOURG 19 APRIL 2016  </w:t>
      </w:r>
    </w:p>
    <w:p w:rsidR="000F3F97" w:rsidRDefault="000F3F97">
      <w:r>
        <w:t>-- ALFRED DE ZAYAS, UN INDEPENDENT EXPERT ON THE PROMOTION OF A DEMOCRATIC AND EQUITABLE INTERNATIONAL ORDER</w:t>
      </w:r>
    </w:p>
    <w:p w:rsidR="000F3F97" w:rsidRPr="00E84EC7" w:rsidRDefault="000F3F97">
      <w:pPr>
        <w:rPr>
          <w:b/>
        </w:rPr>
      </w:pPr>
      <w:r w:rsidRPr="00E84EC7">
        <w:rPr>
          <w:b/>
        </w:rPr>
        <w:t>Dear Pieter Omtzigt, distinguished Parliamentarians, colleagues, ladies and gentlemen</w:t>
      </w:r>
    </w:p>
    <w:p w:rsidR="0062582F" w:rsidRDefault="000F3F97">
      <w:r>
        <w:t xml:space="preserve">In 2012 the United Nations Human Rights Council entrusted me with the newly created mandate of the Independent Expert on the Promotion of a Democratic and Equitable Order.  </w:t>
      </w:r>
      <w:r w:rsidR="00623EFD">
        <w:t xml:space="preserve">Since then </w:t>
      </w:r>
      <w:r>
        <w:t>I have presented four reports to the HR Council and four to the General Assembly. Relevant to this hearing are my 2015 report to the Council</w:t>
      </w:r>
      <w:r w:rsidR="0062582F">
        <w:t xml:space="preserve"> (A/HRC/30/44) </w:t>
      </w:r>
      <w:r>
        <w:t xml:space="preserve"> on bilateral investment treaties and multilateral trade agreements and my 2015 report to the General Assembly</w:t>
      </w:r>
      <w:r w:rsidR="0062582F">
        <w:t xml:space="preserve"> (A/70/285)</w:t>
      </w:r>
      <w:r>
        <w:t xml:space="preserve"> on the incompatibility of the investor-state dispute settlement mechanism with numerous provisions of the </w:t>
      </w:r>
      <w:r w:rsidRPr="00BB04B6">
        <w:rPr>
          <w:b/>
        </w:rPr>
        <w:t>UN Charter</w:t>
      </w:r>
      <w:r>
        <w:t>, human rights treaty obligations, notably the International Covenant on Civil and Political Rights and the International Covenant on Economic, Social and Cultural Rights,</w:t>
      </w:r>
      <w:r w:rsidR="0062582F">
        <w:t xml:space="preserve"> International Labour Organization and World Health Organization Conventions, including the Framework Convention on Tobacco Control, the Framework Convention on Climate Change, numerous General Assembly Resolutions, notably  </w:t>
      </w:r>
      <w:r w:rsidR="00623EFD">
        <w:t>the 2030 Agenda for Sustainable Development</w:t>
      </w:r>
      <w:r>
        <w:t xml:space="preserve"> </w:t>
      </w:r>
      <w:r w:rsidR="00623EFD">
        <w:t xml:space="preserve">(A/70/1), </w:t>
      </w:r>
      <w:r>
        <w:t xml:space="preserve">and certain general principles of law </w:t>
      </w:r>
      <w:r w:rsidR="00623EFD">
        <w:t>such as</w:t>
      </w:r>
      <w:r>
        <w:t xml:space="preserve"> good faith, the prohibition of abuse of rights</w:t>
      </w:r>
      <w:r w:rsidR="00407CC4">
        <w:rPr>
          <w:rStyle w:val="FootnoteReference"/>
        </w:rPr>
        <w:footnoteReference w:id="1"/>
      </w:r>
      <w:r>
        <w:t>, and the prohibition of</w:t>
      </w:r>
      <w:r w:rsidR="00540C7D">
        <w:t xml:space="preserve"> unconscionable or </w:t>
      </w:r>
      <w:r w:rsidRPr="0062582F">
        <w:rPr>
          <w:i/>
        </w:rPr>
        <w:t>contra bonos mores</w:t>
      </w:r>
      <w:r w:rsidR="00623EFD">
        <w:rPr>
          <w:i/>
        </w:rPr>
        <w:t xml:space="preserve"> </w:t>
      </w:r>
      <w:r w:rsidR="00623EFD" w:rsidRPr="00623EFD">
        <w:t>agreements</w:t>
      </w:r>
      <w:r w:rsidR="008F07C6">
        <w:rPr>
          <w:rStyle w:val="FootnoteReference"/>
        </w:rPr>
        <w:footnoteReference w:id="2"/>
      </w:r>
      <w:r w:rsidR="0062582F">
        <w:t>.</w:t>
      </w:r>
    </w:p>
    <w:p w:rsidR="0062582F" w:rsidRDefault="0062582F">
      <w:r>
        <w:lastRenderedPageBreak/>
        <w:t>In his memorandum of 18 February 2016</w:t>
      </w:r>
      <w:r w:rsidR="00623EFD">
        <w:t>,</w:t>
      </w:r>
      <w:r>
        <w:t xml:space="preserve"> Rapporteur Pieter Omtzigt</w:t>
      </w:r>
      <w:r w:rsidR="000F3F97">
        <w:t xml:space="preserve"> </w:t>
      </w:r>
      <w:r w:rsidR="001937AB">
        <w:t>focuses</w:t>
      </w:r>
      <w:r>
        <w:t xml:space="preserve"> on the </w:t>
      </w:r>
      <w:r w:rsidR="001937AB">
        <w:t xml:space="preserve">core values of the </w:t>
      </w:r>
      <w:r w:rsidR="00623EFD">
        <w:t>Council of Europe</w:t>
      </w:r>
      <w:r w:rsidR="001937AB">
        <w:t xml:space="preserve"> --</w:t>
      </w:r>
      <w:r w:rsidR="00623EFD">
        <w:t xml:space="preserve"> </w:t>
      </w:r>
      <w:r>
        <w:t>democracy</w:t>
      </w:r>
      <w:r w:rsidR="00623EFD">
        <w:t xml:space="preserve">, </w:t>
      </w:r>
      <w:r>
        <w:t>the rule of law</w:t>
      </w:r>
      <w:r w:rsidR="00623EFD">
        <w:t xml:space="preserve"> and human rights, which must be central</w:t>
      </w:r>
      <w:r>
        <w:t xml:space="preserve"> to any discussion on ISDS and the proposed Investment Court System.  For members of the European Union, article 21(1) of the Treaty of Lisbon stipulates “The Union’s action on the international scene shall be guided by the principles which have inspired its own creation, development and enlargement, and which it seeks to advance in the wider world:  democracy, the rule of law, the universality and indivisibility of human rights and fundamental freedoms, respect for the principles of the United Nations Charter and international law.”</w:t>
      </w:r>
      <w:r w:rsidR="00AC750E">
        <w:rPr>
          <w:rStyle w:val="FootnoteReference"/>
        </w:rPr>
        <w:footnoteReference w:id="3"/>
      </w:r>
      <w:r>
        <w:t xml:space="preserve">  </w:t>
      </w:r>
      <w:r w:rsidR="008F07C6">
        <w:t xml:space="preserve">I consider ISDS to be </w:t>
      </w:r>
      <w:r w:rsidR="008F07C6" w:rsidRPr="00FC1C70">
        <w:rPr>
          <w:b/>
        </w:rPr>
        <w:t>unconstitutional</w:t>
      </w:r>
      <w:r w:rsidR="00FC1C70">
        <w:rPr>
          <w:b/>
        </w:rPr>
        <w:t xml:space="preserve"> under</w:t>
      </w:r>
      <w:r w:rsidR="008F07C6" w:rsidRPr="00FC1C70">
        <w:rPr>
          <w:b/>
        </w:rPr>
        <w:t xml:space="preserve"> European law</w:t>
      </w:r>
      <w:r w:rsidR="00FC1C70">
        <w:rPr>
          <w:rStyle w:val="FootnoteReference"/>
        </w:rPr>
        <w:footnoteReference w:id="4"/>
      </w:r>
      <w:r w:rsidR="008F07C6">
        <w:t>,</w:t>
      </w:r>
      <w:r w:rsidR="00CD60B9">
        <w:t xml:space="preserve"> and believe that the European Court of Justice in Luxembourg should so rule if an appropriate</w:t>
      </w:r>
      <w:r w:rsidR="00FC1C70">
        <w:t xml:space="preserve"> case is brought before it.  </w:t>
      </w:r>
    </w:p>
    <w:p w:rsidR="001937AB" w:rsidRDefault="00FC1C70">
      <w:r>
        <w:t>As m</w:t>
      </w:r>
      <w:r w:rsidR="0062582F">
        <w:t xml:space="preserve">y 2015 reports to the Human Rights Council and General Assembly </w:t>
      </w:r>
      <w:r w:rsidR="00623EFD">
        <w:t>substantiate</w:t>
      </w:r>
      <w:r>
        <w:t xml:space="preserve">, </w:t>
      </w:r>
      <w:r w:rsidR="00623EFD">
        <w:t>ISDS constitutes a</w:t>
      </w:r>
      <w:r w:rsidR="00A83D56">
        <w:t>n</w:t>
      </w:r>
      <w:r w:rsidR="00623EFD">
        <w:t xml:space="preserve"> assault on democracy, subvert</w:t>
      </w:r>
      <w:r w:rsidR="001937AB">
        <w:t>s</w:t>
      </w:r>
      <w:r w:rsidR="00623EFD">
        <w:t xml:space="preserve"> the rule of law and </w:t>
      </w:r>
      <w:r w:rsidR="00555071">
        <w:t>violate</w:t>
      </w:r>
      <w:r w:rsidR="001937AB">
        <w:t>s</w:t>
      </w:r>
      <w:r w:rsidR="00555071">
        <w:t xml:space="preserve"> </w:t>
      </w:r>
      <w:r w:rsidR="00A83D56">
        <w:t xml:space="preserve">numerous </w:t>
      </w:r>
      <w:r w:rsidR="00555071">
        <w:t xml:space="preserve">civil, political, economic, social and cultural </w:t>
      </w:r>
      <w:r w:rsidR="00623EFD">
        <w:t>rights</w:t>
      </w:r>
      <w:r w:rsidR="001937AB">
        <w:t xml:space="preserve">. </w:t>
      </w:r>
      <w:r w:rsidR="004028AF">
        <w:t xml:space="preserve">The rule of law is </w:t>
      </w:r>
      <w:r w:rsidR="004028AF" w:rsidRPr="004028AF">
        <w:rPr>
          <w:b/>
        </w:rPr>
        <w:t>not</w:t>
      </w:r>
      <w:r w:rsidR="004028AF">
        <w:t xml:space="preserve"> the rule of blind positivism nor of clever legalisms to undermine justice. The letter of a treaty must never be instrumentalized against its spirit. </w:t>
      </w:r>
    </w:p>
    <w:p w:rsidR="00A00ED7" w:rsidRDefault="001937AB">
      <w:r>
        <w:t xml:space="preserve">Over </w:t>
      </w:r>
      <w:r w:rsidR="009F11C9">
        <w:t xml:space="preserve">the </w:t>
      </w:r>
      <w:r>
        <w:t>centuries</w:t>
      </w:r>
      <w:r w:rsidR="009F11C9">
        <w:t>,</w:t>
      </w:r>
      <w:r>
        <w:t xml:space="preserve"> </w:t>
      </w:r>
      <w:r w:rsidR="00555071">
        <w:t xml:space="preserve">Europe and what </w:t>
      </w:r>
      <w:r>
        <w:t>some referred to as</w:t>
      </w:r>
      <w:r w:rsidR="00555071">
        <w:t xml:space="preserve"> “civilized nations” evolved from despotism and authoritarianism </w:t>
      </w:r>
      <w:r>
        <w:t>to establish</w:t>
      </w:r>
      <w:r w:rsidR="00555071">
        <w:t xml:space="preserve"> a system of </w:t>
      </w:r>
      <w:r w:rsidR="00555071" w:rsidRPr="00FC1C70">
        <w:rPr>
          <w:b/>
        </w:rPr>
        <w:t>independent public courts</w:t>
      </w:r>
      <w:r w:rsidR="00555071">
        <w:t xml:space="preserve"> that function according to principles of transparency, accountability and </w:t>
      </w:r>
      <w:r w:rsidR="002F18C2">
        <w:t>predictability</w:t>
      </w:r>
      <w:r>
        <w:t xml:space="preserve">, an </w:t>
      </w:r>
      <w:r w:rsidRPr="00A83D56">
        <w:rPr>
          <w:i/>
        </w:rPr>
        <w:t>acquis</w:t>
      </w:r>
      <w:r>
        <w:t xml:space="preserve"> we would like to take for granted</w:t>
      </w:r>
      <w:r w:rsidR="00555071">
        <w:t xml:space="preserve">.  </w:t>
      </w:r>
      <w:r>
        <w:t>Yet,</w:t>
      </w:r>
      <w:r w:rsidR="00555071">
        <w:t xml:space="preserve"> countries that are ostensibly </w:t>
      </w:r>
      <w:r w:rsidR="002F18C2">
        <w:t>c</w:t>
      </w:r>
      <w:r w:rsidR="00555071">
        <w:t>o</w:t>
      </w:r>
      <w:r w:rsidR="002F18C2">
        <w:t>m</w:t>
      </w:r>
      <w:r w:rsidR="00555071">
        <w:t xml:space="preserve">mitted to </w:t>
      </w:r>
      <w:r w:rsidR="002F18C2">
        <w:t xml:space="preserve">democracy and the rule of law </w:t>
      </w:r>
      <w:r>
        <w:t>have</w:t>
      </w:r>
      <w:r w:rsidR="002F18C2">
        <w:t xml:space="preserve"> accept</w:t>
      </w:r>
      <w:r>
        <w:t>ed</w:t>
      </w:r>
      <w:r w:rsidR="002F18C2">
        <w:t xml:space="preserve"> the creation of </w:t>
      </w:r>
      <w:r w:rsidR="00555071">
        <w:t>a</w:t>
      </w:r>
      <w:r w:rsidR="00555071" w:rsidRPr="00FC1C70">
        <w:rPr>
          <w:b/>
        </w:rPr>
        <w:t xml:space="preserve"> </w:t>
      </w:r>
      <w:r w:rsidR="00555071" w:rsidRPr="00FC1C70">
        <w:rPr>
          <w:b/>
          <w:i/>
        </w:rPr>
        <w:t>privatized</w:t>
      </w:r>
      <w:r w:rsidR="00555071" w:rsidRPr="00FC1C70">
        <w:rPr>
          <w:b/>
        </w:rPr>
        <w:t xml:space="preserve"> system </w:t>
      </w:r>
      <w:r w:rsidR="004028AF">
        <w:rPr>
          <w:b/>
        </w:rPr>
        <w:t xml:space="preserve">of dispute settlement </w:t>
      </w:r>
      <w:r w:rsidR="00555071" w:rsidRPr="00FC1C70">
        <w:rPr>
          <w:b/>
        </w:rPr>
        <w:t>that is neither transparent nor accountable</w:t>
      </w:r>
      <w:r w:rsidR="002F18C2">
        <w:t xml:space="preserve"> and in most cases not even appealable.  </w:t>
      </w:r>
      <w:r w:rsidR="00555071">
        <w:t xml:space="preserve"> </w:t>
      </w:r>
      <w:r w:rsidR="0067684A">
        <w:t xml:space="preserve">The credibility of </w:t>
      </w:r>
      <w:r w:rsidR="004028AF">
        <w:t>the</w:t>
      </w:r>
      <w:r w:rsidR="0067684A">
        <w:t xml:space="preserve"> administration of justice and the necessity of stability and </w:t>
      </w:r>
      <w:r w:rsidR="0067684A" w:rsidRPr="0067684A">
        <w:rPr>
          <w:i/>
        </w:rPr>
        <w:t>Rechtssicherheit</w:t>
      </w:r>
      <w:r w:rsidR="0067684A">
        <w:t xml:space="preserve"> are undermined when </w:t>
      </w:r>
      <w:r w:rsidR="00623EFD">
        <w:t xml:space="preserve">three arbitrators </w:t>
      </w:r>
      <w:r w:rsidR="00D929A3">
        <w:t xml:space="preserve">whose lack of independence and accountability have been </w:t>
      </w:r>
      <w:r w:rsidR="004028AF">
        <w:t xml:space="preserve">repeatedly </w:t>
      </w:r>
      <w:r w:rsidR="003A6468">
        <w:t>signaled</w:t>
      </w:r>
      <w:r w:rsidR="00D929A3">
        <w:t xml:space="preserve"> by experts and civil society </w:t>
      </w:r>
      <w:r w:rsidR="003A6468">
        <w:t>organizations</w:t>
      </w:r>
      <w:r w:rsidR="00D929A3">
        <w:rPr>
          <w:rStyle w:val="FootnoteReference"/>
        </w:rPr>
        <w:footnoteReference w:id="5"/>
      </w:r>
      <w:r w:rsidR="00D929A3">
        <w:t xml:space="preserve"> are</w:t>
      </w:r>
      <w:r w:rsidR="0067684A">
        <w:t xml:space="preserve"> given the power to </w:t>
      </w:r>
      <w:r w:rsidR="00623EFD">
        <w:t xml:space="preserve">ignore the </w:t>
      </w:r>
      <w:r w:rsidR="0067684A">
        <w:t xml:space="preserve">legislation and judicial decisions of sovereign States and ultimately frustrate the </w:t>
      </w:r>
      <w:r w:rsidR="00623EFD">
        <w:t xml:space="preserve">democratic will of </w:t>
      </w:r>
      <w:r w:rsidR="0067684A">
        <w:t xml:space="preserve">many electorates who have voted for </w:t>
      </w:r>
      <w:r w:rsidR="0098766E">
        <w:t>just taxation of transnational enterprises,</w:t>
      </w:r>
      <w:r w:rsidR="009F11C9">
        <w:t xml:space="preserve"> for</w:t>
      </w:r>
      <w:r w:rsidR="0098766E">
        <w:t xml:space="preserve"> </w:t>
      </w:r>
      <w:r w:rsidR="0067684A">
        <w:t>environmental protection, access to generic medicines, improved labour standards, fo</w:t>
      </w:r>
      <w:r>
        <w:t>od security</w:t>
      </w:r>
      <w:r w:rsidR="00532FCC">
        <w:rPr>
          <w:rStyle w:val="FootnoteReference"/>
        </w:rPr>
        <w:footnoteReference w:id="6"/>
      </w:r>
      <w:r w:rsidR="009F11C9">
        <w:t>, employment and</w:t>
      </w:r>
      <w:r>
        <w:t xml:space="preserve"> social program</w:t>
      </w:r>
      <w:r w:rsidR="0067684A">
        <w:t>s.</w:t>
      </w:r>
    </w:p>
    <w:p w:rsidR="000F3F97" w:rsidRDefault="0067684A">
      <w:r>
        <w:t>Experience with ISDS over the past thirty years demonstrate</w:t>
      </w:r>
      <w:r w:rsidR="00A83D56">
        <w:t>s</w:t>
      </w:r>
      <w:r>
        <w:t xml:space="preserve"> that some countries have been forced to roll back social legislation and that in some cases governments have not even dared to enact environmental protection measures out of fear of being sued for billions of dollars before ISDS tribunals.  </w:t>
      </w:r>
      <w:r w:rsidR="001937AB">
        <w:t xml:space="preserve">This </w:t>
      </w:r>
      <w:r w:rsidR="001937AB" w:rsidRPr="00A00ED7">
        <w:rPr>
          <w:b/>
        </w:rPr>
        <w:t>regulatory chil</w:t>
      </w:r>
      <w:r w:rsidR="001937AB">
        <w:t>l – we may call it regulatory freeze – has impacte</w:t>
      </w:r>
      <w:r w:rsidR="00DC6AFE">
        <w:t>d not only developing countries.  E</w:t>
      </w:r>
      <w:r w:rsidR="001937AB">
        <w:t>ven countries like Canada have preferred to capitulate</w:t>
      </w:r>
      <w:r>
        <w:t xml:space="preserve"> to </w:t>
      </w:r>
      <w:r w:rsidR="001E5E7E">
        <w:t xml:space="preserve">threats and </w:t>
      </w:r>
      <w:r>
        <w:t xml:space="preserve">demands </w:t>
      </w:r>
      <w:r w:rsidR="00A83D56">
        <w:t xml:space="preserve">emanating from the oil </w:t>
      </w:r>
      <w:r w:rsidR="001E5E7E">
        <w:lastRenderedPageBreak/>
        <w:t xml:space="preserve">and pharmaceutical </w:t>
      </w:r>
      <w:r w:rsidR="00A83D56">
        <w:t>industr</w:t>
      </w:r>
      <w:r w:rsidR="001E5E7E">
        <w:t>ies</w:t>
      </w:r>
      <w:r w:rsidR="00F02C0D">
        <w:rPr>
          <w:rStyle w:val="FootnoteReference"/>
        </w:rPr>
        <w:footnoteReference w:id="7"/>
      </w:r>
      <w:r w:rsidR="00A83D56">
        <w:t>.</w:t>
      </w:r>
      <w:r>
        <w:t xml:space="preserve"> Germany</w:t>
      </w:r>
      <w:r w:rsidR="001937AB">
        <w:t xml:space="preserve"> </w:t>
      </w:r>
      <w:r>
        <w:t xml:space="preserve">is currently being sued by </w:t>
      </w:r>
      <w:r w:rsidR="00DC6AFE">
        <w:t xml:space="preserve">energy-giant </w:t>
      </w:r>
      <w:r w:rsidR="0098766E">
        <w:t>Vattenfall because of its post-Fukushima decision to phase out nuclear energy</w:t>
      </w:r>
      <w:r w:rsidR="00DC6AFE">
        <w:t xml:space="preserve">, and the US </w:t>
      </w:r>
      <w:r w:rsidR="0098766E">
        <w:t xml:space="preserve">is being sued by Trans-Canada for 15 billion dollars on account of Obama’s decisions not to allow the environmentally dangerous “Keystone pipeline” to be built.  </w:t>
      </w:r>
      <w:r w:rsidR="00197C95">
        <w:t xml:space="preserve">The latest assault on the right of sovereign States to protect the population and the environment is the outrageous ISDS case filed by Tobie Mining and Energy </w:t>
      </w:r>
      <w:r w:rsidR="00CE21B4">
        <w:t xml:space="preserve">Inc. </w:t>
      </w:r>
      <w:r w:rsidR="00197C95">
        <w:t>against Columbia</w:t>
      </w:r>
      <w:r w:rsidR="003A6468">
        <w:t>, claiming 16.5 b</w:t>
      </w:r>
      <w:r w:rsidR="00197C95">
        <w:t>illion dollars in compensation on account of Colombia’s refusal to let the mining company expand into the Amazonian Na</w:t>
      </w:r>
      <w:r w:rsidR="003A6468">
        <w:t>tional Park and pollute</w:t>
      </w:r>
      <w:r w:rsidR="00197C95">
        <w:t xml:space="preserve"> the Amazonian rainforest.</w:t>
      </w:r>
      <w:r w:rsidR="00CE21B4">
        <w:rPr>
          <w:rStyle w:val="FootnoteReference"/>
        </w:rPr>
        <w:footnoteReference w:id="8"/>
      </w:r>
    </w:p>
    <w:p w:rsidR="00CE21B4" w:rsidRDefault="0098766E">
      <w:r>
        <w:t>My reports</w:t>
      </w:r>
      <w:r w:rsidR="00876DDB">
        <w:t xml:space="preserve"> have the added value of </w:t>
      </w:r>
      <w:r w:rsidR="00197C95">
        <w:t>formulating</w:t>
      </w:r>
      <w:r>
        <w:t xml:space="preserve"> pragmatic and implementable recommendations for the consideration of States, Parliaments, Inter-governmental Organizations, National Human Rights Institutions and civil society.</w:t>
      </w:r>
      <w:r w:rsidR="002A5293">
        <w:t xml:space="preserve"> </w:t>
      </w:r>
      <w:r w:rsidR="001E5E7E">
        <w:t xml:space="preserve"> </w:t>
      </w:r>
      <w:r w:rsidR="001E5E7E" w:rsidRPr="00A00ED7">
        <w:rPr>
          <w:b/>
        </w:rPr>
        <w:t xml:space="preserve">Bottom line: </w:t>
      </w:r>
      <w:r w:rsidR="002A5293" w:rsidRPr="00A00ED7">
        <w:rPr>
          <w:b/>
        </w:rPr>
        <w:t xml:space="preserve"> </w:t>
      </w:r>
      <w:r w:rsidRPr="00A00ED7">
        <w:rPr>
          <w:b/>
        </w:rPr>
        <w:t>ISDS cannot be reformed, it must be abolished</w:t>
      </w:r>
      <w:r>
        <w:t>.</w:t>
      </w:r>
    </w:p>
    <w:p w:rsidR="001E5E7E" w:rsidRDefault="00CE21B4">
      <w:r>
        <w:t>W</w:t>
      </w:r>
      <w:r w:rsidR="002A5293">
        <w:t xml:space="preserve">e should not be </w:t>
      </w:r>
      <w:r w:rsidR="0098766E">
        <w:t xml:space="preserve">concerned </w:t>
      </w:r>
      <w:r w:rsidR="002A5293">
        <w:t xml:space="preserve">only </w:t>
      </w:r>
      <w:r w:rsidR="0098766E">
        <w:t xml:space="preserve">about </w:t>
      </w:r>
      <w:r>
        <w:t xml:space="preserve">the toxicity of </w:t>
      </w:r>
      <w:r w:rsidR="0098766E">
        <w:t xml:space="preserve">future agreements such as the </w:t>
      </w:r>
      <w:r>
        <w:t>CETA</w:t>
      </w:r>
      <w:r>
        <w:rPr>
          <w:rStyle w:val="FootnoteReference"/>
        </w:rPr>
        <w:footnoteReference w:id="9"/>
      </w:r>
      <w:r>
        <w:t xml:space="preserve">, </w:t>
      </w:r>
      <w:r w:rsidR="0098766E">
        <w:t xml:space="preserve">TPP, TTIP and TISA – </w:t>
      </w:r>
      <w:r w:rsidR="002A5293">
        <w:t>we must address</w:t>
      </w:r>
      <w:r w:rsidR="0098766E">
        <w:t xml:space="preserve"> the continued </w:t>
      </w:r>
      <w:r w:rsidR="00876DDB">
        <w:t xml:space="preserve">harm </w:t>
      </w:r>
      <w:r w:rsidR="0098766E">
        <w:t>caused by the existing 3200 bilateral investment agr</w:t>
      </w:r>
      <w:r w:rsidR="002A5293">
        <w:t>eements, which must</w:t>
      </w:r>
      <w:r w:rsidR="00876DDB">
        <w:t xml:space="preserve"> be revisited, revised or terminated,</w:t>
      </w:r>
      <w:r w:rsidR="0098766E">
        <w:t xml:space="preserve"> because the world has changed since the 1980’s and 1990’s and we now have the </w:t>
      </w:r>
      <w:r w:rsidR="0098766E" w:rsidRPr="00A00ED7">
        <w:rPr>
          <w:b/>
        </w:rPr>
        <w:t>empirical evidence</w:t>
      </w:r>
      <w:r w:rsidR="0098766E">
        <w:t xml:space="preserve"> that the promises of job creation</w:t>
      </w:r>
      <w:r w:rsidR="001E5E7E">
        <w:t>, growth</w:t>
      </w:r>
      <w:r w:rsidR="0098766E">
        <w:t xml:space="preserve"> and development </w:t>
      </w:r>
      <w:r w:rsidR="00876DDB">
        <w:t>have not been</w:t>
      </w:r>
      <w:r w:rsidR="001E5E7E">
        <w:t xml:space="preserve"> fulfilled;</w:t>
      </w:r>
      <w:r>
        <w:t xml:space="preserve"> we have evidence of environmental degradation, for which transnational corporations have not been held accountable.  Moreover,</w:t>
      </w:r>
      <w:r w:rsidR="001E5E7E">
        <w:t xml:space="preserve"> the gulf between rich and poor has grown nationally and internationally.</w:t>
      </w:r>
      <w:r w:rsidR="0098766E">
        <w:t xml:space="preserve">  </w:t>
      </w:r>
      <w:r w:rsidR="001E5E7E">
        <w:t>S</w:t>
      </w:r>
      <w:r w:rsidR="00876DDB">
        <w:t>tudies about the impact of NAFTA show that the Uni</w:t>
      </w:r>
      <w:r w:rsidR="002A5293">
        <w:t>ted States lost millions of</w:t>
      </w:r>
      <w:r w:rsidR="00876DDB">
        <w:t xml:space="preserve"> manufacturing and other jobs that were relocated to Mexico’s </w:t>
      </w:r>
      <w:r w:rsidR="00876DDB" w:rsidRPr="002A5293">
        <w:rPr>
          <w:i/>
        </w:rPr>
        <w:t>maquiladoras</w:t>
      </w:r>
      <w:r w:rsidR="00876DDB">
        <w:t>, where not only labour costs, but labour standards a</w:t>
      </w:r>
      <w:r w:rsidR="002A5293">
        <w:t>nd human rights protection are depressed</w:t>
      </w:r>
      <w:r w:rsidR="00876DDB">
        <w:t>.</w:t>
      </w:r>
    </w:p>
    <w:p w:rsidR="0098766E" w:rsidRDefault="0098766E">
      <w:r>
        <w:t xml:space="preserve">UNCTAD bears </w:t>
      </w:r>
      <w:r w:rsidR="00A00ED7">
        <w:t>some</w:t>
      </w:r>
      <w:r>
        <w:t xml:space="preserve"> responsibility for having </w:t>
      </w:r>
      <w:r w:rsidR="002A5293">
        <w:t xml:space="preserve">persuaded dozens </w:t>
      </w:r>
      <w:r>
        <w:t xml:space="preserve">of developing nations to come to Geneva for a photo opportunity and signing of bilateral agreements that have frequently proven to be toxic to them.  </w:t>
      </w:r>
      <w:r w:rsidR="001E5E7E">
        <w:t xml:space="preserve">In this sense, </w:t>
      </w:r>
      <w:r>
        <w:t xml:space="preserve">UNCTAD owes an apology to </w:t>
      </w:r>
      <w:r w:rsidR="001E5E7E">
        <w:t>those countries</w:t>
      </w:r>
      <w:r w:rsidR="00A00ED7">
        <w:t xml:space="preserve"> who relied to their detriment o</w:t>
      </w:r>
      <w:r w:rsidR="001E5E7E">
        <w:t>n UNCTAD’s over-optimistic projections. A</w:t>
      </w:r>
      <w:r w:rsidR="002A5293">
        <w:t>gain</w:t>
      </w:r>
      <w:r w:rsidR="00A00ED7">
        <w:t>,</w:t>
      </w:r>
      <w:r w:rsidR="002A5293">
        <w:t xml:space="preserve"> </w:t>
      </w:r>
      <w:r w:rsidR="001E5E7E">
        <w:t xml:space="preserve">I </w:t>
      </w:r>
      <w:r w:rsidR="002A5293">
        <w:t>call</w:t>
      </w:r>
      <w:r w:rsidR="00876DDB">
        <w:t xml:space="preserve"> upon UNCTAD to</w:t>
      </w:r>
      <w:r>
        <w:t xml:space="preserve"> </w:t>
      </w:r>
      <w:r w:rsidRPr="00A00ED7">
        <w:rPr>
          <w:b/>
        </w:rPr>
        <w:t>convene a world conference</w:t>
      </w:r>
      <w:r>
        <w:t xml:space="preserve"> to revise existing</w:t>
      </w:r>
      <w:r w:rsidR="00876DDB">
        <w:t xml:space="preserve"> trade and investment</w:t>
      </w:r>
      <w:r>
        <w:t xml:space="preserve"> treaties according to the </w:t>
      </w:r>
      <w:r w:rsidR="001E5E7E">
        <w:t>pertinent articles</w:t>
      </w:r>
      <w:r>
        <w:t xml:space="preserve"> of the Vienna Convention on the Law of Treaties, including provisions on error, fraud</w:t>
      </w:r>
      <w:r w:rsidR="00E84EC7">
        <w:t xml:space="preserve">, </w:t>
      </w:r>
      <w:r w:rsidRPr="002A5293">
        <w:rPr>
          <w:i/>
        </w:rPr>
        <w:t>rebus</w:t>
      </w:r>
      <w:r>
        <w:t xml:space="preserve"> </w:t>
      </w:r>
      <w:r w:rsidRPr="00876DDB">
        <w:rPr>
          <w:i/>
        </w:rPr>
        <w:t>sic stantibus</w:t>
      </w:r>
      <w:r w:rsidR="00E84EC7">
        <w:rPr>
          <w:i/>
        </w:rPr>
        <w:t xml:space="preserve"> </w:t>
      </w:r>
      <w:r w:rsidR="00E84EC7" w:rsidRPr="00E84EC7">
        <w:t>and incompatibility with peremptory norms</w:t>
      </w:r>
      <w:r w:rsidR="00A213EB">
        <w:rPr>
          <w:rStyle w:val="FootnoteReference"/>
        </w:rPr>
        <w:footnoteReference w:id="10"/>
      </w:r>
      <w:r>
        <w:t>.</w:t>
      </w:r>
      <w:r w:rsidR="00876DDB">
        <w:t xml:space="preserve">  </w:t>
      </w:r>
      <w:r w:rsidR="00A00ED7">
        <w:t xml:space="preserve">In my reports to the HR Council and General Assembly, </w:t>
      </w:r>
      <w:r w:rsidR="001E5E7E">
        <w:t>I propose</w:t>
      </w:r>
      <w:r w:rsidR="00876DDB">
        <w:t xml:space="preserve"> to revise </w:t>
      </w:r>
      <w:r w:rsidR="00A00ED7">
        <w:t xml:space="preserve">existing treaties by invoking </w:t>
      </w:r>
      <w:r w:rsidR="001E5E7E">
        <w:t xml:space="preserve">the doctrine of severability </w:t>
      </w:r>
      <w:r w:rsidR="00A00ED7">
        <w:t xml:space="preserve">and thus removing only </w:t>
      </w:r>
      <w:r w:rsidR="00876DDB">
        <w:t xml:space="preserve">those treaty provisions that are </w:t>
      </w:r>
      <w:r w:rsidR="00876DDB" w:rsidRPr="00876DDB">
        <w:rPr>
          <w:i/>
        </w:rPr>
        <w:t>contra bonos mores</w:t>
      </w:r>
      <w:r w:rsidR="00876DDB">
        <w:t>, such as ISDS and “survival clauses”.</w:t>
      </w:r>
    </w:p>
    <w:p w:rsidR="00D25D8A" w:rsidRDefault="0098766E">
      <w:r>
        <w:t>With regard to the establish</w:t>
      </w:r>
      <w:r w:rsidR="00D25D8A">
        <w:t xml:space="preserve">ment of </w:t>
      </w:r>
      <w:r>
        <w:t>an International Investment Court</w:t>
      </w:r>
      <w:r w:rsidR="002A5293">
        <w:t xml:space="preserve"> with an appeal chamber</w:t>
      </w:r>
      <w:r>
        <w:t xml:space="preserve">, the first question is </w:t>
      </w:r>
      <w:r w:rsidR="00D25D8A">
        <w:t>whether t</w:t>
      </w:r>
      <w:r w:rsidR="002A5293">
        <w:t>he US and the EU need it at all?</w:t>
      </w:r>
      <w:r>
        <w:t xml:space="preserve">  </w:t>
      </w:r>
      <w:r w:rsidR="002A5293">
        <w:t>Why should a special court give rights to investors to sue governments, whereas governments cannot sue invest</w:t>
      </w:r>
      <w:r w:rsidR="00AA04A0">
        <w:t xml:space="preserve">ors before the same tribunals? </w:t>
      </w:r>
      <w:r w:rsidR="002A5293">
        <w:t>And, d</w:t>
      </w:r>
      <w:r w:rsidR="00876DDB">
        <w:t xml:space="preserve">o </w:t>
      </w:r>
      <w:r w:rsidR="002A5293">
        <w:t xml:space="preserve">US and EU </w:t>
      </w:r>
      <w:r w:rsidR="00876DDB">
        <w:t xml:space="preserve">investors really need </w:t>
      </w:r>
      <w:r w:rsidR="00D25D8A">
        <w:t>privileged</w:t>
      </w:r>
      <w:r w:rsidR="00876DDB">
        <w:t xml:space="preserve"> protection?  </w:t>
      </w:r>
      <w:r w:rsidR="002A5293">
        <w:t>All potential parties to the TTIP are democratic States with competent and</w:t>
      </w:r>
      <w:r w:rsidR="00876DDB">
        <w:t xml:space="preserve"> independent courts </w:t>
      </w:r>
      <w:r w:rsidR="002A5293">
        <w:t>and</w:t>
      </w:r>
      <w:r w:rsidR="00876DDB">
        <w:t xml:space="preserve"> de</w:t>
      </w:r>
      <w:r w:rsidR="002A5293">
        <w:t xml:space="preserve">cades of rule of law experience. </w:t>
      </w:r>
      <w:r w:rsidR="00876DDB">
        <w:t xml:space="preserve"> </w:t>
      </w:r>
      <w:r w:rsidR="002A5293">
        <w:t>In its February 2016 opinion t</w:t>
      </w:r>
      <w:r>
        <w:t xml:space="preserve">he </w:t>
      </w:r>
      <w:r w:rsidRPr="002A5293">
        <w:rPr>
          <w:i/>
        </w:rPr>
        <w:t xml:space="preserve">Deutsche Richterbund </w:t>
      </w:r>
      <w:r w:rsidR="002A5293">
        <w:t xml:space="preserve">concluded </w:t>
      </w:r>
      <w:r w:rsidR="00876DDB">
        <w:t xml:space="preserve">that </w:t>
      </w:r>
      <w:r w:rsidR="002A5293">
        <w:t>the ICS</w:t>
      </w:r>
      <w:r w:rsidR="00876DDB">
        <w:t xml:space="preserve"> is not n</w:t>
      </w:r>
      <w:r>
        <w:t>eeded</w:t>
      </w:r>
      <w:r w:rsidR="00CE21B4">
        <w:rPr>
          <w:rStyle w:val="FootnoteReference"/>
        </w:rPr>
        <w:footnoteReference w:id="11"/>
      </w:r>
      <w:r>
        <w:t>.</w:t>
      </w:r>
      <w:r w:rsidR="002A5293">
        <w:t xml:space="preserve">  I would go beyond</w:t>
      </w:r>
      <w:r w:rsidR="001E5E7E">
        <w:t xml:space="preserve"> that </w:t>
      </w:r>
      <w:r w:rsidR="001E5E7E">
        <w:lastRenderedPageBreak/>
        <w:t>and insist</w:t>
      </w:r>
      <w:r w:rsidR="002A5293">
        <w:t xml:space="preserve"> that the very existence of the ICS would act as a brake on social change and social </w:t>
      </w:r>
      <w:r w:rsidR="004C2123">
        <w:t xml:space="preserve">justice, because States would still fear frivolous and vexatious litigation. </w:t>
      </w:r>
      <w:r w:rsidR="00AA04A0">
        <w:t xml:space="preserve"> The Dean of the </w:t>
      </w:r>
      <w:r w:rsidR="00AA04A0" w:rsidRPr="00AA04A0">
        <w:rPr>
          <w:i/>
          <w:color w:val="302A1F"/>
          <w:shd w:val="clear" w:color="auto" w:fill="FFFFFF"/>
        </w:rPr>
        <w:t>Colegio de la Abogacía</w:t>
      </w:r>
      <w:r w:rsidR="00AA04A0">
        <w:rPr>
          <w:color w:val="302A1F"/>
          <w:shd w:val="clear" w:color="auto" w:fill="FFFFFF"/>
        </w:rPr>
        <w:t xml:space="preserve"> in Barcelona</w:t>
      </w:r>
      <w:r w:rsidR="004C2123">
        <w:t xml:space="preserve"> </w:t>
      </w:r>
      <w:r w:rsidR="00AA04A0">
        <w:t>and numerous Spanish judges have similarly rejected the idea of special tribunals</w:t>
      </w:r>
      <w:r w:rsidR="005B78E3">
        <w:rPr>
          <w:rStyle w:val="FootnoteReference"/>
        </w:rPr>
        <w:footnoteReference w:id="12"/>
      </w:r>
      <w:r w:rsidR="00AA04A0">
        <w:t xml:space="preserve">.  </w:t>
      </w:r>
      <w:r w:rsidR="004C2123">
        <w:t xml:space="preserve">The only way to </w:t>
      </w:r>
      <w:r w:rsidR="00D25D8A">
        <w:t>begin to</w:t>
      </w:r>
      <w:r w:rsidR="004C2123">
        <w:t xml:space="preserve"> consider ICS </w:t>
      </w:r>
      <w:r w:rsidR="00D25D8A">
        <w:t>would be</w:t>
      </w:r>
      <w:r w:rsidR="004C2123">
        <w:t xml:space="preserve"> if the </w:t>
      </w:r>
      <w:r w:rsidR="00D25D8A">
        <w:t xml:space="preserve">ICS </w:t>
      </w:r>
      <w:r w:rsidR="004C2123">
        <w:t xml:space="preserve">Statute </w:t>
      </w:r>
      <w:r w:rsidR="001E5E7E">
        <w:t>stipulate</w:t>
      </w:r>
      <w:r w:rsidR="00D75556">
        <w:t>s</w:t>
      </w:r>
      <w:r w:rsidR="004C2123">
        <w:t xml:space="preserve"> a </w:t>
      </w:r>
      <w:r w:rsidR="004C2123" w:rsidRPr="00D25D8A">
        <w:rPr>
          <w:b/>
        </w:rPr>
        <w:t>complete carve-out of jurisdiction</w:t>
      </w:r>
      <w:r w:rsidR="004C2123">
        <w:t xml:space="preserve"> in matters of public health – e.g. tobacco control – </w:t>
      </w:r>
      <w:r w:rsidR="00C5349A">
        <w:t xml:space="preserve">environmental protection, labour standards, </w:t>
      </w:r>
      <w:r w:rsidR="004C2123">
        <w:t xml:space="preserve">budgetary and fiscal policies. </w:t>
      </w:r>
      <w:r w:rsidR="00D75556">
        <w:t xml:space="preserve"> Moreover, the</w:t>
      </w:r>
      <w:r w:rsidR="004C2123">
        <w:t xml:space="preserve"> statute should clarify that in case of conflict, human rights treaty obligations prevail.</w:t>
      </w:r>
      <w:r w:rsidR="00D75556">
        <w:t xml:space="preserve"> </w:t>
      </w:r>
    </w:p>
    <w:p w:rsidR="003029ED" w:rsidRDefault="00876DDB">
      <w:r>
        <w:t>At this juncture I would like to re</w:t>
      </w:r>
      <w:r w:rsidR="000B526C">
        <w:t>call</w:t>
      </w:r>
      <w:r>
        <w:t xml:space="preserve"> </w:t>
      </w:r>
      <w:r w:rsidRPr="00D25D8A">
        <w:rPr>
          <w:b/>
        </w:rPr>
        <w:t xml:space="preserve">two </w:t>
      </w:r>
      <w:r w:rsidR="000426AA" w:rsidRPr="00D25D8A">
        <w:rPr>
          <w:b/>
        </w:rPr>
        <w:t>ontologies</w:t>
      </w:r>
      <w:r w:rsidR="000426AA">
        <w:t xml:space="preserve"> that seem to have been lost in </w:t>
      </w:r>
      <w:r w:rsidR="000B526C">
        <w:t>the ideologically</w:t>
      </w:r>
      <w:r w:rsidR="00D25D8A">
        <w:t>-</w:t>
      </w:r>
      <w:r w:rsidR="009F11C9">
        <w:t>driven</w:t>
      </w:r>
      <w:r w:rsidR="004C2123">
        <w:t xml:space="preserve"> corporate narrative</w:t>
      </w:r>
      <w:r w:rsidR="000426AA">
        <w:t>.  First</w:t>
      </w:r>
      <w:r w:rsidR="004C2123">
        <w:t>:</w:t>
      </w:r>
      <w:r w:rsidR="000426AA">
        <w:t xml:space="preserve"> the ontology of the State</w:t>
      </w:r>
      <w:r w:rsidR="004C2123">
        <w:t xml:space="preserve">, its </w:t>
      </w:r>
      <w:r w:rsidR="004C2123" w:rsidRPr="004C2123">
        <w:rPr>
          <w:i/>
        </w:rPr>
        <w:t>raison d’être</w:t>
      </w:r>
      <w:r w:rsidR="004C2123">
        <w:t xml:space="preserve">, </w:t>
      </w:r>
      <w:r w:rsidR="000B526C">
        <w:t xml:space="preserve">which is </w:t>
      </w:r>
      <w:r w:rsidR="000426AA">
        <w:t xml:space="preserve">to legislate and regulate in the public interest.  </w:t>
      </w:r>
      <w:r w:rsidR="000B526C">
        <w:t xml:space="preserve">This includes taking preventive measures to avert potential harm to the population, e.g. as a result of fracking and other business activities.  </w:t>
      </w:r>
      <w:r w:rsidR="000426AA">
        <w:t>Second</w:t>
      </w:r>
      <w:r w:rsidR="001E5E7E">
        <w:t>:</w:t>
      </w:r>
      <w:r w:rsidR="000426AA">
        <w:t xml:space="preserve"> the ontology of business</w:t>
      </w:r>
      <w:r w:rsidR="000B526C">
        <w:t>, which</w:t>
      </w:r>
      <w:r w:rsidR="000426AA">
        <w:t xml:space="preserve"> </w:t>
      </w:r>
      <w:r w:rsidR="000B526C">
        <w:t xml:space="preserve">is </w:t>
      </w:r>
      <w:r w:rsidR="003029ED">
        <w:t>to take calculated risks</w:t>
      </w:r>
      <w:r w:rsidR="000B526C">
        <w:t xml:space="preserve"> for profit</w:t>
      </w:r>
      <w:r w:rsidR="000426AA">
        <w:t xml:space="preserve">.  It is </w:t>
      </w:r>
      <w:r w:rsidR="000B526C">
        <w:t>not for th</w:t>
      </w:r>
      <w:r w:rsidR="000426AA">
        <w:t>e State to guarantee the profits of an investor</w:t>
      </w:r>
      <w:r w:rsidR="000B526C">
        <w:t>, who can obtain r</w:t>
      </w:r>
      <w:r w:rsidR="000426AA">
        <w:t xml:space="preserve">isk insurance </w:t>
      </w:r>
      <w:r w:rsidR="000B526C">
        <w:t>and factor it in</w:t>
      </w:r>
      <w:r w:rsidR="000426AA">
        <w:t xml:space="preserve"> as part of the cost of doing business. </w:t>
      </w:r>
      <w:r w:rsidR="004C2123">
        <w:t xml:space="preserve"> </w:t>
      </w:r>
    </w:p>
    <w:p w:rsidR="00485D9C" w:rsidRDefault="000426AA">
      <w:r>
        <w:t xml:space="preserve">Some advocates of ISDS like to refer to the right to property </w:t>
      </w:r>
      <w:r w:rsidR="00485D9C">
        <w:t>in order to validate their claim to special protection</w:t>
      </w:r>
      <w:r>
        <w:t xml:space="preserve">. </w:t>
      </w:r>
      <w:r w:rsidR="00DE3C01">
        <w:t xml:space="preserve">They </w:t>
      </w:r>
      <w:r w:rsidR="005F269F">
        <w:t xml:space="preserve">refer to the BITs and FTAs and </w:t>
      </w:r>
      <w:r w:rsidR="00DE3C01">
        <w:t xml:space="preserve">invoke the principle </w:t>
      </w:r>
      <w:r w:rsidR="00DE3C01" w:rsidRPr="00DE3C01">
        <w:rPr>
          <w:i/>
        </w:rPr>
        <w:t>pacta sunt servanda</w:t>
      </w:r>
      <w:r w:rsidR="00DE3C01">
        <w:t xml:space="preserve"> </w:t>
      </w:r>
      <w:r w:rsidR="007C6F66">
        <w:t>in connection with their</w:t>
      </w:r>
      <w:r w:rsidR="00485D9C">
        <w:t xml:space="preserve"> expansive interpretation</w:t>
      </w:r>
      <w:r w:rsidR="007C6F66">
        <w:t>s</w:t>
      </w:r>
      <w:r w:rsidR="00485D9C">
        <w:t xml:space="preserve"> of “property”</w:t>
      </w:r>
      <w:r w:rsidR="000B526C">
        <w:t>,</w:t>
      </w:r>
      <w:r w:rsidR="00485D9C">
        <w:t xml:space="preserve"> “investment”</w:t>
      </w:r>
      <w:r w:rsidR="000B526C">
        <w:t xml:space="preserve"> and “legitimate expectations”</w:t>
      </w:r>
      <w:r w:rsidR="00DE3C01">
        <w:t>. No one disputes that</w:t>
      </w:r>
      <w:r>
        <w:t xml:space="preserve"> the right to property </w:t>
      </w:r>
      <w:r w:rsidR="00A213EB">
        <w:t>deserves protection, as</w:t>
      </w:r>
      <w:r>
        <w:t xml:space="preserve"> reflected in Protocol I to the </w:t>
      </w:r>
      <w:r w:rsidRPr="000B526C">
        <w:rPr>
          <w:b/>
        </w:rPr>
        <w:t>European Convention</w:t>
      </w:r>
      <w:r w:rsidR="000B526C" w:rsidRPr="000B526C">
        <w:rPr>
          <w:b/>
        </w:rPr>
        <w:t xml:space="preserve"> on Human Rights</w:t>
      </w:r>
      <w:r>
        <w:t xml:space="preserve"> and </w:t>
      </w:r>
      <w:r w:rsidR="003029ED">
        <w:t>in article 17 of the Universal D</w:t>
      </w:r>
      <w:r>
        <w:t>eclar</w:t>
      </w:r>
      <w:r w:rsidR="003029ED">
        <w:t>ation of Human R</w:t>
      </w:r>
      <w:r>
        <w:t xml:space="preserve">ights.  </w:t>
      </w:r>
      <w:r w:rsidR="00DE3C01">
        <w:t>And while t</w:t>
      </w:r>
      <w:r>
        <w:t xml:space="preserve">he International Covenant on Civil and Political Rights does not protect the right to property as such, any </w:t>
      </w:r>
      <w:r w:rsidR="00DE3C01">
        <w:t xml:space="preserve">arbitrary expropriation </w:t>
      </w:r>
      <w:r>
        <w:t>would constitute a violat</w:t>
      </w:r>
      <w:r w:rsidR="00A213EB">
        <w:t xml:space="preserve">ion of article 26 ICCPR, which prohibits discrimination.  </w:t>
      </w:r>
      <w:r w:rsidR="00F221E1">
        <w:t>But l</w:t>
      </w:r>
      <w:r w:rsidR="0071147D">
        <w:t xml:space="preserve">et us also remember that the right to property </w:t>
      </w:r>
      <w:r w:rsidR="007C6F66">
        <w:t xml:space="preserve">does </w:t>
      </w:r>
      <w:r w:rsidR="00E16D4E">
        <w:t>not proh</w:t>
      </w:r>
      <w:r w:rsidR="007C6F66">
        <w:t>ibit</w:t>
      </w:r>
      <w:r w:rsidR="0071147D">
        <w:t xml:space="preserve"> expropriations in the public interest (eminent domain), and must be seen in the context of other rights, including the right of peoples to self-determination, to sovereignty over their natural resources, to free, prior and informed consent, to access to information, to public participation in the conduct of public affairs, to food, water, education, health care and culture.  </w:t>
      </w:r>
      <w:r w:rsidR="000B526C">
        <w:t>And while</w:t>
      </w:r>
      <w:r w:rsidR="007C6F66">
        <w:t xml:space="preserve"> t</w:t>
      </w:r>
      <w:r w:rsidR="00485D9C">
        <w:t xml:space="preserve">he right to property </w:t>
      </w:r>
      <w:r w:rsidR="000B526C">
        <w:t xml:space="preserve">protects investors from arbitrary expropriation, it </w:t>
      </w:r>
      <w:r w:rsidR="00485D9C">
        <w:t>also protects the right of indigenous peoples to the</w:t>
      </w:r>
      <w:r w:rsidR="007C6F66">
        <w:t>ir</w:t>
      </w:r>
      <w:r w:rsidR="00485D9C">
        <w:t xml:space="preserve"> natural resources (Art 1 ICCPR, ICESCR), a</w:t>
      </w:r>
      <w:r w:rsidR="007C6F66">
        <w:t xml:space="preserve"> fact that transnational corporations and some</w:t>
      </w:r>
      <w:r w:rsidR="00485D9C">
        <w:t xml:space="preserve"> governments </w:t>
      </w:r>
      <w:r w:rsidR="007C6F66">
        <w:t>blithely ignore when spoliating</w:t>
      </w:r>
      <w:r w:rsidR="00485D9C">
        <w:t xml:space="preserve"> the indigenous of trillions of </w:t>
      </w:r>
      <w:r w:rsidR="007C6F66">
        <w:t>Euros</w:t>
      </w:r>
      <w:r w:rsidR="00485D9C">
        <w:t xml:space="preserve"> worth of minerals, gold, uranium, oil, gas, timber and other “property” found on indigenous territories.</w:t>
      </w:r>
    </w:p>
    <w:p w:rsidR="006051DA" w:rsidRDefault="00DE3C01">
      <w:r w:rsidRPr="00DE3C01">
        <w:rPr>
          <w:i/>
        </w:rPr>
        <w:t>Pacta sunt servanda</w:t>
      </w:r>
      <w:r>
        <w:t xml:space="preserve"> very much applies to the international human rights treaty regime, and all States parties to the ICCPR and ICESCR </w:t>
      </w:r>
      <w:r w:rsidR="00E16D4E">
        <w:t xml:space="preserve">must fulfill these hard law treaty obligations. States also </w:t>
      </w:r>
      <w:r>
        <w:t>have</w:t>
      </w:r>
      <w:r w:rsidR="007C6F66">
        <w:t xml:space="preserve"> a</w:t>
      </w:r>
      <w:r>
        <w:t xml:space="preserve"> legitimate interest in seeing that the provisions of these treaties are not undermined by </w:t>
      </w:r>
      <w:r w:rsidR="00E16D4E">
        <w:t xml:space="preserve">other commitments, including </w:t>
      </w:r>
      <w:r>
        <w:t xml:space="preserve">trade and investment treaties.  </w:t>
      </w:r>
      <w:r w:rsidR="000426AA">
        <w:t>As elsewhere, there is an issue of priorities which should be settled once and for all.</w:t>
      </w:r>
      <w:r w:rsidR="003029ED">
        <w:t xml:space="preserve"> While corporations would like to give primacy to business-friendly human rights, it is obvious that </w:t>
      </w:r>
      <w:r w:rsidR="00E16D4E">
        <w:t xml:space="preserve">the </w:t>
      </w:r>
      <w:r w:rsidR="003029ED">
        <w:t xml:space="preserve">freedom to engage in economic activity and the right to property </w:t>
      </w:r>
      <w:r w:rsidR="009F11C9">
        <w:t>must be in tandem with</w:t>
      </w:r>
      <w:r w:rsidR="003029ED">
        <w:t xml:space="preserve"> the rights to life, </w:t>
      </w:r>
      <w:r w:rsidR="00C96F2A">
        <w:t xml:space="preserve">food, </w:t>
      </w:r>
      <w:r w:rsidR="00E16D4E">
        <w:t xml:space="preserve">water, </w:t>
      </w:r>
      <w:r w:rsidR="003029ED">
        <w:t>health</w:t>
      </w:r>
      <w:r w:rsidR="00E16D4E">
        <w:t>, housing</w:t>
      </w:r>
      <w:r w:rsidR="003029ED">
        <w:t xml:space="preserve"> and privacy.</w:t>
      </w:r>
      <w:r w:rsidR="000426AA">
        <w:t xml:space="preserve"> </w:t>
      </w:r>
    </w:p>
    <w:p w:rsidR="00DE3C01" w:rsidRDefault="000426AA">
      <w:r>
        <w:t xml:space="preserve">In the European context we </w:t>
      </w:r>
      <w:r w:rsidR="002216A2">
        <w:t>acknowledge that States must also fulfill</w:t>
      </w:r>
      <w:r>
        <w:t xml:space="preserve"> the </w:t>
      </w:r>
      <w:r w:rsidR="002216A2">
        <w:t xml:space="preserve">provisions of the </w:t>
      </w:r>
      <w:r w:rsidR="00E16D4E" w:rsidRPr="00E16D4E">
        <w:rPr>
          <w:b/>
        </w:rPr>
        <w:t>European Social Charter</w:t>
      </w:r>
      <w:r w:rsidR="00E16D4E">
        <w:t xml:space="preserve">. We also recognize the precedent set by the ECHR </w:t>
      </w:r>
      <w:r>
        <w:t xml:space="preserve">judgment </w:t>
      </w:r>
      <w:r w:rsidR="00E16D4E">
        <w:t>in</w:t>
      </w:r>
      <w:r>
        <w:t xml:space="preserve"> </w:t>
      </w:r>
      <w:r w:rsidRPr="002E69A2">
        <w:rPr>
          <w:i/>
        </w:rPr>
        <w:t>Soering v. U.K</w:t>
      </w:r>
      <w:r>
        <w:t>.</w:t>
      </w:r>
      <w:r w:rsidR="006051DA">
        <w:t>,</w:t>
      </w:r>
      <w:r>
        <w:t xml:space="preserve"> </w:t>
      </w:r>
      <w:r w:rsidR="00E16D4E">
        <w:t>where</w:t>
      </w:r>
      <w:r>
        <w:t xml:space="preserve"> the Court decided that </w:t>
      </w:r>
      <w:r w:rsidRPr="00F221E1">
        <w:rPr>
          <w:b/>
        </w:rPr>
        <w:t>the European Convention</w:t>
      </w:r>
      <w:r w:rsidR="00F221E1" w:rsidRPr="00F221E1">
        <w:rPr>
          <w:b/>
        </w:rPr>
        <w:t xml:space="preserve"> on Human Rights</w:t>
      </w:r>
      <w:r w:rsidRPr="00F221E1">
        <w:rPr>
          <w:b/>
        </w:rPr>
        <w:t xml:space="preserve"> </w:t>
      </w:r>
      <w:r w:rsidR="002E69A2" w:rsidRPr="00F221E1">
        <w:rPr>
          <w:b/>
        </w:rPr>
        <w:t>prevails over an ext</w:t>
      </w:r>
      <w:r w:rsidRPr="00F221E1">
        <w:rPr>
          <w:b/>
        </w:rPr>
        <w:t>radition treaty</w:t>
      </w:r>
      <w:r>
        <w:t xml:space="preserve">.  </w:t>
      </w:r>
      <w:r w:rsidRPr="002E69A2">
        <w:rPr>
          <w:i/>
        </w:rPr>
        <w:lastRenderedPageBreak/>
        <w:t>Mutatis mutandis</w:t>
      </w:r>
      <w:r>
        <w:t xml:space="preserve">, every </w:t>
      </w:r>
      <w:r w:rsidR="00E30990">
        <w:t xml:space="preserve">judge and every arbitrator </w:t>
      </w:r>
      <w:r w:rsidR="00E16D4E">
        <w:t>must</w:t>
      </w:r>
      <w:r w:rsidR="00E30990">
        <w:t xml:space="preserve"> know that an investment treaty is not a “stand alone” code and</w:t>
      </w:r>
      <w:r w:rsidR="002E69A2">
        <w:t xml:space="preserve"> that in case of conflict with human rights treaty provisions, the latter must </w:t>
      </w:r>
      <w:r w:rsidR="003029ED">
        <w:t>not only be taken into account, but should be preeminent</w:t>
      </w:r>
      <w:r w:rsidR="002E69A2">
        <w:t xml:space="preserve">.  This would not do injustice to the investor, because investors can foresee the risk </w:t>
      </w:r>
      <w:r w:rsidR="00A213EB">
        <w:t>and</w:t>
      </w:r>
      <w:r w:rsidR="002E69A2">
        <w:t xml:space="preserve"> </w:t>
      </w:r>
      <w:r w:rsidR="00F221E1">
        <w:t>prepare for</w:t>
      </w:r>
      <w:r w:rsidR="00DE3C01">
        <w:t xml:space="preserve"> the probability that States, pursuant to their human rights treaty obligations, sooner or later </w:t>
      </w:r>
      <w:r w:rsidR="00F221E1">
        <w:t xml:space="preserve">will have to </w:t>
      </w:r>
      <w:r w:rsidR="002E69A2">
        <w:t>adjust their legislation to achieve budg</w:t>
      </w:r>
      <w:r w:rsidR="00CC5061">
        <w:t>etary and fiscal justice, protec</w:t>
      </w:r>
      <w:r w:rsidR="002E69A2">
        <w:t>t the population from genetically modified organisms</w:t>
      </w:r>
      <w:r w:rsidR="00D929A3">
        <w:t xml:space="preserve"> and food products</w:t>
      </w:r>
      <w:r w:rsidR="00CC5061">
        <w:t xml:space="preserve">, pesticides, </w:t>
      </w:r>
      <w:r w:rsidR="002E69A2">
        <w:t>toxic elements in fuels</w:t>
      </w:r>
      <w:r w:rsidR="00D929A3">
        <w:t xml:space="preserve"> and toys</w:t>
      </w:r>
      <w:r w:rsidR="002E69A2">
        <w:t xml:space="preserve">, </w:t>
      </w:r>
      <w:r w:rsidR="00CC5061">
        <w:t xml:space="preserve">and </w:t>
      </w:r>
      <w:r w:rsidR="002E69A2">
        <w:t>from environmental degradation</w:t>
      </w:r>
      <w:r w:rsidR="00E16D4E">
        <w:t>.  In the case of</w:t>
      </w:r>
      <w:r w:rsidR="00C96F2A">
        <w:t xml:space="preserve"> a dispute about the application of an investment treaty, the investor </w:t>
      </w:r>
      <w:r w:rsidR="00CC5061">
        <w:t xml:space="preserve">is </w:t>
      </w:r>
      <w:r w:rsidR="00CC5061" w:rsidRPr="00CC5061">
        <w:rPr>
          <w:b/>
        </w:rPr>
        <w:t>not</w:t>
      </w:r>
      <w:r w:rsidR="00CC5061">
        <w:t xml:space="preserve"> without remedy, but </w:t>
      </w:r>
      <w:r w:rsidR="00C96F2A">
        <w:t xml:space="preserve">can always turn to the courts of the countries where they are operating, or have recourse to diplomatic protection and the well-tried State to State dispute settlement mechanisms. </w:t>
      </w:r>
      <w:r w:rsidR="002E69A2">
        <w:t xml:space="preserve">  </w:t>
      </w:r>
      <w:r w:rsidR="00E30990">
        <w:t xml:space="preserve"> </w:t>
      </w:r>
    </w:p>
    <w:p w:rsidR="00876DDB" w:rsidRDefault="00DE3C01">
      <w:r w:rsidRPr="00F221E1">
        <w:rPr>
          <w:b/>
        </w:rPr>
        <w:t>Parliamentarians</w:t>
      </w:r>
      <w:r>
        <w:t xml:space="preserve"> should come to grips with the paradox that while they </w:t>
      </w:r>
      <w:r w:rsidR="006051DA">
        <w:t>ratify</w:t>
      </w:r>
      <w:r>
        <w:t xml:space="preserve"> human rights treaties that impose hard law obligations, they also enter into trade and investment agreements that render the fulfillment of human rights treaties more difficult or</w:t>
      </w:r>
      <w:r w:rsidR="006051DA">
        <w:t xml:space="preserve"> even</w:t>
      </w:r>
      <w:r>
        <w:t xml:space="preserve"> impossible.  Under no conditions should parliamentarians accept to fast-track the adoption of trade and investment agreements, which in a </w:t>
      </w:r>
      <w:r w:rsidR="000426AA">
        <w:t xml:space="preserve">democratic </w:t>
      </w:r>
      <w:r>
        <w:t xml:space="preserve">society, require full disclosure and public participation in conformity with articles 19 and 25 of the ICCPR.  Parliamentarians should pro-actively inform their constituents about the </w:t>
      </w:r>
      <w:r w:rsidR="00B26641">
        <w:t xml:space="preserve">facts and foreseeable </w:t>
      </w:r>
      <w:r>
        <w:t xml:space="preserve">consequences of </w:t>
      </w:r>
      <w:r w:rsidR="00B26641">
        <w:t xml:space="preserve">adopting trade and investment agreements.  Bearing in mind that the consequences can be very negative in the field of social rights, the adoption of free trade and investment agreements should be </w:t>
      </w:r>
      <w:r w:rsidR="006051DA">
        <w:t>conditioned on</w:t>
      </w:r>
      <w:r w:rsidR="00B26641">
        <w:t xml:space="preserve"> public </w:t>
      </w:r>
      <w:r w:rsidR="005F269F">
        <w:t>participation</w:t>
      </w:r>
      <w:r w:rsidR="00B26641">
        <w:t xml:space="preserve"> and </w:t>
      </w:r>
      <w:r w:rsidR="00B26641" w:rsidRPr="00F221E1">
        <w:rPr>
          <w:b/>
        </w:rPr>
        <w:t>referenda</w:t>
      </w:r>
      <w:r w:rsidR="00B26641">
        <w:t xml:space="preserve">. </w:t>
      </w:r>
      <w:r w:rsidR="005F269F">
        <w:t>Otherwise they lack democratic legitimacy, as indeed prior bilateral and multilateral agreements manifest grave democratic deficits which put into question their validity under international law</w:t>
      </w:r>
      <w:r w:rsidR="00B26641">
        <w:t>.</w:t>
      </w:r>
      <w:r w:rsidR="000426AA">
        <w:t xml:space="preserve"> </w:t>
      </w:r>
      <w:r w:rsidR="00B26641">
        <w:t xml:space="preserve">Civil society should also take advantage of the provisions of human rights treaties and submit appropriate cases to the European Court of Human Rights, the Human Rights Committee, the Committee on Economic, Social and Cultural Rights etc. in order to challenge the </w:t>
      </w:r>
      <w:r w:rsidR="00F221E1">
        <w:t>application</w:t>
      </w:r>
      <w:r w:rsidR="00B26641">
        <w:t xml:space="preserve"> of free trade and investment treaties when they result in violations of human rights.</w:t>
      </w:r>
    </w:p>
    <w:p w:rsidR="0098766E" w:rsidRDefault="00B26641">
      <w:r>
        <w:t xml:space="preserve">In order to obtain greater clarity on these issues, the UN General Assembly should invoke article 96 of the Charter and request an </w:t>
      </w:r>
      <w:r w:rsidRPr="00F221E1">
        <w:rPr>
          <w:b/>
        </w:rPr>
        <w:t>advisory opinion</w:t>
      </w:r>
      <w:r>
        <w:t xml:space="preserve"> from the International Court of Justice, which should specifically state that the human rights treaty regime must prevail ove</w:t>
      </w:r>
      <w:r w:rsidR="006051DA">
        <w:t>r competing treaties.  Moreover,</w:t>
      </w:r>
      <w:r>
        <w:t xml:space="preserve"> to the extent that free trade and investment agreements conflict with provisions of the UN Charter, undermine sovereignty, democracy, the rule of law, human rights and the right to development, the </w:t>
      </w:r>
      <w:r w:rsidR="0098766E" w:rsidRPr="00F221E1">
        <w:rPr>
          <w:b/>
        </w:rPr>
        <w:t>supremacy clause</w:t>
      </w:r>
      <w:r w:rsidRPr="00F221E1">
        <w:rPr>
          <w:b/>
        </w:rPr>
        <w:t xml:space="preserve"> (charter article 103</w:t>
      </w:r>
      <w:r>
        <w:t>) stipulates: ”</w:t>
      </w:r>
      <w:r w:rsidR="001937AB" w:rsidRPr="001937AB">
        <w:rPr>
          <w:rFonts w:ascii="Helvetica" w:hAnsi="Helvetica" w:cs="Helvetica"/>
          <w:color w:val="333333"/>
          <w:sz w:val="20"/>
          <w:szCs w:val="20"/>
          <w:shd w:val="clear" w:color="auto" w:fill="FFFFFF"/>
        </w:rPr>
        <w:t xml:space="preserve"> </w:t>
      </w:r>
      <w:r w:rsidR="001937AB">
        <w:rPr>
          <w:rFonts w:ascii="Helvetica" w:hAnsi="Helvetica" w:cs="Helvetica"/>
          <w:color w:val="333333"/>
          <w:sz w:val="20"/>
          <w:szCs w:val="20"/>
          <w:shd w:val="clear" w:color="auto" w:fill="FFFFFF"/>
        </w:rPr>
        <w:t>In the event of a conflict between the obligations of the Members of the United Nations under the present Charter and their obligations under any other international agreement, their obligations under the present Charter shall prevail.”</w:t>
      </w:r>
      <w:r w:rsidR="0078316E">
        <w:rPr>
          <w:rStyle w:val="FootnoteReference"/>
          <w:rFonts w:ascii="Helvetica" w:hAnsi="Helvetica" w:cs="Helvetica"/>
          <w:color w:val="333333"/>
          <w:sz w:val="20"/>
          <w:szCs w:val="20"/>
          <w:shd w:val="clear" w:color="auto" w:fill="FFFFFF"/>
        </w:rPr>
        <w:footnoteReference w:id="13"/>
      </w:r>
      <w:r w:rsidR="00730B46">
        <w:rPr>
          <w:rFonts w:ascii="Helvetica" w:hAnsi="Helvetica" w:cs="Helvetica"/>
          <w:color w:val="333333"/>
          <w:sz w:val="20"/>
          <w:szCs w:val="20"/>
          <w:shd w:val="clear" w:color="auto" w:fill="FFFFFF"/>
        </w:rPr>
        <w:t xml:space="preserve">  An  a</w:t>
      </w:r>
      <w:r w:rsidR="006051DA">
        <w:rPr>
          <w:rFonts w:ascii="Helvetica" w:hAnsi="Helvetica" w:cs="Helvetica"/>
          <w:color w:val="333333"/>
          <w:sz w:val="20"/>
          <w:szCs w:val="20"/>
          <w:shd w:val="clear" w:color="auto" w:fill="FFFFFF"/>
        </w:rPr>
        <w:t>dvisory opinion by the ICJ would surely confirm this.</w:t>
      </w:r>
    </w:p>
    <w:p w:rsidR="0098766E" w:rsidRDefault="006051DA">
      <w:r>
        <w:t>Allow me a few final thought</w:t>
      </w:r>
      <w:r w:rsidR="00542F22">
        <w:t>s</w:t>
      </w:r>
      <w:r>
        <w:t xml:space="preserve"> before the inter-active dialogue.  </w:t>
      </w:r>
    </w:p>
    <w:p w:rsidR="006051DA" w:rsidRDefault="006051DA" w:rsidP="006051DA">
      <w:pPr>
        <w:pStyle w:val="SingleTxtG"/>
        <w:ind w:left="0"/>
      </w:pPr>
      <w:r w:rsidRPr="002B39C1">
        <w:lastRenderedPageBreak/>
        <w:t xml:space="preserve">Modification or termination of international investment agreements may be a complex task, but much less problematic than, for example, </w:t>
      </w:r>
      <w:r w:rsidR="00C96F2A">
        <w:rPr>
          <w:lang w:val="en-US"/>
        </w:rPr>
        <w:t>resolving</w:t>
      </w:r>
      <w:r w:rsidRPr="002B39C1">
        <w:t xml:space="preserve"> armed conflict. T</w:t>
      </w:r>
      <w:r w:rsidR="00C96F2A">
        <w:rPr>
          <w:lang w:val="en-US"/>
        </w:rPr>
        <w:t>ime and again t</w:t>
      </w:r>
      <w:r w:rsidRPr="002B39C1">
        <w:t xml:space="preserve">he world economy has had to adjust </w:t>
      </w:r>
      <w:r w:rsidR="00C96F2A">
        <w:rPr>
          <w:lang w:val="en-US"/>
        </w:rPr>
        <w:t>in order</w:t>
      </w:r>
      <w:r w:rsidRPr="002B39C1">
        <w:t xml:space="preserve"> to advance the cause of </w:t>
      </w:r>
      <w:r w:rsidR="00C96F2A">
        <w:rPr>
          <w:lang w:val="en-US"/>
        </w:rPr>
        <w:t>civilization</w:t>
      </w:r>
      <w:r w:rsidRPr="002B39C1">
        <w:t xml:space="preserve">. So it was with the prohibition of the lucrative slave trade, the abolition of slavery and decolonization, which were replaced by other economic models. For centuries slavery was the de facto </w:t>
      </w:r>
      <w:r w:rsidRPr="00A01BB7">
        <w:t xml:space="preserve">economic model with implicit legality; colonialism was </w:t>
      </w:r>
      <w:r w:rsidRPr="002B39C1">
        <w:t>de facto</w:t>
      </w:r>
      <w:r w:rsidRPr="00A01BB7">
        <w:t xml:space="preserve"> the international order. Today these practices are seen as crimes against humanity. For decades, </w:t>
      </w:r>
      <w:r w:rsidRPr="002B39C1">
        <w:t>investor–State dispute settlement arbitrations have de facto</w:t>
      </w:r>
      <w:r w:rsidRPr="00A01BB7">
        <w:t xml:space="preserve"> upset the international order, but they cannot trump the </w:t>
      </w:r>
      <w:r w:rsidRPr="002B39C1">
        <w:t xml:space="preserve">Charter of the United Nations. Just as other economic paradigms were abandoned, eventually investor–State dispute settlement will be recognized as an experiment gone wrong, an attempted hijacking of constitutionality resulting in the retrogression of human rights. </w:t>
      </w:r>
      <w:r w:rsidR="00CC5061">
        <w:br/>
      </w:r>
      <w:r w:rsidR="00CC5061">
        <w:br/>
      </w:r>
      <w:r w:rsidRPr="002B39C1">
        <w:t>By way of conclusion, it would be appropriate to reaffirm that while free trade</w:t>
      </w:r>
      <w:r w:rsidR="005B78E3">
        <w:rPr>
          <w:lang w:val="en-US"/>
        </w:rPr>
        <w:t>, foreign direct investment and</w:t>
      </w:r>
      <w:r w:rsidRPr="002B39C1">
        <w:t xml:space="preserve"> investment agreements </w:t>
      </w:r>
      <w:r w:rsidR="005B78E3">
        <w:rPr>
          <w:lang w:val="en-US"/>
        </w:rPr>
        <w:t>can be beneficial</w:t>
      </w:r>
      <w:r w:rsidRPr="00A01BB7">
        <w:t>,</w:t>
      </w:r>
      <w:r w:rsidR="00C231F8">
        <w:rPr>
          <w:lang w:val="en-US"/>
        </w:rPr>
        <w:t xml:space="preserve"> they are not </w:t>
      </w:r>
      <w:r w:rsidR="00532FCC">
        <w:rPr>
          <w:lang w:val="en-US"/>
        </w:rPr>
        <w:t>end</w:t>
      </w:r>
      <w:r w:rsidR="00C231F8">
        <w:rPr>
          <w:lang w:val="en-US"/>
        </w:rPr>
        <w:t>s</w:t>
      </w:r>
      <w:r w:rsidR="00532FCC">
        <w:rPr>
          <w:lang w:val="en-US"/>
        </w:rPr>
        <w:t xml:space="preserve"> in themselves</w:t>
      </w:r>
      <w:r w:rsidR="005B78E3">
        <w:rPr>
          <w:lang w:val="en-US"/>
        </w:rPr>
        <w:t>, and sometimes their consequences</w:t>
      </w:r>
      <w:r w:rsidR="004028AF">
        <w:rPr>
          <w:lang w:val="en-US"/>
        </w:rPr>
        <w:t xml:space="preserve"> severely</w:t>
      </w:r>
      <w:r w:rsidR="005B78E3">
        <w:rPr>
          <w:lang w:val="en-US"/>
        </w:rPr>
        <w:t xml:space="preserve"> restrict the regulatory space of democratic governments and adversely impact the enjoyment of human rights</w:t>
      </w:r>
      <w:r w:rsidR="00532FCC">
        <w:rPr>
          <w:lang w:val="en-US"/>
        </w:rPr>
        <w:t>.  A strategy should be developed to ensure that trade work</w:t>
      </w:r>
      <w:r w:rsidR="004A4141">
        <w:rPr>
          <w:lang w:val="en-US"/>
        </w:rPr>
        <w:t xml:space="preserve">s </w:t>
      </w:r>
      <w:r w:rsidR="00532FCC">
        <w:rPr>
          <w:lang w:val="en-US"/>
        </w:rPr>
        <w:t xml:space="preserve">for human rights and </w:t>
      </w:r>
      <w:r w:rsidR="004A4141">
        <w:rPr>
          <w:lang w:val="en-US"/>
        </w:rPr>
        <w:t>does not interfere with</w:t>
      </w:r>
      <w:r w:rsidRPr="00A01BB7">
        <w:t xml:space="preserve"> the primary role of the State to act in the public interest.</w:t>
      </w:r>
      <w:r w:rsidRPr="002B39C1">
        <w:t xml:space="preserve"> There are ample opportunities for corporations and investors to make legitimate profits and enter into genuine “partnerships” with States and not into asymmetrical relationships</w:t>
      </w:r>
      <w:r w:rsidR="004A4141">
        <w:rPr>
          <w:lang w:val="en-US"/>
        </w:rPr>
        <w:t xml:space="preserve"> with rigged ISDS schemes</w:t>
      </w:r>
      <w:r w:rsidRPr="002B39C1">
        <w:t>. The rule of thumb should be to: (a) give to corporations what belongs to them – an environment in which to compete fairly; (b) give back to States what is fundamentally and inalienably theirs – sovereig</w:t>
      </w:r>
      <w:r w:rsidR="00D75556">
        <w:t>nty and policy space; (c) give P</w:t>
      </w:r>
      <w:r w:rsidRPr="002B39C1">
        <w:t xml:space="preserve">arliaments what </w:t>
      </w:r>
      <w:r w:rsidR="00D75556">
        <w:rPr>
          <w:lang w:val="en-US"/>
        </w:rPr>
        <w:t>demonstrates their role as true representatives and watchdogs</w:t>
      </w:r>
      <w:r w:rsidRPr="002B39C1">
        <w:t xml:space="preserve"> – the faculty to consider all aspects of treaties without secrecy and fast-tracking; and (d) </w:t>
      </w:r>
      <w:r w:rsidR="004A4141">
        <w:rPr>
          <w:lang w:val="en-US"/>
        </w:rPr>
        <w:t>return</w:t>
      </w:r>
      <w:r w:rsidRPr="002B39C1">
        <w:t xml:space="preserve"> to the people the</w:t>
      </w:r>
      <w:r w:rsidR="00D75556">
        <w:rPr>
          <w:lang w:val="en-US"/>
        </w:rPr>
        <w:t>ir</w:t>
      </w:r>
      <w:r w:rsidR="00D75556">
        <w:t xml:space="preserve"> right</w:t>
      </w:r>
      <w:r w:rsidRPr="002B39C1">
        <w:t xml:space="preserve"> to participation, due process and democracy.</w:t>
      </w:r>
    </w:p>
    <w:p w:rsidR="007A5BE5" w:rsidRDefault="00C96F2A">
      <w:r>
        <w:t xml:space="preserve">ISDS and ICS are </w:t>
      </w:r>
      <w:r w:rsidR="00D75556">
        <w:t xml:space="preserve">undoubtedly </w:t>
      </w:r>
      <w:r w:rsidRPr="004C2123">
        <w:rPr>
          <w:i/>
        </w:rPr>
        <w:t>contra bonos mores</w:t>
      </w:r>
      <w:r>
        <w:t xml:space="preserve"> and must be rejected</w:t>
      </w:r>
      <w:r w:rsidR="00D75556">
        <w:t>,</w:t>
      </w:r>
      <w:r>
        <w:t xml:space="preserve"> because investors and transnational corporations are not democratic institutions and must not be allowed to interfere in the fundamental functions of States by delaying, undermining or making it impossible for States to fulfill their human </w:t>
      </w:r>
      <w:r w:rsidR="00217250">
        <w:t xml:space="preserve">rights treaty obligations.  </w:t>
      </w:r>
      <w:r w:rsidR="003A529A">
        <w:t>It is futile to attempt</w:t>
      </w:r>
      <w:r w:rsidR="00217250">
        <w:t xml:space="preserve"> reform</w:t>
      </w:r>
      <w:r w:rsidR="003A529A">
        <w:t>ing this</w:t>
      </w:r>
      <w:r w:rsidR="00217250">
        <w:t xml:space="preserve"> fundamentally flawed system that has already caused considerable harm to the commonweal and brought benefits only to corporations and shareholders.   ISDS and ICS </w:t>
      </w:r>
      <w:r w:rsidR="003A529A">
        <w:t xml:space="preserve">simply </w:t>
      </w:r>
      <w:r w:rsidR="00217250">
        <w:t xml:space="preserve">fail the test of human rights.  </w:t>
      </w:r>
      <w:r w:rsidR="002B00B9">
        <w:t xml:space="preserve">Alas, notwithstanding serious studies by economists, lawyers and judges, human rights impact assessments and expert reports with correct diagnoses, TNCs and their powerful lobbies continue pushing forward for a corporate take-over of democratic governance, which is incompatible with the three pillars of the Council of Europe – democracy, rule of law and human rights.  </w:t>
      </w:r>
      <w:r w:rsidR="003A529A">
        <w:t xml:space="preserve"> </w:t>
      </w:r>
      <w:r>
        <w:t xml:space="preserve">                 </w:t>
      </w:r>
    </w:p>
    <w:p w:rsidR="006051DA" w:rsidRDefault="00C96F2A">
      <w:r>
        <w:t xml:space="preserve"> </w:t>
      </w:r>
      <w:r w:rsidR="00874286">
        <w:t>I thank you for your attention.</w:t>
      </w:r>
    </w:p>
    <w:sectPr w:rsidR="006051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5D" w:rsidRDefault="00316F5D" w:rsidP="008F07C6">
      <w:pPr>
        <w:spacing w:after="0" w:line="240" w:lineRule="auto"/>
      </w:pPr>
      <w:r>
        <w:separator/>
      </w:r>
    </w:p>
  </w:endnote>
  <w:endnote w:type="continuationSeparator" w:id="0">
    <w:p w:rsidR="00316F5D" w:rsidRDefault="00316F5D" w:rsidP="008F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367320"/>
      <w:docPartObj>
        <w:docPartGallery w:val="Page Numbers (Bottom of Page)"/>
        <w:docPartUnique/>
      </w:docPartObj>
    </w:sdtPr>
    <w:sdtEndPr>
      <w:rPr>
        <w:noProof/>
      </w:rPr>
    </w:sdtEndPr>
    <w:sdtContent>
      <w:p w:rsidR="00485D9C" w:rsidRDefault="00485D9C">
        <w:pPr>
          <w:pStyle w:val="Footer"/>
          <w:jc w:val="center"/>
        </w:pPr>
        <w:r>
          <w:fldChar w:fldCharType="begin"/>
        </w:r>
        <w:r>
          <w:instrText xml:space="preserve"> PAGE   \* MERGEFORMAT </w:instrText>
        </w:r>
        <w:r>
          <w:fldChar w:fldCharType="separate"/>
        </w:r>
        <w:r w:rsidR="00897A23">
          <w:rPr>
            <w:noProof/>
          </w:rPr>
          <w:t>6</w:t>
        </w:r>
        <w:r>
          <w:rPr>
            <w:noProof/>
          </w:rPr>
          <w:fldChar w:fldCharType="end"/>
        </w:r>
      </w:p>
    </w:sdtContent>
  </w:sdt>
  <w:p w:rsidR="00485D9C" w:rsidRDefault="00485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5D" w:rsidRDefault="00316F5D" w:rsidP="008F07C6">
      <w:pPr>
        <w:spacing w:after="0" w:line="240" w:lineRule="auto"/>
      </w:pPr>
      <w:r>
        <w:separator/>
      </w:r>
    </w:p>
  </w:footnote>
  <w:footnote w:type="continuationSeparator" w:id="0">
    <w:p w:rsidR="00316F5D" w:rsidRDefault="00316F5D" w:rsidP="008F07C6">
      <w:pPr>
        <w:spacing w:after="0" w:line="240" w:lineRule="auto"/>
      </w:pPr>
      <w:r>
        <w:continuationSeparator/>
      </w:r>
    </w:p>
  </w:footnote>
  <w:footnote w:id="1">
    <w:p w:rsidR="00485D9C" w:rsidRDefault="00485D9C">
      <w:pPr>
        <w:pStyle w:val="FootnoteText"/>
      </w:pPr>
      <w:r>
        <w:rPr>
          <w:rStyle w:val="FootnoteReference"/>
        </w:rPr>
        <w:footnoteRef/>
      </w:r>
      <w:r>
        <w:t xml:space="preserve">“The doctrine of abuse of rights (or </w:t>
      </w:r>
      <w:r w:rsidRPr="00A53E2A">
        <w:rPr>
          <w:i/>
        </w:rPr>
        <w:t>abus de droit</w:t>
      </w:r>
      <w:r>
        <w:t xml:space="preserve">) is one of the many outgrowths of the legal principle of good faith” Sir Robert Jennings (ed.), </w:t>
      </w:r>
      <w:r w:rsidRPr="00E84EC7">
        <w:rPr>
          <w:i/>
        </w:rPr>
        <w:t>Oppenheim International Law</w:t>
      </w:r>
      <w:r>
        <w:t>, 9</w:t>
      </w:r>
      <w:r w:rsidRPr="00A53E2A">
        <w:rPr>
          <w:vertAlign w:val="superscript"/>
        </w:rPr>
        <w:t>th</w:t>
      </w:r>
      <w:r>
        <w:t xml:space="preserve"> edition, p. 407.  “The doctrine prevents a Party to an agreement from exercising its rights in a way that is unreasonable in the light of the spirit of the agreement. Used frequently in international courts, the idea behind the abuse of rights doctrine is being increasingly recognized as a norm of international law.”  According to Hersch Lauterpacht the concept of abuse of rights is present in most developed legal systems and  “it is only at a rudimentary stage of legal development that society permits the unchecked use of rights without regard to its social consequences”, </w:t>
      </w:r>
      <w:r w:rsidRPr="00A53E2A">
        <w:rPr>
          <w:i/>
        </w:rPr>
        <w:t>The Development of International Law by the International Court</w:t>
      </w:r>
      <w:r w:rsidR="00BB04B6">
        <w:t>, p. 162, London, Stevens &amp; Sons 1958.</w:t>
      </w:r>
      <w:r>
        <w:t xml:space="preserve"> Lauterpacht, </w:t>
      </w:r>
      <w:r w:rsidRPr="00BD0969">
        <w:rPr>
          <w:i/>
        </w:rPr>
        <w:t>The Function of Law in the International Community</w:t>
      </w:r>
      <w:r>
        <w:t xml:space="preserve">, Chapter 14, (1933). Isabel Feichtner, EJIL 22, pp. 1177-1179.  G.D.S. Taylor, “the Content of the Rule against Abuse of Rights in International Law”, also citing Lauterpacht. </w:t>
      </w:r>
      <w:r w:rsidRPr="00BD0969">
        <w:t>https://www.ilsa.org/jessup/jessup16/Batch%202/46BritYBIntlL323.pdf</w:t>
      </w:r>
      <w:r>
        <w:t>.</w:t>
      </w:r>
      <w:r w:rsidRPr="006176CD">
        <w:t xml:space="preserve"> </w:t>
      </w:r>
      <w:r>
        <w:t xml:space="preserve">Alexandre Kiss, “Abuse of Rights” in R. Wolfrum (ed), </w:t>
      </w:r>
      <w:r w:rsidRPr="00407CC4">
        <w:rPr>
          <w:i/>
        </w:rPr>
        <w:t>Max Planck Encyclopedia of Public International Law</w:t>
      </w:r>
      <w:r>
        <w:t>, Vol. I, pp. 20-26, Oxford 2012.</w:t>
      </w:r>
    </w:p>
  </w:footnote>
  <w:footnote w:id="2">
    <w:p w:rsidR="00485D9C" w:rsidRPr="00B66178" w:rsidRDefault="00485D9C" w:rsidP="00540C7D">
      <w:pPr>
        <w:spacing w:after="0" w:line="240" w:lineRule="auto"/>
      </w:pPr>
      <w:r>
        <w:rPr>
          <w:rStyle w:val="FootnoteReference"/>
        </w:rPr>
        <w:footnoteRef/>
      </w:r>
      <w:r>
        <w:t xml:space="preserve"> </w:t>
      </w:r>
      <w:r w:rsidRPr="007A5E7C">
        <w:t>Alfred</w:t>
      </w:r>
      <w:r>
        <w:t xml:space="preserve"> </w:t>
      </w:r>
      <w:r w:rsidRPr="007A5E7C">
        <w:t>Verdross, “Forbidden Treaties in International Law”</w:t>
      </w:r>
      <w:r>
        <w:t>,</w:t>
      </w:r>
      <w:r w:rsidRPr="007A5E7C">
        <w:rPr>
          <w:i/>
        </w:rPr>
        <w:t xml:space="preserve"> American Journal of International Law, </w:t>
      </w:r>
      <w:r>
        <w:t>Vol. </w:t>
      </w:r>
      <w:r w:rsidRPr="007A5E7C">
        <w:t xml:space="preserve">31, </w:t>
      </w:r>
      <w:r>
        <w:t>No. </w:t>
      </w:r>
      <w:r w:rsidRPr="007A5E7C">
        <w:t>4 (1937), p</w:t>
      </w:r>
      <w:r>
        <w:t>p. </w:t>
      </w:r>
      <w:r w:rsidRPr="007A5E7C">
        <w:t xml:space="preserve">571 </w:t>
      </w:r>
      <w:r w:rsidRPr="002B39C1">
        <w:rPr>
          <w:i/>
          <w:iCs/>
        </w:rPr>
        <w:t>et seq</w:t>
      </w:r>
      <w:r w:rsidRPr="007A5E7C">
        <w:t xml:space="preserve">. </w:t>
      </w:r>
      <w:r>
        <w:t xml:space="preserve"> </w:t>
      </w:r>
      <w:r w:rsidRPr="007A5E7C">
        <w:rPr>
          <w:lang w:val="fr-CH"/>
        </w:rPr>
        <w:t>Verdross,</w:t>
      </w:r>
      <w:r>
        <w:rPr>
          <w:lang w:val="fr-CH"/>
        </w:rPr>
        <w:t xml:space="preserve"> “</w:t>
      </w:r>
      <w:r w:rsidRPr="007A5E7C">
        <w:rPr>
          <w:lang w:val="fr-CH"/>
        </w:rPr>
        <w:t>Les principes du droit et la jurisprudence internationale</w:t>
      </w:r>
      <w:r>
        <w:rPr>
          <w:lang w:val="fr-CH"/>
        </w:rPr>
        <w:t xml:space="preserve">”, </w:t>
      </w:r>
      <w:r w:rsidRPr="007A5E7C">
        <w:rPr>
          <w:i/>
          <w:lang w:val="fr-CH"/>
        </w:rPr>
        <w:t xml:space="preserve">Recueil des Cours de l'Académie de Droit International, </w:t>
      </w:r>
      <w:r w:rsidRPr="007A5E7C">
        <w:rPr>
          <w:lang w:val="fr-CH"/>
        </w:rPr>
        <w:t>La Haye, (1935), p</w:t>
      </w:r>
      <w:r>
        <w:rPr>
          <w:lang w:val="fr-CH"/>
        </w:rPr>
        <w:t>p. </w:t>
      </w:r>
      <w:r w:rsidRPr="007A5E7C">
        <w:rPr>
          <w:lang w:val="fr-CH"/>
        </w:rPr>
        <w:t>195</w:t>
      </w:r>
      <w:r>
        <w:rPr>
          <w:lang w:val="fr-CH"/>
        </w:rPr>
        <w:t>–</w:t>
      </w:r>
      <w:r w:rsidRPr="007A5E7C">
        <w:rPr>
          <w:lang w:val="fr-CH"/>
        </w:rPr>
        <w:t>249.</w:t>
      </w:r>
      <w:r>
        <w:rPr>
          <w:lang w:val="fr-CH"/>
        </w:rPr>
        <w:t xml:space="preserve"> Olivier Corten, Pierre Klein, </w:t>
      </w:r>
      <w:r w:rsidRPr="00A53E2A">
        <w:rPr>
          <w:i/>
          <w:lang w:val="fr-CH"/>
        </w:rPr>
        <w:t>The Vienna Convention on the Law of Treaties : A Commentary</w:t>
      </w:r>
      <w:r>
        <w:rPr>
          <w:lang w:val="fr-CH"/>
        </w:rPr>
        <w:t xml:space="preserve">, Vol I, p. 1461. Oxford 2011. </w:t>
      </w:r>
      <w:r w:rsidRPr="008F34C0">
        <w:t xml:space="preserve">Robert Kolb, </w:t>
      </w:r>
      <w:r w:rsidRPr="008F34C0">
        <w:rPr>
          <w:i/>
        </w:rPr>
        <w:t>The International Court of Justice</w:t>
      </w:r>
      <w:r w:rsidRPr="008F34C0">
        <w:t>, Oxford, 2013</w:t>
      </w:r>
      <w:r>
        <w:t>,</w:t>
      </w:r>
      <w:r w:rsidRPr="008F34C0">
        <w:t xml:space="preserve"> </w:t>
      </w:r>
      <w:r w:rsidRPr="002B39C1">
        <w:t>p. </w:t>
      </w:r>
      <w:r w:rsidRPr="008F34C0">
        <w:t>81</w:t>
      </w:r>
      <w:r>
        <w:rPr>
          <w:i/>
        </w:rPr>
        <w:t>.</w:t>
      </w:r>
      <w:r w:rsidRPr="00B66178">
        <w:t xml:space="preserve"> There is </w:t>
      </w:r>
      <w:r>
        <w:t xml:space="preserve">an ethical minimum standard for </w:t>
      </w:r>
      <w:r w:rsidRPr="00B66178">
        <w:t>treaties</w:t>
      </w:r>
      <w:r>
        <w:t>, and a</w:t>
      </w:r>
      <w:r w:rsidRPr="00B66178">
        <w:t xml:space="preserve"> treaty </w:t>
      </w:r>
      <w:r>
        <w:t xml:space="preserve">which subverts </w:t>
      </w:r>
      <w:r w:rsidRPr="00E84EC7">
        <w:rPr>
          <w:i/>
        </w:rPr>
        <w:t>ordre public</w:t>
      </w:r>
      <w:r>
        <w:t xml:space="preserve"> or is otherwise</w:t>
      </w:r>
      <w:r w:rsidRPr="00B66178">
        <w:t xml:space="preserve"> </w:t>
      </w:r>
      <w:r w:rsidRPr="00540C7D">
        <w:rPr>
          <w:i/>
        </w:rPr>
        <w:t>contra bonos mores</w:t>
      </w:r>
      <w:r>
        <w:rPr>
          <w:i/>
        </w:rPr>
        <w:t xml:space="preserve"> </w:t>
      </w:r>
      <w:r w:rsidRPr="00E84EC7">
        <w:t>is void</w:t>
      </w:r>
      <w:r>
        <w:t xml:space="preserve">, e.g. </w:t>
      </w:r>
      <w:r w:rsidRPr="00B66178">
        <w:t>if it prevents the universally r</w:t>
      </w:r>
      <w:r>
        <w:t>ecognized tasks of a civilized S</w:t>
      </w:r>
      <w:r w:rsidRPr="00B66178">
        <w:t>tate</w:t>
      </w:r>
      <w:r>
        <w:t xml:space="preserve"> such as</w:t>
      </w:r>
      <w:r w:rsidRPr="00B66178">
        <w:t xml:space="preserve"> maintenance of public order, care of</w:t>
      </w:r>
      <w:r>
        <w:t xml:space="preserve"> the</w:t>
      </w:r>
      <w:r w:rsidRPr="00B66178">
        <w:t xml:space="preserve"> bodily and spiritual welfare of citizens and </w:t>
      </w:r>
      <w:r>
        <w:t>protection</w:t>
      </w:r>
      <w:r w:rsidRPr="00B66178">
        <w:t xml:space="preserve"> of nationals abroad.</w:t>
      </w:r>
      <w:r>
        <w:t xml:space="preserve">  Thomas Cottier, </w:t>
      </w:r>
      <w:r w:rsidRPr="006176CD">
        <w:rPr>
          <w:i/>
        </w:rPr>
        <w:t>The Challenge of</w:t>
      </w:r>
      <w:r>
        <w:t xml:space="preserve"> </w:t>
      </w:r>
      <w:r w:rsidRPr="006176CD">
        <w:rPr>
          <w:i/>
        </w:rPr>
        <w:t>WTO Law: Collected Essays.</w:t>
      </w:r>
      <w:r>
        <w:t xml:space="preserve"> Ch. 4. Good faith and the protection of legitimate expectations, London 2007.  </w:t>
      </w:r>
      <w:hyperlink r:id="rId1" w:history="1">
        <w:r w:rsidRPr="00622C87">
          <w:rPr>
            <w:rStyle w:val="Hyperlink"/>
          </w:rPr>
          <w:t>http://www.ejil.org/pdfs/1/1/1145.pdf</w:t>
        </w:r>
      </w:hyperlink>
      <w:r>
        <w:t>. See also</w:t>
      </w:r>
      <w:r>
        <w:rPr>
          <w:rFonts w:ascii="Arial" w:hAnsi="Arial" w:cs="Arial"/>
          <w:color w:val="006621"/>
          <w:sz w:val="21"/>
          <w:szCs w:val="21"/>
          <w:shd w:val="clear" w:color="auto" w:fill="FFFFFF"/>
        </w:rPr>
        <w:t xml:space="preserve"> https://law.wustl.edu/SBA/upperlevel/.../IntLaw-Mutharika2.doc.</w:t>
      </w:r>
    </w:p>
    <w:p w:rsidR="00485D9C" w:rsidRDefault="00485D9C">
      <w:pPr>
        <w:pStyle w:val="FootnoteText"/>
      </w:pPr>
    </w:p>
  </w:footnote>
  <w:footnote w:id="3">
    <w:p w:rsidR="00485D9C" w:rsidRDefault="00485D9C">
      <w:pPr>
        <w:pStyle w:val="FootnoteText"/>
      </w:pPr>
      <w:r>
        <w:rPr>
          <w:rStyle w:val="FootnoteReference"/>
        </w:rPr>
        <w:footnoteRef/>
      </w:r>
      <w:r>
        <w:t xml:space="preserve"> Nicolas Hachez, “’Essential elements’ clauses in EU trade agreements making trade work in a way that helps Human Rights?” Working Paper No. 158, April 2015.  Leuven Centre for Global Government Studies.  Cf.</w:t>
      </w:r>
      <w:r w:rsidRPr="00AC750E">
        <w:t xml:space="preserve"> </w:t>
      </w:r>
      <w:r w:rsidRPr="00F569BF">
        <w:t xml:space="preserve">Bruno Simma and Theodore Kill, “Harmonizing </w:t>
      </w:r>
      <w:r>
        <w:t>i</w:t>
      </w:r>
      <w:r w:rsidRPr="00F569BF">
        <w:t xml:space="preserve">nvestment protection and </w:t>
      </w:r>
      <w:r>
        <w:t>h</w:t>
      </w:r>
      <w:r w:rsidRPr="00F569BF">
        <w:t xml:space="preserve">uman </w:t>
      </w:r>
      <w:r>
        <w:t>r</w:t>
      </w:r>
      <w:r w:rsidRPr="00F569BF">
        <w:t>ights</w:t>
      </w:r>
      <w:r>
        <w:t>: first steps towards a methodology</w:t>
      </w:r>
      <w:r w:rsidRPr="00F569BF">
        <w:t>”</w:t>
      </w:r>
      <w:r>
        <w:t>,</w:t>
      </w:r>
      <w:r w:rsidRPr="00F569BF">
        <w:t xml:space="preserve"> in Christin</w:t>
      </w:r>
      <w:r>
        <w:t>a</w:t>
      </w:r>
      <w:r w:rsidRPr="00F569BF">
        <w:t xml:space="preserve"> Binder</w:t>
      </w:r>
      <w:r>
        <w:t xml:space="preserve"> </w:t>
      </w:r>
      <w:r w:rsidRPr="002B39C1">
        <w:rPr>
          <w:i/>
          <w:iCs/>
        </w:rPr>
        <w:t>et al.</w:t>
      </w:r>
      <w:r>
        <w:t xml:space="preserve"> (eds.)</w:t>
      </w:r>
      <w:r w:rsidRPr="00F569BF">
        <w:t xml:space="preserve">, </w:t>
      </w:r>
      <w:r w:rsidRPr="002B39C1">
        <w:rPr>
          <w:i/>
          <w:iCs/>
        </w:rPr>
        <w:t>International Investment Law for the 21st Century: Essays in Honour of Christoph Schreuer</w:t>
      </w:r>
      <w:r w:rsidRPr="00F569BF">
        <w:t xml:space="preserve"> </w:t>
      </w:r>
      <w:r>
        <w:t>(</w:t>
      </w:r>
      <w:r w:rsidRPr="00F569BF">
        <w:t xml:space="preserve">Oxford </w:t>
      </w:r>
      <w:r>
        <w:t xml:space="preserve">University Press, </w:t>
      </w:r>
      <w:r w:rsidRPr="00F569BF">
        <w:t>2009</w:t>
      </w:r>
      <w:r>
        <w:t>)</w:t>
      </w:r>
      <w:r w:rsidRPr="00F569BF">
        <w:t>.</w:t>
      </w:r>
    </w:p>
  </w:footnote>
  <w:footnote w:id="4">
    <w:p w:rsidR="00FC1C70" w:rsidRDefault="00FC1C70">
      <w:pPr>
        <w:pStyle w:val="FootnoteText"/>
      </w:pPr>
      <w:r>
        <w:rPr>
          <w:rStyle w:val="FootnoteReference"/>
        </w:rPr>
        <w:footnoteRef/>
      </w:r>
      <w:r>
        <w:t xml:space="preserve"> </w:t>
      </w:r>
      <w:r w:rsidRPr="00FC1C70">
        <w:t>http://www.clientearth.org/health-environment/health-environment-publications/legality-of-investor-state-dispute-settlement-under-eu-law-3020</w:t>
      </w:r>
    </w:p>
  </w:footnote>
  <w:footnote w:id="5">
    <w:p w:rsidR="00D929A3" w:rsidRDefault="00D929A3" w:rsidP="00D929A3">
      <w:pPr>
        <w:pStyle w:val="FootnoteText"/>
      </w:pPr>
      <w:r>
        <w:rPr>
          <w:rStyle w:val="FootnoteReference"/>
        </w:rPr>
        <w:footnoteRef/>
      </w:r>
      <w:r>
        <w:t xml:space="preserve"> </w:t>
      </w:r>
      <w:hyperlink r:id="rId2" w:history="1">
        <w:r w:rsidR="003A529A" w:rsidRPr="00AC59E6">
          <w:rPr>
            <w:rStyle w:val="Hyperlink"/>
          </w:rPr>
          <w:t>http://people.ffii.org/~ante/ISDS/draft-isds.html</w:t>
        </w:r>
      </w:hyperlink>
      <w:r w:rsidR="003A529A">
        <w:t xml:space="preserve">.  </w:t>
      </w:r>
      <w:r>
        <w:t xml:space="preserve">Pia Eberhard, Cecilia Olivet, </w:t>
      </w:r>
      <w:r w:rsidRPr="009333F0">
        <w:rPr>
          <w:i/>
        </w:rPr>
        <w:t>Profiting from Injustice, how law firms, arbitrators and financiers are fueling an investment arbitration boom,</w:t>
      </w:r>
      <w:r>
        <w:t xml:space="preserve"> Corporate Europe Observatory, Brussels, 2012. </w:t>
      </w:r>
    </w:p>
  </w:footnote>
  <w:footnote w:id="6">
    <w:p w:rsidR="00485D9C" w:rsidRDefault="00485D9C">
      <w:pPr>
        <w:pStyle w:val="FootnoteText"/>
      </w:pPr>
      <w:r>
        <w:rPr>
          <w:rStyle w:val="FootnoteReference"/>
        </w:rPr>
        <w:footnoteRef/>
      </w:r>
      <w:r>
        <w:t xml:space="preserve"> Jean Feyder, </w:t>
      </w:r>
      <w:r w:rsidRPr="00532FCC">
        <w:rPr>
          <w:i/>
        </w:rPr>
        <w:t>La Faim Tue</w:t>
      </w:r>
      <w:r>
        <w:t xml:space="preserve">, preface Jean-Claude Juncker, l’Harmattan, 2010.  Olivier de Schutter, </w:t>
      </w:r>
      <w:r w:rsidRPr="00532FCC">
        <w:rPr>
          <w:i/>
        </w:rPr>
        <w:t>Agroecology</w:t>
      </w:r>
      <w:r>
        <w:t xml:space="preserve">, 2011. </w:t>
      </w:r>
      <w:r w:rsidRPr="00532FCC">
        <w:t>http://www.srfood.org/en/report-agroecology-and-the-right-to-food</w:t>
      </w:r>
    </w:p>
  </w:footnote>
  <w:footnote w:id="7">
    <w:p w:rsidR="00485D9C" w:rsidRDefault="00485D9C">
      <w:pPr>
        <w:pStyle w:val="FootnoteText"/>
      </w:pPr>
      <w:r>
        <w:rPr>
          <w:rStyle w:val="FootnoteReference"/>
        </w:rPr>
        <w:footnoteRef/>
      </w:r>
      <w:r>
        <w:t xml:space="preserve"> Maude Barlow et Raoul Marc Jennar, “Le Fléau de l’arbitrage in</w:t>
      </w:r>
      <w:r w:rsidR="00A00ED7">
        <w:t>t</w:t>
      </w:r>
      <w:r>
        <w:t xml:space="preserve">ernationale”, </w:t>
      </w:r>
      <w:r w:rsidRPr="001E5E7E">
        <w:rPr>
          <w:i/>
        </w:rPr>
        <w:t>Le Monde Diplomatique</w:t>
      </w:r>
      <w:r>
        <w:t xml:space="preserve">, Fevrier 2016, p. 6; Benoit Bréville et Martine Bulard “Des tribunaux pour détrousser les Etats” </w:t>
      </w:r>
      <w:r w:rsidRPr="00E84EC7">
        <w:rPr>
          <w:i/>
        </w:rPr>
        <w:t>Le Monde Diplomatique</w:t>
      </w:r>
      <w:r>
        <w:t>, juin 2014.</w:t>
      </w:r>
    </w:p>
  </w:footnote>
  <w:footnote w:id="8">
    <w:p w:rsidR="00CE21B4" w:rsidRDefault="00CE21B4">
      <w:pPr>
        <w:pStyle w:val="FootnoteText"/>
      </w:pPr>
      <w:r>
        <w:rPr>
          <w:rStyle w:val="FootnoteReference"/>
        </w:rPr>
        <w:footnoteRef/>
      </w:r>
      <w:r>
        <w:t xml:space="preserve"> </w:t>
      </w:r>
      <w:r w:rsidRPr="00CE21B4">
        <w:t>http://www.italaw.com/cases/3961</w:t>
      </w:r>
    </w:p>
  </w:footnote>
  <w:footnote w:id="9">
    <w:p w:rsidR="00CE21B4" w:rsidRDefault="00CE21B4">
      <w:pPr>
        <w:pStyle w:val="FootnoteText"/>
      </w:pPr>
      <w:r>
        <w:rPr>
          <w:rStyle w:val="FootnoteReference"/>
        </w:rPr>
        <w:footnoteRef/>
      </w:r>
      <w:r>
        <w:t xml:space="preserve"> </w:t>
      </w:r>
      <w:r w:rsidRPr="00CE21B4">
        <w:t>http://ec.europa.eu/trade/policy/in-focus/ceta/</w:t>
      </w:r>
    </w:p>
  </w:footnote>
  <w:footnote w:id="10">
    <w:p w:rsidR="00485D9C" w:rsidRDefault="00485D9C">
      <w:pPr>
        <w:pStyle w:val="FootnoteText"/>
      </w:pPr>
      <w:r>
        <w:rPr>
          <w:rStyle w:val="FootnoteReference"/>
        </w:rPr>
        <w:footnoteRef/>
      </w:r>
      <w:r>
        <w:t xml:space="preserve">  Benedetto Conforti and Angelo Labella, “Invalidity and Termination of Treaties: The role of National Courts” in 1 EJIL (1990) pp. 44- 66 at 52.</w:t>
      </w:r>
    </w:p>
  </w:footnote>
  <w:footnote w:id="11">
    <w:p w:rsidR="00CE21B4" w:rsidRDefault="00CE21B4">
      <w:pPr>
        <w:pStyle w:val="FootnoteText"/>
      </w:pPr>
      <w:r>
        <w:rPr>
          <w:rStyle w:val="FootnoteReference"/>
        </w:rPr>
        <w:footnoteRef/>
      </w:r>
      <w:r>
        <w:t xml:space="preserve"> </w:t>
      </w:r>
      <w:r w:rsidRPr="00CE21B4">
        <w:t>http://www.zeit.de/politik/ausland/2016-02/ttip-deutscher-richterbund-schiedsgerichte</w:t>
      </w:r>
    </w:p>
  </w:footnote>
  <w:footnote w:id="12">
    <w:p w:rsidR="005B78E3" w:rsidRDefault="005B78E3">
      <w:pPr>
        <w:pStyle w:val="FootnoteText"/>
      </w:pPr>
      <w:r>
        <w:rPr>
          <w:rStyle w:val="FootnoteReference"/>
        </w:rPr>
        <w:footnoteRef/>
      </w:r>
      <w:r>
        <w:t xml:space="preserve"> </w:t>
      </w:r>
      <w:r>
        <w:rPr>
          <w:rStyle w:val="apple-converted-space"/>
          <w:rFonts w:ascii="Calibri" w:hAnsi="Calibri"/>
          <w:color w:val="1F497D"/>
          <w:sz w:val="22"/>
          <w:szCs w:val="22"/>
          <w:shd w:val="clear" w:color="auto" w:fill="FFFFFF"/>
        </w:rPr>
        <w:t> </w:t>
      </w:r>
      <w:hyperlink r:id="rId3" w:tgtFrame="_blank" w:history="1">
        <w:r>
          <w:rPr>
            <w:rStyle w:val="Hyperlink"/>
            <w:rFonts w:ascii="Calibri" w:hAnsi="Calibri"/>
            <w:color w:val="1155CC"/>
            <w:sz w:val="22"/>
            <w:szCs w:val="22"/>
            <w:shd w:val="clear" w:color="auto" w:fill="FFFFFF"/>
          </w:rPr>
          <w:t>http://juecesparalademocracia.blogspot.be/2015/06/resolucion-de-jpd-contra-la.html</w:t>
        </w:r>
      </w:hyperlink>
      <w:r w:rsidR="00542F22">
        <w:rPr>
          <w:rStyle w:val="Hyperlink"/>
          <w:rFonts w:ascii="Calibri" w:hAnsi="Calibri"/>
          <w:color w:val="1155CC"/>
          <w:sz w:val="22"/>
          <w:szCs w:val="22"/>
          <w:shd w:val="clear" w:color="auto" w:fill="FFFFFF"/>
        </w:rPr>
        <w:br/>
      </w:r>
      <w:r w:rsidR="00542F22" w:rsidRPr="00542F22">
        <w:t>http://www.eldiario.es/economia/colegios-Espana-TTIP-arbitraje-inversores_0_495901200.html</w:t>
      </w:r>
    </w:p>
  </w:footnote>
  <w:footnote w:id="13">
    <w:p w:rsidR="0078316E" w:rsidRDefault="0078316E">
      <w:pPr>
        <w:pStyle w:val="FootnoteText"/>
      </w:pPr>
      <w:r>
        <w:rPr>
          <w:rStyle w:val="FootnoteReference"/>
        </w:rPr>
        <w:footnoteRef/>
      </w:r>
      <w:r>
        <w:t xml:space="preserve"> </w:t>
      </w:r>
      <w:r w:rsidR="00730B46">
        <w:rPr>
          <w:rFonts w:ascii="Times New Roman" w:hAnsi="Times New Roman" w:cs="Times New Roman"/>
          <w:sz w:val="24"/>
          <w:szCs w:val="24"/>
        </w:rPr>
        <w:t>The</w:t>
      </w:r>
      <w:r w:rsidRPr="004652AA">
        <w:rPr>
          <w:rFonts w:ascii="Times New Roman" w:hAnsi="Times New Roman" w:cs="Times New Roman"/>
          <w:sz w:val="24"/>
          <w:szCs w:val="24"/>
        </w:rPr>
        <w:t xml:space="preserve"> hierarchy in </w:t>
      </w:r>
      <w:r>
        <w:rPr>
          <w:rFonts w:ascii="Times New Roman" w:hAnsi="Times New Roman" w:cs="Times New Roman"/>
          <w:sz w:val="24"/>
          <w:szCs w:val="24"/>
        </w:rPr>
        <w:t xml:space="preserve">norms was suggested in a famous dictum in the ICJ’s </w:t>
      </w:r>
      <w:r w:rsidRPr="0078316E">
        <w:rPr>
          <w:rFonts w:ascii="Times New Roman" w:hAnsi="Times New Roman" w:cs="Times New Roman"/>
          <w:i/>
          <w:sz w:val="24"/>
          <w:szCs w:val="24"/>
        </w:rPr>
        <w:t>Barcelona Traction</w:t>
      </w:r>
      <w:r w:rsidRPr="004652AA">
        <w:rPr>
          <w:rFonts w:ascii="Times New Roman" w:hAnsi="Times New Roman" w:cs="Times New Roman"/>
          <w:sz w:val="24"/>
          <w:szCs w:val="24"/>
        </w:rPr>
        <w:t xml:space="preserve"> </w:t>
      </w:r>
      <w:r>
        <w:rPr>
          <w:rFonts w:ascii="Times New Roman" w:hAnsi="Times New Roman" w:cs="Times New Roman"/>
          <w:sz w:val="24"/>
          <w:szCs w:val="24"/>
        </w:rPr>
        <w:t>judgment</w:t>
      </w:r>
      <w:r w:rsidRPr="004652AA">
        <w:rPr>
          <w:rFonts w:ascii="Times New Roman" w:hAnsi="Times New Roman" w:cs="Times New Roman"/>
          <w:sz w:val="24"/>
          <w:szCs w:val="24"/>
        </w:rPr>
        <w:t xml:space="preserve"> that "basic rights of the human person" </w:t>
      </w:r>
      <w:r w:rsidRPr="00746DF3">
        <w:rPr>
          <w:rFonts w:ascii="Times New Roman" w:hAnsi="Times New Roman" w:cs="Times New Roman"/>
          <w:sz w:val="24"/>
          <w:szCs w:val="24"/>
        </w:rPr>
        <w:t>(</w:t>
      </w:r>
      <w:r w:rsidRPr="00746DF3">
        <w:rPr>
          <w:rFonts w:ascii="Times New Roman" w:hAnsi="Times New Roman" w:cs="Times New Roman"/>
          <w:i/>
          <w:sz w:val="24"/>
          <w:szCs w:val="24"/>
        </w:rPr>
        <w:t>droits fondamentaux de la personne humaine</w:t>
      </w:r>
      <w:r w:rsidRPr="00746DF3">
        <w:rPr>
          <w:rFonts w:ascii="Times New Roman" w:hAnsi="Times New Roman" w:cs="Times New Roman"/>
          <w:sz w:val="24"/>
          <w:szCs w:val="24"/>
        </w:rPr>
        <w:t xml:space="preserve">) create obligations </w:t>
      </w:r>
      <w:r w:rsidRPr="00746DF3">
        <w:rPr>
          <w:rFonts w:ascii="Times New Roman" w:hAnsi="Times New Roman" w:cs="Times New Roman"/>
          <w:i/>
          <w:sz w:val="24"/>
          <w:szCs w:val="24"/>
        </w:rPr>
        <w:t>erga omnes</w:t>
      </w:r>
      <w:r w:rsidRPr="00746DF3">
        <w:rPr>
          <w:rFonts w:ascii="Times New Roman" w:hAnsi="Times New Roman" w:cs="Times New Roman"/>
          <w:sz w:val="24"/>
          <w:szCs w:val="24"/>
        </w:rPr>
        <w:t>.</w:t>
      </w:r>
      <w:r>
        <w:rPr>
          <w:rFonts w:ascii="Times New Roman" w:hAnsi="Times New Roman" w:cs="Times New Roman"/>
          <w:sz w:val="24"/>
          <w:szCs w:val="24"/>
        </w:rPr>
        <w:t xml:space="preserve"> </w:t>
      </w:r>
      <w:r w:rsidRPr="00707FCC">
        <w:rPr>
          <w:b/>
          <w:color w:val="000000" w:themeColor="text1"/>
        </w:rPr>
        <w:t xml:space="preserve">Theodor Meron, </w:t>
      </w:r>
      <w:r>
        <w:rPr>
          <w:b/>
          <w:color w:val="000000" w:themeColor="text1"/>
        </w:rPr>
        <w:t>“</w:t>
      </w:r>
      <w:r w:rsidRPr="00707FCC">
        <w:rPr>
          <w:b/>
          <w:color w:val="000000" w:themeColor="text1"/>
        </w:rPr>
        <w:t>On a Hierarchy of International Human Rights Law</w:t>
      </w:r>
      <w:r>
        <w:rPr>
          <w:b/>
          <w:color w:val="000000" w:themeColor="text1"/>
        </w:rPr>
        <w:t>”</w:t>
      </w:r>
      <w:r w:rsidRPr="00707FCC">
        <w:rPr>
          <w:b/>
          <w:color w:val="000000" w:themeColor="text1"/>
        </w:rPr>
        <w:t xml:space="preserve">, </w:t>
      </w:r>
      <w:r w:rsidRPr="0078316E">
        <w:rPr>
          <w:b/>
          <w:bCs/>
          <w:i/>
          <w:color w:val="000000" w:themeColor="text1"/>
        </w:rPr>
        <w:t>American Journal of International Law</w:t>
      </w:r>
      <w:r w:rsidRPr="00707FCC">
        <w:rPr>
          <w:b/>
          <w:bCs/>
          <w:color w:val="000000" w:themeColor="text1"/>
        </w:rPr>
        <w:t xml:space="preserve">, </w:t>
      </w:r>
      <w:r w:rsidR="00897A23">
        <w:rPr>
          <w:b/>
          <w:bCs/>
          <w:color w:val="000000" w:themeColor="text1"/>
          <w:shd w:val="clear" w:color="auto" w:fill="FFFFFF"/>
        </w:rPr>
        <w:t xml:space="preserve">Vol. 80, </w:t>
      </w:r>
      <w:bookmarkStart w:id="0" w:name="_GoBack"/>
      <w:bookmarkEnd w:id="0"/>
      <w:r w:rsidRPr="00707FCC">
        <w:rPr>
          <w:b/>
          <w:bCs/>
          <w:color w:val="000000" w:themeColor="text1"/>
          <w:shd w:val="clear" w:color="auto" w:fill="FFFFFF"/>
        </w:rPr>
        <w:t>1986, pp. 1-23 at page 1</w:t>
      </w:r>
      <w:r>
        <w:rPr>
          <w:b/>
          <w:bCs/>
          <w:color w:val="000000" w:themeColor="text1"/>
          <w:shd w:val="clear" w:color="auto" w:fill="FFFFFF"/>
        </w:rPr>
        <w:t>.</w:t>
      </w:r>
      <w:r w:rsidR="00E619A3">
        <w:rPr>
          <w:b/>
          <w:bCs/>
          <w:color w:val="000000" w:themeColor="text1"/>
          <w:shd w:val="clear" w:color="auto" w:fill="FFFFFF"/>
        </w:rPr>
        <w:t xml:space="preserve"> </w:t>
      </w:r>
      <w:r w:rsidR="00E619A3" w:rsidRPr="00E619A3">
        <w:rPr>
          <w:rFonts w:ascii="Arial" w:hAnsi="Arial" w:cs="Arial"/>
          <w:i/>
          <w:color w:val="222222"/>
          <w:sz w:val="19"/>
          <w:szCs w:val="19"/>
          <w:shd w:val="clear" w:color="auto" w:fill="FFFFFF"/>
        </w:rPr>
        <w:t>Sawhoyamaxa Indigenous Community v Paraguay</w:t>
      </w:r>
      <w:r w:rsidR="00E619A3">
        <w:rPr>
          <w:rFonts w:ascii="Arial" w:hAnsi="Arial" w:cs="Arial"/>
          <w:color w:val="222222"/>
          <w:sz w:val="19"/>
          <w:szCs w:val="19"/>
          <w:shd w:val="clear" w:color="auto" w:fill="FFFFFF"/>
        </w:rPr>
        <w:t xml:space="preserve"> (Inter-American Court of Human Rights, judgment of 29 March 2006, paras; 137-141). </w:t>
      </w:r>
      <w:r w:rsidR="00730B46">
        <w:rPr>
          <w:rFonts w:ascii="Arial" w:hAnsi="Arial" w:cs="Arial"/>
          <w:color w:val="222222"/>
          <w:sz w:val="19"/>
          <w:szCs w:val="19"/>
          <w:shd w:val="clear" w:color="auto" w:fill="FFFFFF"/>
        </w:rPr>
        <w:t xml:space="preserve">In his textbook </w:t>
      </w:r>
      <w:r w:rsidR="00730B46" w:rsidRPr="00E619A3">
        <w:rPr>
          <w:rFonts w:ascii="Arial" w:hAnsi="Arial" w:cs="Arial"/>
          <w:i/>
          <w:color w:val="222222"/>
          <w:sz w:val="19"/>
          <w:szCs w:val="19"/>
          <w:shd w:val="clear" w:color="auto" w:fill="FFFFFF"/>
        </w:rPr>
        <w:t>International Human Rights Law</w:t>
      </w:r>
      <w:r w:rsidR="00730B46">
        <w:rPr>
          <w:rFonts w:ascii="Arial" w:hAnsi="Arial" w:cs="Arial"/>
          <w:color w:val="222222"/>
          <w:sz w:val="19"/>
          <w:szCs w:val="19"/>
          <w:shd w:val="clear" w:color="auto" w:fill="FFFFFF"/>
        </w:rPr>
        <w:t xml:space="preserve"> (Cambridge University Press, 2nd ed</w:t>
      </w:r>
      <w:r w:rsidR="00730B46">
        <w:rPr>
          <w:rFonts w:ascii="Arial" w:hAnsi="Arial" w:cs="Arial"/>
          <w:color w:val="222222"/>
          <w:sz w:val="19"/>
          <w:szCs w:val="19"/>
          <w:shd w:val="clear" w:color="auto" w:fill="FFFFFF"/>
        </w:rPr>
        <w:t>.</w:t>
      </w:r>
      <w:r w:rsidR="00730B46">
        <w:rPr>
          <w:rFonts w:ascii="Arial" w:hAnsi="Arial" w:cs="Arial"/>
          <w:color w:val="222222"/>
          <w:sz w:val="19"/>
          <w:szCs w:val="19"/>
          <w:shd w:val="clear" w:color="auto" w:fill="FFFFFF"/>
        </w:rPr>
        <w:t xml:space="preserve"> 2014), </w:t>
      </w:r>
      <w:r w:rsidR="00730B46">
        <w:rPr>
          <w:rFonts w:ascii="Arial" w:hAnsi="Arial" w:cs="Arial"/>
          <w:color w:val="222222"/>
          <w:sz w:val="19"/>
          <w:szCs w:val="19"/>
          <w:shd w:val="clear" w:color="auto" w:fill="FFFFFF"/>
        </w:rPr>
        <w:t xml:space="preserve">Professor </w:t>
      </w:r>
      <w:r w:rsidR="00E619A3">
        <w:rPr>
          <w:rFonts w:ascii="Arial" w:hAnsi="Arial" w:cs="Arial"/>
          <w:color w:val="222222"/>
          <w:sz w:val="19"/>
          <w:szCs w:val="19"/>
          <w:shd w:val="clear" w:color="auto" w:fill="FFFFFF"/>
        </w:rPr>
        <w:t>Olivier de Schutter lists this and other cases in favor of the argument of a hierarchy, pp. 71 - 110.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36083"/>
    <w:multiLevelType w:val="hybridMultilevel"/>
    <w:tmpl w:val="C6240A34"/>
    <w:lvl w:ilvl="0" w:tplc="109485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7"/>
    <w:rsid w:val="0004173C"/>
    <w:rsid w:val="000426AA"/>
    <w:rsid w:val="000B526C"/>
    <w:rsid w:val="000F3F97"/>
    <w:rsid w:val="001937AB"/>
    <w:rsid w:val="00197C95"/>
    <w:rsid w:val="001E5E7E"/>
    <w:rsid w:val="00217250"/>
    <w:rsid w:val="002216A2"/>
    <w:rsid w:val="002A5293"/>
    <w:rsid w:val="002B00B9"/>
    <w:rsid w:val="002C5780"/>
    <w:rsid w:val="002E69A2"/>
    <w:rsid w:val="002F18C2"/>
    <w:rsid w:val="003029ED"/>
    <w:rsid w:val="00316F5D"/>
    <w:rsid w:val="00324379"/>
    <w:rsid w:val="0032660A"/>
    <w:rsid w:val="00327123"/>
    <w:rsid w:val="00383090"/>
    <w:rsid w:val="003A529A"/>
    <w:rsid w:val="003A6468"/>
    <w:rsid w:val="004028AF"/>
    <w:rsid w:val="00407CC4"/>
    <w:rsid w:val="00485D9C"/>
    <w:rsid w:val="004A4141"/>
    <w:rsid w:val="004C2123"/>
    <w:rsid w:val="00532FCC"/>
    <w:rsid w:val="00540C7D"/>
    <w:rsid w:val="00542F22"/>
    <w:rsid w:val="00555071"/>
    <w:rsid w:val="00587EEF"/>
    <w:rsid w:val="005932B5"/>
    <w:rsid w:val="005B78E3"/>
    <w:rsid w:val="005F269F"/>
    <w:rsid w:val="006051DA"/>
    <w:rsid w:val="006176CD"/>
    <w:rsid w:val="00623EFD"/>
    <w:rsid w:val="0062582F"/>
    <w:rsid w:val="0067684A"/>
    <w:rsid w:val="0071147D"/>
    <w:rsid w:val="00730B46"/>
    <w:rsid w:val="007766F1"/>
    <w:rsid w:val="0078316E"/>
    <w:rsid w:val="007A5BE5"/>
    <w:rsid w:val="007C6CC9"/>
    <w:rsid w:val="007C6F66"/>
    <w:rsid w:val="00874286"/>
    <w:rsid w:val="00876DDB"/>
    <w:rsid w:val="00897A23"/>
    <w:rsid w:val="008F07C6"/>
    <w:rsid w:val="009333F0"/>
    <w:rsid w:val="00933A13"/>
    <w:rsid w:val="00946114"/>
    <w:rsid w:val="0095562B"/>
    <w:rsid w:val="009668BC"/>
    <w:rsid w:val="0098766E"/>
    <w:rsid w:val="009B5B1A"/>
    <w:rsid w:val="009F11C9"/>
    <w:rsid w:val="00A00ED7"/>
    <w:rsid w:val="00A213EB"/>
    <w:rsid w:val="00A53E2A"/>
    <w:rsid w:val="00A83D56"/>
    <w:rsid w:val="00AA04A0"/>
    <w:rsid w:val="00AA62F5"/>
    <w:rsid w:val="00AC750E"/>
    <w:rsid w:val="00B17143"/>
    <w:rsid w:val="00B26641"/>
    <w:rsid w:val="00B85805"/>
    <w:rsid w:val="00BB04B6"/>
    <w:rsid w:val="00BD0969"/>
    <w:rsid w:val="00BD5BAF"/>
    <w:rsid w:val="00C231F8"/>
    <w:rsid w:val="00C5349A"/>
    <w:rsid w:val="00C76273"/>
    <w:rsid w:val="00C96F2A"/>
    <w:rsid w:val="00CC5061"/>
    <w:rsid w:val="00CD60B9"/>
    <w:rsid w:val="00CD6A74"/>
    <w:rsid w:val="00CE21B4"/>
    <w:rsid w:val="00D25D8A"/>
    <w:rsid w:val="00D64E59"/>
    <w:rsid w:val="00D75556"/>
    <w:rsid w:val="00D929A3"/>
    <w:rsid w:val="00DC6AFE"/>
    <w:rsid w:val="00DD779A"/>
    <w:rsid w:val="00DE3C01"/>
    <w:rsid w:val="00E16D4E"/>
    <w:rsid w:val="00E26EA0"/>
    <w:rsid w:val="00E30990"/>
    <w:rsid w:val="00E56722"/>
    <w:rsid w:val="00E617A1"/>
    <w:rsid w:val="00E619A3"/>
    <w:rsid w:val="00E84EC7"/>
    <w:rsid w:val="00F02C0D"/>
    <w:rsid w:val="00F221E1"/>
    <w:rsid w:val="00F638BE"/>
    <w:rsid w:val="00FC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F1D62-CE00-4DBB-80A9-DC79223F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8F07C6"/>
    <w:pPr>
      <w:spacing w:after="0" w:line="240" w:lineRule="auto"/>
    </w:pPr>
    <w:rPr>
      <w:sz w:val="20"/>
      <w:szCs w:val="20"/>
    </w:rPr>
  </w:style>
  <w:style w:type="character" w:customStyle="1" w:styleId="FootnoteTextChar">
    <w:name w:val="Footnote Text Char"/>
    <w:aliases w:val="5_G Char"/>
    <w:basedOn w:val="DefaultParagraphFont"/>
    <w:link w:val="FootnoteText"/>
    <w:rsid w:val="008F07C6"/>
    <w:rPr>
      <w:sz w:val="20"/>
      <w:szCs w:val="20"/>
    </w:rPr>
  </w:style>
  <w:style w:type="character" w:styleId="FootnoteReference">
    <w:name w:val="footnote reference"/>
    <w:basedOn w:val="DefaultParagraphFont"/>
    <w:uiPriority w:val="99"/>
    <w:semiHidden/>
    <w:unhideWhenUsed/>
    <w:rsid w:val="008F07C6"/>
    <w:rPr>
      <w:vertAlign w:val="superscript"/>
    </w:rPr>
  </w:style>
  <w:style w:type="paragraph" w:customStyle="1" w:styleId="SingleTxtG">
    <w:name w:val="_ Single Txt_G"/>
    <w:basedOn w:val="Normal"/>
    <w:link w:val="SingleTxtGChar"/>
    <w:qFormat/>
    <w:rsid w:val="00324379"/>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locked/>
    <w:rsid w:val="00324379"/>
    <w:rPr>
      <w:rFonts w:ascii="Times New Roman" w:eastAsia="Times New Roman" w:hAnsi="Times New Roman" w:cs="Times New Roman"/>
      <w:sz w:val="20"/>
      <w:szCs w:val="20"/>
      <w:lang w:val="x-none"/>
    </w:rPr>
  </w:style>
  <w:style w:type="character" w:styleId="Hyperlink">
    <w:name w:val="Hyperlink"/>
    <w:basedOn w:val="DefaultParagraphFont"/>
    <w:uiPriority w:val="99"/>
    <w:unhideWhenUsed/>
    <w:rsid w:val="00A83D56"/>
    <w:rPr>
      <w:color w:val="0563C1" w:themeColor="hyperlink"/>
      <w:u w:val="single"/>
    </w:rPr>
  </w:style>
  <w:style w:type="character" w:customStyle="1" w:styleId="apple-converted-space">
    <w:name w:val="apple-converted-space"/>
    <w:basedOn w:val="DefaultParagraphFont"/>
    <w:rsid w:val="00A83D56"/>
  </w:style>
  <w:style w:type="paragraph" w:styleId="Header">
    <w:name w:val="header"/>
    <w:basedOn w:val="Normal"/>
    <w:link w:val="HeaderChar"/>
    <w:uiPriority w:val="99"/>
    <w:unhideWhenUsed/>
    <w:rsid w:val="004C2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23"/>
  </w:style>
  <w:style w:type="paragraph" w:styleId="Footer">
    <w:name w:val="footer"/>
    <w:basedOn w:val="Normal"/>
    <w:link w:val="FooterChar"/>
    <w:uiPriority w:val="99"/>
    <w:unhideWhenUsed/>
    <w:rsid w:val="004C2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86044">
      <w:bodyDiv w:val="1"/>
      <w:marLeft w:val="0"/>
      <w:marRight w:val="0"/>
      <w:marTop w:val="0"/>
      <w:marBottom w:val="0"/>
      <w:divBdr>
        <w:top w:val="none" w:sz="0" w:space="0" w:color="auto"/>
        <w:left w:val="none" w:sz="0" w:space="0" w:color="auto"/>
        <w:bottom w:val="none" w:sz="0" w:space="0" w:color="auto"/>
        <w:right w:val="none" w:sz="0" w:space="0" w:color="auto"/>
      </w:divBdr>
      <w:divsChild>
        <w:div w:id="717360162">
          <w:marLeft w:val="0"/>
          <w:marRight w:val="0"/>
          <w:marTop w:val="0"/>
          <w:marBottom w:val="0"/>
          <w:divBdr>
            <w:top w:val="none" w:sz="0" w:space="0" w:color="auto"/>
            <w:left w:val="none" w:sz="0" w:space="0" w:color="auto"/>
            <w:bottom w:val="single" w:sz="6" w:space="9" w:color="CECECE"/>
            <w:right w:val="none" w:sz="0" w:space="0" w:color="auto"/>
          </w:divBdr>
          <w:divsChild>
            <w:div w:id="1876506852">
              <w:marLeft w:val="0"/>
              <w:marRight w:val="0"/>
              <w:marTop w:val="0"/>
              <w:marBottom w:val="0"/>
              <w:divBdr>
                <w:top w:val="none" w:sz="0" w:space="0" w:color="auto"/>
                <w:left w:val="none" w:sz="0" w:space="0" w:color="auto"/>
                <w:bottom w:val="none" w:sz="0" w:space="0" w:color="auto"/>
                <w:right w:val="none" w:sz="0" w:space="0" w:color="auto"/>
              </w:divBdr>
            </w:div>
          </w:divsChild>
        </w:div>
        <w:div w:id="1659115228">
          <w:marLeft w:val="0"/>
          <w:marRight w:val="0"/>
          <w:marTop w:val="240"/>
          <w:marBottom w:val="240"/>
          <w:divBdr>
            <w:top w:val="none" w:sz="0" w:space="0" w:color="auto"/>
            <w:left w:val="none" w:sz="0" w:space="0" w:color="auto"/>
            <w:bottom w:val="none" w:sz="0" w:space="0" w:color="auto"/>
            <w:right w:val="none" w:sz="0" w:space="0" w:color="auto"/>
          </w:divBdr>
        </w:div>
        <w:div w:id="1608274620">
          <w:marLeft w:val="0"/>
          <w:marRight w:val="0"/>
          <w:marTop w:val="0"/>
          <w:marBottom w:val="0"/>
          <w:divBdr>
            <w:top w:val="none" w:sz="0" w:space="0" w:color="auto"/>
            <w:left w:val="none" w:sz="0" w:space="0" w:color="auto"/>
            <w:bottom w:val="none" w:sz="0" w:space="0" w:color="auto"/>
            <w:right w:val="none" w:sz="0" w:space="0" w:color="auto"/>
          </w:divBdr>
          <w:divsChild>
            <w:div w:id="1708334828">
              <w:marLeft w:val="0"/>
              <w:marRight w:val="0"/>
              <w:marTop w:val="0"/>
              <w:marBottom w:val="300"/>
              <w:divBdr>
                <w:top w:val="single" w:sz="48" w:space="0" w:color="000000"/>
                <w:left w:val="single" w:sz="48" w:space="0" w:color="000000"/>
                <w:bottom w:val="single" w:sz="48" w:space="0" w:color="000000"/>
                <w:right w:val="single" w:sz="48" w:space="0" w:color="000000"/>
              </w:divBdr>
              <w:divsChild>
                <w:div w:id="1591086534">
                  <w:marLeft w:val="0"/>
                  <w:marRight w:val="0"/>
                  <w:marTop w:val="0"/>
                  <w:marBottom w:val="0"/>
                  <w:divBdr>
                    <w:top w:val="none" w:sz="0" w:space="0" w:color="auto"/>
                    <w:left w:val="none" w:sz="0" w:space="0" w:color="auto"/>
                    <w:bottom w:val="none" w:sz="0" w:space="0" w:color="auto"/>
                    <w:right w:val="none" w:sz="0" w:space="0" w:color="auto"/>
                  </w:divBdr>
                  <w:divsChild>
                    <w:div w:id="444546081">
                      <w:marLeft w:val="0"/>
                      <w:marRight w:val="0"/>
                      <w:marTop w:val="0"/>
                      <w:marBottom w:val="0"/>
                      <w:divBdr>
                        <w:top w:val="none" w:sz="0" w:space="0" w:color="auto"/>
                        <w:left w:val="none" w:sz="0" w:space="0" w:color="auto"/>
                        <w:bottom w:val="none" w:sz="0" w:space="0" w:color="auto"/>
                        <w:right w:val="none" w:sz="0" w:space="0" w:color="auto"/>
                      </w:divBdr>
                    </w:div>
                    <w:div w:id="14596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407">
      <w:bodyDiv w:val="1"/>
      <w:marLeft w:val="0"/>
      <w:marRight w:val="0"/>
      <w:marTop w:val="0"/>
      <w:marBottom w:val="0"/>
      <w:divBdr>
        <w:top w:val="none" w:sz="0" w:space="0" w:color="auto"/>
        <w:left w:val="none" w:sz="0" w:space="0" w:color="auto"/>
        <w:bottom w:val="none" w:sz="0" w:space="0" w:color="auto"/>
        <w:right w:val="none" w:sz="0" w:space="0" w:color="auto"/>
      </w:divBdr>
      <w:divsChild>
        <w:div w:id="23481173">
          <w:marLeft w:val="0"/>
          <w:marRight w:val="0"/>
          <w:marTop w:val="0"/>
          <w:marBottom w:val="0"/>
          <w:divBdr>
            <w:top w:val="none" w:sz="0" w:space="0" w:color="auto"/>
            <w:left w:val="none" w:sz="0" w:space="0" w:color="auto"/>
            <w:bottom w:val="single" w:sz="6" w:space="9" w:color="CECECE"/>
            <w:right w:val="none" w:sz="0" w:space="0" w:color="auto"/>
          </w:divBdr>
          <w:divsChild>
            <w:div w:id="206261216">
              <w:marLeft w:val="0"/>
              <w:marRight w:val="0"/>
              <w:marTop w:val="0"/>
              <w:marBottom w:val="0"/>
              <w:divBdr>
                <w:top w:val="none" w:sz="0" w:space="0" w:color="auto"/>
                <w:left w:val="none" w:sz="0" w:space="0" w:color="auto"/>
                <w:bottom w:val="none" w:sz="0" w:space="0" w:color="auto"/>
                <w:right w:val="none" w:sz="0" w:space="0" w:color="auto"/>
              </w:divBdr>
            </w:div>
          </w:divsChild>
        </w:div>
        <w:div w:id="1333684070">
          <w:marLeft w:val="0"/>
          <w:marRight w:val="0"/>
          <w:marTop w:val="240"/>
          <w:marBottom w:val="240"/>
          <w:divBdr>
            <w:top w:val="none" w:sz="0" w:space="0" w:color="auto"/>
            <w:left w:val="none" w:sz="0" w:space="0" w:color="auto"/>
            <w:bottom w:val="none" w:sz="0" w:space="0" w:color="auto"/>
            <w:right w:val="none" w:sz="0" w:space="0" w:color="auto"/>
          </w:divBdr>
        </w:div>
        <w:div w:id="1297417018">
          <w:marLeft w:val="0"/>
          <w:marRight w:val="0"/>
          <w:marTop w:val="0"/>
          <w:marBottom w:val="0"/>
          <w:divBdr>
            <w:top w:val="none" w:sz="0" w:space="0" w:color="auto"/>
            <w:left w:val="none" w:sz="0" w:space="0" w:color="auto"/>
            <w:bottom w:val="none" w:sz="0" w:space="0" w:color="auto"/>
            <w:right w:val="none" w:sz="0" w:space="0" w:color="auto"/>
          </w:divBdr>
          <w:divsChild>
            <w:div w:id="1734891965">
              <w:marLeft w:val="0"/>
              <w:marRight w:val="0"/>
              <w:marTop w:val="0"/>
              <w:marBottom w:val="300"/>
              <w:divBdr>
                <w:top w:val="single" w:sz="48" w:space="0" w:color="000000"/>
                <w:left w:val="single" w:sz="48" w:space="0" w:color="000000"/>
                <w:bottom w:val="single" w:sz="48" w:space="0" w:color="000000"/>
                <w:right w:val="single" w:sz="48" w:space="0" w:color="000000"/>
              </w:divBdr>
              <w:divsChild>
                <w:div w:id="1002970103">
                  <w:marLeft w:val="0"/>
                  <w:marRight w:val="0"/>
                  <w:marTop w:val="0"/>
                  <w:marBottom w:val="0"/>
                  <w:divBdr>
                    <w:top w:val="none" w:sz="0" w:space="0" w:color="auto"/>
                    <w:left w:val="none" w:sz="0" w:space="0" w:color="auto"/>
                    <w:bottom w:val="none" w:sz="0" w:space="0" w:color="auto"/>
                    <w:right w:val="none" w:sz="0" w:space="0" w:color="auto"/>
                  </w:divBdr>
                  <w:divsChild>
                    <w:div w:id="820658149">
                      <w:marLeft w:val="0"/>
                      <w:marRight w:val="0"/>
                      <w:marTop w:val="0"/>
                      <w:marBottom w:val="0"/>
                      <w:divBdr>
                        <w:top w:val="none" w:sz="0" w:space="0" w:color="auto"/>
                        <w:left w:val="none" w:sz="0" w:space="0" w:color="auto"/>
                        <w:bottom w:val="none" w:sz="0" w:space="0" w:color="auto"/>
                        <w:right w:val="none" w:sz="0" w:space="0" w:color="auto"/>
                      </w:divBdr>
                    </w:div>
                    <w:div w:id="15484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juecesparalademocracia.blogspot.be/2015/06/resolucion-de-jpd-contra-la.html" TargetMode="External"/><Relationship Id="rId2" Type="http://schemas.openxmlformats.org/officeDocument/2006/relationships/hyperlink" Target="http://people.ffii.org/~ante/ISDS/draft-isds.html" TargetMode="External"/><Relationship Id="rId1" Type="http://schemas.openxmlformats.org/officeDocument/2006/relationships/hyperlink" Target="http://www.ejil.org/pdfs/1/1/11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70803D-FD3B-46F7-BD74-F853C3A3F1AD}"/>
</file>

<file path=customXml/itemProps2.xml><?xml version="1.0" encoding="utf-8"?>
<ds:datastoreItem xmlns:ds="http://schemas.openxmlformats.org/officeDocument/2006/customXml" ds:itemID="{741A480D-1DDE-46BA-A504-AFEFD65A3097}"/>
</file>

<file path=customXml/itemProps3.xml><?xml version="1.0" encoding="utf-8"?>
<ds:datastoreItem xmlns:ds="http://schemas.openxmlformats.org/officeDocument/2006/customXml" ds:itemID="{E7C15B74-CCFF-4CA7-896A-7E4731903628}"/>
</file>

<file path=customXml/itemProps4.xml><?xml version="1.0" encoding="utf-8"?>
<ds:datastoreItem xmlns:ds="http://schemas.openxmlformats.org/officeDocument/2006/customXml" ds:itemID="{4405C678-AEDB-4B60-AD81-95F22CC07DD4}"/>
</file>

<file path=docProps/app.xml><?xml version="1.0" encoding="utf-8"?>
<Properties xmlns="http://schemas.openxmlformats.org/officeDocument/2006/extended-properties" xmlns:vt="http://schemas.openxmlformats.org/officeDocument/2006/docPropsVTypes">
  <Template>Normal</Template>
  <TotalTime>0</TotalTime>
  <Pages>6</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De Zayas</dc:creator>
  <cp:keywords/>
  <dc:description/>
  <cp:lastModifiedBy>Alfred De Zayas</cp:lastModifiedBy>
  <cp:revision>2</cp:revision>
  <dcterms:created xsi:type="dcterms:W3CDTF">2016-04-14T10:29:00Z</dcterms:created>
  <dcterms:modified xsi:type="dcterms:W3CDTF">2016-04-14T10:29:00Z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3515300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