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B09B2" w14:textId="3FE0B8B0" w:rsidR="00B46E23" w:rsidRDefault="005D17ED" w:rsidP="0024418C">
      <w:pPr>
        <w:keepNext/>
        <w:keepLines/>
        <w:spacing w:before="480" w:after="120"/>
        <w:outlineLvl w:val="0"/>
        <w:rPr>
          <w:rFonts w:ascii="Verdana" w:eastAsia="Helvetica Neue" w:hAnsi="Verdana" w:cs="Helvetica Neue"/>
          <w:b/>
          <w:sz w:val="32"/>
          <w:szCs w:val="32"/>
          <w:lang w:val="es-ES"/>
        </w:rPr>
      </w:pPr>
      <w:r w:rsidRPr="000C3E04">
        <w:rPr>
          <w:rFonts w:ascii="Verdana" w:eastAsia="Helvetica Neue" w:hAnsi="Verdana" w:cs="Helvetica Neue"/>
          <w:b/>
          <w:sz w:val="32"/>
          <w:szCs w:val="32"/>
          <w:lang w:val="es-ES"/>
        </w:rPr>
        <w:t>Llamado a contribuciones</w:t>
      </w:r>
      <w:r w:rsidR="002F2D52" w:rsidRPr="002F2D52">
        <w:rPr>
          <w:rFonts w:ascii="Verdana" w:eastAsia="Helvetica Neue" w:hAnsi="Verdana" w:cs="Helvetica Neue"/>
          <w:b/>
          <w:sz w:val="32"/>
          <w:szCs w:val="32"/>
          <w:lang w:val="es-ES"/>
        </w:rPr>
        <w:t xml:space="preserve">: </w:t>
      </w:r>
      <w:r w:rsidRPr="000C3E04">
        <w:rPr>
          <w:rFonts w:ascii="Verdana" w:eastAsia="Helvetica Neue" w:hAnsi="Verdana" w:cs="Helvetica Neue"/>
          <w:b/>
          <w:sz w:val="32"/>
          <w:szCs w:val="32"/>
          <w:lang w:val="es-ES"/>
        </w:rPr>
        <w:t xml:space="preserve">informe sobre </w:t>
      </w:r>
      <w:r w:rsidR="00472D89">
        <w:rPr>
          <w:rFonts w:ascii="Verdana" w:eastAsia="Helvetica Neue" w:hAnsi="Verdana" w:cs="Helvetica Neue"/>
          <w:b/>
          <w:sz w:val="32"/>
          <w:szCs w:val="32"/>
          <w:lang w:val="es-ES"/>
        </w:rPr>
        <w:t>el papel de las E</w:t>
      </w:r>
      <w:r w:rsidR="00A02FA1">
        <w:rPr>
          <w:rFonts w:ascii="Verdana" w:eastAsia="Helvetica Neue" w:hAnsi="Verdana" w:cs="Helvetica Neue"/>
          <w:b/>
          <w:sz w:val="32"/>
          <w:szCs w:val="32"/>
          <w:lang w:val="es-ES"/>
        </w:rPr>
        <w:t>MSP</w:t>
      </w:r>
      <w:r w:rsidR="00472D89">
        <w:rPr>
          <w:rFonts w:ascii="Verdana" w:eastAsia="Helvetica Neue" w:hAnsi="Verdana" w:cs="Helvetica Neue"/>
          <w:b/>
          <w:sz w:val="32"/>
          <w:szCs w:val="32"/>
          <w:lang w:val="es-ES"/>
        </w:rPr>
        <w:t xml:space="preserve"> en la acción </w:t>
      </w:r>
      <w:r w:rsidR="00CE3850">
        <w:rPr>
          <w:rFonts w:ascii="Verdana" w:eastAsia="Helvetica Neue" w:hAnsi="Verdana" w:cs="Helvetica Neue"/>
          <w:b/>
          <w:sz w:val="32"/>
          <w:szCs w:val="32"/>
          <w:lang w:val="es-ES"/>
        </w:rPr>
        <w:t>humanitaria</w:t>
      </w:r>
    </w:p>
    <w:p w14:paraId="4F1FBB3E" w14:textId="77777777" w:rsidR="00A66145" w:rsidRPr="000C3E04" w:rsidRDefault="00A66145" w:rsidP="0024418C">
      <w:pPr>
        <w:keepNext/>
        <w:keepLines/>
        <w:spacing w:before="480" w:after="120"/>
        <w:outlineLvl w:val="0"/>
        <w:rPr>
          <w:lang w:val="es-ES"/>
        </w:rPr>
      </w:pPr>
    </w:p>
    <w:tbl>
      <w:tblPr>
        <w:tblStyle w:val="TableGrid"/>
        <w:tblW w:w="0" w:type="auto"/>
        <w:tblLook w:val="04A0" w:firstRow="1" w:lastRow="0" w:firstColumn="1" w:lastColumn="0" w:noHBand="0" w:noVBand="1"/>
      </w:tblPr>
      <w:tblGrid>
        <w:gridCol w:w="1555"/>
        <w:gridCol w:w="6939"/>
      </w:tblGrid>
      <w:tr w:rsidR="00B46E23" w:rsidRPr="00A66145" w14:paraId="346C011F" w14:textId="77777777" w:rsidTr="005D17ED">
        <w:tc>
          <w:tcPr>
            <w:tcW w:w="1555" w:type="dxa"/>
          </w:tcPr>
          <w:p w14:paraId="0F5F219A" w14:textId="77777777" w:rsidR="00B46E23" w:rsidRPr="002544CB" w:rsidRDefault="005D17ED" w:rsidP="00481C3A">
            <w:pPr>
              <w:pStyle w:val="Normal1"/>
              <w:rPr>
                <w:rFonts w:ascii="Verdana" w:hAnsi="Verdana"/>
                <w:sz w:val="20"/>
                <w:szCs w:val="20"/>
              </w:rPr>
            </w:pPr>
            <w:r w:rsidRPr="002544CB">
              <w:rPr>
                <w:rFonts w:ascii="Verdana" w:hAnsi="Verdana" w:cstheme="majorHAnsi"/>
                <w:b/>
                <w:color w:val="000000"/>
                <w:sz w:val="20"/>
                <w:szCs w:val="20"/>
              </w:rPr>
              <w:t>Fecha l</w:t>
            </w:r>
            <w:r w:rsidR="00481C3A" w:rsidRPr="002544CB">
              <w:rPr>
                <w:rFonts w:ascii="Verdana" w:hAnsi="Verdana" w:cstheme="majorHAnsi"/>
                <w:b/>
                <w:color w:val="000000"/>
                <w:sz w:val="20"/>
                <w:szCs w:val="20"/>
              </w:rPr>
              <w:t>í</w:t>
            </w:r>
            <w:r w:rsidRPr="002544CB">
              <w:rPr>
                <w:rFonts w:ascii="Verdana" w:hAnsi="Verdana" w:cstheme="majorHAnsi"/>
                <w:b/>
                <w:color w:val="000000"/>
                <w:sz w:val="20"/>
                <w:szCs w:val="20"/>
              </w:rPr>
              <w:t>mite</w:t>
            </w:r>
            <w:r w:rsidR="00B46E23" w:rsidRPr="002544CB">
              <w:rPr>
                <w:rFonts w:ascii="Verdana" w:hAnsi="Verdana" w:cstheme="majorHAnsi"/>
                <w:b/>
                <w:color w:val="000000"/>
                <w:sz w:val="20"/>
                <w:szCs w:val="20"/>
              </w:rPr>
              <w:t>:</w:t>
            </w:r>
          </w:p>
        </w:tc>
        <w:tc>
          <w:tcPr>
            <w:tcW w:w="6939" w:type="dxa"/>
          </w:tcPr>
          <w:p w14:paraId="4F98CFE2" w14:textId="76AA828B" w:rsidR="00B46E23" w:rsidRPr="002544CB" w:rsidRDefault="00697E13" w:rsidP="005D17ED">
            <w:pPr>
              <w:pBdr>
                <w:top w:val="nil"/>
                <w:left w:val="nil"/>
                <w:bottom w:val="nil"/>
                <w:right w:val="nil"/>
                <w:between w:val="nil"/>
              </w:pBdr>
              <w:rPr>
                <w:rFonts w:ascii="Verdana" w:hAnsi="Verdana" w:cstheme="majorHAnsi"/>
                <w:b/>
                <w:color w:val="000000"/>
                <w:lang w:val="es-ES"/>
              </w:rPr>
            </w:pPr>
            <w:r>
              <w:rPr>
                <w:rFonts w:ascii="Verdana" w:hAnsi="Verdana" w:cstheme="majorHAnsi"/>
                <w:lang w:val="es-ES"/>
              </w:rPr>
              <w:t>9</w:t>
            </w:r>
            <w:bookmarkStart w:id="0" w:name="_GoBack"/>
            <w:bookmarkEnd w:id="0"/>
            <w:r w:rsidR="00A66145" w:rsidRPr="002544CB">
              <w:rPr>
                <w:rFonts w:ascii="Verdana" w:hAnsi="Verdana" w:cstheme="majorHAnsi"/>
                <w:lang w:val="es-ES"/>
              </w:rPr>
              <w:t xml:space="preserve"> de marzo de</w:t>
            </w:r>
            <w:r w:rsidR="005D17ED" w:rsidRPr="002544CB">
              <w:rPr>
                <w:rFonts w:ascii="Verdana" w:hAnsi="Verdana" w:cstheme="majorHAnsi"/>
                <w:lang w:val="es-ES"/>
              </w:rPr>
              <w:t xml:space="preserve"> </w:t>
            </w:r>
            <w:r w:rsidR="00B46E23" w:rsidRPr="002544CB">
              <w:rPr>
                <w:rFonts w:ascii="Verdana" w:hAnsi="Verdana" w:cstheme="majorHAnsi"/>
                <w:lang w:val="es-ES"/>
              </w:rPr>
              <w:t>2021</w:t>
            </w:r>
          </w:p>
        </w:tc>
      </w:tr>
      <w:tr w:rsidR="00B46E23" w:rsidRPr="00697E13" w14:paraId="6CB4D653" w14:textId="77777777" w:rsidTr="005D17ED">
        <w:tc>
          <w:tcPr>
            <w:tcW w:w="1555" w:type="dxa"/>
          </w:tcPr>
          <w:p w14:paraId="2E73CAF2" w14:textId="77777777" w:rsidR="00B46E23" w:rsidRPr="002544CB" w:rsidRDefault="00B46E23" w:rsidP="00143E19">
            <w:pPr>
              <w:pStyle w:val="Normal1"/>
              <w:rPr>
                <w:rFonts w:ascii="Verdana" w:hAnsi="Verdana"/>
                <w:sz w:val="20"/>
                <w:szCs w:val="20"/>
              </w:rPr>
            </w:pPr>
            <w:r w:rsidRPr="002544CB">
              <w:rPr>
                <w:rFonts w:ascii="Verdana" w:hAnsi="Verdana" w:cstheme="majorHAnsi"/>
                <w:b/>
                <w:color w:val="000000"/>
                <w:sz w:val="20"/>
                <w:szCs w:val="20"/>
              </w:rPr>
              <w:t>Issued by:</w:t>
            </w:r>
          </w:p>
        </w:tc>
        <w:tc>
          <w:tcPr>
            <w:tcW w:w="6939" w:type="dxa"/>
          </w:tcPr>
          <w:p w14:paraId="2B3D60BC" w14:textId="77777777" w:rsidR="00B46E23" w:rsidRPr="002544CB" w:rsidRDefault="000C3E04" w:rsidP="00143E19">
            <w:pPr>
              <w:pBdr>
                <w:top w:val="nil"/>
                <w:left w:val="nil"/>
                <w:bottom w:val="nil"/>
                <w:right w:val="nil"/>
                <w:between w:val="nil"/>
              </w:pBdr>
              <w:rPr>
                <w:rFonts w:ascii="Verdana" w:hAnsi="Verdana" w:cstheme="majorHAnsi"/>
                <w:color w:val="000000"/>
                <w:lang w:val="es-ES"/>
              </w:rPr>
            </w:pPr>
            <w:r w:rsidRPr="002544CB">
              <w:rPr>
                <w:rFonts w:ascii="Verdana" w:hAnsi="Verdana" w:cstheme="majorHAnsi"/>
                <w:color w:val="000000"/>
                <w:lang w:val="es-ES"/>
              </w:rPr>
              <w:t>Grupo de trabajo sobre la utilización de mercenarios</w:t>
            </w:r>
          </w:p>
        </w:tc>
      </w:tr>
      <w:tr w:rsidR="00B46E23" w:rsidRPr="00697E13" w14:paraId="6476D772" w14:textId="77777777" w:rsidTr="005D17ED">
        <w:tc>
          <w:tcPr>
            <w:tcW w:w="1555" w:type="dxa"/>
          </w:tcPr>
          <w:p w14:paraId="708F19AC" w14:textId="77777777" w:rsidR="00B46E23" w:rsidRPr="002544CB" w:rsidRDefault="00EE264B" w:rsidP="00143E19">
            <w:pPr>
              <w:pStyle w:val="Normal1"/>
              <w:rPr>
                <w:rFonts w:ascii="Verdana" w:hAnsi="Verdana"/>
                <w:sz w:val="20"/>
                <w:szCs w:val="20"/>
              </w:rPr>
            </w:pPr>
            <w:r w:rsidRPr="002544CB">
              <w:rPr>
                <w:rFonts w:ascii="Verdana" w:hAnsi="Verdana" w:cstheme="majorHAnsi"/>
                <w:b/>
                <w:color w:val="000000"/>
                <w:sz w:val="20"/>
                <w:szCs w:val="20"/>
              </w:rPr>
              <w:t>Propósito</w:t>
            </w:r>
            <w:r w:rsidR="00B46E23" w:rsidRPr="002544CB">
              <w:rPr>
                <w:rFonts w:ascii="Verdana" w:hAnsi="Verdana" w:cstheme="majorHAnsi"/>
                <w:b/>
                <w:color w:val="000000"/>
                <w:sz w:val="20"/>
                <w:szCs w:val="20"/>
              </w:rPr>
              <w:t>:</w:t>
            </w:r>
          </w:p>
        </w:tc>
        <w:tc>
          <w:tcPr>
            <w:tcW w:w="6939" w:type="dxa"/>
          </w:tcPr>
          <w:p w14:paraId="3CD8CE80" w14:textId="77777777" w:rsidR="00B46E23" w:rsidRPr="002544CB" w:rsidRDefault="00AC534C" w:rsidP="002544CB">
            <w:pPr>
              <w:pStyle w:val="Normal1"/>
              <w:rPr>
                <w:rFonts w:ascii="Verdana" w:hAnsi="Verdana"/>
                <w:sz w:val="20"/>
                <w:szCs w:val="20"/>
                <w:lang w:val="es-ES"/>
              </w:rPr>
            </w:pPr>
            <w:r w:rsidRPr="002544CB">
              <w:rPr>
                <w:rFonts w:ascii="Verdana" w:hAnsi="Verdana"/>
                <w:sz w:val="20"/>
                <w:szCs w:val="20"/>
                <w:lang w:val="es-ES"/>
              </w:rPr>
              <w:t xml:space="preserve">Informar el informe del GT que se presentará el </w:t>
            </w:r>
            <w:r w:rsidR="002544CB">
              <w:rPr>
                <w:rFonts w:ascii="Verdana" w:hAnsi="Verdana"/>
                <w:sz w:val="20"/>
                <w:szCs w:val="20"/>
                <w:lang w:val="es-ES"/>
              </w:rPr>
              <w:t>48º período de sesiones del Consejo de Derechos Humanos en septiembre</w:t>
            </w:r>
            <w:r w:rsidR="00323C42" w:rsidRPr="002544CB">
              <w:rPr>
                <w:rFonts w:ascii="Verdana" w:hAnsi="Verdana"/>
                <w:sz w:val="20"/>
                <w:szCs w:val="20"/>
                <w:lang w:val="es-ES"/>
              </w:rPr>
              <w:t xml:space="preserve"> de 2021</w:t>
            </w:r>
          </w:p>
        </w:tc>
      </w:tr>
    </w:tbl>
    <w:p w14:paraId="3E340D2D" w14:textId="77777777" w:rsidR="00B46E23" w:rsidRPr="00AC534C" w:rsidRDefault="00B46E23" w:rsidP="00B46E23">
      <w:pPr>
        <w:pBdr>
          <w:top w:val="nil"/>
          <w:left w:val="nil"/>
          <w:bottom w:val="nil"/>
          <w:right w:val="nil"/>
          <w:between w:val="nil"/>
        </w:pBdr>
        <w:rPr>
          <w:rFonts w:ascii="Verdana" w:hAnsi="Verdana" w:cstheme="majorHAnsi"/>
          <w:color w:val="000000"/>
          <w:lang w:val="es-ES"/>
        </w:rPr>
      </w:pPr>
    </w:p>
    <w:p w14:paraId="6DEA4C3D" w14:textId="77777777" w:rsidR="00B46E23" w:rsidRPr="00AC534C" w:rsidRDefault="00A34D4F" w:rsidP="00B46E23">
      <w:pPr>
        <w:pBdr>
          <w:top w:val="nil"/>
          <w:left w:val="nil"/>
          <w:bottom w:val="nil"/>
          <w:right w:val="nil"/>
          <w:between w:val="nil"/>
        </w:pBdr>
        <w:rPr>
          <w:rFonts w:ascii="Verdana" w:hAnsi="Verdana" w:cstheme="majorHAnsi"/>
          <w:b/>
          <w:color w:val="000000"/>
          <w:lang w:val="es-ES"/>
        </w:rPr>
      </w:pPr>
      <w:r>
        <w:rPr>
          <w:rFonts w:ascii="Verdana" w:hAnsi="Verdana" w:cstheme="majorHAnsi"/>
          <w:b/>
          <w:color w:val="000000"/>
          <w:lang w:val="es-ES"/>
        </w:rPr>
        <w:t>Contexto</w:t>
      </w:r>
    </w:p>
    <w:p w14:paraId="507BB8A5" w14:textId="77777777" w:rsidR="00A34D4F" w:rsidRDefault="00A34D4F" w:rsidP="00A60A10">
      <w:pPr>
        <w:rPr>
          <w:sz w:val="24"/>
          <w:szCs w:val="24"/>
          <w:lang w:val="es-ES"/>
        </w:rPr>
      </w:pPr>
    </w:p>
    <w:p w14:paraId="35676EC7" w14:textId="77777777" w:rsidR="002F2D52" w:rsidRPr="00A34D4F" w:rsidRDefault="00A34D4F" w:rsidP="00A60A10">
      <w:pPr>
        <w:rPr>
          <w:rFonts w:ascii="Verdana" w:hAnsi="Verdana"/>
          <w:lang w:val="es-ES"/>
        </w:rPr>
      </w:pPr>
      <w:r w:rsidRPr="00A34D4F">
        <w:rPr>
          <w:rFonts w:ascii="Verdana" w:hAnsi="Verdana"/>
          <w:lang w:val="es-ES"/>
        </w:rPr>
        <w:t>Dos veces al año, el Grupo de Trabajo sobre la utilización de mercenarios solicita aportaciones para fundamentar sus estud</w:t>
      </w:r>
      <w:r>
        <w:rPr>
          <w:rFonts w:ascii="Verdana" w:hAnsi="Verdana"/>
          <w:lang w:val="es-ES"/>
        </w:rPr>
        <w:t>ios temáticos que se presentan</w:t>
      </w:r>
      <w:r w:rsidRPr="00A34D4F">
        <w:rPr>
          <w:rFonts w:ascii="Verdana" w:hAnsi="Verdana"/>
          <w:lang w:val="es-ES"/>
        </w:rPr>
        <w:t xml:space="preserve"> en el Consejo de Derechos Humanos en su período de sesiones de septiembre y en la Asamblea General en octubre.</w:t>
      </w:r>
    </w:p>
    <w:p w14:paraId="5C11A427" w14:textId="77777777" w:rsidR="002F2D52" w:rsidRDefault="002F2D52" w:rsidP="00A60A10">
      <w:pPr>
        <w:rPr>
          <w:sz w:val="24"/>
          <w:szCs w:val="24"/>
          <w:lang w:val="es-ES"/>
        </w:rPr>
      </w:pPr>
    </w:p>
    <w:p w14:paraId="2BD36088" w14:textId="77777777" w:rsidR="00B52108" w:rsidRPr="00B52108" w:rsidRDefault="00B52108" w:rsidP="00A60A10">
      <w:pPr>
        <w:rPr>
          <w:rFonts w:ascii="Verdana" w:hAnsi="Verdana"/>
          <w:b/>
          <w:lang w:val="es-ES"/>
        </w:rPr>
      </w:pPr>
      <w:r w:rsidRPr="00B52108">
        <w:rPr>
          <w:rFonts w:ascii="Verdana" w:hAnsi="Verdana"/>
          <w:b/>
          <w:lang w:val="es-ES"/>
        </w:rPr>
        <w:t>Objetivos del informe</w:t>
      </w:r>
    </w:p>
    <w:p w14:paraId="672B1E9D" w14:textId="77777777" w:rsidR="00B52108" w:rsidRPr="00AC534C" w:rsidRDefault="00B52108" w:rsidP="00A60A10">
      <w:pPr>
        <w:rPr>
          <w:sz w:val="24"/>
          <w:szCs w:val="24"/>
          <w:lang w:val="es-ES"/>
        </w:rPr>
      </w:pPr>
    </w:p>
    <w:p w14:paraId="7C426BBC" w14:textId="77777777" w:rsidR="00993136" w:rsidRDefault="004E2924" w:rsidP="00A60A10">
      <w:pPr>
        <w:rPr>
          <w:rFonts w:ascii="Verdana" w:hAnsi="Verdana"/>
          <w:bCs/>
          <w:lang w:val="es-ES"/>
        </w:rPr>
      </w:pPr>
      <w:r w:rsidRPr="004E2924">
        <w:rPr>
          <w:rFonts w:ascii="Verdana" w:hAnsi="Verdana"/>
          <w:bCs/>
          <w:lang w:val="es-ES"/>
        </w:rPr>
        <w:t>Las décadas transcurridas desde el fin de la Guerra Fría han sido testigos de una expansión significativa en el número, tipo y tamaño de las organizaciones humanitarias, incluida una proliferación de actores que operan en emergencias humanitarias complejas. En sus esfuerzos por mantenerse al día con las crecientes demandas de los conflictos prolongados, los cada vez más frecuentes desastres naturales y provocados por el hombre, las pande</w:t>
      </w:r>
      <w:r w:rsidR="00643C9B">
        <w:rPr>
          <w:rFonts w:ascii="Verdana" w:hAnsi="Verdana"/>
          <w:bCs/>
          <w:lang w:val="es-ES"/>
        </w:rPr>
        <w:t>mias y los desplazamientos, el “panorama humanitario”</w:t>
      </w:r>
      <w:r w:rsidRPr="004E2924">
        <w:rPr>
          <w:rFonts w:ascii="Verdana" w:hAnsi="Verdana"/>
          <w:bCs/>
          <w:lang w:val="es-ES"/>
        </w:rPr>
        <w:t xml:space="preserve"> tal como se entiende tradicionalmente está experimentando cambios significativos. El surgimiento de </w:t>
      </w:r>
      <w:r w:rsidR="00643C9B">
        <w:rPr>
          <w:rFonts w:ascii="Verdana" w:hAnsi="Verdana"/>
          <w:bCs/>
          <w:lang w:val="es-ES"/>
        </w:rPr>
        <w:t>“nuevos” actores</w:t>
      </w:r>
      <w:r w:rsidRPr="004E2924">
        <w:rPr>
          <w:rFonts w:ascii="Verdana" w:hAnsi="Verdana"/>
          <w:bCs/>
          <w:lang w:val="es-ES"/>
        </w:rPr>
        <w:t xml:space="preserve"> o </w:t>
      </w:r>
      <w:r w:rsidR="00643C9B">
        <w:rPr>
          <w:rFonts w:ascii="Verdana" w:hAnsi="Verdana"/>
          <w:bCs/>
          <w:lang w:val="es-ES"/>
        </w:rPr>
        <w:t>actores “diferentes”</w:t>
      </w:r>
      <w:r w:rsidRPr="004E2924">
        <w:rPr>
          <w:rFonts w:ascii="Verdana" w:hAnsi="Verdana"/>
          <w:bCs/>
          <w:lang w:val="es-ES"/>
        </w:rPr>
        <w:t xml:space="preserve">, incluidas las empresas militares y de seguridad privadas (EMSP) y la aparición de nuevas formas y modalidades de asistencia humanitaria son </w:t>
      </w:r>
      <w:r w:rsidR="00B77FE6">
        <w:rPr>
          <w:rFonts w:ascii="Verdana" w:hAnsi="Verdana"/>
          <w:bCs/>
          <w:lang w:val="es-ES"/>
        </w:rPr>
        <w:t>ilustraciones</w:t>
      </w:r>
      <w:r w:rsidRPr="004E2924">
        <w:rPr>
          <w:rFonts w:ascii="Verdana" w:hAnsi="Verdana"/>
          <w:bCs/>
          <w:lang w:val="es-ES"/>
        </w:rPr>
        <w:t xml:space="preserve"> de tales cambios.</w:t>
      </w:r>
    </w:p>
    <w:p w14:paraId="1B2C116C" w14:textId="77777777" w:rsidR="00755EDC" w:rsidRDefault="00755EDC" w:rsidP="00A60A10">
      <w:pPr>
        <w:rPr>
          <w:rFonts w:ascii="Verdana" w:hAnsi="Verdana"/>
          <w:bCs/>
          <w:lang w:val="es-ES"/>
        </w:rPr>
      </w:pPr>
    </w:p>
    <w:p w14:paraId="04A5151C" w14:textId="77777777" w:rsidR="00755EDC" w:rsidRDefault="00755EDC" w:rsidP="00A60A10">
      <w:pPr>
        <w:rPr>
          <w:rFonts w:ascii="Verdana" w:hAnsi="Verdana"/>
          <w:bCs/>
          <w:lang w:val="es-ES"/>
        </w:rPr>
      </w:pPr>
      <w:r w:rsidRPr="00755EDC">
        <w:rPr>
          <w:rFonts w:ascii="Verdana" w:hAnsi="Verdana"/>
          <w:bCs/>
          <w:lang w:val="es-ES"/>
        </w:rPr>
        <w:t>Si bien en la última década se ha prestado una atención considerable a la relación entre los agentes humanitarios y las fuerzas de seguridad del Estado, se ha prestado poca atención a la proliferación de proveedores del sector privado en emergencias humanitarias complejas. Tal participación suscita preocupación sobre la legitimidad, la responsabilidad y el control de las EMSP. Lo que es más importante, el papel de las EMSP en la acción humanitaria y la militarización de la ayuda humanitaria ha suscitado preocupaciones sobre sus impactos en los fundamentos legales y éticos de los principios humanitarios de imparcialidad, neutralidad e independencia operati</w:t>
      </w:r>
      <w:r w:rsidR="002D2546">
        <w:rPr>
          <w:rFonts w:ascii="Verdana" w:hAnsi="Verdana"/>
          <w:bCs/>
          <w:lang w:val="es-ES"/>
        </w:rPr>
        <w:t xml:space="preserve">va. Se carece de información </w:t>
      </w:r>
      <w:r w:rsidRPr="00755EDC">
        <w:rPr>
          <w:rFonts w:ascii="Verdana" w:hAnsi="Verdana"/>
          <w:bCs/>
          <w:lang w:val="es-ES"/>
        </w:rPr>
        <w:t>fiable sobre la naturaleza, escala y supervisión de los servicios de EMSP en contextos humanitarios.</w:t>
      </w:r>
    </w:p>
    <w:p w14:paraId="4C27817A" w14:textId="77777777" w:rsidR="00D002A2" w:rsidRDefault="00D002A2" w:rsidP="00A60A10">
      <w:pPr>
        <w:rPr>
          <w:rFonts w:ascii="Verdana" w:hAnsi="Verdana"/>
          <w:bCs/>
          <w:lang w:val="es-ES"/>
        </w:rPr>
      </w:pPr>
    </w:p>
    <w:p w14:paraId="229F08E7" w14:textId="77777777" w:rsidR="00D002A2" w:rsidRDefault="00D002A2" w:rsidP="00A60A10">
      <w:pPr>
        <w:rPr>
          <w:rFonts w:ascii="Verdana" w:hAnsi="Verdana"/>
          <w:bCs/>
          <w:lang w:val="es-ES"/>
        </w:rPr>
      </w:pPr>
      <w:r w:rsidRPr="00D002A2">
        <w:rPr>
          <w:rFonts w:ascii="Verdana" w:hAnsi="Verdana"/>
          <w:bCs/>
          <w:lang w:val="es-ES"/>
        </w:rPr>
        <w:t xml:space="preserve">Basándose en su trabajo previo sobre las EMSP </w:t>
      </w:r>
      <w:r>
        <w:rPr>
          <w:rFonts w:ascii="Verdana" w:hAnsi="Verdana"/>
          <w:bCs/>
          <w:lang w:val="es-ES"/>
        </w:rPr>
        <w:t xml:space="preserve">(véanse </w:t>
      </w:r>
      <w:hyperlink r:id="rId10" w:history="1">
        <w:r w:rsidRPr="0083017B">
          <w:rPr>
            <w:rStyle w:val="Hyperlink"/>
            <w:rFonts w:ascii="Verdana" w:hAnsi="Verdana"/>
            <w:bCs/>
            <w:lang w:val="es-ES"/>
          </w:rPr>
          <w:t>A/HRC/45/9</w:t>
        </w:r>
      </w:hyperlink>
      <w:r w:rsidR="00620AAF">
        <w:rPr>
          <w:rFonts w:ascii="Verdana" w:hAnsi="Verdana"/>
          <w:bCs/>
          <w:lang w:val="es-ES"/>
        </w:rPr>
        <w:t xml:space="preserve">, </w:t>
      </w:r>
      <w:hyperlink r:id="rId11" w:history="1">
        <w:r w:rsidRPr="008E0D61">
          <w:rPr>
            <w:rStyle w:val="Hyperlink"/>
            <w:rFonts w:ascii="Verdana" w:hAnsi="Verdana"/>
            <w:bCs/>
            <w:lang w:val="es-ES"/>
          </w:rPr>
          <w:t>A/HRC/39/49</w:t>
        </w:r>
      </w:hyperlink>
      <w:r w:rsidRPr="00D002A2">
        <w:rPr>
          <w:rFonts w:ascii="Verdana" w:hAnsi="Verdana"/>
          <w:bCs/>
          <w:lang w:val="es-ES"/>
        </w:rPr>
        <w:t>), el Grupo de Trabajo sobre el uso de mercenarios decidió abordar el problema e identificar los principales desafíos de derecho</w:t>
      </w:r>
      <w:r w:rsidR="00860AB8">
        <w:rPr>
          <w:rFonts w:ascii="Verdana" w:hAnsi="Verdana"/>
          <w:bCs/>
          <w:lang w:val="es-ES"/>
        </w:rPr>
        <w:t xml:space="preserve">s humanos que plantea el uso </w:t>
      </w:r>
      <w:r w:rsidRPr="00D002A2">
        <w:rPr>
          <w:rFonts w:ascii="Verdana" w:hAnsi="Verdana"/>
          <w:bCs/>
          <w:lang w:val="es-ES"/>
        </w:rPr>
        <w:t>de los servicios de seguridad privada en contextos humanitarios.</w:t>
      </w:r>
    </w:p>
    <w:p w14:paraId="4A2548C1" w14:textId="77777777" w:rsidR="0005101D" w:rsidRPr="00993136" w:rsidRDefault="0005101D" w:rsidP="00A60A10">
      <w:pPr>
        <w:rPr>
          <w:rFonts w:ascii="Verdana" w:hAnsi="Verdana"/>
          <w:bCs/>
          <w:lang w:val="es-ES"/>
        </w:rPr>
      </w:pPr>
    </w:p>
    <w:p w14:paraId="1364EEDB" w14:textId="6C76E20B" w:rsidR="00A60A10" w:rsidRPr="00BF68CB" w:rsidRDefault="00A60A10" w:rsidP="00A60A10">
      <w:pPr>
        <w:rPr>
          <w:rFonts w:ascii="Verdana" w:hAnsi="Verdana"/>
          <w:lang w:val="es-ES"/>
        </w:rPr>
      </w:pPr>
      <w:r w:rsidRPr="00BF68CB">
        <w:rPr>
          <w:rFonts w:ascii="Verdana" w:hAnsi="Verdana"/>
          <w:lang w:val="es-ES"/>
        </w:rPr>
        <w:t>E</w:t>
      </w:r>
      <w:r w:rsidR="00112268" w:rsidRPr="00BF68CB">
        <w:rPr>
          <w:rFonts w:ascii="Verdana" w:hAnsi="Verdana"/>
          <w:lang w:val="es-ES"/>
        </w:rPr>
        <w:t>ste</w:t>
      </w:r>
      <w:r w:rsidRPr="00BF68CB">
        <w:rPr>
          <w:rFonts w:ascii="Verdana" w:hAnsi="Verdana"/>
          <w:lang w:val="es-ES"/>
        </w:rPr>
        <w:t xml:space="preserve"> estudio </w:t>
      </w:r>
      <w:r w:rsidR="00F64053">
        <w:rPr>
          <w:rFonts w:ascii="Verdana" w:hAnsi="Verdana"/>
          <w:lang w:val="es-ES"/>
        </w:rPr>
        <w:t>temático sobre</w:t>
      </w:r>
      <w:r w:rsidR="00472D89">
        <w:rPr>
          <w:rFonts w:ascii="Verdana" w:hAnsi="Verdana"/>
          <w:lang w:val="es-ES"/>
        </w:rPr>
        <w:t xml:space="preserve"> el</w:t>
      </w:r>
      <w:r w:rsidR="00F64053">
        <w:rPr>
          <w:rFonts w:ascii="Verdana" w:hAnsi="Verdana"/>
          <w:lang w:val="es-ES"/>
        </w:rPr>
        <w:t xml:space="preserve"> </w:t>
      </w:r>
      <w:r w:rsidR="00472D89" w:rsidRPr="00472D89">
        <w:rPr>
          <w:rFonts w:ascii="Verdana" w:hAnsi="Verdana"/>
          <w:i/>
          <w:lang w:val="es-ES"/>
        </w:rPr>
        <w:t xml:space="preserve">papel de las empresas </w:t>
      </w:r>
      <w:r w:rsidR="00D9532B">
        <w:rPr>
          <w:rFonts w:ascii="Verdana" w:hAnsi="Verdana"/>
          <w:i/>
          <w:lang w:val="es-ES"/>
        </w:rPr>
        <w:t xml:space="preserve">militares y de seguridad </w:t>
      </w:r>
      <w:r w:rsidR="00472D89" w:rsidRPr="00472D89">
        <w:rPr>
          <w:rFonts w:ascii="Verdana" w:hAnsi="Verdana"/>
          <w:i/>
          <w:lang w:val="es-ES"/>
        </w:rPr>
        <w:t>privadas en la acción humanitaria</w:t>
      </w:r>
      <w:r w:rsidR="00472D89" w:rsidRPr="00472D89">
        <w:rPr>
          <w:rFonts w:ascii="Verdana" w:hAnsi="Verdana"/>
          <w:lang w:val="es-ES"/>
        </w:rPr>
        <w:t xml:space="preserve"> </w:t>
      </w:r>
      <w:r w:rsidR="0005101D" w:rsidRPr="0005101D">
        <w:rPr>
          <w:rFonts w:ascii="Verdana" w:hAnsi="Verdana"/>
          <w:lang w:val="es-ES"/>
        </w:rPr>
        <w:t xml:space="preserve">se centrará en las tendencias actuales, las prácticas y los impactos en los derechos humanos de la contratación de servicios de seguridad privada, así como las regulaciones, los mecanismos de seguimiento y supervisión relacionados. Sobre esta base, el Grupo de Trabajo espera formular </w:t>
      </w:r>
      <w:r w:rsidR="0005101D" w:rsidRPr="0005101D">
        <w:rPr>
          <w:rFonts w:ascii="Verdana" w:hAnsi="Verdana"/>
          <w:lang w:val="es-ES"/>
        </w:rPr>
        <w:lastRenderedPageBreak/>
        <w:t xml:space="preserve">recomendaciones concretas, con plazos concretos y viables con el fin de garantizar que la protección de los derechos humanos y </w:t>
      </w:r>
      <w:r w:rsidR="00FB23B7">
        <w:rPr>
          <w:rFonts w:ascii="Verdana" w:hAnsi="Verdana"/>
          <w:lang w:val="es-ES"/>
        </w:rPr>
        <w:t>d</w:t>
      </w:r>
      <w:r w:rsidR="0005101D" w:rsidRPr="0005101D">
        <w:rPr>
          <w:rFonts w:ascii="Verdana" w:hAnsi="Verdana"/>
          <w:lang w:val="es-ES"/>
        </w:rPr>
        <w:t xml:space="preserve">el </w:t>
      </w:r>
      <w:r w:rsidR="001D2AFD">
        <w:rPr>
          <w:rFonts w:ascii="Verdana" w:hAnsi="Verdana"/>
          <w:lang w:val="es-ES"/>
        </w:rPr>
        <w:t>derecho internacional humanitario (</w:t>
      </w:r>
      <w:r w:rsidR="0005101D" w:rsidRPr="0005101D">
        <w:rPr>
          <w:rFonts w:ascii="Verdana" w:hAnsi="Verdana"/>
          <w:lang w:val="es-ES"/>
        </w:rPr>
        <w:t>DIH</w:t>
      </w:r>
      <w:r w:rsidR="001D2AFD">
        <w:rPr>
          <w:rFonts w:ascii="Verdana" w:hAnsi="Verdana"/>
          <w:lang w:val="es-ES"/>
        </w:rPr>
        <w:t>)</w:t>
      </w:r>
      <w:r w:rsidR="0005101D" w:rsidRPr="0005101D">
        <w:rPr>
          <w:rFonts w:ascii="Verdana" w:hAnsi="Verdana"/>
          <w:lang w:val="es-ES"/>
        </w:rPr>
        <w:t xml:space="preserve"> de todas las poblaciones civiles en contextos humanitarios esté garantizada cuando las EMSP brinden algún tipo de apoyo o asistencia.</w:t>
      </w:r>
    </w:p>
    <w:p w14:paraId="222BF9C3" w14:textId="77777777" w:rsidR="00A60A10" w:rsidRPr="009B5BEF" w:rsidRDefault="00A60A10" w:rsidP="00A60A10">
      <w:pPr>
        <w:rPr>
          <w:rFonts w:ascii="Verdana" w:hAnsi="Verdana"/>
          <w:b/>
          <w:lang w:val="es-ES"/>
        </w:rPr>
      </w:pPr>
    </w:p>
    <w:p w14:paraId="0C197C25" w14:textId="77777777" w:rsidR="009B5BEF" w:rsidRPr="009B5BEF" w:rsidRDefault="00323C42" w:rsidP="00A60A10">
      <w:pPr>
        <w:rPr>
          <w:rFonts w:ascii="Verdana" w:hAnsi="Verdana"/>
          <w:b/>
          <w:lang w:val="es-ES"/>
        </w:rPr>
      </w:pPr>
      <w:r w:rsidRPr="00323C42">
        <w:rPr>
          <w:rFonts w:ascii="Verdana" w:hAnsi="Verdana"/>
          <w:b/>
          <w:lang w:val="es-ES"/>
        </w:rPr>
        <w:t>Ámbito de estudio y preguntas clave</w:t>
      </w:r>
    </w:p>
    <w:p w14:paraId="48BC43CC" w14:textId="77777777" w:rsidR="009B5BEF" w:rsidRDefault="009B5BEF" w:rsidP="00A60A10">
      <w:pPr>
        <w:rPr>
          <w:sz w:val="24"/>
          <w:szCs w:val="24"/>
          <w:lang w:val="es-ES"/>
        </w:rPr>
      </w:pPr>
    </w:p>
    <w:p w14:paraId="7981D753" w14:textId="77777777" w:rsidR="005938E3" w:rsidRDefault="005938E3" w:rsidP="00A60A10">
      <w:pPr>
        <w:rPr>
          <w:rFonts w:ascii="Verdana" w:hAnsi="Verdana"/>
          <w:lang w:val="es-ES"/>
        </w:rPr>
      </w:pPr>
      <w:r w:rsidRPr="005938E3">
        <w:rPr>
          <w:rFonts w:ascii="Verdana" w:hAnsi="Verdana"/>
          <w:lang w:val="es-ES"/>
        </w:rPr>
        <w:t xml:space="preserve">El Grupo de Trabajo agradece las </w:t>
      </w:r>
      <w:r>
        <w:rPr>
          <w:rFonts w:ascii="Verdana" w:hAnsi="Verdana"/>
          <w:lang w:val="es-ES"/>
        </w:rPr>
        <w:t>aportaci</w:t>
      </w:r>
      <w:r w:rsidRPr="005938E3">
        <w:rPr>
          <w:rFonts w:ascii="Verdana" w:hAnsi="Verdana"/>
          <w:lang w:val="es-ES"/>
        </w:rPr>
        <w:t>ones de los Estados, organizaciones de la sociedad civil, académicos,</w:t>
      </w:r>
      <w:r w:rsidR="001E6FE1">
        <w:rPr>
          <w:rFonts w:ascii="Verdana" w:hAnsi="Verdana"/>
          <w:lang w:val="es-ES"/>
        </w:rPr>
        <w:t xml:space="preserve"> del sistema de Naciones Unidas </w:t>
      </w:r>
      <w:r w:rsidR="00CC4E7B">
        <w:rPr>
          <w:rFonts w:ascii="Verdana" w:hAnsi="Verdana"/>
          <w:lang w:val="es-ES"/>
        </w:rPr>
        <w:t>y</w:t>
      </w:r>
      <w:r w:rsidR="001E6FE1">
        <w:rPr>
          <w:rFonts w:ascii="Verdana" w:hAnsi="Verdana"/>
          <w:lang w:val="es-ES"/>
        </w:rPr>
        <w:t xml:space="preserve"> otras</w:t>
      </w:r>
      <w:r w:rsidRPr="005938E3">
        <w:rPr>
          <w:rFonts w:ascii="Verdana" w:hAnsi="Verdana"/>
          <w:lang w:val="es-ES"/>
        </w:rPr>
        <w:t xml:space="preserve"> organizaciones internacionales e intergubernamentales, instituciones nacionales de derechos humanos, empresas privadas, personas y cualquier otro actor interesado.</w:t>
      </w:r>
    </w:p>
    <w:p w14:paraId="052E92C7" w14:textId="77777777" w:rsidR="005938E3" w:rsidRDefault="005938E3" w:rsidP="00A60A10">
      <w:pPr>
        <w:rPr>
          <w:rFonts w:ascii="Verdana" w:hAnsi="Verdana"/>
          <w:lang w:val="es-ES"/>
        </w:rPr>
      </w:pPr>
    </w:p>
    <w:p w14:paraId="66C18713" w14:textId="77777777" w:rsidR="00472D89" w:rsidRDefault="00FB481C" w:rsidP="00A60A10">
      <w:pPr>
        <w:rPr>
          <w:rFonts w:ascii="Verdana" w:hAnsi="Verdana"/>
          <w:bCs/>
          <w:lang w:val="es-ES"/>
        </w:rPr>
      </w:pPr>
      <w:r w:rsidRPr="00FB481C">
        <w:rPr>
          <w:rFonts w:ascii="Verdana" w:hAnsi="Verdana"/>
          <w:bCs/>
          <w:lang w:val="es-ES"/>
        </w:rPr>
        <w:t xml:space="preserve">Si bien el Grupo de Trabajo agradece cualquier información que se considere pertinente al tema, está particularmente interesado en las áreas mencionadas a continuación. </w:t>
      </w:r>
    </w:p>
    <w:p w14:paraId="2967D93E" w14:textId="77777777" w:rsidR="00472D89" w:rsidRDefault="00472D89" w:rsidP="00A60A10">
      <w:pPr>
        <w:rPr>
          <w:rFonts w:ascii="Verdana" w:hAnsi="Verdana"/>
          <w:bCs/>
          <w:lang w:val="es-ES"/>
        </w:rPr>
      </w:pPr>
    </w:p>
    <w:p w14:paraId="1005E43C" w14:textId="77777777" w:rsidR="00116098" w:rsidRPr="00B0183B" w:rsidRDefault="00FB481C" w:rsidP="00A60A10">
      <w:pPr>
        <w:rPr>
          <w:rFonts w:ascii="Verdana" w:hAnsi="Verdana"/>
          <w:lang w:val="es-ES"/>
        </w:rPr>
      </w:pPr>
      <w:r w:rsidRPr="00FB481C">
        <w:rPr>
          <w:rFonts w:ascii="Verdana" w:hAnsi="Verdana"/>
          <w:bCs/>
          <w:lang w:val="es-ES"/>
        </w:rPr>
        <w:t xml:space="preserve">Al abordar las preguntas, proporcione </w:t>
      </w:r>
      <w:r w:rsidR="00E42ED5" w:rsidRPr="00E42ED5">
        <w:rPr>
          <w:rFonts w:ascii="Verdana" w:hAnsi="Verdana"/>
          <w:b/>
          <w:bCs/>
          <w:lang w:val="es-ES"/>
        </w:rPr>
        <w:t>data,</w:t>
      </w:r>
      <w:r w:rsidR="00E42ED5">
        <w:rPr>
          <w:rFonts w:ascii="Verdana" w:hAnsi="Verdana"/>
          <w:bCs/>
          <w:lang w:val="es-ES"/>
        </w:rPr>
        <w:t xml:space="preserve"> </w:t>
      </w:r>
      <w:r w:rsidRPr="00FB481C">
        <w:rPr>
          <w:rFonts w:ascii="Verdana" w:hAnsi="Verdana"/>
          <w:b/>
          <w:bCs/>
          <w:lang w:val="es-ES"/>
        </w:rPr>
        <w:t>ejemplos, buenas prácticas y recomendaciones</w:t>
      </w:r>
      <w:r w:rsidRPr="00FB481C">
        <w:rPr>
          <w:rFonts w:ascii="Verdana" w:hAnsi="Verdana"/>
          <w:bCs/>
          <w:lang w:val="es-ES"/>
        </w:rPr>
        <w:t xml:space="preserve">, en la medida en que estén disponibles, que considere importantes en el contexto de este cuestionario, así como cualquier </w:t>
      </w:r>
      <w:r w:rsidRPr="004339E7">
        <w:rPr>
          <w:rFonts w:ascii="Verdana" w:hAnsi="Verdana"/>
          <w:b/>
          <w:bCs/>
          <w:lang w:val="es-ES"/>
        </w:rPr>
        <w:t>análisis</w:t>
      </w:r>
      <w:r w:rsidRPr="00FB481C">
        <w:rPr>
          <w:rFonts w:ascii="Verdana" w:hAnsi="Verdana"/>
          <w:bCs/>
          <w:lang w:val="es-ES"/>
        </w:rPr>
        <w:t xml:space="preserve"> sobre desarrollos futuros en esta área</w:t>
      </w:r>
      <w:r w:rsidR="00CD29D4">
        <w:rPr>
          <w:rFonts w:ascii="Verdana" w:hAnsi="Verdana"/>
          <w:bCs/>
          <w:lang w:val="es-ES"/>
        </w:rPr>
        <w:t xml:space="preserve">. </w:t>
      </w:r>
    </w:p>
    <w:p w14:paraId="4D119AED" w14:textId="77777777" w:rsidR="00B0183B" w:rsidRPr="00AB0F94" w:rsidRDefault="00B0183B" w:rsidP="00B0183B">
      <w:pPr>
        <w:spacing w:after="120"/>
        <w:contextualSpacing/>
        <w:jc w:val="both"/>
        <w:rPr>
          <w:rFonts w:ascii="Verdana" w:hAnsi="Verdana"/>
          <w:u w:val="single"/>
          <w:lang w:val="es-ES"/>
        </w:rPr>
      </w:pPr>
    </w:p>
    <w:p w14:paraId="37715ABA" w14:textId="77777777" w:rsidR="00AB0F94" w:rsidRPr="00AB0F94" w:rsidRDefault="00AB0F94" w:rsidP="00AB0F94">
      <w:pPr>
        <w:spacing w:after="120"/>
        <w:contextualSpacing/>
        <w:jc w:val="both"/>
        <w:rPr>
          <w:rFonts w:ascii="Verdana" w:hAnsi="Verdana"/>
          <w:u w:val="single"/>
          <w:lang w:val="es-ES"/>
        </w:rPr>
      </w:pPr>
      <w:r w:rsidRPr="00AB0F94">
        <w:rPr>
          <w:rFonts w:ascii="Verdana" w:hAnsi="Verdana"/>
          <w:u w:val="single"/>
          <w:lang w:val="es-ES"/>
        </w:rPr>
        <w:t>Tendencias y desarrollos actuales</w:t>
      </w:r>
    </w:p>
    <w:p w14:paraId="12B2693D" w14:textId="77777777" w:rsidR="00AB0F94" w:rsidRPr="00AB0F94" w:rsidRDefault="00AB0F94" w:rsidP="00AB0F94">
      <w:pPr>
        <w:contextualSpacing/>
        <w:rPr>
          <w:rFonts w:ascii="Verdana" w:hAnsi="Verdana"/>
          <w:lang w:val="es-ES"/>
        </w:rPr>
      </w:pPr>
    </w:p>
    <w:p w14:paraId="617C1091" w14:textId="77777777" w:rsidR="006C4062" w:rsidRPr="00683486" w:rsidRDefault="006C4062" w:rsidP="00683486">
      <w:pPr>
        <w:numPr>
          <w:ilvl w:val="0"/>
          <w:numId w:val="2"/>
        </w:numPr>
        <w:spacing w:after="160" w:line="256" w:lineRule="auto"/>
        <w:ind w:left="567" w:hanging="567"/>
        <w:contextualSpacing/>
        <w:jc w:val="both"/>
        <w:rPr>
          <w:rFonts w:ascii="Verdana" w:eastAsia="Calibri" w:hAnsi="Verdana"/>
          <w:lang w:val="es-ES"/>
        </w:rPr>
      </w:pPr>
      <w:r w:rsidRPr="00683486">
        <w:rPr>
          <w:rFonts w:ascii="Verdana" w:eastAsia="Calibri" w:hAnsi="Verdana"/>
          <w:lang w:val="es-ES"/>
        </w:rPr>
        <w:t xml:space="preserve">Sírvanse proporcionar información sobre los </w:t>
      </w:r>
      <w:r w:rsidRPr="003A3AB7">
        <w:rPr>
          <w:rFonts w:ascii="Verdana" w:eastAsia="Calibri" w:hAnsi="Verdana"/>
          <w:b/>
          <w:lang w:val="es-ES"/>
        </w:rPr>
        <w:t>tipos, el nivel y la escala de los servicios prestados por las EMSP en contextos humanitarios</w:t>
      </w:r>
      <w:r w:rsidRPr="00683486">
        <w:rPr>
          <w:rFonts w:ascii="Verdana" w:eastAsia="Calibri" w:hAnsi="Verdana"/>
          <w:lang w:val="es-ES"/>
        </w:rPr>
        <w:t>, ya sean contratados por agentes estatales o no estatales, en particular con respecto a:</w:t>
      </w:r>
    </w:p>
    <w:p w14:paraId="6F94687C" w14:textId="77777777" w:rsidR="006C4062" w:rsidRPr="00683486" w:rsidRDefault="006C4062" w:rsidP="00683486">
      <w:pPr>
        <w:pStyle w:val="ListParagraph"/>
        <w:numPr>
          <w:ilvl w:val="0"/>
          <w:numId w:val="3"/>
        </w:numPr>
        <w:spacing w:after="160" w:line="256" w:lineRule="auto"/>
        <w:jc w:val="both"/>
        <w:rPr>
          <w:rFonts w:ascii="Verdana" w:eastAsia="Calibri" w:hAnsi="Verdana"/>
          <w:sz w:val="20"/>
          <w:szCs w:val="20"/>
          <w:lang w:val="es-ES"/>
        </w:rPr>
      </w:pPr>
      <w:r w:rsidRPr="003A3AB7">
        <w:rPr>
          <w:rFonts w:ascii="Verdana" w:eastAsia="Calibri" w:hAnsi="Verdana"/>
          <w:b/>
          <w:sz w:val="20"/>
          <w:szCs w:val="20"/>
          <w:lang w:val="es-ES"/>
        </w:rPr>
        <w:t>Servicios de seguridad y logística complementaria</w:t>
      </w:r>
      <w:r w:rsidRPr="00683486">
        <w:rPr>
          <w:rFonts w:ascii="Verdana" w:eastAsia="Calibri" w:hAnsi="Verdana"/>
          <w:sz w:val="20"/>
          <w:szCs w:val="20"/>
          <w:lang w:val="es-ES"/>
        </w:rPr>
        <w:t xml:space="preserve">: como </w:t>
      </w:r>
      <w:r w:rsidR="003A3AB7">
        <w:rPr>
          <w:rFonts w:ascii="Verdana" w:eastAsia="Calibri" w:hAnsi="Verdana"/>
          <w:sz w:val="20"/>
          <w:szCs w:val="20"/>
          <w:lang w:val="es-ES"/>
        </w:rPr>
        <w:t xml:space="preserve">la </w:t>
      </w:r>
      <w:r w:rsidRPr="00683486">
        <w:rPr>
          <w:rFonts w:ascii="Verdana" w:eastAsia="Calibri" w:hAnsi="Verdana"/>
          <w:sz w:val="20"/>
          <w:szCs w:val="20"/>
          <w:lang w:val="es-ES"/>
        </w:rPr>
        <w:t xml:space="preserve">protección armada para convoyes, </w:t>
      </w:r>
      <w:r w:rsidR="003A3AB7">
        <w:rPr>
          <w:rFonts w:ascii="Verdana" w:eastAsia="Calibri" w:hAnsi="Verdana"/>
          <w:sz w:val="20"/>
          <w:szCs w:val="20"/>
          <w:lang w:val="es-ES"/>
        </w:rPr>
        <w:t xml:space="preserve">la </w:t>
      </w:r>
      <w:r w:rsidRPr="00683486">
        <w:rPr>
          <w:rFonts w:ascii="Verdana" w:eastAsia="Calibri" w:hAnsi="Verdana"/>
          <w:sz w:val="20"/>
          <w:szCs w:val="20"/>
          <w:lang w:val="es-ES"/>
        </w:rPr>
        <w:t>provisión de guardias (armad</w:t>
      </w:r>
      <w:r w:rsidR="003A3AB7">
        <w:rPr>
          <w:rFonts w:ascii="Verdana" w:eastAsia="Calibri" w:hAnsi="Verdana"/>
          <w:sz w:val="20"/>
          <w:szCs w:val="20"/>
          <w:lang w:val="es-ES"/>
        </w:rPr>
        <w:t>a</w:t>
      </w:r>
      <w:r w:rsidRPr="00683486">
        <w:rPr>
          <w:rFonts w:ascii="Verdana" w:eastAsia="Calibri" w:hAnsi="Verdana"/>
          <w:sz w:val="20"/>
          <w:szCs w:val="20"/>
          <w:lang w:val="es-ES"/>
        </w:rPr>
        <w:t>s o desarmad</w:t>
      </w:r>
      <w:r w:rsidR="003A3AB7">
        <w:rPr>
          <w:rFonts w:ascii="Verdana" w:eastAsia="Calibri" w:hAnsi="Verdana"/>
          <w:sz w:val="20"/>
          <w:szCs w:val="20"/>
          <w:lang w:val="es-ES"/>
        </w:rPr>
        <w:t>a</w:t>
      </w:r>
      <w:r w:rsidR="008D3675">
        <w:rPr>
          <w:rFonts w:ascii="Verdana" w:eastAsia="Calibri" w:hAnsi="Verdana"/>
          <w:sz w:val="20"/>
          <w:szCs w:val="20"/>
          <w:lang w:val="es-ES"/>
        </w:rPr>
        <w:t>s) para la protección de</w:t>
      </w:r>
      <w:r w:rsidRPr="00683486">
        <w:rPr>
          <w:rFonts w:ascii="Verdana" w:eastAsia="Calibri" w:hAnsi="Verdana"/>
          <w:sz w:val="20"/>
          <w:szCs w:val="20"/>
          <w:lang w:val="es-ES"/>
        </w:rPr>
        <w:t xml:space="preserve"> sitio</w:t>
      </w:r>
      <w:r w:rsidR="008D3675">
        <w:rPr>
          <w:rFonts w:ascii="Verdana" w:eastAsia="Calibri" w:hAnsi="Verdana"/>
          <w:sz w:val="20"/>
          <w:szCs w:val="20"/>
          <w:lang w:val="es-ES"/>
        </w:rPr>
        <w:t>s</w:t>
      </w:r>
      <w:r w:rsidR="004317EA">
        <w:rPr>
          <w:rFonts w:ascii="Verdana" w:eastAsia="Calibri" w:hAnsi="Verdana"/>
          <w:sz w:val="20"/>
          <w:szCs w:val="20"/>
          <w:lang w:val="es-ES"/>
        </w:rPr>
        <w:t xml:space="preserve"> -</w:t>
      </w:r>
      <w:r w:rsidRPr="00683486">
        <w:rPr>
          <w:rFonts w:ascii="Verdana" w:eastAsia="Calibri" w:hAnsi="Verdana"/>
          <w:sz w:val="20"/>
          <w:szCs w:val="20"/>
          <w:lang w:val="es-ES"/>
        </w:rPr>
        <w:t xml:space="preserve"> en particular campamentos, oficinas, almacenes y residencias, refugios y estaciones de tránsito</w:t>
      </w:r>
      <w:r w:rsidR="004317EA">
        <w:rPr>
          <w:rFonts w:ascii="Verdana" w:eastAsia="Calibri" w:hAnsi="Verdana"/>
          <w:sz w:val="20"/>
          <w:szCs w:val="20"/>
          <w:lang w:val="es-ES"/>
        </w:rPr>
        <w:t xml:space="preserve"> -</w:t>
      </w:r>
      <w:r w:rsidRPr="00683486">
        <w:rPr>
          <w:rFonts w:ascii="Verdana" w:eastAsia="Calibri" w:hAnsi="Verdana"/>
          <w:sz w:val="20"/>
          <w:szCs w:val="20"/>
          <w:lang w:val="es-ES"/>
        </w:rPr>
        <w:t xml:space="preserve"> administrados por actores humanitarios, agencias </w:t>
      </w:r>
      <w:r w:rsidR="00162A5D">
        <w:rPr>
          <w:rFonts w:ascii="Verdana" w:eastAsia="Calibri" w:hAnsi="Verdana"/>
          <w:sz w:val="20"/>
          <w:szCs w:val="20"/>
          <w:lang w:val="es-ES"/>
        </w:rPr>
        <w:t>u</w:t>
      </w:r>
      <w:r w:rsidR="00683486" w:rsidRPr="00683486">
        <w:rPr>
          <w:rFonts w:ascii="Verdana" w:eastAsia="Calibri" w:hAnsi="Verdana"/>
          <w:sz w:val="20"/>
          <w:szCs w:val="20"/>
          <w:lang w:val="es-ES"/>
        </w:rPr>
        <w:t xml:space="preserve"> operaciones de paz de la ONU</w:t>
      </w:r>
      <w:r w:rsidRPr="00683486">
        <w:rPr>
          <w:rFonts w:ascii="Verdana" w:eastAsia="Calibri" w:hAnsi="Verdana"/>
          <w:sz w:val="20"/>
          <w:szCs w:val="20"/>
          <w:lang w:val="es-ES"/>
        </w:rPr>
        <w:t>;</w:t>
      </w:r>
    </w:p>
    <w:p w14:paraId="2B7946C6" w14:textId="77777777" w:rsidR="00683486" w:rsidRPr="00683486" w:rsidRDefault="00683486" w:rsidP="00683486">
      <w:pPr>
        <w:pStyle w:val="ListParagraph"/>
        <w:spacing w:after="160" w:line="256" w:lineRule="auto"/>
        <w:ind w:left="1287"/>
        <w:jc w:val="both"/>
        <w:rPr>
          <w:rFonts w:ascii="Verdana" w:eastAsia="Calibri" w:hAnsi="Verdana"/>
          <w:sz w:val="20"/>
          <w:szCs w:val="20"/>
          <w:lang w:val="es-ES"/>
        </w:rPr>
      </w:pPr>
    </w:p>
    <w:p w14:paraId="669CD8CB" w14:textId="77777777" w:rsidR="006C4062" w:rsidRPr="00683486" w:rsidRDefault="006C4062" w:rsidP="00683486">
      <w:pPr>
        <w:pStyle w:val="ListParagraph"/>
        <w:numPr>
          <w:ilvl w:val="0"/>
          <w:numId w:val="3"/>
        </w:numPr>
        <w:spacing w:after="160" w:line="256" w:lineRule="auto"/>
        <w:jc w:val="both"/>
        <w:rPr>
          <w:rFonts w:ascii="Verdana" w:eastAsia="Calibri" w:hAnsi="Verdana"/>
          <w:sz w:val="20"/>
          <w:szCs w:val="20"/>
          <w:lang w:val="es-ES"/>
        </w:rPr>
      </w:pPr>
      <w:r w:rsidRPr="005B256C">
        <w:rPr>
          <w:rFonts w:ascii="Verdana" w:eastAsia="Calibri" w:hAnsi="Verdana"/>
          <w:b/>
          <w:sz w:val="20"/>
          <w:szCs w:val="20"/>
          <w:lang w:val="es-ES"/>
        </w:rPr>
        <w:t>Disposiciones de conocimientos técnicos y de seguridad</w:t>
      </w:r>
      <w:r w:rsidRPr="00683486">
        <w:rPr>
          <w:rFonts w:ascii="Verdana" w:eastAsia="Calibri" w:hAnsi="Verdana"/>
          <w:sz w:val="20"/>
          <w:szCs w:val="20"/>
          <w:lang w:val="es-ES"/>
        </w:rPr>
        <w:t>, como sistemas de seguimiento y gestión de la seguridad, análisis de riesgos, formación en seguridad para el personal, asesoramiento sobre gestión de crisis, auditorías de seguridad;</w:t>
      </w:r>
    </w:p>
    <w:p w14:paraId="2A35CCCC" w14:textId="77777777" w:rsidR="00683486" w:rsidRPr="00683486" w:rsidRDefault="00683486" w:rsidP="00683486">
      <w:pPr>
        <w:pStyle w:val="ListParagraph"/>
        <w:rPr>
          <w:rFonts w:ascii="Verdana" w:eastAsia="Calibri" w:hAnsi="Verdana"/>
          <w:sz w:val="20"/>
          <w:szCs w:val="20"/>
          <w:lang w:val="es-ES"/>
        </w:rPr>
      </w:pPr>
    </w:p>
    <w:p w14:paraId="6CFE7AE9" w14:textId="77777777" w:rsidR="006C4062" w:rsidRPr="00683486" w:rsidRDefault="006C4062" w:rsidP="00683486">
      <w:pPr>
        <w:pStyle w:val="ListParagraph"/>
        <w:numPr>
          <w:ilvl w:val="0"/>
          <w:numId w:val="3"/>
        </w:numPr>
        <w:spacing w:after="160" w:line="256" w:lineRule="auto"/>
        <w:jc w:val="both"/>
        <w:rPr>
          <w:rFonts w:ascii="Verdana" w:eastAsia="Calibri" w:hAnsi="Verdana"/>
          <w:sz w:val="20"/>
          <w:szCs w:val="20"/>
          <w:lang w:val="es-ES"/>
        </w:rPr>
      </w:pPr>
      <w:r w:rsidRPr="005B256C">
        <w:rPr>
          <w:rFonts w:ascii="Verdana" w:eastAsia="Calibri" w:hAnsi="Verdana"/>
          <w:b/>
          <w:sz w:val="20"/>
          <w:szCs w:val="20"/>
          <w:lang w:val="es-ES"/>
        </w:rPr>
        <w:t>Transporte</w:t>
      </w:r>
      <w:r w:rsidRPr="00683486">
        <w:rPr>
          <w:rFonts w:ascii="Verdana" w:eastAsia="Calibri" w:hAnsi="Verdana"/>
          <w:sz w:val="20"/>
          <w:szCs w:val="20"/>
          <w:lang w:val="es-ES"/>
        </w:rPr>
        <w:t xml:space="preserve"> de ayuda humanitaria, personal y poblaciones afectadas; donaciones en efectivo y en especie de bienes y servicios;</w:t>
      </w:r>
    </w:p>
    <w:p w14:paraId="79BE1D73" w14:textId="77777777" w:rsidR="00683486" w:rsidRPr="00683486" w:rsidRDefault="00683486" w:rsidP="00683486">
      <w:pPr>
        <w:pStyle w:val="ListParagraph"/>
        <w:rPr>
          <w:rFonts w:ascii="Verdana" w:eastAsia="Calibri" w:hAnsi="Verdana"/>
          <w:sz w:val="20"/>
          <w:szCs w:val="20"/>
          <w:lang w:val="es-ES"/>
        </w:rPr>
      </w:pPr>
    </w:p>
    <w:p w14:paraId="0D7CB8B2" w14:textId="77777777" w:rsidR="006C4062" w:rsidRPr="00683486" w:rsidRDefault="006C4062" w:rsidP="00683486">
      <w:pPr>
        <w:pStyle w:val="ListParagraph"/>
        <w:numPr>
          <w:ilvl w:val="0"/>
          <w:numId w:val="3"/>
        </w:numPr>
        <w:spacing w:after="160" w:line="256" w:lineRule="auto"/>
        <w:jc w:val="both"/>
        <w:rPr>
          <w:rFonts w:ascii="Verdana" w:eastAsia="Calibri" w:hAnsi="Verdana"/>
          <w:sz w:val="20"/>
          <w:szCs w:val="20"/>
          <w:lang w:val="es-ES"/>
        </w:rPr>
      </w:pPr>
      <w:r w:rsidRPr="00E969D6">
        <w:rPr>
          <w:rFonts w:ascii="Verdana" w:eastAsia="Calibri" w:hAnsi="Verdana"/>
          <w:b/>
          <w:sz w:val="20"/>
          <w:szCs w:val="20"/>
          <w:lang w:val="es-ES"/>
        </w:rPr>
        <w:t>Servicios de evacuación</w:t>
      </w:r>
      <w:r w:rsidRPr="00683486">
        <w:rPr>
          <w:rFonts w:ascii="Verdana" w:eastAsia="Calibri" w:hAnsi="Verdana"/>
          <w:sz w:val="20"/>
          <w:szCs w:val="20"/>
          <w:lang w:val="es-ES"/>
        </w:rPr>
        <w:t>: gestión y seguridad de las instalaciones de evacuación temporal, incluidas las evacuaciones militares, ya sea en el contexto de conflictos armados, desastres naturales (por ejemplo, tsunamis, terremotos) o epidemias;</w:t>
      </w:r>
    </w:p>
    <w:p w14:paraId="04C63825" w14:textId="77777777" w:rsidR="00683486" w:rsidRPr="00683486" w:rsidRDefault="00683486" w:rsidP="00683486">
      <w:pPr>
        <w:pStyle w:val="ListParagraph"/>
        <w:rPr>
          <w:rFonts w:ascii="Verdana" w:eastAsia="Calibri" w:hAnsi="Verdana"/>
          <w:sz w:val="20"/>
          <w:szCs w:val="20"/>
          <w:lang w:val="es-ES"/>
        </w:rPr>
      </w:pPr>
    </w:p>
    <w:p w14:paraId="43648EC0" w14:textId="77777777" w:rsidR="006C4062" w:rsidRPr="00683486" w:rsidRDefault="006C4062" w:rsidP="00683486">
      <w:pPr>
        <w:pStyle w:val="ListParagraph"/>
        <w:numPr>
          <w:ilvl w:val="0"/>
          <w:numId w:val="3"/>
        </w:numPr>
        <w:spacing w:after="160" w:line="256" w:lineRule="auto"/>
        <w:jc w:val="both"/>
        <w:rPr>
          <w:rFonts w:ascii="Verdana" w:eastAsia="Calibri" w:hAnsi="Verdana"/>
          <w:sz w:val="20"/>
          <w:szCs w:val="20"/>
          <w:lang w:val="es-ES"/>
        </w:rPr>
      </w:pPr>
      <w:r w:rsidRPr="004A53C4">
        <w:rPr>
          <w:rFonts w:ascii="Verdana" w:eastAsia="Calibri" w:hAnsi="Verdana"/>
          <w:b/>
          <w:sz w:val="20"/>
          <w:szCs w:val="20"/>
          <w:lang w:val="es-ES"/>
        </w:rPr>
        <w:t>Servicios de salud y bioseguridad</w:t>
      </w:r>
      <w:r w:rsidRPr="00683486">
        <w:rPr>
          <w:rFonts w:ascii="Verdana" w:eastAsia="Calibri" w:hAnsi="Verdana"/>
          <w:sz w:val="20"/>
          <w:szCs w:val="20"/>
          <w:lang w:val="es-ES"/>
        </w:rPr>
        <w:t xml:space="preserve"> </w:t>
      </w:r>
      <w:r w:rsidR="00683486" w:rsidRPr="00683486">
        <w:rPr>
          <w:rFonts w:ascii="Verdana" w:eastAsia="Calibri" w:hAnsi="Verdana"/>
          <w:sz w:val="20"/>
          <w:szCs w:val="20"/>
          <w:lang w:val="es-ES"/>
        </w:rPr>
        <w:t>relacionado</w:t>
      </w:r>
      <w:r w:rsidR="004A53C4">
        <w:rPr>
          <w:rFonts w:ascii="Verdana" w:eastAsia="Calibri" w:hAnsi="Verdana"/>
          <w:sz w:val="20"/>
          <w:szCs w:val="20"/>
          <w:lang w:val="es-ES"/>
        </w:rPr>
        <w:t>s</w:t>
      </w:r>
      <w:r w:rsidRPr="00683486">
        <w:rPr>
          <w:rFonts w:ascii="Verdana" w:eastAsia="Calibri" w:hAnsi="Verdana"/>
          <w:sz w:val="20"/>
          <w:szCs w:val="20"/>
          <w:lang w:val="es-ES"/>
        </w:rPr>
        <w:t xml:space="preserve"> con las EMSP, principalmente en el contexto de la pandemia </w:t>
      </w:r>
      <w:r w:rsidR="00A059E5">
        <w:rPr>
          <w:rFonts w:ascii="Verdana" w:eastAsia="Calibri" w:hAnsi="Verdana"/>
          <w:sz w:val="20"/>
          <w:szCs w:val="20"/>
          <w:lang w:val="es-ES"/>
        </w:rPr>
        <w:t xml:space="preserve">de la </w:t>
      </w:r>
      <w:r w:rsidRPr="00683486">
        <w:rPr>
          <w:rFonts w:ascii="Verdana" w:eastAsia="Calibri" w:hAnsi="Verdana"/>
          <w:sz w:val="20"/>
          <w:szCs w:val="20"/>
          <w:lang w:val="es-ES"/>
        </w:rPr>
        <w:t>COVID-19 y otras epidemias (por ejemplo, Zika, Ébola, cólera, fiebre amarilla).</w:t>
      </w:r>
    </w:p>
    <w:p w14:paraId="03C53525" w14:textId="77777777" w:rsidR="00AB0F94" w:rsidRPr="00AB0F94" w:rsidRDefault="00AB0F94" w:rsidP="00AB0F94">
      <w:pPr>
        <w:spacing w:after="120"/>
        <w:contextualSpacing/>
        <w:jc w:val="both"/>
        <w:rPr>
          <w:rFonts w:ascii="Verdana" w:hAnsi="Verdana"/>
          <w:u w:val="single"/>
          <w:lang w:val="es-ES"/>
        </w:rPr>
      </w:pPr>
    </w:p>
    <w:p w14:paraId="3F94744E" w14:textId="65AC77DE" w:rsidR="005303A1" w:rsidRDefault="00DF0FA3" w:rsidP="005303A1">
      <w:pPr>
        <w:numPr>
          <w:ilvl w:val="0"/>
          <w:numId w:val="2"/>
        </w:numPr>
        <w:spacing w:after="160" w:line="256" w:lineRule="auto"/>
        <w:ind w:left="567" w:hanging="567"/>
        <w:contextualSpacing/>
        <w:jc w:val="both"/>
        <w:rPr>
          <w:rFonts w:ascii="Verdana" w:eastAsia="Calibri" w:hAnsi="Verdana"/>
          <w:lang w:val="es-ES"/>
        </w:rPr>
      </w:pPr>
      <w:r>
        <w:rPr>
          <w:rFonts w:ascii="Verdana" w:eastAsia="Calibri" w:hAnsi="Verdana"/>
          <w:lang w:val="es-ES"/>
        </w:rPr>
        <w:t>Cuáles son las</w:t>
      </w:r>
      <w:r w:rsidR="005303A1" w:rsidRPr="005303A1">
        <w:rPr>
          <w:rFonts w:ascii="Verdana" w:eastAsia="Calibri" w:hAnsi="Verdana"/>
          <w:lang w:val="es-ES"/>
        </w:rPr>
        <w:t xml:space="preserve"> </w:t>
      </w:r>
      <w:r w:rsidR="005303A1" w:rsidRPr="00A059E5">
        <w:rPr>
          <w:rFonts w:ascii="Verdana" w:eastAsia="Calibri" w:hAnsi="Verdana"/>
          <w:b/>
          <w:lang w:val="es-ES"/>
        </w:rPr>
        <w:t>motivaciones, condiciones y prioridades</w:t>
      </w:r>
      <w:r w:rsidR="005303A1" w:rsidRPr="005303A1">
        <w:rPr>
          <w:rFonts w:ascii="Verdana" w:eastAsia="Calibri" w:hAnsi="Verdana"/>
          <w:lang w:val="es-ES"/>
        </w:rPr>
        <w:t xml:space="preserve"> </w:t>
      </w:r>
      <w:r>
        <w:rPr>
          <w:rFonts w:ascii="Verdana" w:eastAsia="Calibri" w:hAnsi="Verdana"/>
          <w:lang w:val="es-ES"/>
        </w:rPr>
        <w:t xml:space="preserve">que </w:t>
      </w:r>
      <w:r w:rsidR="005303A1" w:rsidRPr="005303A1">
        <w:rPr>
          <w:rFonts w:ascii="Verdana" w:eastAsia="Calibri" w:hAnsi="Verdana"/>
          <w:lang w:val="es-ES"/>
        </w:rPr>
        <w:t>informan las decisiones de los actores humanitarios de contratar EMSP (armadas o desarmadas) para apoyar su trabajo?</w:t>
      </w:r>
    </w:p>
    <w:p w14:paraId="3D3EA017" w14:textId="77777777" w:rsidR="005303A1" w:rsidRDefault="005303A1" w:rsidP="005303A1">
      <w:pPr>
        <w:spacing w:after="160" w:line="256" w:lineRule="auto"/>
        <w:ind w:left="567"/>
        <w:contextualSpacing/>
        <w:jc w:val="both"/>
        <w:rPr>
          <w:rFonts w:ascii="Verdana" w:eastAsia="Calibri" w:hAnsi="Verdana"/>
          <w:lang w:val="es-ES"/>
        </w:rPr>
      </w:pPr>
    </w:p>
    <w:p w14:paraId="26905E56" w14:textId="10145DEF" w:rsidR="004305A3" w:rsidRDefault="00312EE1" w:rsidP="004305A3">
      <w:pPr>
        <w:numPr>
          <w:ilvl w:val="0"/>
          <w:numId w:val="2"/>
        </w:numPr>
        <w:spacing w:after="160" w:line="256" w:lineRule="auto"/>
        <w:ind w:left="567" w:hanging="567"/>
        <w:contextualSpacing/>
        <w:jc w:val="both"/>
        <w:rPr>
          <w:rFonts w:ascii="Verdana" w:eastAsia="Calibri" w:hAnsi="Verdana"/>
          <w:lang w:val="es-ES"/>
        </w:rPr>
      </w:pPr>
      <w:r>
        <w:rPr>
          <w:rFonts w:ascii="Verdana" w:eastAsia="Calibri" w:hAnsi="Verdana"/>
          <w:lang w:val="es-ES"/>
        </w:rPr>
        <w:lastRenderedPageBreak/>
        <w:t>Cuáles</w:t>
      </w:r>
      <w:r w:rsidR="005303A1" w:rsidRPr="005303A1">
        <w:rPr>
          <w:rFonts w:ascii="Verdana" w:eastAsia="Calibri" w:hAnsi="Verdana"/>
          <w:lang w:val="es-ES"/>
        </w:rPr>
        <w:t xml:space="preserve"> </w:t>
      </w:r>
      <w:r w:rsidR="005303A1" w:rsidRPr="00312EE1">
        <w:rPr>
          <w:rFonts w:ascii="Verdana" w:eastAsia="Calibri" w:hAnsi="Verdana"/>
          <w:b/>
          <w:lang w:val="es-ES"/>
        </w:rPr>
        <w:t>precauciones y medidas</w:t>
      </w:r>
      <w:r w:rsidR="005303A1" w:rsidRPr="005303A1">
        <w:rPr>
          <w:rFonts w:ascii="Verdana" w:eastAsia="Calibri" w:hAnsi="Verdana"/>
          <w:lang w:val="es-ES"/>
        </w:rPr>
        <w:t xml:space="preserve"> toman los actores humanitari</w:t>
      </w:r>
      <w:r>
        <w:rPr>
          <w:rFonts w:ascii="Verdana" w:eastAsia="Calibri" w:hAnsi="Verdana"/>
          <w:lang w:val="es-ES"/>
        </w:rPr>
        <w:t>os al contratar EMSP, si es que las toman</w:t>
      </w:r>
      <w:r w:rsidR="005303A1" w:rsidRPr="005303A1">
        <w:rPr>
          <w:rFonts w:ascii="Verdana" w:eastAsia="Calibri" w:hAnsi="Verdana"/>
          <w:lang w:val="es-ES"/>
        </w:rPr>
        <w:t>?</w:t>
      </w:r>
    </w:p>
    <w:p w14:paraId="0B7FC3C4" w14:textId="77777777" w:rsidR="004305A3" w:rsidRPr="001220BE" w:rsidRDefault="004305A3" w:rsidP="001220BE">
      <w:pPr>
        <w:rPr>
          <w:rFonts w:ascii="Verdana" w:eastAsia="Calibri" w:hAnsi="Verdana"/>
          <w:lang w:val="es-ES"/>
        </w:rPr>
      </w:pPr>
    </w:p>
    <w:p w14:paraId="3F85E45C" w14:textId="5F884BB6" w:rsidR="005303A1" w:rsidRDefault="005303A1" w:rsidP="004305A3">
      <w:pPr>
        <w:numPr>
          <w:ilvl w:val="0"/>
          <w:numId w:val="2"/>
        </w:numPr>
        <w:spacing w:after="160" w:line="256" w:lineRule="auto"/>
        <w:ind w:left="567" w:hanging="567"/>
        <w:contextualSpacing/>
        <w:jc w:val="both"/>
        <w:rPr>
          <w:rFonts w:ascii="Verdana" w:eastAsia="Calibri" w:hAnsi="Verdana"/>
          <w:lang w:val="es-ES"/>
        </w:rPr>
      </w:pPr>
      <w:r w:rsidRPr="004305A3">
        <w:rPr>
          <w:rFonts w:ascii="Verdana" w:eastAsia="Calibri" w:hAnsi="Verdana"/>
          <w:lang w:val="es-ES"/>
        </w:rPr>
        <w:t xml:space="preserve">Cuál es el </w:t>
      </w:r>
      <w:r w:rsidRPr="00E043A6">
        <w:rPr>
          <w:rFonts w:ascii="Verdana" w:eastAsia="Calibri" w:hAnsi="Verdana"/>
          <w:b/>
          <w:lang w:val="es-ES"/>
        </w:rPr>
        <w:t>papel de las EMSP contratadas por organizaciones internacionales y regionales</w:t>
      </w:r>
      <w:r w:rsidRPr="004305A3">
        <w:rPr>
          <w:rFonts w:ascii="Verdana" w:eastAsia="Calibri" w:hAnsi="Verdana"/>
          <w:lang w:val="es-ES"/>
        </w:rPr>
        <w:t>, incluidas las operaciones de paz de la ONU y otras organizaciones internacionales o regionales (por ejemplo, ONU, UE, OTAN, UA, Liga Árabe)?</w:t>
      </w:r>
    </w:p>
    <w:p w14:paraId="0E967311" w14:textId="77777777" w:rsidR="00DF0FA3" w:rsidRPr="00DF0FA3" w:rsidRDefault="00DF0FA3" w:rsidP="00DF0FA3">
      <w:pPr>
        <w:rPr>
          <w:rFonts w:ascii="Verdana" w:eastAsia="Calibri" w:hAnsi="Verdana"/>
          <w:lang w:val="es-ES"/>
        </w:rPr>
      </w:pPr>
    </w:p>
    <w:p w14:paraId="3CC91E41" w14:textId="2D3D0D89" w:rsidR="005303A1" w:rsidRPr="00DF0FA3" w:rsidRDefault="005303A1" w:rsidP="00DF0FA3">
      <w:pPr>
        <w:numPr>
          <w:ilvl w:val="0"/>
          <w:numId w:val="2"/>
        </w:numPr>
        <w:spacing w:after="160" w:line="256" w:lineRule="auto"/>
        <w:ind w:left="567" w:hanging="567"/>
        <w:contextualSpacing/>
        <w:jc w:val="both"/>
        <w:rPr>
          <w:rFonts w:ascii="Verdana" w:eastAsia="Calibri" w:hAnsi="Verdana"/>
          <w:lang w:val="es-ES"/>
        </w:rPr>
      </w:pPr>
      <w:r w:rsidRPr="00DF0FA3">
        <w:rPr>
          <w:rFonts w:ascii="Verdana" w:eastAsia="Calibri" w:hAnsi="Verdana"/>
          <w:lang w:val="es-ES"/>
        </w:rPr>
        <w:t xml:space="preserve">Cómo </w:t>
      </w:r>
      <w:r w:rsidRPr="00E043A6">
        <w:rPr>
          <w:rFonts w:ascii="Verdana" w:eastAsia="Calibri" w:hAnsi="Verdana"/>
          <w:b/>
          <w:lang w:val="es-ES"/>
        </w:rPr>
        <w:t>evolucionaron las necesidades de los actores humanitarios</w:t>
      </w:r>
      <w:r w:rsidRPr="00DF0FA3">
        <w:rPr>
          <w:rFonts w:ascii="Verdana" w:eastAsia="Calibri" w:hAnsi="Verdana"/>
          <w:lang w:val="es-ES"/>
        </w:rPr>
        <w:t xml:space="preserve"> en las últimas décadas que llevaron al reclutamiento de EMSP</w:t>
      </w:r>
      <w:r w:rsidR="00BB7435">
        <w:rPr>
          <w:rFonts w:ascii="Verdana" w:eastAsia="Calibri" w:hAnsi="Verdana"/>
          <w:lang w:val="es-ES"/>
        </w:rPr>
        <w:t>,</w:t>
      </w:r>
      <w:r w:rsidRPr="00DF0FA3">
        <w:rPr>
          <w:rFonts w:ascii="Verdana" w:eastAsia="Calibri" w:hAnsi="Verdana"/>
          <w:lang w:val="es-ES"/>
        </w:rPr>
        <w:t xml:space="preserve"> y cuáles son las implicaciones para la independencia humanitaria?</w:t>
      </w:r>
    </w:p>
    <w:p w14:paraId="0A9A7D9B" w14:textId="77777777" w:rsidR="00AB0F94" w:rsidRPr="00AB0F94" w:rsidRDefault="00AB0F94" w:rsidP="00AB0F94">
      <w:pPr>
        <w:spacing w:after="160" w:line="256" w:lineRule="auto"/>
        <w:contextualSpacing/>
        <w:jc w:val="both"/>
        <w:rPr>
          <w:rFonts w:ascii="Verdana" w:eastAsia="Calibri" w:hAnsi="Verdana"/>
          <w:b/>
          <w:lang w:val="es-ES"/>
        </w:rPr>
      </w:pPr>
    </w:p>
    <w:p w14:paraId="63D15C8D" w14:textId="77777777" w:rsidR="00AB0F94" w:rsidRPr="00AB0F94" w:rsidRDefault="00AB0F94" w:rsidP="00AB0F94">
      <w:pPr>
        <w:spacing w:after="120"/>
        <w:contextualSpacing/>
        <w:jc w:val="both"/>
        <w:rPr>
          <w:rFonts w:ascii="Verdana" w:hAnsi="Verdana"/>
          <w:u w:val="single"/>
          <w:lang w:val="es-ES"/>
        </w:rPr>
      </w:pPr>
      <w:r w:rsidRPr="00AB0F94">
        <w:rPr>
          <w:rFonts w:ascii="Verdana" w:hAnsi="Verdana"/>
          <w:u w:val="single"/>
          <w:lang w:val="es-ES"/>
        </w:rPr>
        <w:t>Marcos normativos y su aplicación</w:t>
      </w:r>
    </w:p>
    <w:p w14:paraId="71D884BB" w14:textId="77777777" w:rsidR="00AB0F94" w:rsidRPr="00AB0F94" w:rsidRDefault="00AB0F94" w:rsidP="00AB0F94">
      <w:pPr>
        <w:spacing w:after="120"/>
        <w:contextualSpacing/>
        <w:jc w:val="both"/>
        <w:rPr>
          <w:rFonts w:ascii="Verdana" w:hAnsi="Verdana"/>
          <w:lang w:val="es-ES"/>
        </w:rPr>
      </w:pPr>
    </w:p>
    <w:p w14:paraId="1A68EF46" w14:textId="77777777" w:rsidR="00AA7DC9" w:rsidRDefault="00AB0F94" w:rsidP="00AA7DC9">
      <w:pPr>
        <w:numPr>
          <w:ilvl w:val="0"/>
          <w:numId w:val="2"/>
        </w:numPr>
        <w:spacing w:after="160" w:line="256" w:lineRule="auto"/>
        <w:ind w:left="567" w:hanging="567"/>
        <w:contextualSpacing/>
        <w:jc w:val="both"/>
        <w:rPr>
          <w:rFonts w:ascii="Verdana" w:eastAsia="Calibri" w:hAnsi="Verdana"/>
          <w:lang w:val="es-ES"/>
        </w:rPr>
      </w:pPr>
      <w:r w:rsidRPr="00AB0F94">
        <w:rPr>
          <w:rFonts w:ascii="Verdana" w:eastAsia="Calibri" w:hAnsi="Verdana"/>
          <w:lang w:val="es-ES"/>
        </w:rPr>
        <w:t xml:space="preserve">Sírvanse proporcionar información sobre los </w:t>
      </w:r>
      <w:r w:rsidRPr="00BB7435">
        <w:rPr>
          <w:rFonts w:ascii="Verdana" w:eastAsia="Calibri" w:hAnsi="Verdana"/>
          <w:b/>
          <w:lang w:val="es-ES"/>
        </w:rPr>
        <w:t xml:space="preserve">marcos legislativos, normativos </w:t>
      </w:r>
      <w:r w:rsidR="00AA7DC9" w:rsidRPr="00BB7435">
        <w:rPr>
          <w:rFonts w:ascii="Verdana" w:eastAsia="Calibri" w:hAnsi="Verdana"/>
          <w:b/>
          <w:lang w:val="es-ES"/>
        </w:rPr>
        <w:t>o de otro tipo existentes que regulan el uso de EMSP en la acción humanitaria</w:t>
      </w:r>
      <w:r w:rsidR="00AA7DC9" w:rsidRPr="00AA7DC9">
        <w:rPr>
          <w:rFonts w:ascii="Verdana" w:eastAsia="Calibri" w:hAnsi="Verdana"/>
          <w:lang w:val="es-ES"/>
        </w:rPr>
        <w:t>. Esto puede incluir, por ejemplo, reglas y procedimientos, requisitos contractuales, monitoreo y supervisión de cláusulas y estándares contractuales, y mecanismos de responsabilidad establecidos para proteger y salvaguardar contra las violaciones de derechos humanos por parte de los proveedores de servicios de seguridad.</w:t>
      </w:r>
    </w:p>
    <w:p w14:paraId="46B0154A" w14:textId="77777777" w:rsidR="00772EE9" w:rsidRDefault="00772EE9" w:rsidP="00772EE9">
      <w:pPr>
        <w:spacing w:after="160" w:line="256" w:lineRule="auto"/>
        <w:ind w:left="567"/>
        <w:contextualSpacing/>
        <w:jc w:val="both"/>
        <w:rPr>
          <w:rFonts w:ascii="Verdana" w:eastAsia="Calibri" w:hAnsi="Verdana"/>
          <w:lang w:val="es-ES"/>
        </w:rPr>
      </w:pPr>
    </w:p>
    <w:p w14:paraId="6C2D8EF2" w14:textId="7B50F882" w:rsidR="00AB0F94" w:rsidRPr="00772EE9" w:rsidRDefault="00772EE9" w:rsidP="00772EE9">
      <w:pPr>
        <w:numPr>
          <w:ilvl w:val="0"/>
          <w:numId w:val="2"/>
        </w:numPr>
        <w:spacing w:after="160" w:line="256" w:lineRule="auto"/>
        <w:ind w:left="567" w:hanging="567"/>
        <w:contextualSpacing/>
        <w:jc w:val="both"/>
        <w:rPr>
          <w:rFonts w:ascii="Verdana" w:eastAsia="Calibri" w:hAnsi="Verdana"/>
          <w:lang w:val="es-ES"/>
        </w:rPr>
      </w:pPr>
      <w:r w:rsidRPr="00772EE9">
        <w:rPr>
          <w:rFonts w:ascii="Verdana" w:eastAsia="Calibri" w:hAnsi="Verdana"/>
          <w:lang w:val="es-ES"/>
        </w:rPr>
        <w:t>Sí</w:t>
      </w:r>
      <w:r>
        <w:rPr>
          <w:rFonts w:ascii="Verdana" w:eastAsia="Calibri" w:hAnsi="Verdana"/>
          <w:lang w:val="es-ES"/>
        </w:rPr>
        <w:t>rvanse proporcionar información</w:t>
      </w:r>
      <w:r w:rsidR="00AA7DC9" w:rsidRPr="00772EE9">
        <w:rPr>
          <w:rFonts w:ascii="Verdana" w:eastAsia="Calibri" w:hAnsi="Verdana"/>
          <w:lang w:val="es-ES"/>
        </w:rPr>
        <w:t xml:space="preserve"> o ejemplos de </w:t>
      </w:r>
      <w:r w:rsidR="00AA7DC9" w:rsidRPr="00AA3A79">
        <w:rPr>
          <w:rFonts w:ascii="Verdana" w:eastAsia="Calibri" w:hAnsi="Verdana"/>
          <w:b/>
          <w:lang w:val="es-ES"/>
        </w:rPr>
        <w:t>contratos basados en el desempeño y evaluaciones del desempeño de los proveedores de seguridad privada</w:t>
      </w:r>
      <w:r w:rsidR="00AA7DC9" w:rsidRPr="00772EE9">
        <w:rPr>
          <w:rFonts w:ascii="Verdana" w:eastAsia="Calibri" w:hAnsi="Verdana"/>
          <w:lang w:val="es-ES"/>
        </w:rPr>
        <w:t xml:space="preserve"> que participan en la acción humanitaria, que incorporen disposicio</w:t>
      </w:r>
      <w:r w:rsidR="00937F42">
        <w:rPr>
          <w:rFonts w:ascii="Verdana" w:eastAsia="Calibri" w:hAnsi="Verdana"/>
          <w:lang w:val="es-ES"/>
        </w:rPr>
        <w:t>nes de derechos humanos</w:t>
      </w:r>
      <w:r w:rsidR="0029291D">
        <w:rPr>
          <w:rFonts w:ascii="Verdana" w:eastAsia="Calibri" w:hAnsi="Verdana"/>
          <w:lang w:val="es-ES"/>
        </w:rPr>
        <w:t xml:space="preserve"> y de derechos internacional humanitarios </w:t>
      </w:r>
      <w:r w:rsidR="00937F42">
        <w:rPr>
          <w:rFonts w:ascii="Verdana" w:eastAsia="Calibri" w:hAnsi="Verdana"/>
          <w:lang w:val="es-ES"/>
        </w:rPr>
        <w:t>y/</w:t>
      </w:r>
      <w:r w:rsidR="00AA7DC9" w:rsidRPr="00772EE9">
        <w:rPr>
          <w:rFonts w:ascii="Verdana" w:eastAsia="Calibri" w:hAnsi="Verdana"/>
          <w:lang w:val="es-ES"/>
        </w:rPr>
        <w:t>o principios humanitarios.</w:t>
      </w:r>
    </w:p>
    <w:p w14:paraId="2AD1DCAA" w14:textId="77777777" w:rsidR="00AB0F94" w:rsidRPr="00AB0F94" w:rsidRDefault="00AB0F94" w:rsidP="00AB0F94">
      <w:pPr>
        <w:spacing w:after="120"/>
        <w:contextualSpacing/>
        <w:jc w:val="both"/>
        <w:rPr>
          <w:rFonts w:ascii="Verdana" w:hAnsi="Verdana"/>
          <w:b/>
          <w:lang w:val="es-ES"/>
        </w:rPr>
      </w:pPr>
    </w:p>
    <w:p w14:paraId="500B3E3F" w14:textId="77777777" w:rsidR="002046D1" w:rsidRPr="002046D1" w:rsidRDefault="002046D1" w:rsidP="002046D1">
      <w:pPr>
        <w:spacing w:after="120"/>
        <w:contextualSpacing/>
        <w:jc w:val="both"/>
        <w:rPr>
          <w:rFonts w:ascii="Verdana" w:hAnsi="Verdana"/>
          <w:u w:val="single"/>
          <w:lang w:val="es-ES"/>
        </w:rPr>
      </w:pPr>
      <w:r w:rsidRPr="002046D1">
        <w:rPr>
          <w:rFonts w:ascii="Verdana" w:hAnsi="Verdana"/>
          <w:u w:val="single"/>
          <w:lang w:val="es-ES"/>
        </w:rPr>
        <w:t>Impacto del uso de EMSP en la acción humanitaria en los derechos humanos y el DIH</w:t>
      </w:r>
    </w:p>
    <w:p w14:paraId="5A5FE495" w14:textId="77777777" w:rsidR="00AB0F94" w:rsidRPr="00AB0F94" w:rsidRDefault="00AB0F94" w:rsidP="00AB0F94">
      <w:pPr>
        <w:spacing w:after="120"/>
        <w:contextualSpacing/>
        <w:jc w:val="both"/>
        <w:rPr>
          <w:rFonts w:ascii="Verdana" w:hAnsi="Verdana"/>
          <w:u w:val="single"/>
          <w:lang w:val="es-ES"/>
        </w:rPr>
      </w:pPr>
    </w:p>
    <w:p w14:paraId="2BD0FEF9" w14:textId="582F4D85" w:rsidR="00E82E7C" w:rsidRDefault="007153A2" w:rsidP="007153A2">
      <w:pPr>
        <w:numPr>
          <w:ilvl w:val="0"/>
          <w:numId w:val="2"/>
        </w:numPr>
        <w:spacing w:after="160" w:line="256" w:lineRule="auto"/>
        <w:ind w:left="567" w:hanging="567"/>
        <w:contextualSpacing/>
        <w:jc w:val="both"/>
        <w:rPr>
          <w:rFonts w:ascii="Verdana" w:eastAsia="Calibri" w:hAnsi="Verdana"/>
          <w:lang w:val="es-ES"/>
        </w:rPr>
      </w:pPr>
      <w:r>
        <w:rPr>
          <w:rFonts w:ascii="Verdana" w:eastAsia="Calibri" w:hAnsi="Verdana"/>
          <w:lang w:val="es-ES"/>
        </w:rPr>
        <w:t xml:space="preserve">Cómo se aplican las </w:t>
      </w:r>
      <w:r w:rsidRPr="0048267A">
        <w:rPr>
          <w:rFonts w:ascii="Verdana" w:eastAsia="Calibri" w:hAnsi="Verdana"/>
          <w:b/>
          <w:lang w:val="es-ES"/>
        </w:rPr>
        <w:t xml:space="preserve">normas de </w:t>
      </w:r>
      <w:r w:rsidR="003F1BF3">
        <w:rPr>
          <w:rFonts w:ascii="Verdana" w:eastAsia="Calibri" w:hAnsi="Verdana"/>
          <w:b/>
          <w:lang w:val="es-ES"/>
        </w:rPr>
        <w:t>derecho internacional humanitario</w:t>
      </w:r>
      <w:r w:rsidRPr="0048267A">
        <w:rPr>
          <w:rFonts w:ascii="Verdana" w:eastAsia="Calibri" w:hAnsi="Verdana"/>
          <w:b/>
          <w:lang w:val="es-ES"/>
        </w:rPr>
        <w:t xml:space="preserve"> y los principios humanitarios</w:t>
      </w:r>
      <w:r>
        <w:rPr>
          <w:rFonts w:ascii="Verdana" w:eastAsia="Calibri" w:hAnsi="Verdana"/>
          <w:lang w:val="es-ES"/>
        </w:rPr>
        <w:t xml:space="preserve"> a las EMSP que operan en la acción humanitaria, y cuáles son las consecuencias para la protección de </w:t>
      </w:r>
      <w:r w:rsidR="0048267A">
        <w:rPr>
          <w:rFonts w:ascii="Verdana" w:eastAsia="Calibri" w:hAnsi="Verdana"/>
          <w:lang w:val="es-ES"/>
        </w:rPr>
        <w:t>las populaciones civiles</w:t>
      </w:r>
      <w:r>
        <w:rPr>
          <w:rFonts w:ascii="Verdana" w:eastAsia="Calibri" w:hAnsi="Verdana"/>
          <w:lang w:val="es-ES"/>
        </w:rPr>
        <w:t>?</w:t>
      </w:r>
    </w:p>
    <w:p w14:paraId="0BD25DF1" w14:textId="77777777" w:rsidR="007153A2" w:rsidRDefault="007153A2" w:rsidP="007153A2">
      <w:pPr>
        <w:spacing w:after="160" w:line="256" w:lineRule="auto"/>
        <w:ind w:left="567"/>
        <w:contextualSpacing/>
        <w:jc w:val="both"/>
        <w:rPr>
          <w:rFonts w:ascii="Verdana" w:eastAsia="Calibri" w:hAnsi="Verdana"/>
          <w:lang w:val="es-ES"/>
        </w:rPr>
      </w:pPr>
    </w:p>
    <w:p w14:paraId="206AA4F8" w14:textId="0BCBD375" w:rsidR="00E82E7C" w:rsidRDefault="00E82E7C" w:rsidP="007153A2">
      <w:pPr>
        <w:numPr>
          <w:ilvl w:val="0"/>
          <w:numId w:val="2"/>
        </w:numPr>
        <w:spacing w:after="160" w:line="256" w:lineRule="auto"/>
        <w:ind w:left="567" w:hanging="567"/>
        <w:contextualSpacing/>
        <w:jc w:val="both"/>
        <w:rPr>
          <w:rFonts w:ascii="Verdana" w:eastAsia="Calibri" w:hAnsi="Verdana"/>
          <w:lang w:val="es-ES"/>
        </w:rPr>
      </w:pPr>
      <w:r w:rsidRPr="007153A2">
        <w:rPr>
          <w:rFonts w:ascii="Verdana" w:eastAsia="Calibri" w:hAnsi="Verdana"/>
          <w:lang w:val="es-ES"/>
        </w:rPr>
        <w:t xml:space="preserve">Cuáles son las </w:t>
      </w:r>
      <w:r w:rsidRPr="00850C1D">
        <w:rPr>
          <w:rFonts w:ascii="Verdana" w:eastAsia="Calibri" w:hAnsi="Verdana"/>
          <w:b/>
          <w:lang w:val="es-ES"/>
        </w:rPr>
        <w:t>implicaciones en materia de derech</w:t>
      </w:r>
      <w:r w:rsidR="00850C1D">
        <w:rPr>
          <w:rFonts w:ascii="Verdana" w:eastAsia="Calibri" w:hAnsi="Verdana"/>
          <w:b/>
          <w:lang w:val="es-ES"/>
        </w:rPr>
        <w:t>os humanos</w:t>
      </w:r>
      <w:r w:rsidR="0029291D">
        <w:rPr>
          <w:rFonts w:ascii="Verdana" w:eastAsia="Calibri" w:hAnsi="Verdana"/>
          <w:b/>
          <w:lang w:val="es-ES"/>
        </w:rPr>
        <w:t xml:space="preserve"> y del </w:t>
      </w:r>
      <w:r w:rsidRPr="00850C1D">
        <w:rPr>
          <w:rFonts w:ascii="Verdana" w:eastAsia="Calibri" w:hAnsi="Verdana"/>
          <w:b/>
          <w:lang w:val="es-ES"/>
        </w:rPr>
        <w:t>DIH</w:t>
      </w:r>
      <w:r w:rsidRPr="007153A2">
        <w:rPr>
          <w:rFonts w:ascii="Verdana" w:eastAsia="Calibri" w:hAnsi="Verdana"/>
          <w:lang w:val="es-ES"/>
        </w:rPr>
        <w:t xml:space="preserve"> para los agentes humanitarios que contratan EMSP para actuar en acciones humanitarias, incluso en países</w:t>
      </w:r>
      <w:r w:rsidR="00B876E5" w:rsidRPr="00B876E5">
        <w:rPr>
          <w:rFonts w:ascii="Verdana" w:eastAsia="Calibri" w:hAnsi="Verdana"/>
          <w:lang w:val="es-ES"/>
        </w:rPr>
        <w:t xml:space="preserve"> </w:t>
      </w:r>
      <w:r w:rsidR="00B876E5" w:rsidRPr="007153A2">
        <w:rPr>
          <w:rFonts w:ascii="Verdana" w:eastAsia="Calibri" w:hAnsi="Verdana"/>
          <w:lang w:val="es-ES"/>
        </w:rPr>
        <w:t>terceros</w:t>
      </w:r>
      <w:r w:rsidRPr="007153A2">
        <w:rPr>
          <w:rFonts w:ascii="Verdana" w:eastAsia="Calibri" w:hAnsi="Verdana"/>
          <w:lang w:val="es-ES"/>
        </w:rPr>
        <w:t>?</w:t>
      </w:r>
    </w:p>
    <w:p w14:paraId="36477D56" w14:textId="77777777" w:rsidR="007153A2" w:rsidRPr="00C61EF4" w:rsidRDefault="007153A2" w:rsidP="00C61EF4">
      <w:pPr>
        <w:rPr>
          <w:rFonts w:ascii="Verdana" w:eastAsia="Calibri" w:hAnsi="Verdana"/>
          <w:lang w:val="es-ES"/>
        </w:rPr>
      </w:pPr>
    </w:p>
    <w:p w14:paraId="6FA00B67" w14:textId="77777777" w:rsidR="00E82E7C" w:rsidRDefault="00E82E7C" w:rsidP="007153A2">
      <w:pPr>
        <w:numPr>
          <w:ilvl w:val="0"/>
          <w:numId w:val="2"/>
        </w:numPr>
        <w:spacing w:after="160" w:line="256" w:lineRule="auto"/>
        <w:ind w:left="567" w:hanging="567"/>
        <w:contextualSpacing/>
        <w:jc w:val="both"/>
        <w:rPr>
          <w:rFonts w:ascii="Verdana" w:eastAsia="Calibri" w:hAnsi="Verdana"/>
          <w:lang w:val="es-ES"/>
        </w:rPr>
      </w:pPr>
      <w:r w:rsidRPr="007153A2">
        <w:rPr>
          <w:rFonts w:ascii="Verdana" w:eastAsia="Calibri" w:hAnsi="Verdana"/>
          <w:lang w:val="es-ES"/>
        </w:rPr>
        <w:t xml:space="preserve">Sírvanse proporcionar información sobre las </w:t>
      </w:r>
      <w:r w:rsidR="00C64BEA" w:rsidRPr="00C64BEA">
        <w:rPr>
          <w:rFonts w:ascii="Verdana" w:eastAsia="Calibri" w:hAnsi="Verdana"/>
          <w:b/>
          <w:lang w:val="es-ES"/>
        </w:rPr>
        <w:t>alegaciones</w:t>
      </w:r>
      <w:r w:rsidRPr="00C64BEA">
        <w:rPr>
          <w:rFonts w:ascii="Verdana" w:eastAsia="Calibri" w:hAnsi="Verdana"/>
          <w:b/>
          <w:lang w:val="es-ES"/>
        </w:rPr>
        <w:t xml:space="preserve"> de abusos de los derechos humanos por parte de </w:t>
      </w:r>
      <w:r w:rsidR="00CA6799">
        <w:rPr>
          <w:rFonts w:ascii="Verdana" w:eastAsia="Calibri" w:hAnsi="Verdana"/>
          <w:b/>
          <w:lang w:val="es-ES"/>
        </w:rPr>
        <w:t xml:space="preserve">las </w:t>
      </w:r>
      <w:r w:rsidRPr="00C64BEA">
        <w:rPr>
          <w:rFonts w:ascii="Verdana" w:eastAsia="Calibri" w:hAnsi="Verdana"/>
          <w:b/>
          <w:lang w:val="es-ES"/>
        </w:rPr>
        <w:t>EMSP en contextos humanitarios</w:t>
      </w:r>
      <w:r w:rsidRPr="007153A2">
        <w:rPr>
          <w:rFonts w:ascii="Verdana" w:eastAsia="Calibri" w:hAnsi="Verdana"/>
          <w:lang w:val="es-ES"/>
        </w:rPr>
        <w:t>. Esto puede incluir,</w:t>
      </w:r>
      <w:r w:rsidR="00CA6799">
        <w:rPr>
          <w:rFonts w:ascii="Verdana" w:eastAsia="Calibri" w:hAnsi="Verdana"/>
          <w:lang w:val="es-ES"/>
        </w:rPr>
        <w:t xml:space="preserve"> por ejemplo, actos en los que </w:t>
      </w:r>
      <w:r w:rsidRPr="007153A2">
        <w:rPr>
          <w:rFonts w:ascii="Verdana" w:eastAsia="Calibri" w:hAnsi="Verdana"/>
          <w:lang w:val="es-ES"/>
        </w:rPr>
        <w:t xml:space="preserve">las EMSP </w:t>
      </w:r>
      <w:r w:rsidR="00CA6799" w:rsidRPr="007153A2">
        <w:rPr>
          <w:rFonts w:ascii="Verdana" w:eastAsia="Calibri" w:hAnsi="Verdana"/>
          <w:lang w:val="es-ES"/>
        </w:rPr>
        <w:t>s</w:t>
      </w:r>
      <w:r w:rsidR="00CA6799">
        <w:rPr>
          <w:rFonts w:ascii="Verdana" w:eastAsia="Calibri" w:hAnsi="Verdana"/>
          <w:lang w:val="es-ES"/>
        </w:rPr>
        <w:t>erían</w:t>
      </w:r>
      <w:r w:rsidRPr="007153A2">
        <w:rPr>
          <w:rFonts w:ascii="Verdana" w:eastAsia="Calibri" w:hAnsi="Verdana"/>
          <w:lang w:val="es-ES"/>
        </w:rPr>
        <w:t xml:space="preserve"> directamente responsables </w:t>
      </w:r>
      <w:r w:rsidR="00CA6799">
        <w:rPr>
          <w:rFonts w:ascii="Verdana" w:eastAsia="Calibri" w:hAnsi="Verdana"/>
          <w:lang w:val="es-ES"/>
        </w:rPr>
        <w:t xml:space="preserve">de los hechos, </w:t>
      </w:r>
      <w:r w:rsidRPr="007153A2">
        <w:rPr>
          <w:rFonts w:ascii="Verdana" w:eastAsia="Calibri" w:hAnsi="Verdana"/>
          <w:lang w:val="es-ES"/>
        </w:rPr>
        <w:t xml:space="preserve">o actos que </w:t>
      </w:r>
      <w:r w:rsidR="00CA6799">
        <w:rPr>
          <w:rFonts w:ascii="Verdana" w:eastAsia="Calibri" w:hAnsi="Verdana"/>
          <w:lang w:val="es-ES"/>
        </w:rPr>
        <w:t>apoyarían la comisión de</w:t>
      </w:r>
      <w:r w:rsidRPr="007153A2">
        <w:rPr>
          <w:rFonts w:ascii="Verdana" w:eastAsia="Calibri" w:hAnsi="Verdana"/>
          <w:lang w:val="es-ES"/>
        </w:rPr>
        <w:t xml:space="preserve"> abusos por parte de otros actores.</w:t>
      </w:r>
    </w:p>
    <w:p w14:paraId="69E27357" w14:textId="77777777" w:rsidR="00C61EF4" w:rsidRPr="00C61EF4" w:rsidRDefault="00C61EF4" w:rsidP="00C61EF4">
      <w:pPr>
        <w:rPr>
          <w:rFonts w:ascii="Verdana" w:eastAsia="Calibri" w:hAnsi="Verdana"/>
          <w:lang w:val="es-ES"/>
        </w:rPr>
      </w:pPr>
    </w:p>
    <w:p w14:paraId="2F6FB370" w14:textId="2E8F100A" w:rsidR="00E82E7C" w:rsidRPr="00C61EF4" w:rsidRDefault="00E82E7C" w:rsidP="00C61EF4">
      <w:pPr>
        <w:numPr>
          <w:ilvl w:val="0"/>
          <w:numId w:val="2"/>
        </w:numPr>
        <w:spacing w:after="160" w:line="256" w:lineRule="auto"/>
        <w:ind w:left="567" w:hanging="567"/>
        <w:contextualSpacing/>
        <w:jc w:val="both"/>
        <w:rPr>
          <w:rFonts w:ascii="Verdana" w:eastAsia="Calibri" w:hAnsi="Verdana"/>
          <w:lang w:val="es-ES"/>
        </w:rPr>
      </w:pPr>
      <w:r w:rsidRPr="00C61EF4">
        <w:rPr>
          <w:rFonts w:ascii="Verdana" w:eastAsia="Calibri" w:hAnsi="Verdana"/>
          <w:lang w:val="es-ES"/>
        </w:rPr>
        <w:t xml:space="preserve">Qué esfuerzos se han realizado para </w:t>
      </w:r>
      <w:r w:rsidRPr="0048218C">
        <w:rPr>
          <w:rFonts w:ascii="Verdana" w:eastAsia="Calibri" w:hAnsi="Verdana"/>
          <w:b/>
          <w:lang w:val="es-ES"/>
        </w:rPr>
        <w:t xml:space="preserve">asegurar la </w:t>
      </w:r>
      <w:r w:rsidR="0048218C" w:rsidRPr="0048218C">
        <w:rPr>
          <w:rFonts w:ascii="Verdana" w:eastAsia="Calibri" w:hAnsi="Verdana"/>
          <w:b/>
          <w:lang w:val="es-ES"/>
        </w:rPr>
        <w:t>responsabilidad de las EMSP</w:t>
      </w:r>
      <w:r w:rsidRPr="0048218C">
        <w:rPr>
          <w:rFonts w:ascii="Verdana" w:eastAsia="Calibri" w:hAnsi="Verdana"/>
          <w:b/>
          <w:lang w:val="es-ES"/>
        </w:rPr>
        <w:t xml:space="preserve"> por los abusos cometidos</w:t>
      </w:r>
      <w:r w:rsidR="00BF6121">
        <w:rPr>
          <w:rFonts w:ascii="Verdana" w:eastAsia="Calibri" w:hAnsi="Verdana"/>
          <w:lang w:val="es-ES"/>
        </w:rPr>
        <w:t>,</w:t>
      </w:r>
      <w:r w:rsidRPr="0048218C">
        <w:rPr>
          <w:rFonts w:ascii="Verdana" w:eastAsia="Calibri" w:hAnsi="Verdana"/>
          <w:lang w:val="es-ES"/>
        </w:rPr>
        <w:t xml:space="preserve"> </w:t>
      </w:r>
      <w:r w:rsidRPr="00C61EF4">
        <w:rPr>
          <w:rFonts w:ascii="Verdana" w:eastAsia="Calibri" w:hAnsi="Verdana"/>
          <w:lang w:val="es-ES"/>
        </w:rPr>
        <w:t>y para proporcionar recursos efectivos a las víctimas?</w:t>
      </w:r>
    </w:p>
    <w:p w14:paraId="6B439991" w14:textId="77777777" w:rsidR="00B0183B" w:rsidRDefault="00B0183B" w:rsidP="00EC1E0A">
      <w:pPr>
        <w:rPr>
          <w:rFonts w:ascii="Verdana" w:hAnsi="Verdana"/>
          <w:b/>
          <w:sz w:val="22"/>
          <w:szCs w:val="22"/>
          <w:lang w:val="es-ES_tradnl"/>
        </w:rPr>
      </w:pPr>
    </w:p>
    <w:p w14:paraId="1B672D44" w14:textId="77777777" w:rsidR="00EC1E0A" w:rsidRPr="00EC1E0A" w:rsidRDefault="00EC1E0A" w:rsidP="00EC1E0A">
      <w:pPr>
        <w:rPr>
          <w:rFonts w:ascii="Verdana" w:hAnsi="Verdana"/>
          <w:b/>
          <w:sz w:val="22"/>
          <w:szCs w:val="22"/>
          <w:lang w:val="es-ES_tradnl"/>
        </w:rPr>
      </w:pPr>
      <w:r w:rsidRPr="00EC1E0A">
        <w:rPr>
          <w:rFonts w:ascii="Verdana" w:hAnsi="Verdana"/>
          <w:b/>
          <w:sz w:val="22"/>
          <w:szCs w:val="22"/>
          <w:lang w:val="es-ES_tradnl"/>
        </w:rPr>
        <w:t>Cómo y dónde enviar las contribuciones</w:t>
      </w:r>
    </w:p>
    <w:p w14:paraId="6040383B" w14:textId="77777777" w:rsidR="00EC1E0A" w:rsidRDefault="00EC1E0A" w:rsidP="00EC1E0A">
      <w:pPr>
        <w:rPr>
          <w:rFonts w:ascii="Verdana" w:hAnsi="Verdana"/>
          <w:lang w:val="es-ES_tradnl"/>
        </w:rPr>
      </w:pPr>
    </w:p>
    <w:p w14:paraId="1ABA27EC" w14:textId="3998AA7E" w:rsidR="00672B04" w:rsidRDefault="00EC1E0A">
      <w:pPr>
        <w:rPr>
          <w:rFonts w:ascii="Verdana" w:hAnsi="Verdana"/>
          <w:lang w:val="es-ES_tradnl"/>
        </w:rPr>
      </w:pPr>
      <w:r>
        <w:rPr>
          <w:rFonts w:ascii="Verdana" w:hAnsi="Verdana"/>
          <w:lang w:val="es-ES_tradnl"/>
        </w:rPr>
        <w:t>Las contribu</w:t>
      </w:r>
      <w:r w:rsidRPr="00EC1E0A">
        <w:rPr>
          <w:rFonts w:ascii="Verdana" w:hAnsi="Verdana"/>
          <w:lang w:val="es-ES_tradnl"/>
        </w:rPr>
        <w:t>ciones pueden enviarse por correo electrónico</w:t>
      </w:r>
      <w:r w:rsidR="007C4492">
        <w:rPr>
          <w:rFonts w:ascii="Verdana" w:hAnsi="Verdana"/>
          <w:lang w:val="es-ES_tradnl"/>
        </w:rPr>
        <w:t>,</w:t>
      </w:r>
      <w:r w:rsidRPr="00EC1E0A">
        <w:rPr>
          <w:rFonts w:ascii="Verdana" w:hAnsi="Verdana"/>
          <w:lang w:val="es-ES_tradnl"/>
        </w:rPr>
        <w:t xml:space="preserve"> en</w:t>
      </w:r>
      <w:r w:rsidR="007C4492">
        <w:rPr>
          <w:rFonts w:ascii="Verdana" w:hAnsi="Verdana"/>
          <w:lang w:val="es-ES_tradnl"/>
        </w:rPr>
        <w:t xml:space="preserve"> formato accesible (documento Word), </w:t>
      </w:r>
      <w:r w:rsidRPr="00EC1E0A">
        <w:rPr>
          <w:rFonts w:ascii="Verdana" w:hAnsi="Verdana"/>
          <w:lang w:val="es-ES_tradnl"/>
        </w:rPr>
        <w:t xml:space="preserve">a </w:t>
      </w:r>
      <w:hyperlink r:id="rId12" w:history="1">
        <w:r w:rsidR="007C4492" w:rsidRPr="00132ADC">
          <w:rPr>
            <w:rStyle w:val="Hyperlink"/>
            <w:rFonts w:ascii="Verdana" w:hAnsi="Verdana"/>
            <w:lang w:val="es-ES_tradnl"/>
          </w:rPr>
          <w:t>mercenaries@ohchr.org</w:t>
        </w:r>
      </w:hyperlink>
      <w:r w:rsidR="007C4492">
        <w:rPr>
          <w:rFonts w:ascii="Verdana" w:hAnsi="Verdana"/>
          <w:lang w:val="es-ES_tradnl"/>
        </w:rPr>
        <w:t xml:space="preserve">, </w:t>
      </w:r>
      <w:r w:rsidR="007C4492" w:rsidRPr="007C4492">
        <w:rPr>
          <w:rFonts w:ascii="Verdana" w:hAnsi="Verdana"/>
          <w:lang w:val="es-ES_tradnl"/>
        </w:rPr>
        <w:t xml:space="preserve">a más tardar el </w:t>
      </w:r>
      <w:r w:rsidR="00CE4B64">
        <w:rPr>
          <w:rFonts w:ascii="Verdana" w:hAnsi="Verdana"/>
          <w:b/>
          <w:lang w:val="es-ES_tradnl"/>
        </w:rPr>
        <w:t>9</w:t>
      </w:r>
      <w:r w:rsidR="00EC46E0">
        <w:rPr>
          <w:rFonts w:ascii="Verdana" w:hAnsi="Verdana"/>
          <w:b/>
          <w:lang w:val="es-ES_tradnl"/>
        </w:rPr>
        <w:t xml:space="preserve"> de marzo</w:t>
      </w:r>
      <w:r w:rsidRPr="007C4492">
        <w:rPr>
          <w:rFonts w:ascii="Verdana" w:hAnsi="Verdana"/>
          <w:b/>
          <w:lang w:val="es-ES_tradnl"/>
        </w:rPr>
        <w:t xml:space="preserve"> de 2021</w:t>
      </w:r>
      <w:r w:rsidRPr="00EC1E0A">
        <w:rPr>
          <w:rFonts w:ascii="Verdana" w:hAnsi="Verdana"/>
          <w:lang w:val="es-ES_tradnl"/>
        </w:rPr>
        <w:t>. Al enviar su respuesta, indique amablemente si tiene alguna objeción con respecto a que su respuesta se publique en este sitio web.</w:t>
      </w:r>
      <w:r w:rsidR="00C718D5">
        <w:rPr>
          <w:rFonts w:ascii="Verdana" w:hAnsi="Verdana"/>
          <w:lang w:val="es-ES_tradnl"/>
        </w:rPr>
        <w:t xml:space="preserve"> </w:t>
      </w:r>
    </w:p>
    <w:p w14:paraId="729A3F34" w14:textId="77777777" w:rsidR="00C718D5" w:rsidRDefault="00C718D5">
      <w:pPr>
        <w:rPr>
          <w:rFonts w:ascii="Verdana" w:hAnsi="Verdana"/>
          <w:lang w:val="es-ES_tradnl"/>
        </w:rPr>
      </w:pPr>
    </w:p>
    <w:p w14:paraId="2277B01E" w14:textId="77777777" w:rsidR="00C718D5" w:rsidRPr="00C718D5" w:rsidRDefault="00C718D5" w:rsidP="00C718D5">
      <w:pPr>
        <w:rPr>
          <w:rFonts w:ascii="Verdana" w:hAnsi="Verdana"/>
          <w:b/>
          <w:sz w:val="22"/>
          <w:szCs w:val="22"/>
          <w:lang w:val="es-ES_tradnl"/>
        </w:rPr>
      </w:pPr>
      <w:r w:rsidRPr="00C718D5">
        <w:rPr>
          <w:rFonts w:ascii="Verdana" w:hAnsi="Verdana"/>
          <w:b/>
          <w:sz w:val="22"/>
          <w:szCs w:val="22"/>
          <w:lang w:val="es-ES_tradnl"/>
        </w:rPr>
        <w:lastRenderedPageBreak/>
        <w:t>Cómo se utilizarán las contribuciones</w:t>
      </w:r>
    </w:p>
    <w:p w14:paraId="64AC3D0C" w14:textId="77777777" w:rsidR="00C718D5" w:rsidRDefault="00C718D5" w:rsidP="00C718D5">
      <w:pPr>
        <w:rPr>
          <w:rFonts w:ascii="Verdana" w:hAnsi="Verdana"/>
          <w:lang w:val="es-ES_tradnl"/>
        </w:rPr>
      </w:pPr>
    </w:p>
    <w:p w14:paraId="3EAEE082" w14:textId="77777777" w:rsidR="00C718D5" w:rsidRPr="007C4492" w:rsidRDefault="00C718D5" w:rsidP="00C718D5">
      <w:pPr>
        <w:rPr>
          <w:rFonts w:ascii="Verdana" w:hAnsi="Verdana"/>
          <w:lang w:val="es-ES_tradnl"/>
        </w:rPr>
      </w:pPr>
      <w:r w:rsidRPr="00C718D5">
        <w:rPr>
          <w:rFonts w:ascii="Verdana" w:hAnsi="Verdana"/>
          <w:lang w:val="es-ES_tradnl"/>
        </w:rPr>
        <w:t>Tod</w:t>
      </w:r>
      <w:r w:rsidR="00EA50F1">
        <w:rPr>
          <w:rFonts w:ascii="Verdana" w:hAnsi="Verdana"/>
          <w:lang w:val="es-ES_tradnl"/>
        </w:rPr>
        <w:t>a</w:t>
      </w:r>
      <w:r w:rsidRPr="00C718D5">
        <w:rPr>
          <w:rFonts w:ascii="Verdana" w:hAnsi="Verdana"/>
          <w:lang w:val="es-ES_tradnl"/>
        </w:rPr>
        <w:t xml:space="preserve">s </w:t>
      </w:r>
      <w:r w:rsidR="00EA50F1">
        <w:rPr>
          <w:rFonts w:ascii="Verdana" w:hAnsi="Verdana"/>
          <w:lang w:val="es-ES_tradnl"/>
        </w:rPr>
        <w:t>las contribuciones</w:t>
      </w:r>
      <w:r w:rsidRPr="00C718D5">
        <w:rPr>
          <w:rFonts w:ascii="Verdana" w:hAnsi="Verdana"/>
          <w:lang w:val="es-ES_tradnl"/>
        </w:rPr>
        <w:t xml:space="preserve"> recibid</w:t>
      </w:r>
      <w:r w:rsidR="00EA50F1">
        <w:rPr>
          <w:rFonts w:ascii="Verdana" w:hAnsi="Verdana"/>
          <w:lang w:val="es-ES_tradnl"/>
        </w:rPr>
        <w:t xml:space="preserve">as en formato Word </w:t>
      </w:r>
      <w:r w:rsidRPr="00C718D5">
        <w:rPr>
          <w:rFonts w:ascii="Verdana" w:hAnsi="Verdana"/>
          <w:lang w:val="es-ES_tradnl"/>
        </w:rPr>
        <w:t>se publicarán en esta página web, a menos que el remitente indique claramente que no desea que sus comentarios se hagan p</w:t>
      </w:r>
      <w:r w:rsidR="00EA50F1">
        <w:rPr>
          <w:rFonts w:ascii="Verdana" w:hAnsi="Verdana"/>
          <w:lang w:val="es-ES_tradnl"/>
        </w:rPr>
        <w:t>úblicos al enviar su respuesta. Las contribuciones</w:t>
      </w:r>
      <w:r w:rsidRPr="00C718D5">
        <w:rPr>
          <w:rFonts w:ascii="Verdana" w:hAnsi="Verdana"/>
          <w:lang w:val="es-ES_tradnl"/>
        </w:rPr>
        <w:t xml:space="preserve"> recibidas en formato PDF no se publicarán, pero estarán disponibles a pedido.</w:t>
      </w:r>
    </w:p>
    <w:sectPr w:rsidR="00C718D5" w:rsidRPr="007C4492" w:rsidSect="00C772EF">
      <w:headerReference w:type="default" r:id="rId13"/>
      <w:footerReference w:type="default" r:id="rId14"/>
      <w:head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64A8D" w14:textId="77777777" w:rsidR="00837CFC" w:rsidRDefault="00837CFC" w:rsidP="00837CFC">
      <w:r>
        <w:separator/>
      </w:r>
    </w:p>
  </w:endnote>
  <w:endnote w:type="continuationSeparator" w:id="0">
    <w:p w14:paraId="5BA6BFEA" w14:textId="77777777" w:rsidR="00837CFC" w:rsidRDefault="00837CFC" w:rsidP="0083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B5292" w14:textId="77777777" w:rsidR="008226B7" w:rsidRDefault="00697E13"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CF2D3" w14:textId="77777777" w:rsidR="00837CFC" w:rsidRDefault="00837CFC" w:rsidP="00837CFC">
      <w:r>
        <w:separator/>
      </w:r>
    </w:p>
  </w:footnote>
  <w:footnote w:type="continuationSeparator" w:id="0">
    <w:p w14:paraId="0A5C76CD" w14:textId="77777777" w:rsidR="00837CFC" w:rsidRDefault="00837CFC" w:rsidP="0083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6FA9" w14:textId="5B9D20DA" w:rsidR="008226B7" w:rsidRPr="00AD4CA9" w:rsidRDefault="00837CFC"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9264"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A10">
      <w:rPr>
        <w:sz w:val="14"/>
        <w:szCs w:val="14"/>
        <w:lang w:val="en-GB"/>
      </w:rPr>
      <w:tab/>
      <w:t xml:space="preserve">PAGE </w:t>
    </w:r>
    <w:r w:rsidR="00A60A10" w:rsidRPr="0028624E">
      <w:rPr>
        <w:sz w:val="14"/>
        <w:szCs w:val="14"/>
        <w:lang w:val="en-GB"/>
      </w:rPr>
      <w:fldChar w:fldCharType="begin"/>
    </w:r>
    <w:r w:rsidR="00A60A10" w:rsidRPr="0028624E">
      <w:rPr>
        <w:sz w:val="14"/>
        <w:szCs w:val="14"/>
        <w:lang w:val="en-GB"/>
      </w:rPr>
      <w:instrText xml:space="preserve"> PAGE   \* MERGEFORMAT </w:instrText>
    </w:r>
    <w:r w:rsidR="00A60A10" w:rsidRPr="0028624E">
      <w:rPr>
        <w:sz w:val="14"/>
        <w:szCs w:val="14"/>
        <w:lang w:val="en-GB"/>
      </w:rPr>
      <w:fldChar w:fldCharType="separate"/>
    </w:r>
    <w:r w:rsidR="00697E13">
      <w:rPr>
        <w:noProof/>
        <w:sz w:val="14"/>
        <w:szCs w:val="14"/>
        <w:lang w:val="en-GB"/>
      </w:rPr>
      <w:t>4</w:t>
    </w:r>
    <w:r w:rsidR="00A60A1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17E8" w14:textId="77777777" w:rsidR="008226B7" w:rsidRPr="00E80ED1" w:rsidRDefault="00697E13" w:rsidP="009F18EC">
    <w:pPr>
      <w:pStyle w:val="Header"/>
      <w:tabs>
        <w:tab w:val="clear" w:pos="4153"/>
        <w:tab w:val="clear" w:pos="8306"/>
        <w:tab w:val="right" w:pos="3686"/>
        <w:tab w:val="left" w:pos="5812"/>
      </w:tabs>
      <w:spacing w:before="80" w:after="360"/>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9AF"/>
    <w:multiLevelType w:val="hybridMultilevel"/>
    <w:tmpl w:val="A27027DC"/>
    <w:lvl w:ilvl="0" w:tplc="6C964C6C">
      <w:start w:val="1"/>
      <w:numFmt w:val="bullet"/>
      <w:lvlText w:val=""/>
      <w:lvlJc w:val="left"/>
      <w:pPr>
        <w:ind w:left="1287" w:hanging="360"/>
      </w:pPr>
      <w:rPr>
        <w:rFonts w:ascii="Symbol" w:hAnsi="Symbol" w:hint="default"/>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C061C57"/>
    <w:multiLevelType w:val="hybridMultilevel"/>
    <w:tmpl w:val="B5946E36"/>
    <w:lvl w:ilvl="0" w:tplc="67D01BD2">
      <w:start w:val="1"/>
      <w:numFmt w:val="decimal"/>
      <w:lvlText w:val="%1."/>
      <w:lvlJc w:val="left"/>
      <w:pPr>
        <w:ind w:left="720" w:hanging="360"/>
      </w:pPr>
      <w:rPr>
        <w:rFonts w:hint="default"/>
        <w:b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2A6C75"/>
    <w:multiLevelType w:val="hybridMultilevel"/>
    <w:tmpl w:val="85FE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64"/>
    <w:rsid w:val="00012FBD"/>
    <w:rsid w:val="0005101D"/>
    <w:rsid w:val="000C3E04"/>
    <w:rsid w:val="00112268"/>
    <w:rsid w:val="00116098"/>
    <w:rsid w:val="001220BE"/>
    <w:rsid w:val="00124C64"/>
    <w:rsid w:val="00132ADC"/>
    <w:rsid w:val="00162A5D"/>
    <w:rsid w:val="001C35A2"/>
    <w:rsid w:val="001D2AFD"/>
    <w:rsid w:val="001E6FE1"/>
    <w:rsid w:val="002046D1"/>
    <w:rsid w:val="00220AE5"/>
    <w:rsid w:val="002254C7"/>
    <w:rsid w:val="0024418C"/>
    <w:rsid w:val="002544CB"/>
    <w:rsid w:val="0029291D"/>
    <w:rsid w:val="002B5016"/>
    <w:rsid w:val="002D2546"/>
    <w:rsid w:val="002F2D52"/>
    <w:rsid w:val="00312EE1"/>
    <w:rsid w:val="00323C42"/>
    <w:rsid w:val="0037279E"/>
    <w:rsid w:val="003A3AB7"/>
    <w:rsid w:val="003F1BF3"/>
    <w:rsid w:val="004305A3"/>
    <w:rsid w:val="004317EA"/>
    <w:rsid w:val="004339E7"/>
    <w:rsid w:val="004623C3"/>
    <w:rsid w:val="00472D89"/>
    <w:rsid w:val="00481C3A"/>
    <w:rsid w:val="0048218C"/>
    <w:rsid w:val="0048267A"/>
    <w:rsid w:val="004A53C4"/>
    <w:rsid w:val="004C161D"/>
    <w:rsid w:val="004C4996"/>
    <w:rsid w:val="004E2924"/>
    <w:rsid w:val="00513BF8"/>
    <w:rsid w:val="005303A1"/>
    <w:rsid w:val="005938E3"/>
    <w:rsid w:val="005B256C"/>
    <w:rsid w:val="005D17ED"/>
    <w:rsid w:val="005F2A4F"/>
    <w:rsid w:val="00620AAF"/>
    <w:rsid w:val="00643C9B"/>
    <w:rsid w:val="00683486"/>
    <w:rsid w:val="00697E13"/>
    <w:rsid w:val="006C4062"/>
    <w:rsid w:val="007153A2"/>
    <w:rsid w:val="00755EDC"/>
    <w:rsid w:val="00772EE9"/>
    <w:rsid w:val="007B0697"/>
    <w:rsid w:val="007C4492"/>
    <w:rsid w:val="0083017B"/>
    <w:rsid w:val="00837CFC"/>
    <w:rsid w:val="00850C1D"/>
    <w:rsid w:val="0085525C"/>
    <w:rsid w:val="00860AB8"/>
    <w:rsid w:val="008C0ACC"/>
    <w:rsid w:val="008D3675"/>
    <w:rsid w:val="008E0D61"/>
    <w:rsid w:val="00906BE8"/>
    <w:rsid w:val="00910937"/>
    <w:rsid w:val="00926798"/>
    <w:rsid w:val="00937F42"/>
    <w:rsid w:val="00993136"/>
    <w:rsid w:val="009B5BEF"/>
    <w:rsid w:val="00A02FA1"/>
    <w:rsid w:val="00A059E5"/>
    <w:rsid w:val="00A34D4F"/>
    <w:rsid w:val="00A60A10"/>
    <w:rsid w:val="00A66145"/>
    <w:rsid w:val="00AA3A79"/>
    <w:rsid w:val="00AA7DC9"/>
    <w:rsid w:val="00AB0F94"/>
    <w:rsid w:val="00AC534C"/>
    <w:rsid w:val="00AD34D8"/>
    <w:rsid w:val="00B0183B"/>
    <w:rsid w:val="00B46E23"/>
    <w:rsid w:val="00B52108"/>
    <w:rsid w:val="00B77FE6"/>
    <w:rsid w:val="00B876E5"/>
    <w:rsid w:val="00BB7435"/>
    <w:rsid w:val="00BF6121"/>
    <w:rsid w:val="00BF68CB"/>
    <w:rsid w:val="00C61EF4"/>
    <w:rsid w:val="00C64BEA"/>
    <w:rsid w:val="00C718D5"/>
    <w:rsid w:val="00CA6799"/>
    <w:rsid w:val="00CB1252"/>
    <w:rsid w:val="00CC4E7B"/>
    <w:rsid w:val="00CD29D4"/>
    <w:rsid w:val="00CE3850"/>
    <w:rsid w:val="00CE4B64"/>
    <w:rsid w:val="00D002A2"/>
    <w:rsid w:val="00D9532B"/>
    <w:rsid w:val="00DC0D34"/>
    <w:rsid w:val="00DF0FA3"/>
    <w:rsid w:val="00E043A6"/>
    <w:rsid w:val="00E42ED5"/>
    <w:rsid w:val="00E82E7C"/>
    <w:rsid w:val="00E969D6"/>
    <w:rsid w:val="00EA50F1"/>
    <w:rsid w:val="00EC1E0A"/>
    <w:rsid w:val="00EC46E0"/>
    <w:rsid w:val="00EE264B"/>
    <w:rsid w:val="00F64053"/>
    <w:rsid w:val="00F81F8E"/>
    <w:rsid w:val="00FB23B7"/>
    <w:rsid w:val="00FB481C"/>
    <w:rsid w:val="00FC6D66"/>
    <w:rsid w:val="00FF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F0D48"/>
  <w15:chartTrackingRefBased/>
  <w15:docId w15:val="{835066E8-9165-43A9-87FC-84C2D935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CFC"/>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837CFC"/>
    <w:rPr>
      <w:rFonts w:ascii="Times New Roman" w:eastAsia="Times New Roman" w:hAnsi="Times New Roman" w:cs="Times New Roman"/>
      <w:snapToGrid w:val="0"/>
      <w:sz w:val="20"/>
      <w:szCs w:val="20"/>
      <w:lang w:val="en-AU"/>
    </w:rPr>
  </w:style>
  <w:style w:type="paragraph" w:styleId="Footer">
    <w:name w:val="footer"/>
    <w:basedOn w:val="Normal"/>
    <w:link w:val="FooterChar"/>
    <w:rsid w:val="00837CFC"/>
    <w:pPr>
      <w:tabs>
        <w:tab w:val="center" w:pos="4153"/>
        <w:tab w:val="right" w:pos="8306"/>
      </w:tabs>
    </w:pPr>
  </w:style>
  <w:style w:type="character" w:customStyle="1" w:styleId="FooterChar">
    <w:name w:val="Footer Char"/>
    <w:basedOn w:val="DefaultParagraphFont"/>
    <w:link w:val="Footer"/>
    <w:rsid w:val="00837CFC"/>
    <w:rPr>
      <w:rFonts w:ascii="Times New Roman" w:eastAsia="Times New Roman" w:hAnsi="Times New Roman" w:cs="Times New Roman"/>
      <w:sz w:val="20"/>
      <w:szCs w:val="20"/>
    </w:rPr>
  </w:style>
  <w:style w:type="character" w:styleId="Hyperlink">
    <w:name w:val="Hyperlink"/>
    <w:rsid w:val="00837CFC"/>
    <w:rPr>
      <w:color w:val="0000FF"/>
      <w:u w:val="single"/>
    </w:rPr>
  </w:style>
  <w:style w:type="paragraph" w:styleId="ListParagraph">
    <w:name w:val="List Paragraph"/>
    <w:basedOn w:val="Normal"/>
    <w:uiPriority w:val="34"/>
    <w:qFormat/>
    <w:rsid w:val="00837CFC"/>
    <w:pPr>
      <w:ind w:left="720"/>
      <w:contextualSpacing/>
    </w:pPr>
    <w:rPr>
      <w:sz w:val="24"/>
      <w:szCs w:val="24"/>
      <w:lang w:val="en-US"/>
    </w:rPr>
  </w:style>
  <w:style w:type="paragraph" w:customStyle="1" w:styleId="Normal1">
    <w:name w:val="Normal1"/>
    <w:rsid w:val="00B46E23"/>
    <w:pPr>
      <w:spacing w:after="0" w:line="240" w:lineRule="auto"/>
    </w:pPr>
    <w:rPr>
      <w:rFonts w:ascii="Helvetica Neue" w:eastAsia="Helvetica Neue" w:hAnsi="Helvetica Neue" w:cs="Helvetica Neue"/>
      <w:sz w:val="24"/>
      <w:szCs w:val="24"/>
      <w:lang w:val="en-US"/>
    </w:rPr>
  </w:style>
  <w:style w:type="table" w:styleId="TableGrid">
    <w:name w:val="Table Grid"/>
    <w:basedOn w:val="TableNormal"/>
    <w:uiPriority w:val="59"/>
    <w:rsid w:val="00B46E23"/>
    <w:pPr>
      <w:spacing w:after="0" w:line="240" w:lineRule="auto"/>
    </w:pPr>
    <w:rPr>
      <w:rFonts w:ascii="Helvetica Neue" w:eastAsia="Helvetica Neue" w:hAnsi="Helvetica Neue" w:cs="Helvetica Neue"/>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5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rcenaries@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es/A/HRC/39/49"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undocs.org/es/A/HRC/4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90655-D520-40E1-8A69-F19AB9CC62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040124-3724-453e-9e0f-d53a96d17322"/>
    <ds:schemaRef ds:uri="http://www.w3.org/XML/1998/namespace"/>
    <ds:schemaRef ds:uri="http://purl.org/dc/dcmitype/"/>
  </ds:schemaRefs>
</ds:datastoreItem>
</file>

<file path=customXml/itemProps2.xml><?xml version="1.0" encoding="utf-8"?>
<ds:datastoreItem xmlns:ds="http://schemas.openxmlformats.org/officeDocument/2006/customXml" ds:itemID="{B3591B0A-061D-4A2B-A375-39703B4ABAA0}">
  <ds:schemaRefs>
    <ds:schemaRef ds:uri="http://schemas.microsoft.com/sharepoint/v3/contenttype/forms"/>
  </ds:schemaRefs>
</ds:datastoreItem>
</file>

<file path=customXml/itemProps3.xml><?xml version="1.0" encoding="utf-8"?>
<ds:datastoreItem xmlns:ds="http://schemas.openxmlformats.org/officeDocument/2006/customXml" ds:itemID="{59BEF04B-E077-47F9-BE59-9B25B06A6343}"/>
</file>

<file path=docProps/app.xml><?xml version="1.0" encoding="utf-8"?>
<Properties xmlns="http://schemas.openxmlformats.org/officeDocument/2006/extended-properties" xmlns:vt="http://schemas.openxmlformats.org/officeDocument/2006/docPropsVTypes">
  <Template>Normal.dotm</Template>
  <TotalTime>286</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Cristina</dc:creator>
  <cp:keywords/>
  <dc:description/>
  <cp:lastModifiedBy>MICHELS Cristina</cp:lastModifiedBy>
  <cp:revision>118</cp:revision>
  <dcterms:created xsi:type="dcterms:W3CDTF">2020-03-05T16:23:00Z</dcterms:created>
  <dcterms:modified xsi:type="dcterms:W3CDTF">2021-01-27T15:26:00Z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