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B1BFF" w:rsidRDefault="001E3C67">
      <w:pPr>
        <w:ind w:left="7080"/>
      </w:pPr>
      <w:bookmarkStart w:id="0" w:name="_gjdgxs" w:colFirst="0" w:colLast="0"/>
      <w:bookmarkEnd w:id="0"/>
      <w:r>
        <w:t>Приложение</w:t>
      </w:r>
    </w:p>
    <w:p w14:paraId="00000002" w14:textId="77777777" w:rsidR="003B1BFF" w:rsidRDefault="003B1BFF">
      <w:pPr>
        <w:jc w:val="center"/>
        <w:rPr>
          <w:b/>
          <w:u w:val="single"/>
        </w:rPr>
      </w:pPr>
    </w:p>
    <w:p w14:paraId="00000003" w14:textId="77777777" w:rsidR="003B1BFF" w:rsidRDefault="001E3C67">
      <w:pPr>
        <w:jc w:val="center"/>
        <w:rPr>
          <w:b/>
          <w:u w:val="single"/>
        </w:rPr>
      </w:pPr>
      <w:r>
        <w:rPr>
          <w:b/>
          <w:u w:val="single"/>
        </w:rPr>
        <w:t>Информация  Российской Федерации на запрос председателя-докладчика Рабочей группы Совета ООН по правам человека по вопросу об использовании наемников как средства нарушения прав человека и противодействия осуществлению права народов на самоопределение по т</w:t>
      </w:r>
      <w:r>
        <w:rPr>
          <w:b/>
          <w:u w:val="single"/>
        </w:rPr>
        <w:t>ематике «кибер-наемничества» и его воздействия на права человека</w:t>
      </w:r>
    </w:p>
    <w:p w14:paraId="00000004" w14:textId="77777777" w:rsidR="003B1BFF" w:rsidRDefault="003B1BFF">
      <w:pPr>
        <w:jc w:val="center"/>
        <w:rPr>
          <w:b/>
          <w:u w:val="single"/>
        </w:rPr>
      </w:pPr>
    </w:p>
    <w:p w14:paraId="00000005" w14:textId="77777777" w:rsidR="003B1BFF" w:rsidRDefault="001E3C67">
      <w:pPr>
        <w:spacing w:line="360" w:lineRule="auto"/>
        <w:ind w:firstLine="708"/>
        <w:jc w:val="both"/>
      </w:pPr>
      <w:r>
        <w:t>В связи с запросом по тематике «кибер-наёмничества» и его воздействия на права человека Российская Федерация хотела бы сообщить следующее.</w:t>
      </w:r>
    </w:p>
    <w:p w14:paraId="00000006" w14:textId="77777777" w:rsidR="003B1BFF" w:rsidRDefault="001E3C67">
      <w:pPr>
        <w:spacing w:line="360" w:lineRule="auto"/>
        <w:ind w:firstLine="708"/>
        <w:jc w:val="both"/>
      </w:pPr>
      <w:r>
        <w:t>1. Российская Федерация обратила внимание на то, чт</w:t>
      </w:r>
      <w:r>
        <w:t>о упоминание о «кибер-наёмниках» составляет небольшую часть раздела V Доклада РГ от 28 июля 2020 г. (документ A/75/259; далее – Доклад), посвященного субъектам, чья деятельность может рассматриваться в качестве наёмничества или связанной с ним деятельности</w:t>
      </w:r>
      <w:r>
        <w:t xml:space="preserve">. При этом «кибер-наёмниками» были названы лица, осуществляющие «кибератаки». По мнению Российской Федерации, такой неоправданно широкий субъектный охват доклада приводит к произвольному смешению явлений наёмничества и тематики противоправной деятельности </w:t>
      </w:r>
      <w:r>
        <w:t xml:space="preserve">в сфере информационно-коммуникационных технологий (ИКТ), которая активно обсуждается на других международных площадках и мандатом РГ не охватывается. </w:t>
      </w:r>
    </w:p>
    <w:p w14:paraId="00000007" w14:textId="77777777" w:rsidR="003B1BFF" w:rsidRDefault="001E3C67">
      <w:pPr>
        <w:spacing w:line="360" w:lineRule="auto"/>
        <w:ind w:firstLine="708"/>
        <w:jc w:val="both"/>
      </w:pPr>
      <w:r>
        <w:t>2. Российская Фелерация хотела бы отметить, что подготоовленный РГ вопросник в целом и, в особенности, ег</w:t>
      </w:r>
      <w:r>
        <w:t xml:space="preserve">о раздел «Human rights and IHL impacts of cyber-capabilities and operations conducted by actors operating alone or through PMSCs», представляются не вполне корректными, так как основываются на спорных тезисах. В частности, в пункте 42 Доклада указано, что </w:t>
      </w:r>
      <w:r>
        <w:t xml:space="preserve">«кибервойна признана в качестве метода ведения войны, </w:t>
      </w:r>
      <w:r>
        <w:lastRenderedPageBreak/>
        <w:t>посредством которого можно не только проникать в военные или гражданские объекты, нарушать их функционирование, наносить им ущерб и даже уничтожать их, но и причинять огромный вред людям». Далее утвержд</w:t>
      </w:r>
      <w:r>
        <w:t>ается, что «по аналогии с обычной войной она должна отвечать нормам международного гуманитарного права». То есть авторы вопросника исходят из презумпции автоматической применимости международного гуманитарного права (МГП) к сфере ИКТ. Вместе с тем, российс</w:t>
      </w:r>
      <w:r>
        <w:t>кая сторона исходит из преждевременности указанных выводов.</w:t>
      </w:r>
    </w:p>
    <w:p w14:paraId="00000008" w14:textId="77777777" w:rsidR="003B1BFF" w:rsidRDefault="001E3C67">
      <w:pPr>
        <w:spacing w:line="360" w:lineRule="auto"/>
        <w:ind w:firstLine="708"/>
        <w:jc w:val="both"/>
      </w:pPr>
      <w:r>
        <w:t xml:space="preserve">По мнению Российской Федерации, универсально признанные международно-правовые подходы к вопросу о применимости международного гуманитарного права к сфере ИКТ, равно как и устойчивая единообразная </w:t>
      </w:r>
      <w:r>
        <w:t xml:space="preserve">практика государств на этот счет, пока не сформированы. Ссылка в Докладе на позиционный материал Международного Комитета Красного Креста (МККК) по указанной теме обратное не доказывает. </w:t>
      </w:r>
    </w:p>
    <w:p w14:paraId="00000009" w14:textId="77777777" w:rsidR="003B1BFF" w:rsidRDefault="001E3C67">
      <w:pPr>
        <w:spacing w:line="360" w:lineRule="auto"/>
        <w:ind w:firstLine="708"/>
        <w:jc w:val="both"/>
      </w:pPr>
      <w:r>
        <w:t>Исходим из того, что вопрос о применимости МГП к сфере ИКТ в целом, р</w:t>
      </w:r>
      <w:r>
        <w:t xml:space="preserve">авно как и о возможных модальностях такой применимости нуждается в дальнейшей углубленной проработке. </w:t>
      </w:r>
    </w:p>
    <w:p w14:paraId="0000000A" w14:textId="77777777" w:rsidR="003B1BFF" w:rsidRDefault="001E3C67">
      <w:pPr>
        <w:spacing w:line="360" w:lineRule="auto"/>
        <w:ind w:firstLine="708"/>
        <w:jc w:val="both"/>
      </w:pPr>
      <w:r>
        <w:t>3.Российская Федерация последовательно выступает за исключительно мирное использование ИКТ и предотвращение конфликтов с их использованием, а также за ра</w:t>
      </w:r>
      <w:r>
        <w:t xml:space="preserve">зработку универсального международно-правового режима в области обеспечения международной информационной безопасности (МИБ). </w:t>
      </w:r>
    </w:p>
    <w:p w14:paraId="0000000B" w14:textId="77777777" w:rsidR="003B1BFF" w:rsidRDefault="001E3C67">
      <w:pPr>
        <w:spacing w:line="360" w:lineRule="auto"/>
        <w:ind w:firstLine="708"/>
        <w:jc w:val="both"/>
      </w:pPr>
      <w:r>
        <w:t>Поддерживаем положения, содержащиеся в пункте 1.3 резолюции Генассамблеи ООН «Достижения в сфере информатизации и телекоммуникаций</w:t>
      </w:r>
      <w:r>
        <w:t xml:space="preserve"> в контексте международной безопасности» (A/RES/73/27), а также в подпункте «е» пункта 28 Доклада Группы </w:t>
      </w:r>
      <w:r>
        <w:lastRenderedPageBreak/>
        <w:t>правительственных экспертов по поощрению ответственного поведения государств в киберпространстве в контексте международной безопасности 2015 года: доку</w:t>
      </w:r>
      <w:r>
        <w:t>мент A/70/174, одобренный резолюцией ГА ООН (A/RES/71/28). В указанных документах, в частности, зафиксировано, что «государства не должны заведомо позволять использовать свою территорию для совершения международно-противоправных деяний с использованием ИКТ</w:t>
      </w:r>
      <w:r>
        <w:t xml:space="preserve"> и использовать посредников для совершения международно-противоправных деяний с использованием ИКТ и должны стремиться обеспечивать, чтобы их территории не использовались негосударственными субъектами для совершения таких деяний».</w:t>
      </w:r>
    </w:p>
    <w:p w14:paraId="0000000C" w14:textId="77777777" w:rsidR="003B1BFF" w:rsidRDefault="001E3C67">
      <w:pPr>
        <w:spacing w:line="360" w:lineRule="auto"/>
        <w:ind w:firstLine="708"/>
        <w:jc w:val="both"/>
      </w:pPr>
      <w:r>
        <w:t>4. Применительно к раздел</w:t>
      </w:r>
      <w:r>
        <w:t xml:space="preserve">у «Regulatory frameworks and their application» полагали бы целесообразным отметить, что в настоящее время отсутствует всеобъемлющий международный документ, посвящённый регулированию деятельности в киберпространстве. </w:t>
      </w:r>
    </w:p>
    <w:p w14:paraId="0000000D" w14:textId="77777777" w:rsidR="003B1BFF" w:rsidRDefault="001E3C67">
      <w:pPr>
        <w:spacing w:line="360" w:lineRule="auto"/>
        <w:ind w:firstLine="708"/>
        <w:jc w:val="both"/>
      </w:pPr>
      <w:r>
        <w:t xml:space="preserve">Российская Федерация участвует в двух </w:t>
      </w:r>
      <w:r>
        <w:t>региональных договорах по данной тематике: Соглашении между Правительствами государств-членов Шанхайской организации сотрудничества о сотрудничестве в области обеспечения международной информационной безопасности 2009 года и Соглашении о сотрудничестве гос</w:t>
      </w:r>
      <w:r>
        <w:t>ударств-участников СНГ в борьбе с преступлениями в сфере информационных технологий 2018 года. На сегодняшний день имеются также двусторонние договоры с Туркменистаном, Вьетнамом, КНР, Кубой, ЮАР (ещё не вступило в силу) и Белоруссией по вопросам обеспечени</w:t>
      </w:r>
      <w:r>
        <w:t xml:space="preserve">я МИБ и борьбы с информационной преступностью. Кроме того, Российская Федерация на протяжении долгого времени последовательно поддерживает разработку под эгидой ООН Конвенции по противодействию преступлениям в сфере использования </w:t>
      </w:r>
      <w:r>
        <w:lastRenderedPageBreak/>
        <w:t xml:space="preserve">ИКТ, которая учитывала бы </w:t>
      </w:r>
      <w:r>
        <w:t>реалии всех без исключения стран и основывалась на принципах суверенного равенства сторон и невмешательства во внутренние дела государств.</w:t>
      </w:r>
    </w:p>
    <w:sectPr w:rsidR="003B1BFF">
      <w:headerReference w:type="default" r:id="rId6"/>
      <w:pgSz w:w="11906" w:h="16838"/>
      <w:pgMar w:top="1701" w:right="851" w:bottom="1560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FC2D" w14:textId="77777777" w:rsidR="00000000" w:rsidRDefault="001E3C67">
      <w:r>
        <w:separator/>
      </w:r>
    </w:p>
  </w:endnote>
  <w:endnote w:type="continuationSeparator" w:id="0">
    <w:p w14:paraId="2B0ADA04" w14:textId="77777777" w:rsidR="00000000" w:rsidRDefault="001E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20603050405020304"/>
    <w:charset w:val="00"/>
    <w:family w:val="auto"/>
    <w:pitch w:val="default"/>
  </w:font>
  <w:font w:name="Georgi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E0663" w14:textId="77777777" w:rsidR="00000000" w:rsidRDefault="001E3C67">
      <w:r>
        <w:separator/>
      </w:r>
    </w:p>
  </w:footnote>
  <w:footnote w:type="continuationSeparator" w:id="0">
    <w:p w14:paraId="0B37BEAC" w14:textId="77777777" w:rsidR="00000000" w:rsidRDefault="001E3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3B1BFF" w:rsidRDefault="003B1B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14:paraId="0000000F" w14:textId="77777777" w:rsidR="003B1BFF" w:rsidRDefault="003B1B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FF"/>
    <w:rsid w:val="001E3C67"/>
    <w:rsid w:val="003B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FE29E0F-0152-0940-AFC1-B8BDF0CD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</w:style>
  <w:style w:type="paragraph" w:styleId="2">
    <w:name w:val="heading 2"/>
    <w:basedOn w:val="a"/>
    <w:next w:val="a"/>
    <w:uiPriority w:val="9"/>
    <w:semiHidden/>
    <w:unhideWhenUsed/>
    <w:qFormat/>
    <w:pPr>
      <w:keepNext/>
      <w:outlineLvl w:val="1"/>
    </w:p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4B54CA-C313-4897-A003-ED33FEC45935}"/>
</file>

<file path=customXml/itemProps2.xml><?xml version="1.0" encoding="utf-8"?>
<ds:datastoreItem xmlns:ds="http://schemas.openxmlformats.org/officeDocument/2006/customXml" ds:itemID="{9CE652C8-0D97-4611-BF84-90CDFED09A11}"/>
</file>

<file path=customXml/itemProps3.xml><?xml version="1.0" encoding="utf-8"?>
<ds:datastoreItem xmlns:ds="http://schemas.openxmlformats.org/officeDocument/2006/customXml" ds:itemID="{37A9BC8A-8E99-436F-8982-9325CBCEE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Гость</cp:lastModifiedBy>
  <cp:revision>2</cp:revision>
  <dcterms:created xsi:type="dcterms:W3CDTF">2021-02-12T14:23:00Z</dcterms:created>
  <dcterms:modified xsi:type="dcterms:W3CDTF">2021-02-12T14:23:00Z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