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23" w:rsidRPr="005146AE" w:rsidRDefault="00027523" w:rsidP="009C7BDB">
      <w:pPr>
        <w:jc w:val="both"/>
        <w:rPr>
          <w:b/>
          <w:sz w:val="21"/>
          <w:szCs w:val="21"/>
          <w:u w:val="single"/>
          <w:lang w:val="en-US"/>
        </w:rPr>
      </w:pPr>
      <w:bookmarkStart w:id="0" w:name="_GoBack"/>
      <w:bookmarkEnd w:id="0"/>
      <w:r w:rsidRPr="005146AE">
        <w:rPr>
          <w:b/>
          <w:sz w:val="21"/>
          <w:szCs w:val="21"/>
          <w:u w:val="single"/>
        </w:rPr>
        <w:t>A.</w:t>
      </w:r>
      <w:r w:rsidRPr="005146AE">
        <w:rPr>
          <w:b/>
          <w:sz w:val="21"/>
          <w:szCs w:val="21"/>
          <w:u w:val="single"/>
          <w:lang w:val="en-US"/>
        </w:rPr>
        <w:t xml:space="preserve"> Introduction</w:t>
      </w:r>
    </w:p>
    <w:p w:rsidR="00314B8C" w:rsidRDefault="00027523" w:rsidP="009C7BDB">
      <w:pPr>
        <w:spacing w:after="0"/>
        <w:jc w:val="both"/>
        <w:rPr>
          <w:sz w:val="21"/>
          <w:szCs w:val="21"/>
        </w:rPr>
      </w:pPr>
      <w:r w:rsidRPr="005146AE">
        <w:rPr>
          <w:sz w:val="21"/>
          <w:szCs w:val="21"/>
        </w:rPr>
        <w:t xml:space="preserve">The Working Group continued its project to study and identify </w:t>
      </w:r>
      <w:r w:rsidR="005F1547">
        <w:rPr>
          <w:sz w:val="21"/>
          <w:szCs w:val="21"/>
        </w:rPr>
        <w:t xml:space="preserve">national </w:t>
      </w:r>
      <w:r w:rsidRPr="005146AE">
        <w:rPr>
          <w:sz w:val="21"/>
          <w:szCs w:val="21"/>
        </w:rPr>
        <w:t>legislative approaches regarding the activities of PMSCs (private military and security companies) and to assess the effectiveness of such legislation in protecting human rights and promoting accountability for violations, more particularly to identify common points, good practices and regulatory gaps</w:t>
      </w:r>
      <w:r w:rsidR="005F1547">
        <w:rPr>
          <w:sz w:val="21"/>
          <w:szCs w:val="21"/>
        </w:rPr>
        <w:t>.</w:t>
      </w:r>
      <w:r w:rsidR="00314B8C">
        <w:rPr>
          <w:sz w:val="21"/>
          <w:szCs w:val="21"/>
        </w:rPr>
        <w:t xml:space="preserve"> </w:t>
      </w:r>
    </w:p>
    <w:p w:rsidR="00314B8C" w:rsidRDefault="00314B8C" w:rsidP="009C7BDB">
      <w:pPr>
        <w:spacing w:after="0"/>
        <w:jc w:val="both"/>
        <w:rPr>
          <w:sz w:val="21"/>
          <w:szCs w:val="21"/>
        </w:rPr>
      </w:pPr>
    </w:p>
    <w:p w:rsidR="00027523" w:rsidRPr="005146AE" w:rsidRDefault="00027523" w:rsidP="009C7BDB">
      <w:pPr>
        <w:spacing w:after="0"/>
        <w:jc w:val="both"/>
        <w:rPr>
          <w:sz w:val="21"/>
          <w:szCs w:val="21"/>
        </w:rPr>
      </w:pPr>
      <w:r w:rsidRPr="005146AE">
        <w:rPr>
          <w:sz w:val="21"/>
          <w:szCs w:val="21"/>
        </w:rPr>
        <w:t>Following its conclusions on samples of English-speaking countries (see A/HRC/24/45), the Working Group looked this time at the national legislation on PMSCs of eight Fr</w:t>
      </w:r>
      <w:r w:rsidR="00BC60FE" w:rsidRPr="005146AE">
        <w:rPr>
          <w:sz w:val="21"/>
          <w:szCs w:val="21"/>
        </w:rPr>
        <w:t>ench-speaking African countries, namely</w:t>
      </w:r>
      <w:r w:rsidRPr="005146AE">
        <w:rPr>
          <w:sz w:val="21"/>
          <w:szCs w:val="21"/>
        </w:rPr>
        <w:t xml:space="preserve"> Burkina Faso, Cameroon, Côte d’Ivoire, the Democratic Republic of Congo, Mali, Morocco, Senegal, and Tunisia.</w:t>
      </w:r>
    </w:p>
    <w:p w:rsidR="00027523" w:rsidRPr="005146AE" w:rsidRDefault="00027523" w:rsidP="009C7BDB">
      <w:pPr>
        <w:spacing w:after="0"/>
        <w:jc w:val="both"/>
        <w:rPr>
          <w:sz w:val="21"/>
          <w:szCs w:val="21"/>
        </w:rPr>
      </w:pPr>
    </w:p>
    <w:p w:rsidR="00027523" w:rsidRPr="005146AE" w:rsidRDefault="00027523" w:rsidP="009C7BDB">
      <w:pPr>
        <w:pStyle w:val="ListParagraph"/>
        <w:ind w:left="0"/>
        <w:jc w:val="both"/>
        <w:rPr>
          <w:sz w:val="21"/>
          <w:szCs w:val="21"/>
        </w:rPr>
      </w:pPr>
      <w:r w:rsidRPr="005146AE">
        <w:rPr>
          <w:sz w:val="21"/>
          <w:szCs w:val="21"/>
        </w:rPr>
        <w:t>The report reviewed those laws that specifically focus</w:t>
      </w:r>
      <w:r w:rsidR="00D526B3" w:rsidRPr="005146AE">
        <w:rPr>
          <w:sz w:val="21"/>
          <w:szCs w:val="21"/>
        </w:rPr>
        <w:t xml:space="preserve"> </w:t>
      </w:r>
      <w:r w:rsidRPr="005146AE">
        <w:rPr>
          <w:sz w:val="21"/>
          <w:szCs w:val="21"/>
        </w:rPr>
        <w:t>on</w:t>
      </w:r>
      <w:r w:rsidR="00D526B3" w:rsidRPr="005146AE">
        <w:rPr>
          <w:sz w:val="21"/>
          <w:szCs w:val="21"/>
        </w:rPr>
        <w:t xml:space="preserve"> PMSCs and their activities </w:t>
      </w:r>
      <w:r w:rsidRPr="005146AE">
        <w:rPr>
          <w:sz w:val="21"/>
          <w:szCs w:val="21"/>
        </w:rPr>
        <w:t xml:space="preserve">that States made available for the purpose of the current analysis. The report did not cover other related pieces of legislation  (such as criminal codes, procedures regarding civil liability, general laws/rules on business registration or on the use of firearms), or regulations, policies, or administrative measures. </w:t>
      </w:r>
    </w:p>
    <w:p w:rsidR="00027523" w:rsidRPr="005146AE" w:rsidRDefault="00027523" w:rsidP="009C7BDB">
      <w:pPr>
        <w:spacing w:after="0"/>
        <w:jc w:val="both"/>
        <w:rPr>
          <w:sz w:val="21"/>
          <w:szCs w:val="21"/>
        </w:rPr>
      </w:pPr>
      <w:r w:rsidRPr="005146AE">
        <w:rPr>
          <w:sz w:val="21"/>
          <w:szCs w:val="21"/>
        </w:rPr>
        <w:t>The main topics addressed in t</w:t>
      </w:r>
      <w:r w:rsidR="00F85469" w:rsidRPr="005146AE">
        <w:rPr>
          <w:sz w:val="21"/>
          <w:szCs w:val="21"/>
        </w:rPr>
        <w:t>he survey were: 1. the scope of the legislation; 2.</w:t>
      </w:r>
      <w:r w:rsidRPr="005146AE">
        <w:rPr>
          <w:sz w:val="21"/>
          <w:szCs w:val="21"/>
        </w:rPr>
        <w:t xml:space="preserve"> licencing, authorisati</w:t>
      </w:r>
      <w:r w:rsidR="00F85469" w:rsidRPr="005146AE">
        <w:rPr>
          <w:sz w:val="21"/>
          <w:szCs w:val="21"/>
        </w:rPr>
        <w:t>on and registration of PMSCs; 3.</w:t>
      </w:r>
      <w:r w:rsidRPr="005146AE">
        <w:rPr>
          <w:sz w:val="21"/>
          <w:szCs w:val="21"/>
        </w:rPr>
        <w:t xml:space="preserve"> selection an</w:t>
      </w:r>
      <w:r w:rsidR="00F85469" w:rsidRPr="005146AE">
        <w:rPr>
          <w:sz w:val="21"/>
          <w:szCs w:val="21"/>
        </w:rPr>
        <w:t>d training of PMSC personnel; 4.</w:t>
      </w:r>
      <w:r w:rsidRPr="005146AE">
        <w:rPr>
          <w:sz w:val="21"/>
          <w:szCs w:val="21"/>
        </w:rPr>
        <w:t xml:space="preserve"> permitted and pr</w:t>
      </w:r>
      <w:r w:rsidR="00F85469" w:rsidRPr="005146AE">
        <w:rPr>
          <w:sz w:val="21"/>
          <w:szCs w:val="21"/>
        </w:rPr>
        <w:t>ohibited activities of PMSCs; 5.</w:t>
      </w:r>
      <w:r w:rsidRPr="005146AE">
        <w:rPr>
          <w:sz w:val="21"/>
          <w:szCs w:val="21"/>
        </w:rPr>
        <w:t xml:space="preserve"> rules on acquisition </w:t>
      </w:r>
      <w:r w:rsidR="00F85469" w:rsidRPr="005146AE">
        <w:rPr>
          <w:sz w:val="21"/>
          <w:szCs w:val="21"/>
        </w:rPr>
        <w:t>of weapons by PMSC personnel; 6.</w:t>
      </w:r>
      <w:r w:rsidRPr="005146AE">
        <w:rPr>
          <w:sz w:val="21"/>
          <w:szCs w:val="21"/>
        </w:rPr>
        <w:t xml:space="preserve"> use of force an</w:t>
      </w:r>
      <w:r w:rsidR="00F85469" w:rsidRPr="005146AE">
        <w:rPr>
          <w:sz w:val="21"/>
          <w:szCs w:val="21"/>
        </w:rPr>
        <w:t>d firearms by PMSC personnel; 7.</w:t>
      </w:r>
      <w:r w:rsidRPr="005146AE">
        <w:rPr>
          <w:sz w:val="21"/>
          <w:szCs w:val="21"/>
        </w:rPr>
        <w:t xml:space="preserve"> accountability for violations of the law committed by PMSC personnel/r</w:t>
      </w:r>
      <w:r w:rsidR="00F85469" w:rsidRPr="005146AE">
        <w:rPr>
          <w:sz w:val="21"/>
          <w:szCs w:val="21"/>
        </w:rPr>
        <w:t>emedies provided for victims; 8.</w:t>
      </w:r>
      <w:r w:rsidRPr="005146AE">
        <w:rPr>
          <w:sz w:val="21"/>
          <w:szCs w:val="21"/>
        </w:rPr>
        <w:t xml:space="preserve"> ratification of mercenary conventions.</w:t>
      </w:r>
    </w:p>
    <w:p w:rsidR="00027523" w:rsidRPr="005146AE" w:rsidRDefault="00027523" w:rsidP="009C7BDB">
      <w:pPr>
        <w:spacing w:after="0"/>
        <w:jc w:val="both"/>
        <w:rPr>
          <w:sz w:val="21"/>
          <w:szCs w:val="21"/>
        </w:rPr>
      </w:pPr>
    </w:p>
    <w:p w:rsidR="00F07989" w:rsidRPr="005146AE" w:rsidRDefault="00F07989" w:rsidP="009C7BDB">
      <w:pPr>
        <w:spacing w:after="0"/>
        <w:jc w:val="both"/>
        <w:rPr>
          <w:b/>
          <w:sz w:val="21"/>
          <w:szCs w:val="21"/>
          <w:u w:val="single"/>
        </w:rPr>
      </w:pPr>
      <w:r w:rsidRPr="005146AE">
        <w:rPr>
          <w:b/>
          <w:sz w:val="21"/>
          <w:szCs w:val="21"/>
          <w:u w:val="single"/>
        </w:rPr>
        <w:t>B. Analysis</w:t>
      </w:r>
    </w:p>
    <w:p w:rsidR="00F07989" w:rsidRPr="005146AE" w:rsidRDefault="00F07989" w:rsidP="009C7BDB">
      <w:pPr>
        <w:spacing w:after="0"/>
        <w:jc w:val="both"/>
        <w:rPr>
          <w:sz w:val="21"/>
          <w:szCs w:val="21"/>
        </w:rPr>
      </w:pPr>
    </w:p>
    <w:p w:rsidR="00015505" w:rsidRPr="005146AE" w:rsidRDefault="00015505" w:rsidP="009C7BDB">
      <w:pPr>
        <w:jc w:val="both"/>
        <w:rPr>
          <w:rFonts w:cs="Ubuntu"/>
          <w:sz w:val="21"/>
          <w:szCs w:val="21"/>
        </w:rPr>
      </w:pPr>
      <w:r w:rsidRPr="005146AE">
        <w:rPr>
          <w:sz w:val="21"/>
          <w:szCs w:val="21"/>
        </w:rPr>
        <w:t xml:space="preserve"> </w:t>
      </w:r>
      <w:r w:rsidR="005F1547">
        <w:rPr>
          <w:sz w:val="21"/>
          <w:szCs w:val="21"/>
        </w:rPr>
        <w:t>A</w:t>
      </w:r>
      <w:r w:rsidRPr="005146AE">
        <w:rPr>
          <w:sz w:val="21"/>
          <w:szCs w:val="21"/>
        </w:rPr>
        <w:t xml:space="preserve">ll analysed countries </w:t>
      </w:r>
      <w:r w:rsidR="005F1547">
        <w:rPr>
          <w:sz w:val="21"/>
          <w:szCs w:val="21"/>
        </w:rPr>
        <w:t xml:space="preserve">have some </w:t>
      </w:r>
      <w:r w:rsidRPr="005146AE">
        <w:rPr>
          <w:b/>
          <w:sz w:val="21"/>
          <w:szCs w:val="21"/>
        </w:rPr>
        <w:t>regulat</w:t>
      </w:r>
      <w:r w:rsidR="005F1547">
        <w:rPr>
          <w:b/>
          <w:sz w:val="21"/>
          <w:szCs w:val="21"/>
        </w:rPr>
        <w:t>ion of</w:t>
      </w:r>
      <w:r w:rsidRPr="005146AE">
        <w:rPr>
          <w:b/>
          <w:sz w:val="21"/>
          <w:szCs w:val="21"/>
        </w:rPr>
        <w:t xml:space="preserve"> private security companies</w:t>
      </w:r>
      <w:r w:rsidRPr="005146AE">
        <w:rPr>
          <w:sz w:val="21"/>
          <w:szCs w:val="21"/>
        </w:rPr>
        <w:t xml:space="preserve"> and their activities, mainly focusing on guarding and protectio</w:t>
      </w:r>
      <w:r w:rsidR="0078437F" w:rsidRPr="005146AE">
        <w:rPr>
          <w:sz w:val="21"/>
          <w:szCs w:val="21"/>
        </w:rPr>
        <w:t xml:space="preserve">n provided to persons and goods. </w:t>
      </w:r>
      <w:r w:rsidR="005F1547">
        <w:rPr>
          <w:b/>
          <w:sz w:val="21"/>
          <w:szCs w:val="21"/>
        </w:rPr>
        <w:t>N</w:t>
      </w:r>
      <w:r w:rsidRPr="005146AE">
        <w:rPr>
          <w:b/>
          <w:sz w:val="21"/>
          <w:szCs w:val="21"/>
        </w:rPr>
        <w:t>one</w:t>
      </w:r>
      <w:r w:rsidRPr="005146AE">
        <w:rPr>
          <w:sz w:val="21"/>
          <w:szCs w:val="21"/>
        </w:rPr>
        <w:t xml:space="preserve"> of the legislation </w:t>
      </w:r>
      <w:r w:rsidRPr="005146AE">
        <w:rPr>
          <w:b/>
          <w:sz w:val="21"/>
          <w:szCs w:val="21"/>
        </w:rPr>
        <w:t>covers the activities of private military companies and their provided services</w:t>
      </w:r>
      <w:r w:rsidRPr="005146AE">
        <w:rPr>
          <w:sz w:val="21"/>
          <w:szCs w:val="21"/>
        </w:rPr>
        <w:t xml:space="preserve">. The </w:t>
      </w:r>
      <w:r w:rsidR="00BC60FE" w:rsidRPr="005146AE">
        <w:rPr>
          <w:sz w:val="21"/>
          <w:szCs w:val="21"/>
        </w:rPr>
        <w:t xml:space="preserve">study showed that the </w:t>
      </w:r>
      <w:r w:rsidRPr="005146AE">
        <w:rPr>
          <w:sz w:val="21"/>
          <w:szCs w:val="21"/>
        </w:rPr>
        <w:t xml:space="preserve">analysed laws focus on the </w:t>
      </w:r>
      <w:r w:rsidRPr="005146AE">
        <w:rPr>
          <w:b/>
          <w:sz w:val="21"/>
          <w:szCs w:val="21"/>
        </w:rPr>
        <w:t>domestic sphere</w:t>
      </w:r>
      <w:r w:rsidRPr="005146AE">
        <w:rPr>
          <w:sz w:val="21"/>
          <w:szCs w:val="21"/>
        </w:rPr>
        <w:t xml:space="preserve"> without prohibiting the provision of military or security services abroad and without ruling on extraterritorial applicability. </w:t>
      </w:r>
      <w:r w:rsidRPr="005146AE">
        <w:rPr>
          <w:rFonts w:cs="Ubuntu"/>
          <w:sz w:val="21"/>
          <w:szCs w:val="21"/>
        </w:rPr>
        <w:t xml:space="preserve">Similarly, </w:t>
      </w:r>
      <w:r w:rsidR="00BC60FE" w:rsidRPr="005146AE">
        <w:rPr>
          <w:rFonts w:cs="Ubuntu"/>
          <w:sz w:val="21"/>
          <w:szCs w:val="21"/>
        </w:rPr>
        <w:t xml:space="preserve">the research revealed that </w:t>
      </w:r>
      <w:r w:rsidRPr="005146AE">
        <w:rPr>
          <w:rFonts w:cs="Ubuntu"/>
          <w:b/>
          <w:sz w:val="21"/>
          <w:szCs w:val="21"/>
        </w:rPr>
        <w:t>none</w:t>
      </w:r>
      <w:r w:rsidRPr="005146AE">
        <w:rPr>
          <w:rFonts w:cs="Ubuntu"/>
          <w:sz w:val="21"/>
          <w:szCs w:val="21"/>
        </w:rPr>
        <w:t xml:space="preserve"> of the analysed laws include any </w:t>
      </w:r>
      <w:r w:rsidRPr="005146AE">
        <w:rPr>
          <w:rFonts w:cs="Ubuntu"/>
          <w:b/>
          <w:sz w:val="21"/>
          <w:szCs w:val="21"/>
        </w:rPr>
        <w:t>specific provisions on PMSC personnel’s direct participation in hostilities.</w:t>
      </w:r>
      <w:r w:rsidRPr="005146AE">
        <w:rPr>
          <w:rFonts w:cs="Ubuntu"/>
          <w:sz w:val="21"/>
          <w:szCs w:val="21"/>
        </w:rPr>
        <w:t xml:space="preserve"> The study noted that even where legislation prohibits PMSC personnel to carry out certain activities of </w:t>
      </w:r>
      <w:r w:rsidR="00BC60FE" w:rsidRPr="005146AE">
        <w:rPr>
          <w:rFonts w:cs="Ubuntu"/>
          <w:sz w:val="21"/>
          <w:szCs w:val="21"/>
        </w:rPr>
        <w:t xml:space="preserve">the police and the armed </w:t>
      </w:r>
      <w:proofErr w:type="gramStart"/>
      <w:r w:rsidR="00BC60FE" w:rsidRPr="005146AE">
        <w:rPr>
          <w:rFonts w:cs="Ubuntu"/>
          <w:sz w:val="21"/>
          <w:szCs w:val="21"/>
        </w:rPr>
        <w:t>forces,</w:t>
      </w:r>
      <w:proofErr w:type="gramEnd"/>
      <w:r w:rsidR="00BC60FE" w:rsidRPr="005146AE">
        <w:rPr>
          <w:rFonts w:cs="Ubuntu"/>
          <w:sz w:val="21"/>
          <w:szCs w:val="21"/>
        </w:rPr>
        <w:t xml:space="preserve"> </w:t>
      </w:r>
      <w:r w:rsidRPr="005146AE">
        <w:rPr>
          <w:rFonts w:cs="Ubuntu"/>
          <w:sz w:val="21"/>
          <w:szCs w:val="21"/>
        </w:rPr>
        <w:t xml:space="preserve">it is not clear whether the related provisions apply only in times of peace or in armed conflicts as well. </w:t>
      </w:r>
    </w:p>
    <w:p w:rsidR="00154108" w:rsidRPr="005146AE" w:rsidRDefault="005F1547" w:rsidP="009C7BDB">
      <w:pPr>
        <w:jc w:val="both"/>
        <w:rPr>
          <w:rFonts w:cs="Ubuntu"/>
          <w:color w:val="000000"/>
          <w:sz w:val="21"/>
          <w:szCs w:val="21"/>
        </w:rPr>
      </w:pPr>
      <w:r>
        <w:rPr>
          <w:sz w:val="21"/>
          <w:szCs w:val="21"/>
        </w:rPr>
        <w:t>I</w:t>
      </w:r>
      <w:r w:rsidR="00154108" w:rsidRPr="005146AE">
        <w:rPr>
          <w:sz w:val="21"/>
          <w:szCs w:val="21"/>
        </w:rPr>
        <w:t xml:space="preserve">n general States have detailed regulations on </w:t>
      </w:r>
      <w:r w:rsidR="00154108" w:rsidRPr="005146AE">
        <w:rPr>
          <w:b/>
          <w:sz w:val="21"/>
          <w:szCs w:val="21"/>
        </w:rPr>
        <w:t>licensing and authorisation</w:t>
      </w:r>
      <w:r w:rsidR="00154108" w:rsidRPr="005146AE">
        <w:rPr>
          <w:sz w:val="21"/>
          <w:szCs w:val="21"/>
        </w:rPr>
        <w:t xml:space="preserve"> of private security services, including relevant details regarding the responsibilities of the various inter-</w:t>
      </w:r>
      <w:r w:rsidR="0078437F" w:rsidRPr="005146AE">
        <w:rPr>
          <w:sz w:val="21"/>
          <w:szCs w:val="21"/>
        </w:rPr>
        <w:t>ministerial, ministerial</w:t>
      </w:r>
      <w:r w:rsidR="00154108" w:rsidRPr="005146AE">
        <w:rPr>
          <w:sz w:val="21"/>
          <w:szCs w:val="21"/>
        </w:rPr>
        <w:t xml:space="preserve"> and other governmental bodies. </w:t>
      </w:r>
      <w:r w:rsidR="0056336D" w:rsidRPr="005146AE">
        <w:rPr>
          <w:sz w:val="21"/>
          <w:szCs w:val="21"/>
        </w:rPr>
        <w:t>The report noted that a</w:t>
      </w:r>
      <w:r w:rsidR="00154108" w:rsidRPr="005146AE">
        <w:rPr>
          <w:sz w:val="21"/>
          <w:szCs w:val="21"/>
        </w:rPr>
        <w:t>s a precondition for the a</w:t>
      </w:r>
      <w:r w:rsidR="00DF276C">
        <w:rPr>
          <w:sz w:val="21"/>
          <w:szCs w:val="21"/>
        </w:rPr>
        <w:t>uthoris</w:t>
      </w:r>
      <w:r w:rsidR="00154108" w:rsidRPr="005146AE">
        <w:rPr>
          <w:sz w:val="21"/>
          <w:szCs w:val="21"/>
        </w:rPr>
        <w:t xml:space="preserve">ation most of the analysed States require a review of the “morality” or “good behaviour” of the company’s managers or its personnel, but none of the reviewed laws include any reference to human rights law criteria to be considered by the authorizing bodies. With regard to the system of </w:t>
      </w:r>
      <w:r w:rsidR="00154108" w:rsidRPr="005146AE">
        <w:rPr>
          <w:b/>
          <w:sz w:val="21"/>
          <w:szCs w:val="21"/>
        </w:rPr>
        <w:t>national registration</w:t>
      </w:r>
      <w:r w:rsidR="00154108" w:rsidRPr="005146AE">
        <w:rPr>
          <w:sz w:val="21"/>
          <w:szCs w:val="21"/>
        </w:rPr>
        <w:t xml:space="preserve"> of PMSCs, only one country</w:t>
      </w:r>
      <w:r w:rsidR="007845C0">
        <w:rPr>
          <w:sz w:val="21"/>
          <w:szCs w:val="21"/>
        </w:rPr>
        <w:t xml:space="preserve"> requires the</w:t>
      </w:r>
      <w:r w:rsidR="00154108" w:rsidRPr="005146AE">
        <w:rPr>
          <w:sz w:val="21"/>
          <w:szCs w:val="21"/>
        </w:rPr>
        <w:t xml:space="preserve"> authorizing </w:t>
      </w:r>
      <w:r w:rsidR="0078437F" w:rsidRPr="005146AE">
        <w:rPr>
          <w:rFonts w:cs="Ubuntu"/>
          <w:color w:val="000000"/>
          <w:sz w:val="21"/>
          <w:szCs w:val="21"/>
        </w:rPr>
        <w:t xml:space="preserve">entity </w:t>
      </w:r>
      <w:r w:rsidR="00154108" w:rsidRPr="005146AE">
        <w:rPr>
          <w:rFonts w:cs="Ubuntu"/>
          <w:color w:val="000000"/>
          <w:sz w:val="21"/>
          <w:szCs w:val="21"/>
        </w:rPr>
        <w:t xml:space="preserve">to maintain a national record of security companies. </w:t>
      </w:r>
    </w:p>
    <w:p w:rsidR="00F85469" w:rsidRPr="005146AE" w:rsidRDefault="00154108" w:rsidP="009C7BDB">
      <w:pPr>
        <w:jc w:val="both"/>
        <w:rPr>
          <w:sz w:val="21"/>
          <w:szCs w:val="21"/>
        </w:rPr>
      </w:pPr>
      <w:r w:rsidRPr="005146AE">
        <w:rPr>
          <w:sz w:val="21"/>
          <w:szCs w:val="21"/>
        </w:rPr>
        <w:t>The analysis showed that in general</w:t>
      </w:r>
      <w:r w:rsidR="007845C0">
        <w:rPr>
          <w:sz w:val="21"/>
          <w:szCs w:val="21"/>
        </w:rPr>
        <w:t>,</w:t>
      </w:r>
      <w:r w:rsidRPr="005146AE">
        <w:rPr>
          <w:sz w:val="21"/>
          <w:szCs w:val="21"/>
        </w:rPr>
        <w:t xml:space="preserve"> States </w:t>
      </w:r>
      <w:r w:rsidR="00DA1D11" w:rsidRPr="005146AE">
        <w:rPr>
          <w:sz w:val="21"/>
          <w:szCs w:val="21"/>
        </w:rPr>
        <w:t xml:space="preserve">have detailed </w:t>
      </w:r>
      <w:r w:rsidR="00DA1D11" w:rsidRPr="005146AE">
        <w:rPr>
          <w:b/>
          <w:sz w:val="21"/>
          <w:szCs w:val="21"/>
        </w:rPr>
        <w:t>selection criteria</w:t>
      </w:r>
      <w:r w:rsidR="00DA1D11" w:rsidRPr="005146AE">
        <w:rPr>
          <w:sz w:val="21"/>
          <w:szCs w:val="21"/>
        </w:rPr>
        <w:t xml:space="preserve"> and emphas</w:t>
      </w:r>
      <w:r w:rsidR="007845C0">
        <w:rPr>
          <w:sz w:val="21"/>
          <w:szCs w:val="21"/>
        </w:rPr>
        <w:t>is</w:t>
      </w:r>
      <w:r w:rsidR="00DA1D11" w:rsidRPr="005146AE">
        <w:rPr>
          <w:sz w:val="21"/>
          <w:szCs w:val="21"/>
        </w:rPr>
        <w:t xml:space="preserve"> on the necessity of providing </w:t>
      </w:r>
      <w:r w:rsidR="00DA1D11" w:rsidRPr="005146AE">
        <w:rPr>
          <w:b/>
          <w:sz w:val="21"/>
          <w:szCs w:val="21"/>
        </w:rPr>
        <w:t>training</w:t>
      </w:r>
      <w:r w:rsidR="00DA1D11" w:rsidRPr="005146AE">
        <w:rPr>
          <w:sz w:val="21"/>
          <w:szCs w:val="21"/>
        </w:rPr>
        <w:t xml:space="preserve"> to PMSC staff. However, the laws </w:t>
      </w:r>
      <w:r w:rsidR="007845C0">
        <w:rPr>
          <w:sz w:val="21"/>
          <w:szCs w:val="21"/>
        </w:rPr>
        <w:t>focus</w:t>
      </w:r>
      <w:r w:rsidR="008C5E28" w:rsidRPr="005146AE">
        <w:rPr>
          <w:sz w:val="21"/>
          <w:szCs w:val="21"/>
        </w:rPr>
        <w:t xml:space="preserve"> </w:t>
      </w:r>
      <w:r w:rsidR="007845C0">
        <w:rPr>
          <w:sz w:val="21"/>
          <w:szCs w:val="21"/>
        </w:rPr>
        <w:t xml:space="preserve">on </w:t>
      </w:r>
      <w:r w:rsidR="00DA1D11" w:rsidRPr="005146AE">
        <w:rPr>
          <w:sz w:val="21"/>
          <w:szCs w:val="21"/>
        </w:rPr>
        <w:t xml:space="preserve">form and procedural conditions, </w:t>
      </w:r>
      <w:r w:rsidR="008C5E28" w:rsidRPr="005146AE">
        <w:rPr>
          <w:sz w:val="21"/>
          <w:szCs w:val="21"/>
        </w:rPr>
        <w:t xml:space="preserve">instead of </w:t>
      </w:r>
      <w:r w:rsidR="00DA1D11" w:rsidRPr="005146AE">
        <w:rPr>
          <w:sz w:val="21"/>
          <w:szCs w:val="21"/>
        </w:rPr>
        <w:t xml:space="preserve">on </w:t>
      </w:r>
      <w:r w:rsidR="00D30A74" w:rsidRPr="005146AE">
        <w:rPr>
          <w:sz w:val="21"/>
          <w:szCs w:val="21"/>
        </w:rPr>
        <w:t>content</w:t>
      </w:r>
      <w:r w:rsidR="00DA1D11" w:rsidRPr="005146AE">
        <w:rPr>
          <w:sz w:val="21"/>
          <w:szCs w:val="21"/>
        </w:rPr>
        <w:t xml:space="preserve">, and </w:t>
      </w:r>
      <w:r w:rsidRPr="005146AE">
        <w:rPr>
          <w:sz w:val="21"/>
          <w:szCs w:val="21"/>
        </w:rPr>
        <w:t xml:space="preserve">none of the analysed legislation included references to international human rights and humanitarian law among the selection criteria or the training materials. </w:t>
      </w:r>
      <w:r w:rsidR="007845C0">
        <w:rPr>
          <w:sz w:val="21"/>
          <w:szCs w:val="21"/>
        </w:rPr>
        <w:t xml:space="preserve">All the laws reviewed address the question of the applicant’s criminal record, </w:t>
      </w:r>
      <w:r w:rsidR="00DF276C">
        <w:rPr>
          <w:sz w:val="21"/>
          <w:szCs w:val="21"/>
        </w:rPr>
        <w:t xml:space="preserve">but </w:t>
      </w:r>
      <w:r w:rsidR="00DF276C">
        <w:rPr>
          <w:rFonts w:cs="Ubuntu"/>
          <w:sz w:val="21"/>
          <w:szCs w:val="21"/>
          <w:lang w:eastAsia="zh-CN"/>
        </w:rPr>
        <w:t>vary</w:t>
      </w:r>
      <w:r w:rsidR="00DA1D11" w:rsidRPr="005146AE">
        <w:rPr>
          <w:rFonts w:cs="Ubuntu"/>
          <w:sz w:val="21"/>
          <w:szCs w:val="21"/>
          <w:lang w:eastAsia="zh-CN"/>
        </w:rPr>
        <w:t xml:space="preserve"> in relation to the gravity of the involved c</w:t>
      </w:r>
      <w:r w:rsidR="002D235E" w:rsidRPr="005146AE">
        <w:rPr>
          <w:rFonts w:cs="Ubuntu"/>
          <w:sz w:val="21"/>
          <w:szCs w:val="21"/>
          <w:lang w:eastAsia="zh-CN"/>
        </w:rPr>
        <w:t>rimes</w:t>
      </w:r>
      <w:r w:rsidR="008C5E28" w:rsidRPr="005146AE">
        <w:rPr>
          <w:rFonts w:cs="Ubuntu"/>
          <w:sz w:val="21"/>
          <w:szCs w:val="21"/>
          <w:lang w:eastAsia="zh-CN"/>
        </w:rPr>
        <w:t>,</w:t>
      </w:r>
      <w:r w:rsidR="002D235E" w:rsidRPr="005146AE">
        <w:rPr>
          <w:rFonts w:cs="Ubuntu"/>
          <w:sz w:val="21"/>
          <w:szCs w:val="21"/>
          <w:lang w:eastAsia="zh-CN"/>
        </w:rPr>
        <w:t xml:space="preserve"> from </w:t>
      </w:r>
      <w:r w:rsidR="002D235E" w:rsidRPr="005146AE">
        <w:rPr>
          <w:rFonts w:cs="Ubuntu"/>
          <w:sz w:val="21"/>
          <w:szCs w:val="21"/>
          <w:lang w:eastAsia="zh-CN"/>
        </w:rPr>
        <w:lastRenderedPageBreak/>
        <w:t xml:space="preserve">crimes </w:t>
      </w:r>
      <w:r w:rsidR="00D30A74" w:rsidRPr="005146AE">
        <w:rPr>
          <w:rFonts w:cs="Ubuntu"/>
          <w:sz w:val="21"/>
          <w:szCs w:val="21"/>
          <w:lang w:eastAsia="zh-CN"/>
        </w:rPr>
        <w:t>resulting in</w:t>
      </w:r>
      <w:r w:rsidR="002D235E" w:rsidRPr="005146AE">
        <w:rPr>
          <w:rFonts w:cs="Ubuntu"/>
          <w:sz w:val="21"/>
          <w:szCs w:val="21"/>
          <w:lang w:eastAsia="zh-CN"/>
        </w:rPr>
        <w:t xml:space="preserve"> imprisonment to acts against </w:t>
      </w:r>
      <w:r w:rsidR="00DA1D11" w:rsidRPr="005146AE">
        <w:rPr>
          <w:sz w:val="21"/>
          <w:szCs w:val="21"/>
        </w:rPr>
        <w:t>“</w:t>
      </w:r>
      <w:r w:rsidR="002D235E" w:rsidRPr="005146AE">
        <w:rPr>
          <w:sz w:val="21"/>
          <w:szCs w:val="21"/>
        </w:rPr>
        <w:t xml:space="preserve">good moral standards” </w:t>
      </w:r>
      <w:r w:rsidR="00DA1D11" w:rsidRPr="005146AE">
        <w:rPr>
          <w:sz w:val="21"/>
          <w:szCs w:val="21"/>
        </w:rPr>
        <w:t>and “good behaviour”</w:t>
      </w:r>
      <w:r w:rsidR="00F85469" w:rsidRPr="005146AE">
        <w:rPr>
          <w:sz w:val="21"/>
          <w:szCs w:val="21"/>
        </w:rPr>
        <w:t xml:space="preserve">. The </w:t>
      </w:r>
      <w:r w:rsidR="00D30A74" w:rsidRPr="005146AE">
        <w:rPr>
          <w:sz w:val="21"/>
          <w:szCs w:val="21"/>
        </w:rPr>
        <w:t xml:space="preserve">research revealed </w:t>
      </w:r>
      <w:r w:rsidR="00F85469" w:rsidRPr="005146AE">
        <w:rPr>
          <w:sz w:val="21"/>
          <w:szCs w:val="21"/>
        </w:rPr>
        <w:t xml:space="preserve">that only half of the reviewed States’ legislation </w:t>
      </w:r>
      <w:r w:rsidR="00DA1D11" w:rsidRPr="005146AE">
        <w:rPr>
          <w:sz w:val="21"/>
          <w:szCs w:val="21"/>
        </w:rPr>
        <w:t>provide</w:t>
      </w:r>
      <w:r w:rsidR="00F85469" w:rsidRPr="005146AE">
        <w:rPr>
          <w:sz w:val="21"/>
          <w:szCs w:val="21"/>
        </w:rPr>
        <w:t>s</w:t>
      </w:r>
      <w:r w:rsidR="00DA1D11" w:rsidRPr="005146AE">
        <w:rPr>
          <w:sz w:val="21"/>
          <w:szCs w:val="21"/>
        </w:rPr>
        <w:t xml:space="preserve"> informa</w:t>
      </w:r>
      <w:r w:rsidR="00F85469" w:rsidRPr="005146AE">
        <w:rPr>
          <w:sz w:val="21"/>
          <w:szCs w:val="21"/>
        </w:rPr>
        <w:t xml:space="preserve">tion on a </w:t>
      </w:r>
      <w:r w:rsidR="00DA1D11" w:rsidRPr="005146AE">
        <w:rPr>
          <w:sz w:val="21"/>
          <w:szCs w:val="21"/>
        </w:rPr>
        <w:t xml:space="preserve">mandatory and regular training </w:t>
      </w:r>
      <w:r w:rsidR="00F85469" w:rsidRPr="005146AE">
        <w:rPr>
          <w:sz w:val="21"/>
          <w:szCs w:val="21"/>
        </w:rPr>
        <w:t xml:space="preserve">system </w:t>
      </w:r>
      <w:r w:rsidR="00DA1D11" w:rsidRPr="005146AE">
        <w:rPr>
          <w:sz w:val="21"/>
          <w:szCs w:val="21"/>
        </w:rPr>
        <w:t>of PMSC personnel</w:t>
      </w:r>
      <w:r w:rsidR="00F85469" w:rsidRPr="005146AE">
        <w:rPr>
          <w:sz w:val="21"/>
          <w:szCs w:val="21"/>
        </w:rPr>
        <w:t xml:space="preserve"> and the laws of the rest of the countries refer only to optional trainings </w:t>
      </w:r>
      <w:r w:rsidR="008C5E28" w:rsidRPr="005146AE">
        <w:rPr>
          <w:sz w:val="21"/>
          <w:szCs w:val="21"/>
        </w:rPr>
        <w:t xml:space="preserve">and </w:t>
      </w:r>
      <w:r w:rsidR="00F85469" w:rsidRPr="005146AE">
        <w:rPr>
          <w:sz w:val="21"/>
          <w:szCs w:val="21"/>
        </w:rPr>
        <w:t xml:space="preserve">to principles based on the PMSC codes of ethics. </w:t>
      </w:r>
    </w:p>
    <w:p w:rsidR="00F85469" w:rsidRPr="005146AE" w:rsidRDefault="00F85469" w:rsidP="009C7BDB">
      <w:pPr>
        <w:jc w:val="both"/>
        <w:rPr>
          <w:rFonts w:cs="Ubuntu"/>
          <w:color w:val="000000"/>
          <w:sz w:val="21"/>
          <w:szCs w:val="21"/>
          <w:lang w:eastAsia="en-GB"/>
        </w:rPr>
      </w:pPr>
      <w:r w:rsidRPr="005146AE">
        <w:rPr>
          <w:sz w:val="21"/>
          <w:szCs w:val="21"/>
        </w:rPr>
        <w:t xml:space="preserve">Regarding </w:t>
      </w:r>
      <w:r w:rsidRPr="005146AE">
        <w:rPr>
          <w:b/>
          <w:sz w:val="21"/>
          <w:szCs w:val="21"/>
        </w:rPr>
        <w:t>permitted activities</w:t>
      </w:r>
      <w:r w:rsidRPr="005146AE">
        <w:rPr>
          <w:sz w:val="21"/>
          <w:szCs w:val="21"/>
        </w:rPr>
        <w:t xml:space="preserve">, the </w:t>
      </w:r>
      <w:r w:rsidR="000864EA" w:rsidRPr="005146AE">
        <w:rPr>
          <w:sz w:val="21"/>
          <w:szCs w:val="21"/>
        </w:rPr>
        <w:t xml:space="preserve">report noted that the </w:t>
      </w:r>
      <w:r w:rsidRPr="005146AE">
        <w:rPr>
          <w:sz w:val="21"/>
          <w:szCs w:val="21"/>
        </w:rPr>
        <w:t xml:space="preserve">analysed laws all emphasize that the only activities to be carried out by security providers must be guarding and protection provided to persons and property/goods. </w:t>
      </w:r>
      <w:r w:rsidR="002259CE" w:rsidRPr="005146AE">
        <w:rPr>
          <w:sz w:val="21"/>
          <w:szCs w:val="21"/>
        </w:rPr>
        <w:t xml:space="preserve">The study also </w:t>
      </w:r>
      <w:r w:rsidR="005D5115" w:rsidRPr="005146AE">
        <w:rPr>
          <w:sz w:val="21"/>
          <w:szCs w:val="21"/>
        </w:rPr>
        <w:t>showed</w:t>
      </w:r>
      <w:r w:rsidR="002259CE" w:rsidRPr="005146AE">
        <w:rPr>
          <w:sz w:val="21"/>
          <w:szCs w:val="21"/>
        </w:rPr>
        <w:t xml:space="preserve"> that</w:t>
      </w:r>
      <w:r w:rsidRPr="005146AE">
        <w:rPr>
          <w:sz w:val="21"/>
          <w:szCs w:val="21"/>
        </w:rPr>
        <w:t xml:space="preserve"> while carrying out their activities, </w:t>
      </w:r>
      <w:r w:rsidRPr="005146AE">
        <w:rPr>
          <w:rFonts w:cs="Ubuntu"/>
          <w:color w:val="000000"/>
          <w:sz w:val="21"/>
          <w:szCs w:val="21"/>
          <w:lang w:eastAsia="en-GB"/>
        </w:rPr>
        <w:t>private security companies are required to indicate the private nature of their work</w:t>
      </w:r>
      <w:r w:rsidR="00BD0FE3" w:rsidRPr="005146AE">
        <w:rPr>
          <w:rFonts w:cs="Ubuntu"/>
          <w:color w:val="000000"/>
          <w:sz w:val="21"/>
          <w:szCs w:val="21"/>
          <w:lang w:eastAsia="en-GB"/>
        </w:rPr>
        <w:t xml:space="preserve"> and that,</w:t>
      </w:r>
      <w:r w:rsidR="002259CE" w:rsidRPr="005146AE">
        <w:rPr>
          <w:rFonts w:cs="Ubuntu"/>
          <w:color w:val="000000"/>
          <w:sz w:val="21"/>
          <w:szCs w:val="21"/>
          <w:lang w:eastAsia="en-GB"/>
        </w:rPr>
        <w:t xml:space="preserve"> with some exceptions</w:t>
      </w:r>
      <w:r w:rsidR="00BD0FE3" w:rsidRPr="005146AE">
        <w:rPr>
          <w:rFonts w:cs="Ubuntu"/>
          <w:color w:val="000000"/>
          <w:sz w:val="21"/>
          <w:szCs w:val="21"/>
          <w:lang w:eastAsia="en-GB"/>
        </w:rPr>
        <w:t>,</w:t>
      </w:r>
      <w:r w:rsidR="002259CE" w:rsidRPr="005146AE">
        <w:rPr>
          <w:rFonts w:cs="Ubuntu"/>
          <w:color w:val="000000"/>
          <w:sz w:val="21"/>
          <w:szCs w:val="21"/>
          <w:lang w:eastAsia="en-GB"/>
        </w:rPr>
        <w:t xml:space="preserve"> in </w:t>
      </w:r>
      <w:r w:rsidRPr="005146AE">
        <w:rPr>
          <w:rFonts w:cs="Ubuntu"/>
          <w:color w:val="000000"/>
          <w:sz w:val="21"/>
          <w:szCs w:val="21"/>
          <w:lang w:eastAsia="en-GB"/>
        </w:rPr>
        <w:t xml:space="preserve">several countries the </w:t>
      </w:r>
      <w:r w:rsidR="002259CE" w:rsidRPr="005146AE">
        <w:rPr>
          <w:rFonts w:cs="Ubuntu"/>
          <w:color w:val="000000"/>
          <w:sz w:val="21"/>
          <w:szCs w:val="21"/>
          <w:lang w:eastAsia="en-GB"/>
        </w:rPr>
        <w:t>p</w:t>
      </w:r>
      <w:r w:rsidRPr="005146AE">
        <w:rPr>
          <w:rFonts w:cs="Ubuntu"/>
          <w:color w:val="000000"/>
          <w:sz w:val="21"/>
          <w:szCs w:val="21"/>
          <w:lang w:eastAsia="en-GB"/>
        </w:rPr>
        <w:t xml:space="preserve">ermitted activities are to be carried out only inside the private guarded properties and must be limited to the guarded public properties. </w:t>
      </w:r>
      <w:r w:rsidR="00C759F0" w:rsidRPr="005146AE">
        <w:rPr>
          <w:rFonts w:cs="Ubuntu"/>
          <w:color w:val="000000"/>
          <w:sz w:val="21"/>
          <w:szCs w:val="21"/>
          <w:lang w:eastAsia="en-GB"/>
        </w:rPr>
        <w:t xml:space="preserve"> </w:t>
      </w:r>
      <w:r w:rsidRPr="005146AE">
        <w:rPr>
          <w:rFonts w:cs="Ubuntu"/>
          <w:color w:val="000000"/>
          <w:sz w:val="21"/>
          <w:szCs w:val="21"/>
          <w:lang w:eastAsia="en-GB"/>
        </w:rPr>
        <w:t xml:space="preserve">As for </w:t>
      </w:r>
      <w:r w:rsidRPr="005146AE">
        <w:rPr>
          <w:rFonts w:cs="Ubuntu"/>
          <w:b/>
          <w:color w:val="000000"/>
          <w:sz w:val="21"/>
          <w:szCs w:val="21"/>
          <w:lang w:eastAsia="en-GB"/>
        </w:rPr>
        <w:t>prohibited activities,</w:t>
      </w:r>
      <w:r w:rsidRPr="005146AE">
        <w:rPr>
          <w:rFonts w:cs="Ubuntu"/>
          <w:color w:val="000000"/>
          <w:sz w:val="21"/>
          <w:szCs w:val="21"/>
          <w:lang w:eastAsia="en-GB"/>
        </w:rPr>
        <w:t xml:space="preserve"> </w:t>
      </w:r>
      <w:r w:rsidR="00C759F0" w:rsidRPr="005146AE">
        <w:rPr>
          <w:rFonts w:cs="Ubuntu"/>
          <w:color w:val="000000"/>
          <w:sz w:val="21"/>
          <w:szCs w:val="21"/>
          <w:lang w:eastAsia="en-GB"/>
        </w:rPr>
        <w:t xml:space="preserve">the study concluded that certain laws prohibit all </w:t>
      </w:r>
      <w:r w:rsidRPr="005146AE">
        <w:rPr>
          <w:rFonts w:cs="Ubuntu"/>
          <w:color w:val="000000"/>
          <w:sz w:val="21"/>
          <w:szCs w:val="21"/>
          <w:lang w:eastAsia="en-GB"/>
        </w:rPr>
        <w:t>services that are not linked to the security of persons and property</w:t>
      </w:r>
      <w:r w:rsidR="00C759F0" w:rsidRPr="005146AE">
        <w:rPr>
          <w:rFonts w:cs="Ubuntu"/>
          <w:color w:val="000000"/>
          <w:sz w:val="21"/>
          <w:szCs w:val="21"/>
          <w:lang w:eastAsia="en-GB"/>
        </w:rPr>
        <w:t>.</w:t>
      </w:r>
      <w:r w:rsidRPr="005146AE">
        <w:rPr>
          <w:rFonts w:cs="Ubuntu"/>
          <w:color w:val="000000"/>
          <w:sz w:val="21"/>
          <w:szCs w:val="21"/>
          <w:lang w:eastAsia="en-GB"/>
        </w:rPr>
        <w:t xml:space="preserve"> </w:t>
      </w:r>
      <w:r w:rsidR="00304842" w:rsidRPr="005146AE">
        <w:rPr>
          <w:rFonts w:cs="Ubuntu"/>
          <w:color w:val="000000"/>
          <w:sz w:val="21"/>
          <w:szCs w:val="21"/>
          <w:lang w:eastAsia="en-GB"/>
        </w:rPr>
        <w:t xml:space="preserve">As noted by the report, other </w:t>
      </w:r>
      <w:r w:rsidRPr="005146AE">
        <w:rPr>
          <w:rFonts w:cs="Ubuntu"/>
          <w:color w:val="000000"/>
          <w:sz w:val="21"/>
          <w:szCs w:val="21"/>
          <w:lang w:eastAsia="en-GB"/>
        </w:rPr>
        <w:t xml:space="preserve">commonly prohibited </w:t>
      </w:r>
      <w:r w:rsidR="00304842" w:rsidRPr="005146AE">
        <w:rPr>
          <w:rFonts w:cs="Ubuntu"/>
          <w:color w:val="000000"/>
          <w:sz w:val="21"/>
          <w:szCs w:val="21"/>
          <w:lang w:eastAsia="en-GB"/>
        </w:rPr>
        <w:t xml:space="preserve">activities include the involvement and </w:t>
      </w:r>
      <w:r w:rsidRPr="005146AE">
        <w:rPr>
          <w:rFonts w:cs="Ubuntu"/>
          <w:color w:val="000000"/>
          <w:sz w:val="21"/>
          <w:szCs w:val="21"/>
          <w:lang w:eastAsia="en-GB"/>
        </w:rPr>
        <w:t xml:space="preserve">participation of PMSC personnel in a </w:t>
      </w:r>
      <w:r w:rsidR="00FB6622" w:rsidRPr="005146AE">
        <w:rPr>
          <w:rFonts w:cs="Ubuntu"/>
          <w:color w:val="000000"/>
          <w:sz w:val="21"/>
          <w:szCs w:val="21"/>
          <w:lang w:eastAsia="en-GB"/>
        </w:rPr>
        <w:t>labour conflict or related event</w:t>
      </w:r>
      <w:r w:rsidR="00304842" w:rsidRPr="005146AE">
        <w:rPr>
          <w:rFonts w:cs="Ubuntu"/>
          <w:color w:val="000000"/>
          <w:sz w:val="21"/>
          <w:szCs w:val="21"/>
          <w:lang w:eastAsia="en-GB"/>
        </w:rPr>
        <w:t>,</w:t>
      </w:r>
      <w:r w:rsidRPr="005146AE">
        <w:rPr>
          <w:rFonts w:cs="Ubuntu"/>
          <w:color w:val="000000"/>
          <w:sz w:val="21"/>
          <w:szCs w:val="21"/>
          <w:lang w:eastAsia="en-GB"/>
        </w:rPr>
        <w:t xml:space="preserve"> gathering information on political, religious or trade union opinions</w:t>
      </w:r>
      <w:r w:rsidR="00FB6622" w:rsidRPr="005146AE">
        <w:rPr>
          <w:rFonts w:cs="Ubuntu"/>
          <w:color w:val="000000"/>
          <w:sz w:val="21"/>
          <w:szCs w:val="21"/>
          <w:lang w:eastAsia="en-GB"/>
        </w:rPr>
        <w:t xml:space="preserve">, </w:t>
      </w:r>
      <w:r w:rsidRPr="005146AE">
        <w:rPr>
          <w:rFonts w:cs="Ubuntu"/>
          <w:color w:val="000000"/>
          <w:sz w:val="21"/>
          <w:szCs w:val="21"/>
          <w:lang w:eastAsia="en-GB"/>
        </w:rPr>
        <w:t xml:space="preserve">or becoming involved in the activities of the administrative </w:t>
      </w:r>
      <w:r w:rsidR="00FB6622" w:rsidRPr="005146AE">
        <w:rPr>
          <w:rFonts w:cs="Ubuntu"/>
          <w:color w:val="000000"/>
          <w:sz w:val="21"/>
          <w:szCs w:val="21"/>
          <w:lang w:eastAsia="en-GB"/>
        </w:rPr>
        <w:t xml:space="preserve">police or investigative police. </w:t>
      </w:r>
      <w:r w:rsidRPr="005146AE">
        <w:rPr>
          <w:rFonts w:cs="Ubuntu"/>
          <w:color w:val="000000"/>
          <w:sz w:val="21"/>
          <w:szCs w:val="21"/>
          <w:lang w:eastAsia="en-GB"/>
        </w:rPr>
        <w:t xml:space="preserve">Finally, </w:t>
      </w:r>
      <w:r w:rsidR="00304842" w:rsidRPr="005146AE">
        <w:rPr>
          <w:rFonts w:cs="Ubuntu"/>
          <w:color w:val="000000"/>
          <w:sz w:val="21"/>
          <w:szCs w:val="21"/>
          <w:lang w:eastAsia="en-GB"/>
        </w:rPr>
        <w:t xml:space="preserve">the study noted that </w:t>
      </w:r>
      <w:r w:rsidRPr="005146AE">
        <w:rPr>
          <w:rFonts w:cs="Ubuntu"/>
          <w:color w:val="000000"/>
          <w:sz w:val="21"/>
          <w:szCs w:val="21"/>
          <w:lang w:eastAsia="en-GB"/>
        </w:rPr>
        <w:t xml:space="preserve">some </w:t>
      </w:r>
      <w:r w:rsidR="00304842" w:rsidRPr="005146AE">
        <w:rPr>
          <w:rFonts w:cs="Ubuntu"/>
          <w:color w:val="000000"/>
          <w:sz w:val="21"/>
          <w:szCs w:val="21"/>
          <w:lang w:eastAsia="en-GB"/>
        </w:rPr>
        <w:t xml:space="preserve">laws </w:t>
      </w:r>
      <w:r w:rsidRPr="005146AE">
        <w:rPr>
          <w:rFonts w:cs="Ubuntu"/>
          <w:color w:val="000000"/>
          <w:sz w:val="21"/>
          <w:szCs w:val="21"/>
          <w:lang w:eastAsia="en-GB"/>
        </w:rPr>
        <w:t xml:space="preserve">specifically prohibit certain activities of private security companies that may overlap with the functions </w:t>
      </w:r>
      <w:r w:rsidR="00FB6622" w:rsidRPr="005146AE">
        <w:rPr>
          <w:rFonts w:cs="Ubuntu"/>
          <w:color w:val="000000"/>
          <w:sz w:val="21"/>
          <w:szCs w:val="21"/>
          <w:lang w:eastAsia="en-GB"/>
        </w:rPr>
        <w:t xml:space="preserve">of the police and the military, </w:t>
      </w:r>
      <w:r w:rsidRPr="005146AE">
        <w:rPr>
          <w:rFonts w:cs="Ubuntu"/>
          <w:color w:val="000000"/>
          <w:sz w:val="21"/>
          <w:szCs w:val="21"/>
          <w:lang w:eastAsia="en-GB"/>
        </w:rPr>
        <w:t xml:space="preserve">specifying that </w:t>
      </w:r>
      <w:r w:rsidR="00FB6622" w:rsidRPr="005146AE">
        <w:rPr>
          <w:rFonts w:cs="Ubuntu"/>
          <w:color w:val="000000"/>
          <w:sz w:val="21"/>
          <w:szCs w:val="21"/>
          <w:lang w:eastAsia="en-GB"/>
        </w:rPr>
        <w:t xml:space="preserve">PMSCs shall not replace the police or the military in </w:t>
      </w:r>
      <w:r w:rsidRPr="005146AE">
        <w:rPr>
          <w:rFonts w:cs="Ubuntu"/>
          <w:color w:val="000000"/>
          <w:sz w:val="21"/>
          <w:szCs w:val="21"/>
          <w:lang w:eastAsia="en-GB"/>
        </w:rPr>
        <w:t>patrol</w:t>
      </w:r>
      <w:r w:rsidR="00FB6622" w:rsidRPr="005146AE">
        <w:rPr>
          <w:rFonts w:cs="Ubuntu"/>
          <w:color w:val="000000"/>
          <w:sz w:val="21"/>
          <w:szCs w:val="21"/>
          <w:lang w:eastAsia="en-GB"/>
        </w:rPr>
        <w:t>ling</w:t>
      </w:r>
      <w:r w:rsidRPr="005146AE">
        <w:rPr>
          <w:rFonts w:cs="Ubuntu"/>
          <w:color w:val="000000"/>
          <w:sz w:val="21"/>
          <w:szCs w:val="21"/>
          <w:lang w:eastAsia="en-GB"/>
        </w:rPr>
        <w:t>, arrest</w:t>
      </w:r>
      <w:r w:rsidR="00FB6622" w:rsidRPr="005146AE">
        <w:rPr>
          <w:rFonts w:cs="Ubuntu"/>
          <w:color w:val="000000"/>
          <w:sz w:val="21"/>
          <w:szCs w:val="21"/>
          <w:lang w:eastAsia="en-GB"/>
        </w:rPr>
        <w:t xml:space="preserve">ing, engaging in body search or the search of handbags, requiring the showing of identity documents or confiscating personal effects, </w:t>
      </w:r>
      <w:r w:rsidRPr="005146AE">
        <w:rPr>
          <w:rFonts w:cs="Ubuntu"/>
          <w:color w:val="000000"/>
          <w:sz w:val="21"/>
          <w:szCs w:val="21"/>
          <w:lang w:eastAsia="en-GB"/>
        </w:rPr>
        <w:t>carry</w:t>
      </w:r>
      <w:r w:rsidR="00FB6622" w:rsidRPr="005146AE">
        <w:rPr>
          <w:rFonts w:cs="Ubuntu"/>
          <w:color w:val="000000"/>
          <w:sz w:val="21"/>
          <w:szCs w:val="21"/>
          <w:lang w:eastAsia="en-GB"/>
        </w:rPr>
        <w:t>ing and using firearms, or exercising constraint with the use of force, aside from cases of legitimate defence.</w:t>
      </w:r>
      <w:r w:rsidR="0000683E" w:rsidRPr="005146AE">
        <w:rPr>
          <w:rFonts w:cs="Ubuntu"/>
          <w:color w:val="000000"/>
          <w:sz w:val="21"/>
          <w:szCs w:val="21"/>
          <w:lang w:eastAsia="en-GB"/>
        </w:rPr>
        <w:t xml:space="preserve"> </w:t>
      </w:r>
      <w:r w:rsidR="005D5115" w:rsidRPr="005146AE">
        <w:rPr>
          <w:rFonts w:cs="Ubuntu"/>
          <w:color w:val="000000"/>
          <w:sz w:val="21"/>
          <w:szCs w:val="21"/>
          <w:lang w:eastAsia="en-GB"/>
        </w:rPr>
        <w:t>At the same time</w:t>
      </w:r>
      <w:r w:rsidRPr="005146AE">
        <w:rPr>
          <w:rFonts w:cs="Ubuntu"/>
          <w:color w:val="000000"/>
          <w:sz w:val="21"/>
          <w:szCs w:val="21"/>
          <w:lang w:eastAsia="en-GB"/>
        </w:rPr>
        <w:t xml:space="preserve">, the </w:t>
      </w:r>
      <w:r w:rsidR="0000683E" w:rsidRPr="005146AE">
        <w:rPr>
          <w:rFonts w:cs="Ubuntu"/>
          <w:color w:val="000000"/>
          <w:sz w:val="21"/>
          <w:szCs w:val="21"/>
          <w:lang w:eastAsia="en-GB"/>
        </w:rPr>
        <w:t xml:space="preserve">report emphasized that the </w:t>
      </w:r>
      <w:r w:rsidR="00470CA9" w:rsidRPr="005146AE">
        <w:rPr>
          <w:rFonts w:cs="Ubuntu"/>
          <w:color w:val="000000"/>
          <w:sz w:val="21"/>
          <w:szCs w:val="21"/>
          <w:lang w:eastAsia="en-GB"/>
        </w:rPr>
        <w:t>d</w:t>
      </w:r>
      <w:r w:rsidRPr="005146AE">
        <w:rPr>
          <w:rFonts w:cs="Ubuntu"/>
          <w:color w:val="000000"/>
          <w:sz w:val="21"/>
          <w:szCs w:val="21"/>
          <w:lang w:eastAsia="en-GB"/>
        </w:rPr>
        <w:t>istinction between the functions of the public law enforcement agencies and PMSCs remains</w:t>
      </w:r>
      <w:r w:rsidR="0000683E" w:rsidRPr="005146AE">
        <w:rPr>
          <w:rFonts w:cs="Ubuntu"/>
          <w:color w:val="000000"/>
          <w:sz w:val="21"/>
          <w:szCs w:val="21"/>
          <w:lang w:eastAsia="en-GB"/>
        </w:rPr>
        <w:t xml:space="preserve"> rather blurred, it is not </w:t>
      </w:r>
      <w:r w:rsidRPr="005146AE">
        <w:rPr>
          <w:rFonts w:cs="Ubuntu"/>
          <w:color w:val="000000"/>
          <w:sz w:val="21"/>
          <w:szCs w:val="21"/>
          <w:lang w:eastAsia="en-GB"/>
        </w:rPr>
        <w:t>clear whether the related rules should apply only to times of peace or to situations of armed conflic</w:t>
      </w:r>
      <w:r w:rsidR="0000683E" w:rsidRPr="005146AE">
        <w:rPr>
          <w:rFonts w:cs="Ubuntu"/>
          <w:color w:val="000000"/>
          <w:sz w:val="21"/>
          <w:szCs w:val="21"/>
          <w:lang w:eastAsia="en-GB"/>
        </w:rPr>
        <w:t>t as well, a</w:t>
      </w:r>
      <w:r w:rsidR="005D5115" w:rsidRPr="005146AE">
        <w:rPr>
          <w:rFonts w:cs="Ubuntu"/>
          <w:color w:val="000000"/>
          <w:sz w:val="21"/>
          <w:szCs w:val="21"/>
          <w:lang w:eastAsia="en-GB"/>
        </w:rPr>
        <w:t>nd</w:t>
      </w:r>
      <w:r w:rsidR="0000683E" w:rsidRPr="005146AE">
        <w:rPr>
          <w:rFonts w:cs="Ubuntu"/>
          <w:color w:val="000000"/>
          <w:sz w:val="21"/>
          <w:szCs w:val="21"/>
          <w:lang w:eastAsia="en-GB"/>
        </w:rPr>
        <w:t xml:space="preserve"> the extent to which th</w:t>
      </w:r>
      <w:r w:rsidRPr="005146AE">
        <w:rPr>
          <w:rFonts w:cs="Ubuntu"/>
          <w:color w:val="000000"/>
          <w:sz w:val="21"/>
          <w:szCs w:val="21"/>
          <w:lang w:eastAsia="en-GB"/>
        </w:rPr>
        <w:t xml:space="preserve">e </w:t>
      </w:r>
      <w:r w:rsidR="0000683E" w:rsidRPr="005146AE">
        <w:rPr>
          <w:rFonts w:cs="Ubuntu"/>
          <w:color w:val="000000"/>
          <w:sz w:val="21"/>
          <w:szCs w:val="21"/>
          <w:lang w:eastAsia="en-GB"/>
        </w:rPr>
        <w:t xml:space="preserve">concerned </w:t>
      </w:r>
      <w:r w:rsidRPr="005146AE">
        <w:rPr>
          <w:rFonts w:cs="Ubuntu"/>
          <w:color w:val="000000"/>
          <w:sz w:val="21"/>
          <w:szCs w:val="21"/>
          <w:lang w:eastAsia="en-GB"/>
        </w:rPr>
        <w:t xml:space="preserve">laws </w:t>
      </w:r>
      <w:r w:rsidR="007845C0">
        <w:rPr>
          <w:rFonts w:cs="Ubuntu"/>
          <w:color w:val="000000"/>
          <w:sz w:val="21"/>
          <w:szCs w:val="21"/>
          <w:lang w:eastAsia="en-GB"/>
        </w:rPr>
        <w:t>purport to prohibit</w:t>
      </w:r>
      <w:r w:rsidRPr="005146AE">
        <w:rPr>
          <w:rFonts w:cs="Ubuntu"/>
          <w:color w:val="000000"/>
          <w:sz w:val="21"/>
          <w:szCs w:val="21"/>
          <w:lang w:eastAsia="en-GB"/>
        </w:rPr>
        <w:t xml:space="preserve"> PMSC personnel’s direct participation in hostilities. </w:t>
      </w:r>
    </w:p>
    <w:p w:rsidR="009C4376" w:rsidRPr="005146AE" w:rsidRDefault="00F85469" w:rsidP="009C7BDB">
      <w:pPr>
        <w:jc w:val="both"/>
        <w:rPr>
          <w:rFonts w:cs="Ubuntu"/>
          <w:color w:val="000000"/>
          <w:sz w:val="21"/>
          <w:szCs w:val="21"/>
          <w:lang w:eastAsia="en-GB"/>
        </w:rPr>
      </w:pPr>
      <w:r w:rsidRPr="005146AE">
        <w:rPr>
          <w:rFonts w:cs="Ubuntu"/>
          <w:color w:val="000000"/>
          <w:sz w:val="21"/>
          <w:szCs w:val="21"/>
          <w:lang w:eastAsia="en-GB"/>
        </w:rPr>
        <w:t xml:space="preserve">As for the </w:t>
      </w:r>
      <w:r w:rsidRPr="005146AE">
        <w:rPr>
          <w:rFonts w:cs="Ubuntu"/>
          <w:b/>
          <w:color w:val="000000"/>
          <w:sz w:val="21"/>
          <w:szCs w:val="21"/>
          <w:lang w:eastAsia="en-GB"/>
        </w:rPr>
        <w:t>participation of law enforcement agents in the activities of PMSCs</w:t>
      </w:r>
      <w:r w:rsidRPr="005146AE">
        <w:rPr>
          <w:rFonts w:cs="Ubuntu"/>
          <w:color w:val="000000"/>
          <w:sz w:val="21"/>
          <w:szCs w:val="21"/>
          <w:lang w:eastAsia="en-GB"/>
        </w:rPr>
        <w:t xml:space="preserve">, </w:t>
      </w:r>
      <w:r w:rsidR="00470CA9" w:rsidRPr="005146AE">
        <w:rPr>
          <w:rFonts w:cs="Ubuntu"/>
          <w:color w:val="000000"/>
          <w:sz w:val="21"/>
          <w:szCs w:val="21"/>
          <w:lang w:eastAsia="en-GB"/>
        </w:rPr>
        <w:t xml:space="preserve">the </w:t>
      </w:r>
      <w:r w:rsidR="00BA121C" w:rsidRPr="005146AE">
        <w:rPr>
          <w:rFonts w:cs="Ubuntu"/>
          <w:color w:val="000000"/>
          <w:sz w:val="21"/>
          <w:szCs w:val="21"/>
          <w:lang w:eastAsia="en-GB"/>
        </w:rPr>
        <w:t xml:space="preserve">study noted that the </w:t>
      </w:r>
      <w:r w:rsidR="00470CA9" w:rsidRPr="005146AE">
        <w:rPr>
          <w:rFonts w:cs="Ubuntu"/>
          <w:color w:val="000000"/>
          <w:sz w:val="21"/>
          <w:szCs w:val="21"/>
          <w:lang w:eastAsia="en-GB"/>
        </w:rPr>
        <w:t>majority of t</w:t>
      </w:r>
      <w:r w:rsidRPr="005146AE">
        <w:rPr>
          <w:rFonts w:cs="Ubuntu"/>
          <w:color w:val="000000"/>
          <w:sz w:val="21"/>
          <w:szCs w:val="21"/>
          <w:lang w:eastAsia="en-GB"/>
        </w:rPr>
        <w:t>he analysed l</w:t>
      </w:r>
      <w:r w:rsidR="00470CA9" w:rsidRPr="005146AE">
        <w:rPr>
          <w:rFonts w:cs="Ubuntu"/>
          <w:color w:val="000000"/>
          <w:sz w:val="21"/>
          <w:szCs w:val="21"/>
          <w:lang w:eastAsia="en-GB"/>
        </w:rPr>
        <w:t>aws discourage</w:t>
      </w:r>
      <w:r w:rsidRPr="005146AE">
        <w:rPr>
          <w:rFonts w:cs="Ubuntu"/>
          <w:color w:val="000000"/>
          <w:sz w:val="21"/>
          <w:szCs w:val="21"/>
          <w:lang w:eastAsia="en-GB"/>
        </w:rPr>
        <w:t xml:space="preserve"> former members of the military forces or the police to act as managers or employee</w:t>
      </w:r>
      <w:r w:rsidR="00470CA9" w:rsidRPr="005146AE">
        <w:rPr>
          <w:rFonts w:cs="Ubuntu"/>
          <w:color w:val="000000"/>
          <w:sz w:val="21"/>
          <w:szCs w:val="21"/>
          <w:lang w:eastAsia="en-GB"/>
        </w:rPr>
        <w:t>s of private security companies</w:t>
      </w:r>
      <w:r w:rsidR="001E3547" w:rsidRPr="005146AE">
        <w:rPr>
          <w:rFonts w:cs="Ubuntu"/>
          <w:color w:val="000000"/>
          <w:sz w:val="21"/>
          <w:szCs w:val="21"/>
          <w:lang w:eastAsia="en-GB"/>
        </w:rPr>
        <w:t>. H</w:t>
      </w:r>
      <w:r w:rsidRPr="005146AE">
        <w:rPr>
          <w:rFonts w:cs="Ubuntu"/>
          <w:color w:val="000000"/>
          <w:sz w:val="21"/>
          <w:szCs w:val="21"/>
          <w:lang w:eastAsia="en-GB"/>
        </w:rPr>
        <w:t xml:space="preserve">owever, </w:t>
      </w:r>
      <w:r w:rsidR="001E3547" w:rsidRPr="005146AE">
        <w:rPr>
          <w:rFonts w:cs="Ubuntu"/>
          <w:color w:val="000000"/>
          <w:sz w:val="21"/>
          <w:szCs w:val="21"/>
          <w:lang w:eastAsia="en-GB"/>
        </w:rPr>
        <w:t xml:space="preserve">the report also pointed out that </w:t>
      </w:r>
      <w:r w:rsidR="00470CA9" w:rsidRPr="005146AE">
        <w:rPr>
          <w:rFonts w:cs="Ubuntu"/>
          <w:color w:val="000000"/>
          <w:sz w:val="21"/>
          <w:szCs w:val="21"/>
          <w:lang w:eastAsia="en-GB"/>
        </w:rPr>
        <w:t xml:space="preserve">the applied </w:t>
      </w:r>
      <w:r w:rsidRPr="005146AE">
        <w:rPr>
          <w:rFonts w:cs="Ubuntu"/>
          <w:color w:val="000000"/>
          <w:sz w:val="21"/>
          <w:szCs w:val="21"/>
          <w:lang w:eastAsia="en-GB"/>
        </w:rPr>
        <w:t xml:space="preserve">approaches </w:t>
      </w:r>
      <w:r w:rsidR="00470CA9" w:rsidRPr="005146AE">
        <w:rPr>
          <w:rFonts w:cs="Ubuntu"/>
          <w:color w:val="000000"/>
          <w:sz w:val="21"/>
          <w:szCs w:val="21"/>
          <w:lang w:eastAsia="en-GB"/>
        </w:rPr>
        <w:t>vary significantly</w:t>
      </w:r>
      <w:r w:rsidR="00192A46" w:rsidRPr="005146AE">
        <w:rPr>
          <w:rFonts w:cs="Ubuntu"/>
          <w:color w:val="000000"/>
          <w:sz w:val="21"/>
          <w:szCs w:val="21"/>
          <w:lang w:eastAsia="en-GB"/>
        </w:rPr>
        <w:t xml:space="preserve"> </w:t>
      </w:r>
      <w:r w:rsidR="00CF5D2C" w:rsidRPr="005146AE">
        <w:rPr>
          <w:rFonts w:cs="Ubuntu"/>
          <w:color w:val="000000"/>
          <w:sz w:val="21"/>
          <w:szCs w:val="21"/>
          <w:lang w:eastAsia="en-GB"/>
        </w:rPr>
        <w:t>(e.g.</w:t>
      </w:r>
      <w:r w:rsidR="00F7524A">
        <w:rPr>
          <w:rFonts w:cs="Ubuntu"/>
          <w:color w:val="000000"/>
          <w:sz w:val="21"/>
          <w:szCs w:val="21"/>
          <w:lang w:eastAsia="en-GB"/>
        </w:rPr>
        <w:t>,</w:t>
      </w:r>
      <w:r w:rsidR="00CF5D2C" w:rsidRPr="005146AE">
        <w:rPr>
          <w:rFonts w:cs="Ubuntu"/>
          <w:color w:val="000000"/>
          <w:sz w:val="21"/>
          <w:szCs w:val="21"/>
          <w:lang w:eastAsia="en-GB"/>
        </w:rPr>
        <w:t xml:space="preserve"> </w:t>
      </w:r>
      <w:r w:rsidR="00192A46" w:rsidRPr="005146AE">
        <w:rPr>
          <w:rFonts w:cs="Ubuntu"/>
          <w:color w:val="000000"/>
          <w:sz w:val="21"/>
          <w:szCs w:val="21"/>
          <w:lang w:eastAsia="en-GB"/>
        </w:rPr>
        <w:t xml:space="preserve">prohibiting </w:t>
      </w:r>
      <w:r w:rsidR="00F7524A" w:rsidRPr="005146AE">
        <w:rPr>
          <w:rFonts w:cs="Ubuntu"/>
          <w:color w:val="000000"/>
          <w:sz w:val="21"/>
          <w:szCs w:val="21"/>
          <w:lang w:eastAsia="en-GB"/>
        </w:rPr>
        <w:t xml:space="preserve">active or former members of the armed forces or the police/gendarmerie </w:t>
      </w:r>
      <w:r w:rsidR="00F7524A">
        <w:rPr>
          <w:rFonts w:cs="Ubuntu"/>
          <w:color w:val="000000"/>
          <w:sz w:val="21"/>
          <w:szCs w:val="21"/>
          <w:lang w:eastAsia="en-GB"/>
        </w:rPr>
        <w:t>from</w:t>
      </w:r>
      <w:r w:rsidR="00192A46" w:rsidRPr="005146AE">
        <w:rPr>
          <w:rFonts w:cs="Ubuntu"/>
          <w:color w:val="000000"/>
          <w:sz w:val="21"/>
          <w:szCs w:val="21"/>
          <w:lang w:eastAsia="en-GB"/>
        </w:rPr>
        <w:t xml:space="preserve"> </w:t>
      </w:r>
      <w:r w:rsidRPr="005146AE">
        <w:rPr>
          <w:rFonts w:cs="Ubuntu"/>
          <w:color w:val="000000"/>
          <w:sz w:val="21"/>
          <w:szCs w:val="21"/>
          <w:lang w:eastAsia="en-GB"/>
        </w:rPr>
        <w:t>inclusion in the staff of private security companies</w:t>
      </w:r>
      <w:r w:rsidR="00F7524A">
        <w:rPr>
          <w:rFonts w:cs="Ubuntu"/>
          <w:color w:val="000000"/>
          <w:sz w:val="21"/>
          <w:szCs w:val="21"/>
          <w:lang w:eastAsia="en-GB"/>
        </w:rPr>
        <w:t>;</w:t>
      </w:r>
      <w:r w:rsidR="00CF5D2C" w:rsidRPr="005146AE">
        <w:rPr>
          <w:rFonts w:cs="Ubuntu"/>
          <w:color w:val="000000"/>
          <w:sz w:val="21"/>
          <w:szCs w:val="21"/>
          <w:lang w:eastAsia="en-GB"/>
        </w:rPr>
        <w:t xml:space="preserve"> </w:t>
      </w:r>
      <w:r w:rsidR="00192A46" w:rsidRPr="005146AE">
        <w:rPr>
          <w:rFonts w:cs="Ubuntu"/>
          <w:color w:val="000000"/>
          <w:sz w:val="21"/>
          <w:szCs w:val="21"/>
          <w:lang w:eastAsia="en-GB"/>
        </w:rPr>
        <w:t xml:space="preserve">requiring from </w:t>
      </w:r>
      <w:r w:rsidRPr="005146AE">
        <w:rPr>
          <w:rFonts w:cs="Ubuntu"/>
          <w:color w:val="000000"/>
          <w:sz w:val="21"/>
          <w:szCs w:val="21"/>
          <w:lang w:eastAsia="en-GB"/>
        </w:rPr>
        <w:t xml:space="preserve">former military and para-military members </w:t>
      </w:r>
      <w:r w:rsidR="00192A46" w:rsidRPr="005146AE">
        <w:rPr>
          <w:rFonts w:cs="Ubuntu"/>
          <w:color w:val="000000"/>
          <w:sz w:val="21"/>
          <w:szCs w:val="21"/>
          <w:lang w:eastAsia="en-GB"/>
        </w:rPr>
        <w:t xml:space="preserve">only an </w:t>
      </w:r>
      <w:r w:rsidRPr="005146AE">
        <w:rPr>
          <w:rFonts w:cs="Ubuntu"/>
          <w:color w:val="000000"/>
          <w:sz w:val="21"/>
          <w:szCs w:val="21"/>
          <w:lang w:eastAsia="en-GB"/>
        </w:rPr>
        <w:t>authorization from the minister supervising their corps in order to act as managers or employees of a security company</w:t>
      </w:r>
      <w:r w:rsidR="00F7524A">
        <w:rPr>
          <w:rFonts w:cs="Ubuntu"/>
          <w:color w:val="000000"/>
          <w:sz w:val="21"/>
          <w:szCs w:val="21"/>
          <w:lang w:eastAsia="en-GB"/>
        </w:rPr>
        <w:t>;</w:t>
      </w:r>
      <w:r w:rsidR="00855B65" w:rsidRPr="005146AE">
        <w:rPr>
          <w:rFonts w:cs="Ubuntu"/>
          <w:color w:val="000000"/>
          <w:sz w:val="21"/>
          <w:szCs w:val="21"/>
          <w:lang w:eastAsia="en-GB"/>
        </w:rPr>
        <w:t xml:space="preserve"> </w:t>
      </w:r>
      <w:r w:rsidR="00CF5D2C" w:rsidRPr="005146AE">
        <w:rPr>
          <w:rFonts w:cs="Ubuntu"/>
          <w:color w:val="000000"/>
          <w:sz w:val="21"/>
          <w:szCs w:val="21"/>
          <w:lang w:eastAsia="en-GB"/>
        </w:rPr>
        <w:t xml:space="preserve">and </w:t>
      </w:r>
      <w:r w:rsidR="00192A46" w:rsidRPr="005146AE">
        <w:rPr>
          <w:rFonts w:cs="Ubuntu"/>
          <w:color w:val="000000"/>
          <w:sz w:val="21"/>
          <w:szCs w:val="21"/>
          <w:lang w:eastAsia="en-GB"/>
        </w:rPr>
        <w:t xml:space="preserve">allowing </w:t>
      </w:r>
      <w:r w:rsidRPr="005146AE">
        <w:rPr>
          <w:rFonts w:cs="Ubuntu"/>
          <w:color w:val="000000"/>
          <w:sz w:val="21"/>
          <w:szCs w:val="21"/>
          <w:lang w:eastAsia="en-GB"/>
        </w:rPr>
        <w:t>members of the police, gendarmerie and armed forces</w:t>
      </w:r>
      <w:r w:rsidR="00192A46" w:rsidRPr="005146AE">
        <w:rPr>
          <w:rFonts w:cs="Ubuntu"/>
          <w:color w:val="000000"/>
          <w:sz w:val="21"/>
          <w:szCs w:val="21"/>
          <w:lang w:eastAsia="en-GB"/>
        </w:rPr>
        <w:t xml:space="preserve"> to act </w:t>
      </w:r>
      <w:r w:rsidRPr="005146AE">
        <w:rPr>
          <w:rFonts w:cs="Ubuntu"/>
          <w:color w:val="000000"/>
          <w:sz w:val="21"/>
          <w:szCs w:val="21"/>
          <w:lang w:eastAsia="en-GB"/>
        </w:rPr>
        <w:t>as owners, managers, or employees of a private security company a year after the date of cessation of their functions or activities</w:t>
      </w:r>
      <w:r w:rsidR="00CF5D2C" w:rsidRPr="005146AE">
        <w:rPr>
          <w:rFonts w:cs="Ubuntu"/>
          <w:color w:val="000000"/>
          <w:sz w:val="21"/>
          <w:szCs w:val="21"/>
          <w:lang w:eastAsia="en-GB"/>
        </w:rPr>
        <w:t>)</w:t>
      </w:r>
      <w:r w:rsidR="009C4376" w:rsidRPr="005146AE">
        <w:rPr>
          <w:rFonts w:cs="Ubuntu"/>
          <w:color w:val="000000"/>
          <w:sz w:val="21"/>
          <w:szCs w:val="21"/>
          <w:lang w:eastAsia="en-GB"/>
        </w:rPr>
        <w:t>.</w:t>
      </w:r>
    </w:p>
    <w:p w:rsidR="00F85469" w:rsidRPr="005146AE" w:rsidRDefault="00F7524A" w:rsidP="009C7BDB">
      <w:pPr>
        <w:jc w:val="both"/>
        <w:rPr>
          <w:sz w:val="21"/>
          <w:szCs w:val="21"/>
        </w:rPr>
      </w:pPr>
      <w:r>
        <w:rPr>
          <w:sz w:val="21"/>
          <w:szCs w:val="21"/>
        </w:rPr>
        <w:t>The study revealed a variety of approaches to</w:t>
      </w:r>
      <w:r w:rsidR="009C4376" w:rsidRPr="005146AE">
        <w:rPr>
          <w:sz w:val="21"/>
          <w:szCs w:val="21"/>
        </w:rPr>
        <w:t xml:space="preserve"> </w:t>
      </w:r>
      <w:r w:rsidR="009C4376" w:rsidRPr="005146AE">
        <w:rPr>
          <w:b/>
          <w:sz w:val="21"/>
          <w:szCs w:val="21"/>
        </w:rPr>
        <w:t>acquisition and possession of weapons and firearms</w:t>
      </w:r>
      <w:r w:rsidR="003F7521">
        <w:rPr>
          <w:b/>
          <w:sz w:val="21"/>
          <w:szCs w:val="21"/>
        </w:rPr>
        <w:t xml:space="preserve"> </w:t>
      </w:r>
      <w:r w:rsidR="00D52E4B" w:rsidRPr="005146AE">
        <w:rPr>
          <w:sz w:val="21"/>
          <w:szCs w:val="21"/>
        </w:rPr>
        <w:t>e.g.</w:t>
      </w:r>
      <w:r>
        <w:rPr>
          <w:sz w:val="21"/>
          <w:szCs w:val="21"/>
        </w:rPr>
        <w:t>,</w:t>
      </w:r>
      <w:r w:rsidR="00D52E4B" w:rsidRPr="005146AE">
        <w:rPr>
          <w:sz w:val="21"/>
          <w:szCs w:val="21"/>
        </w:rPr>
        <w:t xml:space="preserve"> </w:t>
      </w:r>
      <w:r w:rsidR="009C4376" w:rsidRPr="005146AE">
        <w:rPr>
          <w:sz w:val="21"/>
          <w:szCs w:val="21"/>
        </w:rPr>
        <w:t>allow</w:t>
      </w:r>
      <w:r w:rsidR="00D52E4B" w:rsidRPr="005146AE">
        <w:rPr>
          <w:sz w:val="21"/>
          <w:szCs w:val="21"/>
        </w:rPr>
        <w:t>ing</w:t>
      </w:r>
      <w:r w:rsidR="009C4376" w:rsidRPr="005146AE">
        <w:rPr>
          <w:sz w:val="21"/>
          <w:szCs w:val="21"/>
        </w:rPr>
        <w:t xml:space="preserve"> </w:t>
      </w:r>
      <w:r w:rsidR="00D52E4B" w:rsidRPr="005146AE">
        <w:rPr>
          <w:sz w:val="21"/>
          <w:szCs w:val="21"/>
        </w:rPr>
        <w:t xml:space="preserve">all </w:t>
      </w:r>
      <w:r w:rsidR="009C4376" w:rsidRPr="005146AE">
        <w:rPr>
          <w:sz w:val="21"/>
          <w:szCs w:val="21"/>
        </w:rPr>
        <w:t xml:space="preserve">PMSCs to be </w:t>
      </w:r>
      <w:r w:rsidR="00D52E4B" w:rsidRPr="005146AE">
        <w:rPr>
          <w:sz w:val="21"/>
          <w:szCs w:val="21"/>
        </w:rPr>
        <w:t>armed and to possess weapons/</w:t>
      </w:r>
      <w:r w:rsidR="009C4376" w:rsidRPr="005146AE">
        <w:rPr>
          <w:sz w:val="21"/>
          <w:szCs w:val="21"/>
        </w:rPr>
        <w:t>firearms</w:t>
      </w:r>
      <w:r>
        <w:rPr>
          <w:sz w:val="21"/>
          <w:szCs w:val="21"/>
        </w:rPr>
        <w:t>;</w:t>
      </w:r>
      <w:r w:rsidR="009C4376" w:rsidRPr="005146AE">
        <w:rPr>
          <w:sz w:val="21"/>
          <w:szCs w:val="21"/>
        </w:rPr>
        <w:t xml:space="preserve"> </w:t>
      </w:r>
      <w:r w:rsidR="00D52E4B" w:rsidRPr="005146AE">
        <w:rPr>
          <w:sz w:val="21"/>
          <w:szCs w:val="21"/>
        </w:rPr>
        <w:t>a</w:t>
      </w:r>
      <w:r w:rsidR="009C4376" w:rsidRPr="005146AE">
        <w:rPr>
          <w:sz w:val="21"/>
          <w:szCs w:val="21"/>
        </w:rPr>
        <w:t>llow</w:t>
      </w:r>
      <w:r w:rsidR="00D52E4B" w:rsidRPr="005146AE">
        <w:rPr>
          <w:sz w:val="21"/>
          <w:szCs w:val="21"/>
        </w:rPr>
        <w:t>ing the possession of weapons only for</w:t>
      </w:r>
      <w:r w:rsidR="009C4376" w:rsidRPr="005146AE">
        <w:rPr>
          <w:sz w:val="21"/>
          <w:szCs w:val="21"/>
        </w:rPr>
        <w:t xml:space="preserve"> certain employees of P</w:t>
      </w:r>
      <w:r>
        <w:rPr>
          <w:sz w:val="21"/>
          <w:szCs w:val="21"/>
        </w:rPr>
        <w:t>MSCs who</w:t>
      </w:r>
      <w:r w:rsidR="009C4376" w:rsidRPr="005146AE">
        <w:rPr>
          <w:sz w:val="21"/>
          <w:szCs w:val="21"/>
        </w:rPr>
        <w:t xml:space="preserve"> carry out some specific activities such as surveillance, guarding and transport of funds and prohibit</w:t>
      </w:r>
      <w:r w:rsidR="00D52E4B" w:rsidRPr="005146AE">
        <w:rPr>
          <w:sz w:val="21"/>
          <w:szCs w:val="21"/>
        </w:rPr>
        <w:t>ing</w:t>
      </w:r>
      <w:r w:rsidR="009C4376" w:rsidRPr="005146AE">
        <w:rPr>
          <w:sz w:val="21"/>
          <w:szCs w:val="21"/>
        </w:rPr>
        <w:t xml:space="preserve"> to others</w:t>
      </w:r>
      <w:r>
        <w:rPr>
          <w:sz w:val="21"/>
          <w:szCs w:val="21"/>
        </w:rPr>
        <w:t>,</w:t>
      </w:r>
      <w:r w:rsidR="009C4376" w:rsidRPr="005146AE">
        <w:rPr>
          <w:sz w:val="21"/>
          <w:szCs w:val="21"/>
        </w:rPr>
        <w:t xml:space="preserve"> for example to the personnel of private companies protecting pe</w:t>
      </w:r>
      <w:r>
        <w:rPr>
          <w:sz w:val="21"/>
          <w:szCs w:val="21"/>
        </w:rPr>
        <w:t>ople;</w:t>
      </w:r>
      <w:r w:rsidR="009C4376" w:rsidRPr="005146AE">
        <w:rPr>
          <w:sz w:val="21"/>
          <w:szCs w:val="21"/>
        </w:rPr>
        <w:t xml:space="preserve"> </w:t>
      </w:r>
      <w:r w:rsidR="00D52E4B" w:rsidRPr="005146AE">
        <w:rPr>
          <w:sz w:val="21"/>
          <w:szCs w:val="21"/>
        </w:rPr>
        <w:t>and requiring</w:t>
      </w:r>
      <w:r w:rsidR="009C4376" w:rsidRPr="005146AE">
        <w:rPr>
          <w:sz w:val="21"/>
          <w:szCs w:val="21"/>
        </w:rPr>
        <w:t xml:space="preserve"> special permits for the acquisition and possession of weapons and firearm</w:t>
      </w:r>
      <w:r>
        <w:rPr>
          <w:sz w:val="21"/>
          <w:szCs w:val="21"/>
        </w:rPr>
        <w:t>s</w:t>
      </w:r>
      <w:r w:rsidR="009C4376" w:rsidRPr="005146AE">
        <w:rPr>
          <w:sz w:val="21"/>
          <w:szCs w:val="21"/>
        </w:rPr>
        <w:t xml:space="preserve">. The study also showed that in some countries it is either prohibited for the personnel of private security companies to acquire and possess specific types of weapons and firearms, or it is prohibited to acquire and possess them for specific purposes. </w:t>
      </w:r>
      <w:r w:rsidR="006C45AD" w:rsidRPr="005146AE">
        <w:rPr>
          <w:sz w:val="21"/>
          <w:szCs w:val="21"/>
        </w:rPr>
        <w:t xml:space="preserve">The study noted that only one country’s legislation </w:t>
      </w:r>
      <w:r w:rsidR="009C4376" w:rsidRPr="005146AE">
        <w:rPr>
          <w:sz w:val="21"/>
          <w:szCs w:val="21"/>
        </w:rPr>
        <w:t xml:space="preserve">refers to the </w:t>
      </w:r>
      <w:r w:rsidR="000D5AE9">
        <w:rPr>
          <w:sz w:val="21"/>
          <w:szCs w:val="21"/>
        </w:rPr>
        <w:t xml:space="preserve">specific </w:t>
      </w:r>
      <w:r w:rsidR="006C45AD" w:rsidRPr="005146AE">
        <w:rPr>
          <w:sz w:val="21"/>
          <w:szCs w:val="21"/>
        </w:rPr>
        <w:t xml:space="preserve">phenomenon of </w:t>
      </w:r>
      <w:r w:rsidR="009C4376" w:rsidRPr="005146AE">
        <w:rPr>
          <w:sz w:val="21"/>
          <w:szCs w:val="21"/>
        </w:rPr>
        <w:t>illegal acquisition of firearms and its consequences</w:t>
      </w:r>
      <w:r w:rsidR="006C45AD" w:rsidRPr="005146AE">
        <w:rPr>
          <w:sz w:val="21"/>
          <w:szCs w:val="21"/>
        </w:rPr>
        <w:t>.</w:t>
      </w:r>
      <w:r w:rsidR="000E338B" w:rsidRPr="005146AE">
        <w:rPr>
          <w:sz w:val="21"/>
          <w:szCs w:val="21"/>
        </w:rPr>
        <w:t xml:space="preserve"> </w:t>
      </w:r>
      <w:r w:rsidR="004C114A" w:rsidRPr="005146AE">
        <w:rPr>
          <w:sz w:val="21"/>
          <w:szCs w:val="21"/>
        </w:rPr>
        <w:t xml:space="preserve">The study showed that only half of the reviewed States’ legal regimes have specific laws on </w:t>
      </w:r>
      <w:r w:rsidR="004C114A" w:rsidRPr="005146AE">
        <w:rPr>
          <w:b/>
          <w:sz w:val="21"/>
          <w:szCs w:val="21"/>
        </w:rPr>
        <w:t>the use of force and firearms</w:t>
      </w:r>
      <w:r w:rsidR="004C114A" w:rsidRPr="005146AE">
        <w:rPr>
          <w:sz w:val="21"/>
          <w:szCs w:val="21"/>
        </w:rPr>
        <w:t xml:space="preserve"> by PMSC personnel</w:t>
      </w:r>
      <w:r w:rsidR="000E338B" w:rsidRPr="005146AE">
        <w:rPr>
          <w:sz w:val="21"/>
          <w:szCs w:val="21"/>
        </w:rPr>
        <w:t xml:space="preserve">. In addition, the study revealed that the regulatory approaches regarding the </w:t>
      </w:r>
      <w:r w:rsidR="000E338B" w:rsidRPr="005146AE">
        <w:rPr>
          <w:rFonts w:cs="Ubuntu"/>
          <w:color w:val="000000"/>
          <w:sz w:val="21"/>
          <w:szCs w:val="21"/>
          <w:lang w:eastAsia="en-GB"/>
        </w:rPr>
        <w:t xml:space="preserve">use of force and firearms are rather divergent: some </w:t>
      </w:r>
      <w:r w:rsidR="00F07989" w:rsidRPr="005146AE">
        <w:rPr>
          <w:rFonts w:cs="Ubuntu"/>
          <w:color w:val="000000"/>
          <w:sz w:val="21"/>
          <w:szCs w:val="21"/>
          <w:lang w:eastAsia="en-GB"/>
        </w:rPr>
        <w:t xml:space="preserve">States </w:t>
      </w:r>
      <w:r w:rsidR="000E338B" w:rsidRPr="005146AE">
        <w:rPr>
          <w:rFonts w:cs="Ubuntu"/>
          <w:color w:val="000000"/>
          <w:sz w:val="21"/>
          <w:szCs w:val="21"/>
          <w:lang w:eastAsia="en-GB"/>
        </w:rPr>
        <w:t xml:space="preserve">entirely prohibit the use of force and firearms in all </w:t>
      </w:r>
      <w:r w:rsidR="000E338B" w:rsidRPr="005146AE">
        <w:rPr>
          <w:rFonts w:cs="Ubuntu"/>
          <w:color w:val="000000"/>
          <w:sz w:val="21"/>
          <w:szCs w:val="21"/>
          <w:lang w:eastAsia="en-GB"/>
        </w:rPr>
        <w:lastRenderedPageBreak/>
        <w:t xml:space="preserve">situations except for the case of self-defence, yet again others allow it according to the conditions provided by the relevant laws and regulations. </w:t>
      </w:r>
    </w:p>
    <w:p w:rsidR="006D2204" w:rsidRPr="005146AE" w:rsidRDefault="000E338B" w:rsidP="009C7BDB">
      <w:pPr>
        <w:jc w:val="both"/>
        <w:rPr>
          <w:rFonts w:eastAsia="Times New Roman" w:cs="Ubuntu"/>
          <w:bCs/>
          <w:color w:val="000000"/>
          <w:sz w:val="21"/>
          <w:szCs w:val="21"/>
          <w:lang w:eastAsia="en-GB"/>
        </w:rPr>
      </w:pPr>
      <w:r w:rsidRPr="005146AE">
        <w:rPr>
          <w:sz w:val="21"/>
          <w:szCs w:val="21"/>
        </w:rPr>
        <w:t xml:space="preserve">The report showed that </w:t>
      </w:r>
      <w:r w:rsidR="00027523" w:rsidRPr="005146AE">
        <w:rPr>
          <w:sz w:val="21"/>
          <w:szCs w:val="21"/>
        </w:rPr>
        <w:t xml:space="preserve">in </w:t>
      </w:r>
      <w:r w:rsidRPr="005146AE">
        <w:rPr>
          <w:sz w:val="21"/>
          <w:szCs w:val="21"/>
        </w:rPr>
        <w:t xml:space="preserve">the majority of the reviewed States </w:t>
      </w:r>
      <w:r w:rsidR="00027523" w:rsidRPr="005146AE">
        <w:rPr>
          <w:sz w:val="21"/>
          <w:szCs w:val="21"/>
        </w:rPr>
        <w:t xml:space="preserve">there </w:t>
      </w:r>
      <w:r w:rsidR="00F7524A">
        <w:rPr>
          <w:sz w:val="21"/>
          <w:szCs w:val="21"/>
        </w:rPr>
        <w:t>appears</w:t>
      </w:r>
      <w:r w:rsidR="00027523" w:rsidRPr="005146AE">
        <w:rPr>
          <w:sz w:val="21"/>
          <w:szCs w:val="21"/>
        </w:rPr>
        <w:t xml:space="preserve"> to exist some sort of </w:t>
      </w:r>
      <w:r w:rsidR="00027523" w:rsidRPr="005146AE">
        <w:rPr>
          <w:b/>
          <w:sz w:val="21"/>
          <w:szCs w:val="21"/>
        </w:rPr>
        <w:t>monitoring system</w:t>
      </w:r>
      <w:r w:rsidR="00EA13D7" w:rsidRPr="005146AE">
        <w:rPr>
          <w:sz w:val="21"/>
          <w:szCs w:val="21"/>
        </w:rPr>
        <w:t xml:space="preserve"> by the </w:t>
      </w:r>
      <w:r w:rsidR="00027523" w:rsidRPr="005146AE">
        <w:rPr>
          <w:sz w:val="21"/>
          <w:szCs w:val="21"/>
        </w:rPr>
        <w:t>authorizing/licencing agency</w:t>
      </w:r>
      <w:r w:rsidR="003F7521">
        <w:rPr>
          <w:sz w:val="21"/>
          <w:szCs w:val="21"/>
        </w:rPr>
        <w:t xml:space="preserve"> </w:t>
      </w:r>
      <w:r w:rsidR="00027523" w:rsidRPr="005146AE">
        <w:rPr>
          <w:sz w:val="21"/>
          <w:szCs w:val="21"/>
        </w:rPr>
        <w:t>of private security com</w:t>
      </w:r>
      <w:r w:rsidR="00EA13D7" w:rsidRPr="005146AE">
        <w:rPr>
          <w:sz w:val="21"/>
          <w:szCs w:val="21"/>
        </w:rPr>
        <w:t xml:space="preserve">panies </w:t>
      </w:r>
      <w:r w:rsidR="0069611B" w:rsidRPr="005146AE">
        <w:rPr>
          <w:sz w:val="21"/>
          <w:szCs w:val="21"/>
        </w:rPr>
        <w:t xml:space="preserve">by carrying out </w:t>
      </w:r>
      <w:r w:rsidR="00EA13D7" w:rsidRPr="005146AE">
        <w:rPr>
          <w:sz w:val="21"/>
          <w:szCs w:val="21"/>
        </w:rPr>
        <w:t>a</w:t>
      </w:r>
      <w:r w:rsidR="00027523" w:rsidRPr="005146AE">
        <w:rPr>
          <w:sz w:val="21"/>
          <w:szCs w:val="21"/>
        </w:rPr>
        <w:t>nnounced or unannounced</w:t>
      </w:r>
      <w:r w:rsidR="0069611B" w:rsidRPr="005146AE">
        <w:rPr>
          <w:sz w:val="21"/>
          <w:szCs w:val="21"/>
        </w:rPr>
        <w:t xml:space="preserve">, regular or ad-hoc inspections, and </w:t>
      </w:r>
      <w:r w:rsidR="00A97258" w:rsidRPr="005146AE">
        <w:rPr>
          <w:sz w:val="21"/>
          <w:szCs w:val="21"/>
        </w:rPr>
        <w:t xml:space="preserve">by </w:t>
      </w:r>
      <w:r w:rsidR="0069611B" w:rsidRPr="005146AE">
        <w:rPr>
          <w:sz w:val="21"/>
          <w:szCs w:val="21"/>
        </w:rPr>
        <w:t xml:space="preserve">reviewing regular </w:t>
      </w:r>
      <w:r w:rsidR="00A97258" w:rsidRPr="005146AE">
        <w:rPr>
          <w:sz w:val="21"/>
          <w:szCs w:val="21"/>
        </w:rPr>
        <w:t xml:space="preserve">or ad-hoc </w:t>
      </w:r>
      <w:r w:rsidR="0069611B" w:rsidRPr="005146AE">
        <w:rPr>
          <w:sz w:val="21"/>
          <w:szCs w:val="21"/>
        </w:rPr>
        <w:t>repo</w:t>
      </w:r>
      <w:r w:rsidR="00A97258" w:rsidRPr="005146AE">
        <w:rPr>
          <w:sz w:val="21"/>
          <w:szCs w:val="21"/>
        </w:rPr>
        <w:t xml:space="preserve">rts </w:t>
      </w:r>
      <w:r w:rsidR="0069611B" w:rsidRPr="005146AE">
        <w:rPr>
          <w:sz w:val="21"/>
          <w:szCs w:val="21"/>
        </w:rPr>
        <w:t xml:space="preserve">submitted </w:t>
      </w:r>
      <w:r w:rsidR="00EA13D7" w:rsidRPr="005146AE">
        <w:rPr>
          <w:sz w:val="21"/>
          <w:szCs w:val="21"/>
        </w:rPr>
        <w:t xml:space="preserve">on infractions or violations of law committed by </w:t>
      </w:r>
      <w:r w:rsidR="0069611B" w:rsidRPr="005146AE">
        <w:rPr>
          <w:sz w:val="21"/>
          <w:szCs w:val="21"/>
        </w:rPr>
        <w:t xml:space="preserve">the companies’ </w:t>
      </w:r>
      <w:r w:rsidR="00EA13D7" w:rsidRPr="005146AE">
        <w:rPr>
          <w:sz w:val="21"/>
          <w:szCs w:val="21"/>
        </w:rPr>
        <w:t xml:space="preserve">personnel. </w:t>
      </w:r>
      <w:r w:rsidR="0091384E" w:rsidRPr="005146AE">
        <w:rPr>
          <w:sz w:val="21"/>
          <w:szCs w:val="21"/>
        </w:rPr>
        <w:t xml:space="preserve">However, </w:t>
      </w:r>
      <w:r w:rsidR="0069611B" w:rsidRPr="005146AE">
        <w:rPr>
          <w:sz w:val="21"/>
          <w:szCs w:val="21"/>
        </w:rPr>
        <w:t xml:space="preserve">the study </w:t>
      </w:r>
      <w:r w:rsidR="004F7DAA" w:rsidRPr="005146AE">
        <w:rPr>
          <w:sz w:val="21"/>
          <w:szCs w:val="21"/>
        </w:rPr>
        <w:t xml:space="preserve">revealed that </w:t>
      </w:r>
      <w:r w:rsidR="0069611B" w:rsidRPr="005146AE">
        <w:rPr>
          <w:rFonts w:cs="Ubuntu"/>
          <w:color w:val="000000"/>
          <w:sz w:val="21"/>
          <w:szCs w:val="21"/>
          <w:lang w:eastAsia="en-GB"/>
        </w:rPr>
        <w:t xml:space="preserve">the relevant legislation in general </w:t>
      </w:r>
      <w:r w:rsidR="0069611B" w:rsidRPr="005146AE">
        <w:rPr>
          <w:rFonts w:eastAsia="Times New Roman" w:cs="Ubuntu"/>
          <w:bCs/>
          <w:color w:val="000000"/>
          <w:sz w:val="21"/>
          <w:szCs w:val="21"/>
          <w:lang w:eastAsia="en-GB"/>
        </w:rPr>
        <w:t xml:space="preserve">lacks specific rules on the content of the monitoring procedure and </w:t>
      </w:r>
      <w:r w:rsidR="0091384E" w:rsidRPr="005146AE">
        <w:rPr>
          <w:rFonts w:eastAsia="Times New Roman" w:cs="Ubuntu"/>
          <w:bCs/>
          <w:color w:val="000000"/>
          <w:sz w:val="21"/>
          <w:szCs w:val="21"/>
          <w:lang w:eastAsia="en-GB"/>
        </w:rPr>
        <w:t>concentrate</w:t>
      </w:r>
      <w:r w:rsidR="00767799">
        <w:rPr>
          <w:rFonts w:eastAsia="Times New Roman" w:cs="Ubuntu"/>
          <w:bCs/>
          <w:color w:val="000000"/>
          <w:sz w:val="21"/>
          <w:szCs w:val="21"/>
          <w:lang w:eastAsia="en-GB"/>
        </w:rPr>
        <w:t>s</w:t>
      </w:r>
      <w:r w:rsidR="0091384E" w:rsidRPr="005146AE">
        <w:rPr>
          <w:rFonts w:eastAsia="Times New Roman" w:cs="Ubuntu"/>
          <w:bCs/>
          <w:color w:val="000000"/>
          <w:sz w:val="21"/>
          <w:szCs w:val="21"/>
          <w:lang w:eastAsia="en-GB"/>
        </w:rPr>
        <w:t xml:space="preserve"> </w:t>
      </w:r>
      <w:r w:rsidR="0069611B" w:rsidRPr="005146AE">
        <w:rPr>
          <w:rFonts w:eastAsia="Times New Roman" w:cs="Ubuntu"/>
          <w:bCs/>
          <w:color w:val="000000"/>
          <w:sz w:val="21"/>
          <w:szCs w:val="21"/>
          <w:lang w:eastAsia="en-GB"/>
        </w:rPr>
        <w:t xml:space="preserve">mostly </w:t>
      </w:r>
      <w:r w:rsidR="0091384E" w:rsidRPr="005146AE">
        <w:rPr>
          <w:rFonts w:eastAsia="Times New Roman" w:cs="Ubuntu"/>
          <w:bCs/>
          <w:color w:val="000000"/>
          <w:sz w:val="21"/>
          <w:szCs w:val="21"/>
          <w:lang w:eastAsia="en-GB"/>
        </w:rPr>
        <w:t xml:space="preserve">on administrative sanctions (such as warning, fine, temporary suspension of the company’s activities, withdrawal of authorization, seizure of weapons and firearms), </w:t>
      </w:r>
      <w:r w:rsidR="004F7DAA" w:rsidRPr="005146AE">
        <w:rPr>
          <w:rFonts w:eastAsia="Times New Roman" w:cs="Ubuntu"/>
          <w:bCs/>
          <w:color w:val="000000"/>
          <w:sz w:val="21"/>
          <w:szCs w:val="21"/>
          <w:lang w:eastAsia="en-GB"/>
        </w:rPr>
        <w:t xml:space="preserve">and </w:t>
      </w:r>
      <w:r w:rsidR="00767799">
        <w:rPr>
          <w:rFonts w:eastAsia="Times New Roman" w:cs="Ubuntu"/>
          <w:bCs/>
          <w:color w:val="000000"/>
          <w:sz w:val="21"/>
          <w:szCs w:val="21"/>
          <w:lang w:eastAsia="en-GB"/>
        </w:rPr>
        <w:t xml:space="preserve">only rarely </w:t>
      </w:r>
      <w:r w:rsidR="004F7DAA" w:rsidRPr="005146AE">
        <w:rPr>
          <w:rFonts w:eastAsia="Times New Roman" w:cs="Ubuntu"/>
          <w:bCs/>
          <w:color w:val="000000"/>
          <w:sz w:val="21"/>
          <w:szCs w:val="21"/>
          <w:lang w:eastAsia="en-GB"/>
        </w:rPr>
        <w:t>make</w:t>
      </w:r>
      <w:r w:rsidR="00767799">
        <w:rPr>
          <w:rFonts w:eastAsia="Times New Roman" w:cs="Ubuntu"/>
          <w:bCs/>
          <w:color w:val="000000"/>
          <w:sz w:val="21"/>
          <w:szCs w:val="21"/>
          <w:lang w:eastAsia="en-GB"/>
        </w:rPr>
        <w:t>s</w:t>
      </w:r>
      <w:r w:rsidR="006D2204" w:rsidRPr="005146AE">
        <w:rPr>
          <w:rFonts w:eastAsia="Times New Roman" w:cs="Ubuntu"/>
          <w:bCs/>
          <w:color w:val="000000"/>
          <w:sz w:val="21"/>
          <w:szCs w:val="21"/>
          <w:lang w:eastAsia="en-GB"/>
        </w:rPr>
        <w:t xml:space="preserve"> </w:t>
      </w:r>
      <w:r w:rsidR="0091384E" w:rsidRPr="005146AE">
        <w:rPr>
          <w:rFonts w:eastAsia="Times New Roman" w:cs="Ubuntu"/>
          <w:bCs/>
          <w:color w:val="000000"/>
          <w:sz w:val="21"/>
          <w:szCs w:val="21"/>
          <w:lang w:eastAsia="en-GB"/>
        </w:rPr>
        <w:t xml:space="preserve">reference to </w:t>
      </w:r>
      <w:r w:rsidR="003F7521" w:rsidRPr="005146AE">
        <w:rPr>
          <w:rFonts w:eastAsia="Times New Roman" w:cs="Ubuntu"/>
          <w:bCs/>
          <w:color w:val="000000"/>
          <w:sz w:val="21"/>
          <w:szCs w:val="21"/>
          <w:lang w:eastAsia="en-GB"/>
        </w:rPr>
        <w:t>penal</w:t>
      </w:r>
      <w:r w:rsidR="0091384E" w:rsidRPr="005146AE">
        <w:rPr>
          <w:rFonts w:eastAsia="Times New Roman" w:cs="Ubuntu"/>
          <w:bCs/>
          <w:color w:val="000000"/>
          <w:sz w:val="21"/>
          <w:szCs w:val="21"/>
          <w:lang w:eastAsia="en-GB"/>
        </w:rPr>
        <w:t xml:space="preserve"> and civil sanctions</w:t>
      </w:r>
      <w:r w:rsidR="006D2204" w:rsidRPr="005146AE">
        <w:rPr>
          <w:rFonts w:eastAsia="Times New Roman" w:cs="Ubuntu"/>
          <w:bCs/>
          <w:color w:val="000000"/>
          <w:sz w:val="21"/>
          <w:szCs w:val="21"/>
          <w:lang w:eastAsia="en-GB"/>
        </w:rPr>
        <w:t xml:space="preserve">. The study noted that </w:t>
      </w:r>
      <w:r w:rsidR="0091384E" w:rsidRPr="005146AE">
        <w:rPr>
          <w:rFonts w:eastAsia="Times New Roman" w:cs="Ubuntu"/>
          <w:bCs/>
          <w:color w:val="000000"/>
          <w:sz w:val="21"/>
          <w:szCs w:val="21"/>
          <w:lang w:eastAsia="en-GB"/>
        </w:rPr>
        <w:t>none of the analysed legislation include</w:t>
      </w:r>
      <w:r w:rsidR="006D2204" w:rsidRPr="005146AE">
        <w:rPr>
          <w:rFonts w:eastAsia="Times New Roman" w:cs="Ubuntu"/>
          <w:bCs/>
          <w:color w:val="000000"/>
          <w:sz w:val="21"/>
          <w:szCs w:val="21"/>
          <w:lang w:eastAsia="en-GB"/>
        </w:rPr>
        <w:t>d</w:t>
      </w:r>
      <w:r w:rsidR="0091384E" w:rsidRPr="005146AE">
        <w:rPr>
          <w:rFonts w:eastAsia="Times New Roman" w:cs="Ubuntu"/>
          <w:bCs/>
          <w:color w:val="000000"/>
          <w:sz w:val="21"/>
          <w:szCs w:val="21"/>
          <w:lang w:eastAsia="en-GB"/>
        </w:rPr>
        <w:t xml:space="preserve"> provisions </w:t>
      </w:r>
      <w:r w:rsidR="006D2204" w:rsidRPr="005146AE">
        <w:rPr>
          <w:rFonts w:eastAsia="Times New Roman" w:cs="Ubuntu"/>
          <w:bCs/>
          <w:color w:val="000000"/>
          <w:sz w:val="21"/>
          <w:szCs w:val="21"/>
          <w:lang w:eastAsia="en-GB"/>
        </w:rPr>
        <w:t>on the personnel’s compliance with the standards of international human rights law and humanitarian law, or on guarantees for effective remedies to victims.</w:t>
      </w:r>
      <w:r w:rsidR="006D2204" w:rsidRPr="005146AE">
        <w:rPr>
          <w:sz w:val="21"/>
          <w:szCs w:val="21"/>
        </w:rPr>
        <w:t xml:space="preserve"> </w:t>
      </w:r>
    </w:p>
    <w:p w:rsidR="005349F8" w:rsidRPr="005146AE" w:rsidRDefault="00F07989" w:rsidP="009C7BDB">
      <w:pPr>
        <w:jc w:val="both"/>
        <w:rPr>
          <w:sz w:val="21"/>
          <w:szCs w:val="21"/>
        </w:rPr>
      </w:pPr>
      <w:r w:rsidRPr="005146AE">
        <w:rPr>
          <w:sz w:val="21"/>
          <w:szCs w:val="21"/>
        </w:rPr>
        <w:t xml:space="preserve">The study showed that while all reviewed States </w:t>
      </w:r>
      <w:r w:rsidRPr="005146AE">
        <w:rPr>
          <w:b/>
          <w:sz w:val="21"/>
          <w:szCs w:val="21"/>
        </w:rPr>
        <w:t xml:space="preserve">ratified </w:t>
      </w:r>
      <w:r w:rsidRPr="005146AE">
        <w:rPr>
          <w:sz w:val="21"/>
          <w:szCs w:val="21"/>
        </w:rPr>
        <w:t xml:space="preserve">the Additional Protocol to the Geneva Conventions of 12 August 1949, and relating to the Protection of Victims of International Armed Conflicts (Protocol I) defining „mercenary”, and the vast majority of States are Party to the Organization of African Unity Convention for the Elimination of Mercenaries in Africa, there is a general reluctance </w:t>
      </w:r>
      <w:r w:rsidR="00767799">
        <w:rPr>
          <w:sz w:val="21"/>
          <w:szCs w:val="21"/>
        </w:rPr>
        <w:t xml:space="preserve">to </w:t>
      </w:r>
      <w:r w:rsidRPr="005146AE">
        <w:rPr>
          <w:sz w:val="21"/>
          <w:szCs w:val="21"/>
        </w:rPr>
        <w:t>becoming a party to the International Convention against the Recruitment, Use, Financing and Training of Mercenaries. The report also revealed that n</w:t>
      </w:r>
      <w:r w:rsidR="00027523" w:rsidRPr="005146AE">
        <w:rPr>
          <w:sz w:val="21"/>
          <w:szCs w:val="21"/>
        </w:rPr>
        <w:t>one of the analysed legislation makes reference to any of the above international standards regarding</w:t>
      </w:r>
      <w:r w:rsidRPr="005146AE">
        <w:rPr>
          <w:sz w:val="21"/>
          <w:szCs w:val="21"/>
        </w:rPr>
        <w:t xml:space="preserve"> the activities of mercenaries, </w:t>
      </w:r>
      <w:r w:rsidR="001A0F89" w:rsidRPr="005146AE">
        <w:rPr>
          <w:sz w:val="21"/>
          <w:szCs w:val="21"/>
        </w:rPr>
        <w:t>and</w:t>
      </w:r>
      <w:r w:rsidRPr="005146AE">
        <w:rPr>
          <w:sz w:val="21"/>
          <w:szCs w:val="21"/>
        </w:rPr>
        <w:t xml:space="preserve"> there are no relevant signs of </w:t>
      </w:r>
      <w:r w:rsidR="001A0F89" w:rsidRPr="005146AE">
        <w:rPr>
          <w:sz w:val="21"/>
          <w:szCs w:val="21"/>
        </w:rPr>
        <w:t xml:space="preserve">effective </w:t>
      </w:r>
      <w:r w:rsidRPr="005146AE">
        <w:rPr>
          <w:b/>
          <w:sz w:val="21"/>
          <w:szCs w:val="21"/>
        </w:rPr>
        <w:t>national implementation</w:t>
      </w:r>
      <w:r w:rsidRPr="005146AE">
        <w:rPr>
          <w:sz w:val="21"/>
          <w:szCs w:val="21"/>
        </w:rPr>
        <w:t xml:space="preserve"> of any of these instruments. </w:t>
      </w:r>
    </w:p>
    <w:p w:rsidR="00027523" w:rsidRPr="005146AE" w:rsidRDefault="00027523" w:rsidP="009C7BDB">
      <w:pPr>
        <w:jc w:val="both"/>
        <w:rPr>
          <w:sz w:val="21"/>
          <w:szCs w:val="21"/>
        </w:rPr>
      </w:pPr>
      <w:r w:rsidRPr="005146AE">
        <w:rPr>
          <w:b/>
          <w:sz w:val="21"/>
          <w:szCs w:val="21"/>
          <w:u w:val="single"/>
        </w:rPr>
        <w:t>C.</w:t>
      </w:r>
      <w:r w:rsidRPr="005146AE">
        <w:rPr>
          <w:b/>
          <w:sz w:val="21"/>
          <w:szCs w:val="21"/>
          <w:u w:val="single"/>
          <w:lang w:val="en-US"/>
        </w:rPr>
        <w:t xml:space="preserve"> Conclusions</w:t>
      </w:r>
      <w:r w:rsidRPr="005146AE">
        <w:rPr>
          <w:sz w:val="21"/>
          <w:szCs w:val="21"/>
        </w:rPr>
        <w:t xml:space="preserve"> </w:t>
      </w:r>
    </w:p>
    <w:p w:rsidR="00027523" w:rsidRPr="005146AE" w:rsidRDefault="00027523" w:rsidP="009C7BDB">
      <w:pPr>
        <w:jc w:val="both"/>
        <w:rPr>
          <w:sz w:val="21"/>
          <w:szCs w:val="21"/>
          <w:lang w:val="hu-HU"/>
        </w:rPr>
      </w:pPr>
      <w:r w:rsidRPr="005146AE">
        <w:rPr>
          <w:sz w:val="21"/>
          <w:szCs w:val="21"/>
        </w:rPr>
        <w:t xml:space="preserve">The objective of the study was to carry out an analysis on national legislation regulating PMSCs in eight French-speaking countries in Africa and to identify and compare common elements, gaps and best practices. The findings will help the Working Group to develop guidance for Member States seeking to regulate PMSCs. </w:t>
      </w:r>
      <w:r w:rsidR="005349F8" w:rsidRPr="005146AE">
        <w:rPr>
          <w:sz w:val="21"/>
          <w:szCs w:val="21"/>
          <w:lang w:val="hu-HU"/>
        </w:rPr>
        <w:t>T</w:t>
      </w:r>
      <w:r w:rsidRPr="005146AE">
        <w:rPr>
          <w:sz w:val="21"/>
          <w:szCs w:val="21"/>
          <w:lang w:val="hu-HU"/>
        </w:rPr>
        <w:t xml:space="preserve">he study </w:t>
      </w:r>
      <w:r w:rsidR="00A97258" w:rsidRPr="005146AE">
        <w:rPr>
          <w:sz w:val="21"/>
          <w:szCs w:val="21"/>
        </w:rPr>
        <w:t>confirmed</w:t>
      </w:r>
      <w:r w:rsidRPr="005146AE">
        <w:rPr>
          <w:sz w:val="21"/>
          <w:szCs w:val="21"/>
        </w:rPr>
        <w:t xml:space="preserve"> the need for a legally binding international instrument regulating the activities of the industry.</w:t>
      </w:r>
    </w:p>
    <w:p w:rsidR="00027523" w:rsidRPr="005146AE" w:rsidRDefault="00027523" w:rsidP="009C7BDB">
      <w:pPr>
        <w:jc w:val="both"/>
        <w:rPr>
          <w:sz w:val="21"/>
          <w:szCs w:val="21"/>
        </w:rPr>
      </w:pPr>
      <w:r w:rsidRPr="005146AE">
        <w:rPr>
          <w:sz w:val="21"/>
          <w:szCs w:val="21"/>
        </w:rPr>
        <w:t xml:space="preserve">The research revealed that while each of the eight Francophone African countries examined have legislation regulating PMSCs, each country approaches the privatization of the security industry differently, resulting in patchy and inconsistent regulation in that region. </w:t>
      </w:r>
    </w:p>
    <w:p w:rsidR="00027523" w:rsidRPr="005146AE" w:rsidRDefault="00027523" w:rsidP="009C7BDB">
      <w:pPr>
        <w:jc w:val="both"/>
        <w:rPr>
          <w:sz w:val="21"/>
          <w:szCs w:val="21"/>
        </w:rPr>
      </w:pPr>
      <w:r w:rsidRPr="005146AE">
        <w:rPr>
          <w:rFonts w:cs="Ubuntu"/>
          <w:sz w:val="21"/>
          <w:szCs w:val="21"/>
        </w:rPr>
        <w:t>The transnational nature of private security and military services, the high likelihood of PMSC personnel’s use of force and involvement in hostilities,</w:t>
      </w:r>
      <w:r w:rsidRPr="005146AE">
        <w:rPr>
          <w:sz w:val="21"/>
          <w:szCs w:val="21"/>
        </w:rPr>
        <w:t xml:space="preserve"> and the regulatory gaps and inconsistency of approaches demonstrated in the current study, all suggest a risk that the status quo seriously undermines the rule of law and </w:t>
      </w:r>
      <w:r w:rsidRPr="005146AE">
        <w:rPr>
          <w:rFonts w:cs="Ubuntu"/>
          <w:sz w:val="21"/>
          <w:szCs w:val="21"/>
        </w:rPr>
        <w:t>the effective functioning of democratic State institutions responsible for ensuring public safety</w:t>
      </w:r>
      <w:r w:rsidR="009C7BDB" w:rsidRPr="005146AE">
        <w:rPr>
          <w:rFonts w:cs="Ubuntu"/>
          <w:sz w:val="21"/>
          <w:szCs w:val="21"/>
        </w:rPr>
        <w:t xml:space="preserve">. </w:t>
      </w:r>
      <w:r w:rsidRPr="005146AE">
        <w:rPr>
          <w:sz w:val="21"/>
          <w:szCs w:val="21"/>
        </w:rPr>
        <w:t>Furthermore, the noted regulatory and accountability gaps create potential risks to fundamental human rights, such as the right to security, right to life, the prohibition of arbitrary deprivation of liberty, the prohibition of torture, cruel, inhuman or degrading treatment, and the right of victims to effective remedies.</w:t>
      </w:r>
    </w:p>
    <w:p w:rsidR="00027523" w:rsidRPr="005146AE" w:rsidRDefault="00027523" w:rsidP="009C7BDB">
      <w:pPr>
        <w:jc w:val="both"/>
        <w:rPr>
          <w:sz w:val="21"/>
          <w:szCs w:val="21"/>
        </w:rPr>
      </w:pPr>
      <w:r w:rsidRPr="005146AE">
        <w:rPr>
          <w:sz w:val="21"/>
          <w:szCs w:val="21"/>
        </w:rPr>
        <w:t xml:space="preserve">The research showed a regulatory emphasis on protection provided to persons and goods in the domestic sphere, without addressing private military companies, the issue of military and security services provided abroad or the extraterritorial applicability of relevant legislation. While </w:t>
      </w:r>
      <w:r w:rsidR="005349F8" w:rsidRPr="005146AE">
        <w:rPr>
          <w:sz w:val="21"/>
          <w:szCs w:val="21"/>
        </w:rPr>
        <w:t xml:space="preserve">the study noted that </w:t>
      </w:r>
      <w:r w:rsidRPr="005146AE">
        <w:rPr>
          <w:sz w:val="21"/>
          <w:szCs w:val="21"/>
        </w:rPr>
        <w:t xml:space="preserve">in general States have detailed regulations on licensing and authorisation of private security services, as well as on the procedure of selection and training of personnel, the relevant laws do not include any references to a </w:t>
      </w:r>
      <w:r w:rsidRPr="005146AE">
        <w:rPr>
          <w:sz w:val="21"/>
          <w:szCs w:val="21"/>
        </w:rPr>
        <w:lastRenderedPageBreak/>
        <w:t>single dedicated body responsible for licencing and monitoring the activities of PMSCs</w:t>
      </w:r>
      <w:r w:rsidR="00767799">
        <w:rPr>
          <w:sz w:val="21"/>
          <w:szCs w:val="21"/>
        </w:rPr>
        <w:t>. Nor is there reference to applicable</w:t>
      </w:r>
      <w:r w:rsidRPr="005146AE">
        <w:rPr>
          <w:sz w:val="21"/>
          <w:szCs w:val="21"/>
        </w:rPr>
        <w:t xml:space="preserve"> international human rights and humanitarian law in the selection criteria or the training materials. Considering the diverse activities and the broad geographical scope covered by PMSC services, the lack of regulation in these crucial fields may result in ineffective control over the private security industry and its personnel’s activities, and a lack of familiarity with human rights standards among PMSC personnel. An international convention on licensing, authorisation, selection and training of PMSC personnel would promote national implementation of common and consistent regulation that is desirable to ensure effective scrutiny, accountability and the availability of remedies for violations.  </w:t>
      </w:r>
    </w:p>
    <w:p w:rsidR="00027523" w:rsidRPr="005146AE" w:rsidRDefault="00A97258" w:rsidP="009C7BDB">
      <w:pPr>
        <w:jc w:val="both"/>
        <w:rPr>
          <w:sz w:val="21"/>
          <w:szCs w:val="21"/>
        </w:rPr>
      </w:pPr>
      <w:r w:rsidRPr="005146AE">
        <w:rPr>
          <w:rFonts w:cs="Ubuntu"/>
          <w:color w:val="000000"/>
          <w:sz w:val="21"/>
          <w:szCs w:val="21"/>
        </w:rPr>
        <w:t>The study showed</w:t>
      </w:r>
      <w:r w:rsidR="003F7521">
        <w:rPr>
          <w:rFonts w:cs="Ubuntu"/>
          <w:color w:val="000000"/>
          <w:sz w:val="21"/>
          <w:szCs w:val="21"/>
        </w:rPr>
        <w:t xml:space="preserve"> that despite</w:t>
      </w:r>
      <w:r w:rsidR="00027523" w:rsidRPr="005146AE">
        <w:rPr>
          <w:rFonts w:cs="Ubuntu"/>
          <w:color w:val="000000"/>
          <w:sz w:val="21"/>
          <w:szCs w:val="21"/>
        </w:rPr>
        <w:t xml:space="preserve"> detailed provisions of existing laws on  permitted and prohibited activities, there remains some confusion about the distinction between the functions of the police/armed forces and the functions of private security service providers, including PMSC personnel’s involvement in combat act</w:t>
      </w:r>
      <w:r w:rsidRPr="005146AE">
        <w:rPr>
          <w:rFonts w:cs="Ubuntu"/>
          <w:color w:val="000000"/>
          <w:sz w:val="21"/>
          <w:szCs w:val="21"/>
        </w:rPr>
        <w:t>ivities. The research also noted</w:t>
      </w:r>
      <w:r w:rsidR="00027523" w:rsidRPr="005146AE">
        <w:rPr>
          <w:rFonts w:cs="Ubuntu"/>
          <w:color w:val="000000"/>
          <w:sz w:val="21"/>
          <w:szCs w:val="21"/>
        </w:rPr>
        <w:t xml:space="preserve"> serious regulatory gaps concerning </w:t>
      </w:r>
      <w:r w:rsidR="00027523" w:rsidRPr="005146AE">
        <w:rPr>
          <w:sz w:val="21"/>
          <w:szCs w:val="21"/>
        </w:rPr>
        <w:t xml:space="preserve">the acquisition of weapons and trafficking in arms by PMSC personnel and their consequences, and there are divergent approaches to the use of force and firearms. Taking into account the nature of PMSC activities and the personnel’s potential participation in combat and mercenary related activities, as well as the likelihood </w:t>
      </w:r>
      <w:r w:rsidR="00767799">
        <w:rPr>
          <w:sz w:val="21"/>
          <w:szCs w:val="21"/>
        </w:rPr>
        <w:t>that</w:t>
      </w:r>
      <w:r w:rsidR="00027523" w:rsidRPr="005146AE">
        <w:rPr>
          <w:sz w:val="21"/>
          <w:szCs w:val="21"/>
        </w:rPr>
        <w:t xml:space="preserve"> PMSC staff carry and use weapons, the lack of regulation </w:t>
      </w:r>
      <w:r w:rsidR="00027523" w:rsidRPr="005146AE">
        <w:rPr>
          <w:rFonts w:cs="Ubuntu"/>
          <w:color w:val="000000"/>
          <w:sz w:val="21"/>
          <w:szCs w:val="21"/>
        </w:rPr>
        <w:t xml:space="preserve">creates </w:t>
      </w:r>
      <w:r w:rsidR="00027523" w:rsidRPr="005146AE">
        <w:rPr>
          <w:sz w:val="21"/>
          <w:szCs w:val="21"/>
        </w:rPr>
        <w:t xml:space="preserve">potential risks to the right to security, right to life, the prohibition of arbitrary deprivation of liberty and the prohibition of torture, cruel, inhuman or degrading treatment. An international convention </w:t>
      </w:r>
      <w:r w:rsidR="00767799">
        <w:rPr>
          <w:sz w:val="21"/>
          <w:szCs w:val="21"/>
        </w:rPr>
        <w:t>c</w:t>
      </w:r>
      <w:r w:rsidR="00027523" w:rsidRPr="005146AE">
        <w:rPr>
          <w:sz w:val="21"/>
          <w:szCs w:val="21"/>
        </w:rPr>
        <w:t>ould provide some standard</w:t>
      </w:r>
      <w:r w:rsidR="00027523" w:rsidRPr="005146AE">
        <w:rPr>
          <w:rFonts w:cs="Ubuntu"/>
          <w:color w:val="000000"/>
          <w:sz w:val="21"/>
          <w:szCs w:val="21"/>
          <w:lang w:eastAsia="en-GB"/>
        </w:rPr>
        <w:t xml:space="preserve"> rules and methods of acquiring, exporting, importing, possessing and using weapons and </w:t>
      </w:r>
      <w:r w:rsidR="00027523" w:rsidRPr="005146AE">
        <w:rPr>
          <w:sz w:val="21"/>
          <w:szCs w:val="21"/>
        </w:rPr>
        <w:t>would ensure that the staff of PMSC is held accountable for illegal acquisition of weapons, illicit trafficking in arms and prohibited use of force in all parts of the world.</w:t>
      </w:r>
    </w:p>
    <w:p w:rsidR="00027523" w:rsidRPr="005146AE" w:rsidRDefault="00A97258" w:rsidP="009C7BDB">
      <w:pPr>
        <w:jc w:val="both"/>
        <w:rPr>
          <w:rFonts w:eastAsia="Times New Roman" w:cs="Ubuntu"/>
          <w:bCs/>
          <w:color w:val="000000"/>
          <w:sz w:val="21"/>
          <w:szCs w:val="21"/>
          <w:lang w:eastAsia="en-GB"/>
        </w:rPr>
      </w:pPr>
      <w:r w:rsidRPr="005146AE">
        <w:rPr>
          <w:sz w:val="21"/>
          <w:szCs w:val="21"/>
        </w:rPr>
        <w:t>The study showed</w:t>
      </w:r>
      <w:r w:rsidR="00027523" w:rsidRPr="005146AE">
        <w:rPr>
          <w:sz w:val="21"/>
          <w:szCs w:val="21"/>
        </w:rPr>
        <w:t xml:space="preserve"> that the analysed legislation </w:t>
      </w:r>
      <w:r w:rsidR="00027523" w:rsidRPr="005146AE">
        <w:rPr>
          <w:rFonts w:eastAsia="Times New Roman" w:cs="Ubuntu"/>
          <w:bCs/>
          <w:color w:val="000000"/>
          <w:sz w:val="21"/>
          <w:szCs w:val="21"/>
          <w:lang w:eastAsia="en-GB"/>
        </w:rPr>
        <w:t xml:space="preserve">lacks specific rules on the content of monitoring activities and inspections, as well as references to the company’s or its personnel’s compliance with the standards of international human rights law and humanitarian law, penal accountability and civil liability of individuals and corporate actors, as well as effective remedies to victims. </w:t>
      </w:r>
    </w:p>
    <w:p w:rsidR="00027523" w:rsidRPr="005146AE" w:rsidRDefault="003F7521" w:rsidP="009C7BDB">
      <w:pPr>
        <w:jc w:val="both"/>
        <w:rPr>
          <w:sz w:val="21"/>
          <w:szCs w:val="21"/>
        </w:rPr>
      </w:pPr>
      <w:r>
        <w:rPr>
          <w:sz w:val="21"/>
          <w:szCs w:val="21"/>
        </w:rPr>
        <w:t>R</w:t>
      </w:r>
      <w:r w:rsidR="00027523" w:rsidRPr="005146AE">
        <w:rPr>
          <w:sz w:val="21"/>
          <w:szCs w:val="21"/>
        </w:rPr>
        <w:t xml:space="preserve">esearch into </w:t>
      </w:r>
      <w:r>
        <w:rPr>
          <w:sz w:val="21"/>
          <w:szCs w:val="21"/>
        </w:rPr>
        <w:t xml:space="preserve">the </w:t>
      </w:r>
      <w:r w:rsidR="00027523" w:rsidRPr="005146AE">
        <w:rPr>
          <w:sz w:val="21"/>
          <w:szCs w:val="21"/>
        </w:rPr>
        <w:t xml:space="preserve">national regulatory strategies </w:t>
      </w:r>
      <w:r>
        <w:rPr>
          <w:sz w:val="21"/>
          <w:szCs w:val="21"/>
        </w:rPr>
        <w:t xml:space="preserve">of other regions will follow </w:t>
      </w:r>
      <w:r w:rsidR="00027523" w:rsidRPr="005146AE">
        <w:rPr>
          <w:sz w:val="21"/>
          <w:szCs w:val="21"/>
        </w:rPr>
        <w:t xml:space="preserve">in order to identify </w:t>
      </w:r>
      <w:r>
        <w:rPr>
          <w:sz w:val="21"/>
          <w:szCs w:val="21"/>
        </w:rPr>
        <w:t xml:space="preserve">further </w:t>
      </w:r>
      <w:r w:rsidR="00027523" w:rsidRPr="005146AE">
        <w:rPr>
          <w:sz w:val="21"/>
          <w:szCs w:val="21"/>
        </w:rPr>
        <w:t xml:space="preserve">trends, gaps and good practices in regulating PMSCs. </w:t>
      </w:r>
    </w:p>
    <w:p w:rsidR="00027523" w:rsidRPr="005146AE" w:rsidRDefault="00027523" w:rsidP="009C7BDB">
      <w:pPr>
        <w:jc w:val="both"/>
        <w:rPr>
          <w:sz w:val="21"/>
          <w:szCs w:val="21"/>
        </w:rPr>
      </w:pPr>
      <w:r w:rsidRPr="005146AE">
        <w:rPr>
          <w:sz w:val="21"/>
          <w:szCs w:val="21"/>
        </w:rPr>
        <w:t xml:space="preserve">Finally, the Working Group notes that the research also showed that while the reviewed States show commitment to certain international or regional instruments related to mercenaries, according to the legislation available for the analysis, none of them prohibit mercenary activities at a national level. </w:t>
      </w:r>
    </w:p>
    <w:p w:rsidR="00EA13D7" w:rsidRPr="005146AE" w:rsidRDefault="00EA13D7" w:rsidP="009C7BDB">
      <w:pPr>
        <w:jc w:val="both"/>
        <w:rPr>
          <w:sz w:val="21"/>
          <w:szCs w:val="21"/>
        </w:rPr>
      </w:pPr>
    </w:p>
    <w:p w:rsidR="00EA13D7" w:rsidRPr="005146AE" w:rsidRDefault="00EA13D7" w:rsidP="009C7BDB">
      <w:pPr>
        <w:jc w:val="both"/>
        <w:rPr>
          <w:sz w:val="21"/>
          <w:szCs w:val="21"/>
        </w:rPr>
      </w:pPr>
    </w:p>
    <w:p w:rsidR="00EA13D7" w:rsidRPr="005146AE" w:rsidRDefault="00EA13D7" w:rsidP="009C7BDB">
      <w:pPr>
        <w:jc w:val="both"/>
        <w:rPr>
          <w:sz w:val="21"/>
          <w:szCs w:val="21"/>
        </w:rPr>
      </w:pPr>
    </w:p>
    <w:p w:rsidR="00EA13D7" w:rsidRPr="005146AE" w:rsidRDefault="00EA13D7" w:rsidP="009C7BDB">
      <w:pPr>
        <w:jc w:val="both"/>
        <w:rPr>
          <w:sz w:val="21"/>
          <w:szCs w:val="21"/>
        </w:rPr>
      </w:pPr>
    </w:p>
    <w:p w:rsidR="009C7BDB" w:rsidRPr="005146AE" w:rsidRDefault="009C7BDB" w:rsidP="009C7BDB">
      <w:pPr>
        <w:jc w:val="both"/>
        <w:rPr>
          <w:b/>
          <w:sz w:val="21"/>
          <w:szCs w:val="21"/>
          <w:u w:val="single"/>
        </w:rPr>
      </w:pPr>
    </w:p>
    <w:sectPr w:rsidR="009C7BDB" w:rsidRPr="005146AE" w:rsidSect="001E7CC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64" w:rsidRDefault="00BB0664" w:rsidP="00027523">
      <w:pPr>
        <w:spacing w:after="0" w:line="240" w:lineRule="auto"/>
      </w:pPr>
      <w:r>
        <w:separator/>
      </w:r>
    </w:p>
  </w:endnote>
  <w:endnote w:type="continuationSeparator" w:id="0">
    <w:p w:rsidR="00BB0664" w:rsidRDefault="00BB0664" w:rsidP="0002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CD" w:rsidRDefault="001E7CC8">
    <w:pPr>
      <w:pStyle w:val="Footer"/>
      <w:jc w:val="right"/>
    </w:pPr>
    <w:r>
      <w:fldChar w:fldCharType="begin"/>
    </w:r>
    <w:r w:rsidR="008A52B7">
      <w:instrText>PAGE   \* MERGEFORMAT</w:instrText>
    </w:r>
    <w:r>
      <w:fldChar w:fldCharType="separate"/>
    </w:r>
    <w:r w:rsidR="001F47A5">
      <w:rPr>
        <w:noProof/>
      </w:rPr>
      <w:t>1</w:t>
    </w:r>
    <w:r>
      <w:fldChar w:fldCharType="end"/>
    </w:r>
  </w:p>
  <w:p w:rsidR="002807CD" w:rsidRDefault="001F4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64" w:rsidRDefault="00BB0664" w:rsidP="00027523">
      <w:pPr>
        <w:spacing w:after="0" w:line="240" w:lineRule="auto"/>
      </w:pPr>
      <w:r>
        <w:separator/>
      </w:r>
    </w:p>
  </w:footnote>
  <w:footnote w:type="continuationSeparator" w:id="0">
    <w:p w:rsidR="00BB0664" w:rsidRDefault="00BB0664" w:rsidP="00027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09" w:rsidRDefault="00A52209" w:rsidP="00A52209">
    <w:pPr>
      <w:pStyle w:val="Header"/>
      <w:spacing w:after="0"/>
      <w:jc w:val="center"/>
    </w:pPr>
    <w:r>
      <w:t>Executive Summary /analysis of eight Francophone African countries’ national legislation on PMSCs</w:t>
    </w:r>
  </w:p>
  <w:p w:rsidR="00C73DFE" w:rsidRDefault="001F47A5" w:rsidP="00A52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pStyle w:val="Felsorols1"/>
      <w:lvlText w:val=""/>
      <w:lvlJc w:val="left"/>
      <w:pPr>
        <w:tabs>
          <w:tab w:val="num" w:pos="0"/>
        </w:tabs>
        <w:ind w:left="720" w:hanging="360"/>
      </w:pPr>
      <w:rPr>
        <w:rFonts w:ascii="Symbol" w:hAnsi="Symbol" w:cs="OpenSymbol"/>
      </w:rPr>
    </w:lvl>
    <w:lvl w:ilvl="1">
      <w:numFmt w:val="decimal"/>
      <w:lvlText w:val="%2"/>
      <w:lvlJc w:val="left"/>
      <w:pPr>
        <w:tabs>
          <w:tab w:val="num" w:pos="0"/>
        </w:tabs>
        <w:ind w:left="1080" w:hanging="360"/>
      </w:pPr>
    </w:lvl>
    <w:lvl w:ilvl="2">
      <w:numFmt w:val="decimal"/>
      <w:lvlText w:val="%3"/>
      <w:lvlJc w:val="left"/>
      <w:pPr>
        <w:tabs>
          <w:tab w:val="num" w:pos="0"/>
        </w:tabs>
        <w:ind w:left="1440" w:hanging="360"/>
      </w:pPr>
    </w:lvl>
    <w:lvl w:ilvl="3">
      <w:numFmt w:val="decimal"/>
      <w:lvlText w:val="%4"/>
      <w:lvlJc w:val="left"/>
      <w:pPr>
        <w:tabs>
          <w:tab w:val="num" w:pos="0"/>
        </w:tabs>
        <w:ind w:left="1800" w:hanging="360"/>
      </w:pPr>
    </w:lvl>
    <w:lvl w:ilvl="4">
      <w:numFmt w:val="decimal"/>
      <w:lvlText w:val="%5"/>
      <w:lvlJc w:val="left"/>
      <w:pPr>
        <w:tabs>
          <w:tab w:val="num" w:pos="0"/>
        </w:tabs>
        <w:ind w:left="2160" w:hanging="360"/>
      </w:pPr>
    </w:lvl>
    <w:lvl w:ilvl="5">
      <w:numFmt w:val="decimal"/>
      <w:lvlText w:val="%6"/>
      <w:lvlJc w:val="left"/>
      <w:pPr>
        <w:tabs>
          <w:tab w:val="num" w:pos="0"/>
        </w:tabs>
        <w:ind w:left="2520" w:hanging="360"/>
      </w:pPr>
    </w:lvl>
    <w:lvl w:ilvl="6">
      <w:numFmt w:val="decimal"/>
      <w:lvlText w:val="%7"/>
      <w:lvlJc w:val="left"/>
      <w:pPr>
        <w:tabs>
          <w:tab w:val="num" w:pos="0"/>
        </w:tabs>
        <w:ind w:left="2880" w:hanging="360"/>
      </w:pPr>
    </w:lvl>
    <w:lvl w:ilvl="7">
      <w:numFmt w:val="decimal"/>
      <w:lvlText w:val="%8"/>
      <w:lvlJc w:val="left"/>
      <w:pPr>
        <w:tabs>
          <w:tab w:val="num" w:pos="0"/>
        </w:tabs>
        <w:ind w:left="3240" w:hanging="360"/>
      </w:pPr>
    </w:lvl>
    <w:lvl w:ilvl="8">
      <w:numFmt w:val="decimal"/>
      <w:lvlText w:val="%9"/>
      <w:lvlJc w:val="left"/>
      <w:pPr>
        <w:tabs>
          <w:tab w:val="num" w:pos="0"/>
        </w:tabs>
        <w:ind w:left="3600" w:hanging="360"/>
      </w:pPr>
    </w:lvl>
  </w:abstractNum>
  <w:abstractNum w:abstractNumId="1">
    <w:nsid w:val="0BE45723"/>
    <w:multiLevelType w:val="hybridMultilevel"/>
    <w:tmpl w:val="59B03A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B3"/>
    <w:rsid w:val="0000683E"/>
    <w:rsid w:val="00015505"/>
    <w:rsid w:val="00027523"/>
    <w:rsid w:val="00027B42"/>
    <w:rsid w:val="000864EA"/>
    <w:rsid w:val="000D5AE9"/>
    <w:rsid w:val="000D62DF"/>
    <w:rsid w:val="000E338B"/>
    <w:rsid w:val="001245B3"/>
    <w:rsid w:val="00154108"/>
    <w:rsid w:val="00192A46"/>
    <w:rsid w:val="001A0F89"/>
    <w:rsid w:val="001D546F"/>
    <w:rsid w:val="001E3547"/>
    <w:rsid w:val="001E7CC8"/>
    <w:rsid w:val="001F47A5"/>
    <w:rsid w:val="0020165F"/>
    <w:rsid w:val="002259CE"/>
    <w:rsid w:val="002D235E"/>
    <w:rsid w:val="00304842"/>
    <w:rsid w:val="00313601"/>
    <w:rsid w:val="00314B8C"/>
    <w:rsid w:val="003B3102"/>
    <w:rsid w:val="003F7521"/>
    <w:rsid w:val="00470CA9"/>
    <w:rsid w:val="004A5DA5"/>
    <w:rsid w:val="004C114A"/>
    <w:rsid w:val="004F5E1C"/>
    <w:rsid w:val="004F7DAA"/>
    <w:rsid w:val="005146AE"/>
    <w:rsid w:val="005349F8"/>
    <w:rsid w:val="0056336D"/>
    <w:rsid w:val="005B1B16"/>
    <w:rsid w:val="005C5F0F"/>
    <w:rsid w:val="005D5115"/>
    <w:rsid w:val="005F1547"/>
    <w:rsid w:val="00616E52"/>
    <w:rsid w:val="0062471E"/>
    <w:rsid w:val="0069611B"/>
    <w:rsid w:val="006C45AD"/>
    <w:rsid w:val="006D2204"/>
    <w:rsid w:val="00767799"/>
    <w:rsid w:val="0078437F"/>
    <w:rsid w:val="007845C0"/>
    <w:rsid w:val="007F5198"/>
    <w:rsid w:val="00855B65"/>
    <w:rsid w:val="008A52B7"/>
    <w:rsid w:val="008B5552"/>
    <w:rsid w:val="008C5E28"/>
    <w:rsid w:val="0091384E"/>
    <w:rsid w:val="009C4376"/>
    <w:rsid w:val="009C7BDB"/>
    <w:rsid w:val="00A52209"/>
    <w:rsid w:val="00A70150"/>
    <w:rsid w:val="00A97258"/>
    <w:rsid w:val="00AB23FB"/>
    <w:rsid w:val="00BA121C"/>
    <w:rsid w:val="00BB0664"/>
    <w:rsid w:val="00BC03F8"/>
    <w:rsid w:val="00BC60FE"/>
    <w:rsid w:val="00BD0FE3"/>
    <w:rsid w:val="00C57149"/>
    <w:rsid w:val="00C759F0"/>
    <w:rsid w:val="00CF5D2C"/>
    <w:rsid w:val="00D04619"/>
    <w:rsid w:val="00D30A74"/>
    <w:rsid w:val="00D4718C"/>
    <w:rsid w:val="00D50A85"/>
    <w:rsid w:val="00D526B3"/>
    <w:rsid w:val="00D52E4B"/>
    <w:rsid w:val="00DA1D11"/>
    <w:rsid w:val="00DF276C"/>
    <w:rsid w:val="00DF5C4A"/>
    <w:rsid w:val="00EA13D7"/>
    <w:rsid w:val="00F07989"/>
    <w:rsid w:val="00F509E7"/>
    <w:rsid w:val="00F7524A"/>
    <w:rsid w:val="00F85469"/>
    <w:rsid w:val="00FB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2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7523"/>
    <w:pPr>
      <w:spacing w:after="0" w:line="240" w:lineRule="auto"/>
    </w:pPr>
    <w:rPr>
      <w:sz w:val="20"/>
      <w:szCs w:val="20"/>
      <w:lang w:val="hu-HU"/>
    </w:rPr>
  </w:style>
  <w:style w:type="character" w:customStyle="1" w:styleId="FootnoteTextChar">
    <w:name w:val="Footnote Text Char"/>
    <w:basedOn w:val="DefaultParagraphFont"/>
    <w:link w:val="FootnoteText"/>
    <w:uiPriority w:val="99"/>
    <w:semiHidden/>
    <w:rsid w:val="00027523"/>
    <w:rPr>
      <w:rFonts w:ascii="Calibri" w:eastAsia="Calibri" w:hAnsi="Calibri" w:cs="Times New Roman"/>
      <w:sz w:val="20"/>
      <w:szCs w:val="20"/>
    </w:rPr>
  </w:style>
  <w:style w:type="character" w:styleId="FootnoteReference">
    <w:name w:val="footnote reference"/>
    <w:uiPriority w:val="99"/>
    <w:semiHidden/>
    <w:unhideWhenUsed/>
    <w:rsid w:val="00027523"/>
    <w:rPr>
      <w:vertAlign w:val="superscript"/>
    </w:rPr>
  </w:style>
  <w:style w:type="paragraph" w:customStyle="1" w:styleId="Felsorols1">
    <w:name w:val="Felsorolás1"/>
    <w:basedOn w:val="Normal"/>
    <w:rsid w:val="00027523"/>
    <w:pPr>
      <w:numPr>
        <w:numId w:val="1"/>
      </w:numPr>
      <w:suppressAutoHyphens/>
    </w:pPr>
    <w:rPr>
      <w:lang w:eastAsia="zh-CN"/>
    </w:rPr>
  </w:style>
  <w:style w:type="paragraph" w:styleId="BodyText">
    <w:name w:val="Body Text"/>
    <w:basedOn w:val="Normal"/>
    <w:link w:val="BodyTextChar"/>
    <w:rsid w:val="00027523"/>
    <w:pPr>
      <w:suppressAutoHyphens/>
      <w:spacing w:after="0" w:line="240" w:lineRule="auto"/>
      <w:ind w:left="118" w:hanging="152"/>
    </w:pPr>
    <w:rPr>
      <w:rFonts w:ascii="Arial" w:eastAsia="Arial" w:hAnsi="Arial"/>
      <w:kern w:val="1"/>
      <w:sz w:val="18"/>
      <w:szCs w:val="18"/>
      <w:lang w:val="en-US"/>
    </w:rPr>
  </w:style>
  <w:style w:type="character" w:customStyle="1" w:styleId="BodyTextChar">
    <w:name w:val="Body Text Char"/>
    <w:basedOn w:val="DefaultParagraphFont"/>
    <w:link w:val="BodyText"/>
    <w:rsid w:val="00027523"/>
    <w:rPr>
      <w:rFonts w:ascii="Arial" w:eastAsia="Arial" w:hAnsi="Arial" w:cs="Times New Roman"/>
      <w:kern w:val="1"/>
      <w:sz w:val="18"/>
      <w:szCs w:val="18"/>
      <w:lang w:val="en-US"/>
    </w:rPr>
  </w:style>
  <w:style w:type="paragraph" w:styleId="Footer">
    <w:name w:val="footer"/>
    <w:basedOn w:val="Normal"/>
    <w:link w:val="FooterChar"/>
    <w:uiPriority w:val="99"/>
    <w:unhideWhenUsed/>
    <w:rsid w:val="00027523"/>
    <w:pPr>
      <w:tabs>
        <w:tab w:val="center" w:pos="4536"/>
        <w:tab w:val="right" w:pos="9072"/>
      </w:tabs>
      <w:spacing w:after="0" w:line="240" w:lineRule="auto"/>
    </w:pPr>
    <w:rPr>
      <w:lang w:val="hu-HU"/>
    </w:rPr>
  </w:style>
  <w:style w:type="character" w:customStyle="1" w:styleId="FooterChar">
    <w:name w:val="Footer Char"/>
    <w:basedOn w:val="DefaultParagraphFont"/>
    <w:link w:val="Footer"/>
    <w:uiPriority w:val="99"/>
    <w:rsid w:val="00027523"/>
    <w:rPr>
      <w:rFonts w:ascii="Calibri" w:eastAsia="Calibri" w:hAnsi="Calibri" w:cs="Times New Roman"/>
    </w:rPr>
  </w:style>
  <w:style w:type="character" w:styleId="Hyperlink">
    <w:name w:val="Hyperlink"/>
    <w:uiPriority w:val="99"/>
    <w:rsid w:val="00027523"/>
    <w:rPr>
      <w:color w:val="auto"/>
      <w:u w:val="none"/>
    </w:rPr>
  </w:style>
  <w:style w:type="paragraph" w:styleId="Header">
    <w:name w:val="header"/>
    <w:basedOn w:val="Normal"/>
    <w:link w:val="HeaderChar"/>
    <w:uiPriority w:val="99"/>
    <w:unhideWhenUsed/>
    <w:rsid w:val="00027523"/>
    <w:pPr>
      <w:tabs>
        <w:tab w:val="center" w:pos="4536"/>
        <w:tab w:val="right" w:pos="9072"/>
      </w:tabs>
    </w:pPr>
  </w:style>
  <w:style w:type="character" w:customStyle="1" w:styleId="HeaderChar">
    <w:name w:val="Header Char"/>
    <w:basedOn w:val="DefaultParagraphFont"/>
    <w:link w:val="Header"/>
    <w:uiPriority w:val="99"/>
    <w:rsid w:val="00027523"/>
    <w:rPr>
      <w:rFonts w:ascii="Calibri" w:eastAsia="Calibri" w:hAnsi="Calibri" w:cs="Times New Roman"/>
      <w:lang w:val="en-GB"/>
    </w:rPr>
  </w:style>
  <w:style w:type="paragraph" w:styleId="ListParagraph">
    <w:name w:val="List Paragraph"/>
    <w:basedOn w:val="Normal"/>
    <w:uiPriority w:val="34"/>
    <w:qFormat/>
    <w:rsid w:val="00027523"/>
    <w:pPr>
      <w:ind w:left="720"/>
      <w:contextualSpacing/>
    </w:pPr>
    <w:rPr>
      <w:lang w:val="hu-HU"/>
    </w:rPr>
  </w:style>
  <w:style w:type="paragraph" w:styleId="BalloonText">
    <w:name w:val="Balloon Text"/>
    <w:basedOn w:val="Normal"/>
    <w:link w:val="BalloonTextChar"/>
    <w:uiPriority w:val="99"/>
    <w:semiHidden/>
    <w:unhideWhenUsed/>
    <w:rsid w:val="00A5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209"/>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5F1547"/>
    <w:rPr>
      <w:sz w:val="16"/>
      <w:szCs w:val="16"/>
    </w:rPr>
  </w:style>
  <w:style w:type="paragraph" w:styleId="CommentText">
    <w:name w:val="annotation text"/>
    <w:basedOn w:val="Normal"/>
    <w:link w:val="CommentTextChar"/>
    <w:uiPriority w:val="99"/>
    <w:semiHidden/>
    <w:unhideWhenUsed/>
    <w:rsid w:val="005F1547"/>
    <w:pPr>
      <w:spacing w:line="240" w:lineRule="auto"/>
    </w:pPr>
    <w:rPr>
      <w:sz w:val="20"/>
      <w:szCs w:val="20"/>
    </w:rPr>
  </w:style>
  <w:style w:type="character" w:customStyle="1" w:styleId="CommentTextChar">
    <w:name w:val="Comment Text Char"/>
    <w:basedOn w:val="DefaultParagraphFont"/>
    <w:link w:val="CommentText"/>
    <w:uiPriority w:val="99"/>
    <w:semiHidden/>
    <w:rsid w:val="005F154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F1547"/>
    <w:rPr>
      <w:b/>
      <w:bCs/>
    </w:rPr>
  </w:style>
  <w:style w:type="character" w:customStyle="1" w:styleId="CommentSubjectChar">
    <w:name w:val="Comment Subject Char"/>
    <w:basedOn w:val="CommentTextChar"/>
    <w:link w:val="CommentSubject"/>
    <w:uiPriority w:val="99"/>
    <w:semiHidden/>
    <w:rsid w:val="005F1547"/>
    <w:rPr>
      <w:rFonts w:ascii="Calibri" w:eastAsia="Calibri" w:hAnsi="Calibri" w:cs="Times New Roman"/>
      <w:b/>
      <w:bCs/>
      <w:sz w:val="20"/>
      <w:szCs w:val="20"/>
      <w:lang w:val="en-GB"/>
    </w:rPr>
  </w:style>
  <w:style w:type="paragraph" w:styleId="Revision">
    <w:name w:val="Revision"/>
    <w:hidden/>
    <w:uiPriority w:val="99"/>
    <w:semiHidden/>
    <w:rsid w:val="005F1547"/>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2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7523"/>
    <w:pPr>
      <w:spacing w:after="0" w:line="240" w:lineRule="auto"/>
    </w:pPr>
    <w:rPr>
      <w:sz w:val="20"/>
      <w:szCs w:val="20"/>
      <w:lang w:val="hu-HU"/>
    </w:rPr>
  </w:style>
  <w:style w:type="character" w:customStyle="1" w:styleId="FootnoteTextChar">
    <w:name w:val="Footnote Text Char"/>
    <w:basedOn w:val="DefaultParagraphFont"/>
    <w:link w:val="FootnoteText"/>
    <w:uiPriority w:val="99"/>
    <w:semiHidden/>
    <w:rsid w:val="00027523"/>
    <w:rPr>
      <w:rFonts w:ascii="Calibri" w:eastAsia="Calibri" w:hAnsi="Calibri" w:cs="Times New Roman"/>
      <w:sz w:val="20"/>
      <w:szCs w:val="20"/>
    </w:rPr>
  </w:style>
  <w:style w:type="character" w:styleId="FootnoteReference">
    <w:name w:val="footnote reference"/>
    <w:uiPriority w:val="99"/>
    <w:semiHidden/>
    <w:unhideWhenUsed/>
    <w:rsid w:val="00027523"/>
    <w:rPr>
      <w:vertAlign w:val="superscript"/>
    </w:rPr>
  </w:style>
  <w:style w:type="paragraph" w:customStyle="1" w:styleId="Felsorols1">
    <w:name w:val="Felsorolás1"/>
    <w:basedOn w:val="Normal"/>
    <w:rsid w:val="00027523"/>
    <w:pPr>
      <w:numPr>
        <w:numId w:val="1"/>
      </w:numPr>
      <w:suppressAutoHyphens/>
    </w:pPr>
    <w:rPr>
      <w:lang w:eastAsia="zh-CN"/>
    </w:rPr>
  </w:style>
  <w:style w:type="paragraph" w:styleId="BodyText">
    <w:name w:val="Body Text"/>
    <w:basedOn w:val="Normal"/>
    <w:link w:val="BodyTextChar"/>
    <w:rsid w:val="00027523"/>
    <w:pPr>
      <w:suppressAutoHyphens/>
      <w:spacing w:after="0" w:line="240" w:lineRule="auto"/>
      <w:ind w:left="118" w:hanging="152"/>
    </w:pPr>
    <w:rPr>
      <w:rFonts w:ascii="Arial" w:eastAsia="Arial" w:hAnsi="Arial"/>
      <w:kern w:val="1"/>
      <w:sz w:val="18"/>
      <w:szCs w:val="18"/>
      <w:lang w:val="en-US"/>
    </w:rPr>
  </w:style>
  <w:style w:type="character" w:customStyle="1" w:styleId="BodyTextChar">
    <w:name w:val="Body Text Char"/>
    <w:basedOn w:val="DefaultParagraphFont"/>
    <w:link w:val="BodyText"/>
    <w:rsid w:val="00027523"/>
    <w:rPr>
      <w:rFonts w:ascii="Arial" w:eastAsia="Arial" w:hAnsi="Arial" w:cs="Times New Roman"/>
      <w:kern w:val="1"/>
      <w:sz w:val="18"/>
      <w:szCs w:val="18"/>
      <w:lang w:val="en-US"/>
    </w:rPr>
  </w:style>
  <w:style w:type="paragraph" w:styleId="Footer">
    <w:name w:val="footer"/>
    <w:basedOn w:val="Normal"/>
    <w:link w:val="FooterChar"/>
    <w:uiPriority w:val="99"/>
    <w:unhideWhenUsed/>
    <w:rsid w:val="00027523"/>
    <w:pPr>
      <w:tabs>
        <w:tab w:val="center" w:pos="4536"/>
        <w:tab w:val="right" w:pos="9072"/>
      </w:tabs>
      <w:spacing w:after="0" w:line="240" w:lineRule="auto"/>
    </w:pPr>
    <w:rPr>
      <w:lang w:val="hu-HU"/>
    </w:rPr>
  </w:style>
  <w:style w:type="character" w:customStyle="1" w:styleId="FooterChar">
    <w:name w:val="Footer Char"/>
    <w:basedOn w:val="DefaultParagraphFont"/>
    <w:link w:val="Footer"/>
    <w:uiPriority w:val="99"/>
    <w:rsid w:val="00027523"/>
    <w:rPr>
      <w:rFonts w:ascii="Calibri" w:eastAsia="Calibri" w:hAnsi="Calibri" w:cs="Times New Roman"/>
    </w:rPr>
  </w:style>
  <w:style w:type="character" w:styleId="Hyperlink">
    <w:name w:val="Hyperlink"/>
    <w:uiPriority w:val="99"/>
    <w:rsid w:val="00027523"/>
    <w:rPr>
      <w:color w:val="auto"/>
      <w:u w:val="none"/>
    </w:rPr>
  </w:style>
  <w:style w:type="paragraph" w:styleId="Header">
    <w:name w:val="header"/>
    <w:basedOn w:val="Normal"/>
    <w:link w:val="HeaderChar"/>
    <w:uiPriority w:val="99"/>
    <w:unhideWhenUsed/>
    <w:rsid w:val="00027523"/>
    <w:pPr>
      <w:tabs>
        <w:tab w:val="center" w:pos="4536"/>
        <w:tab w:val="right" w:pos="9072"/>
      </w:tabs>
    </w:pPr>
  </w:style>
  <w:style w:type="character" w:customStyle="1" w:styleId="HeaderChar">
    <w:name w:val="Header Char"/>
    <w:basedOn w:val="DefaultParagraphFont"/>
    <w:link w:val="Header"/>
    <w:uiPriority w:val="99"/>
    <w:rsid w:val="00027523"/>
    <w:rPr>
      <w:rFonts w:ascii="Calibri" w:eastAsia="Calibri" w:hAnsi="Calibri" w:cs="Times New Roman"/>
      <w:lang w:val="en-GB"/>
    </w:rPr>
  </w:style>
  <w:style w:type="paragraph" w:styleId="ListParagraph">
    <w:name w:val="List Paragraph"/>
    <w:basedOn w:val="Normal"/>
    <w:uiPriority w:val="34"/>
    <w:qFormat/>
    <w:rsid w:val="00027523"/>
    <w:pPr>
      <w:ind w:left="720"/>
      <w:contextualSpacing/>
    </w:pPr>
    <w:rPr>
      <w:lang w:val="hu-HU"/>
    </w:rPr>
  </w:style>
  <w:style w:type="paragraph" w:styleId="BalloonText">
    <w:name w:val="Balloon Text"/>
    <w:basedOn w:val="Normal"/>
    <w:link w:val="BalloonTextChar"/>
    <w:uiPriority w:val="99"/>
    <w:semiHidden/>
    <w:unhideWhenUsed/>
    <w:rsid w:val="00A5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209"/>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5F1547"/>
    <w:rPr>
      <w:sz w:val="16"/>
      <w:szCs w:val="16"/>
    </w:rPr>
  </w:style>
  <w:style w:type="paragraph" w:styleId="CommentText">
    <w:name w:val="annotation text"/>
    <w:basedOn w:val="Normal"/>
    <w:link w:val="CommentTextChar"/>
    <w:uiPriority w:val="99"/>
    <w:semiHidden/>
    <w:unhideWhenUsed/>
    <w:rsid w:val="005F1547"/>
    <w:pPr>
      <w:spacing w:line="240" w:lineRule="auto"/>
    </w:pPr>
    <w:rPr>
      <w:sz w:val="20"/>
      <w:szCs w:val="20"/>
    </w:rPr>
  </w:style>
  <w:style w:type="character" w:customStyle="1" w:styleId="CommentTextChar">
    <w:name w:val="Comment Text Char"/>
    <w:basedOn w:val="DefaultParagraphFont"/>
    <w:link w:val="CommentText"/>
    <w:uiPriority w:val="99"/>
    <w:semiHidden/>
    <w:rsid w:val="005F154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F1547"/>
    <w:rPr>
      <w:b/>
      <w:bCs/>
    </w:rPr>
  </w:style>
  <w:style w:type="character" w:customStyle="1" w:styleId="CommentSubjectChar">
    <w:name w:val="Comment Subject Char"/>
    <w:basedOn w:val="CommentTextChar"/>
    <w:link w:val="CommentSubject"/>
    <w:uiPriority w:val="99"/>
    <w:semiHidden/>
    <w:rsid w:val="005F1547"/>
    <w:rPr>
      <w:rFonts w:ascii="Calibri" w:eastAsia="Calibri" w:hAnsi="Calibri" w:cs="Times New Roman"/>
      <w:b/>
      <w:bCs/>
      <w:sz w:val="20"/>
      <w:szCs w:val="20"/>
      <w:lang w:val="en-GB"/>
    </w:rPr>
  </w:style>
  <w:style w:type="paragraph" w:styleId="Revision">
    <w:name w:val="Revision"/>
    <w:hidden/>
    <w:uiPriority w:val="99"/>
    <w:semiHidden/>
    <w:rsid w:val="005F1547"/>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4AFE0-4AEB-47A0-ACE5-A7D36C06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2254</Words>
  <Characters>12849</Characters>
  <Application>Microsoft Office Word</Application>
  <DocSecurity>0</DocSecurity>
  <Lines>107</Lines>
  <Paragraphs>30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Kingus</dc:creator>
  <cp:lastModifiedBy>Tautakitaki Jolene</cp:lastModifiedBy>
  <cp:revision>7</cp:revision>
  <dcterms:created xsi:type="dcterms:W3CDTF">2014-02-10T04:54:00Z</dcterms:created>
  <dcterms:modified xsi:type="dcterms:W3CDTF">2014-06-13T13:39:00Z</dcterms:modified>
</cp:coreProperties>
</file>