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74047" w14:textId="77777777" w:rsidR="00723CF6" w:rsidRDefault="00723CF6" w:rsidP="000E4155">
      <w:pPr>
        <w:jc w:val="center"/>
        <w:rPr>
          <w:b/>
          <w:lang w:val="es-ES"/>
        </w:rPr>
      </w:pPr>
    </w:p>
    <w:p w14:paraId="7809D588" w14:textId="77777777" w:rsidR="00723CF6" w:rsidRDefault="00723CF6" w:rsidP="000E4155">
      <w:pPr>
        <w:jc w:val="center"/>
        <w:rPr>
          <w:b/>
          <w:lang w:val="es-ES"/>
        </w:rPr>
      </w:pPr>
    </w:p>
    <w:p w14:paraId="7187168E" w14:textId="77777777" w:rsidR="00653933" w:rsidRDefault="00653933" w:rsidP="000E4155">
      <w:pPr>
        <w:jc w:val="center"/>
        <w:rPr>
          <w:b/>
          <w:lang w:val="es-ES"/>
        </w:rPr>
      </w:pPr>
    </w:p>
    <w:p w14:paraId="66792B56" w14:textId="77777777" w:rsidR="00653933" w:rsidRDefault="00653933" w:rsidP="00653933">
      <w:pPr>
        <w:jc w:val="center"/>
        <w:rPr>
          <w:b/>
          <w:lang w:val="es-ES"/>
        </w:rPr>
      </w:pPr>
    </w:p>
    <w:p w14:paraId="6B280781" w14:textId="50C7F087" w:rsidR="00104AE3" w:rsidRPr="00560A20" w:rsidRDefault="00653933" w:rsidP="00DC0E0D">
      <w:pPr>
        <w:jc w:val="center"/>
        <w:rPr>
          <w:b/>
          <w:sz w:val="36"/>
          <w:szCs w:val="36"/>
          <w:lang w:val="es-ES"/>
        </w:rPr>
      </w:pPr>
      <w:r w:rsidRPr="00560A20">
        <w:rPr>
          <w:b/>
          <w:sz w:val="36"/>
          <w:szCs w:val="36"/>
          <w:lang w:val="es-ES"/>
        </w:rPr>
        <w:t>Informe Legislación Nacional</w:t>
      </w:r>
      <w:r w:rsidR="007E7195" w:rsidRPr="00560A20">
        <w:rPr>
          <w:b/>
          <w:sz w:val="36"/>
          <w:szCs w:val="36"/>
          <w:lang w:val="es-ES"/>
        </w:rPr>
        <w:t xml:space="preserve"> Seguridad Privada</w:t>
      </w:r>
      <w:r w:rsidR="00DC0E0D" w:rsidRPr="00560A20">
        <w:rPr>
          <w:b/>
          <w:sz w:val="36"/>
          <w:szCs w:val="36"/>
          <w:lang w:val="es-ES"/>
        </w:rPr>
        <w:t xml:space="preserve"> </w:t>
      </w:r>
      <w:r w:rsidR="007E7195" w:rsidRPr="00560A20">
        <w:rPr>
          <w:b/>
          <w:sz w:val="36"/>
          <w:szCs w:val="36"/>
          <w:lang w:val="es-ES"/>
        </w:rPr>
        <w:t xml:space="preserve"> </w:t>
      </w:r>
    </w:p>
    <w:p w14:paraId="483636D0" w14:textId="79B4D978" w:rsidR="00653933" w:rsidRPr="00560A20" w:rsidRDefault="00104AE3" w:rsidP="00DC0E0D">
      <w:pPr>
        <w:jc w:val="center"/>
        <w:rPr>
          <w:b/>
          <w:sz w:val="36"/>
          <w:szCs w:val="36"/>
          <w:lang w:val="es-ES"/>
        </w:rPr>
      </w:pPr>
      <w:r w:rsidRPr="00560A20">
        <w:rPr>
          <w:b/>
          <w:sz w:val="36"/>
          <w:szCs w:val="36"/>
          <w:lang w:val="es-ES"/>
        </w:rPr>
        <w:t xml:space="preserve">Países de </w:t>
      </w:r>
      <w:r w:rsidR="00653933" w:rsidRPr="00560A20">
        <w:rPr>
          <w:b/>
          <w:sz w:val="36"/>
          <w:szCs w:val="36"/>
          <w:lang w:val="es-ES"/>
        </w:rPr>
        <w:t>América del Sur</w:t>
      </w:r>
    </w:p>
    <w:p w14:paraId="057A35C4" w14:textId="77777777" w:rsidR="00653933" w:rsidRPr="00560A20" w:rsidRDefault="00653933" w:rsidP="000E4155">
      <w:pPr>
        <w:jc w:val="center"/>
        <w:rPr>
          <w:b/>
          <w:lang w:val="es-ES"/>
        </w:rPr>
      </w:pPr>
    </w:p>
    <w:p w14:paraId="3C6D55C7" w14:textId="77777777" w:rsidR="00653933" w:rsidRPr="00560A20" w:rsidRDefault="00653933" w:rsidP="000E4155">
      <w:pPr>
        <w:jc w:val="center"/>
        <w:rPr>
          <w:b/>
          <w:lang w:val="es-ES"/>
        </w:rPr>
      </w:pPr>
    </w:p>
    <w:p w14:paraId="49808843" w14:textId="77777777" w:rsidR="00653933" w:rsidRPr="00560A20" w:rsidRDefault="00653933" w:rsidP="000E4155">
      <w:pPr>
        <w:jc w:val="center"/>
        <w:rPr>
          <w:b/>
          <w:lang w:val="es-ES"/>
        </w:rPr>
      </w:pPr>
    </w:p>
    <w:p w14:paraId="62F84B6E" w14:textId="77777777" w:rsidR="00653933" w:rsidRPr="00560A20" w:rsidRDefault="00653933" w:rsidP="000E4155">
      <w:pPr>
        <w:jc w:val="center"/>
        <w:rPr>
          <w:b/>
          <w:lang w:val="es-ES"/>
        </w:rPr>
      </w:pPr>
    </w:p>
    <w:p w14:paraId="6A7293AC" w14:textId="77777777" w:rsidR="00653933" w:rsidRPr="00560A20" w:rsidRDefault="00653933" w:rsidP="000E4155">
      <w:pPr>
        <w:jc w:val="center"/>
        <w:rPr>
          <w:b/>
          <w:lang w:val="es-ES"/>
        </w:rPr>
      </w:pPr>
    </w:p>
    <w:p w14:paraId="48983016" w14:textId="77777777" w:rsidR="00653933" w:rsidRPr="00560A20" w:rsidRDefault="00653933" w:rsidP="00653933">
      <w:pPr>
        <w:spacing w:before="240" w:after="120"/>
        <w:rPr>
          <w:rFonts w:cstheme="minorHAnsi"/>
          <w:sz w:val="20"/>
        </w:rPr>
      </w:pPr>
    </w:p>
    <w:p w14:paraId="11798679" w14:textId="77777777" w:rsidR="00653933" w:rsidRPr="00560A20" w:rsidRDefault="00653933" w:rsidP="00653933">
      <w:pPr>
        <w:sectPr w:rsidR="00653933" w:rsidRPr="00560A20" w:rsidSect="00641C3E">
          <w:headerReference w:type="even" r:id="rId9"/>
          <w:footerReference w:type="default" r:id="rId10"/>
          <w:headerReference w:type="first" r:id="rId11"/>
          <w:pgSz w:w="12240" w:h="15840"/>
          <w:pgMar w:top="1077" w:right="1418" w:bottom="1077" w:left="1418" w:header="794" w:footer="709" w:gutter="0"/>
          <w:pgNumType w:fmt="lowerRoman" w:start="1"/>
          <w:cols w:space="708"/>
          <w:docGrid w:linePitch="360"/>
        </w:sectPr>
      </w:pPr>
    </w:p>
    <w:p w14:paraId="7E28988F" w14:textId="77777777" w:rsidR="00723CF6" w:rsidRPr="00560A20" w:rsidRDefault="00723CF6" w:rsidP="000E4155">
      <w:pPr>
        <w:jc w:val="center"/>
        <w:rPr>
          <w:b/>
          <w:lang w:val="es-ES"/>
        </w:rPr>
      </w:pPr>
    </w:p>
    <w:p w14:paraId="7671A686" w14:textId="77777777" w:rsidR="00723CF6" w:rsidRPr="00560A20" w:rsidRDefault="00723CF6" w:rsidP="00723CF6">
      <w:pPr>
        <w:spacing w:before="240"/>
        <w:jc w:val="center"/>
        <w:rPr>
          <w:b/>
          <w:lang w:eastAsia="es-CL"/>
        </w:rPr>
      </w:pPr>
      <w:r w:rsidRPr="00560A20">
        <w:rPr>
          <w:b/>
          <w:lang w:eastAsia="es-CL"/>
        </w:rPr>
        <w:t>ÍNDICE DE CONTENIDOS</w:t>
      </w:r>
    </w:p>
    <w:p w14:paraId="010E5733" w14:textId="77777777" w:rsidR="00723CF6" w:rsidRPr="00560A20" w:rsidRDefault="00723CF6" w:rsidP="00723CF6">
      <w:pPr>
        <w:spacing w:before="240"/>
        <w:jc w:val="center"/>
        <w:rPr>
          <w:b/>
          <w:color w:val="FF0000"/>
          <w:sz w:val="32"/>
          <w:szCs w:val="32"/>
          <w:lang w:eastAsia="es-CL"/>
        </w:rPr>
      </w:pPr>
    </w:p>
    <w:p w14:paraId="1E33DE07" w14:textId="77777777" w:rsidR="00F65D1C" w:rsidRPr="00560A20" w:rsidRDefault="00723CF6">
      <w:pPr>
        <w:pStyle w:val="TOC1"/>
        <w:tabs>
          <w:tab w:val="left" w:pos="708"/>
          <w:tab w:val="right" w:leader="dot" w:pos="9394"/>
        </w:tabs>
        <w:rPr>
          <w:rFonts w:eastAsiaTheme="minorEastAsia"/>
          <w:noProof/>
          <w:lang w:val="es-US" w:eastAsia="es-US"/>
        </w:rPr>
      </w:pPr>
      <w:r w:rsidRPr="00560A20">
        <w:rPr>
          <w:color w:val="FF0000"/>
        </w:rPr>
        <w:fldChar w:fldCharType="begin"/>
      </w:r>
      <w:r w:rsidRPr="00560A20">
        <w:rPr>
          <w:color w:val="FF0000"/>
        </w:rPr>
        <w:instrText xml:space="preserve"> TOC \o "1-3" \h \z \u </w:instrText>
      </w:r>
      <w:r w:rsidRPr="00560A20">
        <w:rPr>
          <w:color w:val="FF0000"/>
        </w:rPr>
        <w:fldChar w:fldCharType="separate"/>
      </w:r>
      <w:hyperlink w:anchor="_Toc407199159" w:history="1">
        <w:r w:rsidR="00F65D1C" w:rsidRPr="00560A20">
          <w:rPr>
            <w:rStyle w:val="Hyperlink"/>
            <w:noProof/>
          </w:rPr>
          <w:t>Introducción</w:t>
        </w:r>
        <w:r w:rsidR="00F65D1C" w:rsidRPr="00560A20">
          <w:rPr>
            <w:noProof/>
            <w:webHidden/>
          </w:rPr>
          <w:tab/>
        </w:r>
        <w:r w:rsidR="00F65D1C" w:rsidRPr="00560A20">
          <w:rPr>
            <w:noProof/>
            <w:webHidden/>
          </w:rPr>
          <w:fldChar w:fldCharType="begin"/>
        </w:r>
        <w:r w:rsidR="00F65D1C" w:rsidRPr="00560A20">
          <w:rPr>
            <w:noProof/>
            <w:webHidden/>
          </w:rPr>
          <w:instrText xml:space="preserve"> PAGEREF _Toc407199159 \h </w:instrText>
        </w:r>
        <w:r w:rsidR="00F65D1C" w:rsidRPr="00560A20">
          <w:rPr>
            <w:noProof/>
            <w:webHidden/>
          </w:rPr>
        </w:r>
        <w:r w:rsidR="00F65D1C" w:rsidRPr="00560A20">
          <w:rPr>
            <w:noProof/>
            <w:webHidden/>
          </w:rPr>
          <w:fldChar w:fldCharType="separate"/>
        </w:r>
        <w:r w:rsidR="00F65D1C" w:rsidRPr="00560A20">
          <w:rPr>
            <w:noProof/>
            <w:webHidden/>
          </w:rPr>
          <w:t>1</w:t>
        </w:r>
        <w:r w:rsidR="00F65D1C" w:rsidRPr="00560A20">
          <w:rPr>
            <w:noProof/>
            <w:webHidden/>
          </w:rPr>
          <w:fldChar w:fldCharType="end"/>
        </w:r>
      </w:hyperlink>
    </w:p>
    <w:p w14:paraId="46D9633F" w14:textId="77777777" w:rsidR="00F65D1C" w:rsidRPr="00560A20" w:rsidRDefault="00447170" w:rsidP="00F4332A">
      <w:pPr>
        <w:pStyle w:val="TOC1"/>
        <w:numPr>
          <w:ilvl w:val="0"/>
          <w:numId w:val="9"/>
        </w:numPr>
        <w:tabs>
          <w:tab w:val="left" w:pos="708"/>
          <w:tab w:val="right" w:leader="dot" w:pos="9394"/>
        </w:tabs>
        <w:rPr>
          <w:rFonts w:eastAsiaTheme="minorEastAsia"/>
          <w:noProof/>
          <w:lang w:val="es-US" w:eastAsia="es-US"/>
        </w:rPr>
      </w:pPr>
      <w:hyperlink w:anchor="_Toc407199160" w:history="1">
        <w:r w:rsidR="00F65D1C" w:rsidRPr="00560A20">
          <w:rPr>
            <w:rStyle w:val="Hyperlink"/>
            <w:noProof/>
          </w:rPr>
          <w:t>Análisis</w:t>
        </w:r>
        <w:r w:rsidR="00F65D1C" w:rsidRPr="00560A20">
          <w:rPr>
            <w:noProof/>
            <w:webHidden/>
          </w:rPr>
          <w:tab/>
        </w:r>
        <w:r w:rsidR="00F65D1C" w:rsidRPr="00560A20">
          <w:rPr>
            <w:noProof/>
            <w:webHidden/>
          </w:rPr>
          <w:fldChar w:fldCharType="begin"/>
        </w:r>
        <w:r w:rsidR="00F65D1C" w:rsidRPr="00560A20">
          <w:rPr>
            <w:noProof/>
            <w:webHidden/>
          </w:rPr>
          <w:instrText xml:space="preserve"> PAGEREF _Toc407199160 \h </w:instrText>
        </w:r>
        <w:r w:rsidR="00F65D1C" w:rsidRPr="00560A20">
          <w:rPr>
            <w:noProof/>
            <w:webHidden/>
          </w:rPr>
        </w:r>
        <w:r w:rsidR="00F65D1C" w:rsidRPr="00560A20">
          <w:rPr>
            <w:noProof/>
            <w:webHidden/>
          </w:rPr>
          <w:fldChar w:fldCharType="separate"/>
        </w:r>
        <w:r w:rsidR="00F65D1C" w:rsidRPr="00560A20">
          <w:rPr>
            <w:noProof/>
            <w:webHidden/>
          </w:rPr>
          <w:t>2</w:t>
        </w:r>
        <w:r w:rsidR="00F65D1C" w:rsidRPr="00560A20">
          <w:rPr>
            <w:noProof/>
            <w:webHidden/>
          </w:rPr>
          <w:fldChar w:fldCharType="end"/>
        </w:r>
      </w:hyperlink>
    </w:p>
    <w:p w14:paraId="1CC14FC7" w14:textId="77777777" w:rsidR="00F65D1C" w:rsidRPr="00560A20" w:rsidRDefault="00447170" w:rsidP="00E56811">
      <w:pPr>
        <w:pStyle w:val="TOC1"/>
        <w:numPr>
          <w:ilvl w:val="0"/>
          <w:numId w:val="10"/>
        </w:numPr>
        <w:tabs>
          <w:tab w:val="left" w:pos="708"/>
          <w:tab w:val="right" w:leader="dot" w:pos="9394"/>
        </w:tabs>
        <w:rPr>
          <w:rFonts w:eastAsiaTheme="minorEastAsia"/>
          <w:noProof/>
          <w:lang w:val="es-US" w:eastAsia="es-US"/>
        </w:rPr>
      </w:pPr>
      <w:hyperlink w:anchor="_Toc407199161" w:history="1">
        <w:r w:rsidR="00F65D1C" w:rsidRPr="00560A20">
          <w:rPr>
            <w:rStyle w:val="Hyperlink"/>
            <w:noProof/>
          </w:rPr>
          <w:t>Ámbito de aplicación de las leyes</w:t>
        </w:r>
        <w:r w:rsidR="00F65D1C" w:rsidRPr="00560A20">
          <w:rPr>
            <w:noProof/>
            <w:webHidden/>
          </w:rPr>
          <w:tab/>
        </w:r>
        <w:r w:rsidR="00F65D1C" w:rsidRPr="00560A20">
          <w:rPr>
            <w:noProof/>
            <w:webHidden/>
          </w:rPr>
          <w:fldChar w:fldCharType="begin"/>
        </w:r>
        <w:r w:rsidR="00F65D1C" w:rsidRPr="00560A20">
          <w:rPr>
            <w:noProof/>
            <w:webHidden/>
          </w:rPr>
          <w:instrText xml:space="preserve"> PAGEREF _Toc407199161 \h </w:instrText>
        </w:r>
        <w:r w:rsidR="00F65D1C" w:rsidRPr="00560A20">
          <w:rPr>
            <w:noProof/>
            <w:webHidden/>
          </w:rPr>
        </w:r>
        <w:r w:rsidR="00F65D1C" w:rsidRPr="00560A20">
          <w:rPr>
            <w:noProof/>
            <w:webHidden/>
          </w:rPr>
          <w:fldChar w:fldCharType="separate"/>
        </w:r>
        <w:r w:rsidR="00F65D1C" w:rsidRPr="00560A20">
          <w:rPr>
            <w:noProof/>
            <w:webHidden/>
          </w:rPr>
          <w:t>4</w:t>
        </w:r>
        <w:r w:rsidR="00F65D1C" w:rsidRPr="00560A20">
          <w:rPr>
            <w:noProof/>
            <w:webHidden/>
          </w:rPr>
          <w:fldChar w:fldCharType="end"/>
        </w:r>
      </w:hyperlink>
    </w:p>
    <w:p w14:paraId="3F1E4608" w14:textId="77777777" w:rsidR="00F65D1C" w:rsidRPr="00560A20" w:rsidRDefault="00447170" w:rsidP="00E56811">
      <w:pPr>
        <w:pStyle w:val="TOC1"/>
        <w:numPr>
          <w:ilvl w:val="0"/>
          <w:numId w:val="10"/>
        </w:numPr>
        <w:tabs>
          <w:tab w:val="left" w:pos="708"/>
          <w:tab w:val="right" w:leader="dot" w:pos="9394"/>
        </w:tabs>
        <w:rPr>
          <w:rFonts w:eastAsiaTheme="minorEastAsia"/>
          <w:noProof/>
          <w:lang w:val="es-US" w:eastAsia="es-US"/>
        </w:rPr>
      </w:pPr>
      <w:hyperlink w:anchor="_Toc407199162" w:history="1">
        <w:r w:rsidR="00F65D1C" w:rsidRPr="00560A20">
          <w:rPr>
            <w:rStyle w:val="Hyperlink"/>
            <w:noProof/>
          </w:rPr>
          <w:t>Autorización de Funcionamiento y Licencia</w:t>
        </w:r>
        <w:r w:rsidR="00F65D1C" w:rsidRPr="00560A20">
          <w:rPr>
            <w:noProof/>
            <w:webHidden/>
          </w:rPr>
          <w:tab/>
        </w:r>
        <w:r w:rsidR="00F65D1C" w:rsidRPr="00560A20">
          <w:rPr>
            <w:noProof/>
            <w:webHidden/>
          </w:rPr>
          <w:fldChar w:fldCharType="begin"/>
        </w:r>
        <w:r w:rsidR="00F65D1C" w:rsidRPr="00560A20">
          <w:rPr>
            <w:noProof/>
            <w:webHidden/>
          </w:rPr>
          <w:instrText xml:space="preserve"> PAGEREF _Toc407199162 \h </w:instrText>
        </w:r>
        <w:r w:rsidR="00F65D1C" w:rsidRPr="00560A20">
          <w:rPr>
            <w:noProof/>
            <w:webHidden/>
          </w:rPr>
        </w:r>
        <w:r w:rsidR="00F65D1C" w:rsidRPr="00560A20">
          <w:rPr>
            <w:noProof/>
            <w:webHidden/>
          </w:rPr>
          <w:fldChar w:fldCharType="separate"/>
        </w:r>
        <w:r w:rsidR="00F65D1C" w:rsidRPr="00560A20">
          <w:rPr>
            <w:noProof/>
            <w:webHidden/>
          </w:rPr>
          <w:t>9</w:t>
        </w:r>
        <w:r w:rsidR="00F65D1C" w:rsidRPr="00560A20">
          <w:rPr>
            <w:noProof/>
            <w:webHidden/>
          </w:rPr>
          <w:fldChar w:fldCharType="end"/>
        </w:r>
      </w:hyperlink>
    </w:p>
    <w:p w14:paraId="0771785A" w14:textId="39E0716F" w:rsidR="00F65D1C" w:rsidRPr="00560A20" w:rsidRDefault="00447170" w:rsidP="00E56811">
      <w:pPr>
        <w:pStyle w:val="TOC1"/>
        <w:numPr>
          <w:ilvl w:val="0"/>
          <w:numId w:val="10"/>
        </w:numPr>
        <w:tabs>
          <w:tab w:val="left" w:pos="708"/>
          <w:tab w:val="right" w:leader="dot" w:pos="9394"/>
        </w:tabs>
        <w:rPr>
          <w:rFonts w:eastAsiaTheme="minorEastAsia"/>
          <w:noProof/>
          <w:lang w:val="es-US" w:eastAsia="es-US"/>
        </w:rPr>
      </w:pPr>
      <w:hyperlink w:anchor="_Toc407199163" w:history="1">
        <w:r w:rsidR="00F65D1C" w:rsidRPr="00560A20">
          <w:rPr>
            <w:rStyle w:val="Hyperlink"/>
            <w:noProof/>
          </w:rPr>
          <w:t>Selección y entrenamiento</w:t>
        </w:r>
        <w:r w:rsidR="00F65D1C" w:rsidRPr="00560A20">
          <w:rPr>
            <w:noProof/>
            <w:webHidden/>
          </w:rPr>
          <w:tab/>
        </w:r>
        <w:r w:rsidR="00F65D1C" w:rsidRPr="00560A20">
          <w:rPr>
            <w:noProof/>
            <w:webHidden/>
          </w:rPr>
          <w:fldChar w:fldCharType="begin"/>
        </w:r>
        <w:r w:rsidR="00F65D1C" w:rsidRPr="00560A20">
          <w:rPr>
            <w:noProof/>
            <w:webHidden/>
          </w:rPr>
          <w:instrText xml:space="preserve"> PAGEREF _Toc407199163 \h </w:instrText>
        </w:r>
        <w:r w:rsidR="00F65D1C" w:rsidRPr="00560A20">
          <w:rPr>
            <w:noProof/>
            <w:webHidden/>
          </w:rPr>
        </w:r>
        <w:r w:rsidR="00F65D1C" w:rsidRPr="00560A20">
          <w:rPr>
            <w:noProof/>
            <w:webHidden/>
          </w:rPr>
          <w:fldChar w:fldCharType="separate"/>
        </w:r>
        <w:r w:rsidR="00F65D1C" w:rsidRPr="00560A20">
          <w:rPr>
            <w:noProof/>
            <w:webHidden/>
          </w:rPr>
          <w:t>1</w:t>
        </w:r>
        <w:r w:rsidR="00F65D1C" w:rsidRPr="00560A20">
          <w:rPr>
            <w:noProof/>
            <w:webHidden/>
          </w:rPr>
          <w:fldChar w:fldCharType="end"/>
        </w:r>
      </w:hyperlink>
      <w:r w:rsidR="00FE4C05">
        <w:rPr>
          <w:noProof/>
        </w:rPr>
        <w:t>2</w:t>
      </w:r>
    </w:p>
    <w:p w14:paraId="2722C733" w14:textId="4A551AFD" w:rsidR="00F65D1C" w:rsidRPr="00560A20" w:rsidRDefault="00447170" w:rsidP="00E56811">
      <w:pPr>
        <w:pStyle w:val="TOC1"/>
        <w:numPr>
          <w:ilvl w:val="0"/>
          <w:numId w:val="10"/>
        </w:numPr>
        <w:tabs>
          <w:tab w:val="left" w:pos="708"/>
          <w:tab w:val="right" w:leader="dot" w:pos="9394"/>
        </w:tabs>
        <w:rPr>
          <w:rFonts w:eastAsiaTheme="minorEastAsia"/>
          <w:noProof/>
          <w:lang w:val="es-US" w:eastAsia="es-US"/>
        </w:rPr>
      </w:pPr>
      <w:hyperlink w:anchor="_Toc407199164" w:history="1">
        <w:r w:rsidR="00F65D1C" w:rsidRPr="00560A20">
          <w:rPr>
            <w:rStyle w:val="Hyperlink"/>
            <w:noProof/>
          </w:rPr>
          <w:t>Actividades prohibidas y permitidas</w:t>
        </w:r>
        <w:r w:rsidR="00F65D1C" w:rsidRPr="00560A20">
          <w:rPr>
            <w:noProof/>
            <w:webHidden/>
          </w:rPr>
          <w:tab/>
        </w:r>
        <w:r w:rsidR="00F65D1C" w:rsidRPr="00560A20">
          <w:rPr>
            <w:noProof/>
            <w:webHidden/>
          </w:rPr>
          <w:fldChar w:fldCharType="begin"/>
        </w:r>
        <w:r w:rsidR="00F65D1C" w:rsidRPr="00560A20">
          <w:rPr>
            <w:noProof/>
            <w:webHidden/>
          </w:rPr>
          <w:instrText xml:space="preserve"> PAGEREF _Toc407199164 \h </w:instrText>
        </w:r>
        <w:r w:rsidR="00F65D1C" w:rsidRPr="00560A20">
          <w:rPr>
            <w:noProof/>
            <w:webHidden/>
          </w:rPr>
        </w:r>
        <w:r w:rsidR="00F65D1C" w:rsidRPr="00560A20">
          <w:rPr>
            <w:noProof/>
            <w:webHidden/>
          </w:rPr>
          <w:fldChar w:fldCharType="separate"/>
        </w:r>
        <w:r w:rsidR="00F65D1C" w:rsidRPr="00560A20">
          <w:rPr>
            <w:noProof/>
            <w:webHidden/>
          </w:rPr>
          <w:t>1</w:t>
        </w:r>
        <w:r w:rsidR="00F65D1C" w:rsidRPr="00560A20">
          <w:rPr>
            <w:noProof/>
            <w:webHidden/>
          </w:rPr>
          <w:fldChar w:fldCharType="end"/>
        </w:r>
      </w:hyperlink>
      <w:r w:rsidR="00FE4C05">
        <w:rPr>
          <w:noProof/>
        </w:rPr>
        <w:t>5</w:t>
      </w:r>
    </w:p>
    <w:p w14:paraId="7C40B356" w14:textId="1B2E4855" w:rsidR="00F65D1C" w:rsidRPr="00560A20" w:rsidRDefault="00447170" w:rsidP="00E56811">
      <w:pPr>
        <w:pStyle w:val="TOC1"/>
        <w:numPr>
          <w:ilvl w:val="0"/>
          <w:numId w:val="10"/>
        </w:numPr>
        <w:tabs>
          <w:tab w:val="left" w:pos="708"/>
          <w:tab w:val="right" w:leader="dot" w:pos="9394"/>
        </w:tabs>
        <w:rPr>
          <w:rFonts w:eastAsiaTheme="minorEastAsia"/>
          <w:noProof/>
          <w:lang w:val="es-US" w:eastAsia="es-US"/>
        </w:rPr>
      </w:pPr>
      <w:hyperlink w:anchor="_Toc407199165" w:history="1">
        <w:r w:rsidR="00F65D1C" w:rsidRPr="00560A20">
          <w:rPr>
            <w:rStyle w:val="Hyperlink"/>
            <w:noProof/>
          </w:rPr>
          <w:t>Reglas para la adquisición de armas de fuego</w:t>
        </w:r>
        <w:r w:rsidR="00F65D1C" w:rsidRPr="00560A20">
          <w:rPr>
            <w:noProof/>
            <w:webHidden/>
          </w:rPr>
          <w:tab/>
        </w:r>
      </w:hyperlink>
      <w:r w:rsidR="00FE4C05">
        <w:rPr>
          <w:noProof/>
        </w:rPr>
        <w:t>17</w:t>
      </w:r>
    </w:p>
    <w:p w14:paraId="592CD2D7" w14:textId="759EBF68" w:rsidR="00F65D1C" w:rsidRPr="00560A20" w:rsidRDefault="00447170" w:rsidP="00E56811">
      <w:pPr>
        <w:pStyle w:val="TOC1"/>
        <w:numPr>
          <w:ilvl w:val="0"/>
          <w:numId w:val="10"/>
        </w:numPr>
        <w:tabs>
          <w:tab w:val="left" w:pos="708"/>
          <w:tab w:val="right" w:leader="dot" w:pos="9394"/>
        </w:tabs>
        <w:rPr>
          <w:rFonts w:eastAsiaTheme="minorEastAsia"/>
          <w:noProof/>
          <w:lang w:val="es-US" w:eastAsia="es-US"/>
        </w:rPr>
      </w:pPr>
      <w:hyperlink w:anchor="_Toc407199166" w:history="1">
        <w:r w:rsidR="00F65D1C" w:rsidRPr="00560A20">
          <w:rPr>
            <w:rStyle w:val="Hyperlink"/>
            <w:noProof/>
          </w:rPr>
          <w:t>Uso de la fuerza y armas de fuego</w:t>
        </w:r>
        <w:r w:rsidR="00F65D1C" w:rsidRPr="00560A20">
          <w:rPr>
            <w:noProof/>
            <w:webHidden/>
          </w:rPr>
          <w:tab/>
        </w:r>
        <w:r w:rsidR="00F65D1C" w:rsidRPr="00560A20">
          <w:rPr>
            <w:noProof/>
            <w:webHidden/>
          </w:rPr>
          <w:fldChar w:fldCharType="begin"/>
        </w:r>
        <w:r w:rsidR="00F65D1C" w:rsidRPr="00560A20">
          <w:rPr>
            <w:noProof/>
            <w:webHidden/>
          </w:rPr>
          <w:instrText xml:space="preserve"> PAGEREF _Toc407199166 \h </w:instrText>
        </w:r>
        <w:r w:rsidR="00F65D1C" w:rsidRPr="00560A20">
          <w:rPr>
            <w:noProof/>
            <w:webHidden/>
          </w:rPr>
        </w:r>
        <w:r w:rsidR="00F65D1C" w:rsidRPr="00560A20">
          <w:rPr>
            <w:noProof/>
            <w:webHidden/>
          </w:rPr>
          <w:fldChar w:fldCharType="separate"/>
        </w:r>
        <w:r w:rsidR="00F65D1C" w:rsidRPr="00560A20">
          <w:rPr>
            <w:noProof/>
            <w:webHidden/>
          </w:rPr>
          <w:t>2</w:t>
        </w:r>
        <w:r w:rsidR="00F65D1C" w:rsidRPr="00560A20">
          <w:rPr>
            <w:noProof/>
            <w:webHidden/>
          </w:rPr>
          <w:fldChar w:fldCharType="end"/>
        </w:r>
      </w:hyperlink>
      <w:r w:rsidR="00FE4C05">
        <w:rPr>
          <w:noProof/>
        </w:rPr>
        <w:t>0</w:t>
      </w:r>
    </w:p>
    <w:p w14:paraId="27A171D3" w14:textId="3FE99243" w:rsidR="00F65D1C" w:rsidRPr="00560A20" w:rsidRDefault="00447170" w:rsidP="00E56811">
      <w:pPr>
        <w:pStyle w:val="TOC1"/>
        <w:numPr>
          <w:ilvl w:val="0"/>
          <w:numId w:val="10"/>
        </w:numPr>
        <w:tabs>
          <w:tab w:val="left" w:pos="708"/>
          <w:tab w:val="right" w:leader="dot" w:pos="9394"/>
        </w:tabs>
        <w:rPr>
          <w:rFonts w:eastAsiaTheme="minorEastAsia"/>
          <w:noProof/>
          <w:lang w:val="es-US" w:eastAsia="es-US"/>
        </w:rPr>
      </w:pPr>
      <w:hyperlink w:anchor="_Toc407199167" w:history="1">
        <w:r w:rsidR="00F65D1C" w:rsidRPr="00560A20">
          <w:rPr>
            <w:rStyle w:val="Hyperlink"/>
            <w:noProof/>
          </w:rPr>
          <w:t>Rendición de cuentas y reparación</w:t>
        </w:r>
        <w:r w:rsidR="00F65D1C" w:rsidRPr="00560A20">
          <w:rPr>
            <w:noProof/>
            <w:webHidden/>
          </w:rPr>
          <w:tab/>
        </w:r>
        <w:r w:rsidR="00F65D1C" w:rsidRPr="00560A20">
          <w:rPr>
            <w:noProof/>
            <w:webHidden/>
          </w:rPr>
          <w:fldChar w:fldCharType="begin"/>
        </w:r>
        <w:r w:rsidR="00F65D1C" w:rsidRPr="00560A20">
          <w:rPr>
            <w:noProof/>
            <w:webHidden/>
          </w:rPr>
          <w:instrText xml:space="preserve"> PAGEREF _Toc407199167 \h </w:instrText>
        </w:r>
        <w:r w:rsidR="00F65D1C" w:rsidRPr="00560A20">
          <w:rPr>
            <w:noProof/>
            <w:webHidden/>
          </w:rPr>
        </w:r>
        <w:r w:rsidR="00F65D1C" w:rsidRPr="00560A20">
          <w:rPr>
            <w:noProof/>
            <w:webHidden/>
          </w:rPr>
          <w:fldChar w:fldCharType="separate"/>
        </w:r>
        <w:r w:rsidR="00F65D1C" w:rsidRPr="00560A20">
          <w:rPr>
            <w:noProof/>
            <w:webHidden/>
          </w:rPr>
          <w:t>2</w:t>
        </w:r>
        <w:r w:rsidR="00F65D1C" w:rsidRPr="00560A20">
          <w:rPr>
            <w:noProof/>
            <w:webHidden/>
          </w:rPr>
          <w:fldChar w:fldCharType="end"/>
        </w:r>
      </w:hyperlink>
      <w:r w:rsidR="00FE4C05">
        <w:rPr>
          <w:noProof/>
        </w:rPr>
        <w:t>2</w:t>
      </w:r>
    </w:p>
    <w:p w14:paraId="77987ED2" w14:textId="666FC09D" w:rsidR="00F65D1C" w:rsidRPr="00560A20" w:rsidRDefault="00447170" w:rsidP="00E56811">
      <w:pPr>
        <w:pStyle w:val="TOC1"/>
        <w:numPr>
          <w:ilvl w:val="0"/>
          <w:numId w:val="10"/>
        </w:numPr>
        <w:tabs>
          <w:tab w:val="left" w:pos="708"/>
          <w:tab w:val="right" w:leader="dot" w:pos="9394"/>
        </w:tabs>
        <w:rPr>
          <w:rFonts w:eastAsiaTheme="minorEastAsia"/>
          <w:noProof/>
          <w:lang w:val="es-US" w:eastAsia="es-US"/>
        </w:rPr>
      </w:pPr>
      <w:hyperlink w:anchor="_Toc407199168" w:history="1">
        <w:r w:rsidR="00F65D1C" w:rsidRPr="00560A20">
          <w:rPr>
            <w:rStyle w:val="Hyperlink"/>
            <w:noProof/>
          </w:rPr>
          <w:t>Ratificación de instrumentos internacionales sobre mercenarios</w:t>
        </w:r>
        <w:r w:rsidR="00F65D1C" w:rsidRPr="00560A20">
          <w:rPr>
            <w:noProof/>
            <w:webHidden/>
          </w:rPr>
          <w:tab/>
        </w:r>
      </w:hyperlink>
      <w:r w:rsidR="00FE4C05">
        <w:rPr>
          <w:noProof/>
        </w:rPr>
        <w:t>25</w:t>
      </w:r>
    </w:p>
    <w:p w14:paraId="30462FF5" w14:textId="05DE6677" w:rsidR="00F65D1C" w:rsidRPr="00560A20" w:rsidRDefault="00447170" w:rsidP="00E56811">
      <w:pPr>
        <w:pStyle w:val="TOC1"/>
        <w:numPr>
          <w:ilvl w:val="0"/>
          <w:numId w:val="9"/>
        </w:numPr>
        <w:tabs>
          <w:tab w:val="left" w:pos="708"/>
          <w:tab w:val="right" w:leader="dot" w:pos="9394"/>
        </w:tabs>
        <w:rPr>
          <w:rFonts w:eastAsiaTheme="minorEastAsia"/>
          <w:noProof/>
          <w:lang w:val="es-US" w:eastAsia="es-US"/>
        </w:rPr>
      </w:pPr>
      <w:r>
        <w:fldChar w:fldCharType="begin"/>
      </w:r>
      <w:r>
        <w:instrText xml:space="preserve"> HYPERLINK \l "_Toc407199169" </w:instrText>
      </w:r>
      <w:r>
        <w:fldChar w:fldCharType="separate"/>
      </w:r>
      <w:r w:rsidR="00F65D1C" w:rsidRPr="00560A20">
        <w:rPr>
          <w:rStyle w:val="Hyperlink"/>
          <w:noProof/>
        </w:rPr>
        <w:t>Conclusiones</w:t>
      </w:r>
      <w:r w:rsidR="00F65D1C" w:rsidRPr="00560A20">
        <w:rPr>
          <w:noProof/>
          <w:webHidden/>
        </w:rPr>
        <w:tab/>
      </w:r>
      <w:r w:rsidR="00F65D1C" w:rsidRPr="00560A20">
        <w:rPr>
          <w:noProof/>
          <w:webHidden/>
        </w:rPr>
        <w:fldChar w:fldCharType="begin"/>
      </w:r>
      <w:r w:rsidR="00F65D1C" w:rsidRPr="00560A20">
        <w:rPr>
          <w:noProof/>
          <w:webHidden/>
        </w:rPr>
        <w:instrText xml:space="preserve"> PAGEREF _Toc407199169 \h </w:instrText>
      </w:r>
      <w:r w:rsidR="00F65D1C" w:rsidRPr="00560A20">
        <w:rPr>
          <w:noProof/>
          <w:webHidden/>
        </w:rPr>
      </w:r>
      <w:r w:rsidR="00F65D1C" w:rsidRPr="00560A20">
        <w:rPr>
          <w:noProof/>
          <w:webHidden/>
        </w:rPr>
        <w:fldChar w:fldCharType="separate"/>
      </w:r>
      <w:r w:rsidR="00FE4C05">
        <w:rPr>
          <w:noProof/>
          <w:webHidden/>
        </w:rPr>
        <w:t>2</w:t>
      </w:r>
      <w:r w:rsidR="00F65D1C" w:rsidRPr="00560A20">
        <w:rPr>
          <w:noProof/>
          <w:webHidden/>
        </w:rPr>
        <w:fldChar w:fldCharType="end"/>
      </w:r>
      <w:r>
        <w:rPr>
          <w:noProof/>
        </w:rPr>
        <w:fldChar w:fldCharType="end"/>
      </w:r>
      <w:bookmarkStart w:id="0" w:name="_GoBack"/>
      <w:bookmarkEnd w:id="0"/>
      <w:r w:rsidR="00FE4C05">
        <w:rPr>
          <w:noProof/>
        </w:rPr>
        <w:t>6</w:t>
      </w:r>
    </w:p>
    <w:p w14:paraId="0FAA929D" w14:textId="77777777" w:rsidR="00723CF6" w:rsidRPr="00560A20" w:rsidRDefault="00723CF6" w:rsidP="00723CF6">
      <w:pPr>
        <w:spacing w:after="240"/>
        <w:rPr>
          <w:bCs/>
          <w:color w:val="FF0000"/>
        </w:rPr>
      </w:pPr>
      <w:r w:rsidRPr="00560A20">
        <w:rPr>
          <w:bCs/>
          <w:color w:val="FF0000"/>
        </w:rPr>
        <w:fldChar w:fldCharType="end"/>
      </w:r>
    </w:p>
    <w:p w14:paraId="1DC744E3" w14:textId="77777777" w:rsidR="00653933" w:rsidRPr="00560A20" w:rsidRDefault="00653933" w:rsidP="00723CF6">
      <w:pPr>
        <w:spacing w:after="240"/>
        <w:rPr>
          <w:bCs/>
        </w:rPr>
      </w:pPr>
    </w:p>
    <w:p w14:paraId="00AA869F" w14:textId="77777777" w:rsidR="00653933" w:rsidRPr="00560A20" w:rsidRDefault="00653933" w:rsidP="00723CF6">
      <w:pPr>
        <w:spacing w:after="240"/>
        <w:rPr>
          <w:bCs/>
        </w:rPr>
      </w:pPr>
    </w:p>
    <w:p w14:paraId="28FB202F" w14:textId="77777777" w:rsidR="00653933" w:rsidRPr="00560A20" w:rsidRDefault="00653933" w:rsidP="00723CF6">
      <w:pPr>
        <w:spacing w:after="240"/>
        <w:rPr>
          <w:bCs/>
        </w:rPr>
      </w:pPr>
    </w:p>
    <w:p w14:paraId="450E7B2C" w14:textId="77777777" w:rsidR="00653933" w:rsidRPr="00560A20" w:rsidRDefault="00653933" w:rsidP="00653933">
      <w:pPr>
        <w:spacing w:before="240" w:after="120"/>
        <w:rPr>
          <w:rFonts w:cstheme="minorHAnsi"/>
          <w:sz w:val="20"/>
        </w:rPr>
      </w:pPr>
    </w:p>
    <w:p w14:paraId="579832FE" w14:textId="77777777" w:rsidR="00653933" w:rsidRPr="00560A20" w:rsidRDefault="00653933" w:rsidP="00653933">
      <w:pPr>
        <w:sectPr w:rsidR="00653933" w:rsidRPr="00560A20" w:rsidSect="00641C3E">
          <w:headerReference w:type="even" r:id="rId12"/>
          <w:headerReference w:type="default" r:id="rId13"/>
          <w:footerReference w:type="default" r:id="rId14"/>
          <w:headerReference w:type="first" r:id="rId15"/>
          <w:pgSz w:w="12240" w:h="15840"/>
          <w:pgMar w:top="1077" w:right="1418" w:bottom="1077" w:left="1418" w:header="794" w:footer="709" w:gutter="0"/>
          <w:pgNumType w:fmt="lowerRoman" w:start="1"/>
          <w:cols w:space="708"/>
          <w:docGrid w:linePitch="360"/>
        </w:sectPr>
      </w:pPr>
    </w:p>
    <w:p w14:paraId="04E920EE" w14:textId="77777777" w:rsidR="00723CF6" w:rsidRPr="00560A20" w:rsidRDefault="00723CF6" w:rsidP="000E4155">
      <w:pPr>
        <w:jc w:val="center"/>
        <w:rPr>
          <w:b/>
          <w:lang w:val="es-ES"/>
        </w:rPr>
      </w:pPr>
    </w:p>
    <w:p w14:paraId="7EA0F817" w14:textId="463462C1" w:rsidR="000E4155" w:rsidRPr="00560A20" w:rsidRDefault="000E4155" w:rsidP="000E4155">
      <w:pPr>
        <w:jc w:val="center"/>
        <w:rPr>
          <w:b/>
          <w:lang w:val="es-ES"/>
        </w:rPr>
      </w:pPr>
      <w:r w:rsidRPr="00560A20">
        <w:rPr>
          <w:b/>
          <w:lang w:val="es-ES"/>
        </w:rPr>
        <w:t xml:space="preserve">Informe Legislación Nacional </w:t>
      </w:r>
      <w:r w:rsidR="00560A20">
        <w:rPr>
          <w:b/>
          <w:lang w:val="es-ES"/>
        </w:rPr>
        <w:t xml:space="preserve">Sobre Seguridad Privada en Países de </w:t>
      </w:r>
      <w:r w:rsidRPr="00560A20">
        <w:rPr>
          <w:b/>
          <w:lang w:val="es-ES"/>
        </w:rPr>
        <w:t>América del Sur</w:t>
      </w:r>
      <w:r w:rsidR="001E33FE" w:rsidRPr="00560A20">
        <w:rPr>
          <w:b/>
          <w:lang w:val="es-ES"/>
        </w:rPr>
        <w:t>*</w:t>
      </w:r>
    </w:p>
    <w:p w14:paraId="005A7BF3" w14:textId="77777777" w:rsidR="00D84877" w:rsidRPr="00560A20" w:rsidRDefault="00D84877" w:rsidP="000E4155">
      <w:pPr>
        <w:jc w:val="center"/>
        <w:rPr>
          <w:lang w:val="es-ES"/>
        </w:rPr>
      </w:pPr>
    </w:p>
    <w:p w14:paraId="2A51DAD7" w14:textId="77777777" w:rsidR="000E4155" w:rsidRPr="00560A20" w:rsidRDefault="000E4155" w:rsidP="00770A69">
      <w:pPr>
        <w:pStyle w:val="Heading1"/>
        <w:ind w:left="426"/>
        <w:rPr>
          <w:sz w:val="22"/>
          <w:szCs w:val="22"/>
        </w:rPr>
      </w:pPr>
      <w:bookmarkStart w:id="1" w:name="_Toc407199159"/>
      <w:r w:rsidRPr="00560A20">
        <w:rPr>
          <w:sz w:val="22"/>
          <w:szCs w:val="22"/>
        </w:rPr>
        <w:t>Introducción</w:t>
      </w:r>
      <w:bookmarkEnd w:id="1"/>
    </w:p>
    <w:p w14:paraId="78ED9F3D" w14:textId="575CAF9B" w:rsidR="000E4155" w:rsidRPr="00560A20" w:rsidRDefault="000E4155" w:rsidP="000E4155">
      <w:pPr>
        <w:jc w:val="both"/>
      </w:pPr>
      <w:r w:rsidRPr="00560A20">
        <w:t>Tal como se ha hecho en los dos años anteriores, en los Informes al Consejo de Derechos Humanos (A/HRC/24/45 y A/HRC/27/50), el Grupo de Trabajo ha continuado la labor de análisis comparado de las legislaciones nacionales relativas a las actividades de las empresas militare</w:t>
      </w:r>
      <w:r w:rsidR="00DD12CB" w:rsidRPr="00560A20">
        <w:t>s y de seguridad privadas (EMSP</w:t>
      </w:r>
      <w:r w:rsidRPr="00560A20">
        <w:t>), convencido de la necesidad de estudiar los distintos enfoques legislativos sobre la materia, a fin de evaluar la idoneidad de estas normas en la protección de los derechos humanos, desde una perspectiva preventiva, de control y reparación de las</w:t>
      </w:r>
      <w:r w:rsidR="00E25CA8">
        <w:t xml:space="preserve"> víctimas.</w:t>
      </w:r>
      <w:r w:rsidRPr="00560A20">
        <w:t xml:space="preserve"> En este contexto, se ha avanzado en los análisis de la legislación de nuevas regiones con el propósito de identificar aspectos comunes, vacíos legales y buenas prácticas en </w:t>
      </w:r>
      <w:r w:rsidR="00DD12CB" w:rsidRPr="00560A20">
        <w:t>estas legislacio</w:t>
      </w:r>
      <w:r w:rsidRPr="00560A20">
        <w:t>n</w:t>
      </w:r>
      <w:r w:rsidR="00DD12CB" w:rsidRPr="00560A20">
        <w:t>es</w:t>
      </w:r>
      <w:r w:rsidRPr="00560A20">
        <w:t xml:space="preserve">. El Grupo de Trabajo desea agradecer a todos los Estados miembros que han </w:t>
      </w:r>
      <w:r w:rsidR="00DD12CB" w:rsidRPr="00560A20">
        <w:t>facilitado</w:t>
      </w:r>
      <w:r w:rsidRPr="00560A20">
        <w:t xml:space="preserve"> las leyes y reglamentos pertinentes. Tras la primera y segunda fase de la investigación, centradas en muestras de países de habla </w:t>
      </w:r>
      <w:r w:rsidR="00E37D0F" w:rsidRPr="00560A20">
        <w:t>i</w:t>
      </w:r>
      <w:r w:rsidRPr="00560A20">
        <w:t xml:space="preserve">nglesa </w:t>
      </w:r>
      <w:r w:rsidR="00DD12CB" w:rsidRPr="00560A20">
        <w:t>(A/HRC/24/45, párrafos 19 a 52)</w:t>
      </w:r>
      <w:r w:rsidRPr="00560A20">
        <w:t xml:space="preserve"> y de habla francesa en África</w:t>
      </w:r>
      <w:r w:rsidR="00DD12CB" w:rsidRPr="00560A20">
        <w:t>,</w:t>
      </w:r>
      <w:r w:rsidRPr="00560A20">
        <w:t xml:space="preserve"> y un grupo de países de Asia (A/HRC/27/50), el presente informe aborda el análisis y conclusiones </w:t>
      </w:r>
      <w:r w:rsidR="000D44ED" w:rsidRPr="00560A20">
        <w:t>del Grupo de Trabajo sobre la legislación nacional en</w:t>
      </w:r>
      <w:r w:rsidRPr="00560A20">
        <w:t xml:space="preserve"> países de América del Sur.</w:t>
      </w:r>
    </w:p>
    <w:p w14:paraId="4F02D0A9" w14:textId="397AD9EB" w:rsidR="000E4155" w:rsidRPr="00560A20" w:rsidRDefault="000E4155" w:rsidP="000E4155">
      <w:pPr>
        <w:jc w:val="both"/>
        <w:rPr>
          <w:sz w:val="18"/>
          <w:szCs w:val="18"/>
          <w:lang w:val="es-ES"/>
        </w:rPr>
      </w:pPr>
      <w:r w:rsidRPr="00560A20">
        <w:rPr>
          <w:lang w:val="es-ES"/>
        </w:rPr>
        <w:t xml:space="preserve">El informe aborda la legislación </w:t>
      </w:r>
      <w:r w:rsidR="00A35F26" w:rsidRPr="00560A20">
        <w:rPr>
          <w:lang w:val="es-ES"/>
        </w:rPr>
        <w:t>existente en ocho</w:t>
      </w:r>
      <w:r w:rsidR="006E5648" w:rsidRPr="00560A20">
        <w:rPr>
          <w:lang w:val="es-ES"/>
        </w:rPr>
        <w:t xml:space="preserve"> </w:t>
      </w:r>
      <w:r w:rsidRPr="00560A20">
        <w:rPr>
          <w:lang w:val="es-ES"/>
        </w:rPr>
        <w:t>países de América del Sur</w:t>
      </w:r>
      <w:r w:rsidR="00A35F26" w:rsidRPr="00560A20">
        <w:rPr>
          <w:lang w:val="es-ES"/>
        </w:rPr>
        <w:t>:</w:t>
      </w:r>
      <w:r w:rsidRPr="00560A20">
        <w:rPr>
          <w:lang w:val="es-ES"/>
        </w:rPr>
        <w:t xml:space="preserve"> Bolivia, Brasil, Chile, Colombia, Ecuador, Perú, Uruguay y Argentina</w:t>
      </w:r>
      <w:r w:rsidR="00A35F26" w:rsidRPr="00560A20">
        <w:rPr>
          <w:lang w:val="es-ES"/>
        </w:rPr>
        <w:t xml:space="preserve">; aunque en este último </w:t>
      </w:r>
      <w:r w:rsidR="00D666DA">
        <w:rPr>
          <w:lang w:val="es-ES"/>
        </w:rPr>
        <w:t xml:space="preserve">caso </w:t>
      </w:r>
      <w:r w:rsidR="00A35F26" w:rsidRPr="00560A20">
        <w:rPr>
          <w:lang w:val="es-ES"/>
        </w:rPr>
        <w:t>se analiza la regulación de la Provincia de Buenos Aires,</w:t>
      </w:r>
      <w:r w:rsidRPr="00560A20">
        <w:rPr>
          <w:lang w:val="es-ES"/>
        </w:rPr>
        <w:t xml:space="preserve"> </w:t>
      </w:r>
      <w:r w:rsidR="00A35F26" w:rsidRPr="00560A20">
        <w:rPr>
          <w:lang w:val="es-ES"/>
        </w:rPr>
        <w:t xml:space="preserve">ya que siendo un Estado federado la regulación de los servicios de seguridad privada es competencia de las Provincias y el país no cuenta con una norma nacional. </w:t>
      </w:r>
      <w:r w:rsidRPr="00560A20">
        <w:rPr>
          <w:lang w:val="es-ES"/>
        </w:rPr>
        <w:t>Brasil</w:t>
      </w:r>
      <w:r w:rsidR="00A35F26" w:rsidRPr="00560A20">
        <w:rPr>
          <w:lang w:val="es-ES"/>
        </w:rPr>
        <w:t>, que también es un</w:t>
      </w:r>
      <w:r w:rsidRPr="00560A20">
        <w:rPr>
          <w:lang w:val="es-ES"/>
        </w:rPr>
        <w:t xml:space="preserve"> Estado</w:t>
      </w:r>
      <w:r w:rsidR="00A35F26" w:rsidRPr="00560A20">
        <w:rPr>
          <w:lang w:val="es-ES"/>
        </w:rPr>
        <w:t xml:space="preserve"> federado</w:t>
      </w:r>
      <w:r w:rsidRPr="00560A20">
        <w:rPr>
          <w:lang w:val="es-ES"/>
        </w:rPr>
        <w:t xml:space="preserve">, </w:t>
      </w:r>
      <w:r w:rsidR="00A35F26" w:rsidRPr="00560A20">
        <w:rPr>
          <w:lang w:val="es-ES"/>
        </w:rPr>
        <w:t xml:space="preserve">sí </w:t>
      </w:r>
      <w:r w:rsidRPr="00560A20">
        <w:rPr>
          <w:lang w:val="es-ES"/>
        </w:rPr>
        <w:t xml:space="preserve">cuenta con una </w:t>
      </w:r>
      <w:r w:rsidR="00A35F26" w:rsidRPr="00560A20">
        <w:rPr>
          <w:lang w:val="es-ES"/>
        </w:rPr>
        <w:t>regulación de carácter nacional.</w:t>
      </w:r>
      <w:r w:rsidRPr="00560A20">
        <w:rPr>
          <w:lang w:val="es-ES"/>
        </w:rPr>
        <w:t xml:space="preserve"> Los análisis consideran las normas especiales que regulan las actividades de las </w:t>
      </w:r>
      <w:r w:rsidR="00A35F26" w:rsidRPr="00560A20">
        <w:rPr>
          <w:lang w:val="es-ES"/>
        </w:rPr>
        <w:t xml:space="preserve">EMSP, </w:t>
      </w:r>
      <w:r w:rsidRPr="00560A20">
        <w:rPr>
          <w:lang w:val="es-ES"/>
        </w:rPr>
        <w:t>y sus reglamentos, cuando cuentan con ellos. Excepcionalmente se revisaron las leyes sobre el control de armas y municiones, en su pa</w:t>
      </w:r>
      <w:r w:rsidR="00A35F26" w:rsidRPr="00560A20">
        <w:rPr>
          <w:lang w:val="es-ES"/>
        </w:rPr>
        <w:t>rte pertinente, cuando las leyes</w:t>
      </w:r>
      <w:r w:rsidRPr="00560A20">
        <w:rPr>
          <w:lang w:val="es-ES"/>
        </w:rPr>
        <w:t xml:space="preserve"> de seguridad privada se remiten a ellas. En casos como el de Uruguay se seleccionó </w:t>
      </w:r>
      <w:r w:rsidR="00582D44" w:rsidRPr="00560A20">
        <w:rPr>
          <w:lang w:val="es-ES"/>
        </w:rPr>
        <w:t xml:space="preserve">sólo </w:t>
      </w:r>
      <w:r w:rsidRPr="00560A20">
        <w:rPr>
          <w:lang w:val="es-ES"/>
        </w:rPr>
        <w:t>las normas fundamentales -que establecen definiciones, normas de a</w:t>
      </w:r>
      <w:r w:rsidR="00A35F26" w:rsidRPr="00560A20">
        <w:rPr>
          <w:lang w:val="es-ES"/>
        </w:rPr>
        <w:t>utorización y licencias,</w:t>
      </w:r>
      <w:r w:rsidRPr="00560A20">
        <w:rPr>
          <w:lang w:val="es-ES"/>
        </w:rPr>
        <w:t xml:space="preserve"> regulan operaciones, control y fiscalización-, en atención a la dispersión de reglas vigentes y diferencias de rango de las mismas</w:t>
      </w:r>
      <w:r w:rsidRPr="00560A20">
        <w:rPr>
          <w:rStyle w:val="FootnoteReference"/>
          <w:lang w:val="es-ES"/>
        </w:rPr>
        <w:footnoteReference w:id="1"/>
      </w:r>
      <w:r w:rsidRPr="00560A20">
        <w:rPr>
          <w:lang w:val="es-ES"/>
        </w:rPr>
        <w:t xml:space="preserve">. </w:t>
      </w:r>
    </w:p>
    <w:p w14:paraId="3A0BB3A5" w14:textId="77777777" w:rsidR="000E4155" w:rsidRPr="00560A20" w:rsidRDefault="000E4155" w:rsidP="00770A69">
      <w:pPr>
        <w:pStyle w:val="Heading1"/>
        <w:numPr>
          <w:ilvl w:val="0"/>
          <w:numId w:val="8"/>
        </w:numPr>
        <w:rPr>
          <w:sz w:val="22"/>
          <w:szCs w:val="22"/>
        </w:rPr>
      </w:pPr>
      <w:bookmarkStart w:id="2" w:name="_Toc407199160"/>
      <w:r w:rsidRPr="00560A20">
        <w:rPr>
          <w:sz w:val="22"/>
          <w:szCs w:val="22"/>
        </w:rPr>
        <w:t>Análisis</w:t>
      </w:r>
      <w:bookmarkEnd w:id="2"/>
    </w:p>
    <w:p w14:paraId="6DF78905" w14:textId="678E8D77" w:rsidR="000E4155" w:rsidRPr="00560A20" w:rsidRDefault="000E4155" w:rsidP="000E4155">
      <w:pPr>
        <w:jc w:val="both"/>
        <w:rPr>
          <w:lang w:val="es-ES"/>
        </w:rPr>
      </w:pPr>
      <w:r w:rsidRPr="00560A20">
        <w:rPr>
          <w:lang w:val="es-ES"/>
        </w:rPr>
        <w:t>Los aspectos analizados son, el ámbito de aplicación de la ley, el otorgamiento de autorización</w:t>
      </w:r>
      <w:r w:rsidR="00E25CA8">
        <w:rPr>
          <w:lang w:val="es-ES"/>
        </w:rPr>
        <w:t xml:space="preserve"> y</w:t>
      </w:r>
      <w:r w:rsidRPr="00560A20">
        <w:rPr>
          <w:lang w:val="es-ES"/>
        </w:rPr>
        <w:t xml:space="preserve"> licencias</w:t>
      </w:r>
      <w:r w:rsidR="00E25CA8">
        <w:rPr>
          <w:lang w:val="es-ES"/>
        </w:rPr>
        <w:t xml:space="preserve"> de funcionamiento,</w:t>
      </w:r>
      <w:r w:rsidRPr="00560A20">
        <w:rPr>
          <w:lang w:val="es-ES"/>
        </w:rPr>
        <w:t xml:space="preserve"> registros exigidos, la selección y formación, las actividades prohibidas y permitidas, las reglas para la adquisición de armas, la tenencia y uso de armas de fuego</w:t>
      </w:r>
      <w:r w:rsidR="009B655D" w:rsidRPr="00560A20">
        <w:rPr>
          <w:lang w:val="es-ES"/>
        </w:rPr>
        <w:t>; también</w:t>
      </w:r>
      <w:r w:rsidR="009E192B">
        <w:rPr>
          <w:lang w:val="es-ES"/>
        </w:rPr>
        <w:t xml:space="preserve"> </w:t>
      </w:r>
      <w:r w:rsidRPr="00560A20">
        <w:rPr>
          <w:lang w:val="es-ES"/>
        </w:rPr>
        <w:t xml:space="preserve">se </w:t>
      </w:r>
      <w:r w:rsidR="009B655D" w:rsidRPr="00560A20">
        <w:rPr>
          <w:lang w:val="es-ES"/>
        </w:rPr>
        <w:t xml:space="preserve">indagan </w:t>
      </w:r>
      <w:r w:rsidRPr="00560A20">
        <w:rPr>
          <w:lang w:val="es-ES"/>
        </w:rPr>
        <w:t xml:space="preserve"> las </w:t>
      </w:r>
      <w:r w:rsidRPr="00560A20">
        <w:rPr>
          <w:lang w:val="es-ES"/>
        </w:rPr>
        <w:lastRenderedPageBreak/>
        <w:t xml:space="preserve">normas sobre la rendición de cuentas y </w:t>
      </w:r>
      <w:r w:rsidR="009B655D" w:rsidRPr="00560A20">
        <w:rPr>
          <w:lang w:val="es-ES"/>
        </w:rPr>
        <w:t xml:space="preserve">la existencia de mecanismos de </w:t>
      </w:r>
      <w:r w:rsidRPr="00560A20">
        <w:rPr>
          <w:lang w:val="es-ES"/>
        </w:rPr>
        <w:t>reparación de la</w:t>
      </w:r>
      <w:r w:rsidR="008125BD" w:rsidRPr="00560A20">
        <w:rPr>
          <w:lang w:val="es-ES"/>
        </w:rPr>
        <w:t>s</w:t>
      </w:r>
      <w:r w:rsidRPr="00560A20">
        <w:rPr>
          <w:lang w:val="es-ES"/>
        </w:rPr>
        <w:t xml:space="preserve"> víctimas de </w:t>
      </w:r>
      <w:r w:rsidR="009B655D" w:rsidRPr="00560A20">
        <w:rPr>
          <w:lang w:val="es-ES"/>
        </w:rPr>
        <w:t xml:space="preserve">violaciones de derechos de parte de </w:t>
      </w:r>
      <w:r w:rsidRPr="00560A20">
        <w:rPr>
          <w:lang w:val="es-ES"/>
        </w:rPr>
        <w:t>los prestadores de servicios de seguridad privada</w:t>
      </w:r>
      <w:r w:rsidR="009B655D" w:rsidRPr="00560A20">
        <w:rPr>
          <w:lang w:val="es-ES"/>
        </w:rPr>
        <w:t>. Finalmente,</w:t>
      </w:r>
      <w:r w:rsidRPr="00560A20">
        <w:rPr>
          <w:lang w:val="es-ES"/>
        </w:rPr>
        <w:t xml:space="preserve"> </w:t>
      </w:r>
      <w:r w:rsidR="008E4C36">
        <w:rPr>
          <w:lang w:val="es-ES"/>
        </w:rPr>
        <w:t xml:space="preserve">se observa </w:t>
      </w:r>
      <w:r w:rsidRPr="00560A20">
        <w:rPr>
          <w:lang w:val="es-ES"/>
        </w:rPr>
        <w:t xml:space="preserve">si los Estados han ratificado la Convención sobre la utilización, entrenamiento, financiación y utilización de mercenarios, en un escenario </w:t>
      </w:r>
      <w:r w:rsidR="008E4C36">
        <w:rPr>
          <w:lang w:val="es-ES"/>
        </w:rPr>
        <w:t xml:space="preserve">con ausencia de </w:t>
      </w:r>
      <w:r w:rsidRPr="00560A20">
        <w:rPr>
          <w:lang w:val="es-ES"/>
        </w:rPr>
        <w:t>acuerdos bilaterales o multilaterales sobre la materia en la Región.</w:t>
      </w:r>
    </w:p>
    <w:p w14:paraId="4C507AFA" w14:textId="4BE9C748" w:rsidR="000E4155" w:rsidRPr="00560A20" w:rsidRDefault="000E4155" w:rsidP="000E4155">
      <w:pPr>
        <w:jc w:val="both"/>
        <w:rPr>
          <w:sz w:val="18"/>
          <w:szCs w:val="18"/>
          <w:lang w:val="es-ES"/>
        </w:rPr>
      </w:pPr>
      <w:r w:rsidRPr="00560A20">
        <w:rPr>
          <w:lang w:val="es-ES"/>
        </w:rPr>
        <w:t xml:space="preserve">Las normas </w:t>
      </w:r>
      <w:r w:rsidR="00C75CBD" w:rsidRPr="00560A20">
        <w:rPr>
          <w:lang w:val="es-ES"/>
        </w:rPr>
        <w:t>consideradas</w:t>
      </w:r>
      <w:r w:rsidR="00B420A4" w:rsidRPr="00560A20">
        <w:rPr>
          <w:lang w:val="es-ES"/>
        </w:rPr>
        <w:t xml:space="preserve"> </w:t>
      </w:r>
      <w:r w:rsidRPr="00560A20">
        <w:rPr>
          <w:lang w:val="es-ES"/>
        </w:rPr>
        <w:t xml:space="preserve">en el presente informe son: </w:t>
      </w:r>
      <w:r w:rsidR="00C75CBD" w:rsidRPr="00560A20">
        <w:rPr>
          <w:lang w:val="es-ES"/>
        </w:rPr>
        <w:t xml:space="preserve">en </w:t>
      </w:r>
      <w:r w:rsidRPr="00560A20">
        <w:rPr>
          <w:lang w:val="es-ES"/>
        </w:rPr>
        <w:t xml:space="preserve">Bolivia, </w:t>
      </w:r>
      <w:r w:rsidR="00C75CBD" w:rsidRPr="00560A20">
        <w:rPr>
          <w:lang w:val="es-ES"/>
        </w:rPr>
        <w:t xml:space="preserve">la </w:t>
      </w:r>
      <w:r w:rsidRPr="00560A20">
        <w:rPr>
          <w:lang w:val="es-ES"/>
        </w:rPr>
        <w:t xml:space="preserve">Ley Orgánica de la Policía Nacional N° 734/1995; </w:t>
      </w:r>
      <w:r w:rsidR="00C75CBD" w:rsidRPr="00560A20">
        <w:rPr>
          <w:lang w:val="es-ES"/>
        </w:rPr>
        <w:t xml:space="preserve">el </w:t>
      </w:r>
      <w:r w:rsidRPr="00560A20">
        <w:rPr>
          <w:lang w:val="es-ES"/>
        </w:rPr>
        <w:t>Reglamento para empresas de seguridad privada, R.</w:t>
      </w:r>
      <w:r w:rsidR="008125BD" w:rsidRPr="00560A20">
        <w:rPr>
          <w:lang w:val="es-ES"/>
        </w:rPr>
        <w:t>S</w:t>
      </w:r>
      <w:r w:rsidRPr="00560A20">
        <w:rPr>
          <w:lang w:val="es-ES"/>
        </w:rPr>
        <w:t xml:space="preserve">. N° 222544/2004; Resolución de Comando 324/2002 de la Policía Nacional que crea el Departamento de Control de Empresas de SP (DENCOES). </w:t>
      </w:r>
      <w:r w:rsidR="00C75CBD" w:rsidRPr="00560A20">
        <w:rPr>
          <w:lang w:val="es-ES"/>
        </w:rPr>
        <w:t xml:space="preserve">En </w:t>
      </w:r>
      <w:r w:rsidRPr="00560A20">
        <w:rPr>
          <w:lang w:val="es-ES"/>
        </w:rPr>
        <w:t xml:space="preserve">Brasil, la Ley N° 7. 102/1983, que regula principalmente la seguridad privada en caso de las entidades financieras; </w:t>
      </w:r>
      <w:r w:rsidR="00C75CBD" w:rsidRPr="00560A20">
        <w:rPr>
          <w:lang w:val="es-ES"/>
        </w:rPr>
        <w:t xml:space="preserve">la </w:t>
      </w:r>
      <w:proofErr w:type="spellStart"/>
      <w:r w:rsidRPr="00560A20">
        <w:rPr>
          <w:lang w:val="es-ES"/>
        </w:rPr>
        <w:t>Portaria</w:t>
      </w:r>
      <w:proofErr w:type="spellEnd"/>
      <w:r w:rsidRPr="00560A20">
        <w:rPr>
          <w:lang w:val="es-ES"/>
        </w:rPr>
        <w:t xml:space="preserve"> Nº 3.233/2012-DG/DPF</w:t>
      </w:r>
      <w:r w:rsidRPr="00560A20">
        <w:rPr>
          <w:rStyle w:val="FootnoteReference"/>
          <w:lang w:val="es-ES"/>
        </w:rPr>
        <w:footnoteReference w:id="2"/>
      </w:r>
      <w:r w:rsidRPr="00560A20">
        <w:rPr>
          <w:lang w:val="es-ES"/>
        </w:rPr>
        <w:t>, que detalla las reglas de funcionamiento y operación de las empresas de seguridad privada armadas</w:t>
      </w:r>
      <w:r w:rsidR="00E37D0F" w:rsidRPr="00560A20">
        <w:rPr>
          <w:lang w:val="es-ES"/>
        </w:rPr>
        <w:t xml:space="preserve"> y </w:t>
      </w:r>
      <w:r w:rsidRPr="00560A20">
        <w:rPr>
          <w:lang w:val="es-ES"/>
        </w:rPr>
        <w:t xml:space="preserve">no armadas. </w:t>
      </w:r>
      <w:r w:rsidR="00C75CBD" w:rsidRPr="00560A20">
        <w:rPr>
          <w:lang w:val="es-ES"/>
        </w:rPr>
        <w:t xml:space="preserve">En </w:t>
      </w:r>
      <w:r w:rsidRPr="00560A20">
        <w:rPr>
          <w:lang w:val="es-ES"/>
        </w:rPr>
        <w:t>Buenos Aires</w:t>
      </w:r>
      <w:r w:rsidR="00C75CBD" w:rsidRPr="00560A20">
        <w:rPr>
          <w:lang w:val="es-ES"/>
        </w:rPr>
        <w:t xml:space="preserve">, </w:t>
      </w:r>
      <w:r w:rsidRPr="00560A20">
        <w:rPr>
          <w:lang w:val="es-ES"/>
        </w:rPr>
        <w:t>Argentina,</w:t>
      </w:r>
      <w:r w:rsidR="00C75CBD" w:rsidRPr="00560A20">
        <w:rPr>
          <w:lang w:val="es-ES"/>
        </w:rPr>
        <w:t xml:space="preserve"> la</w:t>
      </w:r>
      <w:r w:rsidRPr="00560A20">
        <w:rPr>
          <w:lang w:val="es-ES"/>
        </w:rPr>
        <w:t xml:space="preserve"> Ley </w:t>
      </w:r>
      <w:r w:rsidR="004B65CA" w:rsidRPr="00560A20">
        <w:rPr>
          <w:lang w:val="es-ES"/>
        </w:rPr>
        <w:t xml:space="preserve">N° </w:t>
      </w:r>
      <w:r w:rsidRPr="00560A20">
        <w:rPr>
          <w:lang w:val="es-ES"/>
        </w:rPr>
        <w:t xml:space="preserve">12.297/ 1999 sobre Actividades de las personas jurídicas prestadoras del servicio de seguridad privada; Decreto N° 1897/2002 que reglamenta la ley sobre seguridad privada. </w:t>
      </w:r>
      <w:r w:rsidR="004B65CA" w:rsidRPr="00560A20">
        <w:rPr>
          <w:lang w:val="es-ES"/>
        </w:rPr>
        <w:t>En</w:t>
      </w:r>
      <w:r w:rsidRPr="00560A20">
        <w:rPr>
          <w:lang w:val="es-ES"/>
        </w:rPr>
        <w:t xml:space="preserve"> Chile, el Decreto Ley N° 3.607/1981, que establece nuevas normas sobre funcionamiento de vigilantes privados; el Decreto Supremo N° 1.773/1994, Reglamento del D.L. 3.607; </w:t>
      </w:r>
      <w:r w:rsidR="004B65CA" w:rsidRPr="00560A20">
        <w:rPr>
          <w:lang w:val="es-ES"/>
        </w:rPr>
        <w:t xml:space="preserve">el </w:t>
      </w:r>
      <w:r w:rsidRPr="00560A20">
        <w:rPr>
          <w:lang w:val="es-ES"/>
        </w:rPr>
        <w:t xml:space="preserve">Decreto Supremo N° 93/85, Reglamento del artículo 5° Bis del D.L. 3.607. </w:t>
      </w:r>
      <w:r w:rsidR="004B65CA" w:rsidRPr="00560A20">
        <w:rPr>
          <w:lang w:val="es-ES"/>
        </w:rPr>
        <w:t xml:space="preserve">En </w:t>
      </w:r>
      <w:r w:rsidRPr="00560A20">
        <w:rPr>
          <w:lang w:val="es-ES"/>
        </w:rPr>
        <w:t>Colombia, el Decreto N° 356/1994, que expide el Estatuto de Vi</w:t>
      </w:r>
      <w:r w:rsidR="004B65CA" w:rsidRPr="00560A20">
        <w:rPr>
          <w:lang w:val="es-ES"/>
        </w:rPr>
        <w:t>gilancia y Seguridad Privada;</w:t>
      </w:r>
      <w:r w:rsidRPr="00560A20">
        <w:rPr>
          <w:lang w:val="es-ES"/>
        </w:rPr>
        <w:t xml:space="preserve"> Decreto 2187/2001, que reglamenta el Estatuto de Vigilancia y seguridad privada; Decreto N° 2355/2006, que modifica la estructura de la Superintendencia de Vigilancia y Seguridad Privada; Decreto N° 2535/1993 sobre armas, municiones y explosivos</w:t>
      </w:r>
      <w:r w:rsidR="00CA76C5" w:rsidRPr="00560A20">
        <w:rPr>
          <w:lang w:val="es-ES"/>
        </w:rPr>
        <w:t>; Decreto 2974/1997 por el cual se reglamentan los Servicios Especiales y los Servicios Comunitarios de Vigilancia y Seguridad Privada</w:t>
      </w:r>
      <w:r w:rsidRPr="00560A20">
        <w:rPr>
          <w:lang w:val="es-ES"/>
        </w:rPr>
        <w:t xml:space="preserve">. </w:t>
      </w:r>
      <w:r w:rsidR="004B65CA" w:rsidRPr="00560A20">
        <w:rPr>
          <w:lang w:val="es-ES"/>
        </w:rPr>
        <w:t xml:space="preserve">En </w:t>
      </w:r>
      <w:r w:rsidRPr="00560A20">
        <w:rPr>
          <w:lang w:val="es-ES"/>
        </w:rPr>
        <w:t xml:space="preserve">Ecuador, la Ley de Vigilancia y Seguridad Privada N° 012/2003, publicada en el Registro Oficial N° 130/2003; </w:t>
      </w:r>
      <w:r w:rsidR="001A11A1">
        <w:rPr>
          <w:lang w:val="es-ES"/>
        </w:rPr>
        <w:t xml:space="preserve">el </w:t>
      </w:r>
      <w:r w:rsidRPr="00560A20">
        <w:rPr>
          <w:lang w:val="es-ES"/>
        </w:rPr>
        <w:t xml:space="preserve">Reglamento a la Ley de vigilancia y seguridad privada, Decreto 1181 de 17-07-08. </w:t>
      </w:r>
      <w:r w:rsidR="004B65CA" w:rsidRPr="00560A20">
        <w:rPr>
          <w:lang w:val="es-ES"/>
        </w:rPr>
        <w:t xml:space="preserve">En </w:t>
      </w:r>
      <w:r w:rsidRPr="00560A20">
        <w:rPr>
          <w:lang w:val="es-ES"/>
        </w:rPr>
        <w:t xml:space="preserve">Perú, </w:t>
      </w:r>
      <w:r w:rsidR="004B65CA" w:rsidRPr="00560A20">
        <w:rPr>
          <w:lang w:val="es-ES"/>
        </w:rPr>
        <w:t xml:space="preserve">la </w:t>
      </w:r>
      <w:r w:rsidRPr="00560A20">
        <w:rPr>
          <w:lang w:val="es-ES"/>
        </w:rPr>
        <w:t>Ley N° 28.879</w:t>
      </w:r>
      <w:r w:rsidR="004B65CA" w:rsidRPr="00560A20">
        <w:rPr>
          <w:lang w:val="es-ES"/>
        </w:rPr>
        <w:t>/</w:t>
      </w:r>
      <w:r w:rsidR="00DF1D0D" w:rsidRPr="00560A20">
        <w:rPr>
          <w:lang w:val="es-ES"/>
        </w:rPr>
        <w:t>2006</w:t>
      </w:r>
      <w:r w:rsidRPr="00560A20">
        <w:rPr>
          <w:lang w:val="es-ES"/>
        </w:rPr>
        <w:t xml:space="preserve"> de servicios de seguridad privada, vigente desde 2011;</w:t>
      </w:r>
      <w:r w:rsidR="004B65CA" w:rsidRPr="00560A20">
        <w:rPr>
          <w:lang w:val="es-ES"/>
        </w:rPr>
        <w:t xml:space="preserve"> y</w:t>
      </w:r>
      <w:r w:rsidRPr="00560A20">
        <w:rPr>
          <w:lang w:val="es-ES"/>
        </w:rPr>
        <w:t xml:space="preserve"> el Decreto Supremo N° 003/2011-IN, que reglamenta la Ley de SP. </w:t>
      </w:r>
      <w:r w:rsidR="004B65CA" w:rsidRPr="00560A20">
        <w:rPr>
          <w:lang w:val="es-ES"/>
        </w:rPr>
        <w:t xml:space="preserve">En </w:t>
      </w:r>
      <w:r w:rsidRPr="00560A20">
        <w:rPr>
          <w:lang w:val="es-ES"/>
        </w:rPr>
        <w:t xml:space="preserve">Uruguay, </w:t>
      </w:r>
      <w:r w:rsidR="00EE454B">
        <w:rPr>
          <w:lang w:val="es-ES"/>
        </w:rPr>
        <w:t xml:space="preserve">el </w:t>
      </w:r>
      <w:r w:rsidRPr="00560A20">
        <w:rPr>
          <w:lang w:val="es-ES"/>
        </w:rPr>
        <w:t xml:space="preserve">Decreto </w:t>
      </w:r>
      <w:r w:rsidR="00CD3D0F" w:rsidRPr="00560A20">
        <w:rPr>
          <w:lang w:val="es-ES"/>
        </w:rPr>
        <w:t xml:space="preserve">N° </w:t>
      </w:r>
      <w:r w:rsidRPr="00560A20">
        <w:rPr>
          <w:lang w:val="es-ES"/>
        </w:rPr>
        <w:t>275/1999 que dicta normas que regulan los servicios prestados por personas privadas, f</w:t>
      </w:r>
      <w:r w:rsidRPr="00560A20">
        <w:rPr>
          <w:rFonts w:ascii="Tahoma" w:hAnsi="Tahoma" w:cs="Tahoma"/>
          <w:lang w:val="es-ES"/>
        </w:rPr>
        <w:t>í</w:t>
      </w:r>
      <w:r w:rsidRPr="00560A20">
        <w:rPr>
          <w:lang w:val="es-ES"/>
        </w:rPr>
        <w:t>sicas, y/o jur</w:t>
      </w:r>
      <w:r w:rsidRPr="00560A20">
        <w:rPr>
          <w:rFonts w:ascii="Tahoma" w:hAnsi="Tahoma" w:cs="Tahoma"/>
          <w:lang w:val="es-ES"/>
        </w:rPr>
        <w:t>í</w:t>
      </w:r>
      <w:r w:rsidRPr="00560A20">
        <w:rPr>
          <w:lang w:val="es-ES"/>
        </w:rPr>
        <w:t>dicas;</w:t>
      </w:r>
      <w:r w:rsidRPr="00560A20">
        <w:t xml:space="preserve"> </w:t>
      </w:r>
      <w:r w:rsidR="00237FF5" w:rsidRPr="00560A20">
        <w:t xml:space="preserve">Decreto N° 237/2004, que modifica la normativa que rige la actividad de Seguridad Privada (Decreto 275/99) incluyéndose en la misma a la actividad desarrollada por quienes producen o importan la tecnología que es aplicada en los distintos sistemas de seguridad. </w:t>
      </w:r>
    </w:p>
    <w:p w14:paraId="52242152" w14:textId="7043D14B" w:rsidR="000E4155" w:rsidRPr="00560A20" w:rsidRDefault="00DC578B" w:rsidP="000E4155">
      <w:pPr>
        <w:jc w:val="both"/>
        <w:rPr>
          <w:lang w:val="es-ES"/>
        </w:rPr>
      </w:pPr>
      <w:r w:rsidRPr="00560A20">
        <w:rPr>
          <w:lang w:val="es-ES"/>
        </w:rPr>
        <w:t>En la mitad de los casos</w:t>
      </w:r>
      <w:r w:rsidR="000E4155" w:rsidRPr="00560A20">
        <w:rPr>
          <w:lang w:val="es-ES"/>
        </w:rPr>
        <w:t xml:space="preserve"> </w:t>
      </w:r>
      <w:r w:rsidR="00BD2CCE" w:rsidRPr="00560A20">
        <w:rPr>
          <w:lang w:val="es-ES"/>
        </w:rPr>
        <w:t xml:space="preserve">las normas tienen rango de ley, </w:t>
      </w:r>
      <w:r w:rsidR="000E4155" w:rsidRPr="00560A20">
        <w:rPr>
          <w:lang w:val="es-ES"/>
        </w:rPr>
        <w:t>expedidas con la int</w:t>
      </w:r>
      <w:r w:rsidR="00BD2CCE" w:rsidRPr="00560A20">
        <w:rPr>
          <w:lang w:val="es-ES"/>
        </w:rPr>
        <w:t>ervención del poder Legislativo</w:t>
      </w:r>
      <w:r w:rsidR="00BC0C04" w:rsidRPr="00560A20">
        <w:rPr>
          <w:lang w:val="es-ES"/>
        </w:rPr>
        <w:t>;</w:t>
      </w:r>
      <w:r w:rsidR="000E4155" w:rsidRPr="00560A20">
        <w:rPr>
          <w:lang w:val="es-ES"/>
        </w:rPr>
        <w:t xml:space="preserve"> </w:t>
      </w:r>
      <w:r w:rsidR="002A7A75" w:rsidRPr="00560A20">
        <w:rPr>
          <w:lang w:val="es-ES"/>
        </w:rPr>
        <w:t>en otros la situación es distinta. En</w:t>
      </w:r>
      <w:r w:rsidR="000E4155" w:rsidRPr="00560A20">
        <w:rPr>
          <w:lang w:val="es-ES"/>
        </w:rPr>
        <w:t xml:space="preserve"> Colombia </w:t>
      </w:r>
      <w:r w:rsidR="002A7A75" w:rsidRPr="00560A20">
        <w:rPr>
          <w:lang w:val="es-ES"/>
        </w:rPr>
        <w:t>el</w:t>
      </w:r>
      <w:r w:rsidR="000E4155" w:rsidRPr="00560A20">
        <w:rPr>
          <w:lang w:val="es-ES"/>
        </w:rPr>
        <w:t xml:space="preserve"> Decreto N° 356 </w:t>
      </w:r>
      <w:r w:rsidR="00035816" w:rsidRPr="00560A20">
        <w:rPr>
          <w:lang w:val="es-ES"/>
        </w:rPr>
        <w:t xml:space="preserve">-como la mayoría de normas asociadas a la SP- </w:t>
      </w:r>
      <w:r w:rsidR="000E4155" w:rsidRPr="00560A20">
        <w:rPr>
          <w:lang w:val="es-ES"/>
        </w:rPr>
        <w:t>fue expedido por el Presidente de la República con la firma de su Ministro de Defensa</w:t>
      </w:r>
      <w:r w:rsidR="000E4155" w:rsidRPr="00560A20">
        <w:rPr>
          <w:rStyle w:val="FootnoteReference"/>
          <w:lang w:val="es-ES"/>
        </w:rPr>
        <w:footnoteReference w:id="3"/>
      </w:r>
      <w:r w:rsidR="00DE2E76">
        <w:rPr>
          <w:lang w:val="es-ES"/>
        </w:rPr>
        <w:t>;</w:t>
      </w:r>
      <w:r w:rsidR="00035816" w:rsidRPr="00560A20">
        <w:rPr>
          <w:lang w:val="es-ES"/>
        </w:rPr>
        <w:t xml:space="preserve"> Uruguay</w:t>
      </w:r>
      <w:r w:rsidRPr="00560A20">
        <w:rPr>
          <w:lang w:val="es-ES"/>
        </w:rPr>
        <w:t>,</w:t>
      </w:r>
      <w:r w:rsidR="00035816" w:rsidRPr="00560A20">
        <w:rPr>
          <w:lang w:val="es-ES"/>
        </w:rPr>
        <w:t xml:space="preserve"> cuenta</w:t>
      </w:r>
      <w:r w:rsidR="000E4155" w:rsidRPr="00560A20">
        <w:rPr>
          <w:lang w:val="es-ES"/>
        </w:rPr>
        <w:t xml:space="preserve"> con un Decreto principal también expedido por las autoridades del Ejecutivo</w:t>
      </w:r>
      <w:r w:rsidR="00035816" w:rsidRPr="00560A20">
        <w:rPr>
          <w:lang w:val="es-ES"/>
        </w:rPr>
        <w:t>;</w:t>
      </w:r>
      <w:r w:rsidR="00DE7C6F" w:rsidRPr="00560A20">
        <w:rPr>
          <w:lang w:val="es-ES"/>
        </w:rPr>
        <w:t xml:space="preserve"> y</w:t>
      </w:r>
      <w:r w:rsidRPr="00560A20">
        <w:rPr>
          <w:lang w:val="es-ES"/>
        </w:rPr>
        <w:t>,</w:t>
      </w:r>
      <w:r w:rsidR="00DE7C6F" w:rsidRPr="00560A20">
        <w:rPr>
          <w:lang w:val="es-ES"/>
        </w:rPr>
        <w:t xml:space="preserve"> Bolivia</w:t>
      </w:r>
      <w:r w:rsidR="00CD3D0F" w:rsidRPr="00560A20">
        <w:rPr>
          <w:lang w:val="es-ES"/>
        </w:rPr>
        <w:t xml:space="preserve"> </w:t>
      </w:r>
      <w:r w:rsidR="00DE7C6F" w:rsidRPr="00560A20">
        <w:rPr>
          <w:lang w:val="es-ES"/>
        </w:rPr>
        <w:t xml:space="preserve">sólo cuenta con </w:t>
      </w:r>
      <w:r w:rsidR="002A7A75" w:rsidRPr="00560A20">
        <w:rPr>
          <w:lang w:val="es-ES"/>
        </w:rPr>
        <w:t xml:space="preserve">la </w:t>
      </w:r>
      <w:r w:rsidR="00DE7C6F" w:rsidRPr="00560A20">
        <w:rPr>
          <w:lang w:val="es-ES"/>
        </w:rPr>
        <w:t>regulación contenida en un reglamento emitido por Resolución Suprema, siendo la Ley Orgánica de la Policía Nacional la que refiere genéricamente a estas actividades en el artículo 136.</w:t>
      </w:r>
      <w:r w:rsidR="00DE2E76">
        <w:rPr>
          <w:lang w:val="es-ES"/>
        </w:rPr>
        <w:t xml:space="preserve"> </w:t>
      </w:r>
      <w:r w:rsidR="000E4155" w:rsidRPr="00560A20">
        <w:rPr>
          <w:lang w:val="es-ES"/>
        </w:rPr>
        <w:t xml:space="preserve">En </w:t>
      </w:r>
      <w:r w:rsidR="000E4155" w:rsidRPr="00560A20">
        <w:rPr>
          <w:lang w:val="es-ES"/>
        </w:rPr>
        <w:lastRenderedPageBreak/>
        <w:t>Chile la norma central es un Decreto Ley, norma propia del período de dictadura</w:t>
      </w:r>
      <w:r w:rsidR="000E4155" w:rsidRPr="00560A20">
        <w:rPr>
          <w:rStyle w:val="FootnoteReference"/>
          <w:lang w:val="es-ES"/>
        </w:rPr>
        <w:footnoteReference w:id="4"/>
      </w:r>
      <w:r w:rsidR="00035816" w:rsidRPr="00560A20">
        <w:rPr>
          <w:lang w:val="es-ES"/>
        </w:rPr>
        <w:t xml:space="preserve"> -</w:t>
      </w:r>
      <w:r w:rsidR="0039205A">
        <w:rPr>
          <w:lang w:val="es-ES"/>
        </w:rPr>
        <w:t xml:space="preserve">de </w:t>
      </w:r>
      <w:r w:rsidR="000E4155" w:rsidRPr="00560A20">
        <w:rPr>
          <w:lang w:val="es-ES"/>
        </w:rPr>
        <w:t>anormalidad constitucional-</w:t>
      </w:r>
      <w:r w:rsidR="00035816" w:rsidRPr="00560A20">
        <w:rPr>
          <w:lang w:val="es-ES"/>
        </w:rPr>
        <w:t>,</w:t>
      </w:r>
      <w:r w:rsidR="000E4155" w:rsidRPr="00560A20">
        <w:rPr>
          <w:lang w:val="es-ES"/>
        </w:rPr>
        <w:t xml:space="preserve"> dictada por el Ejecutivo sobre materias propias de una Ley, sin intervención del Poder Legislativo</w:t>
      </w:r>
      <w:r w:rsidR="0039205A">
        <w:rPr>
          <w:lang w:val="es-ES"/>
        </w:rPr>
        <w:t xml:space="preserve"> en ese entonces disuelto</w:t>
      </w:r>
      <w:r w:rsidR="000E4155" w:rsidRPr="00560A20">
        <w:rPr>
          <w:lang w:val="es-ES"/>
        </w:rPr>
        <w:t xml:space="preserve">. </w:t>
      </w:r>
      <w:r w:rsidR="00E75F56">
        <w:rPr>
          <w:lang w:val="es-ES"/>
        </w:rPr>
        <w:t>T</w:t>
      </w:r>
      <w:r w:rsidR="000E4155" w:rsidRPr="00560A20">
        <w:rPr>
          <w:lang w:val="es-ES"/>
        </w:rPr>
        <w:t xml:space="preserve">odos </w:t>
      </w:r>
      <w:r w:rsidR="00E75F56">
        <w:rPr>
          <w:lang w:val="es-ES"/>
        </w:rPr>
        <w:t xml:space="preserve">los casos examinados </w:t>
      </w:r>
      <w:r w:rsidR="000E4155" w:rsidRPr="00560A20">
        <w:rPr>
          <w:lang w:val="es-ES"/>
        </w:rPr>
        <w:t xml:space="preserve">cuentan con un reglamento que detalla la aplicación de la </w:t>
      </w:r>
      <w:r w:rsidR="00E75F56">
        <w:rPr>
          <w:lang w:val="es-ES"/>
        </w:rPr>
        <w:t>norma</w:t>
      </w:r>
      <w:r w:rsidR="000E4155" w:rsidRPr="00560A20">
        <w:rPr>
          <w:lang w:val="es-ES"/>
        </w:rPr>
        <w:t xml:space="preserve"> sustantiva. Algunos países como Colombia, Chile y Uruguay </w:t>
      </w:r>
      <w:r w:rsidR="00E75F56">
        <w:rPr>
          <w:lang w:val="es-ES"/>
        </w:rPr>
        <w:t>presentan</w:t>
      </w:r>
      <w:r w:rsidR="000E4155" w:rsidRPr="00560A20">
        <w:rPr>
          <w:lang w:val="es-ES"/>
        </w:rPr>
        <w:t xml:space="preserve"> una diversidad de normas que se han ido generando y complementando con otra</w:t>
      </w:r>
      <w:r w:rsidR="00DE7C6F" w:rsidRPr="00560A20">
        <w:rPr>
          <w:lang w:val="es-ES"/>
        </w:rPr>
        <w:t>s más específicas en el tiempo -</w:t>
      </w:r>
      <w:r w:rsidR="000E4155" w:rsidRPr="00560A20">
        <w:rPr>
          <w:lang w:val="es-ES"/>
        </w:rPr>
        <w:t xml:space="preserve">modificaciones y adiciones, lo que hace algo más compleja su arquitectura legal. </w:t>
      </w:r>
    </w:p>
    <w:p w14:paraId="4F1F2B6B" w14:textId="77777777" w:rsidR="000E4155" w:rsidRPr="00560A20" w:rsidRDefault="00C21E0E" w:rsidP="00035816">
      <w:pPr>
        <w:spacing w:after="160" w:line="259" w:lineRule="auto"/>
        <w:rPr>
          <w:lang w:val="es-ES"/>
        </w:rPr>
      </w:pPr>
      <w:r w:rsidRPr="00560A20">
        <w:rPr>
          <w:lang w:val="es-ES"/>
        </w:rPr>
        <w:br w:type="page"/>
      </w:r>
    </w:p>
    <w:p w14:paraId="79D17F89" w14:textId="77777777" w:rsidR="000E4155" w:rsidRPr="00560A20" w:rsidRDefault="000E4155" w:rsidP="00757BF7">
      <w:pPr>
        <w:pStyle w:val="Heading1"/>
        <w:numPr>
          <w:ilvl w:val="0"/>
          <w:numId w:val="3"/>
        </w:numPr>
        <w:ind w:left="426" w:hanging="426"/>
        <w:rPr>
          <w:sz w:val="22"/>
          <w:szCs w:val="22"/>
        </w:rPr>
      </w:pPr>
      <w:bookmarkStart w:id="3" w:name="_Toc407199161"/>
      <w:r w:rsidRPr="00560A20">
        <w:rPr>
          <w:sz w:val="22"/>
          <w:szCs w:val="22"/>
        </w:rPr>
        <w:lastRenderedPageBreak/>
        <w:t>Ámbito de aplicación de las leyes</w:t>
      </w:r>
      <w:bookmarkEnd w:id="3"/>
    </w:p>
    <w:p w14:paraId="75169889" w14:textId="25B905F6" w:rsidR="000E4155" w:rsidRPr="00560A20" w:rsidRDefault="000951DE" w:rsidP="000E4155">
      <w:pPr>
        <w:jc w:val="both"/>
        <w:rPr>
          <w:lang w:val="es-ES"/>
        </w:rPr>
      </w:pPr>
      <w:r w:rsidRPr="00560A20">
        <w:t xml:space="preserve">Todas las normativas </w:t>
      </w:r>
      <w:r w:rsidR="00BF21AD">
        <w:t>abordan</w:t>
      </w:r>
      <w:r w:rsidRPr="00560A20">
        <w:t xml:space="preserve"> los tipos y modalidades de servicios de seguridad privada y las personas que pueden realizarlas, señalando los requisitos que deben cumplir</w:t>
      </w:r>
      <w:r w:rsidR="00533A08" w:rsidRPr="00560A20">
        <w:t>se para ello</w:t>
      </w:r>
      <w:r w:rsidRPr="00560A20">
        <w:t xml:space="preserve">. Sin embargo, hay notorias diferencias en cuanto a las precisiones contenidas </w:t>
      </w:r>
      <w:r w:rsidR="006E430A" w:rsidRPr="00560A20">
        <w:t>y la profundidad</w:t>
      </w:r>
      <w:r w:rsidRPr="00560A20">
        <w:t xml:space="preserve"> con que son abordados los distintos aspectos. </w:t>
      </w:r>
      <w:r w:rsidR="006E430A" w:rsidRPr="00560A20">
        <w:rPr>
          <w:lang w:val="es-ES"/>
        </w:rPr>
        <w:t>En los siete</w:t>
      </w:r>
      <w:r w:rsidR="000E4155" w:rsidRPr="00560A20">
        <w:rPr>
          <w:lang w:val="es-ES"/>
        </w:rPr>
        <w:t xml:space="preserve"> países de América del Sur </w:t>
      </w:r>
      <w:r w:rsidR="006E430A" w:rsidRPr="00560A20">
        <w:rPr>
          <w:lang w:val="es-ES"/>
        </w:rPr>
        <w:t xml:space="preserve">y la Provincia de Buenos Aires, </w:t>
      </w:r>
      <w:r w:rsidR="000E4155" w:rsidRPr="00560A20">
        <w:rPr>
          <w:lang w:val="es-ES"/>
        </w:rPr>
        <w:t xml:space="preserve">la regulación </w:t>
      </w:r>
      <w:r w:rsidR="006E430A" w:rsidRPr="00560A20">
        <w:rPr>
          <w:lang w:val="es-ES"/>
        </w:rPr>
        <w:t xml:space="preserve">trata </w:t>
      </w:r>
      <w:r w:rsidR="000E4155" w:rsidRPr="00560A20">
        <w:rPr>
          <w:lang w:val="es-ES"/>
        </w:rPr>
        <w:t>las prestaciones de seguridad privada de carácter civil o doméstico,</w:t>
      </w:r>
      <w:r w:rsidR="000E4155" w:rsidRPr="00560A20">
        <w:rPr>
          <w:color w:val="FF0000"/>
          <w:lang w:val="es-ES"/>
        </w:rPr>
        <w:t xml:space="preserve"> </w:t>
      </w:r>
      <w:r w:rsidR="000E4155" w:rsidRPr="00560A20">
        <w:rPr>
          <w:lang w:val="es-ES"/>
        </w:rPr>
        <w:t xml:space="preserve">propias del ámbito de la seguridad pública </w:t>
      </w:r>
      <w:r w:rsidR="000E4155" w:rsidRPr="0062735D">
        <w:rPr>
          <w:lang w:val="es-ES"/>
        </w:rPr>
        <w:t xml:space="preserve">en el territorio nacional. No hay </w:t>
      </w:r>
      <w:r w:rsidR="006E430A" w:rsidRPr="0062735D">
        <w:rPr>
          <w:lang w:val="es-ES"/>
        </w:rPr>
        <w:t>normas aplicables más allá de las</w:t>
      </w:r>
      <w:r w:rsidR="000E4155" w:rsidRPr="0062735D">
        <w:rPr>
          <w:lang w:val="es-ES"/>
        </w:rPr>
        <w:t xml:space="preserve"> fronteras</w:t>
      </w:r>
      <w:r w:rsidR="006E430A" w:rsidRPr="0062735D">
        <w:rPr>
          <w:lang w:val="es-ES"/>
        </w:rPr>
        <w:t xml:space="preserve"> nacionales</w:t>
      </w:r>
      <w:r w:rsidR="000E4155" w:rsidRPr="0062735D">
        <w:rPr>
          <w:lang w:val="es-ES"/>
        </w:rPr>
        <w:t xml:space="preserve">; la extraterritorialidad no tiene menciones. </w:t>
      </w:r>
      <w:r w:rsidR="006E430A" w:rsidRPr="0062735D">
        <w:rPr>
          <w:lang w:val="es-ES"/>
        </w:rPr>
        <w:t>Tampoco se regula</w:t>
      </w:r>
      <w:r w:rsidR="000E4155" w:rsidRPr="0062735D">
        <w:rPr>
          <w:lang w:val="es-ES"/>
        </w:rPr>
        <w:t xml:space="preserve"> la exportación o importación de servicios de seguridad privada</w:t>
      </w:r>
      <w:r w:rsidR="00E9056F" w:rsidRPr="0062735D">
        <w:rPr>
          <w:rStyle w:val="FootnoteReference"/>
          <w:lang w:val="es-ES"/>
        </w:rPr>
        <w:footnoteReference w:id="5"/>
      </w:r>
      <w:r w:rsidR="000C5BD8" w:rsidRPr="0062735D">
        <w:rPr>
          <w:sz w:val="18"/>
          <w:szCs w:val="18"/>
          <w:lang w:val="es-ES"/>
        </w:rPr>
        <w:t>.</w:t>
      </w:r>
    </w:p>
    <w:p w14:paraId="7EE6C404" w14:textId="4E38D6F4" w:rsidR="000E4155" w:rsidRPr="00560A20" w:rsidRDefault="000E4155" w:rsidP="000E4155">
      <w:pPr>
        <w:jc w:val="both"/>
        <w:rPr>
          <w:lang w:val="es-ES"/>
        </w:rPr>
      </w:pPr>
      <w:r w:rsidRPr="00560A20">
        <w:rPr>
          <w:lang w:val="es-ES"/>
        </w:rPr>
        <w:t xml:space="preserve">Las normas no </w:t>
      </w:r>
      <w:r w:rsidR="00DE784E" w:rsidRPr="00560A20">
        <w:rPr>
          <w:lang w:val="es-ES"/>
        </w:rPr>
        <w:t xml:space="preserve">regulan </w:t>
      </w:r>
      <w:r w:rsidRPr="00560A20">
        <w:rPr>
          <w:lang w:val="es-ES"/>
        </w:rPr>
        <w:t xml:space="preserve">los servicios militares de seguridad </w:t>
      </w:r>
      <w:r w:rsidR="00DC2E20" w:rsidRPr="00560A20">
        <w:rPr>
          <w:lang w:val="es-ES"/>
        </w:rPr>
        <w:t xml:space="preserve">privada </w:t>
      </w:r>
      <w:r w:rsidRPr="00560A20">
        <w:rPr>
          <w:lang w:val="es-ES"/>
        </w:rPr>
        <w:t>ni ha</w:t>
      </w:r>
      <w:r w:rsidR="007E0506">
        <w:rPr>
          <w:lang w:val="es-ES"/>
        </w:rPr>
        <w:t>cen</w:t>
      </w:r>
      <w:r w:rsidRPr="00560A20">
        <w:rPr>
          <w:lang w:val="es-ES"/>
        </w:rPr>
        <w:t xml:space="preserve"> menci</w:t>
      </w:r>
      <w:r w:rsidR="007E0506">
        <w:rPr>
          <w:lang w:val="es-ES"/>
        </w:rPr>
        <w:t>ón</w:t>
      </w:r>
      <w:r w:rsidRPr="00560A20">
        <w:rPr>
          <w:lang w:val="es-ES"/>
        </w:rPr>
        <w:t xml:space="preserve"> a las compañías militares y de seguridad privada. En Colombia, el Decreto N° 356 establece los “servicios especiales de vigilancia y seguridad privada”, los que podrían tener un carácter militar, aun cuando no se les denomina de esa forma. En efecto, se trata de aquellos que autoriza la Superintendencia de </w:t>
      </w:r>
      <w:r w:rsidR="004F1CCD" w:rsidRPr="00560A20">
        <w:rPr>
          <w:lang w:val="es-ES"/>
        </w:rPr>
        <w:t xml:space="preserve">Vigilancia y Seguridad Privada </w:t>
      </w:r>
      <w:r w:rsidRPr="00560A20">
        <w:rPr>
          <w:lang w:val="es-ES"/>
        </w:rPr>
        <w:t>en forma “expresa, taxativa y transitoria” y que realizan personas jurídicas “para proveer su propia seguridad en áreas de alto riesgo o de interés público, que requieren un nivel de seguridad de alta capacidad”</w:t>
      </w:r>
      <w:r w:rsidRPr="00560A20">
        <w:rPr>
          <w:rStyle w:val="FootnoteReference"/>
          <w:lang w:val="es-ES"/>
        </w:rPr>
        <w:footnoteReference w:id="6"/>
      </w:r>
      <w:r w:rsidRPr="00560A20">
        <w:rPr>
          <w:lang w:val="es-ES"/>
        </w:rPr>
        <w:t xml:space="preserve">; estos servicios </w:t>
      </w:r>
      <w:r w:rsidR="00660544" w:rsidRPr="00560A20">
        <w:rPr>
          <w:lang w:val="es-ES"/>
        </w:rPr>
        <w:t xml:space="preserve">pueden ser autorizados </w:t>
      </w:r>
      <w:r w:rsidR="00DC2E20" w:rsidRPr="00560A20">
        <w:rPr>
          <w:lang w:val="es-ES"/>
        </w:rPr>
        <w:t>par</w:t>
      </w:r>
      <w:r w:rsidR="00660544" w:rsidRPr="00560A20">
        <w:rPr>
          <w:lang w:val="es-ES"/>
        </w:rPr>
        <w:t>a emplear</w:t>
      </w:r>
      <w:r w:rsidRPr="00560A20">
        <w:rPr>
          <w:lang w:val="es-ES"/>
        </w:rPr>
        <w:t xml:space="preserve"> armas de fuego de </w:t>
      </w:r>
      <w:r w:rsidRPr="00560A20">
        <w:rPr>
          <w:i/>
          <w:lang w:val="es-ES"/>
        </w:rPr>
        <w:t>uso restringido</w:t>
      </w:r>
      <w:r w:rsidRPr="00560A20">
        <w:rPr>
          <w:rStyle w:val="FootnoteReference"/>
          <w:i/>
          <w:lang w:val="es-ES"/>
        </w:rPr>
        <w:footnoteReference w:id="7"/>
      </w:r>
      <w:r w:rsidRPr="00560A20">
        <w:rPr>
          <w:lang w:val="es-ES"/>
        </w:rPr>
        <w:t xml:space="preserve">, así como técnicas y procedimientos distintos de otros servicios. Los aprueba el Comité de Armas del Ministerio de Defensa Nacional y la Superintendencia </w:t>
      </w:r>
      <w:r w:rsidR="007D28FD" w:rsidRPr="00560A20">
        <w:rPr>
          <w:lang w:val="es-ES"/>
        </w:rPr>
        <w:t xml:space="preserve">-órgano de control- </w:t>
      </w:r>
      <w:r w:rsidRPr="00560A20">
        <w:rPr>
          <w:lang w:val="es-ES"/>
        </w:rPr>
        <w:t>puede ejercer un control permanente so</w:t>
      </w:r>
      <w:r w:rsidR="007D28FD" w:rsidRPr="00560A20">
        <w:rPr>
          <w:lang w:val="es-ES"/>
        </w:rPr>
        <w:t>bre ellos</w:t>
      </w:r>
      <w:r w:rsidRPr="00560A20">
        <w:rPr>
          <w:lang w:val="es-ES"/>
        </w:rPr>
        <w:t>. Considerando la situación especial vivida por Colombia en razón de la guerrilla y el crimen organizado, esta actividad de seguridad privada</w:t>
      </w:r>
      <w:r w:rsidR="004B1B48" w:rsidRPr="00560A20">
        <w:rPr>
          <w:lang w:val="es-ES"/>
        </w:rPr>
        <w:t xml:space="preserve"> podría estar </w:t>
      </w:r>
      <w:r w:rsidRPr="00560A20">
        <w:rPr>
          <w:lang w:val="es-ES"/>
        </w:rPr>
        <w:t>cercana a las ac</w:t>
      </w:r>
      <w:r w:rsidR="00AC0BB5" w:rsidRPr="00560A20">
        <w:rPr>
          <w:lang w:val="es-ES"/>
        </w:rPr>
        <w:t>tividades de cará</w:t>
      </w:r>
      <w:r w:rsidR="00FA6301" w:rsidRPr="00560A20">
        <w:rPr>
          <w:lang w:val="es-ES"/>
        </w:rPr>
        <w:t>cter militar.</w:t>
      </w:r>
    </w:p>
    <w:p w14:paraId="75FABE38" w14:textId="77777777" w:rsidR="005D6612" w:rsidRPr="00560A20" w:rsidRDefault="005D6612" w:rsidP="005D6612">
      <w:pPr>
        <w:jc w:val="both"/>
        <w:rPr>
          <w:i/>
          <w:lang w:val="es-ES"/>
        </w:rPr>
      </w:pPr>
      <w:r w:rsidRPr="00560A20">
        <w:rPr>
          <w:i/>
          <w:lang w:val="es-ES"/>
        </w:rPr>
        <w:t>Tipos de servicios o actividades, mod</w:t>
      </w:r>
      <w:r w:rsidR="00F17BC3" w:rsidRPr="00560A20">
        <w:rPr>
          <w:i/>
          <w:lang w:val="es-ES"/>
        </w:rPr>
        <w:t>alidades de las prestaciones de seguridad privada (S</w:t>
      </w:r>
      <w:r w:rsidRPr="00560A20">
        <w:rPr>
          <w:i/>
          <w:lang w:val="es-ES"/>
        </w:rPr>
        <w:t>P</w:t>
      </w:r>
      <w:r w:rsidR="00F17BC3" w:rsidRPr="00560A20">
        <w:rPr>
          <w:i/>
          <w:lang w:val="es-ES"/>
        </w:rPr>
        <w:t>)</w:t>
      </w:r>
      <w:r w:rsidRPr="00560A20">
        <w:rPr>
          <w:i/>
          <w:lang w:val="es-ES"/>
        </w:rPr>
        <w:t>:</w:t>
      </w:r>
    </w:p>
    <w:p w14:paraId="2F60526C" w14:textId="77777777" w:rsidR="005D6612" w:rsidRPr="00560A20" w:rsidRDefault="005D6612" w:rsidP="005D6612">
      <w:pPr>
        <w:jc w:val="both"/>
        <w:rPr>
          <w:lang w:val="es-ES"/>
        </w:rPr>
      </w:pPr>
      <w:r w:rsidRPr="00560A20">
        <w:rPr>
          <w:lang w:val="es-ES"/>
        </w:rPr>
        <w:t>En términos generales, las prestaciones de seguridad privada son la vigilancia y protección de bienes y personas -incluidos los espectáculos públicos-, escoltas personales, detectives o investigaciones privadas, consultoría, servicios de tecnología de vigilancia y alarmas, comercialización de equipos para vigilancia y seguridad privada, transporte de valores. Entre los servicios de seguridad privada también se considera el de formación y capacitación de los agentes que desempeñan estas funciones. En el caso del transporte de valores la Ley 12.297/1999 de Buenos Aires sólo incluye el transporte, custodia y protección de cualquier objeto de traslado lícito, y exceptúa el transporte de caudales.</w:t>
      </w:r>
    </w:p>
    <w:p w14:paraId="1D46B840" w14:textId="5C4D29C7" w:rsidR="005D6612" w:rsidRPr="0062735D" w:rsidRDefault="005D6612" w:rsidP="005D6612">
      <w:pPr>
        <w:jc w:val="both"/>
        <w:rPr>
          <w:lang w:val="es-ES"/>
        </w:rPr>
      </w:pPr>
      <w:r w:rsidRPr="00560A20">
        <w:rPr>
          <w:lang w:val="es-ES"/>
        </w:rPr>
        <w:t>Algunas regulaciones clasifican los servicios de seguridad privada según si se realizan con armas o sin armas, como es el caso de Colombia</w:t>
      </w:r>
      <w:r w:rsidRPr="00560A20">
        <w:rPr>
          <w:rStyle w:val="FootnoteReference"/>
          <w:lang w:val="es-ES"/>
        </w:rPr>
        <w:footnoteReference w:id="8"/>
      </w:r>
      <w:r w:rsidRPr="00560A20">
        <w:rPr>
          <w:lang w:val="es-ES"/>
        </w:rPr>
        <w:t xml:space="preserve"> </w:t>
      </w:r>
      <w:r w:rsidR="006C4656" w:rsidRPr="00560A20">
        <w:rPr>
          <w:lang w:val="es-ES"/>
        </w:rPr>
        <w:t xml:space="preserve">que establece </w:t>
      </w:r>
      <w:r w:rsidRPr="00560A20">
        <w:rPr>
          <w:lang w:val="es-ES"/>
        </w:rPr>
        <w:t xml:space="preserve">que los servicios o prestaciones que pueden realizar </w:t>
      </w:r>
      <w:r w:rsidRPr="0062735D">
        <w:rPr>
          <w:lang w:val="es-ES"/>
        </w:rPr>
        <w:lastRenderedPageBreak/>
        <w:t xml:space="preserve">las personas naturales son sin armas; otros, como Ecuador, las clasifican en modalidades de vigilancia fija, vigilancia </w:t>
      </w:r>
      <w:r w:rsidR="00B7096D" w:rsidRPr="0062735D">
        <w:rPr>
          <w:lang w:val="es-ES"/>
        </w:rPr>
        <w:t>móvil, e investigación privada</w:t>
      </w:r>
      <w:r w:rsidR="00B7096D" w:rsidRPr="0062735D">
        <w:rPr>
          <w:rStyle w:val="FootnoteReference"/>
          <w:lang w:val="es-ES"/>
        </w:rPr>
        <w:footnoteReference w:id="9"/>
      </w:r>
      <w:r w:rsidRPr="0062735D">
        <w:rPr>
          <w:lang w:val="es-ES"/>
        </w:rPr>
        <w:t xml:space="preserve">. En todo caso, la tendencia es a permitir prestaciones con y sin armas. En </w:t>
      </w:r>
      <w:r w:rsidR="00EF39B6" w:rsidRPr="0062735D">
        <w:rPr>
          <w:lang w:val="es-ES"/>
        </w:rPr>
        <w:t xml:space="preserve">Bolivia no pueden portar armas. </w:t>
      </w:r>
      <w:r w:rsidRPr="0062735D">
        <w:rPr>
          <w:lang w:val="es-ES"/>
        </w:rPr>
        <w:t>A las prestaciones señaladas se suman algunas partic</w:t>
      </w:r>
      <w:r w:rsidR="00EF39B6" w:rsidRPr="0062735D">
        <w:rPr>
          <w:lang w:val="es-ES"/>
        </w:rPr>
        <w:t>ulares, como</w:t>
      </w:r>
      <w:r w:rsidRPr="0062735D">
        <w:rPr>
          <w:lang w:val="es-ES"/>
        </w:rPr>
        <w:t xml:space="preserve"> </w:t>
      </w:r>
      <w:r w:rsidR="00200A90" w:rsidRPr="0062735D">
        <w:rPr>
          <w:lang w:val="es-ES"/>
        </w:rPr>
        <w:t xml:space="preserve">ocurre en </w:t>
      </w:r>
      <w:r w:rsidRPr="0062735D">
        <w:rPr>
          <w:lang w:val="es-ES"/>
        </w:rPr>
        <w:t>la Ley de Buenos Aires que además considera entre las actividades de seguridad privada la obtención de evidencias en cuestiones civiles o para incriminar o des-incriminar a una persona, siempre que exista una persecución penal en el ámbito de la justicia por la comisión de un delito y tales servicios sean contratados en virtud de interés legítimo en el proceso penal</w:t>
      </w:r>
      <w:r w:rsidRPr="0062735D">
        <w:rPr>
          <w:rStyle w:val="FootnoteReference"/>
          <w:lang w:val="es-ES"/>
        </w:rPr>
        <w:footnoteReference w:id="10"/>
      </w:r>
      <w:r w:rsidRPr="0062735D">
        <w:rPr>
          <w:lang w:val="es-ES"/>
        </w:rPr>
        <w:t xml:space="preserve">. </w:t>
      </w:r>
    </w:p>
    <w:p w14:paraId="3D173FE0" w14:textId="553C331B" w:rsidR="005D6612" w:rsidRPr="00560A20" w:rsidRDefault="005D6612" w:rsidP="005D6612">
      <w:pPr>
        <w:autoSpaceDE w:val="0"/>
        <w:autoSpaceDN w:val="0"/>
        <w:adjustRightInd w:val="0"/>
        <w:spacing w:after="0" w:line="240" w:lineRule="auto"/>
        <w:jc w:val="both"/>
        <w:rPr>
          <w:lang w:val="es-ES"/>
        </w:rPr>
      </w:pPr>
      <w:r w:rsidRPr="0062735D">
        <w:rPr>
          <w:lang w:val="es-ES"/>
        </w:rPr>
        <w:t>Algunas regulaciones también reconocen los servicios de SP que se establecen al interior de una entidad</w:t>
      </w:r>
      <w:r w:rsidRPr="00560A20">
        <w:rPr>
          <w:lang w:val="es-ES"/>
        </w:rPr>
        <w:t xml:space="preserve"> para proveer su propia seguridad. Así ocurre en Colombia con los departamentos de seguridad que se establecen al interior de una empresa o entidad de derecho público o privado para proveer la vigilancia y seguridad privada de bienes, instalaciones y personas v</w:t>
      </w:r>
      <w:r w:rsidR="00DD6FFD" w:rsidRPr="00560A20">
        <w:rPr>
          <w:lang w:val="es-ES"/>
        </w:rPr>
        <w:t>inculadas a la misma; t</w:t>
      </w:r>
      <w:r w:rsidRPr="00560A20">
        <w:rPr>
          <w:lang w:val="es-ES"/>
        </w:rPr>
        <w:t>ambién deben establecer departamento de seguridad las personas naturales que pretendan organizar servicios de vigilancia y seguridad privada con armas de f</w:t>
      </w:r>
      <w:r w:rsidR="008F11E3" w:rsidRPr="00560A20">
        <w:rPr>
          <w:lang w:val="es-ES"/>
        </w:rPr>
        <w:t>uego para su propia protección</w:t>
      </w:r>
      <w:r w:rsidRPr="00560A20">
        <w:rPr>
          <w:rStyle w:val="FootnoteReference"/>
          <w:lang w:val="es-ES"/>
        </w:rPr>
        <w:footnoteReference w:id="11"/>
      </w:r>
      <w:r w:rsidR="00DD6FFD" w:rsidRPr="00560A20">
        <w:rPr>
          <w:lang w:val="es-ES"/>
        </w:rPr>
        <w:t xml:space="preserve">. </w:t>
      </w:r>
      <w:r w:rsidR="00173F5A">
        <w:rPr>
          <w:lang w:val="es-ES"/>
        </w:rPr>
        <w:t>También</w:t>
      </w:r>
      <w:r w:rsidR="00DD6FFD" w:rsidRPr="00560A20">
        <w:rPr>
          <w:lang w:val="es-ES"/>
        </w:rPr>
        <w:t xml:space="preserve"> están los</w:t>
      </w:r>
      <w:r w:rsidR="0075677D" w:rsidRPr="00560A20">
        <w:rPr>
          <w:lang w:val="es-ES"/>
        </w:rPr>
        <w:t xml:space="preserve"> Servicios Especiales de Vigilancia y los Servicios Comunitarios de </w:t>
      </w:r>
      <w:r w:rsidR="002C42AC" w:rsidRPr="00560A20">
        <w:rPr>
          <w:lang w:val="es-ES"/>
        </w:rPr>
        <w:t xml:space="preserve">Vigilancia y </w:t>
      </w:r>
      <w:r w:rsidR="0075677D" w:rsidRPr="00560A20">
        <w:rPr>
          <w:lang w:val="es-ES"/>
        </w:rPr>
        <w:t>SP que</w:t>
      </w:r>
      <w:r w:rsidRPr="00560A20">
        <w:rPr>
          <w:lang w:val="es-ES"/>
        </w:rPr>
        <w:t xml:space="preserve"> provee</w:t>
      </w:r>
      <w:r w:rsidR="0075677D" w:rsidRPr="00560A20">
        <w:rPr>
          <w:lang w:val="es-ES"/>
        </w:rPr>
        <w:t>n</w:t>
      </w:r>
      <w:r w:rsidRPr="00560A20">
        <w:rPr>
          <w:lang w:val="es-ES"/>
        </w:rPr>
        <w:t xml:space="preserve"> su propia seguridad</w:t>
      </w:r>
      <w:r w:rsidR="0075677D" w:rsidRPr="00560A20">
        <w:rPr>
          <w:lang w:val="es-ES"/>
        </w:rPr>
        <w:t xml:space="preserve">. </w:t>
      </w:r>
      <w:r w:rsidRPr="00560A20">
        <w:rPr>
          <w:lang w:val="es-ES"/>
        </w:rPr>
        <w:t xml:space="preserve">Chile, por su parte, establece la obligación de mantener servicios propios de </w:t>
      </w:r>
      <w:r w:rsidRPr="00560A20">
        <w:rPr>
          <w:i/>
          <w:lang w:val="es-ES"/>
        </w:rPr>
        <w:t>vigilantes privados</w:t>
      </w:r>
      <w:r w:rsidRPr="00560A20">
        <w:rPr>
          <w:lang w:val="es-ES"/>
        </w:rPr>
        <w:t xml:space="preserve"> a las entidades bancarias o financieras, entidades públicas, empresas de transporte de valores, empresas estratégicas</w:t>
      </w:r>
      <w:r w:rsidRPr="00560A20">
        <w:rPr>
          <w:rStyle w:val="FootnoteReference"/>
          <w:lang w:val="es-ES"/>
        </w:rPr>
        <w:footnoteReference w:id="12"/>
      </w:r>
      <w:r w:rsidRPr="00560A20">
        <w:rPr>
          <w:lang w:val="es-ES"/>
        </w:rPr>
        <w:t xml:space="preserve"> y servicios de utilidad pública que la autoridad determine, </w:t>
      </w:r>
      <w:r w:rsidR="00463ED4" w:rsidRPr="00560A20">
        <w:rPr>
          <w:lang w:val="es-ES"/>
        </w:rPr>
        <w:t>u otras autorizadas</w:t>
      </w:r>
      <w:r w:rsidR="00173F5A">
        <w:rPr>
          <w:lang w:val="es-ES"/>
        </w:rPr>
        <w:t>;</w:t>
      </w:r>
      <w:r w:rsidR="00463ED4" w:rsidRPr="00560A20">
        <w:rPr>
          <w:lang w:val="es-ES"/>
        </w:rPr>
        <w:t xml:space="preserve"> </w:t>
      </w:r>
      <w:r w:rsidRPr="00560A20">
        <w:rPr>
          <w:lang w:val="es-ES"/>
        </w:rPr>
        <w:t xml:space="preserve">los </w:t>
      </w:r>
      <w:r w:rsidRPr="00560A20">
        <w:rPr>
          <w:i/>
          <w:lang w:val="es-ES"/>
        </w:rPr>
        <w:t>vigilantes</w:t>
      </w:r>
      <w:r w:rsidRPr="00560A20">
        <w:rPr>
          <w:lang w:val="es-ES"/>
        </w:rPr>
        <w:t xml:space="preserve"> son los únicos que pueden, y deben, portar armas de fuego y son trabajadores dependientes de la entidad </w:t>
      </w:r>
      <w:r w:rsidR="00173F5A">
        <w:rPr>
          <w:lang w:val="es-ES"/>
        </w:rPr>
        <w:t>en</w:t>
      </w:r>
      <w:r w:rsidRPr="00560A20">
        <w:rPr>
          <w:lang w:val="es-ES"/>
        </w:rPr>
        <w:t xml:space="preserve"> la que prestan servicios. En esta misma lógica, la norma de Perú refiere a los “servicios de protección por cuenta propia”, organizado</w:t>
      </w:r>
      <w:r w:rsidR="00173F5A">
        <w:rPr>
          <w:lang w:val="es-ES"/>
        </w:rPr>
        <w:t>s</w:t>
      </w:r>
      <w:r w:rsidRPr="00560A20">
        <w:rPr>
          <w:lang w:val="es-ES"/>
        </w:rPr>
        <w:t xml:space="preserve"> por cualquier entidad pública o privada para cubrir sus propias necesidades de seguridad interna y con personal vinculado laboralmente a la misma.</w:t>
      </w:r>
    </w:p>
    <w:p w14:paraId="3FFA38EF" w14:textId="77777777" w:rsidR="005D6612" w:rsidRPr="00560A20" w:rsidRDefault="005D6612" w:rsidP="005D6612">
      <w:pPr>
        <w:autoSpaceDE w:val="0"/>
        <w:autoSpaceDN w:val="0"/>
        <w:adjustRightInd w:val="0"/>
        <w:spacing w:after="0" w:line="240" w:lineRule="auto"/>
        <w:jc w:val="both"/>
        <w:rPr>
          <w:lang w:val="es-ES"/>
        </w:rPr>
      </w:pPr>
    </w:p>
    <w:p w14:paraId="7D670A61" w14:textId="327C8145" w:rsidR="000E4155" w:rsidRPr="00560A20" w:rsidRDefault="000E4155" w:rsidP="000E4155">
      <w:pPr>
        <w:jc w:val="both"/>
        <w:rPr>
          <w:lang w:val="es-ES"/>
        </w:rPr>
      </w:pPr>
      <w:r w:rsidRPr="00560A20">
        <w:rPr>
          <w:lang w:val="es-ES"/>
        </w:rPr>
        <w:t>En cuanto a los Convenios y Tratados internacionales</w:t>
      </w:r>
      <w:r w:rsidR="00DE2833" w:rsidRPr="00560A20">
        <w:rPr>
          <w:lang w:val="es-ES"/>
        </w:rPr>
        <w:t xml:space="preserve"> sobre derechos humanos</w:t>
      </w:r>
      <w:r w:rsidRPr="00560A20">
        <w:rPr>
          <w:lang w:val="es-ES"/>
        </w:rPr>
        <w:t xml:space="preserve">, la </w:t>
      </w:r>
      <w:r w:rsidR="00DE2833" w:rsidRPr="00560A20">
        <w:rPr>
          <w:lang w:val="es-ES"/>
        </w:rPr>
        <w:t>mayoría no los mencio</w:t>
      </w:r>
      <w:r w:rsidRPr="00560A20">
        <w:rPr>
          <w:lang w:val="es-ES"/>
        </w:rPr>
        <w:t>n</w:t>
      </w:r>
      <w:r w:rsidR="00DE2833" w:rsidRPr="00560A20">
        <w:rPr>
          <w:lang w:val="es-ES"/>
        </w:rPr>
        <w:t>a</w:t>
      </w:r>
      <w:r w:rsidRPr="00560A20">
        <w:rPr>
          <w:lang w:val="es-ES"/>
        </w:rPr>
        <w:t>. Las excepciones son Perú</w:t>
      </w:r>
      <w:r w:rsidR="00390E37" w:rsidRPr="00560A20">
        <w:rPr>
          <w:lang w:val="es-ES"/>
        </w:rPr>
        <w:t>, Brasil y Colombia</w:t>
      </w:r>
      <w:r w:rsidR="00102471" w:rsidRPr="00560A20">
        <w:rPr>
          <w:rStyle w:val="FootnoteReference"/>
          <w:lang w:val="es-ES"/>
        </w:rPr>
        <w:footnoteReference w:id="13"/>
      </w:r>
      <w:r w:rsidR="00390E37" w:rsidRPr="00560A20">
        <w:rPr>
          <w:lang w:val="es-ES"/>
        </w:rPr>
        <w:t>;</w:t>
      </w:r>
      <w:r w:rsidRPr="00560A20">
        <w:rPr>
          <w:lang w:val="es-ES"/>
        </w:rPr>
        <w:t xml:space="preserve"> el primero al prohibir las actividades mercenarias en cumplimiento de las obligaciones contraídas por el Estado Peruano a través de Tratados y Acuerdos internacionales vigentes</w:t>
      </w:r>
      <w:r w:rsidR="00390E37" w:rsidRPr="00560A20">
        <w:rPr>
          <w:lang w:val="es-ES"/>
        </w:rPr>
        <w:t xml:space="preserve">; </w:t>
      </w:r>
      <w:r w:rsidRPr="00560A20">
        <w:rPr>
          <w:lang w:val="es-ES"/>
        </w:rPr>
        <w:t>el segundo, en la norma (</w:t>
      </w:r>
      <w:proofErr w:type="spellStart"/>
      <w:r w:rsidRPr="00560A20">
        <w:rPr>
          <w:lang w:val="es-ES"/>
        </w:rPr>
        <w:t>Portaria</w:t>
      </w:r>
      <w:proofErr w:type="spellEnd"/>
      <w:r w:rsidRPr="00560A20">
        <w:rPr>
          <w:lang w:val="es-ES"/>
        </w:rPr>
        <w:t>) de 2012 hace mención a los derechos humanos en diversas ocasiones, en especial en los anexos dedicados a</w:t>
      </w:r>
      <w:r w:rsidR="00390E37" w:rsidRPr="00560A20">
        <w:rPr>
          <w:lang w:val="es-ES"/>
        </w:rPr>
        <w:t xml:space="preserve"> los contenidos de la formación; y</w:t>
      </w:r>
      <w:r w:rsidR="00EE26AA" w:rsidRPr="00560A20">
        <w:rPr>
          <w:lang w:val="es-ES"/>
        </w:rPr>
        <w:t>,</w:t>
      </w:r>
      <w:r w:rsidR="00390E37" w:rsidRPr="00560A20">
        <w:rPr>
          <w:lang w:val="es-ES"/>
        </w:rPr>
        <w:t xml:space="preserve"> Colombia</w:t>
      </w:r>
      <w:r w:rsidR="00173F5A">
        <w:rPr>
          <w:lang w:val="es-ES"/>
        </w:rPr>
        <w:t>,</w:t>
      </w:r>
      <w:r w:rsidR="00390E37" w:rsidRPr="00560A20">
        <w:rPr>
          <w:lang w:val="es-ES"/>
        </w:rPr>
        <w:t xml:space="preserve"> en los </w:t>
      </w:r>
      <w:r w:rsidR="00390E37" w:rsidRPr="00560A20">
        <w:rPr>
          <w:i/>
          <w:lang w:val="es-ES"/>
        </w:rPr>
        <w:t>considerandos</w:t>
      </w:r>
      <w:r w:rsidRPr="00560A20">
        <w:rPr>
          <w:lang w:val="es-ES"/>
        </w:rPr>
        <w:t xml:space="preserve"> </w:t>
      </w:r>
      <w:r w:rsidR="00EE26AA" w:rsidRPr="00560A20">
        <w:rPr>
          <w:lang w:val="es-ES"/>
        </w:rPr>
        <w:t>del Reglamento de los S</w:t>
      </w:r>
      <w:r w:rsidR="00390E37" w:rsidRPr="00560A20">
        <w:rPr>
          <w:lang w:val="es-ES"/>
        </w:rPr>
        <w:t xml:space="preserve">ervicios </w:t>
      </w:r>
      <w:r w:rsidR="00EE26AA" w:rsidRPr="00560A20">
        <w:rPr>
          <w:lang w:val="es-ES"/>
        </w:rPr>
        <w:t>E</w:t>
      </w:r>
      <w:r w:rsidR="00390E37" w:rsidRPr="00560A20">
        <w:rPr>
          <w:lang w:val="es-ES"/>
        </w:rPr>
        <w:t xml:space="preserve">speciales y los </w:t>
      </w:r>
      <w:r w:rsidR="00EE26AA" w:rsidRPr="00560A20">
        <w:rPr>
          <w:lang w:val="es-ES"/>
        </w:rPr>
        <w:t>S</w:t>
      </w:r>
      <w:r w:rsidR="00390E37" w:rsidRPr="00560A20">
        <w:rPr>
          <w:lang w:val="es-ES"/>
        </w:rPr>
        <w:t xml:space="preserve">ervicios </w:t>
      </w:r>
      <w:r w:rsidR="00EE26AA" w:rsidRPr="00560A20">
        <w:rPr>
          <w:lang w:val="es-ES"/>
        </w:rPr>
        <w:t>C</w:t>
      </w:r>
      <w:r w:rsidR="00390E37" w:rsidRPr="00560A20">
        <w:rPr>
          <w:lang w:val="es-ES"/>
        </w:rPr>
        <w:t>omunitarios</w:t>
      </w:r>
      <w:r w:rsidR="00EE26AA" w:rsidRPr="00560A20">
        <w:rPr>
          <w:lang w:val="es-ES"/>
        </w:rPr>
        <w:t xml:space="preserve"> de Vigilancia y Seguridad P</w:t>
      </w:r>
      <w:r w:rsidR="00390E37" w:rsidRPr="00560A20">
        <w:rPr>
          <w:lang w:val="es-ES"/>
        </w:rPr>
        <w:t>rivada, donde señala que</w:t>
      </w:r>
      <w:r w:rsidR="00FC1296" w:rsidRPr="00560A20">
        <w:rPr>
          <w:lang w:val="es-ES"/>
        </w:rPr>
        <w:t xml:space="preserve"> “es imperativo que los ciudadanos cuenten con cauces legales adecuados para el ejercicio de sus derechos constitucionales, que garanticen y preserven de manera efectiva la observancia de la Constitución Política, los Tratados y Convenios Internacionales sobre Derechos Humanos, la ley y las normas vigentes”</w:t>
      </w:r>
      <w:r w:rsidR="00FC1296" w:rsidRPr="00560A20">
        <w:rPr>
          <w:rStyle w:val="FootnoteReference"/>
          <w:lang w:val="es-ES"/>
        </w:rPr>
        <w:footnoteReference w:id="14"/>
      </w:r>
      <w:r w:rsidR="00FC1296" w:rsidRPr="00560A20">
        <w:rPr>
          <w:lang w:val="es-ES"/>
        </w:rPr>
        <w:t>.</w:t>
      </w:r>
      <w:r w:rsidR="00D800E5" w:rsidRPr="00560A20">
        <w:rPr>
          <w:lang w:val="es-ES"/>
        </w:rPr>
        <w:t xml:space="preserve"> En cuanto al derecho internacional humanitario, la única mención se encuentra en el reglamento de Colombia sobre </w:t>
      </w:r>
      <w:r w:rsidR="009553A2" w:rsidRPr="00560A20">
        <w:rPr>
          <w:lang w:val="es-ES"/>
        </w:rPr>
        <w:t xml:space="preserve">los mencionados </w:t>
      </w:r>
      <w:r w:rsidR="00D800E5" w:rsidRPr="00560A20">
        <w:rPr>
          <w:lang w:val="es-ES"/>
        </w:rPr>
        <w:t>servicios especiales</w:t>
      </w:r>
      <w:r w:rsidR="009553A2" w:rsidRPr="00560A20">
        <w:rPr>
          <w:lang w:val="es-ES"/>
        </w:rPr>
        <w:t xml:space="preserve"> y servicios comunitarios</w:t>
      </w:r>
      <w:r w:rsidR="00D800E5" w:rsidRPr="00560A20">
        <w:rPr>
          <w:lang w:val="es-ES"/>
        </w:rPr>
        <w:t>,</w:t>
      </w:r>
      <w:r w:rsidR="009553A2" w:rsidRPr="00560A20">
        <w:rPr>
          <w:lang w:val="es-ES"/>
        </w:rPr>
        <w:t xml:space="preserve"> al disponer que </w:t>
      </w:r>
      <w:r w:rsidR="00144DD7" w:rsidRPr="00560A20">
        <w:rPr>
          <w:lang w:val="es-ES"/>
        </w:rPr>
        <w:t xml:space="preserve">entre sus deberes y obligaciones está informar oportunamente a las autoridades competentes cuando en el ejercicio de la </w:t>
      </w:r>
      <w:r w:rsidR="00144DD7" w:rsidRPr="00560A20">
        <w:rPr>
          <w:lang w:val="es-ES"/>
        </w:rPr>
        <w:lastRenderedPageBreak/>
        <w:t>actividad</w:t>
      </w:r>
      <w:r w:rsidR="009553A2" w:rsidRPr="00560A20">
        <w:rPr>
          <w:lang w:val="es-ES"/>
        </w:rPr>
        <w:t xml:space="preserve"> </w:t>
      </w:r>
      <w:r w:rsidR="00144DD7" w:rsidRPr="00560A20">
        <w:rPr>
          <w:lang w:val="es-ES"/>
        </w:rPr>
        <w:t>tomen conocimiento de la comisión de actos delictivos, violación de derechos humanos o del derecho internacional humanitario</w:t>
      </w:r>
      <w:r w:rsidR="009553A2" w:rsidRPr="00560A20">
        <w:rPr>
          <w:rStyle w:val="FootnoteReference"/>
          <w:lang w:val="es-ES"/>
        </w:rPr>
        <w:footnoteReference w:id="15"/>
      </w:r>
      <w:r w:rsidR="004F1CCD" w:rsidRPr="00560A20">
        <w:rPr>
          <w:lang w:val="es-ES"/>
        </w:rPr>
        <w:t>.</w:t>
      </w:r>
    </w:p>
    <w:p w14:paraId="7506181B" w14:textId="77777777" w:rsidR="000E4155" w:rsidRPr="00560A20" w:rsidRDefault="000E4155" w:rsidP="000E4155">
      <w:pPr>
        <w:jc w:val="both"/>
        <w:rPr>
          <w:i/>
          <w:lang w:val="es-ES"/>
        </w:rPr>
      </w:pPr>
      <w:r w:rsidRPr="00560A20">
        <w:rPr>
          <w:i/>
          <w:lang w:val="es-ES"/>
        </w:rPr>
        <w:t>Desde el punto de vista de los prestadores de servicios:</w:t>
      </w:r>
    </w:p>
    <w:p w14:paraId="05D7C12B" w14:textId="42639BE8" w:rsidR="000E4155" w:rsidRPr="00560A20" w:rsidRDefault="000E4155" w:rsidP="000E4155">
      <w:pPr>
        <w:jc w:val="both"/>
        <w:rPr>
          <w:sz w:val="18"/>
          <w:szCs w:val="18"/>
          <w:lang w:val="es-ES"/>
        </w:rPr>
      </w:pPr>
      <w:r w:rsidRPr="00560A20">
        <w:rPr>
          <w:lang w:val="es-ES"/>
        </w:rPr>
        <w:t>Chile, Colombia, Perú y Uruguay reconocen como prestadores de servicios de seguridad privada tanto a las personas naturales como jurídicas. La seguridad privada en el transporte de valores corresponde siempre a personas jurídicas. El Decreto N° 356 de Colombia limita las actividades de las personas naturales a los servicios asociados a la comercialización de equipos de seguridad, asesorías, consultoría e investigación de seguridad</w:t>
      </w:r>
      <w:r w:rsidR="009E206C" w:rsidRPr="00560A20">
        <w:rPr>
          <w:lang w:val="es-ES"/>
        </w:rPr>
        <w:t>, los</w:t>
      </w:r>
      <w:r w:rsidRPr="00560A20">
        <w:rPr>
          <w:lang w:val="es-ES"/>
        </w:rPr>
        <w:t xml:space="preserve"> que corresponden a la categoría “sin armas”.  La regulación de Brasil, Ecuador, Bolivia y Buenos Aires, reconocen como prestadores de servicios de seguridad privada sólo a personas jurídicas</w:t>
      </w:r>
      <w:r w:rsidR="008068A5" w:rsidRPr="00560A20">
        <w:rPr>
          <w:lang w:val="es-ES"/>
        </w:rPr>
        <w:t xml:space="preserve">, y esta última </w:t>
      </w:r>
      <w:r w:rsidRPr="00560A20">
        <w:rPr>
          <w:lang w:val="es-ES"/>
        </w:rPr>
        <w:t>prohíbe al personal de vigilancia de estas empresas prestar servicios en forma independiente y autónoma</w:t>
      </w:r>
      <w:r w:rsidRPr="00560A20">
        <w:rPr>
          <w:rStyle w:val="FootnoteReference"/>
          <w:lang w:val="es-ES"/>
        </w:rPr>
        <w:footnoteReference w:id="16"/>
      </w:r>
      <w:r w:rsidRPr="00560A20">
        <w:rPr>
          <w:lang w:val="es-ES"/>
        </w:rPr>
        <w:t xml:space="preserve">. </w:t>
      </w:r>
    </w:p>
    <w:p w14:paraId="411A3DC0" w14:textId="7BCD6E24" w:rsidR="000E4155" w:rsidRPr="00560A20" w:rsidRDefault="000E4155" w:rsidP="000E4155">
      <w:pPr>
        <w:jc w:val="both"/>
        <w:rPr>
          <w:lang w:val="es-ES"/>
        </w:rPr>
      </w:pPr>
      <w:r w:rsidRPr="00560A20">
        <w:rPr>
          <w:lang w:val="es-ES"/>
        </w:rPr>
        <w:t xml:space="preserve">Hay casos en que se reconoce como prestadores de seguridad privada a entidades </w:t>
      </w:r>
      <w:r w:rsidR="00DD6FFD" w:rsidRPr="00560A20">
        <w:rPr>
          <w:lang w:val="es-ES"/>
        </w:rPr>
        <w:t>especiales como</w:t>
      </w:r>
      <w:r w:rsidRPr="00560A20">
        <w:rPr>
          <w:lang w:val="es-ES"/>
        </w:rPr>
        <w:t xml:space="preserve"> </w:t>
      </w:r>
      <w:r w:rsidR="00C9468D" w:rsidRPr="00560A20">
        <w:rPr>
          <w:lang w:val="es-ES"/>
        </w:rPr>
        <w:t>los Servicios Comunitarios de Vigilancia y Seguridad P</w:t>
      </w:r>
      <w:r w:rsidRPr="00560A20">
        <w:rPr>
          <w:lang w:val="es-ES"/>
        </w:rPr>
        <w:t>rivada</w:t>
      </w:r>
      <w:r w:rsidR="001B134F" w:rsidRPr="00560A20">
        <w:rPr>
          <w:rStyle w:val="FootnoteReference"/>
          <w:lang w:val="es-ES"/>
        </w:rPr>
        <w:footnoteReference w:id="17"/>
      </w:r>
      <w:r w:rsidR="00D428CC" w:rsidRPr="00560A20">
        <w:rPr>
          <w:lang w:val="es-ES"/>
        </w:rPr>
        <w:t>,</w:t>
      </w:r>
      <w:r w:rsidRPr="00560A20">
        <w:rPr>
          <w:lang w:val="es-ES"/>
        </w:rPr>
        <w:t xml:space="preserve"> </w:t>
      </w:r>
      <w:r w:rsidR="00C9468D" w:rsidRPr="00560A20">
        <w:rPr>
          <w:lang w:val="es-ES"/>
        </w:rPr>
        <w:t xml:space="preserve">en Colombia, </w:t>
      </w:r>
      <w:r w:rsidRPr="00560A20">
        <w:rPr>
          <w:lang w:val="es-ES"/>
        </w:rPr>
        <w:t>que c</w:t>
      </w:r>
      <w:r w:rsidR="004F1CCD" w:rsidRPr="00560A20">
        <w:rPr>
          <w:lang w:val="es-ES"/>
        </w:rPr>
        <w:t xml:space="preserve">orresponden a una organización </w:t>
      </w:r>
      <w:r w:rsidRPr="00560A20">
        <w:rPr>
          <w:lang w:val="es-ES"/>
        </w:rPr>
        <w:t>de la sociedad en forma de cooperativa, junta de acción comunal o empresa comunitaria, para proveer seguridad a sus cooperados o miembros dentro del área de asiento de la respectiva comunidad y pueden funcionar en modalidad de vigilancia fija o móvil, con armas o sin armas;</w:t>
      </w:r>
      <w:r w:rsidR="00DD6FFD" w:rsidRPr="00560A20">
        <w:rPr>
          <w:lang w:val="es-ES"/>
        </w:rPr>
        <w:t xml:space="preserve"> y, </w:t>
      </w:r>
      <w:r w:rsidRPr="00560A20">
        <w:rPr>
          <w:lang w:val="es-ES"/>
        </w:rPr>
        <w:t>las cooperativas de vigilancia y seguridad privada</w:t>
      </w:r>
      <w:r w:rsidR="001B134F" w:rsidRPr="00560A20">
        <w:rPr>
          <w:rStyle w:val="FootnoteReference"/>
          <w:lang w:val="es-ES"/>
        </w:rPr>
        <w:footnoteReference w:id="18"/>
      </w:r>
      <w:r w:rsidRPr="00560A20">
        <w:rPr>
          <w:lang w:val="es-ES"/>
        </w:rPr>
        <w:t xml:space="preserve"> –caso en que la licencia de funcionamiento la expide l</w:t>
      </w:r>
      <w:r w:rsidR="00C9468D" w:rsidRPr="00560A20">
        <w:rPr>
          <w:lang w:val="es-ES"/>
        </w:rPr>
        <w:t xml:space="preserve">a Alcaldía correspondiente-, </w:t>
      </w:r>
      <w:r w:rsidR="00173F5A">
        <w:rPr>
          <w:lang w:val="es-ES"/>
        </w:rPr>
        <w:t>que</w:t>
      </w:r>
      <w:r w:rsidRPr="00560A20">
        <w:rPr>
          <w:lang w:val="es-ES"/>
        </w:rPr>
        <w:t xml:space="preserve"> son empresas asociativas sin fines de lucro en que los trabajadores son también los aportantes y gestores, creadas para prestar servicios de vigilancia y seguridad</w:t>
      </w:r>
      <w:r w:rsidR="00DD6FFD" w:rsidRPr="00560A20">
        <w:rPr>
          <w:lang w:val="es-ES"/>
        </w:rPr>
        <w:t xml:space="preserve"> en forma remunerada a terceros</w:t>
      </w:r>
      <w:r w:rsidR="00173F5A">
        <w:rPr>
          <w:lang w:val="es-ES"/>
        </w:rPr>
        <w:t>, pudiendo</w:t>
      </w:r>
      <w:r w:rsidRPr="00560A20">
        <w:rPr>
          <w:lang w:val="es-ES"/>
        </w:rPr>
        <w:t xml:space="preserve"> funcionar en</w:t>
      </w:r>
      <w:r w:rsidR="004F1CCD" w:rsidRPr="00560A20">
        <w:rPr>
          <w:lang w:val="es-ES"/>
        </w:rPr>
        <w:t xml:space="preserve"> modalidad de vigilancia fija, </w:t>
      </w:r>
      <w:r w:rsidRPr="00560A20">
        <w:rPr>
          <w:lang w:val="es-ES"/>
        </w:rPr>
        <w:t>móvil y escolta.</w:t>
      </w:r>
    </w:p>
    <w:p w14:paraId="26BFD242" w14:textId="41F7633D" w:rsidR="00053CE4" w:rsidRPr="00560A20" w:rsidRDefault="005E5395" w:rsidP="00435D97">
      <w:pPr>
        <w:autoSpaceDE w:val="0"/>
        <w:autoSpaceDN w:val="0"/>
        <w:adjustRightInd w:val="0"/>
        <w:spacing w:line="240" w:lineRule="atLeast"/>
        <w:jc w:val="both"/>
        <w:rPr>
          <w:lang w:val="es-ES"/>
        </w:rPr>
      </w:pPr>
      <w:r w:rsidRPr="00560A20">
        <w:rPr>
          <w:lang w:val="es-ES"/>
        </w:rPr>
        <w:t>La mayoría de estos países prohíbe</w:t>
      </w:r>
      <w:r w:rsidR="000E4155" w:rsidRPr="00560A20">
        <w:rPr>
          <w:lang w:val="es-ES"/>
        </w:rPr>
        <w:t xml:space="preserve"> expresamente que miembros</w:t>
      </w:r>
      <w:r w:rsidR="00781468" w:rsidRPr="00560A20">
        <w:rPr>
          <w:lang w:val="es-ES"/>
        </w:rPr>
        <w:t xml:space="preserve"> activos de la fuerza pública -</w:t>
      </w:r>
      <w:r w:rsidR="000E4155" w:rsidRPr="00560A20">
        <w:rPr>
          <w:lang w:val="es-ES"/>
        </w:rPr>
        <w:t>FF.AA y policías- desempeñen a</w:t>
      </w:r>
      <w:r w:rsidR="00CF4952" w:rsidRPr="00560A20">
        <w:rPr>
          <w:lang w:val="es-ES"/>
        </w:rPr>
        <w:t>ctividades de seguridad privada</w:t>
      </w:r>
      <w:r w:rsidRPr="00560A20">
        <w:rPr>
          <w:lang w:val="es-ES"/>
        </w:rPr>
        <w:t xml:space="preserve">. </w:t>
      </w:r>
      <w:r w:rsidR="005F184D" w:rsidRPr="00560A20">
        <w:rPr>
          <w:lang w:val="es-ES"/>
        </w:rPr>
        <w:t>Así por ejemplo, e</w:t>
      </w:r>
      <w:r w:rsidR="000E4155" w:rsidRPr="00560A20">
        <w:rPr>
          <w:lang w:val="es-ES"/>
        </w:rPr>
        <w:t>l Decreto 275/1999 de Urug</w:t>
      </w:r>
      <w:r w:rsidR="00781468" w:rsidRPr="00560A20">
        <w:rPr>
          <w:lang w:val="es-ES"/>
        </w:rPr>
        <w:t>uay prohíbe al</w:t>
      </w:r>
      <w:r w:rsidR="000E4155" w:rsidRPr="00560A20">
        <w:rPr>
          <w:lang w:val="es-ES"/>
        </w:rPr>
        <w:t xml:space="preserve"> personal superior de la policía </w:t>
      </w:r>
      <w:r w:rsidR="00781468" w:rsidRPr="00560A20">
        <w:rPr>
          <w:lang w:val="es-ES"/>
        </w:rPr>
        <w:t>participar como</w:t>
      </w:r>
      <w:r w:rsidR="000E4155" w:rsidRPr="00560A20">
        <w:rPr>
          <w:lang w:val="es-ES"/>
        </w:rPr>
        <w:t xml:space="preserve"> propietarios socios y/o representantes de las empresas o prestadores de seguridad, así como a tener cualquier vínculo o relación con </w:t>
      </w:r>
      <w:r w:rsidR="00781468" w:rsidRPr="00560A20">
        <w:rPr>
          <w:lang w:val="es-ES"/>
        </w:rPr>
        <w:t>las ESP</w:t>
      </w:r>
      <w:r w:rsidR="000E4155" w:rsidRPr="00560A20">
        <w:rPr>
          <w:lang w:val="es-ES"/>
        </w:rPr>
        <w:t>; sólo les permite participar como instructores en los centros privados de capacitación habilitados por el Ministerio del Interior</w:t>
      </w:r>
      <w:r w:rsidRPr="00560A20">
        <w:rPr>
          <w:rStyle w:val="FootnoteReference"/>
          <w:lang w:val="es-ES"/>
        </w:rPr>
        <w:footnoteReference w:id="19"/>
      </w:r>
      <w:r w:rsidR="000E4155" w:rsidRPr="00560A20">
        <w:rPr>
          <w:lang w:val="es-ES"/>
        </w:rPr>
        <w:t xml:space="preserve">. La Ley ecuatoriana, extiende la prohibición </w:t>
      </w:r>
      <w:r w:rsidR="005F184D" w:rsidRPr="00560A20">
        <w:rPr>
          <w:lang w:val="es-ES"/>
        </w:rPr>
        <w:t xml:space="preserve">de ser socios o participar en los órganos de gobierno o administración de las </w:t>
      </w:r>
      <w:proofErr w:type="spellStart"/>
      <w:r w:rsidR="005F184D" w:rsidRPr="00560A20">
        <w:rPr>
          <w:lang w:val="es-ES"/>
        </w:rPr>
        <w:t>ESP</w:t>
      </w:r>
      <w:r w:rsidR="00E3708A">
        <w:rPr>
          <w:lang w:val="es-ES"/>
        </w:rPr>
        <w:t>s</w:t>
      </w:r>
      <w:proofErr w:type="spellEnd"/>
      <w:r w:rsidR="005F184D" w:rsidRPr="00560A20">
        <w:rPr>
          <w:lang w:val="es-ES"/>
        </w:rPr>
        <w:t xml:space="preserve"> </w:t>
      </w:r>
      <w:r w:rsidR="000E4155" w:rsidRPr="00560A20">
        <w:rPr>
          <w:lang w:val="es-ES"/>
        </w:rPr>
        <w:t>a los cónyuges y parientes hasta el segundo grado de consanguinidad y afinidad de los miembros activos de la fuerza pública</w:t>
      </w:r>
      <w:r w:rsidR="000E4155" w:rsidRPr="00560A20">
        <w:rPr>
          <w:rStyle w:val="FootnoteReference"/>
          <w:lang w:val="es-ES"/>
        </w:rPr>
        <w:footnoteReference w:id="20"/>
      </w:r>
      <w:r w:rsidR="000E4155" w:rsidRPr="00560A20">
        <w:rPr>
          <w:lang w:val="es-ES"/>
        </w:rPr>
        <w:t xml:space="preserve">, y a los funcionarios, empleados y trabajadores civiles que estén al servicio del Ministerio de Defensa Nacional, del Ministerio de Gobierno, de la Policía Nacional, de las Fuerzas Armadas y de la </w:t>
      </w:r>
      <w:r w:rsidR="000E4155" w:rsidRPr="00560A20">
        <w:rPr>
          <w:lang w:val="es-ES"/>
        </w:rPr>
        <w:lastRenderedPageBreak/>
        <w:t>Superintendencia de</w:t>
      </w:r>
      <w:r w:rsidR="00965055" w:rsidRPr="00560A20">
        <w:rPr>
          <w:lang w:val="es-ES"/>
        </w:rPr>
        <w:t xml:space="preserve"> Compañías</w:t>
      </w:r>
      <w:r w:rsidR="00D17896">
        <w:rPr>
          <w:lang w:val="es-ES"/>
        </w:rPr>
        <w:t>. E</w:t>
      </w:r>
      <w:r w:rsidR="00435D97" w:rsidRPr="00560A20">
        <w:rPr>
          <w:lang w:val="es-ES"/>
        </w:rPr>
        <w:t xml:space="preserve">n </w:t>
      </w:r>
      <w:r w:rsidR="000E4155" w:rsidRPr="00560A20">
        <w:rPr>
          <w:lang w:val="es-ES"/>
        </w:rPr>
        <w:t>Colombia</w:t>
      </w:r>
      <w:r w:rsidR="004D7219" w:rsidRPr="00560A20">
        <w:rPr>
          <w:lang w:val="es-ES"/>
        </w:rPr>
        <w:t xml:space="preserve"> no</w:t>
      </w:r>
      <w:r w:rsidR="00435D97" w:rsidRPr="00560A20">
        <w:rPr>
          <w:lang w:val="es-ES"/>
        </w:rPr>
        <w:t xml:space="preserve"> pueden</w:t>
      </w:r>
      <w:r w:rsidR="00312C7E" w:rsidRPr="00560A20">
        <w:rPr>
          <w:lang w:val="es-ES"/>
        </w:rPr>
        <w:t xml:space="preserve"> ser socios ni empleados de servicios de vigilancia y seguridad las fuerzas militares y de la policía en servicio activo,</w:t>
      </w:r>
      <w:r w:rsidR="000E4155" w:rsidRPr="00560A20">
        <w:rPr>
          <w:lang w:val="es-ES"/>
        </w:rPr>
        <w:t xml:space="preserve"> los funcionarios </w:t>
      </w:r>
      <w:r w:rsidR="00312C7E" w:rsidRPr="00560A20">
        <w:rPr>
          <w:lang w:val="es-ES"/>
        </w:rPr>
        <w:t xml:space="preserve">al servicio </w:t>
      </w:r>
      <w:r w:rsidR="000E4155" w:rsidRPr="00560A20">
        <w:rPr>
          <w:lang w:val="es-ES"/>
        </w:rPr>
        <w:t>del Ministerio de Defensa Nacional</w:t>
      </w:r>
      <w:r w:rsidR="00312C7E" w:rsidRPr="00560A20">
        <w:rPr>
          <w:lang w:val="es-ES"/>
        </w:rPr>
        <w:t xml:space="preserve"> y la Policía</w:t>
      </w:r>
      <w:r w:rsidR="000E4155" w:rsidRPr="00560A20">
        <w:rPr>
          <w:lang w:val="es-ES"/>
        </w:rPr>
        <w:t>,</w:t>
      </w:r>
      <w:r w:rsidR="00312C7E" w:rsidRPr="00560A20">
        <w:rPr>
          <w:lang w:val="es-ES"/>
        </w:rPr>
        <w:t xml:space="preserve"> </w:t>
      </w:r>
      <w:r w:rsidR="000E4155" w:rsidRPr="00560A20">
        <w:rPr>
          <w:lang w:val="es-ES"/>
        </w:rPr>
        <w:t xml:space="preserve">del Departamento administrativo de seguridad, y </w:t>
      </w:r>
      <w:r w:rsidR="00D17896">
        <w:rPr>
          <w:lang w:val="es-ES"/>
        </w:rPr>
        <w:t xml:space="preserve">de </w:t>
      </w:r>
      <w:r w:rsidR="000E4155" w:rsidRPr="00560A20">
        <w:rPr>
          <w:lang w:val="es-ES"/>
        </w:rPr>
        <w:t>la Superintendencia de Vigilancia y Seguridad Privada</w:t>
      </w:r>
      <w:r w:rsidR="00312C7E" w:rsidRPr="00560A20">
        <w:rPr>
          <w:rStyle w:val="FootnoteReference"/>
          <w:lang w:val="es-ES"/>
        </w:rPr>
        <w:footnoteReference w:id="21"/>
      </w:r>
      <w:r w:rsidR="00CC3141" w:rsidRPr="00560A20">
        <w:rPr>
          <w:lang w:val="es-ES"/>
        </w:rPr>
        <w:t>.</w:t>
      </w:r>
      <w:r w:rsidR="00CF4952" w:rsidRPr="00560A20">
        <w:rPr>
          <w:lang w:val="es-ES"/>
        </w:rPr>
        <w:t xml:space="preserve"> </w:t>
      </w:r>
      <w:r w:rsidR="00435D97" w:rsidRPr="00560A20">
        <w:rPr>
          <w:lang w:val="es-ES"/>
        </w:rPr>
        <w:t>La ley de Buenos Aires extiende esta inhabilidad e incompatibilidad al personal de seguridad, de servicios de inteligencia, y servicios penitenciarios</w:t>
      </w:r>
      <w:r w:rsidR="00435D97" w:rsidRPr="00560A20">
        <w:rPr>
          <w:rStyle w:val="FootnoteReference"/>
          <w:lang w:val="es-ES"/>
        </w:rPr>
        <w:footnoteReference w:id="22"/>
      </w:r>
      <w:r w:rsidR="00435D97" w:rsidRPr="00560A20">
        <w:rPr>
          <w:lang w:val="es-ES"/>
        </w:rPr>
        <w:t xml:space="preserve">. </w:t>
      </w:r>
      <w:r w:rsidR="00CF4952" w:rsidRPr="00560A20">
        <w:rPr>
          <w:lang w:val="es-ES"/>
        </w:rPr>
        <w:t xml:space="preserve">Perú </w:t>
      </w:r>
      <w:r w:rsidRPr="00560A20">
        <w:rPr>
          <w:lang w:val="es-ES"/>
        </w:rPr>
        <w:t xml:space="preserve">y Chile </w:t>
      </w:r>
      <w:r w:rsidR="00CF4952" w:rsidRPr="00560A20">
        <w:rPr>
          <w:lang w:val="es-ES"/>
        </w:rPr>
        <w:t>no contemplan esta prohibi</w:t>
      </w:r>
      <w:r w:rsidRPr="00560A20">
        <w:rPr>
          <w:lang w:val="es-ES"/>
        </w:rPr>
        <w:t>ción</w:t>
      </w:r>
      <w:r w:rsidR="00CF4952" w:rsidRPr="00560A20">
        <w:rPr>
          <w:lang w:val="es-ES"/>
        </w:rPr>
        <w:t xml:space="preserve">, </w:t>
      </w:r>
      <w:r w:rsidR="00053CE4" w:rsidRPr="00560A20">
        <w:t>lo que</w:t>
      </w:r>
      <w:r w:rsidRPr="00560A20">
        <w:t xml:space="preserve"> en </w:t>
      </w:r>
      <w:r w:rsidR="00B9246B" w:rsidRPr="00560A20">
        <w:t>Chile</w:t>
      </w:r>
      <w:r w:rsidR="00053CE4" w:rsidRPr="00560A20">
        <w:t xml:space="preserve"> podría explicarse porque la norma data de 1981, año en que el país estaba bajo una dictadura militar</w:t>
      </w:r>
      <w:r w:rsidRPr="00560A20">
        <w:t>, pero se mantiene hasta hoy</w:t>
      </w:r>
      <w:r w:rsidR="005B7924" w:rsidRPr="00560A20">
        <w:rPr>
          <w:rStyle w:val="FootnoteReference"/>
        </w:rPr>
        <w:footnoteReference w:id="23"/>
      </w:r>
      <w:r w:rsidR="00053CE4" w:rsidRPr="00560A20">
        <w:t xml:space="preserve">. </w:t>
      </w:r>
    </w:p>
    <w:p w14:paraId="27F1E9D9" w14:textId="1F7E14D3" w:rsidR="002B457C" w:rsidRPr="00560A20" w:rsidRDefault="00435D97" w:rsidP="00CF4952">
      <w:pPr>
        <w:autoSpaceDE w:val="0"/>
        <w:autoSpaceDN w:val="0"/>
        <w:adjustRightInd w:val="0"/>
        <w:spacing w:line="240" w:lineRule="atLeast"/>
        <w:jc w:val="both"/>
        <w:rPr>
          <w:lang w:val="es-ES"/>
        </w:rPr>
      </w:pPr>
      <w:r w:rsidRPr="00560A20">
        <w:rPr>
          <w:lang w:val="es-ES"/>
        </w:rPr>
        <w:t>Mención especial merece e</w:t>
      </w:r>
      <w:r w:rsidR="00077133" w:rsidRPr="00560A20">
        <w:rPr>
          <w:lang w:val="es-ES"/>
        </w:rPr>
        <w:t>l</w:t>
      </w:r>
      <w:r w:rsidRPr="00560A20">
        <w:rPr>
          <w:lang w:val="es-ES"/>
        </w:rPr>
        <w:t xml:space="preserve"> caso de Bolivia</w:t>
      </w:r>
      <w:r w:rsidR="00077133" w:rsidRPr="00560A20">
        <w:rPr>
          <w:lang w:val="es-ES"/>
        </w:rPr>
        <w:t>,</w:t>
      </w:r>
      <w:r w:rsidRPr="00560A20">
        <w:rPr>
          <w:lang w:val="es-ES"/>
        </w:rPr>
        <w:t xml:space="preserve"> que </w:t>
      </w:r>
      <w:r w:rsidR="005E5395" w:rsidRPr="00560A20">
        <w:rPr>
          <w:lang w:val="es-ES"/>
        </w:rPr>
        <w:t>prohíbe no sólo a los miembros de las Fuerzas Armada y Policía Nacional participar de las empresas de seguridad privada, sino también a los funcionarios públicos de cualquier nivel en servicio activo</w:t>
      </w:r>
      <w:r w:rsidR="005E5395" w:rsidRPr="00560A20">
        <w:rPr>
          <w:rStyle w:val="FootnoteReference"/>
          <w:lang w:val="es-ES"/>
        </w:rPr>
        <w:footnoteReference w:id="24"/>
      </w:r>
      <w:r w:rsidRPr="00560A20">
        <w:rPr>
          <w:lang w:val="es-ES"/>
        </w:rPr>
        <w:t xml:space="preserve">. Sin embargo, </w:t>
      </w:r>
      <w:r w:rsidR="002B457C" w:rsidRPr="00560A20">
        <w:rPr>
          <w:lang w:val="es-ES"/>
        </w:rPr>
        <w:t>pr</w:t>
      </w:r>
      <w:r w:rsidR="00077133" w:rsidRPr="00560A20">
        <w:rPr>
          <w:lang w:val="es-ES"/>
        </w:rPr>
        <w:t>esenta una situación única en este grupo de países</w:t>
      </w:r>
      <w:r w:rsidR="002B457C" w:rsidRPr="00560A20">
        <w:rPr>
          <w:lang w:val="es-ES"/>
        </w:rPr>
        <w:t>, ya que cuentan con el llamado “Batallón de Seguridad Física Privada” (BSFP)</w:t>
      </w:r>
      <w:r w:rsidR="00294108" w:rsidRPr="00560A20">
        <w:rPr>
          <w:lang w:val="es-ES"/>
        </w:rPr>
        <w:t>,</w:t>
      </w:r>
      <w:r w:rsidR="002B457C" w:rsidRPr="00560A20">
        <w:rPr>
          <w:lang w:val="es-ES"/>
        </w:rPr>
        <w:t xml:space="preserve"> que es parte de la Policía Nacional y </w:t>
      </w:r>
      <w:r w:rsidR="008A3677" w:rsidRPr="00560A20">
        <w:rPr>
          <w:lang w:val="es-ES"/>
        </w:rPr>
        <w:t xml:space="preserve">opera </w:t>
      </w:r>
      <w:r w:rsidR="002B457C" w:rsidRPr="00560A20">
        <w:rPr>
          <w:lang w:val="es-ES"/>
        </w:rPr>
        <w:t>arrendan</w:t>
      </w:r>
      <w:r w:rsidR="008A3677" w:rsidRPr="00560A20">
        <w:rPr>
          <w:lang w:val="es-ES"/>
        </w:rPr>
        <w:t>do</w:t>
      </w:r>
      <w:r w:rsidR="002B457C" w:rsidRPr="00560A20">
        <w:rPr>
          <w:lang w:val="es-ES"/>
        </w:rPr>
        <w:t xml:space="preserve"> a sus efectivos policiales </w:t>
      </w:r>
      <w:r w:rsidR="00294108" w:rsidRPr="00560A20">
        <w:rPr>
          <w:lang w:val="es-ES"/>
        </w:rPr>
        <w:t xml:space="preserve">para </w:t>
      </w:r>
      <w:r w:rsidR="007E2DC5" w:rsidRPr="00560A20">
        <w:rPr>
          <w:lang w:val="es-ES"/>
        </w:rPr>
        <w:t xml:space="preserve">realizar prestaciones </w:t>
      </w:r>
      <w:r w:rsidR="00294108" w:rsidRPr="00560A20">
        <w:rPr>
          <w:lang w:val="es-ES"/>
        </w:rPr>
        <w:t>de seguridad</w:t>
      </w:r>
      <w:r w:rsidR="00937F08">
        <w:rPr>
          <w:lang w:val="es-ES"/>
        </w:rPr>
        <w:t>,</w:t>
      </w:r>
      <w:r w:rsidR="00294108" w:rsidRPr="00560A20">
        <w:rPr>
          <w:lang w:val="es-ES"/>
        </w:rPr>
        <w:t xml:space="preserve"> </w:t>
      </w:r>
      <w:r w:rsidR="00D26BD7" w:rsidRPr="00560A20">
        <w:rPr>
          <w:lang w:val="es-ES"/>
        </w:rPr>
        <w:t>compitiendo</w:t>
      </w:r>
      <w:r w:rsidR="002B457C" w:rsidRPr="00560A20">
        <w:rPr>
          <w:lang w:val="es-ES"/>
        </w:rPr>
        <w:t xml:space="preserve"> con las </w:t>
      </w:r>
      <w:proofErr w:type="spellStart"/>
      <w:r w:rsidR="002B457C" w:rsidRPr="00560A20">
        <w:rPr>
          <w:lang w:val="es-ES"/>
        </w:rPr>
        <w:t>ESP</w:t>
      </w:r>
      <w:r w:rsidR="002862E3">
        <w:rPr>
          <w:lang w:val="es-ES"/>
        </w:rPr>
        <w:t>s</w:t>
      </w:r>
      <w:proofErr w:type="spellEnd"/>
      <w:r w:rsidR="007E2DC5" w:rsidRPr="00560A20">
        <w:rPr>
          <w:lang w:val="es-ES"/>
        </w:rPr>
        <w:t>;</w:t>
      </w:r>
      <w:r w:rsidR="002B457C" w:rsidRPr="00560A20">
        <w:rPr>
          <w:lang w:val="es-ES"/>
        </w:rPr>
        <w:t xml:space="preserve"> de</w:t>
      </w:r>
      <w:r w:rsidR="002862E3">
        <w:rPr>
          <w:lang w:val="es-ES"/>
        </w:rPr>
        <w:t xml:space="preserve"> esta forma,</w:t>
      </w:r>
      <w:r w:rsidR="002B457C" w:rsidRPr="00560A20">
        <w:rPr>
          <w:lang w:val="es-ES"/>
        </w:rPr>
        <w:t xml:space="preserve"> servidores públicos estarían a disposición de quien pueda pagarlos. Entre las críticas a la existencia de este Batallón está, en primer lugar, el que la Policía Nacional sería juez y parte </w:t>
      </w:r>
      <w:r w:rsidR="007E2DC5" w:rsidRPr="00560A20">
        <w:rPr>
          <w:lang w:val="es-ES"/>
        </w:rPr>
        <w:t xml:space="preserve">en materias de seguridad privada </w:t>
      </w:r>
      <w:r w:rsidR="002B457C" w:rsidRPr="00560A20">
        <w:rPr>
          <w:lang w:val="es-ES"/>
        </w:rPr>
        <w:t xml:space="preserve">al ser quien autoriza, fiscaliza y controla a las </w:t>
      </w:r>
      <w:proofErr w:type="spellStart"/>
      <w:r w:rsidR="002B457C" w:rsidRPr="00560A20">
        <w:rPr>
          <w:lang w:val="es-ES"/>
        </w:rPr>
        <w:t>ESP</w:t>
      </w:r>
      <w:r w:rsidR="002862E3">
        <w:rPr>
          <w:lang w:val="es-ES"/>
        </w:rPr>
        <w:t>s</w:t>
      </w:r>
      <w:proofErr w:type="spellEnd"/>
      <w:r w:rsidR="002B457C" w:rsidRPr="00560A20">
        <w:rPr>
          <w:lang w:val="es-ES"/>
        </w:rPr>
        <w:t xml:space="preserve">; otras críticas han estado relacionadas, en años anteriores, </w:t>
      </w:r>
      <w:r w:rsidR="007E2DC5" w:rsidRPr="00560A20">
        <w:rPr>
          <w:lang w:val="es-ES"/>
        </w:rPr>
        <w:t>con</w:t>
      </w:r>
      <w:r w:rsidR="002B457C" w:rsidRPr="00560A20">
        <w:rPr>
          <w:lang w:val="es-ES"/>
        </w:rPr>
        <w:t xml:space="preserve"> su involuc</w:t>
      </w:r>
      <w:r w:rsidR="00D903E6" w:rsidRPr="00560A20">
        <w:rPr>
          <w:lang w:val="es-ES"/>
        </w:rPr>
        <w:t>ramiento en hechos punibles. Además,</w:t>
      </w:r>
      <w:r w:rsidR="002B457C" w:rsidRPr="00560A20">
        <w:rPr>
          <w:lang w:val="es-ES"/>
        </w:rPr>
        <w:t xml:space="preserve"> las </w:t>
      </w:r>
      <w:proofErr w:type="spellStart"/>
      <w:r w:rsidR="002B457C" w:rsidRPr="00560A20">
        <w:rPr>
          <w:lang w:val="es-ES"/>
        </w:rPr>
        <w:t>ESP</w:t>
      </w:r>
      <w:r w:rsidR="002862E3">
        <w:rPr>
          <w:lang w:val="es-ES"/>
        </w:rPr>
        <w:t>s</w:t>
      </w:r>
      <w:proofErr w:type="spellEnd"/>
      <w:r w:rsidR="002B457C" w:rsidRPr="00560A20">
        <w:rPr>
          <w:lang w:val="es-ES"/>
        </w:rPr>
        <w:t xml:space="preserve"> </w:t>
      </w:r>
      <w:r w:rsidR="007E2DC5" w:rsidRPr="00560A20">
        <w:rPr>
          <w:lang w:val="es-ES"/>
        </w:rPr>
        <w:t>alegan</w:t>
      </w:r>
      <w:r w:rsidR="002B457C" w:rsidRPr="00560A20">
        <w:rPr>
          <w:lang w:val="es-ES"/>
        </w:rPr>
        <w:t xml:space="preserve"> que </w:t>
      </w:r>
      <w:r w:rsidR="00D903E6" w:rsidRPr="00560A20">
        <w:rPr>
          <w:lang w:val="es-ES"/>
        </w:rPr>
        <w:t xml:space="preserve">al no estar autorizadas a portar armas de fuego, </w:t>
      </w:r>
      <w:r w:rsidR="006267EC" w:rsidRPr="00560A20">
        <w:rPr>
          <w:lang w:val="es-ES"/>
        </w:rPr>
        <w:t>estarían</w:t>
      </w:r>
      <w:r w:rsidR="002B457C" w:rsidRPr="00560A20">
        <w:rPr>
          <w:lang w:val="es-ES"/>
        </w:rPr>
        <w:t xml:space="preserve"> en desventaja para competir con el BSFP</w:t>
      </w:r>
      <w:r w:rsidR="006267EC" w:rsidRPr="00560A20">
        <w:rPr>
          <w:lang w:val="es-ES"/>
        </w:rPr>
        <w:t xml:space="preserve"> en el mercado de la seguridad privada</w:t>
      </w:r>
      <w:r w:rsidR="002B457C" w:rsidRPr="00560A20">
        <w:rPr>
          <w:rStyle w:val="FootnoteReference"/>
          <w:lang w:val="es-ES"/>
        </w:rPr>
        <w:footnoteReference w:id="25"/>
      </w:r>
      <w:r w:rsidR="002B457C" w:rsidRPr="00560A20">
        <w:rPr>
          <w:lang w:val="es-ES"/>
        </w:rPr>
        <w:t xml:space="preserve">. </w:t>
      </w:r>
    </w:p>
    <w:p w14:paraId="06A4E255" w14:textId="4BD981FA" w:rsidR="00AF5FB9" w:rsidRPr="00560A20" w:rsidRDefault="00CF4952" w:rsidP="00AF5FB9">
      <w:pPr>
        <w:jc w:val="both"/>
      </w:pPr>
      <w:r w:rsidRPr="00560A20">
        <w:rPr>
          <w:lang w:val="es-ES"/>
        </w:rPr>
        <w:t>Otra prohibición común es a los ex-miembros de la policía y fuerzas armadas que hayan sido dados de baja por la comisión de infracciones o delitos.</w:t>
      </w:r>
      <w:r w:rsidR="00E01B31" w:rsidRPr="00560A20">
        <w:rPr>
          <w:lang w:val="es-ES"/>
        </w:rPr>
        <w:t xml:space="preserve"> </w:t>
      </w:r>
      <w:r w:rsidR="00AF5FB9" w:rsidRPr="00560A20">
        <w:t>Per</w:t>
      </w:r>
      <w:r w:rsidR="00053CE4" w:rsidRPr="00560A20">
        <w:t>ú la limita</w:t>
      </w:r>
      <w:r w:rsidR="002B457C" w:rsidRPr="00560A20">
        <w:t xml:space="preserve"> a los que hayan sido dados de</w:t>
      </w:r>
      <w:r w:rsidR="00AF5FB9" w:rsidRPr="00560A20">
        <w:t xml:space="preserve"> baja por </w:t>
      </w:r>
      <w:r w:rsidR="002B457C" w:rsidRPr="00560A20">
        <w:t xml:space="preserve">causal o </w:t>
      </w:r>
      <w:r w:rsidR="00AF5FB9" w:rsidRPr="00560A20">
        <w:t>medida disciplinaria,</w:t>
      </w:r>
      <w:r w:rsidR="00252BC6" w:rsidRPr="00560A20">
        <w:t xml:space="preserve"> y</w:t>
      </w:r>
      <w:r w:rsidR="00AF5FB9" w:rsidRPr="00560A20">
        <w:t xml:space="preserve"> Buenos Aires a la baja por delitos</w:t>
      </w:r>
      <w:r w:rsidR="002B457C" w:rsidRPr="00560A20">
        <w:t xml:space="preserve"> culposos relacionado</w:t>
      </w:r>
      <w:r w:rsidR="00AF5FB9" w:rsidRPr="00560A20">
        <w:t xml:space="preserve">s con las actividades reguladas por la ley de SP. La excepción a esta regla en las ocho legislaciones </w:t>
      </w:r>
      <w:r w:rsidR="00636DE3" w:rsidRPr="00560A20">
        <w:t xml:space="preserve">analizadas es Chile, que no la </w:t>
      </w:r>
      <w:r w:rsidR="002862E3">
        <w:t>menciona</w:t>
      </w:r>
      <w:r w:rsidR="00636DE3" w:rsidRPr="00560A20">
        <w:t>.</w:t>
      </w:r>
    </w:p>
    <w:p w14:paraId="7E8B88B4" w14:textId="2CD14A79" w:rsidR="00483680" w:rsidRPr="00560A20" w:rsidRDefault="000E4155" w:rsidP="00483680">
      <w:pPr>
        <w:jc w:val="both"/>
        <w:rPr>
          <w:lang w:val="es-ES"/>
        </w:rPr>
      </w:pPr>
      <w:r w:rsidRPr="00560A20">
        <w:rPr>
          <w:lang w:val="es-ES"/>
        </w:rPr>
        <w:t>En cuanto al espacio en que est</w:t>
      </w:r>
      <w:r w:rsidR="008A5C4E" w:rsidRPr="00560A20">
        <w:rPr>
          <w:lang w:val="es-ES"/>
        </w:rPr>
        <w:t xml:space="preserve">as actividades se desarrollan, </w:t>
      </w:r>
      <w:r w:rsidRPr="00560A20">
        <w:rPr>
          <w:lang w:val="es-ES"/>
        </w:rPr>
        <w:t xml:space="preserve">la tendencia es a limitar la actividad de los prestadores de seguridad privada a las dependencias, edificios o espacios privados señalados en los contratos, ya que las actuaciones en espacios públicos están </w:t>
      </w:r>
      <w:proofErr w:type="gramStart"/>
      <w:r w:rsidRPr="00560A20">
        <w:rPr>
          <w:lang w:val="es-ES"/>
        </w:rPr>
        <w:t>reservados</w:t>
      </w:r>
      <w:proofErr w:type="gramEnd"/>
      <w:r w:rsidRPr="00560A20">
        <w:rPr>
          <w:lang w:val="es-ES"/>
        </w:rPr>
        <w:t xml:space="preserve"> a las fuerzas de seguridad del Estado</w:t>
      </w:r>
      <w:r w:rsidRPr="00560A20">
        <w:rPr>
          <w:rStyle w:val="FootnoteReference"/>
          <w:lang w:val="es-ES"/>
        </w:rPr>
        <w:footnoteReference w:id="26"/>
      </w:r>
      <w:r w:rsidRPr="00560A20">
        <w:rPr>
          <w:lang w:val="es-ES"/>
        </w:rPr>
        <w:t xml:space="preserve">. Esta </w:t>
      </w:r>
      <w:r w:rsidR="008F2B25" w:rsidRPr="00560A20">
        <w:rPr>
          <w:lang w:val="es-ES"/>
        </w:rPr>
        <w:t xml:space="preserve">restricción </w:t>
      </w:r>
      <w:r w:rsidR="009872CE" w:rsidRPr="00560A20">
        <w:rPr>
          <w:lang w:val="es-ES"/>
        </w:rPr>
        <w:t>tiene límites difusos</w:t>
      </w:r>
      <w:r w:rsidRPr="00560A20">
        <w:rPr>
          <w:lang w:val="es-ES"/>
        </w:rPr>
        <w:t xml:space="preserve"> en </w:t>
      </w:r>
      <w:r w:rsidR="00483680" w:rsidRPr="00560A20">
        <w:rPr>
          <w:lang w:val="es-ES"/>
        </w:rPr>
        <w:t>actividades que por su naturaleza se realizan en un radio de acción más amplio, como es el caso de los servicios comunitarios de vigilancia en Colombia, o el transporte de valores.</w:t>
      </w:r>
    </w:p>
    <w:p w14:paraId="4A085993" w14:textId="77777777" w:rsidR="000E4155" w:rsidRPr="00560A20" w:rsidRDefault="000E4155" w:rsidP="000E4155">
      <w:pPr>
        <w:jc w:val="both"/>
        <w:rPr>
          <w:i/>
          <w:lang w:val="es-ES"/>
        </w:rPr>
      </w:pPr>
      <w:r w:rsidRPr="00560A20">
        <w:rPr>
          <w:i/>
          <w:lang w:val="es-ES"/>
        </w:rPr>
        <w:t>Relaciones con la fuerza pública:</w:t>
      </w:r>
    </w:p>
    <w:p w14:paraId="3D6143BB" w14:textId="6FFBDBC2" w:rsidR="002733B3" w:rsidRPr="00560A20" w:rsidRDefault="00C764F7" w:rsidP="000E4155">
      <w:pPr>
        <w:jc w:val="both"/>
      </w:pPr>
      <w:r w:rsidRPr="00560A20">
        <w:rPr>
          <w:lang w:val="es-ES"/>
        </w:rPr>
        <w:t xml:space="preserve"> </w:t>
      </w:r>
      <w:r w:rsidR="00307BDD">
        <w:rPr>
          <w:lang w:val="es-ES"/>
        </w:rPr>
        <w:t>L</w:t>
      </w:r>
      <w:r w:rsidRPr="00560A20">
        <w:rPr>
          <w:lang w:val="es-ES"/>
        </w:rPr>
        <w:t xml:space="preserve">a regla general es </w:t>
      </w:r>
      <w:r w:rsidR="00B7462F" w:rsidRPr="00560A20">
        <w:rPr>
          <w:lang w:val="es-ES"/>
        </w:rPr>
        <w:t xml:space="preserve">considerar </w:t>
      </w:r>
      <w:r w:rsidR="000E4155" w:rsidRPr="00560A20">
        <w:rPr>
          <w:lang w:val="es-ES"/>
        </w:rPr>
        <w:t xml:space="preserve">que </w:t>
      </w:r>
      <w:r w:rsidR="00A2694A" w:rsidRPr="00560A20">
        <w:rPr>
          <w:lang w:val="es-ES"/>
        </w:rPr>
        <w:t>lo</w:t>
      </w:r>
      <w:r w:rsidR="000E4155" w:rsidRPr="00560A20">
        <w:rPr>
          <w:lang w:val="es-ES"/>
        </w:rPr>
        <w:t>s servicios y act</w:t>
      </w:r>
      <w:r w:rsidR="00A2694A" w:rsidRPr="00560A20">
        <w:rPr>
          <w:lang w:val="es-ES"/>
        </w:rPr>
        <w:t>ividades de seguridad privada son</w:t>
      </w:r>
      <w:r w:rsidR="000E4155" w:rsidRPr="00560A20">
        <w:rPr>
          <w:lang w:val="es-ES"/>
        </w:rPr>
        <w:t xml:space="preserve"> complementarios y subordinados a la labor de seguridad que realizan las </w:t>
      </w:r>
      <w:r w:rsidR="00A2694A" w:rsidRPr="00560A20">
        <w:rPr>
          <w:lang w:val="es-ES"/>
        </w:rPr>
        <w:t xml:space="preserve">entidades de la fuerza pública; </w:t>
      </w:r>
      <w:r w:rsidR="00850592" w:rsidRPr="00560A20">
        <w:rPr>
          <w:lang w:val="es-ES"/>
        </w:rPr>
        <w:t xml:space="preserve">la regulación </w:t>
      </w:r>
      <w:r w:rsidR="00850592" w:rsidRPr="00560A20">
        <w:rPr>
          <w:lang w:val="es-ES"/>
        </w:rPr>
        <w:lastRenderedPageBreak/>
        <w:t>chilena</w:t>
      </w:r>
      <w:r w:rsidR="00A2694A" w:rsidRPr="00560A20">
        <w:rPr>
          <w:lang w:val="es-ES"/>
        </w:rPr>
        <w:t xml:space="preserve"> no lo explicita, pero ello</w:t>
      </w:r>
      <w:r w:rsidR="000E4155" w:rsidRPr="00560A20">
        <w:rPr>
          <w:lang w:val="es-ES"/>
        </w:rPr>
        <w:t xml:space="preserve"> es una consecuencia de las relaciones </w:t>
      </w:r>
      <w:r w:rsidR="00B7462F" w:rsidRPr="00560A20">
        <w:rPr>
          <w:lang w:val="es-ES"/>
        </w:rPr>
        <w:t xml:space="preserve">de control que </w:t>
      </w:r>
      <w:r w:rsidR="000E4155" w:rsidRPr="00560A20">
        <w:rPr>
          <w:lang w:val="es-ES"/>
        </w:rPr>
        <w:t xml:space="preserve">se establece </w:t>
      </w:r>
      <w:r w:rsidR="00B7462F" w:rsidRPr="00560A20">
        <w:rPr>
          <w:lang w:val="es-ES"/>
        </w:rPr>
        <w:t xml:space="preserve">con la autoridad </w:t>
      </w:r>
      <w:r w:rsidR="000E4155" w:rsidRPr="00560A20">
        <w:rPr>
          <w:lang w:val="es-ES"/>
        </w:rPr>
        <w:t>policial</w:t>
      </w:r>
      <w:r w:rsidR="00307BDD">
        <w:rPr>
          <w:lang w:val="es-ES"/>
        </w:rPr>
        <w:t>.</w:t>
      </w:r>
      <w:r w:rsidR="000E4155" w:rsidRPr="00560A20">
        <w:rPr>
          <w:lang w:val="es-ES"/>
        </w:rPr>
        <w:t xml:space="preserve"> </w:t>
      </w:r>
      <w:r w:rsidR="00C13EEF" w:rsidRPr="00560A20">
        <w:rPr>
          <w:lang w:val="es-ES"/>
        </w:rPr>
        <w:t>A</w:t>
      </w:r>
      <w:r w:rsidR="000E4155" w:rsidRPr="00560A20">
        <w:rPr>
          <w:lang w:val="es-ES"/>
        </w:rPr>
        <w:t xml:space="preserve">lgunas regulaciones disponen el deber de los prestadores de seguridad privada de colaborar con las policías en los casos que la </w:t>
      </w:r>
      <w:r w:rsidR="00B7462F" w:rsidRPr="00560A20">
        <w:rPr>
          <w:lang w:val="es-ES"/>
        </w:rPr>
        <w:t>ley determine.</w:t>
      </w:r>
      <w:r w:rsidR="00557834" w:rsidRPr="00560A20">
        <w:rPr>
          <w:lang w:val="es-ES"/>
        </w:rPr>
        <w:t xml:space="preserve"> </w:t>
      </w:r>
      <w:r w:rsidR="00B7462F" w:rsidRPr="00560A20">
        <w:rPr>
          <w:lang w:val="es-ES"/>
        </w:rPr>
        <w:t>L</w:t>
      </w:r>
      <w:r w:rsidR="00557834" w:rsidRPr="00560A20">
        <w:rPr>
          <w:lang w:val="es-ES"/>
        </w:rPr>
        <w:t>a normativa de</w:t>
      </w:r>
      <w:r w:rsidR="000E4155" w:rsidRPr="00560A20">
        <w:rPr>
          <w:lang w:val="es-ES"/>
        </w:rPr>
        <w:t xml:space="preserve"> Colombia </w:t>
      </w:r>
      <w:r w:rsidR="0046169C">
        <w:rPr>
          <w:lang w:val="es-ES"/>
        </w:rPr>
        <w:t>señala</w:t>
      </w:r>
      <w:r w:rsidR="000E4155" w:rsidRPr="00560A20">
        <w:rPr>
          <w:lang w:val="es-ES"/>
        </w:rPr>
        <w:t xml:space="preserve"> entre los principios, deberes y obligaciones que rigen </w:t>
      </w:r>
      <w:r w:rsidR="006B4EA0" w:rsidRPr="00560A20">
        <w:rPr>
          <w:lang w:val="es-ES"/>
        </w:rPr>
        <w:t>lo</w:t>
      </w:r>
      <w:r w:rsidR="000E4155" w:rsidRPr="00560A20">
        <w:rPr>
          <w:lang w:val="es-ES"/>
        </w:rPr>
        <w:t>s s</w:t>
      </w:r>
      <w:r w:rsidR="006B4EA0" w:rsidRPr="00560A20">
        <w:rPr>
          <w:lang w:val="es-ES"/>
        </w:rPr>
        <w:t>ervicios</w:t>
      </w:r>
      <w:r w:rsidR="000E4155" w:rsidRPr="00560A20">
        <w:rPr>
          <w:lang w:val="es-ES"/>
        </w:rPr>
        <w:t xml:space="preserve"> </w:t>
      </w:r>
      <w:r w:rsidR="006B4EA0" w:rsidRPr="00560A20">
        <w:rPr>
          <w:lang w:val="es-ES"/>
        </w:rPr>
        <w:t xml:space="preserve">de SP </w:t>
      </w:r>
      <w:r w:rsidR="000E4155" w:rsidRPr="00560A20">
        <w:rPr>
          <w:lang w:val="es-ES"/>
        </w:rPr>
        <w:t>el de colaborar con las autoridades de la República contribuyendo a</w:t>
      </w:r>
      <w:r w:rsidR="00B7462F" w:rsidRPr="00560A20">
        <w:rPr>
          <w:lang w:val="es-ES"/>
        </w:rPr>
        <w:t xml:space="preserve"> la prevención del delito, y</w:t>
      </w:r>
      <w:r w:rsidR="000E4155" w:rsidRPr="00560A20">
        <w:rPr>
          <w:lang w:val="es-ES"/>
        </w:rPr>
        <w:t xml:space="preserve"> deben prestar </w:t>
      </w:r>
      <w:r w:rsidR="00B7462F" w:rsidRPr="00560A20">
        <w:rPr>
          <w:lang w:val="es-ES"/>
        </w:rPr>
        <w:t xml:space="preserve">su </w:t>
      </w:r>
      <w:r w:rsidR="000E4155" w:rsidRPr="00560A20">
        <w:rPr>
          <w:lang w:val="es-ES"/>
        </w:rPr>
        <w:t xml:space="preserve">apoyo </w:t>
      </w:r>
      <w:r w:rsidR="00B7462F" w:rsidRPr="00560A20">
        <w:rPr>
          <w:lang w:val="es-ES"/>
        </w:rPr>
        <w:t xml:space="preserve">a </w:t>
      </w:r>
      <w:r w:rsidR="000E4155" w:rsidRPr="00560A20">
        <w:rPr>
          <w:lang w:val="es-ES"/>
        </w:rPr>
        <w:t>las autoridades</w:t>
      </w:r>
      <w:r w:rsidR="00B7462F" w:rsidRPr="00560A20">
        <w:rPr>
          <w:lang w:val="es-ES"/>
        </w:rPr>
        <w:t xml:space="preserve"> cuando lo soliciten</w:t>
      </w:r>
      <w:r w:rsidR="000E4155" w:rsidRPr="00560A20">
        <w:rPr>
          <w:lang w:val="es-ES"/>
        </w:rPr>
        <w:t>, con el fin de atender casos de calamidad pública</w:t>
      </w:r>
      <w:r w:rsidR="000E4155" w:rsidRPr="00560A20">
        <w:rPr>
          <w:rStyle w:val="FootnoteReference"/>
          <w:lang w:val="es-ES"/>
        </w:rPr>
        <w:footnoteReference w:id="27"/>
      </w:r>
      <w:r w:rsidR="0046169C">
        <w:rPr>
          <w:lang w:val="es-ES"/>
        </w:rPr>
        <w:t>.</w:t>
      </w:r>
      <w:r w:rsidR="00557834" w:rsidRPr="00560A20">
        <w:rPr>
          <w:lang w:val="es-ES"/>
        </w:rPr>
        <w:t xml:space="preserve"> </w:t>
      </w:r>
      <w:r w:rsidR="000E4155" w:rsidRPr="00560A20">
        <w:t>Uruguay dispone la ob</w:t>
      </w:r>
      <w:r w:rsidR="00C02116" w:rsidRPr="00560A20">
        <w:t>ligación de apoyar y colaborar con</w:t>
      </w:r>
      <w:r w:rsidR="000E4155" w:rsidRPr="00560A20">
        <w:t xml:space="preserve"> las autoridades policiales en forma permanente, brindándoles la información que les sea requerida</w:t>
      </w:r>
      <w:r w:rsidR="000E4155" w:rsidRPr="00560A20">
        <w:rPr>
          <w:rStyle w:val="FootnoteReference"/>
        </w:rPr>
        <w:footnoteReference w:id="28"/>
      </w:r>
      <w:r w:rsidR="000E4155" w:rsidRPr="00560A20">
        <w:t xml:space="preserve">. </w:t>
      </w:r>
    </w:p>
    <w:p w14:paraId="577022EA" w14:textId="018405CB" w:rsidR="000E4155" w:rsidRPr="000A674F" w:rsidRDefault="000E4155" w:rsidP="000E4155">
      <w:pPr>
        <w:jc w:val="both"/>
      </w:pPr>
      <w:r w:rsidRPr="00560A20">
        <w:t xml:space="preserve">La Ley peruana establece que es obligación de las </w:t>
      </w:r>
      <w:r w:rsidRPr="00560A20">
        <w:rPr>
          <w:i/>
        </w:rPr>
        <w:t>empresas especializadas</w:t>
      </w:r>
      <w:r w:rsidRPr="00560A20">
        <w:t xml:space="preserve"> de seguridad privada “colaborar, a requerimiento del Poder Ejecutivo, con sus efectivos en los casos en que se decreta el régimen de excepción normado por la Constitución Política del Perú</w:t>
      </w:r>
      <w:r w:rsidRPr="00560A20">
        <w:rPr>
          <w:rStyle w:val="FootnoteReference"/>
        </w:rPr>
        <w:footnoteReference w:id="29"/>
      </w:r>
      <w:r w:rsidR="00C02116" w:rsidRPr="00560A20">
        <w:t>.</w:t>
      </w:r>
      <w:r w:rsidRPr="00560A20">
        <w:t xml:space="preserve"> </w:t>
      </w:r>
      <w:r w:rsidR="00B7462F" w:rsidRPr="00560A20">
        <w:t xml:space="preserve">En </w:t>
      </w:r>
      <w:r w:rsidR="002733B3" w:rsidRPr="00560A20">
        <w:rPr>
          <w:lang w:val="es-ES"/>
        </w:rPr>
        <w:t xml:space="preserve">Ecuador las compañías de SP </w:t>
      </w:r>
      <w:r w:rsidR="00B7462F" w:rsidRPr="00560A20">
        <w:rPr>
          <w:lang w:val="es-ES"/>
        </w:rPr>
        <w:t xml:space="preserve">deben </w:t>
      </w:r>
      <w:r w:rsidR="002733B3" w:rsidRPr="00560A20">
        <w:rPr>
          <w:lang w:val="es-ES"/>
        </w:rPr>
        <w:t>prestar colaboración inmediata a la Policía Nacional en</w:t>
      </w:r>
      <w:r w:rsidR="005721D7" w:rsidRPr="00560A20">
        <w:rPr>
          <w:lang w:val="es-ES"/>
        </w:rPr>
        <w:t xml:space="preserve"> apoyo a la seguridad ciudadana; además,</w:t>
      </w:r>
      <w:r w:rsidR="002733B3" w:rsidRPr="00560A20">
        <w:rPr>
          <w:lang w:val="es-ES"/>
        </w:rPr>
        <w:t xml:space="preserve"> </w:t>
      </w:r>
      <w:r w:rsidR="005721D7" w:rsidRPr="00560A20">
        <w:rPr>
          <w:lang w:val="es-ES"/>
        </w:rPr>
        <w:t xml:space="preserve">similar a la </w:t>
      </w:r>
      <w:r w:rsidR="00712551" w:rsidRPr="00560A20">
        <w:rPr>
          <w:lang w:val="es-ES"/>
        </w:rPr>
        <w:t xml:space="preserve">regulación peruana, </w:t>
      </w:r>
      <w:r w:rsidR="0046169C">
        <w:rPr>
          <w:lang w:val="es-ES"/>
        </w:rPr>
        <w:t>estipula</w:t>
      </w:r>
      <w:r w:rsidR="002733B3" w:rsidRPr="00560A20">
        <w:rPr>
          <w:lang w:val="es-ES"/>
        </w:rPr>
        <w:t xml:space="preserve"> que en caso de </w:t>
      </w:r>
      <w:r w:rsidR="002733B3" w:rsidRPr="000A674F">
        <w:rPr>
          <w:lang w:val="es-ES"/>
        </w:rPr>
        <w:t xml:space="preserve">declaración de </w:t>
      </w:r>
      <w:r w:rsidR="002733B3" w:rsidRPr="000A674F">
        <w:rPr>
          <w:i/>
          <w:lang w:val="es-ES"/>
        </w:rPr>
        <w:t>Estado de emergencia</w:t>
      </w:r>
      <w:r w:rsidR="002733B3" w:rsidRPr="000A674F">
        <w:rPr>
          <w:lang w:val="es-ES"/>
        </w:rPr>
        <w:t xml:space="preserve"> el personal de vigilancia y seguridad privada se subordinará al Comando Conjunto de las Fuerzas Armadas</w:t>
      </w:r>
      <w:r w:rsidR="002733B3" w:rsidRPr="00560A20">
        <w:rPr>
          <w:lang w:val="es-ES"/>
        </w:rPr>
        <w:t xml:space="preserve">, </w:t>
      </w:r>
      <w:r w:rsidR="00712551" w:rsidRPr="00560A20">
        <w:rPr>
          <w:lang w:val="es-ES"/>
        </w:rPr>
        <w:t xml:space="preserve">el que </w:t>
      </w:r>
      <w:r w:rsidR="002733B3" w:rsidRPr="000A674F">
        <w:rPr>
          <w:lang w:val="es-ES"/>
        </w:rPr>
        <w:t>“por su preparación y condición se constituyen en elemento de apoyo y auxilio de la Policía Nacional, única y exclusivamente en actividades de información para la prevención del delito”</w:t>
      </w:r>
      <w:r w:rsidR="002733B3" w:rsidRPr="000A674F">
        <w:rPr>
          <w:rStyle w:val="FootnoteReference"/>
          <w:lang w:val="es-ES"/>
        </w:rPr>
        <w:footnoteReference w:id="30"/>
      </w:r>
      <w:r w:rsidR="002733B3" w:rsidRPr="000A674F">
        <w:rPr>
          <w:lang w:val="es-ES"/>
        </w:rPr>
        <w:t>.</w:t>
      </w:r>
      <w:r w:rsidR="00831E8D" w:rsidRPr="000A674F">
        <w:rPr>
          <w:lang w:val="es-ES"/>
        </w:rPr>
        <w:t xml:space="preserve"> </w:t>
      </w:r>
      <w:r w:rsidR="00831E8D" w:rsidRPr="000A674F">
        <w:t xml:space="preserve">Estas disposiciones obligan a reflexionar sobre las implicancias que podría tener que estas empresas compartan funciones o participen junto a las fuerzas de seguridad en caso de decretarse un </w:t>
      </w:r>
      <w:r w:rsidR="00831E8D" w:rsidRPr="000A674F">
        <w:rPr>
          <w:i/>
        </w:rPr>
        <w:t>estado de excepción o emergencia</w:t>
      </w:r>
      <w:r w:rsidR="003D20F3">
        <w:t>,</w:t>
      </w:r>
      <w:r w:rsidR="00831E8D" w:rsidRPr="000A674F">
        <w:t xml:space="preserve"> y el impacto que ello podría tener sobre los derechos humanos, habida consideración de la</w:t>
      </w:r>
      <w:r w:rsidR="003D20F3">
        <w:t>s carencias que se observan en la</w:t>
      </w:r>
      <w:r w:rsidR="00831E8D" w:rsidRPr="000A674F">
        <w:t xml:space="preserve"> formación que recibe el personal de seguridad privada </w:t>
      </w:r>
      <w:r w:rsidR="003D20F3">
        <w:t>-</w:t>
      </w:r>
      <w:r w:rsidR="00831E8D" w:rsidRPr="000A674F">
        <w:t>como se verá más adelante-</w:t>
      </w:r>
      <w:r w:rsidR="003D20F3">
        <w:t>,</w:t>
      </w:r>
      <w:r w:rsidR="00831E8D" w:rsidRPr="000A674F">
        <w:t xml:space="preserve"> y de las complejidades propias de dichos estados de crisis.</w:t>
      </w:r>
      <w:r w:rsidR="00EC14A3" w:rsidRPr="000A674F">
        <w:t xml:space="preserve"> </w:t>
      </w:r>
    </w:p>
    <w:p w14:paraId="128D2FFC" w14:textId="4C33E9CB" w:rsidR="005A0027" w:rsidRPr="000A674F" w:rsidRDefault="000755EF" w:rsidP="00F65D1C">
      <w:pPr>
        <w:jc w:val="both"/>
        <w:rPr>
          <w:lang w:val="es-ES"/>
        </w:rPr>
      </w:pPr>
      <w:r w:rsidRPr="000A674F">
        <w:rPr>
          <w:lang w:val="es-ES"/>
        </w:rPr>
        <w:t>En la ley de</w:t>
      </w:r>
      <w:r w:rsidR="005A41E1" w:rsidRPr="000A674F">
        <w:rPr>
          <w:lang w:val="es-ES"/>
        </w:rPr>
        <w:t xml:space="preserve"> Buenos Aires</w:t>
      </w:r>
      <w:r w:rsidR="005A41E1" w:rsidRPr="00560A20">
        <w:rPr>
          <w:lang w:val="es-ES"/>
        </w:rPr>
        <w:t xml:space="preserve"> </w:t>
      </w:r>
      <w:r w:rsidR="00BB39A1" w:rsidRPr="00560A20">
        <w:rPr>
          <w:lang w:val="es-ES"/>
        </w:rPr>
        <w:t xml:space="preserve">las actividades y </w:t>
      </w:r>
      <w:proofErr w:type="spellStart"/>
      <w:r w:rsidR="00BB39A1" w:rsidRPr="00560A20">
        <w:rPr>
          <w:lang w:val="es-ES"/>
        </w:rPr>
        <w:t>ESP</w:t>
      </w:r>
      <w:r w:rsidR="00976ACC">
        <w:rPr>
          <w:lang w:val="es-ES"/>
        </w:rPr>
        <w:t>s</w:t>
      </w:r>
      <w:proofErr w:type="spellEnd"/>
      <w:r w:rsidR="00BB39A1" w:rsidRPr="00560A20">
        <w:rPr>
          <w:lang w:val="es-ES"/>
        </w:rPr>
        <w:t xml:space="preserve"> </w:t>
      </w:r>
      <w:r w:rsidR="005A41E1" w:rsidRPr="000A674F">
        <w:rPr>
          <w:lang w:val="es-ES"/>
        </w:rPr>
        <w:t>están sujetas a las políticas de seguridad pública</w:t>
      </w:r>
      <w:r w:rsidR="005A41E1" w:rsidRPr="000A674F">
        <w:rPr>
          <w:rStyle w:val="FootnoteReference"/>
          <w:lang w:val="es-ES"/>
        </w:rPr>
        <w:footnoteReference w:id="31"/>
      </w:r>
      <w:r w:rsidR="00BB39A1" w:rsidRPr="000A674F">
        <w:rPr>
          <w:lang w:val="es-ES"/>
        </w:rPr>
        <w:t xml:space="preserve">, </w:t>
      </w:r>
      <w:r w:rsidR="005A41E1" w:rsidRPr="000A674F">
        <w:rPr>
          <w:lang w:val="es-ES"/>
        </w:rPr>
        <w:t xml:space="preserve">y </w:t>
      </w:r>
      <w:r w:rsidR="000E4155" w:rsidRPr="000A674F">
        <w:t xml:space="preserve">los prestadores de </w:t>
      </w:r>
      <w:r w:rsidR="00976ACC">
        <w:t xml:space="preserve">estos </w:t>
      </w:r>
      <w:r w:rsidR="000E4155" w:rsidRPr="000A674F">
        <w:t>servicios deben cooperar y asistir a las autoridades policiales y organismos de persecución penal en relación con las personas o bienes cuya vigilancia, custodia o protección se encuentren a su cargo</w:t>
      </w:r>
      <w:r w:rsidR="00976ACC">
        <w:t>.</w:t>
      </w:r>
      <w:r w:rsidR="000E4155" w:rsidRPr="000A674F">
        <w:t xml:space="preserve"> </w:t>
      </w:r>
      <w:r w:rsidR="00976ACC">
        <w:t>También</w:t>
      </w:r>
      <w:r w:rsidR="000E4155" w:rsidRPr="000A674F">
        <w:rPr>
          <w:lang w:val="es-ES"/>
        </w:rPr>
        <w:t xml:space="preserve"> deben poner sus recursos materiales y humanos a disposición de la autoridad pública en caso</w:t>
      </w:r>
      <w:r w:rsidR="000E4155" w:rsidRPr="00560A20">
        <w:rPr>
          <w:lang w:val="es-ES"/>
        </w:rPr>
        <w:t xml:space="preserve"> de </w:t>
      </w:r>
      <w:r w:rsidR="000E4155" w:rsidRPr="000A674F">
        <w:rPr>
          <w:lang w:val="es-ES"/>
        </w:rPr>
        <w:t>catástrofe o emergencia</w:t>
      </w:r>
      <w:r w:rsidR="000E4155" w:rsidRPr="00560A20">
        <w:rPr>
          <w:lang w:val="es-ES"/>
        </w:rPr>
        <w:t xml:space="preserve">, quedando bajo las órdenes y responsabilidad de </w:t>
      </w:r>
      <w:r w:rsidR="00BB39A1" w:rsidRPr="00560A20">
        <w:rPr>
          <w:lang w:val="es-ES"/>
        </w:rPr>
        <w:t>dichas autoridades</w:t>
      </w:r>
      <w:r w:rsidR="000E4155" w:rsidRPr="000A674F">
        <w:rPr>
          <w:rStyle w:val="FootnoteReference"/>
          <w:lang w:val="es-ES"/>
        </w:rPr>
        <w:footnoteReference w:id="32"/>
      </w:r>
      <w:r w:rsidR="00123295" w:rsidRPr="000A674F">
        <w:rPr>
          <w:lang w:val="es-ES"/>
        </w:rPr>
        <w:t xml:space="preserve">; es la Autoridad de Aplicación </w:t>
      </w:r>
      <w:r w:rsidR="00BB39A1" w:rsidRPr="000A674F">
        <w:rPr>
          <w:lang w:val="es-ES"/>
        </w:rPr>
        <w:t xml:space="preserve">(control) </w:t>
      </w:r>
      <w:r w:rsidR="00123295" w:rsidRPr="000A674F">
        <w:rPr>
          <w:lang w:val="es-ES"/>
        </w:rPr>
        <w:t>quien determina según las circunstancias</w:t>
      </w:r>
      <w:r w:rsidR="00123295" w:rsidRPr="00560A20">
        <w:rPr>
          <w:lang w:val="es-ES"/>
        </w:rPr>
        <w:t xml:space="preserve"> del caso las obligaciones inherentes al deber de cooperación y asistencia</w:t>
      </w:r>
      <w:r w:rsidR="00123295" w:rsidRPr="000A674F">
        <w:rPr>
          <w:rStyle w:val="FootnoteReference"/>
          <w:lang w:val="es-ES"/>
        </w:rPr>
        <w:footnoteReference w:id="33"/>
      </w:r>
      <w:r w:rsidR="00123295" w:rsidRPr="000A674F">
        <w:rPr>
          <w:lang w:val="es-ES"/>
        </w:rPr>
        <w:t>.</w:t>
      </w:r>
      <w:r w:rsidR="000E4155" w:rsidRPr="000A674F">
        <w:rPr>
          <w:lang w:val="es-ES"/>
        </w:rPr>
        <w:t xml:space="preserve"> El Reglamento boliviano señala la obligación de las </w:t>
      </w:r>
      <w:proofErr w:type="spellStart"/>
      <w:r w:rsidR="000E4155" w:rsidRPr="000A674F">
        <w:rPr>
          <w:lang w:val="es-ES"/>
        </w:rPr>
        <w:t>ESP</w:t>
      </w:r>
      <w:r w:rsidR="00276FC6">
        <w:rPr>
          <w:lang w:val="es-ES"/>
        </w:rPr>
        <w:t>s</w:t>
      </w:r>
      <w:proofErr w:type="spellEnd"/>
      <w:r w:rsidR="000E4155" w:rsidRPr="000A674F">
        <w:rPr>
          <w:lang w:val="es-ES"/>
        </w:rPr>
        <w:t xml:space="preserve"> de colaborar con la Policía cuando se le</w:t>
      </w:r>
      <w:r w:rsidR="00276FC6">
        <w:rPr>
          <w:lang w:val="es-ES"/>
        </w:rPr>
        <w:t>s</w:t>
      </w:r>
      <w:r w:rsidR="000E4155" w:rsidRPr="000A674F">
        <w:rPr>
          <w:lang w:val="es-ES"/>
        </w:rPr>
        <w:t xml:space="preserve"> requiera; </w:t>
      </w:r>
      <w:r w:rsidR="00051E71" w:rsidRPr="000A674F">
        <w:rPr>
          <w:lang w:val="es-ES"/>
        </w:rPr>
        <w:t>y agrega</w:t>
      </w:r>
      <w:r w:rsidR="000E4155" w:rsidRPr="000A674F">
        <w:rPr>
          <w:lang w:val="es-ES"/>
        </w:rPr>
        <w:t xml:space="preserve"> que están obligadas a suspender transitoriamente sus servic</w:t>
      </w:r>
      <w:r w:rsidR="008A5C4E" w:rsidRPr="000A674F">
        <w:rPr>
          <w:lang w:val="es-ES"/>
        </w:rPr>
        <w:t xml:space="preserve">ios en determinados sectores o </w:t>
      </w:r>
      <w:r w:rsidR="000E4155" w:rsidRPr="000A674F">
        <w:rPr>
          <w:lang w:val="es-ES"/>
        </w:rPr>
        <w:t>instalaciones</w:t>
      </w:r>
      <w:r w:rsidR="00276FC6">
        <w:rPr>
          <w:lang w:val="es-ES"/>
        </w:rPr>
        <w:t>,</w:t>
      </w:r>
      <w:r w:rsidR="000E4155" w:rsidRPr="000A674F">
        <w:rPr>
          <w:lang w:val="es-ES"/>
        </w:rPr>
        <w:t xml:space="preserve"> por orden del Comando Departamental de Policías, ya sea a requerimiento de autoridad competente o por tener que </w:t>
      </w:r>
      <w:r w:rsidR="000E4155" w:rsidRPr="000A674F">
        <w:rPr>
          <w:lang w:val="es-ES"/>
        </w:rPr>
        <w:lastRenderedPageBreak/>
        <w:t>ejecutarse t</w:t>
      </w:r>
      <w:r w:rsidR="00A64155" w:rsidRPr="000A674F">
        <w:rPr>
          <w:lang w:val="es-ES"/>
        </w:rPr>
        <w:t>areas oficiales o de emergencia</w:t>
      </w:r>
      <w:r w:rsidR="00A64155" w:rsidRPr="000A674F">
        <w:rPr>
          <w:rStyle w:val="FootnoteReference"/>
          <w:lang w:val="es-ES"/>
        </w:rPr>
        <w:footnoteReference w:id="34"/>
      </w:r>
      <w:r w:rsidR="000E4155" w:rsidRPr="000A674F">
        <w:rPr>
          <w:lang w:val="es-ES"/>
        </w:rPr>
        <w:t>.</w:t>
      </w:r>
      <w:r w:rsidR="005A41E1" w:rsidRPr="000A674F">
        <w:rPr>
          <w:lang w:val="es-ES"/>
        </w:rPr>
        <w:t xml:space="preserve"> </w:t>
      </w:r>
      <w:r w:rsidR="000E4155" w:rsidRPr="000A674F">
        <w:t xml:space="preserve">La regulación chilena no </w:t>
      </w:r>
      <w:r w:rsidR="00276FC6">
        <w:t>hace referencia a</w:t>
      </w:r>
      <w:r w:rsidR="000E4155" w:rsidRPr="000A674F">
        <w:t xml:space="preserve"> </w:t>
      </w:r>
      <w:r w:rsidR="00276FC6">
        <w:t xml:space="preserve">la </w:t>
      </w:r>
      <w:r w:rsidR="000E4155" w:rsidRPr="000A674F">
        <w:t>obligación de colaborar con las policías</w:t>
      </w:r>
      <w:r w:rsidR="005A0027" w:rsidRPr="000A674F">
        <w:rPr>
          <w:rStyle w:val="FootnoteReference"/>
        </w:rPr>
        <w:footnoteReference w:id="35"/>
      </w:r>
      <w:r w:rsidR="005A0027" w:rsidRPr="000A674F">
        <w:t xml:space="preserve">. </w:t>
      </w:r>
    </w:p>
    <w:p w14:paraId="6A361F4F" w14:textId="77777777" w:rsidR="000E4155" w:rsidRPr="000A674F" w:rsidRDefault="00B54CA0" w:rsidP="00723CF6">
      <w:pPr>
        <w:pStyle w:val="Heading1"/>
        <w:numPr>
          <w:ilvl w:val="0"/>
          <w:numId w:val="3"/>
        </w:numPr>
        <w:ind w:left="426" w:hanging="426"/>
        <w:rPr>
          <w:sz w:val="22"/>
          <w:szCs w:val="22"/>
        </w:rPr>
      </w:pPr>
      <w:bookmarkStart w:id="4" w:name="_Toc407199162"/>
      <w:r w:rsidRPr="000A674F">
        <w:rPr>
          <w:sz w:val="22"/>
          <w:szCs w:val="22"/>
        </w:rPr>
        <w:t>Autorización de F</w:t>
      </w:r>
      <w:r w:rsidR="000E4155" w:rsidRPr="000A674F">
        <w:rPr>
          <w:sz w:val="22"/>
          <w:szCs w:val="22"/>
        </w:rPr>
        <w:t>uncionamiento y Licencia</w:t>
      </w:r>
      <w:bookmarkEnd w:id="4"/>
    </w:p>
    <w:p w14:paraId="395BF7BC" w14:textId="77777777" w:rsidR="006D5480" w:rsidRPr="00560A20" w:rsidRDefault="000E4155" w:rsidP="000E4155">
      <w:pPr>
        <w:spacing w:after="0"/>
        <w:jc w:val="both"/>
      </w:pPr>
      <w:r w:rsidRPr="000A674F">
        <w:rPr>
          <w:i/>
        </w:rPr>
        <w:t>Autoridad de Control</w:t>
      </w:r>
      <w:r w:rsidRPr="00560A20">
        <w:rPr>
          <w:i/>
        </w:rPr>
        <w:t>:</w:t>
      </w:r>
    </w:p>
    <w:p w14:paraId="5EF8A4CB" w14:textId="4AD118D3" w:rsidR="00560A20" w:rsidRDefault="000E4155" w:rsidP="000E4155">
      <w:pPr>
        <w:spacing w:after="0"/>
        <w:jc w:val="both"/>
      </w:pPr>
      <w:r w:rsidRPr="000A674F">
        <w:t xml:space="preserve">En la mayoría de países </w:t>
      </w:r>
      <w:r w:rsidR="005407D5" w:rsidRPr="000A674F">
        <w:t>la a</w:t>
      </w:r>
      <w:r w:rsidRPr="000A674F">
        <w:t xml:space="preserve">utoridad de control y supervisión, </w:t>
      </w:r>
      <w:r w:rsidR="00131204" w:rsidRPr="000A674F">
        <w:t>que</w:t>
      </w:r>
      <w:r w:rsidRPr="000A674F">
        <w:t xml:space="preserve"> otorga autorizaciones y licencias</w:t>
      </w:r>
      <w:r w:rsidR="008918E7" w:rsidRPr="000A674F">
        <w:t>,</w:t>
      </w:r>
      <w:r w:rsidRPr="000A674F">
        <w:t xml:space="preserve"> radica en el Ministerio encargado de la seguridad pública. En la provincia de Buenos Aires</w:t>
      </w:r>
      <w:r w:rsidRPr="00560A20">
        <w:t xml:space="preserve"> la Autoridad de Aplicación es el </w:t>
      </w:r>
      <w:r w:rsidRPr="000A674F">
        <w:t>Ministerio de Justicia y Seguridad</w:t>
      </w:r>
      <w:r w:rsidRPr="00560A20">
        <w:t xml:space="preserve"> a través de la </w:t>
      </w:r>
      <w:r w:rsidR="00CC32AC" w:rsidRPr="00560A20">
        <w:t>Secretaría de Seguridad Pública</w:t>
      </w:r>
      <w:r w:rsidRPr="000A674F">
        <w:t>; en B</w:t>
      </w:r>
      <w:r w:rsidR="00CC32AC" w:rsidRPr="000A674F">
        <w:t>olivia</w:t>
      </w:r>
      <w:r w:rsidRPr="000A674F">
        <w:t xml:space="preserve"> el Ministerio del Interio</w:t>
      </w:r>
      <w:r w:rsidRPr="00560A20">
        <w:t xml:space="preserve">r a través del Comando General de la </w:t>
      </w:r>
      <w:r w:rsidRPr="000A674F">
        <w:t>Policía Nacional</w:t>
      </w:r>
      <w:r w:rsidRPr="00560A20">
        <w:t xml:space="preserve"> y la Polic</w:t>
      </w:r>
      <w:r w:rsidR="00CC32AC" w:rsidRPr="00560A20">
        <w:t xml:space="preserve">ía Departamental; En </w:t>
      </w:r>
      <w:r w:rsidR="00CC32AC" w:rsidRPr="000A674F">
        <w:t xml:space="preserve">Brasil, </w:t>
      </w:r>
      <w:r w:rsidRPr="000A674F">
        <w:t>el Ministerio de Justicia</w:t>
      </w:r>
      <w:r w:rsidRPr="00560A20">
        <w:t xml:space="preserve"> a través del </w:t>
      </w:r>
      <w:r w:rsidRPr="000A674F">
        <w:t>Departamento</w:t>
      </w:r>
      <w:r w:rsidR="00CC32AC" w:rsidRPr="000A674F">
        <w:t xml:space="preserve"> de Policía Federal</w:t>
      </w:r>
      <w:r w:rsidR="00CC32AC" w:rsidRPr="00560A20">
        <w:t xml:space="preserve">; en Chile </w:t>
      </w:r>
      <w:r w:rsidRPr="00560A20">
        <w:t xml:space="preserve">el Ministerio del Interior y </w:t>
      </w:r>
      <w:r w:rsidR="006D5480" w:rsidRPr="000A674F">
        <w:t xml:space="preserve">Seguridad Pública, a través de </w:t>
      </w:r>
      <w:r w:rsidR="00E4358B" w:rsidRPr="000A674F">
        <w:t>la policía de Carabineros y su</w:t>
      </w:r>
      <w:r w:rsidRPr="000A674F">
        <w:t xml:space="preserve"> </w:t>
      </w:r>
      <w:r w:rsidR="00E4358B" w:rsidRPr="000A674F">
        <w:t xml:space="preserve">Departamento de Orden y Seguridad sobre </w:t>
      </w:r>
      <w:r w:rsidR="00B6113B">
        <w:t>seguridad privada</w:t>
      </w:r>
      <w:r w:rsidR="00E4358B" w:rsidRPr="000A674F">
        <w:t>, OS10</w:t>
      </w:r>
      <w:r w:rsidR="00E4358B" w:rsidRPr="000A674F">
        <w:rPr>
          <w:rStyle w:val="FootnoteReference"/>
        </w:rPr>
        <w:footnoteReference w:id="36"/>
      </w:r>
      <w:r w:rsidR="00CC32AC" w:rsidRPr="000A674F">
        <w:t xml:space="preserve">; </w:t>
      </w:r>
      <w:r w:rsidRPr="000A674F">
        <w:t>en Perú, el Ministerio del Interior</w:t>
      </w:r>
      <w:r w:rsidRPr="00560A20">
        <w:t xml:space="preserve"> a través de la Dirección de Control de Servicios de Seguridad y Control de Armas, Municiones y Explo</w:t>
      </w:r>
      <w:r w:rsidRPr="000A674F">
        <w:t>sivos de Uso Civil (DICSCAMEC</w:t>
      </w:r>
      <w:r w:rsidRPr="00560A20">
        <w:t>)</w:t>
      </w:r>
      <w:r w:rsidR="00B6113B">
        <w:t>;</w:t>
      </w:r>
      <w:r w:rsidRPr="00560A20">
        <w:t xml:space="preserve"> en U</w:t>
      </w:r>
      <w:r w:rsidRPr="000A674F">
        <w:t>ruguay</w:t>
      </w:r>
      <w:r w:rsidRPr="00560A20">
        <w:t xml:space="preserve"> estas actividades están sometidas al control y supervisión permane</w:t>
      </w:r>
      <w:r w:rsidRPr="000A674F">
        <w:t>nte del Ministerio del Interior</w:t>
      </w:r>
      <w:r w:rsidRPr="00560A20">
        <w:t xml:space="preserve"> a través de su oficina permanente</w:t>
      </w:r>
      <w:r w:rsidRPr="00560A20">
        <w:rPr>
          <w:rStyle w:val="FootnoteReference"/>
        </w:rPr>
        <w:footnoteReference w:id="37"/>
      </w:r>
      <w:r w:rsidR="00CC32AC" w:rsidRPr="000A674F">
        <w:t xml:space="preserve">; en Ecuador </w:t>
      </w:r>
      <w:r w:rsidR="00B6113B">
        <w:t xml:space="preserve">es </w:t>
      </w:r>
      <w:r w:rsidR="00CC32AC" w:rsidRPr="000A674F">
        <w:t>el Ministerio de Gobierno y Policía</w:t>
      </w:r>
      <w:r w:rsidR="00CC32AC" w:rsidRPr="00560A20">
        <w:t xml:space="preserve"> y la Superintendencia de Compañías</w:t>
      </w:r>
      <w:r w:rsidRPr="00560A20">
        <w:t>.</w:t>
      </w:r>
      <w:r w:rsidR="00CC32AC" w:rsidRPr="000A674F">
        <w:t xml:space="preserve"> La excepción es Colombia, donde la autoridad es la Superintendencia de Vigilancia y Seguridad Privada, organismo nacional de carácter técnico, adscrito al Ministerio de Defensa Nacional,</w:t>
      </w:r>
      <w:r w:rsidR="00CC32AC" w:rsidRPr="00560A20">
        <w:t xml:space="preserve"> con autonomía administrativa y financiera</w:t>
      </w:r>
      <w:r w:rsidR="00CC32AC" w:rsidRPr="000A674F">
        <w:t>.</w:t>
      </w:r>
    </w:p>
    <w:p w14:paraId="678DDCD2" w14:textId="77777777" w:rsidR="00560A20" w:rsidRDefault="00560A20" w:rsidP="000E4155">
      <w:pPr>
        <w:spacing w:after="0"/>
        <w:jc w:val="both"/>
      </w:pPr>
    </w:p>
    <w:p w14:paraId="36AC58A7" w14:textId="03D6EEA5" w:rsidR="000E4155" w:rsidRPr="000A674F" w:rsidRDefault="00230AC0" w:rsidP="000E4155">
      <w:pPr>
        <w:spacing w:after="0"/>
        <w:jc w:val="both"/>
        <w:rPr>
          <w:i/>
        </w:rPr>
      </w:pPr>
      <w:r w:rsidRPr="000A674F">
        <w:rPr>
          <w:i/>
        </w:rPr>
        <w:t>A</w:t>
      </w:r>
      <w:r w:rsidR="00BF455A" w:rsidRPr="000A674F">
        <w:rPr>
          <w:i/>
        </w:rPr>
        <w:t xml:space="preserve">utorización y </w:t>
      </w:r>
      <w:r w:rsidR="000E4155" w:rsidRPr="000A674F">
        <w:rPr>
          <w:i/>
        </w:rPr>
        <w:t>licencia:</w:t>
      </w:r>
    </w:p>
    <w:p w14:paraId="0CD1C507" w14:textId="19AD5B6E" w:rsidR="000E4155" w:rsidRPr="00560A20" w:rsidRDefault="000E4155" w:rsidP="000E4155">
      <w:pPr>
        <w:jc w:val="both"/>
      </w:pPr>
      <w:r w:rsidRPr="000A674F">
        <w:t xml:space="preserve">Todos los países </w:t>
      </w:r>
      <w:r w:rsidR="00D27031" w:rsidRPr="000A674F">
        <w:t xml:space="preserve">exigen autorización y licencia </w:t>
      </w:r>
      <w:r w:rsidRPr="000A674F">
        <w:t>para prestar servicios de SP, el que debe ser otorgado por la autoridad que la norma señala, cumpliendo determinados requisitos</w:t>
      </w:r>
      <w:r w:rsidR="00CC4623" w:rsidRPr="000A674F">
        <w:t xml:space="preserve"> para las personas jurídicas y físicas</w:t>
      </w:r>
      <w:r w:rsidRPr="000A674F">
        <w:t>. Las exigencias o requisitos pueden estar</w:t>
      </w:r>
      <w:r w:rsidR="008F19DA" w:rsidRPr="000A674F">
        <w:t xml:space="preserve"> señalados en forma genérica (Buenos Aires)</w:t>
      </w:r>
      <w:r w:rsidRPr="000A674F">
        <w:t xml:space="preserve"> o según tipo de servicio que se pretende prestar (con armas, sin armas, transporte de valores, etc.), o según la naturaleza del prestador</w:t>
      </w:r>
      <w:r w:rsidR="00131204" w:rsidRPr="000A674F">
        <w:t>-</w:t>
      </w:r>
      <w:r w:rsidRPr="000A674F">
        <w:t>persona natural o jurídica</w:t>
      </w:r>
      <w:r w:rsidR="00131204" w:rsidRPr="000A674F">
        <w:t>-</w:t>
      </w:r>
      <w:r w:rsidRPr="000A674F">
        <w:t xml:space="preserve">, </w:t>
      </w:r>
      <w:r w:rsidR="00131204" w:rsidRPr="000A674F">
        <w:t xml:space="preserve">o </w:t>
      </w:r>
      <w:r w:rsidRPr="000A674F">
        <w:t>si se trata de un servicio interno o propio</w:t>
      </w:r>
      <w:r w:rsidR="00B935FD" w:rsidRPr="000A674F">
        <w:t>,</w:t>
      </w:r>
      <w:r w:rsidRPr="000A674F">
        <w:t xml:space="preserve"> o externo. Siempre se exige que los prestadores </w:t>
      </w:r>
      <w:r w:rsidR="00D6247F">
        <w:t xml:space="preserve">que </w:t>
      </w:r>
      <w:r w:rsidRPr="000A674F">
        <w:t>se limiten a realizar sólo las actividades para las cuales se les autorizó y otorgó licencia, y dentro de las áreas, locales o edificios para los cuales se han contratado</w:t>
      </w:r>
      <w:r w:rsidRPr="00560A20">
        <w:t xml:space="preserve"> los servicios, lo que debe </w:t>
      </w:r>
      <w:r w:rsidR="00D6247F">
        <w:t>estar</w:t>
      </w:r>
      <w:r w:rsidRPr="00560A20">
        <w:t xml:space="preserve"> </w:t>
      </w:r>
      <w:r w:rsidR="00D6247F">
        <w:t>estipula</w:t>
      </w:r>
      <w:r w:rsidRPr="00560A20">
        <w:t xml:space="preserve">do en el contrato. </w:t>
      </w:r>
      <w:r w:rsidR="008F19DA" w:rsidRPr="00560A20">
        <w:t>La tendencia es a exigir t</w:t>
      </w:r>
      <w:r w:rsidRPr="000A674F">
        <w:t>anto para los propietarios, administradores y gerentes, como para el personal operativo</w:t>
      </w:r>
      <w:r w:rsidR="008F19DA" w:rsidRPr="000A674F">
        <w:t>, un</w:t>
      </w:r>
      <w:r w:rsidRPr="000A674F">
        <w:t xml:space="preserve"> certificado de antecedentes policiales</w:t>
      </w:r>
      <w:r w:rsidRPr="00560A20">
        <w:t xml:space="preserve"> </w:t>
      </w:r>
      <w:r w:rsidRPr="000A674F">
        <w:t>y/o judiciales</w:t>
      </w:r>
      <w:r w:rsidRPr="00560A20">
        <w:t xml:space="preserve"> a fin</w:t>
      </w:r>
      <w:r w:rsidR="008F19DA" w:rsidRPr="00560A20">
        <w:t xml:space="preserve"> de acreditar </w:t>
      </w:r>
      <w:r w:rsidRPr="000A674F">
        <w:rPr>
          <w:i/>
        </w:rPr>
        <w:t xml:space="preserve">idoneidad </w:t>
      </w:r>
      <w:r w:rsidR="00D6247F">
        <w:rPr>
          <w:i/>
        </w:rPr>
        <w:t xml:space="preserve">o solvencia </w:t>
      </w:r>
      <w:r w:rsidRPr="000A674F">
        <w:rPr>
          <w:i/>
        </w:rPr>
        <w:t>moral</w:t>
      </w:r>
      <w:r w:rsidRPr="000A674F">
        <w:t xml:space="preserve">. </w:t>
      </w:r>
      <w:r w:rsidR="002F4EB5" w:rsidRPr="000A674F">
        <w:t>Brasil</w:t>
      </w:r>
      <w:r w:rsidR="002F4EB5" w:rsidRPr="00560A20">
        <w:t xml:space="preserve">, en la </w:t>
      </w:r>
      <w:proofErr w:type="spellStart"/>
      <w:r w:rsidR="002F4EB5" w:rsidRPr="00560A20">
        <w:t>Portaria</w:t>
      </w:r>
      <w:proofErr w:type="spellEnd"/>
      <w:r w:rsidR="002F4EB5" w:rsidRPr="00560A20">
        <w:t xml:space="preserve"> N° 3233/2012 detalla ampliamente para cada modalidad de prestación de servicios los requerimientos para obtener licencia, tanto para socios, administra</w:t>
      </w:r>
      <w:r w:rsidR="00877822" w:rsidRPr="000A674F">
        <w:t>dores, directores y gerentes, exigiendo</w:t>
      </w:r>
      <w:r w:rsidR="002F4EB5" w:rsidRPr="000A674F">
        <w:t xml:space="preserve"> </w:t>
      </w:r>
      <w:r w:rsidR="00877822" w:rsidRPr="000A674F">
        <w:t xml:space="preserve">que </w:t>
      </w:r>
      <w:r w:rsidR="002F4EB5" w:rsidRPr="000A674F">
        <w:t>la certificación de no co</w:t>
      </w:r>
      <w:r w:rsidR="004E32D1" w:rsidRPr="000A674F">
        <w:t>ntar con antecedentes</w:t>
      </w:r>
      <w:r w:rsidR="002F4EB5" w:rsidRPr="000A674F">
        <w:t xml:space="preserve"> criminal</w:t>
      </w:r>
      <w:r w:rsidR="00877822" w:rsidRPr="000A674F">
        <w:t>es</w:t>
      </w:r>
      <w:r w:rsidR="004E32D1" w:rsidRPr="000A674F">
        <w:t xml:space="preserve"> </w:t>
      </w:r>
      <w:r w:rsidR="00877822" w:rsidRPr="000A674F">
        <w:t>sea emitida</w:t>
      </w:r>
      <w:r w:rsidR="004E32D1" w:rsidRPr="000A674F">
        <w:t xml:space="preserve"> por la justicia Federal, Estatal, militar</w:t>
      </w:r>
      <w:r w:rsidR="00252320" w:rsidRPr="000A674F">
        <w:t xml:space="preserve"> y electoral</w:t>
      </w:r>
      <w:r w:rsidR="004E32D1" w:rsidRPr="00560A20">
        <w:t>.</w:t>
      </w:r>
    </w:p>
    <w:p w14:paraId="66806685" w14:textId="35364E8B" w:rsidR="004E63E4" w:rsidRPr="000A674F" w:rsidRDefault="00E4358B" w:rsidP="000E4155">
      <w:pPr>
        <w:jc w:val="both"/>
      </w:pPr>
      <w:r w:rsidRPr="000A674F">
        <w:lastRenderedPageBreak/>
        <w:t>La mayoría de est</w:t>
      </w:r>
      <w:r w:rsidR="008B1284">
        <w:t>a</w:t>
      </w:r>
      <w:r w:rsidRPr="000A674F">
        <w:t xml:space="preserve">s </w:t>
      </w:r>
      <w:r w:rsidR="008B1284">
        <w:t>legislacion</w:t>
      </w:r>
      <w:r w:rsidRPr="000A674F">
        <w:t>es</w:t>
      </w:r>
      <w:r w:rsidR="001E5673" w:rsidRPr="000A674F">
        <w:t xml:space="preserve"> n</w:t>
      </w:r>
      <w:r w:rsidR="000E4155" w:rsidRPr="000A674F">
        <w:t xml:space="preserve">o </w:t>
      </w:r>
      <w:r w:rsidR="008B1284">
        <w:t>contempla</w:t>
      </w:r>
      <w:r w:rsidR="001E5673" w:rsidRPr="000A674F">
        <w:t xml:space="preserve"> </w:t>
      </w:r>
      <w:r w:rsidR="000E4155" w:rsidRPr="000A674F">
        <w:t xml:space="preserve">exigencias específicas respecto </w:t>
      </w:r>
      <w:r w:rsidR="001E5673" w:rsidRPr="000A674F">
        <w:t>a antecedentes sobre violaciones de</w:t>
      </w:r>
      <w:r w:rsidR="000E4155" w:rsidRPr="000A674F">
        <w:t xml:space="preserve"> derechos humanos</w:t>
      </w:r>
      <w:r w:rsidR="008B1284">
        <w:t>.</w:t>
      </w:r>
      <w:r w:rsidR="000E4155" w:rsidRPr="000A674F">
        <w:t xml:space="preserve"> </w:t>
      </w:r>
      <w:r w:rsidR="008B1284">
        <w:t>L</w:t>
      </w:r>
      <w:r w:rsidR="000E4155" w:rsidRPr="000A674F">
        <w:t>a exce</w:t>
      </w:r>
      <w:r w:rsidR="001E5673" w:rsidRPr="000A674F">
        <w:t>pción</w:t>
      </w:r>
      <w:r w:rsidR="008B1284">
        <w:t xml:space="preserve"> es</w:t>
      </w:r>
      <w:r w:rsidR="001E5673" w:rsidRPr="000A674F">
        <w:t xml:space="preserve"> la Ley de Buenos Aires</w:t>
      </w:r>
      <w:r w:rsidR="008B1284">
        <w:t>,</w:t>
      </w:r>
      <w:r w:rsidR="000E4155" w:rsidRPr="000A674F">
        <w:t xml:space="preserve"> que prohíbe que sean socios de empresas de seguridad privada quienes se hayan beneficiado con las leyes </w:t>
      </w:r>
      <w:r w:rsidR="006E77AA" w:rsidRPr="000A674F">
        <w:t xml:space="preserve">de amnistía </w:t>
      </w:r>
      <w:r w:rsidR="000E4155" w:rsidRPr="000A674F">
        <w:t>N° 23.492 o N° 23.521  y hayan sido indultados por hechos que constituyen violación a los derechos humanos</w:t>
      </w:r>
      <w:r w:rsidR="000A3C3B" w:rsidRPr="000A674F">
        <w:t>, lo que</w:t>
      </w:r>
      <w:r w:rsidR="00E64549" w:rsidRPr="000A674F">
        <w:t xml:space="preserve"> deberá acreditarse con certificado extendido por los organismos competentes de derechos humanos</w:t>
      </w:r>
      <w:r w:rsidR="00E64549" w:rsidRPr="000A674F">
        <w:rPr>
          <w:rStyle w:val="FootnoteReference"/>
        </w:rPr>
        <w:footnoteReference w:id="38"/>
      </w:r>
      <w:r w:rsidR="008B1284">
        <w:t>.</w:t>
      </w:r>
      <w:r w:rsidR="001E5673" w:rsidRPr="000A674F">
        <w:t xml:space="preserve"> </w:t>
      </w:r>
      <w:r w:rsidR="008B1284">
        <w:t>Por otra parte, l</w:t>
      </w:r>
      <w:r w:rsidR="006D7A22" w:rsidRPr="000A674F">
        <w:t xml:space="preserve">a falta de antecedentes </w:t>
      </w:r>
      <w:r w:rsidR="00123295" w:rsidRPr="000A674F">
        <w:t xml:space="preserve">penales </w:t>
      </w:r>
      <w:proofErr w:type="spellStart"/>
      <w:r w:rsidR="00123295" w:rsidRPr="000A674F">
        <w:t>inhabilitantes</w:t>
      </w:r>
      <w:proofErr w:type="spellEnd"/>
      <w:r w:rsidR="00123295" w:rsidRPr="000A674F">
        <w:t xml:space="preserve"> </w:t>
      </w:r>
      <w:r w:rsidR="006D7A22" w:rsidRPr="000A674F">
        <w:t xml:space="preserve">para </w:t>
      </w:r>
      <w:r w:rsidR="000C014B" w:rsidRPr="000A674F">
        <w:t>ejercer actividades de seguridad privada debe acreditarse con certificado expedido por el Registro Nacional de Reincidencia y Estadística Criminal</w:t>
      </w:r>
      <w:r w:rsidR="00ED574A" w:rsidRPr="000A674F">
        <w:t>,</w:t>
      </w:r>
      <w:r w:rsidR="008B1284">
        <w:t xml:space="preserve"> el</w:t>
      </w:r>
      <w:r w:rsidR="00ED574A" w:rsidRPr="000A674F">
        <w:t xml:space="preserve"> certificado expedido por órgano competente del Minist</w:t>
      </w:r>
      <w:r w:rsidR="00AF5FB9" w:rsidRPr="000A674F">
        <w:t>erio de Justicia y Seguridad</w:t>
      </w:r>
      <w:r w:rsidR="008B1284">
        <w:t>,</w:t>
      </w:r>
      <w:r w:rsidR="00AF5FB9" w:rsidRPr="000A674F">
        <w:t xml:space="preserve"> y </w:t>
      </w:r>
      <w:r w:rsidR="008B1284">
        <w:t xml:space="preserve">la </w:t>
      </w:r>
      <w:r w:rsidR="00AF5FB9" w:rsidRPr="000A674F">
        <w:t>d</w:t>
      </w:r>
      <w:r w:rsidR="00ED574A" w:rsidRPr="000A674F">
        <w:t>eclaración jurada de no estar imputado en causa penal en trámite por delitos dolosos o culposos relacionados con el ejercicio de la función de seguridad</w:t>
      </w:r>
      <w:r w:rsidR="00890F06" w:rsidRPr="000A674F">
        <w:rPr>
          <w:rStyle w:val="FootnoteReference"/>
        </w:rPr>
        <w:footnoteReference w:id="39"/>
      </w:r>
      <w:r w:rsidR="000E4155" w:rsidRPr="000A674F">
        <w:t xml:space="preserve">. </w:t>
      </w:r>
      <w:r w:rsidR="00650CAA" w:rsidRPr="000A674F">
        <w:t xml:space="preserve"> Estas exigencias constituyen una buena práctica</w:t>
      </w:r>
      <w:r w:rsidR="00F80A0B">
        <w:t xml:space="preserve"> en el proceso de investigación de antecedentes del personal</w:t>
      </w:r>
      <w:r w:rsidR="00650CAA" w:rsidRPr="000A674F">
        <w:t xml:space="preserve">, </w:t>
      </w:r>
      <w:r w:rsidR="00F80A0B">
        <w:t>requiriendo</w:t>
      </w:r>
      <w:r w:rsidR="00E06DE0" w:rsidRPr="000A674F">
        <w:t xml:space="preserve"> certificaciones de las autoridades</w:t>
      </w:r>
      <w:r w:rsidR="008B1284">
        <w:t xml:space="preserve"> competentes</w:t>
      </w:r>
      <w:r w:rsidR="00E06DE0" w:rsidRPr="000A674F">
        <w:t xml:space="preserve">, </w:t>
      </w:r>
      <w:r w:rsidR="008A19F8" w:rsidRPr="000A674F">
        <w:t>y no haciendo</w:t>
      </w:r>
      <w:r w:rsidR="00650CAA" w:rsidRPr="000A674F">
        <w:t xml:space="preserve"> diferencias entre delitos dolosos o culposos.</w:t>
      </w:r>
    </w:p>
    <w:p w14:paraId="66E9F95F" w14:textId="630B57BB" w:rsidR="000E4155" w:rsidRPr="000A674F" w:rsidRDefault="000E4155" w:rsidP="000E4155">
      <w:pPr>
        <w:jc w:val="both"/>
      </w:pPr>
      <w:r w:rsidRPr="000A674F">
        <w:t xml:space="preserve">Entre los requisitos para obtener licencia de funcionamiento hay algunos comunes a todas las regulaciones, tales como la exigencia de contar con seguros de responsabilidad civil por daños a terceros </w:t>
      </w:r>
      <w:r w:rsidRPr="00560A20">
        <w:t xml:space="preserve">(Bolivia, Buenos Aires, Colombia, Ecuador) o seguros </w:t>
      </w:r>
      <w:r w:rsidRPr="000A674F">
        <w:t>en beneficio del personal</w:t>
      </w:r>
      <w:r w:rsidRPr="00560A20">
        <w:t xml:space="preserve"> (de</w:t>
      </w:r>
      <w:r w:rsidR="00E4458D" w:rsidRPr="00560A20">
        <w:t xml:space="preserve"> vida o salud, caso de Brasil</w:t>
      </w:r>
      <w:r w:rsidR="00515182">
        <w:t xml:space="preserve"> y</w:t>
      </w:r>
      <w:r w:rsidR="00E4458D" w:rsidRPr="00560A20">
        <w:t xml:space="preserve"> </w:t>
      </w:r>
      <w:r w:rsidRPr="000A674F">
        <w:t>Chile), presentar propues</w:t>
      </w:r>
      <w:r w:rsidR="00210508" w:rsidRPr="000A674F">
        <w:t>ta de uniformes y credenciales -</w:t>
      </w:r>
      <w:r w:rsidRPr="000A674F">
        <w:t xml:space="preserve">que deben ser distintas de las que usan las fuerzas de seguridad pública-, acreditar disponibilidad de recinto o local para depósito de armas. Bolivia, Brasil y Colombia fijan los montos mínimos de capital para constituir </w:t>
      </w:r>
      <w:proofErr w:type="spellStart"/>
      <w:r w:rsidRPr="000A674F">
        <w:t>ESP</w:t>
      </w:r>
      <w:r w:rsidR="00515182">
        <w:t>s</w:t>
      </w:r>
      <w:proofErr w:type="spellEnd"/>
      <w:r w:rsidR="00515182">
        <w:t>,</w:t>
      </w:r>
      <w:r w:rsidRPr="000A674F">
        <w:t xml:space="preserve"> en Colombia el Gobierno puede fijar las cuantías mínimas del patrimonio que deben acreditar y mantener las empresas. Algunos países exigen la presentación y aprobación</w:t>
      </w:r>
      <w:r w:rsidR="00515182">
        <w:t xml:space="preserve">, </w:t>
      </w:r>
      <w:r w:rsidRPr="000A674F">
        <w:t>por parte de la autoridad competente</w:t>
      </w:r>
      <w:r w:rsidR="00515182">
        <w:t>,</w:t>
      </w:r>
      <w:r w:rsidRPr="000A674F">
        <w:t xml:space="preserve"> de un manual de funcionamiento de las </w:t>
      </w:r>
      <w:r w:rsidR="00210508" w:rsidRPr="000A674F">
        <w:t>operaciones de la empresa</w:t>
      </w:r>
      <w:r w:rsidR="00515182">
        <w:t xml:space="preserve"> solicitante</w:t>
      </w:r>
      <w:r w:rsidR="00BF455A" w:rsidRPr="000A674F">
        <w:t>;</w:t>
      </w:r>
      <w:r w:rsidRPr="000A674F">
        <w:t xml:space="preserve"> en Bolivia </w:t>
      </w:r>
      <w:r w:rsidR="00CC1A81" w:rsidRPr="000A674F">
        <w:t>deben contar con el Manual de organización y funciones, normas y procedimientos -aprobado por el Comando General de la Policía Nacional al momento de dar la autorización-</w:t>
      </w:r>
      <w:r w:rsidR="00515182">
        <w:t>,</w:t>
      </w:r>
      <w:r w:rsidR="00CC1A81" w:rsidRPr="000A674F">
        <w:t xml:space="preserve"> y un reglamento interno aprobado por el Ministerio del Trabajo</w:t>
      </w:r>
      <w:r w:rsidR="00CC1A81" w:rsidRPr="000A674F">
        <w:rPr>
          <w:rStyle w:val="FootnoteReference"/>
        </w:rPr>
        <w:footnoteReference w:id="40"/>
      </w:r>
      <w:r w:rsidR="00BF455A" w:rsidRPr="000A674F">
        <w:t>.</w:t>
      </w:r>
      <w:r w:rsidRPr="000A674F">
        <w:t xml:space="preserve"> </w:t>
      </w:r>
      <w:r w:rsidR="00CF488C" w:rsidRPr="000A674F">
        <w:t xml:space="preserve"> </w:t>
      </w:r>
      <w:r w:rsidRPr="000A674F">
        <w:t xml:space="preserve">Colombia dispone que el Gobierno </w:t>
      </w:r>
      <w:proofErr w:type="gramStart"/>
      <w:r w:rsidRPr="000A674F">
        <w:t>expedirá</w:t>
      </w:r>
      <w:proofErr w:type="gramEnd"/>
      <w:r w:rsidRPr="000A674F">
        <w:t xml:space="preserve"> los manuales de operación,</w:t>
      </w:r>
      <w:r w:rsidRPr="00560A20">
        <w:t xml:space="preserve"> inspección y uniformes, y otros que se requieran para prestar servicios de vigilancia y seguridad privada. En Uruguay, la habilitación</w:t>
      </w:r>
      <w:r w:rsidRPr="000A674F">
        <w:t xml:space="preserve"> de toda persona </w:t>
      </w:r>
      <w:r w:rsidR="00AF5FB9" w:rsidRPr="000A674F">
        <w:t>-</w:t>
      </w:r>
      <w:r w:rsidRPr="000A674F">
        <w:t>jurídica o natural- que se proponga realizar prestaciones de SP debe solicitar</w:t>
      </w:r>
      <w:r w:rsidR="00924A37" w:rsidRPr="000A674F">
        <w:t>se</w:t>
      </w:r>
      <w:r w:rsidRPr="000A674F">
        <w:t xml:space="preserve"> por escrito al Ministerio del Interior, </w:t>
      </w:r>
      <w:r w:rsidR="000B65A5" w:rsidRPr="000A674F">
        <w:t xml:space="preserve">y </w:t>
      </w:r>
      <w:r w:rsidRPr="000A674F">
        <w:t>su habilitación al Registro de Empresas y Prestadores Privados de Seguridad; además, las empresas deben contar</w:t>
      </w:r>
      <w:r w:rsidR="00AF5FB9" w:rsidRPr="000A674F">
        <w:t xml:space="preserve"> con un “asesor en seguridad”</w:t>
      </w:r>
      <w:r w:rsidR="00917BDF">
        <w:t>,</w:t>
      </w:r>
      <w:r w:rsidR="00AF5FB9" w:rsidRPr="000A674F">
        <w:t xml:space="preserve"> que </w:t>
      </w:r>
      <w:r w:rsidRPr="000A674F">
        <w:t>tiene a su cargo la planificación, coordinación y supervisión de seguridad de la organización</w:t>
      </w:r>
      <w:r w:rsidR="00AF5FB9" w:rsidRPr="000A674F">
        <w:t xml:space="preserve"> donde preste servicios -es el responsable técnico ante el Ministerio-</w:t>
      </w:r>
      <w:r w:rsidRPr="000A674F">
        <w:t xml:space="preserve">, </w:t>
      </w:r>
      <w:r w:rsidR="00AF5FB9" w:rsidRPr="000A674F">
        <w:t>y sus</w:t>
      </w:r>
      <w:r w:rsidRPr="000A674F">
        <w:t xml:space="preserve"> antecedentes deben adjuntarse a los demás que se presentan al Ministerio del</w:t>
      </w:r>
      <w:r w:rsidR="00AF5FB9" w:rsidRPr="000A674F">
        <w:t xml:space="preserve"> Interior para su habilitación.</w:t>
      </w:r>
    </w:p>
    <w:p w14:paraId="3910916C" w14:textId="6B2BA243" w:rsidR="00BB6AA1" w:rsidRPr="000A674F" w:rsidRDefault="000E4155" w:rsidP="000E4155">
      <w:pPr>
        <w:jc w:val="both"/>
      </w:pPr>
      <w:r w:rsidRPr="000A674F">
        <w:t>Las autorizaciones y licencias tienen una duración determinada</w:t>
      </w:r>
      <w:r w:rsidR="007E311A">
        <w:t>,</w:t>
      </w:r>
      <w:r w:rsidRPr="000A674F">
        <w:t xml:space="preserve"> que va de </w:t>
      </w:r>
      <w:r w:rsidR="002F4EB5" w:rsidRPr="000A674F">
        <w:rPr>
          <w:lang w:val="es-ES"/>
        </w:rPr>
        <w:t>uno a</w:t>
      </w:r>
      <w:r w:rsidRPr="000A674F">
        <w:rPr>
          <w:lang w:val="es-ES"/>
        </w:rPr>
        <w:t xml:space="preserve"> cinco años</w:t>
      </w:r>
      <w:r w:rsidR="007E311A">
        <w:rPr>
          <w:lang w:val="es-ES"/>
        </w:rPr>
        <w:t>,</w:t>
      </w:r>
      <w:r w:rsidRPr="000A674F">
        <w:rPr>
          <w:lang w:val="es-ES"/>
        </w:rPr>
        <w:t xml:space="preserve"> luego de </w:t>
      </w:r>
      <w:r w:rsidRPr="000A674F">
        <w:t xml:space="preserve">lo cual deben ser renovadas de acuerdo a las exigencias de la norma. En Bolivia dura tres años, </w:t>
      </w:r>
      <w:r w:rsidR="007E311A">
        <w:t xml:space="preserve">en </w:t>
      </w:r>
      <w:r w:rsidRPr="000A674F">
        <w:t xml:space="preserve">Brasil un año, </w:t>
      </w:r>
      <w:r w:rsidR="007E311A">
        <w:t xml:space="preserve">en </w:t>
      </w:r>
      <w:r w:rsidRPr="000A674F">
        <w:t>Colombia y Perú cinco años</w:t>
      </w:r>
      <w:r w:rsidR="00A654B9">
        <w:t>.</w:t>
      </w:r>
      <w:r w:rsidRPr="000A674F">
        <w:t xml:space="preserve"> </w:t>
      </w:r>
    </w:p>
    <w:p w14:paraId="4BA7A2E4" w14:textId="77777777" w:rsidR="00C90A22" w:rsidRPr="00560A20" w:rsidRDefault="00EE4871" w:rsidP="000E4155">
      <w:pPr>
        <w:jc w:val="both"/>
        <w:rPr>
          <w:i/>
        </w:rPr>
      </w:pPr>
      <w:r w:rsidRPr="000A674F">
        <w:rPr>
          <w:i/>
        </w:rPr>
        <w:lastRenderedPageBreak/>
        <w:t>Registros:</w:t>
      </w:r>
    </w:p>
    <w:p w14:paraId="7920E9AE" w14:textId="289A0A12" w:rsidR="008B1AF3" w:rsidRPr="000A674F" w:rsidRDefault="0098353A" w:rsidP="000E4155">
      <w:pPr>
        <w:jc w:val="both"/>
        <w:rPr>
          <w:rFonts w:ascii="Arial" w:hAnsi="Arial" w:cs="Arial"/>
          <w:sz w:val="20"/>
          <w:szCs w:val="20"/>
        </w:rPr>
      </w:pPr>
      <w:r w:rsidRPr="0068180D">
        <w:rPr>
          <w:rFonts w:cs="Arial"/>
        </w:rPr>
        <w:t xml:space="preserve">La </w:t>
      </w:r>
      <w:r w:rsidR="008C04DE" w:rsidRPr="0068180D">
        <w:rPr>
          <w:rFonts w:cs="Arial"/>
        </w:rPr>
        <w:t xml:space="preserve">mayoría </w:t>
      </w:r>
      <w:r w:rsidRPr="0068180D">
        <w:rPr>
          <w:rFonts w:cs="Arial"/>
        </w:rPr>
        <w:t xml:space="preserve">de </w:t>
      </w:r>
      <w:r w:rsidR="001478DA">
        <w:rPr>
          <w:rFonts w:cs="Arial"/>
        </w:rPr>
        <w:t>las legislaciones examinadas</w:t>
      </w:r>
      <w:r w:rsidRPr="0068180D">
        <w:rPr>
          <w:rFonts w:cs="Arial"/>
        </w:rPr>
        <w:t xml:space="preserve"> </w:t>
      </w:r>
      <w:r w:rsidR="008C04DE" w:rsidRPr="0068180D">
        <w:rPr>
          <w:rFonts w:cs="Arial"/>
        </w:rPr>
        <w:t>exige</w:t>
      </w:r>
      <w:r w:rsidR="00A45345" w:rsidRPr="0068180D">
        <w:rPr>
          <w:rFonts w:cs="Arial"/>
        </w:rPr>
        <w:t xml:space="preserve"> contar con un registro especial de empresas de seg</w:t>
      </w:r>
      <w:r w:rsidR="008B1AF3" w:rsidRPr="0068180D">
        <w:rPr>
          <w:rFonts w:cs="Arial"/>
        </w:rPr>
        <w:t xml:space="preserve">uridad privada </w:t>
      </w:r>
      <w:r w:rsidR="002449A4">
        <w:rPr>
          <w:rFonts w:cs="Arial"/>
        </w:rPr>
        <w:t>-</w:t>
      </w:r>
      <w:r w:rsidR="00960544">
        <w:rPr>
          <w:rFonts w:cs="Arial"/>
        </w:rPr>
        <w:t xml:space="preserve">no siempre </w:t>
      </w:r>
      <w:r w:rsidR="008B1AF3" w:rsidRPr="0068180D">
        <w:rPr>
          <w:rFonts w:cs="Arial"/>
        </w:rPr>
        <w:t>a nivel nacional</w:t>
      </w:r>
      <w:r w:rsidR="00960544">
        <w:rPr>
          <w:rFonts w:cs="Arial"/>
        </w:rPr>
        <w:t>-</w:t>
      </w:r>
      <w:r w:rsidR="00D6335A" w:rsidRPr="0068180D">
        <w:rPr>
          <w:rFonts w:cs="Arial"/>
        </w:rPr>
        <w:t xml:space="preserve"> y uno de personas físi</w:t>
      </w:r>
      <w:r w:rsidR="00E222FC" w:rsidRPr="0068180D">
        <w:rPr>
          <w:rFonts w:cs="Arial"/>
        </w:rPr>
        <w:t>cas que prestan estos servicios;</w:t>
      </w:r>
      <w:r w:rsidR="00537A69" w:rsidRPr="0068180D">
        <w:rPr>
          <w:rFonts w:cs="Arial"/>
        </w:rPr>
        <w:t xml:space="preserve"> </w:t>
      </w:r>
      <w:r w:rsidR="008B1AF3" w:rsidRPr="0068180D">
        <w:rPr>
          <w:rFonts w:cs="Arial"/>
        </w:rPr>
        <w:t xml:space="preserve">la excepción es Bolivia que sólo </w:t>
      </w:r>
      <w:r w:rsidR="001478DA">
        <w:rPr>
          <w:rFonts w:cs="Arial"/>
        </w:rPr>
        <w:t>requiere</w:t>
      </w:r>
      <w:r w:rsidR="008B1AF3" w:rsidRPr="0068180D">
        <w:rPr>
          <w:rFonts w:cs="Arial"/>
        </w:rPr>
        <w:t xml:space="preserve"> ciertos registros </w:t>
      </w:r>
      <w:r w:rsidR="00B35ACB" w:rsidRPr="0068180D">
        <w:rPr>
          <w:rFonts w:cs="Arial"/>
        </w:rPr>
        <w:t xml:space="preserve">y directorios </w:t>
      </w:r>
      <w:r w:rsidR="008B1AF3" w:rsidRPr="0068180D">
        <w:rPr>
          <w:rFonts w:cs="Arial"/>
        </w:rPr>
        <w:t>qu</w:t>
      </w:r>
      <w:r w:rsidR="00B35ACB" w:rsidRPr="0068180D">
        <w:rPr>
          <w:rFonts w:cs="Arial"/>
        </w:rPr>
        <w:t xml:space="preserve">e debe llevar la empresa, </w:t>
      </w:r>
      <w:r w:rsidR="00B35ACB" w:rsidRPr="00D85B50">
        <w:rPr>
          <w:rFonts w:cs="Arial"/>
        </w:rPr>
        <w:t xml:space="preserve">de actividades diarias, contratos, turnos, asistencias, accidentes, altas y bajas, transferencias, licencias del personal, </w:t>
      </w:r>
      <w:proofErr w:type="spellStart"/>
      <w:r w:rsidR="00B35ACB" w:rsidRPr="00D85B50">
        <w:rPr>
          <w:rFonts w:cs="Arial"/>
        </w:rPr>
        <w:t>etc</w:t>
      </w:r>
      <w:proofErr w:type="spellEnd"/>
      <w:r w:rsidR="00B35ACB" w:rsidRPr="000A674F">
        <w:rPr>
          <w:rStyle w:val="FootnoteReference"/>
        </w:rPr>
        <w:footnoteReference w:id="41"/>
      </w:r>
      <w:r w:rsidR="005F1B1E">
        <w:rPr>
          <w:rFonts w:ascii="Arial" w:hAnsi="Arial" w:cs="Arial"/>
          <w:sz w:val="20"/>
          <w:szCs w:val="20"/>
        </w:rPr>
        <w:t>.</w:t>
      </w:r>
    </w:p>
    <w:p w14:paraId="7EB1A4C7" w14:textId="388110EF" w:rsidR="001B3940" w:rsidRPr="000A674F" w:rsidRDefault="001475C6" w:rsidP="001B3940">
      <w:pPr>
        <w:jc w:val="both"/>
      </w:pPr>
      <w:r w:rsidRPr="0068180D">
        <w:rPr>
          <w:rFonts w:cs="Arial"/>
        </w:rPr>
        <w:t xml:space="preserve">En </w:t>
      </w:r>
      <w:r w:rsidR="0094372C" w:rsidRPr="0068180D">
        <w:rPr>
          <w:rFonts w:cs="Arial"/>
        </w:rPr>
        <w:t xml:space="preserve">Brasil </w:t>
      </w:r>
      <w:r w:rsidR="00395762">
        <w:rPr>
          <w:rFonts w:cs="Arial"/>
        </w:rPr>
        <w:t>cuentan con</w:t>
      </w:r>
      <w:r w:rsidR="0094372C" w:rsidRPr="0068180D">
        <w:rPr>
          <w:rFonts w:cs="Arial"/>
        </w:rPr>
        <w:t xml:space="preserve"> </w:t>
      </w:r>
      <w:r w:rsidR="00A45345" w:rsidRPr="0068180D">
        <w:rPr>
          <w:rFonts w:cs="Arial"/>
        </w:rPr>
        <w:t>el registro de las personas jurídicas en</w:t>
      </w:r>
      <w:r w:rsidR="00C90A22" w:rsidRPr="0068180D">
        <w:rPr>
          <w:rFonts w:cs="Arial"/>
        </w:rPr>
        <w:t xml:space="preserve"> el Departamento de la Policía F</w:t>
      </w:r>
      <w:r w:rsidR="00A45345" w:rsidRPr="0068180D">
        <w:rPr>
          <w:rFonts w:cs="Arial"/>
        </w:rPr>
        <w:t>ederal</w:t>
      </w:r>
      <w:r w:rsidR="00C90A22" w:rsidRPr="0068180D">
        <w:rPr>
          <w:rFonts w:cs="Arial"/>
        </w:rPr>
        <w:t>,</w:t>
      </w:r>
      <w:r w:rsidR="001D2AE1" w:rsidRPr="0068180D">
        <w:rPr>
          <w:rFonts w:cs="Arial"/>
        </w:rPr>
        <w:t xml:space="preserve"> </w:t>
      </w:r>
      <w:r w:rsidR="00D6335A" w:rsidRPr="0068180D">
        <w:rPr>
          <w:rFonts w:cs="Arial"/>
        </w:rPr>
        <w:t>y las empresas especializadas en blindaje deben estar registradas en el Comando del ejército</w:t>
      </w:r>
      <w:r w:rsidR="001D2AE1" w:rsidRPr="000A674F">
        <w:rPr>
          <w:rStyle w:val="FootnoteReference"/>
          <w:rFonts w:ascii="Arial" w:hAnsi="Arial" w:cs="Arial"/>
          <w:sz w:val="20"/>
          <w:szCs w:val="20"/>
        </w:rPr>
        <w:footnoteReference w:id="42"/>
      </w:r>
      <w:r w:rsidR="00D6335A" w:rsidRPr="000A674F">
        <w:rPr>
          <w:rFonts w:ascii="Arial" w:hAnsi="Arial" w:cs="Arial"/>
          <w:sz w:val="20"/>
          <w:szCs w:val="20"/>
        </w:rPr>
        <w:t xml:space="preserve">. </w:t>
      </w:r>
      <w:r w:rsidR="009B4A2E" w:rsidRPr="000A674F">
        <w:t xml:space="preserve">En </w:t>
      </w:r>
      <w:r w:rsidR="00A9442A" w:rsidRPr="000A674F">
        <w:t xml:space="preserve">Ecuador, </w:t>
      </w:r>
      <w:r w:rsidR="004F4CF1" w:rsidRPr="000A674F">
        <w:t>l</w:t>
      </w:r>
      <w:r w:rsidR="00A9442A" w:rsidRPr="000A674F">
        <w:t>as compañías de vigilancia y seguridad</w:t>
      </w:r>
      <w:r w:rsidR="00A45345" w:rsidRPr="000A674F">
        <w:t xml:space="preserve"> </w:t>
      </w:r>
      <w:r w:rsidR="004F4CF1" w:rsidRPr="000A674F">
        <w:t>legalmente constituidas deben estar</w:t>
      </w:r>
      <w:r w:rsidR="00A9442A" w:rsidRPr="000A674F">
        <w:t xml:space="preserve"> inscritas en </w:t>
      </w:r>
      <w:r w:rsidR="009B4A2E" w:rsidRPr="000A674F">
        <w:t>un libro especial del Registro Mercantil y</w:t>
      </w:r>
      <w:r w:rsidR="005377B3" w:rsidRPr="000A674F">
        <w:t xml:space="preserve">, </w:t>
      </w:r>
      <w:r w:rsidR="009B4A2E" w:rsidRPr="000A674F">
        <w:t>previo a la au</w:t>
      </w:r>
      <w:r w:rsidR="005377B3" w:rsidRPr="000A674F">
        <w:t>torización de funcionamiento,</w:t>
      </w:r>
      <w:r w:rsidR="009B4A2E" w:rsidRPr="000A674F">
        <w:t xml:space="preserve"> en los registros especiales </w:t>
      </w:r>
      <w:r w:rsidR="005377B3" w:rsidRPr="000A674F">
        <w:t>d</w:t>
      </w:r>
      <w:r w:rsidR="009B4A2E" w:rsidRPr="000A674F">
        <w:t>el Comando Conjunto  de las Fuerzas Armadas y la Comandancia General de la Policía Nacional</w:t>
      </w:r>
      <w:r w:rsidR="009B4A2E" w:rsidRPr="000A674F">
        <w:rPr>
          <w:rStyle w:val="FootnoteReference"/>
        </w:rPr>
        <w:footnoteReference w:id="43"/>
      </w:r>
      <w:r w:rsidR="00783329" w:rsidRPr="000A674F">
        <w:t>; en Perú el registro de empresas y</w:t>
      </w:r>
      <w:r w:rsidR="00537A69" w:rsidRPr="000A674F">
        <w:t xml:space="preserve"> personal lo lleva la DICSCAMEC</w:t>
      </w:r>
      <w:r w:rsidR="003D2547" w:rsidRPr="000A674F">
        <w:t>, incluido el de centros de capacitación</w:t>
      </w:r>
      <w:r w:rsidR="00537A69" w:rsidRPr="000A674F">
        <w:t xml:space="preserve">; </w:t>
      </w:r>
      <w:r w:rsidR="00B57F72" w:rsidRPr="000A674F">
        <w:t>en Chile,</w:t>
      </w:r>
      <w:r w:rsidR="001B1329" w:rsidRPr="000A674F">
        <w:t xml:space="preserve"> las Prefecturas de Carabineros llevan registro de </w:t>
      </w:r>
      <w:r w:rsidR="00FC5A45" w:rsidRPr="000A674F">
        <w:t>todas las entidades de seguridad privada</w:t>
      </w:r>
      <w:r w:rsidR="00073E27">
        <w:t xml:space="preserve"> (guardias no armados, centros de formación, asesorías, etc.)</w:t>
      </w:r>
      <w:r w:rsidR="00FC5A45" w:rsidRPr="000A674F">
        <w:t>, y otro registro separado con la individualización completa de quien</w:t>
      </w:r>
      <w:r w:rsidR="006A69AC" w:rsidRPr="000A674F">
        <w:t>e</w:t>
      </w:r>
      <w:r w:rsidR="00FC5A45" w:rsidRPr="000A674F">
        <w:t xml:space="preserve">s prestan servicios como vigilantes </w:t>
      </w:r>
      <w:r w:rsidR="006A69AC" w:rsidRPr="000A674F">
        <w:t>y las entidades en que lo hacen</w:t>
      </w:r>
      <w:r w:rsidR="006A69AC" w:rsidRPr="000A674F">
        <w:rPr>
          <w:rStyle w:val="FootnoteReference"/>
        </w:rPr>
        <w:footnoteReference w:id="44"/>
      </w:r>
      <w:r w:rsidR="00B57F72" w:rsidRPr="000A674F">
        <w:t xml:space="preserve">. </w:t>
      </w:r>
      <w:r w:rsidR="001B3940" w:rsidRPr="000A674F">
        <w:t xml:space="preserve">En </w:t>
      </w:r>
      <w:r w:rsidR="00B57F72" w:rsidRPr="000A674F">
        <w:t>Colombia</w:t>
      </w:r>
      <w:r w:rsidR="00692701" w:rsidRPr="000A674F">
        <w:t xml:space="preserve"> es la S</w:t>
      </w:r>
      <w:r w:rsidR="001B3940" w:rsidRPr="000A674F">
        <w:t>uperintendencia de Vigilancia y Seguridad Privada la que lleva registro de las prestadoras de estos servicios, así como también de los equipos armados que se emplean</w:t>
      </w:r>
      <w:r w:rsidR="001B3940" w:rsidRPr="000A674F">
        <w:rPr>
          <w:rStyle w:val="FootnoteReference"/>
        </w:rPr>
        <w:footnoteReference w:id="45"/>
      </w:r>
      <w:r w:rsidR="00692701" w:rsidRPr="000A674F">
        <w:t>,</w:t>
      </w:r>
      <w:r w:rsidR="001B3940" w:rsidRPr="000A674F">
        <w:t xml:space="preserve"> y desde la Superintendencia se deben mantener actualizados los registros estadísticos de los vigilados, personal, usuarios, armamento, capacitación, equipos, vehículos, incidentes, sanciones, ejercicio in</w:t>
      </w:r>
      <w:r w:rsidR="000C3FCA" w:rsidRPr="000A674F">
        <w:t xml:space="preserve">formal o ilegal de actividades </w:t>
      </w:r>
      <w:r w:rsidR="001B3940" w:rsidRPr="000A674F">
        <w:t>y otros de in</w:t>
      </w:r>
      <w:r w:rsidR="00C90A22" w:rsidRPr="000A674F">
        <w:t>terés</w:t>
      </w:r>
      <w:r w:rsidR="00C90A22" w:rsidRPr="000A674F">
        <w:rPr>
          <w:rStyle w:val="FootnoteReference"/>
        </w:rPr>
        <w:footnoteReference w:id="46"/>
      </w:r>
      <w:r w:rsidR="001B3940" w:rsidRPr="000A674F">
        <w:t>.</w:t>
      </w:r>
    </w:p>
    <w:p w14:paraId="000B6E24" w14:textId="232992E0" w:rsidR="006B0E9E" w:rsidRPr="000A674F" w:rsidRDefault="006B0E9E" w:rsidP="006B0E9E">
      <w:pPr>
        <w:jc w:val="both"/>
        <w:rPr>
          <w:rFonts w:ascii="Arial" w:hAnsi="Arial" w:cs="Arial"/>
          <w:sz w:val="20"/>
          <w:szCs w:val="20"/>
        </w:rPr>
      </w:pPr>
      <w:r w:rsidRPr="000A674F">
        <w:t xml:space="preserve">Buenos Aires </w:t>
      </w:r>
      <w:r w:rsidR="00E95558" w:rsidRPr="000A674F">
        <w:t xml:space="preserve">exige </w:t>
      </w:r>
      <w:r w:rsidRPr="000A674F">
        <w:t>que la Autoridad de Aplicación lleve registro de las personas habilitadas para la prestación de servicios de seguridad privada</w:t>
      </w:r>
      <w:r w:rsidRPr="000A674F">
        <w:rPr>
          <w:rStyle w:val="FootnoteReference"/>
        </w:rPr>
        <w:footnoteReference w:id="47"/>
      </w:r>
      <w:r w:rsidRPr="000A674F">
        <w:rPr>
          <w:rFonts w:ascii="Arial" w:hAnsi="Arial" w:cs="Arial"/>
          <w:sz w:val="20"/>
          <w:szCs w:val="20"/>
        </w:rPr>
        <w:t xml:space="preserve"> y</w:t>
      </w:r>
      <w:r w:rsidRPr="000A674F">
        <w:t>, además, establece un registro de inhabilitados por infracciones a la Ley 12.297</w:t>
      </w:r>
      <w:r w:rsidRPr="000A674F">
        <w:rPr>
          <w:rStyle w:val="FootnoteReference"/>
        </w:rPr>
        <w:footnoteReference w:id="48"/>
      </w:r>
      <w:r w:rsidRPr="000A674F">
        <w:t xml:space="preserve">. </w:t>
      </w:r>
      <w:r w:rsidR="00E95558" w:rsidRPr="000A674F">
        <w:t xml:space="preserve">Este último registro es una buena práctica -en este caso es sólo para el ámbito provincial-, </w:t>
      </w:r>
      <w:r w:rsidR="001D43B2">
        <w:t xml:space="preserve">si fuera </w:t>
      </w:r>
      <w:r w:rsidR="00E95558" w:rsidRPr="000A674F">
        <w:t xml:space="preserve"> instaurada </w:t>
      </w:r>
      <w:r w:rsidR="001D43B2">
        <w:t xml:space="preserve">a </w:t>
      </w:r>
      <w:r w:rsidR="00E95558" w:rsidRPr="000A674F">
        <w:t>nivel nacional, ya que permitiría mantener el control  sobre aquellos que han cometido infracciones en el sistema de seguridad</w:t>
      </w:r>
      <w:r w:rsidR="001316E8" w:rsidRPr="000A674F">
        <w:t xml:space="preserve"> privada evitando que </w:t>
      </w:r>
      <w:r w:rsidR="001D43B2">
        <w:t>continúen</w:t>
      </w:r>
      <w:r w:rsidR="001316E8" w:rsidRPr="000A674F">
        <w:t xml:space="preserve"> prestando servicios </w:t>
      </w:r>
      <w:r w:rsidR="00E95558" w:rsidRPr="000A674F">
        <w:t>cambi</w:t>
      </w:r>
      <w:r w:rsidR="001316E8" w:rsidRPr="000A674F">
        <w:t>ándose de empresa o de ciudad, como suele ocurrir hoy día.</w:t>
      </w:r>
    </w:p>
    <w:p w14:paraId="518D1AB1" w14:textId="0CF46A94" w:rsidR="00E95558" w:rsidRPr="000A674F" w:rsidRDefault="007B496A" w:rsidP="00E95558">
      <w:pPr>
        <w:jc w:val="both"/>
        <w:rPr>
          <w:rFonts w:ascii="Arial" w:hAnsi="Arial" w:cs="Arial"/>
          <w:sz w:val="20"/>
          <w:szCs w:val="20"/>
        </w:rPr>
      </w:pPr>
      <w:r w:rsidRPr="000A674F">
        <w:t>En general, todos exigen que las empresas lleven y mantengan registros propios de</w:t>
      </w:r>
      <w:r w:rsidR="003D2547" w:rsidRPr="000A674F">
        <w:t>l</w:t>
      </w:r>
      <w:r w:rsidRPr="000A674F">
        <w:t xml:space="preserve"> personal, contratos, </w:t>
      </w:r>
      <w:r w:rsidR="0025523E" w:rsidRPr="000A674F">
        <w:t>inspecciones realizadas</w:t>
      </w:r>
      <w:r w:rsidR="002D6E41">
        <w:t xml:space="preserve"> por la autoridad de control</w:t>
      </w:r>
      <w:r w:rsidR="0025523E" w:rsidRPr="000A674F">
        <w:t>,</w:t>
      </w:r>
      <w:r w:rsidR="00B57F72" w:rsidRPr="000A674F">
        <w:t xml:space="preserve"> de usuarios (por ejemplo</w:t>
      </w:r>
      <w:r w:rsidR="002D6E41">
        <w:t>, en Colombia,</w:t>
      </w:r>
      <w:r w:rsidR="00B57F72" w:rsidRPr="000A674F">
        <w:t xml:space="preserve"> en el caso de las empresas </w:t>
      </w:r>
      <w:proofErr w:type="spellStart"/>
      <w:r w:rsidR="00B57F72" w:rsidRPr="000A674F">
        <w:t>blindadoras</w:t>
      </w:r>
      <w:proofErr w:type="spellEnd"/>
      <w:r w:rsidR="00B57F72" w:rsidRPr="000A674F">
        <w:t>), registros de</w:t>
      </w:r>
      <w:r w:rsidRPr="000A674F">
        <w:t xml:space="preserve"> cuestiones relativas a las armas</w:t>
      </w:r>
      <w:r w:rsidR="00B57F72" w:rsidRPr="000A674F">
        <w:t xml:space="preserve"> de fuego -</w:t>
      </w:r>
      <w:r w:rsidRPr="000A674F">
        <w:t xml:space="preserve">contratos con armas, salidas e ingresos, </w:t>
      </w:r>
      <w:r w:rsidR="003D2547" w:rsidRPr="000A674F">
        <w:t xml:space="preserve">municiones, </w:t>
      </w:r>
      <w:r w:rsidR="00B57F72" w:rsidRPr="000A674F">
        <w:t>otro</w:t>
      </w:r>
      <w:r w:rsidR="00967022" w:rsidRPr="000A674F">
        <w:t>s-, etc.</w:t>
      </w:r>
      <w:r w:rsidR="00E95558" w:rsidRPr="000A674F">
        <w:t xml:space="preserve"> </w:t>
      </w:r>
    </w:p>
    <w:p w14:paraId="75EFE481" w14:textId="1E11526D" w:rsidR="000E4155" w:rsidRPr="000A674F" w:rsidRDefault="000E4155" w:rsidP="00757BF7">
      <w:pPr>
        <w:pStyle w:val="Heading1"/>
        <w:numPr>
          <w:ilvl w:val="0"/>
          <w:numId w:val="3"/>
        </w:numPr>
        <w:ind w:left="426" w:hanging="426"/>
        <w:rPr>
          <w:sz w:val="22"/>
          <w:szCs w:val="22"/>
        </w:rPr>
      </w:pPr>
      <w:bookmarkStart w:id="5" w:name="_Toc407199163"/>
      <w:r w:rsidRPr="000A674F">
        <w:rPr>
          <w:sz w:val="22"/>
          <w:szCs w:val="22"/>
        </w:rPr>
        <w:lastRenderedPageBreak/>
        <w:t>Selección y entrenamiento</w:t>
      </w:r>
      <w:bookmarkEnd w:id="5"/>
    </w:p>
    <w:p w14:paraId="0F1E1237" w14:textId="6685A9AA" w:rsidR="007335AE" w:rsidRPr="000A674F" w:rsidRDefault="00841FFD" w:rsidP="00841FFD">
      <w:pPr>
        <w:jc w:val="both"/>
      </w:pPr>
      <w:r w:rsidRPr="000A674F">
        <w:t>En las regulaciones hay exigencias comunes para el personal operativo, tales como la mayoría de e</w:t>
      </w:r>
      <w:r w:rsidR="0021798C" w:rsidRPr="000A674F">
        <w:t>dad</w:t>
      </w:r>
      <w:r w:rsidRPr="000A674F">
        <w:t xml:space="preserve">, acreditar </w:t>
      </w:r>
      <w:r w:rsidR="00C55CE1" w:rsidRPr="000A674F">
        <w:t>solvencia</w:t>
      </w:r>
      <w:r w:rsidRPr="000A674F">
        <w:t xml:space="preserve"> moral mediante certificado de antecedentes expedido por la policía y/o autoridad judicial competente</w:t>
      </w:r>
      <w:r w:rsidR="00851AA9" w:rsidRPr="000A674F">
        <w:t>.</w:t>
      </w:r>
      <w:r w:rsidR="000A674F">
        <w:t xml:space="preserve"> </w:t>
      </w:r>
      <w:r w:rsidR="00851AA9" w:rsidRPr="000A674F">
        <w:t>A</w:t>
      </w:r>
      <w:r w:rsidRPr="000A674F">
        <w:t>lgunos exigen certificar aptitud física y psicoló</w:t>
      </w:r>
      <w:r w:rsidR="00EE3A31" w:rsidRPr="000A674F">
        <w:t xml:space="preserve">gica -Buenos Aires, Brasil, </w:t>
      </w:r>
      <w:r w:rsidRPr="000A674F">
        <w:t xml:space="preserve">Chile, </w:t>
      </w:r>
      <w:r w:rsidR="00EE3A31" w:rsidRPr="000A674F">
        <w:t xml:space="preserve">Ecuador, Perú y Uruguay-; </w:t>
      </w:r>
      <w:r w:rsidR="001A3C2A" w:rsidRPr="000A674F">
        <w:t>no ser ex miembro de la policía o fuerzas armada</w:t>
      </w:r>
      <w:r w:rsidR="0021798C" w:rsidRPr="000A674F">
        <w:t>s dado de baja por infracciones; y todos</w:t>
      </w:r>
      <w:r w:rsidR="002B47D6" w:rsidRPr="000A674F">
        <w:t xml:space="preserve">, </w:t>
      </w:r>
      <w:r w:rsidR="00717C48" w:rsidRPr="000A674F">
        <w:t>excepto uno</w:t>
      </w:r>
      <w:r w:rsidR="002B47D6" w:rsidRPr="000A674F">
        <w:t>,</w:t>
      </w:r>
      <w:r w:rsidR="0021798C" w:rsidRPr="000A674F">
        <w:t xml:space="preserve"> e</w:t>
      </w:r>
      <w:r w:rsidR="00001008" w:rsidRPr="000A674F">
        <w:t xml:space="preserve">xigen </w:t>
      </w:r>
      <w:r w:rsidRPr="000A674F">
        <w:t xml:space="preserve">acreditar curso de capacitación en un centro </w:t>
      </w:r>
      <w:r w:rsidR="002B47D6" w:rsidRPr="000A674F">
        <w:t>o entidad autorizada</w:t>
      </w:r>
      <w:r w:rsidRPr="000A674F">
        <w:t xml:space="preserve">. </w:t>
      </w:r>
      <w:r w:rsidR="007335AE" w:rsidRPr="000A674F">
        <w:t>Sin embargo, hay di</w:t>
      </w:r>
      <w:r w:rsidR="00210CDC" w:rsidRPr="000A674F">
        <w:t>fere</w:t>
      </w:r>
      <w:r w:rsidR="007335AE" w:rsidRPr="000A674F">
        <w:t xml:space="preserve">ncias de </w:t>
      </w:r>
      <w:r w:rsidR="005C507B">
        <w:t>divers</w:t>
      </w:r>
      <w:r w:rsidR="007335AE" w:rsidRPr="000A674F">
        <w:t xml:space="preserve">a magnitud entre </w:t>
      </w:r>
      <w:r w:rsidR="00717C48" w:rsidRPr="000A674F">
        <w:t xml:space="preserve">los distintos aspectos </w:t>
      </w:r>
      <w:r w:rsidR="00FC5FB8" w:rsidRPr="000A674F">
        <w:t>regu</w:t>
      </w:r>
      <w:r w:rsidR="007335AE" w:rsidRPr="000A674F">
        <w:t>lados.</w:t>
      </w:r>
    </w:p>
    <w:p w14:paraId="0FAD8A72" w14:textId="702088D3" w:rsidR="00413332" w:rsidRPr="000A674F" w:rsidRDefault="0021798C" w:rsidP="00841FFD">
      <w:pPr>
        <w:jc w:val="both"/>
      </w:pPr>
      <w:r w:rsidRPr="000A674F">
        <w:t>Algunos países exigen que el personal operativo sea nacional -</w:t>
      </w:r>
      <w:r w:rsidR="00DC68FD" w:rsidRPr="000A674F">
        <w:t xml:space="preserve">Brasil, Chile, </w:t>
      </w:r>
      <w:r w:rsidR="00413332" w:rsidRPr="000A674F">
        <w:t xml:space="preserve">Colombia, </w:t>
      </w:r>
      <w:r w:rsidRPr="000A674F">
        <w:t>Ecuador-</w:t>
      </w:r>
      <w:r w:rsidR="00064819">
        <w:t xml:space="preserve"> y</w:t>
      </w:r>
      <w:r w:rsidRPr="000A674F">
        <w:t xml:space="preserve"> otros no mencionan nada al respecto</w:t>
      </w:r>
      <w:r w:rsidR="00770A64" w:rsidRPr="000A674F">
        <w:rPr>
          <w:rStyle w:val="FootnoteReference"/>
        </w:rPr>
        <w:footnoteReference w:id="49"/>
      </w:r>
      <w:r w:rsidR="00416E04" w:rsidRPr="000A674F">
        <w:t>.</w:t>
      </w:r>
      <w:r w:rsidRPr="000A674F">
        <w:t xml:space="preserve"> </w:t>
      </w:r>
      <w:r w:rsidR="00DC68FD" w:rsidRPr="000A674F">
        <w:t>Perú permite que el personal operativo tenga nacionalidad extranjera, siempre que c</w:t>
      </w:r>
      <w:r w:rsidRPr="000A674F">
        <w:t>umpla con las leyes pertinentes</w:t>
      </w:r>
      <w:r w:rsidR="00BC0940" w:rsidRPr="000A674F">
        <w:t xml:space="preserve">; Bolivia permite asesores extranjeros </w:t>
      </w:r>
      <w:r w:rsidR="00064819">
        <w:t>-</w:t>
      </w:r>
      <w:r w:rsidR="00BC0940" w:rsidRPr="000A674F">
        <w:t>único caso que refiere a la posibilidad de</w:t>
      </w:r>
      <w:r w:rsidR="00413332" w:rsidRPr="000A674F">
        <w:t xml:space="preserve"> participación de no nacionales-</w:t>
      </w:r>
      <w:r w:rsidR="00BC0940" w:rsidRPr="000A674F">
        <w:t xml:space="preserve"> y </w:t>
      </w:r>
      <w:r w:rsidR="00413332" w:rsidRPr="000A674F">
        <w:t xml:space="preserve">les </w:t>
      </w:r>
      <w:r w:rsidR="00BC0940" w:rsidRPr="000A674F">
        <w:t>exige certificado de antecedentes de Inte</w:t>
      </w:r>
      <w:r w:rsidR="00413332" w:rsidRPr="000A674F">
        <w:t>rpol</w:t>
      </w:r>
      <w:r w:rsidR="00BC0940" w:rsidRPr="000A674F">
        <w:t>.</w:t>
      </w:r>
      <w:r w:rsidRPr="000A674F">
        <w:t xml:space="preserve"> </w:t>
      </w:r>
      <w:r w:rsidR="00413332" w:rsidRPr="000A674F">
        <w:t>En Colombia</w:t>
      </w:r>
      <w:r w:rsidR="00A12705" w:rsidRPr="000A674F">
        <w:t>,</w:t>
      </w:r>
      <w:r w:rsidR="00413332" w:rsidRPr="000A674F">
        <w:t xml:space="preserve"> los socios de las ESP</w:t>
      </w:r>
      <w:r w:rsidR="00A12705" w:rsidRPr="000A674F">
        <w:t xml:space="preserve"> y</w:t>
      </w:r>
      <w:r w:rsidR="00413332" w:rsidRPr="000A674F">
        <w:t xml:space="preserve"> los asociados a una cooperativa de SP deben ser personas naturales de nacionalidad colombiana</w:t>
      </w:r>
      <w:r w:rsidR="00413332" w:rsidRPr="000A674F">
        <w:rPr>
          <w:rStyle w:val="FootnoteReference"/>
        </w:rPr>
        <w:footnoteReference w:id="50"/>
      </w:r>
      <w:r w:rsidR="00413332" w:rsidRPr="000A674F">
        <w:t>.</w:t>
      </w:r>
      <w:r w:rsidR="002B1B24" w:rsidRPr="000A674F">
        <w:t xml:space="preserve"> En Brasil, no se permite la propiedad o administración a los extranjeros tratándose de las actividades de formación</w:t>
      </w:r>
      <w:r w:rsidR="002355A4" w:rsidRPr="000A674F">
        <w:rPr>
          <w:rStyle w:val="FootnoteReference"/>
        </w:rPr>
        <w:footnoteReference w:id="51"/>
      </w:r>
      <w:r w:rsidR="002B1B24" w:rsidRPr="000A674F">
        <w:t xml:space="preserve">. </w:t>
      </w:r>
    </w:p>
    <w:p w14:paraId="0FA4EF50" w14:textId="28D4C1A5" w:rsidR="006E7A76" w:rsidRPr="000A674F" w:rsidRDefault="0021798C" w:rsidP="00841FFD">
      <w:pPr>
        <w:jc w:val="both"/>
      </w:pPr>
      <w:r w:rsidRPr="000A674F">
        <w:t xml:space="preserve">Las exigencias educacionales </w:t>
      </w:r>
      <w:r w:rsidR="00D853DA">
        <w:t xml:space="preserve">para el personal operativo </w:t>
      </w:r>
      <w:r w:rsidRPr="000A674F">
        <w:t>son</w:t>
      </w:r>
      <w:r w:rsidR="00A31531">
        <w:t>,</w:t>
      </w:r>
      <w:r w:rsidRPr="000A674F">
        <w:t xml:space="preserve"> mayoritariamente</w:t>
      </w:r>
      <w:r w:rsidR="00A31531">
        <w:t>, contar con</w:t>
      </w:r>
      <w:r w:rsidRPr="000A674F">
        <w:t xml:space="preserve"> enseñanza básica o primaria</w:t>
      </w:r>
      <w:r w:rsidR="00D70957">
        <w:t>;</w:t>
      </w:r>
      <w:r w:rsidRPr="000A674F">
        <w:t xml:space="preserve"> Perú exige secundaria completa.</w:t>
      </w:r>
      <w:r w:rsidRPr="00560A20">
        <w:t xml:space="preserve"> </w:t>
      </w:r>
      <w:r w:rsidR="00C64BBB">
        <w:t>T</w:t>
      </w:r>
      <w:r w:rsidR="003D2547" w:rsidRPr="000A674F">
        <w:t>oda</w:t>
      </w:r>
      <w:r w:rsidR="002B2102" w:rsidRPr="000A674F">
        <w:t>s</w:t>
      </w:r>
      <w:r w:rsidR="003D2547" w:rsidRPr="000A674F">
        <w:t xml:space="preserve"> las regulaciones</w:t>
      </w:r>
      <w:r w:rsidR="002B2102" w:rsidRPr="000A674F">
        <w:t xml:space="preserve"> exigen acreditar</w:t>
      </w:r>
      <w:r w:rsidR="003D2547" w:rsidRPr="000A674F">
        <w:t xml:space="preserve"> no tener antecedentes penales. </w:t>
      </w:r>
      <w:r w:rsidR="00DC68FD" w:rsidRPr="000A674F">
        <w:t>Perú e</w:t>
      </w:r>
      <w:r w:rsidR="003D2547" w:rsidRPr="000A674F">
        <w:t>xige</w:t>
      </w:r>
      <w:r w:rsidR="00DC68FD" w:rsidRPr="000A674F">
        <w:t xml:space="preserve"> no tener antecedentes penales</w:t>
      </w:r>
      <w:r w:rsidR="00DC68FD" w:rsidRPr="00560A20">
        <w:t>, policiales ni judiciales</w:t>
      </w:r>
      <w:r w:rsidR="00C27D46" w:rsidRPr="000A674F">
        <w:t>;</w:t>
      </w:r>
      <w:r w:rsidR="003D2547" w:rsidRPr="000A674F">
        <w:t xml:space="preserve"> y en el caso de las empresas destinadas a prestar servicios de protección personal se debe acreditar </w:t>
      </w:r>
      <w:r w:rsidR="00C27D46" w:rsidRPr="000A674F">
        <w:t>mediante declaración jurada que los accionistas, miembros del directorio, responsables de la empresa o sus representantes legales,</w:t>
      </w:r>
      <w:r w:rsidR="003D2547" w:rsidRPr="000A674F">
        <w:t xml:space="preserve"> no registran antecedentes penales ni judiciales</w:t>
      </w:r>
      <w:r w:rsidR="00C27D46" w:rsidRPr="000A674F">
        <w:t xml:space="preserve"> </w:t>
      </w:r>
      <w:r w:rsidR="00E826D9">
        <w:t>-</w:t>
      </w:r>
      <w:r w:rsidR="00C27D46" w:rsidRPr="000A674F">
        <w:t xml:space="preserve">exceptuando los </w:t>
      </w:r>
      <w:r w:rsidR="003D2547" w:rsidRPr="000A674F">
        <w:t>delito</w:t>
      </w:r>
      <w:r w:rsidR="00C27D46" w:rsidRPr="000A674F">
        <w:t>s</w:t>
      </w:r>
      <w:r w:rsidR="003D2547" w:rsidRPr="000A674F">
        <w:t xml:space="preserve"> contra el honor, contra la familia, lesiones culposas y faltas no relacionadas contra el patrimonio</w:t>
      </w:r>
      <w:r w:rsidR="00E826D9">
        <w:t>-</w:t>
      </w:r>
      <w:r w:rsidR="009D7526" w:rsidRPr="000A674F">
        <w:t>;</w:t>
      </w:r>
      <w:r w:rsidR="00FE42E0" w:rsidRPr="000A674F">
        <w:t xml:space="preserve"> y</w:t>
      </w:r>
      <w:r w:rsidR="009D7526" w:rsidRPr="000A674F">
        <w:t xml:space="preserve"> las personas naturales que prestan servicios de seguridad deben acreditarlo con certificado de antecedentes</w:t>
      </w:r>
      <w:r w:rsidR="009D7526" w:rsidRPr="000A674F">
        <w:rPr>
          <w:rStyle w:val="FootnoteReference"/>
        </w:rPr>
        <w:footnoteReference w:id="52"/>
      </w:r>
      <w:r w:rsidR="003D2547" w:rsidRPr="000A674F">
        <w:t>.</w:t>
      </w:r>
      <w:r w:rsidR="00744AFC" w:rsidRPr="000A674F">
        <w:t xml:space="preserve"> </w:t>
      </w:r>
      <w:r w:rsidR="001A3C2A" w:rsidRPr="000A674F">
        <w:t xml:space="preserve">Ecuador </w:t>
      </w:r>
      <w:r w:rsidR="002B2102" w:rsidRPr="000A674F">
        <w:t>excluye a quienes</w:t>
      </w:r>
      <w:r w:rsidR="001A3C2A" w:rsidRPr="000A674F">
        <w:t xml:space="preserve"> tengan sentencia condenatoria penal ejecutoriada, y quienes hayan sido separados de otra </w:t>
      </w:r>
      <w:proofErr w:type="spellStart"/>
      <w:r w:rsidR="001A3C2A" w:rsidRPr="000A674F">
        <w:t>CSP</w:t>
      </w:r>
      <w:r w:rsidR="00E826D9">
        <w:t>s</w:t>
      </w:r>
      <w:proofErr w:type="spellEnd"/>
      <w:r w:rsidR="001A3C2A" w:rsidRPr="000A674F">
        <w:t xml:space="preserve"> por delitos comprobados</w:t>
      </w:r>
      <w:r w:rsidR="00E826D9">
        <w:rPr>
          <w:rStyle w:val="FootnoteReference"/>
        </w:rPr>
        <w:footnoteReference w:id="53"/>
      </w:r>
      <w:r w:rsidR="006F3DB4">
        <w:t>.</w:t>
      </w:r>
      <w:r w:rsidR="001A3C2A" w:rsidRPr="00560A20">
        <w:t xml:space="preserve"> </w:t>
      </w:r>
      <w:r w:rsidR="001A676C" w:rsidRPr="000A674F">
        <w:t>Uruguay exige acreditar buena conducta “mediante el certificado de habilitación policial respectivo e información de vida y costumbres si fuere menester a juicio del Ministerio del Interior</w:t>
      </w:r>
      <w:r w:rsidR="0088570A" w:rsidRPr="000A674F">
        <w:t>”,</w:t>
      </w:r>
      <w:r w:rsidR="001A676C" w:rsidRPr="000A674F">
        <w:t xml:space="preserve"> y si de este surgieren antecedentes “el Ministerio del Interior valorará la naturaleza, entidad y </w:t>
      </w:r>
      <w:r w:rsidR="00EE3A31" w:rsidRPr="000A674F">
        <w:t>antigüedad</w:t>
      </w:r>
      <w:r w:rsidR="001A676C" w:rsidRPr="000A674F">
        <w:t xml:space="preserve"> del ilícito penal a los efectos de determinar si los mismos constituyen un impedimento para otorgar la habilitación”</w:t>
      </w:r>
      <w:r w:rsidR="001A676C" w:rsidRPr="000A674F">
        <w:rPr>
          <w:rStyle w:val="FootnoteReference"/>
        </w:rPr>
        <w:footnoteReference w:id="54"/>
      </w:r>
      <w:r w:rsidR="001A676C" w:rsidRPr="000A674F">
        <w:t>.</w:t>
      </w:r>
      <w:r w:rsidR="00FF3B73" w:rsidRPr="000A674F">
        <w:t xml:space="preserve"> </w:t>
      </w:r>
    </w:p>
    <w:p w14:paraId="457D96DF" w14:textId="3C7B0B41" w:rsidR="00FE42E0" w:rsidRPr="000A674F" w:rsidRDefault="00FF3B73" w:rsidP="00841FFD">
      <w:pPr>
        <w:jc w:val="both"/>
      </w:pPr>
      <w:r w:rsidRPr="000A674F">
        <w:t>La regulación de Brasil</w:t>
      </w:r>
      <w:r w:rsidRPr="000A674F">
        <w:rPr>
          <w:color w:val="FF0000"/>
        </w:rPr>
        <w:t xml:space="preserve"> </w:t>
      </w:r>
      <w:r w:rsidRPr="000A674F">
        <w:t>exige no tener antecedentes penales ni registrar investigación policial, o haber sido condenado por cualquier tribunal de justicia federal, militar y electoral</w:t>
      </w:r>
      <w:r w:rsidRPr="00560A20">
        <w:t xml:space="preserve">. Sin embargo, señala que </w:t>
      </w:r>
      <w:r w:rsidRPr="000A674F">
        <w:t>no</w:t>
      </w:r>
      <w:r w:rsidRPr="00560A20">
        <w:t xml:space="preserve"> </w:t>
      </w:r>
      <w:r w:rsidRPr="000A674F">
        <w:t xml:space="preserve">constituyen obstáculos para el registro profesional o el ejercicio de la profesión de vigilante, la acusación o procesamiento por delito culposo, haber sido condenado penalmente y haber obtenido la rehabilitación fijada en la sentencia, cuando han transcurrido al menos cinco años desde el cumplimiento </w:t>
      </w:r>
      <w:r w:rsidRPr="000A674F">
        <w:lastRenderedPageBreak/>
        <w:t>de una condena penal, y en casos como término del proceso penal por acuerdo o suspensión condicional del procedimiento</w:t>
      </w:r>
      <w:r w:rsidRPr="00560A20">
        <w:rPr>
          <w:rStyle w:val="FootnoteReference"/>
        </w:rPr>
        <w:footnoteReference w:id="55"/>
      </w:r>
      <w:r w:rsidRPr="00560A20">
        <w:t>. Algunas</w:t>
      </w:r>
      <w:r w:rsidRPr="000A674F">
        <w:t xml:space="preserve"> de estas excepciones pueden constituir un riesgo adicional tratándose de vigilantes armados</w:t>
      </w:r>
      <w:r w:rsidR="006F3DB4">
        <w:t>,</w:t>
      </w:r>
      <w:r w:rsidRPr="000A674F">
        <w:t xml:space="preserve"> que actúan en situaciones en que deben tomar decisiones rápidas ante un peligro inminente, y en escenarios de alta violencia y criminalidad</w:t>
      </w:r>
      <w:r w:rsidRPr="000A674F">
        <w:rPr>
          <w:rStyle w:val="FootnoteReference"/>
        </w:rPr>
        <w:footnoteReference w:id="56"/>
      </w:r>
      <w:r w:rsidRPr="000A674F">
        <w:t>. En el registro profesional el personal será identificado mediante la recopilación biométrica e impresiones dactilares a cargo de la Policía Federal de la región de los solicitantes</w:t>
      </w:r>
      <w:r w:rsidRPr="000A674F">
        <w:rPr>
          <w:rStyle w:val="FootnoteReference"/>
        </w:rPr>
        <w:footnoteReference w:id="57"/>
      </w:r>
      <w:r w:rsidRPr="000A674F">
        <w:t xml:space="preserve">. </w:t>
      </w:r>
    </w:p>
    <w:p w14:paraId="7E11B56F" w14:textId="3226892D" w:rsidR="00DC68FD" w:rsidRPr="000A674F" w:rsidRDefault="009D7526" w:rsidP="00841FFD">
      <w:pPr>
        <w:jc w:val="both"/>
      </w:pPr>
      <w:r w:rsidRPr="000A674F">
        <w:t>Para el porte</w:t>
      </w:r>
      <w:r w:rsidR="00DC68FD" w:rsidRPr="000A674F">
        <w:t xml:space="preserve"> de armas todos exigen licencia, lo que debe constar en la credencial que debe </w:t>
      </w:r>
      <w:r w:rsidR="008329A8" w:rsidRPr="000A674F">
        <w:t xml:space="preserve">también </w:t>
      </w:r>
      <w:r w:rsidR="00DC68FD" w:rsidRPr="000A674F">
        <w:t xml:space="preserve">señalar </w:t>
      </w:r>
      <w:r w:rsidR="008329A8" w:rsidRPr="000A674F">
        <w:t xml:space="preserve">el </w:t>
      </w:r>
      <w:r w:rsidR="00DC68FD" w:rsidRPr="000A674F">
        <w:t>tipo de arma.</w:t>
      </w:r>
      <w:r w:rsidR="00BC5B4A" w:rsidRPr="000A674F">
        <w:t xml:space="preserve"> </w:t>
      </w:r>
    </w:p>
    <w:p w14:paraId="086A6E05" w14:textId="03A74B4A" w:rsidR="006E7A76" w:rsidRPr="000A674F" w:rsidRDefault="006E7A76" w:rsidP="00841FFD">
      <w:pPr>
        <w:jc w:val="both"/>
      </w:pPr>
      <w:r w:rsidRPr="000A674F">
        <w:t>La regla general es no establecer requisitos aso</w:t>
      </w:r>
      <w:r w:rsidR="00450801" w:rsidRPr="000A674F">
        <w:t xml:space="preserve">ciados a los derechos humanos </w:t>
      </w:r>
      <w:r w:rsidR="000B739E">
        <w:t>en la investigación de antecedentes para seleccionar a</w:t>
      </w:r>
      <w:r w:rsidRPr="000A674F">
        <w:t>l personal operativo</w:t>
      </w:r>
      <w:r w:rsidR="00E4458D" w:rsidRPr="000A674F">
        <w:t>, u otro</w:t>
      </w:r>
      <w:r w:rsidR="00D82674" w:rsidRPr="000A674F">
        <w:t>, salvo la excepción de Buenos Aires, ya comentada</w:t>
      </w:r>
      <w:r w:rsidRPr="000A674F">
        <w:t xml:space="preserve">. Tampoco hay infracciones </w:t>
      </w:r>
      <w:r w:rsidR="00D82674" w:rsidRPr="000A674F">
        <w:t xml:space="preserve">ni sanciones asociadas a </w:t>
      </w:r>
      <w:r w:rsidR="00294C73">
        <w:t>la violaci</w:t>
      </w:r>
      <w:r w:rsidR="000B739E">
        <w:t>ó</w:t>
      </w:r>
      <w:r w:rsidR="00294C73">
        <w:t>n de derechos fundamentales</w:t>
      </w:r>
      <w:r w:rsidR="00D82674" w:rsidRPr="000A674F">
        <w:t>, lo que constituye</w:t>
      </w:r>
      <w:r w:rsidRPr="000A674F">
        <w:t xml:space="preserve"> un déficit importante, ya que es el catálogo de infracciones y sanciones</w:t>
      </w:r>
      <w:r w:rsidR="00B674EF" w:rsidRPr="000A674F">
        <w:t xml:space="preserve"> </w:t>
      </w:r>
      <w:r w:rsidR="000A674F">
        <w:t>el</w:t>
      </w:r>
      <w:r w:rsidRPr="000A674F">
        <w:t xml:space="preserve"> que define el valor e importancia que se le da a los principios, deberes y obligaciones de actuación de las empresas y su personal, y el respeto a las prohibiciones.</w:t>
      </w:r>
    </w:p>
    <w:p w14:paraId="760B71AE" w14:textId="458E7C03" w:rsidR="008E7F2B" w:rsidRPr="000A674F" w:rsidRDefault="007111F4" w:rsidP="008E7F2B">
      <w:pPr>
        <w:jc w:val="both"/>
      </w:pPr>
      <w:r>
        <w:t>L</w:t>
      </w:r>
      <w:r w:rsidR="008E7F2B" w:rsidRPr="000A674F">
        <w:t xml:space="preserve">as autorizaciones, licencia o credencial </w:t>
      </w:r>
      <w:r w:rsidR="0060774F" w:rsidRPr="000A674F">
        <w:t>del personal operativo</w:t>
      </w:r>
      <w:r w:rsidR="00D82674" w:rsidRPr="000A674F">
        <w:t>,</w:t>
      </w:r>
      <w:r w:rsidR="0060774F" w:rsidRPr="000A674F">
        <w:t xml:space="preserve"> </w:t>
      </w:r>
      <w:r w:rsidR="0088570A" w:rsidRPr="000A674F">
        <w:t xml:space="preserve">tienen duraciones </w:t>
      </w:r>
      <w:r>
        <w:t xml:space="preserve">variadas; </w:t>
      </w:r>
      <w:r w:rsidR="008E7F2B" w:rsidRPr="000A674F">
        <w:t>de cinco años en Brasil</w:t>
      </w:r>
      <w:r w:rsidR="00FE42E0" w:rsidRPr="000A674F">
        <w:t xml:space="preserve"> y</w:t>
      </w:r>
      <w:r w:rsidR="008E7F2B" w:rsidRPr="000A674F">
        <w:t xml:space="preserve"> Chile</w:t>
      </w:r>
      <w:r>
        <w:t>, y</w:t>
      </w:r>
      <w:r w:rsidR="008E7F2B" w:rsidRPr="000A674F">
        <w:t xml:space="preserve"> </w:t>
      </w:r>
      <w:r w:rsidR="006A69AC" w:rsidRPr="000A674F">
        <w:t xml:space="preserve">en Colombia </w:t>
      </w:r>
      <w:r w:rsidR="0060774F" w:rsidRPr="000A674F">
        <w:t>hasta dos años la de servicios E</w:t>
      </w:r>
      <w:r w:rsidR="006A69AC" w:rsidRPr="000A674F">
        <w:t xml:space="preserve">speciales y </w:t>
      </w:r>
      <w:r w:rsidR="0060774F" w:rsidRPr="000A674F">
        <w:t>tres años la de Servicios C</w:t>
      </w:r>
      <w:r w:rsidR="006A69AC" w:rsidRPr="000A674F">
        <w:t>omunitarios.</w:t>
      </w:r>
    </w:p>
    <w:p w14:paraId="3015256F" w14:textId="05867A4B" w:rsidR="00202557" w:rsidRPr="000A674F" w:rsidRDefault="00202557" w:rsidP="008E7F2B">
      <w:pPr>
        <w:jc w:val="both"/>
        <w:rPr>
          <w:i/>
        </w:rPr>
      </w:pPr>
      <w:r w:rsidRPr="000A674F">
        <w:rPr>
          <w:i/>
        </w:rPr>
        <w:t>Formación</w:t>
      </w:r>
      <w:r w:rsidR="00851AA9" w:rsidRPr="000A674F">
        <w:rPr>
          <w:i/>
        </w:rPr>
        <w:t xml:space="preserve"> y entrenamiento</w:t>
      </w:r>
      <w:r w:rsidRPr="000A674F">
        <w:rPr>
          <w:i/>
        </w:rPr>
        <w:t>:</w:t>
      </w:r>
    </w:p>
    <w:p w14:paraId="3649EBAA" w14:textId="27ECEDFD" w:rsidR="00202557" w:rsidRPr="00684A35" w:rsidRDefault="00F13FA8" w:rsidP="00995D83">
      <w:pPr>
        <w:spacing w:line="240" w:lineRule="atLeast"/>
        <w:jc w:val="both"/>
      </w:pPr>
      <w:r w:rsidRPr="000A674F">
        <w:t>En materia de</w:t>
      </w:r>
      <w:r w:rsidR="005631DF" w:rsidRPr="000A674F">
        <w:t xml:space="preserve"> formación </w:t>
      </w:r>
      <w:r w:rsidR="00AC5549">
        <w:t>y</w:t>
      </w:r>
      <w:r w:rsidR="005631DF" w:rsidRPr="000A674F">
        <w:t xml:space="preserve"> entrenamiento las regulaciones </w:t>
      </w:r>
      <w:r w:rsidR="009B0F6D" w:rsidRPr="000A674F">
        <w:t>presentan importantes diferencias,</w:t>
      </w:r>
      <w:r w:rsidR="002B47D6" w:rsidRPr="000A674F">
        <w:t xml:space="preserve"> aunque tod</w:t>
      </w:r>
      <w:r w:rsidR="00D61634" w:rsidRPr="000A674F">
        <w:t>a</w:t>
      </w:r>
      <w:r w:rsidR="002B47D6" w:rsidRPr="000A674F">
        <w:t>s exigen formación especial</w:t>
      </w:r>
      <w:r w:rsidR="00D853DA">
        <w:t>;</w:t>
      </w:r>
      <w:r w:rsidR="002B47D6" w:rsidRPr="000A674F">
        <w:t xml:space="preserve"> excepto </w:t>
      </w:r>
      <w:r w:rsidR="004B704C" w:rsidRPr="000A674F">
        <w:t xml:space="preserve">la regulación de </w:t>
      </w:r>
      <w:r w:rsidR="002B47D6" w:rsidRPr="000A674F">
        <w:t>Bolivia</w:t>
      </w:r>
      <w:r w:rsidR="004B704C" w:rsidRPr="000A674F">
        <w:t xml:space="preserve"> que no contiene menciones</w:t>
      </w:r>
      <w:r w:rsidR="009B0F6D" w:rsidRPr="000A674F">
        <w:t xml:space="preserve"> al respecto.</w:t>
      </w:r>
      <w:r w:rsidR="00AD7446" w:rsidRPr="000A674F">
        <w:t xml:space="preserve"> En Buenos Aires es la Autoridad de Aplicación quien determina los centros en que se imparte la capacitación y define sus contenidos, y el entrenamiento debe adecuarse a los principios de legalidad, gradualidad y razonabilidad; también debe asegurar capacitación permanente</w:t>
      </w:r>
      <w:r w:rsidR="00AD7446" w:rsidRPr="000A674F">
        <w:rPr>
          <w:rStyle w:val="FootnoteReference"/>
        </w:rPr>
        <w:footnoteReference w:id="58"/>
      </w:r>
      <w:r w:rsidR="00B674EF" w:rsidRPr="000A674F">
        <w:t xml:space="preserve">. </w:t>
      </w:r>
      <w:r w:rsidR="00AC5549">
        <w:t>La norma chilena</w:t>
      </w:r>
      <w:r w:rsidR="00AD7446" w:rsidRPr="000A674F">
        <w:t xml:space="preserve"> no se especifica contenidos ni duración, y es la Prefectura de Carabineros quien imparte instrucciones al respecto</w:t>
      </w:r>
      <w:r w:rsidR="00AC5549">
        <w:t>,</w:t>
      </w:r>
      <w:r w:rsidR="00AD7446" w:rsidRPr="000A674F">
        <w:t xml:space="preserve"> y aprueba los programas</w:t>
      </w:r>
      <w:r w:rsidR="0030406B" w:rsidRPr="000A674F">
        <w:t xml:space="preserve"> </w:t>
      </w:r>
      <w:r w:rsidR="00AD7446" w:rsidRPr="000A674F">
        <w:t xml:space="preserve">y materias de los cursos que las </w:t>
      </w:r>
      <w:proofErr w:type="spellStart"/>
      <w:r w:rsidR="00AD7446" w:rsidRPr="000A674F">
        <w:t>ESP</w:t>
      </w:r>
      <w:r w:rsidR="00AC5549">
        <w:t>s</w:t>
      </w:r>
      <w:proofErr w:type="spellEnd"/>
      <w:r w:rsidR="00AD7446" w:rsidRPr="000A674F">
        <w:t xml:space="preserve"> dedicadas a la capacitación de personal operativo le presenten</w:t>
      </w:r>
      <w:r w:rsidR="00AD7446" w:rsidRPr="000A674F">
        <w:rPr>
          <w:rStyle w:val="FootnoteReference"/>
        </w:rPr>
        <w:footnoteReference w:id="59"/>
      </w:r>
      <w:r w:rsidR="00AC5549">
        <w:t>;</w:t>
      </w:r>
      <w:r w:rsidR="00B674EF" w:rsidRPr="000A674F">
        <w:t xml:space="preserve"> el examen final se rinde ante la autoridad fiscalizadora. </w:t>
      </w:r>
      <w:r w:rsidR="00DC68FD" w:rsidRPr="000A674F">
        <w:t>Perú</w:t>
      </w:r>
      <w:r w:rsidR="00DC68FD" w:rsidRPr="00560A20">
        <w:t xml:space="preserve"> reconoce los </w:t>
      </w:r>
      <w:r w:rsidR="00DC68FD" w:rsidRPr="000A674F">
        <w:t>Centros Especializados de Capacitación</w:t>
      </w:r>
      <w:r w:rsidR="00DC68FD" w:rsidRPr="00560A20">
        <w:t xml:space="preserve"> en Seguridad Privada, </w:t>
      </w:r>
      <w:r w:rsidR="00DE455C" w:rsidRPr="00560A20">
        <w:t xml:space="preserve">constituidos por personas naturales o jurídicas, </w:t>
      </w:r>
      <w:r w:rsidR="00DC68FD" w:rsidRPr="000A674F">
        <w:t>los que deben contar con la autorización del Ministerio de Educación y Ministerio del Interior</w:t>
      </w:r>
      <w:r w:rsidR="00DE455C" w:rsidRPr="000A674F">
        <w:t>. El Ministerio de Educación y la DICSCAMEC elaboran la estructura curricular básica que deben implementar</w:t>
      </w:r>
      <w:r w:rsidR="00DE0B08">
        <w:t>; no se</w:t>
      </w:r>
      <w:r w:rsidR="00DE455C" w:rsidRPr="000A674F">
        <w:t xml:space="preserve"> determina</w:t>
      </w:r>
      <w:r w:rsidR="00DE0B08">
        <w:t>n</w:t>
      </w:r>
      <w:r w:rsidR="00DE455C" w:rsidRPr="000A674F">
        <w:t xml:space="preserve"> contenidos ni duración, ni menciona los derechos humanos</w:t>
      </w:r>
      <w:r w:rsidR="00DE0B08">
        <w:t xml:space="preserve">; se exige a las </w:t>
      </w:r>
      <w:proofErr w:type="spellStart"/>
      <w:r w:rsidR="00DE0B08">
        <w:t>ESPs</w:t>
      </w:r>
      <w:proofErr w:type="spellEnd"/>
      <w:r w:rsidR="00DE0B08">
        <w:t xml:space="preserve"> mantener entrenado y evaluado, física y psicológicamente al personal operativo</w:t>
      </w:r>
      <w:r w:rsidR="0030406B" w:rsidRPr="000A674F">
        <w:t xml:space="preserve"> E</w:t>
      </w:r>
      <w:r w:rsidR="00E436EA" w:rsidRPr="000A674F">
        <w:t>l artículo 45 de la Ley 28.879</w:t>
      </w:r>
      <w:r w:rsidR="00DE455C" w:rsidRPr="000A674F">
        <w:t xml:space="preserve">, dispone </w:t>
      </w:r>
      <w:r w:rsidR="00AC5549">
        <w:t xml:space="preserve">que </w:t>
      </w:r>
      <w:r w:rsidR="00DE455C" w:rsidRPr="000A674F">
        <w:t xml:space="preserve">“Los Centros Especializados </w:t>
      </w:r>
      <w:r w:rsidR="00DE455C" w:rsidRPr="00684A35">
        <w:t xml:space="preserve">de Capacitación están prohibidos de capacitar, entrenar y adiestrar mercenarios, en estricto cumplimiento a las obligaciones contraídas por el Estado </w:t>
      </w:r>
      <w:r w:rsidR="00DE455C" w:rsidRPr="00684A35">
        <w:lastRenderedPageBreak/>
        <w:t>Peruano a través de Tratados y Acuerdos internacionales vigentes”.</w:t>
      </w:r>
      <w:r w:rsidR="008D42FE" w:rsidRPr="00684A35">
        <w:t xml:space="preserve"> Es el único de estos ocho países que refiere a los mercenarios en la ley sobre seguridad privada.</w:t>
      </w:r>
    </w:p>
    <w:p w14:paraId="4CE2B884" w14:textId="4772DA5A" w:rsidR="009B0F6D" w:rsidRPr="00684A35" w:rsidRDefault="00CF0705" w:rsidP="00995D83">
      <w:pPr>
        <w:spacing w:line="240" w:lineRule="atLeast"/>
        <w:jc w:val="both"/>
        <w:rPr>
          <w:rFonts w:ascii="Arial" w:hAnsi="Arial" w:cs="Arial"/>
          <w:sz w:val="20"/>
          <w:szCs w:val="20"/>
        </w:rPr>
      </w:pPr>
      <w:r w:rsidRPr="00684A35">
        <w:t>Por su</w:t>
      </w:r>
      <w:r w:rsidR="008360CF" w:rsidRPr="00684A35">
        <w:t xml:space="preserve"> parte, en Colombia los programas de capacitación son apr</w:t>
      </w:r>
      <w:r w:rsidR="00202557" w:rsidRPr="00684A35">
        <w:t xml:space="preserve">obados por la Superintendencia </w:t>
      </w:r>
      <w:r w:rsidRPr="00684A35">
        <w:t>y</w:t>
      </w:r>
      <w:r w:rsidR="008360CF" w:rsidRPr="00684A35">
        <w:t xml:space="preserve"> su regulación contiene una norma que dispone  que la capacitación y entrenamiento “en ningún caso podrá versar sobre organización, instrucción o equipamiento a personas en tácticas, técnicas o procedimientos militares o terroristas</w:t>
      </w:r>
      <w:r w:rsidR="00550246" w:rsidRPr="00684A35">
        <w:t>…”</w:t>
      </w:r>
      <w:r w:rsidR="00550246" w:rsidRPr="00684A35">
        <w:rPr>
          <w:rStyle w:val="FootnoteReference"/>
        </w:rPr>
        <w:footnoteReference w:id="60"/>
      </w:r>
      <w:r w:rsidR="00FB069B" w:rsidRPr="00684A35">
        <w:t xml:space="preserve">; y </w:t>
      </w:r>
      <w:r w:rsidR="00BF70ED">
        <w:t xml:space="preserve">exige que </w:t>
      </w:r>
      <w:r w:rsidR="00FB069B" w:rsidRPr="00684A35">
        <w:t xml:space="preserve">la </w:t>
      </w:r>
      <w:r w:rsidRPr="00684A35">
        <w:t xml:space="preserve">capacitación del personal </w:t>
      </w:r>
      <w:r w:rsidR="00BF70ED">
        <w:t xml:space="preserve">tenga </w:t>
      </w:r>
      <w:r w:rsidRPr="00684A35">
        <w:t xml:space="preserve">especial acento en la prevención </w:t>
      </w:r>
      <w:r w:rsidRPr="0062735D">
        <w:t>del delito, respeto a los derechos humanos</w:t>
      </w:r>
      <w:r w:rsidR="00FB069B" w:rsidRPr="0062735D">
        <w:t xml:space="preserve">, </w:t>
      </w:r>
      <w:r w:rsidR="00001AB5" w:rsidRPr="0062735D">
        <w:t>la colaboración con las autoridades y la valoración del individuo</w:t>
      </w:r>
      <w:r w:rsidR="00001AB5" w:rsidRPr="0062735D">
        <w:rPr>
          <w:rStyle w:val="FootnoteReference"/>
        </w:rPr>
        <w:footnoteReference w:id="61"/>
      </w:r>
      <w:r w:rsidR="00001AB5" w:rsidRPr="0062735D">
        <w:t>.</w:t>
      </w:r>
      <w:r w:rsidR="00FB069B" w:rsidRPr="0062735D">
        <w:t xml:space="preserve"> En el</w:t>
      </w:r>
      <w:r w:rsidR="004B704C" w:rsidRPr="0062735D">
        <w:t xml:space="preserve"> Reglamento de los servicios especiales y comunitarios de vigilancia y seguridad, Colombia agrega que tratándose de la capacitación de estos prestadores, el Gobierno promoverá programas especiales de formación en derechos humanos y derecho internacional humanitario, entre otras materias</w:t>
      </w:r>
      <w:r w:rsidR="00B059D0" w:rsidRPr="0062735D">
        <w:t>, y encarga a la Consejería Presidencial de Derechos Humanos impulsar y coordinar estas actividades</w:t>
      </w:r>
      <w:r w:rsidR="004B704C" w:rsidRPr="0062735D">
        <w:rPr>
          <w:rStyle w:val="FootnoteReference"/>
        </w:rPr>
        <w:footnoteReference w:id="62"/>
      </w:r>
      <w:r w:rsidR="00B059D0" w:rsidRPr="0062735D">
        <w:t>.</w:t>
      </w:r>
      <w:r w:rsidR="00BE5D91" w:rsidRPr="0062735D">
        <w:t xml:space="preserve"> </w:t>
      </w:r>
      <w:r w:rsidR="00280F65" w:rsidRPr="0062735D">
        <w:t>Ecuador permite que la Policía Nacional establezca centros de capacitación, y señala que el curso de</w:t>
      </w:r>
      <w:r w:rsidR="00280F65" w:rsidRPr="00684A35">
        <w:t xml:space="preserve"> formación </w:t>
      </w:r>
      <w:r w:rsidR="00800A78" w:rsidRPr="00684A35">
        <w:t>para el personal operativo</w:t>
      </w:r>
      <w:r w:rsidR="0088570A" w:rsidRPr="00684A35">
        <w:t xml:space="preserve"> </w:t>
      </w:r>
      <w:r w:rsidR="00280F65" w:rsidRPr="00684A35">
        <w:t>debe ser de un mínimo de 120 horas en no menos</w:t>
      </w:r>
      <w:r w:rsidR="00C82A54" w:rsidRPr="00684A35">
        <w:t xml:space="preserve"> de 2 meses, y en materia de contenidos menciona </w:t>
      </w:r>
      <w:r w:rsidR="008F1C19" w:rsidRPr="00684A35">
        <w:t xml:space="preserve">temas de </w:t>
      </w:r>
      <w:r w:rsidR="00C82A54" w:rsidRPr="00684A35">
        <w:rPr>
          <w:rFonts w:cs="Arial"/>
        </w:rPr>
        <w:t>vigilancia, seguridad, relaciones humanas, defensa personal, pri</w:t>
      </w:r>
      <w:r w:rsidR="00195931" w:rsidRPr="00684A35">
        <w:rPr>
          <w:rFonts w:cs="Arial"/>
        </w:rPr>
        <w:t xml:space="preserve">meros auxilios, manejo de armas, </w:t>
      </w:r>
      <w:r w:rsidR="008F1C19" w:rsidRPr="00684A35">
        <w:rPr>
          <w:rFonts w:cs="Arial"/>
        </w:rPr>
        <w:t>algunas leyes ad-hoc</w:t>
      </w:r>
      <w:r w:rsidR="009C0915" w:rsidRPr="00684A35">
        <w:rPr>
          <w:rFonts w:cs="Arial"/>
        </w:rPr>
        <w:t>;</w:t>
      </w:r>
      <w:r w:rsidR="00195931" w:rsidRPr="00684A35">
        <w:rPr>
          <w:rFonts w:cs="Arial"/>
        </w:rPr>
        <w:t xml:space="preserve"> pero nada sobre derechos humanos</w:t>
      </w:r>
      <w:r w:rsidR="008F1C19" w:rsidRPr="00684A35">
        <w:rPr>
          <w:rStyle w:val="FootnoteReference"/>
          <w:rFonts w:ascii="Arial" w:hAnsi="Arial" w:cs="Arial"/>
          <w:sz w:val="20"/>
          <w:szCs w:val="20"/>
        </w:rPr>
        <w:footnoteReference w:id="63"/>
      </w:r>
      <w:r w:rsidR="008F1C19" w:rsidRPr="00684A35">
        <w:rPr>
          <w:rFonts w:ascii="Arial" w:hAnsi="Arial" w:cs="Arial"/>
          <w:sz w:val="20"/>
          <w:szCs w:val="20"/>
        </w:rPr>
        <w:t>.</w:t>
      </w:r>
      <w:r w:rsidR="00195931" w:rsidRPr="00684A35">
        <w:rPr>
          <w:rFonts w:ascii="Arial" w:hAnsi="Arial" w:cs="Arial"/>
          <w:sz w:val="20"/>
          <w:szCs w:val="20"/>
        </w:rPr>
        <w:t xml:space="preserve"> </w:t>
      </w:r>
    </w:p>
    <w:p w14:paraId="30CD7F0A" w14:textId="1C2F8790" w:rsidR="00BF43E8" w:rsidRPr="00684A35" w:rsidRDefault="009F5A7B" w:rsidP="00BF43E8">
      <w:pPr>
        <w:spacing w:line="240" w:lineRule="atLeast"/>
        <w:jc w:val="both"/>
        <w:rPr>
          <w:sz w:val="23"/>
          <w:szCs w:val="23"/>
        </w:rPr>
      </w:pPr>
      <w:r w:rsidRPr="00684A35">
        <w:t>Brasil detalla cursos de formación, extensión y reciclaje, según modalidades</w:t>
      </w:r>
      <w:r w:rsidR="008D2B4C" w:rsidRPr="00684A35">
        <w:t xml:space="preserve"> de prestación de servicios de SP</w:t>
      </w:r>
      <w:r w:rsidRPr="00684A35">
        <w:t xml:space="preserve"> y según cuenten </w:t>
      </w:r>
      <w:r w:rsidR="009C0915" w:rsidRPr="00684A35">
        <w:t xml:space="preserve">o no </w:t>
      </w:r>
      <w:r w:rsidRPr="00684A35">
        <w:t>con equipamiento letal y no letal</w:t>
      </w:r>
      <w:r w:rsidRPr="00684A35">
        <w:rPr>
          <w:rStyle w:val="FootnoteReference"/>
        </w:rPr>
        <w:footnoteReference w:id="64"/>
      </w:r>
      <w:r w:rsidR="006E7A76" w:rsidRPr="00684A35">
        <w:t xml:space="preserve">, y es el único </w:t>
      </w:r>
      <w:r w:rsidR="00234F7A" w:rsidRPr="00684A35">
        <w:t>que detalla</w:t>
      </w:r>
      <w:r w:rsidR="008D2B4C" w:rsidRPr="00684A35">
        <w:t xml:space="preserve"> los cursos y sus contenidos con definición de la carga horaria</w:t>
      </w:r>
      <w:r w:rsidR="00F8545B" w:rsidRPr="00684A35">
        <w:t xml:space="preserve"> en cada caso y materia</w:t>
      </w:r>
      <w:r w:rsidR="008D2B4C" w:rsidRPr="00684A35">
        <w:t>, objetivos y metodología</w:t>
      </w:r>
      <w:r w:rsidR="00AF32A6" w:rsidRPr="00684A35">
        <w:t xml:space="preserve">; </w:t>
      </w:r>
      <w:r w:rsidR="00AF32A6" w:rsidRPr="00684A35">
        <w:rPr>
          <w:rFonts w:cs="Arial"/>
        </w:rPr>
        <w:t>y exige haber aprobado la formación continua dispuesta en la ley</w:t>
      </w:r>
      <w:r w:rsidR="008D2B4C" w:rsidRPr="00684A35">
        <w:t>. E</w:t>
      </w:r>
      <w:r w:rsidR="00C86CC7" w:rsidRPr="00684A35">
        <w:t xml:space="preserve">n esta </w:t>
      </w:r>
      <w:r w:rsidR="00F8545B" w:rsidRPr="00684A35">
        <w:t>regulación</w:t>
      </w:r>
      <w:r w:rsidR="008D2B4C" w:rsidRPr="00684A35">
        <w:t xml:space="preserve"> el concepto “derechos humanos” aparece varias veces cuando se detalla la malla curricular</w:t>
      </w:r>
      <w:r w:rsidR="008D2B4C" w:rsidRPr="00684A35">
        <w:rPr>
          <w:rStyle w:val="FootnoteReference"/>
        </w:rPr>
        <w:footnoteReference w:id="65"/>
      </w:r>
      <w:r w:rsidR="00AF32A6" w:rsidRPr="00684A35">
        <w:rPr>
          <w:rFonts w:cs="Arial"/>
        </w:rPr>
        <w:t>.</w:t>
      </w:r>
      <w:r w:rsidR="008D2B4C" w:rsidRPr="00684A35">
        <w:t xml:space="preserve"> En el perfil del vigilante se indican los derechos humanos y el respeto a la diversidad y dignidad de la persona, “compromiso que asume Brasil frente a la comunidad internacional y principio constitucional de prevalencia de los derechos humanos”</w:t>
      </w:r>
      <w:r w:rsidR="008D2B4C" w:rsidRPr="00684A35">
        <w:rPr>
          <w:rStyle w:val="FootnoteReference"/>
        </w:rPr>
        <w:footnoteReference w:id="66"/>
      </w:r>
      <w:r w:rsidR="008D2B4C" w:rsidRPr="00684A35">
        <w:t xml:space="preserve">; </w:t>
      </w:r>
      <w:r w:rsidR="00C86CC7" w:rsidRPr="00164ECE">
        <w:t xml:space="preserve">y </w:t>
      </w:r>
      <w:r w:rsidR="008D2B4C" w:rsidRPr="00164ECE">
        <w:t>entre</w:t>
      </w:r>
      <w:r w:rsidR="008D2B4C" w:rsidRPr="00DC1A03">
        <w:t xml:space="preserve"> los objetivos específicos está comprender al ser humano como titular de derechos fundamentales. </w:t>
      </w:r>
      <w:r w:rsidR="00785FE5" w:rsidRPr="00164ECE">
        <w:t>La norma a</w:t>
      </w:r>
      <w:r w:rsidR="00C86CC7" w:rsidRPr="00164ECE">
        <w:t>grega que l</w:t>
      </w:r>
      <w:r w:rsidR="008D2B4C" w:rsidRPr="00164ECE">
        <w:t>as clases teóricas sobre tecnologías no letales deben abordar de manera integral todas las circunstancias y escenarios de su posible uso, con el fin de preservar la integridad física de las personas que son controladas con el uso de la fuerza en el ejercicio de sus funciones, de acuerdo con los preceptos de la ONU sobre derechos humanos</w:t>
      </w:r>
      <w:r w:rsidR="008D2B4C" w:rsidRPr="00164ECE">
        <w:rPr>
          <w:rStyle w:val="FootnoteReference"/>
        </w:rPr>
        <w:footnoteReference w:id="67"/>
      </w:r>
      <w:r w:rsidR="008D2B4C" w:rsidRPr="00164ECE">
        <w:t>.</w:t>
      </w:r>
      <w:r w:rsidR="008D2B4C" w:rsidRPr="00684A35">
        <w:t xml:space="preserve"> </w:t>
      </w:r>
    </w:p>
    <w:p w14:paraId="568F695D" w14:textId="77777777" w:rsidR="00B76D39" w:rsidRPr="00684A35" w:rsidRDefault="00B76D39" w:rsidP="00995D83">
      <w:pPr>
        <w:pStyle w:val="Default"/>
        <w:spacing w:after="200" w:line="240" w:lineRule="atLeast"/>
        <w:jc w:val="both"/>
        <w:rPr>
          <w:rFonts w:asciiTheme="minorHAnsi" w:hAnsiTheme="minorHAnsi" w:cstheme="minorBidi"/>
          <w:color w:val="auto"/>
          <w:sz w:val="22"/>
          <w:szCs w:val="22"/>
        </w:rPr>
      </w:pPr>
    </w:p>
    <w:p w14:paraId="56CA009B" w14:textId="77777777" w:rsidR="00B76D39" w:rsidRPr="00684A35" w:rsidRDefault="00B76D39" w:rsidP="00995D83">
      <w:pPr>
        <w:spacing w:line="240" w:lineRule="atLeast"/>
        <w:jc w:val="both"/>
        <w:rPr>
          <w:sz w:val="23"/>
          <w:szCs w:val="23"/>
        </w:rPr>
      </w:pPr>
    </w:p>
    <w:p w14:paraId="1E8622C3" w14:textId="77777777" w:rsidR="00995D83" w:rsidRPr="00684A35" w:rsidRDefault="00995D83">
      <w:pPr>
        <w:spacing w:after="160" w:line="259" w:lineRule="auto"/>
        <w:rPr>
          <w:sz w:val="23"/>
          <w:szCs w:val="23"/>
        </w:rPr>
      </w:pPr>
      <w:r w:rsidRPr="00684A35">
        <w:rPr>
          <w:sz w:val="23"/>
          <w:szCs w:val="23"/>
        </w:rPr>
        <w:br w:type="page"/>
      </w:r>
    </w:p>
    <w:p w14:paraId="1AF04E43" w14:textId="77777777" w:rsidR="000E4155" w:rsidRPr="00684A35" w:rsidRDefault="000E4155" w:rsidP="00757BF7">
      <w:pPr>
        <w:pStyle w:val="Heading1"/>
        <w:numPr>
          <w:ilvl w:val="0"/>
          <w:numId w:val="3"/>
        </w:numPr>
        <w:ind w:left="426" w:hanging="426"/>
        <w:rPr>
          <w:sz w:val="22"/>
          <w:szCs w:val="22"/>
        </w:rPr>
      </w:pPr>
      <w:bookmarkStart w:id="6" w:name="_Toc407199164"/>
      <w:r w:rsidRPr="00684A35">
        <w:rPr>
          <w:sz w:val="22"/>
          <w:szCs w:val="22"/>
        </w:rPr>
        <w:lastRenderedPageBreak/>
        <w:t>Actividades prohibidas y permitidas</w:t>
      </w:r>
      <w:bookmarkEnd w:id="6"/>
    </w:p>
    <w:p w14:paraId="0404259C" w14:textId="13FFACD9" w:rsidR="00F4221D" w:rsidRPr="0062735D" w:rsidRDefault="000E4155" w:rsidP="003C76E9">
      <w:pPr>
        <w:autoSpaceDE w:val="0"/>
        <w:autoSpaceDN w:val="0"/>
        <w:adjustRightInd w:val="0"/>
        <w:spacing w:line="240" w:lineRule="atLeast"/>
        <w:jc w:val="both"/>
        <w:rPr>
          <w:lang w:val="es-ES"/>
        </w:rPr>
      </w:pPr>
      <w:r w:rsidRPr="00684A35">
        <w:rPr>
          <w:lang w:val="es-ES"/>
        </w:rPr>
        <w:t>Las actividades permitidas tienen por finalidad vigilar y proteger personas y bienes por los</w:t>
      </w:r>
      <w:r w:rsidR="000D4609" w:rsidRPr="00684A35">
        <w:rPr>
          <w:lang w:val="es-ES"/>
        </w:rPr>
        <w:t xml:space="preserve"> medios que las normas señalan -</w:t>
      </w:r>
      <w:r w:rsidRPr="00684A35">
        <w:rPr>
          <w:lang w:val="es-ES"/>
        </w:rPr>
        <w:t>escoltas personales, med</w:t>
      </w:r>
      <w:r w:rsidR="00995D83" w:rsidRPr="00684A35">
        <w:rPr>
          <w:lang w:val="es-ES"/>
        </w:rPr>
        <w:t xml:space="preserve">ios electrónicos, vigilancia-, </w:t>
      </w:r>
      <w:r w:rsidRPr="00684A35">
        <w:rPr>
          <w:lang w:val="es-ES"/>
        </w:rPr>
        <w:t>incluido el transporte de valores (exceptuado en la norma de Buenos Aires</w:t>
      </w:r>
      <w:r w:rsidRPr="00560A20">
        <w:rPr>
          <w:lang w:val="es-ES"/>
        </w:rPr>
        <w:t>); también dando asesoría en materias de seguridad, formando y capacitando a</w:t>
      </w:r>
      <w:r w:rsidR="00BB5A98">
        <w:rPr>
          <w:lang w:val="es-ES"/>
        </w:rPr>
        <w:t>l persona</w:t>
      </w:r>
      <w:r w:rsidR="00DC1A03">
        <w:rPr>
          <w:lang w:val="es-ES"/>
        </w:rPr>
        <w:t>l</w:t>
      </w:r>
      <w:r w:rsidR="00BB5A98">
        <w:rPr>
          <w:lang w:val="es-ES"/>
        </w:rPr>
        <w:t xml:space="preserve"> operativo</w:t>
      </w:r>
      <w:r w:rsidRPr="00560A20">
        <w:rPr>
          <w:lang w:val="es-ES"/>
        </w:rPr>
        <w:t>, comercializando equipos des</w:t>
      </w:r>
      <w:r w:rsidRPr="000A674F">
        <w:rPr>
          <w:lang w:val="es-ES"/>
        </w:rPr>
        <w:t xml:space="preserve">tinados y permitidos a </w:t>
      </w:r>
      <w:r w:rsidR="00BB5A98">
        <w:rPr>
          <w:lang w:val="es-ES"/>
        </w:rPr>
        <w:t>dich</w:t>
      </w:r>
      <w:r w:rsidRPr="000A674F">
        <w:rPr>
          <w:lang w:val="es-ES"/>
        </w:rPr>
        <w:t xml:space="preserve">os fines. Todas estas actividades están permitidas siempre y cuando se realicen en la forma, con </w:t>
      </w:r>
      <w:r w:rsidR="00EE4871" w:rsidRPr="00684A35">
        <w:rPr>
          <w:lang w:val="es-ES"/>
        </w:rPr>
        <w:t>los medios y en los espacios</w:t>
      </w:r>
      <w:r w:rsidRPr="00684A35">
        <w:rPr>
          <w:lang w:val="es-ES"/>
        </w:rPr>
        <w:t xml:space="preserve"> </w:t>
      </w:r>
      <w:r w:rsidR="00BB5A98">
        <w:rPr>
          <w:lang w:val="es-ES"/>
        </w:rPr>
        <w:t xml:space="preserve">autorizados y </w:t>
      </w:r>
      <w:r w:rsidRPr="00684A35">
        <w:rPr>
          <w:lang w:val="es-ES"/>
        </w:rPr>
        <w:t xml:space="preserve">determinados en los contratos con el asegurado, y habiéndose cumplido con </w:t>
      </w:r>
      <w:r w:rsidRPr="0062735D">
        <w:rPr>
          <w:lang w:val="es-ES"/>
        </w:rPr>
        <w:t>todos los requisitos y procedimientos para contar con las autorizaciones y licencia</w:t>
      </w:r>
      <w:r w:rsidR="00BB5A98" w:rsidRPr="0062735D">
        <w:rPr>
          <w:lang w:val="es-ES"/>
        </w:rPr>
        <w:t>s requeridas.</w:t>
      </w:r>
      <w:r w:rsidR="0041715F" w:rsidRPr="0062735D">
        <w:rPr>
          <w:lang w:val="es-ES"/>
        </w:rPr>
        <w:t xml:space="preserve"> </w:t>
      </w:r>
    </w:p>
    <w:p w14:paraId="14FC67E2" w14:textId="25CBEDDD" w:rsidR="002D612C" w:rsidRPr="000A674F" w:rsidRDefault="000E4155" w:rsidP="00EA5F65">
      <w:pPr>
        <w:autoSpaceDE w:val="0"/>
        <w:autoSpaceDN w:val="0"/>
        <w:adjustRightInd w:val="0"/>
        <w:spacing w:line="240" w:lineRule="atLeast"/>
        <w:jc w:val="both"/>
        <w:rPr>
          <w:lang w:val="es-ES"/>
        </w:rPr>
      </w:pPr>
      <w:r w:rsidRPr="0062735D">
        <w:rPr>
          <w:lang w:val="es-ES"/>
        </w:rPr>
        <w:t>En cuanto a las acciones que los agentes de SP pueden adoptar ante un delito flagrante</w:t>
      </w:r>
      <w:r w:rsidR="00992BF0" w:rsidRPr="0062735D">
        <w:rPr>
          <w:lang w:val="es-ES"/>
        </w:rPr>
        <w:t>, las legislaciones examinadas no suelen referirse a este punto</w:t>
      </w:r>
      <w:r w:rsidR="00AB60A6" w:rsidRPr="0062735D">
        <w:rPr>
          <w:lang w:val="es-ES"/>
        </w:rPr>
        <w:t>,</w:t>
      </w:r>
      <w:r w:rsidR="00F4221D" w:rsidRPr="0062735D">
        <w:rPr>
          <w:lang w:val="es-ES"/>
        </w:rPr>
        <w:t xml:space="preserve"> aunque la regla general, es que los guardias y vigilantes</w:t>
      </w:r>
      <w:r w:rsidRPr="0062735D">
        <w:rPr>
          <w:lang w:val="es-ES"/>
        </w:rPr>
        <w:t xml:space="preserve"> tienen las mismas facultades que un ciudadano</w:t>
      </w:r>
      <w:r w:rsidR="00EE4871" w:rsidRPr="0062735D">
        <w:rPr>
          <w:lang w:val="es-ES"/>
        </w:rPr>
        <w:t xml:space="preserve"> común, </w:t>
      </w:r>
      <w:r w:rsidR="004171A8" w:rsidRPr="0062735D">
        <w:rPr>
          <w:lang w:val="es-ES"/>
        </w:rPr>
        <w:t>o sea,</w:t>
      </w:r>
      <w:r w:rsidR="00EE4871" w:rsidRPr="0062735D">
        <w:rPr>
          <w:lang w:val="es-ES"/>
        </w:rPr>
        <w:t xml:space="preserve"> </w:t>
      </w:r>
      <w:r w:rsidR="00F4221D" w:rsidRPr="0062735D">
        <w:rPr>
          <w:lang w:val="es-ES"/>
        </w:rPr>
        <w:t xml:space="preserve">pueden </w:t>
      </w:r>
      <w:r w:rsidR="00EE4871" w:rsidRPr="0062735D">
        <w:rPr>
          <w:lang w:val="es-ES"/>
        </w:rPr>
        <w:t xml:space="preserve">retener </w:t>
      </w:r>
      <w:r w:rsidR="00714DB3" w:rsidRPr="0062735D">
        <w:rPr>
          <w:lang w:val="es-ES"/>
        </w:rPr>
        <w:t xml:space="preserve">momentáneamente </w:t>
      </w:r>
      <w:r w:rsidR="00F4221D" w:rsidRPr="0062735D">
        <w:rPr>
          <w:lang w:val="es-ES"/>
        </w:rPr>
        <w:t xml:space="preserve">al sujeto sorprendido delinquiendo </w:t>
      </w:r>
      <w:r w:rsidR="00EE4871" w:rsidRPr="0062735D">
        <w:rPr>
          <w:lang w:val="es-ES"/>
        </w:rPr>
        <w:t>e info</w:t>
      </w:r>
      <w:r w:rsidRPr="0062735D">
        <w:rPr>
          <w:lang w:val="es-ES"/>
        </w:rPr>
        <w:t>r</w:t>
      </w:r>
      <w:r w:rsidR="00EE4871" w:rsidRPr="0062735D">
        <w:rPr>
          <w:lang w:val="es-ES"/>
        </w:rPr>
        <w:t>mar</w:t>
      </w:r>
      <w:r w:rsidRPr="0062735D">
        <w:rPr>
          <w:lang w:val="es-ES"/>
        </w:rPr>
        <w:t xml:space="preserve"> </w:t>
      </w:r>
      <w:r w:rsidR="004171A8" w:rsidRPr="0062735D">
        <w:rPr>
          <w:lang w:val="es-ES"/>
        </w:rPr>
        <w:t xml:space="preserve">y ponerlo </w:t>
      </w:r>
      <w:r w:rsidRPr="0062735D">
        <w:rPr>
          <w:lang w:val="es-ES"/>
        </w:rPr>
        <w:t>inmediat</w:t>
      </w:r>
      <w:r w:rsidR="004171A8" w:rsidRPr="0062735D">
        <w:rPr>
          <w:lang w:val="es-ES"/>
        </w:rPr>
        <w:t>amente a disposición de</w:t>
      </w:r>
      <w:r w:rsidRPr="0062735D">
        <w:rPr>
          <w:lang w:val="es-ES"/>
        </w:rPr>
        <w:t xml:space="preserve"> las autoridades </w:t>
      </w:r>
      <w:r w:rsidR="00D1618B" w:rsidRPr="0062735D">
        <w:rPr>
          <w:lang w:val="es-ES"/>
        </w:rPr>
        <w:t>compet</w:t>
      </w:r>
      <w:r w:rsidR="00EE4871" w:rsidRPr="0062735D">
        <w:rPr>
          <w:lang w:val="es-ES"/>
        </w:rPr>
        <w:t>entes</w:t>
      </w:r>
      <w:r w:rsidRPr="0062735D">
        <w:rPr>
          <w:lang w:val="es-ES"/>
        </w:rPr>
        <w:t xml:space="preserve">. </w:t>
      </w:r>
      <w:r w:rsidR="00EA5F65" w:rsidRPr="0062735D">
        <w:rPr>
          <w:lang w:val="es-ES"/>
        </w:rPr>
        <w:t>Respecto</w:t>
      </w:r>
      <w:r w:rsidR="00BC5EBF" w:rsidRPr="0062735D">
        <w:rPr>
          <w:lang w:val="es-ES"/>
        </w:rPr>
        <w:t xml:space="preserve"> a la obligación de informar sobre faltas cometidas por el persona</w:t>
      </w:r>
      <w:r w:rsidR="003C76E9" w:rsidRPr="0062735D">
        <w:rPr>
          <w:lang w:val="es-ES"/>
        </w:rPr>
        <w:t>l de seguridad privada</w:t>
      </w:r>
      <w:r w:rsidR="00AB60A6" w:rsidRPr="0062735D">
        <w:rPr>
          <w:lang w:val="es-ES"/>
        </w:rPr>
        <w:t xml:space="preserve"> en el ejercicio de sus funciones</w:t>
      </w:r>
      <w:r w:rsidR="003C76E9" w:rsidRPr="0062735D">
        <w:rPr>
          <w:lang w:val="es-ES"/>
        </w:rPr>
        <w:t>,</w:t>
      </w:r>
      <w:r w:rsidR="00AB60A6" w:rsidRPr="0062735D">
        <w:rPr>
          <w:lang w:val="es-ES"/>
        </w:rPr>
        <w:t xml:space="preserve"> la mayor parte de las legislaciones examinadas no hacen referencia</w:t>
      </w:r>
      <w:r w:rsidR="00AB60A6">
        <w:rPr>
          <w:lang w:val="es-ES"/>
        </w:rPr>
        <w:t xml:space="preserve"> a esto;</w:t>
      </w:r>
      <w:r w:rsidR="003C76E9" w:rsidRPr="00560A20">
        <w:rPr>
          <w:lang w:val="es-ES"/>
        </w:rPr>
        <w:t xml:space="preserve"> </w:t>
      </w:r>
      <w:r w:rsidR="003C76E9" w:rsidRPr="00684A35">
        <w:rPr>
          <w:lang w:val="es-ES"/>
        </w:rPr>
        <w:t xml:space="preserve">Brasil </w:t>
      </w:r>
      <w:r w:rsidR="00F4221D">
        <w:rPr>
          <w:lang w:val="es-ES"/>
        </w:rPr>
        <w:t>señala</w:t>
      </w:r>
      <w:r w:rsidR="00DE4E4A" w:rsidRPr="00684A35">
        <w:rPr>
          <w:lang w:val="es-ES"/>
        </w:rPr>
        <w:t xml:space="preserve"> la</w:t>
      </w:r>
      <w:r w:rsidR="00BC5EBF" w:rsidRPr="00684A35">
        <w:rPr>
          <w:lang w:val="es-ES"/>
        </w:rPr>
        <w:t xml:space="preserve"> obligación de las empresas de seguridad privada de comunicar los ilícitos penales en que se involucren sus vigilantes en el ejercicio de sus </w:t>
      </w:r>
      <w:r w:rsidR="00F4221D">
        <w:rPr>
          <w:lang w:val="es-ES"/>
        </w:rPr>
        <w:t>funcion</w:t>
      </w:r>
      <w:r w:rsidR="00BC5EBF" w:rsidRPr="00684A35">
        <w:rPr>
          <w:lang w:val="es-ES"/>
        </w:rPr>
        <w:t>es</w:t>
      </w:r>
      <w:r w:rsidR="00BC5EBF" w:rsidRPr="00560A20">
        <w:rPr>
          <w:lang w:val="es-ES"/>
        </w:rPr>
        <w:t>, y colaborar con la investigación</w:t>
      </w:r>
      <w:r w:rsidR="00BC5EBF" w:rsidRPr="00560A20">
        <w:rPr>
          <w:rStyle w:val="FootnoteReference"/>
          <w:lang w:val="es-ES"/>
        </w:rPr>
        <w:footnoteReference w:id="68"/>
      </w:r>
      <w:r w:rsidR="00BC5EBF" w:rsidRPr="00560A20">
        <w:rPr>
          <w:lang w:val="es-ES"/>
        </w:rPr>
        <w:t xml:space="preserve">. </w:t>
      </w:r>
    </w:p>
    <w:p w14:paraId="322A18AD" w14:textId="39ABAF86" w:rsidR="007A4B70" w:rsidRPr="00684A35" w:rsidRDefault="00714DB3" w:rsidP="003C76E9">
      <w:pPr>
        <w:autoSpaceDE w:val="0"/>
        <w:autoSpaceDN w:val="0"/>
        <w:adjustRightInd w:val="0"/>
        <w:spacing w:line="240" w:lineRule="atLeast"/>
        <w:jc w:val="both"/>
        <w:rPr>
          <w:lang w:val="es-ES"/>
        </w:rPr>
      </w:pPr>
      <w:r w:rsidRPr="000A674F">
        <w:rPr>
          <w:lang w:val="es-ES"/>
        </w:rPr>
        <w:t xml:space="preserve">Un límite común a estas actividades es que se realicen </w:t>
      </w:r>
      <w:r w:rsidRPr="00684A35">
        <w:rPr>
          <w:lang w:val="es-ES"/>
        </w:rPr>
        <w:t>absteniéndose de asumir conductas reservadas a las instituciones de seguridad pública, tanto en lo substancial como en el espac</w:t>
      </w:r>
      <w:r w:rsidR="0022475D" w:rsidRPr="00684A35">
        <w:rPr>
          <w:lang w:val="es-ES"/>
        </w:rPr>
        <w:t xml:space="preserve">io. </w:t>
      </w:r>
      <w:r w:rsidR="000D4D19" w:rsidRPr="00560A20">
        <w:rPr>
          <w:lang w:val="es-ES"/>
        </w:rPr>
        <w:t>E</w:t>
      </w:r>
      <w:r w:rsidR="00EA5F65" w:rsidRPr="00560A20">
        <w:rPr>
          <w:lang w:val="es-ES"/>
        </w:rPr>
        <w:t>n la mayoría de las regulaciones se</w:t>
      </w:r>
      <w:r w:rsidR="003A204C" w:rsidRPr="000A674F">
        <w:rPr>
          <w:lang w:val="es-ES"/>
        </w:rPr>
        <w:t xml:space="preserve"> encuentra una mención genérica respecto al límite entre est</w:t>
      </w:r>
      <w:r w:rsidR="00DA4169">
        <w:rPr>
          <w:lang w:val="es-ES"/>
        </w:rPr>
        <w:t>o</w:t>
      </w:r>
      <w:r w:rsidR="003A204C" w:rsidRPr="000A674F">
        <w:rPr>
          <w:lang w:val="es-ES"/>
        </w:rPr>
        <w:t xml:space="preserve">s </w:t>
      </w:r>
      <w:r w:rsidR="00DA4169">
        <w:rPr>
          <w:lang w:val="es-ES"/>
        </w:rPr>
        <w:t>servicios</w:t>
      </w:r>
      <w:r w:rsidR="003A204C" w:rsidRPr="000A674F">
        <w:rPr>
          <w:lang w:val="es-ES"/>
        </w:rPr>
        <w:t xml:space="preserve"> privad</w:t>
      </w:r>
      <w:r w:rsidR="00DA4169">
        <w:rPr>
          <w:lang w:val="es-ES"/>
        </w:rPr>
        <w:t>o</w:t>
      </w:r>
      <w:r w:rsidR="003A204C" w:rsidRPr="000A674F">
        <w:rPr>
          <w:lang w:val="es-ES"/>
        </w:rPr>
        <w:t xml:space="preserve">s y las </w:t>
      </w:r>
      <w:r w:rsidR="00DA4169">
        <w:rPr>
          <w:lang w:val="es-ES"/>
        </w:rPr>
        <w:t xml:space="preserve">funciones </w:t>
      </w:r>
      <w:r w:rsidR="003A204C" w:rsidRPr="000A674F">
        <w:rPr>
          <w:lang w:val="es-ES"/>
        </w:rPr>
        <w:t xml:space="preserve">policiales. </w:t>
      </w:r>
      <w:r w:rsidR="007A4B70" w:rsidRPr="000A674F">
        <w:rPr>
          <w:lang w:val="es-ES"/>
        </w:rPr>
        <w:t>Así, la Ley Orgánica de la Polic</w:t>
      </w:r>
      <w:r w:rsidR="007A4B70" w:rsidRPr="00684A35">
        <w:rPr>
          <w:lang w:val="es-ES"/>
        </w:rPr>
        <w:t xml:space="preserve">ía Nacional de Bolivia prohíbe la </w:t>
      </w:r>
      <w:proofErr w:type="spellStart"/>
      <w:r w:rsidR="007A4B70" w:rsidRPr="00684A35">
        <w:rPr>
          <w:lang w:val="es-ES"/>
        </w:rPr>
        <w:t>creación</w:t>
      </w:r>
      <w:r w:rsidR="007A4B70" w:rsidRPr="00560A20">
        <w:rPr>
          <w:lang w:val="es-ES"/>
        </w:rPr>
        <w:t>y</w:t>
      </w:r>
      <w:proofErr w:type="spellEnd"/>
      <w:r w:rsidR="007A4B70" w:rsidRPr="00560A20">
        <w:rPr>
          <w:lang w:val="es-ES"/>
        </w:rPr>
        <w:t xml:space="preserve"> funcionamiento </w:t>
      </w:r>
      <w:r w:rsidR="007A4B70" w:rsidRPr="000A674F">
        <w:rPr>
          <w:lang w:val="es-ES"/>
        </w:rPr>
        <w:t xml:space="preserve">en el país de </w:t>
      </w:r>
      <w:r w:rsidR="007A4B70" w:rsidRPr="00684A35">
        <w:rPr>
          <w:lang w:val="es-ES"/>
        </w:rPr>
        <w:t>entidades de carácter oficial, que cumplan funciones públicas paralelas o similares a las que corresponden a la Polic</w:t>
      </w:r>
      <w:r w:rsidR="007A4B70" w:rsidRPr="00560A20">
        <w:rPr>
          <w:lang w:val="es-ES"/>
        </w:rPr>
        <w:t>ía Nacional</w:t>
      </w:r>
      <w:r w:rsidR="007A4B70" w:rsidRPr="00560A20">
        <w:rPr>
          <w:rStyle w:val="FootnoteReference"/>
          <w:lang w:val="es-ES"/>
        </w:rPr>
        <w:footnoteReference w:id="69"/>
      </w:r>
      <w:r w:rsidR="007A4B70" w:rsidRPr="000A674F">
        <w:rPr>
          <w:lang w:val="es-ES"/>
        </w:rPr>
        <w:t xml:space="preserve">. </w:t>
      </w:r>
      <w:r w:rsidR="00EA5F65" w:rsidRPr="000A674F">
        <w:rPr>
          <w:lang w:val="es-ES"/>
        </w:rPr>
        <w:t>U</w:t>
      </w:r>
      <w:r w:rsidR="00EA5F65" w:rsidRPr="00684A35">
        <w:rPr>
          <w:lang w:val="es-ES"/>
        </w:rPr>
        <w:t>ruguay</w:t>
      </w:r>
      <w:r w:rsidR="008C3175" w:rsidRPr="00560A20">
        <w:rPr>
          <w:lang w:val="es-ES"/>
        </w:rPr>
        <w:t xml:space="preserve"> dispone que las </w:t>
      </w:r>
      <w:r w:rsidR="008C3175" w:rsidRPr="00684A35">
        <w:rPr>
          <w:lang w:val="es-ES"/>
        </w:rPr>
        <w:t>atribuciones de orden público</w:t>
      </w:r>
      <w:r w:rsidR="008C3175" w:rsidRPr="00560A20">
        <w:rPr>
          <w:lang w:val="es-ES"/>
        </w:rPr>
        <w:t xml:space="preserve"> de las personas físicas y jurídicas autorizadas a prestar estos servicios </w:t>
      </w:r>
      <w:proofErr w:type="gramStart"/>
      <w:r w:rsidR="008C3175" w:rsidRPr="00560A20">
        <w:rPr>
          <w:lang w:val="es-ES"/>
        </w:rPr>
        <w:t>están</w:t>
      </w:r>
      <w:proofErr w:type="gramEnd"/>
      <w:r w:rsidR="008C3175" w:rsidRPr="00560A20">
        <w:rPr>
          <w:lang w:val="es-ES"/>
        </w:rPr>
        <w:t xml:space="preserve"> limitadas a las que las leyes acuerdan a los particulares, como la detención momentánea en caso de delito flagrante</w:t>
      </w:r>
      <w:r w:rsidR="008C3175" w:rsidRPr="00560A20">
        <w:rPr>
          <w:rStyle w:val="FootnoteReference"/>
          <w:lang w:val="es-ES"/>
        </w:rPr>
        <w:footnoteReference w:id="70"/>
      </w:r>
      <w:r w:rsidR="008C3175" w:rsidRPr="000A674F">
        <w:rPr>
          <w:lang w:val="es-ES"/>
        </w:rPr>
        <w:t xml:space="preserve">. </w:t>
      </w:r>
      <w:r w:rsidR="00557592" w:rsidRPr="00684A35">
        <w:rPr>
          <w:lang w:val="es-ES"/>
        </w:rPr>
        <w:t>Perú prohíbe a las empresas desempeñar funciones que competen a las fuerzas armadas o la Policía Nacional</w:t>
      </w:r>
      <w:r w:rsidR="00286A81" w:rsidRPr="00684A35">
        <w:rPr>
          <w:lang w:val="es-ES"/>
        </w:rPr>
        <w:t xml:space="preserve">, y </w:t>
      </w:r>
      <w:r w:rsidR="00146C7A">
        <w:rPr>
          <w:lang w:val="es-ES"/>
        </w:rPr>
        <w:t xml:space="preserve">agrega que </w:t>
      </w:r>
      <w:r w:rsidR="00EA5F65" w:rsidRPr="00684A35">
        <w:rPr>
          <w:lang w:val="es-ES"/>
        </w:rPr>
        <w:t>“</w:t>
      </w:r>
      <w:r w:rsidR="00921D87" w:rsidRPr="00684A35">
        <w:rPr>
          <w:lang w:val="es-ES"/>
        </w:rPr>
        <w:t>su personal operativo no tiene el carácter de autoridad pública</w:t>
      </w:r>
      <w:r w:rsidR="00EA5F65" w:rsidRPr="00560A20">
        <w:rPr>
          <w:lang w:val="es-ES"/>
        </w:rPr>
        <w:t>”</w:t>
      </w:r>
      <w:r w:rsidR="00921D87" w:rsidRPr="00560A20">
        <w:rPr>
          <w:lang w:val="es-ES"/>
        </w:rPr>
        <w:t xml:space="preserve"> ni </w:t>
      </w:r>
      <w:r w:rsidR="00921D87" w:rsidRPr="00684A35">
        <w:rPr>
          <w:lang w:val="es-ES"/>
        </w:rPr>
        <w:t>aún en los caso</w:t>
      </w:r>
      <w:r w:rsidR="00F95308" w:rsidRPr="00684A35">
        <w:rPr>
          <w:lang w:val="es-ES"/>
        </w:rPr>
        <w:t>s</w:t>
      </w:r>
      <w:r w:rsidR="00921D87" w:rsidRPr="00684A35">
        <w:rPr>
          <w:lang w:val="es-ES"/>
        </w:rPr>
        <w:t xml:space="preserve"> que colaboren en Estados de excepción</w:t>
      </w:r>
      <w:r w:rsidR="00297B9C" w:rsidRPr="00560A20">
        <w:rPr>
          <w:rStyle w:val="FootnoteReference"/>
          <w:lang w:val="es-ES"/>
        </w:rPr>
        <w:footnoteReference w:id="71"/>
      </w:r>
      <w:r w:rsidR="00557592" w:rsidRPr="00560A20">
        <w:rPr>
          <w:lang w:val="es-ES"/>
        </w:rPr>
        <w:t>.</w:t>
      </w:r>
      <w:r w:rsidR="003A204C" w:rsidRPr="000A674F">
        <w:rPr>
          <w:lang w:val="es-ES"/>
        </w:rPr>
        <w:t xml:space="preserve"> </w:t>
      </w:r>
      <w:r w:rsidR="00146C7A">
        <w:rPr>
          <w:lang w:val="es-ES"/>
        </w:rPr>
        <w:t xml:space="preserve">En </w:t>
      </w:r>
      <w:r w:rsidR="003A204C" w:rsidRPr="000A674F">
        <w:rPr>
          <w:lang w:val="es-ES"/>
        </w:rPr>
        <w:t>Ec</w:t>
      </w:r>
      <w:r w:rsidR="003A204C" w:rsidRPr="00684A35">
        <w:rPr>
          <w:lang w:val="es-ES"/>
        </w:rPr>
        <w:t>uado</w:t>
      </w:r>
      <w:r w:rsidR="003A204C" w:rsidRPr="00560A20">
        <w:rPr>
          <w:lang w:val="es-ES"/>
        </w:rPr>
        <w:t>r</w:t>
      </w:r>
      <w:r w:rsidR="00557592" w:rsidRPr="00560A20">
        <w:rPr>
          <w:lang w:val="es-ES"/>
        </w:rPr>
        <w:t xml:space="preserve"> </w:t>
      </w:r>
      <w:r w:rsidR="003A204C" w:rsidRPr="000A674F">
        <w:rPr>
          <w:lang w:val="es-ES"/>
        </w:rPr>
        <w:t xml:space="preserve">las actividades de seguridad privada </w:t>
      </w:r>
      <w:r w:rsidR="003A204C" w:rsidRPr="00684A35">
        <w:rPr>
          <w:lang w:val="es-ES"/>
        </w:rPr>
        <w:t xml:space="preserve">no pueden invadir la órbita de la competencia </w:t>
      </w:r>
      <w:r w:rsidR="00150E61" w:rsidRPr="00684A35">
        <w:rPr>
          <w:lang w:val="es-ES"/>
        </w:rPr>
        <w:t>privativa de la fuerza pública</w:t>
      </w:r>
      <w:r w:rsidR="00C14C27" w:rsidRPr="00560A20">
        <w:rPr>
          <w:lang w:val="es-ES"/>
        </w:rPr>
        <w:t xml:space="preserve"> y e</w:t>
      </w:r>
      <w:r w:rsidR="00C14C27" w:rsidRPr="00560A20">
        <w:t xml:space="preserve">l Reglamento dispone que las </w:t>
      </w:r>
      <w:proofErr w:type="spellStart"/>
      <w:r w:rsidR="00697F33">
        <w:t>E</w:t>
      </w:r>
      <w:r w:rsidR="00C14C27" w:rsidRPr="00560A20">
        <w:t>SP</w:t>
      </w:r>
      <w:r w:rsidR="00697F33">
        <w:t>s</w:t>
      </w:r>
      <w:proofErr w:type="spellEnd"/>
      <w:r w:rsidR="00C14C27" w:rsidRPr="00560A20">
        <w:t xml:space="preserve"> no </w:t>
      </w:r>
      <w:proofErr w:type="gramStart"/>
      <w:r w:rsidR="00C14C27" w:rsidRPr="00560A20">
        <w:t>pueden</w:t>
      </w:r>
      <w:proofErr w:type="gramEnd"/>
      <w:r w:rsidR="00C14C27" w:rsidRPr="00560A20">
        <w:t xml:space="preserve"> </w:t>
      </w:r>
      <w:r w:rsidR="00C14C27" w:rsidRPr="00684A35">
        <w:t>interferir en</w:t>
      </w:r>
      <w:r w:rsidR="00C14C27" w:rsidRPr="00560A20">
        <w:t xml:space="preserve"> funciones de la policía, ni </w:t>
      </w:r>
      <w:r w:rsidR="00C14C27" w:rsidRPr="00684A35">
        <w:t>obstaculizar el paso en vías</w:t>
      </w:r>
      <w:r w:rsidR="00C14C27" w:rsidRPr="00560A20">
        <w:t xml:space="preserve"> o espacios públicos</w:t>
      </w:r>
      <w:r w:rsidR="00C14C27" w:rsidRPr="00560A20">
        <w:rPr>
          <w:rStyle w:val="FootnoteReference"/>
        </w:rPr>
        <w:footnoteReference w:id="72"/>
      </w:r>
      <w:r w:rsidR="00EA5F65" w:rsidRPr="000A674F">
        <w:rPr>
          <w:lang w:val="es-ES"/>
        </w:rPr>
        <w:t>. N</w:t>
      </w:r>
      <w:r w:rsidR="000D4D19" w:rsidRPr="000A674F">
        <w:rPr>
          <w:lang w:val="es-ES"/>
        </w:rPr>
        <w:t xml:space="preserve">orma similar </w:t>
      </w:r>
      <w:r w:rsidR="00EA5F65" w:rsidRPr="00684A35">
        <w:rPr>
          <w:lang w:val="es-ES"/>
        </w:rPr>
        <w:t>a esta última tiene</w:t>
      </w:r>
      <w:r w:rsidR="000D4D19" w:rsidRPr="00684A35">
        <w:rPr>
          <w:lang w:val="es-ES"/>
        </w:rPr>
        <w:t xml:space="preserve"> Colombia</w:t>
      </w:r>
      <w:r w:rsidR="00EA5F65" w:rsidRPr="00684A35">
        <w:rPr>
          <w:lang w:val="es-ES"/>
        </w:rPr>
        <w:t>,</w:t>
      </w:r>
      <w:r w:rsidR="00685347" w:rsidRPr="00684A35">
        <w:rPr>
          <w:lang w:val="es-ES"/>
        </w:rPr>
        <w:t xml:space="preserve"> que agrega que es un deber </w:t>
      </w:r>
      <w:r w:rsidR="00EA5F65" w:rsidRPr="00684A35">
        <w:rPr>
          <w:lang w:val="es-ES"/>
        </w:rPr>
        <w:t xml:space="preserve">de las ESP </w:t>
      </w:r>
      <w:r w:rsidR="00685347" w:rsidRPr="00684A35">
        <w:rPr>
          <w:lang w:val="es-ES"/>
        </w:rPr>
        <w:t>abstenerse de asumir conductas reservadas a la fuerza pública</w:t>
      </w:r>
      <w:r w:rsidR="000D4D19" w:rsidRPr="00684A35">
        <w:rPr>
          <w:rStyle w:val="FootnoteReference"/>
          <w:lang w:val="es-ES"/>
        </w:rPr>
        <w:footnoteReference w:id="73"/>
      </w:r>
      <w:proofErr w:type="gramStart"/>
      <w:r w:rsidR="00D35CE0">
        <w:rPr>
          <w:lang w:val="es-ES"/>
        </w:rPr>
        <w:t>.</w:t>
      </w:r>
      <w:r w:rsidR="001818CC" w:rsidRPr="00684A35">
        <w:rPr>
          <w:lang w:val="es-ES"/>
        </w:rPr>
        <w:t>.</w:t>
      </w:r>
      <w:proofErr w:type="gramEnd"/>
      <w:r w:rsidR="00EA5F65" w:rsidRPr="00684A35">
        <w:rPr>
          <w:lang w:val="es-ES"/>
        </w:rPr>
        <w:t xml:space="preserve"> </w:t>
      </w:r>
    </w:p>
    <w:p w14:paraId="14017AF1" w14:textId="45B780E6" w:rsidR="000E4155" w:rsidRPr="00684A35" w:rsidRDefault="002D612C" w:rsidP="00A31EE0">
      <w:pPr>
        <w:autoSpaceDE w:val="0"/>
        <w:autoSpaceDN w:val="0"/>
        <w:adjustRightInd w:val="0"/>
        <w:spacing w:line="240" w:lineRule="atLeast"/>
        <w:jc w:val="both"/>
        <w:rPr>
          <w:lang w:val="es-ES"/>
        </w:rPr>
      </w:pPr>
      <w:r w:rsidRPr="000A674F">
        <w:rPr>
          <w:lang w:val="es-ES"/>
        </w:rPr>
        <w:t>En cuanto a</w:t>
      </w:r>
      <w:r w:rsidR="00332083" w:rsidRPr="00684A35">
        <w:rPr>
          <w:lang w:val="es-ES"/>
        </w:rPr>
        <w:t xml:space="preserve"> las actividades prohibidas</w:t>
      </w:r>
      <w:r w:rsidRPr="00684A35">
        <w:rPr>
          <w:lang w:val="es-ES"/>
        </w:rPr>
        <w:t xml:space="preserve">, en estos países hay </w:t>
      </w:r>
      <w:r w:rsidR="00332083" w:rsidRPr="00684A35">
        <w:rPr>
          <w:lang w:val="es-ES"/>
        </w:rPr>
        <w:t>grandes divergencias</w:t>
      </w:r>
      <w:r w:rsidR="000D4D19" w:rsidRPr="00560A20">
        <w:rPr>
          <w:lang w:val="es-ES"/>
        </w:rPr>
        <w:t>,</w:t>
      </w:r>
      <w:r w:rsidRPr="00560A20">
        <w:rPr>
          <w:lang w:val="es-ES"/>
        </w:rPr>
        <w:t xml:space="preserve"> tanto por la</w:t>
      </w:r>
      <w:r w:rsidRPr="000A674F">
        <w:rPr>
          <w:lang w:val="es-ES"/>
        </w:rPr>
        <w:t xml:space="preserve"> extens</w:t>
      </w:r>
      <w:r w:rsidR="000D4D19" w:rsidRPr="000A674F">
        <w:rPr>
          <w:lang w:val="es-ES"/>
        </w:rPr>
        <w:t>ión con que son tratadas como</w:t>
      </w:r>
      <w:r w:rsidRPr="00684A35">
        <w:rPr>
          <w:lang w:val="es-ES"/>
        </w:rPr>
        <w:t xml:space="preserve"> por el</w:t>
      </w:r>
      <w:r w:rsidR="00332083" w:rsidRPr="00684A35">
        <w:rPr>
          <w:lang w:val="es-ES"/>
        </w:rPr>
        <w:t xml:space="preserve"> tipo de actividades prohibidas; además</w:t>
      </w:r>
      <w:r w:rsidRPr="00684A35">
        <w:rPr>
          <w:lang w:val="es-ES"/>
        </w:rPr>
        <w:t xml:space="preserve"> la prohibición expresa no está siempre contenida en las normas. </w:t>
      </w:r>
      <w:r w:rsidR="000E4155" w:rsidRPr="00684A35">
        <w:rPr>
          <w:lang w:val="es-ES"/>
        </w:rPr>
        <w:t>La Ley de Perú</w:t>
      </w:r>
      <w:r w:rsidR="00D35CE0">
        <w:rPr>
          <w:rStyle w:val="FootnoteReference"/>
          <w:lang w:val="es-ES"/>
        </w:rPr>
        <w:footnoteReference w:id="74"/>
      </w:r>
      <w:r w:rsidR="000E4155" w:rsidRPr="00684A35">
        <w:rPr>
          <w:lang w:val="es-ES"/>
        </w:rPr>
        <w:t xml:space="preserve"> contiene normas más detalladas sobre las actividades prohibidas</w:t>
      </w:r>
      <w:r w:rsidR="000E4155" w:rsidRPr="00560A20">
        <w:rPr>
          <w:lang w:val="es-ES"/>
        </w:rPr>
        <w:t xml:space="preserve"> a las empresas especializadas que prestan servicios de seguridad privada, entre ellas están: prestar servicios que </w:t>
      </w:r>
      <w:r w:rsidR="000E4155" w:rsidRPr="00684A35">
        <w:rPr>
          <w:lang w:val="es-ES"/>
        </w:rPr>
        <w:t xml:space="preserve">pongan en riesgo la seguridad nacional, utilizar equipos y medios que causen daños </w:t>
      </w:r>
      <w:r w:rsidR="000E4155" w:rsidRPr="00684A35">
        <w:rPr>
          <w:lang w:val="es-ES"/>
        </w:rPr>
        <w:lastRenderedPageBreak/>
        <w:t>o perjuicio a terceros, desempeñar funciones que competen a las Fuerzas Armadas o Policía Nacional del Perú</w:t>
      </w:r>
      <w:r w:rsidR="003805E1" w:rsidRPr="00684A35">
        <w:rPr>
          <w:lang w:val="es-ES"/>
        </w:rPr>
        <w:t>.</w:t>
      </w:r>
      <w:r w:rsidR="003805E1" w:rsidRPr="00560A20">
        <w:rPr>
          <w:lang w:val="es-ES"/>
        </w:rPr>
        <w:t xml:space="preserve"> También prohíbe</w:t>
      </w:r>
      <w:r w:rsidR="000E4155" w:rsidRPr="00560A20">
        <w:rPr>
          <w:lang w:val="es-ES"/>
        </w:rPr>
        <w:t xml:space="preserve"> </w:t>
      </w:r>
      <w:r w:rsidR="000E4155" w:rsidRPr="00684A35">
        <w:rPr>
          <w:lang w:val="es-ES"/>
        </w:rPr>
        <w:t>establecer redes de información para el descubrimiento de faltas o delito</w:t>
      </w:r>
      <w:r w:rsidR="000E4155" w:rsidRPr="00560A20">
        <w:rPr>
          <w:lang w:val="es-ES"/>
        </w:rPr>
        <w:t>s, realizar acciones o a</w:t>
      </w:r>
      <w:r w:rsidR="000E4155" w:rsidRPr="00684A35">
        <w:rPr>
          <w:lang w:val="es-ES"/>
        </w:rPr>
        <w:t>ctividades que constituyan espionaje industrial o comercial,</w:t>
      </w:r>
      <w:r w:rsidR="000E4155" w:rsidRPr="00560A20">
        <w:rPr>
          <w:lang w:val="es-ES"/>
        </w:rPr>
        <w:t xml:space="preserve"> </w:t>
      </w:r>
      <w:r w:rsidR="000E4155" w:rsidRPr="00684A35">
        <w:rPr>
          <w:lang w:val="es-ES"/>
        </w:rPr>
        <w:t>usar información privilegiada de los clientes para fines distintos a los establecidos</w:t>
      </w:r>
      <w:r w:rsidR="000E4155" w:rsidRPr="00560A20">
        <w:rPr>
          <w:lang w:val="es-ES"/>
        </w:rPr>
        <w:t xml:space="preserve"> en el con</w:t>
      </w:r>
      <w:r w:rsidR="00054390" w:rsidRPr="000A674F">
        <w:rPr>
          <w:lang w:val="es-ES"/>
        </w:rPr>
        <w:t>trato de servicios respectivo;</w:t>
      </w:r>
      <w:r w:rsidR="00514A8A" w:rsidRPr="000A674F">
        <w:rPr>
          <w:lang w:val="es-ES"/>
        </w:rPr>
        <w:t xml:space="preserve"> estas últimas prohibiciones posiblemente están asociadas al escándalo ocurrido con la empresa </w:t>
      </w:r>
      <w:r w:rsidR="00514A8A" w:rsidRPr="00684A35">
        <w:rPr>
          <w:lang w:val="es-ES"/>
        </w:rPr>
        <w:t>FORZA</w:t>
      </w:r>
      <w:r w:rsidR="00514A8A" w:rsidRPr="00560A20">
        <w:rPr>
          <w:rStyle w:val="FootnoteReference"/>
          <w:lang w:val="es-ES"/>
        </w:rPr>
        <w:footnoteReference w:id="75"/>
      </w:r>
      <w:r w:rsidR="00514A8A" w:rsidRPr="00560A20">
        <w:rPr>
          <w:lang w:val="es-ES"/>
        </w:rPr>
        <w:t>. E</w:t>
      </w:r>
      <w:r w:rsidR="00A26DDB" w:rsidRPr="000A674F">
        <w:rPr>
          <w:lang w:val="es-ES"/>
        </w:rPr>
        <w:t xml:space="preserve">l reglamento </w:t>
      </w:r>
      <w:r w:rsidR="0023325D" w:rsidRPr="000A674F">
        <w:rPr>
          <w:lang w:val="es-ES"/>
        </w:rPr>
        <w:t>agrega</w:t>
      </w:r>
      <w:r w:rsidR="00A26DDB" w:rsidRPr="00684A35">
        <w:rPr>
          <w:lang w:val="es-ES"/>
        </w:rPr>
        <w:t xml:space="preserve"> una prohib</w:t>
      </w:r>
      <w:r w:rsidR="00A31EE0" w:rsidRPr="00684A35">
        <w:rPr>
          <w:lang w:val="es-ES"/>
        </w:rPr>
        <w:t xml:space="preserve">ición general a estas empresas </w:t>
      </w:r>
      <w:r w:rsidR="00A26DDB" w:rsidRPr="00684A35">
        <w:rPr>
          <w:lang w:val="es-ES"/>
        </w:rPr>
        <w:t>en cuanto a desarrollar cualquier actividad violatoria de los derechos de la persona consagrados en la Constitución política del Perú</w:t>
      </w:r>
      <w:r w:rsidR="00A26DDB" w:rsidRPr="00684A35">
        <w:rPr>
          <w:rStyle w:val="FootnoteReference"/>
          <w:lang w:val="es-ES"/>
        </w:rPr>
        <w:footnoteReference w:id="76"/>
      </w:r>
      <w:r w:rsidR="00332083" w:rsidRPr="00684A35">
        <w:rPr>
          <w:lang w:val="es-ES"/>
        </w:rPr>
        <w:t xml:space="preserve">. </w:t>
      </w:r>
      <w:r w:rsidR="00A26DDB" w:rsidRPr="00684A35">
        <w:rPr>
          <w:lang w:val="es-ES"/>
        </w:rPr>
        <w:t>Esta</w:t>
      </w:r>
      <w:r w:rsidR="00054390" w:rsidRPr="00684A35">
        <w:rPr>
          <w:lang w:val="es-ES"/>
        </w:rPr>
        <w:t xml:space="preserve"> es la única </w:t>
      </w:r>
      <w:r w:rsidR="00594714">
        <w:rPr>
          <w:lang w:val="es-ES"/>
        </w:rPr>
        <w:t>legis</w:t>
      </w:r>
      <w:r w:rsidR="00A26DDB" w:rsidRPr="00684A35">
        <w:rPr>
          <w:lang w:val="es-ES"/>
        </w:rPr>
        <w:t xml:space="preserve">lación </w:t>
      </w:r>
      <w:r w:rsidR="00054390" w:rsidRPr="00684A35">
        <w:rPr>
          <w:lang w:val="es-ES"/>
        </w:rPr>
        <w:t xml:space="preserve">que </w:t>
      </w:r>
      <w:r w:rsidR="00332083" w:rsidRPr="00684A35">
        <w:rPr>
          <w:lang w:val="es-ES"/>
        </w:rPr>
        <w:t>proh</w:t>
      </w:r>
      <w:r w:rsidR="00594714">
        <w:rPr>
          <w:lang w:val="es-ES"/>
        </w:rPr>
        <w:t>íbe</w:t>
      </w:r>
      <w:r w:rsidR="00A310F6" w:rsidRPr="00684A35">
        <w:rPr>
          <w:lang w:val="es-ES"/>
        </w:rPr>
        <w:t xml:space="preserve"> las actividades mercenarias</w:t>
      </w:r>
      <w:r w:rsidR="00594714">
        <w:rPr>
          <w:lang w:val="es-ES"/>
        </w:rPr>
        <w:t>.</w:t>
      </w:r>
      <w:r w:rsidR="00A310F6" w:rsidRPr="00560A20">
        <w:rPr>
          <w:lang w:val="es-ES"/>
        </w:rPr>
        <w:t xml:space="preserve"> </w:t>
      </w:r>
      <w:r w:rsidR="00594714">
        <w:rPr>
          <w:lang w:val="es-ES"/>
        </w:rPr>
        <w:t>P</w:t>
      </w:r>
      <w:r w:rsidR="00A310F6" w:rsidRPr="00560A20">
        <w:rPr>
          <w:lang w:val="es-ES"/>
        </w:rPr>
        <w:t>rimero</w:t>
      </w:r>
      <w:r w:rsidR="00594714">
        <w:rPr>
          <w:lang w:val="es-ES"/>
        </w:rPr>
        <w:t>,</w:t>
      </w:r>
      <w:r w:rsidR="00A310F6" w:rsidRPr="00560A20">
        <w:rPr>
          <w:lang w:val="es-ES"/>
        </w:rPr>
        <w:t xml:space="preserve"> el artículo 24 de la Ley</w:t>
      </w:r>
      <w:r w:rsidR="00A26DDB" w:rsidRPr="000A674F">
        <w:rPr>
          <w:lang w:val="es-ES"/>
        </w:rPr>
        <w:t xml:space="preserve"> 28.879</w:t>
      </w:r>
      <w:r w:rsidR="00A310F6" w:rsidRPr="000A674F">
        <w:rPr>
          <w:lang w:val="es-ES"/>
        </w:rPr>
        <w:t xml:space="preserve">, </w:t>
      </w:r>
      <w:r w:rsidR="00054390" w:rsidRPr="00684A35">
        <w:rPr>
          <w:lang w:val="es-ES"/>
        </w:rPr>
        <w:t xml:space="preserve">prohíbe </w:t>
      </w:r>
      <w:r w:rsidR="00A310F6" w:rsidRPr="00684A35">
        <w:rPr>
          <w:lang w:val="es-ES"/>
        </w:rPr>
        <w:t xml:space="preserve">a las empresas de </w:t>
      </w:r>
      <w:r w:rsidR="00A31EE0" w:rsidRPr="00684A35">
        <w:rPr>
          <w:lang w:val="es-ES"/>
        </w:rPr>
        <w:t>seguridad privada</w:t>
      </w:r>
      <w:r w:rsidR="00A310F6" w:rsidRPr="00684A35">
        <w:rPr>
          <w:lang w:val="es-ES"/>
        </w:rPr>
        <w:t xml:space="preserve"> “</w:t>
      </w:r>
      <w:r w:rsidR="000E4155" w:rsidRPr="00684A35">
        <w:rPr>
          <w:lang w:val="es-ES"/>
        </w:rPr>
        <w:t>contratar, capacitar, entrenar y adiestrar mercenarios</w:t>
      </w:r>
      <w:r w:rsidR="000E4155" w:rsidRPr="00560A20">
        <w:rPr>
          <w:lang w:val="es-ES"/>
        </w:rPr>
        <w:t xml:space="preserve"> contraviniendo Tratados y Acuerdos internacionales vigentes, ratificados por el Estado peruano</w:t>
      </w:r>
      <w:r w:rsidR="00A310F6" w:rsidRPr="000A674F">
        <w:rPr>
          <w:lang w:val="es-ES"/>
        </w:rPr>
        <w:t>”</w:t>
      </w:r>
      <w:r w:rsidR="007B3267" w:rsidRPr="000A674F">
        <w:rPr>
          <w:lang w:val="es-ES"/>
        </w:rPr>
        <w:t>;</w:t>
      </w:r>
      <w:r w:rsidR="00A310F6" w:rsidRPr="00684A35">
        <w:rPr>
          <w:lang w:val="es-ES"/>
        </w:rPr>
        <w:t xml:space="preserve"> y el artículo 45 prohíbe a los centros de capacitación entrenar, capacitar y adiestrar mercenarios</w:t>
      </w:r>
      <w:r w:rsidR="007B3267" w:rsidRPr="00684A35">
        <w:rPr>
          <w:lang w:val="es-ES"/>
        </w:rPr>
        <w:t>, y el reglamento dispone que su incumplimiento acarrea la sanción de cancelación definitiva del centro de capacitación. La regulación no</w:t>
      </w:r>
      <w:r w:rsidR="00A26DDB" w:rsidRPr="00684A35">
        <w:rPr>
          <w:lang w:val="es-ES"/>
        </w:rPr>
        <w:t xml:space="preserve"> contempla una prohibición ni sanción para quienes ejerzan como mercenarios.</w:t>
      </w:r>
      <w:r w:rsidR="00786D3F" w:rsidRPr="00684A35">
        <w:rPr>
          <w:lang w:val="es-ES"/>
        </w:rPr>
        <w:t xml:space="preserve"> </w:t>
      </w:r>
    </w:p>
    <w:p w14:paraId="17D63E14" w14:textId="254C7F63" w:rsidR="001818CC" w:rsidRPr="00684A35" w:rsidRDefault="001818CC" w:rsidP="001818CC">
      <w:pPr>
        <w:autoSpaceDE w:val="0"/>
        <w:autoSpaceDN w:val="0"/>
        <w:adjustRightInd w:val="0"/>
        <w:spacing w:line="240" w:lineRule="atLeast"/>
        <w:jc w:val="both"/>
        <w:rPr>
          <w:lang w:val="es-ES"/>
        </w:rPr>
      </w:pPr>
      <w:r w:rsidRPr="00684A35">
        <w:rPr>
          <w:lang w:val="es-ES"/>
        </w:rPr>
        <w:t>Colombia c</w:t>
      </w:r>
      <w:r w:rsidRPr="00560A20">
        <w:rPr>
          <w:lang w:val="es-ES"/>
        </w:rPr>
        <w:t xml:space="preserve">ontempla </w:t>
      </w:r>
      <w:r w:rsidR="002F5CC9" w:rsidRPr="00560A20">
        <w:rPr>
          <w:lang w:val="es-ES"/>
        </w:rPr>
        <w:t xml:space="preserve">la prohibición de </w:t>
      </w:r>
      <w:r w:rsidRPr="000A674F">
        <w:rPr>
          <w:lang w:val="es-ES"/>
        </w:rPr>
        <w:t xml:space="preserve">actividades concretas en el Reglamento de los </w:t>
      </w:r>
      <w:r w:rsidRPr="00684A35">
        <w:rPr>
          <w:lang w:val="es-ES"/>
        </w:rPr>
        <w:t xml:space="preserve">Servicios Especiales y </w:t>
      </w:r>
      <w:r w:rsidR="00B07ADA" w:rsidRPr="00684A35">
        <w:rPr>
          <w:lang w:val="es-ES"/>
        </w:rPr>
        <w:t>Servicios</w:t>
      </w:r>
      <w:r w:rsidRPr="00684A35">
        <w:rPr>
          <w:lang w:val="es-ES"/>
        </w:rPr>
        <w:t xml:space="preserve"> Comunitarios de Vigilancia y Seguridad</w:t>
      </w:r>
      <w:r w:rsidRPr="00560A20">
        <w:rPr>
          <w:lang w:val="es-ES"/>
        </w:rPr>
        <w:t xml:space="preserve">, </w:t>
      </w:r>
      <w:r w:rsidR="002F5CC9" w:rsidRPr="00560A20">
        <w:rPr>
          <w:lang w:val="es-ES"/>
        </w:rPr>
        <w:t>entre las que está</w:t>
      </w:r>
      <w:r w:rsidRPr="000A674F">
        <w:rPr>
          <w:lang w:val="es-ES"/>
        </w:rPr>
        <w:t xml:space="preserve"> desarrollar labores de </w:t>
      </w:r>
      <w:r w:rsidRPr="00684A35">
        <w:rPr>
          <w:lang w:val="es-ES"/>
        </w:rPr>
        <w:t>inteligencia, capacitar o recibir capacitación en tácticas de combate; realizar seguimientos, requisas, allanamientos, interceptaciones, o cualquiera otra actividad ilícita o atentatoria contra los derechos a la intimidad, al domicilio o libre locomoción de las personas; alterar o perturbar las condiciones para el ejercicio de los derechos y libertades públicas de la ciudadanía; utilizar los servicios como medio de coacción para cualquier fin</w:t>
      </w:r>
      <w:r w:rsidRPr="00684A35">
        <w:rPr>
          <w:rStyle w:val="FootnoteReference"/>
          <w:lang w:val="es-ES"/>
        </w:rPr>
        <w:footnoteReference w:id="77"/>
      </w:r>
      <w:r w:rsidRPr="00684A35">
        <w:rPr>
          <w:lang w:val="es-ES"/>
        </w:rPr>
        <w:t xml:space="preserve">. La regulación chilena no hace mención a actividades </w:t>
      </w:r>
      <w:r w:rsidR="005E6C19" w:rsidRPr="00684A35">
        <w:rPr>
          <w:lang w:val="es-ES"/>
        </w:rPr>
        <w:t>prohibidas a quienes prest</w:t>
      </w:r>
      <w:r w:rsidR="00353E5C" w:rsidRPr="00684A35">
        <w:rPr>
          <w:lang w:val="es-ES"/>
        </w:rPr>
        <w:t xml:space="preserve">an servicios de SP, entendiéndose que todo lo que no </w:t>
      </w:r>
      <w:r w:rsidR="008E19FB" w:rsidRPr="00684A35">
        <w:rPr>
          <w:lang w:val="es-ES"/>
        </w:rPr>
        <w:t>les está expresamente permitido</w:t>
      </w:r>
      <w:r w:rsidR="00353E5C" w:rsidRPr="00684A35">
        <w:rPr>
          <w:lang w:val="es-ES"/>
        </w:rPr>
        <w:t xml:space="preserve"> queda fuera de su ámbito de acción</w:t>
      </w:r>
      <w:r w:rsidRPr="00684A35">
        <w:rPr>
          <w:lang w:val="es-ES"/>
        </w:rPr>
        <w:t>.</w:t>
      </w:r>
    </w:p>
    <w:p w14:paraId="11184688" w14:textId="153FC8BC" w:rsidR="000E4155" w:rsidRPr="00684A35" w:rsidRDefault="000E4155" w:rsidP="00A31EE0">
      <w:pPr>
        <w:autoSpaceDE w:val="0"/>
        <w:autoSpaceDN w:val="0"/>
        <w:adjustRightInd w:val="0"/>
        <w:spacing w:line="240" w:lineRule="atLeast"/>
        <w:jc w:val="both"/>
        <w:rPr>
          <w:lang w:val="es-ES"/>
        </w:rPr>
      </w:pPr>
      <w:r w:rsidRPr="00684A35">
        <w:rPr>
          <w:lang w:val="es-ES"/>
        </w:rPr>
        <w:t>Resulta interesante observar ciertas prohibiciones contempladas en la Ley de Buenos Aires</w:t>
      </w:r>
      <w:r w:rsidR="0067274F" w:rsidRPr="00684A35">
        <w:rPr>
          <w:rStyle w:val="FootnoteReference"/>
          <w:lang w:val="es-ES"/>
        </w:rPr>
        <w:footnoteReference w:id="78"/>
      </w:r>
      <w:r w:rsidR="0030458B" w:rsidRPr="00684A35">
        <w:rPr>
          <w:lang w:val="es-ES"/>
        </w:rPr>
        <w:t xml:space="preserve"> y en el Decreto N° 275 de Uruguay</w:t>
      </w:r>
      <w:r w:rsidR="0030458B" w:rsidRPr="00684A35">
        <w:rPr>
          <w:rStyle w:val="FootnoteReference"/>
          <w:lang w:val="es-ES"/>
        </w:rPr>
        <w:footnoteReference w:id="79"/>
      </w:r>
      <w:r w:rsidR="0030458B" w:rsidRPr="00684A35">
        <w:rPr>
          <w:lang w:val="es-ES"/>
        </w:rPr>
        <w:t xml:space="preserve">, </w:t>
      </w:r>
      <w:r w:rsidRPr="00684A35">
        <w:rPr>
          <w:lang w:val="es-ES"/>
        </w:rPr>
        <w:t>que apuntan a la protección de garantías y derechos constitucionales</w:t>
      </w:r>
      <w:r w:rsidR="00C23E16" w:rsidRPr="00684A35">
        <w:rPr>
          <w:lang w:val="es-ES"/>
        </w:rPr>
        <w:t xml:space="preserve">, </w:t>
      </w:r>
      <w:r w:rsidRPr="00684A35">
        <w:rPr>
          <w:lang w:val="es-ES"/>
        </w:rPr>
        <w:t>como el derecho a la privacidad, opinión, no discriminación y otros</w:t>
      </w:r>
      <w:r w:rsidR="00DE406D" w:rsidRPr="00684A35">
        <w:rPr>
          <w:lang w:val="es-ES"/>
        </w:rPr>
        <w:t xml:space="preserve">, sin mencionar el concepto de derechos humanos. </w:t>
      </w:r>
      <w:r w:rsidR="006305F1" w:rsidRPr="00684A35">
        <w:rPr>
          <w:lang w:val="es-ES"/>
        </w:rPr>
        <w:t xml:space="preserve">Así, </w:t>
      </w:r>
      <w:r w:rsidRPr="00684A35">
        <w:rPr>
          <w:lang w:val="es-ES"/>
        </w:rPr>
        <w:t>mientras esté</w:t>
      </w:r>
      <w:r w:rsidR="0030458B" w:rsidRPr="00684A35">
        <w:rPr>
          <w:lang w:val="es-ES"/>
        </w:rPr>
        <w:t>n</w:t>
      </w:r>
      <w:r w:rsidRPr="00684A35">
        <w:rPr>
          <w:lang w:val="es-ES"/>
        </w:rPr>
        <w:t xml:space="preserve"> </w:t>
      </w:r>
      <w:r w:rsidR="0030458B" w:rsidRPr="00684A35">
        <w:rPr>
          <w:lang w:val="es-ES"/>
        </w:rPr>
        <w:t xml:space="preserve">los prestadores de seguridad privada </w:t>
      </w:r>
      <w:r w:rsidRPr="00684A35">
        <w:rPr>
          <w:lang w:val="es-ES"/>
        </w:rPr>
        <w:t xml:space="preserve">ejerciendo su servicio no podrán intervenir en conflictos de carácter político, laboral, sindical o religioso; </w:t>
      </w:r>
      <w:r w:rsidR="00DE406D" w:rsidRPr="00684A35">
        <w:rPr>
          <w:lang w:val="es-ES"/>
        </w:rPr>
        <w:t xml:space="preserve">y </w:t>
      </w:r>
      <w:r w:rsidRPr="00684A35">
        <w:rPr>
          <w:lang w:val="es-ES"/>
        </w:rPr>
        <w:t xml:space="preserve">no podrán ejercer ningún control sobre opiniones políticas, sindicales o religiosas, controlar la expresión de tales opiniones, o crear bases de datos con tales fines.  </w:t>
      </w:r>
      <w:r w:rsidR="00DE406D" w:rsidRPr="00684A35">
        <w:rPr>
          <w:lang w:val="es-ES"/>
        </w:rPr>
        <w:t xml:space="preserve">La ley de </w:t>
      </w:r>
      <w:r w:rsidRPr="00684A35">
        <w:rPr>
          <w:lang w:val="es-ES"/>
        </w:rPr>
        <w:t>Buenos Aires agrega</w:t>
      </w:r>
      <w:r w:rsidR="001818CC" w:rsidRPr="00684A35">
        <w:rPr>
          <w:lang w:val="es-ES"/>
        </w:rPr>
        <w:t xml:space="preserve"> que no podrán</w:t>
      </w:r>
      <w:r w:rsidRPr="00684A35">
        <w:rPr>
          <w:lang w:val="es-ES"/>
        </w:rPr>
        <w:t xml:space="preserve"> realizar investigaciones relativas al origen racial, étnico, estado de salud, sexualidad, orientación sexual; </w:t>
      </w:r>
      <w:r w:rsidRPr="00684A35">
        <w:rPr>
          <w:lang w:val="es-ES"/>
        </w:rPr>
        <w:lastRenderedPageBreak/>
        <w:t>intervenir comunicaciones de terceras personas; ingresar a fuentes de información computarizadas sin autorización; interrogar a personas que se les impute un delito; realizar requisas a personas o retener documentos personales</w:t>
      </w:r>
      <w:r w:rsidRPr="00560A20">
        <w:rPr>
          <w:lang w:val="es-ES"/>
        </w:rPr>
        <w:t xml:space="preserve">. Buenos Aires también prohíbe </w:t>
      </w:r>
      <w:r w:rsidRPr="000A674F">
        <w:rPr>
          <w:lang w:val="es-ES"/>
        </w:rPr>
        <w:t xml:space="preserve">proteger o custodiar el almacenamiento o transporte de objetos con cargas o sustancias explosivas, salvo con aprobación especial de la Autoridad de Aplicación o, en su caso, de las autoridades nacionales. </w:t>
      </w:r>
    </w:p>
    <w:p w14:paraId="6B568AE6" w14:textId="240EF7BE" w:rsidR="000E4155" w:rsidRPr="00074CDB" w:rsidRDefault="00150E61" w:rsidP="00A31EE0">
      <w:pPr>
        <w:autoSpaceDE w:val="0"/>
        <w:autoSpaceDN w:val="0"/>
        <w:adjustRightInd w:val="0"/>
        <w:spacing w:line="240" w:lineRule="atLeast"/>
        <w:jc w:val="both"/>
        <w:rPr>
          <w:lang w:val="es-ES"/>
        </w:rPr>
      </w:pPr>
      <w:r w:rsidRPr="00074CDB">
        <w:rPr>
          <w:lang w:val="es-ES"/>
        </w:rPr>
        <w:t xml:space="preserve">Una prohibición interesante es la que contempla </w:t>
      </w:r>
      <w:r w:rsidR="000E4155" w:rsidRPr="00074CDB">
        <w:rPr>
          <w:lang w:val="es-ES"/>
        </w:rPr>
        <w:t>el Decreto Ley 3.607</w:t>
      </w:r>
      <w:r w:rsidRPr="00074CDB">
        <w:rPr>
          <w:lang w:val="es-ES"/>
        </w:rPr>
        <w:t xml:space="preserve"> de Chile</w:t>
      </w:r>
      <w:r w:rsidR="000E4155" w:rsidRPr="00074CDB">
        <w:rPr>
          <w:lang w:val="es-ES"/>
        </w:rPr>
        <w:t xml:space="preserve">, </w:t>
      </w:r>
      <w:r w:rsidRPr="00074CDB">
        <w:rPr>
          <w:lang w:val="es-ES"/>
        </w:rPr>
        <w:t xml:space="preserve">que </w:t>
      </w:r>
      <w:r w:rsidR="000E4155" w:rsidRPr="00074CDB">
        <w:rPr>
          <w:lang w:val="es-ES"/>
        </w:rPr>
        <w:t>en su artículo</w:t>
      </w:r>
      <w:r w:rsidR="0094579A" w:rsidRPr="00074CDB">
        <w:rPr>
          <w:lang w:val="es-ES"/>
        </w:rPr>
        <w:t xml:space="preserve"> 5 bis</w:t>
      </w:r>
      <w:r w:rsidR="000D7A9B" w:rsidRPr="00074CDB">
        <w:rPr>
          <w:lang w:val="es-ES"/>
        </w:rPr>
        <w:t xml:space="preserve">, </w:t>
      </w:r>
      <w:r w:rsidR="00921F31">
        <w:rPr>
          <w:lang w:val="es-ES"/>
        </w:rPr>
        <w:t>“</w:t>
      </w:r>
      <w:r w:rsidR="000D7A9B" w:rsidRPr="000A674F">
        <w:rPr>
          <w:lang w:val="es-ES"/>
        </w:rPr>
        <w:t>por exigirlo el interés nacional</w:t>
      </w:r>
      <w:r w:rsidR="00921F31">
        <w:rPr>
          <w:lang w:val="es-ES"/>
        </w:rPr>
        <w:t>”</w:t>
      </w:r>
      <w:r w:rsidR="000D7A9B" w:rsidRPr="000A674F">
        <w:rPr>
          <w:lang w:val="es-ES"/>
        </w:rPr>
        <w:t xml:space="preserve">, prohíbe </w:t>
      </w:r>
      <w:r w:rsidR="000E4155" w:rsidRPr="00074CDB">
        <w:rPr>
          <w:lang w:val="es-ES"/>
        </w:rPr>
        <w:t>a toda persona natural o jurídica</w:t>
      </w:r>
      <w:r w:rsidR="00C23E16" w:rsidRPr="00074CDB">
        <w:rPr>
          <w:lang w:val="es-ES"/>
        </w:rPr>
        <w:t xml:space="preserve"> que realice</w:t>
      </w:r>
      <w:r w:rsidR="000E4155" w:rsidRPr="00074CDB">
        <w:rPr>
          <w:lang w:val="es-ES"/>
        </w:rPr>
        <w:t xml:space="preserve"> labores de asesoría o de prestación de servicios en materias inherentes a seguridad, o de capacitación de vigilantes privados, </w:t>
      </w:r>
      <w:r w:rsidR="00C23E16" w:rsidRPr="00074CDB">
        <w:rPr>
          <w:lang w:val="es-ES"/>
        </w:rPr>
        <w:t>“</w:t>
      </w:r>
      <w:r w:rsidR="000E4155" w:rsidRPr="00074CDB">
        <w:rPr>
          <w:lang w:val="es-ES"/>
        </w:rPr>
        <w:t xml:space="preserve">proporcionar u ofrecer bajo cualquier forma o denominación, </w:t>
      </w:r>
      <w:r w:rsidR="000E4155" w:rsidRPr="00074CDB">
        <w:rPr>
          <w:i/>
          <w:lang w:val="es-ES"/>
        </w:rPr>
        <w:t>vigilantes privados</w:t>
      </w:r>
      <w:r w:rsidR="00C23E16" w:rsidRPr="00074CDB">
        <w:rPr>
          <w:i/>
          <w:lang w:val="es-ES"/>
        </w:rPr>
        <w:t>”</w:t>
      </w:r>
      <w:r w:rsidR="000E4155" w:rsidRPr="00074CDB">
        <w:rPr>
          <w:lang w:val="es-ES"/>
        </w:rPr>
        <w:t>. La infracción a esta norma constituye un delito</w:t>
      </w:r>
      <w:r w:rsidR="000D7A9B" w:rsidRPr="00074CDB">
        <w:rPr>
          <w:lang w:val="es-ES"/>
        </w:rPr>
        <w:t xml:space="preserve"> sancionado con la pena de presidio menor en su grado mínimo a medio</w:t>
      </w:r>
      <w:r w:rsidR="0076057C" w:rsidRPr="00074CDB">
        <w:rPr>
          <w:rStyle w:val="FootnoteReference"/>
          <w:lang w:val="es-ES"/>
        </w:rPr>
        <w:footnoteReference w:id="80"/>
      </w:r>
      <w:r w:rsidR="000D7A9B" w:rsidRPr="00074CDB">
        <w:rPr>
          <w:lang w:val="es-ES"/>
        </w:rPr>
        <w:t xml:space="preserve">, </w:t>
      </w:r>
      <w:r w:rsidR="00E71BB0" w:rsidRPr="00074CDB">
        <w:rPr>
          <w:lang w:val="es-ES"/>
        </w:rPr>
        <w:t>y</w:t>
      </w:r>
      <w:r w:rsidR="000D7A9B" w:rsidRPr="00074CDB">
        <w:rPr>
          <w:lang w:val="es-ES"/>
        </w:rPr>
        <w:t xml:space="preserve"> multa</w:t>
      </w:r>
      <w:r w:rsidR="000E4155" w:rsidRPr="00074CDB">
        <w:rPr>
          <w:lang w:val="es-ES"/>
        </w:rPr>
        <w:t xml:space="preserve">. Resulta interesante señalar que fue gracias a esta norma que la justicia chilena pudo </w:t>
      </w:r>
      <w:r w:rsidR="00D82685" w:rsidRPr="00074CDB">
        <w:rPr>
          <w:lang w:val="es-ES"/>
        </w:rPr>
        <w:t xml:space="preserve">perseguir y </w:t>
      </w:r>
      <w:r w:rsidR="000E4155" w:rsidRPr="00074CDB">
        <w:rPr>
          <w:lang w:val="es-ES"/>
        </w:rPr>
        <w:t>sancionar al dueño de la empresa Red-Tác</w:t>
      </w:r>
      <w:r w:rsidR="00D07DBC" w:rsidRPr="00074CDB">
        <w:rPr>
          <w:lang w:val="es-ES"/>
        </w:rPr>
        <w:t>tica</w:t>
      </w:r>
      <w:r w:rsidR="000E4155" w:rsidRPr="00074CDB">
        <w:rPr>
          <w:lang w:val="es-ES"/>
        </w:rPr>
        <w:t xml:space="preserve"> que reclutaba </w:t>
      </w:r>
      <w:r w:rsidR="00D17CD2">
        <w:rPr>
          <w:lang w:val="es-ES"/>
        </w:rPr>
        <w:t xml:space="preserve">y entrenaba </w:t>
      </w:r>
      <w:r w:rsidR="000E4155" w:rsidRPr="00372CDA">
        <w:rPr>
          <w:lang w:val="es-ES"/>
        </w:rPr>
        <w:t xml:space="preserve">personal </w:t>
      </w:r>
      <w:r w:rsidR="00372CDA" w:rsidRPr="00372CDA">
        <w:rPr>
          <w:lang w:val="es-ES"/>
        </w:rPr>
        <w:t xml:space="preserve">chileno </w:t>
      </w:r>
      <w:r w:rsidR="000E4155" w:rsidRPr="00372CDA">
        <w:rPr>
          <w:lang w:val="es-ES"/>
        </w:rPr>
        <w:t xml:space="preserve">para </w:t>
      </w:r>
      <w:r w:rsidR="000E4155" w:rsidRPr="00074CDB">
        <w:rPr>
          <w:lang w:val="es-ES"/>
        </w:rPr>
        <w:t xml:space="preserve">ser enviado a </w:t>
      </w:r>
      <w:r w:rsidR="00921F31">
        <w:rPr>
          <w:lang w:val="es-ES"/>
        </w:rPr>
        <w:t xml:space="preserve">cumplir labores de vigilancia en </w:t>
      </w:r>
      <w:r w:rsidR="000E4155" w:rsidRPr="00074CDB">
        <w:rPr>
          <w:lang w:val="es-ES"/>
        </w:rPr>
        <w:t>Irak</w:t>
      </w:r>
      <w:r w:rsidR="00D17CD2">
        <w:rPr>
          <w:lang w:val="es-ES"/>
        </w:rPr>
        <w:t>, durante los primeros años de la guerra</w:t>
      </w:r>
      <w:r w:rsidR="00C23E16" w:rsidRPr="00074CDB">
        <w:rPr>
          <w:lang w:val="es-ES"/>
        </w:rPr>
        <w:t>.</w:t>
      </w:r>
      <w:r w:rsidR="000E4155" w:rsidRPr="00074CDB">
        <w:rPr>
          <w:lang w:val="es-ES"/>
        </w:rPr>
        <w:t xml:space="preserve"> </w:t>
      </w:r>
      <w:r w:rsidR="00C23E16" w:rsidRPr="00074CDB">
        <w:rPr>
          <w:lang w:val="es-ES"/>
        </w:rPr>
        <w:t xml:space="preserve">El </w:t>
      </w:r>
      <w:r w:rsidR="000E4155" w:rsidRPr="00074CDB">
        <w:rPr>
          <w:lang w:val="es-ES"/>
        </w:rPr>
        <w:t xml:space="preserve">fundamento de la sanción fue que se había desarrollado una actividad prohibida por la ley, cual es “proveer </w:t>
      </w:r>
      <w:r w:rsidR="00D14234" w:rsidRPr="00074CDB">
        <w:rPr>
          <w:lang w:val="es-ES"/>
        </w:rPr>
        <w:t xml:space="preserve">vigilantes privados”; la </w:t>
      </w:r>
      <w:r w:rsidR="00A831CB">
        <w:rPr>
          <w:lang w:val="es-ES"/>
        </w:rPr>
        <w:t>legis</w:t>
      </w:r>
      <w:r w:rsidR="00D14234" w:rsidRPr="00074CDB">
        <w:rPr>
          <w:lang w:val="es-ES"/>
        </w:rPr>
        <w:t xml:space="preserve">lación </w:t>
      </w:r>
      <w:r w:rsidR="0094579A" w:rsidRPr="00074CDB">
        <w:rPr>
          <w:lang w:val="es-ES"/>
        </w:rPr>
        <w:t xml:space="preserve">chilena </w:t>
      </w:r>
      <w:r w:rsidR="00D14234" w:rsidRPr="00074CDB">
        <w:rPr>
          <w:lang w:val="es-ES"/>
        </w:rPr>
        <w:t>sólo permite a las empresas proveer guardias que, por definición, no son armados.</w:t>
      </w:r>
      <w:r w:rsidR="007C0B6E" w:rsidRPr="00074CDB">
        <w:rPr>
          <w:lang w:val="es-ES"/>
        </w:rPr>
        <w:t xml:space="preserve"> </w:t>
      </w:r>
      <w:r w:rsidR="00F632D4" w:rsidRPr="00DB4B4A">
        <w:rPr>
          <w:lang w:val="es-ES"/>
        </w:rPr>
        <w:t xml:space="preserve">Los </w:t>
      </w:r>
      <w:r w:rsidR="00F632D4" w:rsidRPr="00DB4B4A">
        <w:rPr>
          <w:i/>
          <w:lang w:val="es-ES"/>
        </w:rPr>
        <w:t xml:space="preserve">vigilantes privados </w:t>
      </w:r>
      <w:r w:rsidR="00F632D4" w:rsidRPr="00DB4B4A">
        <w:rPr>
          <w:lang w:val="es-ES"/>
        </w:rPr>
        <w:t>son personal armado que debe formar parte de la nómina del personal de aquellas empresas o entidades expresamente autorizadas a tenerlos.</w:t>
      </w:r>
    </w:p>
    <w:p w14:paraId="41616573" w14:textId="77777777" w:rsidR="000E4155" w:rsidRPr="00074CDB" w:rsidRDefault="000E4155" w:rsidP="00757BF7">
      <w:pPr>
        <w:pStyle w:val="Heading1"/>
        <w:numPr>
          <w:ilvl w:val="0"/>
          <w:numId w:val="3"/>
        </w:numPr>
        <w:ind w:left="426" w:hanging="426"/>
        <w:rPr>
          <w:sz w:val="22"/>
          <w:szCs w:val="22"/>
        </w:rPr>
      </w:pPr>
      <w:bookmarkStart w:id="7" w:name="_Toc407199165"/>
      <w:r w:rsidRPr="00074CDB">
        <w:rPr>
          <w:sz w:val="22"/>
          <w:szCs w:val="22"/>
        </w:rPr>
        <w:t>Reglas para la adquisición de armas de fuego</w:t>
      </w:r>
      <w:bookmarkEnd w:id="7"/>
    </w:p>
    <w:p w14:paraId="507DC950" w14:textId="5B600DA8" w:rsidR="008B2522" w:rsidRPr="000A674F" w:rsidRDefault="008C7650" w:rsidP="008B2522">
      <w:pPr>
        <w:spacing w:line="240" w:lineRule="atLeast"/>
        <w:jc w:val="both"/>
        <w:rPr>
          <w:lang w:val="es-ES"/>
        </w:rPr>
      </w:pPr>
      <w:r w:rsidRPr="00074CDB">
        <w:rPr>
          <w:lang w:val="es-ES"/>
        </w:rPr>
        <w:t>Todas las regulaciones</w:t>
      </w:r>
      <w:r w:rsidR="000E4155" w:rsidRPr="00074CDB">
        <w:rPr>
          <w:lang w:val="es-ES"/>
        </w:rPr>
        <w:t xml:space="preserve"> </w:t>
      </w:r>
      <w:r w:rsidRPr="00074CDB">
        <w:rPr>
          <w:lang w:val="es-ES"/>
        </w:rPr>
        <w:t xml:space="preserve">(7) que permiten portar armas exigen </w:t>
      </w:r>
      <w:r w:rsidR="000E4155" w:rsidRPr="00074CDB">
        <w:rPr>
          <w:lang w:val="es-ES"/>
        </w:rPr>
        <w:t xml:space="preserve">licencia </w:t>
      </w:r>
      <w:r w:rsidR="0003201D" w:rsidRPr="00074CDB">
        <w:rPr>
          <w:lang w:val="es-ES"/>
        </w:rPr>
        <w:t>para las armas autorizadas</w:t>
      </w:r>
      <w:r w:rsidR="009A1FB8" w:rsidRPr="00074CDB">
        <w:rPr>
          <w:lang w:val="es-ES"/>
        </w:rPr>
        <w:t>,</w:t>
      </w:r>
      <w:r w:rsidR="0003201D" w:rsidRPr="00074CDB">
        <w:rPr>
          <w:lang w:val="es-ES"/>
        </w:rPr>
        <w:t xml:space="preserve"> </w:t>
      </w:r>
      <w:r w:rsidR="000E4155" w:rsidRPr="00074CDB">
        <w:rPr>
          <w:lang w:val="es-ES"/>
        </w:rPr>
        <w:t>tanto a las empresas co</w:t>
      </w:r>
      <w:r w:rsidR="0003201D" w:rsidRPr="00074CDB">
        <w:rPr>
          <w:lang w:val="es-ES"/>
        </w:rPr>
        <w:t xml:space="preserve">mo al personal operativo </w:t>
      </w:r>
      <w:r w:rsidR="00DD6A2D" w:rsidRPr="00074CDB">
        <w:rPr>
          <w:lang w:val="es-ES"/>
        </w:rPr>
        <w:t>-</w:t>
      </w:r>
      <w:r w:rsidR="0003201D" w:rsidRPr="00074CDB">
        <w:rPr>
          <w:lang w:val="es-ES"/>
        </w:rPr>
        <w:t>para su</w:t>
      </w:r>
      <w:r w:rsidR="000E4155" w:rsidRPr="00074CDB">
        <w:rPr>
          <w:lang w:val="es-ES"/>
        </w:rPr>
        <w:t xml:space="preserve"> </w:t>
      </w:r>
      <w:r w:rsidR="00DD6A2D" w:rsidRPr="00074CDB">
        <w:rPr>
          <w:lang w:val="es-ES"/>
        </w:rPr>
        <w:t xml:space="preserve">tenencia y </w:t>
      </w:r>
      <w:r w:rsidR="000E4155" w:rsidRPr="00074CDB">
        <w:rPr>
          <w:lang w:val="es-ES"/>
        </w:rPr>
        <w:t>porte</w:t>
      </w:r>
      <w:r w:rsidR="00DD6A2D" w:rsidRPr="00074CDB">
        <w:rPr>
          <w:lang w:val="es-ES"/>
        </w:rPr>
        <w:t>-</w:t>
      </w:r>
      <w:r w:rsidR="003B01D2">
        <w:rPr>
          <w:lang w:val="es-ES"/>
        </w:rPr>
        <w:t>,</w:t>
      </w:r>
      <w:r w:rsidR="000E4155" w:rsidRPr="00074CDB">
        <w:rPr>
          <w:lang w:val="es-ES"/>
        </w:rPr>
        <w:t xml:space="preserve"> </w:t>
      </w:r>
      <w:r w:rsidR="006E35BE">
        <w:rPr>
          <w:lang w:val="es-ES"/>
        </w:rPr>
        <w:t xml:space="preserve">debiendo </w:t>
      </w:r>
      <w:r w:rsidR="000E4155" w:rsidRPr="00074CDB">
        <w:rPr>
          <w:lang w:val="es-ES"/>
        </w:rPr>
        <w:t>cumplir con las exigencias relativas al manejo y c</w:t>
      </w:r>
      <w:r w:rsidR="0003201D" w:rsidRPr="00074CDB">
        <w:rPr>
          <w:lang w:val="es-ES"/>
        </w:rPr>
        <w:t>ustodia de las mismas</w:t>
      </w:r>
      <w:r w:rsidR="000E4155" w:rsidRPr="00074CDB">
        <w:rPr>
          <w:lang w:val="es-ES"/>
        </w:rPr>
        <w:t xml:space="preserve">. </w:t>
      </w:r>
      <w:r w:rsidR="00DD6A2D" w:rsidRPr="00074CDB">
        <w:rPr>
          <w:lang w:val="es-ES"/>
        </w:rPr>
        <w:t>En servicios prestados con armas está prohibido portar armas no autorizadas</w:t>
      </w:r>
      <w:r w:rsidR="0020150B">
        <w:rPr>
          <w:lang w:val="es-ES"/>
        </w:rPr>
        <w:t>;</w:t>
      </w:r>
      <w:r w:rsidR="00DD6A2D" w:rsidRPr="00074CDB">
        <w:rPr>
          <w:lang w:val="es-ES"/>
        </w:rPr>
        <w:t xml:space="preserve"> </w:t>
      </w:r>
      <w:r w:rsidR="0020150B">
        <w:rPr>
          <w:lang w:val="es-ES"/>
        </w:rPr>
        <w:t>l</w:t>
      </w:r>
      <w:r w:rsidR="00696534">
        <w:rPr>
          <w:lang w:val="es-ES"/>
        </w:rPr>
        <w:t>a regla general es que</w:t>
      </w:r>
      <w:r w:rsidR="00DD6A2D" w:rsidRPr="00074CDB">
        <w:rPr>
          <w:lang w:val="es-ES"/>
        </w:rPr>
        <w:t xml:space="preserve"> no pueden usarse armas prohibidas o restringidas al uso policial o de las fuerzas armadas.</w:t>
      </w:r>
      <w:r w:rsidR="00DD6A2D" w:rsidRPr="00560A20">
        <w:rPr>
          <w:lang w:val="es-ES"/>
        </w:rPr>
        <w:t xml:space="preserve"> </w:t>
      </w:r>
      <w:r w:rsidR="00DD6A2D" w:rsidRPr="00074CDB">
        <w:rPr>
          <w:lang w:val="es-ES"/>
        </w:rPr>
        <w:t xml:space="preserve">La credencial de identificación </w:t>
      </w:r>
      <w:r w:rsidR="007E1E99">
        <w:rPr>
          <w:lang w:val="es-ES"/>
        </w:rPr>
        <w:t xml:space="preserve">que debe portar el personal operativo, </w:t>
      </w:r>
      <w:r w:rsidR="00DD6A2D" w:rsidRPr="00074CDB">
        <w:rPr>
          <w:lang w:val="es-ES"/>
        </w:rPr>
        <w:t xml:space="preserve">debe indicar si la persona está autorizada a portar armas y el tipo. Bolivia es el único país de los analizados que no permite el </w:t>
      </w:r>
      <w:r w:rsidR="007E1E99">
        <w:rPr>
          <w:lang w:val="es-ES"/>
        </w:rPr>
        <w:t>porte</w:t>
      </w:r>
      <w:r w:rsidR="00DD6A2D" w:rsidRPr="00074CDB">
        <w:rPr>
          <w:lang w:val="es-ES"/>
        </w:rPr>
        <w:t xml:space="preserve"> de armas de fuego</w:t>
      </w:r>
      <w:r w:rsidR="00DD6A2D" w:rsidRPr="00560A20">
        <w:rPr>
          <w:lang w:val="es-ES"/>
        </w:rPr>
        <w:t xml:space="preserve"> a</w:t>
      </w:r>
      <w:r w:rsidR="00807293" w:rsidRPr="000A674F">
        <w:rPr>
          <w:lang w:val="es-ES"/>
        </w:rPr>
        <w:t xml:space="preserve"> </w:t>
      </w:r>
      <w:r w:rsidR="00DD6A2D" w:rsidRPr="000A674F">
        <w:rPr>
          <w:lang w:val="es-ES"/>
        </w:rPr>
        <w:t>l</w:t>
      </w:r>
      <w:r w:rsidR="00807293" w:rsidRPr="00074CDB">
        <w:rPr>
          <w:lang w:val="es-ES"/>
        </w:rPr>
        <w:t xml:space="preserve">os prestadores de servicios de </w:t>
      </w:r>
      <w:r w:rsidR="007E1E99">
        <w:rPr>
          <w:lang w:val="es-ES"/>
        </w:rPr>
        <w:t>seguridad privada</w:t>
      </w:r>
      <w:r w:rsidR="008B2522" w:rsidRPr="00074CDB">
        <w:rPr>
          <w:lang w:val="es-ES"/>
        </w:rPr>
        <w:t>, cuya Ley de control de armas lo prohíbe bajo sanción de 3 a 6 años</w:t>
      </w:r>
      <w:r w:rsidR="008B2522" w:rsidRPr="00560A20">
        <w:rPr>
          <w:lang w:val="es-ES"/>
        </w:rPr>
        <w:t xml:space="preserve"> de privación de libertad</w:t>
      </w:r>
      <w:r w:rsidR="008B2522" w:rsidRPr="000A674F">
        <w:rPr>
          <w:rStyle w:val="FootnoteReference"/>
          <w:lang w:val="es-ES"/>
        </w:rPr>
        <w:footnoteReference w:id="81"/>
      </w:r>
      <w:r w:rsidR="008B2522" w:rsidRPr="000A674F">
        <w:rPr>
          <w:lang w:val="es-ES"/>
        </w:rPr>
        <w:t xml:space="preserve">.  </w:t>
      </w:r>
    </w:p>
    <w:p w14:paraId="04A0E86B" w14:textId="25CF8509" w:rsidR="00C21966" w:rsidRPr="000A674F" w:rsidRDefault="00A848A8" w:rsidP="00A31EE0">
      <w:pPr>
        <w:spacing w:line="240" w:lineRule="atLeast"/>
        <w:jc w:val="both"/>
        <w:rPr>
          <w:lang w:val="es-ES"/>
        </w:rPr>
      </w:pPr>
      <w:r w:rsidRPr="00074CDB">
        <w:rPr>
          <w:lang w:val="es-ES"/>
        </w:rPr>
        <w:t xml:space="preserve">Cada </w:t>
      </w:r>
      <w:r w:rsidR="006F0CD5">
        <w:rPr>
          <w:lang w:val="es-ES"/>
        </w:rPr>
        <w:t>legislación</w:t>
      </w:r>
      <w:r w:rsidRPr="00074CDB">
        <w:rPr>
          <w:lang w:val="es-ES"/>
        </w:rPr>
        <w:t xml:space="preserve"> establece qué servicios se realizan con o sin armas, y en algunos casos se da la opción al pre</w:t>
      </w:r>
      <w:r w:rsidR="00DD6A2D" w:rsidRPr="00074CDB">
        <w:rPr>
          <w:lang w:val="es-ES"/>
        </w:rPr>
        <w:t>stador; a</w:t>
      </w:r>
      <w:r w:rsidR="00985EAE" w:rsidRPr="00074CDB">
        <w:rPr>
          <w:lang w:val="es-ES"/>
        </w:rPr>
        <w:t>sí</w:t>
      </w:r>
      <w:r w:rsidR="008C23D7" w:rsidRPr="00074CDB">
        <w:rPr>
          <w:lang w:val="es-ES"/>
        </w:rPr>
        <w:t xml:space="preserve"> por ejemplo,</w:t>
      </w:r>
      <w:r w:rsidR="00985EAE" w:rsidRPr="00074CDB">
        <w:rPr>
          <w:lang w:val="es-ES"/>
        </w:rPr>
        <w:t xml:space="preserve"> el artículo 41 del R</w:t>
      </w:r>
      <w:r w:rsidRPr="00074CDB">
        <w:rPr>
          <w:lang w:val="es-ES"/>
        </w:rPr>
        <w:t>eglamento de Perú prohíbe el uso de armas de fuego en caso que una persona natural realice servicios de custodia y protec</w:t>
      </w:r>
      <w:r w:rsidR="00985EAE" w:rsidRPr="00074CDB">
        <w:rPr>
          <w:lang w:val="es-ES"/>
        </w:rPr>
        <w:t>ción de patrimonio de terceros.</w:t>
      </w:r>
      <w:r w:rsidR="008C7650" w:rsidRPr="00074CDB">
        <w:rPr>
          <w:lang w:val="es-ES"/>
        </w:rPr>
        <w:t xml:space="preserve"> </w:t>
      </w:r>
      <w:r w:rsidR="00C21966" w:rsidRPr="00074CDB">
        <w:rPr>
          <w:lang w:val="es-ES"/>
        </w:rPr>
        <w:t>La Ley de Buenos Aires reconoce la existencia de agentes de SP con y sin armas</w:t>
      </w:r>
      <w:r w:rsidR="003B4603" w:rsidRPr="00074CDB">
        <w:rPr>
          <w:rStyle w:val="FootnoteReference"/>
          <w:lang w:val="es-ES"/>
        </w:rPr>
        <w:footnoteReference w:id="82"/>
      </w:r>
      <w:r w:rsidR="003B4603" w:rsidRPr="00074CDB">
        <w:rPr>
          <w:lang w:val="es-ES"/>
        </w:rPr>
        <w:t>,</w:t>
      </w:r>
      <w:r w:rsidR="00C21966" w:rsidRPr="00074CDB">
        <w:rPr>
          <w:lang w:val="es-ES"/>
        </w:rPr>
        <w:t xml:space="preserve"> </w:t>
      </w:r>
      <w:r w:rsidR="003B4603" w:rsidRPr="00074CDB">
        <w:rPr>
          <w:lang w:val="es-ES"/>
        </w:rPr>
        <w:t xml:space="preserve">y </w:t>
      </w:r>
      <w:r w:rsidR="00C21966" w:rsidRPr="00074CDB">
        <w:rPr>
          <w:lang w:val="es-ES"/>
        </w:rPr>
        <w:t xml:space="preserve">en el caso de los escoltas el servicio </w:t>
      </w:r>
      <w:r w:rsidR="003B4603" w:rsidRPr="00074CDB">
        <w:rPr>
          <w:lang w:val="es-ES"/>
        </w:rPr>
        <w:t xml:space="preserve">se presta con arma de fuego. </w:t>
      </w:r>
      <w:r w:rsidR="00C21966" w:rsidRPr="00074CDB">
        <w:rPr>
          <w:lang w:val="es-ES"/>
        </w:rPr>
        <w:t xml:space="preserve">Colombia permite </w:t>
      </w:r>
      <w:r w:rsidR="00CD6BF7" w:rsidRPr="00074CDB">
        <w:rPr>
          <w:lang w:val="es-ES"/>
        </w:rPr>
        <w:t>que personas naturales</w:t>
      </w:r>
      <w:r w:rsidR="00C21966" w:rsidRPr="00074CDB">
        <w:rPr>
          <w:lang w:val="es-ES"/>
        </w:rPr>
        <w:t xml:space="preserve"> prest</w:t>
      </w:r>
      <w:r w:rsidR="00CD6BF7" w:rsidRPr="00074CDB">
        <w:rPr>
          <w:lang w:val="es-ES"/>
        </w:rPr>
        <w:t>en</w:t>
      </w:r>
      <w:r w:rsidR="00C21966" w:rsidRPr="00074CDB">
        <w:rPr>
          <w:lang w:val="es-ES"/>
        </w:rPr>
        <w:t xml:space="preserve"> servicios de SP, pero sólo </w:t>
      </w:r>
      <w:r w:rsidR="003B4603" w:rsidRPr="00074CDB">
        <w:rPr>
          <w:lang w:val="es-ES"/>
        </w:rPr>
        <w:t>sin armas</w:t>
      </w:r>
      <w:r w:rsidR="003B4603" w:rsidRPr="00560A20">
        <w:rPr>
          <w:rStyle w:val="FootnoteReference"/>
          <w:lang w:val="es-ES"/>
        </w:rPr>
        <w:footnoteReference w:id="83"/>
      </w:r>
      <w:r w:rsidR="00C21966" w:rsidRPr="000A674F">
        <w:rPr>
          <w:lang w:val="es-ES"/>
        </w:rPr>
        <w:t xml:space="preserve">. El Caso de Chile es distinto, ya que </w:t>
      </w:r>
      <w:r w:rsidR="008C23D7" w:rsidRPr="000A674F">
        <w:rPr>
          <w:lang w:val="es-ES"/>
        </w:rPr>
        <w:t xml:space="preserve">-como se señaló antes- </w:t>
      </w:r>
      <w:r w:rsidR="00C21966" w:rsidRPr="00074CDB">
        <w:rPr>
          <w:lang w:val="es-ES"/>
        </w:rPr>
        <w:t xml:space="preserve">no puede haber empresas que </w:t>
      </w:r>
      <w:r w:rsidR="0009791D">
        <w:rPr>
          <w:lang w:val="es-ES"/>
        </w:rPr>
        <w:t xml:space="preserve">provean </w:t>
      </w:r>
      <w:r w:rsidR="00C21966" w:rsidRPr="00074CDB">
        <w:rPr>
          <w:lang w:val="es-ES"/>
        </w:rPr>
        <w:t>vigilan</w:t>
      </w:r>
      <w:r w:rsidR="0009791D">
        <w:rPr>
          <w:lang w:val="es-ES"/>
        </w:rPr>
        <w:t>tes</w:t>
      </w:r>
      <w:r w:rsidR="00C21966" w:rsidRPr="00074CDB">
        <w:rPr>
          <w:lang w:val="es-ES"/>
        </w:rPr>
        <w:t xml:space="preserve"> armad</w:t>
      </w:r>
      <w:r w:rsidR="0009791D">
        <w:rPr>
          <w:lang w:val="es-ES"/>
        </w:rPr>
        <w:t>os</w:t>
      </w:r>
      <w:r w:rsidR="00C21966" w:rsidRPr="00074CDB">
        <w:rPr>
          <w:lang w:val="es-ES"/>
        </w:rPr>
        <w:t xml:space="preserve">, </w:t>
      </w:r>
      <w:r w:rsidR="0009791D">
        <w:rPr>
          <w:lang w:val="es-ES"/>
        </w:rPr>
        <w:t xml:space="preserve">y éstos </w:t>
      </w:r>
      <w:r w:rsidR="00C21966" w:rsidRPr="00074CDB">
        <w:rPr>
          <w:lang w:val="es-ES"/>
        </w:rPr>
        <w:t xml:space="preserve">sólo pueden ser personas </w:t>
      </w:r>
      <w:r w:rsidR="00CD6BF7" w:rsidRPr="00074CDB">
        <w:rPr>
          <w:lang w:val="es-ES"/>
        </w:rPr>
        <w:t xml:space="preserve">que, </w:t>
      </w:r>
      <w:r w:rsidR="00C21966" w:rsidRPr="00074CDB">
        <w:rPr>
          <w:lang w:val="es-ES"/>
        </w:rPr>
        <w:t>debidamente capacitadas y acreditadas, forman parte de la nómina del personal</w:t>
      </w:r>
      <w:r w:rsidR="00971EC8" w:rsidRPr="00074CDB">
        <w:rPr>
          <w:lang w:val="es-ES"/>
        </w:rPr>
        <w:t xml:space="preserve"> de la entidad a la que sirven</w:t>
      </w:r>
      <w:r w:rsidR="00C21966" w:rsidRPr="00074CDB">
        <w:rPr>
          <w:lang w:val="es-ES"/>
        </w:rPr>
        <w:t>. En Brasil es un derecho del vigilante portar arma en servicio</w:t>
      </w:r>
      <w:r w:rsidR="004A1563" w:rsidRPr="00560A20">
        <w:rPr>
          <w:rStyle w:val="FootnoteReference"/>
          <w:lang w:val="es-ES"/>
        </w:rPr>
        <w:footnoteReference w:id="84"/>
      </w:r>
      <w:r w:rsidR="00C21966" w:rsidRPr="000A674F">
        <w:rPr>
          <w:lang w:val="es-ES"/>
        </w:rPr>
        <w:t>.</w:t>
      </w:r>
    </w:p>
    <w:p w14:paraId="2C0108FE" w14:textId="73BCCDF2" w:rsidR="003B756F" w:rsidRPr="00074CDB" w:rsidRDefault="000E4155" w:rsidP="00A31EE0">
      <w:pPr>
        <w:spacing w:line="240" w:lineRule="atLeast"/>
        <w:jc w:val="both"/>
        <w:rPr>
          <w:lang w:val="es-ES"/>
        </w:rPr>
      </w:pPr>
      <w:r w:rsidRPr="00074CDB">
        <w:rPr>
          <w:lang w:val="es-ES"/>
        </w:rPr>
        <w:t>En Uruguay</w:t>
      </w:r>
      <w:r w:rsidR="001B5332">
        <w:rPr>
          <w:lang w:val="es-ES"/>
        </w:rPr>
        <w:t>,</w:t>
      </w:r>
      <w:r w:rsidRPr="00074CDB">
        <w:rPr>
          <w:lang w:val="es-ES"/>
        </w:rPr>
        <w:t xml:space="preserve"> el Decreto 275/1999 (Art. 6, d) dispone que </w:t>
      </w:r>
      <w:r w:rsidR="001B5332">
        <w:rPr>
          <w:lang w:val="es-ES"/>
        </w:rPr>
        <w:t xml:space="preserve">si </w:t>
      </w:r>
      <w:r w:rsidRPr="00074CDB">
        <w:rPr>
          <w:lang w:val="es-ES"/>
        </w:rPr>
        <w:t xml:space="preserve">una persona </w:t>
      </w:r>
      <w:r w:rsidR="001B5332">
        <w:rPr>
          <w:lang w:val="es-ES"/>
        </w:rPr>
        <w:t>natural</w:t>
      </w:r>
      <w:r w:rsidRPr="00074CDB">
        <w:rPr>
          <w:lang w:val="es-ES"/>
        </w:rPr>
        <w:t xml:space="preserve"> solicitare la habilitación para prestar servicio con arma</w:t>
      </w:r>
      <w:r w:rsidR="001B5332">
        <w:rPr>
          <w:lang w:val="es-ES"/>
        </w:rPr>
        <w:t>,</w:t>
      </w:r>
      <w:r w:rsidRPr="00074CDB">
        <w:rPr>
          <w:lang w:val="es-ES"/>
        </w:rPr>
        <w:t xml:space="preserve"> deberá adjuntar la documentación probatoria de su capacidad en su uso, </w:t>
      </w:r>
      <w:r w:rsidRPr="00074CDB">
        <w:rPr>
          <w:lang w:val="es-ES"/>
        </w:rPr>
        <w:lastRenderedPageBreak/>
        <w:t>expedido por Instituto Público o Privado habilitado por el Ministerio del Interior o</w:t>
      </w:r>
      <w:r w:rsidR="001B5332">
        <w:rPr>
          <w:lang w:val="es-ES"/>
        </w:rPr>
        <w:t>,</w:t>
      </w:r>
      <w:r w:rsidRPr="00074CDB">
        <w:rPr>
          <w:lang w:val="es-ES"/>
        </w:rPr>
        <w:t xml:space="preserve"> en su defecto</w:t>
      </w:r>
      <w:r w:rsidR="001B5332">
        <w:rPr>
          <w:lang w:val="es-ES"/>
        </w:rPr>
        <w:t>,</w:t>
      </w:r>
      <w:r w:rsidRPr="00074CDB">
        <w:rPr>
          <w:lang w:val="es-ES"/>
        </w:rPr>
        <w:t xml:space="preserve"> la presentación de antecedentes curriculares, que a juicio del Ministerio los exima de capacitación adicional (caso de ex funcionarios policiales o milit</w:t>
      </w:r>
      <w:r w:rsidR="00A53BE5" w:rsidRPr="00074CDB">
        <w:rPr>
          <w:lang w:val="es-ES"/>
        </w:rPr>
        <w:t>ares). La regulación de E</w:t>
      </w:r>
      <w:r w:rsidR="00A53BE5" w:rsidRPr="006B4C84">
        <w:rPr>
          <w:lang w:val="es-ES"/>
        </w:rPr>
        <w:t xml:space="preserve">cuador </w:t>
      </w:r>
      <w:r w:rsidRPr="006B4C84">
        <w:rPr>
          <w:lang w:val="es-ES"/>
        </w:rPr>
        <w:t xml:space="preserve">indica que la autorización y registro para tener y portar armas de fuego </w:t>
      </w:r>
      <w:r w:rsidR="001B5332">
        <w:rPr>
          <w:lang w:val="es-ES"/>
        </w:rPr>
        <w:t>por</w:t>
      </w:r>
      <w:r w:rsidRPr="006B4C84">
        <w:rPr>
          <w:lang w:val="es-ES"/>
        </w:rPr>
        <w:t xml:space="preserve"> estas compañías</w:t>
      </w:r>
      <w:r w:rsidRPr="00074CDB">
        <w:rPr>
          <w:lang w:val="es-ES"/>
        </w:rPr>
        <w:t xml:space="preserve"> la otorga el Comando Conjunto de las Fuerzas Armadas</w:t>
      </w:r>
      <w:r w:rsidR="001B5332">
        <w:rPr>
          <w:lang w:val="es-ES"/>
        </w:rPr>
        <w:t>,</w:t>
      </w:r>
      <w:r w:rsidRPr="00074CDB">
        <w:rPr>
          <w:lang w:val="es-ES"/>
        </w:rPr>
        <w:t xml:space="preserve"> y es quien determina las características, calibre y más especificaciones</w:t>
      </w:r>
      <w:r w:rsidRPr="00560A20">
        <w:rPr>
          <w:lang w:val="es-ES"/>
        </w:rPr>
        <w:t xml:space="preserve"> técnicas de las armas de fuego</w:t>
      </w:r>
      <w:r w:rsidR="001B5332">
        <w:rPr>
          <w:lang w:val="es-ES"/>
        </w:rPr>
        <w:t>. Esta</w:t>
      </w:r>
      <w:r w:rsidRPr="00560A20">
        <w:rPr>
          <w:lang w:val="es-ES"/>
        </w:rPr>
        <w:t xml:space="preserve"> norma exige un reporte anual sobre la dotación de armas, </w:t>
      </w:r>
      <w:r w:rsidR="001B5332">
        <w:rPr>
          <w:lang w:val="es-ES"/>
        </w:rPr>
        <w:t xml:space="preserve">sus </w:t>
      </w:r>
      <w:r w:rsidRPr="00560A20">
        <w:rPr>
          <w:lang w:val="es-ES"/>
        </w:rPr>
        <w:t>características y estado, el que se entrega a</w:t>
      </w:r>
      <w:r w:rsidR="001B5332">
        <w:rPr>
          <w:lang w:val="es-ES"/>
        </w:rPr>
        <w:t>l mismo</w:t>
      </w:r>
      <w:r w:rsidRPr="00560A20">
        <w:rPr>
          <w:lang w:val="es-ES"/>
        </w:rPr>
        <w:t xml:space="preserve">  </w:t>
      </w:r>
      <w:r w:rsidR="001B5332">
        <w:rPr>
          <w:lang w:val="es-ES"/>
        </w:rPr>
        <w:t>C</w:t>
      </w:r>
      <w:r w:rsidRPr="00560A20">
        <w:rPr>
          <w:lang w:val="es-ES"/>
        </w:rPr>
        <w:t>omando Conjunto</w:t>
      </w:r>
      <w:r w:rsidR="00A5738A" w:rsidRPr="000A674F">
        <w:rPr>
          <w:rStyle w:val="FootnoteReference"/>
          <w:lang w:val="es-ES"/>
        </w:rPr>
        <w:footnoteReference w:id="85"/>
      </w:r>
      <w:r w:rsidRPr="000A674F">
        <w:rPr>
          <w:lang w:val="es-ES"/>
        </w:rPr>
        <w:t>.</w:t>
      </w:r>
      <w:r w:rsidR="001B5332">
        <w:rPr>
          <w:lang w:val="es-ES"/>
        </w:rPr>
        <w:t xml:space="preserve"> Por otra parte, l</w:t>
      </w:r>
      <w:r w:rsidRPr="000A674F">
        <w:rPr>
          <w:lang w:val="es-ES"/>
        </w:rPr>
        <w:t>a ley de control de armas</w:t>
      </w:r>
      <w:r w:rsidRPr="00074CDB">
        <w:rPr>
          <w:lang w:val="es-ES"/>
        </w:rPr>
        <w:t>, agrega que las armas de fuego, municiones y otros accesorios se adquirirán previa autorización del Ministerio de Defensa Nacional</w:t>
      </w:r>
      <w:r w:rsidR="00A5738A" w:rsidRPr="00074CDB">
        <w:rPr>
          <w:rStyle w:val="FootnoteReference"/>
          <w:lang w:val="es-ES"/>
        </w:rPr>
        <w:footnoteReference w:id="86"/>
      </w:r>
      <w:r w:rsidRPr="00074CDB">
        <w:rPr>
          <w:lang w:val="es-ES"/>
        </w:rPr>
        <w:t xml:space="preserve">. </w:t>
      </w:r>
      <w:r w:rsidR="00A53BE5" w:rsidRPr="00074CDB">
        <w:rPr>
          <w:lang w:val="es-ES"/>
        </w:rPr>
        <w:t>En Ecuador se debe entregar y mantener un registro actualizado de armas que lleva la autoridad competente, la que puede su</w:t>
      </w:r>
      <w:r w:rsidR="00FE7AB9" w:rsidRPr="00074CDB">
        <w:rPr>
          <w:lang w:val="es-ES"/>
        </w:rPr>
        <w:t>spender o cancelar los permisos</w:t>
      </w:r>
      <w:r w:rsidR="00B53738" w:rsidRPr="00074CDB">
        <w:rPr>
          <w:lang w:val="es-ES"/>
        </w:rPr>
        <w:t>, y</w:t>
      </w:r>
      <w:r w:rsidR="00611C35" w:rsidRPr="00074CDB">
        <w:rPr>
          <w:lang w:val="es-ES"/>
        </w:rPr>
        <w:t xml:space="preserve"> </w:t>
      </w:r>
      <w:r w:rsidR="00FE7AB9" w:rsidRPr="00074CDB">
        <w:rPr>
          <w:lang w:val="es-ES"/>
        </w:rPr>
        <w:t>l</w:t>
      </w:r>
      <w:r w:rsidR="00A53BE5" w:rsidRPr="00074CDB">
        <w:rPr>
          <w:lang w:val="es-ES"/>
        </w:rPr>
        <w:t xml:space="preserve">os representantes legales de las compañías deben entregar un informe anual sobre </w:t>
      </w:r>
      <w:r w:rsidR="001B5332">
        <w:rPr>
          <w:lang w:val="es-ES"/>
        </w:rPr>
        <w:t xml:space="preserve">el </w:t>
      </w:r>
      <w:r w:rsidR="00A53BE5" w:rsidRPr="00074CDB">
        <w:rPr>
          <w:lang w:val="es-ES"/>
        </w:rPr>
        <w:t>armamento disp</w:t>
      </w:r>
      <w:r w:rsidR="00824E6E" w:rsidRPr="00074CDB">
        <w:rPr>
          <w:lang w:val="es-ES"/>
        </w:rPr>
        <w:t>onible y su estado</w:t>
      </w:r>
      <w:r w:rsidR="00A53BE5" w:rsidRPr="00074CDB">
        <w:rPr>
          <w:lang w:val="es-ES"/>
        </w:rPr>
        <w:t>.</w:t>
      </w:r>
      <w:r w:rsidR="000A2539" w:rsidRPr="00074CDB">
        <w:rPr>
          <w:lang w:val="es-ES"/>
        </w:rPr>
        <w:t xml:space="preserve"> </w:t>
      </w:r>
    </w:p>
    <w:p w14:paraId="3EC2D3FC" w14:textId="26913340" w:rsidR="007A360F" w:rsidRPr="000A674F" w:rsidRDefault="000E4155" w:rsidP="00A31EE0">
      <w:pPr>
        <w:spacing w:line="240" w:lineRule="atLeast"/>
        <w:jc w:val="both"/>
      </w:pPr>
      <w:r w:rsidRPr="00074CDB">
        <w:rPr>
          <w:lang w:val="es-ES"/>
        </w:rPr>
        <w:t xml:space="preserve">En </w:t>
      </w:r>
      <w:r w:rsidRPr="006B4C84">
        <w:rPr>
          <w:lang w:val="es-ES"/>
        </w:rPr>
        <w:t>Perú</w:t>
      </w:r>
      <w:r w:rsidR="002C160B">
        <w:rPr>
          <w:lang w:val="es-ES"/>
        </w:rPr>
        <w:t>,</w:t>
      </w:r>
      <w:r w:rsidRPr="006B4C84">
        <w:rPr>
          <w:lang w:val="es-ES"/>
        </w:rPr>
        <w:t xml:space="preserve"> la</w:t>
      </w:r>
      <w:r w:rsidRPr="00560A20">
        <w:rPr>
          <w:lang w:val="es-ES"/>
        </w:rPr>
        <w:t xml:space="preserve"> autorización y licencia de armas a los servicios de SP </w:t>
      </w:r>
      <w:r w:rsidR="00F4385C" w:rsidRPr="000A674F">
        <w:rPr>
          <w:lang w:val="es-ES"/>
        </w:rPr>
        <w:t xml:space="preserve">le </w:t>
      </w:r>
      <w:r w:rsidRPr="000A674F">
        <w:rPr>
          <w:lang w:val="es-ES"/>
        </w:rPr>
        <w:t xml:space="preserve">corresponde </w:t>
      </w:r>
      <w:r w:rsidR="002C160B">
        <w:rPr>
          <w:lang w:val="es-ES"/>
        </w:rPr>
        <w:t xml:space="preserve">otorgarla </w:t>
      </w:r>
      <w:r w:rsidRPr="000A674F">
        <w:rPr>
          <w:lang w:val="es-ES"/>
        </w:rPr>
        <w:t>a la D</w:t>
      </w:r>
      <w:r w:rsidRPr="006B4C84">
        <w:rPr>
          <w:lang w:val="es-ES"/>
        </w:rPr>
        <w:t>irección de Control de Servicios de Seguridad y Control de Armas, Municiones y Explosivos de Uso Civil (DICSCAMEC)</w:t>
      </w:r>
      <w:r w:rsidR="002C160B">
        <w:rPr>
          <w:lang w:val="es-ES"/>
        </w:rPr>
        <w:t>.</w:t>
      </w:r>
      <w:r w:rsidRPr="006B4C84">
        <w:rPr>
          <w:lang w:val="es-ES"/>
        </w:rPr>
        <w:t xml:space="preserve"> </w:t>
      </w:r>
      <w:r w:rsidR="002C160B">
        <w:rPr>
          <w:lang w:val="es-ES"/>
        </w:rPr>
        <w:t>L</w:t>
      </w:r>
      <w:r w:rsidRPr="006B4C84">
        <w:rPr>
          <w:lang w:val="es-ES"/>
        </w:rPr>
        <w:t xml:space="preserve">a Ley </w:t>
      </w:r>
      <w:r w:rsidR="00F4385C" w:rsidRPr="006B4C84">
        <w:rPr>
          <w:lang w:val="es-ES"/>
        </w:rPr>
        <w:t xml:space="preserve">N° </w:t>
      </w:r>
      <w:r w:rsidRPr="006B4C84">
        <w:rPr>
          <w:lang w:val="es-ES"/>
        </w:rPr>
        <w:t>28.879 señala entre las obligaciones de las empresas especializadas que prestan servicios de seguridad privada</w:t>
      </w:r>
      <w:r w:rsidR="002C160B">
        <w:rPr>
          <w:lang w:val="es-ES"/>
        </w:rPr>
        <w:t>,</w:t>
      </w:r>
      <w:r w:rsidRPr="006B4C84">
        <w:rPr>
          <w:lang w:val="es-ES"/>
        </w:rPr>
        <w:t xml:space="preserve"> la de poseer licencias empresariales de propiedad de las armas y municiones que no son de guerra</w:t>
      </w:r>
      <w:r w:rsidRPr="00560A20">
        <w:rPr>
          <w:lang w:val="es-ES"/>
        </w:rPr>
        <w:t>, identificando los tipos de armas y municiones que emplean en función de las modalidades de servicios que prestan; exige al personal operativo contar con una licencia para la pos</w:t>
      </w:r>
      <w:r w:rsidRPr="000A674F">
        <w:rPr>
          <w:lang w:val="es-ES"/>
        </w:rPr>
        <w:t>esión y uso de armas de no guerra, identificando los tipos de armas para los cuales se encuentran calificados y de acuerdo a la modalidad del servicio que desempeña. Esta licencia sólo será otorgada cuando el personal operativo preste servicios a través d</w:t>
      </w:r>
      <w:r w:rsidR="0003201D" w:rsidRPr="000A674F">
        <w:rPr>
          <w:lang w:val="es-ES"/>
        </w:rPr>
        <w:t>e</w:t>
      </w:r>
      <w:r w:rsidR="0003201D" w:rsidRPr="006B4C84">
        <w:rPr>
          <w:lang w:val="es-ES"/>
        </w:rPr>
        <w:t xml:space="preserve"> empresas de seguridad privada,</w:t>
      </w:r>
      <w:r w:rsidRPr="006B4C84">
        <w:rPr>
          <w:lang w:val="es-ES"/>
        </w:rPr>
        <w:t xml:space="preserve"> o servicios individuales de seguridad personal</w:t>
      </w:r>
      <w:r w:rsidR="00A53BE5" w:rsidRPr="006B4C84">
        <w:rPr>
          <w:rStyle w:val="FootnoteReference"/>
          <w:lang w:val="es-ES"/>
        </w:rPr>
        <w:footnoteReference w:id="87"/>
      </w:r>
      <w:r w:rsidRPr="006B4C84">
        <w:rPr>
          <w:lang w:val="es-ES"/>
        </w:rPr>
        <w:t>. El Reglamento agrega que</w:t>
      </w:r>
      <w:r w:rsidR="0027449A">
        <w:rPr>
          <w:lang w:val="es-ES"/>
        </w:rPr>
        <w:t>,</w:t>
      </w:r>
      <w:r w:rsidRPr="006B4C84">
        <w:rPr>
          <w:lang w:val="es-ES"/>
        </w:rPr>
        <w:t xml:space="preserve"> </w:t>
      </w:r>
      <w:r w:rsidRPr="006B4C84">
        <w:t>de acuerdo a la cantidad de armas autorizadas a una E</w:t>
      </w:r>
      <w:r w:rsidR="00647DD4" w:rsidRPr="006B4C84">
        <w:t>SP</w:t>
      </w:r>
      <w:r w:rsidR="0027449A">
        <w:t>,</w:t>
      </w:r>
      <w:r w:rsidR="00647DD4" w:rsidRPr="006B4C84">
        <w:t xml:space="preserve"> deberán contar con armerías -</w:t>
      </w:r>
      <w:r w:rsidRPr="006B4C84">
        <w:t>lugar para la custodia, registro y asignación de armas y municiones- o caja fuerte, para el caso que no tenga más de 10 armas</w:t>
      </w:r>
      <w:r w:rsidR="0027449A">
        <w:t>.</w:t>
      </w:r>
      <w:r w:rsidR="0068180D">
        <w:t xml:space="preserve"> </w:t>
      </w:r>
      <w:r w:rsidR="0027449A">
        <w:t>L</w:t>
      </w:r>
      <w:r w:rsidRPr="00560A20">
        <w:t xml:space="preserve">as </w:t>
      </w:r>
      <w:proofErr w:type="spellStart"/>
      <w:r w:rsidRPr="00560A20">
        <w:t>ESP</w:t>
      </w:r>
      <w:r w:rsidR="0068180D">
        <w:t>s</w:t>
      </w:r>
      <w:proofErr w:type="spellEnd"/>
      <w:r w:rsidRPr="00560A20">
        <w:t xml:space="preserve"> deben mantener un sistema de supervisión y control de las armas. </w:t>
      </w:r>
    </w:p>
    <w:p w14:paraId="534B50F9" w14:textId="6CF2B3C8" w:rsidR="00C87316" w:rsidRPr="006B4C84" w:rsidRDefault="000E4155" w:rsidP="00A31EE0">
      <w:pPr>
        <w:spacing w:line="240" w:lineRule="atLeast"/>
        <w:jc w:val="both"/>
      </w:pPr>
      <w:r w:rsidRPr="006B4C84">
        <w:t>Brasil, en s</w:t>
      </w:r>
      <w:r w:rsidRPr="00560A20">
        <w:t xml:space="preserve">u Ley Federal, dispone que el </w:t>
      </w:r>
      <w:r w:rsidRPr="006B4C84">
        <w:t>Ministerio de Justicia</w:t>
      </w:r>
      <w:r w:rsidRPr="00560A20">
        <w:t xml:space="preserve"> (por sí o por convenio con las Secretarías de Segurid</w:t>
      </w:r>
      <w:r w:rsidRPr="000A674F">
        <w:t xml:space="preserve">ad Pública) </w:t>
      </w:r>
      <w:r w:rsidRPr="006B4C84">
        <w:t>fija la naturaleza y cantidad de armas de propiedad de las empresas especializadas</w:t>
      </w:r>
      <w:r w:rsidR="002B68E2" w:rsidRPr="006B4C84">
        <w:t xml:space="preserve"> y establecimientos financieros,</w:t>
      </w:r>
      <w:r w:rsidRPr="006B4C84">
        <w:t xml:space="preserve"> autoriza la adquisición de armas y municiones, las fisc</w:t>
      </w:r>
      <w:r w:rsidR="00FB03A1" w:rsidRPr="006B4C84">
        <w:t>aliza y controla</w:t>
      </w:r>
      <w:r w:rsidR="00FB03A1" w:rsidRPr="00560A20">
        <w:t xml:space="preserve"> las utilizadas</w:t>
      </w:r>
      <w:r w:rsidR="0072634B">
        <w:t>. L</w:t>
      </w:r>
      <w:r w:rsidR="00C87316" w:rsidRPr="000A674F">
        <w:t>a</w:t>
      </w:r>
      <w:r w:rsidR="00FB03A1" w:rsidRPr="000A674F">
        <w:t xml:space="preserve"> norma</w:t>
      </w:r>
      <w:r w:rsidR="006B70C2" w:rsidRPr="006B4C84">
        <w:t xml:space="preserve"> también </w:t>
      </w:r>
      <w:r w:rsidR="0072634B" w:rsidRPr="006B4C84">
        <w:t xml:space="preserve">señala </w:t>
      </w:r>
      <w:r w:rsidR="00C93182" w:rsidRPr="006B4C84">
        <w:t xml:space="preserve">que </w:t>
      </w:r>
      <w:r w:rsidR="006B70C2" w:rsidRPr="006B4C84">
        <w:t xml:space="preserve">diversas armas no letales </w:t>
      </w:r>
      <w:r w:rsidR="00297BFA" w:rsidRPr="006B4C84">
        <w:t>pueden ser autorizada</w:t>
      </w:r>
      <w:r w:rsidR="006B70C2" w:rsidRPr="006B4C84">
        <w:t xml:space="preserve">s a las empresas </w:t>
      </w:r>
      <w:r w:rsidR="00C93182" w:rsidRPr="006B4C84">
        <w:t>especializadas de seguridad y a las que poseen servicio propio de seguridad</w:t>
      </w:r>
      <w:r w:rsidR="00C93182" w:rsidRPr="00560A20">
        <w:rPr>
          <w:rStyle w:val="FootnoteReference"/>
        </w:rPr>
        <w:footnoteReference w:id="88"/>
      </w:r>
      <w:r w:rsidR="008F4F08" w:rsidRPr="000A674F">
        <w:t>.</w:t>
      </w:r>
      <w:r w:rsidR="007176CC" w:rsidRPr="000A674F">
        <w:t xml:space="preserve">  La </w:t>
      </w:r>
      <w:r w:rsidR="00900E96">
        <w:t>legis</w:t>
      </w:r>
      <w:r w:rsidR="007176CC" w:rsidRPr="000A674F">
        <w:t xml:space="preserve">lación </w:t>
      </w:r>
      <w:r w:rsidR="00900E96">
        <w:t xml:space="preserve">sobre seguridad privada </w:t>
      </w:r>
      <w:r w:rsidR="007176CC" w:rsidRPr="000A674F">
        <w:t xml:space="preserve">de </w:t>
      </w:r>
      <w:r w:rsidR="007176CC" w:rsidRPr="006B4C84">
        <w:t xml:space="preserve">Chile </w:t>
      </w:r>
      <w:r w:rsidR="007176CC" w:rsidRPr="00560A20">
        <w:t>señala que en el caso de entidades y organismos que no sean banco</w:t>
      </w:r>
      <w:r w:rsidR="007176CC" w:rsidRPr="000A674F">
        <w:t>s</w:t>
      </w:r>
      <w:r w:rsidR="004C3E11">
        <w:t>,</w:t>
      </w:r>
      <w:r w:rsidR="007176CC" w:rsidRPr="000A674F">
        <w:t xml:space="preserve"> instituciones financieras, empresas estratégicas y otras que están obligadas a contar con servicios de vigilantes privados armados</w:t>
      </w:r>
      <w:r w:rsidR="004C3E11">
        <w:t xml:space="preserve"> -</w:t>
      </w:r>
      <w:r w:rsidR="007176CC" w:rsidRPr="000A674F">
        <w:t>y que obtengan autorización del Ministerio del Interior para disponer de estos servicios</w:t>
      </w:r>
      <w:r w:rsidR="004C3E11">
        <w:t>-</w:t>
      </w:r>
      <w:r w:rsidR="007176CC" w:rsidRPr="000A674F">
        <w:t>, será el Ministerio el que determ</w:t>
      </w:r>
      <w:r w:rsidR="007176CC" w:rsidRPr="006B4C84">
        <w:t xml:space="preserve">ine las armas autorizadas, de acuerdo a la ley especial </w:t>
      </w:r>
      <w:r w:rsidR="00647DD4" w:rsidRPr="006B4C84">
        <w:t>sobre su control</w:t>
      </w:r>
      <w:r w:rsidR="004C3E11">
        <w:t>.</w:t>
      </w:r>
      <w:r w:rsidR="0068180D">
        <w:t xml:space="preserve"> </w:t>
      </w:r>
      <w:r w:rsidR="004C3E11">
        <w:t>E</w:t>
      </w:r>
      <w:r w:rsidR="007176CC" w:rsidRPr="006B4C84">
        <w:t>ntre los requisitos para obtener autorización de porte</w:t>
      </w:r>
      <w:r w:rsidR="004C3E11">
        <w:t xml:space="preserve"> de arma de fuego</w:t>
      </w:r>
      <w:r w:rsidR="007176CC" w:rsidRPr="006B4C84">
        <w:t xml:space="preserve"> está el de acreditar aptitud física y psíquica</w:t>
      </w:r>
      <w:r w:rsidR="00074CDB">
        <w:t xml:space="preserve"> </w:t>
      </w:r>
      <w:r w:rsidR="007176CC" w:rsidRPr="006B4C84">
        <w:t>cada cinco año</w:t>
      </w:r>
      <w:r w:rsidR="007176CC" w:rsidRPr="00560A20">
        <w:t>s, tener entrenamiento en su uso</w:t>
      </w:r>
      <w:r w:rsidR="001E06AF" w:rsidRPr="000A674F">
        <w:t xml:space="preserve">, </w:t>
      </w:r>
      <w:r w:rsidR="001E06AF" w:rsidRPr="006B4C84">
        <w:t xml:space="preserve">no haber sido condenado por crimen o simple delito, </w:t>
      </w:r>
      <w:r w:rsidR="001E14F5" w:rsidRPr="006B4C84">
        <w:t>y no haber sido sancionado</w:t>
      </w:r>
      <w:r w:rsidR="001E14F5" w:rsidRPr="00560A20">
        <w:t xml:space="preserve"> en procesos relacionados con la Ley </w:t>
      </w:r>
      <w:r w:rsidR="001E14F5" w:rsidRPr="006B4C84">
        <w:t>de violencia intrafamiliar</w:t>
      </w:r>
      <w:r w:rsidR="001E14F5" w:rsidRPr="00560A20">
        <w:rPr>
          <w:rStyle w:val="FootnoteReference"/>
        </w:rPr>
        <w:footnoteReference w:id="89"/>
      </w:r>
      <w:r w:rsidR="001E14F5" w:rsidRPr="000A674F">
        <w:t>.</w:t>
      </w:r>
      <w:r w:rsidR="007176CC" w:rsidRPr="000A674F">
        <w:t xml:space="preserve"> </w:t>
      </w:r>
    </w:p>
    <w:p w14:paraId="0B6E45EA" w14:textId="35E7E808" w:rsidR="002F5BB9" w:rsidRPr="00560A20" w:rsidRDefault="00A84584" w:rsidP="002F5BB9">
      <w:pPr>
        <w:spacing w:line="240" w:lineRule="atLeast"/>
        <w:jc w:val="both"/>
        <w:rPr>
          <w:lang w:val="es-ES"/>
        </w:rPr>
      </w:pPr>
      <w:r w:rsidRPr="006B4C84">
        <w:lastRenderedPageBreak/>
        <w:t>En Colombia</w:t>
      </w:r>
      <w:r w:rsidR="002641A9">
        <w:t>, entre las exigencias</w:t>
      </w:r>
      <w:r w:rsidR="0068180D">
        <w:t xml:space="preserve"> </w:t>
      </w:r>
      <w:r w:rsidRPr="006B4C84">
        <w:t xml:space="preserve">para obtener licencia de </w:t>
      </w:r>
      <w:r w:rsidR="002641A9">
        <w:t>funcionamiento</w:t>
      </w:r>
      <w:r w:rsidR="008A41B0">
        <w:t xml:space="preserve"> –de las empresas de vigilancia y seguridad privada, </w:t>
      </w:r>
      <w:r w:rsidR="008A41B0" w:rsidRPr="0068180D">
        <w:t>los departamentos de seguridad establecidos al interior de una empresa, las cooperativas de vigilancia y seguridad, las escuelas de capacitación y entrenamiento-</w:t>
      </w:r>
      <w:r w:rsidR="002641A9">
        <w:t xml:space="preserve">, </w:t>
      </w:r>
      <w:r w:rsidRPr="006B4C84">
        <w:t>es necesari</w:t>
      </w:r>
      <w:r w:rsidR="002641A9">
        <w:t>o</w:t>
      </w:r>
      <w:r w:rsidRPr="006B4C84">
        <w:rPr>
          <w:lang w:val="es-ES"/>
        </w:rPr>
        <w:t xml:space="preserve"> contrata</w:t>
      </w:r>
      <w:r w:rsidR="002641A9">
        <w:rPr>
          <w:lang w:val="es-ES"/>
        </w:rPr>
        <w:t>r</w:t>
      </w:r>
      <w:r w:rsidRPr="006B4C84">
        <w:rPr>
          <w:lang w:val="es-ES"/>
        </w:rPr>
        <w:t xml:space="preserve"> una póliza de seguro de responsabilida</w:t>
      </w:r>
      <w:r w:rsidR="00C04AB2" w:rsidRPr="006B4C84">
        <w:rPr>
          <w:lang w:val="es-ES"/>
        </w:rPr>
        <w:t>d civil extracontractual</w:t>
      </w:r>
      <w:r w:rsidR="00C04AB2" w:rsidRPr="00560A20">
        <w:rPr>
          <w:lang w:val="es-ES"/>
        </w:rPr>
        <w:t xml:space="preserve"> para</w:t>
      </w:r>
      <w:r w:rsidRPr="000A674F">
        <w:rPr>
          <w:lang w:val="es-ES"/>
        </w:rPr>
        <w:t xml:space="preserve"> cubrir los </w:t>
      </w:r>
      <w:r w:rsidRPr="006B4C84">
        <w:rPr>
          <w:lang w:val="es-ES"/>
        </w:rPr>
        <w:t>riesgos de uso indebido de</w:t>
      </w:r>
      <w:r w:rsidRPr="00560A20">
        <w:rPr>
          <w:lang w:val="es-ES"/>
        </w:rPr>
        <w:t xml:space="preserve"> armas de fuego y otros </w:t>
      </w:r>
      <w:r w:rsidR="00A5199C" w:rsidRPr="000A674F">
        <w:rPr>
          <w:lang w:val="es-ES"/>
        </w:rPr>
        <w:t>elementos de seguridad privada</w:t>
      </w:r>
      <w:r w:rsidR="00A5199C" w:rsidRPr="000A674F">
        <w:rPr>
          <w:rStyle w:val="FootnoteReference"/>
          <w:lang w:val="es-ES"/>
        </w:rPr>
        <w:footnoteReference w:id="90"/>
      </w:r>
      <w:r w:rsidR="00253D00" w:rsidRPr="006B4C84">
        <w:rPr>
          <w:lang w:val="es-ES"/>
        </w:rPr>
        <w:t>.</w:t>
      </w:r>
      <w:r w:rsidR="00366AFB" w:rsidRPr="006B4C84">
        <w:rPr>
          <w:lang w:val="es-ES"/>
        </w:rPr>
        <w:t xml:space="preserve"> </w:t>
      </w:r>
      <w:r w:rsidR="00253D00" w:rsidRPr="006B4C84">
        <w:rPr>
          <w:lang w:val="es-ES"/>
        </w:rPr>
        <w:t>L</w:t>
      </w:r>
      <w:r w:rsidR="00A5199C" w:rsidRPr="006B4C84">
        <w:rPr>
          <w:lang w:val="es-ES"/>
        </w:rPr>
        <w:t>a Ley de control de armas</w:t>
      </w:r>
      <w:r w:rsidR="00F97A78" w:rsidRPr="006B4C84">
        <w:rPr>
          <w:lang w:val="es-ES"/>
        </w:rPr>
        <w:t xml:space="preserve"> </w:t>
      </w:r>
      <w:r w:rsidR="00870D75" w:rsidRPr="006B4C84">
        <w:rPr>
          <w:lang w:val="es-ES"/>
        </w:rPr>
        <w:t>distingue entre el permiso de tenencia para</w:t>
      </w:r>
      <w:r w:rsidR="00E7480C" w:rsidRPr="006B4C84">
        <w:rPr>
          <w:lang w:val="es-ES"/>
        </w:rPr>
        <w:t xml:space="preserve"> personas naturales y jurídicas</w:t>
      </w:r>
      <w:r w:rsidR="00870D75" w:rsidRPr="006B4C84">
        <w:rPr>
          <w:lang w:val="es-ES"/>
        </w:rPr>
        <w:t xml:space="preserve"> y el permiso de porte de armas para personas naturales y servicios de vigilancia y seguridad privada, debiendo estos últimos cumplir con los requisitos para </w:t>
      </w:r>
      <w:r w:rsidR="00870D75" w:rsidRPr="006B4C84">
        <w:rPr>
          <w:i/>
          <w:lang w:val="es-ES"/>
        </w:rPr>
        <w:t>tenencia</w:t>
      </w:r>
      <w:r w:rsidR="00870D75" w:rsidRPr="006B4C84">
        <w:rPr>
          <w:lang w:val="es-ES"/>
        </w:rPr>
        <w:t xml:space="preserve"> de personas jurídicas, </w:t>
      </w:r>
      <w:r w:rsidR="00727648" w:rsidRPr="006B4C84">
        <w:rPr>
          <w:lang w:val="es-ES"/>
        </w:rPr>
        <w:t xml:space="preserve">entre los que </w:t>
      </w:r>
      <w:r w:rsidR="00870D75" w:rsidRPr="006B4C84">
        <w:rPr>
          <w:lang w:val="es-ES"/>
        </w:rPr>
        <w:t xml:space="preserve"> está contar con el concepto favorable de la Superintendencia</w:t>
      </w:r>
      <w:r w:rsidR="00870D75" w:rsidRPr="006B4C84">
        <w:rPr>
          <w:rStyle w:val="FootnoteReference"/>
          <w:lang w:val="es-ES"/>
        </w:rPr>
        <w:footnoteReference w:id="91"/>
      </w:r>
      <w:r w:rsidR="00870D75" w:rsidRPr="006B4C84">
        <w:rPr>
          <w:lang w:val="es-ES"/>
        </w:rPr>
        <w:t xml:space="preserve">. Esta </w:t>
      </w:r>
      <w:r w:rsidR="00F97A78" w:rsidRPr="006B4C84">
        <w:rPr>
          <w:lang w:val="es-ES"/>
        </w:rPr>
        <w:t>Ley dedica el Título IX a las empresas de vigilancia y SP, y dispone que pueden tener un máximo de un arma de defensa personal</w:t>
      </w:r>
      <w:r w:rsidR="00A76444">
        <w:rPr>
          <w:lang w:val="es-ES"/>
        </w:rPr>
        <w:t xml:space="preserve"> </w:t>
      </w:r>
      <w:r w:rsidR="00283B2D">
        <w:rPr>
          <w:lang w:val="es-ES"/>
        </w:rPr>
        <w:t>(revólveres y pistolas, carabinas calibre 22 y escopetas de hasta 22 pulgadas)</w:t>
      </w:r>
      <w:r w:rsidR="00283B2D">
        <w:rPr>
          <w:rStyle w:val="FootnoteReference"/>
          <w:lang w:val="es-ES"/>
        </w:rPr>
        <w:footnoteReference w:id="92"/>
      </w:r>
      <w:r w:rsidR="00283B2D">
        <w:rPr>
          <w:lang w:val="es-ES"/>
        </w:rPr>
        <w:t>,</w:t>
      </w:r>
      <w:r w:rsidR="00F97A78" w:rsidRPr="006B4C84">
        <w:rPr>
          <w:lang w:val="es-ES"/>
        </w:rPr>
        <w:t xml:space="preserve"> por cada tres vigilantes en nómina</w:t>
      </w:r>
      <w:r w:rsidR="00F97A78" w:rsidRPr="00560A20">
        <w:rPr>
          <w:lang w:val="es-ES"/>
        </w:rPr>
        <w:t xml:space="preserve"> de la empresa, y excepcionalmente armas de uso restringido</w:t>
      </w:r>
      <w:r w:rsidR="00DC5A7B">
        <w:rPr>
          <w:lang w:val="es-ES"/>
        </w:rPr>
        <w:t>,</w:t>
      </w:r>
      <w:r w:rsidR="00953967" w:rsidRPr="000A674F">
        <w:rPr>
          <w:lang w:val="es-ES"/>
        </w:rPr>
        <w:t xml:space="preserve"> autorizadas por el Comité de Armas del Ministerio de Defensa Nacional y la Superintendencia, estando debidamente capacitados y acreditados</w:t>
      </w:r>
      <w:r w:rsidR="00953967" w:rsidRPr="006B4C84">
        <w:rPr>
          <w:rStyle w:val="FootnoteReference"/>
          <w:lang w:val="es-ES"/>
        </w:rPr>
        <w:footnoteReference w:id="93"/>
      </w:r>
      <w:r w:rsidR="006A2A7F" w:rsidRPr="006B4C84">
        <w:rPr>
          <w:lang w:val="es-ES"/>
        </w:rPr>
        <w:t xml:space="preserve">, y las municiones deben adquirirse ante la autoridad competente. </w:t>
      </w:r>
      <w:r w:rsidR="002F5BB9" w:rsidRPr="006B4C84">
        <w:rPr>
          <w:lang w:val="es-ES"/>
        </w:rPr>
        <w:t>En Ecuador la dotación de armamento se autoriza en proporción a la cobertura de las compañías y el límite es “la estricta proporción</w:t>
      </w:r>
      <w:r w:rsidR="002F5BB9" w:rsidRPr="00560A20">
        <w:rPr>
          <w:lang w:val="es-ES"/>
        </w:rPr>
        <w:t xml:space="preserve"> a la capacidad de cobertura de</w:t>
      </w:r>
      <w:r w:rsidR="002F5BB9" w:rsidRPr="000A674F">
        <w:rPr>
          <w:lang w:val="es-ES"/>
        </w:rPr>
        <w:t xml:space="preserve"> las compañías”</w:t>
      </w:r>
      <w:r w:rsidR="0039123B" w:rsidRPr="000A674F">
        <w:rPr>
          <w:rStyle w:val="FootnoteReference"/>
          <w:lang w:val="es-ES"/>
        </w:rPr>
        <w:footnoteReference w:id="94"/>
      </w:r>
      <w:r w:rsidR="00727648" w:rsidRPr="006B4C84">
        <w:rPr>
          <w:lang w:val="es-ES"/>
        </w:rPr>
        <w:t>;</w:t>
      </w:r>
      <w:r w:rsidR="0039123B" w:rsidRPr="006B4C84">
        <w:rPr>
          <w:lang w:val="es-ES"/>
        </w:rPr>
        <w:t xml:space="preserve"> el Reglamento dispone</w:t>
      </w:r>
      <w:r w:rsidR="002F5BB9" w:rsidRPr="006B4C84">
        <w:rPr>
          <w:lang w:val="es-ES"/>
        </w:rPr>
        <w:t xml:space="preserve"> un arma cada dos guardias tratándose de vigilancia fija, y una para cada agente en caso de vigilancia móvil</w:t>
      </w:r>
      <w:r w:rsidR="002F5BB9" w:rsidRPr="00560A20">
        <w:rPr>
          <w:lang w:val="es-ES"/>
        </w:rPr>
        <w:t xml:space="preserve"> e </w:t>
      </w:r>
      <w:r w:rsidR="002F5BB9" w:rsidRPr="000A674F">
        <w:rPr>
          <w:lang w:val="es-ES"/>
        </w:rPr>
        <w:t>investigadores</w:t>
      </w:r>
      <w:r w:rsidR="002F5BB9" w:rsidRPr="006B4C84">
        <w:rPr>
          <w:lang w:val="es-ES"/>
        </w:rPr>
        <w:t xml:space="preserve"> privados</w:t>
      </w:r>
      <w:r w:rsidR="002F5BB9" w:rsidRPr="006B4C84">
        <w:rPr>
          <w:rStyle w:val="FootnoteReference"/>
          <w:lang w:val="es-ES"/>
        </w:rPr>
        <w:footnoteReference w:id="95"/>
      </w:r>
      <w:r w:rsidR="002F5BB9" w:rsidRPr="006B4C84">
        <w:rPr>
          <w:lang w:val="es-ES"/>
        </w:rPr>
        <w:t>. Otros disponen un arma por cada vigilante privado,</w:t>
      </w:r>
      <w:r w:rsidR="002F5BB9" w:rsidRPr="006B4C84">
        <w:rPr>
          <w:i/>
          <w:lang w:val="es-ES"/>
        </w:rPr>
        <w:t xml:space="preserve"> </w:t>
      </w:r>
      <w:r w:rsidR="002F5BB9" w:rsidRPr="006B4C84">
        <w:rPr>
          <w:lang w:val="es-ES"/>
        </w:rPr>
        <w:t>como Chile.</w:t>
      </w:r>
      <w:r w:rsidR="002F5BB9" w:rsidRPr="00560A20">
        <w:rPr>
          <w:lang w:val="es-ES"/>
        </w:rPr>
        <w:t xml:space="preserve"> </w:t>
      </w:r>
    </w:p>
    <w:p w14:paraId="207CD33D" w14:textId="7969DA90" w:rsidR="000E4155" w:rsidRPr="006B4C84" w:rsidRDefault="00180328" w:rsidP="00A31EE0">
      <w:pPr>
        <w:spacing w:line="240" w:lineRule="atLeast"/>
        <w:jc w:val="both"/>
        <w:rPr>
          <w:lang w:val="es-ES"/>
        </w:rPr>
      </w:pPr>
      <w:r>
        <w:rPr>
          <w:lang w:val="es-ES"/>
        </w:rPr>
        <w:t>Una</w:t>
      </w:r>
      <w:r w:rsidR="000E4155" w:rsidRPr="006B4C84">
        <w:rPr>
          <w:lang w:val="es-ES"/>
        </w:rPr>
        <w:t xml:space="preserve"> exigencia </w:t>
      </w:r>
      <w:r w:rsidR="002F5BB9" w:rsidRPr="006B4C84">
        <w:rPr>
          <w:lang w:val="es-ES"/>
        </w:rPr>
        <w:t xml:space="preserve">común </w:t>
      </w:r>
      <w:r w:rsidR="000E4155" w:rsidRPr="006B4C84">
        <w:rPr>
          <w:lang w:val="es-ES"/>
        </w:rPr>
        <w:t>es</w:t>
      </w:r>
      <w:r w:rsidR="00A1558F">
        <w:rPr>
          <w:lang w:val="es-ES"/>
        </w:rPr>
        <w:t xml:space="preserve"> </w:t>
      </w:r>
      <w:r>
        <w:rPr>
          <w:lang w:val="es-ES"/>
        </w:rPr>
        <w:t xml:space="preserve">que las </w:t>
      </w:r>
      <w:proofErr w:type="spellStart"/>
      <w:r>
        <w:rPr>
          <w:lang w:val="es-ES"/>
        </w:rPr>
        <w:t>ESPs</w:t>
      </w:r>
      <w:proofErr w:type="spellEnd"/>
      <w:r>
        <w:rPr>
          <w:lang w:val="es-ES"/>
        </w:rPr>
        <w:t xml:space="preserve"> </w:t>
      </w:r>
      <w:r w:rsidR="000E4155" w:rsidRPr="006B4C84">
        <w:rPr>
          <w:lang w:val="es-ES"/>
        </w:rPr>
        <w:t>pose</w:t>
      </w:r>
      <w:r>
        <w:rPr>
          <w:lang w:val="es-ES"/>
        </w:rPr>
        <w:t>an</w:t>
      </w:r>
      <w:r w:rsidR="000E4155" w:rsidRPr="006B4C84">
        <w:rPr>
          <w:lang w:val="es-ES"/>
        </w:rPr>
        <w:t xml:space="preserve"> infraestructura adecuada para el resguardo y custodia de las armas y municiones, donde deben permanecer una vez que el personal termina su jornada de trabajo. También se debe mantener un registro de ingreso y salida de armas, altas y bajas. El servicio de transporte de valores se realiza siempre con armas de fuego.</w:t>
      </w:r>
    </w:p>
    <w:p w14:paraId="6FC08B99" w14:textId="77777777" w:rsidR="00C42615" w:rsidRPr="000A674F" w:rsidRDefault="000E4155" w:rsidP="00A31EE0">
      <w:pPr>
        <w:spacing w:line="240" w:lineRule="atLeast"/>
        <w:jc w:val="both"/>
        <w:rPr>
          <w:lang w:val="es-ES"/>
        </w:rPr>
      </w:pPr>
      <w:r w:rsidRPr="006B4C84">
        <w:rPr>
          <w:lang w:val="es-ES"/>
        </w:rPr>
        <w:t>Es interesante observar si se regula el destino de las armas cuando una empresa de SP ve reducido su personal o termina sus funciones,</w:t>
      </w:r>
      <w:r w:rsidRPr="00560A20">
        <w:rPr>
          <w:lang w:val="es-ES"/>
        </w:rPr>
        <w:t xml:space="preserve"> a fin de ejercer un control efectivo sobre las armas de fuego en poder de empresas, guardias y vigilantes privados. La Ley de </w:t>
      </w:r>
      <w:r w:rsidRPr="006B4C84">
        <w:rPr>
          <w:lang w:val="es-ES"/>
        </w:rPr>
        <w:t>Buenos Aires señala que, en caso de cese de funciones de la ESP las armas y municiones deben ser puestas a disposición de la Autoridad de Aplicación hasta que la ESP justifique el destino o uso que les dará, y la Autoridad de Aplicación lo autorice</w:t>
      </w:r>
      <w:r w:rsidR="00BD638D" w:rsidRPr="00560A20">
        <w:rPr>
          <w:rStyle w:val="FootnoteReference"/>
          <w:lang w:val="es-ES"/>
        </w:rPr>
        <w:footnoteReference w:id="96"/>
      </w:r>
      <w:r w:rsidRPr="000A674F">
        <w:rPr>
          <w:lang w:val="es-ES"/>
        </w:rPr>
        <w:t>. El reglamento ecuatoriano indica que las armas fuera de uso deben permanecer en depósitos de la compañía y ser</w:t>
      </w:r>
      <w:r w:rsidRPr="006B4C84">
        <w:rPr>
          <w:lang w:val="es-ES"/>
        </w:rPr>
        <w:t xml:space="preserve"> inspeccionadas en cualquier </w:t>
      </w:r>
      <w:r w:rsidR="00366AFB" w:rsidRPr="006B4C84">
        <w:rPr>
          <w:lang w:val="es-ES"/>
        </w:rPr>
        <w:t>momento por el Comando Conjunto</w:t>
      </w:r>
      <w:r w:rsidRPr="006B4C84">
        <w:rPr>
          <w:lang w:val="es-ES"/>
        </w:rPr>
        <w:t xml:space="preserve"> de las Fuerzas armadas (Art. 17).</w:t>
      </w:r>
      <w:r w:rsidR="00C42615" w:rsidRPr="006B4C84">
        <w:rPr>
          <w:lang w:val="es-ES"/>
        </w:rPr>
        <w:t xml:space="preserve"> En caso de disolución o cancelación de la licencia de funcionamiento</w:t>
      </w:r>
      <w:r w:rsidR="00BD638D" w:rsidRPr="006B4C84">
        <w:rPr>
          <w:lang w:val="es-ES"/>
        </w:rPr>
        <w:t>, l</w:t>
      </w:r>
      <w:r w:rsidR="00C42615" w:rsidRPr="006B4C84">
        <w:rPr>
          <w:lang w:val="es-ES"/>
        </w:rPr>
        <w:t xml:space="preserve">a regulación colombiana dispone que </w:t>
      </w:r>
      <w:proofErr w:type="gramStart"/>
      <w:r w:rsidR="00C42615" w:rsidRPr="006B4C84">
        <w:rPr>
          <w:lang w:val="es-ES"/>
        </w:rPr>
        <w:t>deberán</w:t>
      </w:r>
      <w:proofErr w:type="gramEnd"/>
      <w:r w:rsidR="00C42615" w:rsidRPr="006B4C84">
        <w:rPr>
          <w:lang w:val="es-ES"/>
        </w:rPr>
        <w:t xml:space="preserve"> entregar el armamento, municiones y credenciales al Comando General de las Fuerzas Militares, y en caso de suspensión de labores se entregarán las armas y municiones a la unidad militar correspondiente, el que se devolverá una vez restablecidas las labores.</w:t>
      </w:r>
      <w:r w:rsidR="00B336E2" w:rsidRPr="006B4C84">
        <w:rPr>
          <w:lang w:val="es-ES"/>
        </w:rPr>
        <w:t xml:space="preserve"> El reglamento peruano dispone que en caso de cancelación o vencimiento de la autorización, el encargado de liquidar la </w:t>
      </w:r>
      <w:r w:rsidR="00B336E2" w:rsidRPr="006B4C84">
        <w:rPr>
          <w:lang w:val="es-ES"/>
        </w:rPr>
        <w:lastRenderedPageBreak/>
        <w:t xml:space="preserve">empresa </w:t>
      </w:r>
      <w:proofErr w:type="gramStart"/>
      <w:r w:rsidR="00B336E2" w:rsidRPr="006B4C84">
        <w:rPr>
          <w:lang w:val="es-ES"/>
        </w:rPr>
        <w:t>debe</w:t>
      </w:r>
      <w:proofErr w:type="gramEnd"/>
      <w:r w:rsidR="00B336E2" w:rsidRPr="006B4C84">
        <w:rPr>
          <w:lang w:val="es-ES"/>
        </w:rPr>
        <w:t xml:space="preserve"> transferirlas de acuerdo a la ley o entregarlas en calidad de depósito a</w:t>
      </w:r>
      <w:r w:rsidR="00B336E2" w:rsidRPr="00560A20">
        <w:rPr>
          <w:lang w:val="es-ES"/>
        </w:rPr>
        <w:t xml:space="preserve"> la DICSCAMEC (Art. 70).</w:t>
      </w:r>
    </w:p>
    <w:p w14:paraId="48B84E83" w14:textId="518EA774" w:rsidR="00BD638D" w:rsidRPr="00560A20" w:rsidRDefault="00971EC8" w:rsidP="00A31EE0">
      <w:pPr>
        <w:spacing w:line="240" w:lineRule="atLeast"/>
        <w:jc w:val="both"/>
        <w:rPr>
          <w:sz w:val="18"/>
          <w:szCs w:val="18"/>
          <w:lang w:val="es-ES"/>
        </w:rPr>
      </w:pPr>
      <w:r w:rsidRPr="006B4C84">
        <w:rPr>
          <w:lang w:val="es-ES"/>
        </w:rPr>
        <w:t>En la regulación de las actividades y empresas de seguridad privada n</w:t>
      </w:r>
      <w:r w:rsidR="00BD638D" w:rsidRPr="006B4C84">
        <w:rPr>
          <w:lang w:val="es-ES"/>
        </w:rPr>
        <w:t xml:space="preserve">o se encuentran normas que hagan mención a armas adquiridas en el mercado ilegal, o al tráfico de estas, ni tampoco hay infracciones que apunten a </w:t>
      </w:r>
      <w:r w:rsidR="000D1032">
        <w:rPr>
          <w:lang w:val="es-ES"/>
        </w:rPr>
        <w:t>sancionar la adquisición y/o porte de</w:t>
      </w:r>
      <w:r w:rsidR="00BD638D" w:rsidRPr="006B4C84">
        <w:rPr>
          <w:lang w:val="es-ES"/>
        </w:rPr>
        <w:t xml:space="preserve"> armas de origen ilegal.</w:t>
      </w:r>
    </w:p>
    <w:p w14:paraId="61A8E103" w14:textId="7B58E17A" w:rsidR="000E4155" w:rsidRPr="006B4C84" w:rsidRDefault="000E4155" w:rsidP="00A31EE0">
      <w:pPr>
        <w:spacing w:line="240" w:lineRule="atLeast"/>
        <w:jc w:val="both"/>
        <w:rPr>
          <w:lang w:val="es-ES"/>
        </w:rPr>
      </w:pPr>
      <w:r w:rsidRPr="000A674F">
        <w:rPr>
          <w:lang w:val="es-ES"/>
        </w:rPr>
        <w:t xml:space="preserve">En materia de tenencia y porte de armas, se observan </w:t>
      </w:r>
      <w:r w:rsidR="00990C2B" w:rsidRPr="006B4C84">
        <w:rPr>
          <w:lang w:val="es-ES"/>
        </w:rPr>
        <w:t>como buenas prácticas</w:t>
      </w:r>
      <w:r w:rsidRPr="006B4C84">
        <w:rPr>
          <w:lang w:val="es-ES"/>
        </w:rPr>
        <w:t>: definir en la ley el calibre máximo y tipo de arma; exigir capacitación por instancias acreditadas por la autoridad</w:t>
      </w:r>
      <w:r w:rsidR="00727648" w:rsidRPr="006B4C84">
        <w:rPr>
          <w:lang w:val="es-ES"/>
        </w:rPr>
        <w:t>;</w:t>
      </w:r>
      <w:r w:rsidRPr="006B4C84">
        <w:rPr>
          <w:lang w:val="es-ES"/>
        </w:rPr>
        <w:t xml:space="preserve"> </w:t>
      </w:r>
      <w:r w:rsidR="00727648" w:rsidRPr="006B4C84">
        <w:rPr>
          <w:lang w:val="es-ES"/>
        </w:rPr>
        <w:t xml:space="preserve">el </w:t>
      </w:r>
      <w:r w:rsidRPr="006B4C84">
        <w:rPr>
          <w:lang w:val="es-ES"/>
        </w:rPr>
        <w:t>registro actualizado de armas de fuego y municiones con un reporte</w:t>
      </w:r>
      <w:r w:rsidR="00E1176F">
        <w:rPr>
          <w:lang w:val="es-ES"/>
        </w:rPr>
        <w:t xml:space="preserve"> periódico</w:t>
      </w:r>
      <w:r w:rsidRPr="006B4C84">
        <w:rPr>
          <w:lang w:val="es-ES"/>
        </w:rPr>
        <w:t xml:space="preserve"> sobre cantidad, tipo y estado de las armas; regular el destino de las armas en caso de </w:t>
      </w:r>
      <w:r w:rsidR="00E1176F">
        <w:rPr>
          <w:lang w:val="es-ES"/>
        </w:rPr>
        <w:t xml:space="preserve">producirse una </w:t>
      </w:r>
      <w:r w:rsidRPr="006B4C84">
        <w:rPr>
          <w:lang w:val="es-ES"/>
        </w:rPr>
        <w:t xml:space="preserve">reducción </w:t>
      </w:r>
      <w:r w:rsidR="00E1176F">
        <w:rPr>
          <w:lang w:val="es-ES"/>
        </w:rPr>
        <w:t>determinada</w:t>
      </w:r>
      <w:r w:rsidRPr="006B4C84">
        <w:rPr>
          <w:lang w:val="es-ES"/>
        </w:rPr>
        <w:t xml:space="preserve"> del personal o término de la empresa; limitar el porte a las zonas de trabajo según contrato; </w:t>
      </w:r>
      <w:r w:rsidR="00E1176F">
        <w:rPr>
          <w:lang w:val="es-ES"/>
        </w:rPr>
        <w:t>realizar</w:t>
      </w:r>
      <w:r w:rsidR="00727648" w:rsidRPr="006B4C84">
        <w:rPr>
          <w:lang w:val="es-ES"/>
        </w:rPr>
        <w:t xml:space="preserve"> </w:t>
      </w:r>
      <w:r w:rsidRPr="006B4C84">
        <w:rPr>
          <w:lang w:val="es-ES"/>
        </w:rPr>
        <w:t xml:space="preserve">inspecciones </w:t>
      </w:r>
      <w:r w:rsidR="00E1176F">
        <w:rPr>
          <w:lang w:val="es-ES"/>
        </w:rPr>
        <w:t>periódica</w:t>
      </w:r>
      <w:r w:rsidRPr="006B4C84">
        <w:rPr>
          <w:lang w:val="es-ES"/>
        </w:rPr>
        <w:t>s de los depósitos de armas y municiones</w:t>
      </w:r>
      <w:r w:rsidR="00E1176F">
        <w:rPr>
          <w:lang w:val="es-ES"/>
        </w:rPr>
        <w:t>,</w:t>
      </w:r>
      <w:r w:rsidR="00727648" w:rsidRPr="006B4C84">
        <w:rPr>
          <w:lang w:val="es-ES"/>
        </w:rPr>
        <w:t xml:space="preserve"> y exigir informe cuando un arma sea usada</w:t>
      </w:r>
      <w:r w:rsidRPr="006B4C84">
        <w:rPr>
          <w:lang w:val="es-ES"/>
        </w:rPr>
        <w:t>.</w:t>
      </w:r>
      <w:r w:rsidR="003C15A3" w:rsidRPr="006B4C84">
        <w:rPr>
          <w:lang w:val="es-ES"/>
        </w:rPr>
        <w:t xml:space="preserve"> La licencia para tenencia y porte </w:t>
      </w:r>
      <w:r w:rsidR="009A6908" w:rsidRPr="006B4C84">
        <w:rPr>
          <w:lang w:val="es-ES"/>
        </w:rPr>
        <w:t xml:space="preserve">de armas </w:t>
      </w:r>
      <w:r w:rsidR="003C15A3" w:rsidRPr="006B4C84">
        <w:rPr>
          <w:lang w:val="es-ES"/>
        </w:rPr>
        <w:t xml:space="preserve">debe ser renovada </w:t>
      </w:r>
      <w:r w:rsidR="007E1136">
        <w:rPr>
          <w:lang w:val="es-ES"/>
        </w:rPr>
        <w:t xml:space="preserve">exigiendo la presentación de </w:t>
      </w:r>
      <w:r w:rsidR="00502E4D" w:rsidRPr="006B4C84">
        <w:rPr>
          <w:lang w:val="es-ES"/>
        </w:rPr>
        <w:t>un</w:t>
      </w:r>
      <w:r w:rsidR="003C15A3" w:rsidRPr="006B4C84">
        <w:rPr>
          <w:lang w:val="es-ES"/>
        </w:rPr>
        <w:t xml:space="preserve"> </w:t>
      </w:r>
      <w:r w:rsidR="009A6908" w:rsidRPr="006B4C84">
        <w:rPr>
          <w:lang w:val="es-ES"/>
        </w:rPr>
        <w:t xml:space="preserve">nuevo </w:t>
      </w:r>
      <w:r w:rsidR="00502E4D" w:rsidRPr="006B4C84">
        <w:rPr>
          <w:lang w:val="es-ES"/>
        </w:rPr>
        <w:t>examen</w:t>
      </w:r>
      <w:r w:rsidR="003C15A3" w:rsidRPr="006B4C84">
        <w:rPr>
          <w:lang w:val="es-ES"/>
        </w:rPr>
        <w:t xml:space="preserve"> psicológico</w:t>
      </w:r>
      <w:r w:rsidR="00502E4D" w:rsidRPr="006B4C84">
        <w:rPr>
          <w:lang w:val="es-ES"/>
        </w:rPr>
        <w:t xml:space="preserve"> y </w:t>
      </w:r>
      <w:r w:rsidR="009A6908" w:rsidRPr="006B4C84">
        <w:rPr>
          <w:lang w:val="es-ES"/>
        </w:rPr>
        <w:t xml:space="preserve">acreditar la </w:t>
      </w:r>
      <w:r w:rsidR="00502E4D" w:rsidRPr="006B4C84">
        <w:rPr>
          <w:lang w:val="es-ES"/>
        </w:rPr>
        <w:t xml:space="preserve">ausencia de antecedentes </w:t>
      </w:r>
      <w:r w:rsidR="007E1136">
        <w:rPr>
          <w:lang w:val="es-ES"/>
        </w:rPr>
        <w:t xml:space="preserve">penales y </w:t>
      </w:r>
      <w:r w:rsidR="00643EA1" w:rsidRPr="006B4C84">
        <w:rPr>
          <w:lang w:val="es-ES"/>
        </w:rPr>
        <w:t>de haber participado en actos de violencia (por ejemplo, violencia doméstica).</w:t>
      </w:r>
    </w:p>
    <w:p w14:paraId="15C26CED" w14:textId="266DC2D0" w:rsidR="000E4155" w:rsidRPr="006B4C84" w:rsidRDefault="000E4155" w:rsidP="00757BF7">
      <w:pPr>
        <w:pStyle w:val="Heading1"/>
        <w:numPr>
          <w:ilvl w:val="0"/>
          <w:numId w:val="3"/>
        </w:numPr>
        <w:ind w:left="426" w:hanging="426"/>
        <w:rPr>
          <w:sz w:val="22"/>
          <w:szCs w:val="22"/>
        </w:rPr>
      </w:pPr>
      <w:bookmarkStart w:id="8" w:name="_Toc407199166"/>
      <w:r w:rsidRPr="006B4C84">
        <w:rPr>
          <w:sz w:val="22"/>
          <w:szCs w:val="22"/>
        </w:rPr>
        <w:t>Uso de la fuerza y armas de fuego</w:t>
      </w:r>
      <w:bookmarkEnd w:id="8"/>
    </w:p>
    <w:p w14:paraId="5ED98841" w14:textId="25667ED4" w:rsidR="00A84584" w:rsidRPr="006B4C84" w:rsidRDefault="00490B80" w:rsidP="00366AFB">
      <w:pPr>
        <w:spacing w:line="240" w:lineRule="atLeast"/>
        <w:jc w:val="both"/>
        <w:rPr>
          <w:lang w:val="es-ES"/>
        </w:rPr>
      </w:pPr>
      <w:r w:rsidRPr="006B4C84">
        <w:rPr>
          <w:lang w:val="es-ES"/>
        </w:rPr>
        <w:t>L</w:t>
      </w:r>
      <w:r w:rsidR="00BD638D" w:rsidRPr="006B4C84">
        <w:rPr>
          <w:lang w:val="es-ES"/>
        </w:rPr>
        <w:t>a tenencia y</w:t>
      </w:r>
      <w:r w:rsidR="00366AFB" w:rsidRPr="006B4C84">
        <w:rPr>
          <w:lang w:val="es-ES"/>
        </w:rPr>
        <w:t xml:space="preserve"> porte </w:t>
      </w:r>
      <w:r w:rsidR="000E4155" w:rsidRPr="006B4C84">
        <w:rPr>
          <w:lang w:val="es-ES"/>
        </w:rPr>
        <w:t>se restringe a los lugares en los cuales se prestan los servicios de seguridad y vigilancia -según contrato-</w:t>
      </w:r>
      <w:r w:rsidR="00CA04C1">
        <w:rPr>
          <w:lang w:val="es-ES"/>
        </w:rPr>
        <w:t>,</w:t>
      </w:r>
      <w:r w:rsidR="000E4155" w:rsidRPr="006B4C84">
        <w:rPr>
          <w:lang w:val="es-ES"/>
        </w:rPr>
        <w:t xml:space="preserve"> fuera de dichos lugares su porte y uso no está permitido (Buenos Aires, Chile, Colombia, Ecuador),</w:t>
      </w:r>
      <w:r w:rsidR="000E4155" w:rsidRPr="00560A20">
        <w:rPr>
          <w:lang w:val="es-ES"/>
        </w:rPr>
        <w:t xml:space="preserve"> pudiendo</w:t>
      </w:r>
      <w:r w:rsidRPr="000A674F">
        <w:rPr>
          <w:lang w:val="es-ES"/>
        </w:rPr>
        <w:t xml:space="preserve"> dar lugar al </w:t>
      </w:r>
      <w:r w:rsidRPr="006B4C84">
        <w:rPr>
          <w:lang w:val="es-ES"/>
        </w:rPr>
        <w:t>decomiso del arma</w:t>
      </w:r>
      <w:r w:rsidRPr="00560A20">
        <w:rPr>
          <w:lang w:val="es-ES"/>
        </w:rPr>
        <w:t>, sin perjuicio de otras sanciones contempladas en la Ley, como es</w:t>
      </w:r>
      <w:r w:rsidR="00BD638D" w:rsidRPr="000A674F">
        <w:rPr>
          <w:lang w:val="es-ES"/>
        </w:rPr>
        <w:t xml:space="preserve"> el </w:t>
      </w:r>
      <w:r w:rsidR="000E4155" w:rsidRPr="006B4C84">
        <w:rPr>
          <w:lang w:val="es-ES"/>
        </w:rPr>
        <w:t xml:space="preserve">caso de </w:t>
      </w:r>
      <w:r w:rsidRPr="006B4C84">
        <w:rPr>
          <w:lang w:val="es-ES"/>
        </w:rPr>
        <w:t>Ecuador y Colombia</w:t>
      </w:r>
      <w:r w:rsidRPr="006B4C84">
        <w:rPr>
          <w:rStyle w:val="FootnoteReference"/>
          <w:lang w:val="es-ES"/>
        </w:rPr>
        <w:footnoteReference w:id="97"/>
      </w:r>
      <w:r w:rsidR="0020150B">
        <w:rPr>
          <w:lang w:val="es-ES"/>
        </w:rPr>
        <w:t xml:space="preserve">; </w:t>
      </w:r>
      <w:r w:rsidR="0020150B" w:rsidRPr="00560A20">
        <w:rPr>
          <w:lang w:val="es-ES"/>
        </w:rPr>
        <w:t>Buenos Aires</w:t>
      </w:r>
      <w:r w:rsidR="0020150B" w:rsidRPr="000A674F">
        <w:rPr>
          <w:lang w:val="es-ES"/>
        </w:rPr>
        <w:t>, por ejemplo,</w:t>
      </w:r>
      <w:r w:rsidR="0020150B">
        <w:rPr>
          <w:lang w:val="es-ES"/>
        </w:rPr>
        <w:t xml:space="preserve"> precisa que deben ser</w:t>
      </w:r>
      <w:r w:rsidR="0020150B" w:rsidRPr="000A674F">
        <w:rPr>
          <w:lang w:val="es-ES"/>
        </w:rPr>
        <w:t xml:space="preserve"> lugares “sin libre acceso al Público”</w:t>
      </w:r>
      <w:r w:rsidR="0020150B" w:rsidRPr="00074CDB">
        <w:rPr>
          <w:rStyle w:val="FootnoteReference"/>
          <w:lang w:val="es-ES"/>
        </w:rPr>
        <w:footnoteReference w:id="98"/>
      </w:r>
      <w:r w:rsidR="0020150B" w:rsidRPr="00074CDB">
        <w:rPr>
          <w:lang w:val="es-ES"/>
        </w:rPr>
        <w:t>.</w:t>
      </w:r>
      <w:r w:rsidR="000E4155" w:rsidRPr="006B4C84">
        <w:rPr>
          <w:lang w:val="es-ES"/>
        </w:rPr>
        <w:t xml:space="preserve">También se exige que al final de la jornada de trabajo las armas sean entregadas y queden en depósitos </w:t>
      </w:r>
      <w:r w:rsidR="00842F9E" w:rsidRPr="006B4C84">
        <w:rPr>
          <w:lang w:val="es-ES"/>
        </w:rPr>
        <w:t>debidamente habilitados por</w:t>
      </w:r>
      <w:r w:rsidR="000E4155" w:rsidRPr="006B4C84">
        <w:rPr>
          <w:lang w:val="es-ES"/>
        </w:rPr>
        <w:t xml:space="preserve"> la empresa</w:t>
      </w:r>
      <w:r w:rsidR="00C71EB7" w:rsidRPr="006B4C84">
        <w:rPr>
          <w:lang w:val="es-ES"/>
        </w:rPr>
        <w:t>.</w:t>
      </w:r>
    </w:p>
    <w:p w14:paraId="4726CD6F" w14:textId="6F7F5722" w:rsidR="000E4155" w:rsidRPr="006B4C84" w:rsidRDefault="00E961FA" w:rsidP="00366AFB">
      <w:pPr>
        <w:spacing w:line="240" w:lineRule="atLeast"/>
        <w:jc w:val="both"/>
        <w:rPr>
          <w:lang w:val="es-ES"/>
        </w:rPr>
      </w:pPr>
      <w:r w:rsidRPr="006B4C84">
        <w:rPr>
          <w:lang w:val="es-ES"/>
        </w:rPr>
        <w:t>En los</w:t>
      </w:r>
      <w:r w:rsidR="000E4155" w:rsidRPr="006B4C84">
        <w:rPr>
          <w:lang w:val="es-ES"/>
        </w:rPr>
        <w:t xml:space="preserve"> ocho países </w:t>
      </w:r>
      <w:r w:rsidRPr="006B4C84">
        <w:rPr>
          <w:lang w:val="es-ES"/>
        </w:rPr>
        <w:t>se exige</w:t>
      </w:r>
      <w:r w:rsidR="000E4155" w:rsidRPr="006B4C84">
        <w:rPr>
          <w:lang w:val="es-ES"/>
        </w:rPr>
        <w:t xml:space="preserve"> capacitación y entrenamiento</w:t>
      </w:r>
      <w:r w:rsidR="000E4155" w:rsidRPr="00560A20">
        <w:rPr>
          <w:lang w:val="es-ES"/>
        </w:rPr>
        <w:t xml:space="preserve"> en el uso de armas, y corresponde a los centros especializados de formación, debidamente a</w:t>
      </w:r>
      <w:r w:rsidR="000E4155" w:rsidRPr="000A674F">
        <w:rPr>
          <w:lang w:val="es-ES"/>
        </w:rPr>
        <w:t>utorizados y con licencia de funcionamiento, entregar esta instrucción</w:t>
      </w:r>
      <w:r w:rsidR="00602F24">
        <w:rPr>
          <w:lang w:val="es-ES"/>
        </w:rPr>
        <w:t>. L</w:t>
      </w:r>
      <w:r w:rsidR="00602F24" w:rsidRPr="000A674F">
        <w:rPr>
          <w:lang w:val="es-ES"/>
        </w:rPr>
        <w:t xml:space="preserve">as exigencias en </w:t>
      </w:r>
      <w:r w:rsidR="00602F24" w:rsidRPr="006B4C84">
        <w:rPr>
          <w:lang w:val="es-ES"/>
        </w:rPr>
        <w:t xml:space="preserve">la instrucción difieren entre los distintos países. </w:t>
      </w:r>
      <w:r w:rsidR="00CE2A46">
        <w:rPr>
          <w:lang w:val="es-ES"/>
        </w:rPr>
        <w:t>L</w:t>
      </w:r>
      <w:r w:rsidR="000E4155" w:rsidRPr="000A674F">
        <w:rPr>
          <w:lang w:val="es-ES"/>
        </w:rPr>
        <w:t xml:space="preserve">as leyes especiales y reglamentos de </w:t>
      </w:r>
      <w:r w:rsidR="00CE2A46">
        <w:rPr>
          <w:lang w:val="es-ES"/>
        </w:rPr>
        <w:t>seguridad privada</w:t>
      </w:r>
      <w:r w:rsidR="000E4155" w:rsidRPr="000A674F">
        <w:rPr>
          <w:lang w:val="es-ES"/>
        </w:rPr>
        <w:t xml:space="preserve"> remiten a la ley especial sobre control de armas como complemento normativo en la materia. </w:t>
      </w:r>
      <w:r w:rsidR="00180328">
        <w:rPr>
          <w:lang w:val="es-ES"/>
        </w:rPr>
        <w:t>L</w:t>
      </w:r>
      <w:r w:rsidR="000E4155" w:rsidRPr="006B4C84">
        <w:rPr>
          <w:lang w:val="es-ES"/>
        </w:rPr>
        <w:t>a</w:t>
      </w:r>
      <w:r w:rsidR="00180328">
        <w:rPr>
          <w:lang w:val="es-ES"/>
        </w:rPr>
        <w:t>s</w:t>
      </w:r>
      <w:r w:rsidR="000E4155" w:rsidRPr="006B4C84">
        <w:rPr>
          <w:lang w:val="es-ES"/>
        </w:rPr>
        <w:t xml:space="preserve"> ley</w:t>
      </w:r>
      <w:r w:rsidR="00180328">
        <w:rPr>
          <w:lang w:val="es-ES"/>
        </w:rPr>
        <w:t>es</w:t>
      </w:r>
      <w:r w:rsidR="000E4155" w:rsidRPr="006B4C84">
        <w:rPr>
          <w:lang w:val="es-ES"/>
        </w:rPr>
        <w:t xml:space="preserve"> de control de armas </w:t>
      </w:r>
      <w:r w:rsidR="00180328">
        <w:rPr>
          <w:lang w:val="es-ES"/>
        </w:rPr>
        <w:t xml:space="preserve">complementan o </w:t>
      </w:r>
      <w:r w:rsidR="000E4155" w:rsidRPr="006B4C84">
        <w:rPr>
          <w:lang w:val="es-ES"/>
        </w:rPr>
        <w:t>detalla</w:t>
      </w:r>
      <w:r w:rsidR="00180328">
        <w:rPr>
          <w:lang w:val="es-ES"/>
        </w:rPr>
        <w:t>n</w:t>
      </w:r>
      <w:r w:rsidR="000E4155" w:rsidRPr="006B4C84">
        <w:rPr>
          <w:lang w:val="es-ES"/>
        </w:rPr>
        <w:t xml:space="preserve"> las reglas sobre el porte y uso de armas de fuego. Cuando las leyes de seguridad privada no indican el calibre máximo</w:t>
      </w:r>
      <w:r w:rsidR="00B57078">
        <w:rPr>
          <w:lang w:val="es-ES"/>
        </w:rPr>
        <w:t>,</w:t>
      </w:r>
      <w:r w:rsidR="000E4155" w:rsidRPr="006B4C84">
        <w:rPr>
          <w:lang w:val="es-ES"/>
        </w:rPr>
        <w:t xml:space="preserve"> </w:t>
      </w:r>
      <w:r w:rsidR="00241450" w:rsidRPr="006B4C84">
        <w:rPr>
          <w:lang w:val="es-ES"/>
        </w:rPr>
        <w:t>sí</w:t>
      </w:r>
      <w:r w:rsidR="000E4155" w:rsidRPr="006B4C84">
        <w:rPr>
          <w:lang w:val="es-ES"/>
        </w:rPr>
        <w:t xml:space="preserve"> mencionan algunas limitantes genéricas, como “</w:t>
      </w:r>
      <w:r w:rsidR="00241450" w:rsidRPr="006B4C84">
        <w:rPr>
          <w:lang w:val="es-ES"/>
        </w:rPr>
        <w:t>armas</w:t>
      </w:r>
      <w:r w:rsidR="00366827" w:rsidRPr="006B4C84">
        <w:rPr>
          <w:lang w:val="es-ES"/>
        </w:rPr>
        <w:t xml:space="preserve"> </w:t>
      </w:r>
      <w:r w:rsidR="000E4155" w:rsidRPr="006B4C84">
        <w:rPr>
          <w:lang w:val="es-ES"/>
        </w:rPr>
        <w:t>de no guerra” o “armas para u</w:t>
      </w:r>
      <w:r w:rsidR="00366AFB" w:rsidRPr="006B4C84">
        <w:rPr>
          <w:lang w:val="es-ES"/>
        </w:rPr>
        <w:t>so particular” o de “uso civil”</w:t>
      </w:r>
      <w:r w:rsidR="000E4155" w:rsidRPr="006B4C84">
        <w:rPr>
          <w:lang w:val="es-ES"/>
        </w:rPr>
        <w:t xml:space="preserve">. </w:t>
      </w:r>
    </w:p>
    <w:p w14:paraId="763E6377" w14:textId="12AFB77C" w:rsidR="00A654B9" w:rsidRPr="00684A35" w:rsidRDefault="000E4155" w:rsidP="00A654B9">
      <w:pPr>
        <w:spacing w:line="240" w:lineRule="atLeast"/>
        <w:jc w:val="both"/>
        <w:rPr>
          <w:sz w:val="23"/>
          <w:szCs w:val="23"/>
        </w:rPr>
      </w:pPr>
      <w:r w:rsidRPr="006B4C84">
        <w:rPr>
          <w:lang w:val="es-ES"/>
        </w:rPr>
        <w:t xml:space="preserve">El calibre 38 </w:t>
      </w:r>
      <w:r w:rsidR="00202EA6" w:rsidRPr="006B4C84">
        <w:rPr>
          <w:lang w:val="es-ES"/>
        </w:rPr>
        <w:t>es</w:t>
      </w:r>
      <w:r w:rsidR="00202EA6" w:rsidRPr="00560A20">
        <w:rPr>
          <w:lang w:val="es-ES"/>
        </w:rPr>
        <w:t xml:space="preserve"> señalado </w:t>
      </w:r>
      <w:r w:rsidRPr="000A674F">
        <w:rPr>
          <w:lang w:val="es-ES"/>
        </w:rPr>
        <w:t>como el máximo posible de utili</w:t>
      </w:r>
      <w:r w:rsidRPr="006B4C84">
        <w:rPr>
          <w:lang w:val="es-ES"/>
        </w:rPr>
        <w:t>zar por los agentes de seguridad privada</w:t>
      </w:r>
      <w:r w:rsidR="00202EA6" w:rsidRPr="006B4C84">
        <w:rPr>
          <w:lang w:val="es-ES"/>
        </w:rPr>
        <w:t xml:space="preserve"> en </w:t>
      </w:r>
      <w:r w:rsidR="00241450" w:rsidRPr="006B4C84">
        <w:rPr>
          <w:lang w:val="es-ES"/>
        </w:rPr>
        <w:t xml:space="preserve">la ley de </w:t>
      </w:r>
      <w:r w:rsidR="00202EA6" w:rsidRPr="006B4C84">
        <w:rPr>
          <w:lang w:val="es-ES"/>
        </w:rPr>
        <w:t>Bue</w:t>
      </w:r>
      <w:r w:rsidR="00FC1065" w:rsidRPr="006B4C84">
        <w:rPr>
          <w:lang w:val="es-ES"/>
        </w:rPr>
        <w:t>nos Aires y</w:t>
      </w:r>
      <w:r w:rsidR="00202EA6" w:rsidRPr="006B4C84">
        <w:rPr>
          <w:lang w:val="es-ES"/>
        </w:rPr>
        <w:t xml:space="preserve"> Chile</w:t>
      </w:r>
      <w:r w:rsidR="00FC1065" w:rsidRPr="00560A20">
        <w:rPr>
          <w:lang w:val="es-ES"/>
        </w:rPr>
        <w:t xml:space="preserve">, </w:t>
      </w:r>
      <w:r w:rsidR="00806B7B" w:rsidRPr="000A674F">
        <w:rPr>
          <w:lang w:val="es-ES"/>
        </w:rPr>
        <w:t>pero</w:t>
      </w:r>
      <w:r w:rsidR="00FC1065" w:rsidRPr="006B4C84">
        <w:rPr>
          <w:lang w:val="es-ES"/>
        </w:rPr>
        <w:t xml:space="preserve"> amb</w:t>
      </w:r>
      <w:r w:rsidR="001F23B9">
        <w:rPr>
          <w:lang w:val="es-ES"/>
        </w:rPr>
        <w:t>a</w:t>
      </w:r>
      <w:r w:rsidR="00FC1065" w:rsidRPr="006B4C84">
        <w:rPr>
          <w:lang w:val="es-ES"/>
        </w:rPr>
        <w:t>s permiten que excepcionalmente se autoricen armas de mayor</w:t>
      </w:r>
      <w:r w:rsidR="00FC1065" w:rsidRPr="00560A20">
        <w:rPr>
          <w:lang w:val="es-ES"/>
        </w:rPr>
        <w:t xml:space="preserve"> calibre. L</w:t>
      </w:r>
      <w:r w:rsidRPr="000A674F">
        <w:rPr>
          <w:lang w:val="es-ES"/>
        </w:rPr>
        <w:t xml:space="preserve">a ley de </w:t>
      </w:r>
      <w:r w:rsidRPr="006B4C84">
        <w:rPr>
          <w:lang w:val="es-ES"/>
        </w:rPr>
        <w:t>Buenos Aires</w:t>
      </w:r>
      <w:r w:rsidR="00806B7B" w:rsidRPr="00560A20">
        <w:rPr>
          <w:rStyle w:val="FootnoteReference"/>
        </w:rPr>
        <w:footnoteReference w:id="99"/>
      </w:r>
      <w:r w:rsidR="00FC1065" w:rsidRPr="000A674F">
        <w:rPr>
          <w:lang w:val="es-ES"/>
        </w:rPr>
        <w:t xml:space="preserve"> </w:t>
      </w:r>
      <w:r w:rsidRPr="006B4C84">
        <w:rPr>
          <w:lang w:val="es-ES"/>
        </w:rPr>
        <w:t xml:space="preserve">dispone que, excepcionalmente, la Autoridad de </w:t>
      </w:r>
      <w:r w:rsidR="00FC1065" w:rsidRPr="006B4C84">
        <w:rPr>
          <w:lang w:val="es-ES"/>
        </w:rPr>
        <w:t xml:space="preserve">Aplicación </w:t>
      </w:r>
      <w:proofErr w:type="gramStart"/>
      <w:r w:rsidR="00FC1065" w:rsidRPr="006B4C84">
        <w:rPr>
          <w:lang w:val="es-ES"/>
        </w:rPr>
        <w:t>podrá</w:t>
      </w:r>
      <w:proofErr w:type="gramEnd"/>
      <w:r w:rsidRPr="006B4C84">
        <w:rPr>
          <w:lang w:val="es-ES"/>
        </w:rPr>
        <w:t xml:space="preserve"> permitir el uso de armas de calibre superior, carabinas, escopetas y pistolas ametralladoras, cuando los objetivos a cumplir lo justifiqu</w:t>
      </w:r>
      <w:r w:rsidR="00C05D97" w:rsidRPr="006B4C84">
        <w:rPr>
          <w:lang w:val="es-ES"/>
        </w:rPr>
        <w:t>en</w:t>
      </w:r>
      <w:r w:rsidR="00C05D97" w:rsidRPr="00560A20">
        <w:rPr>
          <w:lang w:val="es-ES"/>
        </w:rPr>
        <w:t xml:space="preserve">, también permite armas </w:t>
      </w:r>
      <w:r w:rsidR="00C05D97" w:rsidRPr="006B4C84">
        <w:rPr>
          <w:lang w:val="es-ES"/>
        </w:rPr>
        <w:t>no letales</w:t>
      </w:r>
      <w:r w:rsidR="00C05D97" w:rsidRPr="00560A20">
        <w:rPr>
          <w:lang w:val="es-ES"/>
        </w:rPr>
        <w:t>.</w:t>
      </w:r>
      <w:r w:rsidRPr="000A674F">
        <w:rPr>
          <w:lang w:val="es-ES"/>
        </w:rPr>
        <w:t xml:space="preserve"> </w:t>
      </w:r>
      <w:r w:rsidRPr="006B4C84">
        <w:rPr>
          <w:lang w:val="es-ES"/>
        </w:rPr>
        <w:t>Brasil</w:t>
      </w:r>
      <w:r w:rsidR="00C14E06" w:rsidRPr="006B4C84">
        <w:rPr>
          <w:lang w:val="es-ES"/>
        </w:rPr>
        <w:t xml:space="preserve"> </w:t>
      </w:r>
      <w:r w:rsidRPr="006B4C84">
        <w:rPr>
          <w:lang w:val="es-ES"/>
        </w:rPr>
        <w:t xml:space="preserve">permite </w:t>
      </w:r>
      <w:r w:rsidRPr="000A674F">
        <w:rPr>
          <w:lang w:val="es-ES"/>
        </w:rPr>
        <w:t>a la</w:t>
      </w:r>
      <w:r w:rsidR="006B4C84">
        <w:rPr>
          <w:lang w:val="es-ES"/>
        </w:rPr>
        <w:t>s</w:t>
      </w:r>
      <w:r w:rsidRPr="000A674F">
        <w:rPr>
          <w:lang w:val="es-ES"/>
        </w:rPr>
        <w:t xml:space="preserve"> </w:t>
      </w:r>
      <w:proofErr w:type="spellStart"/>
      <w:r w:rsidRPr="000A674F">
        <w:rPr>
          <w:lang w:val="es-ES"/>
        </w:rPr>
        <w:t>ESP</w:t>
      </w:r>
      <w:r w:rsidR="001F23B9">
        <w:rPr>
          <w:lang w:val="es-ES"/>
        </w:rPr>
        <w:t>s</w:t>
      </w:r>
      <w:proofErr w:type="spellEnd"/>
      <w:r w:rsidRPr="000A674F">
        <w:rPr>
          <w:lang w:val="es-ES"/>
        </w:rPr>
        <w:t xml:space="preserve"> a portar </w:t>
      </w:r>
      <w:r w:rsidRPr="006B4C84">
        <w:rPr>
          <w:lang w:val="es-ES"/>
        </w:rPr>
        <w:lastRenderedPageBreak/>
        <w:t xml:space="preserve">revólver calibre 32 o 38, y en el caso del transporte de valores </w:t>
      </w:r>
      <w:r w:rsidR="00BA6765" w:rsidRPr="006B4C84">
        <w:rPr>
          <w:lang w:val="es-ES"/>
        </w:rPr>
        <w:t xml:space="preserve">el </w:t>
      </w:r>
      <w:r w:rsidRPr="006B4C84">
        <w:t>fusil de repetición calibre 38,</w:t>
      </w:r>
      <w:r w:rsidR="007B2A72" w:rsidRPr="006B4C84">
        <w:t xml:space="preserve"> y escopetas calibre 12, 16, 22</w:t>
      </w:r>
      <w:r w:rsidR="007B2A72" w:rsidRPr="006B4C84">
        <w:rPr>
          <w:rStyle w:val="FootnoteReference"/>
        </w:rPr>
        <w:footnoteReference w:id="100"/>
      </w:r>
      <w:r w:rsidRPr="006B4C84">
        <w:rPr>
          <w:lang w:val="es-ES"/>
        </w:rPr>
        <w:t xml:space="preserve"> </w:t>
      </w:r>
      <w:r w:rsidRPr="006B4C84">
        <w:t>y pistolas semiautomáticas calibre 380</w:t>
      </w:r>
      <w:r w:rsidRPr="00560A20">
        <w:t xml:space="preserve"> y 7,65; esta</w:t>
      </w:r>
      <w:r w:rsidR="00BA6765" w:rsidRPr="000A674F">
        <w:t>s</w:t>
      </w:r>
      <w:r w:rsidRPr="006B4C84">
        <w:t xml:space="preserve"> últimas también las pueden usar las empresas que proveen s</w:t>
      </w:r>
      <w:r w:rsidR="00C14E06" w:rsidRPr="006B4C84">
        <w:t>ervicios de seguridad personal</w:t>
      </w:r>
      <w:r w:rsidR="00BA6765" w:rsidRPr="006B4C84">
        <w:t>.</w:t>
      </w:r>
      <w:r w:rsidR="006B4C84">
        <w:t xml:space="preserve"> </w:t>
      </w:r>
      <w:r w:rsidR="00BA6765" w:rsidRPr="006B4C84">
        <w:t>A</w:t>
      </w:r>
      <w:r w:rsidRPr="006B4C84">
        <w:t xml:space="preserve">demás, </w:t>
      </w:r>
      <w:r w:rsidR="00C14E06" w:rsidRPr="006B4C84">
        <w:t xml:space="preserve">permite </w:t>
      </w:r>
      <w:r w:rsidRPr="006B4C84">
        <w:t xml:space="preserve">que las </w:t>
      </w:r>
      <w:proofErr w:type="spellStart"/>
      <w:r w:rsidRPr="006B4C84">
        <w:t>ESP</w:t>
      </w:r>
      <w:r w:rsidR="001F23B9">
        <w:t>s</w:t>
      </w:r>
      <w:proofErr w:type="spellEnd"/>
      <w:r w:rsidRPr="006B4C84">
        <w:t xml:space="preserve"> doten a sus vigilantes de armas no letales, como gas lacrimógeno, armas de choque eléctrico directo o de lanzamiento de dardos, municiones de plástico o goma</w:t>
      </w:r>
      <w:r w:rsidRPr="00560A20">
        <w:t xml:space="preserve"> (calibre 12). </w:t>
      </w:r>
      <w:r w:rsidR="007C5657">
        <w:t xml:space="preserve"> Brasil cuenta con normas detalladas sobre formación en esta materia. E</w:t>
      </w:r>
      <w:r w:rsidR="00D853DA">
        <w:t xml:space="preserve">n </w:t>
      </w:r>
      <w:r w:rsidR="00851ABD">
        <w:t>los anexos de la</w:t>
      </w:r>
      <w:r w:rsidR="00D853DA">
        <w:t xml:space="preserve"> norma </w:t>
      </w:r>
      <w:r w:rsidR="0079487F">
        <w:t>de 2012</w:t>
      </w:r>
      <w:r w:rsidR="00851ABD">
        <w:t xml:space="preserve"> </w:t>
      </w:r>
      <w:r w:rsidR="00314FE5">
        <w:t xml:space="preserve">se presenta </w:t>
      </w:r>
      <w:r w:rsidR="00851ABD">
        <w:t>el plan de estudios</w:t>
      </w:r>
      <w:r w:rsidR="007C5657">
        <w:t xml:space="preserve"> para los vigilantes,</w:t>
      </w:r>
      <w:r w:rsidR="004E0A16">
        <w:t xml:space="preserve"> donde se incluye la asignatura</w:t>
      </w:r>
      <w:r w:rsidR="00851ABD">
        <w:t xml:space="preserve"> </w:t>
      </w:r>
      <w:r w:rsidR="0079487F">
        <w:t xml:space="preserve">“uso progresivo de la fuerza”, </w:t>
      </w:r>
      <w:r w:rsidR="007C5657">
        <w:t>asignándole</w:t>
      </w:r>
      <w:r w:rsidR="00851ABD">
        <w:t xml:space="preserve"> 8 horas</w:t>
      </w:r>
      <w:r w:rsidR="007C5657">
        <w:t>,</w:t>
      </w:r>
      <w:r w:rsidR="00851ABD">
        <w:t xml:space="preserve"> </w:t>
      </w:r>
      <w:r w:rsidR="000F194E">
        <w:t>cuyos objetivos son</w:t>
      </w:r>
      <w:r w:rsidR="00851ABD">
        <w:t xml:space="preserve"> entregar conocimientos generales sob</w:t>
      </w:r>
      <w:r w:rsidR="000F194E">
        <w:t>re conceptos y legislación en</w:t>
      </w:r>
      <w:r w:rsidR="00851ABD">
        <w:t xml:space="preserve"> el empleo y uso escalonado de la fuerza con apoyo de armas menos letales, desarrollar habilidades para el uso progresivo de la fuerza, </w:t>
      </w:r>
      <w:r w:rsidR="007C5657">
        <w:t>y fortalecer</w:t>
      </w:r>
      <w:r w:rsidR="00851ABD">
        <w:t xml:space="preserve"> conocimientos para desempeñar actividades de vigilancia patrimonial y seguridad personal. Entre l</w:t>
      </w:r>
      <w:r w:rsidR="007C5657">
        <w:t>os materiales exigidos está</w:t>
      </w:r>
      <w:r w:rsidR="00A636EB">
        <w:t xml:space="preserve">n el Código de conducta para </w:t>
      </w:r>
      <w:r w:rsidR="00EA5FE2">
        <w:t xml:space="preserve">funcionarios </w:t>
      </w:r>
      <w:r w:rsidR="00A636EB">
        <w:t>encargados de</w:t>
      </w:r>
      <w:r w:rsidR="00EA5FE2">
        <w:t xml:space="preserve"> hace</w:t>
      </w:r>
      <w:r w:rsidR="00A636EB">
        <w:t xml:space="preserve">r </w:t>
      </w:r>
      <w:r w:rsidR="00EA5FE2">
        <w:t xml:space="preserve">cumplir </w:t>
      </w:r>
      <w:r w:rsidR="00A636EB">
        <w:t>la ley</w:t>
      </w:r>
      <w:r w:rsidR="00652CE9">
        <w:rPr>
          <w:rStyle w:val="FootnoteReference"/>
        </w:rPr>
        <w:footnoteReference w:id="101"/>
      </w:r>
      <w:r w:rsidR="00B84031">
        <w:t xml:space="preserve"> y</w:t>
      </w:r>
      <w:r w:rsidR="00A636EB">
        <w:t xml:space="preserve"> </w:t>
      </w:r>
      <w:r w:rsidR="0079487F">
        <w:t xml:space="preserve">las </w:t>
      </w:r>
      <w:r w:rsidR="00A636EB">
        <w:t>normas pertinentes del código penal, entre otras.</w:t>
      </w:r>
      <w:r w:rsidR="00A654B9">
        <w:t xml:space="preserve"> En cuanto a las tecnologías no </w:t>
      </w:r>
      <w:r w:rsidR="00A654B9" w:rsidRPr="00B339E7">
        <w:t>letales, señala que</w:t>
      </w:r>
      <w:r w:rsidR="00A654B9" w:rsidRPr="0068180D">
        <w:t xml:space="preserve"> las clases teóricas deben abordar todas las circunstancias y escenarios de su posible uso, a fin de preservar la integridad física de las personas que son controladas con el uso de la fuerza al ejercer funciones de seguridad privada, </w:t>
      </w:r>
      <w:r w:rsidR="00A654B9" w:rsidRPr="00B339E7">
        <w:t>según los estándares de la ONU sobre derechos humanos.</w:t>
      </w:r>
      <w:r w:rsidR="00A654B9" w:rsidRPr="00684A35">
        <w:t xml:space="preserve"> </w:t>
      </w:r>
    </w:p>
    <w:p w14:paraId="4CB60A46" w14:textId="71FD0E71" w:rsidR="004D10C2" w:rsidRPr="006B4C84" w:rsidRDefault="004D10C2" w:rsidP="004D10C2">
      <w:pPr>
        <w:spacing w:line="240" w:lineRule="atLeast"/>
        <w:jc w:val="both"/>
        <w:rPr>
          <w:lang w:val="es-ES"/>
        </w:rPr>
      </w:pPr>
      <w:r w:rsidRPr="00B81F1D">
        <w:rPr>
          <w:lang w:val="es-ES"/>
        </w:rPr>
        <w:t xml:space="preserve">Perú </w:t>
      </w:r>
      <w:r w:rsidR="00D853DA" w:rsidRPr="00B81F1D">
        <w:rPr>
          <w:lang w:val="es-ES"/>
        </w:rPr>
        <w:t>-</w:t>
      </w:r>
      <w:r w:rsidR="00BA6765" w:rsidRPr="00B81F1D">
        <w:rPr>
          <w:lang w:val="es-ES"/>
        </w:rPr>
        <w:t>que permite</w:t>
      </w:r>
      <w:r w:rsidR="005241EC" w:rsidRPr="00B81F1D">
        <w:rPr>
          <w:lang w:val="es-ES"/>
        </w:rPr>
        <w:t xml:space="preserve"> </w:t>
      </w:r>
      <w:r w:rsidR="00FD3395" w:rsidRPr="00B81F1D">
        <w:rPr>
          <w:lang w:val="es-ES"/>
        </w:rPr>
        <w:t>armas que no son de guerra-</w:t>
      </w:r>
      <w:r w:rsidR="00D853DA" w:rsidRPr="00B81F1D">
        <w:rPr>
          <w:lang w:val="es-ES"/>
        </w:rPr>
        <w:t>,</w:t>
      </w:r>
      <w:r w:rsidR="00FD3395" w:rsidRPr="00B81F1D">
        <w:rPr>
          <w:lang w:val="es-ES"/>
        </w:rPr>
        <w:t xml:space="preserve"> </w:t>
      </w:r>
      <w:r w:rsidRPr="00B81F1D">
        <w:rPr>
          <w:lang w:val="es-ES"/>
        </w:rPr>
        <w:t>cuentan con normas detalladas sobre la</w:t>
      </w:r>
      <w:r w:rsidR="00A81303" w:rsidRPr="00B81F1D">
        <w:rPr>
          <w:lang w:val="es-ES"/>
        </w:rPr>
        <w:t>s formalidades que deben cumplirse, pero</w:t>
      </w:r>
      <w:r w:rsidRPr="00B81F1D">
        <w:rPr>
          <w:lang w:val="es-ES"/>
        </w:rPr>
        <w:t xml:space="preserve"> </w:t>
      </w:r>
      <w:r w:rsidR="00B339E7" w:rsidRPr="00B81F1D">
        <w:rPr>
          <w:lang w:val="es-ES"/>
        </w:rPr>
        <w:t>no refiere a contenidos</w:t>
      </w:r>
      <w:r w:rsidR="00B81F1D" w:rsidRPr="00B81F1D">
        <w:rPr>
          <w:lang w:val="es-ES"/>
        </w:rPr>
        <w:t>. S</w:t>
      </w:r>
      <w:r w:rsidRPr="00B81F1D">
        <w:rPr>
          <w:lang w:val="es-ES"/>
        </w:rPr>
        <w:t xml:space="preserve">u </w:t>
      </w:r>
      <w:r w:rsidR="00D4255D" w:rsidRPr="00B81F1D">
        <w:rPr>
          <w:lang w:val="es-ES"/>
        </w:rPr>
        <w:t>R</w:t>
      </w:r>
      <w:r w:rsidRPr="00B81F1D">
        <w:rPr>
          <w:lang w:val="es-ES"/>
        </w:rPr>
        <w:t>eglamento limita el uso de armas largas a zonas urbanas, salvo excepciones que determine la DICSCAMEC (Art. 74</w:t>
      </w:r>
      <w:r w:rsidRPr="00560A20">
        <w:rPr>
          <w:lang w:val="es-ES"/>
        </w:rPr>
        <w:t xml:space="preserve">). </w:t>
      </w:r>
      <w:r w:rsidRPr="000A674F">
        <w:rPr>
          <w:lang w:val="es-ES"/>
        </w:rPr>
        <w:t xml:space="preserve">Las armas y municiones que </w:t>
      </w:r>
      <w:r w:rsidRPr="006B4C84">
        <w:rPr>
          <w:lang w:val="es-ES"/>
        </w:rPr>
        <w:t xml:space="preserve">son utilizadas en los Centros Especializados de Capacitación en Seguridad Privada se sujetan en cuanto a su propiedad, posesión y uso, a las normas vigentes que regulan la materia. Entre las prohibiciones a las empresas especializadas está </w:t>
      </w:r>
      <w:r w:rsidR="00B81F1D">
        <w:rPr>
          <w:lang w:val="es-ES"/>
        </w:rPr>
        <w:t>el</w:t>
      </w:r>
      <w:r w:rsidRPr="006B4C84">
        <w:rPr>
          <w:lang w:val="es-ES"/>
        </w:rPr>
        <w:t xml:space="preserve"> </w:t>
      </w:r>
      <w:r w:rsidRPr="0068180D">
        <w:rPr>
          <w:lang w:val="es-ES"/>
        </w:rPr>
        <w:t>utilizar equipos y otros medios que causen daños o perjuicio a terceros</w:t>
      </w:r>
      <w:r w:rsidRPr="000A674F">
        <w:rPr>
          <w:rStyle w:val="FootnoteReference"/>
          <w:rFonts w:ascii="Arial" w:hAnsi="Arial" w:cs="Arial"/>
          <w:sz w:val="20"/>
          <w:szCs w:val="20"/>
        </w:rPr>
        <w:footnoteReference w:id="102"/>
      </w:r>
      <w:r w:rsidRPr="006B4C84">
        <w:rPr>
          <w:rFonts w:ascii="Arial" w:hAnsi="Arial" w:cs="Arial"/>
          <w:sz w:val="20"/>
          <w:szCs w:val="20"/>
        </w:rPr>
        <w:t>.</w:t>
      </w:r>
    </w:p>
    <w:p w14:paraId="7EB4EC3A" w14:textId="3EDCB2D9" w:rsidR="000E4155" w:rsidRDefault="00164ECE" w:rsidP="00366AFB">
      <w:pPr>
        <w:spacing w:line="240" w:lineRule="atLeast"/>
        <w:jc w:val="both"/>
        <w:rPr>
          <w:lang w:val="es-ES"/>
        </w:rPr>
      </w:pPr>
      <w:r w:rsidRPr="0068180D">
        <w:rPr>
          <w:lang w:val="es-ES"/>
        </w:rPr>
        <w:t xml:space="preserve">El D. L. 365 de </w:t>
      </w:r>
      <w:r w:rsidR="000E4155" w:rsidRPr="0068180D">
        <w:rPr>
          <w:lang w:val="es-ES"/>
        </w:rPr>
        <w:t>Colombia</w:t>
      </w:r>
      <w:r w:rsidRPr="0068180D">
        <w:rPr>
          <w:lang w:val="es-ES"/>
        </w:rPr>
        <w:t>, aunque contiene diversas referencias a las armas de fuego</w:t>
      </w:r>
      <w:r w:rsidR="0068180D" w:rsidRPr="0068180D">
        <w:rPr>
          <w:lang w:val="es-ES"/>
        </w:rPr>
        <w:t>,</w:t>
      </w:r>
      <w:r w:rsidR="000E4155" w:rsidRPr="0068180D">
        <w:rPr>
          <w:lang w:val="es-ES"/>
        </w:rPr>
        <w:t xml:space="preserve"> </w:t>
      </w:r>
      <w:r w:rsidRPr="0068180D">
        <w:rPr>
          <w:lang w:val="es-ES"/>
        </w:rPr>
        <w:t xml:space="preserve"> </w:t>
      </w:r>
      <w:r w:rsidR="000E4155" w:rsidRPr="0068180D">
        <w:rPr>
          <w:lang w:val="es-ES"/>
        </w:rPr>
        <w:t>no especifica tipo ni</w:t>
      </w:r>
      <w:r w:rsidR="000E4155" w:rsidRPr="006B4C84">
        <w:rPr>
          <w:lang w:val="es-ES"/>
        </w:rPr>
        <w:t xml:space="preserve"> calibre</w:t>
      </w:r>
      <w:r w:rsidR="000E4155" w:rsidRPr="00560A20">
        <w:rPr>
          <w:lang w:val="es-ES"/>
        </w:rPr>
        <w:t>,</w:t>
      </w:r>
      <w:r w:rsidR="000E4155" w:rsidRPr="000A674F">
        <w:rPr>
          <w:lang w:val="es-ES"/>
        </w:rPr>
        <w:t xml:space="preserve"> y </w:t>
      </w:r>
      <w:r w:rsidR="009B2913">
        <w:rPr>
          <w:lang w:val="es-ES"/>
        </w:rPr>
        <w:t>establece un</w:t>
      </w:r>
      <w:r w:rsidR="000E4155" w:rsidRPr="000A674F">
        <w:rPr>
          <w:lang w:val="es-ES"/>
        </w:rPr>
        <w:t xml:space="preserve"> límite</w:t>
      </w:r>
      <w:r w:rsidR="002E3E1A">
        <w:rPr>
          <w:lang w:val="es-ES"/>
        </w:rPr>
        <w:t xml:space="preserve"> general</w:t>
      </w:r>
      <w:r w:rsidR="00DC1A03">
        <w:rPr>
          <w:lang w:val="es-ES"/>
        </w:rPr>
        <w:t xml:space="preserve"> respecto a</w:t>
      </w:r>
      <w:r w:rsidR="000E4155" w:rsidRPr="000A674F">
        <w:rPr>
          <w:lang w:val="es-ES"/>
        </w:rPr>
        <w:t xml:space="preserve"> los medios y armas que utilicen los servicios de SP</w:t>
      </w:r>
      <w:r w:rsidR="00DC1A03">
        <w:rPr>
          <w:lang w:val="es-ES"/>
        </w:rPr>
        <w:t>: que</w:t>
      </w:r>
      <w:r w:rsidR="000E4155" w:rsidRPr="000A674F">
        <w:rPr>
          <w:lang w:val="es-ES"/>
        </w:rPr>
        <w:t xml:space="preserve"> sean </w:t>
      </w:r>
      <w:r w:rsidR="000E4155" w:rsidRPr="006B4C84">
        <w:rPr>
          <w:lang w:val="es-ES"/>
        </w:rPr>
        <w:t xml:space="preserve">autorizados por la Superintendencia de </w:t>
      </w:r>
      <w:r w:rsidR="00255296" w:rsidRPr="006B4C84">
        <w:rPr>
          <w:lang w:val="es-ES"/>
        </w:rPr>
        <w:t>V</w:t>
      </w:r>
      <w:r w:rsidR="000E4155" w:rsidRPr="006B4C84">
        <w:rPr>
          <w:lang w:val="es-ES"/>
        </w:rPr>
        <w:t>igilancia y SP</w:t>
      </w:r>
      <w:r w:rsidR="00D62BE1">
        <w:rPr>
          <w:lang w:val="es-ES"/>
        </w:rPr>
        <w:t>;</w:t>
      </w:r>
      <w:r>
        <w:rPr>
          <w:lang w:val="es-ES"/>
        </w:rPr>
        <w:t xml:space="preserve"> tampoco tiene normas precisas sobre</w:t>
      </w:r>
      <w:r w:rsidR="00DC1A03">
        <w:rPr>
          <w:lang w:val="es-ES"/>
        </w:rPr>
        <w:t xml:space="preserve"> el uso de la fuerza</w:t>
      </w:r>
      <w:r w:rsidR="000E4155" w:rsidRPr="00560A20">
        <w:rPr>
          <w:lang w:val="es-ES"/>
        </w:rPr>
        <w:t xml:space="preserve"> Por </w:t>
      </w:r>
      <w:r>
        <w:rPr>
          <w:lang w:val="es-ES"/>
        </w:rPr>
        <w:t>su</w:t>
      </w:r>
      <w:r w:rsidR="000E4155" w:rsidRPr="00560A20">
        <w:rPr>
          <w:lang w:val="es-ES"/>
        </w:rPr>
        <w:t xml:space="preserve"> parte, la Ley de control de armas detalla la regulación en el caso de los servicios de </w:t>
      </w:r>
      <w:r w:rsidR="00C05D97" w:rsidRPr="000A674F">
        <w:rPr>
          <w:lang w:val="es-ES"/>
        </w:rPr>
        <w:t>vigilanc</w:t>
      </w:r>
      <w:r w:rsidR="00C05D97" w:rsidRPr="006B4C84">
        <w:rPr>
          <w:lang w:val="es-ES"/>
        </w:rPr>
        <w:t xml:space="preserve">ia y </w:t>
      </w:r>
      <w:r w:rsidR="000E4155" w:rsidRPr="006B4C84">
        <w:rPr>
          <w:lang w:val="es-ES"/>
        </w:rPr>
        <w:t>SP</w:t>
      </w:r>
      <w:r w:rsidR="00C05D97" w:rsidRPr="006B4C84">
        <w:rPr>
          <w:lang w:val="es-ES"/>
        </w:rPr>
        <w:t>, y</w:t>
      </w:r>
      <w:r w:rsidR="000E4155" w:rsidRPr="006B4C84">
        <w:rPr>
          <w:lang w:val="es-ES"/>
        </w:rPr>
        <w:t xml:space="preserve"> </w:t>
      </w:r>
      <w:r w:rsidR="00AC0AFC">
        <w:rPr>
          <w:lang w:val="es-ES"/>
        </w:rPr>
        <w:t>dispone</w:t>
      </w:r>
      <w:r w:rsidR="000E4155" w:rsidRPr="006B4C84">
        <w:rPr>
          <w:lang w:val="es-ES"/>
        </w:rPr>
        <w:t xml:space="preserve"> que la autoridad del Ministerio de Defensa (Comité de Armas) puede autorizar la tenencia o porte de armas de uso restringido a las empresas transportadoras de valores, departamentos de seguridad de empresas y a los servicios especiales de seguridad, previa aprobación de la Superintendencia</w:t>
      </w:r>
      <w:r w:rsidR="000E4155" w:rsidRPr="00560A20">
        <w:rPr>
          <w:rStyle w:val="FootnoteReference"/>
        </w:rPr>
        <w:footnoteReference w:id="103"/>
      </w:r>
      <w:r w:rsidR="00C05D97" w:rsidRPr="000A674F">
        <w:rPr>
          <w:lang w:val="es-ES"/>
        </w:rPr>
        <w:t>. Esta norma exige</w:t>
      </w:r>
      <w:r w:rsidR="000E4155" w:rsidRPr="006B4C84">
        <w:rPr>
          <w:lang w:val="es-ES"/>
        </w:rPr>
        <w:t xml:space="preserve"> que quienes presten estos servicios </w:t>
      </w:r>
      <w:proofErr w:type="gramStart"/>
      <w:r w:rsidR="000E4155" w:rsidRPr="006B4C84">
        <w:rPr>
          <w:lang w:val="es-ES"/>
        </w:rPr>
        <w:t>deben</w:t>
      </w:r>
      <w:proofErr w:type="gramEnd"/>
      <w:r w:rsidR="000E4155" w:rsidRPr="006B4C84">
        <w:rPr>
          <w:lang w:val="es-ES"/>
        </w:rPr>
        <w:t xml:space="preserve"> ser capacitados en el uso de armas de fuego y acreditarlo ante la Superintendencia (Art. 78). </w:t>
      </w:r>
    </w:p>
    <w:p w14:paraId="7DD7743D" w14:textId="2350ADAC" w:rsidR="000E4155" w:rsidRPr="006B4C84" w:rsidRDefault="000E4155" w:rsidP="00366AFB">
      <w:pPr>
        <w:spacing w:line="240" w:lineRule="atLeast"/>
        <w:jc w:val="both"/>
        <w:rPr>
          <w:lang w:val="es-ES"/>
        </w:rPr>
      </w:pPr>
      <w:r w:rsidRPr="006B4C84">
        <w:rPr>
          <w:lang w:val="es-ES"/>
        </w:rPr>
        <w:t>Es importante observar ciertas restricciones especiales que contemplan algunas regulaciones, las que tiene</w:t>
      </w:r>
      <w:r w:rsidR="00D853DA">
        <w:rPr>
          <w:lang w:val="es-ES"/>
        </w:rPr>
        <w:t>n</w:t>
      </w:r>
      <w:r w:rsidRPr="006B4C84">
        <w:rPr>
          <w:lang w:val="es-ES"/>
        </w:rPr>
        <w:t xml:space="preserve"> el claro objetivo de evitar que la con</w:t>
      </w:r>
      <w:r w:rsidR="00C05D97" w:rsidRPr="006B4C84">
        <w:rPr>
          <w:lang w:val="es-ES"/>
        </w:rPr>
        <w:t xml:space="preserve">flictividad social escale </w:t>
      </w:r>
      <w:r w:rsidR="00C05D97" w:rsidRPr="000A674F">
        <w:rPr>
          <w:lang w:val="es-ES"/>
        </w:rPr>
        <w:t>cuando se trata de las</w:t>
      </w:r>
      <w:r w:rsidRPr="006B4C84">
        <w:rPr>
          <w:lang w:val="es-ES"/>
        </w:rPr>
        <w:t xml:space="preserve"> </w:t>
      </w:r>
      <w:proofErr w:type="spellStart"/>
      <w:r w:rsidRPr="006B4C84">
        <w:rPr>
          <w:lang w:val="es-ES"/>
        </w:rPr>
        <w:t>ESP</w:t>
      </w:r>
      <w:r w:rsidR="00794922">
        <w:rPr>
          <w:lang w:val="es-ES"/>
        </w:rPr>
        <w:t>s</w:t>
      </w:r>
      <w:proofErr w:type="spellEnd"/>
      <w:r w:rsidR="00AC1F7D" w:rsidRPr="006B4C84">
        <w:rPr>
          <w:lang w:val="es-ES"/>
        </w:rPr>
        <w:t>.</w:t>
      </w:r>
      <w:r w:rsidR="006B4C84">
        <w:rPr>
          <w:lang w:val="es-ES"/>
        </w:rPr>
        <w:t xml:space="preserve"> </w:t>
      </w:r>
      <w:r w:rsidR="00AC1F7D" w:rsidRPr="006B4C84">
        <w:rPr>
          <w:lang w:val="es-ES"/>
        </w:rPr>
        <w:t>A</w:t>
      </w:r>
      <w:r w:rsidRPr="006B4C84">
        <w:rPr>
          <w:lang w:val="es-ES"/>
        </w:rPr>
        <w:t>sí</w:t>
      </w:r>
      <w:r w:rsidR="006B4C84">
        <w:rPr>
          <w:lang w:val="es-ES"/>
        </w:rPr>
        <w:t>,</w:t>
      </w:r>
      <w:r w:rsidRPr="006B4C84">
        <w:rPr>
          <w:lang w:val="es-ES"/>
        </w:rPr>
        <w:t xml:space="preserve"> el Decreto </w:t>
      </w:r>
      <w:r w:rsidR="00C05D97" w:rsidRPr="006B4C84">
        <w:rPr>
          <w:lang w:val="es-ES"/>
        </w:rPr>
        <w:t xml:space="preserve">N° </w:t>
      </w:r>
      <w:r w:rsidRPr="006B4C84">
        <w:rPr>
          <w:lang w:val="es-ES"/>
        </w:rPr>
        <w:t>356</w:t>
      </w:r>
      <w:r w:rsidR="00255296" w:rsidRPr="006B4C84">
        <w:rPr>
          <w:lang w:val="es-ES"/>
        </w:rPr>
        <w:t xml:space="preserve"> de Colombia</w:t>
      </w:r>
      <w:r w:rsidRPr="006B4C84">
        <w:rPr>
          <w:lang w:val="es-ES"/>
        </w:rPr>
        <w:t xml:space="preserve"> señala que en caso de ocurrir conflictos obrero patronales en las </w:t>
      </w:r>
      <w:proofErr w:type="spellStart"/>
      <w:r w:rsidRPr="006B4C84">
        <w:rPr>
          <w:lang w:val="es-ES"/>
        </w:rPr>
        <w:t>ESP</w:t>
      </w:r>
      <w:r w:rsidR="0011235B">
        <w:rPr>
          <w:lang w:val="es-ES"/>
        </w:rPr>
        <w:t>s</w:t>
      </w:r>
      <w:proofErr w:type="spellEnd"/>
      <w:r w:rsidRPr="006B4C84">
        <w:rPr>
          <w:lang w:val="es-ES"/>
        </w:rPr>
        <w:t>, la Superintendencia ord</w:t>
      </w:r>
      <w:r w:rsidR="00C05D97" w:rsidRPr="006B4C84">
        <w:rPr>
          <w:lang w:val="es-ES"/>
        </w:rPr>
        <w:t>enará -</w:t>
      </w:r>
      <w:r w:rsidR="00366AFB" w:rsidRPr="006B4C84">
        <w:rPr>
          <w:lang w:val="es-ES"/>
        </w:rPr>
        <w:t xml:space="preserve">a solicitud de aquella- </w:t>
      </w:r>
      <w:r w:rsidRPr="006B4C84">
        <w:rPr>
          <w:lang w:val="es-ES"/>
        </w:rPr>
        <w:t xml:space="preserve">el retiro del armamento y la inutilización o inmovilización de </w:t>
      </w:r>
      <w:r w:rsidR="00C05D97" w:rsidRPr="006B4C84">
        <w:rPr>
          <w:lang w:val="es-ES"/>
        </w:rPr>
        <w:t>su</w:t>
      </w:r>
      <w:r w:rsidRPr="006B4C84">
        <w:rPr>
          <w:lang w:val="es-ES"/>
        </w:rPr>
        <w:t>s equipos.</w:t>
      </w:r>
      <w:r w:rsidRPr="00560A20">
        <w:rPr>
          <w:lang w:val="es-ES"/>
        </w:rPr>
        <w:t xml:space="preserve"> Además</w:t>
      </w:r>
      <w:r w:rsidRPr="000A674F">
        <w:rPr>
          <w:lang w:val="es-ES"/>
        </w:rPr>
        <w:t xml:space="preserve">, </w:t>
      </w:r>
      <w:r w:rsidRPr="006B4C84">
        <w:rPr>
          <w:lang w:val="es-ES"/>
        </w:rPr>
        <w:t>prohíbe que el personal porte las armas o equipos durante reuniones que realicen en el ejercicio de sus derechos, sean estos políticos, sindicales</w:t>
      </w:r>
      <w:r w:rsidRPr="00560A20">
        <w:rPr>
          <w:lang w:val="es-ES"/>
        </w:rPr>
        <w:t xml:space="preserve"> o de otro tipo. También, en caso de suspensión de labores de</w:t>
      </w:r>
      <w:r w:rsidR="00C05D97" w:rsidRPr="000A674F">
        <w:rPr>
          <w:lang w:val="es-ES"/>
        </w:rPr>
        <w:t>l</w:t>
      </w:r>
      <w:r w:rsidRPr="006B4C84">
        <w:rPr>
          <w:lang w:val="es-ES"/>
        </w:rPr>
        <w:t xml:space="preserve"> personal que presta servicios de vigilancia con armas, </w:t>
      </w:r>
      <w:r w:rsidRPr="006B4C84">
        <w:rPr>
          <w:lang w:val="es-ES"/>
        </w:rPr>
        <w:lastRenderedPageBreak/>
        <w:t>debe informarse por escrito a la Superintendencia y esta dispondrá el traslado del armamento, municiones, permisos, etc., a la unidad militar más cercana.</w:t>
      </w:r>
    </w:p>
    <w:p w14:paraId="4D933C13" w14:textId="379C001F" w:rsidR="000E4155" w:rsidRPr="006B4C84" w:rsidRDefault="000E4155" w:rsidP="00366AFB">
      <w:pPr>
        <w:spacing w:line="240" w:lineRule="atLeast"/>
        <w:jc w:val="both"/>
        <w:rPr>
          <w:lang w:val="es-ES"/>
        </w:rPr>
      </w:pPr>
      <w:r w:rsidRPr="006B4C84">
        <w:rPr>
          <w:lang w:val="es-ES"/>
        </w:rPr>
        <w:t xml:space="preserve">Finalmente, es </w:t>
      </w:r>
      <w:r w:rsidR="00D853DA">
        <w:rPr>
          <w:lang w:val="es-ES"/>
        </w:rPr>
        <w:t>necesario</w:t>
      </w:r>
      <w:r w:rsidRPr="006B4C84">
        <w:rPr>
          <w:lang w:val="es-ES"/>
        </w:rPr>
        <w:t xml:space="preserve"> señalar que los operadores de seguridad privada están sujetos a los mecanismos de imputabilidad como cualquier otro particular, y respecto de ellos no hay normas que sancionen sus conductas con un reproche mayor al de un ciudadano </w:t>
      </w:r>
      <w:r w:rsidR="0011235B">
        <w:rPr>
          <w:lang w:val="es-ES"/>
        </w:rPr>
        <w:t>común</w:t>
      </w:r>
      <w:r w:rsidRPr="006B4C84">
        <w:rPr>
          <w:lang w:val="es-ES"/>
        </w:rPr>
        <w:t>.</w:t>
      </w:r>
      <w:r w:rsidRPr="00560A20">
        <w:rPr>
          <w:lang w:val="es-ES"/>
        </w:rPr>
        <w:t xml:space="preserve"> Esto, a pesar de tratarse de individuos que están</w:t>
      </w:r>
      <w:r w:rsidR="006672DD" w:rsidRPr="000A674F">
        <w:rPr>
          <w:lang w:val="es-ES"/>
        </w:rPr>
        <w:t xml:space="preserve"> habilitados para portar armas -</w:t>
      </w:r>
      <w:r w:rsidRPr="006B4C84">
        <w:rPr>
          <w:lang w:val="es-ES"/>
        </w:rPr>
        <w:t>en la mayoría de casos- y actúan en el marco de la delegación del uso legítimo de la fuerza, al punto que su labo</w:t>
      </w:r>
      <w:r w:rsidR="00366AFB" w:rsidRPr="006B4C84">
        <w:rPr>
          <w:lang w:val="es-ES"/>
        </w:rPr>
        <w:t>r es considerada complementaria</w:t>
      </w:r>
      <w:r w:rsidRPr="006B4C84">
        <w:rPr>
          <w:lang w:val="es-ES"/>
        </w:rPr>
        <w:t xml:space="preserve">, aunque subordinada, a la labor que realizan las fuerzas de seguridad pública. </w:t>
      </w:r>
    </w:p>
    <w:p w14:paraId="24747EBE" w14:textId="714BE397" w:rsidR="003B756F" w:rsidRPr="006B4C84" w:rsidRDefault="003B756F" w:rsidP="00366AFB">
      <w:pPr>
        <w:spacing w:line="240" w:lineRule="atLeast"/>
        <w:jc w:val="both"/>
        <w:rPr>
          <w:lang w:val="es-ES"/>
        </w:rPr>
      </w:pPr>
      <w:r w:rsidRPr="006B4C84">
        <w:rPr>
          <w:lang w:val="es-ES"/>
        </w:rPr>
        <w:t xml:space="preserve">En </w:t>
      </w:r>
      <w:r w:rsidR="003152E5">
        <w:rPr>
          <w:lang w:val="es-ES"/>
        </w:rPr>
        <w:t>la mayor p</w:t>
      </w:r>
      <w:r w:rsidR="002E3E1A">
        <w:rPr>
          <w:lang w:val="es-ES"/>
        </w:rPr>
        <w:t>arte de estas legislaciones</w:t>
      </w:r>
      <w:r w:rsidR="003152E5">
        <w:rPr>
          <w:lang w:val="es-ES"/>
        </w:rPr>
        <w:t xml:space="preserve"> </w:t>
      </w:r>
      <w:r w:rsidR="00971EC8" w:rsidRPr="006B4C84">
        <w:rPr>
          <w:lang w:val="es-ES"/>
        </w:rPr>
        <w:t xml:space="preserve">no abundan las normas </w:t>
      </w:r>
      <w:r w:rsidR="00926597">
        <w:rPr>
          <w:lang w:val="es-ES"/>
        </w:rPr>
        <w:t xml:space="preserve">concretas sobre </w:t>
      </w:r>
      <w:r w:rsidRPr="006B4C84">
        <w:rPr>
          <w:lang w:val="es-ES"/>
        </w:rPr>
        <w:t xml:space="preserve">el uso de la fuerza y armas de fuego </w:t>
      </w:r>
      <w:r w:rsidR="00926597">
        <w:rPr>
          <w:lang w:val="es-ES"/>
        </w:rPr>
        <w:t>según</w:t>
      </w:r>
      <w:r w:rsidR="00F31E16">
        <w:rPr>
          <w:lang w:val="es-ES"/>
        </w:rPr>
        <w:t xml:space="preserve"> estándares de derechos humanos</w:t>
      </w:r>
      <w:r w:rsidR="00757BF7" w:rsidRPr="006B4C84">
        <w:rPr>
          <w:lang w:val="es-ES"/>
        </w:rPr>
        <w:t>.</w:t>
      </w:r>
      <w:r w:rsidR="00EA6362" w:rsidRPr="006B4C84">
        <w:rPr>
          <w:lang w:val="es-ES"/>
        </w:rPr>
        <w:t xml:space="preserve"> </w:t>
      </w:r>
      <w:r w:rsidR="003152E5">
        <w:rPr>
          <w:lang w:val="es-ES"/>
        </w:rPr>
        <w:t xml:space="preserve"> Destaca como una buena práctica la norma de Brasil</w:t>
      </w:r>
      <w:r w:rsidR="007A7CD4">
        <w:rPr>
          <w:lang w:val="es-ES"/>
        </w:rPr>
        <w:t xml:space="preserve"> (2012)</w:t>
      </w:r>
      <w:r w:rsidR="003152E5">
        <w:rPr>
          <w:lang w:val="es-ES"/>
        </w:rPr>
        <w:t xml:space="preserve">, </w:t>
      </w:r>
      <w:r w:rsidR="003152E5" w:rsidRPr="004F5C80">
        <w:rPr>
          <w:lang w:val="es-ES"/>
        </w:rPr>
        <w:t xml:space="preserve">que </w:t>
      </w:r>
      <w:r w:rsidR="007A7CD4" w:rsidRPr="0068180D">
        <w:rPr>
          <w:lang w:val="es-ES"/>
        </w:rPr>
        <w:t xml:space="preserve">detalla </w:t>
      </w:r>
      <w:r w:rsidR="003152E5" w:rsidRPr="004F5C80">
        <w:rPr>
          <w:lang w:val="es-ES"/>
        </w:rPr>
        <w:t xml:space="preserve">el plan de estudios para </w:t>
      </w:r>
      <w:r w:rsidR="00752984" w:rsidRPr="004F5C80">
        <w:rPr>
          <w:lang w:val="es-ES"/>
        </w:rPr>
        <w:t xml:space="preserve">el </w:t>
      </w:r>
      <w:r w:rsidR="003152E5" w:rsidRPr="004F5C80">
        <w:rPr>
          <w:lang w:val="es-ES"/>
        </w:rPr>
        <w:t xml:space="preserve">personal operativo de seguridad privada, </w:t>
      </w:r>
      <w:r w:rsidR="007A7CD4" w:rsidRPr="0068180D">
        <w:rPr>
          <w:lang w:val="es-ES"/>
        </w:rPr>
        <w:t xml:space="preserve">con </w:t>
      </w:r>
      <w:r w:rsidR="003152E5" w:rsidRPr="004F5C80">
        <w:rPr>
          <w:lang w:val="es-ES"/>
        </w:rPr>
        <w:t xml:space="preserve">contenidos </w:t>
      </w:r>
      <w:r w:rsidR="002E3E1A" w:rsidRPr="0068180D">
        <w:rPr>
          <w:lang w:val="es-ES"/>
        </w:rPr>
        <w:t>sobre</w:t>
      </w:r>
      <w:r w:rsidR="003152E5" w:rsidRPr="004F5C80">
        <w:rPr>
          <w:lang w:val="es-ES"/>
        </w:rPr>
        <w:t xml:space="preserve"> derechos humanos</w:t>
      </w:r>
      <w:r w:rsidR="007A7CD4" w:rsidRPr="0068180D">
        <w:rPr>
          <w:lang w:val="es-ES"/>
        </w:rPr>
        <w:t>.</w:t>
      </w:r>
    </w:p>
    <w:p w14:paraId="3CA0560E" w14:textId="77777777" w:rsidR="00757BF7" w:rsidRPr="006B4C84" w:rsidRDefault="00757BF7" w:rsidP="0068180D">
      <w:pPr>
        <w:spacing w:after="160" w:line="259" w:lineRule="auto"/>
        <w:rPr>
          <w:lang w:val="es-ES"/>
        </w:rPr>
      </w:pPr>
    </w:p>
    <w:p w14:paraId="6E12254F" w14:textId="6D4AB7AF" w:rsidR="000E4155" w:rsidRPr="006B4C84" w:rsidRDefault="000E4155" w:rsidP="00757BF7">
      <w:pPr>
        <w:pStyle w:val="Heading1"/>
        <w:numPr>
          <w:ilvl w:val="0"/>
          <w:numId w:val="3"/>
        </w:numPr>
        <w:ind w:left="426" w:hanging="426"/>
        <w:rPr>
          <w:sz w:val="22"/>
          <w:szCs w:val="22"/>
        </w:rPr>
      </w:pPr>
      <w:bookmarkStart w:id="9" w:name="_Toc407199167"/>
      <w:r w:rsidRPr="006B4C84">
        <w:rPr>
          <w:sz w:val="22"/>
          <w:szCs w:val="22"/>
        </w:rPr>
        <w:t>Rendición de cuentas y reparación</w:t>
      </w:r>
      <w:bookmarkEnd w:id="9"/>
      <w:r w:rsidR="00F72282">
        <w:rPr>
          <w:sz w:val="22"/>
          <w:szCs w:val="22"/>
        </w:rPr>
        <w:t xml:space="preserve"> a las víctimas</w:t>
      </w:r>
    </w:p>
    <w:p w14:paraId="492E39D1" w14:textId="371AC96E" w:rsidR="000E4155" w:rsidRPr="0062735D" w:rsidRDefault="000E4155" w:rsidP="00E81608">
      <w:pPr>
        <w:spacing w:line="240" w:lineRule="atLeast"/>
        <w:jc w:val="both"/>
      </w:pPr>
      <w:r w:rsidRPr="006B4C84">
        <w:t>Tratándose de la rendición de cuentas no hay procedimientos señalados específicamente ante la ocurrencia de la violación de derechos de las personas, sean beneficiarias directas o no de los servicios de seguridad privada; en términos gen</w:t>
      </w:r>
      <w:r w:rsidR="00402418">
        <w:t>erale</w:t>
      </w:r>
      <w:r w:rsidRPr="006B4C84">
        <w:t xml:space="preserve">s, tratándose de la ocurrencia de posibles delitos por </w:t>
      </w:r>
      <w:r w:rsidR="00924A37" w:rsidRPr="006B4C84">
        <w:t>parte del personal de SP, la regulación especial</w:t>
      </w:r>
      <w:r w:rsidR="00CB1516" w:rsidRPr="006B4C84">
        <w:t xml:space="preserve"> recurre</w:t>
      </w:r>
      <w:r w:rsidRPr="006B4C84">
        <w:t xml:space="preserve"> a la fórmula “sin perjuicio de las acciones pe</w:t>
      </w:r>
      <w:r w:rsidR="00C74912" w:rsidRPr="006B4C84">
        <w:t>nales o civiles que procedan</w:t>
      </w:r>
      <w:r w:rsidR="00C74912" w:rsidRPr="00560A20">
        <w:t xml:space="preserve">”. </w:t>
      </w:r>
      <w:r w:rsidRPr="000A674F">
        <w:t>La tendencia en la región es a establecer una clasificac</w:t>
      </w:r>
      <w:r w:rsidRPr="006B4C84">
        <w:t>ión de las faltas o infraccio</w:t>
      </w:r>
      <w:r w:rsidR="000000A3" w:rsidRPr="006B4C84">
        <w:t>nes de carácter administrativo -</w:t>
      </w:r>
      <w:r w:rsidRPr="006B4C84">
        <w:t xml:space="preserve">desde menos graves a más graves- y asignarles sanciones que pueden ir desde la </w:t>
      </w:r>
      <w:r w:rsidRPr="0062735D">
        <w:t>amo</w:t>
      </w:r>
      <w:r w:rsidR="000000A3" w:rsidRPr="0062735D">
        <w:t>nestación</w:t>
      </w:r>
      <w:r w:rsidRPr="0062735D">
        <w:t xml:space="preserve">, multas, suspensión, hasta la cancelación de la licencia de funcionamiento. </w:t>
      </w:r>
    </w:p>
    <w:p w14:paraId="0D6CD2FB" w14:textId="1FB41D0E" w:rsidR="00D34093" w:rsidRPr="006B4C84" w:rsidRDefault="000E4155" w:rsidP="00E81608">
      <w:pPr>
        <w:spacing w:line="240" w:lineRule="atLeast"/>
        <w:jc w:val="both"/>
      </w:pPr>
      <w:r w:rsidRPr="0062735D">
        <w:t xml:space="preserve">Las faltas </w:t>
      </w:r>
      <w:r w:rsidR="00EE6969" w:rsidRPr="0062735D">
        <w:t xml:space="preserve">o infracciones </w:t>
      </w:r>
      <w:r w:rsidRPr="0062735D">
        <w:t xml:space="preserve">están </w:t>
      </w:r>
      <w:r w:rsidR="00B322B5" w:rsidRPr="0062735D">
        <w:t xml:space="preserve">mayoritariamente </w:t>
      </w:r>
      <w:r w:rsidRPr="0062735D">
        <w:t>asociadas al incumplimiento de formalidades y requisitos relativos a la licencia y habilitación de la empresa y los vigilantes, normas que regulan la tenencia y porte</w:t>
      </w:r>
      <w:r w:rsidRPr="00560A20">
        <w:t xml:space="preserve"> de armas, </w:t>
      </w:r>
      <w:r w:rsidR="005215D3">
        <w:t>exigencias sobre</w:t>
      </w:r>
      <w:r w:rsidR="00FA5D12">
        <w:t xml:space="preserve"> </w:t>
      </w:r>
      <w:r w:rsidR="005215D3">
        <w:t>el uso de</w:t>
      </w:r>
      <w:r w:rsidRPr="00560A20">
        <w:t xml:space="preserve"> uniformes,</w:t>
      </w:r>
      <w:r w:rsidR="00524CCD">
        <w:t xml:space="preserve"> las instalaciones,</w:t>
      </w:r>
      <w:r w:rsidRPr="00560A20">
        <w:t xml:space="preserve"> </w:t>
      </w:r>
      <w:r w:rsidR="009C45A9" w:rsidRPr="000A674F">
        <w:t xml:space="preserve">así </w:t>
      </w:r>
      <w:r w:rsidRPr="006B4C84">
        <w:t>como actos y omisiones</w:t>
      </w:r>
      <w:r w:rsidR="004B6A63">
        <w:t xml:space="preserve"> en el cumplimiento de las funciones</w:t>
      </w:r>
      <w:r w:rsidR="00FA5D12">
        <w:t>,</w:t>
      </w:r>
      <w:r w:rsidR="00524CCD">
        <w:t xml:space="preserve"> </w:t>
      </w:r>
      <w:r w:rsidR="00F0211B">
        <w:t xml:space="preserve">y </w:t>
      </w:r>
      <w:r w:rsidR="00524CCD">
        <w:t>transgresión</w:t>
      </w:r>
      <w:r w:rsidR="004B6A63">
        <w:t xml:space="preserve"> de prohibiciones</w:t>
      </w:r>
      <w:r w:rsidRPr="006B4C84">
        <w:t xml:space="preserve">. No hay normas que establezcan procedimientos de rendición de cuentas </w:t>
      </w:r>
      <w:r w:rsidR="003E3344" w:rsidRPr="006B4C84">
        <w:t>por posibles violaciones a los</w:t>
      </w:r>
      <w:r w:rsidRPr="006B4C84">
        <w:t xml:space="preserve"> derechos humanos</w:t>
      </w:r>
      <w:r w:rsidR="003E3344" w:rsidRPr="006B4C84">
        <w:t xml:space="preserve"> </w:t>
      </w:r>
      <w:r w:rsidR="00A21DE1">
        <w:t xml:space="preserve">cometidas por </w:t>
      </w:r>
      <w:r w:rsidR="003E3344" w:rsidRPr="006B4C84">
        <w:t>los prestadores de servicios de SP</w:t>
      </w:r>
      <w:r w:rsidRPr="006B4C84">
        <w:t xml:space="preserve">. </w:t>
      </w:r>
      <w:r w:rsidR="005215D3">
        <w:t>L</w:t>
      </w:r>
      <w:r w:rsidR="005215D3" w:rsidRPr="006F1FCC">
        <w:t xml:space="preserve">os controles e inspecciones no </w:t>
      </w:r>
      <w:r w:rsidR="005215D3">
        <w:t>están orientados a verificar la calidad de lo</w:t>
      </w:r>
      <w:r w:rsidR="005215D3" w:rsidRPr="006F1FCC">
        <w:t xml:space="preserve">s </w:t>
      </w:r>
      <w:r w:rsidR="00501437">
        <w:t>servicios ni</w:t>
      </w:r>
      <w:r w:rsidR="005215D3">
        <w:t xml:space="preserve"> su adecuación a las normas de derechos humanos, sino que, están</w:t>
      </w:r>
      <w:r w:rsidR="005215D3" w:rsidRPr="006F1FCC">
        <w:t xml:space="preserve"> dirigidos a la verificación del</w:t>
      </w:r>
      <w:r w:rsidR="005215D3">
        <w:t xml:space="preserve"> cumplimiento de </w:t>
      </w:r>
      <w:r w:rsidR="005215D3" w:rsidRPr="006F1FCC">
        <w:t xml:space="preserve">formalidades </w:t>
      </w:r>
      <w:r w:rsidR="005215D3">
        <w:t xml:space="preserve">y exigencias administrativas. </w:t>
      </w:r>
      <w:r w:rsidR="003F7E63">
        <w:t>Las legislaciones presentan vacíos en materia de</w:t>
      </w:r>
      <w:r w:rsidR="00FA5D12">
        <w:t xml:space="preserve"> mecanismos de reparación a las</w:t>
      </w:r>
      <w:r w:rsidRPr="006B4C84">
        <w:t xml:space="preserve"> víctimas</w:t>
      </w:r>
      <w:r w:rsidR="003F7E63">
        <w:t xml:space="preserve"> del personal de SP.</w:t>
      </w:r>
    </w:p>
    <w:p w14:paraId="22E6A8AC" w14:textId="499F4B32" w:rsidR="000E4155" w:rsidRPr="006B4C84" w:rsidRDefault="00D34093" w:rsidP="00E81608">
      <w:pPr>
        <w:spacing w:line="240" w:lineRule="atLeast"/>
        <w:jc w:val="both"/>
      </w:pPr>
      <w:r w:rsidRPr="006B4C84">
        <w:t xml:space="preserve"> </w:t>
      </w:r>
      <w:r w:rsidR="000B4123" w:rsidRPr="006B4C84">
        <w:t xml:space="preserve">En Buenos Aires, </w:t>
      </w:r>
      <w:r w:rsidR="00C14C27" w:rsidRPr="006B4C84">
        <w:t>l</w:t>
      </w:r>
      <w:r w:rsidR="000B4123" w:rsidRPr="006B4C84">
        <w:t xml:space="preserve">a Autoridad de Aplicación </w:t>
      </w:r>
      <w:r w:rsidR="000E4155" w:rsidRPr="006B4C84">
        <w:t xml:space="preserve">fiscaliza </w:t>
      </w:r>
      <w:r w:rsidR="000B4123" w:rsidRPr="006B4C84">
        <w:t>y aplicar sanciones</w:t>
      </w:r>
      <w:r w:rsidR="000E4155" w:rsidRPr="006B4C84">
        <w:t xml:space="preserve">. </w:t>
      </w:r>
      <w:r w:rsidR="00A41D94">
        <w:t>C</w:t>
      </w:r>
      <w:r w:rsidR="00A41D94" w:rsidRPr="006B4C84">
        <w:t>ada vez que lo estime necesario</w:t>
      </w:r>
      <w:r w:rsidR="00A41D94">
        <w:t>,</w:t>
      </w:r>
      <w:r w:rsidR="00A41D94" w:rsidRPr="006B4C84">
        <w:t xml:space="preserve"> </w:t>
      </w:r>
      <w:r w:rsidR="00A41D94">
        <w:t>p</w:t>
      </w:r>
      <w:r w:rsidR="000E4155" w:rsidRPr="006B4C84">
        <w:t xml:space="preserve">uede requerir </w:t>
      </w:r>
      <w:r w:rsidR="00C14C27" w:rsidRPr="006B4C84">
        <w:t xml:space="preserve">los registros, </w:t>
      </w:r>
      <w:r w:rsidR="000E4155" w:rsidRPr="006B4C84">
        <w:t>las informaciones y documentación para verificar el cumplimie</w:t>
      </w:r>
      <w:r w:rsidR="00C74912" w:rsidRPr="006B4C84">
        <w:t xml:space="preserve">nto de la ley y su Reglamento, </w:t>
      </w:r>
      <w:r w:rsidR="000E4155" w:rsidRPr="006B4C84">
        <w:t>y debe realizar al menos una fis</w:t>
      </w:r>
      <w:r w:rsidR="000B4123" w:rsidRPr="006B4C84">
        <w:t>calización anual. L</w:t>
      </w:r>
      <w:r w:rsidR="000E4155" w:rsidRPr="006B4C84">
        <w:t>as inspecciones pueden ser p</w:t>
      </w:r>
      <w:r w:rsidR="000B4123" w:rsidRPr="006B4C84">
        <w:t>arciales o integrales</w:t>
      </w:r>
      <w:r w:rsidR="000E4155" w:rsidRPr="006B4C84">
        <w:t xml:space="preserve"> y debe dejarse constancia de ellas en el Registro de Inspecciones, de las “informaciones y libros examinados”</w:t>
      </w:r>
      <w:r w:rsidR="000B4123" w:rsidRPr="006B4C84">
        <w:rPr>
          <w:rStyle w:val="FootnoteReference"/>
        </w:rPr>
        <w:t xml:space="preserve"> </w:t>
      </w:r>
      <w:r w:rsidR="000B4123" w:rsidRPr="006B4C84">
        <w:rPr>
          <w:rStyle w:val="FootnoteReference"/>
        </w:rPr>
        <w:footnoteReference w:id="104"/>
      </w:r>
      <w:r w:rsidR="000E4155" w:rsidRPr="006B4C84">
        <w:t>; las irregularidades encontradas se señala</w:t>
      </w:r>
      <w:r w:rsidR="00A41D94">
        <w:t>n</w:t>
      </w:r>
      <w:r w:rsidR="000E4155" w:rsidRPr="006B4C84">
        <w:t xml:space="preserve"> junto con el plazo para subsanarlas. En caso que una empresa de SP obtenga </w:t>
      </w:r>
      <w:r w:rsidR="00A41D94">
        <w:t xml:space="preserve">excepcionalmente la </w:t>
      </w:r>
      <w:r w:rsidR="000E4155" w:rsidRPr="006B4C84">
        <w:t>autorización para usar a</w:t>
      </w:r>
      <w:r w:rsidR="000B4123" w:rsidRPr="006B4C84">
        <w:t>rmas de calibre superior al 38</w:t>
      </w:r>
      <w:r w:rsidR="000E4155" w:rsidRPr="006B4C84">
        <w:t>, la prestadora y el contratante deben asumir expresamente todos los riesgos que ello represente</w:t>
      </w:r>
      <w:r w:rsidR="000B4123" w:rsidRPr="006B4C84">
        <w:rPr>
          <w:rStyle w:val="FootnoteReference"/>
        </w:rPr>
        <w:footnoteReference w:id="105"/>
      </w:r>
      <w:r w:rsidR="000E4155" w:rsidRPr="006B4C84">
        <w:t xml:space="preserve">. Las causas </w:t>
      </w:r>
      <w:proofErr w:type="spellStart"/>
      <w:r w:rsidR="000E4155" w:rsidRPr="006B4C84">
        <w:t>contravencionales</w:t>
      </w:r>
      <w:proofErr w:type="spellEnd"/>
      <w:r w:rsidR="000E4155" w:rsidRPr="006B4C84">
        <w:t xml:space="preserve"> tienen un </w:t>
      </w:r>
      <w:r w:rsidR="000E4155" w:rsidRPr="006B4C84">
        <w:lastRenderedPageBreak/>
        <w:t>procedimiento específico, adminis</w:t>
      </w:r>
      <w:r w:rsidR="009449B3" w:rsidRPr="006B4C84">
        <w:t>trativo, y son públicas</w:t>
      </w:r>
      <w:r w:rsidR="000E4155" w:rsidRPr="006B4C84">
        <w:t>. Todo esto sin perjuicio de las responsabilidades civiles y penales que pudiere haber.</w:t>
      </w:r>
    </w:p>
    <w:p w14:paraId="05E19EE3" w14:textId="55E03CCA" w:rsidR="000E4155" w:rsidRPr="006B4C84" w:rsidRDefault="000E4155" w:rsidP="00E81608">
      <w:pPr>
        <w:autoSpaceDE w:val="0"/>
        <w:autoSpaceDN w:val="0"/>
        <w:adjustRightInd w:val="0"/>
        <w:spacing w:line="240" w:lineRule="atLeast"/>
        <w:jc w:val="both"/>
      </w:pPr>
      <w:r w:rsidRPr="006B4C84">
        <w:t xml:space="preserve">En Ecuador, la Ley de Vigilancia y Seguridad Privada dispone que el control y vigilancia de las compañías de SP </w:t>
      </w:r>
      <w:proofErr w:type="gramStart"/>
      <w:r w:rsidRPr="006B4C84">
        <w:t>corresponde</w:t>
      </w:r>
      <w:proofErr w:type="gramEnd"/>
      <w:r w:rsidRPr="006B4C84">
        <w:t xml:space="preserve"> al Ministerio de Gobierno y Policía, junto a la Superintendencia de Compañías, siendo ésta la que informa al Ministerio de las disoluciones de las compañías. Luego que el Ministerio de Gobierno y Policía otorga el permiso de operación, puede disponer en cualquier momento y circunstancia inspecciones de supervisión y control de las compañías, por intermedio del Departamento de Control y Supervisión especial de la Inspectoría General de la Policía Nacional</w:t>
      </w:r>
      <w:r w:rsidR="00524CCD">
        <w:t>; este último</w:t>
      </w:r>
      <w:r w:rsidRPr="006B4C84">
        <w:t xml:space="preserve"> controla al personal de las empresas con o </w:t>
      </w:r>
      <w:r w:rsidR="009449B3" w:rsidRPr="006B4C84">
        <w:t>sin instrucción del Ministerio</w:t>
      </w:r>
      <w:r w:rsidR="009449B3" w:rsidRPr="006B4C84">
        <w:rPr>
          <w:rStyle w:val="FootnoteReference"/>
        </w:rPr>
        <w:footnoteReference w:id="106"/>
      </w:r>
      <w:r w:rsidRPr="006B4C84">
        <w:t>. Las inspecciones son a las instalaciones, verificación de documentos, operativos de control de la operación ilegal de</w:t>
      </w:r>
      <w:r w:rsidR="009449B3" w:rsidRPr="006B4C84">
        <w:t xml:space="preserve"> compañías y personas naturales</w:t>
      </w:r>
      <w:r w:rsidRPr="006B4C84">
        <w:t>. El Ministerio de Gobierno y Policía es competente para conocer y resolver las sanciones por las infracciones cometidas, previo informe de la Policía. Las compañías de SP son civilmente responsables por daños a terceros y/o usuarios por actos u omisiones de su personal. El Comando Conjunto de las Fuerzas Armadas realiza el control y seguimiento del armamento autorizado.</w:t>
      </w:r>
    </w:p>
    <w:p w14:paraId="3B991A1F" w14:textId="032EB743" w:rsidR="00C71EB7" w:rsidRPr="005241EC" w:rsidRDefault="00F2661C" w:rsidP="00E81608">
      <w:pPr>
        <w:spacing w:line="240" w:lineRule="atLeast"/>
        <w:jc w:val="both"/>
        <w:rPr>
          <w:lang w:val="es-ES"/>
        </w:rPr>
      </w:pPr>
      <w:r w:rsidRPr="006B4C84">
        <w:t>La regulación colombiana i</w:t>
      </w:r>
      <w:r w:rsidR="000E4155" w:rsidRPr="006B4C84">
        <w:t>ndica que los objetivos de los servicios de SP son prevenir o disminuir las amenazas sobre la vida, integridad física y ejercicio de los derechos y bienes de las personas, sin perturbar</w:t>
      </w:r>
      <w:r w:rsidR="000E4155" w:rsidRPr="00560A20">
        <w:t xml:space="preserve"> las condiciones para el ejercicio de los derechos y libertades públicas, y sin invadir la órbita de competencia rese</w:t>
      </w:r>
      <w:r w:rsidRPr="00560A20">
        <w:t>rvada a las autoridades</w:t>
      </w:r>
      <w:r w:rsidR="00680BA5">
        <w:t>;</w:t>
      </w:r>
      <w:r w:rsidR="000E4155" w:rsidRPr="000A674F">
        <w:t xml:space="preserve"> y deben respetar los derechos fundamentales y liberta</w:t>
      </w:r>
      <w:r w:rsidR="009E7349" w:rsidRPr="006B4C84">
        <w:t>des de la comunidad</w:t>
      </w:r>
      <w:r w:rsidRPr="006B4C84">
        <w:rPr>
          <w:rStyle w:val="FootnoteReference"/>
        </w:rPr>
        <w:footnoteReference w:id="107"/>
      </w:r>
      <w:r w:rsidR="000E4155" w:rsidRPr="006B4C84">
        <w:t>. La Superintendencia emite circulares para informar, instruir y fijar criterios técnicos que faciliten el cumplimiento de las normas, señala procedimientos para ello e imparte órdenes para el cumplimiento de la función de vigilancia, inspección y control.</w:t>
      </w:r>
      <w:r w:rsidR="00174CD9" w:rsidRPr="006B4C84">
        <w:t xml:space="preserve"> </w:t>
      </w:r>
      <w:r w:rsidR="000E4155" w:rsidRPr="006B4C84">
        <w:t>L</w:t>
      </w:r>
      <w:r w:rsidR="00B35E6E" w:rsidRPr="006B4C84">
        <w:t>os prestadores</w:t>
      </w:r>
      <w:r w:rsidR="005241EC">
        <w:t xml:space="preserve"> </w:t>
      </w:r>
      <w:r w:rsidR="000E4155" w:rsidRPr="006B4C84">
        <w:t xml:space="preserve">de </w:t>
      </w:r>
      <w:r w:rsidR="000E4155" w:rsidRPr="005241EC">
        <w:t>servicios de vigilancia y seguridad tiene</w:t>
      </w:r>
      <w:r w:rsidR="00680BA5">
        <w:t>n</w:t>
      </w:r>
      <w:r w:rsidR="000E4155" w:rsidRPr="005241EC">
        <w:t xml:space="preserve"> </w:t>
      </w:r>
      <w:r w:rsidR="009E7349" w:rsidRPr="005241EC">
        <w:t xml:space="preserve">el deber de </w:t>
      </w:r>
      <w:r w:rsidR="000E4155" w:rsidRPr="005241EC">
        <w:t xml:space="preserve">colaborar con la Superintendencia en la labor de inspección, proporcionando toda la información que ésta requiera para el desarrollo de sus funciones; </w:t>
      </w:r>
      <w:r w:rsidR="009E7349" w:rsidRPr="005241EC">
        <w:t>también debe</w:t>
      </w:r>
      <w:r w:rsidR="00680BA5">
        <w:t>n</w:t>
      </w:r>
      <w:r w:rsidR="009E7349" w:rsidRPr="005241EC">
        <w:t xml:space="preserve"> </w:t>
      </w:r>
      <w:r w:rsidR="000E4155" w:rsidRPr="005241EC">
        <w:t>desarrolla</w:t>
      </w:r>
      <w:r w:rsidR="009E7349" w:rsidRPr="005241EC">
        <w:t>r mecanismos de control interno</w:t>
      </w:r>
      <w:r w:rsidR="000E4155" w:rsidRPr="005241EC">
        <w:t xml:space="preserve"> para prevenir que el personal del servicio de</w:t>
      </w:r>
      <w:r w:rsidR="009E7349" w:rsidRPr="005241EC">
        <w:t xml:space="preserve"> vigilancia y seguridad privada</w:t>
      </w:r>
      <w:r w:rsidR="000E4155" w:rsidRPr="005241EC">
        <w:t xml:space="preserve"> se involucre directa o indirectamente en actividades </w:t>
      </w:r>
      <w:r w:rsidR="00A22203" w:rsidRPr="005241EC">
        <w:t>del</w:t>
      </w:r>
      <w:r w:rsidR="000E4155" w:rsidRPr="005241EC">
        <w:t>ictivas, así como controlar actos de indisciplina del personal que presta servicios a los usuarios</w:t>
      </w:r>
      <w:r w:rsidR="00C71EB7" w:rsidRPr="00560A20">
        <w:rPr>
          <w:rStyle w:val="FootnoteReference"/>
        </w:rPr>
        <w:footnoteReference w:id="108"/>
      </w:r>
      <w:r w:rsidR="000E4155" w:rsidRPr="000A674F">
        <w:t>.</w:t>
      </w:r>
      <w:r w:rsidR="00C71EB7" w:rsidRPr="005241EC">
        <w:t xml:space="preserve"> </w:t>
      </w:r>
      <w:r w:rsidR="00A22203" w:rsidRPr="005241EC">
        <w:t>Tratándose de los Servicios Especiales y los Comunitarios de Vigilancia y SP, la regulación dispone también que deben informar a la autoridad de actos delictivos y violaciones de derechos humanos o del derecho internacional humanitario de que tomen conocimiento en funciones; exige póliza de responsabilidad civil extracontractual para cubrir riesgos derivados del uso inde</w:t>
      </w:r>
      <w:r w:rsidR="00A22203" w:rsidRPr="00560A20">
        <w:t>bido de armas de fuego u otros elementos</w:t>
      </w:r>
      <w:r w:rsidR="00030657">
        <w:t>,</w:t>
      </w:r>
      <w:r w:rsidR="00A22203" w:rsidRPr="00560A20">
        <w:t xml:space="preserve"> y del ejercicio de estas actividades</w:t>
      </w:r>
      <w:r w:rsidR="00A22203" w:rsidRPr="000A674F">
        <w:rPr>
          <w:rStyle w:val="FootnoteReference"/>
        </w:rPr>
        <w:footnoteReference w:id="109"/>
      </w:r>
      <w:r w:rsidR="00A22203" w:rsidRPr="005241EC">
        <w:t>.</w:t>
      </w:r>
      <w:r w:rsidR="00AC5BD1" w:rsidRPr="005241EC">
        <w:t xml:space="preserve"> Para estos</w:t>
      </w:r>
      <w:r w:rsidR="004A51DB" w:rsidRPr="005241EC">
        <w:t xml:space="preserve"> servicios </w:t>
      </w:r>
      <w:r w:rsidR="004A51DB" w:rsidRPr="0062735D">
        <w:t xml:space="preserve">se crean los Comités de Seguimiento departamentales que evalúan e informan sobre </w:t>
      </w:r>
      <w:r w:rsidR="00030657" w:rsidRPr="0062735D">
        <w:t>su</w:t>
      </w:r>
      <w:r w:rsidR="004A51DB" w:rsidRPr="0062735D">
        <w:t xml:space="preserve"> funcionamiento, y la Superintendencia realiza visitas y adopta </w:t>
      </w:r>
      <w:r w:rsidR="00030657" w:rsidRPr="0062735D">
        <w:t xml:space="preserve">las </w:t>
      </w:r>
      <w:r w:rsidR="004A51DB" w:rsidRPr="0062735D">
        <w:t>correcciones necesarias</w:t>
      </w:r>
      <w:r w:rsidR="004A51DB" w:rsidRPr="0062735D">
        <w:rPr>
          <w:rStyle w:val="FootnoteReference"/>
        </w:rPr>
        <w:footnoteReference w:id="110"/>
      </w:r>
      <w:r w:rsidR="004A51DB" w:rsidRPr="0062735D">
        <w:t>.</w:t>
      </w:r>
      <w:r w:rsidR="00AC5BD1" w:rsidRPr="0062735D">
        <w:t xml:space="preserve"> En el caso de los Servicios Comunitarios, </w:t>
      </w:r>
      <w:r w:rsidR="0088263A" w:rsidRPr="0062735D">
        <w:t>se crea el Consejo de Veeduría C</w:t>
      </w:r>
      <w:r w:rsidR="00AC5BD1" w:rsidRPr="0062735D">
        <w:t>omunitaria, cuyos miembros son elegidos por asambleas</w:t>
      </w:r>
      <w:r w:rsidR="00AC5BD1" w:rsidRPr="005241EC">
        <w:t xml:space="preserve"> ciudadanas</w:t>
      </w:r>
      <w:r w:rsidR="00296100" w:rsidRPr="005241EC">
        <w:rPr>
          <w:rStyle w:val="FootnoteReference"/>
        </w:rPr>
        <w:footnoteReference w:id="111"/>
      </w:r>
      <w:r w:rsidR="008F62BA" w:rsidRPr="005241EC">
        <w:t xml:space="preserve">, los Consejos envían informes trimestrales a la Superintendencia con recomendaciones para el buen funcionamiento de los Servicios Comunitarios, recomiendan a los gobiernos locales y Nacional medidas y políticas para garantizar la seguridad ciudadana, </w:t>
      </w:r>
      <w:r w:rsidR="00AF68D4">
        <w:t xml:space="preserve">y </w:t>
      </w:r>
      <w:r w:rsidR="008F62BA" w:rsidRPr="005241EC">
        <w:t>emiten opinión sobre la necesidad de que porten armas.</w:t>
      </w:r>
      <w:r w:rsidR="001E1DA9">
        <w:t xml:space="preserve"> </w:t>
      </w:r>
      <w:r w:rsidR="00131638">
        <w:t xml:space="preserve">Este tipo </w:t>
      </w:r>
      <w:r w:rsidR="00131638">
        <w:lastRenderedPageBreak/>
        <w:t>de mecanismo</w:t>
      </w:r>
      <w:r w:rsidR="00F46BE8">
        <w:t xml:space="preserve"> </w:t>
      </w:r>
      <w:r w:rsidR="00131638">
        <w:t>que somete</w:t>
      </w:r>
      <w:r w:rsidR="00AF68D4">
        <w:t>n</w:t>
      </w:r>
      <w:r w:rsidR="00131638">
        <w:t xml:space="preserve"> las actividades al escrutinio</w:t>
      </w:r>
      <w:r w:rsidR="00F46BE8">
        <w:t xml:space="preserve"> </w:t>
      </w:r>
      <w:r w:rsidR="001D0825">
        <w:t xml:space="preserve">ciudadano y </w:t>
      </w:r>
      <w:r w:rsidR="00AF68D4">
        <w:t>su</w:t>
      </w:r>
      <w:r w:rsidR="00131638">
        <w:t xml:space="preserve"> monitoreo efectivo, constituye una buena práctica si está </w:t>
      </w:r>
      <w:r w:rsidR="00AF68D4">
        <w:t>orientado a la protección</w:t>
      </w:r>
      <w:r w:rsidR="00131638">
        <w:t xml:space="preserve"> de </w:t>
      </w:r>
      <w:r w:rsidR="00AF68D4">
        <w:t xml:space="preserve">los </w:t>
      </w:r>
      <w:r w:rsidR="00131638">
        <w:t>derechos humanos</w:t>
      </w:r>
      <w:r w:rsidR="00AF68D4">
        <w:t xml:space="preserve"> y el DIH</w:t>
      </w:r>
      <w:r w:rsidR="00131638">
        <w:t>.</w:t>
      </w:r>
    </w:p>
    <w:p w14:paraId="7B8BDED1" w14:textId="1C129117" w:rsidR="00187D57" w:rsidRPr="005241EC" w:rsidRDefault="006D4FB8" w:rsidP="00E81608">
      <w:pPr>
        <w:autoSpaceDE w:val="0"/>
        <w:autoSpaceDN w:val="0"/>
        <w:adjustRightInd w:val="0"/>
        <w:spacing w:line="240" w:lineRule="atLeast"/>
        <w:jc w:val="both"/>
      </w:pPr>
      <w:r w:rsidRPr="005241EC">
        <w:t xml:space="preserve">En </w:t>
      </w:r>
      <w:r w:rsidR="00187D57" w:rsidRPr="005241EC">
        <w:t xml:space="preserve">Bolivia, </w:t>
      </w:r>
      <w:r w:rsidR="00194898" w:rsidRPr="005241EC">
        <w:t>el DENCOES</w:t>
      </w:r>
      <w:r w:rsidR="00194898" w:rsidRPr="00560A20">
        <w:rPr>
          <w:rStyle w:val="FootnoteReference"/>
        </w:rPr>
        <w:footnoteReference w:id="112"/>
      </w:r>
      <w:r w:rsidR="00194898" w:rsidRPr="000A674F">
        <w:t>, a través de las Jefaturas</w:t>
      </w:r>
      <w:r w:rsidR="00187D57" w:rsidRPr="005241EC">
        <w:t xml:space="preserve"> Departamentales, JEDECOES</w:t>
      </w:r>
      <w:r w:rsidR="00194898" w:rsidRPr="005241EC">
        <w:t>,</w:t>
      </w:r>
      <w:r w:rsidRPr="005241EC">
        <w:t xml:space="preserve"> supervisa</w:t>
      </w:r>
      <w:r w:rsidR="00187D57" w:rsidRPr="005241EC">
        <w:t xml:space="preserve"> y control</w:t>
      </w:r>
      <w:r w:rsidRPr="005241EC">
        <w:t xml:space="preserve">a </w:t>
      </w:r>
      <w:r w:rsidR="00187D57" w:rsidRPr="005241EC">
        <w:t>el funcionamiento operativo de las empresas</w:t>
      </w:r>
      <w:r w:rsidRPr="005241EC">
        <w:rPr>
          <w:rStyle w:val="FootnoteReference"/>
        </w:rPr>
        <w:footnoteReference w:id="113"/>
      </w:r>
      <w:r w:rsidR="006A591B" w:rsidRPr="005241EC">
        <w:t xml:space="preserve"> y </w:t>
      </w:r>
      <w:r w:rsidR="00187D57" w:rsidRPr="005241EC">
        <w:t xml:space="preserve">vela por el cumplimiento del Reglamento y su </w:t>
      </w:r>
      <w:r w:rsidR="00707EE4" w:rsidRPr="005241EC">
        <w:t>desempeño eficiente</w:t>
      </w:r>
      <w:r w:rsidR="00187D57" w:rsidRPr="005241EC">
        <w:t xml:space="preserve"> y transpare</w:t>
      </w:r>
      <w:r w:rsidR="006A591B" w:rsidRPr="005241EC">
        <w:t>nte, supervisa e inspecciona</w:t>
      </w:r>
      <w:r w:rsidR="00C74912" w:rsidRPr="005241EC">
        <w:t xml:space="preserve"> </w:t>
      </w:r>
      <w:r w:rsidR="00187D57" w:rsidRPr="005241EC">
        <w:t>periódicamente a las ESP</w:t>
      </w:r>
      <w:r w:rsidR="005C1CDF">
        <w:t>S</w:t>
      </w:r>
      <w:r w:rsidR="00187D57" w:rsidRPr="005241EC">
        <w:t xml:space="preserve">, </w:t>
      </w:r>
      <w:r w:rsidR="006A591B" w:rsidRPr="005241EC">
        <w:t xml:space="preserve">y </w:t>
      </w:r>
      <w:r w:rsidR="00187D57" w:rsidRPr="005241EC">
        <w:t>aplica a</w:t>
      </w:r>
      <w:r w:rsidR="006A591B" w:rsidRPr="005241EC">
        <w:t>monestaciones.</w:t>
      </w:r>
      <w:r w:rsidR="00194898" w:rsidRPr="005241EC">
        <w:t xml:space="preserve"> </w:t>
      </w:r>
      <w:r w:rsidR="006A591B" w:rsidRPr="005241EC">
        <w:t>L</w:t>
      </w:r>
      <w:r w:rsidR="00194898" w:rsidRPr="005241EC">
        <w:t>as JEDECOES</w:t>
      </w:r>
      <w:r w:rsidR="00187D57" w:rsidRPr="005241EC">
        <w:t xml:space="preserve"> eleva</w:t>
      </w:r>
      <w:r w:rsidR="00194898" w:rsidRPr="005241EC">
        <w:t>n</w:t>
      </w:r>
      <w:r w:rsidR="00187D57" w:rsidRPr="005241EC">
        <w:t xml:space="preserve"> informe mensual sobre estas actividades y solicita</w:t>
      </w:r>
      <w:r w:rsidR="006A591B" w:rsidRPr="005241EC">
        <w:t>n</w:t>
      </w:r>
      <w:r w:rsidR="00187D57" w:rsidRPr="005241EC">
        <w:t xml:space="preserve"> al DENCOES la suspensión temporal o definitiva en caso de reincidencia o falta grave de la empresa</w:t>
      </w:r>
      <w:r w:rsidR="00187D57" w:rsidRPr="00560A20">
        <w:t>.</w:t>
      </w:r>
      <w:r w:rsidR="00187D57" w:rsidRPr="000A674F">
        <w:t xml:space="preserve"> Los prestadores están </w:t>
      </w:r>
      <w:r w:rsidR="00065691" w:rsidRPr="005241EC">
        <w:t>obliga</w:t>
      </w:r>
      <w:r w:rsidR="00187D57" w:rsidRPr="005241EC">
        <w:t>dos</w:t>
      </w:r>
      <w:r w:rsidR="000E4155" w:rsidRPr="005241EC">
        <w:t xml:space="preserve"> a informar sobre todos los aspectos </w:t>
      </w:r>
      <w:r w:rsidR="006A591B" w:rsidRPr="005241EC">
        <w:t xml:space="preserve">operativos que se les requiera </w:t>
      </w:r>
      <w:r w:rsidR="000E4155" w:rsidRPr="005241EC">
        <w:t>con la frecuencia y en el formato que se le</w:t>
      </w:r>
      <w:r w:rsidR="005C1CDF">
        <w:t>s</w:t>
      </w:r>
      <w:r w:rsidR="000E4155" w:rsidRPr="005241EC">
        <w:t xml:space="preserve"> solicite</w:t>
      </w:r>
      <w:r w:rsidR="00DF1CD0" w:rsidRPr="005241EC">
        <w:t>; y el personal directivo tiene la obligación de planificar y controlar las actividades del personal en el marco de las leyes, el Reglamento y respeto a la moral y buenas costumbres</w:t>
      </w:r>
      <w:r w:rsidR="00DF1CD0" w:rsidRPr="005241EC">
        <w:rPr>
          <w:rStyle w:val="FootnoteReference"/>
        </w:rPr>
        <w:footnoteReference w:id="114"/>
      </w:r>
      <w:r w:rsidR="00DF1CD0" w:rsidRPr="005241EC">
        <w:t>. El R</w:t>
      </w:r>
      <w:r w:rsidR="006A591B" w:rsidRPr="005241EC">
        <w:t>eglamento</w:t>
      </w:r>
      <w:r w:rsidR="000E4155" w:rsidRPr="005241EC">
        <w:t xml:space="preserve"> dispone la responsabilidad civil de los ejecutivos y directivos de las </w:t>
      </w:r>
      <w:proofErr w:type="spellStart"/>
      <w:r w:rsidR="000E4155" w:rsidRPr="005241EC">
        <w:t>ESP</w:t>
      </w:r>
      <w:r w:rsidR="005C1CDF">
        <w:t>s</w:t>
      </w:r>
      <w:proofErr w:type="spellEnd"/>
      <w:r w:rsidR="000E4155" w:rsidRPr="005241EC">
        <w:t xml:space="preserve">, solidaria y mancomunada con su personal, </w:t>
      </w:r>
      <w:r w:rsidR="000E4155" w:rsidRPr="0062735D">
        <w:t xml:space="preserve">por el desempeño negligente de funciones o comisión de delitos durante </w:t>
      </w:r>
      <w:r w:rsidR="00374911" w:rsidRPr="0062735D">
        <w:t>su</w:t>
      </w:r>
      <w:r w:rsidR="000E4155" w:rsidRPr="0062735D">
        <w:t xml:space="preserve"> ejecución</w:t>
      </w:r>
      <w:r w:rsidR="006A591B" w:rsidRPr="0062735D">
        <w:t>; además, los</w:t>
      </w:r>
      <w:r w:rsidR="006A591B" w:rsidRPr="005241EC">
        <w:t xml:space="preserve"> directivos, ejecutivos y dependientes de las </w:t>
      </w:r>
      <w:proofErr w:type="spellStart"/>
      <w:r w:rsidR="006A591B" w:rsidRPr="005241EC">
        <w:t>ESP</w:t>
      </w:r>
      <w:r w:rsidR="00DB0571">
        <w:t>s</w:t>
      </w:r>
      <w:proofErr w:type="spellEnd"/>
      <w:r w:rsidR="006A591B" w:rsidRPr="005241EC">
        <w:t xml:space="preserve"> que en el ejercicio de sus funciones sean implicados en la comisión de delitos</w:t>
      </w:r>
      <w:r w:rsidR="00DB0571">
        <w:t>,</w:t>
      </w:r>
      <w:r w:rsidR="006A591B" w:rsidRPr="005241EC">
        <w:t xml:space="preserve"> deben ser remitidos al Ministerio Público e incluidos en el </w:t>
      </w:r>
      <w:proofErr w:type="spellStart"/>
      <w:r w:rsidR="006A591B" w:rsidRPr="005241EC">
        <w:t>kardex</w:t>
      </w:r>
      <w:proofErr w:type="spellEnd"/>
      <w:r w:rsidR="006A591B" w:rsidRPr="005241EC">
        <w:t xml:space="preserve"> individual y en el de la </w:t>
      </w:r>
      <w:r w:rsidR="00DB0571">
        <w:t>empresa</w:t>
      </w:r>
      <w:r w:rsidR="006A591B" w:rsidRPr="00560A20">
        <w:rPr>
          <w:rStyle w:val="FootnoteReference"/>
        </w:rPr>
        <w:footnoteReference w:id="115"/>
      </w:r>
      <w:r w:rsidR="006A591B" w:rsidRPr="000A674F">
        <w:t xml:space="preserve">. </w:t>
      </w:r>
      <w:r w:rsidR="00D05B2A" w:rsidRPr="005241EC">
        <w:t xml:space="preserve">Por otra parte, el </w:t>
      </w:r>
      <w:r w:rsidR="00DB0571">
        <w:t xml:space="preserve">Reglamento (Art. </w:t>
      </w:r>
      <w:r w:rsidR="00D05B2A" w:rsidRPr="005241EC">
        <w:t>29</w:t>
      </w:r>
      <w:r w:rsidR="00DB0571">
        <w:t>)</w:t>
      </w:r>
      <w:r w:rsidR="00D05B2A" w:rsidRPr="005241EC">
        <w:t>, señala que l</w:t>
      </w:r>
      <w:r w:rsidR="000E4155" w:rsidRPr="005241EC">
        <w:t xml:space="preserve">as empresas y su personal </w:t>
      </w:r>
      <w:r w:rsidR="00BC0940" w:rsidRPr="005241EC">
        <w:t xml:space="preserve">tienen la obligación </w:t>
      </w:r>
      <w:r w:rsidR="000E4155" w:rsidRPr="005241EC">
        <w:t>de denunciar conductas atentatorias a la seguridad ciudada</w:t>
      </w:r>
      <w:r w:rsidR="00D05B2A" w:rsidRPr="005241EC">
        <w:t xml:space="preserve">na y comisión de delitos, sin </w:t>
      </w:r>
      <w:r w:rsidR="000E4155" w:rsidRPr="005241EC">
        <w:t>especifica</w:t>
      </w:r>
      <w:r w:rsidR="00D05B2A" w:rsidRPr="005241EC">
        <w:t>r</w:t>
      </w:r>
      <w:r w:rsidR="000E4155" w:rsidRPr="005241EC">
        <w:t xml:space="preserve"> si se trata de hechos </w:t>
      </w:r>
      <w:r w:rsidR="00D72233">
        <w:t>de terceros</w:t>
      </w:r>
      <w:r w:rsidR="000E4155" w:rsidRPr="005241EC">
        <w:t xml:space="preserve"> o del personal</w:t>
      </w:r>
      <w:r w:rsidR="006A591B" w:rsidRPr="005241EC">
        <w:t xml:space="preserve">. </w:t>
      </w:r>
    </w:p>
    <w:p w14:paraId="3FEFE3AC" w14:textId="24C34E49" w:rsidR="007A60F8" w:rsidRPr="005241EC" w:rsidRDefault="00AE2D87" w:rsidP="00E81608">
      <w:pPr>
        <w:spacing w:line="240" w:lineRule="atLeast"/>
        <w:jc w:val="both"/>
      </w:pPr>
      <w:r w:rsidRPr="005241EC">
        <w:t xml:space="preserve">En </w:t>
      </w:r>
      <w:r w:rsidR="000E4155" w:rsidRPr="005241EC">
        <w:t>Perú</w:t>
      </w:r>
      <w:r w:rsidR="000E4155" w:rsidRPr="00560A20">
        <w:t xml:space="preserve">, el Ministerio del Interior ejerce </w:t>
      </w:r>
      <w:r w:rsidR="002E7387" w:rsidRPr="000A674F">
        <w:t>su autoridad de regulación, control</w:t>
      </w:r>
      <w:r w:rsidR="004427ED">
        <w:t xml:space="preserve"> y</w:t>
      </w:r>
      <w:r w:rsidR="002E7387" w:rsidRPr="000A674F">
        <w:t xml:space="preserve"> supervisión </w:t>
      </w:r>
      <w:r w:rsidR="000E4155" w:rsidRPr="005241EC">
        <w:t xml:space="preserve">a través de la Dirección General de Control de Servicios de Seguridad, Control de Armas, Municiones y Explosivos de Uso Civil, DICSCAMEC. Esta autoridad realiza acciones inopinadas y aleatorias de control y supervisión de las empresas de SP, y a su requerimiento puede efectuarlas la Policía Nacional del Perú, que luego informa a la DICSCAMEC. Las empresas deben contar con un </w:t>
      </w:r>
      <w:r w:rsidR="004427ED">
        <w:t>r</w:t>
      </w:r>
      <w:r w:rsidR="000E4155" w:rsidRPr="005241EC">
        <w:t xml:space="preserve">eglamento </w:t>
      </w:r>
      <w:r w:rsidR="004427ED">
        <w:t>i</w:t>
      </w:r>
      <w:r w:rsidR="000E4155" w:rsidRPr="005241EC">
        <w:t>nterno aprobado por la Autoridad Administrativa de Trabajo y visado por la autoridad competente, con conocimiento obligatorio de los funcion</w:t>
      </w:r>
      <w:r w:rsidR="006E6137" w:rsidRPr="005241EC">
        <w:t>arios y personal de la empresa</w:t>
      </w:r>
      <w:r w:rsidR="006E6137" w:rsidRPr="005241EC">
        <w:rPr>
          <w:rStyle w:val="FootnoteReference"/>
        </w:rPr>
        <w:footnoteReference w:id="116"/>
      </w:r>
      <w:r w:rsidR="000E4155" w:rsidRPr="005241EC">
        <w:t>. La supervisión directa del personal operativo integrante de una empresa, está a cargo de un funcionario capacitado en seguridad privada con Grado de Supervisor; esta labor puede ser desempeñada por civiles o por oficiales y suboficiales de las Fuerzas Armadas o Policía Nacional del Perú en situación de retiro, debidamente capacitados y acreditados</w:t>
      </w:r>
      <w:r w:rsidR="009B068F" w:rsidRPr="00560A20">
        <w:rPr>
          <w:rStyle w:val="FootnoteReference"/>
        </w:rPr>
        <w:footnoteReference w:id="117"/>
      </w:r>
      <w:r w:rsidR="000E4155" w:rsidRPr="000A674F">
        <w:t xml:space="preserve">. El Reglamento aprobado en 2011 </w:t>
      </w:r>
      <w:r w:rsidR="002E7387" w:rsidRPr="005241EC">
        <w:t xml:space="preserve">-fecha a partir de la cual entró en vigencia la Ley 28.879- </w:t>
      </w:r>
      <w:r w:rsidR="000E4155" w:rsidRPr="005241EC">
        <w:t xml:space="preserve">establece la obligación de las </w:t>
      </w:r>
      <w:proofErr w:type="spellStart"/>
      <w:r w:rsidR="000E4155" w:rsidRPr="005241EC">
        <w:t>ESP</w:t>
      </w:r>
      <w:r w:rsidR="004427ED">
        <w:t>s</w:t>
      </w:r>
      <w:proofErr w:type="spellEnd"/>
      <w:r w:rsidR="000E4155" w:rsidRPr="005241EC">
        <w:t xml:space="preserve"> de contar con un registro de las inspecciones y observaciones reali</w:t>
      </w:r>
      <w:r w:rsidR="00F05CD3" w:rsidRPr="005241EC">
        <w:t>zadas por la DICSCAMEC</w:t>
      </w:r>
      <w:r w:rsidR="004427ED">
        <w:t>.</w:t>
      </w:r>
      <w:r w:rsidR="000E4155" w:rsidRPr="005241EC">
        <w:t xml:space="preserve"> </w:t>
      </w:r>
      <w:r w:rsidR="004427ED">
        <w:t>L</w:t>
      </w:r>
      <w:r w:rsidR="000E4155" w:rsidRPr="005241EC">
        <w:t xml:space="preserve">as visitas de supervisión y control deben realizarse al menos una vez al año y </w:t>
      </w:r>
      <w:r w:rsidR="002E7387" w:rsidRPr="005241EC">
        <w:t xml:space="preserve">puede haber </w:t>
      </w:r>
      <w:r w:rsidR="000E4155" w:rsidRPr="005241EC">
        <w:t xml:space="preserve">otras inopinadas que </w:t>
      </w:r>
      <w:r w:rsidR="000E4155" w:rsidRPr="0062735D">
        <w:t>det</w:t>
      </w:r>
      <w:r w:rsidR="00F05CD3" w:rsidRPr="0062735D">
        <w:t>ermine dicha autoridad</w:t>
      </w:r>
      <w:r w:rsidR="000E4155" w:rsidRPr="0062735D">
        <w:t>. Entre las prohibiciones se menciona la realización de actividades violatorias de los derechos de las personas consagrados en la Cons</w:t>
      </w:r>
      <w:r w:rsidR="007A60F8" w:rsidRPr="0062735D">
        <w:t>titución política</w:t>
      </w:r>
      <w:r w:rsidR="006E6137" w:rsidRPr="0062735D">
        <w:rPr>
          <w:rStyle w:val="FootnoteReference"/>
        </w:rPr>
        <w:footnoteReference w:id="118"/>
      </w:r>
      <w:r w:rsidR="000E4155" w:rsidRPr="0062735D">
        <w:t>.</w:t>
      </w:r>
      <w:r w:rsidR="000E4155" w:rsidRPr="005241EC">
        <w:t xml:space="preserve"> </w:t>
      </w:r>
    </w:p>
    <w:p w14:paraId="70FE1F1D" w14:textId="2DC89AE9" w:rsidR="000E4155" w:rsidRPr="005241EC" w:rsidRDefault="000E4155" w:rsidP="00E81608">
      <w:pPr>
        <w:spacing w:line="240" w:lineRule="atLeast"/>
        <w:jc w:val="both"/>
      </w:pPr>
      <w:r w:rsidRPr="005241EC">
        <w:lastRenderedPageBreak/>
        <w:t xml:space="preserve">De este grupo de países sólo la Ley peruana </w:t>
      </w:r>
      <w:r w:rsidR="00F44273" w:rsidRPr="005241EC">
        <w:t>prohíbe</w:t>
      </w:r>
      <w:r w:rsidR="00020A9A" w:rsidRPr="005241EC">
        <w:t xml:space="preserve"> los mercenarios, </w:t>
      </w:r>
      <w:r w:rsidRPr="005241EC">
        <w:t xml:space="preserve">aun cuando </w:t>
      </w:r>
      <w:r w:rsidR="000B4609">
        <w:t>dos han ratificado la Convención</w:t>
      </w:r>
      <w:r w:rsidR="007A60F8" w:rsidRPr="000A674F">
        <w:t xml:space="preserve"> sobre la materia</w:t>
      </w:r>
      <w:r w:rsidRPr="005241EC">
        <w:t xml:space="preserve">. El art. 45 de la Ley </w:t>
      </w:r>
      <w:r w:rsidR="000D5411">
        <w:t>peruana</w:t>
      </w:r>
      <w:r w:rsidRPr="005241EC">
        <w:t>, señala que los centros de capacitación tienen prohibido “capacitar, entrenar y adiestrar mercenarios, en estricto cumplimiento a las obligaciones contraídas por el Estado Peruano a través de Tratados y Acuerdos in</w:t>
      </w:r>
      <w:r w:rsidR="006E6137" w:rsidRPr="005241EC">
        <w:t>ternacionales vigentes”</w:t>
      </w:r>
      <w:r w:rsidR="006E6137" w:rsidRPr="005241EC">
        <w:rPr>
          <w:rStyle w:val="FootnoteReference"/>
        </w:rPr>
        <w:footnoteReference w:id="119"/>
      </w:r>
      <w:r w:rsidR="006E6137" w:rsidRPr="005241EC">
        <w:t>.</w:t>
      </w:r>
    </w:p>
    <w:p w14:paraId="5FFC8F5F" w14:textId="00665708" w:rsidR="000E4155" w:rsidRPr="000A674F" w:rsidRDefault="00532066" w:rsidP="00E81608">
      <w:pPr>
        <w:spacing w:line="240" w:lineRule="atLeast"/>
        <w:jc w:val="both"/>
      </w:pPr>
      <w:r w:rsidRPr="005241EC">
        <w:t xml:space="preserve">En Uruguay, </w:t>
      </w:r>
      <w:r w:rsidR="000E4155" w:rsidRPr="005241EC">
        <w:t>las atribuciones de control</w:t>
      </w:r>
      <w:r w:rsidRPr="005241EC">
        <w:t xml:space="preserve"> y fiscalización permanente</w:t>
      </w:r>
      <w:r w:rsidR="000E4155" w:rsidRPr="005241EC">
        <w:t xml:space="preserve"> correspond</w:t>
      </w:r>
      <w:r w:rsidR="00C74912" w:rsidRPr="005241EC">
        <w:t xml:space="preserve">en al Ministerio del Interior. </w:t>
      </w:r>
      <w:r w:rsidR="000E4155" w:rsidRPr="005241EC">
        <w:t>Son prin</w:t>
      </w:r>
      <w:r w:rsidR="00A85C40" w:rsidRPr="005241EC">
        <w:t xml:space="preserve">cipios de actuación de las </w:t>
      </w:r>
      <w:proofErr w:type="spellStart"/>
      <w:r w:rsidR="00A85C40" w:rsidRPr="005241EC">
        <w:t>ESP</w:t>
      </w:r>
      <w:r w:rsidR="000D5411">
        <w:t>s</w:t>
      </w:r>
      <w:proofErr w:type="spellEnd"/>
      <w:r w:rsidR="00A85C40" w:rsidRPr="005241EC">
        <w:t xml:space="preserve"> -</w:t>
      </w:r>
      <w:r w:rsidR="000E4155" w:rsidRPr="005241EC">
        <w:t>y también de las personas naturales</w:t>
      </w:r>
      <w:r w:rsidR="00C74912" w:rsidRPr="005241EC">
        <w:t xml:space="preserve"> que presten estos servicios-, </w:t>
      </w:r>
      <w:r w:rsidR="000E4155" w:rsidRPr="005241EC">
        <w:t xml:space="preserve">el de “integridad y dignidad, brindando protección y trato correcto a las personas debiendo utilizar en </w:t>
      </w:r>
      <w:r w:rsidR="000E4155" w:rsidRPr="00B322B5">
        <w:t>forma racional las fa</w:t>
      </w:r>
      <w:r w:rsidR="00A85C40" w:rsidRPr="00B322B5">
        <w:t>cultades y medios disponibles”</w:t>
      </w:r>
      <w:r w:rsidR="00A85C40" w:rsidRPr="00B322B5">
        <w:rPr>
          <w:rStyle w:val="FootnoteReference"/>
        </w:rPr>
        <w:footnoteReference w:id="120"/>
      </w:r>
      <w:r w:rsidR="000E4155" w:rsidRPr="00B322B5">
        <w:t xml:space="preserve">. El registro Nacional de personas físicas y </w:t>
      </w:r>
      <w:r w:rsidR="00A6731A" w:rsidRPr="00B322B5">
        <w:t>jurídicas -</w:t>
      </w:r>
      <w:r w:rsidR="000E4155" w:rsidRPr="005241EC">
        <w:t>que depende de la Dirección General de Secretaría del Ministerio del Interior- ejerce el control, fiscalización e inspección del funcionamiento de las empresas y propone las sanciones en caso de faltas, y propone al Ministerio los reglamentos necesarios para regular sus actividades y los instructivos</w:t>
      </w:r>
      <w:r w:rsidR="00C811AB" w:rsidRPr="005241EC">
        <w:rPr>
          <w:rStyle w:val="FootnoteReference"/>
        </w:rPr>
        <w:footnoteReference w:id="121"/>
      </w:r>
      <w:r w:rsidR="000E4155" w:rsidRPr="005241EC">
        <w:t>. No hay mención a los tratados internacionales ratificados por Uruguay</w:t>
      </w:r>
      <w:r w:rsidR="00120114" w:rsidRPr="00560A20">
        <w:t>, ni a los mercenarios, aun cuando han ratificado la Convención sobre la materia.</w:t>
      </w:r>
    </w:p>
    <w:p w14:paraId="771528D1" w14:textId="77777777" w:rsidR="000E4155" w:rsidRPr="005241EC" w:rsidRDefault="000E4155" w:rsidP="00E81608">
      <w:pPr>
        <w:spacing w:line="240" w:lineRule="atLeast"/>
        <w:jc w:val="both"/>
        <w:rPr>
          <w:sz w:val="16"/>
          <w:szCs w:val="16"/>
        </w:rPr>
      </w:pPr>
      <w:r w:rsidRPr="000A674F">
        <w:t xml:space="preserve">Los medios de prensa informan que durante enero de este año se creó </w:t>
      </w:r>
      <w:r w:rsidR="00397962" w:rsidRPr="005241EC">
        <w:t xml:space="preserve">en Uruguay </w:t>
      </w:r>
      <w:r w:rsidRPr="005241EC">
        <w:t>un grupo de trabajo para elaborar una ley de seguridad privada, dado los vacíos qu</w:t>
      </w:r>
      <w:r w:rsidR="000343A4" w:rsidRPr="005241EC">
        <w:t>e presenta la actual regulación</w:t>
      </w:r>
      <w:r w:rsidR="00DF0726" w:rsidRPr="005241EC">
        <w:rPr>
          <w:rStyle w:val="FootnoteReference"/>
        </w:rPr>
        <w:footnoteReference w:id="122"/>
      </w:r>
      <w:r w:rsidR="00DF0726" w:rsidRPr="005241EC">
        <w:t>.</w:t>
      </w:r>
    </w:p>
    <w:p w14:paraId="01CBDD0E" w14:textId="7C636BF3" w:rsidR="000E4155" w:rsidRPr="005241EC" w:rsidRDefault="00B76D39" w:rsidP="00E81608">
      <w:pPr>
        <w:pStyle w:val="Default"/>
        <w:spacing w:after="200" w:line="240" w:lineRule="atLeast"/>
        <w:jc w:val="both"/>
        <w:rPr>
          <w:rFonts w:asciiTheme="minorHAnsi" w:hAnsiTheme="minorHAnsi" w:cstheme="minorBidi"/>
          <w:color w:val="auto"/>
          <w:sz w:val="22"/>
          <w:szCs w:val="22"/>
        </w:rPr>
      </w:pPr>
      <w:r w:rsidRPr="0062735D">
        <w:rPr>
          <w:rFonts w:asciiTheme="minorHAnsi" w:hAnsiTheme="minorHAnsi" w:cstheme="minorBidi"/>
          <w:color w:val="auto"/>
          <w:sz w:val="22"/>
          <w:szCs w:val="22"/>
        </w:rPr>
        <w:t xml:space="preserve">En </w:t>
      </w:r>
      <w:r w:rsidR="000E4155" w:rsidRPr="0062735D">
        <w:rPr>
          <w:rFonts w:asciiTheme="minorHAnsi" w:hAnsiTheme="minorHAnsi" w:cstheme="minorBidi"/>
          <w:color w:val="auto"/>
          <w:sz w:val="22"/>
          <w:szCs w:val="22"/>
        </w:rPr>
        <w:t>Brasil, las actividades de seguridad privada</w:t>
      </w:r>
      <w:r w:rsidRPr="0062735D">
        <w:rPr>
          <w:rFonts w:asciiTheme="minorHAnsi" w:hAnsiTheme="minorHAnsi" w:cstheme="minorBidi"/>
          <w:color w:val="auto"/>
          <w:sz w:val="22"/>
          <w:szCs w:val="22"/>
        </w:rPr>
        <w:t xml:space="preserve"> armada y no </w:t>
      </w:r>
      <w:r w:rsidR="000E4155" w:rsidRPr="0062735D">
        <w:rPr>
          <w:rFonts w:asciiTheme="minorHAnsi" w:hAnsiTheme="minorHAnsi" w:cstheme="minorBidi"/>
          <w:color w:val="auto"/>
          <w:sz w:val="22"/>
          <w:szCs w:val="22"/>
        </w:rPr>
        <w:t xml:space="preserve">armada, son fiscalizadas por el </w:t>
      </w:r>
      <w:r w:rsidRPr="0062735D">
        <w:rPr>
          <w:rFonts w:asciiTheme="minorHAnsi" w:hAnsiTheme="minorHAnsi" w:cstheme="minorBidi"/>
          <w:color w:val="auto"/>
          <w:sz w:val="22"/>
          <w:szCs w:val="22"/>
        </w:rPr>
        <w:t>departamento de Policía Federal</w:t>
      </w:r>
      <w:r w:rsidR="000E4155" w:rsidRPr="0062735D">
        <w:rPr>
          <w:rFonts w:asciiTheme="minorHAnsi" w:hAnsiTheme="minorHAnsi" w:cstheme="minorBidi"/>
          <w:color w:val="auto"/>
          <w:sz w:val="22"/>
          <w:szCs w:val="22"/>
        </w:rPr>
        <w:t xml:space="preserve">. Entre los objetivos de la seguridad pública </w:t>
      </w:r>
      <w:r w:rsidR="005A0D67" w:rsidRPr="0062735D">
        <w:rPr>
          <w:rFonts w:asciiTheme="minorHAnsi" w:hAnsiTheme="minorHAnsi" w:cstheme="minorBidi"/>
          <w:color w:val="auto"/>
          <w:sz w:val="22"/>
          <w:szCs w:val="22"/>
        </w:rPr>
        <w:t xml:space="preserve">se señala </w:t>
      </w:r>
      <w:r w:rsidR="000E4155" w:rsidRPr="0062735D">
        <w:rPr>
          <w:rFonts w:asciiTheme="minorHAnsi" w:hAnsiTheme="minorHAnsi" w:cstheme="minorBidi"/>
          <w:color w:val="auto"/>
          <w:sz w:val="22"/>
          <w:szCs w:val="22"/>
        </w:rPr>
        <w:t>la dignidad de la persona y seguridad de los ciudadanos</w:t>
      </w:r>
      <w:r w:rsidR="005A0D67" w:rsidRPr="0062735D">
        <w:rPr>
          <w:rFonts w:asciiTheme="minorHAnsi" w:hAnsiTheme="minorHAnsi" w:cstheme="minorBidi"/>
          <w:color w:val="auto"/>
          <w:sz w:val="22"/>
          <w:szCs w:val="22"/>
        </w:rPr>
        <w:t>.</w:t>
      </w:r>
      <w:r w:rsidR="000E4155" w:rsidRPr="0062735D">
        <w:rPr>
          <w:rFonts w:asciiTheme="minorHAnsi" w:hAnsiTheme="minorHAnsi" w:cstheme="minorBidi"/>
          <w:color w:val="auto"/>
          <w:sz w:val="22"/>
          <w:szCs w:val="22"/>
        </w:rPr>
        <w:t xml:space="preserve"> El control, y fiscalización corresponde a la Comisión Consultiva de Asuntos de SP (CCASP), la Coordinación General de Control de la SP (CGCSP) y las Delegaciones de Control de la SP</w:t>
      </w:r>
      <w:r w:rsidR="00CC33DA" w:rsidRPr="0062735D">
        <w:rPr>
          <w:rFonts w:asciiTheme="minorHAnsi" w:hAnsiTheme="minorHAnsi" w:cstheme="minorBidi"/>
          <w:color w:val="auto"/>
          <w:sz w:val="22"/>
          <w:szCs w:val="22"/>
        </w:rPr>
        <w:t>;</w:t>
      </w:r>
      <w:r w:rsidR="000E4155" w:rsidRPr="0062735D">
        <w:rPr>
          <w:rFonts w:asciiTheme="minorHAnsi" w:hAnsiTheme="minorHAnsi" w:cstheme="minorBidi"/>
          <w:color w:val="auto"/>
          <w:sz w:val="22"/>
          <w:szCs w:val="22"/>
        </w:rPr>
        <w:t xml:space="preserve"> todas de la Policía Federal.</w:t>
      </w:r>
      <w:r w:rsidRPr="0062735D">
        <w:rPr>
          <w:rFonts w:asciiTheme="minorHAnsi" w:hAnsiTheme="minorHAnsi" w:cstheme="minorBidi"/>
          <w:color w:val="auto"/>
          <w:sz w:val="22"/>
          <w:szCs w:val="22"/>
        </w:rPr>
        <w:t xml:space="preserve"> </w:t>
      </w:r>
      <w:r w:rsidR="000E4155" w:rsidRPr="0062735D">
        <w:rPr>
          <w:rFonts w:asciiTheme="minorHAnsi" w:hAnsiTheme="minorHAnsi" w:cstheme="minorBidi"/>
          <w:color w:val="auto"/>
          <w:sz w:val="22"/>
          <w:szCs w:val="22"/>
        </w:rPr>
        <w:t xml:space="preserve">Esta norma exige que las </w:t>
      </w:r>
      <w:proofErr w:type="spellStart"/>
      <w:r w:rsidR="000E4155" w:rsidRPr="0062735D">
        <w:rPr>
          <w:rFonts w:asciiTheme="minorHAnsi" w:hAnsiTheme="minorHAnsi" w:cstheme="minorBidi"/>
          <w:color w:val="auto"/>
          <w:sz w:val="22"/>
          <w:szCs w:val="22"/>
        </w:rPr>
        <w:t>ESP</w:t>
      </w:r>
      <w:r w:rsidR="00CC33DA" w:rsidRPr="0062735D">
        <w:rPr>
          <w:rFonts w:asciiTheme="minorHAnsi" w:hAnsiTheme="minorHAnsi" w:cstheme="minorBidi"/>
          <w:color w:val="auto"/>
          <w:sz w:val="22"/>
          <w:szCs w:val="22"/>
        </w:rPr>
        <w:t>s</w:t>
      </w:r>
      <w:proofErr w:type="spellEnd"/>
      <w:r w:rsidR="000E4155" w:rsidRPr="0062735D">
        <w:rPr>
          <w:rFonts w:asciiTheme="minorHAnsi" w:hAnsiTheme="minorHAnsi" w:cstheme="minorBidi"/>
          <w:color w:val="auto"/>
          <w:sz w:val="22"/>
          <w:szCs w:val="22"/>
        </w:rPr>
        <w:t xml:space="preserve"> comuniquen inmediatamente a las Delegaciones Especializadas de seguridad Privada (DELESP) o Comisiones de </w:t>
      </w:r>
      <w:r w:rsidR="00F44273" w:rsidRPr="0062735D">
        <w:rPr>
          <w:rFonts w:asciiTheme="minorHAnsi" w:hAnsiTheme="minorHAnsi" w:cstheme="minorBidi"/>
          <w:color w:val="auto"/>
          <w:sz w:val="22"/>
          <w:szCs w:val="22"/>
        </w:rPr>
        <w:t>Inspección</w:t>
      </w:r>
      <w:r w:rsidR="000E4155" w:rsidRPr="0062735D">
        <w:rPr>
          <w:rFonts w:asciiTheme="minorHAnsi" w:hAnsiTheme="minorHAnsi" w:cstheme="minorBidi"/>
          <w:color w:val="auto"/>
          <w:sz w:val="22"/>
          <w:szCs w:val="22"/>
        </w:rPr>
        <w:t xml:space="preserve"> (CV) de su circunscripción</w:t>
      </w:r>
      <w:r w:rsidR="00CC33DA" w:rsidRPr="0062735D">
        <w:rPr>
          <w:rFonts w:asciiTheme="minorHAnsi" w:hAnsiTheme="minorHAnsi" w:cstheme="minorBidi"/>
          <w:color w:val="auto"/>
          <w:sz w:val="22"/>
          <w:szCs w:val="22"/>
        </w:rPr>
        <w:t>,</w:t>
      </w:r>
      <w:r w:rsidR="000E4155" w:rsidRPr="0062735D">
        <w:rPr>
          <w:rFonts w:asciiTheme="minorHAnsi" w:hAnsiTheme="minorHAnsi" w:cstheme="minorBidi"/>
          <w:color w:val="auto"/>
          <w:sz w:val="22"/>
          <w:szCs w:val="22"/>
        </w:rPr>
        <w:t xml:space="preserve"> los ilícitos penales en que se vean involucrados su</w:t>
      </w:r>
      <w:r w:rsidR="005A0D67" w:rsidRPr="0062735D">
        <w:rPr>
          <w:rFonts w:asciiTheme="minorHAnsi" w:hAnsiTheme="minorHAnsi" w:cstheme="minorBidi"/>
          <w:color w:val="auto"/>
          <w:sz w:val="22"/>
          <w:szCs w:val="22"/>
        </w:rPr>
        <w:t>s</w:t>
      </w:r>
      <w:r w:rsidR="000E4155" w:rsidRPr="0062735D">
        <w:rPr>
          <w:rFonts w:asciiTheme="minorHAnsi" w:hAnsiTheme="minorHAnsi" w:cstheme="minorBidi"/>
          <w:color w:val="auto"/>
          <w:sz w:val="22"/>
          <w:szCs w:val="22"/>
        </w:rPr>
        <w:t xml:space="preserve"> vigilantes, colaborar en las investigaciones e iniciar una investigación interna enviando copia del reporte del hecho y otros documentos que ayuden a</w:t>
      </w:r>
      <w:r w:rsidR="00CC33DA" w:rsidRPr="0062735D">
        <w:rPr>
          <w:rFonts w:asciiTheme="minorHAnsi" w:hAnsiTheme="minorHAnsi" w:cstheme="minorBidi"/>
          <w:color w:val="auto"/>
          <w:sz w:val="22"/>
          <w:szCs w:val="22"/>
        </w:rPr>
        <w:t xml:space="preserve"> su</w:t>
      </w:r>
      <w:r w:rsidR="000E4155" w:rsidRPr="0062735D">
        <w:rPr>
          <w:rFonts w:asciiTheme="minorHAnsi" w:hAnsiTheme="minorHAnsi" w:cstheme="minorBidi"/>
          <w:color w:val="auto"/>
          <w:sz w:val="22"/>
          <w:szCs w:val="22"/>
        </w:rPr>
        <w:t xml:space="preserve"> esclarecimiento a la DELESP o CV</w:t>
      </w:r>
      <w:r w:rsidRPr="0062735D">
        <w:rPr>
          <w:rStyle w:val="FootnoteReference"/>
          <w:rFonts w:asciiTheme="minorHAnsi" w:hAnsiTheme="minorHAnsi" w:cstheme="minorBidi"/>
          <w:color w:val="auto"/>
          <w:sz w:val="22"/>
          <w:szCs w:val="22"/>
        </w:rPr>
        <w:footnoteReference w:id="123"/>
      </w:r>
      <w:r w:rsidR="000E4155" w:rsidRPr="0062735D">
        <w:rPr>
          <w:rFonts w:asciiTheme="minorHAnsi" w:hAnsiTheme="minorHAnsi" w:cstheme="minorBidi"/>
          <w:color w:val="auto"/>
          <w:sz w:val="22"/>
          <w:szCs w:val="22"/>
        </w:rPr>
        <w:t>. Esta norma</w:t>
      </w:r>
      <w:r w:rsidRPr="0062735D">
        <w:rPr>
          <w:rFonts w:asciiTheme="minorHAnsi" w:hAnsiTheme="minorHAnsi" w:cstheme="minorBidi"/>
          <w:color w:val="auto"/>
          <w:sz w:val="22"/>
          <w:szCs w:val="22"/>
        </w:rPr>
        <w:t xml:space="preserve"> -junto a la de Colombia en el caso de los Servicios Especiales y comunitarios- </w:t>
      </w:r>
      <w:r w:rsidR="000E4155" w:rsidRPr="0062735D">
        <w:rPr>
          <w:rFonts w:asciiTheme="minorHAnsi" w:hAnsiTheme="minorHAnsi" w:cstheme="minorBidi"/>
          <w:color w:val="auto"/>
          <w:sz w:val="22"/>
          <w:szCs w:val="22"/>
        </w:rPr>
        <w:t>es excepcional en la región, ya que en general las leyes se refieren a hechos de</w:t>
      </w:r>
      <w:r w:rsidR="000E4155" w:rsidRPr="005241EC">
        <w:rPr>
          <w:rFonts w:asciiTheme="minorHAnsi" w:hAnsiTheme="minorHAnsi" w:cstheme="minorBidi"/>
          <w:color w:val="auto"/>
          <w:sz w:val="22"/>
          <w:szCs w:val="22"/>
        </w:rPr>
        <w:t xml:space="preserve"> terceros que los guardias o vigilantes conocen en el cumplimiento de sus funciones, pero no a los hechos propios. No se alude a las violaciones a los derechos humanos en ninguna de las secciones que tratan la fiscalización y sanciones, tampoco se aborda la reparación a las víctimas.</w:t>
      </w:r>
    </w:p>
    <w:p w14:paraId="04EC10C5" w14:textId="044FB554" w:rsidR="00653933" w:rsidRPr="005241EC" w:rsidRDefault="00453E79" w:rsidP="00453E79">
      <w:pPr>
        <w:spacing w:line="240" w:lineRule="atLeast"/>
        <w:jc w:val="both"/>
      </w:pPr>
      <w:r w:rsidRPr="005241EC">
        <w:t xml:space="preserve">En </w:t>
      </w:r>
      <w:r w:rsidR="00122D1E" w:rsidRPr="005241EC">
        <w:t xml:space="preserve">Chile, </w:t>
      </w:r>
      <w:r w:rsidRPr="005241EC">
        <w:rPr>
          <w:lang w:val="es-ES"/>
        </w:rPr>
        <w:t>es la Prefectura de Carabineros</w:t>
      </w:r>
      <w:r w:rsidR="00022F17" w:rsidRPr="005241EC">
        <w:rPr>
          <w:lang w:val="es-ES"/>
        </w:rPr>
        <w:t xml:space="preserve"> la que supervisa, fiscaliza y ejerce los controles sobre las empresas que cuentan con </w:t>
      </w:r>
      <w:r w:rsidR="00022F17" w:rsidRPr="005241EC">
        <w:rPr>
          <w:i/>
          <w:lang w:val="es-ES"/>
        </w:rPr>
        <w:t>vigilantes privados</w:t>
      </w:r>
      <w:r w:rsidR="00022F17" w:rsidRPr="005241EC">
        <w:rPr>
          <w:lang w:val="es-ES"/>
        </w:rPr>
        <w:t xml:space="preserve"> (armados), así como sobre las empresas de seguridad privada que proveen guardias (no armados). </w:t>
      </w:r>
      <w:r w:rsidR="00E14E64" w:rsidRPr="005241EC">
        <w:rPr>
          <w:lang w:val="es-ES"/>
        </w:rPr>
        <w:t>La policía de carabineros autoriza cada contrato con todos los detalles del servicio, incluidos número de vigilantes o guardias, lugar de cumplimiento de la tarea, espacio físico en que se cumple, turnos, etc.</w:t>
      </w:r>
      <w:r w:rsidR="00807960">
        <w:rPr>
          <w:lang w:val="es-ES"/>
        </w:rPr>
        <w:t>;</w:t>
      </w:r>
      <w:r w:rsidR="00D410AE" w:rsidRPr="005241EC">
        <w:rPr>
          <w:lang w:val="es-ES"/>
        </w:rPr>
        <w:t xml:space="preserve"> y los controles son aleatorios.</w:t>
      </w:r>
    </w:p>
    <w:p w14:paraId="53F268ED" w14:textId="77777777" w:rsidR="000E4155" w:rsidRPr="005241EC" w:rsidRDefault="000E4155" w:rsidP="00653933">
      <w:pPr>
        <w:pStyle w:val="Heading1"/>
        <w:numPr>
          <w:ilvl w:val="0"/>
          <w:numId w:val="3"/>
        </w:numPr>
        <w:ind w:left="426" w:hanging="426"/>
        <w:rPr>
          <w:sz w:val="22"/>
          <w:szCs w:val="22"/>
        </w:rPr>
      </w:pPr>
      <w:bookmarkStart w:id="10" w:name="_Toc407199168"/>
      <w:r w:rsidRPr="005241EC">
        <w:rPr>
          <w:sz w:val="22"/>
          <w:szCs w:val="22"/>
        </w:rPr>
        <w:t>Ratificación de instrumentos internacionales sobre mercenarios</w:t>
      </w:r>
      <w:bookmarkEnd w:id="10"/>
    </w:p>
    <w:p w14:paraId="15B036E0" w14:textId="1525B479" w:rsidR="000E4155" w:rsidRPr="0062735D" w:rsidRDefault="000E4155" w:rsidP="00402589">
      <w:pPr>
        <w:spacing w:line="240" w:lineRule="atLeast"/>
        <w:jc w:val="both"/>
        <w:rPr>
          <w:lang w:val="es-ES"/>
        </w:rPr>
      </w:pPr>
      <w:r w:rsidRPr="005241EC">
        <w:rPr>
          <w:lang w:val="es-ES"/>
        </w:rPr>
        <w:t>De los</w:t>
      </w:r>
      <w:r w:rsidR="003B39D6" w:rsidRPr="005241EC">
        <w:rPr>
          <w:lang w:val="es-ES"/>
        </w:rPr>
        <w:t xml:space="preserve"> países considerados</w:t>
      </w:r>
      <w:r w:rsidR="00031147">
        <w:rPr>
          <w:lang w:val="es-ES"/>
        </w:rPr>
        <w:t xml:space="preserve"> en el presente análisis</w:t>
      </w:r>
      <w:r w:rsidR="003B39D6" w:rsidRPr="005241EC">
        <w:rPr>
          <w:lang w:val="es-ES"/>
        </w:rPr>
        <w:t>, sólo do</w:t>
      </w:r>
      <w:r w:rsidRPr="005241EC">
        <w:rPr>
          <w:lang w:val="es-ES"/>
        </w:rPr>
        <w:t>s han ratificado la Convención sobre la utilización</w:t>
      </w:r>
      <w:r w:rsidR="00031147">
        <w:rPr>
          <w:lang w:val="es-ES"/>
        </w:rPr>
        <w:t xml:space="preserve">, </w:t>
      </w:r>
      <w:r w:rsidR="00804F53">
        <w:t>financiación, entrenamiento y reclutamiento</w:t>
      </w:r>
      <w:r w:rsidRPr="005241EC">
        <w:rPr>
          <w:lang w:val="es-ES"/>
        </w:rPr>
        <w:t>de mercenarios</w:t>
      </w:r>
      <w:r w:rsidR="00804F53">
        <w:rPr>
          <w:lang w:val="es-ES"/>
        </w:rPr>
        <w:t>;</w:t>
      </w:r>
      <w:r w:rsidRPr="005241EC">
        <w:rPr>
          <w:lang w:val="es-ES"/>
        </w:rPr>
        <w:t xml:space="preserve"> U</w:t>
      </w:r>
      <w:r w:rsidR="00402589" w:rsidRPr="005241EC">
        <w:rPr>
          <w:lang w:val="es-ES"/>
        </w:rPr>
        <w:t>ruguay en 1999</w:t>
      </w:r>
      <w:r w:rsidR="00031147">
        <w:rPr>
          <w:lang w:val="es-ES"/>
        </w:rPr>
        <w:t xml:space="preserve"> y</w:t>
      </w:r>
      <w:r w:rsidR="00402589" w:rsidRPr="005241EC">
        <w:rPr>
          <w:lang w:val="es-ES"/>
        </w:rPr>
        <w:t xml:space="preserve"> Perú en 2007</w:t>
      </w:r>
      <w:r w:rsidRPr="00560A20">
        <w:rPr>
          <w:lang w:val="es-ES"/>
        </w:rPr>
        <w:t xml:space="preserve">. En </w:t>
      </w:r>
      <w:r w:rsidR="00031147">
        <w:rPr>
          <w:lang w:val="es-ES"/>
        </w:rPr>
        <w:t xml:space="preserve">América Latina </w:t>
      </w:r>
      <w:r w:rsidRPr="00560A20">
        <w:rPr>
          <w:lang w:val="es-ES"/>
        </w:rPr>
        <w:t>no existen normas regionales que regulen l</w:t>
      </w:r>
      <w:r w:rsidR="00402589" w:rsidRPr="000A674F">
        <w:rPr>
          <w:lang w:val="es-ES"/>
        </w:rPr>
        <w:t>as activid</w:t>
      </w:r>
      <w:r w:rsidR="00402589" w:rsidRPr="005241EC">
        <w:rPr>
          <w:lang w:val="es-ES"/>
        </w:rPr>
        <w:t xml:space="preserve">ades de </w:t>
      </w:r>
      <w:r w:rsidR="00031147">
        <w:rPr>
          <w:lang w:val="es-ES"/>
        </w:rPr>
        <w:t xml:space="preserve">los </w:t>
      </w:r>
      <w:r w:rsidR="00402589" w:rsidRPr="005241EC">
        <w:rPr>
          <w:lang w:val="es-ES"/>
        </w:rPr>
        <w:t xml:space="preserve">mercenarios. </w:t>
      </w:r>
      <w:r w:rsidRPr="005241EC">
        <w:rPr>
          <w:lang w:val="es-ES"/>
        </w:rPr>
        <w:t xml:space="preserve">La </w:t>
      </w:r>
      <w:r w:rsidRPr="005241EC">
        <w:rPr>
          <w:lang w:val="es-ES"/>
        </w:rPr>
        <w:lastRenderedPageBreak/>
        <w:t xml:space="preserve">figura del mercenarismo es recogida únicamente en la </w:t>
      </w:r>
      <w:r w:rsidR="00031147">
        <w:rPr>
          <w:lang w:val="es-ES"/>
        </w:rPr>
        <w:t>legislación</w:t>
      </w:r>
      <w:r w:rsidRPr="005241EC">
        <w:rPr>
          <w:lang w:val="es-ES"/>
        </w:rPr>
        <w:t xml:space="preserve"> de Perú, Ley 28.879, que regula los servicios de seguridad privada. El artículo 24</w:t>
      </w:r>
      <w:r>
        <w:rPr>
          <w:lang w:val="es-ES"/>
        </w:rPr>
        <w:t xml:space="preserve"> de es</w:t>
      </w:r>
      <w:r w:rsidR="00031147">
        <w:rPr>
          <w:lang w:val="es-ES"/>
        </w:rPr>
        <w:t>t</w:t>
      </w:r>
      <w:r>
        <w:rPr>
          <w:lang w:val="es-ES"/>
        </w:rPr>
        <w:t xml:space="preserve">a ley, </w:t>
      </w:r>
      <w:r w:rsidR="003B39D6">
        <w:rPr>
          <w:lang w:val="es-ES"/>
        </w:rPr>
        <w:t>al referirse a</w:t>
      </w:r>
      <w:r>
        <w:rPr>
          <w:lang w:val="es-ES"/>
        </w:rPr>
        <w:t xml:space="preserve"> las prohibiciones a que están sujetas las empresas de seguridad privada, en su letra g, indica que les queda prohibido “</w:t>
      </w:r>
      <w:r w:rsidRPr="003A1A2B">
        <w:rPr>
          <w:lang w:val="es-ES"/>
        </w:rPr>
        <w:t>Contratar, capacitar, entrenar y adiestrar mercenarios contraviniendo Tratados y Acuerdos internacionales vigentes, ratificados por el Estado peruano</w:t>
      </w:r>
      <w:r>
        <w:rPr>
          <w:lang w:val="es-ES"/>
        </w:rPr>
        <w:t>”. Esta misma prohibición es repetida en el artículo 45</w:t>
      </w:r>
      <w:r w:rsidR="003B39D6">
        <w:rPr>
          <w:lang w:val="es-ES"/>
        </w:rPr>
        <w:t xml:space="preserve"> de la ley</w:t>
      </w:r>
      <w:r>
        <w:rPr>
          <w:lang w:val="es-ES"/>
        </w:rPr>
        <w:t xml:space="preserve"> respecto a los Centros </w:t>
      </w:r>
      <w:r w:rsidRPr="0062735D">
        <w:rPr>
          <w:lang w:val="es-ES"/>
        </w:rPr>
        <w:t>esp</w:t>
      </w:r>
      <w:r w:rsidR="003B39D6" w:rsidRPr="0062735D">
        <w:rPr>
          <w:lang w:val="es-ES"/>
        </w:rPr>
        <w:t>ecializados de capacitación en seguridad privada</w:t>
      </w:r>
      <w:r w:rsidR="00B03111" w:rsidRPr="0062735D">
        <w:rPr>
          <w:lang w:val="es-ES"/>
        </w:rPr>
        <w:t xml:space="preserve"> a los que se les prohíbe </w:t>
      </w:r>
      <w:r w:rsidRPr="0062735D">
        <w:rPr>
          <w:lang w:val="es-ES"/>
        </w:rPr>
        <w:t>entrenarlos y formarlos.</w:t>
      </w:r>
    </w:p>
    <w:p w14:paraId="2435DCA2" w14:textId="6F5425F9" w:rsidR="000E4155" w:rsidRDefault="00B03111" w:rsidP="00402589">
      <w:pPr>
        <w:spacing w:line="240" w:lineRule="atLeast"/>
        <w:jc w:val="both"/>
        <w:rPr>
          <w:lang w:val="es-ES"/>
        </w:rPr>
      </w:pPr>
      <w:r w:rsidRPr="0062735D">
        <w:rPr>
          <w:lang w:val="es-ES"/>
        </w:rPr>
        <w:t>En este punto cabe</w:t>
      </w:r>
      <w:r w:rsidR="000E4155" w:rsidRPr="0062735D">
        <w:rPr>
          <w:lang w:val="es-ES"/>
        </w:rPr>
        <w:t xml:space="preserve"> señalar que, aunque no se </w:t>
      </w:r>
      <w:r w:rsidR="009F105E">
        <w:rPr>
          <w:lang w:val="es-ES"/>
        </w:rPr>
        <w:t>regule</w:t>
      </w:r>
      <w:r w:rsidR="00031147" w:rsidRPr="0062735D">
        <w:rPr>
          <w:lang w:val="es-ES"/>
        </w:rPr>
        <w:t xml:space="preserve"> los</w:t>
      </w:r>
      <w:r w:rsidR="00C843F6" w:rsidRPr="0062735D">
        <w:rPr>
          <w:lang w:val="es-ES"/>
        </w:rPr>
        <w:t xml:space="preserve"> </w:t>
      </w:r>
      <w:r w:rsidRPr="0062735D">
        <w:rPr>
          <w:lang w:val="es-ES"/>
        </w:rPr>
        <w:t>mercenarios, algunos países -</w:t>
      </w:r>
      <w:r w:rsidR="000E4155" w:rsidRPr="0062735D">
        <w:rPr>
          <w:lang w:val="es-ES"/>
        </w:rPr>
        <w:t xml:space="preserve">como Colombia y Chile- presentan </w:t>
      </w:r>
      <w:r w:rsidR="00031147" w:rsidRPr="0062735D">
        <w:rPr>
          <w:lang w:val="es-ES"/>
        </w:rPr>
        <w:t>ciertas</w:t>
      </w:r>
      <w:r w:rsidR="000E4155" w:rsidRPr="0062735D">
        <w:rPr>
          <w:lang w:val="es-ES"/>
        </w:rPr>
        <w:t xml:space="preserve"> normas que refieren a  grupos armados o milicias</w:t>
      </w:r>
      <w:r w:rsidR="00BE40A1" w:rsidRPr="0062735D">
        <w:rPr>
          <w:lang w:val="es-ES"/>
        </w:rPr>
        <w:t xml:space="preserve"> -sin aludir a su nacionalidad o la existencia de una remuneración-</w:t>
      </w:r>
      <w:r w:rsidR="000E4155" w:rsidRPr="0062735D">
        <w:rPr>
          <w:lang w:val="es-ES"/>
        </w:rPr>
        <w:t>, que no corresponden a la de un guardia o vig</w:t>
      </w:r>
      <w:r w:rsidR="00DE07F0" w:rsidRPr="0062735D">
        <w:rPr>
          <w:lang w:val="es-ES"/>
        </w:rPr>
        <w:t>ilante reconocido por la regulación</w:t>
      </w:r>
      <w:r w:rsidR="000E4155" w:rsidRPr="0062735D">
        <w:rPr>
          <w:lang w:val="es-ES"/>
        </w:rPr>
        <w:t xml:space="preserve"> de</w:t>
      </w:r>
      <w:r w:rsidR="00DE07F0" w:rsidRPr="0062735D">
        <w:rPr>
          <w:lang w:val="es-ES"/>
        </w:rPr>
        <w:t xml:space="preserve"> los servicios de</w:t>
      </w:r>
      <w:r w:rsidR="000E4155" w:rsidRPr="0062735D">
        <w:rPr>
          <w:lang w:val="es-ES"/>
        </w:rPr>
        <w:t xml:space="preserve"> seguridad privada. Tal es </w:t>
      </w:r>
      <w:r w:rsidRPr="0062735D">
        <w:rPr>
          <w:lang w:val="es-ES"/>
        </w:rPr>
        <w:t>el caso del Decreto N° 356/1994</w:t>
      </w:r>
      <w:r w:rsidR="00402589" w:rsidRPr="0062735D">
        <w:rPr>
          <w:lang w:val="es-ES"/>
        </w:rPr>
        <w:t xml:space="preserve"> </w:t>
      </w:r>
      <w:r w:rsidR="000E4155" w:rsidRPr="0062735D">
        <w:rPr>
          <w:lang w:val="es-ES"/>
        </w:rPr>
        <w:t>de Colombia</w:t>
      </w:r>
      <w:r w:rsidRPr="0062735D">
        <w:rPr>
          <w:rStyle w:val="FootnoteReference"/>
          <w:lang w:val="es-ES"/>
        </w:rPr>
        <w:footnoteReference w:id="124"/>
      </w:r>
      <w:r w:rsidR="000E4155" w:rsidRPr="0062735D">
        <w:rPr>
          <w:lang w:val="es-ES"/>
        </w:rPr>
        <w:t xml:space="preserve"> que señala que, la capacitación y entrenamiento en vigilancia y seguridad privad</w:t>
      </w:r>
      <w:r w:rsidR="00402589" w:rsidRPr="0062735D">
        <w:rPr>
          <w:lang w:val="es-ES"/>
        </w:rPr>
        <w:t>a</w:t>
      </w:r>
      <w:r w:rsidR="000E4155" w:rsidRPr="0062735D">
        <w:rPr>
          <w:lang w:val="es-ES"/>
        </w:rPr>
        <w:t>, en ningún caso podrá consistir en la organización, instrucción o equipamiento de personas en tácticas, técnicas o procedi</w:t>
      </w:r>
      <w:r w:rsidR="00F44273" w:rsidRPr="0062735D">
        <w:rPr>
          <w:lang w:val="es-ES"/>
        </w:rPr>
        <w:t>mientos</w:t>
      </w:r>
      <w:r w:rsidR="00F44273" w:rsidRPr="006975B9">
        <w:rPr>
          <w:lang w:val="es-ES"/>
        </w:rPr>
        <w:t xml:space="preserve"> militares o terroristas</w:t>
      </w:r>
      <w:r w:rsidR="000E4155">
        <w:rPr>
          <w:lang w:val="es-ES"/>
        </w:rPr>
        <w:t xml:space="preserve">. Chile, por su parte, en la Ley N° 17.798 sobre control de armas, dispone que los que organizaren, pertenecieren, financiaren, dotaren, instruyeren, incitaren o indujeren, </w:t>
      </w:r>
      <w:r w:rsidR="00641CAD">
        <w:rPr>
          <w:lang w:val="es-ES"/>
        </w:rPr>
        <w:t xml:space="preserve">a la creación y funcionamiento </w:t>
      </w:r>
      <w:r w:rsidR="000E4155">
        <w:rPr>
          <w:lang w:val="es-ES"/>
        </w:rPr>
        <w:t>de milicias privadas, grupos de combate o partidas militarmente organizadas, armadas (con algunos de los elementos que regula esa ley),  serán sancionados con presidio mayor en cualquiera de sus grados</w:t>
      </w:r>
      <w:r w:rsidR="00BE40A1">
        <w:rPr>
          <w:lang w:val="es-ES"/>
        </w:rPr>
        <w:t>,</w:t>
      </w:r>
      <w:r w:rsidR="000E4155">
        <w:rPr>
          <w:lang w:val="es-ES"/>
        </w:rPr>
        <w:t xml:space="preserve"> y los que a sabiendas ayudaren a la creación o funcionamiento incurrirán </w:t>
      </w:r>
      <w:r w:rsidR="003513FF">
        <w:rPr>
          <w:lang w:val="es-ES"/>
        </w:rPr>
        <w:t xml:space="preserve">en </w:t>
      </w:r>
      <w:r w:rsidR="000E4155">
        <w:rPr>
          <w:lang w:val="es-ES"/>
        </w:rPr>
        <w:t>la misma pena disminuida en un grado</w:t>
      </w:r>
      <w:r w:rsidR="00641CAD">
        <w:rPr>
          <w:rStyle w:val="FootnoteReference"/>
          <w:lang w:val="es-ES"/>
        </w:rPr>
        <w:footnoteReference w:id="125"/>
      </w:r>
      <w:r w:rsidR="000E4155">
        <w:rPr>
          <w:lang w:val="es-ES"/>
        </w:rPr>
        <w:t>.</w:t>
      </w:r>
    </w:p>
    <w:p w14:paraId="2E8FCB55" w14:textId="77777777" w:rsidR="007209EF" w:rsidRDefault="007209EF" w:rsidP="00402589">
      <w:pPr>
        <w:spacing w:line="240" w:lineRule="atLeast"/>
        <w:jc w:val="both"/>
        <w:rPr>
          <w:lang w:val="es-ES"/>
        </w:rPr>
      </w:pPr>
    </w:p>
    <w:p w14:paraId="5B5FA21B" w14:textId="2A946E9C" w:rsidR="007209EF" w:rsidRPr="007209EF" w:rsidRDefault="00CA5E77" w:rsidP="007209EF">
      <w:pPr>
        <w:pStyle w:val="ListParagraph"/>
        <w:numPr>
          <w:ilvl w:val="0"/>
          <w:numId w:val="8"/>
        </w:numPr>
        <w:spacing w:line="240" w:lineRule="atLeast"/>
        <w:jc w:val="both"/>
        <w:rPr>
          <w:b/>
          <w:lang w:val="es-ES"/>
        </w:rPr>
      </w:pPr>
      <w:r>
        <w:rPr>
          <w:b/>
          <w:lang w:val="es-ES"/>
        </w:rPr>
        <w:t xml:space="preserve">Conclusiones </w:t>
      </w:r>
    </w:p>
    <w:p w14:paraId="60F9CBAC" w14:textId="77777777" w:rsidR="007209EF" w:rsidRDefault="007209EF" w:rsidP="00402589">
      <w:pPr>
        <w:spacing w:line="240" w:lineRule="atLeast"/>
        <w:jc w:val="both"/>
        <w:rPr>
          <w:lang w:val="es-ES"/>
        </w:rPr>
      </w:pPr>
    </w:p>
    <w:p w14:paraId="38FD5806" w14:textId="0CA45082" w:rsidR="007209EF" w:rsidRPr="006C3A7F" w:rsidRDefault="007209EF" w:rsidP="007209EF">
      <w:pPr>
        <w:jc w:val="both"/>
        <w:rPr>
          <w:lang w:val="es-ES"/>
        </w:rPr>
      </w:pPr>
      <w:r w:rsidRPr="006C3A7F">
        <w:rPr>
          <w:lang w:val="es-ES"/>
        </w:rPr>
        <w:t xml:space="preserve">Del análisis de la regulación especial sobre la seguridad privada en estos siete países y la Provincia de Buenos Aires -por cuanto en Argentina no existe una ley federal y la seguridad privada es </w:t>
      </w:r>
      <w:r w:rsidR="004A1E15">
        <w:rPr>
          <w:lang w:val="es-ES"/>
        </w:rPr>
        <w:t xml:space="preserve">regulada por </w:t>
      </w:r>
      <w:r w:rsidRPr="006C3A7F">
        <w:rPr>
          <w:lang w:val="es-ES"/>
        </w:rPr>
        <w:t xml:space="preserve">cada provincia-, es posible observar importantes diferencias y también coincidencias en el ámbito de los principales vacíos. </w:t>
      </w:r>
    </w:p>
    <w:p w14:paraId="6A269F37" w14:textId="77777777" w:rsidR="007209EF" w:rsidRPr="006C3A7F" w:rsidRDefault="007209EF" w:rsidP="007209EF">
      <w:pPr>
        <w:jc w:val="both"/>
        <w:rPr>
          <w:lang w:val="es-ES"/>
        </w:rPr>
      </w:pPr>
      <w:r w:rsidRPr="006C3A7F">
        <w:rPr>
          <w:lang w:val="es-ES"/>
        </w:rPr>
        <w:t xml:space="preserve">Como en los estudios anteriores, el objetivo del presente informe ha sido identificar y comparar los elementos comunes, lagunas y buenas prácticas contenidas en las legislaciones analizadas. El interés del Grupo de Trabajo ha sido establecer si las regulaciones nacionales en materia de actividades y empresas militares y de seguridad privada son suficientemente sólidas y completas desde el punto de vista de la protección de los derechos humanos, </w:t>
      </w:r>
    </w:p>
    <w:p w14:paraId="66B6F44B" w14:textId="77777777" w:rsidR="007209EF" w:rsidRPr="006C3A7F" w:rsidRDefault="007209EF" w:rsidP="007209EF">
      <w:pPr>
        <w:jc w:val="both"/>
        <w:rPr>
          <w:lang w:val="es-ES"/>
        </w:rPr>
      </w:pPr>
      <w:r w:rsidRPr="006C3A7F">
        <w:rPr>
          <w:lang w:val="es-ES"/>
        </w:rPr>
        <w:t xml:space="preserve">Las legislaciones examinadas regulan los servicios de seguridad privada de carácter civil en el ámbito doméstico. En términos generales, las prestaciones reguladas son la vigilancia y protección de bienes, patrimonio y personas. Esto, mediante servicios de tecnología de vigilancia; comercialización de equipos para vigilancia; </w:t>
      </w:r>
      <w:r w:rsidRPr="006C3A7F">
        <w:t>vigilancia y protección de personas, bienes, instalaciones, eventos masivos;</w:t>
      </w:r>
      <w:r w:rsidRPr="006C3A7F">
        <w:rPr>
          <w:lang w:val="es-ES"/>
        </w:rPr>
        <w:t xml:space="preserve"> transporte de valores; detectives o investigaciones privadas; consultoría en seguridad; y servicios de formación y capacitación en seguridad privada. Algunos países reconocen como prestadores de seguridad privada a personas naturales y jurídicas, otros sólo a personas jurídicas. En cuanto a las actividades prohibidas, se </w:t>
      </w:r>
      <w:r w:rsidRPr="006C3A7F">
        <w:rPr>
          <w:lang w:val="es-ES"/>
        </w:rPr>
        <w:lastRenderedPageBreak/>
        <w:t>observan importantes diferencias, tanto por la extensión con que son tratadas como por el tipo de actividades prohibidas; además la prohibición expresa no está siempre contenida en las normas.</w:t>
      </w:r>
    </w:p>
    <w:p w14:paraId="13C6CFFE" w14:textId="77777777" w:rsidR="007209EF" w:rsidRPr="006C3A7F" w:rsidRDefault="007209EF" w:rsidP="007209EF">
      <w:pPr>
        <w:jc w:val="both"/>
        <w:rPr>
          <w:lang w:val="es-ES"/>
        </w:rPr>
      </w:pPr>
      <w:r w:rsidRPr="006C3A7F">
        <w:t xml:space="preserve">La autoridad de control y supervisión radica en el Ministerio encargado de la seguridad pública y se ejerce a través de las instituciones policiales u oficinas especializadas en dicho ministerio; excepcionalmente, la autoridad de control corresponde a un órgano autónomo. Todas las legislaciones exigen autorización y licencia para prestar servicios de SP, el que es otorgado por la autoridad competente cumpliendo determinados requisitos que pueden estar señalados en forma genérica o detallada, según tipo y modalidad de servicio que se pretende prestar (con armas o sin armas, transporte de valores, etc.). </w:t>
      </w:r>
      <w:r w:rsidRPr="006C3A7F">
        <w:rPr>
          <w:lang w:val="es-ES"/>
        </w:rPr>
        <w:t xml:space="preserve">Las regulaciones (7) que permiten servicios con armas de fuego exigen licencia para las armas autorizadas, y las empresas deben también cumplir con ciertas exigencias relativas a su manejo y custodia. Las legislaciones -nacionales y provincial- presentan vacíos en cuanto a la regulación y establecimiento de estándares de derechos humanos en el uso de la fuerza y armas de fuego; hay un Estado en que la norma (en anexos) exige formación en el uso escalonado y progresivo del uso de la fuerza con el fin de preservar la integridad física de las personas controladas con el uso de la fuerza en el ejercicio funciones de seguridad privada, de acuerdo con los preceptos de la ONU sobre derechos humanos </w:t>
      </w:r>
    </w:p>
    <w:p w14:paraId="4D260895" w14:textId="77777777" w:rsidR="007209EF" w:rsidRPr="006C3A7F" w:rsidRDefault="007209EF" w:rsidP="007209EF">
      <w:pPr>
        <w:jc w:val="both"/>
      </w:pPr>
      <w:r w:rsidRPr="006C3A7F">
        <w:t xml:space="preserve">En materia de selección y entrenamiento hay divergencias y vacíos. El nivel educacional exigido al personal operativo (guardias, vigilantes) es -mayoritariamente- contar con enseñanza básica o primaria, y en materia de formación y entrenamiento no suele haber exigencias sobre sus contenidos ni duración; tampoco abundan las exigencias en contenidos de derechos humanos. Un Estado, excepcionalmente, describe el plan de estudios -objetivos, contenidos y carga horaria-, incorporando instrumentos de derechos humanos. </w:t>
      </w:r>
    </w:p>
    <w:p w14:paraId="472416A4" w14:textId="77777777" w:rsidR="007209EF" w:rsidRPr="006C3A7F" w:rsidRDefault="007209EF" w:rsidP="007209EF">
      <w:pPr>
        <w:autoSpaceDE w:val="0"/>
        <w:autoSpaceDN w:val="0"/>
        <w:adjustRightInd w:val="0"/>
        <w:spacing w:line="240" w:lineRule="atLeast"/>
        <w:jc w:val="both"/>
        <w:rPr>
          <w:lang w:val="es-ES"/>
        </w:rPr>
      </w:pPr>
      <w:r w:rsidRPr="006C3A7F">
        <w:rPr>
          <w:lang w:val="es-ES"/>
        </w:rPr>
        <w:t>En cuanto a las relaciones con las fuerzas de seguridad pública, la regla general es considerar los servicios de seguridad privada como complementarios y subordinados a la labor de la seguridad pública. La mayoría de las regulaciones exigen a la seguridad privada abstenerse de asumir conductas y funciones reservadas a las instituciones de seguridad pública, aunque no siempre la norma es suficientemente precisa. Por otra parte, la obligación de colaborar con la seguridad pública está estipulada en las legislaciones nacionales y provincial, salvo en un caso. Dicha obligación varía desde el deber de colaborar con las policías en los casos que la ley determine o las autoridades lo soliciten, hasta la de colaborar con las autoridades policiales en forma permanente, brindándoles la información que les sea requerida. La colaboración se puede dar en variados contextos, desde situaciones de calamidad pública hasta el caso que se decrete el régimen de excepción, previo requerimiento del poder ejecutivo. Además, en la mayoría de estas normas se prohíbe expresamente que miembros activos de la fuerza pública -FF.AA y policías- desempeñen actividades de seguridad privada.</w:t>
      </w:r>
    </w:p>
    <w:p w14:paraId="4E857B9A" w14:textId="77777777" w:rsidR="007209EF" w:rsidRPr="006C3A7F" w:rsidRDefault="007209EF" w:rsidP="007209EF">
      <w:pPr>
        <w:jc w:val="both"/>
        <w:rPr>
          <w:lang w:val="es-ES"/>
        </w:rPr>
      </w:pPr>
      <w:r w:rsidRPr="006C3A7F">
        <w:rPr>
          <w:lang w:val="es-ES"/>
        </w:rPr>
        <w:t xml:space="preserve">Las normas analizadas no abordan los servicios militares de seguridad privada ni mencionan las compañías militares y de seguridad privada. Tampoco regulan la exportación o importación de estos servicios. Considerando el carácter transnacional de los servicios de seguridad privada, así como la gran diversidad de actividades que realizan las </w:t>
      </w:r>
      <w:proofErr w:type="spellStart"/>
      <w:r w:rsidRPr="006C3A7F">
        <w:rPr>
          <w:lang w:val="es-ES"/>
        </w:rPr>
        <w:t>ESPs</w:t>
      </w:r>
      <w:proofErr w:type="spellEnd"/>
      <w:r w:rsidRPr="006C3A7F">
        <w:rPr>
          <w:lang w:val="es-ES"/>
        </w:rPr>
        <w:t xml:space="preserve">, los vacíos señalados requieren ser abordados dentro de las regulaciones nacionales. En algunos países analizados se han producido graves violaciones de derechos humanos por parte de guardias y empresas de seguridad privadas, en distintos escenarios, tales como: la lucha contra el crimen organizado y el tráfico de drogas, y la protección de faenas </w:t>
      </w:r>
      <w:r w:rsidRPr="006C3A7F">
        <w:rPr>
          <w:lang w:val="es-ES"/>
        </w:rPr>
        <w:lastRenderedPageBreak/>
        <w:t xml:space="preserve">extractivas de empresas transnacionales. En el primer caso, empresas subcontratistas extranjeras han actuado en territorio nacional gozando de inmunidad diplomática, permitiéndoseles evadir la acción de la justicia. En el segundo caso, guardias de </w:t>
      </w:r>
      <w:proofErr w:type="spellStart"/>
      <w:r w:rsidRPr="006C3A7F">
        <w:rPr>
          <w:lang w:val="es-ES"/>
        </w:rPr>
        <w:t>ESPs</w:t>
      </w:r>
      <w:proofErr w:type="spellEnd"/>
      <w:r w:rsidRPr="006C3A7F">
        <w:rPr>
          <w:lang w:val="es-ES"/>
        </w:rPr>
        <w:t xml:space="preserve"> -nacionales y filiales de transnacionales- han detenido, secuestrado, torturado, asesinado y lesionado seriamente los derechos de integrantes de comunidades, defensores de derechos humanos y ambientalistas. Las dificultades para prevenir y controlar estos hechos muestran la necesidad urgente de contar con normas coherentes que garanticen la protección de los derechos fundamentales, la persecución y sanción de los responsables por sus violaciones, y la reparación a las víctimas. </w:t>
      </w:r>
    </w:p>
    <w:p w14:paraId="71E39D9B" w14:textId="77777777" w:rsidR="007209EF" w:rsidRPr="006C3A7F" w:rsidRDefault="007209EF" w:rsidP="007209EF">
      <w:pPr>
        <w:autoSpaceDE w:val="0"/>
        <w:autoSpaceDN w:val="0"/>
        <w:adjustRightInd w:val="0"/>
        <w:spacing w:line="240" w:lineRule="atLeast"/>
        <w:jc w:val="both"/>
        <w:rPr>
          <w:lang w:val="es-ES"/>
        </w:rPr>
      </w:pPr>
      <w:r w:rsidRPr="006C3A7F">
        <w:rPr>
          <w:lang w:val="es-ES"/>
        </w:rPr>
        <w:t xml:space="preserve">No se encontraron normas sobre la adquisición de armas en el mercado ilegal nacional o internacional por parte de las </w:t>
      </w:r>
      <w:proofErr w:type="spellStart"/>
      <w:r w:rsidRPr="006C3A7F">
        <w:rPr>
          <w:lang w:val="es-ES"/>
        </w:rPr>
        <w:t>ESPs</w:t>
      </w:r>
      <w:proofErr w:type="spellEnd"/>
      <w:r w:rsidRPr="006C3A7F">
        <w:rPr>
          <w:lang w:val="es-ES"/>
        </w:rPr>
        <w:t xml:space="preserve">., ni menciones sobre el tráfico de armas. No hay normas de aplicación extraterritorial. Tratándose de los delitos cometidos por los prestadores de seguridad privada en el ejercicio de sus funciones, existe un déficit, no sólo en ésta sub Región, que consiste en que los mecanismos de imputabilidad para perseguir sus responsabilidades son los mismos que para perseguir los delitos cometidos por un particular. Considerando que el personal de seguridad privada desempeña funciones autorizado para hacer uso legítimo de la fuerza -incluso usando armas de fuego-, merece un reproche mayor al de un simple particular cuando viola derechos. </w:t>
      </w:r>
    </w:p>
    <w:p w14:paraId="44223B45" w14:textId="593DB0F9" w:rsidR="007209EF" w:rsidRPr="006C3A7F" w:rsidRDefault="007209EF" w:rsidP="007209EF">
      <w:pPr>
        <w:spacing w:after="240" w:line="240" w:lineRule="atLeast"/>
        <w:jc w:val="both"/>
        <w:rPr>
          <w:lang w:val="es-ES"/>
        </w:rPr>
      </w:pPr>
      <w:r w:rsidRPr="006C3A7F">
        <w:rPr>
          <w:lang w:val="es-ES"/>
        </w:rPr>
        <w:t xml:space="preserve">También se observan vacíos y debilidades precisamente en aquellos aspectos más relevantes para la prevención y control de las violaciones a los derechos humanos por parte de las </w:t>
      </w:r>
      <w:proofErr w:type="spellStart"/>
      <w:r w:rsidRPr="006C3A7F">
        <w:rPr>
          <w:lang w:val="es-ES"/>
        </w:rPr>
        <w:t>ESPs</w:t>
      </w:r>
      <w:proofErr w:type="spellEnd"/>
      <w:r w:rsidRPr="006C3A7F">
        <w:rPr>
          <w:lang w:val="es-ES"/>
        </w:rPr>
        <w:t>. Así ocurre en el caso de los mecanismos de rendición de cuentas. Los controles son débiles y carecen de un sistema de monitoreo destinado a verificar la calidad de los servicios prestados según los estándares de derechos humanos; y es difícil visibilizar y hacer efectivas las responsabilidades en forma oportuna. Igual de importante es el vacío en materia de reparación a las víctimas. La mayoría de las legislaciones establece controles e inspecciones orientados a fiscalizar el cumplimiento de formal</w:t>
      </w:r>
      <w:r>
        <w:rPr>
          <w:lang w:val="es-ES"/>
        </w:rPr>
        <w:t xml:space="preserve">idades y exigencias relativas a </w:t>
      </w:r>
      <w:r w:rsidRPr="006C3A7F">
        <w:rPr>
          <w:lang w:val="es-ES"/>
        </w:rPr>
        <w:t>las licencias, instalaciones, armas, prohibiciones y otros requerimientos administrativos.</w:t>
      </w:r>
    </w:p>
    <w:p w14:paraId="7048988F" w14:textId="77777777" w:rsidR="007209EF" w:rsidRPr="006C3A7F" w:rsidRDefault="007209EF" w:rsidP="007209EF">
      <w:pPr>
        <w:spacing w:after="240" w:line="240" w:lineRule="atLeast"/>
        <w:jc w:val="both"/>
      </w:pPr>
      <w:r w:rsidRPr="006C3A7F">
        <w:rPr>
          <w:lang w:val="es-ES"/>
        </w:rPr>
        <w:t xml:space="preserve">Lo anterior se suma a la ausencia de mecanismos de reparación a las víctimas. En el ámbito de las infracciones y sanciones, nuevamente, la tendencia es no establecer sanciones específicas asociadas a la violación de derechos fundamentales. Estas lagunas son especialmente serias si se considera que en algunos de estos países ha habido violaciones graves de derechos humanos por parte del personal de </w:t>
      </w:r>
      <w:proofErr w:type="spellStart"/>
      <w:r w:rsidRPr="006C3A7F">
        <w:rPr>
          <w:lang w:val="es-ES"/>
        </w:rPr>
        <w:t>ESPs</w:t>
      </w:r>
      <w:proofErr w:type="spellEnd"/>
      <w:r w:rsidRPr="006C3A7F">
        <w:rPr>
          <w:lang w:val="es-ES"/>
        </w:rPr>
        <w:t>, donde los responsables han quedado impunes y las víctimas sin posibilidad de lograr reparación alguna. Las legislaciones requieren de normas específicas con estándares de cumplimiento de funciones de acuerdo a las normas del derecho internacional de los derechos humanos y el derecho humanitario. La protección efectiva de los derechos fundamentales requiere de la implementación de mecanismos de rendición de cuentas y de reparación a las víctimas</w:t>
      </w:r>
      <w:r w:rsidRPr="006C3A7F">
        <w:t xml:space="preserve">. </w:t>
      </w:r>
    </w:p>
    <w:p w14:paraId="2C11A5A1" w14:textId="77777777" w:rsidR="007209EF" w:rsidRPr="006C3A7F" w:rsidRDefault="007209EF" w:rsidP="007209EF">
      <w:pPr>
        <w:jc w:val="both"/>
        <w:rPr>
          <w:lang w:val="es-ES"/>
        </w:rPr>
      </w:pPr>
      <w:r w:rsidRPr="006C3A7F">
        <w:t>La mayoría carece de reglas que permitan proteger efectivamente los derechos humanos. Las debilidades de los sistemas de selección y verificación de antecedentes, así como de los procesos de formación y entrenamiento del personal operativo, hacen más difícil una buena comprensión e internalización de normas jurídicas y principios abstractos por parte de ellos. Las precarias condiciones laborales en que suele trabajar el personal operativo, tampoco ayuda al desempeño de funciones con estricto apego a la ley. Para enfrentar estos desafíos se requiere de estándares de evaluación de las actividades, enfocados en garantizar el respeto de los derechos fundamentales</w:t>
      </w:r>
      <w:r>
        <w:t xml:space="preserve">. </w:t>
      </w:r>
      <w:r w:rsidRPr="006C3A7F">
        <w:rPr>
          <w:lang w:val="es-ES"/>
        </w:rPr>
        <w:t>En cuanto al derecho internacional humanitario, se encontró una mención en el Reglamento de un determinado tipo de servicio</w:t>
      </w:r>
      <w:r>
        <w:rPr>
          <w:lang w:val="es-ES"/>
        </w:rPr>
        <w:t xml:space="preserve"> de vigilancia y</w:t>
      </w:r>
      <w:r w:rsidRPr="006C3A7F">
        <w:rPr>
          <w:lang w:val="es-ES"/>
        </w:rPr>
        <w:t xml:space="preserve"> seguridad privada, al referirse a la obligación de informar a las autoridades sobre </w:t>
      </w:r>
      <w:r w:rsidRPr="006C3A7F">
        <w:rPr>
          <w:lang w:val="es-ES"/>
        </w:rPr>
        <w:lastRenderedPageBreak/>
        <w:t>la comisión de actos delictivos y violación de derechos humanos y del derecho internacional humanitario.</w:t>
      </w:r>
    </w:p>
    <w:p w14:paraId="3C0BD8BF" w14:textId="77777777" w:rsidR="007209EF" w:rsidRPr="006C3A7F" w:rsidRDefault="007209EF" w:rsidP="007209EF">
      <w:pPr>
        <w:pStyle w:val="Default"/>
        <w:spacing w:after="240" w:line="240" w:lineRule="atLeast"/>
        <w:jc w:val="both"/>
        <w:rPr>
          <w:rFonts w:asciiTheme="minorHAnsi" w:hAnsiTheme="minorHAnsi"/>
          <w:sz w:val="22"/>
          <w:szCs w:val="22"/>
        </w:rPr>
      </w:pPr>
      <w:r w:rsidRPr="006C3A7F">
        <w:rPr>
          <w:rFonts w:asciiTheme="minorHAnsi" w:hAnsiTheme="minorHAnsi"/>
          <w:sz w:val="22"/>
          <w:szCs w:val="22"/>
        </w:rPr>
        <w:t>Las diferencias observadas en las legislaciones, así como sus inconsistencias y vacíos, llevan a considerar que una convención internacional sobre empresas militares y de seguridad privadas, es necesaria para promover una regulación común y eficaz para garantizar el control de estas actividades, la implementación de mecanismos de rendición de cuentas y reparación de las víctimas.</w:t>
      </w:r>
    </w:p>
    <w:p w14:paraId="2D86E743" w14:textId="77777777" w:rsidR="007209EF" w:rsidRPr="006C3A7F" w:rsidRDefault="007209EF" w:rsidP="007209EF">
      <w:pPr>
        <w:spacing w:after="240" w:line="240" w:lineRule="atLeast"/>
        <w:jc w:val="both"/>
      </w:pPr>
      <w:r w:rsidRPr="006C3A7F">
        <w:t>En esta investigación el Grupo de Trabajo observa que sólo dos Estados examinados han ratificado la Convención Internacional sobre el reclutamiento, la utilización, la financiación y el entrenamiento de mercenarios, aunque sólo uno prohíbe estas actividades en la legislación sobre seguridad privad</w:t>
      </w:r>
      <w:r>
        <w:t>a</w:t>
      </w:r>
      <w:r w:rsidRPr="006C3A7F">
        <w:t>. El Grupo</w:t>
      </w:r>
      <w:r>
        <w:t xml:space="preserve"> </w:t>
      </w:r>
      <w:r w:rsidRPr="006C3A7F">
        <w:t xml:space="preserve">de Trabajo llama a los Estados a hacerse Parte de esta Convención e incorporar en su legislación nacional la prohibición de las actividades mercenarias. </w:t>
      </w:r>
    </w:p>
    <w:p w14:paraId="65D6AE9F" w14:textId="7E3613E5" w:rsidR="00266C85" w:rsidRPr="00031194" w:rsidRDefault="007209EF" w:rsidP="00031194">
      <w:pPr>
        <w:spacing w:after="240" w:line="240" w:lineRule="atLeast"/>
        <w:jc w:val="both"/>
      </w:pPr>
      <w:r w:rsidRPr="006C3A7F">
        <w:t xml:space="preserve">El Grupo de Trabajo también alienta a los Estados de esta Subregión a promover la incorporación en las agendas de los órganos intergubernamentales regionales y subregionales la discusión sobre el rol de las compañías de seguridad privada en el contexto de la seguridad regional. </w:t>
      </w:r>
    </w:p>
    <w:sectPr w:rsidR="00266C85" w:rsidRPr="00031194" w:rsidSect="00641C3E">
      <w:headerReference w:type="default" r:id="rId16"/>
      <w:pgSz w:w="12240" w:h="15840"/>
      <w:pgMar w:top="1417" w:right="1418" w:bottom="1417"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70097" w14:textId="77777777" w:rsidR="003201FE" w:rsidRDefault="003201FE" w:rsidP="000E4155">
      <w:pPr>
        <w:spacing w:after="0" w:line="240" w:lineRule="auto"/>
      </w:pPr>
      <w:r>
        <w:separator/>
      </w:r>
    </w:p>
  </w:endnote>
  <w:endnote w:type="continuationSeparator" w:id="0">
    <w:p w14:paraId="125B050C" w14:textId="77777777" w:rsidR="003201FE" w:rsidRDefault="003201FE" w:rsidP="000E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5E363" w14:textId="77777777" w:rsidR="00131638" w:rsidRPr="003063B8" w:rsidRDefault="00131638" w:rsidP="00653933">
    <w:pPr>
      <w:pStyle w:val="Footer"/>
      <w:jc w:val="center"/>
      <w:rPr>
        <w:i/>
        <w:i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6958" w14:textId="77777777" w:rsidR="00131638" w:rsidRPr="003063B8" w:rsidRDefault="00131638" w:rsidP="00653933">
    <w:pPr>
      <w:pStyle w:val="Footer"/>
      <w:jc w:val="center"/>
      <w:rPr>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F3686" w14:textId="77777777" w:rsidR="003201FE" w:rsidRDefault="003201FE" w:rsidP="000E4155">
      <w:pPr>
        <w:spacing w:after="0" w:line="240" w:lineRule="auto"/>
      </w:pPr>
      <w:r>
        <w:separator/>
      </w:r>
    </w:p>
  </w:footnote>
  <w:footnote w:type="continuationSeparator" w:id="0">
    <w:p w14:paraId="34BB1A91" w14:textId="77777777" w:rsidR="003201FE" w:rsidRDefault="003201FE" w:rsidP="000E4155">
      <w:pPr>
        <w:spacing w:after="0" w:line="240" w:lineRule="auto"/>
      </w:pPr>
      <w:r>
        <w:continuationSeparator/>
      </w:r>
    </w:p>
  </w:footnote>
  <w:footnote w:id="1">
    <w:p w14:paraId="42ED6BD1" w14:textId="19C9AB0C" w:rsidR="00131638" w:rsidRPr="00560A20" w:rsidRDefault="00131638" w:rsidP="00641C3E">
      <w:pPr>
        <w:spacing w:after="0" w:line="240" w:lineRule="auto"/>
        <w:jc w:val="both"/>
        <w:rPr>
          <w:sz w:val="18"/>
          <w:szCs w:val="18"/>
          <w:lang w:val="es-ES"/>
        </w:rPr>
      </w:pPr>
      <w:r>
        <w:t xml:space="preserve">* </w:t>
      </w:r>
      <w:r w:rsidRPr="00560A20">
        <w:rPr>
          <w:sz w:val="18"/>
          <w:szCs w:val="18"/>
          <w:lang w:val="es-ES"/>
        </w:rPr>
        <w:t>El presente informe fue elaborado por Patricia Arias,</w:t>
      </w:r>
      <w:r>
        <w:t xml:space="preserve"> </w:t>
      </w:r>
      <w:r w:rsidRPr="00560A20">
        <w:rPr>
          <w:sz w:val="18"/>
          <w:szCs w:val="18"/>
          <w:lang w:val="es-ES"/>
        </w:rPr>
        <w:t xml:space="preserve">miembro del </w:t>
      </w:r>
      <w:r>
        <w:rPr>
          <w:sz w:val="18"/>
          <w:szCs w:val="18"/>
          <w:lang w:val="es-ES"/>
        </w:rPr>
        <w:t>G</w:t>
      </w:r>
      <w:r w:rsidRPr="00560A20">
        <w:rPr>
          <w:sz w:val="18"/>
          <w:szCs w:val="18"/>
          <w:lang w:val="es-ES"/>
        </w:rPr>
        <w:t>rupo de Trabajo</w:t>
      </w:r>
      <w:r>
        <w:rPr>
          <w:sz w:val="18"/>
          <w:szCs w:val="18"/>
          <w:lang w:val="es-ES"/>
        </w:rPr>
        <w:t xml:space="preserve"> sobre la utilización de mercenarios.</w:t>
      </w:r>
    </w:p>
    <w:p w14:paraId="7F0AC242" w14:textId="3901AD6A" w:rsidR="00131638" w:rsidRPr="004211FA" w:rsidRDefault="00131638" w:rsidP="00641C3E">
      <w:pPr>
        <w:spacing w:after="0" w:line="240" w:lineRule="auto"/>
        <w:jc w:val="both"/>
        <w:rPr>
          <w:sz w:val="18"/>
          <w:szCs w:val="18"/>
          <w:lang w:val="es-ES"/>
        </w:rPr>
      </w:pPr>
      <w:r>
        <w:rPr>
          <w:rStyle w:val="FootnoteReference"/>
        </w:rPr>
        <w:footnoteRef/>
      </w:r>
      <w:r>
        <w:t xml:space="preserve"> </w:t>
      </w:r>
      <w:r w:rsidRPr="00ED52C5">
        <w:rPr>
          <w:sz w:val="18"/>
          <w:szCs w:val="18"/>
          <w:lang w:val="es-ES"/>
        </w:rPr>
        <w:t>No se ha incluido en es</w:t>
      </w:r>
      <w:r>
        <w:rPr>
          <w:sz w:val="18"/>
          <w:szCs w:val="18"/>
          <w:lang w:val="es-ES"/>
        </w:rPr>
        <w:t xml:space="preserve">te informe la regulación de Paraguay ni Venezuela. </w:t>
      </w:r>
      <w:r>
        <w:rPr>
          <w:lang w:val="es-ES"/>
        </w:rPr>
        <w:t xml:space="preserve"> </w:t>
      </w:r>
      <w:r w:rsidRPr="00ED52C5">
        <w:rPr>
          <w:sz w:val="18"/>
          <w:szCs w:val="18"/>
          <w:lang w:val="es-ES"/>
        </w:rPr>
        <w:t xml:space="preserve">Paraguay </w:t>
      </w:r>
      <w:r>
        <w:rPr>
          <w:sz w:val="18"/>
          <w:szCs w:val="18"/>
          <w:lang w:val="es-ES"/>
        </w:rPr>
        <w:t>a la fecha de elaboración del análisis</w:t>
      </w:r>
      <w:r w:rsidRPr="00ED52C5">
        <w:rPr>
          <w:sz w:val="18"/>
          <w:szCs w:val="18"/>
          <w:lang w:val="es-ES"/>
        </w:rPr>
        <w:t xml:space="preserve"> carec</w:t>
      </w:r>
      <w:r>
        <w:rPr>
          <w:sz w:val="18"/>
          <w:szCs w:val="18"/>
          <w:lang w:val="es-ES"/>
        </w:rPr>
        <w:t>ía</w:t>
      </w:r>
      <w:r w:rsidRPr="00ED52C5">
        <w:rPr>
          <w:sz w:val="18"/>
          <w:szCs w:val="18"/>
          <w:lang w:val="es-ES"/>
        </w:rPr>
        <w:t xml:space="preserve"> de una ley especial, </w:t>
      </w:r>
      <w:r>
        <w:rPr>
          <w:sz w:val="18"/>
          <w:szCs w:val="18"/>
          <w:lang w:val="es-ES"/>
        </w:rPr>
        <w:t>estando</w:t>
      </w:r>
      <w:r w:rsidRPr="00ED52C5">
        <w:rPr>
          <w:sz w:val="18"/>
          <w:szCs w:val="18"/>
          <w:lang w:val="es-ES"/>
        </w:rPr>
        <w:t xml:space="preserve"> en discusión un proyecto de ley sobre la materia</w:t>
      </w:r>
      <w:r>
        <w:rPr>
          <w:sz w:val="18"/>
          <w:szCs w:val="18"/>
          <w:lang w:val="es-ES"/>
        </w:rPr>
        <w:t>.</w:t>
      </w:r>
      <w:r w:rsidR="00691252">
        <w:rPr>
          <w:sz w:val="18"/>
          <w:szCs w:val="18"/>
          <w:lang w:val="es-ES"/>
        </w:rPr>
        <w:t xml:space="preserve"> </w:t>
      </w:r>
      <w:r>
        <w:rPr>
          <w:sz w:val="18"/>
          <w:szCs w:val="18"/>
          <w:lang w:val="es-ES"/>
        </w:rPr>
        <w:t xml:space="preserve">Según informaciones públicas la Ley 23/1992 fue </w:t>
      </w:r>
      <w:r w:rsidRPr="004211FA">
        <w:rPr>
          <w:sz w:val="18"/>
          <w:szCs w:val="18"/>
          <w:lang w:val="es-ES"/>
        </w:rPr>
        <w:t>derogada por disposición derogatoria única de la Ley 5/2014, de 4 de abril, de Seguridad Privada («B.O.E.» 5 abril), el 5 de junio de 2014</w:t>
      </w:r>
      <w:r>
        <w:rPr>
          <w:sz w:val="18"/>
          <w:szCs w:val="18"/>
          <w:lang w:val="es-ES"/>
        </w:rPr>
        <w:t xml:space="preserve">. En: </w:t>
      </w:r>
      <w:hyperlink r:id="rId1" w:history="1">
        <w:r w:rsidRPr="00A002CC">
          <w:rPr>
            <w:rStyle w:val="Hyperlink"/>
            <w:sz w:val="18"/>
            <w:szCs w:val="18"/>
            <w:lang w:val="es-ES"/>
          </w:rPr>
          <w:t>http://noticias.juridicas.com/base_datos/Admin/l23-1992.html</w:t>
        </w:r>
      </w:hyperlink>
      <w:r>
        <w:rPr>
          <w:sz w:val="18"/>
          <w:szCs w:val="18"/>
          <w:lang w:val="es-ES"/>
        </w:rPr>
        <w:t xml:space="preserve">. </w:t>
      </w:r>
      <w:r w:rsidRPr="00BC322B">
        <w:rPr>
          <w:sz w:val="18"/>
          <w:szCs w:val="18"/>
          <w:lang w:val="es-ES"/>
        </w:rPr>
        <w:t xml:space="preserve">Venezuela, </w:t>
      </w:r>
      <w:r>
        <w:rPr>
          <w:sz w:val="18"/>
          <w:szCs w:val="18"/>
          <w:lang w:val="es-ES"/>
        </w:rPr>
        <w:t xml:space="preserve">cuenta con la </w:t>
      </w:r>
      <w:r w:rsidRPr="00BC322B">
        <w:rPr>
          <w:sz w:val="18"/>
          <w:szCs w:val="18"/>
          <w:lang w:val="es-ES"/>
        </w:rPr>
        <w:t>Providencia Administrativa Nº MPPD-VS-DAEX-002-2009 (Gaceta Oficial Nº 39.251 del 27 de agosto de 2009)</w:t>
      </w:r>
      <w:r>
        <w:rPr>
          <w:sz w:val="18"/>
          <w:szCs w:val="18"/>
          <w:lang w:val="es-ES"/>
        </w:rPr>
        <w:t xml:space="preserve">, que contiene las </w:t>
      </w:r>
      <w:r w:rsidRPr="00BC322B">
        <w:rPr>
          <w:sz w:val="18"/>
          <w:szCs w:val="18"/>
          <w:lang w:val="es-ES"/>
        </w:rPr>
        <w:t>Normas y Procedimientos Generales para el Control y Funcionamiento de las Empresas que prestan el Servicio de Vigilancia Privada, Protección y Transporte de Valores</w:t>
      </w:r>
      <w:r>
        <w:rPr>
          <w:sz w:val="18"/>
          <w:szCs w:val="18"/>
          <w:lang w:val="es-ES"/>
        </w:rPr>
        <w:t>;</w:t>
      </w:r>
      <w:r w:rsidRPr="00BC322B">
        <w:rPr>
          <w:sz w:val="18"/>
          <w:szCs w:val="18"/>
          <w:lang w:val="es-ES"/>
        </w:rPr>
        <w:t xml:space="preserve"> en este caso, no fue posible </w:t>
      </w:r>
      <w:r>
        <w:rPr>
          <w:sz w:val="18"/>
          <w:szCs w:val="18"/>
          <w:lang w:val="es-ES"/>
        </w:rPr>
        <w:t xml:space="preserve">confirmar si era la norma vigente y única. </w:t>
      </w:r>
      <w:r w:rsidRPr="00901AC2">
        <w:rPr>
          <w:sz w:val="18"/>
          <w:szCs w:val="18"/>
          <w:lang w:val="es-ES"/>
        </w:rPr>
        <w:t>.</w:t>
      </w:r>
    </w:p>
  </w:footnote>
  <w:footnote w:id="2">
    <w:p w14:paraId="5ACB68F8" w14:textId="5F7AFA87" w:rsidR="00131638" w:rsidRPr="002A6BED" w:rsidRDefault="00131638" w:rsidP="00641C3E">
      <w:pPr>
        <w:pStyle w:val="FootnoteText"/>
        <w:jc w:val="both"/>
        <w:rPr>
          <w:sz w:val="18"/>
          <w:szCs w:val="18"/>
        </w:rPr>
      </w:pPr>
      <w:r>
        <w:rPr>
          <w:rStyle w:val="FootnoteReference"/>
        </w:rPr>
        <w:footnoteRef/>
      </w:r>
      <w:r>
        <w:t xml:space="preserve"> </w:t>
      </w:r>
      <w:r w:rsidRPr="002A6BED">
        <w:rPr>
          <w:sz w:val="18"/>
          <w:szCs w:val="18"/>
        </w:rPr>
        <w:t xml:space="preserve">Las </w:t>
      </w:r>
      <w:proofErr w:type="spellStart"/>
      <w:r w:rsidRPr="002A6BED">
        <w:rPr>
          <w:sz w:val="18"/>
          <w:szCs w:val="18"/>
        </w:rPr>
        <w:t>Portarias</w:t>
      </w:r>
      <w:proofErr w:type="spellEnd"/>
      <w:r w:rsidRPr="002A6BED">
        <w:rPr>
          <w:sz w:val="18"/>
          <w:szCs w:val="18"/>
        </w:rPr>
        <w:t xml:space="preserve"> son actos normativos de nivel jerárquico inferior a las leyes y decretos y son propios de los Ministros de Estado y otras autoridades federales.  Esta norma </w:t>
      </w:r>
      <w:r>
        <w:rPr>
          <w:sz w:val="18"/>
          <w:szCs w:val="18"/>
        </w:rPr>
        <w:t>viene a complementar, y detallar, las normas que regulan las actividades y empresas de seguridad privada</w:t>
      </w:r>
      <w:r w:rsidRPr="002A6BED">
        <w:rPr>
          <w:sz w:val="18"/>
          <w:szCs w:val="18"/>
        </w:rPr>
        <w:t>.</w:t>
      </w:r>
      <w:r>
        <w:rPr>
          <w:sz w:val="18"/>
          <w:szCs w:val="18"/>
        </w:rPr>
        <w:t xml:space="preserve"> Esta </w:t>
      </w:r>
      <w:proofErr w:type="spellStart"/>
      <w:r>
        <w:rPr>
          <w:sz w:val="18"/>
          <w:szCs w:val="18"/>
        </w:rPr>
        <w:t>Portaria</w:t>
      </w:r>
      <w:proofErr w:type="spellEnd"/>
      <w:r>
        <w:rPr>
          <w:sz w:val="18"/>
          <w:szCs w:val="18"/>
        </w:rPr>
        <w:t xml:space="preserve"> de 2012 fue modificada por la </w:t>
      </w:r>
      <w:proofErr w:type="spellStart"/>
      <w:r>
        <w:rPr>
          <w:sz w:val="18"/>
          <w:szCs w:val="18"/>
        </w:rPr>
        <w:t>Portaria</w:t>
      </w:r>
      <w:proofErr w:type="spellEnd"/>
      <w:r>
        <w:rPr>
          <w:sz w:val="18"/>
          <w:szCs w:val="18"/>
        </w:rPr>
        <w:t xml:space="preserve"> 3.258/2013 DG/DPF, y por la </w:t>
      </w:r>
      <w:proofErr w:type="spellStart"/>
      <w:r>
        <w:rPr>
          <w:sz w:val="18"/>
          <w:szCs w:val="18"/>
        </w:rPr>
        <w:t>Portaria</w:t>
      </w:r>
      <w:proofErr w:type="spellEnd"/>
      <w:r>
        <w:rPr>
          <w:sz w:val="18"/>
          <w:szCs w:val="18"/>
        </w:rPr>
        <w:t xml:space="preserve"> 3.559/2013, incluidas en el presente análisis.</w:t>
      </w:r>
    </w:p>
  </w:footnote>
  <w:footnote w:id="3">
    <w:p w14:paraId="4886C9D6" w14:textId="77777777" w:rsidR="00131638" w:rsidRPr="008D3980" w:rsidRDefault="00131638" w:rsidP="000E4155">
      <w:pPr>
        <w:pStyle w:val="FootnoteText"/>
        <w:rPr>
          <w:color w:val="FF0000"/>
          <w:sz w:val="18"/>
          <w:szCs w:val="18"/>
        </w:rPr>
      </w:pPr>
      <w:r>
        <w:rPr>
          <w:rStyle w:val="FootnoteReference"/>
        </w:rPr>
        <w:footnoteRef/>
      </w:r>
      <w:r>
        <w:t xml:space="preserve"> </w:t>
      </w:r>
      <w:r>
        <w:rPr>
          <w:sz w:val="18"/>
          <w:szCs w:val="18"/>
        </w:rPr>
        <w:t>En base a la ley que le otorgaba facultades extraordinarias en esta materia, N° 61/1993.</w:t>
      </w:r>
    </w:p>
  </w:footnote>
  <w:footnote w:id="4">
    <w:p w14:paraId="75F9E51D" w14:textId="0C9424D7" w:rsidR="00131638" w:rsidRPr="00FC4A5B" w:rsidRDefault="00131638" w:rsidP="000E4155">
      <w:pPr>
        <w:pStyle w:val="FootnoteText"/>
        <w:rPr>
          <w:sz w:val="18"/>
          <w:szCs w:val="18"/>
        </w:rPr>
      </w:pPr>
      <w:r>
        <w:rPr>
          <w:rStyle w:val="FootnoteReference"/>
        </w:rPr>
        <w:footnoteRef/>
      </w:r>
      <w:r>
        <w:t xml:space="preserve"> </w:t>
      </w:r>
      <w:r>
        <w:rPr>
          <w:sz w:val="18"/>
          <w:szCs w:val="18"/>
        </w:rPr>
        <w:t>Decreto L</w:t>
      </w:r>
      <w:r w:rsidRPr="00FC4A5B">
        <w:rPr>
          <w:sz w:val="18"/>
          <w:szCs w:val="18"/>
        </w:rPr>
        <w:t>ey</w:t>
      </w:r>
      <w:r>
        <w:rPr>
          <w:sz w:val="18"/>
          <w:szCs w:val="18"/>
        </w:rPr>
        <w:t xml:space="preserve"> cuya última modificación fue en febrero de </w:t>
      </w:r>
      <w:r w:rsidRPr="00FC4A5B">
        <w:rPr>
          <w:sz w:val="18"/>
          <w:szCs w:val="18"/>
        </w:rPr>
        <w:t>2011</w:t>
      </w:r>
      <w:r>
        <w:rPr>
          <w:sz w:val="18"/>
          <w:szCs w:val="18"/>
        </w:rPr>
        <w:t>, por</w:t>
      </w:r>
      <w:r w:rsidRPr="00FC4A5B">
        <w:rPr>
          <w:sz w:val="18"/>
          <w:szCs w:val="18"/>
        </w:rPr>
        <w:t xml:space="preserve"> Ley 20</w:t>
      </w:r>
      <w:r>
        <w:rPr>
          <w:sz w:val="18"/>
          <w:szCs w:val="18"/>
        </w:rPr>
        <w:t>.</w:t>
      </w:r>
      <w:r w:rsidRPr="00FC4A5B">
        <w:rPr>
          <w:sz w:val="18"/>
          <w:szCs w:val="18"/>
        </w:rPr>
        <w:t>502</w:t>
      </w:r>
      <w:r>
        <w:rPr>
          <w:sz w:val="18"/>
          <w:szCs w:val="18"/>
        </w:rPr>
        <w:t>. En chile se discute un proyecto en el Congreso Nacional, que se encuentra actualmente sin mayor movimiento.</w:t>
      </w:r>
    </w:p>
  </w:footnote>
  <w:footnote w:id="5">
    <w:p w14:paraId="0ED78997" w14:textId="26FE6780" w:rsidR="00131638" w:rsidRDefault="00131638" w:rsidP="005F559F">
      <w:pPr>
        <w:pStyle w:val="FootnoteText"/>
        <w:jc w:val="both"/>
      </w:pPr>
      <w:r>
        <w:rPr>
          <w:rStyle w:val="FootnoteReference"/>
        </w:rPr>
        <w:footnoteRef/>
      </w:r>
      <w:r>
        <w:t xml:space="preserve"> </w:t>
      </w:r>
      <w:r w:rsidRPr="00093AA6">
        <w:rPr>
          <w:sz w:val="18"/>
          <w:szCs w:val="18"/>
          <w:lang w:val="es-ES"/>
        </w:rPr>
        <w:t xml:space="preserve">La norma colombiana hace </w:t>
      </w:r>
      <w:r>
        <w:rPr>
          <w:sz w:val="18"/>
          <w:szCs w:val="18"/>
          <w:lang w:val="es-ES"/>
        </w:rPr>
        <w:t>cierta</w:t>
      </w:r>
      <w:r w:rsidRPr="00093AA6">
        <w:rPr>
          <w:sz w:val="18"/>
          <w:szCs w:val="18"/>
          <w:lang w:val="es-ES"/>
        </w:rPr>
        <w:t xml:space="preserve"> referencia en este sentido, cuando señala que el servicio de escoltas puede prestarse -ocasionalmente- a personas vinculadas a la empresa que tengan sede fuera del país, sin hacer mayores comentarios sobre la materia.</w:t>
      </w:r>
      <w:r w:rsidRPr="00E9056F">
        <w:rPr>
          <w:sz w:val="18"/>
          <w:szCs w:val="18"/>
          <w:lang w:val="es-ES"/>
        </w:rPr>
        <w:t xml:space="preserve"> Art. 19, Decreto N° 356/1994</w:t>
      </w:r>
      <w:r>
        <w:rPr>
          <w:sz w:val="18"/>
          <w:szCs w:val="18"/>
          <w:lang w:val="es-ES"/>
        </w:rPr>
        <w:t>.</w:t>
      </w:r>
    </w:p>
  </w:footnote>
  <w:footnote w:id="6">
    <w:p w14:paraId="7DC629AA" w14:textId="77777777" w:rsidR="00131638" w:rsidRPr="002B0925" w:rsidRDefault="00131638" w:rsidP="005F559F">
      <w:pPr>
        <w:pStyle w:val="FootnoteText"/>
        <w:jc w:val="both"/>
        <w:rPr>
          <w:sz w:val="18"/>
          <w:szCs w:val="18"/>
        </w:rPr>
      </w:pPr>
      <w:r>
        <w:rPr>
          <w:rStyle w:val="FootnoteReference"/>
        </w:rPr>
        <w:footnoteRef/>
      </w:r>
      <w:r>
        <w:t xml:space="preserve"> </w:t>
      </w:r>
      <w:r>
        <w:rPr>
          <w:sz w:val="18"/>
          <w:szCs w:val="18"/>
        </w:rPr>
        <w:t>Art. 39 del Decreto N° 356/ 1994.</w:t>
      </w:r>
    </w:p>
  </w:footnote>
  <w:footnote w:id="7">
    <w:p w14:paraId="3639475C" w14:textId="77777777" w:rsidR="00131638" w:rsidRPr="003B1B44" w:rsidRDefault="00131638" w:rsidP="005F559F">
      <w:pPr>
        <w:pStyle w:val="FootnoteText"/>
        <w:jc w:val="both"/>
        <w:rPr>
          <w:sz w:val="18"/>
          <w:szCs w:val="18"/>
        </w:rPr>
      </w:pPr>
      <w:r w:rsidRPr="009E192B">
        <w:rPr>
          <w:rStyle w:val="FootnoteReference"/>
        </w:rPr>
        <w:footnoteRef/>
      </w:r>
      <w:r w:rsidRPr="009E192B">
        <w:t xml:space="preserve"> </w:t>
      </w:r>
      <w:r w:rsidRPr="009E192B">
        <w:rPr>
          <w:sz w:val="18"/>
          <w:szCs w:val="18"/>
        </w:rPr>
        <w:t>Que son armas de guerra o de uso privativo de la fuerza pública; incluye pistolas de funcionamiento automático y subametralladoras. Art 9, Decreto N° 2535/1993</w:t>
      </w:r>
    </w:p>
  </w:footnote>
  <w:footnote w:id="8">
    <w:p w14:paraId="4E735DC7" w14:textId="77777777" w:rsidR="00131638" w:rsidRPr="002A6BED" w:rsidRDefault="00131638" w:rsidP="005D6612">
      <w:pPr>
        <w:pStyle w:val="FootnoteText"/>
        <w:jc w:val="both"/>
        <w:rPr>
          <w:sz w:val="18"/>
          <w:szCs w:val="18"/>
        </w:rPr>
      </w:pPr>
      <w:r>
        <w:rPr>
          <w:rStyle w:val="FootnoteReference"/>
        </w:rPr>
        <w:footnoteRef/>
      </w:r>
      <w:r>
        <w:t xml:space="preserve"> </w:t>
      </w:r>
      <w:r w:rsidRPr="002A6BED">
        <w:rPr>
          <w:sz w:val="18"/>
          <w:szCs w:val="18"/>
          <w:lang w:val="es-ES"/>
        </w:rPr>
        <w:t>La norma colombiana permite la utilización de blindajes para vigilancia y seguridad, el que está asociado a la realidad de inseguridad y violencia que ha vivido el país, en especial por causa del crimen organizado y la existencia de grandes carteles de la droga que</w:t>
      </w:r>
      <w:r>
        <w:rPr>
          <w:sz w:val="18"/>
          <w:szCs w:val="18"/>
          <w:lang w:val="es-ES"/>
        </w:rPr>
        <w:t xml:space="preserve"> fueron finalmente desbaratados, así como también al conflicto con la guerrilla.</w:t>
      </w:r>
    </w:p>
  </w:footnote>
  <w:footnote w:id="9">
    <w:p w14:paraId="3AE16E77" w14:textId="77777777" w:rsidR="00131638" w:rsidRDefault="00131638">
      <w:pPr>
        <w:pStyle w:val="FootnoteText"/>
      </w:pPr>
      <w:r>
        <w:rPr>
          <w:rStyle w:val="FootnoteReference"/>
        </w:rPr>
        <w:footnoteRef/>
      </w:r>
      <w:r>
        <w:t xml:space="preserve"> </w:t>
      </w:r>
      <w:r w:rsidRPr="00B7096D">
        <w:rPr>
          <w:sz w:val="18"/>
          <w:szCs w:val="18"/>
          <w:lang w:val="es-ES"/>
        </w:rPr>
        <w:t>Art. 2, Ley 2003/12</w:t>
      </w:r>
      <w:r>
        <w:rPr>
          <w:sz w:val="18"/>
          <w:szCs w:val="18"/>
          <w:lang w:val="es-ES"/>
        </w:rPr>
        <w:t>.</w:t>
      </w:r>
    </w:p>
  </w:footnote>
  <w:footnote w:id="10">
    <w:p w14:paraId="75579688" w14:textId="77777777" w:rsidR="00131638" w:rsidRPr="002F33C4" w:rsidRDefault="00131638" w:rsidP="005D6612">
      <w:pPr>
        <w:pStyle w:val="FootnoteText"/>
        <w:rPr>
          <w:sz w:val="18"/>
          <w:szCs w:val="18"/>
        </w:rPr>
      </w:pPr>
      <w:r>
        <w:rPr>
          <w:rStyle w:val="FootnoteReference"/>
        </w:rPr>
        <w:footnoteRef/>
      </w:r>
      <w:r>
        <w:t xml:space="preserve"> </w:t>
      </w:r>
      <w:r>
        <w:rPr>
          <w:sz w:val="18"/>
          <w:szCs w:val="18"/>
        </w:rPr>
        <w:t>Art. 2, n° 5, Ley 12.297/1999.</w:t>
      </w:r>
    </w:p>
  </w:footnote>
  <w:footnote w:id="11">
    <w:p w14:paraId="3C36CE4D" w14:textId="77777777" w:rsidR="00131638" w:rsidRPr="002A6BED" w:rsidRDefault="00131638" w:rsidP="005D6612">
      <w:pPr>
        <w:pStyle w:val="FootnoteText"/>
        <w:rPr>
          <w:sz w:val="18"/>
          <w:szCs w:val="18"/>
        </w:rPr>
      </w:pPr>
      <w:r>
        <w:rPr>
          <w:rStyle w:val="FootnoteReference"/>
        </w:rPr>
        <w:footnoteRef/>
      </w:r>
      <w:r>
        <w:t xml:space="preserve"> </w:t>
      </w:r>
      <w:r>
        <w:rPr>
          <w:sz w:val="18"/>
          <w:szCs w:val="18"/>
          <w:lang w:val="es-ES"/>
        </w:rPr>
        <w:t>Art. 17, D</w:t>
      </w:r>
      <w:r w:rsidRPr="008F11E3">
        <w:rPr>
          <w:sz w:val="18"/>
          <w:szCs w:val="18"/>
          <w:lang w:val="es-ES"/>
        </w:rPr>
        <w:t>ecreto 356/</w:t>
      </w:r>
      <w:r>
        <w:rPr>
          <w:sz w:val="18"/>
          <w:szCs w:val="18"/>
          <w:lang w:val="es-ES"/>
        </w:rPr>
        <w:t>19</w:t>
      </w:r>
      <w:r w:rsidRPr="008F11E3">
        <w:rPr>
          <w:sz w:val="18"/>
          <w:szCs w:val="18"/>
          <w:lang w:val="es-ES"/>
        </w:rPr>
        <w:t>94</w:t>
      </w:r>
      <w:r>
        <w:rPr>
          <w:sz w:val="18"/>
          <w:szCs w:val="18"/>
          <w:lang w:val="es-ES"/>
        </w:rPr>
        <w:t>.</w:t>
      </w:r>
    </w:p>
  </w:footnote>
  <w:footnote w:id="12">
    <w:p w14:paraId="1D953338" w14:textId="77777777" w:rsidR="00131638" w:rsidRDefault="00131638" w:rsidP="005D6612">
      <w:pPr>
        <w:pStyle w:val="FootnoteText"/>
      </w:pPr>
      <w:r>
        <w:rPr>
          <w:rStyle w:val="FootnoteReference"/>
        </w:rPr>
        <w:footnoteRef/>
      </w:r>
      <w:r>
        <w:t xml:space="preserve"> </w:t>
      </w:r>
      <w:r w:rsidRPr="004028B3">
        <w:rPr>
          <w:sz w:val="18"/>
          <w:szCs w:val="18"/>
        </w:rPr>
        <w:t>Las empresas estrat</w:t>
      </w:r>
      <w:r>
        <w:rPr>
          <w:sz w:val="18"/>
          <w:szCs w:val="18"/>
        </w:rPr>
        <w:t>égic</w:t>
      </w:r>
      <w:r w:rsidRPr="004028B3">
        <w:rPr>
          <w:sz w:val="18"/>
          <w:szCs w:val="18"/>
        </w:rPr>
        <w:t>as se determi</w:t>
      </w:r>
      <w:r>
        <w:rPr>
          <w:sz w:val="18"/>
          <w:szCs w:val="18"/>
        </w:rPr>
        <w:t xml:space="preserve">narán por Decreto Supremo, con </w:t>
      </w:r>
      <w:r w:rsidRPr="004028B3">
        <w:rPr>
          <w:sz w:val="18"/>
          <w:szCs w:val="18"/>
        </w:rPr>
        <w:t>carácter de secreto.</w:t>
      </w:r>
      <w:r>
        <w:rPr>
          <w:sz w:val="18"/>
          <w:szCs w:val="18"/>
        </w:rPr>
        <w:t xml:space="preserve"> Art. 3, D.L. N° 3.607. El estudio de seguridad referido tendrá el carácter de secreto y queda archivado en la respectiva Prefectura de la Policía de Carabineros. </w:t>
      </w:r>
    </w:p>
  </w:footnote>
  <w:footnote w:id="13">
    <w:p w14:paraId="1BFB570A" w14:textId="190B9902" w:rsidR="00131638" w:rsidRPr="009E192B" w:rsidRDefault="00131638" w:rsidP="009E192B">
      <w:pPr>
        <w:pStyle w:val="FootnoteText"/>
        <w:jc w:val="both"/>
        <w:rPr>
          <w:sz w:val="18"/>
          <w:szCs w:val="18"/>
        </w:rPr>
      </w:pPr>
      <w:r>
        <w:rPr>
          <w:rStyle w:val="FootnoteReference"/>
        </w:rPr>
        <w:footnoteRef/>
      </w:r>
      <w:r>
        <w:t xml:space="preserve"> </w:t>
      </w:r>
      <w:r w:rsidRPr="009E192B">
        <w:rPr>
          <w:sz w:val="18"/>
          <w:szCs w:val="18"/>
        </w:rPr>
        <w:t>Ecuador menciona los tratados internacionales en su Reglamento, al señalar las normas que rigen las investigaciones privadas. Art. 7, Decreto N° 1181/2008.</w:t>
      </w:r>
    </w:p>
  </w:footnote>
  <w:footnote w:id="14">
    <w:p w14:paraId="7FDABD9D" w14:textId="77777777" w:rsidR="00131638" w:rsidRPr="00FC1296" w:rsidRDefault="00131638" w:rsidP="009553A2">
      <w:pPr>
        <w:pStyle w:val="FootnoteText"/>
        <w:jc w:val="both"/>
        <w:rPr>
          <w:sz w:val="18"/>
          <w:szCs w:val="18"/>
        </w:rPr>
      </w:pPr>
      <w:r>
        <w:rPr>
          <w:rStyle w:val="FootnoteReference"/>
        </w:rPr>
        <w:footnoteRef/>
      </w:r>
      <w:r>
        <w:t xml:space="preserve"> </w:t>
      </w:r>
      <w:r>
        <w:rPr>
          <w:sz w:val="18"/>
          <w:szCs w:val="18"/>
        </w:rPr>
        <w:t xml:space="preserve">Decreto N° 2974/1997.  </w:t>
      </w:r>
    </w:p>
  </w:footnote>
  <w:footnote w:id="15">
    <w:p w14:paraId="05A91AD0" w14:textId="77777777" w:rsidR="00131638" w:rsidRPr="009553A2" w:rsidRDefault="00131638" w:rsidP="009553A2">
      <w:pPr>
        <w:pStyle w:val="FootnoteText"/>
        <w:jc w:val="both"/>
        <w:rPr>
          <w:sz w:val="18"/>
          <w:szCs w:val="18"/>
        </w:rPr>
      </w:pPr>
      <w:r>
        <w:rPr>
          <w:rStyle w:val="FootnoteReference"/>
        </w:rPr>
        <w:footnoteRef/>
      </w:r>
      <w:r>
        <w:t xml:space="preserve"> </w:t>
      </w:r>
      <w:r w:rsidRPr="000A674F">
        <w:rPr>
          <w:sz w:val="18"/>
          <w:szCs w:val="18"/>
        </w:rPr>
        <w:t>Estos servicios especiales son aquellos que en forma expresa, taxativa y transitoria puede autorizar la Superintendencia a personas jurídicas públicas o privadas, con el objeto exclusivo de proveer su propia seguridad para desarrollar actividades en</w:t>
      </w:r>
      <w:r w:rsidRPr="00B96AAC">
        <w:rPr>
          <w:sz w:val="18"/>
          <w:szCs w:val="18"/>
        </w:rPr>
        <w:t xml:space="preserve"> áreas de alto riesgo o de interés público, que requieren un nivel de seguri</w:t>
      </w:r>
      <w:r w:rsidRPr="00B30E72">
        <w:rPr>
          <w:sz w:val="18"/>
          <w:szCs w:val="18"/>
        </w:rPr>
        <w:t>dad de alta capacidad. Art. 1. Decreto N° 2974/1997. El artículo 3, dispone que no se otorgarán estos servicios especiales en zonas de conflicto. Los</w:t>
      </w:r>
      <w:r>
        <w:rPr>
          <w:sz w:val="18"/>
          <w:szCs w:val="18"/>
        </w:rPr>
        <w:t xml:space="preserve"> servicios comunitarios son la organización de la comunidad en forma de cooperativa, junta de acción comunal o empresa comunitaria, y proveen seguridad a sus cooperados dentro del área de asiento de la comunidad. Art. 8.</w:t>
      </w:r>
    </w:p>
  </w:footnote>
  <w:footnote w:id="16">
    <w:p w14:paraId="43764AE5" w14:textId="77777777" w:rsidR="00131638" w:rsidRPr="00355135" w:rsidRDefault="00131638" w:rsidP="00355135">
      <w:pPr>
        <w:jc w:val="both"/>
        <w:rPr>
          <w:sz w:val="18"/>
          <w:szCs w:val="18"/>
          <w:lang w:val="es-ES"/>
        </w:rPr>
      </w:pPr>
      <w:r>
        <w:rPr>
          <w:rStyle w:val="FootnoteReference"/>
        </w:rPr>
        <w:footnoteRef/>
      </w:r>
      <w:r>
        <w:t xml:space="preserve"> </w:t>
      </w:r>
      <w:r>
        <w:rPr>
          <w:sz w:val="18"/>
          <w:szCs w:val="18"/>
        </w:rPr>
        <w:t xml:space="preserve">Art. </w:t>
      </w:r>
      <w:r w:rsidRPr="00E84CCA">
        <w:rPr>
          <w:sz w:val="18"/>
          <w:szCs w:val="18"/>
          <w:lang w:val="es-ES"/>
        </w:rPr>
        <w:t xml:space="preserve">6, letra e. Ley 12.297/1999. </w:t>
      </w:r>
    </w:p>
  </w:footnote>
  <w:footnote w:id="17">
    <w:p w14:paraId="2C2408E9" w14:textId="77777777" w:rsidR="00131638" w:rsidRPr="001B134F" w:rsidRDefault="00131638">
      <w:pPr>
        <w:pStyle w:val="FootnoteText"/>
        <w:rPr>
          <w:sz w:val="18"/>
          <w:szCs w:val="18"/>
        </w:rPr>
      </w:pPr>
      <w:r>
        <w:rPr>
          <w:rStyle w:val="FootnoteReference"/>
        </w:rPr>
        <w:footnoteRef/>
      </w:r>
      <w:r>
        <w:t xml:space="preserve"> </w:t>
      </w:r>
      <w:r>
        <w:rPr>
          <w:sz w:val="18"/>
          <w:szCs w:val="18"/>
        </w:rPr>
        <w:t>Art, 42, Decreto N° 356/1994.</w:t>
      </w:r>
    </w:p>
  </w:footnote>
  <w:footnote w:id="18">
    <w:p w14:paraId="4B98F02B" w14:textId="40DEE582" w:rsidR="00131638" w:rsidRPr="001B134F" w:rsidRDefault="00131638">
      <w:pPr>
        <w:pStyle w:val="FootnoteText"/>
        <w:rPr>
          <w:sz w:val="18"/>
          <w:szCs w:val="18"/>
        </w:rPr>
      </w:pPr>
      <w:r>
        <w:rPr>
          <w:rStyle w:val="FootnoteReference"/>
        </w:rPr>
        <w:footnoteRef/>
      </w:r>
      <w:r>
        <w:t xml:space="preserve"> </w:t>
      </w:r>
      <w:r>
        <w:rPr>
          <w:sz w:val="18"/>
          <w:szCs w:val="18"/>
        </w:rPr>
        <w:t>Art. 23, Decreto N° 356/1994.</w:t>
      </w:r>
    </w:p>
  </w:footnote>
  <w:footnote w:id="19">
    <w:p w14:paraId="454281C1" w14:textId="77777777" w:rsidR="00131638" w:rsidRPr="0057361A" w:rsidRDefault="00131638" w:rsidP="005E5395">
      <w:pPr>
        <w:pStyle w:val="FootnoteText"/>
        <w:rPr>
          <w:sz w:val="18"/>
          <w:szCs w:val="18"/>
        </w:rPr>
      </w:pPr>
      <w:r>
        <w:rPr>
          <w:rStyle w:val="FootnoteReference"/>
        </w:rPr>
        <w:footnoteRef/>
      </w:r>
      <w:r>
        <w:t xml:space="preserve"> </w:t>
      </w:r>
      <w:r>
        <w:rPr>
          <w:sz w:val="18"/>
          <w:szCs w:val="18"/>
        </w:rPr>
        <w:t>Art. 8 del Decreto N° 275/1999.</w:t>
      </w:r>
    </w:p>
  </w:footnote>
  <w:footnote w:id="20">
    <w:p w14:paraId="2378A4AD" w14:textId="77777777" w:rsidR="00131638" w:rsidRPr="002A6BED" w:rsidRDefault="00131638" w:rsidP="000E4155">
      <w:pPr>
        <w:pStyle w:val="FootnoteText"/>
        <w:rPr>
          <w:sz w:val="18"/>
          <w:szCs w:val="18"/>
        </w:rPr>
      </w:pPr>
      <w:r>
        <w:rPr>
          <w:rStyle w:val="FootnoteReference"/>
        </w:rPr>
        <w:footnoteRef/>
      </w:r>
      <w:r>
        <w:t xml:space="preserve"> </w:t>
      </w:r>
      <w:r w:rsidRPr="002A6BED">
        <w:rPr>
          <w:sz w:val="18"/>
          <w:szCs w:val="18"/>
        </w:rPr>
        <w:t>Incluye a los miembros activos de la comisión de Tránsito de la provincia del Guayas. Art. 3, b.</w:t>
      </w:r>
    </w:p>
  </w:footnote>
  <w:footnote w:id="21">
    <w:p w14:paraId="66525956" w14:textId="77777777" w:rsidR="00131638" w:rsidRPr="00312C7E" w:rsidRDefault="00131638">
      <w:pPr>
        <w:pStyle w:val="FootnoteText"/>
        <w:rPr>
          <w:sz w:val="18"/>
          <w:szCs w:val="18"/>
        </w:rPr>
      </w:pPr>
      <w:r>
        <w:rPr>
          <w:rStyle w:val="FootnoteReference"/>
        </w:rPr>
        <w:footnoteRef/>
      </w:r>
      <w:r>
        <w:t xml:space="preserve"> </w:t>
      </w:r>
      <w:r>
        <w:rPr>
          <w:sz w:val="18"/>
          <w:szCs w:val="18"/>
        </w:rPr>
        <w:t>Art. 78, decreto N° 356/1994.</w:t>
      </w:r>
    </w:p>
  </w:footnote>
  <w:footnote w:id="22">
    <w:p w14:paraId="003A25F1" w14:textId="77777777" w:rsidR="00131638" w:rsidRDefault="00131638" w:rsidP="00435D97">
      <w:pPr>
        <w:pStyle w:val="FootnoteText"/>
        <w:jc w:val="both"/>
      </w:pPr>
      <w:r>
        <w:rPr>
          <w:rStyle w:val="FootnoteReference"/>
        </w:rPr>
        <w:footnoteRef/>
      </w:r>
      <w:r>
        <w:t xml:space="preserve"> </w:t>
      </w:r>
      <w:r w:rsidRPr="00977F73">
        <w:rPr>
          <w:sz w:val="18"/>
          <w:szCs w:val="18"/>
        </w:rPr>
        <w:t>Art. 8, sobre Inhabilitaciones e incompatibilidades</w:t>
      </w:r>
      <w:r>
        <w:rPr>
          <w:sz w:val="18"/>
          <w:szCs w:val="18"/>
        </w:rPr>
        <w:t>, Ley N° 12.297/1999.</w:t>
      </w:r>
    </w:p>
  </w:footnote>
  <w:footnote w:id="23">
    <w:p w14:paraId="51CE3F07" w14:textId="77777777" w:rsidR="00131638" w:rsidRPr="005B7924" w:rsidRDefault="00131638">
      <w:pPr>
        <w:pStyle w:val="FootnoteText"/>
        <w:rPr>
          <w:sz w:val="18"/>
          <w:szCs w:val="18"/>
        </w:rPr>
      </w:pPr>
      <w:r>
        <w:rPr>
          <w:rStyle w:val="FootnoteReference"/>
        </w:rPr>
        <w:footnoteRef/>
      </w:r>
      <w:r>
        <w:t xml:space="preserve"> </w:t>
      </w:r>
      <w:r>
        <w:rPr>
          <w:sz w:val="18"/>
          <w:szCs w:val="18"/>
        </w:rPr>
        <w:t>La prohibición, según las autoridades de Carabineros, sería una práctica en dicha institución; aunque no consta en una norma escrita.</w:t>
      </w:r>
    </w:p>
  </w:footnote>
  <w:footnote w:id="24">
    <w:p w14:paraId="7054DD63" w14:textId="77777777" w:rsidR="00131638" w:rsidRPr="00CC3141" w:rsidRDefault="00131638" w:rsidP="005E5395">
      <w:pPr>
        <w:pStyle w:val="FootnoteText"/>
        <w:rPr>
          <w:sz w:val="18"/>
          <w:szCs w:val="18"/>
        </w:rPr>
      </w:pPr>
      <w:r>
        <w:rPr>
          <w:rStyle w:val="FootnoteReference"/>
        </w:rPr>
        <w:footnoteRef/>
      </w:r>
      <w:r>
        <w:t xml:space="preserve"> </w:t>
      </w:r>
      <w:r>
        <w:rPr>
          <w:sz w:val="18"/>
          <w:szCs w:val="18"/>
        </w:rPr>
        <w:t>Art. 38, R. S. N° 222544/2004.</w:t>
      </w:r>
    </w:p>
  </w:footnote>
  <w:footnote w:id="25">
    <w:p w14:paraId="02BE1222" w14:textId="77777777" w:rsidR="00131638" w:rsidRPr="00943042" w:rsidRDefault="00131638" w:rsidP="006F12B1">
      <w:pPr>
        <w:pStyle w:val="FootnoteText"/>
        <w:jc w:val="both"/>
        <w:rPr>
          <w:sz w:val="18"/>
          <w:szCs w:val="18"/>
        </w:rPr>
      </w:pPr>
      <w:r>
        <w:rPr>
          <w:rStyle w:val="FootnoteReference"/>
        </w:rPr>
        <w:footnoteRef/>
      </w:r>
      <w:r>
        <w:t xml:space="preserve"> </w:t>
      </w:r>
      <w:r>
        <w:rPr>
          <w:sz w:val="18"/>
          <w:szCs w:val="18"/>
        </w:rPr>
        <w:t xml:space="preserve">Caso de dineros desviados irregularmente desde el BSFP en las gestiones 200, 2001, 2002 hacia cuentas personales, mediante la creación de empresas fantasmas; también está el caso ocurrido en 2007 en que un operativo realizado por el ejército puso a disposición de la justicia a 3 policías por el presunto robo de estaño desde la empresa minera en que prestaban servicios. Arias, Patricia. Seguridad Privada en América Latina: el lucro y los dilemas de una regulación deficitaria. </w:t>
      </w:r>
      <w:proofErr w:type="spellStart"/>
      <w:r>
        <w:rPr>
          <w:sz w:val="18"/>
          <w:szCs w:val="18"/>
        </w:rPr>
        <w:t>Flacso</w:t>
      </w:r>
      <w:proofErr w:type="spellEnd"/>
      <w:r>
        <w:rPr>
          <w:sz w:val="18"/>
          <w:szCs w:val="18"/>
        </w:rPr>
        <w:t xml:space="preserve">-Chile 2008. pág. 34. </w:t>
      </w:r>
    </w:p>
  </w:footnote>
  <w:footnote w:id="26">
    <w:p w14:paraId="50CA5CDF" w14:textId="77777777" w:rsidR="00131638" w:rsidRPr="00A87EC7" w:rsidRDefault="00131638" w:rsidP="000F2B1E">
      <w:pPr>
        <w:pStyle w:val="FootnoteText"/>
        <w:jc w:val="both"/>
        <w:rPr>
          <w:sz w:val="18"/>
          <w:szCs w:val="18"/>
        </w:rPr>
      </w:pPr>
      <w:r>
        <w:rPr>
          <w:rStyle w:val="FootnoteReference"/>
        </w:rPr>
        <w:footnoteRef/>
      </w:r>
      <w:r>
        <w:t xml:space="preserve"> </w:t>
      </w:r>
      <w:r w:rsidRPr="004C0C37">
        <w:rPr>
          <w:sz w:val="18"/>
          <w:szCs w:val="18"/>
        </w:rPr>
        <w:t xml:space="preserve">Chile, dispone que los </w:t>
      </w:r>
      <w:r w:rsidRPr="00A87EC7">
        <w:rPr>
          <w:sz w:val="18"/>
          <w:szCs w:val="18"/>
        </w:rPr>
        <w:t xml:space="preserve">vigilantes privados </w:t>
      </w:r>
      <w:r>
        <w:rPr>
          <w:sz w:val="18"/>
          <w:szCs w:val="18"/>
        </w:rPr>
        <w:t xml:space="preserve">tendrán como único objeto la protección interior de los edificios, recintos, etc., a que den protección y desempeñarán sus funciones dentro del recinto o área </w:t>
      </w:r>
      <w:r w:rsidRPr="00A87EC7">
        <w:rPr>
          <w:sz w:val="18"/>
          <w:szCs w:val="18"/>
        </w:rPr>
        <w:t xml:space="preserve">que protejan, Art. 1°, D.L. N° 3.607. </w:t>
      </w:r>
    </w:p>
  </w:footnote>
  <w:footnote w:id="27">
    <w:p w14:paraId="7E59AB88" w14:textId="77777777" w:rsidR="00131638" w:rsidRDefault="00131638" w:rsidP="000E4155">
      <w:pPr>
        <w:pStyle w:val="FootnoteText"/>
      </w:pPr>
      <w:r>
        <w:rPr>
          <w:rStyle w:val="FootnoteReference"/>
        </w:rPr>
        <w:footnoteRef/>
      </w:r>
      <w:r>
        <w:t xml:space="preserve"> </w:t>
      </w:r>
      <w:r w:rsidRPr="004E460F">
        <w:rPr>
          <w:sz w:val="18"/>
          <w:szCs w:val="18"/>
          <w:lang w:val="es-ES"/>
        </w:rPr>
        <w:t xml:space="preserve">Art. 74, n° </w:t>
      </w:r>
      <w:r>
        <w:rPr>
          <w:sz w:val="18"/>
          <w:szCs w:val="18"/>
          <w:lang w:val="es-ES"/>
        </w:rPr>
        <w:t>6 y n° 12. Decreto 356/1994.</w:t>
      </w:r>
    </w:p>
  </w:footnote>
  <w:footnote w:id="28">
    <w:p w14:paraId="51166D0D" w14:textId="77777777" w:rsidR="00131638" w:rsidRPr="00F531CB" w:rsidRDefault="00131638" w:rsidP="008A5C4E">
      <w:pPr>
        <w:spacing w:after="0" w:line="240" w:lineRule="auto"/>
        <w:jc w:val="both"/>
        <w:rPr>
          <w:sz w:val="18"/>
          <w:szCs w:val="18"/>
          <w:lang w:val="es-ES"/>
        </w:rPr>
      </w:pPr>
      <w:r>
        <w:rPr>
          <w:rStyle w:val="FootnoteReference"/>
        </w:rPr>
        <w:footnoteRef/>
      </w:r>
      <w:r>
        <w:t xml:space="preserve"> </w:t>
      </w:r>
      <w:r>
        <w:rPr>
          <w:sz w:val="18"/>
          <w:szCs w:val="18"/>
        </w:rPr>
        <w:t xml:space="preserve">Art. 2, 2.3, </w:t>
      </w:r>
      <w:r w:rsidRPr="00E132F5">
        <w:rPr>
          <w:sz w:val="18"/>
          <w:szCs w:val="18"/>
          <w:lang w:val="es-ES"/>
        </w:rPr>
        <w:t>Decreto 275/</w:t>
      </w:r>
      <w:r>
        <w:rPr>
          <w:sz w:val="18"/>
          <w:szCs w:val="18"/>
          <w:lang w:val="es-ES"/>
        </w:rPr>
        <w:t>1999.</w:t>
      </w:r>
    </w:p>
  </w:footnote>
  <w:footnote w:id="29">
    <w:p w14:paraId="6462743F" w14:textId="77777777" w:rsidR="00131638" w:rsidRDefault="00131638" w:rsidP="000E4155">
      <w:pPr>
        <w:pStyle w:val="FootnoteText"/>
      </w:pPr>
      <w:r>
        <w:rPr>
          <w:rStyle w:val="FootnoteReference"/>
        </w:rPr>
        <w:footnoteRef/>
      </w:r>
      <w:r>
        <w:t xml:space="preserve"> </w:t>
      </w:r>
      <w:r w:rsidRPr="00F531CB">
        <w:rPr>
          <w:sz w:val="18"/>
          <w:szCs w:val="18"/>
        </w:rPr>
        <w:t>Art. 23, j. Ley N° 28.879/2006</w:t>
      </w:r>
    </w:p>
  </w:footnote>
  <w:footnote w:id="30">
    <w:p w14:paraId="30127DA3" w14:textId="77777777" w:rsidR="00131638" w:rsidRPr="004E58D4" w:rsidRDefault="00131638" w:rsidP="002733B3">
      <w:pPr>
        <w:pStyle w:val="FootnoteText"/>
        <w:rPr>
          <w:sz w:val="18"/>
          <w:szCs w:val="18"/>
        </w:rPr>
      </w:pPr>
      <w:r>
        <w:rPr>
          <w:rStyle w:val="FootnoteReference"/>
        </w:rPr>
        <w:footnoteRef/>
      </w:r>
      <w:r>
        <w:t xml:space="preserve"> </w:t>
      </w:r>
      <w:r>
        <w:rPr>
          <w:sz w:val="18"/>
          <w:szCs w:val="18"/>
          <w:lang w:val="es-ES"/>
        </w:rPr>
        <w:t>D</w:t>
      </w:r>
      <w:r w:rsidRPr="00E67286">
        <w:rPr>
          <w:sz w:val="18"/>
          <w:szCs w:val="18"/>
          <w:lang w:val="es-ES"/>
        </w:rPr>
        <w:t>e acuerdo a la Ley de Defensa Nacional</w:t>
      </w:r>
      <w:r>
        <w:rPr>
          <w:sz w:val="18"/>
          <w:szCs w:val="18"/>
          <w:lang w:val="es-ES"/>
        </w:rPr>
        <w:t>.</w:t>
      </w:r>
      <w:r>
        <w:rPr>
          <w:sz w:val="18"/>
          <w:szCs w:val="18"/>
        </w:rPr>
        <w:t xml:space="preserve"> Art. 3, Decreto N° 1181/2008. </w:t>
      </w:r>
    </w:p>
  </w:footnote>
  <w:footnote w:id="31">
    <w:p w14:paraId="506AAD81" w14:textId="77777777" w:rsidR="00131638" w:rsidRDefault="00131638" w:rsidP="005A41E1">
      <w:pPr>
        <w:pStyle w:val="FootnoteText"/>
        <w:jc w:val="both"/>
      </w:pPr>
      <w:r w:rsidRPr="002A6BED">
        <w:rPr>
          <w:rStyle w:val="FootnoteReference"/>
          <w:sz w:val="18"/>
          <w:szCs w:val="18"/>
        </w:rPr>
        <w:footnoteRef/>
      </w:r>
      <w:r w:rsidRPr="002A6BED">
        <w:rPr>
          <w:sz w:val="18"/>
          <w:szCs w:val="18"/>
        </w:rPr>
        <w:t xml:space="preserve"> </w:t>
      </w:r>
      <w:r w:rsidRPr="002A6BED">
        <w:rPr>
          <w:sz w:val="18"/>
          <w:szCs w:val="18"/>
          <w:lang w:val="es-ES"/>
        </w:rPr>
        <w:t>Subordinadas a las que realiza el Estado provincial; esto últ</w:t>
      </w:r>
      <w:r>
        <w:rPr>
          <w:sz w:val="18"/>
          <w:szCs w:val="18"/>
          <w:lang w:val="es-ES"/>
        </w:rPr>
        <w:t xml:space="preserve">imo señalado expresamente en la </w:t>
      </w:r>
      <w:r w:rsidRPr="002A6BED">
        <w:rPr>
          <w:sz w:val="18"/>
          <w:szCs w:val="18"/>
          <w:lang w:val="es-ES"/>
        </w:rPr>
        <w:t>norma de Buenos Aires, Art.1.</w:t>
      </w:r>
      <w:r w:rsidRPr="00774102">
        <w:rPr>
          <w:sz w:val="18"/>
          <w:szCs w:val="18"/>
        </w:rPr>
        <w:t xml:space="preserve"> </w:t>
      </w:r>
      <w:r>
        <w:rPr>
          <w:sz w:val="18"/>
          <w:szCs w:val="18"/>
        </w:rPr>
        <w:t>Ley N° 12.297/1999.</w:t>
      </w:r>
    </w:p>
  </w:footnote>
  <w:footnote w:id="32">
    <w:p w14:paraId="278F1F28" w14:textId="77777777" w:rsidR="00131638" w:rsidRPr="008937F4" w:rsidRDefault="00131638" w:rsidP="000E4155">
      <w:pPr>
        <w:pStyle w:val="FootnoteText"/>
        <w:rPr>
          <w:sz w:val="18"/>
          <w:szCs w:val="18"/>
        </w:rPr>
      </w:pPr>
      <w:r>
        <w:rPr>
          <w:rStyle w:val="FootnoteReference"/>
        </w:rPr>
        <w:footnoteRef/>
      </w:r>
      <w:r>
        <w:t xml:space="preserve"> </w:t>
      </w:r>
      <w:r>
        <w:rPr>
          <w:sz w:val="18"/>
          <w:szCs w:val="18"/>
        </w:rPr>
        <w:t>Art. 9, 10, 11. Ley N° 12.297/1999.</w:t>
      </w:r>
    </w:p>
  </w:footnote>
  <w:footnote w:id="33">
    <w:p w14:paraId="38AB0D96" w14:textId="77777777" w:rsidR="00131638" w:rsidRPr="00123295" w:rsidRDefault="00131638">
      <w:pPr>
        <w:pStyle w:val="FootnoteText"/>
        <w:rPr>
          <w:sz w:val="18"/>
          <w:szCs w:val="18"/>
        </w:rPr>
      </w:pPr>
      <w:r>
        <w:rPr>
          <w:rStyle w:val="FootnoteReference"/>
        </w:rPr>
        <w:footnoteRef/>
      </w:r>
      <w:r>
        <w:t xml:space="preserve"> </w:t>
      </w:r>
      <w:r>
        <w:rPr>
          <w:sz w:val="18"/>
          <w:szCs w:val="18"/>
        </w:rPr>
        <w:t>Art. 9. Decreto 1897/2002.</w:t>
      </w:r>
    </w:p>
  </w:footnote>
  <w:footnote w:id="34">
    <w:p w14:paraId="1534F4FC" w14:textId="77777777" w:rsidR="00131638" w:rsidRDefault="00131638">
      <w:pPr>
        <w:pStyle w:val="FootnoteText"/>
      </w:pPr>
      <w:r>
        <w:rPr>
          <w:rStyle w:val="FootnoteReference"/>
        </w:rPr>
        <w:footnoteRef/>
      </w:r>
      <w:r>
        <w:t xml:space="preserve"> </w:t>
      </w:r>
      <w:r>
        <w:rPr>
          <w:sz w:val="18"/>
          <w:szCs w:val="18"/>
          <w:lang w:val="es-ES"/>
        </w:rPr>
        <w:t>S</w:t>
      </w:r>
      <w:r w:rsidRPr="00A64155">
        <w:rPr>
          <w:sz w:val="18"/>
          <w:szCs w:val="18"/>
          <w:lang w:val="es-ES"/>
        </w:rPr>
        <w:t>iendo responsable de ello la autoridad que dispone la medida</w:t>
      </w:r>
      <w:r>
        <w:rPr>
          <w:sz w:val="18"/>
          <w:szCs w:val="18"/>
          <w:lang w:val="es-ES"/>
        </w:rPr>
        <w:t>.</w:t>
      </w:r>
      <w:r w:rsidRPr="00A64155">
        <w:rPr>
          <w:sz w:val="18"/>
          <w:szCs w:val="18"/>
          <w:lang w:val="es-ES"/>
        </w:rPr>
        <w:t xml:space="preserve"> Art. 34</w:t>
      </w:r>
      <w:r>
        <w:rPr>
          <w:sz w:val="18"/>
          <w:szCs w:val="18"/>
          <w:lang w:val="es-ES"/>
        </w:rPr>
        <w:t>, R. S. N</w:t>
      </w:r>
      <w:r w:rsidRPr="009127CB">
        <w:rPr>
          <w:sz w:val="18"/>
          <w:szCs w:val="18"/>
          <w:lang w:val="es-ES"/>
        </w:rPr>
        <w:t>° 222</w:t>
      </w:r>
      <w:r>
        <w:rPr>
          <w:sz w:val="18"/>
          <w:szCs w:val="18"/>
          <w:lang w:val="es-ES"/>
        </w:rPr>
        <w:t>.544/2004.</w:t>
      </w:r>
    </w:p>
  </w:footnote>
  <w:footnote w:id="35">
    <w:p w14:paraId="5D8DACDC" w14:textId="3CE8AA01" w:rsidR="00131638" w:rsidRDefault="00131638">
      <w:pPr>
        <w:pStyle w:val="FootnoteText"/>
      </w:pPr>
      <w:r>
        <w:rPr>
          <w:rStyle w:val="FootnoteReference"/>
        </w:rPr>
        <w:footnoteRef/>
      </w:r>
      <w:r>
        <w:t xml:space="preserve"> </w:t>
      </w:r>
      <w:r w:rsidRPr="000A674F">
        <w:rPr>
          <w:sz w:val="18"/>
          <w:szCs w:val="18"/>
        </w:rPr>
        <w:t>En los hechos, la</w:t>
      </w:r>
      <w:r>
        <w:rPr>
          <w:sz w:val="18"/>
          <w:szCs w:val="18"/>
        </w:rPr>
        <w:t>s posibilidades de cierta</w:t>
      </w:r>
      <w:r w:rsidRPr="000A674F">
        <w:rPr>
          <w:sz w:val="18"/>
          <w:szCs w:val="18"/>
        </w:rPr>
        <w:t xml:space="preserve"> colaboraci</w:t>
      </w:r>
      <w:r>
        <w:rPr>
          <w:sz w:val="18"/>
          <w:szCs w:val="18"/>
        </w:rPr>
        <w:t>ón dependen de la relación que las empresas de SP tengan con la Prefectura de policía correspondiente.</w:t>
      </w:r>
      <w:r>
        <w:t xml:space="preserve"> </w:t>
      </w:r>
    </w:p>
  </w:footnote>
  <w:footnote w:id="36">
    <w:p w14:paraId="2BA71195" w14:textId="77777777" w:rsidR="00131638" w:rsidRDefault="00131638" w:rsidP="00E4358B">
      <w:pPr>
        <w:pStyle w:val="FootnoteText"/>
        <w:jc w:val="both"/>
      </w:pPr>
      <w:r>
        <w:rPr>
          <w:rStyle w:val="FootnoteReference"/>
        </w:rPr>
        <w:footnoteRef/>
      </w:r>
      <w:r>
        <w:t xml:space="preserve"> </w:t>
      </w:r>
      <w:r>
        <w:rPr>
          <w:sz w:val="18"/>
          <w:szCs w:val="18"/>
        </w:rPr>
        <w:t>E</w:t>
      </w:r>
      <w:r w:rsidRPr="00943EB1">
        <w:rPr>
          <w:sz w:val="18"/>
          <w:szCs w:val="18"/>
        </w:rPr>
        <w:t xml:space="preserve">n el caso de los </w:t>
      </w:r>
      <w:r w:rsidRPr="00943EB1">
        <w:rPr>
          <w:i/>
          <w:sz w:val="18"/>
          <w:szCs w:val="18"/>
        </w:rPr>
        <w:t>vigilantes privados</w:t>
      </w:r>
      <w:r w:rsidRPr="00943EB1">
        <w:rPr>
          <w:sz w:val="18"/>
          <w:szCs w:val="18"/>
        </w:rPr>
        <w:t xml:space="preserve"> procede</w:t>
      </w:r>
      <w:r>
        <w:rPr>
          <w:sz w:val="18"/>
          <w:szCs w:val="18"/>
        </w:rPr>
        <w:t xml:space="preserve"> un Decreto Supremo firmado por el Ministerio</w:t>
      </w:r>
      <w:r w:rsidRPr="00943EB1">
        <w:rPr>
          <w:sz w:val="18"/>
          <w:szCs w:val="18"/>
        </w:rPr>
        <w:t xml:space="preserve"> del Interior y </w:t>
      </w:r>
      <w:r>
        <w:rPr>
          <w:sz w:val="18"/>
          <w:szCs w:val="18"/>
        </w:rPr>
        <w:t>Seguridad Pública, en nombre del Presidente de la República. El departamento OS10 de Carabineros ejerce el control en el territorio a través de las Prefecturas.</w:t>
      </w:r>
    </w:p>
  </w:footnote>
  <w:footnote w:id="37">
    <w:p w14:paraId="435A5726" w14:textId="77777777" w:rsidR="00131638" w:rsidRPr="00925A1B" w:rsidRDefault="00131638" w:rsidP="000E4155">
      <w:pPr>
        <w:pStyle w:val="FootnoteText"/>
        <w:rPr>
          <w:sz w:val="18"/>
          <w:szCs w:val="18"/>
        </w:rPr>
      </w:pPr>
      <w:r>
        <w:rPr>
          <w:rStyle w:val="FootnoteReference"/>
        </w:rPr>
        <w:footnoteRef/>
      </w:r>
      <w:r>
        <w:t xml:space="preserve"> </w:t>
      </w:r>
      <w:r>
        <w:rPr>
          <w:sz w:val="18"/>
          <w:szCs w:val="18"/>
        </w:rPr>
        <w:t>Art. 2, y Art. 3, 3-2. Decreto N° 275/1999.</w:t>
      </w:r>
    </w:p>
  </w:footnote>
  <w:footnote w:id="38">
    <w:p w14:paraId="7BCE145C" w14:textId="1CFBD2D1" w:rsidR="00131638" w:rsidRPr="00E64549" w:rsidRDefault="00131638" w:rsidP="0068180D">
      <w:pPr>
        <w:pStyle w:val="FootnoteText"/>
        <w:jc w:val="both"/>
        <w:rPr>
          <w:sz w:val="18"/>
          <w:szCs w:val="18"/>
        </w:rPr>
      </w:pPr>
      <w:r>
        <w:rPr>
          <w:rStyle w:val="FootnoteReference"/>
        </w:rPr>
        <w:footnoteRef/>
      </w:r>
      <w:r>
        <w:t xml:space="preserve"> </w:t>
      </w:r>
      <w:r w:rsidRPr="009E192B">
        <w:rPr>
          <w:sz w:val="18"/>
          <w:szCs w:val="18"/>
        </w:rPr>
        <w:t>Art.8, N°2, Ley N° 12.297</w:t>
      </w:r>
      <w:r>
        <w:rPr>
          <w:sz w:val="18"/>
          <w:szCs w:val="18"/>
        </w:rPr>
        <w:t xml:space="preserve">.  Las LeyeN°23.492, de Punto Final, y N° 23.521, de Obediencia Debida, que </w:t>
      </w:r>
      <w:r w:rsidRPr="0074387A">
        <w:rPr>
          <w:sz w:val="18"/>
          <w:szCs w:val="18"/>
        </w:rPr>
        <w:t xml:space="preserve">impedían la sanción de los crímenes de lesa humanidad cometidos por el Estado </w:t>
      </w:r>
      <w:r>
        <w:rPr>
          <w:sz w:val="18"/>
          <w:szCs w:val="18"/>
        </w:rPr>
        <w:t xml:space="preserve">durante la dictadura militar </w:t>
      </w:r>
      <w:r w:rsidRPr="0074387A">
        <w:rPr>
          <w:sz w:val="18"/>
          <w:szCs w:val="18"/>
        </w:rPr>
        <w:t>entre 1975 y 1983</w:t>
      </w:r>
      <w:r>
        <w:rPr>
          <w:sz w:val="18"/>
          <w:szCs w:val="18"/>
        </w:rPr>
        <w:t>, y beneficiaban a los militares involucrados en violaciones graves a los derechos humanos, fueron declaradas inconstitucionales por la Corte suprema en 2005.</w:t>
      </w:r>
    </w:p>
  </w:footnote>
  <w:footnote w:id="39">
    <w:p w14:paraId="2BEFF92C" w14:textId="77777777" w:rsidR="00131638" w:rsidRPr="00890F06" w:rsidRDefault="00131638" w:rsidP="0068180D">
      <w:pPr>
        <w:pStyle w:val="FootnoteText"/>
        <w:jc w:val="both"/>
        <w:rPr>
          <w:sz w:val="18"/>
          <w:szCs w:val="18"/>
        </w:rPr>
      </w:pPr>
      <w:r>
        <w:rPr>
          <w:rStyle w:val="FootnoteReference"/>
        </w:rPr>
        <w:footnoteRef/>
      </w:r>
      <w:r>
        <w:t xml:space="preserve"> </w:t>
      </w:r>
      <w:r>
        <w:rPr>
          <w:sz w:val="18"/>
          <w:szCs w:val="18"/>
        </w:rPr>
        <w:t>Ibídem.</w:t>
      </w:r>
    </w:p>
  </w:footnote>
  <w:footnote w:id="40">
    <w:p w14:paraId="3036C841" w14:textId="5E46D264" w:rsidR="00131638" w:rsidRDefault="00131638" w:rsidP="00CC1A81">
      <w:pPr>
        <w:pStyle w:val="FootnoteText"/>
      </w:pPr>
      <w:r>
        <w:rPr>
          <w:rStyle w:val="FootnoteReference"/>
        </w:rPr>
        <w:footnoteRef/>
      </w:r>
      <w:r>
        <w:t xml:space="preserve"> </w:t>
      </w:r>
      <w:r w:rsidRPr="00B35ACB">
        <w:rPr>
          <w:sz w:val="18"/>
          <w:szCs w:val="18"/>
        </w:rPr>
        <w:t>Art. 17, R.S. N° 222544/2004</w:t>
      </w:r>
      <w:r>
        <w:rPr>
          <w:sz w:val="18"/>
          <w:szCs w:val="18"/>
        </w:rPr>
        <w:t>.</w:t>
      </w:r>
    </w:p>
  </w:footnote>
  <w:footnote w:id="41">
    <w:p w14:paraId="40AD3317" w14:textId="77777777" w:rsidR="00131638" w:rsidRPr="00BB6AA1" w:rsidRDefault="00131638">
      <w:pPr>
        <w:pStyle w:val="FootnoteText"/>
        <w:rPr>
          <w:color w:val="FF0000"/>
          <w:sz w:val="18"/>
          <w:szCs w:val="18"/>
        </w:rPr>
      </w:pPr>
      <w:r>
        <w:rPr>
          <w:rStyle w:val="FootnoteReference"/>
        </w:rPr>
        <w:footnoteRef/>
      </w:r>
      <w:r>
        <w:t xml:space="preserve"> </w:t>
      </w:r>
      <w:r>
        <w:rPr>
          <w:sz w:val="18"/>
          <w:szCs w:val="18"/>
        </w:rPr>
        <w:t>Art. 26, R. S. N° 222544/2004.</w:t>
      </w:r>
    </w:p>
  </w:footnote>
  <w:footnote w:id="42">
    <w:p w14:paraId="4F8DCC27" w14:textId="576B9C25" w:rsidR="00131638" w:rsidRPr="001D2AE1" w:rsidRDefault="00131638">
      <w:pPr>
        <w:pStyle w:val="FootnoteText"/>
        <w:rPr>
          <w:sz w:val="18"/>
          <w:szCs w:val="18"/>
        </w:rPr>
      </w:pPr>
      <w:r>
        <w:rPr>
          <w:rStyle w:val="FootnoteReference"/>
        </w:rPr>
        <w:footnoteRef/>
      </w:r>
      <w:r>
        <w:t xml:space="preserve"> </w:t>
      </w:r>
      <w:r w:rsidRPr="001D2AE1">
        <w:rPr>
          <w:sz w:val="18"/>
          <w:szCs w:val="18"/>
        </w:rPr>
        <w:t>Artículo 17,</w:t>
      </w:r>
      <w:r>
        <w:rPr>
          <w:sz w:val="18"/>
          <w:szCs w:val="18"/>
        </w:rPr>
        <w:t xml:space="preserve"> Art. 31, </w:t>
      </w:r>
      <w:r w:rsidRPr="001D2AE1">
        <w:rPr>
          <w:sz w:val="18"/>
          <w:szCs w:val="18"/>
        </w:rPr>
        <w:t>Ley N° 7.102/1983</w:t>
      </w:r>
      <w:r>
        <w:rPr>
          <w:sz w:val="18"/>
          <w:szCs w:val="18"/>
        </w:rPr>
        <w:t>.</w:t>
      </w:r>
    </w:p>
  </w:footnote>
  <w:footnote w:id="43">
    <w:p w14:paraId="0DDDC2FF" w14:textId="77777777" w:rsidR="00131638" w:rsidRPr="009B4A2E" w:rsidRDefault="00131638">
      <w:pPr>
        <w:pStyle w:val="FootnoteText"/>
        <w:rPr>
          <w:sz w:val="18"/>
          <w:szCs w:val="18"/>
        </w:rPr>
      </w:pPr>
      <w:r>
        <w:rPr>
          <w:rStyle w:val="FootnoteReference"/>
        </w:rPr>
        <w:footnoteRef/>
      </w:r>
      <w:r>
        <w:t xml:space="preserve"> </w:t>
      </w:r>
      <w:r>
        <w:rPr>
          <w:sz w:val="18"/>
          <w:szCs w:val="18"/>
        </w:rPr>
        <w:t>Arts. 10 y 11 de la Ley N° 2003/12. Art. 12 del Reglamento, Decreto N° 1181/2008.</w:t>
      </w:r>
    </w:p>
  </w:footnote>
  <w:footnote w:id="44">
    <w:p w14:paraId="0F8E676A" w14:textId="77777777" w:rsidR="00131638" w:rsidRPr="006A69AC" w:rsidRDefault="00131638">
      <w:pPr>
        <w:pStyle w:val="FootnoteText"/>
        <w:rPr>
          <w:sz w:val="18"/>
          <w:szCs w:val="18"/>
        </w:rPr>
      </w:pPr>
      <w:r>
        <w:rPr>
          <w:rStyle w:val="FootnoteReference"/>
        </w:rPr>
        <w:footnoteRef/>
      </w:r>
      <w:r>
        <w:t xml:space="preserve"> </w:t>
      </w:r>
      <w:r>
        <w:rPr>
          <w:sz w:val="18"/>
          <w:szCs w:val="18"/>
        </w:rPr>
        <w:t>Art. 23, Decreto Supremo N° 1773/1994.</w:t>
      </w:r>
    </w:p>
  </w:footnote>
  <w:footnote w:id="45">
    <w:p w14:paraId="6521F884" w14:textId="77777777" w:rsidR="00131638" w:rsidRPr="00B57F72" w:rsidRDefault="00131638" w:rsidP="001B3940">
      <w:pPr>
        <w:pStyle w:val="FootnoteText"/>
        <w:rPr>
          <w:sz w:val="18"/>
          <w:szCs w:val="18"/>
        </w:rPr>
      </w:pPr>
      <w:r>
        <w:rPr>
          <w:rStyle w:val="FootnoteReference"/>
        </w:rPr>
        <w:footnoteRef/>
      </w:r>
      <w:r>
        <w:t xml:space="preserve"> </w:t>
      </w:r>
      <w:r w:rsidRPr="001B3940">
        <w:rPr>
          <w:sz w:val="18"/>
          <w:szCs w:val="18"/>
        </w:rPr>
        <w:t>Art. 4, n° 4 y n° 9. Decreto</w:t>
      </w:r>
      <w:r>
        <w:rPr>
          <w:sz w:val="18"/>
          <w:szCs w:val="18"/>
        </w:rPr>
        <w:t xml:space="preserve"> N° 2355/2006, por el cual se modifica la estructura de la Superintendencia de Vigilancia y Seguridad Privada y se dictan otras disposiciones.</w:t>
      </w:r>
    </w:p>
  </w:footnote>
  <w:footnote w:id="46">
    <w:p w14:paraId="6347C3D5" w14:textId="77777777" w:rsidR="00131638" w:rsidRPr="00C90A22" w:rsidRDefault="00131638">
      <w:pPr>
        <w:pStyle w:val="FootnoteText"/>
        <w:rPr>
          <w:sz w:val="18"/>
          <w:szCs w:val="18"/>
        </w:rPr>
      </w:pPr>
      <w:r>
        <w:rPr>
          <w:rStyle w:val="FootnoteReference"/>
        </w:rPr>
        <w:footnoteRef/>
      </w:r>
      <w:r>
        <w:t xml:space="preserve"> </w:t>
      </w:r>
      <w:r>
        <w:rPr>
          <w:sz w:val="18"/>
          <w:szCs w:val="18"/>
        </w:rPr>
        <w:t xml:space="preserve">Art. 9. </w:t>
      </w:r>
      <w:r w:rsidRPr="001B3940">
        <w:rPr>
          <w:sz w:val="18"/>
          <w:szCs w:val="18"/>
        </w:rPr>
        <w:t>Decreto</w:t>
      </w:r>
      <w:r>
        <w:rPr>
          <w:sz w:val="18"/>
          <w:szCs w:val="18"/>
        </w:rPr>
        <w:t xml:space="preserve"> N° 2355/2006.</w:t>
      </w:r>
    </w:p>
  </w:footnote>
  <w:footnote w:id="47">
    <w:p w14:paraId="5330A116" w14:textId="77777777" w:rsidR="00131638" w:rsidRDefault="00131638" w:rsidP="006B0E9E">
      <w:pPr>
        <w:pStyle w:val="FootnoteText"/>
      </w:pPr>
      <w:r>
        <w:rPr>
          <w:rStyle w:val="FootnoteReference"/>
        </w:rPr>
        <w:footnoteRef/>
      </w:r>
      <w:r>
        <w:t xml:space="preserve"> </w:t>
      </w:r>
      <w:r w:rsidRPr="00537A69">
        <w:rPr>
          <w:sz w:val="18"/>
          <w:szCs w:val="18"/>
        </w:rPr>
        <w:t>Art. 19, Ley N° 12.297.</w:t>
      </w:r>
    </w:p>
  </w:footnote>
  <w:footnote w:id="48">
    <w:p w14:paraId="0BA0B99D" w14:textId="77777777" w:rsidR="00131638" w:rsidRPr="006D7A22" w:rsidRDefault="00131638" w:rsidP="006B0E9E">
      <w:pPr>
        <w:pStyle w:val="FootnoteText"/>
        <w:rPr>
          <w:sz w:val="18"/>
          <w:szCs w:val="18"/>
        </w:rPr>
      </w:pPr>
      <w:r>
        <w:rPr>
          <w:rStyle w:val="FootnoteReference"/>
        </w:rPr>
        <w:footnoteRef/>
      </w:r>
      <w:r>
        <w:t xml:space="preserve"> </w:t>
      </w:r>
      <w:r>
        <w:rPr>
          <w:sz w:val="18"/>
          <w:szCs w:val="18"/>
        </w:rPr>
        <w:t>Título III, n° 4. Decreto N° 1897/2002.</w:t>
      </w:r>
    </w:p>
  </w:footnote>
  <w:footnote w:id="49">
    <w:p w14:paraId="2FFD6FBD" w14:textId="77777777" w:rsidR="00131638" w:rsidRPr="00770A64" w:rsidRDefault="00131638">
      <w:pPr>
        <w:pStyle w:val="FootnoteText"/>
        <w:rPr>
          <w:sz w:val="18"/>
          <w:szCs w:val="18"/>
        </w:rPr>
      </w:pPr>
      <w:r>
        <w:rPr>
          <w:rStyle w:val="FootnoteReference"/>
        </w:rPr>
        <w:footnoteRef/>
      </w:r>
      <w:r>
        <w:t xml:space="preserve"> </w:t>
      </w:r>
      <w:r>
        <w:rPr>
          <w:sz w:val="18"/>
          <w:szCs w:val="18"/>
        </w:rPr>
        <w:t>El Reglamento de Bolivia menciona la nacionalidad sólo cuando perm</w:t>
      </w:r>
      <w:r w:rsidRPr="00770A64">
        <w:rPr>
          <w:sz w:val="18"/>
          <w:szCs w:val="18"/>
        </w:rPr>
        <w:t>ite un máximo de 3 asesores extranjeros</w:t>
      </w:r>
      <w:r>
        <w:rPr>
          <w:sz w:val="18"/>
          <w:szCs w:val="18"/>
        </w:rPr>
        <w:t xml:space="preserve"> por empresa (exige certificado de antecedentes de INTERPOL). Art. 17, l.  R. S. N° 222544/2004.</w:t>
      </w:r>
    </w:p>
  </w:footnote>
  <w:footnote w:id="50">
    <w:p w14:paraId="28B465E0" w14:textId="77777777" w:rsidR="00131638" w:rsidRPr="00413332" w:rsidRDefault="00131638">
      <w:pPr>
        <w:pStyle w:val="FootnoteText"/>
        <w:rPr>
          <w:sz w:val="18"/>
          <w:szCs w:val="18"/>
        </w:rPr>
      </w:pPr>
      <w:r>
        <w:rPr>
          <w:rStyle w:val="FootnoteReference"/>
        </w:rPr>
        <w:footnoteRef/>
      </w:r>
      <w:r>
        <w:t xml:space="preserve"> </w:t>
      </w:r>
      <w:r>
        <w:rPr>
          <w:sz w:val="18"/>
          <w:szCs w:val="18"/>
        </w:rPr>
        <w:t>Art. 12, decreto N° 356/1994.</w:t>
      </w:r>
    </w:p>
  </w:footnote>
  <w:footnote w:id="51">
    <w:p w14:paraId="2BB50F67" w14:textId="77777777" w:rsidR="00131638" w:rsidRPr="00717C48" w:rsidRDefault="00131638">
      <w:pPr>
        <w:pStyle w:val="FootnoteText"/>
      </w:pPr>
      <w:r>
        <w:rPr>
          <w:rStyle w:val="FootnoteReference"/>
        </w:rPr>
        <w:footnoteRef/>
      </w:r>
      <w:r>
        <w:t xml:space="preserve"> </w:t>
      </w:r>
      <w:r>
        <w:rPr>
          <w:sz w:val="18"/>
          <w:szCs w:val="18"/>
        </w:rPr>
        <w:t xml:space="preserve">Art. 74, </w:t>
      </w:r>
      <w:proofErr w:type="spellStart"/>
      <w:r>
        <w:rPr>
          <w:sz w:val="18"/>
          <w:szCs w:val="18"/>
        </w:rPr>
        <w:t>Portaria</w:t>
      </w:r>
      <w:proofErr w:type="spellEnd"/>
      <w:r>
        <w:rPr>
          <w:sz w:val="18"/>
          <w:szCs w:val="18"/>
        </w:rPr>
        <w:t xml:space="preserve"> </w:t>
      </w:r>
      <w:r w:rsidRPr="00AF1CE8">
        <w:rPr>
          <w:sz w:val="18"/>
          <w:szCs w:val="18"/>
        </w:rPr>
        <w:t>N°</w:t>
      </w:r>
      <w:r>
        <w:rPr>
          <w:sz w:val="18"/>
          <w:szCs w:val="18"/>
        </w:rPr>
        <w:t xml:space="preserve"> 3233/2012.</w:t>
      </w:r>
    </w:p>
  </w:footnote>
  <w:footnote w:id="52">
    <w:p w14:paraId="5C1CB1C4" w14:textId="77777777" w:rsidR="00131638" w:rsidRPr="00C27D46" w:rsidRDefault="00131638" w:rsidP="009D7526">
      <w:pPr>
        <w:pStyle w:val="FootnoteText"/>
        <w:rPr>
          <w:sz w:val="18"/>
          <w:szCs w:val="18"/>
        </w:rPr>
      </w:pPr>
      <w:r>
        <w:rPr>
          <w:rStyle w:val="FootnoteReference"/>
        </w:rPr>
        <w:footnoteRef/>
      </w:r>
      <w:r>
        <w:t xml:space="preserve"> </w:t>
      </w:r>
      <w:r>
        <w:rPr>
          <w:sz w:val="18"/>
          <w:szCs w:val="18"/>
        </w:rPr>
        <w:t>Art. 18, c. y Art. 41, d. D. S. N° 003/2011.</w:t>
      </w:r>
    </w:p>
  </w:footnote>
  <w:footnote w:id="53">
    <w:p w14:paraId="60053603" w14:textId="5440DFE8" w:rsidR="00131638" w:rsidRDefault="00131638">
      <w:pPr>
        <w:pStyle w:val="FootnoteText"/>
      </w:pPr>
      <w:r>
        <w:rPr>
          <w:rStyle w:val="FootnoteReference"/>
        </w:rPr>
        <w:footnoteRef/>
      </w:r>
      <w:r>
        <w:t xml:space="preserve"> </w:t>
      </w:r>
      <w:r w:rsidRPr="0068180D">
        <w:rPr>
          <w:sz w:val="18"/>
          <w:szCs w:val="18"/>
        </w:rPr>
        <w:t>Art, 4 y 5, Ley N°</w:t>
      </w:r>
      <w:r>
        <w:rPr>
          <w:sz w:val="18"/>
          <w:szCs w:val="18"/>
        </w:rPr>
        <w:t xml:space="preserve"> 2003/02.</w:t>
      </w:r>
    </w:p>
  </w:footnote>
  <w:footnote w:id="54">
    <w:p w14:paraId="53DC93C1" w14:textId="77777777" w:rsidR="00131638" w:rsidRPr="00770A64" w:rsidRDefault="00131638">
      <w:pPr>
        <w:pStyle w:val="FootnoteText"/>
        <w:rPr>
          <w:sz w:val="18"/>
          <w:szCs w:val="18"/>
        </w:rPr>
      </w:pPr>
      <w:r w:rsidRPr="00770A64">
        <w:rPr>
          <w:rStyle w:val="FootnoteReference"/>
          <w:sz w:val="18"/>
          <w:szCs w:val="18"/>
        </w:rPr>
        <w:footnoteRef/>
      </w:r>
      <w:r>
        <w:rPr>
          <w:sz w:val="18"/>
          <w:szCs w:val="18"/>
        </w:rPr>
        <w:t xml:space="preserve"> Art. 6, 6.2, b. D</w:t>
      </w:r>
      <w:r w:rsidRPr="00770A64">
        <w:rPr>
          <w:sz w:val="18"/>
          <w:szCs w:val="18"/>
        </w:rPr>
        <w:t>ecreto N° 275/1999.</w:t>
      </w:r>
    </w:p>
  </w:footnote>
  <w:footnote w:id="55">
    <w:p w14:paraId="501D2E00" w14:textId="77777777" w:rsidR="00131638" w:rsidRDefault="00131638" w:rsidP="0088570A">
      <w:pPr>
        <w:pStyle w:val="FootnoteText"/>
      </w:pPr>
      <w:r>
        <w:rPr>
          <w:rStyle w:val="FootnoteReference"/>
        </w:rPr>
        <w:footnoteRef/>
      </w:r>
      <w:r>
        <w:t xml:space="preserve"> </w:t>
      </w:r>
      <w:r w:rsidRPr="005564C5">
        <w:rPr>
          <w:sz w:val="18"/>
          <w:szCs w:val="18"/>
        </w:rPr>
        <w:t>Art. 155, VIII, 4</w:t>
      </w:r>
      <w:r>
        <w:rPr>
          <w:sz w:val="18"/>
          <w:szCs w:val="18"/>
        </w:rPr>
        <w:t xml:space="preserve">. </w:t>
      </w:r>
      <w:proofErr w:type="spellStart"/>
      <w:r>
        <w:rPr>
          <w:sz w:val="18"/>
          <w:szCs w:val="18"/>
        </w:rPr>
        <w:t>Portaria</w:t>
      </w:r>
      <w:proofErr w:type="spellEnd"/>
      <w:r>
        <w:rPr>
          <w:sz w:val="18"/>
          <w:szCs w:val="18"/>
        </w:rPr>
        <w:t xml:space="preserve"> </w:t>
      </w:r>
      <w:r w:rsidRPr="00AF1CE8">
        <w:rPr>
          <w:sz w:val="18"/>
          <w:szCs w:val="18"/>
        </w:rPr>
        <w:t>N°</w:t>
      </w:r>
      <w:r>
        <w:rPr>
          <w:sz w:val="18"/>
          <w:szCs w:val="18"/>
        </w:rPr>
        <w:t xml:space="preserve"> 3233/2012.</w:t>
      </w:r>
    </w:p>
  </w:footnote>
  <w:footnote w:id="56">
    <w:p w14:paraId="0A7A9C81" w14:textId="2D48A510" w:rsidR="00131638" w:rsidRPr="000A674F" w:rsidRDefault="00131638" w:rsidP="0088570A">
      <w:pPr>
        <w:spacing w:after="0" w:line="240" w:lineRule="auto"/>
        <w:jc w:val="both"/>
      </w:pPr>
      <w:r>
        <w:rPr>
          <w:rStyle w:val="FootnoteReference"/>
        </w:rPr>
        <w:footnoteRef/>
      </w:r>
      <w:r>
        <w:t xml:space="preserve"> </w:t>
      </w:r>
      <w:r w:rsidRPr="00C84AE7">
        <w:rPr>
          <w:sz w:val="18"/>
          <w:szCs w:val="18"/>
        </w:rPr>
        <w:t xml:space="preserve">En primer lugar, aun cuando la verdad procesal haya establecido que se trató de un delito culposo -donde no se hacen excepciones, por ejemplo al caso de homicidio culposo-, la realidad de los hechos puede ser distinta, y la falta de cuidado necesario </w:t>
      </w:r>
      <w:r w:rsidRPr="000A674F">
        <w:rPr>
          <w:sz w:val="18"/>
          <w:szCs w:val="18"/>
        </w:rPr>
        <w:t>o negligencia denotar un estilo de conducta.</w:t>
      </w:r>
    </w:p>
  </w:footnote>
  <w:footnote w:id="57">
    <w:p w14:paraId="1CD2C6EC" w14:textId="56F125C9" w:rsidR="00131638" w:rsidRPr="008D35D0" w:rsidRDefault="00131638" w:rsidP="0088570A">
      <w:pPr>
        <w:pStyle w:val="FootnoteText"/>
        <w:jc w:val="both"/>
        <w:rPr>
          <w:sz w:val="18"/>
          <w:szCs w:val="18"/>
        </w:rPr>
      </w:pPr>
      <w:r w:rsidRPr="00684A35">
        <w:rPr>
          <w:rStyle w:val="FootnoteReference"/>
        </w:rPr>
        <w:footnoteRef/>
      </w:r>
      <w:r w:rsidRPr="00684A35">
        <w:t xml:space="preserve"> </w:t>
      </w:r>
      <w:r w:rsidRPr="00684A35">
        <w:rPr>
          <w:sz w:val="18"/>
          <w:szCs w:val="18"/>
        </w:rPr>
        <w:t xml:space="preserve">Sin embargo, se sanciona con multa a la empresa especializada que tenga en su nómina entre </w:t>
      </w:r>
      <w:proofErr w:type="gramStart"/>
      <w:r w:rsidRPr="00684A35">
        <w:rPr>
          <w:sz w:val="18"/>
          <w:szCs w:val="18"/>
        </w:rPr>
        <w:t>un 20% y 50% de vigilantes</w:t>
      </w:r>
      <w:proofErr w:type="gramEnd"/>
      <w:r w:rsidRPr="00684A35">
        <w:rPr>
          <w:sz w:val="18"/>
          <w:szCs w:val="18"/>
        </w:rPr>
        <w:t xml:space="preserve"> sin credencial (CNV) o esté vencida o no actualizada. Art. 170, n° 27. </w:t>
      </w:r>
      <w:proofErr w:type="spellStart"/>
      <w:r w:rsidRPr="00684A35">
        <w:rPr>
          <w:sz w:val="18"/>
          <w:szCs w:val="18"/>
        </w:rPr>
        <w:t>Portaria</w:t>
      </w:r>
      <w:proofErr w:type="spellEnd"/>
      <w:r w:rsidRPr="00684A35">
        <w:rPr>
          <w:sz w:val="18"/>
          <w:szCs w:val="18"/>
        </w:rPr>
        <w:t xml:space="preserve"> N° 3233/2012. Esto, termina debilitando el control que se intenta tener sobre este personal operativo al disponer los requisitos indicados en el art. 157.</w:t>
      </w:r>
    </w:p>
  </w:footnote>
  <w:footnote w:id="58">
    <w:p w14:paraId="5D261F34" w14:textId="77777777" w:rsidR="00131638" w:rsidRPr="00AD7446" w:rsidRDefault="00131638" w:rsidP="0088570A">
      <w:pPr>
        <w:pStyle w:val="FootnoteText"/>
        <w:rPr>
          <w:sz w:val="18"/>
          <w:szCs w:val="18"/>
        </w:rPr>
      </w:pPr>
      <w:r>
        <w:rPr>
          <w:rStyle w:val="FootnoteReference"/>
        </w:rPr>
        <w:footnoteRef/>
      </w:r>
      <w:r>
        <w:t xml:space="preserve"> </w:t>
      </w:r>
      <w:r>
        <w:rPr>
          <w:sz w:val="18"/>
          <w:szCs w:val="18"/>
        </w:rPr>
        <w:t xml:space="preserve">Art. 18, Ley N° 12.297/1999.   </w:t>
      </w:r>
    </w:p>
  </w:footnote>
  <w:footnote w:id="59">
    <w:p w14:paraId="1A87F512" w14:textId="77777777" w:rsidR="00131638" w:rsidRPr="00AD7446" w:rsidRDefault="00131638" w:rsidP="0088570A">
      <w:pPr>
        <w:pStyle w:val="FootnoteText"/>
        <w:rPr>
          <w:sz w:val="18"/>
          <w:szCs w:val="18"/>
        </w:rPr>
      </w:pPr>
      <w:r>
        <w:rPr>
          <w:rStyle w:val="FootnoteReference"/>
        </w:rPr>
        <w:footnoteRef/>
      </w:r>
      <w:r>
        <w:t xml:space="preserve"> </w:t>
      </w:r>
      <w:r>
        <w:rPr>
          <w:sz w:val="18"/>
          <w:szCs w:val="18"/>
        </w:rPr>
        <w:t>Art. 9, D. S. N° 93/85.</w:t>
      </w:r>
    </w:p>
  </w:footnote>
  <w:footnote w:id="60">
    <w:p w14:paraId="6CD16B95" w14:textId="77777777" w:rsidR="00131638" w:rsidRPr="00550246" w:rsidRDefault="00131638" w:rsidP="0068180D">
      <w:pPr>
        <w:pStyle w:val="FootnoteText"/>
        <w:jc w:val="both"/>
        <w:rPr>
          <w:sz w:val="18"/>
          <w:szCs w:val="18"/>
        </w:rPr>
      </w:pPr>
      <w:r>
        <w:rPr>
          <w:rStyle w:val="FootnoteReference"/>
        </w:rPr>
        <w:footnoteRef/>
      </w:r>
      <w:r>
        <w:t xml:space="preserve"> </w:t>
      </w:r>
      <w:r>
        <w:rPr>
          <w:sz w:val="18"/>
          <w:szCs w:val="18"/>
        </w:rPr>
        <w:t>S</w:t>
      </w:r>
      <w:r w:rsidRPr="00CF0705">
        <w:rPr>
          <w:sz w:val="18"/>
          <w:szCs w:val="18"/>
        </w:rPr>
        <w:t>o pena de las sanciones previstas en el Decreto 2266/1991</w:t>
      </w:r>
      <w:r>
        <w:rPr>
          <w:sz w:val="18"/>
          <w:szCs w:val="18"/>
        </w:rPr>
        <w:t xml:space="preserve"> (sobre actos terroristas y otros relacionados). Art. 63, decreto N° 365/1994. </w:t>
      </w:r>
    </w:p>
  </w:footnote>
  <w:footnote w:id="61">
    <w:p w14:paraId="39192E3D" w14:textId="77777777" w:rsidR="00131638" w:rsidRPr="00001AB5" w:rsidRDefault="00131638" w:rsidP="0068180D">
      <w:pPr>
        <w:pStyle w:val="FootnoteText"/>
        <w:jc w:val="both"/>
        <w:rPr>
          <w:sz w:val="18"/>
          <w:szCs w:val="18"/>
        </w:rPr>
      </w:pPr>
      <w:r>
        <w:rPr>
          <w:rStyle w:val="FootnoteReference"/>
        </w:rPr>
        <w:footnoteRef/>
      </w:r>
      <w:r>
        <w:t xml:space="preserve"> </w:t>
      </w:r>
      <w:r>
        <w:rPr>
          <w:sz w:val="18"/>
          <w:szCs w:val="18"/>
        </w:rPr>
        <w:t>Art. 74, Decreto N° 365/1994.</w:t>
      </w:r>
    </w:p>
  </w:footnote>
  <w:footnote w:id="62">
    <w:p w14:paraId="160F9E6C" w14:textId="77777777" w:rsidR="00131638" w:rsidRDefault="00131638" w:rsidP="0068180D">
      <w:pPr>
        <w:pStyle w:val="FootnoteText"/>
        <w:jc w:val="both"/>
      </w:pPr>
      <w:r>
        <w:rPr>
          <w:rStyle w:val="FootnoteReference"/>
        </w:rPr>
        <w:footnoteRef/>
      </w:r>
      <w:r>
        <w:t xml:space="preserve"> </w:t>
      </w:r>
      <w:r>
        <w:rPr>
          <w:sz w:val="18"/>
          <w:szCs w:val="18"/>
        </w:rPr>
        <w:t xml:space="preserve">Art. 21, Decreto N° 2974/1997.  </w:t>
      </w:r>
    </w:p>
  </w:footnote>
  <w:footnote w:id="63">
    <w:p w14:paraId="703D5AEA" w14:textId="77777777" w:rsidR="00131638" w:rsidRPr="008F1C19" w:rsidRDefault="00131638" w:rsidP="0068180D">
      <w:pPr>
        <w:pStyle w:val="FootnoteText"/>
        <w:jc w:val="both"/>
        <w:rPr>
          <w:sz w:val="18"/>
          <w:szCs w:val="18"/>
        </w:rPr>
      </w:pPr>
      <w:r>
        <w:rPr>
          <w:rStyle w:val="FootnoteReference"/>
        </w:rPr>
        <w:footnoteRef/>
      </w:r>
      <w:r>
        <w:t xml:space="preserve"> </w:t>
      </w:r>
      <w:r w:rsidRPr="00800A78">
        <w:rPr>
          <w:sz w:val="18"/>
          <w:szCs w:val="18"/>
        </w:rPr>
        <w:t>Para los investigadores pr</w:t>
      </w:r>
      <w:r>
        <w:rPr>
          <w:sz w:val="18"/>
          <w:szCs w:val="18"/>
        </w:rPr>
        <w:t>ivados son 480 horas en al menos</w:t>
      </w:r>
      <w:r w:rsidRPr="00800A78">
        <w:rPr>
          <w:sz w:val="18"/>
          <w:szCs w:val="18"/>
        </w:rPr>
        <w:t xml:space="preserve"> 6 meses. Art. 9, Decreto</w:t>
      </w:r>
      <w:r>
        <w:rPr>
          <w:sz w:val="18"/>
          <w:szCs w:val="18"/>
        </w:rPr>
        <w:t xml:space="preserve"> N° 1181/2008.</w:t>
      </w:r>
    </w:p>
  </w:footnote>
  <w:footnote w:id="64">
    <w:p w14:paraId="7CD5C05C" w14:textId="77777777" w:rsidR="00131638" w:rsidRPr="0040118B" w:rsidRDefault="00131638" w:rsidP="00BB5A98">
      <w:pPr>
        <w:pStyle w:val="FootnoteText"/>
        <w:jc w:val="both"/>
        <w:rPr>
          <w:sz w:val="18"/>
          <w:szCs w:val="18"/>
        </w:rPr>
      </w:pPr>
      <w:r>
        <w:rPr>
          <w:rStyle w:val="FootnoteReference"/>
        </w:rPr>
        <w:footnoteRef/>
      </w:r>
      <w:r>
        <w:t xml:space="preserve"> </w:t>
      </w:r>
      <w:r>
        <w:rPr>
          <w:sz w:val="18"/>
          <w:szCs w:val="18"/>
        </w:rPr>
        <w:t xml:space="preserve">Para vigilantes, transporte de valores, escolta armada, seguridad personal, con equipamiento letal y no letal, y grandes eventos. Art. 156, </w:t>
      </w:r>
      <w:proofErr w:type="spellStart"/>
      <w:r w:rsidRPr="00AF1CE8">
        <w:rPr>
          <w:sz w:val="18"/>
          <w:szCs w:val="18"/>
        </w:rPr>
        <w:t>Portaria</w:t>
      </w:r>
      <w:proofErr w:type="spellEnd"/>
      <w:r w:rsidRPr="00AF1CE8">
        <w:rPr>
          <w:sz w:val="18"/>
          <w:szCs w:val="18"/>
        </w:rPr>
        <w:t xml:space="preserve"> N°</w:t>
      </w:r>
      <w:r>
        <w:rPr>
          <w:sz w:val="18"/>
          <w:szCs w:val="18"/>
        </w:rPr>
        <w:t xml:space="preserve"> 3233/2012.</w:t>
      </w:r>
    </w:p>
  </w:footnote>
  <w:footnote w:id="65">
    <w:p w14:paraId="2F418548" w14:textId="6670631F" w:rsidR="00131638" w:rsidRPr="00AF1CE8" w:rsidRDefault="00131638" w:rsidP="0068180D">
      <w:pPr>
        <w:pStyle w:val="FootnoteText"/>
        <w:jc w:val="both"/>
        <w:rPr>
          <w:sz w:val="18"/>
          <w:szCs w:val="18"/>
        </w:rPr>
      </w:pPr>
      <w:r>
        <w:rPr>
          <w:rStyle w:val="FootnoteReference"/>
        </w:rPr>
        <w:footnoteRef/>
      </w:r>
      <w:r>
        <w:t xml:space="preserve"> </w:t>
      </w:r>
      <w:r>
        <w:rPr>
          <w:sz w:val="18"/>
          <w:szCs w:val="18"/>
        </w:rPr>
        <w:t>E</w:t>
      </w:r>
      <w:r w:rsidRPr="00234F7A">
        <w:rPr>
          <w:sz w:val="18"/>
          <w:szCs w:val="18"/>
        </w:rPr>
        <w:t xml:space="preserve">n Anexos </w:t>
      </w:r>
      <w:r>
        <w:rPr>
          <w:sz w:val="18"/>
          <w:szCs w:val="18"/>
        </w:rPr>
        <w:t>de</w:t>
      </w:r>
      <w:r w:rsidRPr="00234F7A">
        <w:rPr>
          <w:sz w:val="18"/>
          <w:szCs w:val="18"/>
        </w:rPr>
        <w:t xml:space="preserve"> la </w:t>
      </w:r>
      <w:proofErr w:type="spellStart"/>
      <w:r w:rsidRPr="00234F7A">
        <w:rPr>
          <w:sz w:val="18"/>
          <w:szCs w:val="18"/>
        </w:rPr>
        <w:t>Portaria</w:t>
      </w:r>
      <w:proofErr w:type="spellEnd"/>
      <w:r w:rsidRPr="00234F7A">
        <w:rPr>
          <w:sz w:val="18"/>
          <w:szCs w:val="18"/>
        </w:rPr>
        <w:t xml:space="preserve"> N° 3233</w:t>
      </w:r>
      <w:r>
        <w:rPr>
          <w:sz w:val="18"/>
          <w:szCs w:val="18"/>
        </w:rPr>
        <w:t xml:space="preserve">. </w:t>
      </w:r>
      <w:r w:rsidRPr="00AF1CE8">
        <w:rPr>
          <w:sz w:val="18"/>
          <w:szCs w:val="18"/>
        </w:rPr>
        <w:t>Art. 16, Ley N° 7.102</w:t>
      </w:r>
      <w:r>
        <w:rPr>
          <w:sz w:val="18"/>
          <w:szCs w:val="18"/>
        </w:rPr>
        <w:t xml:space="preserve">/1983. Art. </w:t>
      </w:r>
      <w:r w:rsidRPr="001746A3">
        <w:rPr>
          <w:sz w:val="18"/>
          <w:szCs w:val="18"/>
        </w:rPr>
        <w:t>Art 155, VI</w:t>
      </w:r>
      <w:r w:rsidRPr="00AF1CE8">
        <w:rPr>
          <w:sz w:val="18"/>
          <w:szCs w:val="18"/>
        </w:rPr>
        <w:t xml:space="preserve">, </w:t>
      </w:r>
      <w:proofErr w:type="spellStart"/>
      <w:r w:rsidRPr="00AF1CE8">
        <w:rPr>
          <w:sz w:val="18"/>
          <w:szCs w:val="18"/>
        </w:rPr>
        <w:t>Portaria</w:t>
      </w:r>
      <w:proofErr w:type="spellEnd"/>
      <w:r w:rsidRPr="00AF1CE8">
        <w:rPr>
          <w:sz w:val="18"/>
          <w:szCs w:val="18"/>
        </w:rPr>
        <w:t xml:space="preserve"> N°</w:t>
      </w:r>
      <w:r>
        <w:rPr>
          <w:sz w:val="18"/>
          <w:szCs w:val="18"/>
        </w:rPr>
        <w:t xml:space="preserve"> 3233/2012.</w:t>
      </w:r>
    </w:p>
  </w:footnote>
  <w:footnote w:id="66">
    <w:p w14:paraId="7FA2D85E" w14:textId="009784DE" w:rsidR="00131638" w:rsidRDefault="00131638" w:rsidP="0068180D">
      <w:pPr>
        <w:pStyle w:val="FootnoteText"/>
        <w:jc w:val="both"/>
      </w:pPr>
      <w:r>
        <w:rPr>
          <w:rStyle w:val="FootnoteReference"/>
        </w:rPr>
        <w:footnoteRef/>
      </w:r>
      <w:r>
        <w:t xml:space="preserve"> </w:t>
      </w:r>
      <w:r w:rsidRPr="009E192B">
        <w:rPr>
          <w:sz w:val="18"/>
          <w:szCs w:val="18"/>
        </w:rPr>
        <w:t>Ibídem</w:t>
      </w:r>
      <w:r>
        <w:t xml:space="preserve">. </w:t>
      </w:r>
      <w:r w:rsidRPr="009B0F6D">
        <w:rPr>
          <w:sz w:val="18"/>
          <w:szCs w:val="18"/>
        </w:rPr>
        <w:t>Anexo I, 1-e</w:t>
      </w:r>
      <w:r>
        <w:rPr>
          <w:sz w:val="18"/>
          <w:szCs w:val="18"/>
        </w:rPr>
        <w:t xml:space="preserve">. </w:t>
      </w:r>
    </w:p>
  </w:footnote>
  <w:footnote w:id="67">
    <w:p w14:paraId="25539DB7" w14:textId="468E9D84" w:rsidR="00131638" w:rsidRDefault="00131638" w:rsidP="0068180D">
      <w:pPr>
        <w:pStyle w:val="FootnoteText"/>
        <w:jc w:val="both"/>
      </w:pPr>
      <w:r>
        <w:rPr>
          <w:rStyle w:val="FootnoteReference"/>
        </w:rPr>
        <w:footnoteRef/>
      </w:r>
      <w:r>
        <w:t xml:space="preserve"> </w:t>
      </w:r>
      <w:r w:rsidRPr="009E192B">
        <w:rPr>
          <w:sz w:val="18"/>
          <w:szCs w:val="18"/>
        </w:rPr>
        <w:t xml:space="preserve">Ibídem. </w:t>
      </w:r>
      <w:r w:rsidRPr="00102471">
        <w:rPr>
          <w:sz w:val="18"/>
          <w:szCs w:val="18"/>
        </w:rPr>
        <w:t>Anexo</w:t>
      </w:r>
      <w:r w:rsidRPr="008D2B4C">
        <w:rPr>
          <w:sz w:val="18"/>
          <w:szCs w:val="18"/>
        </w:rPr>
        <w:t xml:space="preserve"> I, 4</w:t>
      </w:r>
      <w:r>
        <w:rPr>
          <w:sz w:val="18"/>
          <w:szCs w:val="18"/>
        </w:rPr>
        <w:t>-</w:t>
      </w:r>
      <w:r w:rsidRPr="008D2B4C">
        <w:rPr>
          <w:sz w:val="18"/>
          <w:szCs w:val="18"/>
        </w:rPr>
        <w:t>4.1.</w:t>
      </w:r>
    </w:p>
  </w:footnote>
  <w:footnote w:id="68">
    <w:p w14:paraId="13D629DC" w14:textId="77777777" w:rsidR="00131638" w:rsidRDefault="00131638" w:rsidP="008D35D0">
      <w:pPr>
        <w:pStyle w:val="FootnoteText"/>
        <w:jc w:val="both"/>
      </w:pPr>
      <w:r>
        <w:rPr>
          <w:rStyle w:val="FootnoteReference"/>
        </w:rPr>
        <w:footnoteRef/>
      </w:r>
      <w:r>
        <w:t xml:space="preserve"> </w:t>
      </w:r>
      <w:r w:rsidRPr="00BC5EBF">
        <w:rPr>
          <w:sz w:val="18"/>
          <w:szCs w:val="18"/>
          <w:lang w:val="es-ES"/>
        </w:rPr>
        <w:t xml:space="preserve">Art. 165, </w:t>
      </w:r>
      <w:proofErr w:type="spellStart"/>
      <w:r w:rsidRPr="00BC5EBF">
        <w:rPr>
          <w:sz w:val="18"/>
          <w:szCs w:val="18"/>
          <w:lang w:val="es-ES"/>
        </w:rPr>
        <w:t>Portaria</w:t>
      </w:r>
      <w:proofErr w:type="spellEnd"/>
      <w:r w:rsidRPr="00BC5EBF">
        <w:rPr>
          <w:sz w:val="18"/>
          <w:szCs w:val="18"/>
          <w:lang w:val="es-ES"/>
        </w:rPr>
        <w:t xml:space="preserve"> N° 3233/2012</w:t>
      </w:r>
      <w:r>
        <w:rPr>
          <w:sz w:val="18"/>
          <w:szCs w:val="18"/>
          <w:lang w:val="es-ES"/>
        </w:rPr>
        <w:t>.</w:t>
      </w:r>
    </w:p>
  </w:footnote>
  <w:footnote w:id="69">
    <w:p w14:paraId="1A108F20" w14:textId="77777777" w:rsidR="00131638" w:rsidRDefault="00131638" w:rsidP="007A4B70">
      <w:pPr>
        <w:autoSpaceDE w:val="0"/>
        <w:autoSpaceDN w:val="0"/>
        <w:adjustRightInd w:val="0"/>
        <w:spacing w:after="0" w:line="240" w:lineRule="auto"/>
        <w:jc w:val="both"/>
      </w:pPr>
      <w:r>
        <w:rPr>
          <w:rStyle w:val="FootnoteReference"/>
        </w:rPr>
        <w:footnoteRef/>
      </w:r>
      <w:r>
        <w:t xml:space="preserve"> </w:t>
      </w:r>
      <w:r w:rsidRPr="00D20E66">
        <w:rPr>
          <w:sz w:val="18"/>
          <w:szCs w:val="18"/>
          <w:lang w:val="es-ES"/>
        </w:rPr>
        <w:t xml:space="preserve">Art. 135, Ley N° 734 Orgánica de </w:t>
      </w:r>
      <w:r>
        <w:rPr>
          <w:sz w:val="18"/>
          <w:szCs w:val="18"/>
          <w:lang w:val="es-ES"/>
        </w:rPr>
        <w:t xml:space="preserve">la </w:t>
      </w:r>
      <w:r w:rsidRPr="00D20E66">
        <w:rPr>
          <w:sz w:val="18"/>
          <w:szCs w:val="18"/>
          <w:lang w:val="es-ES"/>
        </w:rPr>
        <w:t>Policía Nacional.</w:t>
      </w:r>
    </w:p>
  </w:footnote>
  <w:footnote w:id="70">
    <w:p w14:paraId="084F8CEE" w14:textId="72B9EF9D" w:rsidR="00131638" w:rsidRPr="00B96AAC" w:rsidRDefault="00131638" w:rsidP="008C3175">
      <w:pPr>
        <w:pStyle w:val="FootnoteText"/>
        <w:rPr>
          <w:sz w:val="18"/>
          <w:szCs w:val="18"/>
        </w:rPr>
      </w:pPr>
      <w:r w:rsidRPr="00B96AAC">
        <w:rPr>
          <w:rStyle w:val="FootnoteReference"/>
          <w:sz w:val="18"/>
          <w:szCs w:val="18"/>
        </w:rPr>
        <w:footnoteRef/>
      </w:r>
      <w:r w:rsidRPr="00B96AAC">
        <w:rPr>
          <w:sz w:val="18"/>
          <w:szCs w:val="18"/>
        </w:rPr>
        <w:t xml:space="preserve"> </w:t>
      </w:r>
      <w:proofErr w:type="spellStart"/>
      <w:r w:rsidRPr="00B96AAC">
        <w:rPr>
          <w:sz w:val="18"/>
          <w:szCs w:val="18"/>
        </w:rPr>
        <w:t>Op</w:t>
      </w:r>
      <w:proofErr w:type="spellEnd"/>
      <w:r w:rsidRPr="00B96AAC">
        <w:rPr>
          <w:sz w:val="18"/>
          <w:szCs w:val="18"/>
        </w:rPr>
        <w:t>. Cit. Art. 2, 2-2.</w:t>
      </w:r>
    </w:p>
  </w:footnote>
  <w:footnote w:id="71">
    <w:p w14:paraId="6EDE32D1" w14:textId="77777777" w:rsidR="00131638" w:rsidRDefault="00131638" w:rsidP="00297B9C">
      <w:pPr>
        <w:pStyle w:val="FootnoteText"/>
      </w:pPr>
      <w:r>
        <w:rPr>
          <w:rStyle w:val="FootnoteReference"/>
        </w:rPr>
        <w:footnoteRef/>
      </w:r>
      <w:r>
        <w:t xml:space="preserve"> </w:t>
      </w:r>
      <w:r w:rsidRPr="00286A81">
        <w:rPr>
          <w:sz w:val="18"/>
          <w:szCs w:val="18"/>
          <w:lang w:val="es-ES"/>
        </w:rPr>
        <w:t>A</w:t>
      </w:r>
      <w:r>
        <w:rPr>
          <w:sz w:val="18"/>
          <w:szCs w:val="18"/>
          <w:lang w:val="es-ES"/>
        </w:rPr>
        <w:t>rt. 24, c y Art. 28,</w:t>
      </w:r>
      <w:r w:rsidRPr="00286A81">
        <w:rPr>
          <w:sz w:val="18"/>
          <w:szCs w:val="18"/>
          <w:lang w:val="es-ES"/>
        </w:rPr>
        <w:t xml:space="preserve"> Ley N° 28.878/2006</w:t>
      </w:r>
      <w:r>
        <w:rPr>
          <w:sz w:val="18"/>
          <w:szCs w:val="18"/>
          <w:lang w:val="es-ES"/>
        </w:rPr>
        <w:t>.</w:t>
      </w:r>
    </w:p>
  </w:footnote>
  <w:footnote w:id="72">
    <w:p w14:paraId="5D506A25" w14:textId="77777777" w:rsidR="00131638" w:rsidRPr="00C14C27" w:rsidRDefault="00131638">
      <w:pPr>
        <w:pStyle w:val="FootnoteText"/>
        <w:rPr>
          <w:color w:val="FFFF00"/>
        </w:rPr>
      </w:pPr>
      <w:r>
        <w:rPr>
          <w:rStyle w:val="FootnoteReference"/>
        </w:rPr>
        <w:footnoteRef/>
      </w:r>
      <w:r>
        <w:t xml:space="preserve"> </w:t>
      </w:r>
      <w:r>
        <w:rPr>
          <w:sz w:val="18"/>
          <w:szCs w:val="18"/>
        </w:rPr>
        <w:t>D</w:t>
      </w:r>
      <w:r w:rsidRPr="00C14C27">
        <w:rPr>
          <w:sz w:val="18"/>
          <w:szCs w:val="18"/>
        </w:rPr>
        <w:t>isposición general N° 9</w:t>
      </w:r>
      <w:r>
        <w:rPr>
          <w:sz w:val="18"/>
          <w:szCs w:val="18"/>
        </w:rPr>
        <w:t>, Ley N° 2003/12.</w:t>
      </w:r>
    </w:p>
  </w:footnote>
  <w:footnote w:id="73">
    <w:p w14:paraId="7104EEC5" w14:textId="77777777" w:rsidR="00131638" w:rsidRPr="000D4D19" w:rsidRDefault="00131638">
      <w:pPr>
        <w:pStyle w:val="FootnoteText"/>
        <w:rPr>
          <w:sz w:val="18"/>
          <w:szCs w:val="18"/>
        </w:rPr>
      </w:pPr>
      <w:r>
        <w:rPr>
          <w:rStyle w:val="FootnoteReference"/>
        </w:rPr>
        <w:footnoteRef/>
      </w:r>
      <w:r>
        <w:t xml:space="preserve"> </w:t>
      </w:r>
      <w:r>
        <w:rPr>
          <w:sz w:val="18"/>
          <w:szCs w:val="18"/>
        </w:rPr>
        <w:t>Art. 73, y 74, n° 2. Decreto N° 356/1994.</w:t>
      </w:r>
    </w:p>
  </w:footnote>
  <w:footnote w:id="74">
    <w:p w14:paraId="4992712B" w14:textId="78C36977" w:rsidR="00131638" w:rsidRPr="0068180D" w:rsidRDefault="00131638">
      <w:pPr>
        <w:pStyle w:val="FootnoteText"/>
        <w:rPr>
          <w:sz w:val="18"/>
          <w:szCs w:val="18"/>
        </w:rPr>
      </w:pPr>
      <w:r>
        <w:rPr>
          <w:rStyle w:val="FootnoteReference"/>
        </w:rPr>
        <w:footnoteRef/>
      </w:r>
      <w:r>
        <w:t xml:space="preserve"> </w:t>
      </w:r>
      <w:r w:rsidRPr="0068180D">
        <w:rPr>
          <w:sz w:val="18"/>
          <w:szCs w:val="18"/>
        </w:rPr>
        <w:t>Art. 24,</w:t>
      </w:r>
      <w:r>
        <w:rPr>
          <w:sz w:val="18"/>
          <w:szCs w:val="18"/>
        </w:rPr>
        <w:t xml:space="preserve"> Ley N° 28.879.</w:t>
      </w:r>
    </w:p>
  </w:footnote>
  <w:footnote w:id="75">
    <w:p w14:paraId="6548F9E5" w14:textId="6482C6F9" w:rsidR="00131638" w:rsidRPr="000C33CE" w:rsidRDefault="00131638" w:rsidP="00730070">
      <w:pPr>
        <w:autoSpaceDE w:val="0"/>
        <w:autoSpaceDN w:val="0"/>
        <w:adjustRightInd w:val="0"/>
        <w:spacing w:after="0" w:line="240" w:lineRule="auto"/>
        <w:jc w:val="both"/>
        <w:rPr>
          <w:sz w:val="18"/>
          <w:szCs w:val="18"/>
          <w:lang w:val="es-ES"/>
        </w:rPr>
      </w:pPr>
      <w:r w:rsidRPr="00684A35">
        <w:rPr>
          <w:rStyle w:val="FootnoteReference"/>
        </w:rPr>
        <w:footnoteRef/>
      </w:r>
      <w:r w:rsidRPr="00684A35">
        <w:t xml:space="preserve"> </w:t>
      </w:r>
      <w:r w:rsidRPr="0068180D">
        <w:rPr>
          <w:sz w:val="18"/>
          <w:szCs w:val="18"/>
        </w:rPr>
        <w:t xml:space="preserve">Empresa </w:t>
      </w:r>
      <w:r>
        <w:rPr>
          <w:sz w:val="18"/>
          <w:szCs w:val="18"/>
          <w:lang w:val="es-ES"/>
        </w:rPr>
        <w:t>c</w:t>
      </w:r>
      <w:r w:rsidRPr="00684A35">
        <w:rPr>
          <w:sz w:val="18"/>
          <w:szCs w:val="18"/>
          <w:lang w:val="es-ES"/>
        </w:rPr>
        <w:t>reada en 1991 por personal retirado de las Fuerzas Armadas peruanas</w:t>
      </w:r>
      <w:r>
        <w:rPr>
          <w:sz w:val="18"/>
          <w:szCs w:val="18"/>
          <w:lang w:val="es-ES"/>
        </w:rPr>
        <w:t>,</w:t>
      </w:r>
      <w:r w:rsidRPr="00684A35">
        <w:rPr>
          <w:sz w:val="18"/>
          <w:szCs w:val="18"/>
          <w:lang w:val="es-ES"/>
        </w:rPr>
        <w:t xml:space="preserve"> especializado en la subversión y el espionaje, comprada por la transnacional SECURITAS, una de las más importantes en el mercado internacional</w:t>
      </w:r>
      <w:r>
        <w:rPr>
          <w:sz w:val="18"/>
          <w:szCs w:val="18"/>
          <w:lang w:val="es-ES"/>
        </w:rPr>
        <w:t>,</w:t>
      </w:r>
      <w:r w:rsidRPr="00684A35">
        <w:rPr>
          <w:sz w:val="18"/>
          <w:szCs w:val="18"/>
          <w:lang w:val="es-ES"/>
        </w:rPr>
        <w:t xml:space="preserve">  </w:t>
      </w:r>
      <w:r>
        <w:rPr>
          <w:sz w:val="18"/>
          <w:szCs w:val="18"/>
          <w:lang w:val="es-ES"/>
        </w:rPr>
        <w:t>L</w:t>
      </w:r>
      <w:r w:rsidRPr="00684A35">
        <w:rPr>
          <w:sz w:val="18"/>
          <w:szCs w:val="18"/>
          <w:lang w:val="es-ES"/>
        </w:rPr>
        <w:t xml:space="preserve">uego de estallados los escándalos por graves violaciones de derechos humanos en contra de comunidades campesinas en cuyos territorios las empresas Mineras </w:t>
      </w:r>
      <w:proofErr w:type="spellStart"/>
      <w:r w:rsidRPr="00684A35">
        <w:rPr>
          <w:sz w:val="18"/>
          <w:szCs w:val="18"/>
          <w:lang w:val="es-ES"/>
        </w:rPr>
        <w:t>Majaz</w:t>
      </w:r>
      <w:proofErr w:type="spellEnd"/>
      <w:r w:rsidRPr="00684A35">
        <w:rPr>
          <w:sz w:val="18"/>
          <w:szCs w:val="18"/>
          <w:lang w:val="es-ES"/>
        </w:rPr>
        <w:t xml:space="preserve"> y </w:t>
      </w:r>
      <w:proofErr w:type="spellStart"/>
      <w:r w:rsidRPr="00684A35">
        <w:rPr>
          <w:sz w:val="18"/>
          <w:szCs w:val="18"/>
          <w:lang w:val="es-ES"/>
        </w:rPr>
        <w:t>Yanacocha</w:t>
      </w:r>
      <w:proofErr w:type="spellEnd"/>
      <w:r w:rsidRPr="00684A35">
        <w:rPr>
          <w:sz w:val="18"/>
          <w:szCs w:val="18"/>
          <w:lang w:val="es-ES"/>
        </w:rPr>
        <w:t xml:space="preserve"> iniciaron sus operaciones -casos </w:t>
      </w:r>
      <w:proofErr w:type="spellStart"/>
      <w:r w:rsidRPr="00684A35">
        <w:rPr>
          <w:sz w:val="18"/>
          <w:szCs w:val="18"/>
          <w:lang w:val="es-ES"/>
        </w:rPr>
        <w:t>Majaz</w:t>
      </w:r>
      <w:proofErr w:type="spellEnd"/>
      <w:r w:rsidRPr="00684A35">
        <w:rPr>
          <w:sz w:val="18"/>
          <w:szCs w:val="18"/>
          <w:lang w:val="es-ES"/>
        </w:rPr>
        <w:t xml:space="preserve"> y GRUFIDES-, </w:t>
      </w:r>
      <w:r>
        <w:rPr>
          <w:sz w:val="18"/>
          <w:szCs w:val="18"/>
          <w:lang w:val="es-ES"/>
        </w:rPr>
        <w:t xml:space="preserve">la empresa se </w:t>
      </w:r>
      <w:r w:rsidRPr="00684A35">
        <w:rPr>
          <w:sz w:val="18"/>
          <w:szCs w:val="18"/>
          <w:lang w:val="es-ES"/>
        </w:rPr>
        <w:t>dedica</w:t>
      </w:r>
      <w:r>
        <w:rPr>
          <w:sz w:val="18"/>
          <w:szCs w:val="18"/>
          <w:lang w:val="es-ES"/>
        </w:rPr>
        <w:t>b</w:t>
      </w:r>
      <w:r w:rsidRPr="00684A35">
        <w:rPr>
          <w:sz w:val="18"/>
          <w:szCs w:val="18"/>
          <w:lang w:val="es-ES"/>
        </w:rPr>
        <w:t xml:space="preserve">a especialmente a dar seguridad al sector minero, energético e industrial. La Ley N° 28.879 fue promulgada en 2006, después de haberse iniciado los hechos de violaciones de derechos humanos en que la empresa estuvo involucrada incluso con participación de agentes de la policía. En el caso </w:t>
      </w:r>
      <w:proofErr w:type="spellStart"/>
      <w:r w:rsidRPr="00684A35">
        <w:rPr>
          <w:sz w:val="18"/>
          <w:szCs w:val="18"/>
          <w:lang w:val="es-ES"/>
        </w:rPr>
        <w:t>Bussines</w:t>
      </w:r>
      <w:proofErr w:type="spellEnd"/>
      <w:r w:rsidRPr="00684A35">
        <w:rPr>
          <w:sz w:val="18"/>
          <w:szCs w:val="18"/>
          <w:lang w:val="es-ES"/>
        </w:rPr>
        <w:t xml:space="preserve"> </w:t>
      </w:r>
      <w:proofErr w:type="spellStart"/>
      <w:r w:rsidRPr="00684A35">
        <w:rPr>
          <w:sz w:val="18"/>
          <w:szCs w:val="18"/>
          <w:lang w:val="es-ES"/>
        </w:rPr>
        <w:t>Track</w:t>
      </w:r>
      <w:proofErr w:type="spellEnd"/>
      <w:r w:rsidRPr="00684A35">
        <w:rPr>
          <w:sz w:val="18"/>
          <w:szCs w:val="18"/>
          <w:lang w:val="es-ES"/>
        </w:rPr>
        <w:t>, compañía registrada en 2004 con el objetivo de proveer servicios de contraespionaje e inteligencia, tales como la “limpieza de líneas telefónicas y suministro de sistemas de tecnologías de la información</w:t>
      </w:r>
      <w:r>
        <w:rPr>
          <w:sz w:val="18"/>
          <w:szCs w:val="18"/>
          <w:lang w:val="es-ES"/>
        </w:rPr>
        <w:t>,</w:t>
      </w:r>
      <w:r w:rsidRPr="00684A35">
        <w:rPr>
          <w:sz w:val="18"/>
          <w:szCs w:val="18"/>
          <w:lang w:val="es-ES"/>
        </w:rPr>
        <w:t xml:space="preserve"> en 2009 las autoridades peruanas arrestaron a directivos y empleados de Business </w:t>
      </w:r>
      <w:proofErr w:type="spellStart"/>
      <w:r w:rsidRPr="00684A35">
        <w:rPr>
          <w:sz w:val="18"/>
          <w:szCs w:val="18"/>
          <w:lang w:val="es-ES"/>
        </w:rPr>
        <w:t>Track</w:t>
      </w:r>
      <w:proofErr w:type="spellEnd"/>
      <w:r w:rsidRPr="00684A35">
        <w:rPr>
          <w:sz w:val="18"/>
          <w:szCs w:val="18"/>
          <w:lang w:val="es-ES"/>
        </w:rPr>
        <w:t xml:space="preserve"> bajo cargos de intervención ilegal de líneas telefónicas, instalación de equipos de escucha e interceptación de correos electrónicos en beneficio de terceros. En: </w:t>
      </w:r>
      <w:r w:rsidRPr="00684A35">
        <w:rPr>
          <w:sz w:val="18"/>
          <w:szCs w:val="18"/>
        </w:rPr>
        <w:t>Dialnet-LaExtraccionDeRecursosMinerosPorEmpresasExtranjera-3836257.pdf desdedialnet.unirioja.es</w:t>
      </w:r>
      <w:r w:rsidRPr="002C6585">
        <w:rPr>
          <w:sz w:val="18"/>
          <w:szCs w:val="18"/>
        </w:rPr>
        <w:t xml:space="preserve"> </w:t>
      </w:r>
      <w:hyperlink r:id="rId2" w:anchor="q=FORZA+y+el+esc%C3%A1ndalo+de+las+escuchas+ilegales+en+Per%C3%BA" w:history="1">
        <w:r w:rsidRPr="002C6585">
          <w:rPr>
            <w:rStyle w:val="Hyperlink"/>
            <w:sz w:val="18"/>
            <w:szCs w:val="18"/>
          </w:rPr>
          <w:t>https://www.google.cl/#q=FORZA+y+el+esc%C3%A1ndalo+de+las+escuchas+ilegales+en+Per%C3%BA</w:t>
        </w:r>
      </w:hyperlink>
    </w:p>
  </w:footnote>
  <w:footnote w:id="76">
    <w:p w14:paraId="3BA7A99F" w14:textId="77777777" w:rsidR="00131638" w:rsidRPr="00A26DDB" w:rsidRDefault="00131638" w:rsidP="007967E8">
      <w:pPr>
        <w:pStyle w:val="FootnoteText"/>
        <w:jc w:val="both"/>
        <w:rPr>
          <w:sz w:val="18"/>
          <w:szCs w:val="18"/>
        </w:rPr>
      </w:pPr>
      <w:r>
        <w:rPr>
          <w:rStyle w:val="FootnoteReference"/>
        </w:rPr>
        <w:footnoteRef/>
      </w:r>
      <w:r>
        <w:t xml:space="preserve"> </w:t>
      </w:r>
      <w:r>
        <w:rPr>
          <w:sz w:val="18"/>
          <w:szCs w:val="18"/>
        </w:rPr>
        <w:t>Art. 60, j. Reglamento de la Ley N° 28.879. Esta prohibición la agrega el reglamento de acuerdo a lo dispuesto en el Art. 24, h de la Ley N° 28.879, que entre las prohibiciones a las empresas establece “otras que determine el Reglamento”.</w:t>
      </w:r>
    </w:p>
  </w:footnote>
  <w:footnote w:id="77">
    <w:p w14:paraId="2A231407" w14:textId="77777777" w:rsidR="00131638" w:rsidRPr="001518D3" w:rsidRDefault="00131638" w:rsidP="001818CC">
      <w:pPr>
        <w:pStyle w:val="FootnoteText"/>
        <w:rPr>
          <w:sz w:val="18"/>
          <w:szCs w:val="18"/>
        </w:rPr>
      </w:pPr>
      <w:r>
        <w:rPr>
          <w:rStyle w:val="FootnoteReference"/>
        </w:rPr>
        <w:footnoteRef/>
      </w:r>
      <w:r>
        <w:t xml:space="preserve"> </w:t>
      </w:r>
      <w:r w:rsidRPr="00673A29">
        <w:rPr>
          <w:sz w:val="18"/>
          <w:szCs w:val="18"/>
        </w:rPr>
        <w:t>Ver definición de estos servicios en página 8, párrafo tercero. Art</w:t>
      </w:r>
      <w:r>
        <w:rPr>
          <w:sz w:val="18"/>
          <w:szCs w:val="18"/>
        </w:rPr>
        <w:t xml:space="preserve">. 22, Decreto N° 2974/1997.  </w:t>
      </w:r>
    </w:p>
  </w:footnote>
  <w:footnote w:id="78">
    <w:p w14:paraId="1EC40D2A" w14:textId="08183752" w:rsidR="00131638" w:rsidRPr="0067274F" w:rsidRDefault="00131638" w:rsidP="0023325D">
      <w:pPr>
        <w:pStyle w:val="FootnoteText"/>
        <w:jc w:val="both"/>
        <w:rPr>
          <w:sz w:val="18"/>
          <w:szCs w:val="18"/>
          <w:lang w:val="es-ES"/>
        </w:rPr>
      </w:pPr>
      <w:r>
        <w:rPr>
          <w:rStyle w:val="FootnoteReference"/>
        </w:rPr>
        <w:footnoteRef/>
      </w:r>
      <w:r>
        <w:t xml:space="preserve"> </w:t>
      </w:r>
      <w:r w:rsidRPr="0067274F">
        <w:rPr>
          <w:sz w:val="18"/>
          <w:szCs w:val="18"/>
          <w:lang w:val="es-ES"/>
        </w:rPr>
        <w:t>Art. 14, Ley 12.297</w:t>
      </w:r>
      <w:r>
        <w:rPr>
          <w:sz w:val="18"/>
          <w:szCs w:val="18"/>
          <w:lang w:val="es-ES"/>
        </w:rPr>
        <w:t xml:space="preserve">/1999. Similar situación en Uruguay, </w:t>
      </w:r>
      <w:r w:rsidRPr="0067274F">
        <w:rPr>
          <w:sz w:val="18"/>
          <w:szCs w:val="18"/>
          <w:lang w:val="es-ES"/>
        </w:rPr>
        <w:t>Art. 4. 4-2</w:t>
      </w:r>
      <w:r>
        <w:rPr>
          <w:sz w:val="18"/>
          <w:szCs w:val="18"/>
          <w:lang w:val="es-ES"/>
        </w:rPr>
        <w:t>.</w:t>
      </w:r>
      <w:r w:rsidRPr="0067274F">
        <w:rPr>
          <w:sz w:val="18"/>
          <w:szCs w:val="18"/>
          <w:lang w:val="es-ES"/>
        </w:rPr>
        <w:t>D</w:t>
      </w:r>
      <w:r>
        <w:rPr>
          <w:sz w:val="18"/>
          <w:szCs w:val="18"/>
          <w:lang w:val="es-ES"/>
        </w:rPr>
        <w:t>ecreto 275/1999.</w:t>
      </w:r>
    </w:p>
  </w:footnote>
  <w:footnote w:id="79">
    <w:p w14:paraId="6239B5B5" w14:textId="77777777" w:rsidR="00131638" w:rsidRPr="0030458B" w:rsidRDefault="00131638" w:rsidP="0030458B">
      <w:pPr>
        <w:autoSpaceDE w:val="0"/>
        <w:autoSpaceDN w:val="0"/>
        <w:adjustRightInd w:val="0"/>
        <w:spacing w:after="0" w:line="240" w:lineRule="auto"/>
        <w:jc w:val="both"/>
        <w:rPr>
          <w:sz w:val="18"/>
          <w:szCs w:val="18"/>
          <w:lang w:val="es-ES"/>
        </w:rPr>
      </w:pPr>
      <w:r>
        <w:rPr>
          <w:rStyle w:val="FootnoteReference"/>
        </w:rPr>
        <w:footnoteRef/>
      </w:r>
      <w:r>
        <w:t xml:space="preserve"> </w:t>
      </w:r>
      <w:r>
        <w:rPr>
          <w:sz w:val="18"/>
          <w:szCs w:val="18"/>
          <w:lang w:val="es-ES"/>
        </w:rPr>
        <w:t xml:space="preserve">Art. 4. 4-2, </w:t>
      </w:r>
      <w:r w:rsidRPr="0030458B">
        <w:rPr>
          <w:sz w:val="18"/>
          <w:szCs w:val="18"/>
          <w:lang w:val="es-ES"/>
        </w:rPr>
        <w:t>Decreto 275/1999</w:t>
      </w:r>
      <w:r>
        <w:rPr>
          <w:sz w:val="18"/>
          <w:szCs w:val="18"/>
          <w:lang w:val="es-ES"/>
        </w:rPr>
        <w:t xml:space="preserve">. </w:t>
      </w:r>
    </w:p>
  </w:footnote>
  <w:footnote w:id="80">
    <w:p w14:paraId="5AFCDC76" w14:textId="7DA5369D" w:rsidR="00131638" w:rsidRPr="0076057C" w:rsidRDefault="00131638">
      <w:pPr>
        <w:pStyle w:val="FootnoteText"/>
        <w:rPr>
          <w:sz w:val="18"/>
          <w:szCs w:val="18"/>
        </w:rPr>
      </w:pPr>
      <w:r>
        <w:rPr>
          <w:rStyle w:val="FootnoteReference"/>
        </w:rPr>
        <w:footnoteRef/>
      </w:r>
      <w:r>
        <w:t xml:space="preserve"> </w:t>
      </w:r>
      <w:r>
        <w:rPr>
          <w:sz w:val="18"/>
          <w:szCs w:val="18"/>
        </w:rPr>
        <w:t>El presidio menor va de 61 a 541 días. La empresa reclutaba y entrenaba a ex militares chilenos. El dueño de la empresa fue también inhabilitado a perpetuidad para ejercer cualquier función de la Ley de vigilantes privados.</w:t>
      </w:r>
    </w:p>
  </w:footnote>
  <w:footnote w:id="81">
    <w:p w14:paraId="3FC03CCC" w14:textId="77777777" w:rsidR="00131638" w:rsidRPr="003C76E9" w:rsidRDefault="00131638" w:rsidP="008B2522">
      <w:pPr>
        <w:spacing w:after="0"/>
        <w:jc w:val="both"/>
        <w:rPr>
          <w:sz w:val="18"/>
          <w:szCs w:val="18"/>
          <w:lang w:val="es-ES"/>
        </w:rPr>
      </w:pPr>
      <w:r>
        <w:rPr>
          <w:rStyle w:val="FootnoteReference"/>
        </w:rPr>
        <w:footnoteRef/>
      </w:r>
      <w:r>
        <w:t xml:space="preserve"> </w:t>
      </w:r>
      <w:r w:rsidRPr="004D25FC">
        <w:rPr>
          <w:sz w:val="18"/>
          <w:szCs w:val="18"/>
          <w:lang w:val="es-ES"/>
        </w:rPr>
        <w:t xml:space="preserve">Art. 141 </w:t>
      </w:r>
      <w:proofErr w:type="spellStart"/>
      <w:r w:rsidRPr="004D25FC">
        <w:rPr>
          <w:sz w:val="18"/>
          <w:szCs w:val="18"/>
          <w:lang w:val="es-ES"/>
        </w:rPr>
        <w:t>Treceter</w:t>
      </w:r>
      <w:proofErr w:type="spellEnd"/>
      <w:r>
        <w:rPr>
          <w:sz w:val="18"/>
          <w:szCs w:val="18"/>
          <w:lang w:val="es-ES"/>
        </w:rPr>
        <w:t>, Ley 400. Esta Ley vino a confirmar lo ya dispuesto en el</w:t>
      </w:r>
      <w:r w:rsidRPr="004D25FC">
        <w:rPr>
          <w:sz w:val="18"/>
          <w:szCs w:val="18"/>
          <w:lang w:val="es-ES"/>
        </w:rPr>
        <w:t xml:space="preserve"> Reglamento</w:t>
      </w:r>
      <w:r>
        <w:rPr>
          <w:sz w:val="18"/>
          <w:szCs w:val="18"/>
          <w:lang w:val="es-ES"/>
        </w:rPr>
        <w:t xml:space="preserve"> para empresas de seguridad privada, Resolución Suprema N° </w:t>
      </w:r>
      <w:r w:rsidRPr="004D25FC">
        <w:rPr>
          <w:sz w:val="18"/>
          <w:szCs w:val="18"/>
          <w:lang w:val="es-ES"/>
        </w:rPr>
        <w:t>222544</w:t>
      </w:r>
      <w:r>
        <w:rPr>
          <w:sz w:val="18"/>
          <w:szCs w:val="18"/>
          <w:lang w:val="es-ES"/>
        </w:rPr>
        <w:t xml:space="preserve"> de 2004</w:t>
      </w:r>
      <w:r w:rsidRPr="004D25FC">
        <w:rPr>
          <w:sz w:val="18"/>
          <w:szCs w:val="18"/>
          <w:lang w:val="es-ES"/>
        </w:rPr>
        <w:t>.</w:t>
      </w:r>
    </w:p>
  </w:footnote>
  <w:footnote w:id="82">
    <w:p w14:paraId="4CE93C38" w14:textId="77777777" w:rsidR="00131638" w:rsidRPr="003B4603" w:rsidRDefault="00131638">
      <w:pPr>
        <w:pStyle w:val="FootnoteText"/>
        <w:rPr>
          <w:sz w:val="18"/>
          <w:szCs w:val="18"/>
        </w:rPr>
      </w:pPr>
      <w:r>
        <w:rPr>
          <w:rStyle w:val="FootnoteReference"/>
        </w:rPr>
        <w:footnoteRef/>
      </w:r>
      <w:r>
        <w:t xml:space="preserve"> </w:t>
      </w:r>
      <w:r>
        <w:rPr>
          <w:sz w:val="18"/>
          <w:szCs w:val="18"/>
        </w:rPr>
        <w:t>Art. 33, Ley N° 12.297/1999.</w:t>
      </w:r>
    </w:p>
  </w:footnote>
  <w:footnote w:id="83">
    <w:p w14:paraId="2AB80F94" w14:textId="77777777" w:rsidR="00131638" w:rsidRDefault="00131638">
      <w:pPr>
        <w:pStyle w:val="FootnoteText"/>
      </w:pPr>
      <w:r>
        <w:rPr>
          <w:rStyle w:val="FootnoteReference"/>
        </w:rPr>
        <w:footnoteRef/>
      </w:r>
      <w:r>
        <w:t xml:space="preserve"> </w:t>
      </w:r>
      <w:r w:rsidRPr="003B4603">
        <w:rPr>
          <w:sz w:val="18"/>
          <w:szCs w:val="18"/>
          <w:lang w:val="es-ES"/>
        </w:rPr>
        <w:t>Art. 2 del Decreto 2187/2001</w:t>
      </w:r>
      <w:r>
        <w:rPr>
          <w:sz w:val="18"/>
          <w:szCs w:val="18"/>
          <w:lang w:val="es-ES"/>
        </w:rPr>
        <w:t>.</w:t>
      </w:r>
    </w:p>
  </w:footnote>
  <w:footnote w:id="84">
    <w:p w14:paraId="723A756F" w14:textId="77777777" w:rsidR="00131638" w:rsidRPr="004A1563" w:rsidRDefault="00131638" w:rsidP="004A1563">
      <w:pPr>
        <w:pStyle w:val="FootnoteText"/>
        <w:jc w:val="both"/>
      </w:pPr>
      <w:r>
        <w:rPr>
          <w:rStyle w:val="FootnoteReference"/>
        </w:rPr>
        <w:footnoteRef/>
      </w:r>
      <w:r>
        <w:t xml:space="preserve"> </w:t>
      </w:r>
      <w:r>
        <w:rPr>
          <w:sz w:val="18"/>
          <w:szCs w:val="18"/>
        </w:rPr>
        <w:t xml:space="preserve">Art. 164, </w:t>
      </w:r>
      <w:proofErr w:type="spellStart"/>
      <w:r w:rsidRPr="00BC5EBF">
        <w:rPr>
          <w:sz w:val="18"/>
          <w:szCs w:val="18"/>
          <w:lang w:val="es-ES"/>
        </w:rPr>
        <w:t>Portaria</w:t>
      </w:r>
      <w:proofErr w:type="spellEnd"/>
      <w:r w:rsidRPr="00BC5EBF">
        <w:rPr>
          <w:sz w:val="18"/>
          <w:szCs w:val="18"/>
          <w:lang w:val="es-ES"/>
        </w:rPr>
        <w:t xml:space="preserve"> N° 3233/2012</w:t>
      </w:r>
      <w:r>
        <w:rPr>
          <w:sz w:val="18"/>
          <w:szCs w:val="18"/>
          <w:lang w:val="es-ES"/>
        </w:rPr>
        <w:t>.</w:t>
      </w:r>
    </w:p>
  </w:footnote>
  <w:footnote w:id="85">
    <w:p w14:paraId="47B806E7" w14:textId="77777777" w:rsidR="00131638" w:rsidRPr="00A5738A" w:rsidRDefault="00131638">
      <w:pPr>
        <w:pStyle w:val="FootnoteText"/>
        <w:rPr>
          <w:sz w:val="18"/>
          <w:szCs w:val="18"/>
        </w:rPr>
      </w:pPr>
      <w:r>
        <w:rPr>
          <w:rStyle w:val="FootnoteReference"/>
        </w:rPr>
        <w:footnoteRef/>
      </w:r>
      <w:r>
        <w:t xml:space="preserve"> </w:t>
      </w:r>
      <w:r>
        <w:rPr>
          <w:sz w:val="18"/>
          <w:szCs w:val="18"/>
        </w:rPr>
        <w:t xml:space="preserve">Ley N° 2003/12, y Art. 4 n° 3 del </w:t>
      </w:r>
      <w:r w:rsidRPr="00A5738A">
        <w:rPr>
          <w:sz w:val="18"/>
          <w:szCs w:val="18"/>
        </w:rPr>
        <w:t>Decreto Ejecutivo No. 169. RO/ 32 de 27 de Marzo de 1997</w:t>
      </w:r>
      <w:r>
        <w:rPr>
          <w:sz w:val="18"/>
          <w:szCs w:val="18"/>
        </w:rPr>
        <w:t>. Reglamento a la Ley de armas, municiones, explosivos y accesorios.</w:t>
      </w:r>
    </w:p>
  </w:footnote>
  <w:footnote w:id="86">
    <w:p w14:paraId="79EDB530" w14:textId="77777777" w:rsidR="00131638" w:rsidRPr="00A5738A" w:rsidRDefault="00131638">
      <w:pPr>
        <w:pStyle w:val="FootnoteText"/>
        <w:rPr>
          <w:sz w:val="18"/>
          <w:szCs w:val="18"/>
        </w:rPr>
      </w:pPr>
      <w:r>
        <w:rPr>
          <w:rStyle w:val="FootnoteReference"/>
        </w:rPr>
        <w:footnoteRef/>
      </w:r>
      <w:r>
        <w:t xml:space="preserve"> </w:t>
      </w:r>
      <w:r>
        <w:rPr>
          <w:sz w:val="18"/>
          <w:szCs w:val="18"/>
        </w:rPr>
        <w:t>Art. 4, n° 3, Decreto N° 357</w:t>
      </w:r>
    </w:p>
  </w:footnote>
  <w:footnote w:id="87">
    <w:p w14:paraId="2F4CFA82" w14:textId="77777777" w:rsidR="00131638" w:rsidRPr="00A53BE5" w:rsidRDefault="00131638">
      <w:pPr>
        <w:pStyle w:val="FootnoteText"/>
        <w:rPr>
          <w:sz w:val="18"/>
          <w:szCs w:val="18"/>
        </w:rPr>
      </w:pPr>
      <w:r>
        <w:rPr>
          <w:rStyle w:val="FootnoteReference"/>
        </w:rPr>
        <w:footnoteRef/>
      </w:r>
      <w:r>
        <w:t xml:space="preserve"> </w:t>
      </w:r>
      <w:r>
        <w:rPr>
          <w:sz w:val="18"/>
          <w:szCs w:val="18"/>
        </w:rPr>
        <w:t>Art. 28, Ley N° 28.879.</w:t>
      </w:r>
    </w:p>
  </w:footnote>
  <w:footnote w:id="88">
    <w:p w14:paraId="373321AC" w14:textId="77777777" w:rsidR="00131638" w:rsidRPr="00C93182" w:rsidRDefault="00131638" w:rsidP="00366AFB">
      <w:pPr>
        <w:pStyle w:val="FootnoteText"/>
        <w:rPr>
          <w:sz w:val="18"/>
          <w:szCs w:val="18"/>
        </w:rPr>
      </w:pPr>
      <w:r>
        <w:rPr>
          <w:rStyle w:val="FootnoteReference"/>
        </w:rPr>
        <w:footnoteRef/>
      </w:r>
      <w:r>
        <w:t xml:space="preserve"> </w:t>
      </w:r>
      <w:r w:rsidRPr="00C93182">
        <w:rPr>
          <w:sz w:val="18"/>
          <w:szCs w:val="18"/>
        </w:rPr>
        <w:t xml:space="preserve">Para autorizar, el </w:t>
      </w:r>
      <w:r>
        <w:rPr>
          <w:sz w:val="18"/>
          <w:szCs w:val="18"/>
        </w:rPr>
        <w:t xml:space="preserve">Coordinador General de Control de Seguridad Privada, </w:t>
      </w:r>
      <w:r w:rsidRPr="00C93182">
        <w:rPr>
          <w:sz w:val="18"/>
          <w:szCs w:val="18"/>
        </w:rPr>
        <w:t xml:space="preserve">considerará las características estratégicas de su actividad o el interés nacional que revistan. Art. 114, </w:t>
      </w:r>
      <w:proofErr w:type="spellStart"/>
      <w:r w:rsidRPr="00C93182">
        <w:rPr>
          <w:sz w:val="18"/>
          <w:szCs w:val="18"/>
        </w:rPr>
        <w:t>Portaria</w:t>
      </w:r>
      <w:proofErr w:type="spellEnd"/>
      <w:r>
        <w:rPr>
          <w:sz w:val="18"/>
          <w:szCs w:val="18"/>
        </w:rPr>
        <w:t xml:space="preserve"> N° 3233/2012.</w:t>
      </w:r>
    </w:p>
  </w:footnote>
  <w:footnote w:id="89">
    <w:p w14:paraId="3F9F9229" w14:textId="77777777" w:rsidR="00131638" w:rsidRPr="001E14F5" w:rsidRDefault="00131638" w:rsidP="00366AFB">
      <w:pPr>
        <w:pStyle w:val="FootnoteText"/>
        <w:rPr>
          <w:sz w:val="18"/>
          <w:szCs w:val="18"/>
        </w:rPr>
      </w:pPr>
      <w:r>
        <w:rPr>
          <w:rStyle w:val="FootnoteReference"/>
        </w:rPr>
        <w:footnoteRef/>
      </w:r>
      <w:r>
        <w:t xml:space="preserve"> </w:t>
      </w:r>
      <w:r>
        <w:rPr>
          <w:sz w:val="18"/>
          <w:szCs w:val="18"/>
        </w:rPr>
        <w:t>Art. 5, f. Ley N° 17.798/1977, sobre control de armas.</w:t>
      </w:r>
    </w:p>
  </w:footnote>
  <w:footnote w:id="90">
    <w:p w14:paraId="67B6FE17" w14:textId="4BAE7E2B" w:rsidR="00131638" w:rsidRDefault="00131638" w:rsidP="00366AFB">
      <w:pPr>
        <w:spacing w:after="0" w:line="240" w:lineRule="auto"/>
        <w:jc w:val="both"/>
      </w:pPr>
      <w:r>
        <w:rPr>
          <w:rStyle w:val="FootnoteReference"/>
        </w:rPr>
        <w:footnoteRef/>
      </w:r>
      <w:r>
        <w:t xml:space="preserve"> </w:t>
      </w:r>
      <w:r w:rsidRPr="00A5199C">
        <w:rPr>
          <w:sz w:val="18"/>
          <w:szCs w:val="18"/>
          <w:lang w:val="es-ES"/>
        </w:rPr>
        <w:t>Art. 11,</w:t>
      </w:r>
      <w:r>
        <w:rPr>
          <w:sz w:val="18"/>
          <w:szCs w:val="18"/>
          <w:lang w:val="es-ES"/>
        </w:rPr>
        <w:t xml:space="preserve"> 18, 27,</w:t>
      </w:r>
      <w:r w:rsidRPr="00A5199C">
        <w:rPr>
          <w:sz w:val="18"/>
          <w:szCs w:val="18"/>
          <w:lang w:val="es-ES"/>
        </w:rPr>
        <w:t xml:space="preserve"> Decreto N° 356/1994.</w:t>
      </w:r>
      <w:r w:rsidRPr="008A41B0">
        <w:rPr>
          <w:sz w:val="18"/>
          <w:szCs w:val="18"/>
        </w:rPr>
        <w:t xml:space="preserve"> </w:t>
      </w:r>
    </w:p>
  </w:footnote>
  <w:footnote w:id="91">
    <w:p w14:paraId="723EB855" w14:textId="77777777" w:rsidR="00131638" w:rsidRPr="00A5199C" w:rsidRDefault="00131638" w:rsidP="00FE036B">
      <w:pPr>
        <w:pStyle w:val="FootnoteText"/>
        <w:jc w:val="both"/>
        <w:rPr>
          <w:sz w:val="18"/>
          <w:szCs w:val="18"/>
        </w:rPr>
      </w:pPr>
      <w:r>
        <w:rPr>
          <w:rStyle w:val="FootnoteReference"/>
        </w:rPr>
        <w:footnoteRef/>
      </w:r>
      <w:r>
        <w:t xml:space="preserve"> </w:t>
      </w:r>
      <w:r w:rsidRPr="00A5199C">
        <w:rPr>
          <w:sz w:val="18"/>
          <w:szCs w:val="18"/>
          <w:lang w:val="es-ES"/>
        </w:rPr>
        <w:t>Art.33, Decreto N° 2535/1993</w:t>
      </w:r>
      <w:r>
        <w:rPr>
          <w:sz w:val="18"/>
          <w:szCs w:val="18"/>
          <w:lang w:val="es-ES"/>
        </w:rPr>
        <w:t>, que expide normas sobre armas, municiones y explosivos. Distingue entre requisitos de tenencia y de porte, y para obtener la autorización de porte se deben cumplir los de tenencia en lo pertinente; también distingue requisitos para personas naturales y jurídicas. El artículo 34 señala requisitos que una persona natural puede ser autorizada a disponer de armas de uso restringido, siempre que justifique encontrarse en peligro de muerte o grave daño personal, por especiales circunstancias de su profesión, oficio, cargo o actividad económica que desempeña.</w:t>
      </w:r>
    </w:p>
  </w:footnote>
  <w:footnote w:id="92">
    <w:p w14:paraId="06787B92" w14:textId="5798268C" w:rsidR="00131638" w:rsidRPr="0068180D" w:rsidRDefault="00131638" w:rsidP="0068180D">
      <w:pPr>
        <w:pStyle w:val="FootnoteText"/>
        <w:jc w:val="both"/>
        <w:rPr>
          <w:sz w:val="18"/>
          <w:szCs w:val="18"/>
        </w:rPr>
      </w:pPr>
      <w:r>
        <w:rPr>
          <w:rStyle w:val="FootnoteReference"/>
        </w:rPr>
        <w:footnoteRef/>
      </w:r>
      <w:r>
        <w:t xml:space="preserve"> </w:t>
      </w:r>
      <w:r w:rsidRPr="0068180D">
        <w:rPr>
          <w:sz w:val="18"/>
          <w:szCs w:val="18"/>
        </w:rPr>
        <w:t>Pistolas y revólveres calibre máx.</w:t>
      </w:r>
      <w:r>
        <w:rPr>
          <w:sz w:val="18"/>
          <w:szCs w:val="18"/>
        </w:rPr>
        <w:t xml:space="preserve"> 9.652 </w:t>
      </w:r>
      <w:proofErr w:type="spellStart"/>
      <w:r>
        <w:rPr>
          <w:sz w:val="18"/>
          <w:szCs w:val="18"/>
        </w:rPr>
        <w:t>mm.</w:t>
      </w:r>
      <w:proofErr w:type="spellEnd"/>
      <w:r>
        <w:rPr>
          <w:sz w:val="18"/>
          <w:szCs w:val="18"/>
        </w:rPr>
        <w:t xml:space="preserve">, longitud máx. 6 pulgadas, pistolas por repetición o semiautomáticas; carabina calibre 22S, 22L, 22LR, no automáticas; escopetas con longitud máxima de cañón de 22 pulgadas. </w:t>
      </w:r>
      <w:r w:rsidRPr="0068180D">
        <w:rPr>
          <w:sz w:val="18"/>
          <w:szCs w:val="18"/>
        </w:rPr>
        <w:t xml:space="preserve"> Art. 11, Decreto N° 2535/1993.</w:t>
      </w:r>
      <w:r>
        <w:rPr>
          <w:sz w:val="18"/>
          <w:szCs w:val="18"/>
        </w:rPr>
        <w:t xml:space="preserve"> No pueden usar armas de guerra o uso privativo de la fuerza pública.</w:t>
      </w:r>
    </w:p>
  </w:footnote>
  <w:footnote w:id="93">
    <w:p w14:paraId="6B327802" w14:textId="77777777" w:rsidR="00131638" w:rsidRPr="00953967" w:rsidRDefault="00131638" w:rsidP="0068180D">
      <w:pPr>
        <w:pStyle w:val="FootnoteText"/>
        <w:jc w:val="both"/>
        <w:rPr>
          <w:sz w:val="18"/>
          <w:szCs w:val="18"/>
        </w:rPr>
      </w:pPr>
      <w:r>
        <w:rPr>
          <w:rStyle w:val="FootnoteReference"/>
        </w:rPr>
        <w:footnoteRef/>
      </w:r>
      <w:r>
        <w:t xml:space="preserve"> </w:t>
      </w:r>
      <w:r>
        <w:rPr>
          <w:sz w:val="18"/>
          <w:szCs w:val="18"/>
        </w:rPr>
        <w:t>Art. 9, Art. 10, Art. 77 a 82, Decreto N° 2535/1993, sobre armas, municiones y explosivos.</w:t>
      </w:r>
    </w:p>
  </w:footnote>
  <w:footnote w:id="94">
    <w:p w14:paraId="0A32CA8F" w14:textId="002B1ECD" w:rsidR="00131638" w:rsidRPr="0039123B" w:rsidRDefault="00131638" w:rsidP="0068180D">
      <w:pPr>
        <w:pStyle w:val="FootnoteText"/>
        <w:jc w:val="both"/>
        <w:rPr>
          <w:sz w:val="18"/>
          <w:szCs w:val="18"/>
        </w:rPr>
      </w:pPr>
      <w:r>
        <w:rPr>
          <w:rStyle w:val="FootnoteReference"/>
        </w:rPr>
        <w:footnoteRef/>
      </w:r>
      <w:r>
        <w:t xml:space="preserve"> </w:t>
      </w:r>
      <w:r>
        <w:rPr>
          <w:sz w:val="18"/>
          <w:szCs w:val="18"/>
        </w:rPr>
        <w:t>Art. 14, Ley N° 2003/12.</w:t>
      </w:r>
    </w:p>
  </w:footnote>
  <w:footnote w:id="95">
    <w:p w14:paraId="59917DBB" w14:textId="77777777" w:rsidR="00131638" w:rsidRPr="001E06AF" w:rsidRDefault="00131638" w:rsidP="002F5BB9">
      <w:pPr>
        <w:pStyle w:val="FootnoteText"/>
        <w:rPr>
          <w:sz w:val="18"/>
          <w:szCs w:val="18"/>
        </w:rPr>
      </w:pPr>
      <w:r>
        <w:rPr>
          <w:rStyle w:val="FootnoteReference"/>
        </w:rPr>
        <w:footnoteRef/>
      </w:r>
      <w:r>
        <w:t xml:space="preserve"> </w:t>
      </w:r>
      <w:r>
        <w:rPr>
          <w:sz w:val="18"/>
          <w:szCs w:val="18"/>
        </w:rPr>
        <w:t>Art. 16, Decreto N° 1181/2008.</w:t>
      </w:r>
    </w:p>
  </w:footnote>
  <w:footnote w:id="96">
    <w:p w14:paraId="3D914819" w14:textId="77777777" w:rsidR="00131638" w:rsidRPr="00BD638D" w:rsidRDefault="00131638">
      <w:pPr>
        <w:pStyle w:val="FootnoteText"/>
        <w:rPr>
          <w:sz w:val="18"/>
          <w:szCs w:val="18"/>
        </w:rPr>
      </w:pPr>
      <w:r>
        <w:rPr>
          <w:rStyle w:val="FootnoteReference"/>
        </w:rPr>
        <w:footnoteRef/>
      </w:r>
      <w:r>
        <w:t xml:space="preserve"> </w:t>
      </w:r>
      <w:r>
        <w:rPr>
          <w:sz w:val="18"/>
          <w:szCs w:val="18"/>
        </w:rPr>
        <w:t>Art. 30, Ley N° 12.297.</w:t>
      </w:r>
    </w:p>
  </w:footnote>
  <w:footnote w:id="97">
    <w:p w14:paraId="0987C6C5" w14:textId="77777777" w:rsidR="00131638" w:rsidRDefault="00131638">
      <w:pPr>
        <w:pStyle w:val="FootnoteText"/>
      </w:pPr>
      <w:r>
        <w:rPr>
          <w:rStyle w:val="FootnoteReference"/>
        </w:rPr>
        <w:footnoteRef/>
      </w:r>
      <w:r>
        <w:t xml:space="preserve"> </w:t>
      </w:r>
      <w:r w:rsidRPr="00490B80">
        <w:rPr>
          <w:sz w:val="18"/>
          <w:szCs w:val="18"/>
          <w:lang w:val="es-ES"/>
        </w:rPr>
        <w:t xml:space="preserve">Art, 4 decreto 1181 </w:t>
      </w:r>
      <w:r>
        <w:rPr>
          <w:sz w:val="18"/>
          <w:szCs w:val="18"/>
          <w:lang w:val="es-ES"/>
        </w:rPr>
        <w:t>de Ecuador, y A</w:t>
      </w:r>
      <w:r w:rsidRPr="00490B80">
        <w:rPr>
          <w:sz w:val="18"/>
          <w:szCs w:val="18"/>
          <w:lang w:val="es-ES"/>
        </w:rPr>
        <w:t>rt. 97, 2 D.L. 365</w:t>
      </w:r>
      <w:r>
        <w:rPr>
          <w:sz w:val="18"/>
          <w:szCs w:val="18"/>
          <w:lang w:val="es-ES"/>
        </w:rPr>
        <w:t xml:space="preserve"> de Colombia.</w:t>
      </w:r>
    </w:p>
  </w:footnote>
  <w:footnote w:id="98">
    <w:p w14:paraId="2B97F0AE" w14:textId="77777777" w:rsidR="00131638" w:rsidRPr="009F3175" w:rsidRDefault="00131638" w:rsidP="0020150B">
      <w:pPr>
        <w:pStyle w:val="FootnoteText"/>
        <w:rPr>
          <w:sz w:val="18"/>
          <w:szCs w:val="18"/>
        </w:rPr>
      </w:pPr>
      <w:r>
        <w:rPr>
          <w:rStyle w:val="FootnoteReference"/>
        </w:rPr>
        <w:footnoteRef/>
      </w:r>
      <w:r>
        <w:t xml:space="preserve"> </w:t>
      </w:r>
      <w:r w:rsidRPr="009F3175">
        <w:rPr>
          <w:sz w:val="18"/>
          <w:szCs w:val="18"/>
        </w:rPr>
        <w:t>Art. 41, Ley N° 12.297/1999.</w:t>
      </w:r>
    </w:p>
  </w:footnote>
  <w:footnote w:id="99">
    <w:p w14:paraId="38E12552" w14:textId="77777777" w:rsidR="00131638" w:rsidRPr="0070023C" w:rsidRDefault="00131638" w:rsidP="00806B7B">
      <w:pPr>
        <w:spacing w:after="0" w:line="240" w:lineRule="auto"/>
        <w:jc w:val="both"/>
        <w:rPr>
          <w:sz w:val="18"/>
          <w:szCs w:val="18"/>
        </w:rPr>
      </w:pPr>
      <w:r>
        <w:rPr>
          <w:rStyle w:val="FootnoteReference"/>
        </w:rPr>
        <w:footnoteRef/>
      </w:r>
      <w:r>
        <w:t xml:space="preserve"> </w:t>
      </w:r>
      <w:r w:rsidRPr="0070023C">
        <w:rPr>
          <w:rFonts w:cs="Arial"/>
          <w:sz w:val="18"/>
          <w:szCs w:val="18"/>
        </w:rPr>
        <w:t>La Ley de control de armas de Buenos Aires (N° 20.429, Art. 4) dispone que se consideran armas de uso civil “…</w:t>
      </w:r>
      <w:r w:rsidRPr="0070023C">
        <w:rPr>
          <w:rFonts w:eastAsia="Calibri" w:cs="Arial"/>
          <w:sz w:val="18"/>
          <w:szCs w:val="18"/>
        </w:rPr>
        <w:t xml:space="preserve">Armas de puño Pistolas: de repetición o semiautomáticas, hasta calibre 6,35 </w:t>
      </w:r>
      <w:proofErr w:type="spellStart"/>
      <w:r w:rsidRPr="0070023C">
        <w:rPr>
          <w:rFonts w:eastAsia="Calibri" w:cs="Arial"/>
          <w:sz w:val="18"/>
          <w:szCs w:val="18"/>
        </w:rPr>
        <w:t>mm.</w:t>
      </w:r>
      <w:proofErr w:type="spellEnd"/>
      <w:r w:rsidRPr="0070023C">
        <w:rPr>
          <w:rFonts w:eastAsia="Calibri" w:cs="Arial"/>
          <w:sz w:val="18"/>
          <w:szCs w:val="18"/>
        </w:rPr>
        <w:t xml:space="preserve"> (.25 pulgadas) inclusive: de carga tiro a tiro, hasta calibre 8.1 mm (.32 pulgadas) inclusive, con excepción de las de tipo magnum o similares Revólveres: hasta calibre 8,1 mm (.32 pulgadas) inclusive, con exclusión de los tipos Magnum o similares Pistolones de caza: de uno o dos cañones, de carga tiro a tiro, calibres 14,2 mm (28), 14mm (32) y 12 mm (36); (…). Los agresivos químicos contenidos en rociadores, </w:t>
      </w:r>
      <w:proofErr w:type="spellStart"/>
      <w:r w:rsidRPr="0070023C">
        <w:rPr>
          <w:rFonts w:eastAsia="Calibri" w:cs="Arial"/>
          <w:sz w:val="18"/>
          <w:szCs w:val="18"/>
        </w:rPr>
        <w:t>espolvoreadores</w:t>
      </w:r>
      <w:proofErr w:type="spellEnd"/>
      <w:r w:rsidRPr="0070023C">
        <w:rPr>
          <w:rFonts w:eastAsia="Calibri" w:cs="Arial"/>
          <w:sz w:val="18"/>
          <w:szCs w:val="18"/>
        </w:rPr>
        <w:t xml:space="preserve">, </w:t>
      </w:r>
      <w:proofErr w:type="spellStart"/>
      <w:r w:rsidRPr="0070023C">
        <w:rPr>
          <w:rFonts w:eastAsia="Calibri" w:cs="Arial"/>
          <w:sz w:val="18"/>
          <w:szCs w:val="18"/>
        </w:rPr>
        <w:t>gasificadores</w:t>
      </w:r>
      <w:proofErr w:type="spellEnd"/>
      <w:r w:rsidRPr="0070023C">
        <w:rPr>
          <w:rFonts w:eastAsia="Calibri" w:cs="Arial"/>
          <w:sz w:val="18"/>
          <w:szCs w:val="18"/>
        </w:rPr>
        <w:t xml:space="preserve"> o análogos, que solo producen efectos pasajeros en el organismo humano, sin llegar a provocar la pérdida del conocimiento y en recipientes de capacidad de hasta 500 </w:t>
      </w:r>
      <w:proofErr w:type="spellStart"/>
      <w:r w:rsidRPr="0070023C">
        <w:rPr>
          <w:rFonts w:eastAsia="Calibri" w:cs="Arial"/>
          <w:sz w:val="18"/>
          <w:szCs w:val="18"/>
        </w:rPr>
        <w:t>cc.</w:t>
      </w:r>
      <w:proofErr w:type="spellEnd"/>
      <w:r w:rsidRPr="0070023C">
        <w:rPr>
          <w:rFonts w:eastAsia="Calibri" w:cs="Arial"/>
          <w:sz w:val="18"/>
          <w:szCs w:val="18"/>
        </w:rPr>
        <w:t xml:space="preserve"> Las armas electrónicas que solo produzcan efectos pasajeros en el organismo humano y sin llegar a provocar la pérdida del conocimiento…”.</w:t>
      </w:r>
      <w:r>
        <w:rPr>
          <w:rFonts w:eastAsia="Calibri" w:cs="Arial"/>
          <w:sz w:val="18"/>
          <w:szCs w:val="18"/>
        </w:rPr>
        <w:t xml:space="preserve"> Art. 41, Ley N° 12.297.</w:t>
      </w:r>
    </w:p>
  </w:footnote>
  <w:footnote w:id="100">
    <w:p w14:paraId="306185A5" w14:textId="77777777" w:rsidR="00131638" w:rsidRDefault="00131638">
      <w:pPr>
        <w:pStyle w:val="FootnoteText"/>
      </w:pPr>
      <w:r>
        <w:rPr>
          <w:rStyle w:val="FootnoteReference"/>
        </w:rPr>
        <w:footnoteRef/>
      </w:r>
      <w:r>
        <w:t xml:space="preserve"> </w:t>
      </w:r>
      <w:r w:rsidRPr="007B2A72">
        <w:rPr>
          <w:sz w:val="18"/>
          <w:szCs w:val="18"/>
          <w:lang w:val="es-ES"/>
        </w:rPr>
        <w:t>Art 22</w:t>
      </w:r>
      <w:r>
        <w:t xml:space="preserve"> </w:t>
      </w:r>
      <w:r>
        <w:rPr>
          <w:sz w:val="18"/>
          <w:szCs w:val="18"/>
          <w:lang w:val="es-ES"/>
        </w:rPr>
        <w:t>Ley 17.102.</w:t>
      </w:r>
    </w:p>
  </w:footnote>
  <w:footnote w:id="101">
    <w:p w14:paraId="1D5267CB" w14:textId="686502AE" w:rsidR="00131638" w:rsidRPr="0068180D" w:rsidRDefault="00131638" w:rsidP="0068180D">
      <w:pPr>
        <w:pStyle w:val="FootnoteText"/>
        <w:jc w:val="both"/>
        <w:rPr>
          <w:sz w:val="18"/>
          <w:szCs w:val="18"/>
        </w:rPr>
      </w:pPr>
      <w:r>
        <w:rPr>
          <w:rStyle w:val="FootnoteReference"/>
        </w:rPr>
        <w:footnoteRef/>
      </w:r>
      <w:r>
        <w:t xml:space="preserve"> </w:t>
      </w:r>
      <w:r w:rsidRPr="0068180D">
        <w:rPr>
          <w:sz w:val="18"/>
          <w:szCs w:val="18"/>
        </w:rPr>
        <w:t>Adoptado por la Asamblea al en su resolución 34/169, de 17 de diciembre de 1979</w:t>
      </w:r>
      <w:r>
        <w:rPr>
          <w:sz w:val="18"/>
          <w:szCs w:val="18"/>
        </w:rPr>
        <w:t>.</w:t>
      </w:r>
    </w:p>
  </w:footnote>
  <w:footnote w:id="102">
    <w:p w14:paraId="2850D007" w14:textId="77777777" w:rsidR="00131638" w:rsidRPr="004D10C2" w:rsidRDefault="00131638" w:rsidP="0068180D">
      <w:pPr>
        <w:pStyle w:val="FootnoteText"/>
        <w:jc w:val="both"/>
        <w:rPr>
          <w:sz w:val="22"/>
          <w:szCs w:val="22"/>
        </w:rPr>
      </w:pPr>
      <w:r>
        <w:rPr>
          <w:rStyle w:val="FootnoteReference"/>
        </w:rPr>
        <w:footnoteRef/>
      </w:r>
      <w:r>
        <w:t xml:space="preserve"> </w:t>
      </w:r>
      <w:r w:rsidRPr="004D10C2">
        <w:rPr>
          <w:sz w:val="18"/>
          <w:szCs w:val="18"/>
        </w:rPr>
        <w:t>Art.24, b. Ley N°</w:t>
      </w:r>
      <w:r>
        <w:rPr>
          <w:sz w:val="18"/>
          <w:szCs w:val="18"/>
        </w:rPr>
        <w:t xml:space="preserve"> 28.879/2006.</w:t>
      </w:r>
    </w:p>
  </w:footnote>
  <w:footnote w:id="103">
    <w:p w14:paraId="7D474230" w14:textId="07671CEF" w:rsidR="00131638" w:rsidRPr="00366AFB" w:rsidRDefault="00131638" w:rsidP="0068180D">
      <w:pPr>
        <w:pStyle w:val="FootnoteText"/>
        <w:jc w:val="both"/>
        <w:rPr>
          <w:sz w:val="18"/>
          <w:szCs w:val="18"/>
        </w:rPr>
      </w:pPr>
      <w:r>
        <w:rPr>
          <w:rStyle w:val="FootnoteReference"/>
        </w:rPr>
        <w:footnoteRef/>
      </w:r>
      <w:r>
        <w:t xml:space="preserve"> </w:t>
      </w:r>
      <w:r w:rsidRPr="0070023C">
        <w:rPr>
          <w:sz w:val="18"/>
          <w:szCs w:val="18"/>
        </w:rPr>
        <w:t>Decreto Ley 2535, artículo 27, clasifica las armas en a) Armas de guerra o de uso privativo de la Fuerza Pública; b) Armas de uso restringido; c) Armas de uso civil.</w:t>
      </w:r>
    </w:p>
  </w:footnote>
  <w:footnote w:id="104">
    <w:p w14:paraId="31C32B57" w14:textId="77777777" w:rsidR="00131638" w:rsidRPr="000B4123" w:rsidRDefault="00131638" w:rsidP="000B4123">
      <w:pPr>
        <w:pStyle w:val="FootnoteText"/>
        <w:rPr>
          <w:sz w:val="18"/>
          <w:szCs w:val="18"/>
        </w:rPr>
      </w:pPr>
      <w:r>
        <w:rPr>
          <w:rStyle w:val="FootnoteReference"/>
        </w:rPr>
        <w:footnoteRef/>
      </w:r>
      <w:r>
        <w:t xml:space="preserve"> </w:t>
      </w:r>
      <w:r>
        <w:rPr>
          <w:sz w:val="18"/>
          <w:szCs w:val="18"/>
        </w:rPr>
        <w:t xml:space="preserve">Art. 27 y Art. 43, </w:t>
      </w:r>
      <w:r w:rsidRPr="000B4123">
        <w:rPr>
          <w:sz w:val="18"/>
          <w:szCs w:val="18"/>
        </w:rPr>
        <w:t>Decreto 1.897/2002</w:t>
      </w:r>
      <w:r>
        <w:rPr>
          <w:sz w:val="18"/>
          <w:szCs w:val="18"/>
        </w:rPr>
        <w:t>.</w:t>
      </w:r>
    </w:p>
  </w:footnote>
  <w:footnote w:id="105">
    <w:p w14:paraId="276284D8" w14:textId="77777777" w:rsidR="00131638" w:rsidRPr="000B4123" w:rsidRDefault="00131638">
      <w:pPr>
        <w:pStyle w:val="FootnoteText"/>
        <w:rPr>
          <w:sz w:val="18"/>
          <w:szCs w:val="18"/>
        </w:rPr>
      </w:pPr>
      <w:r>
        <w:rPr>
          <w:rStyle w:val="FootnoteReference"/>
        </w:rPr>
        <w:footnoteRef/>
      </w:r>
      <w:r>
        <w:t xml:space="preserve"> </w:t>
      </w:r>
      <w:r>
        <w:rPr>
          <w:sz w:val="18"/>
          <w:szCs w:val="18"/>
        </w:rPr>
        <w:t>Art. 41, Ley N° 12.297.</w:t>
      </w:r>
    </w:p>
  </w:footnote>
  <w:footnote w:id="106">
    <w:p w14:paraId="098F1CF3" w14:textId="77777777" w:rsidR="00131638" w:rsidRDefault="00131638">
      <w:pPr>
        <w:pStyle w:val="FootnoteText"/>
      </w:pPr>
      <w:r>
        <w:rPr>
          <w:rStyle w:val="FootnoteReference"/>
        </w:rPr>
        <w:footnoteRef/>
      </w:r>
      <w:r>
        <w:t xml:space="preserve"> </w:t>
      </w:r>
      <w:r w:rsidRPr="009449B3">
        <w:rPr>
          <w:sz w:val="18"/>
          <w:szCs w:val="18"/>
        </w:rPr>
        <w:t>Art. 20 Ley, 25 del Reglamento N° 1181/2008</w:t>
      </w:r>
      <w:r>
        <w:rPr>
          <w:sz w:val="18"/>
          <w:szCs w:val="18"/>
        </w:rPr>
        <w:t>.</w:t>
      </w:r>
    </w:p>
  </w:footnote>
  <w:footnote w:id="107">
    <w:p w14:paraId="52565EE2" w14:textId="77777777" w:rsidR="00131638" w:rsidRPr="00F2661C" w:rsidRDefault="00131638">
      <w:pPr>
        <w:pStyle w:val="FootnoteText"/>
        <w:rPr>
          <w:sz w:val="18"/>
          <w:szCs w:val="18"/>
        </w:rPr>
      </w:pPr>
      <w:r>
        <w:rPr>
          <w:rStyle w:val="FootnoteReference"/>
        </w:rPr>
        <w:footnoteRef/>
      </w:r>
      <w:r>
        <w:t xml:space="preserve"> </w:t>
      </w:r>
      <w:r>
        <w:rPr>
          <w:sz w:val="18"/>
          <w:szCs w:val="18"/>
        </w:rPr>
        <w:t>Art. 72 y Art. 74, 2. Decreto N° 365/1994.</w:t>
      </w:r>
    </w:p>
  </w:footnote>
  <w:footnote w:id="108">
    <w:p w14:paraId="5682DE50" w14:textId="77777777" w:rsidR="00131638" w:rsidRDefault="00131638" w:rsidP="00296100">
      <w:pPr>
        <w:pStyle w:val="FootnoteText"/>
        <w:jc w:val="both"/>
      </w:pPr>
      <w:r>
        <w:rPr>
          <w:rStyle w:val="FootnoteReference"/>
        </w:rPr>
        <w:footnoteRef/>
      </w:r>
      <w:r>
        <w:t xml:space="preserve"> </w:t>
      </w:r>
      <w:r w:rsidRPr="00C71EB7">
        <w:rPr>
          <w:sz w:val="18"/>
          <w:szCs w:val="18"/>
        </w:rPr>
        <w:t>Art. 74, n° 16, 21, 29</w:t>
      </w:r>
      <w:r>
        <w:rPr>
          <w:sz w:val="18"/>
          <w:szCs w:val="18"/>
        </w:rPr>
        <w:t>, decreto N° 356/1994.</w:t>
      </w:r>
    </w:p>
  </w:footnote>
  <w:footnote w:id="109">
    <w:p w14:paraId="75979793" w14:textId="77777777" w:rsidR="00131638" w:rsidRPr="00A22203" w:rsidRDefault="00131638" w:rsidP="00296100">
      <w:pPr>
        <w:pStyle w:val="FootnoteText"/>
        <w:jc w:val="both"/>
        <w:rPr>
          <w:sz w:val="18"/>
          <w:szCs w:val="18"/>
        </w:rPr>
      </w:pPr>
      <w:r>
        <w:rPr>
          <w:rStyle w:val="FootnoteReference"/>
        </w:rPr>
        <w:footnoteRef/>
      </w:r>
      <w:r>
        <w:t xml:space="preserve"> </w:t>
      </w:r>
      <w:r>
        <w:rPr>
          <w:sz w:val="18"/>
          <w:szCs w:val="18"/>
        </w:rPr>
        <w:t>Art. 6, n° 2-e. Decreto N° 2974/1997.</w:t>
      </w:r>
    </w:p>
  </w:footnote>
  <w:footnote w:id="110">
    <w:p w14:paraId="539ECD8D" w14:textId="77777777" w:rsidR="00131638" w:rsidRPr="004A51DB" w:rsidRDefault="00131638" w:rsidP="00296100">
      <w:pPr>
        <w:pStyle w:val="FootnoteText"/>
        <w:jc w:val="both"/>
        <w:rPr>
          <w:sz w:val="18"/>
          <w:szCs w:val="18"/>
        </w:rPr>
      </w:pPr>
      <w:r>
        <w:rPr>
          <w:rStyle w:val="FootnoteReference"/>
        </w:rPr>
        <w:footnoteRef/>
      </w:r>
      <w:r>
        <w:t xml:space="preserve"> </w:t>
      </w:r>
      <w:r>
        <w:rPr>
          <w:sz w:val="18"/>
          <w:szCs w:val="18"/>
        </w:rPr>
        <w:t>Con</w:t>
      </w:r>
      <w:r w:rsidRPr="004A51DB">
        <w:rPr>
          <w:sz w:val="18"/>
          <w:szCs w:val="18"/>
        </w:rPr>
        <w:t>formados por:</w:t>
      </w:r>
      <w:r>
        <w:rPr>
          <w:sz w:val="18"/>
          <w:szCs w:val="18"/>
        </w:rPr>
        <w:t xml:space="preserve"> el Gobernador, el Superintendente, el Procurador departamental, el Comandante de brigada, el Comandante del Departamento de Policía, el Defensor del Pueblo departamental.</w:t>
      </w:r>
      <w:r>
        <w:t xml:space="preserve"> </w:t>
      </w:r>
      <w:r>
        <w:rPr>
          <w:sz w:val="18"/>
          <w:szCs w:val="18"/>
        </w:rPr>
        <w:t>Art. 7, decreto N° 2974/1997.</w:t>
      </w:r>
    </w:p>
  </w:footnote>
  <w:footnote w:id="111">
    <w:p w14:paraId="0E406A79" w14:textId="77777777" w:rsidR="00131638" w:rsidRPr="00296100" w:rsidRDefault="00131638" w:rsidP="00296100">
      <w:pPr>
        <w:pStyle w:val="FootnoteText"/>
        <w:jc w:val="both"/>
        <w:rPr>
          <w:sz w:val="18"/>
          <w:szCs w:val="18"/>
        </w:rPr>
      </w:pPr>
      <w:r>
        <w:rPr>
          <w:rStyle w:val="FootnoteReference"/>
        </w:rPr>
        <w:footnoteRef/>
      </w:r>
      <w:r>
        <w:t xml:space="preserve"> </w:t>
      </w:r>
      <w:r>
        <w:rPr>
          <w:sz w:val="18"/>
          <w:szCs w:val="18"/>
        </w:rPr>
        <w:t>Corresponde a los Alcaldes y Gobernadores promover estas asambleas ciudadanas; los Consejos de Veedurías tendrán entre 5 y 15 integrantes, representantes de la comunidad. Art. 13, Decreto N° 2974/1997.</w:t>
      </w:r>
    </w:p>
  </w:footnote>
  <w:footnote w:id="112">
    <w:p w14:paraId="58416C09" w14:textId="77777777" w:rsidR="00131638" w:rsidRPr="0068180D" w:rsidRDefault="00131638">
      <w:pPr>
        <w:pStyle w:val="FootnoteText"/>
        <w:rPr>
          <w:sz w:val="18"/>
          <w:szCs w:val="18"/>
        </w:rPr>
      </w:pPr>
      <w:r>
        <w:rPr>
          <w:rStyle w:val="FootnoteReference"/>
        </w:rPr>
        <w:footnoteRef/>
      </w:r>
      <w:r>
        <w:t xml:space="preserve"> </w:t>
      </w:r>
      <w:r w:rsidRPr="0068180D">
        <w:rPr>
          <w:sz w:val="18"/>
          <w:szCs w:val="18"/>
        </w:rPr>
        <w:t>Departamento Nacional de Empresas de Seguridad Privada (DENCOES), de la Policía nacional; y las Jefaturas Departamentales del DENCOES (JEDECOES).</w:t>
      </w:r>
    </w:p>
  </w:footnote>
  <w:footnote w:id="113">
    <w:p w14:paraId="60DA8B6E" w14:textId="77777777" w:rsidR="00131638" w:rsidRDefault="00131638">
      <w:pPr>
        <w:pStyle w:val="FootnoteText"/>
      </w:pPr>
      <w:r>
        <w:rPr>
          <w:rStyle w:val="FootnoteReference"/>
        </w:rPr>
        <w:footnoteRef/>
      </w:r>
      <w:r>
        <w:t xml:space="preserve"> </w:t>
      </w:r>
      <w:r w:rsidRPr="006D4FB8">
        <w:rPr>
          <w:sz w:val="18"/>
          <w:szCs w:val="18"/>
        </w:rPr>
        <w:t>Art. 7</w:t>
      </w:r>
      <w:r>
        <w:rPr>
          <w:sz w:val="18"/>
          <w:szCs w:val="18"/>
        </w:rPr>
        <w:t>, R. S</w:t>
      </w:r>
      <w:r w:rsidRPr="006D4FB8">
        <w:rPr>
          <w:sz w:val="18"/>
          <w:szCs w:val="18"/>
        </w:rPr>
        <w:t xml:space="preserve">. </w:t>
      </w:r>
      <w:r>
        <w:rPr>
          <w:sz w:val="18"/>
          <w:szCs w:val="18"/>
        </w:rPr>
        <w:t xml:space="preserve">N° </w:t>
      </w:r>
      <w:r w:rsidRPr="006D4FB8">
        <w:rPr>
          <w:sz w:val="18"/>
          <w:szCs w:val="18"/>
        </w:rPr>
        <w:t>222544</w:t>
      </w:r>
      <w:r>
        <w:rPr>
          <w:sz w:val="18"/>
          <w:szCs w:val="18"/>
        </w:rPr>
        <w:t>.</w:t>
      </w:r>
    </w:p>
  </w:footnote>
  <w:footnote w:id="114">
    <w:p w14:paraId="6B39D087" w14:textId="379E3E24" w:rsidR="00131638" w:rsidRPr="00DF1CD0" w:rsidRDefault="00131638">
      <w:pPr>
        <w:pStyle w:val="FootnoteText"/>
        <w:rPr>
          <w:sz w:val="18"/>
          <w:szCs w:val="18"/>
        </w:rPr>
      </w:pPr>
      <w:r>
        <w:rPr>
          <w:rStyle w:val="FootnoteReference"/>
        </w:rPr>
        <w:footnoteRef/>
      </w:r>
      <w:r>
        <w:t xml:space="preserve"> </w:t>
      </w:r>
      <w:r>
        <w:rPr>
          <w:sz w:val="18"/>
          <w:szCs w:val="18"/>
        </w:rPr>
        <w:t xml:space="preserve">Art. 31, c. R. S. N° </w:t>
      </w:r>
      <w:r w:rsidRPr="006D4FB8">
        <w:rPr>
          <w:sz w:val="18"/>
          <w:szCs w:val="18"/>
        </w:rPr>
        <w:t>222544</w:t>
      </w:r>
      <w:r>
        <w:rPr>
          <w:sz w:val="18"/>
          <w:szCs w:val="18"/>
        </w:rPr>
        <w:t>.</w:t>
      </w:r>
    </w:p>
  </w:footnote>
  <w:footnote w:id="115">
    <w:p w14:paraId="2401B3CB" w14:textId="77777777" w:rsidR="00131638" w:rsidRPr="006A591B" w:rsidRDefault="00131638" w:rsidP="00BB5989">
      <w:pPr>
        <w:pStyle w:val="FootnoteText"/>
        <w:jc w:val="both"/>
        <w:rPr>
          <w:sz w:val="18"/>
          <w:szCs w:val="18"/>
        </w:rPr>
      </w:pPr>
      <w:r>
        <w:rPr>
          <w:rStyle w:val="FootnoteReference"/>
        </w:rPr>
        <w:footnoteRef/>
      </w:r>
      <w:r>
        <w:t xml:space="preserve"> </w:t>
      </w:r>
      <w:r w:rsidRPr="00D05B2A">
        <w:rPr>
          <w:sz w:val="18"/>
          <w:szCs w:val="18"/>
        </w:rPr>
        <w:t xml:space="preserve">Esta norma, salvo la inclusión en el </w:t>
      </w:r>
      <w:proofErr w:type="spellStart"/>
      <w:r w:rsidRPr="00D05B2A">
        <w:rPr>
          <w:sz w:val="18"/>
          <w:szCs w:val="18"/>
        </w:rPr>
        <w:t>kardex</w:t>
      </w:r>
      <w:proofErr w:type="spellEnd"/>
      <w:r w:rsidRPr="00D05B2A">
        <w:rPr>
          <w:sz w:val="18"/>
          <w:szCs w:val="18"/>
        </w:rPr>
        <w:t xml:space="preserve"> de la empresa</w:t>
      </w:r>
      <w:r>
        <w:rPr>
          <w:sz w:val="18"/>
          <w:szCs w:val="18"/>
        </w:rPr>
        <w:t xml:space="preserve">, no aporta nada nuevo a la obligación general que existe de poner a remitir al Ministerio Público la posible comisión de un delito; y no se menciona la existencia de un registro nacional de estas situaciones. </w:t>
      </w:r>
      <w:r w:rsidRPr="00D05B2A">
        <w:rPr>
          <w:sz w:val="18"/>
          <w:szCs w:val="18"/>
        </w:rPr>
        <w:t>Art</w:t>
      </w:r>
      <w:r>
        <w:rPr>
          <w:sz w:val="18"/>
          <w:szCs w:val="18"/>
        </w:rPr>
        <w:t>. 47 y Art. 48. R. S. N° 222544.</w:t>
      </w:r>
    </w:p>
  </w:footnote>
  <w:footnote w:id="116">
    <w:p w14:paraId="705B4A2F" w14:textId="77777777" w:rsidR="00131638" w:rsidRDefault="00131638" w:rsidP="00BB5989">
      <w:pPr>
        <w:pStyle w:val="FootnoteText"/>
        <w:jc w:val="both"/>
      </w:pPr>
      <w:r>
        <w:rPr>
          <w:rStyle w:val="FootnoteReference"/>
        </w:rPr>
        <w:footnoteRef/>
      </w:r>
      <w:r>
        <w:t xml:space="preserve"> </w:t>
      </w:r>
      <w:r w:rsidRPr="006E6137">
        <w:rPr>
          <w:sz w:val="18"/>
          <w:szCs w:val="18"/>
        </w:rPr>
        <w:t>Art. 23, c, Ley 28.879</w:t>
      </w:r>
      <w:r>
        <w:rPr>
          <w:sz w:val="18"/>
          <w:szCs w:val="18"/>
        </w:rPr>
        <w:t>/2006.</w:t>
      </w:r>
    </w:p>
  </w:footnote>
  <w:footnote w:id="117">
    <w:p w14:paraId="7939EC4D" w14:textId="77777777" w:rsidR="00131638" w:rsidRPr="00BB5989" w:rsidRDefault="00131638" w:rsidP="00BB5989">
      <w:pPr>
        <w:pStyle w:val="FootnoteText"/>
        <w:jc w:val="both"/>
        <w:rPr>
          <w:sz w:val="18"/>
          <w:szCs w:val="18"/>
        </w:rPr>
      </w:pPr>
      <w:r>
        <w:rPr>
          <w:rStyle w:val="FootnoteReference"/>
        </w:rPr>
        <w:footnoteRef/>
      </w:r>
      <w:r>
        <w:t xml:space="preserve"> </w:t>
      </w:r>
      <w:r>
        <w:rPr>
          <w:sz w:val="18"/>
          <w:szCs w:val="18"/>
        </w:rPr>
        <w:t xml:space="preserve">Siempre y cuando no hayan pasado a retiro por medidas disciplinarias o por sentencia judicial condenatoria. En todo caso </w:t>
      </w:r>
      <w:r w:rsidRPr="000C0A6A">
        <w:rPr>
          <w:rFonts w:cs="Arial"/>
          <w:sz w:val="18"/>
          <w:szCs w:val="18"/>
        </w:rPr>
        <w:t>deben capacitarse y obtener el Grado de Instructor en seguridad privada, en Centro Especializado debidamente autorizado, pudiendo para tal fin convalidar cursos llevados en su formación militar o policial con cursos de la estructura curricular básica.</w:t>
      </w:r>
      <w:r>
        <w:rPr>
          <w:rFonts w:cs="Arial"/>
          <w:sz w:val="18"/>
          <w:szCs w:val="18"/>
        </w:rPr>
        <w:t xml:space="preserve"> Art. 27, Ley N° 28879/2006.</w:t>
      </w:r>
    </w:p>
  </w:footnote>
  <w:footnote w:id="118">
    <w:p w14:paraId="3E2B304C" w14:textId="77777777" w:rsidR="00131638" w:rsidRPr="00402589" w:rsidRDefault="00131638" w:rsidP="00BB5989">
      <w:pPr>
        <w:pStyle w:val="FootnoteText"/>
        <w:jc w:val="both"/>
      </w:pPr>
      <w:r>
        <w:rPr>
          <w:rStyle w:val="FootnoteReference"/>
        </w:rPr>
        <w:footnoteRef/>
      </w:r>
      <w:r>
        <w:t xml:space="preserve"> </w:t>
      </w:r>
      <w:r>
        <w:rPr>
          <w:sz w:val="18"/>
          <w:szCs w:val="18"/>
        </w:rPr>
        <w:t xml:space="preserve">Arts. 55, 59 y 60, j. </w:t>
      </w:r>
      <w:r w:rsidRPr="003513FF">
        <w:rPr>
          <w:sz w:val="18"/>
          <w:szCs w:val="18"/>
        </w:rPr>
        <w:t xml:space="preserve">Decreto </w:t>
      </w:r>
      <w:r w:rsidRPr="00402589">
        <w:rPr>
          <w:sz w:val="18"/>
          <w:szCs w:val="18"/>
        </w:rPr>
        <w:t>Supremo N° 003/2011.</w:t>
      </w:r>
    </w:p>
  </w:footnote>
  <w:footnote w:id="119">
    <w:p w14:paraId="19E8A3DC" w14:textId="77777777" w:rsidR="00131638" w:rsidRPr="00402589" w:rsidRDefault="00131638" w:rsidP="00BB5989">
      <w:pPr>
        <w:pStyle w:val="FootnoteText"/>
        <w:jc w:val="both"/>
      </w:pPr>
      <w:r w:rsidRPr="00402589">
        <w:rPr>
          <w:rStyle w:val="FootnoteReference"/>
        </w:rPr>
        <w:footnoteRef/>
      </w:r>
      <w:r w:rsidRPr="00402589">
        <w:t xml:space="preserve"> </w:t>
      </w:r>
      <w:r w:rsidRPr="00402589">
        <w:rPr>
          <w:sz w:val="18"/>
          <w:szCs w:val="18"/>
        </w:rPr>
        <w:t>Art. 88 del Decreto Supremo</w:t>
      </w:r>
      <w:r>
        <w:rPr>
          <w:sz w:val="18"/>
          <w:szCs w:val="18"/>
        </w:rPr>
        <w:t xml:space="preserve"> </w:t>
      </w:r>
      <w:r w:rsidRPr="00402589">
        <w:rPr>
          <w:sz w:val="18"/>
          <w:szCs w:val="18"/>
        </w:rPr>
        <w:t>N° 003/2011.</w:t>
      </w:r>
    </w:p>
  </w:footnote>
  <w:footnote w:id="120">
    <w:p w14:paraId="0CE2F702" w14:textId="1B621EE9" w:rsidR="00131638" w:rsidRPr="00402589" w:rsidRDefault="00131638" w:rsidP="00402589">
      <w:pPr>
        <w:pStyle w:val="FootnoteText"/>
      </w:pPr>
      <w:r w:rsidRPr="00402589">
        <w:rPr>
          <w:rStyle w:val="FootnoteReference"/>
        </w:rPr>
        <w:footnoteRef/>
      </w:r>
      <w:r w:rsidRPr="00402589">
        <w:t xml:space="preserve"> </w:t>
      </w:r>
      <w:r w:rsidRPr="00402589">
        <w:rPr>
          <w:sz w:val="18"/>
          <w:szCs w:val="18"/>
        </w:rPr>
        <w:t>Art. 2, 2.4.</w:t>
      </w:r>
      <w:r w:rsidR="00374911">
        <w:rPr>
          <w:sz w:val="18"/>
          <w:szCs w:val="18"/>
        </w:rPr>
        <w:t xml:space="preserve"> y Art. 4, 4.2,</w:t>
      </w:r>
      <w:r w:rsidRPr="00402589">
        <w:rPr>
          <w:sz w:val="18"/>
          <w:szCs w:val="18"/>
        </w:rPr>
        <w:t xml:space="preserve"> Decreto N° 275/1999.</w:t>
      </w:r>
    </w:p>
  </w:footnote>
  <w:footnote w:id="121">
    <w:p w14:paraId="52DB5CE4" w14:textId="77777777" w:rsidR="00131638" w:rsidRPr="00C811AB" w:rsidRDefault="00131638">
      <w:pPr>
        <w:pStyle w:val="FootnoteText"/>
        <w:rPr>
          <w:sz w:val="18"/>
          <w:szCs w:val="18"/>
        </w:rPr>
      </w:pPr>
      <w:r>
        <w:rPr>
          <w:rStyle w:val="FootnoteReference"/>
        </w:rPr>
        <w:footnoteRef/>
      </w:r>
      <w:r>
        <w:t xml:space="preserve"> </w:t>
      </w:r>
      <w:r>
        <w:rPr>
          <w:sz w:val="18"/>
          <w:szCs w:val="18"/>
        </w:rPr>
        <w:t xml:space="preserve">Art. 11, Decreto </w:t>
      </w:r>
      <w:r w:rsidRPr="00402589">
        <w:rPr>
          <w:sz w:val="18"/>
          <w:szCs w:val="18"/>
        </w:rPr>
        <w:t>N° 275/1999.</w:t>
      </w:r>
    </w:p>
  </w:footnote>
  <w:footnote w:id="122">
    <w:p w14:paraId="44877F5A" w14:textId="77777777" w:rsidR="00131638" w:rsidRDefault="00131638" w:rsidP="00402589">
      <w:pPr>
        <w:spacing w:after="0" w:line="240" w:lineRule="auto"/>
        <w:jc w:val="both"/>
      </w:pPr>
      <w:r>
        <w:rPr>
          <w:rStyle w:val="FootnoteReference"/>
        </w:rPr>
        <w:footnoteRef/>
      </w:r>
      <w:r>
        <w:t xml:space="preserve"> </w:t>
      </w:r>
      <w:r w:rsidRPr="005D5508">
        <w:rPr>
          <w:sz w:val="18"/>
          <w:szCs w:val="18"/>
        </w:rPr>
        <w:t xml:space="preserve">Ver en </w:t>
      </w:r>
      <w:hyperlink r:id="rId3" w:history="1">
        <w:r w:rsidRPr="005D5508">
          <w:rPr>
            <w:rStyle w:val="Hyperlink"/>
            <w:rFonts w:cs="Arial"/>
            <w:sz w:val="18"/>
            <w:szCs w:val="18"/>
          </w:rPr>
          <w:t>http://www.elpais.com.uy/informacion/crearon-grupo-elaborar-ley-seguridad.html</w:t>
        </w:r>
      </w:hyperlink>
    </w:p>
  </w:footnote>
  <w:footnote w:id="123">
    <w:p w14:paraId="1D2D8873" w14:textId="77777777" w:rsidR="00131638" w:rsidRPr="003513FF" w:rsidRDefault="00131638" w:rsidP="00402589">
      <w:pPr>
        <w:pStyle w:val="FootnoteText"/>
        <w:rPr>
          <w:sz w:val="18"/>
          <w:szCs w:val="18"/>
        </w:rPr>
      </w:pPr>
      <w:r>
        <w:rPr>
          <w:rStyle w:val="FootnoteReference"/>
        </w:rPr>
        <w:footnoteRef/>
      </w:r>
      <w:r>
        <w:t xml:space="preserve"> </w:t>
      </w:r>
      <w:r>
        <w:rPr>
          <w:sz w:val="18"/>
          <w:szCs w:val="18"/>
        </w:rPr>
        <w:t xml:space="preserve">Art. 165, </w:t>
      </w:r>
      <w:proofErr w:type="spellStart"/>
      <w:r w:rsidRPr="003513FF">
        <w:rPr>
          <w:sz w:val="18"/>
          <w:szCs w:val="18"/>
        </w:rPr>
        <w:t>Portaria</w:t>
      </w:r>
      <w:proofErr w:type="spellEnd"/>
      <w:r w:rsidRPr="003513FF">
        <w:rPr>
          <w:sz w:val="18"/>
          <w:szCs w:val="18"/>
        </w:rPr>
        <w:t xml:space="preserve"> N° 3233/1012</w:t>
      </w:r>
    </w:p>
  </w:footnote>
  <w:footnote w:id="124">
    <w:p w14:paraId="76D854B4" w14:textId="77777777" w:rsidR="00131638" w:rsidRPr="00B03111" w:rsidRDefault="00131638">
      <w:pPr>
        <w:pStyle w:val="FootnoteText"/>
        <w:rPr>
          <w:sz w:val="18"/>
          <w:szCs w:val="18"/>
        </w:rPr>
      </w:pPr>
      <w:r>
        <w:rPr>
          <w:rStyle w:val="FootnoteReference"/>
        </w:rPr>
        <w:footnoteRef/>
      </w:r>
      <w:r>
        <w:t xml:space="preserve"> </w:t>
      </w:r>
      <w:r>
        <w:rPr>
          <w:sz w:val="18"/>
          <w:szCs w:val="18"/>
        </w:rPr>
        <w:t>Art. 63.</w:t>
      </w:r>
    </w:p>
  </w:footnote>
  <w:footnote w:id="125">
    <w:p w14:paraId="64366EAE" w14:textId="77777777" w:rsidR="00131638" w:rsidRPr="00641CAD" w:rsidRDefault="00131638">
      <w:pPr>
        <w:pStyle w:val="FootnoteText"/>
        <w:rPr>
          <w:sz w:val="18"/>
          <w:szCs w:val="18"/>
        </w:rPr>
      </w:pPr>
      <w:r>
        <w:rPr>
          <w:rStyle w:val="FootnoteReference"/>
        </w:rPr>
        <w:footnoteRef/>
      </w:r>
      <w:r>
        <w:t xml:space="preserve"> </w:t>
      </w:r>
      <w:r>
        <w:rPr>
          <w:sz w:val="18"/>
          <w:szCs w:val="18"/>
        </w:rPr>
        <w:t>Art. 8, Ley N° 19.798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16058" w14:textId="77777777" w:rsidR="00131638" w:rsidRDefault="00447170">
    <w:pPr>
      <w:pStyle w:val="Header"/>
    </w:pPr>
    <w:r>
      <w:rPr>
        <w:noProof/>
        <w:lang w:val="es-ES"/>
      </w:rPr>
      <w:pict w14:anchorId="19171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4573" o:spid="_x0000_s2050" type="#_x0000_t136" style="position:absolute;margin-left:0;margin-top:0;width:453.1pt;height:169.9pt;rotation:315;z-index:-2516561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C4483" w14:textId="77777777" w:rsidR="00131638" w:rsidRDefault="00447170">
    <w:pPr>
      <w:pStyle w:val="Header"/>
    </w:pPr>
    <w:r>
      <w:rPr>
        <w:noProof/>
        <w:lang w:val="es-ES"/>
      </w:rPr>
      <w:pict w14:anchorId="24F23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4572" o:spid="_x0000_s2049"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E662" w14:textId="77777777" w:rsidR="00131638" w:rsidRDefault="00131638">
    <w:pPr>
      <w:pStyle w:val="Header"/>
    </w:pPr>
    <w:r>
      <w:rPr>
        <w:noProof/>
        <w:lang w:val="en-GB" w:eastAsia="en-GB"/>
      </w:rPr>
      <mc:AlternateContent>
        <mc:Choice Requires="wps">
          <w:drawing>
            <wp:anchor distT="0" distB="0" distL="114300" distR="114300" simplePos="0" relativeHeight="251663360" behindDoc="1" locked="0" layoutInCell="0" allowOverlap="1" wp14:anchorId="7BC5D1D6" wp14:editId="6F0FEE02">
              <wp:simplePos x="0" y="0"/>
              <wp:positionH relativeFrom="margin">
                <wp:align>center</wp:align>
              </wp:positionH>
              <wp:positionV relativeFrom="margin">
                <wp:align>center</wp:align>
              </wp:positionV>
              <wp:extent cx="5754370" cy="2157730"/>
              <wp:effectExtent l="0" t="1400175" r="0" b="122364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4370" cy="2157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0210FA" w14:textId="77777777" w:rsidR="00131638" w:rsidRDefault="00131638" w:rsidP="002E37C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C5D1D6" id="_x0000_t202" coordsize="21600,21600" o:spt="202" path="m,l,21600r21600,l21600,xe">
              <v:stroke joinstyle="miter"/>
              <v:path gradientshapeok="t" o:connecttype="rect"/>
            </v:shapetype>
            <v:shape id="WordArt 4" o:spid="_x0000_s1026" type="#_x0000_t202" style="position:absolute;margin-left:0;margin-top:0;width:453.1pt;height:169.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" o:allowincell="f" filled="f" stroked="f">
              <v:stroke joinstyle="round"/>
              <o:lock v:ext="edit" shapetype="t"/>
              <v:textbox style="mso-fit-shape-to-text:t">
                <w:txbxContent>
                  <w:p w14:paraId="330210FA" w14:textId="77777777" w:rsidR="00131638" w:rsidRDefault="00131638" w:rsidP="002E37C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B1E9" w14:textId="77777777" w:rsidR="00131638" w:rsidRPr="003063B8" w:rsidRDefault="00131638" w:rsidP="002B457C">
    <w:pPr>
      <w:pStyle w:val="Header"/>
      <w:jc w:val="right"/>
      <w:rPr>
        <w:i/>
        <w:sz w:val="16"/>
        <w:szCs w:val="16"/>
      </w:rPr>
    </w:pPr>
    <w:r w:rsidRPr="003063B8">
      <w:rPr>
        <w:i/>
        <w:sz w:val="16"/>
        <w:szCs w:val="16"/>
      </w:rPr>
      <w:t xml:space="preserve">Pág. </w:t>
    </w:r>
    <w:r w:rsidRPr="003063B8">
      <w:rPr>
        <w:i/>
        <w:sz w:val="16"/>
        <w:szCs w:val="16"/>
      </w:rPr>
      <w:fldChar w:fldCharType="begin"/>
    </w:r>
    <w:r w:rsidRPr="003063B8">
      <w:rPr>
        <w:i/>
        <w:sz w:val="16"/>
        <w:szCs w:val="16"/>
      </w:rPr>
      <w:instrText>PAGE    \* MERGEFORMAT</w:instrText>
    </w:r>
    <w:r w:rsidRPr="003063B8">
      <w:rPr>
        <w:i/>
        <w:sz w:val="16"/>
        <w:szCs w:val="16"/>
      </w:rPr>
      <w:fldChar w:fldCharType="separate"/>
    </w:r>
    <w:r w:rsidR="00FE4C05">
      <w:rPr>
        <w:i/>
        <w:noProof/>
        <w:sz w:val="16"/>
        <w:szCs w:val="16"/>
      </w:rPr>
      <w:t>i</w:t>
    </w:r>
    <w:r w:rsidRPr="003063B8">
      <w:rPr>
        <w:i/>
        <w:sz w:val="16"/>
        <w:szCs w:val="16"/>
      </w:rPr>
      <w:fldChar w:fldCharType="end"/>
    </w:r>
  </w:p>
  <w:p w14:paraId="01D8116A" w14:textId="77777777" w:rsidR="00131638" w:rsidRPr="003063B8" w:rsidRDefault="00131638" w:rsidP="002B457C">
    <w:pPr>
      <w:pStyle w:val="Header"/>
      <w:pBdr>
        <w:top w:val="single" w:sz="4" w:space="1" w:color="auto"/>
      </w:pBdr>
      <w:jc w:val="right"/>
      <w:rPr>
        <w:i/>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519DD" w14:textId="77777777" w:rsidR="00131638" w:rsidRDefault="00131638">
    <w:pPr>
      <w:pStyle w:val="Header"/>
    </w:pPr>
    <w:r>
      <w:rPr>
        <w:noProof/>
        <w:lang w:val="en-GB" w:eastAsia="en-GB"/>
      </w:rPr>
      <mc:AlternateContent>
        <mc:Choice Requires="wps">
          <w:drawing>
            <wp:anchor distT="0" distB="0" distL="114300" distR="114300" simplePos="0" relativeHeight="251662336" behindDoc="1" locked="0" layoutInCell="0" allowOverlap="1" wp14:anchorId="512AB8E3" wp14:editId="6F03C789">
              <wp:simplePos x="0" y="0"/>
              <wp:positionH relativeFrom="margin">
                <wp:align>center</wp:align>
              </wp:positionH>
              <wp:positionV relativeFrom="margin">
                <wp:align>center</wp:align>
              </wp:positionV>
              <wp:extent cx="5754370" cy="2157730"/>
              <wp:effectExtent l="0" t="1400175" r="0" b="122364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4370" cy="2157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1955C" w14:textId="77777777" w:rsidR="00131638" w:rsidRDefault="00131638" w:rsidP="002E37C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2AB8E3" id="_x0000_t202" coordsize="21600,21600" o:spt="202" path="m,l,21600r21600,l21600,xe">
              <v:stroke joinstyle="miter"/>
              <v:path gradientshapeok="t" o:connecttype="rect"/>
            </v:shapetype>
            <v:shape id="WordArt 3" o:spid="_x0000_s1027" type="#_x0000_t202" style="position:absolute;margin-left:0;margin-top:0;width:453.1pt;height:169.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" o:allowincell="f" filled="f" stroked="f">
              <v:stroke joinstyle="round"/>
              <o:lock v:ext="edit" shapetype="t"/>
              <v:textbox style="mso-fit-shape-to-text:t">
                <w:txbxContent>
                  <w:p w14:paraId="7551955C" w14:textId="77777777" w:rsidR="00131638" w:rsidRDefault="00131638" w:rsidP="002E37C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62050"/>
      <w:docPartObj>
        <w:docPartGallery w:val="Page Numbers (Top of Page)"/>
        <w:docPartUnique/>
      </w:docPartObj>
    </w:sdtPr>
    <w:sdtEndPr/>
    <w:sdtContent>
      <w:p w14:paraId="46FCEB73" w14:textId="77777777" w:rsidR="00131638" w:rsidRDefault="00131638">
        <w:pPr>
          <w:pStyle w:val="Header"/>
          <w:jc w:val="right"/>
        </w:pPr>
        <w:r>
          <w:fldChar w:fldCharType="begin"/>
        </w:r>
        <w:r>
          <w:instrText>PAGE   \* MERGEFORMAT</w:instrText>
        </w:r>
        <w:r>
          <w:fldChar w:fldCharType="separate"/>
        </w:r>
        <w:r w:rsidR="00FE4C05" w:rsidRPr="00FE4C05">
          <w:rPr>
            <w:noProof/>
            <w:lang w:val="es-ES"/>
          </w:rPr>
          <w:t>29</w:t>
        </w:r>
        <w:r>
          <w:fldChar w:fldCharType="end"/>
        </w:r>
      </w:p>
    </w:sdtContent>
  </w:sdt>
  <w:p w14:paraId="6FE179EF" w14:textId="77777777" w:rsidR="00131638" w:rsidRDefault="00131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F03"/>
    <w:multiLevelType w:val="hybridMultilevel"/>
    <w:tmpl w:val="EF0C30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738174A"/>
    <w:multiLevelType w:val="hybridMultilevel"/>
    <w:tmpl w:val="F6D4BF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3C27F03"/>
    <w:multiLevelType w:val="hybridMultilevel"/>
    <w:tmpl w:val="F5705E44"/>
    <w:lvl w:ilvl="0" w:tplc="805CDB56">
      <w:start w:val="1"/>
      <w:numFmt w:val="decimal"/>
      <w:lvlText w:val="%1."/>
      <w:lvlJc w:val="left"/>
      <w:pPr>
        <w:ind w:left="720" w:hanging="360"/>
      </w:pPr>
      <w:rPr>
        <w:rFonts w:eastAsiaTheme="minorHAnsi" w:hint="default"/>
        <w:color w:val="0000FF"/>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74A0385"/>
    <w:multiLevelType w:val="hybridMultilevel"/>
    <w:tmpl w:val="3CDA0622"/>
    <w:lvl w:ilvl="0" w:tplc="71205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AD029C3"/>
    <w:multiLevelType w:val="hybridMultilevel"/>
    <w:tmpl w:val="3CDA0622"/>
    <w:lvl w:ilvl="0" w:tplc="71205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46F18A4"/>
    <w:multiLevelType w:val="hybridMultilevel"/>
    <w:tmpl w:val="9F4CB084"/>
    <w:lvl w:ilvl="0" w:tplc="540A000F">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1C3737C"/>
    <w:multiLevelType w:val="hybridMultilevel"/>
    <w:tmpl w:val="947AA944"/>
    <w:lvl w:ilvl="0" w:tplc="C0F6449C">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4BE4B5B"/>
    <w:multiLevelType w:val="multilevel"/>
    <w:tmpl w:val="9B1646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A0B240C"/>
    <w:multiLevelType w:val="multilevel"/>
    <w:tmpl w:val="9B1646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E4B7BD6"/>
    <w:multiLevelType w:val="hybridMultilevel"/>
    <w:tmpl w:val="EDBE1498"/>
    <w:lvl w:ilvl="0" w:tplc="A59A898A">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
    <w:nsid w:val="7F791993"/>
    <w:multiLevelType w:val="hybridMultilevel"/>
    <w:tmpl w:val="9A44D22C"/>
    <w:lvl w:ilvl="0" w:tplc="8FCAE1C4">
      <w:start w:val="1"/>
      <w:numFmt w:val="upperRoman"/>
      <w:lvlText w:val="%1."/>
      <w:lvlJc w:val="left"/>
      <w:pPr>
        <w:ind w:left="1080" w:hanging="720"/>
      </w:pPr>
      <w:rPr>
        <w:rFonts w:eastAsiaTheme="minorHAnsi" w:hint="default"/>
        <w:color w:val="0000FF"/>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7"/>
  </w:num>
  <w:num w:numId="6">
    <w:abstractNumId w:val="6"/>
  </w:num>
  <w:num w:numId="7">
    <w:abstractNumId w:val="9"/>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55"/>
    <w:rsid w:val="000000A3"/>
    <w:rsid w:val="00001008"/>
    <w:rsid w:val="00001AB5"/>
    <w:rsid w:val="00005FAC"/>
    <w:rsid w:val="00006CAF"/>
    <w:rsid w:val="0000766B"/>
    <w:rsid w:val="000109FD"/>
    <w:rsid w:val="0001383C"/>
    <w:rsid w:val="00015332"/>
    <w:rsid w:val="00016F1B"/>
    <w:rsid w:val="000175FA"/>
    <w:rsid w:val="00020A9A"/>
    <w:rsid w:val="00022F17"/>
    <w:rsid w:val="00030657"/>
    <w:rsid w:val="00031147"/>
    <w:rsid w:val="00031194"/>
    <w:rsid w:val="0003201D"/>
    <w:rsid w:val="00032FB3"/>
    <w:rsid w:val="00033C6D"/>
    <w:rsid w:val="000343A4"/>
    <w:rsid w:val="00035401"/>
    <w:rsid w:val="00035816"/>
    <w:rsid w:val="000403C6"/>
    <w:rsid w:val="00045E20"/>
    <w:rsid w:val="00051E71"/>
    <w:rsid w:val="00053CE4"/>
    <w:rsid w:val="00054390"/>
    <w:rsid w:val="00060FE2"/>
    <w:rsid w:val="00062CBB"/>
    <w:rsid w:val="00064374"/>
    <w:rsid w:val="00064819"/>
    <w:rsid w:val="00065691"/>
    <w:rsid w:val="000723B4"/>
    <w:rsid w:val="00073E27"/>
    <w:rsid w:val="00074CDB"/>
    <w:rsid w:val="000755EF"/>
    <w:rsid w:val="00077133"/>
    <w:rsid w:val="000916B8"/>
    <w:rsid w:val="000951DE"/>
    <w:rsid w:val="0009791D"/>
    <w:rsid w:val="000A0BF1"/>
    <w:rsid w:val="000A2539"/>
    <w:rsid w:val="000A3C3B"/>
    <w:rsid w:val="000A4C15"/>
    <w:rsid w:val="000A674F"/>
    <w:rsid w:val="000B40E4"/>
    <w:rsid w:val="000B4123"/>
    <w:rsid w:val="000B4609"/>
    <w:rsid w:val="000B5DAA"/>
    <w:rsid w:val="000B65A5"/>
    <w:rsid w:val="000B739E"/>
    <w:rsid w:val="000C014B"/>
    <w:rsid w:val="000C33CE"/>
    <w:rsid w:val="000C36C6"/>
    <w:rsid w:val="000C3FCA"/>
    <w:rsid w:val="000C5BD8"/>
    <w:rsid w:val="000D1032"/>
    <w:rsid w:val="000D44ED"/>
    <w:rsid w:val="000D4609"/>
    <w:rsid w:val="000D4D19"/>
    <w:rsid w:val="000D5411"/>
    <w:rsid w:val="000D796B"/>
    <w:rsid w:val="000D7A9B"/>
    <w:rsid w:val="000E4155"/>
    <w:rsid w:val="000E4D70"/>
    <w:rsid w:val="000E632C"/>
    <w:rsid w:val="000F194E"/>
    <w:rsid w:val="000F2B1E"/>
    <w:rsid w:val="000F6F88"/>
    <w:rsid w:val="00102471"/>
    <w:rsid w:val="00104AE3"/>
    <w:rsid w:val="0011235B"/>
    <w:rsid w:val="00115C84"/>
    <w:rsid w:val="00115F15"/>
    <w:rsid w:val="001168FE"/>
    <w:rsid w:val="00120114"/>
    <w:rsid w:val="00120413"/>
    <w:rsid w:val="00122D1E"/>
    <w:rsid w:val="00123295"/>
    <w:rsid w:val="001301B0"/>
    <w:rsid w:val="00131204"/>
    <w:rsid w:val="00131638"/>
    <w:rsid w:val="001316E8"/>
    <w:rsid w:val="00134145"/>
    <w:rsid w:val="00134F0B"/>
    <w:rsid w:val="001367D0"/>
    <w:rsid w:val="001368FE"/>
    <w:rsid w:val="00144DD7"/>
    <w:rsid w:val="00146C7A"/>
    <w:rsid w:val="001475C6"/>
    <w:rsid w:val="001478DA"/>
    <w:rsid w:val="00150E61"/>
    <w:rsid w:val="001518D3"/>
    <w:rsid w:val="001536E2"/>
    <w:rsid w:val="0015612E"/>
    <w:rsid w:val="0015716E"/>
    <w:rsid w:val="00164ECE"/>
    <w:rsid w:val="00170867"/>
    <w:rsid w:val="00173F5A"/>
    <w:rsid w:val="001746A3"/>
    <w:rsid w:val="00174CD9"/>
    <w:rsid w:val="00180328"/>
    <w:rsid w:val="00180A61"/>
    <w:rsid w:val="001818CC"/>
    <w:rsid w:val="0018232A"/>
    <w:rsid w:val="00187D57"/>
    <w:rsid w:val="001904F6"/>
    <w:rsid w:val="00191AF9"/>
    <w:rsid w:val="00194898"/>
    <w:rsid w:val="00195931"/>
    <w:rsid w:val="001A11A1"/>
    <w:rsid w:val="001A3C2A"/>
    <w:rsid w:val="001A676C"/>
    <w:rsid w:val="001B1329"/>
    <w:rsid w:val="001B134F"/>
    <w:rsid w:val="001B3940"/>
    <w:rsid w:val="001B5332"/>
    <w:rsid w:val="001B60EB"/>
    <w:rsid w:val="001B6E52"/>
    <w:rsid w:val="001C01C3"/>
    <w:rsid w:val="001C1C2B"/>
    <w:rsid w:val="001C4885"/>
    <w:rsid w:val="001C6515"/>
    <w:rsid w:val="001D0825"/>
    <w:rsid w:val="001D2AE1"/>
    <w:rsid w:val="001D43B2"/>
    <w:rsid w:val="001D7A4E"/>
    <w:rsid w:val="001E06AF"/>
    <w:rsid w:val="001E14F5"/>
    <w:rsid w:val="001E1DA9"/>
    <w:rsid w:val="001E33FE"/>
    <w:rsid w:val="001E5673"/>
    <w:rsid w:val="001E5D77"/>
    <w:rsid w:val="001F05AB"/>
    <w:rsid w:val="001F23B9"/>
    <w:rsid w:val="001F270F"/>
    <w:rsid w:val="001F45AD"/>
    <w:rsid w:val="00200A90"/>
    <w:rsid w:val="0020150B"/>
    <w:rsid w:val="00202557"/>
    <w:rsid w:val="00202EA6"/>
    <w:rsid w:val="00203057"/>
    <w:rsid w:val="002031E7"/>
    <w:rsid w:val="00203BA6"/>
    <w:rsid w:val="00203CED"/>
    <w:rsid w:val="00207BC7"/>
    <w:rsid w:val="00210508"/>
    <w:rsid w:val="00210CDC"/>
    <w:rsid w:val="00214CE3"/>
    <w:rsid w:val="0021798C"/>
    <w:rsid w:val="0022475D"/>
    <w:rsid w:val="002264B0"/>
    <w:rsid w:val="00230AC0"/>
    <w:rsid w:val="0023286A"/>
    <w:rsid w:val="0023325D"/>
    <w:rsid w:val="00234F7A"/>
    <w:rsid w:val="002355A4"/>
    <w:rsid w:val="0023662E"/>
    <w:rsid w:val="00237FF5"/>
    <w:rsid w:val="00241450"/>
    <w:rsid w:val="00243FA2"/>
    <w:rsid w:val="002449A4"/>
    <w:rsid w:val="0024519E"/>
    <w:rsid w:val="00246059"/>
    <w:rsid w:val="00252320"/>
    <w:rsid w:val="00252BC6"/>
    <w:rsid w:val="00253D00"/>
    <w:rsid w:val="0025523E"/>
    <w:rsid w:val="00255296"/>
    <w:rsid w:val="00262039"/>
    <w:rsid w:val="002641A9"/>
    <w:rsid w:val="00266C85"/>
    <w:rsid w:val="00267D8B"/>
    <w:rsid w:val="00273075"/>
    <w:rsid w:val="002733B3"/>
    <w:rsid w:val="0027449A"/>
    <w:rsid w:val="00274D4B"/>
    <w:rsid w:val="00276FC6"/>
    <w:rsid w:val="00280F65"/>
    <w:rsid w:val="00283B2D"/>
    <w:rsid w:val="002862E3"/>
    <w:rsid w:val="00286A81"/>
    <w:rsid w:val="002873DB"/>
    <w:rsid w:val="002879C7"/>
    <w:rsid w:val="00294108"/>
    <w:rsid w:val="0029423B"/>
    <w:rsid w:val="00294C73"/>
    <w:rsid w:val="002953AA"/>
    <w:rsid w:val="00296100"/>
    <w:rsid w:val="00297B9C"/>
    <w:rsid w:val="00297BFA"/>
    <w:rsid w:val="002A0C40"/>
    <w:rsid w:val="002A4223"/>
    <w:rsid w:val="002A7A75"/>
    <w:rsid w:val="002B1B24"/>
    <w:rsid w:val="002B2102"/>
    <w:rsid w:val="002B2F4D"/>
    <w:rsid w:val="002B3CC9"/>
    <w:rsid w:val="002B4426"/>
    <w:rsid w:val="002B457C"/>
    <w:rsid w:val="002B47D6"/>
    <w:rsid w:val="002B68E2"/>
    <w:rsid w:val="002C160B"/>
    <w:rsid w:val="002C42AC"/>
    <w:rsid w:val="002D4C4E"/>
    <w:rsid w:val="002D612C"/>
    <w:rsid w:val="002D6E41"/>
    <w:rsid w:val="002E25C6"/>
    <w:rsid w:val="002E37C8"/>
    <w:rsid w:val="002E3E1A"/>
    <w:rsid w:val="002E7387"/>
    <w:rsid w:val="002E76CC"/>
    <w:rsid w:val="002F1977"/>
    <w:rsid w:val="002F4EB5"/>
    <w:rsid w:val="002F5BB9"/>
    <w:rsid w:val="002F5CC9"/>
    <w:rsid w:val="0030406B"/>
    <w:rsid w:val="0030458B"/>
    <w:rsid w:val="00307265"/>
    <w:rsid w:val="00307BDD"/>
    <w:rsid w:val="003107BE"/>
    <w:rsid w:val="00312C7E"/>
    <w:rsid w:val="0031392F"/>
    <w:rsid w:val="00314FE5"/>
    <w:rsid w:val="003152E5"/>
    <w:rsid w:val="003201FE"/>
    <w:rsid w:val="00322910"/>
    <w:rsid w:val="00322A9E"/>
    <w:rsid w:val="00324340"/>
    <w:rsid w:val="003244D5"/>
    <w:rsid w:val="00330500"/>
    <w:rsid w:val="00332083"/>
    <w:rsid w:val="00332E61"/>
    <w:rsid w:val="00342654"/>
    <w:rsid w:val="003439FC"/>
    <w:rsid w:val="00344C8F"/>
    <w:rsid w:val="0034518E"/>
    <w:rsid w:val="00347468"/>
    <w:rsid w:val="003513FF"/>
    <w:rsid w:val="00353E5C"/>
    <w:rsid w:val="00355135"/>
    <w:rsid w:val="00362B8C"/>
    <w:rsid w:val="00364874"/>
    <w:rsid w:val="00366827"/>
    <w:rsid w:val="00366AFB"/>
    <w:rsid w:val="00372578"/>
    <w:rsid w:val="00372CDA"/>
    <w:rsid w:val="00374911"/>
    <w:rsid w:val="003763E9"/>
    <w:rsid w:val="00376FDD"/>
    <w:rsid w:val="003805E1"/>
    <w:rsid w:val="00384575"/>
    <w:rsid w:val="00390E37"/>
    <w:rsid w:val="0039123B"/>
    <w:rsid w:val="0039205A"/>
    <w:rsid w:val="003956C9"/>
    <w:rsid w:val="00395762"/>
    <w:rsid w:val="00397962"/>
    <w:rsid w:val="003A1495"/>
    <w:rsid w:val="003A204C"/>
    <w:rsid w:val="003A7E6F"/>
    <w:rsid w:val="003B01D2"/>
    <w:rsid w:val="003B36B3"/>
    <w:rsid w:val="003B39D6"/>
    <w:rsid w:val="003B4603"/>
    <w:rsid w:val="003B4F03"/>
    <w:rsid w:val="003B51ED"/>
    <w:rsid w:val="003B756F"/>
    <w:rsid w:val="003C15A3"/>
    <w:rsid w:val="003C6813"/>
    <w:rsid w:val="003C76E9"/>
    <w:rsid w:val="003D20F3"/>
    <w:rsid w:val="003D2547"/>
    <w:rsid w:val="003D3B9B"/>
    <w:rsid w:val="003E3344"/>
    <w:rsid w:val="003E6767"/>
    <w:rsid w:val="003E7B9E"/>
    <w:rsid w:val="003F65D4"/>
    <w:rsid w:val="003F7E63"/>
    <w:rsid w:val="0040118B"/>
    <w:rsid w:val="00402418"/>
    <w:rsid w:val="00402589"/>
    <w:rsid w:val="00412B26"/>
    <w:rsid w:val="00413332"/>
    <w:rsid w:val="00414C16"/>
    <w:rsid w:val="00416E04"/>
    <w:rsid w:val="0041715F"/>
    <w:rsid w:val="004171A8"/>
    <w:rsid w:val="0042211D"/>
    <w:rsid w:val="00423CCD"/>
    <w:rsid w:val="00435D97"/>
    <w:rsid w:val="004427ED"/>
    <w:rsid w:val="00450801"/>
    <w:rsid w:val="004523C9"/>
    <w:rsid w:val="00452DBF"/>
    <w:rsid w:val="00453E79"/>
    <w:rsid w:val="0045492F"/>
    <w:rsid w:val="004556FF"/>
    <w:rsid w:val="00457EDA"/>
    <w:rsid w:val="0046169C"/>
    <w:rsid w:val="00463ED4"/>
    <w:rsid w:val="00463FD0"/>
    <w:rsid w:val="00467339"/>
    <w:rsid w:val="0047090F"/>
    <w:rsid w:val="00473AEB"/>
    <w:rsid w:val="00477BC9"/>
    <w:rsid w:val="00481039"/>
    <w:rsid w:val="00483541"/>
    <w:rsid w:val="00483680"/>
    <w:rsid w:val="00490B80"/>
    <w:rsid w:val="004A1563"/>
    <w:rsid w:val="004A1E15"/>
    <w:rsid w:val="004A44A8"/>
    <w:rsid w:val="004A51DB"/>
    <w:rsid w:val="004A53B0"/>
    <w:rsid w:val="004B0C95"/>
    <w:rsid w:val="004B1B48"/>
    <w:rsid w:val="004B2FC5"/>
    <w:rsid w:val="004B65CA"/>
    <w:rsid w:val="004B6A63"/>
    <w:rsid w:val="004B704C"/>
    <w:rsid w:val="004B71D1"/>
    <w:rsid w:val="004C15B0"/>
    <w:rsid w:val="004C3E11"/>
    <w:rsid w:val="004C6DDC"/>
    <w:rsid w:val="004D0F71"/>
    <w:rsid w:val="004D10C2"/>
    <w:rsid w:val="004D25FC"/>
    <w:rsid w:val="004D7219"/>
    <w:rsid w:val="004D7C25"/>
    <w:rsid w:val="004E0A16"/>
    <w:rsid w:val="004E25E4"/>
    <w:rsid w:val="004E32D1"/>
    <w:rsid w:val="004E58D4"/>
    <w:rsid w:val="004E63E4"/>
    <w:rsid w:val="004F1CCD"/>
    <w:rsid w:val="004F4CF1"/>
    <w:rsid w:val="004F4E90"/>
    <w:rsid w:val="004F5C80"/>
    <w:rsid w:val="004F7176"/>
    <w:rsid w:val="004F7DA9"/>
    <w:rsid w:val="00501427"/>
    <w:rsid w:val="00501437"/>
    <w:rsid w:val="00502E4D"/>
    <w:rsid w:val="00514A8A"/>
    <w:rsid w:val="00515182"/>
    <w:rsid w:val="005171AE"/>
    <w:rsid w:val="005215D3"/>
    <w:rsid w:val="0052240B"/>
    <w:rsid w:val="005241EC"/>
    <w:rsid w:val="005242BA"/>
    <w:rsid w:val="00524CCD"/>
    <w:rsid w:val="00527A64"/>
    <w:rsid w:val="00532066"/>
    <w:rsid w:val="00533A08"/>
    <w:rsid w:val="0053553C"/>
    <w:rsid w:val="00537761"/>
    <w:rsid w:val="005377B3"/>
    <w:rsid w:val="00537A69"/>
    <w:rsid w:val="005407D5"/>
    <w:rsid w:val="005448CF"/>
    <w:rsid w:val="005450D3"/>
    <w:rsid w:val="00545AD3"/>
    <w:rsid w:val="0054627B"/>
    <w:rsid w:val="0055010A"/>
    <w:rsid w:val="00550246"/>
    <w:rsid w:val="005564C5"/>
    <w:rsid w:val="00557592"/>
    <w:rsid w:val="00557834"/>
    <w:rsid w:val="00560A20"/>
    <w:rsid w:val="005631DF"/>
    <w:rsid w:val="00564C0D"/>
    <w:rsid w:val="0056590B"/>
    <w:rsid w:val="00567012"/>
    <w:rsid w:val="005674F3"/>
    <w:rsid w:val="005721D7"/>
    <w:rsid w:val="00572F72"/>
    <w:rsid w:val="0057361A"/>
    <w:rsid w:val="00582D44"/>
    <w:rsid w:val="00593015"/>
    <w:rsid w:val="00594714"/>
    <w:rsid w:val="005A0027"/>
    <w:rsid w:val="005A0162"/>
    <w:rsid w:val="005A0D67"/>
    <w:rsid w:val="005A112C"/>
    <w:rsid w:val="005A2087"/>
    <w:rsid w:val="005A41E1"/>
    <w:rsid w:val="005B4CBA"/>
    <w:rsid w:val="005B5DB0"/>
    <w:rsid w:val="005B7924"/>
    <w:rsid w:val="005C1CDF"/>
    <w:rsid w:val="005C2142"/>
    <w:rsid w:val="005C3808"/>
    <w:rsid w:val="005C507B"/>
    <w:rsid w:val="005C7BEB"/>
    <w:rsid w:val="005D2B41"/>
    <w:rsid w:val="005D6612"/>
    <w:rsid w:val="005E07D7"/>
    <w:rsid w:val="005E1E15"/>
    <w:rsid w:val="005E5395"/>
    <w:rsid w:val="005E6C19"/>
    <w:rsid w:val="005E7E3F"/>
    <w:rsid w:val="005F184D"/>
    <w:rsid w:val="005F1B1E"/>
    <w:rsid w:val="005F3365"/>
    <w:rsid w:val="005F4928"/>
    <w:rsid w:val="005F4B51"/>
    <w:rsid w:val="005F559F"/>
    <w:rsid w:val="00600810"/>
    <w:rsid w:val="00602F24"/>
    <w:rsid w:val="00604132"/>
    <w:rsid w:val="0060774F"/>
    <w:rsid w:val="00611C35"/>
    <w:rsid w:val="0061328E"/>
    <w:rsid w:val="00615FAE"/>
    <w:rsid w:val="00617419"/>
    <w:rsid w:val="006220E5"/>
    <w:rsid w:val="006267EC"/>
    <w:rsid w:val="0062735D"/>
    <w:rsid w:val="006300D2"/>
    <w:rsid w:val="006305F1"/>
    <w:rsid w:val="00634510"/>
    <w:rsid w:val="006349C1"/>
    <w:rsid w:val="00636DE3"/>
    <w:rsid w:val="00637C69"/>
    <w:rsid w:val="006400B0"/>
    <w:rsid w:val="006402F3"/>
    <w:rsid w:val="00641C3E"/>
    <w:rsid w:val="00641CAD"/>
    <w:rsid w:val="00643EA1"/>
    <w:rsid w:val="00646C9C"/>
    <w:rsid w:val="00647DD4"/>
    <w:rsid w:val="00650CAA"/>
    <w:rsid w:val="00652CE9"/>
    <w:rsid w:val="006530B7"/>
    <w:rsid w:val="00653933"/>
    <w:rsid w:val="00660544"/>
    <w:rsid w:val="00667012"/>
    <w:rsid w:val="006672DD"/>
    <w:rsid w:val="0067274F"/>
    <w:rsid w:val="00673A29"/>
    <w:rsid w:val="006741D7"/>
    <w:rsid w:val="00676355"/>
    <w:rsid w:val="00677528"/>
    <w:rsid w:val="00680955"/>
    <w:rsid w:val="00680BA5"/>
    <w:rsid w:val="0068180D"/>
    <w:rsid w:val="00684A35"/>
    <w:rsid w:val="00685347"/>
    <w:rsid w:val="00691252"/>
    <w:rsid w:val="006926E8"/>
    <w:rsid w:val="00692701"/>
    <w:rsid w:val="00696534"/>
    <w:rsid w:val="006975B9"/>
    <w:rsid w:val="00697F33"/>
    <w:rsid w:val="006A1FFA"/>
    <w:rsid w:val="006A27C8"/>
    <w:rsid w:val="006A2A7F"/>
    <w:rsid w:val="006A591B"/>
    <w:rsid w:val="006A69AC"/>
    <w:rsid w:val="006B037F"/>
    <w:rsid w:val="006B0E9E"/>
    <w:rsid w:val="006B4C84"/>
    <w:rsid w:val="006B4EA0"/>
    <w:rsid w:val="006B70C2"/>
    <w:rsid w:val="006C4656"/>
    <w:rsid w:val="006C5677"/>
    <w:rsid w:val="006D3DEA"/>
    <w:rsid w:val="006D4595"/>
    <w:rsid w:val="006D4FB8"/>
    <w:rsid w:val="006D5480"/>
    <w:rsid w:val="006D61AB"/>
    <w:rsid w:val="006D7A22"/>
    <w:rsid w:val="006E35BE"/>
    <w:rsid w:val="006E430A"/>
    <w:rsid w:val="006E5648"/>
    <w:rsid w:val="006E6137"/>
    <w:rsid w:val="006E6516"/>
    <w:rsid w:val="006E77AA"/>
    <w:rsid w:val="006E7A76"/>
    <w:rsid w:val="006F0CD5"/>
    <w:rsid w:val="006F12B1"/>
    <w:rsid w:val="006F39CC"/>
    <w:rsid w:val="006F3DB4"/>
    <w:rsid w:val="00700ACF"/>
    <w:rsid w:val="00707EE4"/>
    <w:rsid w:val="007111F4"/>
    <w:rsid w:val="00711C57"/>
    <w:rsid w:val="00712551"/>
    <w:rsid w:val="00714DB3"/>
    <w:rsid w:val="007176CC"/>
    <w:rsid w:val="00717C48"/>
    <w:rsid w:val="007209EF"/>
    <w:rsid w:val="00722EBB"/>
    <w:rsid w:val="00723CF6"/>
    <w:rsid w:val="0072634B"/>
    <w:rsid w:val="00727648"/>
    <w:rsid w:val="00730070"/>
    <w:rsid w:val="007307DE"/>
    <w:rsid w:val="007335AE"/>
    <w:rsid w:val="00735A9A"/>
    <w:rsid w:val="007371F3"/>
    <w:rsid w:val="0074387A"/>
    <w:rsid w:val="00744AFC"/>
    <w:rsid w:val="00752984"/>
    <w:rsid w:val="0075677D"/>
    <w:rsid w:val="00757BF7"/>
    <w:rsid w:val="0076057C"/>
    <w:rsid w:val="00765F2D"/>
    <w:rsid w:val="00770A64"/>
    <w:rsid w:val="00770A69"/>
    <w:rsid w:val="0077349E"/>
    <w:rsid w:val="00773D92"/>
    <w:rsid w:val="00781468"/>
    <w:rsid w:val="00781863"/>
    <w:rsid w:val="00783329"/>
    <w:rsid w:val="00783F26"/>
    <w:rsid w:val="00784B7F"/>
    <w:rsid w:val="00785C2D"/>
    <w:rsid w:val="00785FE5"/>
    <w:rsid w:val="00786D3F"/>
    <w:rsid w:val="007905C0"/>
    <w:rsid w:val="0079487F"/>
    <w:rsid w:val="00794922"/>
    <w:rsid w:val="007967E8"/>
    <w:rsid w:val="007A029F"/>
    <w:rsid w:val="007A360F"/>
    <w:rsid w:val="007A4B70"/>
    <w:rsid w:val="007A60F8"/>
    <w:rsid w:val="007A701C"/>
    <w:rsid w:val="007A7CD4"/>
    <w:rsid w:val="007B2A72"/>
    <w:rsid w:val="007B3267"/>
    <w:rsid w:val="007B496A"/>
    <w:rsid w:val="007C0B6E"/>
    <w:rsid w:val="007C3B6C"/>
    <w:rsid w:val="007C5657"/>
    <w:rsid w:val="007C63BC"/>
    <w:rsid w:val="007D28FD"/>
    <w:rsid w:val="007E0506"/>
    <w:rsid w:val="007E1136"/>
    <w:rsid w:val="007E173D"/>
    <w:rsid w:val="007E1E99"/>
    <w:rsid w:val="007E2DC5"/>
    <w:rsid w:val="007E311A"/>
    <w:rsid w:val="007E7195"/>
    <w:rsid w:val="007F0DA7"/>
    <w:rsid w:val="007F4CE1"/>
    <w:rsid w:val="00800A78"/>
    <w:rsid w:val="00803AF4"/>
    <w:rsid w:val="00804F53"/>
    <w:rsid w:val="008068A5"/>
    <w:rsid w:val="00806B7B"/>
    <w:rsid w:val="00807293"/>
    <w:rsid w:val="00807960"/>
    <w:rsid w:val="008125BD"/>
    <w:rsid w:val="00822570"/>
    <w:rsid w:val="00824E6E"/>
    <w:rsid w:val="008250A2"/>
    <w:rsid w:val="00831AED"/>
    <w:rsid w:val="00831B01"/>
    <w:rsid w:val="00831E8D"/>
    <w:rsid w:val="008329A8"/>
    <w:rsid w:val="008360CF"/>
    <w:rsid w:val="00836AC0"/>
    <w:rsid w:val="00841FFD"/>
    <w:rsid w:val="00842F9E"/>
    <w:rsid w:val="00850592"/>
    <w:rsid w:val="00851AA9"/>
    <w:rsid w:val="00851ABD"/>
    <w:rsid w:val="008629E3"/>
    <w:rsid w:val="0086622B"/>
    <w:rsid w:val="00867686"/>
    <w:rsid w:val="00870D75"/>
    <w:rsid w:val="00871DB6"/>
    <w:rsid w:val="00876F45"/>
    <w:rsid w:val="00877447"/>
    <w:rsid w:val="00877822"/>
    <w:rsid w:val="0088263A"/>
    <w:rsid w:val="0088570A"/>
    <w:rsid w:val="008874A0"/>
    <w:rsid w:val="00890F06"/>
    <w:rsid w:val="008918E7"/>
    <w:rsid w:val="00892C66"/>
    <w:rsid w:val="008940DD"/>
    <w:rsid w:val="0089416A"/>
    <w:rsid w:val="00896D6D"/>
    <w:rsid w:val="0089785B"/>
    <w:rsid w:val="008A19F8"/>
    <w:rsid w:val="008A3677"/>
    <w:rsid w:val="008A41B0"/>
    <w:rsid w:val="008A5C4E"/>
    <w:rsid w:val="008A62E8"/>
    <w:rsid w:val="008B1284"/>
    <w:rsid w:val="008B1AF3"/>
    <w:rsid w:val="008B2522"/>
    <w:rsid w:val="008B47BC"/>
    <w:rsid w:val="008B7533"/>
    <w:rsid w:val="008C04DE"/>
    <w:rsid w:val="008C0C93"/>
    <w:rsid w:val="008C23D7"/>
    <w:rsid w:val="008C2985"/>
    <w:rsid w:val="008C3175"/>
    <w:rsid w:val="008C6BC3"/>
    <w:rsid w:val="008C7650"/>
    <w:rsid w:val="008D0419"/>
    <w:rsid w:val="008D2B4C"/>
    <w:rsid w:val="008D35D0"/>
    <w:rsid w:val="008D42FE"/>
    <w:rsid w:val="008D6A64"/>
    <w:rsid w:val="008D6AE4"/>
    <w:rsid w:val="008E19FB"/>
    <w:rsid w:val="008E3783"/>
    <w:rsid w:val="008E4C36"/>
    <w:rsid w:val="008E6C3F"/>
    <w:rsid w:val="008E7F2B"/>
    <w:rsid w:val="008F11E3"/>
    <w:rsid w:val="008F19DA"/>
    <w:rsid w:val="008F1C19"/>
    <w:rsid w:val="008F2B25"/>
    <w:rsid w:val="008F2FB2"/>
    <w:rsid w:val="008F4F08"/>
    <w:rsid w:val="008F62BA"/>
    <w:rsid w:val="008F65BE"/>
    <w:rsid w:val="00900E96"/>
    <w:rsid w:val="0090182F"/>
    <w:rsid w:val="00901AC2"/>
    <w:rsid w:val="00902EF9"/>
    <w:rsid w:val="009077BF"/>
    <w:rsid w:val="00910396"/>
    <w:rsid w:val="009127CB"/>
    <w:rsid w:val="00915D0B"/>
    <w:rsid w:val="00917BDF"/>
    <w:rsid w:val="00921D87"/>
    <w:rsid w:val="00921F31"/>
    <w:rsid w:val="00924A37"/>
    <w:rsid w:val="009255A7"/>
    <w:rsid w:val="00926597"/>
    <w:rsid w:val="0093364F"/>
    <w:rsid w:val="00935985"/>
    <w:rsid w:val="00937F08"/>
    <w:rsid w:val="00943042"/>
    <w:rsid w:val="0094372C"/>
    <w:rsid w:val="009449B3"/>
    <w:rsid w:val="0094579A"/>
    <w:rsid w:val="00945999"/>
    <w:rsid w:val="00952560"/>
    <w:rsid w:val="00953967"/>
    <w:rsid w:val="009553A2"/>
    <w:rsid w:val="00960544"/>
    <w:rsid w:val="00963EAB"/>
    <w:rsid w:val="00965055"/>
    <w:rsid w:val="00967022"/>
    <w:rsid w:val="00967B55"/>
    <w:rsid w:val="00970BE7"/>
    <w:rsid w:val="00971EC8"/>
    <w:rsid w:val="00971ED7"/>
    <w:rsid w:val="00973D4D"/>
    <w:rsid w:val="009745C1"/>
    <w:rsid w:val="00976ACC"/>
    <w:rsid w:val="00977F73"/>
    <w:rsid w:val="0098049F"/>
    <w:rsid w:val="0098353A"/>
    <w:rsid w:val="00985AE1"/>
    <w:rsid w:val="00985E29"/>
    <w:rsid w:val="00985EAE"/>
    <w:rsid w:val="0098629A"/>
    <w:rsid w:val="009872CE"/>
    <w:rsid w:val="00990C2B"/>
    <w:rsid w:val="009920DC"/>
    <w:rsid w:val="00992BF0"/>
    <w:rsid w:val="009946B4"/>
    <w:rsid w:val="00995D83"/>
    <w:rsid w:val="009A1FB8"/>
    <w:rsid w:val="009A424C"/>
    <w:rsid w:val="009A6908"/>
    <w:rsid w:val="009B068F"/>
    <w:rsid w:val="009B0E90"/>
    <w:rsid w:val="009B0ED0"/>
    <w:rsid w:val="009B0F6D"/>
    <w:rsid w:val="009B175E"/>
    <w:rsid w:val="009B2913"/>
    <w:rsid w:val="009B4A2E"/>
    <w:rsid w:val="009B655D"/>
    <w:rsid w:val="009C0915"/>
    <w:rsid w:val="009C128D"/>
    <w:rsid w:val="009C3CB3"/>
    <w:rsid w:val="009C45A9"/>
    <w:rsid w:val="009C61A4"/>
    <w:rsid w:val="009C6360"/>
    <w:rsid w:val="009C7EE5"/>
    <w:rsid w:val="009D30E5"/>
    <w:rsid w:val="009D51EE"/>
    <w:rsid w:val="009D63A4"/>
    <w:rsid w:val="009D6510"/>
    <w:rsid w:val="009D7526"/>
    <w:rsid w:val="009E192B"/>
    <w:rsid w:val="009E1ACC"/>
    <w:rsid w:val="009E206C"/>
    <w:rsid w:val="009E4E5C"/>
    <w:rsid w:val="009E5BF0"/>
    <w:rsid w:val="009E66A0"/>
    <w:rsid w:val="009E7349"/>
    <w:rsid w:val="009F105E"/>
    <w:rsid w:val="009F16D1"/>
    <w:rsid w:val="009F24C6"/>
    <w:rsid w:val="009F3175"/>
    <w:rsid w:val="009F5A7B"/>
    <w:rsid w:val="00A015D3"/>
    <w:rsid w:val="00A03460"/>
    <w:rsid w:val="00A0576A"/>
    <w:rsid w:val="00A05E35"/>
    <w:rsid w:val="00A1102E"/>
    <w:rsid w:val="00A12705"/>
    <w:rsid w:val="00A14880"/>
    <w:rsid w:val="00A1558F"/>
    <w:rsid w:val="00A202A4"/>
    <w:rsid w:val="00A2192B"/>
    <w:rsid w:val="00A21DE1"/>
    <w:rsid w:val="00A22203"/>
    <w:rsid w:val="00A2694A"/>
    <w:rsid w:val="00A26DDB"/>
    <w:rsid w:val="00A30E28"/>
    <w:rsid w:val="00A310F6"/>
    <w:rsid w:val="00A31531"/>
    <w:rsid w:val="00A31EE0"/>
    <w:rsid w:val="00A3557E"/>
    <w:rsid w:val="00A35F26"/>
    <w:rsid w:val="00A37244"/>
    <w:rsid w:val="00A41D94"/>
    <w:rsid w:val="00A4262A"/>
    <w:rsid w:val="00A43865"/>
    <w:rsid w:val="00A45345"/>
    <w:rsid w:val="00A5199C"/>
    <w:rsid w:val="00A51D00"/>
    <w:rsid w:val="00A53BE5"/>
    <w:rsid w:val="00A5738A"/>
    <w:rsid w:val="00A636EB"/>
    <w:rsid w:val="00A64155"/>
    <w:rsid w:val="00A654B9"/>
    <w:rsid w:val="00A6731A"/>
    <w:rsid w:val="00A70ACD"/>
    <w:rsid w:val="00A74DBC"/>
    <w:rsid w:val="00A76444"/>
    <w:rsid w:val="00A81303"/>
    <w:rsid w:val="00A831CB"/>
    <w:rsid w:val="00A839C6"/>
    <w:rsid w:val="00A84584"/>
    <w:rsid w:val="00A848A8"/>
    <w:rsid w:val="00A85C40"/>
    <w:rsid w:val="00A92DE7"/>
    <w:rsid w:val="00A934CE"/>
    <w:rsid w:val="00A9442A"/>
    <w:rsid w:val="00A95DD0"/>
    <w:rsid w:val="00AA3ACD"/>
    <w:rsid w:val="00AB4756"/>
    <w:rsid w:val="00AB4E34"/>
    <w:rsid w:val="00AB60A6"/>
    <w:rsid w:val="00AB7346"/>
    <w:rsid w:val="00AC0AFC"/>
    <w:rsid w:val="00AC0BB5"/>
    <w:rsid w:val="00AC1F7D"/>
    <w:rsid w:val="00AC3BB5"/>
    <w:rsid w:val="00AC5549"/>
    <w:rsid w:val="00AC5BD1"/>
    <w:rsid w:val="00AC6119"/>
    <w:rsid w:val="00AC758D"/>
    <w:rsid w:val="00AD229D"/>
    <w:rsid w:val="00AD3A95"/>
    <w:rsid w:val="00AD7446"/>
    <w:rsid w:val="00AE2D87"/>
    <w:rsid w:val="00AF0174"/>
    <w:rsid w:val="00AF075B"/>
    <w:rsid w:val="00AF0F72"/>
    <w:rsid w:val="00AF1CE8"/>
    <w:rsid w:val="00AF2EBA"/>
    <w:rsid w:val="00AF32A6"/>
    <w:rsid w:val="00AF358A"/>
    <w:rsid w:val="00AF45BE"/>
    <w:rsid w:val="00AF5FB9"/>
    <w:rsid w:val="00AF68D4"/>
    <w:rsid w:val="00B03111"/>
    <w:rsid w:val="00B059D0"/>
    <w:rsid w:val="00B07ADA"/>
    <w:rsid w:val="00B114E6"/>
    <w:rsid w:val="00B12840"/>
    <w:rsid w:val="00B16FE7"/>
    <w:rsid w:val="00B2194B"/>
    <w:rsid w:val="00B240EC"/>
    <w:rsid w:val="00B252A1"/>
    <w:rsid w:val="00B30E72"/>
    <w:rsid w:val="00B322B5"/>
    <w:rsid w:val="00B328F1"/>
    <w:rsid w:val="00B336E2"/>
    <w:rsid w:val="00B339E7"/>
    <w:rsid w:val="00B355A5"/>
    <w:rsid w:val="00B35ACB"/>
    <w:rsid w:val="00B35E6E"/>
    <w:rsid w:val="00B3618E"/>
    <w:rsid w:val="00B414AC"/>
    <w:rsid w:val="00B420A4"/>
    <w:rsid w:val="00B42643"/>
    <w:rsid w:val="00B42D1F"/>
    <w:rsid w:val="00B53738"/>
    <w:rsid w:val="00B537A2"/>
    <w:rsid w:val="00B54342"/>
    <w:rsid w:val="00B54CA0"/>
    <w:rsid w:val="00B57078"/>
    <w:rsid w:val="00B57F72"/>
    <w:rsid w:val="00B6113B"/>
    <w:rsid w:val="00B63B4C"/>
    <w:rsid w:val="00B64A29"/>
    <w:rsid w:val="00B674EF"/>
    <w:rsid w:val="00B7096D"/>
    <w:rsid w:val="00B70BCE"/>
    <w:rsid w:val="00B70D64"/>
    <w:rsid w:val="00B719DE"/>
    <w:rsid w:val="00B7462F"/>
    <w:rsid w:val="00B753CB"/>
    <w:rsid w:val="00B75496"/>
    <w:rsid w:val="00B76D39"/>
    <w:rsid w:val="00B80BE7"/>
    <w:rsid w:val="00B817F9"/>
    <w:rsid w:val="00B81F1D"/>
    <w:rsid w:val="00B84031"/>
    <w:rsid w:val="00B85723"/>
    <w:rsid w:val="00B87BEE"/>
    <w:rsid w:val="00B9246B"/>
    <w:rsid w:val="00B935FD"/>
    <w:rsid w:val="00B96AAC"/>
    <w:rsid w:val="00BA1CE0"/>
    <w:rsid w:val="00BA3C0D"/>
    <w:rsid w:val="00BA6765"/>
    <w:rsid w:val="00BB201A"/>
    <w:rsid w:val="00BB39A1"/>
    <w:rsid w:val="00BB5989"/>
    <w:rsid w:val="00BB5A98"/>
    <w:rsid w:val="00BB6AA1"/>
    <w:rsid w:val="00BB6E2C"/>
    <w:rsid w:val="00BC0940"/>
    <w:rsid w:val="00BC0C04"/>
    <w:rsid w:val="00BC2A69"/>
    <w:rsid w:val="00BC3E27"/>
    <w:rsid w:val="00BC4236"/>
    <w:rsid w:val="00BC5B4A"/>
    <w:rsid w:val="00BC5D7B"/>
    <w:rsid w:val="00BC5EBF"/>
    <w:rsid w:val="00BC6159"/>
    <w:rsid w:val="00BD0CCC"/>
    <w:rsid w:val="00BD2CCE"/>
    <w:rsid w:val="00BD638D"/>
    <w:rsid w:val="00BD6979"/>
    <w:rsid w:val="00BE161D"/>
    <w:rsid w:val="00BE36AF"/>
    <w:rsid w:val="00BE40A1"/>
    <w:rsid w:val="00BE5D91"/>
    <w:rsid w:val="00BE65E4"/>
    <w:rsid w:val="00BF21AD"/>
    <w:rsid w:val="00BF43E8"/>
    <w:rsid w:val="00BF455A"/>
    <w:rsid w:val="00BF4607"/>
    <w:rsid w:val="00BF70ED"/>
    <w:rsid w:val="00BF75F0"/>
    <w:rsid w:val="00C00320"/>
    <w:rsid w:val="00C02116"/>
    <w:rsid w:val="00C02AE9"/>
    <w:rsid w:val="00C03493"/>
    <w:rsid w:val="00C04AB2"/>
    <w:rsid w:val="00C05D97"/>
    <w:rsid w:val="00C06729"/>
    <w:rsid w:val="00C1391D"/>
    <w:rsid w:val="00C13E4B"/>
    <w:rsid w:val="00C13EEF"/>
    <w:rsid w:val="00C14C27"/>
    <w:rsid w:val="00C14E06"/>
    <w:rsid w:val="00C15956"/>
    <w:rsid w:val="00C21966"/>
    <w:rsid w:val="00C21E0E"/>
    <w:rsid w:val="00C22013"/>
    <w:rsid w:val="00C22908"/>
    <w:rsid w:val="00C22E46"/>
    <w:rsid w:val="00C23E16"/>
    <w:rsid w:val="00C27D46"/>
    <w:rsid w:val="00C3111B"/>
    <w:rsid w:val="00C40757"/>
    <w:rsid w:val="00C42615"/>
    <w:rsid w:val="00C52328"/>
    <w:rsid w:val="00C55CE1"/>
    <w:rsid w:val="00C57017"/>
    <w:rsid w:val="00C60ADE"/>
    <w:rsid w:val="00C64BBB"/>
    <w:rsid w:val="00C71EB7"/>
    <w:rsid w:val="00C7209F"/>
    <w:rsid w:val="00C74912"/>
    <w:rsid w:val="00C751C3"/>
    <w:rsid w:val="00C75CBD"/>
    <w:rsid w:val="00C764F7"/>
    <w:rsid w:val="00C77882"/>
    <w:rsid w:val="00C778EE"/>
    <w:rsid w:val="00C80AEA"/>
    <w:rsid w:val="00C811AB"/>
    <w:rsid w:val="00C82A54"/>
    <w:rsid w:val="00C82B2A"/>
    <w:rsid w:val="00C843F6"/>
    <w:rsid w:val="00C84AE7"/>
    <w:rsid w:val="00C86CC7"/>
    <w:rsid w:val="00C86EF2"/>
    <w:rsid w:val="00C87316"/>
    <w:rsid w:val="00C87F41"/>
    <w:rsid w:val="00C90A22"/>
    <w:rsid w:val="00C93182"/>
    <w:rsid w:val="00C9468D"/>
    <w:rsid w:val="00C97888"/>
    <w:rsid w:val="00CA0103"/>
    <w:rsid w:val="00CA04C1"/>
    <w:rsid w:val="00CA205C"/>
    <w:rsid w:val="00CA5776"/>
    <w:rsid w:val="00CA5E77"/>
    <w:rsid w:val="00CA62BD"/>
    <w:rsid w:val="00CA76C5"/>
    <w:rsid w:val="00CB1516"/>
    <w:rsid w:val="00CB1651"/>
    <w:rsid w:val="00CB5052"/>
    <w:rsid w:val="00CB53D2"/>
    <w:rsid w:val="00CC0152"/>
    <w:rsid w:val="00CC1A81"/>
    <w:rsid w:val="00CC3141"/>
    <w:rsid w:val="00CC32AC"/>
    <w:rsid w:val="00CC33DA"/>
    <w:rsid w:val="00CC4623"/>
    <w:rsid w:val="00CD1151"/>
    <w:rsid w:val="00CD1EA2"/>
    <w:rsid w:val="00CD3D0F"/>
    <w:rsid w:val="00CD6BF7"/>
    <w:rsid w:val="00CE2A46"/>
    <w:rsid w:val="00CE3315"/>
    <w:rsid w:val="00CE3B46"/>
    <w:rsid w:val="00CF0705"/>
    <w:rsid w:val="00CF488C"/>
    <w:rsid w:val="00CF4952"/>
    <w:rsid w:val="00D05B2A"/>
    <w:rsid w:val="00D064AC"/>
    <w:rsid w:val="00D07DBC"/>
    <w:rsid w:val="00D11F91"/>
    <w:rsid w:val="00D12F7F"/>
    <w:rsid w:val="00D13D9F"/>
    <w:rsid w:val="00D14234"/>
    <w:rsid w:val="00D1618B"/>
    <w:rsid w:val="00D17896"/>
    <w:rsid w:val="00D17CD2"/>
    <w:rsid w:val="00D20E66"/>
    <w:rsid w:val="00D25606"/>
    <w:rsid w:val="00D25BE1"/>
    <w:rsid w:val="00D26BD7"/>
    <w:rsid w:val="00D27031"/>
    <w:rsid w:val="00D3167D"/>
    <w:rsid w:val="00D34093"/>
    <w:rsid w:val="00D35CE0"/>
    <w:rsid w:val="00D405D7"/>
    <w:rsid w:val="00D410AE"/>
    <w:rsid w:val="00D4255D"/>
    <w:rsid w:val="00D428CC"/>
    <w:rsid w:val="00D50796"/>
    <w:rsid w:val="00D510AF"/>
    <w:rsid w:val="00D52C8A"/>
    <w:rsid w:val="00D565AA"/>
    <w:rsid w:val="00D61634"/>
    <w:rsid w:val="00D6247F"/>
    <w:rsid w:val="00D627B1"/>
    <w:rsid w:val="00D62BE1"/>
    <w:rsid w:val="00D6335A"/>
    <w:rsid w:val="00D666DA"/>
    <w:rsid w:val="00D67805"/>
    <w:rsid w:val="00D70957"/>
    <w:rsid w:val="00D72233"/>
    <w:rsid w:val="00D74DB9"/>
    <w:rsid w:val="00D800E5"/>
    <w:rsid w:val="00D82674"/>
    <w:rsid w:val="00D82685"/>
    <w:rsid w:val="00D84877"/>
    <w:rsid w:val="00D853DA"/>
    <w:rsid w:val="00D85B50"/>
    <w:rsid w:val="00D903E6"/>
    <w:rsid w:val="00D95A81"/>
    <w:rsid w:val="00DA04D4"/>
    <w:rsid w:val="00DA4169"/>
    <w:rsid w:val="00DA47F4"/>
    <w:rsid w:val="00DB00D9"/>
    <w:rsid w:val="00DB0571"/>
    <w:rsid w:val="00DB5D0E"/>
    <w:rsid w:val="00DC0E0D"/>
    <w:rsid w:val="00DC1A03"/>
    <w:rsid w:val="00DC2E20"/>
    <w:rsid w:val="00DC578B"/>
    <w:rsid w:val="00DC5A7B"/>
    <w:rsid w:val="00DC68FD"/>
    <w:rsid w:val="00DD12CB"/>
    <w:rsid w:val="00DD1FFB"/>
    <w:rsid w:val="00DD4DE5"/>
    <w:rsid w:val="00DD6A2D"/>
    <w:rsid w:val="00DD6FFD"/>
    <w:rsid w:val="00DE04DF"/>
    <w:rsid w:val="00DE07F0"/>
    <w:rsid w:val="00DE0B08"/>
    <w:rsid w:val="00DE2833"/>
    <w:rsid w:val="00DE2E76"/>
    <w:rsid w:val="00DE2ECA"/>
    <w:rsid w:val="00DE3026"/>
    <w:rsid w:val="00DE406D"/>
    <w:rsid w:val="00DE455C"/>
    <w:rsid w:val="00DE4E4A"/>
    <w:rsid w:val="00DE784E"/>
    <w:rsid w:val="00DE7C6F"/>
    <w:rsid w:val="00DF0726"/>
    <w:rsid w:val="00DF1CD0"/>
    <w:rsid w:val="00DF1D0D"/>
    <w:rsid w:val="00DF519E"/>
    <w:rsid w:val="00E01B31"/>
    <w:rsid w:val="00E06DE0"/>
    <w:rsid w:val="00E1176F"/>
    <w:rsid w:val="00E14E64"/>
    <w:rsid w:val="00E222FC"/>
    <w:rsid w:val="00E23D2A"/>
    <w:rsid w:val="00E24673"/>
    <w:rsid w:val="00E25CA8"/>
    <w:rsid w:val="00E26566"/>
    <w:rsid w:val="00E26B42"/>
    <w:rsid w:val="00E27B3C"/>
    <w:rsid w:val="00E3021B"/>
    <w:rsid w:val="00E363CF"/>
    <w:rsid w:val="00E3708A"/>
    <w:rsid w:val="00E372AF"/>
    <w:rsid w:val="00E37D0F"/>
    <w:rsid w:val="00E4358B"/>
    <w:rsid w:val="00E436EA"/>
    <w:rsid w:val="00E4458D"/>
    <w:rsid w:val="00E478DE"/>
    <w:rsid w:val="00E56811"/>
    <w:rsid w:val="00E57CB9"/>
    <w:rsid w:val="00E57D23"/>
    <w:rsid w:val="00E62012"/>
    <w:rsid w:val="00E64549"/>
    <w:rsid w:val="00E67286"/>
    <w:rsid w:val="00E71BB0"/>
    <w:rsid w:val="00E7480C"/>
    <w:rsid w:val="00E75E1E"/>
    <w:rsid w:val="00E75F56"/>
    <w:rsid w:val="00E81608"/>
    <w:rsid w:val="00E826D9"/>
    <w:rsid w:val="00E832F7"/>
    <w:rsid w:val="00E84102"/>
    <w:rsid w:val="00E900C0"/>
    <w:rsid w:val="00E9056F"/>
    <w:rsid w:val="00E9205F"/>
    <w:rsid w:val="00E92B02"/>
    <w:rsid w:val="00E95558"/>
    <w:rsid w:val="00E961FA"/>
    <w:rsid w:val="00E971B3"/>
    <w:rsid w:val="00E97EE6"/>
    <w:rsid w:val="00EA5F65"/>
    <w:rsid w:val="00EA5FE2"/>
    <w:rsid w:val="00EA6362"/>
    <w:rsid w:val="00EB1C5A"/>
    <w:rsid w:val="00EB274A"/>
    <w:rsid w:val="00EC14A3"/>
    <w:rsid w:val="00EC2EA6"/>
    <w:rsid w:val="00EC7D20"/>
    <w:rsid w:val="00ED0CDF"/>
    <w:rsid w:val="00ED574A"/>
    <w:rsid w:val="00ED7113"/>
    <w:rsid w:val="00ED7A61"/>
    <w:rsid w:val="00ED7B37"/>
    <w:rsid w:val="00EE11CB"/>
    <w:rsid w:val="00EE1C67"/>
    <w:rsid w:val="00EE26AA"/>
    <w:rsid w:val="00EE3658"/>
    <w:rsid w:val="00EE3A31"/>
    <w:rsid w:val="00EE454B"/>
    <w:rsid w:val="00EE4871"/>
    <w:rsid w:val="00EE4B40"/>
    <w:rsid w:val="00EE6969"/>
    <w:rsid w:val="00EF39B6"/>
    <w:rsid w:val="00F0211B"/>
    <w:rsid w:val="00F03959"/>
    <w:rsid w:val="00F05CD3"/>
    <w:rsid w:val="00F1054B"/>
    <w:rsid w:val="00F10CC5"/>
    <w:rsid w:val="00F13FA8"/>
    <w:rsid w:val="00F165D1"/>
    <w:rsid w:val="00F17BC3"/>
    <w:rsid w:val="00F20F13"/>
    <w:rsid w:val="00F26295"/>
    <w:rsid w:val="00F2661C"/>
    <w:rsid w:val="00F26BED"/>
    <w:rsid w:val="00F3100B"/>
    <w:rsid w:val="00F31E16"/>
    <w:rsid w:val="00F33B88"/>
    <w:rsid w:val="00F40823"/>
    <w:rsid w:val="00F4221D"/>
    <w:rsid w:val="00F4332A"/>
    <w:rsid w:val="00F4385C"/>
    <w:rsid w:val="00F43C15"/>
    <w:rsid w:val="00F44273"/>
    <w:rsid w:val="00F46BE8"/>
    <w:rsid w:val="00F613E3"/>
    <w:rsid w:val="00F632D4"/>
    <w:rsid w:val="00F63F9A"/>
    <w:rsid w:val="00F65D1C"/>
    <w:rsid w:val="00F707A8"/>
    <w:rsid w:val="00F72282"/>
    <w:rsid w:val="00F74F8E"/>
    <w:rsid w:val="00F80A0B"/>
    <w:rsid w:val="00F80ACA"/>
    <w:rsid w:val="00F8545B"/>
    <w:rsid w:val="00F95308"/>
    <w:rsid w:val="00F97A78"/>
    <w:rsid w:val="00FA5D12"/>
    <w:rsid w:val="00FA6015"/>
    <w:rsid w:val="00FA6301"/>
    <w:rsid w:val="00FA6571"/>
    <w:rsid w:val="00FB03A1"/>
    <w:rsid w:val="00FB069B"/>
    <w:rsid w:val="00FC1065"/>
    <w:rsid w:val="00FC1296"/>
    <w:rsid w:val="00FC4CCC"/>
    <w:rsid w:val="00FC5052"/>
    <w:rsid w:val="00FC5A45"/>
    <w:rsid w:val="00FC5FB8"/>
    <w:rsid w:val="00FD1CBD"/>
    <w:rsid w:val="00FD3395"/>
    <w:rsid w:val="00FD44EA"/>
    <w:rsid w:val="00FD4BEC"/>
    <w:rsid w:val="00FD6E21"/>
    <w:rsid w:val="00FD7032"/>
    <w:rsid w:val="00FE036B"/>
    <w:rsid w:val="00FE42E0"/>
    <w:rsid w:val="00FE47E3"/>
    <w:rsid w:val="00FE4C05"/>
    <w:rsid w:val="00FE6F7E"/>
    <w:rsid w:val="00FE7AB9"/>
    <w:rsid w:val="00FF1269"/>
    <w:rsid w:val="00FF3B73"/>
    <w:rsid w:val="00FF72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4B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55"/>
    <w:pPr>
      <w:spacing w:after="200" w:line="276" w:lineRule="auto"/>
    </w:pPr>
  </w:style>
  <w:style w:type="paragraph" w:styleId="Heading1">
    <w:name w:val="heading 1"/>
    <w:basedOn w:val="Normal"/>
    <w:next w:val="Normal"/>
    <w:link w:val="Heading1Char"/>
    <w:qFormat/>
    <w:rsid w:val="00723CF6"/>
    <w:pPr>
      <w:keepNex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pPr>
    <w:rPr>
      <w:rFonts w:ascii="Calibri" w:eastAsia="Calibri" w:hAnsi="Calibri"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55"/>
    <w:pPr>
      <w:ind w:left="720"/>
      <w:contextualSpacing/>
    </w:pPr>
  </w:style>
  <w:style w:type="paragraph" w:styleId="FootnoteText">
    <w:name w:val="footnote text"/>
    <w:basedOn w:val="Normal"/>
    <w:link w:val="FootnoteTextChar"/>
    <w:uiPriority w:val="99"/>
    <w:unhideWhenUsed/>
    <w:rsid w:val="000E4155"/>
    <w:pPr>
      <w:spacing w:after="0" w:line="240" w:lineRule="auto"/>
    </w:pPr>
    <w:rPr>
      <w:sz w:val="20"/>
      <w:szCs w:val="20"/>
    </w:rPr>
  </w:style>
  <w:style w:type="character" w:customStyle="1" w:styleId="FootnoteTextChar">
    <w:name w:val="Footnote Text Char"/>
    <w:basedOn w:val="DefaultParagraphFont"/>
    <w:link w:val="FootnoteText"/>
    <w:uiPriority w:val="99"/>
    <w:rsid w:val="000E4155"/>
    <w:rPr>
      <w:sz w:val="20"/>
      <w:szCs w:val="20"/>
    </w:rPr>
  </w:style>
  <w:style w:type="character" w:styleId="FootnoteReference">
    <w:name w:val="footnote reference"/>
    <w:basedOn w:val="DefaultParagraphFont"/>
    <w:uiPriority w:val="99"/>
    <w:semiHidden/>
    <w:unhideWhenUsed/>
    <w:rsid w:val="000E4155"/>
    <w:rPr>
      <w:vertAlign w:val="superscript"/>
    </w:rPr>
  </w:style>
  <w:style w:type="paragraph" w:styleId="Header">
    <w:name w:val="header"/>
    <w:basedOn w:val="Normal"/>
    <w:link w:val="HeaderChar"/>
    <w:uiPriority w:val="99"/>
    <w:unhideWhenUsed/>
    <w:rsid w:val="000E4155"/>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4155"/>
  </w:style>
  <w:style w:type="paragraph" w:styleId="Footer">
    <w:name w:val="footer"/>
    <w:basedOn w:val="Normal"/>
    <w:link w:val="FooterChar"/>
    <w:unhideWhenUsed/>
    <w:rsid w:val="000E4155"/>
    <w:pPr>
      <w:tabs>
        <w:tab w:val="center" w:pos="4419"/>
        <w:tab w:val="right" w:pos="8838"/>
      </w:tabs>
      <w:spacing w:after="0" w:line="240" w:lineRule="auto"/>
    </w:pPr>
  </w:style>
  <w:style w:type="character" w:customStyle="1" w:styleId="FooterChar">
    <w:name w:val="Footer Char"/>
    <w:basedOn w:val="DefaultParagraphFont"/>
    <w:link w:val="Footer"/>
    <w:rsid w:val="000E4155"/>
  </w:style>
  <w:style w:type="paragraph" w:styleId="TOC3">
    <w:name w:val="toc 3"/>
    <w:basedOn w:val="Normal"/>
    <w:next w:val="Normal"/>
    <w:autoRedefine/>
    <w:uiPriority w:val="39"/>
    <w:unhideWhenUsed/>
    <w:rsid w:val="000E4155"/>
    <w:pPr>
      <w:tabs>
        <w:tab w:val="right" w:leader="dot" w:pos="9129"/>
      </w:tabs>
      <w:spacing w:before="120" w:after="100" w:line="240" w:lineRule="auto"/>
      <w:ind w:left="708" w:firstLine="567"/>
      <w:jc w:val="both"/>
    </w:pPr>
    <w:rPr>
      <w:rFonts w:ascii="Calibri" w:eastAsia="Times New Roman" w:hAnsi="Calibri" w:cs="Times New Roman"/>
      <w:sz w:val="24"/>
      <w:lang w:val="es-ES" w:eastAsia="es-ES"/>
    </w:rPr>
  </w:style>
  <w:style w:type="character" w:styleId="Hyperlink">
    <w:name w:val="Hyperlink"/>
    <w:uiPriority w:val="99"/>
    <w:unhideWhenUsed/>
    <w:rsid w:val="000E4155"/>
    <w:rPr>
      <w:color w:val="0000FF"/>
      <w:u w:val="single"/>
    </w:rPr>
  </w:style>
  <w:style w:type="paragraph" w:customStyle="1" w:styleId="Default">
    <w:name w:val="Default"/>
    <w:rsid w:val="000E415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14A8A"/>
    <w:rPr>
      <w:color w:val="954F72" w:themeColor="followedHyperlink"/>
      <w:u w:val="single"/>
    </w:rPr>
  </w:style>
  <w:style w:type="character" w:customStyle="1" w:styleId="hps">
    <w:name w:val="hps"/>
    <w:basedOn w:val="DefaultParagraphFont"/>
    <w:rsid w:val="00B70D64"/>
  </w:style>
  <w:style w:type="paragraph" w:styleId="TOC1">
    <w:name w:val="toc 1"/>
    <w:basedOn w:val="Normal"/>
    <w:next w:val="Normal"/>
    <w:autoRedefine/>
    <w:uiPriority w:val="39"/>
    <w:unhideWhenUsed/>
    <w:rsid w:val="00723CF6"/>
    <w:pPr>
      <w:spacing w:after="100"/>
    </w:pPr>
  </w:style>
  <w:style w:type="character" w:customStyle="1" w:styleId="Heading1Char">
    <w:name w:val="Heading 1 Char"/>
    <w:basedOn w:val="DefaultParagraphFont"/>
    <w:link w:val="Heading1"/>
    <w:rsid w:val="00723CF6"/>
    <w:rPr>
      <w:rFonts w:ascii="Calibri" w:eastAsia="Calibri" w:hAnsi="Calibri" w:cs="Times New Roman"/>
      <w:b/>
      <w:sz w:val="28"/>
      <w:szCs w:val="28"/>
    </w:rPr>
  </w:style>
  <w:style w:type="paragraph" w:styleId="BalloonText">
    <w:name w:val="Balloon Text"/>
    <w:basedOn w:val="Normal"/>
    <w:link w:val="BalloonTextChar"/>
    <w:uiPriority w:val="99"/>
    <w:semiHidden/>
    <w:unhideWhenUsed/>
    <w:rsid w:val="0075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F7"/>
    <w:rPr>
      <w:rFonts w:ascii="Tahoma" w:hAnsi="Tahoma" w:cs="Tahoma"/>
      <w:sz w:val="16"/>
      <w:szCs w:val="16"/>
    </w:rPr>
  </w:style>
  <w:style w:type="paragraph" w:styleId="NormalWeb">
    <w:name w:val="Normal (Web)"/>
    <w:basedOn w:val="Normal"/>
    <w:uiPriority w:val="99"/>
    <w:semiHidden/>
    <w:unhideWhenUsed/>
    <w:rsid w:val="002E37C8"/>
    <w:pPr>
      <w:spacing w:before="100" w:beforeAutospacing="1" w:after="100" w:afterAutospacing="1" w:line="240" w:lineRule="auto"/>
    </w:pPr>
    <w:rPr>
      <w:rFonts w:ascii="Times New Roman" w:eastAsiaTheme="minorEastAsia" w:hAnsi="Times New Roman" w:cs="Times New Roman"/>
      <w:sz w:val="24"/>
      <w:szCs w:val="24"/>
      <w:lang w:eastAsia="es-CL"/>
    </w:rPr>
  </w:style>
  <w:style w:type="character" w:styleId="CommentReference">
    <w:name w:val="annotation reference"/>
    <w:basedOn w:val="DefaultParagraphFont"/>
    <w:uiPriority w:val="99"/>
    <w:semiHidden/>
    <w:unhideWhenUsed/>
    <w:rsid w:val="00B328F1"/>
    <w:rPr>
      <w:sz w:val="16"/>
      <w:szCs w:val="16"/>
    </w:rPr>
  </w:style>
  <w:style w:type="paragraph" w:styleId="CommentText">
    <w:name w:val="annotation text"/>
    <w:basedOn w:val="Normal"/>
    <w:link w:val="CommentTextChar"/>
    <w:uiPriority w:val="99"/>
    <w:semiHidden/>
    <w:unhideWhenUsed/>
    <w:rsid w:val="00B328F1"/>
    <w:pPr>
      <w:spacing w:line="240" w:lineRule="auto"/>
    </w:pPr>
    <w:rPr>
      <w:sz w:val="20"/>
      <w:szCs w:val="20"/>
    </w:rPr>
  </w:style>
  <w:style w:type="character" w:customStyle="1" w:styleId="CommentTextChar">
    <w:name w:val="Comment Text Char"/>
    <w:basedOn w:val="DefaultParagraphFont"/>
    <w:link w:val="CommentText"/>
    <w:uiPriority w:val="99"/>
    <w:semiHidden/>
    <w:rsid w:val="00B328F1"/>
    <w:rPr>
      <w:sz w:val="20"/>
      <w:szCs w:val="20"/>
    </w:rPr>
  </w:style>
  <w:style w:type="paragraph" w:styleId="CommentSubject">
    <w:name w:val="annotation subject"/>
    <w:basedOn w:val="CommentText"/>
    <w:next w:val="CommentText"/>
    <w:link w:val="CommentSubjectChar"/>
    <w:uiPriority w:val="99"/>
    <w:semiHidden/>
    <w:unhideWhenUsed/>
    <w:rsid w:val="00B328F1"/>
    <w:rPr>
      <w:b/>
      <w:bCs/>
    </w:rPr>
  </w:style>
  <w:style w:type="character" w:customStyle="1" w:styleId="CommentSubjectChar">
    <w:name w:val="Comment Subject Char"/>
    <w:basedOn w:val="CommentTextChar"/>
    <w:link w:val="CommentSubject"/>
    <w:uiPriority w:val="99"/>
    <w:semiHidden/>
    <w:rsid w:val="00B328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55"/>
    <w:pPr>
      <w:spacing w:after="200" w:line="276" w:lineRule="auto"/>
    </w:pPr>
  </w:style>
  <w:style w:type="paragraph" w:styleId="Heading1">
    <w:name w:val="heading 1"/>
    <w:basedOn w:val="Normal"/>
    <w:next w:val="Normal"/>
    <w:link w:val="Heading1Char"/>
    <w:qFormat/>
    <w:rsid w:val="00723CF6"/>
    <w:pPr>
      <w:keepNex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pPr>
    <w:rPr>
      <w:rFonts w:ascii="Calibri" w:eastAsia="Calibri" w:hAnsi="Calibri"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55"/>
    <w:pPr>
      <w:ind w:left="720"/>
      <w:contextualSpacing/>
    </w:pPr>
  </w:style>
  <w:style w:type="paragraph" w:styleId="FootnoteText">
    <w:name w:val="footnote text"/>
    <w:basedOn w:val="Normal"/>
    <w:link w:val="FootnoteTextChar"/>
    <w:uiPriority w:val="99"/>
    <w:unhideWhenUsed/>
    <w:rsid w:val="000E4155"/>
    <w:pPr>
      <w:spacing w:after="0" w:line="240" w:lineRule="auto"/>
    </w:pPr>
    <w:rPr>
      <w:sz w:val="20"/>
      <w:szCs w:val="20"/>
    </w:rPr>
  </w:style>
  <w:style w:type="character" w:customStyle="1" w:styleId="FootnoteTextChar">
    <w:name w:val="Footnote Text Char"/>
    <w:basedOn w:val="DefaultParagraphFont"/>
    <w:link w:val="FootnoteText"/>
    <w:uiPriority w:val="99"/>
    <w:rsid w:val="000E4155"/>
    <w:rPr>
      <w:sz w:val="20"/>
      <w:szCs w:val="20"/>
    </w:rPr>
  </w:style>
  <w:style w:type="character" w:styleId="FootnoteReference">
    <w:name w:val="footnote reference"/>
    <w:basedOn w:val="DefaultParagraphFont"/>
    <w:uiPriority w:val="99"/>
    <w:semiHidden/>
    <w:unhideWhenUsed/>
    <w:rsid w:val="000E4155"/>
    <w:rPr>
      <w:vertAlign w:val="superscript"/>
    </w:rPr>
  </w:style>
  <w:style w:type="paragraph" w:styleId="Header">
    <w:name w:val="header"/>
    <w:basedOn w:val="Normal"/>
    <w:link w:val="HeaderChar"/>
    <w:uiPriority w:val="99"/>
    <w:unhideWhenUsed/>
    <w:rsid w:val="000E4155"/>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4155"/>
  </w:style>
  <w:style w:type="paragraph" w:styleId="Footer">
    <w:name w:val="footer"/>
    <w:basedOn w:val="Normal"/>
    <w:link w:val="FooterChar"/>
    <w:unhideWhenUsed/>
    <w:rsid w:val="000E4155"/>
    <w:pPr>
      <w:tabs>
        <w:tab w:val="center" w:pos="4419"/>
        <w:tab w:val="right" w:pos="8838"/>
      </w:tabs>
      <w:spacing w:after="0" w:line="240" w:lineRule="auto"/>
    </w:pPr>
  </w:style>
  <w:style w:type="character" w:customStyle="1" w:styleId="FooterChar">
    <w:name w:val="Footer Char"/>
    <w:basedOn w:val="DefaultParagraphFont"/>
    <w:link w:val="Footer"/>
    <w:rsid w:val="000E4155"/>
  </w:style>
  <w:style w:type="paragraph" w:styleId="TOC3">
    <w:name w:val="toc 3"/>
    <w:basedOn w:val="Normal"/>
    <w:next w:val="Normal"/>
    <w:autoRedefine/>
    <w:uiPriority w:val="39"/>
    <w:unhideWhenUsed/>
    <w:rsid w:val="000E4155"/>
    <w:pPr>
      <w:tabs>
        <w:tab w:val="right" w:leader="dot" w:pos="9129"/>
      </w:tabs>
      <w:spacing w:before="120" w:after="100" w:line="240" w:lineRule="auto"/>
      <w:ind w:left="708" w:firstLine="567"/>
      <w:jc w:val="both"/>
    </w:pPr>
    <w:rPr>
      <w:rFonts w:ascii="Calibri" w:eastAsia="Times New Roman" w:hAnsi="Calibri" w:cs="Times New Roman"/>
      <w:sz w:val="24"/>
      <w:lang w:val="es-ES" w:eastAsia="es-ES"/>
    </w:rPr>
  </w:style>
  <w:style w:type="character" w:styleId="Hyperlink">
    <w:name w:val="Hyperlink"/>
    <w:uiPriority w:val="99"/>
    <w:unhideWhenUsed/>
    <w:rsid w:val="000E4155"/>
    <w:rPr>
      <w:color w:val="0000FF"/>
      <w:u w:val="single"/>
    </w:rPr>
  </w:style>
  <w:style w:type="paragraph" w:customStyle="1" w:styleId="Default">
    <w:name w:val="Default"/>
    <w:rsid w:val="000E415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14A8A"/>
    <w:rPr>
      <w:color w:val="954F72" w:themeColor="followedHyperlink"/>
      <w:u w:val="single"/>
    </w:rPr>
  </w:style>
  <w:style w:type="character" w:customStyle="1" w:styleId="hps">
    <w:name w:val="hps"/>
    <w:basedOn w:val="DefaultParagraphFont"/>
    <w:rsid w:val="00B70D64"/>
  </w:style>
  <w:style w:type="paragraph" w:styleId="TOC1">
    <w:name w:val="toc 1"/>
    <w:basedOn w:val="Normal"/>
    <w:next w:val="Normal"/>
    <w:autoRedefine/>
    <w:uiPriority w:val="39"/>
    <w:unhideWhenUsed/>
    <w:rsid w:val="00723CF6"/>
    <w:pPr>
      <w:spacing w:after="100"/>
    </w:pPr>
  </w:style>
  <w:style w:type="character" w:customStyle="1" w:styleId="Heading1Char">
    <w:name w:val="Heading 1 Char"/>
    <w:basedOn w:val="DefaultParagraphFont"/>
    <w:link w:val="Heading1"/>
    <w:rsid w:val="00723CF6"/>
    <w:rPr>
      <w:rFonts w:ascii="Calibri" w:eastAsia="Calibri" w:hAnsi="Calibri" w:cs="Times New Roman"/>
      <w:b/>
      <w:sz w:val="28"/>
      <w:szCs w:val="28"/>
    </w:rPr>
  </w:style>
  <w:style w:type="paragraph" w:styleId="BalloonText">
    <w:name w:val="Balloon Text"/>
    <w:basedOn w:val="Normal"/>
    <w:link w:val="BalloonTextChar"/>
    <w:uiPriority w:val="99"/>
    <w:semiHidden/>
    <w:unhideWhenUsed/>
    <w:rsid w:val="0075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F7"/>
    <w:rPr>
      <w:rFonts w:ascii="Tahoma" w:hAnsi="Tahoma" w:cs="Tahoma"/>
      <w:sz w:val="16"/>
      <w:szCs w:val="16"/>
    </w:rPr>
  </w:style>
  <w:style w:type="paragraph" w:styleId="NormalWeb">
    <w:name w:val="Normal (Web)"/>
    <w:basedOn w:val="Normal"/>
    <w:uiPriority w:val="99"/>
    <w:semiHidden/>
    <w:unhideWhenUsed/>
    <w:rsid w:val="002E37C8"/>
    <w:pPr>
      <w:spacing w:before="100" w:beforeAutospacing="1" w:after="100" w:afterAutospacing="1" w:line="240" w:lineRule="auto"/>
    </w:pPr>
    <w:rPr>
      <w:rFonts w:ascii="Times New Roman" w:eastAsiaTheme="minorEastAsia" w:hAnsi="Times New Roman" w:cs="Times New Roman"/>
      <w:sz w:val="24"/>
      <w:szCs w:val="24"/>
      <w:lang w:eastAsia="es-CL"/>
    </w:rPr>
  </w:style>
  <w:style w:type="character" w:styleId="CommentReference">
    <w:name w:val="annotation reference"/>
    <w:basedOn w:val="DefaultParagraphFont"/>
    <w:uiPriority w:val="99"/>
    <w:semiHidden/>
    <w:unhideWhenUsed/>
    <w:rsid w:val="00B328F1"/>
    <w:rPr>
      <w:sz w:val="16"/>
      <w:szCs w:val="16"/>
    </w:rPr>
  </w:style>
  <w:style w:type="paragraph" w:styleId="CommentText">
    <w:name w:val="annotation text"/>
    <w:basedOn w:val="Normal"/>
    <w:link w:val="CommentTextChar"/>
    <w:uiPriority w:val="99"/>
    <w:semiHidden/>
    <w:unhideWhenUsed/>
    <w:rsid w:val="00B328F1"/>
    <w:pPr>
      <w:spacing w:line="240" w:lineRule="auto"/>
    </w:pPr>
    <w:rPr>
      <w:sz w:val="20"/>
      <w:szCs w:val="20"/>
    </w:rPr>
  </w:style>
  <w:style w:type="character" w:customStyle="1" w:styleId="CommentTextChar">
    <w:name w:val="Comment Text Char"/>
    <w:basedOn w:val="DefaultParagraphFont"/>
    <w:link w:val="CommentText"/>
    <w:uiPriority w:val="99"/>
    <w:semiHidden/>
    <w:rsid w:val="00B328F1"/>
    <w:rPr>
      <w:sz w:val="20"/>
      <w:szCs w:val="20"/>
    </w:rPr>
  </w:style>
  <w:style w:type="paragraph" w:styleId="CommentSubject">
    <w:name w:val="annotation subject"/>
    <w:basedOn w:val="CommentText"/>
    <w:next w:val="CommentText"/>
    <w:link w:val="CommentSubjectChar"/>
    <w:uiPriority w:val="99"/>
    <w:semiHidden/>
    <w:unhideWhenUsed/>
    <w:rsid w:val="00B328F1"/>
    <w:rPr>
      <w:b/>
      <w:bCs/>
    </w:rPr>
  </w:style>
  <w:style w:type="character" w:customStyle="1" w:styleId="CommentSubjectChar">
    <w:name w:val="Comment Subject Char"/>
    <w:basedOn w:val="CommentTextChar"/>
    <w:link w:val="CommentSubject"/>
    <w:uiPriority w:val="99"/>
    <w:semiHidden/>
    <w:rsid w:val="00B328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lpais.com.uy/informacion/crearon-grupo-elaborar-ley-seguridad.html" TargetMode="External"/><Relationship Id="rId2" Type="http://schemas.openxmlformats.org/officeDocument/2006/relationships/hyperlink" Target="https://www.google.cl/" TargetMode="External"/><Relationship Id="rId1" Type="http://schemas.openxmlformats.org/officeDocument/2006/relationships/hyperlink" Target="http://noticias.juridicas.com/base_datos/Admin/l23-199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02EFA1-2DE7-4E21-B21A-799A40F49362}"/>
</file>

<file path=customXml/itemProps2.xml><?xml version="1.0" encoding="utf-8"?>
<ds:datastoreItem xmlns:ds="http://schemas.openxmlformats.org/officeDocument/2006/customXml" ds:itemID="{4B2CE9C8-476F-4978-AF08-7D0E49FC6E95}"/>
</file>

<file path=customXml/itemProps3.xml><?xml version="1.0" encoding="utf-8"?>
<ds:datastoreItem xmlns:ds="http://schemas.openxmlformats.org/officeDocument/2006/customXml" ds:itemID="{DB991231-E1E0-4E64-AF58-B736F02C4C9D}"/>
</file>

<file path=customXml/itemProps4.xml><?xml version="1.0" encoding="utf-8"?>
<ds:datastoreItem xmlns:ds="http://schemas.openxmlformats.org/officeDocument/2006/customXml" ds:itemID="{C16E765B-6F29-4C27-AE8C-AC05263E75EB}"/>
</file>

<file path=docProps/app.xml><?xml version="1.0" encoding="utf-8"?>
<Properties xmlns="http://schemas.openxmlformats.org/officeDocument/2006/extended-properties" xmlns:vt="http://schemas.openxmlformats.org/officeDocument/2006/docPropsVTypes">
  <Template>Normal</Template>
  <TotalTime>0</TotalTime>
  <Pages>31</Pages>
  <Words>13646</Words>
  <Characters>77787</Characters>
  <Application>Microsoft Office Word</Application>
  <DocSecurity>0</DocSecurity>
  <Lines>648</Lines>
  <Paragraphs>182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America Report in Spanish (Word)</dc:title>
  <dc:creator>Patricia Arias</dc:creator>
  <cp:lastModifiedBy>Tautakitaki Jolene</cp:lastModifiedBy>
  <cp:revision>2</cp:revision>
  <dcterms:created xsi:type="dcterms:W3CDTF">2015-04-24T12:40:00Z</dcterms:created>
  <dcterms:modified xsi:type="dcterms:W3CDTF">2015-04-24T12:40:00Z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2951000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