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A8" w:rsidRPr="002F11A8" w:rsidRDefault="002F11A8" w:rsidP="002F11A8">
      <w:pPr>
        <w:pBdr>
          <w:top w:val="single" w:sz="6" w:space="8" w:color="CCCCCC"/>
        </w:pBdr>
        <w:shd w:val="clear" w:color="auto" w:fill="FFFFFF"/>
        <w:outlineLvl w:val="2"/>
        <w:rPr>
          <w:rFonts w:ascii="Verdana" w:hAnsi="Verdana"/>
          <w:b/>
          <w:bCs/>
          <w:sz w:val="27"/>
          <w:szCs w:val="27"/>
          <w:lang w:val="fr-FR" w:eastAsia="en-GB"/>
        </w:rPr>
      </w:pPr>
      <w:r w:rsidRPr="002F11A8">
        <w:rPr>
          <w:rFonts w:ascii="Verdana" w:hAnsi="Verdana"/>
          <w:b/>
          <w:bCs/>
          <w:sz w:val="27"/>
          <w:szCs w:val="27"/>
          <w:lang w:val="fr-FR" w:eastAsia="en-GB"/>
        </w:rPr>
        <w:t xml:space="preserve">Appels à contributions : rapport sur </w:t>
      </w:r>
      <w:r w:rsidR="008B5A46" w:rsidRPr="008B5A46">
        <w:rPr>
          <w:rFonts w:ascii="Verdana" w:hAnsi="Verdana"/>
          <w:b/>
          <w:bCs/>
          <w:sz w:val="27"/>
          <w:szCs w:val="27"/>
          <w:lang w:val="fr-FR" w:eastAsia="en-GB"/>
        </w:rPr>
        <w:t>la fourniture de produits et services militaires et de sécurité dans le cybere</w:t>
      </w:r>
      <w:r w:rsidR="008B5A46">
        <w:rPr>
          <w:rFonts w:ascii="Verdana" w:hAnsi="Verdana"/>
          <w:b/>
          <w:bCs/>
          <w:sz w:val="27"/>
          <w:szCs w:val="27"/>
          <w:lang w:val="fr-FR" w:eastAsia="en-GB"/>
        </w:rPr>
        <w:t>space par les cyber-mercenaires</w:t>
      </w:r>
      <w:r w:rsidR="009F72A0">
        <w:rPr>
          <w:rFonts w:ascii="Verdana" w:hAnsi="Verdana"/>
          <w:b/>
          <w:bCs/>
          <w:sz w:val="27"/>
          <w:szCs w:val="27"/>
          <w:lang w:val="fr-FR" w:eastAsia="en-GB"/>
        </w:rPr>
        <w:t xml:space="preserve"> et son impact sur les droits humains</w:t>
      </w:r>
    </w:p>
    <w:p w:rsidR="002F11A8" w:rsidRDefault="002F11A8" w:rsidP="0010342B">
      <w:pPr>
        <w:rPr>
          <w:bCs/>
          <w:sz w:val="24"/>
          <w:szCs w:val="24"/>
          <w:lang w:val="fr-FR"/>
        </w:rPr>
      </w:pPr>
    </w:p>
    <w:tbl>
      <w:tblPr>
        <w:tblStyle w:val="TableGrid"/>
        <w:tblW w:w="0" w:type="auto"/>
        <w:tblLook w:val="04A0" w:firstRow="1" w:lastRow="0" w:firstColumn="1" w:lastColumn="0" w:noHBand="0" w:noVBand="1"/>
      </w:tblPr>
      <w:tblGrid>
        <w:gridCol w:w="1467"/>
        <w:gridCol w:w="7549"/>
      </w:tblGrid>
      <w:tr w:rsidR="003A4C5C" w:rsidRPr="003A4C5C" w:rsidTr="00143E19">
        <w:tc>
          <w:tcPr>
            <w:tcW w:w="1242" w:type="dxa"/>
          </w:tcPr>
          <w:p w:rsidR="003A4C5C" w:rsidRPr="003A4C5C" w:rsidRDefault="003A4C5C" w:rsidP="003A4C5C">
            <w:pPr>
              <w:rPr>
                <w:rFonts w:ascii="Verdana" w:eastAsia="Helvetica Neue" w:hAnsi="Verdana" w:cs="Helvetica Neue"/>
                <w:sz w:val="22"/>
                <w:szCs w:val="22"/>
              </w:rPr>
            </w:pPr>
            <w:proofErr w:type="spellStart"/>
            <w:r>
              <w:rPr>
                <w:rFonts w:ascii="Verdana" w:eastAsia="Helvetica Neue" w:hAnsi="Verdana" w:cstheme="majorHAnsi"/>
                <w:b/>
                <w:color w:val="000000"/>
                <w:sz w:val="22"/>
                <w:szCs w:val="22"/>
              </w:rPr>
              <w:t>Echéance</w:t>
            </w:r>
            <w:proofErr w:type="spellEnd"/>
            <w:r w:rsidRPr="003A4C5C">
              <w:rPr>
                <w:rFonts w:ascii="Verdana" w:eastAsia="Helvetica Neue" w:hAnsi="Verdana" w:cstheme="majorHAnsi"/>
                <w:b/>
                <w:color w:val="000000"/>
                <w:sz w:val="22"/>
                <w:szCs w:val="22"/>
              </w:rPr>
              <w:t>:</w:t>
            </w:r>
          </w:p>
        </w:tc>
        <w:tc>
          <w:tcPr>
            <w:tcW w:w="8330" w:type="dxa"/>
          </w:tcPr>
          <w:p w:rsidR="003A4C5C" w:rsidRPr="003A4C5C" w:rsidRDefault="003A4C5C" w:rsidP="003A4C5C">
            <w:pPr>
              <w:pBdr>
                <w:top w:val="nil"/>
                <w:left w:val="nil"/>
                <w:bottom w:val="nil"/>
                <w:right w:val="nil"/>
                <w:between w:val="nil"/>
              </w:pBdr>
              <w:spacing w:after="160" w:line="259" w:lineRule="auto"/>
              <w:rPr>
                <w:rFonts w:ascii="Verdana" w:eastAsiaTheme="minorHAnsi" w:hAnsi="Verdana" w:cstheme="majorHAnsi"/>
                <w:b/>
                <w:color w:val="000000"/>
                <w:sz w:val="22"/>
                <w:szCs w:val="22"/>
              </w:rPr>
            </w:pPr>
            <w:r w:rsidRPr="003A4C5C">
              <w:rPr>
                <w:rFonts w:ascii="Verdana" w:eastAsiaTheme="minorHAnsi" w:hAnsi="Verdana" w:cstheme="majorHAnsi"/>
                <w:sz w:val="22"/>
                <w:szCs w:val="22"/>
              </w:rPr>
              <w:t xml:space="preserve">12 </w:t>
            </w:r>
            <w:proofErr w:type="spellStart"/>
            <w:r>
              <w:rPr>
                <w:rFonts w:ascii="Verdana" w:eastAsiaTheme="minorHAnsi" w:hAnsi="Verdana" w:cstheme="majorHAnsi"/>
                <w:sz w:val="22"/>
                <w:szCs w:val="22"/>
              </w:rPr>
              <w:t>février</w:t>
            </w:r>
            <w:proofErr w:type="spellEnd"/>
            <w:r w:rsidRPr="003A4C5C">
              <w:rPr>
                <w:rFonts w:ascii="Verdana" w:eastAsiaTheme="minorHAnsi" w:hAnsi="Verdana" w:cstheme="majorHAnsi"/>
                <w:sz w:val="22"/>
                <w:szCs w:val="22"/>
              </w:rPr>
              <w:t xml:space="preserve"> 2021</w:t>
            </w:r>
          </w:p>
        </w:tc>
      </w:tr>
      <w:tr w:rsidR="003A4C5C" w:rsidRPr="002B683E" w:rsidTr="00143E19">
        <w:tc>
          <w:tcPr>
            <w:tcW w:w="1242" w:type="dxa"/>
          </w:tcPr>
          <w:p w:rsidR="003A4C5C" w:rsidRPr="003A4C5C" w:rsidRDefault="0078210A" w:rsidP="003A4C5C">
            <w:pPr>
              <w:rPr>
                <w:rFonts w:ascii="Verdana" w:eastAsia="Helvetica Neue" w:hAnsi="Verdana" w:cs="Helvetica Neue"/>
                <w:sz w:val="22"/>
                <w:szCs w:val="22"/>
              </w:rPr>
            </w:pPr>
            <w:proofErr w:type="spellStart"/>
            <w:r>
              <w:rPr>
                <w:rFonts w:ascii="Verdana" w:eastAsia="Helvetica Neue" w:hAnsi="Verdana" w:cstheme="majorHAnsi"/>
                <w:b/>
                <w:color w:val="000000"/>
                <w:sz w:val="22"/>
                <w:szCs w:val="22"/>
              </w:rPr>
              <w:t>Issu</w:t>
            </w:r>
            <w:proofErr w:type="spellEnd"/>
            <w:r>
              <w:rPr>
                <w:rFonts w:ascii="Verdana" w:eastAsia="Helvetica Neue" w:hAnsi="Verdana" w:cstheme="majorHAnsi"/>
                <w:b/>
                <w:color w:val="000000"/>
                <w:sz w:val="22"/>
                <w:szCs w:val="22"/>
              </w:rPr>
              <w:t xml:space="preserve"> par</w:t>
            </w:r>
            <w:r w:rsidR="003A4C5C" w:rsidRPr="003A4C5C">
              <w:rPr>
                <w:rFonts w:ascii="Verdana" w:eastAsia="Helvetica Neue" w:hAnsi="Verdana" w:cstheme="majorHAnsi"/>
                <w:b/>
                <w:color w:val="000000"/>
                <w:sz w:val="22"/>
                <w:szCs w:val="22"/>
              </w:rPr>
              <w:t>:</w:t>
            </w:r>
          </w:p>
        </w:tc>
        <w:tc>
          <w:tcPr>
            <w:tcW w:w="8330" w:type="dxa"/>
          </w:tcPr>
          <w:p w:rsidR="003A4C5C" w:rsidRPr="003A4C5C" w:rsidRDefault="00A02C45" w:rsidP="003A4C5C">
            <w:pPr>
              <w:pBdr>
                <w:top w:val="nil"/>
                <w:left w:val="nil"/>
                <w:bottom w:val="nil"/>
                <w:right w:val="nil"/>
                <w:between w:val="nil"/>
              </w:pBdr>
              <w:spacing w:after="160" w:line="259" w:lineRule="auto"/>
              <w:rPr>
                <w:rFonts w:ascii="Verdana" w:eastAsiaTheme="minorHAnsi" w:hAnsi="Verdana" w:cstheme="majorHAnsi"/>
                <w:color w:val="000000"/>
                <w:sz w:val="22"/>
                <w:szCs w:val="22"/>
                <w:lang w:val="fr-FR"/>
              </w:rPr>
            </w:pPr>
            <w:r>
              <w:rPr>
                <w:rFonts w:ascii="Verdana" w:eastAsiaTheme="minorHAnsi" w:hAnsi="Verdana" w:cstheme="majorHAnsi"/>
                <w:color w:val="000000"/>
                <w:sz w:val="22"/>
                <w:szCs w:val="22"/>
                <w:lang w:val="fr-FR"/>
              </w:rPr>
              <w:t>Groupe de travail sur l’</w:t>
            </w:r>
            <w:r w:rsidR="0078210A" w:rsidRPr="0078210A">
              <w:rPr>
                <w:rFonts w:ascii="Verdana" w:eastAsiaTheme="minorHAnsi" w:hAnsi="Verdana" w:cstheme="majorHAnsi"/>
                <w:color w:val="000000"/>
                <w:sz w:val="22"/>
                <w:szCs w:val="22"/>
                <w:lang w:val="fr-FR"/>
              </w:rPr>
              <w:t>utilisation des mercenaires</w:t>
            </w:r>
          </w:p>
        </w:tc>
      </w:tr>
      <w:tr w:rsidR="003A4C5C" w:rsidRPr="002B683E" w:rsidTr="00143E19">
        <w:tc>
          <w:tcPr>
            <w:tcW w:w="1242" w:type="dxa"/>
          </w:tcPr>
          <w:p w:rsidR="003A4C5C" w:rsidRPr="003A4C5C" w:rsidRDefault="0078210A" w:rsidP="003A4C5C">
            <w:pPr>
              <w:rPr>
                <w:rFonts w:ascii="Verdana" w:eastAsia="Helvetica Neue" w:hAnsi="Verdana" w:cs="Helvetica Neue"/>
                <w:sz w:val="22"/>
                <w:szCs w:val="22"/>
              </w:rPr>
            </w:pPr>
            <w:proofErr w:type="spellStart"/>
            <w:r>
              <w:rPr>
                <w:rFonts w:ascii="Verdana" w:eastAsia="Helvetica Neue" w:hAnsi="Verdana" w:cstheme="majorHAnsi"/>
                <w:b/>
                <w:color w:val="000000"/>
                <w:sz w:val="22"/>
                <w:szCs w:val="22"/>
              </w:rPr>
              <w:t>Objectif</w:t>
            </w:r>
            <w:proofErr w:type="spellEnd"/>
            <w:r w:rsidR="003A4C5C" w:rsidRPr="003A4C5C">
              <w:rPr>
                <w:rFonts w:ascii="Verdana" w:eastAsia="Helvetica Neue" w:hAnsi="Verdana" w:cstheme="majorHAnsi"/>
                <w:b/>
                <w:color w:val="000000"/>
                <w:sz w:val="22"/>
                <w:szCs w:val="22"/>
              </w:rPr>
              <w:t>:</w:t>
            </w:r>
          </w:p>
        </w:tc>
        <w:tc>
          <w:tcPr>
            <w:tcW w:w="8330" w:type="dxa"/>
          </w:tcPr>
          <w:p w:rsidR="003A4C5C" w:rsidRPr="003A4C5C" w:rsidRDefault="003A4C5C" w:rsidP="00692DA6">
            <w:pPr>
              <w:rPr>
                <w:rFonts w:ascii="Verdana" w:eastAsia="Helvetica Neue" w:hAnsi="Verdana" w:cs="Helvetica Neue"/>
                <w:sz w:val="22"/>
                <w:szCs w:val="22"/>
                <w:lang w:val="fr-FR"/>
              </w:rPr>
            </w:pPr>
            <w:r w:rsidRPr="003A4C5C">
              <w:rPr>
                <w:rFonts w:ascii="Verdana" w:eastAsia="Helvetica Neue" w:hAnsi="Verdana" w:cs="Helvetica Neue"/>
                <w:sz w:val="22"/>
                <w:szCs w:val="22"/>
                <w:lang w:val="fr-FR"/>
              </w:rPr>
              <w:t>Inform</w:t>
            </w:r>
            <w:r w:rsidR="00327A30" w:rsidRPr="00327A30">
              <w:rPr>
                <w:rFonts w:ascii="Verdana" w:eastAsia="Helvetica Neue" w:hAnsi="Verdana" w:cs="Helvetica Neue"/>
                <w:sz w:val="22"/>
                <w:szCs w:val="22"/>
                <w:lang w:val="fr-FR"/>
              </w:rPr>
              <w:t>er</w:t>
            </w:r>
            <w:r w:rsidRPr="003A4C5C">
              <w:rPr>
                <w:rFonts w:ascii="Verdana" w:eastAsia="Helvetica Neue" w:hAnsi="Verdana" w:cs="Helvetica Neue"/>
                <w:sz w:val="22"/>
                <w:szCs w:val="22"/>
                <w:lang w:val="fr-FR"/>
              </w:rPr>
              <w:t xml:space="preserve"> </w:t>
            </w:r>
            <w:r w:rsidR="00327A30" w:rsidRPr="00327A30">
              <w:rPr>
                <w:rFonts w:ascii="Verdana" w:eastAsia="Helvetica Neue" w:hAnsi="Verdana" w:cs="Helvetica Neue"/>
                <w:sz w:val="22"/>
                <w:szCs w:val="22"/>
                <w:lang w:val="fr-FR"/>
              </w:rPr>
              <w:t xml:space="preserve">le rapport du Groupe de travail qui </w:t>
            </w:r>
            <w:r w:rsidR="00327A30">
              <w:rPr>
                <w:rFonts w:ascii="Verdana" w:eastAsia="Helvetica Neue" w:hAnsi="Verdana" w:cs="Helvetica Neue"/>
                <w:sz w:val="22"/>
                <w:szCs w:val="22"/>
                <w:lang w:val="fr-FR"/>
              </w:rPr>
              <w:t>sera</w:t>
            </w:r>
            <w:r w:rsidR="00327A30" w:rsidRPr="00327A30">
              <w:rPr>
                <w:rFonts w:ascii="Verdana" w:eastAsia="Helvetica Neue" w:hAnsi="Verdana" w:cs="Helvetica Neue"/>
                <w:sz w:val="22"/>
                <w:szCs w:val="22"/>
                <w:lang w:val="fr-FR"/>
              </w:rPr>
              <w:t xml:space="preserve"> présenté</w:t>
            </w:r>
            <w:r w:rsidRPr="003A4C5C">
              <w:rPr>
                <w:rFonts w:ascii="Verdana" w:eastAsia="Helvetica Neue" w:hAnsi="Verdana" w:cs="Helvetica Neue"/>
                <w:sz w:val="22"/>
                <w:szCs w:val="22"/>
                <w:lang w:val="fr-FR"/>
              </w:rPr>
              <w:t xml:space="preserve"> </w:t>
            </w:r>
            <w:r w:rsidR="00327A30">
              <w:rPr>
                <w:rFonts w:ascii="Verdana" w:eastAsia="Helvetica Neue" w:hAnsi="Verdana" w:cs="Helvetica Neue"/>
                <w:sz w:val="22"/>
                <w:szCs w:val="22"/>
                <w:lang w:val="fr-FR"/>
              </w:rPr>
              <w:t xml:space="preserve">à la </w:t>
            </w:r>
            <w:r w:rsidR="00327A30" w:rsidRPr="00327A30">
              <w:rPr>
                <w:rFonts w:ascii="Verdana" w:eastAsia="Helvetica Neue" w:hAnsi="Verdana" w:cs="Helvetica Neue"/>
                <w:sz w:val="22"/>
                <w:szCs w:val="22"/>
                <w:lang w:val="fr-FR"/>
              </w:rPr>
              <w:t>76</w:t>
            </w:r>
            <w:r w:rsidR="00327A30" w:rsidRPr="00327A30">
              <w:rPr>
                <w:rFonts w:ascii="Verdana" w:eastAsia="Helvetica Neue" w:hAnsi="Verdana" w:cs="Helvetica Neue"/>
                <w:sz w:val="22"/>
                <w:szCs w:val="22"/>
                <w:vertAlign w:val="superscript"/>
                <w:lang w:val="fr-FR"/>
              </w:rPr>
              <w:t>ème</w:t>
            </w:r>
            <w:r w:rsidR="00327A30">
              <w:rPr>
                <w:rFonts w:ascii="Verdana" w:eastAsia="Helvetica Neue" w:hAnsi="Verdana" w:cs="Helvetica Neue"/>
                <w:sz w:val="22"/>
                <w:szCs w:val="22"/>
                <w:lang w:val="fr-FR"/>
              </w:rPr>
              <w:t xml:space="preserve"> </w:t>
            </w:r>
            <w:r w:rsidR="00327A30" w:rsidRPr="00327A30">
              <w:rPr>
                <w:rFonts w:ascii="Verdana" w:eastAsia="Helvetica Neue" w:hAnsi="Verdana" w:cs="Helvetica Neue"/>
                <w:sz w:val="22"/>
                <w:szCs w:val="22"/>
                <w:lang w:val="fr-FR"/>
              </w:rPr>
              <w:t xml:space="preserve">session de l’Assemblée </w:t>
            </w:r>
            <w:r w:rsidR="00692DA6">
              <w:rPr>
                <w:rFonts w:ascii="Verdana" w:eastAsia="Helvetica Neue" w:hAnsi="Verdana" w:cs="Helvetica Neue"/>
                <w:sz w:val="22"/>
                <w:szCs w:val="22"/>
                <w:lang w:val="fr-FR"/>
              </w:rPr>
              <w:t>g</w:t>
            </w:r>
            <w:r w:rsidR="00327A30" w:rsidRPr="00327A30">
              <w:rPr>
                <w:rFonts w:ascii="Verdana" w:eastAsia="Helvetica Neue" w:hAnsi="Verdana" w:cs="Helvetica Neue"/>
                <w:sz w:val="22"/>
                <w:szCs w:val="22"/>
                <w:lang w:val="fr-FR"/>
              </w:rPr>
              <w:t>énérale</w:t>
            </w:r>
            <w:r w:rsidR="00A02C45">
              <w:rPr>
                <w:rFonts w:ascii="Verdana" w:eastAsia="Helvetica Neue" w:hAnsi="Verdana" w:cs="Helvetica Neue"/>
                <w:sz w:val="22"/>
                <w:szCs w:val="22"/>
                <w:lang w:val="fr-FR"/>
              </w:rPr>
              <w:t xml:space="preserve"> en octobre 2021</w:t>
            </w:r>
          </w:p>
        </w:tc>
      </w:tr>
    </w:tbl>
    <w:p w:rsidR="002F11A8" w:rsidRPr="00327A30" w:rsidRDefault="002F11A8" w:rsidP="0010342B">
      <w:pPr>
        <w:rPr>
          <w:bCs/>
          <w:sz w:val="24"/>
          <w:szCs w:val="24"/>
          <w:lang w:val="fr-FR"/>
        </w:rPr>
      </w:pPr>
    </w:p>
    <w:p w:rsidR="00692DA6" w:rsidRDefault="00692DA6" w:rsidP="007C55EF">
      <w:pPr>
        <w:keepNext/>
        <w:keepLines/>
        <w:spacing w:before="240" w:after="120"/>
        <w:outlineLvl w:val="1"/>
        <w:rPr>
          <w:rFonts w:ascii="Verdana" w:eastAsia="Helvetica Neue" w:hAnsi="Verdana" w:cs="Helvetica Neue"/>
          <w:b/>
          <w:color w:val="000000" w:themeColor="text1"/>
          <w:sz w:val="22"/>
          <w:szCs w:val="22"/>
          <w:lang w:val="fr-FR"/>
        </w:rPr>
      </w:pPr>
      <w:r>
        <w:rPr>
          <w:rFonts w:ascii="Verdana" w:eastAsia="Helvetica Neue" w:hAnsi="Verdana" w:cs="Helvetica Neue"/>
          <w:b/>
          <w:color w:val="000000" w:themeColor="text1"/>
          <w:sz w:val="22"/>
          <w:szCs w:val="22"/>
          <w:lang w:val="fr-FR"/>
        </w:rPr>
        <w:t xml:space="preserve">Contexte </w:t>
      </w:r>
    </w:p>
    <w:p w:rsidR="00692DA6" w:rsidRPr="00692DA6" w:rsidRDefault="00692DA6" w:rsidP="007C55EF">
      <w:pPr>
        <w:keepNext/>
        <w:keepLines/>
        <w:spacing w:before="240" w:after="120"/>
        <w:outlineLvl w:val="1"/>
        <w:rPr>
          <w:rFonts w:ascii="Verdana" w:eastAsia="Helvetica Neue" w:hAnsi="Verdana" w:cs="Helvetica Neue"/>
          <w:color w:val="000000" w:themeColor="text1"/>
          <w:lang w:val="fr-FR"/>
        </w:rPr>
      </w:pPr>
      <w:r w:rsidRPr="00692DA6">
        <w:rPr>
          <w:rFonts w:ascii="Verdana" w:eastAsia="Helvetica Neue" w:hAnsi="Verdana" w:cs="Helvetica Neue"/>
          <w:color w:val="000000" w:themeColor="text1"/>
          <w:lang w:val="fr-FR"/>
        </w:rPr>
        <w:t>Deux fois par</w:t>
      </w:r>
      <w:r w:rsidR="009F72A0">
        <w:rPr>
          <w:rFonts w:ascii="Verdana" w:eastAsia="Helvetica Neue" w:hAnsi="Verdana" w:cs="Helvetica Neue"/>
          <w:color w:val="000000" w:themeColor="text1"/>
          <w:lang w:val="fr-FR"/>
        </w:rPr>
        <w:t xml:space="preserve"> an, le Groupe de travail sur l’</w:t>
      </w:r>
      <w:r w:rsidRPr="00692DA6">
        <w:rPr>
          <w:rFonts w:ascii="Verdana" w:eastAsia="Helvetica Neue" w:hAnsi="Verdana" w:cs="Helvetica Neue"/>
          <w:color w:val="000000" w:themeColor="text1"/>
          <w:lang w:val="fr-FR"/>
        </w:rPr>
        <w:t xml:space="preserve">utilisation des mercenaires </w:t>
      </w:r>
      <w:r>
        <w:rPr>
          <w:rFonts w:ascii="Verdana" w:eastAsia="Helvetica Neue" w:hAnsi="Verdana" w:cs="Helvetica Neue"/>
          <w:color w:val="000000" w:themeColor="text1"/>
          <w:lang w:val="fr-FR"/>
        </w:rPr>
        <w:t>sollicite</w:t>
      </w:r>
      <w:r w:rsidRPr="00692DA6">
        <w:rPr>
          <w:rFonts w:ascii="Verdana" w:eastAsia="Helvetica Neue" w:hAnsi="Verdana" w:cs="Helvetica Neue"/>
          <w:color w:val="000000" w:themeColor="text1"/>
          <w:lang w:val="fr-FR"/>
        </w:rPr>
        <w:t xml:space="preserve"> des contributions pour </w:t>
      </w:r>
      <w:r w:rsidR="00927CAA" w:rsidRPr="00927CAA">
        <w:rPr>
          <w:rFonts w:ascii="Verdana" w:eastAsia="Helvetica Neue" w:hAnsi="Verdana" w:cs="Helvetica Neue"/>
          <w:color w:val="000000" w:themeColor="text1"/>
          <w:lang w:val="fr-FR"/>
        </w:rPr>
        <w:t>informer l’élaboration</w:t>
      </w:r>
      <w:r w:rsidR="00927CAA">
        <w:rPr>
          <w:rFonts w:ascii="Verdana" w:eastAsia="Helvetica Neue" w:hAnsi="Verdana" w:cs="Helvetica Neue"/>
          <w:color w:val="000000" w:themeColor="text1"/>
          <w:lang w:val="fr-FR"/>
        </w:rPr>
        <w:t xml:space="preserve"> de</w:t>
      </w:r>
      <w:r w:rsidRPr="00692DA6">
        <w:rPr>
          <w:rFonts w:ascii="Verdana" w:eastAsia="Helvetica Neue" w:hAnsi="Verdana" w:cs="Helvetica Neue"/>
          <w:color w:val="000000" w:themeColor="text1"/>
          <w:lang w:val="fr-FR"/>
        </w:rPr>
        <w:t xml:space="preserve"> ses études thématiques qui seront présen</w:t>
      </w:r>
      <w:r w:rsidR="00262B09">
        <w:rPr>
          <w:rFonts w:ascii="Verdana" w:eastAsia="Helvetica Neue" w:hAnsi="Verdana" w:cs="Helvetica Neue"/>
          <w:color w:val="000000" w:themeColor="text1"/>
          <w:lang w:val="fr-FR"/>
        </w:rPr>
        <w:t>tées au Conseil des droits de l’</w:t>
      </w:r>
      <w:r w:rsidRPr="00692DA6">
        <w:rPr>
          <w:rFonts w:ascii="Verdana" w:eastAsia="Helvetica Neue" w:hAnsi="Verdana" w:cs="Helvetica Neue"/>
          <w:color w:val="000000" w:themeColor="text1"/>
          <w:lang w:val="fr-FR"/>
        </w:rPr>
        <w:t xml:space="preserve">homme à sa session de septembre et à l'Assemblée générale en octobre. </w:t>
      </w:r>
    </w:p>
    <w:p w:rsidR="007C55EF" w:rsidRPr="007C55EF" w:rsidRDefault="007C55EF" w:rsidP="007C55EF">
      <w:pPr>
        <w:keepNext/>
        <w:keepLines/>
        <w:spacing w:before="240" w:after="120"/>
        <w:outlineLvl w:val="1"/>
        <w:rPr>
          <w:rFonts w:ascii="Verdana" w:eastAsia="Helvetica Neue" w:hAnsi="Verdana" w:cs="Helvetica Neue"/>
          <w:b/>
          <w:color w:val="000000" w:themeColor="text1"/>
          <w:sz w:val="22"/>
          <w:szCs w:val="22"/>
          <w:lang w:val="fr-FR"/>
        </w:rPr>
      </w:pPr>
      <w:r w:rsidRPr="007C55EF">
        <w:rPr>
          <w:rFonts w:ascii="Verdana" w:eastAsia="Helvetica Neue" w:hAnsi="Verdana" w:cs="Helvetica Neue"/>
          <w:b/>
          <w:color w:val="000000" w:themeColor="text1"/>
          <w:sz w:val="22"/>
          <w:szCs w:val="22"/>
          <w:lang w:val="fr-FR"/>
        </w:rPr>
        <w:t>Objecti</w:t>
      </w:r>
      <w:r>
        <w:rPr>
          <w:rFonts w:ascii="Verdana" w:eastAsia="Helvetica Neue" w:hAnsi="Verdana" w:cs="Helvetica Neue"/>
          <w:b/>
          <w:color w:val="000000" w:themeColor="text1"/>
          <w:sz w:val="22"/>
          <w:szCs w:val="22"/>
          <w:lang w:val="fr-FR"/>
        </w:rPr>
        <w:t>fs</w:t>
      </w:r>
      <w:r w:rsidRPr="007C55EF">
        <w:rPr>
          <w:rFonts w:ascii="Verdana" w:eastAsia="Helvetica Neue" w:hAnsi="Verdana" w:cs="Helvetica Neue"/>
          <w:b/>
          <w:color w:val="000000" w:themeColor="text1"/>
          <w:sz w:val="22"/>
          <w:szCs w:val="22"/>
          <w:lang w:val="fr-FR"/>
        </w:rPr>
        <w:t xml:space="preserve"> </w:t>
      </w:r>
      <w:r>
        <w:rPr>
          <w:rFonts w:ascii="Verdana" w:eastAsia="Helvetica Neue" w:hAnsi="Verdana" w:cs="Helvetica Neue"/>
          <w:b/>
          <w:color w:val="000000" w:themeColor="text1"/>
          <w:sz w:val="22"/>
          <w:szCs w:val="22"/>
          <w:lang w:val="fr-FR"/>
        </w:rPr>
        <w:t>du rapport</w:t>
      </w:r>
    </w:p>
    <w:p w:rsidR="002B683E" w:rsidRPr="002B683E" w:rsidRDefault="009F72A0" w:rsidP="002B683E">
      <w:pPr>
        <w:rPr>
          <w:rFonts w:ascii="Verdana" w:hAnsi="Verdana" w:cstheme="minorHAnsi"/>
          <w:bCs/>
          <w:lang w:val="fr-FR"/>
        </w:rPr>
      </w:pPr>
      <w:r>
        <w:rPr>
          <w:rFonts w:ascii="Verdana" w:hAnsi="Verdana" w:cstheme="minorHAnsi"/>
          <w:bCs/>
          <w:lang w:val="fr-FR"/>
        </w:rPr>
        <w:t>L</w:t>
      </w:r>
      <w:r w:rsidR="00755E41" w:rsidRPr="00755E41">
        <w:rPr>
          <w:rFonts w:ascii="Verdana" w:hAnsi="Verdana" w:cstheme="minorHAnsi"/>
          <w:bCs/>
          <w:lang w:val="fr-FR"/>
        </w:rPr>
        <w:t xml:space="preserve">e Groupe de travail </w:t>
      </w:r>
      <w:r w:rsidRPr="009F72A0">
        <w:rPr>
          <w:rFonts w:ascii="Verdana" w:hAnsi="Verdana" w:cstheme="minorHAnsi"/>
          <w:bCs/>
          <w:lang w:val="fr-FR"/>
        </w:rPr>
        <w:t xml:space="preserve">sur l’utilisation des mercenaires </w:t>
      </w:r>
      <w:r w:rsidR="00755E41" w:rsidRPr="00755E41">
        <w:rPr>
          <w:rFonts w:ascii="Verdana" w:hAnsi="Verdana" w:cstheme="minorHAnsi"/>
          <w:bCs/>
          <w:lang w:val="fr-FR"/>
        </w:rPr>
        <w:t>a identifié les «</w:t>
      </w:r>
      <w:r w:rsidR="00BC28E0">
        <w:rPr>
          <w:rFonts w:ascii="Verdana" w:hAnsi="Verdana" w:cstheme="minorHAnsi"/>
          <w:bCs/>
          <w:lang w:val="fr-FR"/>
        </w:rPr>
        <w:t xml:space="preserve"> </w:t>
      </w:r>
      <w:r w:rsidR="00755E41" w:rsidRPr="00755E41">
        <w:rPr>
          <w:rFonts w:ascii="Verdana" w:hAnsi="Verdana" w:cstheme="minorHAnsi"/>
          <w:bCs/>
          <w:lang w:val="fr-FR"/>
        </w:rPr>
        <w:t>cyber</w:t>
      </w:r>
      <w:r w:rsidR="00BC28E0">
        <w:rPr>
          <w:rFonts w:ascii="Verdana" w:hAnsi="Verdana" w:cstheme="minorHAnsi"/>
          <w:bCs/>
          <w:lang w:val="fr-FR"/>
        </w:rPr>
        <w:t xml:space="preserve"> </w:t>
      </w:r>
      <w:r w:rsidR="00755E41" w:rsidRPr="00755E41">
        <w:rPr>
          <w:rFonts w:ascii="Verdana" w:hAnsi="Verdana" w:cstheme="minorHAnsi"/>
          <w:bCs/>
          <w:lang w:val="fr-FR"/>
        </w:rPr>
        <w:t>mercenaires</w:t>
      </w:r>
      <w:r w:rsidR="00BC28E0">
        <w:rPr>
          <w:rFonts w:ascii="Verdana" w:hAnsi="Verdana" w:cstheme="minorHAnsi"/>
          <w:bCs/>
          <w:lang w:val="fr-FR"/>
        </w:rPr>
        <w:t xml:space="preserve"> </w:t>
      </w:r>
      <w:r w:rsidR="00755E41" w:rsidRPr="00755E41">
        <w:rPr>
          <w:rFonts w:ascii="Verdana" w:hAnsi="Verdana" w:cstheme="minorHAnsi"/>
          <w:bCs/>
          <w:lang w:val="fr-FR"/>
        </w:rPr>
        <w:t xml:space="preserve">» </w:t>
      </w:r>
      <w:r w:rsidR="002B683E" w:rsidRPr="002B683E">
        <w:rPr>
          <w:rFonts w:ascii="Verdana" w:hAnsi="Verdana" w:cstheme="minorHAnsi"/>
          <w:bCs/>
          <w:lang w:val="fr-FR"/>
        </w:rPr>
        <w:t>comme une catégorie d’acteurs susceptibles de générer des activités liées aux mercenariat. Cela implique une large gamme de services militaires et de sécurité fournis dans le cyberespace, y compris la collecte de données et l’espionnage. Il arrive que des acteurs privés soient</w:t>
      </w:r>
      <w:r w:rsidR="002B683E" w:rsidRPr="002B683E" w:rsidDel="0040594C">
        <w:rPr>
          <w:rFonts w:ascii="Verdana" w:hAnsi="Verdana" w:cstheme="minorHAnsi"/>
          <w:bCs/>
          <w:lang w:val="fr-FR"/>
        </w:rPr>
        <w:t xml:space="preserve"> </w:t>
      </w:r>
      <w:r w:rsidR="002B683E" w:rsidRPr="002B683E">
        <w:rPr>
          <w:rFonts w:ascii="Verdana" w:hAnsi="Verdana" w:cstheme="minorHAnsi"/>
          <w:bCs/>
          <w:lang w:val="fr-FR"/>
        </w:rPr>
        <w:t xml:space="preserve">engagés par des États ou par des acteurs non étatiques pour mener des opérations offensives ou défensives, pour protéger les réseaux et l’infrastructure de ces instances, ainsi que pour mener des </w:t>
      </w:r>
      <w:proofErr w:type="spellStart"/>
      <w:r w:rsidR="002B683E" w:rsidRPr="002B683E">
        <w:rPr>
          <w:rFonts w:ascii="Verdana" w:hAnsi="Verdana" w:cstheme="minorHAnsi"/>
          <w:bCs/>
          <w:lang w:val="fr-FR"/>
        </w:rPr>
        <w:t>cyberopérations</w:t>
      </w:r>
      <w:proofErr w:type="spellEnd"/>
      <w:r w:rsidR="002B683E" w:rsidRPr="002B683E">
        <w:rPr>
          <w:rFonts w:ascii="Verdana" w:hAnsi="Verdana" w:cstheme="minorHAnsi"/>
          <w:bCs/>
          <w:lang w:val="fr-FR"/>
        </w:rPr>
        <w:t xml:space="preserve"> visant à affaiblir les capacités et moyens militaires des forces armées ennemies, ou à porter atteinte à l’intégrité du territoire d’un autre État. Les individus qui commettent des cyberattaques peuvent causer des dommages à distance, dans diverses juridictions. Partant, ils peuvent être considérés comme exerçant une activité liée au mercenariat, voire une activité de mercenaire en propre si tous les critères requis pour ce faire sont remplis.</w:t>
      </w:r>
    </w:p>
    <w:p w:rsidR="00755E41" w:rsidRDefault="00755E41" w:rsidP="00BD2E32">
      <w:pPr>
        <w:rPr>
          <w:rFonts w:ascii="Verdana" w:hAnsi="Verdana" w:cstheme="minorHAnsi"/>
          <w:bCs/>
          <w:lang w:val="fr-FR"/>
        </w:rPr>
      </w:pPr>
    </w:p>
    <w:p w:rsidR="0010342B" w:rsidRPr="00BD2E32" w:rsidRDefault="00F2790C" w:rsidP="00BD2E32">
      <w:pPr>
        <w:rPr>
          <w:rFonts w:ascii="Verdana" w:hAnsi="Verdana" w:cstheme="minorHAnsi"/>
          <w:bCs/>
          <w:lang w:val="fr-FR"/>
        </w:rPr>
      </w:pPr>
      <w:r w:rsidRPr="00040F66">
        <w:rPr>
          <w:rFonts w:ascii="Verdana" w:hAnsi="Verdana" w:cstheme="minorHAnsi"/>
          <w:bCs/>
          <w:lang w:val="fr-FR"/>
        </w:rPr>
        <w:t xml:space="preserve">Cette </w:t>
      </w:r>
      <w:r w:rsidR="0010342B" w:rsidRPr="00040F66">
        <w:rPr>
          <w:rFonts w:ascii="Verdana" w:hAnsi="Verdana" w:cstheme="minorHAnsi"/>
          <w:bCs/>
          <w:lang w:val="fr-FR"/>
        </w:rPr>
        <w:t xml:space="preserve">étude </w:t>
      </w:r>
      <w:r w:rsidRPr="00040F66">
        <w:rPr>
          <w:rFonts w:ascii="Verdana" w:hAnsi="Verdana" w:cstheme="minorHAnsi"/>
          <w:bCs/>
          <w:lang w:val="fr-FR"/>
        </w:rPr>
        <w:t xml:space="preserve">sur les </w:t>
      </w:r>
      <w:r w:rsidR="008B5A46" w:rsidRPr="008B5A46">
        <w:rPr>
          <w:rFonts w:ascii="Verdana" w:hAnsi="Verdana" w:cstheme="minorHAnsi"/>
          <w:bCs/>
          <w:i/>
          <w:lang w:val="fr-FR"/>
        </w:rPr>
        <w:t xml:space="preserve">la fourniture de produits et services militaires et de sécurité dans le cyberespace par les cyber-mercenaires et d’autres acteurs concernés, et son impact sur les droits humains </w:t>
      </w:r>
      <w:r w:rsidR="0010342B" w:rsidRPr="00040F66">
        <w:rPr>
          <w:rFonts w:ascii="Verdana" w:hAnsi="Verdana" w:cstheme="minorHAnsi"/>
          <w:bCs/>
          <w:lang w:val="fr-FR"/>
        </w:rPr>
        <w:t xml:space="preserve">vise à </w:t>
      </w:r>
      <w:r w:rsidR="00F106BB" w:rsidRPr="00F106BB">
        <w:rPr>
          <w:rFonts w:ascii="Verdana" w:hAnsi="Verdana" w:cstheme="minorHAnsi"/>
          <w:bCs/>
          <w:lang w:val="fr-FR"/>
        </w:rPr>
        <w:t>évaluer comment les mercenaires et les acteurs privés tirent profit du développement, du maintien et de l’exploitation des cyber-capacités, qui peuvent être utilisés dans la conduite des hostilités et dans des contextes non conflictuels pour violer les droits humains, y compris le droit de</w:t>
      </w:r>
      <w:r w:rsidR="00F106BB">
        <w:rPr>
          <w:rFonts w:ascii="Verdana" w:hAnsi="Verdana" w:cstheme="minorHAnsi"/>
          <w:bCs/>
          <w:lang w:val="fr-FR"/>
        </w:rPr>
        <w:t xml:space="preserve">s peuples à </w:t>
      </w:r>
      <w:r w:rsidR="005875C9" w:rsidRPr="005875C9">
        <w:rPr>
          <w:rFonts w:ascii="Verdana" w:hAnsi="Verdana" w:cstheme="minorHAnsi"/>
          <w:bCs/>
          <w:lang w:val="fr-FR"/>
        </w:rPr>
        <w:t>disposer d’eux-mêmes</w:t>
      </w:r>
      <w:r w:rsidR="005244CD" w:rsidRPr="00040F66">
        <w:rPr>
          <w:rFonts w:ascii="Verdana" w:hAnsi="Verdana" w:cstheme="minorHAnsi"/>
          <w:bCs/>
          <w:lang w:val="fr-FR"/>
        </w:rPr>
        <w:t xml:space="preserve">. </w:t>
      </w:r>
    </w:p>
    <w:p w:rsidR="003767BA" w:rsidRPr="006746BC" w:rsidRDefault="00F372CF" w:rsidP="006746BC">
      <w:pPr>
        <w:spacing w:before="100" w:beforeAutospacing="1" w:after="100" w:afterAutospacing="1"/>
        <w:rPr>
          <w:rFonts w:ascii="Verdana" w:hAnsi="Verdana"/>
          <w:b/>
          <w:bCs/>
          <w:color w:val="000000"/>
          <w:sz w:val="22"/>
          <w:szCs w:val="22"/>
          <w:lang w:val="fr-CH" w:eastAsia="en-GB"/>
        </w:rPr>
      </w:pPr>
      <w:r w:rsidRPr="00F372CF">
        <w:rPr>
          <w:rFonts w:ascii="Verdana" w:hAnsi="Verdana"/>
          <w:b/>
          <w:bCs/>
          <w:color w:val="000000"/>
          <w:sz w:val="22"/>
          <w:szCs w:val="22"/>
          <w:lang w:val="fr-CH" w:eastAsia="en-GB"/>
        </w:rPr>
        <w:t>Portée de l'étude et questions clés</w:t>
      </w:r>
    </w:p>
    <w:p w:rsidR="00BC28E0" w:rsidRDefault="00BC28E0" w:rsidP="00F22392">
      <w:pPr>
        <w:jc w:val="both"/>
        <w:outlineLvl w:val="1"/>
        <w:rPr>
          <w:rFonts w:ascii="Verdana" w:hAnsi="Verdana"/>
          <w:bCs/>
          <w:lang w:val="fr-FR" w:eastAsia="en-GB"/>
        </w:rPr>
      </w:pPr>
      <w:r w:rsidRPr="00BC28E0">
        <w:rPr>
          <w:rFonts w:ascii="Verdana" w:hAnsi="Verdana"/>
          <w:bCs/>
          <w:lang w:val="fr-FR" w:eastAsia="en-GB"/>
        </w:rPr>
        <w:t xml:space="preserve">Le Groupe de travail accueille </w:t>
      </w:r>
      <w:r w:rsidR="002B683E">
        <w:rPr>
          <w:rFonts w:ascii="Verdana" w:hAnsi="Verdana"/>
          <w:bCs/>
          <w:lang w:val="fr-FR" w:eastAsia="en-GB"/>
        </w:rPr>
        <w:t>favorablement</w:t>
      </w:r>
      <w:r w:rsidR="00251436">
        <w:rPr>
          <w:rFonts w:ascii="Verdana" w:hAnsi="Verdana"/>
          <w:bCs/>
          <w:lang w:val="fr-FR" w:eastAsia="en-GB"/>
        </w:rPr>
        <w:t xml:space="preserve"> les contributions d'États, d’</w:t>
      </w:r>
      <w:r w:rsidRPr="00BC28E0">
        <w:rPr>
          <w:rFonts w:ascii="Verdana" w:hAnsi="Verdana"/>
          <w:bCs/>
          <w:lang w:val="fr-FR" w:eastAsia="en-GB"/>
        </w:rPr>
        <w:t>organisations de la soci</w:t>
      </w:r>
      <w:r w:rsidR="00251436">
        <w:rPr>
          <w:rFonts w:ascii="Verdana" w:hAnsi="Verdana"/>
          <w:bCs/>
          <w:lang w:val="fr-FR" w:eastAsia="en-GB"/>
        </w:rPr>
        <w:t>été civile, d'universitaires, d’</w:t>
      </w:r>
      <w:r w:rsidRPr="00BC28E0">
        <w:rPr>
          <w:rFonts w:ascii="Verdana" w:hAnsi="Verdana"/>
          <w:bCs/>
          <w:lang w:val="fr-FR" w:eastAsia="en-GB"/>
        </w:rPr>
        <w:t>organisations internationales et inter</w:t>
      </w:r>
      <w:r w:rsidR="00251436">
        <w:rPr>
          <w:rFonts w:ascii="Verdana" w:hAnsi="Verdana"/>
          <w:bCs/>
          <w:lang w:val="fr-FR" w:eastAsia="en-GB"/>
        </w:rPr>
        <w:t>gouvernementales, d’</w:t>
      </w:r>
      <w:r w:rsidRPr="00BC28E0">
        <w:rPr>
          <w:rFonts w:ascii="Verdana" w:hAnsi="Verdana"/>
          <w:bCs/>
          <w:lang w:val="fr-FR" w:eastAsia="en-GB"/>
        </w:rPr>
        <w:t>institut</w:t>
      </w:r>
      <w:r w:rsidR="00251436">
        <w:rPr>
          <w:rFonts w:ascii="Verdana" w:hAnsi="Verdana"/>
          <w:bCs/>
          <w:lang w:val="fr-FR" w:eastAsia="en-GB"/>
        </w:rPr>
        <w:t>ions nationales des droits de l’</w:t>
      </w:r>
      <w:r w:rsidRPr="00BC28E0">
        <w:rPr>
          <w:rFonts w:ascii="Verdana" w:hAnsi="Verdana"/>
          <w:bCs/>
          <w:lang w:val="fr-FR" w:eastAsia="en-GB"/>
        </w:rPr>
        <w:t>homme, d'entreprises privées, de particuliers et de tout autre acteur concerné.</w:t>
      </w:r>
    </w:p>
    <w:p w:rsidR="00BC28E0" w:rsidRDefault="00BC28E0" w:rsidP="00F22392">
      <w:pPr>
        <w:jc w:val="both"/>
        <w:outlineLvl w:val="1"/>
        <w:rPr>
          <w:rFonts w:ascii="Verdana" w:hAnsi="Verdana"/>
          <w:bCs/>
          <w:lang w:val="fr-FR" w:eastAsia="en-GB"/>
        </w:rPr>
      </w:pPr>
    </w:p>
    <w:p w:rsidR="00F22392" w:rsidRDefault="002B683E" w:rsidP="00F22392">
      <w:pPr>
        <w:pStyle w:val="ListParagraph"/>
        <w:spacing w:after="120"/>
        <w:ind w:left="0"/>
        <w:contextualSpacing w:val="0"/>
        <w:jc w:val="both"/>
        <w:rPr>
          <w:rFonts w:ascii="Verdana" w:hAnsi="Verdana"/>
          <w:sz w:val="20"/>
          <w:szCs w:val="20"/>
          <w:u w:val="single"/>
          <w:lang w:val="fr-FR"/>
        </w:rPr>
      </w:pPr>
      <w:r w:rsidRPr="002B683E">
        <w:rPr>
          <w:rFonts w:ascii="Verdana" w:hAnsi="Verdana"/>
          <w:bCs/>
          <w:sz w:val="20"/>
          <w:szCs w:val="20"/>
          <w:lang w:val="fr-FR" w:eastAsia="en-GB"/>
        </w:rPr>
        <w:t xml:space="preserve">Bien que le Groupe de travail accueille favorablement toute information jugée pertinente à la question, il s’intéresse particulièrement aux domaines mentionnés ci-dessous. Tout en répondant aux questions suivantes, veuillez fournir, dans la mesure du possible, des </w:t>
      </w:r>
      <w:r w:rsidRPr="002B683E">
        <w:rPr>
          <w:rFonts w:ascii="Verdana" w:hAnsi="Verdana"/>
          <w:b/>
          <w:bCs/>
          <w:sz w:val="20"/>
          <w:szCs w:val="20"/>
          <w:lang w:val="fr-FR" w:eastAsia="en-GB"/>
        </w:rPr>
        <w:lastRenderedPageBreak/>
        <w:t>exemples, des bonnes pratiques et des recommandations</w:t>
      </w:r>
      <w:r w:rsidRPr="002B683E">
        <w:rPr>
          <w:rFonts w:ascii="Verdana" w:hAnsi="Verdana"/>
          <w:bCs/>
          <w:sz w:val="20"/>
          <w:szCs w:val="20"/>
          <w:lang w:val="fr-FR" w:eastAsia="en-GB"/>
        </w:rPr>
        <w:t xml:space="preserve"> que vous jugez importantes dans le contexte de ce questionnaire, ainsi que toute analyse sur les développements futurs dans ce domaine</w:t>
      </w:r>
    </w:p>
    <w:p w:rsidR="00251436" w:rsidRPr="00251436" w:rsidRDefault="00251436" w:rsidP="00251436">
      <w:pPr>
        <w:spacing w:after="120"/>
        <w:jc w:val="both"/>
        <w:rPr>
          <w:rFonts w:ascii="Verdana" w:hAnsi="Verdana"/>
          <w:u w:val="single"/>
          <w:lang w:val="en-US"/>
        </w:rPr>
      </w:pPr>
      <w:proofErr w:type="spellStart"/>
      <w:r w:rsidRPr="00251436">
        <w:rPr>
          <w:rFonts w:ascii="Verdana" w:hAnsi="Verdana"/>
          <w:u w:val="single"/>
          <w:lang w:val="en-US"/>
        </w:rPr>
        <w:t>Tendances</w:t>
      </w:r>
      <w:proofErr w:type="spellEnd"/>
      <w:r w:rsidRPr="00251436">
        <w:rPr>
          <w:rFonts w:ascii="Verdana" w:hAnsi="Verdana"/>
          <w:u w:val="single"/>
          <w:lang w:val="en-US"/>
        </w:rPr>
        <w:t xml:space="preserve"> et </w:t>
      </w:r>
      <w:proofErr w:type="spellStart"/>
      <w:r w:rsidRPr="00251436">
        <w:rPr>
          <w:rFonts w:ascii="Verdana" w:hAnsi="Verdana"/>
          <w:u w:val="single"/>
          <w:lang w:val="en-US"/>
        </w:rPr>
        <w:t>développements</w:t>
      </w:r>
      <w:proofErr w:type="spellEnd"/>
      <w:r w:rsidRPr="00251436">
        <w:rPr>
          <w:rFonts w:ascii="Verdana" w:hAnsi="Verdana"/>
          <w:u w:val="single"/>
          <w:lang w:val="en-US"/>
        </w:rPr>
        <w:t xml:space="preserve"> </w:t>
      </w:r>
      <w:proofErr w:type="spellStart"/>
      <w:r w:rsidRPr="00251436">
        <w:rPr>
          <w:rFonts w:ascii="Verdana" w:hAnsi="Verdana"/>
          <w:u w:val="single"/>
          <w:lang w:val="en-US"/>
        </w:rPr>
        <w:t>actuels</w:t>
      </w:r>
      <w:proofErr w:type="spellEnd"/>
    </w:p>
    <w:p w:rsidR="00251436" w:rsidRPr="00251436" w:rsidRDefault="00251436" w:rsidP="00251436">
      <w:pPr>
        <w:numPr>
          <w:ilvl w:val="0"/>
          <w:numId w:val="3"/>
        </w:numPr>
        <w:spacing w:after="160" w:line="259" w:lineRule="auto"/>
        <w:ind w:left="567" w:hanging="567"/>
        <w:contextualSpacing/>
        <w:jc w:val="both"/>
        <w:rPr>
          <w:rFonts w:ascii="Verdana" w:eastAsia="Calibri" w:hAnsi="Verdana"/>
          <w:lang w:val="fr-FR"/>
        </w:rPr>
      </w:pPr>
      <w:r w:rsidRPr="00251436">
        <w:rPr>
          <w:rFonts w:ascii="Verdana" w:eastAsia="Calibri" w:hAnsi="Verdana"/>
          <w:lang w:val="fr-FR"/>
        </w:rPr>
        <w:t>Qui sont les clients et/ou bénéficiaires des cyber-capacités et opérations ?</w:t>
      </w:r>
    </w:p>
    <w:p w:rsidR="00251436" w:rsidRPr="00251436" w:rsidRDefault="00251436" w:rsidP="00251436">
      <w:pPr>
        <w:ind w:left="567"/>
        <w:contextualSpacing/>
        <w:jc w:val="both"/>
        <w:rPr>
          <w:rFonts w:ascii="Verdana" w:eastAsia="Calibri" w:hAnsi="Verdana"/>
          <w:i/>
          <w:lang w:val="fr-FR"/>
        </w:rPr>
      </w:pPr>
      <w:r w:rsidRPr="00251436">
        <w:rPr>
          <w:rFonts w:ascii="Verdana" w:eastAsia="Calibri" w:hAnsi="Verdana"/>
          <w:i/>
          <w:lang w:val="fr-FR"/>
        </w:rPr>
        <w:t xml:space="preserve">Par exemple, cela peut inclure des acteurs étatiques et non étatiques qui engagent des « cyber-mercenaires » et d’autres acteurs opérant seuls ou à travers des entreprises militaires et de sécurité privées (EMSP) pour acquérir des cyber-capacités, y compris des services et produits militaires et de sécurité. </w:t>
      </w:r>
    </w:p>
    <w:p w:rsidR="00251436" w:rsidRPr="00251436" w:rsidRDefault="00251436" w:rsidP="00251436">
      <w:pPr>
        <w:spacing w:after="160" w:line="259" w:lineRule="auto"/>
        <w:ind w:left="567"/>
        <w:contextualSpacing/>
        <w:jc w:val="both"/>
        <w:rPr>
          <w:rFonts w:ascii="Verdana" w:eastAsia="Calibri" w:hAnsi="Verdana"/>
          <w:b/>
          <w:lang w:val="fr-FR"/>
        </w:rPr>
      </w:pPr>
    </w:p>
    <w:p w:rsidR="00251436" w:rsidRPr="00251436" w:rsidRDefault="00251436" w:rsidP="00251436">
      <w:pPr>
        <w:numPr>
          <w:ilvl w:val="0"/>
          <w:numId w:val="3"/>
        </w:numPr>
        <w:spacing w:after="160" w:line="259" w:lineRule="auto"/>
        <w:ind w:left="567" w:hanging="567"/>
        <w:contextualSpacing/>
        <w:jc w:val="both"/>
        <w:rPr>
          <w:rFonts w:ascii="Verdana" w:eastAsia="Calibri" w:hAnsi="Verdana"/>
          <w:lang w:val="fr-FR"/>
        </w:rPr>
      </w:pPr>
      <w:r w:rsidRPr="00251436">
        <w:rPr>
          <w:rFonts w:ascii="Verdana" w:eastAsia="Calibri" w:hAnsi="Verdana"/>
          <w:lang w:val="fr-CH"/>
        </w:rPr>
        <w:t xml:space="preserve">Quel est le rôle des acteurs </w:t>
      </w:r>
      <w:r w:rsidRPr="00251436">
        <w:rPr>
          <w:rFonts w:ascii="Verdana" w:eastAsia="Calibri" w:hAnsi="Verdana"/>
          <w:lang w:val="fr-FR"/>
        </w:rPr>
        <w:t>opérant seuls ou à travers des EMPS</w:t>
      </w:r>
      <w:r w:rsidRPr="00251436">
        <w:rPr>
          <w:rFonts w:ascii="Verdana" w:eastAsia="Calibri" w:hAnsi="Verdana"/>
          <w:lang w:val="fr-CH"/>
        </w:rPr>
        <w:t xml:space="preserve">, dans a) le développement, b) le maintien, c) la vente, d) la fourniture de </w:t>
      </w:r>
      <w:proofErr w:type="spellStart"/>
      <w:r w:rsidRPr="00251436">
        <w:rPr>
          <w:rFonts w:ascii="Verdana" w:eastAsia="Calibri" w:hAnsi="Verdana"/>
          <w:lang w:val="fr-CH"/>
        </w:rPr>
        <w:t>cybercapacités</w:t>
      </w:r>
      <w:proofErr w:type="spellEnd"/>
      <w:r w:rsidRPr="00251436">
        <w:rPr>
          <w:rFonts w:ascii="Verdana" w:eastAsia="Calibri" w:hAnsi="Verdana"/>
          <w:lang w:val="fr-CH"/>
        </w:rPr>
        <w:t xml:space="preserve"> (y compris des produits ou services militaires ou de sécurité) à des tiers, ou e) mener du cyber espionnage</w:t>
      </w:r>
      <w:r w:rsidRPr="00251436">
        <w:rPr>
          <w:rFonts w:ascii="Verdana" w:eastAsia="Calibri" w:hAnsi="Verdana"/>
          <w:lang w:val="fr-FR"/>
        </w:rPr>
        <w:t xml:space="preserve"> ? </w:t>
      </w:r>
    </w:p>
    <w:p w:rsidR="00251436" w:rsidRPr="00251436" w:rsidRDefault="00251436" w:rsidP="00251436">
      <w:pPr>
        <w:ind w:left="567"/>
        <w:contextualSpacing/>
        <w:jc w:val="both"/>
        <w:rPr>
          <w:rFonts w:ascii="Verdana" w:eastAsia="Calibri" w:hAnsi="Verdana"/>
          <w:lang w:val="fr-FR"/>
        </w:rPr>
      </w:pPr>
    </w:p>
    <w:p w:rsidR="00251436" w:rsidRPr="00251436" w:rsidRDefault="00251436" w:rsidP="00251436">
      <w:pPr>
        <w:numPr>
          <w:ilvl w:val="0"/>
          <w:numId w:val="3"/>
        </w:numPr>
        <w:spacing w:after="160" w:line="259" w:lineRule="auto"/>
        <w:ind w:left="567" w:hanging="567"/>
        <w:contextualSpacing/>
        <w:jc w:val="both"/>
        <w:rPr>
          <w:rFonts w:ascii="Verdana" w:eastAsia="Calibri" w:hAnsi="Verdana"/>
          <w:lang w:val="fr-FR"/>
        </w:rPr>
      </w:pPr>
      <w:r w:rsidRPr="00251436">
        <w:rPr>
          <w:rFonts w:ascii="Verdana" w:eastAsia="Calibri" w:hAnsi="Verdana"/>
          <w:lang w:val="fr-FR"/>
        </w:rPr>
        <w:t xml:space="preserve">Quelles sont les facteurs de motivation et les intentions stratégiques : a) des clients qui recrutent des « cyber-mercenaires » ainsi que le type de relation qu’ils peuvent entretenir avec eux ; et b) des « cyber-mercenaires » et d’autres acteurs opérant seuls ou à travers des EMPS dans le cyberespace ?  </w:t>
      </w:r>
    </w:p>
    <w:p w:rsidR="00251436" w:rsidRPr="00251436" w:rsidRDefault="00251436" w:rsidP="00251436">
      <w:pPr>
        <w:spacing w:after="160" w:line="259" w:lineRule="auto"/>
        <w:ind w:left="567"/>
        <w:contextualSpacing/>
        <w:jc w:val="both"/>
        <w:rPr>
          <w:rFonts w:ascii="Verdana" w:eastAsia="Calibri" w:hAnsi="Verdana"/>
          <w:i/>
          <w:lang w:val="fr-FR"/>
        </w:rPr>
      </w:pPr>
      <w:r w:rsidRPr="00251436">
        <w:rPr>
          <w:rFonts w:ascii="Verdana" w:eastAsia="Calibri" w:hAnsi="Verdana"/>
          <w:i/>
          <w:lang w:val="fr-FR"/>
        </w:rPr>
        <w:t>Les facteurs de motivation peuvent inclure, par exemple, un gain privé, une compensation matérielle, des raisons idéologiques et autres.</w:t>
      </w:r>
    </w:p>
    <w:p w:rsidR="00251436" w:rsidRPr="00251436" w:rsidRDefault="00251436" w:rsidP="00251436">
      <w:pPr>
        <w:spacing w:after="160" w:line="259" w:lineRule="auto"/>
        <w:contextualSpacing/>
        <w:jc w:val="both"/>
        <w:rPr>
          <w:rFonts w:ascii="Verdana" w:eastAsia="Calibri" w:hAnsi="Verdana"/>
          <w:lang w:val="fr-FR"/>
        </w:rPr>
      </w:pPr>
    </w:p>
    <w:p w:rsidR="00251436" w:rsidRDefault="00251436" w:rsidP="00251436">
      <w:pPr>
        <w:numPr>
          <w:ilvl w:val="0"/>
          <w:numId w:val="3"/>
        </w:numPr>
        <w:spacing w:after="160" w:line="259" w:lineRule="auto"/>
        <w:ind w:left="567" w:hanging="567"/>
        <w:contextualSpacing/>
        <w:jc w:val="both"/>
        <w:rPr>
          <w:rFonts w:ascii="Verdana" w:eastAsia="Calibri" w:hAnsi="Verdana"/>
          <w:lang w:val="fr-FR"/>
        </w:rPr>
      </w:pPr>
      <w:r w:rsidRPr="00251436">
        <w:rPr>
          <w:rFonts w:ascii="Verdana" w:eastAsia="Calibri" w:hAnsi="Verdana"/>
          <w:lang w:val="fr-FR"/>
        </w:rPr>
        <w:t>Quels types de services et produits sont-ils disponibles dans le cyberespace (par exemple, les logiciels espions ou malveillants, l’intelligence artificielle), et quel est leur objectif tant dans les situations de conflit que de non-conflit ?</w:t>
      </w:r>
    </w:p>
    <w:p w:rsidR="002076A5" w:rsidRPr="00251436" w:rsidRDefault="002076A5" w:rsidP="002076A5">
      <w:pPr>
        <w:spacing w:after="160" w:line="259" w:lineRule="auto"/>
        <w:ind w:left="567"/>
        <w:contextualSpacing/>
        <w:jc w:val="both"/>
        <w:rPr>
          <w:rFonts w:ascii="Verdana" w:eastAsia="Calibri" w:hAnsi="Verdana"/>
          <w:lang w:val="fr-FR"/>
        </w:rPr>
      </w:pPr>
    </w:p>
    <w:p w:rsidR="00251436" w:rsidRPr="00251436" w:rsidRDefault="00251436" w:rsidP="00251436">
      <w:pPr>
        <w:numPr>
          <w:ilvl w:val="0"/>
          <w:numId w:val="3"/>
        </w:numPr>
        <w:spacing w:after="160" w:line="259" w:lineRule="auto"/>
        <w:ind w:left="567" w:hanging="567"/>
        <w:contextualSpacing/>
        <w:jc w:val="both"/>
        <w:rPr>
          <w:rFonts w:ascii="Verdana" w:eastAsia="Calibri" w:hAnsi="Verdana"/>
          <w:lang w:val="fr-FR"/>
        </w:rPr>
      </w:pPr>
      <w:r w:rsidRPr="00251436">
        <w:rPr>
          <w:rFonts w:ascii="Verdana" w:eastAsia="Calibri" w:hAnsi="Verdana"/>
          <w:lang w:val="fr-FR"/>
        </w:rPr>
        <w:t>Quel est le rôle des nouvelles technologies pour</w:t>
      </w:r>
      <w:r w:rsidRPr="00251436">
        <w:rPr>
          <w:rFonts w:ascii="Verdana" w:eastAsia="Calibri" w:hAnsi="Verdana"/>
          <w:bCs/>
          <w:lang w:val="fr-FR"/>
        </w:rPr>
        <w:t xml:space="preserve"> causer des dommages</w:t>
      </w:r>
      <w:r w:rsidRPr="00251436">
        <w:rPr>
          <w:rFonts w:ascii="Verdana" w:eastAsia="Calibri" w:hAnsi="Verdana"/>
          <w:lang w:val="fr-FR"/>
        </w:rPr>
        <w:t xml:space="preserve"> à distance dans le contexte des </w:t>
      </w:r>
      <w:proofErr w:type="spellStart"/>
      <w:r w:rsidRPr="00251436">
        <w:rPr>
          <w:rFonts w:ascii="Verdana" w:eastAsia="Calibri" w:hAnsi="Verdana"/>
          <w:lang w:val="fr-FR"/>
        </w:rPr>
        <w:t>cyberopérations</w:t>
      </w:r>
      <w:proofErr w:type="spellEnd"/>
      <w:r w:rsidRPr="00251436">
        <w:rPr>
          <w:rFonts w:ascii="Verdana" w:eastAsia="Calibri" w:hAnsi="Verdana"/>
          <w:lang w:val="fr-FR"/>
        </w:rPr>
        <w:t xml:space="preserve">, et quels sont les risques encourus ? Comment définiriez-vous « participer directement aux </w:t>
      </w:r>
      <w:proofErr w:type="spellStart"/>
      <w:r w:rsidRPr="00251436">
        <w:rPr>
          <w:rFonts w:ascii="Verdana" w:eastAsia="Calibri" w:hAnsi="Verdana"/>
          <w:lang w:val="fr-FR"/>
        </w:rPr>
        <w:t>cyberopérations</w:t>
      </w:r>
      <w:proofErr w:type="spellEnd"/>
      <w:r w:rsidRPr="00251436">
        <w:rPr>
          <w:rFonts w:ascii="Verdana" w:eastAsia="Calibri" w:hAnsi="Verdana"/>
          <w:lang w:val="fr-FR"/>
        </w:rPr>
        <w:t xml:space="preserve"> » ? </w:t>
      </w:r>
    </w:p>
    <w:p w:rsidR="00251436" w:rsidRPr="00251436" w:rsidRDefault="00251436" w:rsidP="00251436">
      <w:pPr>
        <w:spacing w:after="120"/>
        <w:jc w:val="both"/>
        <w:rPr>
          <w:rFonts w:ascii="Verdana" w:hAnsi="Verdana"/>
          <w:u w:val="single"/>
          <w:lang w:val="fr-FR"/>
        </w:rPr>
      </w:pPr>
    </w:p>
    <w:p w:rsidR="00251436" w:rsidRPr="00251436" w:rsidRDefault="00251436" w:rsidP="00251436">
      <w:pPr>
        <w:spacing w:after="120"/>
        <w:jc w:val="both"/>
        <w:rPr>
          <w:rFonts w:ascii="Verdana" w:hAnsi="Verdana"/>
          <w:lang w:val="fr-FR"/>
        </w:rPr>
      </w:pPr>
      <w:r w:rsidRPr="00251436">
        <w:rPr>
          <w:rFonts w:ascii="Verdana" w:hAnsi="Verdana"/>
          <w:u w:val="single"/>
          <w:lang w:val="fr-FR"/>
        </w:rPr>
        <w:t xml:space="preserve">Cadres réglementaires et leur mise en œuvre </w:t>
      </w:r>
    </w:p>
    <w:p w:rsidR="00251436" w:rsidRPr="00251436" w:rsidRDefault="00251436" w:rsidP="00251436">
      <w:pPr>
        <w:contextualSpacing/>
        <w:jc w:val="both"/>
        <w:rPr>
          <w:rFonts w:ascii="Verdana" w:eastAsia="Calibri" w:hAnsi="Verdana"/>
          <w:lang w:val="fr-FR"/>
        </w:rPr>
      </w:pPr>
    </w:p>
    <w:p w:rsidR="002076A5" w:rsidRDefault="002076A5" w:rsidP="002076A5">
      <w:pPr>
        <w:numPr>
          <w:ilvl w:val="0"/>
          <w:numId w:val="3"/>
        </w:numPr>
        <w:spacing w:after="160" w:line="259" w:lineRule="auto"/>
        <w:ind w:left="567" w:hanging="567"/>
        <w:contextualSpacing/>
        <w:jc w:val="both"/>
        <w:rPr>
          <w:rFonts w:ascii="Verdana" w:eastAsia="Calibri" w:hAnsi="Verdana"/>
          <w:lang w:val="fr-FR"/>
        </w:rPr>
      </w:pPr>
      <w:r w:rsidRPr="002076A5">
        <w:rPr>
          <w:rFonts w:ascii="Verdana" w:eastAsia="Calibri" w:hAnsi="Verdana"/>
          <w:lang w:val="fr-CH"/>
        </w:rPr>
        <w:t>Veuillez fournir des informations sur les cadres législatifs, politiques et réglementaires nationaux, régionaux ou internationaux existants, ou d’autres initiatives, concernant la conduite dans le cyberespace et leur mise en œuvre (par exemple, transparence, comportement responsable, prévention des comportements interdits)</w:t>
      </w:r>
      <w:r w:rsidRPr="002076A5">
        <w:rPr>
          <w:rFonts w:ascii="Verdana" w:eastAsia="Calibri" w:hAnsi="Verdana"/>
          <w:lang w:val="fr-FR"/>
        </w:rPr>
        <w:t xml:space="preserve">. </w:t>
      </w:r>
    </w:p>
    <w:p w:rsidR="002076A5" w:rsidRDefault="002076A5" w:rsidP="002076A5">
      <w:pPr>
        <w:spacing w:after="160" w:line="259" w:lineRule="auto"/>
        <w:ind w:left="567"/>
        <w:contextualSpacing/>
        <w:jc w:val="both"/>
        <w:rPr>
          <w:rFonts w:ascii="Verdana" w:eastAsia="Calibri" w:hAnsi="Verdana"/>
          <w:lang w:val="fr-FR"/>
        </w:rPr>
      </w:pPr>
    </w:p>
    <w:p w:rsidR="00251436" w:rsidRDefault="00251436" w:rsidP="002076A5">
      <w:pPr>
        <w:numPr>
          <w:ilvl w:val="0"/>
          <w:numId w:val="3"/>
        </w:numPr>
        <w:spacing w:after="160" w:line="259" w:lineRule="auto"/>
        <w:ind w:left="567" w:hanging="567"/>
        <w:contextualSpacing/>
        <w:jc w:val="both"/>
        <w:rPr>
          <w:rFonts w:ascii="Verdana" w:eastAsia="Calibri" w:hAnsi="Verdana"/>
          <w:lang w:val="fr-FR"/>
        </w:rPr>
      </w:pPr>
      <w:r w:rsidRPr="002076A5">
        <w:rPr>
          <w:rFonts w:ascii="Verdana" w:eastAsia="Calibri" w:hAnsi="Verdana"/>
          <w:lang w:val="fr-CH"/>
        </w:rPr>
        <w:t xml:space="preserve">Veuillez fournir des informations sur les normes et/ou réglementations spécifiques nationales ou régionales régissant la fourniture de produits et services de sécurité dans le cyberespace par des </w:t>
      </w:r>
      <w:r w:rsidRPr="002076A5">
        <w:rPr>
          <w:rFonts w:ascii="Verdana" w:eastAsia="Calibri" w:hAnsi="Verdana"/>
          <w:lang w:val="fr-FR"/>
        </w:rPr>
        <w:t>acteurs opérant seuls ou à travers des EMPS et d’autres acteurs concernés.</w:t>
      </w:r>
    </w:p>
    <w:p w:rsidR="002076A5" w:rsidRPr="004B6CE3" w:rsidRDefault="002076A5" w:rsidP="004B6CE3">
      <w:pPr>
        <w:rPr>
          <w:rFonts w:ascii="Verdana" w:eastAsia="Calibri" w:hAnsi="Verdana"/>
          <w:lang w:val="fr-FR"/>
        </w:rPr>
      </w:pPr>
    </w:p>
    <w:p w:rsidR="00251436" w:rsidRDefault="00251436" w:rsidP="002076A5">
      <w:pPr>
        <w:numPr>
          <w:ilvl w:val="0"/>
          <w:numId w:val="3"/>
        </w:numPr>
        <w:spacing w:after="160" w:line="259" w:lineRule="auto"/>
        <w:ind w:left="567" w:hanging="567"/>
        <w:contextualSpacing/>
        <w:jc w:val="both"/>
        <w:rPr>
          <w:rFonts w:ascii="Verdana" w:eastAsia="Calibri" w:hAnsi="Verdana"/>
          <w:lang w:val="fr-FR"/>
        </w:rPr>
      </w:pPr>
      <w:r w:rsidRPr="002076A5">
        <w:rPr>
          <w:rFonts w:ascii="Verdana" w:eastAsia="Calibri" w:hAnsi="Verdana"/>
          <w:lang w:val="fr-CH"/>
        </w:rPr>
        <w:t xml:space="preserve">Veuillez fournir des informations sur les cadres et mécanismes nationaux, régionaux ou internationaux visant à enquêter, et tenir les individus, groupes, États ou entreprises responsables des abus dans le cyberespace, y compris pour l’espionnage, les </w:t>
      </w:r>
      <w:proofErr w:type="spellStart"/>
      <w:r w:rsidRPr="002076A5">
        <w:rPr>
          <w:rFonts w:ascii="Verdana" w:eastAsia="Calibri" w:hAnsi="Verdana"/>
          <w:lang w:val="fr-CH"/>
        </w:rPr>
        <w:t>cyberopérations</w:t>
      </w:r>
      <w:proofErr w:type="spellEnd"/>
      <w:r w:rsidRPr="002076A5">
        <w:rPr>
          <w:rFonts w:ascii="Verdana" w:eastAsia="Calibri" w:hAnsi="Verdana"/>
          <w:lang w:val="fr-CH"/>
        </w:rPr>
        <w:t>, les produits et les services illégaux, ainsi que leur efficacité</w:t>
      </w:r>
      <w:r w:rsidRPr="002076A5">
        <w:rPr>
          <w:rFonts w:ascii="Verdana" w:eastAsia="Calibri" w:hAnsi="Verdana"/>
          <w:lang w:val="fr-FR"/>
        </w:rPr>
        <w:t xml:space="preserve">. </w:t>
      </w:r>
    </w:p>
    <w:p w:rsidR="004B6CE3" w:rsidRDefault="004B6CE3" w:rsidP="000A45C2">
      <w:pPr>
        <w:rPr>
          <w:rFonts w:ascii="Verdana" w:eastAsia="Calibri" w:hAnsi="Verdana"/>
          <w:lang w:val="fr-FR"/>
        </w:rPr>
      </w:pPr>
    </w:p>
    <w:p w:rsidR="000A45C2" w:rsidRPr="00251436" w:rsidRDefault="000A45C2" w:rsidP="000A45C2">
      <w:pPr>
        <w:spacing w:after="120"/>
        <w:jc w:val="both"/>
        <w:rPr>
          <w:rFonts w:ascii="Verdana" w:hAnsi="Verdana"/>
          <w:u w:val="single"/>
          <w:lang w:val="fr-FR"/>
        </w:rPr>
      </w:pPr>
      <w:r w:rsidRPr="00251436">
        <w:rPr>
          <w:rFonts w:ascii="Verdana" w:hAnsi="Verdana"/>
          <w:u w:val="single"/>
          <w:lang w:val="fr-CH"/>
        </w:rPr>
        <w:t xml:space="preserve">Impacts sur les droits humains et le DIH des cyber-capacités et opérations offensives menée par des </w:t>
      </w:r>
      <w:r w:rsidRPr="00251436">
        <w:rPr>
          <w:rFonts w:ascii="Verdana" w:hAnsi="Verdana"/>
          <w:u w:val="single"/>
          <w:lang w:val="fr-FR"/>
        </w:rPr>
        <w:t xml:space="preserve">acteurs opérant seuls ou à travers des EMPS </w:t>
      </w:r>
    </w:p>
    <w:p w:rsidR="00251436" w:rsidRPr="000A45C2" w:rsidRDefault="00251436" w:rsidP="000A45C2">
      <w:pPr>
        <w:numPr>
          <w:ilvl w:val="0"/>
          <w:numId w:val="3"/>
        </w:numPr>
        <w:spacing w:after="160" w:line="259" w:lineRule="auto"/>
        <w:ind w:left="567" w:hanging="567"/>
        <w:contextualSpacing/>
        <w:jc w:val="both"/>
        <w:rPr>
          <w:rFonts w:ascii="Verdana" w:eastAsia="Calibri" w:hAnsi="Verdana"/>
          <w:lang w:val="fr-FR"/>
        </w:rPr>
      </w:pPr>
      <w:r w:rsidRPr="000A45C2">
        <w:rPr>
          <w:rFonts w:ascii="Verdana" w:eastAsia="Calibri" w:hAnsi="Verdana"/>
          <w:lang w:val="fr-CH"/>
        </w:rPr>
        <w:t xml:space="preserve">Veuillez décrire comment le développement et l'utilisation des </w:t>
      </w:r>
      <w:proofErr w:type="spellStart"/>
      <w:r w:rsidRPr="000A45C2">
        <w:rPr>
          <w:rFonts w:ascii="Verdana" w:eastAsia="Calibri" w:hAnsi="Verdana"/>
          <w:lang w:val="fr-CH"/>
        </w:rPr>
        <w:t>cybercapacités</w:t>
      </w:r>
      <w:proofErr w:type="spellEnd"/>
      <w:r w:rsidRPr="000A45C2">
        <w:rPr>
          <w:rFonts w:ascii="Verdana" w:eastAsia="Calibri" w:hAnsi="Verdana"/>
          <w:lang w:val="fr-CH"/>
        </w:rPr>
        <w:t xml:space="preserve">, des opérations et des services (par exemple, les attaques contre les infrastructures et </w:t>
      </w:r>
      <w:r w:rsidRPr="000A45C2">
        <w:rPr>
          <w:rFonts w:ascii="Verdana" w:eastAsia="Calibri" w:hAnsi="Verdana"/>
          <w:lang w:val="fr-CH"/>
        </w:rPr>
        <w:lastRenderedPageBreak/>
        <w:t xml:space="preserve">les données numériques/physiques, la surveillance d'individus) par des acteurs </w:t>
      </w:r>
      <w:r w:rsidRPr="000A45C2">
        <w:rPr>
          <w:rFonts w:ascii="Verdana" w:eastAsia="Calibri" w:hAnsi="Verdana"/>
          <w:lang w:val="fr-FR"/>
        </w:rPr>
        <w:t xml:space="preserve">opérant seuls ou à travers des EMPS </w:t>
      </w:r>
      <w:r w:rsidRPr="000A45C2">
        <w:rPr>
          <w:rFonts w:ascii="Verdana" w:eastAsia="Calibri" w:hAnsi="Verdana"/>
          <w:lang w:val="fr-CH"/>
        </w:rPr>
        <w:t>peuvent provoquer et contribuer à des abus et violations des droits humains dans des contextes hors conflits</w:t>
      </w:r>
      <w:r w:rsidRPr="000A45C2">
        <w:rPr>
          <w:rFonts w:ascii="Verdana" w:eastAsia="Calibri" w:hAnsi="Verdana"/>
          <w:lang w:val="fr-FR"/>
        </w:rPr>
        <w:t xml:space="preserve">. </w:t>
      </w:r>
    </w:p>
    <w:p w:rsidR="000A45C2" w:rsidRPr="000A45C2" w:rsidRDefault="00251436" w:rsidP="000A45C2">
      <w:pPr>
        <w:ind w:left="567"/>
        <w:contextualSpacing/>
        <w:jc w:val="both"/>
        <w:rPr>
          <w:rFonts w:ascii="Verdana" w:eastAsia="Calibri" w:hAnsi="Verdana"/>
          <w:lang w:val="fr-FR"/>
        </w:rPr>
      </w:pPr>
      <w:r w:rsidRPr="00251436">
        <w:rPr>
          <w:rFonts w:ascii="Verdana" w:eastAsia="Calibri" w:hAnsi="Verdana"/>
          <w:i/>
          <w:lang w:val="fr-FR"/>
        </w:rPr>
        <w:t>Cela inclut par exemple le droit à la vie, à l’intégrité physique et mentale, à la vie privée, à la santé, au vote, au droit des peuples à disposer d’eux-mêmes, ainsi que la liberté de mouvement, de réunion et d’association, qui pourraient affecter des individus ou des groupes, tels que des défenseurs des droits humains, des leaders de l’opposition ou des journalistes</w:t>
      </w:r>
      <w:r w:rsidRPr="00251436">
        <w:rPr>
          <w:rFonts w:ascii="Verdana" w:eastAsia="Calibri" w:hAnsi="Verdana"/>
          <w:lang w:val="fr-FR"/>
        </w:rPr>
        <w:t>.</w:t>
      </w:r>
      <w:r w:rsidRPr="00251436">
        <w:rPr>
          <w:rFonts w:ascii="Verdana" w:eastAsia="Calibri" w:hAnsi="Verdana"/>
          <w:i/>
          <w:lang w:val="fr-FR"/>
        </w:rPr>
        <w:t xml:space="preserve"> </w:t>
      </w:r>
      <w:bookmarkStart w:id="0" w:name="_GoBack"/>
      <w:bookmarkEnd w:id="0"/>
    </w:p>
    <w:p w:rsidR="000A45C2" w:rsidRPr="000A45C2" w:rsidRDefault="000A45C2" w:rsidP="000A45C2">
      <w:pPr>
        <w:rPr>
          <w:rFonts w:ascii="Verdana" w:eastAsia="Calibri" w:hAnsi="Verdana"/>
          <w:lang w:val="fr-FR"/>
        </w:rPr>
      </w:pPr>
    </w:p>
    <w:p w:rsidR="000A45C2" w:rsidRPr="000A45C2" w:rsidRDefault="000A45C2" w:rsidP="000A45C2">
      <w:pPr>
        <w:numPr>
          <w:ilvl w:val="0"/>
          <w:numId w:val="3"/>
        </w:numPr>
        <w:spacing w:after="160" w:line="259" w:lineRule="auto"/>
        <w:ind w:left="567" w:hanging="567"/>
        <w:contextualSpacing/>
        <w:jc w:val="both"/>
        <w:rPr>
          <w:rFonts w:ascii="Verdana" w:eastAsia="Calibri" w:hAnsi="Verdana"/>
          <w:lang w:val="fr-FR"/>
        </w:rPr>
      </w:pPr>
      <w:r>
        <w:rPr>
          <w:rFonts w:ascii="Verdana" w:eastAsia="Calibri" w:hAnsi="Verdana"/>
          <w:lang w:val="fr-FR"/>
        </w:rPr>
        <w:t xml:space="preserve">Veuillez </w:t>
      </w:r>
      <w:r w:rsidRPr="000A45C2">
        <w:rPr>
          <w:rFonts w:ascii="Verdana" w:eastAsia="Calibri" w:hAnsi="Verdana"/>
          <w:lang w:val="fr-CH"/>
        </w:rPr>
        <w:t xml:space="preserve">décrire comment le développement et l’utilisation de </w:t>
      </w:r>
      <w:proofErr w:type="spellStart"/>
      <w:r w:rsidRPr="000A45C2">
        <w:rPr>
          <w:rFonts w:ascii="Verdana" w:eastAsia="Calibri" w:hAnsi="Verdana"/>
          <w:lang w:val="fr-CH"/>
        </w:rPr>
        <w:t>cybercapacités</w:t>
      </w:r>
      <w:proofErr w:type="spellEnd"/>
      <w:r w:rsidRPr="000A45C2">
        <w:rPr>
          <w:rFonts w:ascii="Verdana" w:eastAsia="Calibri" w:hAnsi="Verdana"/>
          <w:lang w:val="fr-CH"/>
        </w:rPr>
        <w:t xml:space="preserve">, d’opérations et de services dans le cyberespace par des acteurs </w:t>
      </w:r>
      <w:r w:rsidRPr="000A45C2">
        <w:rPr>
          <w:rFonts w:ascii="Verdana" w:eastAsia="Calibri" w:hAnsi="Verdana"/>
          <w:lang w:val="fr-FR"/>
        </w:rPr>
        <w:t>opérant seuls ou à travers des EMPS</w:t>
      </w:r>
      <w:r w:rsidRPr="000A45C2">
        <w:rPr>
          <w:rFonts w:ascii="Verdana" w:eastAsia="Calibri" w:hAnsi="Verdana"/>
          <w:lang w:val="fr-CH"/>
        </w:rPr>
        <w:t xml:space="preserve"> peuvent provoquer et contribuer à des violations du droit international humanitaire dans le cadre de conflits armés</w:t>
      </w:r>
      <w:r>
        <w:rPr>
          <w:rFonts w:ascii="Verdana" w:eastAsia="Calibri" w:hAnsi="Verdana"/>
          <w:lang w:val="fr-FR"/>
        </w:rPr>
        <w:t xml:space="preserve">. </w:t>
      </w:r>
    </w:p>
    <w:p w:rsidR="00672B04" w:rsidRPr="000A45C2" w:rsidRDefault="000A45C2" w:rsidP="00CA1E56">
      <w:pPr>
        <w:rPr>
          <w:rFonts w:ascii="Verdana" w:eastAsia="Calibri" w:hAnsi="Verdana"/>
          <w:lang w:val="fr-FR"/>
        </w:rPr>
      </w:pPr>
    </w:p>
    <w:p w:rsidR="000A45C2" w:rsidRDefault="000A45C2" w:rsidP="00CA1E56">
      <w:pPr>
        <w:rPr>
          <w:rFonts w:ascii="Verdana" w:hAnsi="Verdana"/>
          <w:lang w:val="fr-FR"/>
        </w:rPr>
      </w:pPr>
    </w:p>
    <w:p w:rsidR="00EE0193" w:rsidRDefault="00EE0193" w:rsidP="00CA1E56">
      <w:pPr>
        <w:rPr>
          <w:rFonts w:ascii="Verdana" w:hAnsi="Verdana"/>
          <w:b/>
          <w:sz w:val="22"/>
          <w:szCs w:val="22"/>
          <w:lang w:val="fr-FR"/>
        </w:rPr>
      </w:pPr>
      <w:r w:rsidRPr="00EE0193">
        <w:rPr>
          <w:rFonts w:ascii="Verdana" w:hAnsi="Verdana"/>
          <w:b/>
          <w:sz w:val="22"/>
          <w:szCs w:val="22"/>
          <w:lang w:val="fr-FR"/>
        </w:rPr>
        <w:t>Comment et où soumettre les contributions</w:t>
      </w:r>
    </w:p>
    <w:p w:rsidR="00EE0193" w:rsidRDefault="00EE0193" w:rsidP="00CA1E56">
      <w:pPr>
        <w:rPr>
          <w:rFonts w:ascii="Verdana" w:hAnsi="Verdana"/>
          <w:lang w:val="fr-FR"/>
        </w:rPr>
      </w:pPr>
    </w:p>
    <w:p w:rsidR="0004077F" w:rsidRDefault="00EE0193" w:rsidP="00CA1E56">
      <w:pPr>
        <w:rPr>
          <w:rFonts w:ascii="Verdana" w:hAnsi="Verdana"/>
          <w:lang w:val="fr-FR"/>
        </w:rPr>
      </w:pPr>
      <w:r w:rsidRPr="00EE0193">
        <w:rPr>
          <w:rFonts w:ascii="Verdana" w:hAnsi="Verdana"/>
          <w:lang w:val="fr-FR"/>
        </w:rPr>
        <w:t xml:space="preserve">Les contributions peuvent être envoyées par courrier électronique dans un format accessible (document Word) à </w:t>
      </w:r>
      <w:hyperlink r:id="rId5" w:history="1">
        <w:r w:rsidRPr="000E4A5F">
          <w:rPr>
            <w:rStyle w:val="Hyperlink"/>
            <w:rFonts w:ascii="Verdana" w:hAnsi="Verdana"/>
            <w:lang w:val="fr-FR"/>
          </w:rPr>
          <w:t>mercenaries@ohchr.org</w:t>
        </w:r>
      </w:hyperlink>
      <w:r w:rsidRPr="00EE0193">
        <w:rPr>
          <w:rFonts w:ascii="Verdana" w:hAnsi="Verdana"/>
          <w:lang w:val="fr-FR"/>
        </w:rPr>
        <w:t xml:space="preserve">. </w:t>
      </w:r>
      <w:r w:rsidR="00BD2E32">
        <w:rPr>
          <w:rFonts w:ascii="Verdana" w:hAnsi="Verdana"/>
          <w:lang w:val="fr-FR"/>
        </w:rPr>
        <w:t>L</w:t>
      </w:r>
      <w:r w:rsidRPr="00EE0193">
        <w:rPr>
          <w:rFonts w:ascii="Verdana" w:hAnsi="Verdana"/>
          <w:lang w:val="fr-FR"/>
        </w:rPr>
        <w:t xml:space="preserve">es </w:t>
      </w:r>
      <w:r w:rsidR="00BD2E32">
        <w:rPr>
          <w:rFonts w:ascii="Verdana" w:hAnsi="Verdana"/>
          <w:lang w:val="fr-FR"/>
        </w:rPr>
        <w:t xml:space="preserve">contributions </w:t>
      </w:r>
      <w:r w:rsidRPr="00EE0193">
        <w:rPr>
          <w:rFonts w:ascii="Verdana" w:hAnsi="Verdana"/>
          <w:lang w:val="fr-FR"/>
        </w:rPr>
        <w:t xml:space="preserve">doivent être reçues avant le </w:t>
      </w:r>
      <w:r w:rsidR="00BD2E32">
        <w:rPr>
          <w:rFonts w:ascii="Verdana" w:hAnsi="Verdana"/>
          <w:b/>
          <w:lang w:val="fr-FR"/>
        </w:rPr>
        <w:t>12 février 2021 à 18</w:t>
      </w:r>
      <w:r w:rsidRPr="00BD2E32">
        <w:rPr>
          <w:rFonts w:ascii="Verdana" w:hAnsi="Verdana"/>
          <w:b/>
          <w:lang w:val="fr-FR"/>
        </w:rPr>
        <w:t>h</w:t>
      </w:r>
      <w:r w:rsidR="00BD2E32">
        <w:rPr>
          <w:rFonts w:ascii="Verdana" w:hAnsi="Verdana"/>
          <w:b/>
          <w:lang w:val="fr-FR"/>
        </w:rPr>
        <w:t>00</w:t>
      </w:r>
      <w:r w:rsidRPr="00BD2E32">
        <w:rPr>
          <w:rFonts w:ascii="Verdana" w:hAnsi="Verdana"/>
          <w:b/>
          <w:lang w:val="fr-FR"/>
        </w:rPr>
        <w:t xml:space="preserve"> CEST</w:t>
      </w:r>
      <w:r w:rsidRPr="00EE0193">
        <w:rPr>
          <w:rFonts w:ascii="Verdana" w:hAnsi="Verdana"/>
          <w:lang w:val="fr-FR"/>
        </w:rPr>
        <w:t xml:space="preserve">. </w:t>
      </w:r>
    </w:p>
    <w:p w:rsidR="0004077F" w:rsidRDefault="0004077F" w:rsidP="00CA1E56">
      <w:pPr>
        <w:rPr>
          <w:rFonts w:ascii="Verdana" w:hAnsi="Verdana"/>
          <w:lang w:val="fr-FR"/>
        </w:rPr>
      </w:pPr>
    </w:p>
    <w:p w:rsidR="00BD2E32" w:rsidRDefault="00EE0193" w:rsidP="00CA1E56">
      <w:pPr>
        <w:rPr>
          <w:rFonts w:ascii="Verdana" w:hAnsi="Verdana"/>
          <w:lang w:val="fr-FR"/>
        </w:rPr>
      </w:pPr>
      <w:r w:rsidRPr="00EE0193">
        <w:rPr>
          <w:rFonts w:ascii="Verdana" w:hAnsi="Verdana"/>
          <w:lang w:val="fr-FR"/>
        </w:rPr>
        <w:t>Lorsque vous soumettez votre réponse, veuillez indiquer si vous avez des objections concernant la publication de votre réponse sur ce site.</w:t>
      </w:r>
    </w:p>
    <w:p w:rsidR="00136BB3" w:rsidRDefault="00136BB3" w:rsidP="00CA1E56">
      <w:pPr>
        <w:rPr>
          <w:rFonts w:ascii="Verdana" w:hAnsi="Verdana"/>
          <w:lang w:val="fr-FR"/>
        </w:rPr>
      </w:pPr>
    </w:p>
    <w:p w:rsidR="00136BB3" w:rsidRPr="00136BB3" w:rsidRDefault="00136BB3" w:rsidP="00136BB3">
      <w:pPr>
        <w:rPr>
          <w:rFonts w:ascii="Verdana" w:hAnsi="Verdana"/>
          <w:b/>
          <w:sz w:val="22"/>
          <w:szCs w:val="22"/>
          <w:lang w:val="fr-FR"/>
        </w:rPr>
      </w:pPr>
      <w:r w:rsidRPr="00136BB3">
        <w:rPr>
          <w:rFonts w:ascii="Verdana" w:hAnsi="Verdana"/>
          <w:b/>
          <w:sz w:val="22"/>
          <w:szCs w:val="22"/>
          <w:lang w:val="fr-FR"/>
        </w:rPr>
        <w:t>Comment les réponses seront utilisées</w:t>
      </w:r>
    </w:p>
    <w:p w:rsidR="00136BB3" w:rsidRDefault="00136BB3" w:rsidP="00136BB3">
      <w:pPr>
        <w:rPr>
          <w:rFonts w:ascii="Verdana" w:hAnsi="Verdana"/>
          <w:lang w:val="fr-FR"/>
        </w:rPr>
      </w:pPr>
    </w:p>
    <w:p w:rsidR="00136BB3" w:rsidRPr="00136BB3" w:rsidRDefault="00136BB3" w:rsidP="00136BB3">
      <w:pPr>
        <w:rPr>
          <w:rFonts w:ascii="Verdana" w:hAnsi="Verdana"/>
          <w:lang w:val="fr-FR"/>
        </w:rPr>
      </w:pPr>
      <w:r w:rsidRPr="00136BB3">
        <w:rPr>
          <w:rFonts w:ascii="Verdana" w:hAnsi="Verdana"/>
          <w:lang w:val="fr-FR"/>
        </w:rPr>
        <w:t xml:space="preserve">Toutes les soumissions reçues en format accessible </w:t>
      </w:r>
      <w:r>
        <w:rPr>
          <w:rFonts w:ascii="Verdana" w:hAnsi="Verdana"/>
          <w:lang w:val="fr-FR"/>
        </w:rPr>
        <w:t xml:space="preserve">Word </w:t>
      </w:r>
      <w:r w:rsidRPr="00136BB3">
        <w:rPr>
          <w:rFonts w:ascii="Verdana" w:hAnsi="Verdana"/>
          <w:lang w:val="fr-FR"/>
        </w:rPr>
        <w:t>seront publiées su</w:t>
      </w:r>
      <w:r>
        <w:rPr>
          <w:rFonts w:ascii="Verdana" w:hAnsi="Verdana"/>
          <w:lang w:val="fr-FR"/>
        </w:rPr>
        <w:t>r cette page Web, à moins que l’auteur n’</w:t>
      </w:r>
      <w:r w:rsidRPr="00136BB3">
        <w:rPr>
          <w:rFonts w:ascii="Verdana" w:hAnsi="Verdana"/>
          <w:lang w:val="fr-FR"/>
        </w:rPr>
        <w:t>indique clairement qu'</w:t>
      </w:r>
      <w:r>
        <w:rPr>
          <w:rFonts w:ascii="Verdana" w:hAnsi="Verdana"/>
          <w:lang w:val="fr-FR"/>
        </w:rPr>
        <w:t>elle/il ne souhaite</w:t>
      </w:r>
      <w:r w:rsidRPr="00136BB3">
        <w:rPr>
          <w:rFonts w:ascii="Verdana" w:hAnsi="Verdana"/>
          <w:lang w:val="fr-FR"/>
        </w:rPr>
        <w:t xml:space="preserve"> pas que ses commentaires soient rendus publics lors de la soumission de sa réponse.</w:t>
      </w:r>
    </w:p>
    <w:p w:rsidR="00136BB3" w:rsidRPr="00EE0193" w:rsidRDefault="00136BB3" w:rsidP="00136BB3">
      <w:pPr>
        <w:rPr>
          <w:rFonts w:ascii="Verdana" w:hAnsi="Verdana"/>
          <w:lang w:val="fr-FR"/>
        </w:rPr>
      </w:pPr>
      <w:r w:rsidRPr="00136BB3">
        <w:rPr>
          <w:rFonts w:ascii="Verdana" w:hAnsi="Verdana"/>
          <w:lang w:val="fr-FR"/>
        </w:rPr>
        <w:t>Les soumissions reçues en format PDF ne seront pas publiées, mais seront disponibles sur demande.</w:t>
      </w:r>
    </w:p>
    <w:sectPr w:rsidR="00136BB3" w:rsidRPr="00EE0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61C57"/>
    <w:multiLevelType w:val="hybridMultilevel"/>
    <w:tmpl w:val="1D62A872"/>
    <w:lvl w:ilvl="0" w:tplc="B7F82992">
      <w:start w:val="1"/>
      <w:numFmt w:val="decimal"/>
      <w:lvlText w:val="%1."/>
      <w:lvlJc w:val="left"/>
      <w:pPr>
        <w:ind w:left="720" w:hanging="360"/>
      </w:pPr>
      <w:rPr>
        <w:rFonts w:ascii="Times New Roman" w:hAnsi="Times New Roman" w:cs="Times New Roman" w:hint="default"/>
        <w:b w:val="0"/>
        <w:lang w:val="en-U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DE5A82"/>
    <w:multiLevelType w:val="hybridMultilevel"/>
    <w:tmpl w:val="43B4E072"/>
    <w:lvl w:ilvl="0" w:tplc="1E9CA618">
      <w:start w:val="1"/>
      <w:numFmt w:val="decimal"/>
      <w:lvlText w:val="%1."/>
      <w:lvlJc w:val="left"/>
      <w:pPr>
        <w:ind w:left="720" w:hanging="360"/>
      </w:pPr>
      <w:rPr>
        <w:rFonts w:ascii="Times New Roman" w:hAnsi="Times New Roman" w:cs="Times New Roman" w:hint="default"/>
        <w:b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643948"/>
    <w:multiLevelType w:val="hybridMultilevel"/>
    <w:tmpl w:val="06309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03889"/>
    <w:multiLevelType w:val="hybridMultilevel"/>
    <w:tmpl w:val="43B4E072"/>
    <w:lvl w:ilvl="0" w:tplc="1E9CA618">
      <w:start w:val="1"/>
      <w:numFmt w:val="decimal"/>
      <w:lvlText w:val="%1."/>
      <w:lvlJc w:val="left"/>
      <w:pPr>
        <w:ind w:left="720" w:hanging="360"/>
      </w:pPr>
      <w:rPr>
        <w:rFonts w:ascii="Times New Roman" w:hAnsi="Times New Roman" w:cs="Times New Roman" w:hint="default"/>
        <w:b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0B6DA9"/>
    <w:multiLevelType w:val="hybridMultilevel"/>
    <w:tmpl w:val="46A8179A"/>
    <w:lvl w:ilvl="0" w:tplc="D31C6392">
      <w:start w:val="1"/>
      <w:numFmt w:val="decimal"/>
      <w:lvlText w:val="%1."/>
      <w:lvlJc w:val="left"/>
      <w:pPr>
        <w:ind w:left="720" w:hanging="360"/>
      </w:pPr>
      <w:rPr>
        <w:rFonts w:ascii="Verdana" w:hAnsi="Verdana" w:cs="Times New Roman" w:hint="default"/>
        <w:b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AD"/>
    <w:rsid w:val="0004077F"/>
    <w:rsid w:val="00040EDD"/>
    <w:rsid w:val="00040F66"/>
    <w:rsid w:val="000A45C2"/>
    <w:rsid w:val="000E4A5F"/>
    <w:rsid w:val="0010342B"/>
    <w:rsid w:val="00136BB3"/>
    <w:rsid w:val="002076A5"/>
    <w:rsid w:val="00251436"/>
    <w:rsid w:val="00262B09"/>
    <w:rsid w:val="002A4E2A"/>
    <w:rsid w:val="002B683E"/>
    <w:rsid w:val="002F11A8"/>
    <w:rsid w:val="00327A30"/>
    <w:rsid w:val="003729CE"/>
    <w:rsid w:val="003767BA"/>
    <w:rsid w:val="003A4C5C"/>
    <w:rsid w:val="003A6F51"/>
    <w:rsid w:val="004B6CE3"/>
    <w:rsid w:val="005244CD"/>
    <w:rsid w:val="005875C9"/>
    <w:rsid w:val="006746BC"/>
    <w:rsid w:val="006875DD"/>
    <w:rsid w:val="00692DA6"/>
    <w:rsid w:val="00755E41"/>
    <w:rsid w:val="0078210A"/>
    <w:rsid w:val="007C55EF"/>
    <w:rsid w:val="0080682F"/>
    <w:rsid w:val="008B5A46"/>
    <w:rsid w:val="00926798"/>
    <w:rsid w:val="00927CAA"/>
    <w:rsid w:val="009F72A0"/>
    <w:rsid w:val="00A02C45"/>
    <w:rsid w:val="00BC28E0"/>
    <w:rsid w:val="00BC6493"/>
    <w:rsid w:val="00BD2E32"/>
    <w:rsid w:val="00C06DEC"/>
    <w:rsid w:val="00CA1E56"/>
    <w:rsid w:val="00CB1252"/>
    <w:rsid w:val="00CD08E9"/>
    <w:rsid w:val="00E80FFC"/>
    <w:rsid w:val="00EC3050"/>
    <w:rsid w:val="00EE0193"/>
    <w:rsid w:val="00F106BB"/>
    <w:rsid w:val="00F22392"/>
    <w:rsid w:val="00F2790C"/>
    <w:rsid w:val="00F372CF"/>
    <w:rsid w:val="00F858AD"/>
    <w:rsid w:val="00FC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A67E"/>
  <w15:chartTrackingRefBased/>
  <w15:docId w15:val="{0FAC22B3-945F-4939-8033-E8598692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5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7C55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F11A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E56"/>
    <w:pPr>
      <w:ind w:left="720"/>
      <w:contextualSpacing/>
    </w:pPr>
    <w:rPr>
      <w:sz w:val="24"/>
      <w:szCs w:val="24"/>
      <w:lang w:val="en-US"/>
    </w:rPr>
  </w:style>
  <w:style w:type="character" w:styleId="Hyperlink">
    <w:name w:val="Hyperlink"/>
    <w:rsid w:val="0010342B"/>
    <w:rPr>
      <w:color w:val="0000FF"/>
      <w:u w:val="single"/>
    </w:rPr>
  </w:style>
  <w:style w:type="character" w:customStyle="1" w:styleId="Heading3Char">
    <w:name w:val="Heading 3 Char"/>
    <w:basedOn w:val="DefaultParagraphFont"/>
    <w:link w:val="Heading3"/>
    <w:uiPriority w:val="9"/>
    <w:rsid w:val="002F11A8"/>
    <w:rPr>
      <w:rFonts w:ascii="Times New Roman" w:eastAsia="Times New Roman" w:hAnsi="Times New Roman" w:cs="Times New Roman"/>
      <w:b/>
      <w:bCs/>
      <w:sz w:val="27"/>
      <w:szCs w:val="27"/>
      <w:lang w:eastAsia="en-GB"/>
    </w:rPr>
  </w:style>
  <w:style w:type="table" w:styleId="TableGrid">
    <w:name w:val="Table Grid"/>
    <w:basedOn w:val="TableNormal"/>
    <w:uiPriority w:val="59"/>
    <w:rsid w:val="003A4C5C"/>
    <w:pPr>
      <w:spacing w:after="0" w:line="240" w:lineRule="auto"/>
    </w:pPr>
    <w:rPr>
      <w:rFonts w:ascii="Helvetica Neue" w:eastAsia="Helvetica Neue" w:hAnsi="Helvetica Neue" w:cs="Helvetica Neue"/>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C55E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06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cenaries@ohchr.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5E5249-4AA3-46AA-B53B-76067293D702}"/>
</file>

<file path=customXml/itemProps2.xml><?xml version="1.0" encoding="utf-8"?>
<ds:datastoreItem xmlns:ds="http://schemas.openxmlformats.org/officeDocument/2006/customXml" ds:itemID="{2769BAAF-F034-4A7D-9F6B-E260F656F49F}"/>
</file>

<file path=customXml/itemProps3.xml><?xml version="1.0" encoding="utf-8"?>
<ds:datastoreItem xmlns:ds="http://schemas.openxmlformats.org/officeDocument/2006/customXml" ds:itemID="{90A59B25-A90A-4DE1-BA71-A12DECFBA4FD}"/>
</file>

<file path=docProps/app.xml><?xml version="1.0" encoding="utf-8"?>
<Properties xmlns="http://schemas.openxmlformats.org/officeDocument/2006/extended-properties" xmlns:vt="http://schemas.openxmlformats.org/officeDocument/2006/docPropsVTypes">
  <Template>Normal.dotm</Template>
  <TotalTime>43</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Cristina</dc:creator>
  <cp:keywords/>
  <dc:description/>
  <cp:lastModifiedBy>MICHELS Cristina</cp:lastModifiedBy>
  <cp:revision>51</cp:revision>
  <dcterms:created xsi:type="dcterms:W3CDTF">2020-03-05T16:23:00Z</dcterms:created>
  <dcterms:modified xsi:type="dcterms:W3CDTF">2020-12-17T15:35:00Z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