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E23" w:rsidRPr="000C3E04" w:rsidRDefault="005D17ED" w:rsidP="0024418C">
      <w:pPr>
        <w:keepNext/>
        <w:keepLines/>
        <w:spacing w:before="480" w:after="120"/>
        <w:outlineLvl w:val="0"/>
        <w:rPr>
          <w:lang w:val="es-ES"/>
        </w:rPr>
      </w:pPr>
      <w:r w:rsidRPr="000C3E04">
        <w:rPr>
          <w:rFonts w:ascii="Verdana" w:eastAsia="Helvetica Neue" w:hAnsi="Verdana" w:cs="Helvetica Neue"/>
          <w:b/>
          <w:sz w:val="32"/>
          <w:szCs w:val="32"/>
          <w:lang w:val="es-ES"/>
        </w:rPr>
        <w:t>Llamado a contribuciones</w:t>
      </w:r>
      <w:r w:rsidR="002F2D52" w:rsidRPr="002F2D52">
        <w:rPr>
          <w:rFonts w:ascii="Verdana" w:eastAsia="Helvetica Neue" w:hAnsi="Verdana" w:cs="Helvetica Neue"/>
          <w:b/>
          <w:sz w:val="32"/>
          <w:szCs w:val="32"/>
          <w:lang w:val="es-ES"/>
        </w:rPr>
        <w:t xml:space="preserve">: </w:t>
      </w:r>
      <w:r w:rsidRPr="000C3E04">
        <w:rPr>
          <w:rFonts w:ascii="Verdana" w:eastAsia="Helvetica Neue" w:hAnsi="Verdana" w:cs="Helvetica Neue"/>
          <w:b/>
          <w:sz w:val="32"/>
          <w:szCs w:val="32"/>
          <w:lang w:val="es-ES"/>
        </w:rPr>
        <w:t xml:space="preserve">informe sobre </w:t>
      </w:r>
      <w:r w:rsidR="0024418C" w:rsidRPr="0024418C">
        <w:rPr>
          <w:rFonts w:ascii="Verdana" w:eastAsia="Helvetica Neue" w:hAnsi="Verdana" w:cs="Helvetica Neue"/>
          <w:b/>
          <w:sz w:val="32"/>
          <w:szCs w:val="32"/>
          <w:lang w:val="es-ES"/>
        </w:rPr>
        <w:t xml:space="preserve">provisión de productos y servicios militares y de seguridad en el ciberespacio por </w:t>
      </w:r>
      <w:r w:rsidR="0024418C">
        <w:rPr>
          <w:rFonts w:ascii="Verdana" w:eastAsia="Helvetica Neue" w:hAnsi="Verdana" w:cs="Helvetica Neue"/>
          <w:b/>
          <w:sz w:val="32"/>
          <w:szCs w:val="32"/>
          <w:lang w:val="es-ES"/>
        </w:rPr>
        <w:t>los “</w:t>
      </w:r>
      <w:r w:rsidR="0024418C" w:rsidRPr="0024418C">
        <w:rPr>
          <w:rFonts w:ascii="Verdana" w:eastAsia="Helvetica Neue" w:hAnsi="Verdana" w:cs="Helvetica Neue"/>
          <w:b/>
          <w:sz w:val="32"/>
          <w:szCs w:val="32"/>
          <w:lang w:val="es-ES"/>
        </w:rPr>
        <w:t>mercenarios cibernéticos</w:t>
      </w:r>
      <w:r w:rsidR="0024418C">
        <w:rPr>
          <w:rFonts w:ascii="Verdana" w:eastAsia="Helvetica Neue" w:hAnsi="Verdana" w:cs="Helvetica Neue"/>
          <w:b/>
          <w:sz w:val="32"/>
          <w:szCs w:val="32"/>
          <w:lang w:val="es-ES"/>
        </w:rPr>
        <w:t>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B46E23" w:rsidRPr="007652BE" w:rsidTr="005D17ED">
        <w:tc>
          <w:tcPr>
            <w:tcW w:w="1555" w:type="dxa"/>
          </w:tcPr>
          <w:p w:rsidR="00B46E23" w:rsidRPr="007652BE" w:rsidRDefault="005D17ED" w:rsidP="00481C3A">
            <w:pPr>
              <w:pStyle w:val="Normal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Fecha</w:t>
            </w:r>
            <w:proofErr w:type="spellEnd"/>
            <w:r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l</w:t>
            </w:r>
            <w:r w:rsidR="00481C3A"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í</w:t>
            </w:r>
            <w:r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mite</w:t>
            </w:r>
            <w:proofErr w:type="spellEnd"/>
            <w:r w:rsidR="00B46E23" w:rsidRPr="007652BE"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B46E23" w:rsidRPr="007652BE" w:rsidRDefault="00B46E23" w:rsidP="005D1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</w:pPr>
            <w:r w:rsidRPr="00E50425">
              <w:rPr>
                <w:rFonts w:ascii="Verdana" w:hAnsi="Verdana" w:cstheme="majorHAnsi"/>
                <w:sz w:val="22"/>
                <w:szCs w:val="22"/>
              </w:rPr>
              <w:t>1</w:t>
            </w:r>
            <w:r>
              <w:rPr>
                <w:rFonts w:ascii="Verdana" w:hAnsi="Verdana" w:cstheme="majorHAnsi"/>
                <w:sz w:val="22"/>
                <w:szCs w:val="22"/>
              </w:rPr>
              <w:t>2</w:t>
            </w:r>
            <w:r w:rsidRPr="00E50425">
              <w:rPr>
                <w:rFonts w:ascii="Verdana" w:hAnsi="Verdana" w:cstheme="majorHAnsi"/>
                <w:sz w:val="22"/>
                <w:szCs w:val="22"/>
              </w:rPr>
              <w:t xml:space="preserve"> </w:t>
            </w:r>
            <w:r w:rsidR="005D17ED">
              <w:rPr>
                <w:rFonts w:ascii="Verdana" w:hAnsi="Verdana" w:cstheme="majorHAnsi"/>
                <w:sz w:val="22"/>
                <w:szCs w:val="22"/>
              </w:rPr>
              <w:t xml:space="preserve">de </w:t>
            </w:r>
            <w:proofErr w:type="spellStart"/>
            <w:r w:rsidR="005D17ED">
              <w:rPr>
                <w:rFonts w:ascii="Verdana" w:hAnsi="Verdana" w:cstheme="majorHAnsi"/>
                <w:sz w:val="22"/>
                <w:szCs w:val="22"/>
              </w:rPr>
              <w:t>febrero</w:t>
            </w:r>
            <w:proofErr w:type="spellEnd"/>
            <w:r w:rsidR="005D17ED">
              <w:rPr>
                <w:rFonts w:ascii="Verdana" w:hAnsi="Verdana" w:cstheme="majorHAnsi"/>
                <w:sz w:val="22"/>
                <w:szCs w:val="22"/>
              </w:rPr>
              <w:t xml:space="preserve"> de </w:t>
            </w:r>
            <w:r>
              <w:rPr>
                <w:rFonts w:ascii="Verdana" w:hAnsi="Verdana" w:cstheme="majorHAnsi"/>
                <w:sz w:val="22"/>
                <w:szCs w:val="22"/>
              </w:rPr>
              <w:t>2021</w:t>
            </w:r>
          </w:p>
        </w:tc>
      </w:tr>
      <w:tr w:rsidR="00B46E23" w:rsidRPr="00FC6D66" w:rsidTr="005D17ED">
        <w:tc>
          <w:tcPr>
            <w:tcW w:w="1555" w:type="dxa"/>
          </w:tcPr>
          <w:p w:rsidR="00B46E23" w:rsidRPr="007652BE" w:rsidRDefault="00B46E23" w:rsidP="00143E19">
            <w:pPr>
              <w:pStyle w:val="Normal1"/>
              <w:rPr>
                <w:rFonts w:ascii="Verdana" w:hAnsi="Verdana"/>
                <w:sz w:val="22"/>
                <w:szCs w:val="22"/>
              </w:rPr>
            </w:pPr>
            <w:r w:rsidRPr="007652BE"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Issued by:</w:t>
            </w:r>
          </w:p>
        </w:tc>
        <w:tc>
          <w:tcPr>
            <w:tcW w:w="6939" w:type="dxa"/>
          </w:tcPr>
          <w:p w:rsidR="00B46E23" w:rsidRPr="000C3E04" w:rsidRDefault="000C3E04" w:rsidP="00143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theme="majorHAnsi"/>
                <w:color w:val="000000"/>
                <w:sz w:val="22"/>
                <w:szCs w:val="22"/>
                <w:lang w:val="es-ES"/>
              </w:rPr>
            </w:pPr>
            <w:r w:rsidRPr="000C3E04">
              <w:rPr>
                <w:rFonts w:ascii="Verdana" w:hAnsi="Verdana" w:cstheme="majorHAnsi"/>
                <w:color w:val="000000"/>
                <w:sz w:val="22"/>
                <w:szCs w:val="22"/>
                <w:lang w:val="es-ES"/>
              </w:rPr>
              <w:t>Grupo de trabajo sobre la utilización de mercenarios</w:t>
            </w:r>
          </w:p>
        </w:tc>
      </w:tr>
      <w:tr w:rsidR="00B46E23" w:rsidRPr="00FC6D66" w:rsidTr="005D17ED">
        <w:tc>
          <w:tcPr>
            <w:tcW w:w="1555" w:type="dxa"/>
          </w:tcPr>
          <w:p w:rsidR="00B46E23" w:rsidRPr="007652BE" w:rsidRDefault="00EE264B" w:rsidP="00143E19">
            <w:pPr>
              <w:pStyle w:val="Normal1"/>
              <w:rPr>
                <w:rFonts w:ascii="Verdana" w:hAnsi="Verdana"/>
                <w:sz w:val="22"/>
                <w:szCs w:val="22"/>
              </w:rPr>
            </w:pPr>
            <w:proofErr w:type="spellStart"/>
            <w:r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P</w:t>
            </w:r>
            <w:r w:rsidRPr="00EE264B"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ropósito</w:t>
            </w:r>
            <w:proofErr w:type="spellEnd"/>
            <w:r w:rsidR="00B46E23" w:rsidRPr="007652BE">
              <w:rPr>
                <w:rFonts w:ascii="Verdana" w:hAnsi="Verdana" w:cstheme="majorHAns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939" w:type="dxa"/>
          </w:tcPr>
          <w:p w:rsidR="00B46E23" w:rsidRPr="00AC534C" w:rsidRDefault="00AC534C" w:rsidP="00323C42">
            <w:pPr>
              <w:pStyle w:val="Normal1"/>
              <w:rPr>
                <w:rFonts w:ascii="Verdana" w:hAnsi="Verdana"/>
                <w:sz w:val="22"/>
                <w:szCs w:val="22"/>
                <w:lang w:val="es-ES"/>
              </w:rPr>
            </w:pPr>
            <w:r w:rsidRPr="00AC534C">
              <w:rPr>
                <w:rFonts w:ascii="Verdana" w:hAnsi="Verdana"/>
                <w:sz w:val="22"/>
                <w:szCs w:val="22"/>
                <w:lang w:val="es-ES"/>
              </w:rPr>
              <w:t>Informar el informe del GT que se presentará el 76º período de sesiones de la Asamblea General</w:t>
            </w:r>
            <w:r w:rsidR="00906BE8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r w:rsidR="00323C42">
              <w:rPr>
                <w:rFonts w:ascii="Verdana" w:hAnsi="Verdana"/>
                <w:sz w:val="22"/>
                <w:szCs w:val="22"/>
                <w:lang w:val="es-ES"/>
              </w:rPr>
              <w:t>en octubre de 2021</w:t>
            </w:r>
          </w:p>
        </w:tc>
      </w:tr>
    </w:tbl>
    <w:p w:rsidR="00B46E23" w:rsidRPr="00AC534C" w:rsidRDefault="00B46E23" w:rsidP="00B46E23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ajorHAnsi"/>
          <w:color w:val="000000"/>
          <w:lang w:val="es-ES"/>
        </w:rPr>
      </w:pPr>
    </w:p>
    <w:p w:rsidR="00B46E23" w:rsidRPr="00AC534C" w:rsidRDefault="00A34D4F" w:rsidP="00B46E23">
      <w:pPr>
        <w:pBdr>
          <w:top w:val="nil"/>
          <w:left w:val="nil"/>
          <w:bottom w:val="nil"/>
          <w:right w:val="nil"/>
          <w:between w:val="nil"/>
        </w:pBdr>
        <w:rPr>
          <w:rFonts w:ascii="Verdana" w:hAnsi="Verdana" w:cstheme="majorHAnsi"/>
          <w:b/>
          <w:color w:val="000000"/>
          <w:lang w:val="es-ES"/>
        </w:rPr>
      </w:pPr>
      <w:r>
        <w:rPr>
          <w:rFonts w:ascii="Verdana" w:hAnsi="Verdana" w:cstheme="majorHAnsi"/>
          <w:b/>
          <w:color w:val="000000"/>
          <w:lang w:val="es-ES"/>
        </w:rPr>
        <w:t>Contexto</w:t>
      </w:r>
    </w:p>
    <w:p w:rsidR="00A34D4F" w:rsidRDefault="00A34D4F" w:rsidP="00A60A10">
      <w:pPr>
        <w:rPr>
          <w:sz w:val="24"/>
          <w:szCs w:val="24"/>
          <w:lang w:val="es-ES"/>
        </w:rPr>
      </w:pPr>
    </w:p>
    <w:p w:rsidR="002F2D52" w:rsidRPr="00A34D4F" w:rsidRDefault="00A34D4F" w:rsidP="00A60A10">
      <w:pPr>
        <w:rPr>
          <w:rFonts w:ascii="Verdana" w:hAnsi="Verdana"/>
          <w:lang w:val="es-ES"/>
        </w:rPr>
      </w:pPr>
      <w:r w:rsidRPr="00A34D4F">
        <w:rPr>
          <w:rFonts w:ascii="Verdana" w:hAnsi="Verdana"/>
          <w:lang w:val="es-ES"/>
        </w:rPr>
        <w:t>Dos veces al año, el Grupo de Trabajo sobre la utilización de mercenarios solicita aportaciones para fundamentar sus estud</w:t>
      </w:r>
      <w:r>
        <w:rPr>
          <w:rFonts w:ascii="Verdana" w:hAnsi="Verdana"/>
          <w:lang w:val="es-ES"/>
        </w:rPr>
        <w:t>ios temáticos que se presentan</w:t>
      </w:r>
      <w:r w:rsidRPr="00A34D4F">
        <w:rPr>
          <w:rFonts w:ascii="Verdana" w:hAnsi="Verdana"/>
          <w:lang w:val="es-ES"/>
        </w:rPr>
        <w:t xml:space="preserve"> en el Consejo de Derechos Humanos en su período de sesiones de septiembre y en la Asamblea General en octubre.</w:t>
      </w:r>
    </w:p>
    <w:p w:rsidR="002F2D52" w:rsidRDefault="002F2D52" w:rsidP="00A60A10">
      <w:pPr>
        <w:rPr>
          <w:sz w:val="24"/>
          <w:szCs w:val="24"/>
          <w:lang w:val="es-ES"/>
        </w:rPr>
      </w:pPr>
    </w:p>
    <w:p w:rsidR="00B52108" w:rsidRPr="00B52108" w:rsidRDefault="00B52108" w:rsidP="00A60A10">
      <w:pPr>
        <w:rPr>
          <w:rFonts w:ascii="Verdana" w:hAnsi="Verdana"/>
          <w:b/>
          <w:lang w:val="es-ES"/>
        </w:rPr>
      </w:pPr>
      <w:r w:rsidRPr="00B52108">
        <w:rPr>
          <w:rFonts w:ascii="Verdana" w:hAnsi="Verdana"/>
          <w:b/>
          <w:lang w:val="es-ES"/>
        </w:rPr>
        <w:t>Objetivos del informe</w:t>
      </w:r>
    </w:p>
    <w:p w:rsidR="00B52108" w:rsidRPr="00AC534C" w:rsidRDefault="00B52108" w:rsidP="00A60A10">
      <w:pPr>
        <w:rPr>
          <w:sz w:val="24"/>
          <w:szCs w:val="24"/>
          <w:lang w:val="es-ES"/>
        </w:rPr>
      </w:pPr>
    </w:p>
    <w:p w:rsidR="00993136" w:rsidRPr="00993136" w:rsidRDefault="00323C42" w:rsidP="00A60A10">
      <w:pPr>
        <w:rPr>
          <w:rFonts w:ascii="Verdana" w:hAnsi="Verdana"/>
          <w:bCs/>
          <w:lang w:val="es-ES"/>
        </w:rPr>
      </w:pPr>
      <w:r>
        <w:rPr>
          <w:rFonts w:ascii="Verdana" w:hAnsi="Verdana"/>
          <w:bCs/>
          <w:lang w:val="es-ES"/>
        </w:rPr>
        <w:t>E</w:t>
      </w:r>
      <w:r w:rsidR="00993136" w:rsidRPr="00993136">
        <w:rPr>
          <w:rFonts w:ascii="Verdana" w:hAnsi="Verdana"/>
          <w:bCs/>
          <w:lang w:val="es-ES"/>
        </w:rPr>
        <w:t xml:space="preserve">l Grupo de Trabajo </w:t>
      </w:r>
      <w:r w:rsidRPr="00A34D4F">
        <w:rPr>
          <w:rFonts w:ascii="Verdana" w:hAnsi="Verdana"/>
          <w:lang w:val="es-ES"/>
        </w:rPr>
        <w:t xml:space="preserve">sobre la utilización de mercenarios </w:t>
      </w:r>
      <w:r w:rsidR="00993136" w:rsidRPr="00993136">
        <w:rPr>
          <w:rFonts w:ascii="Verdana" w:hAnsi="Verdana"/>
          <w:bCs/>
          <w:lang w:val="es-ES"/>
        </w:rPr>
        <w:t>identificó a los “</w:t>
      </w:r>
      <w:proofErr w:type="spellStart"/>
      <w:r w:rsidR="00993136" w:rsidRPr="00993136">
        <w:rPr>
          <w:rFonts w:ascii="Verdana" w:hAnsi="Verdana"/>
          <w:bCs/>
          <w:lang w:val="es-ES"/>
        </w:rPr>
        <w:t>ciber</w:t>
      </w:r>
      <w:proofErr w:type="spellEnd"/>
      <w:r w:rsidR="00993136" w:rsidRPr="00993136">
        <w:rPr>
          <w:rFonts w:ascii="Verdana" w:hAnsi="Verdana"/>
          <w:bCs/>
          <w:lang w:val="es-ES"/>
        </w:rPr>
        <w:t xml:space="preserve"> mercenarios” como una categoría de actores que realizan actividades relacionadas con los mercenarios.</w:t>
      </w:r>
      <w:r w:rsidR="00993136" w:rsidRPr="00993136">
        <w:rPr>
          <w:rFonts w:ascii="Verdana" w:hAnsi="Verdana"/>
          <w:lang w:val="es-ES"/>
        </w:rPr>
        <w:t xml:space="preserve"> </w:t>
      </w:r>
      <w:r w:rsidR="00FC6D66" w:rsidRPr="00FC6D66">
        <w:rPr>
          <w:rFonts w:ascii="Verdana" w:hAnsi="Verdana"/>
          <w:bCs/>
          <w:lang w:val="es-ES"/>
        </w:rPr>
        <w:t>Esto implica una amplia gama de servicios militares y de seguridad prestados en el ciberespacio, incluida la recopilación de datos y el espionaje. Los Estados y los agentes no estatales pueden contratar agentes privados no solo para proteger sus propias redes e infraestructuras sino también con el objetivo de debilitar la capacidad militar de las fuerzas armadas enemigas o socavar la integridad del territorio de otro Estado. Las personas que llevan a cabo ciberataques puede causar daños de forma remota, a través de varias jurisdicciones. Por lo tanto, se puede considerar que realizan una actividad relacionada con los mercenarios, o incluso una actividad mercenaria si se cumplen todos los criterios de calificación</w:t>
      </w:r>
      <w:r w:rsidR="00993136" w:rsidRPr="00993136">
        <w:rPr>
          <w:rFonts w:ascii="Verdana" w:hAnsi="Verdana"/>
          <w:bCs/>
          <w:lang w:val="es-ES"/>
        </w:rPr>
        <w:t>.</w:t>
      </w:r>
    </w:p>
    <w:p w:rsidR="00993136" w:rsidRDefault="00993136" w:rsidP="00A60A10">
      <w:pPr>
        <w:rPr>
          <w:rFonts w:ascii="Verdana" w:hAnsi="Verdana"/>
          <w:lang w:val="es-ES"/>
        </w:rPr>
      </w:pPr>
    </w:p>
    <w:p w:rsidR="00A60A10" w:rsidRPr="00BF68CB" w:rsidRDefault="00A60A10" w:rsidP="00A60A10">
      <w:pPr>
        <w:rPr>
          <w:rFonts w:ascii="Verdana" w:hAnsi="Verdana"/>
          <w:lang w:val="es-ES"/>
        </w:rPr>
      </w:pPr>
      <w:r w:rsidRPr="00BF68CB">
        <w:rPr>
          <w:rFonts w:ascii="Verdana" w:hAnsi="Verdana"/>
          <w:lang w:val="es-ES"/>
        </w:rPr>
        <w:t>E</w:t>
      </w:r>
      <w:r w:rsidR="00112268" w:rsidRPr="00BF68CB">
        <w:rPr>
          <w:rFonts w:ascii="Verdana" w:hAnsi="Verdana"/>
          <w:lang w:val="es-ES"/>
        </w:rPr>
        <w:t>ste</w:t>
      </w:r>
      <w:r w:rsidRPr="00BF68CB">
        <w:rPr>
          <w:rFonts w:ascii="Verdana" w:hAnsi="Verdana"/>
          <w:lang w:val="es-ES"/>
        </w:rPr>
        <w:t xml:space="preserve"> estudio </w:t>
      </w:r>
      <w:r w:rsidR="00F64053">
        <w:rPr>
          <w:rFonts w:ascii="Verdana" w:hAnsi="Verdana"/>
          <w:lang w:val="es-ES"/>
        </w:rPr>
        <w:t>temático sobre la</w:t>
      </w:r>
      <w:r w:rsidR="00112268" w:rsidRPr="00BF68CB">
        <w:rPr>
          <w:rFonts w:ascii="Verdana" w:hAnsi="Verdana"/>
          <w:lang w:val="es-ES"/>
        </w:rPr>
        <w:t xml:space="preserve"> </w:t>
      </w:r>
      <w:r w:rsidR="00F64053" w:rsidRPr="00F64053">
        <w:rPr>
          <w:rFonts w:ascii="Verdana" w:hAnsi="Verdana"/>
          <w:i/>
          <w:lang w:val="es-ES"/>
        </w:rPr>
        <w:t>provisión de productos y servicios militares y de seguridad en el ciberespacio por mercenarios cibernéticos y actores relacionados y su impacto en los derechos humanos</w:t>
      </w:r>
      <w:r w:rsidR="00112268" w:rsidRPr="00BF68CB">
        <w:rPr>
          <w:rFonts w:ascii="Verdana" w:hAnsi="Verdana"/>
          <w:lang w:val="es-ES"/>
        </w:rPr>
        <w:t xml:space="preserve"> </w:t>
      </w:r>
      <w:r w:rsidRPr="00BF68CB">
        <w:rPr>
          <w:rFonts w:ascii="Verdana" w:hAnsi="Verdana"/>
          <w:lang w:val="es-ES"/>
        </w:rPr>
        <w:t>tiene por objeto evaluar</w:t>
      </w:r>
      <w:r w:rsidR="002B5016" w:rsidRPr="00BF68CB">
        <w:rPr>
          <w:rFonts w:ascii="Verdana" w:hAnsi="Verdana"/>
          <w:lang w:val="es-ES"/>
        </w:rPr>
        <w:t xml:space="preserve"> </w:t>
      </w:r>
      <w:r w:rsidR="00BF68CB" w:rsidRPr="00BF68CB">
        <w:rPr>
          <w:rFonts w:ascii="Verdana" w:hAnsi="Verdana"/>
          <w:lang w:val="es-ES"/>
        </w:rPr>
        <w:t>cómo los mercenarios y los actores privados se benefician del desarrollo, mantenimiento y operación de las capacidades cibernéticas, que p</w:t>
      </w:r>
      <w:r w:rsidR="00116098">
        <w:rPr>
          <w:rFonts w:ascii="Verdana" w:hAnsi="Verdana"/>
          <w:lang w:val="es-ES"/>
        </w:rPr>
        <w:t>ueden</w:t>
      </w:r>
      <w:r w:rsidR="00BF68CB" w:rsidRPr="00BF68CB">
        <w:rPr>
          <w:rFonts w:ascii="Verdana" w:hAnsi="Verdana"/>
          <w:lang w:val="es-ES"/>
        </w:rPr>
        <w:t xml:space="preserve"> utilizarse en conflictos armados y en entornos sin conflicto para violar los derechos humanos, incluido el derecho a la autodeterminación</w:t>
      </w:r>
      <w:r w:rsidRPr="00BF68CB">
        <w:rPr>
          <w:rFonts w:ascii="Verdana" w:hAnsi="Verdana"/>
          <w:lang w:val="es-ES"/>
        </w:rPr>
        <w:t>.</w:t>
      </w:r>
    </w:p>
    <w:p w:rsidR="00A60A10" w:rsidRPr="009B5BEF" w:rsidRDefault="00A60A10" w:rsidP="00A60A10">
      <w:pPr>
        <w:rPr>
          <w:rFonts w:ascii="Verdana" w:hAnsi="Verdana"/>
          <w:b/>
          <w:lang w:val="es-ES"/>
        </w:rPr>
      </w:pPr>
    </w:p>
    <w:p w:rsidR="009B5BEF" w:rsidRPr="009B5BEF" w:rsidRDefault="00323C42" w:rsidP="00A60A10">
      <w:pPr>
        <w:rPr>
          <w:rFonts w:ascii="Verdana" w:hAnsi="Verdana"/>
          <w:b/>
          <w:lang w:val="es-ES"/>
        </w:rPr>
      </w:pPr>
      <w:r w:rsidRPr="00323C42">
        <w:rPr>
          <w:rFonts w:ascii="Verdana" w:hAnsi="Verdana"/>
          <w:b/>
          <w:lang w:val="es-ES"/>
        </w:rPr>
        <w:t>Ámbito de estudio y preguntas clave</w:t>
      </w:r>
    </w:p>
    <w:p w:rsidR="009B5BEF" w:rsidRDefault="009B5BEF" w:rsidP="00A60A10">
      <w:pPr>
        <w:rPr>
          <w:sz w:val="24"/>
          <w:szCs w:val="24"/>
          <w:lang w:val="es-ES"/>
        </w:rPr>
      </w:pPr>
    </w:p>
    <w:p w:rsidR="005938E3" w:rsidRDefault="005938E3" w:rsidP="00A60A10">
      <w:pPr>
        <w:rPr>
          <w:rFonts w:ascii="Verdana" w:hAnsi="Verdana"/>
          <w:lang w:val="es-ES"/>
        </w:rPr>
      </w:pPr>
      <w:r w:rsidRPr="005938E3">
        <w:rPr>
          <w:rFonts w:ascii="Verdana" w:hAnsi="Verdana"/>
          <w:lang w:val="es-ES"/>
        </w:rPr>
        <w:t xml:space="preserve">El Grupo de Trabajo agradece las </w:t>
      </w:r>
      <w:r>
        <w:rPr>
          <w:rFonts w:ascii="Verdana" w:hAnsi="Verdana"/>
          <w:lang w:val="es-ES"/>
        </w:rPr>
        <w:t>aportaci</w:t>
      </w:r>
      <w:r w:rsidRPr="005938E3">
        <w:rPr>
          <w:rFonts w:ascii="Verdana" w:hAnsi="Verdana"/>
          <w:lang w:val="es-ES"/>
        </w:rPr>
        <w:t>ones de los Estados, organizaciones de la sociedad civil, académicos, organizaciones internacionales e intergubernamentales, instituciones nacionales de derechos humanos, empresas privadas, personas y cualquier otro actor interesado.</w:t>
      </w:r>
    </w:p>
    <w:p w:rsidR="005938E3" w:rsidRDefault="005938E3" w:rsidP="00A60A10">
      <w:pPr>
        <w:rPr>
          <w:rFonts w:ascii="Verdana" w:hAnsi="Verdana"/>
          <w:lang w:val="es-ES"/>
        </w:rPr>
      </w:pPr>
    </w:p>
    <w:p w:rsidR="00116098" w:rsidRPr="00B0183B" w:rsidRDefault="00FB481C" w:rsidP="00A60A10">
      <w:pPr>
        <w:rPr>
          <w:rFonts w:ascii="Verdana" w:hAnsi="Verdana"/>
          <w:lang w:val="es-ES"/>
        </w:rPr>
      </w:pPr>
      <w:r w:rsidRPr="00FB481C">
        <w:rPr>
          <w:rFonts w:ascii="Verdana" w:hAnsi="Verdana"/>
          <w:bCs/>
          <w:lang w:val="es-ES"/>
        </w:rPr>
        <w:t xml:space="preserve">Si bien el Grupo de Trabajo agradece cualquier información que se considere pertinente al tema, está particularmente interesado en las áreas mencionadas a continuación. Al abordar las preguntas, proporcione </w:t>
      </w:r>
      <w:r w:rsidRPr="00FB481C">
        <w:rPr>
          <w:rFonts w:ascii="Verdana" w:hAnsi="Verdana"/>
          <w:b/>
          <w:bCs/>
          <w:lang w:val="es-ES"/>
        </w:rPr>
        <w:t>ejemplos, buenas prácticas y recomendaciones</w:t>
      </w:r>
      <w:r w:rsidRPr="00FB481C">
        <w:rPr>
          <w:rFonts w:ascii="Verdana" w:hAnsi="Verdana"/>
          <w:bCs/>
          <w:lang w:val="es-ES"/>
        </w:rPr>
        <w:t>, en la medida en que estén disponibles, que considere importantes en el contexto de este cuestionario, así como cualquier análisis sobre desarrollos futuros en esta área</w:t>
      </w:r>
      <w:r w:rsidR="00CD29D4">
        <w:rPr>
          <w:rFonts w:ascii="Verdana" w:hAnsi="Verdana"/>
          <w:bCs/>
          <w:lang w:val="es-ES"/>
        </w:rPr>
        <w:t xml:space="preserve">. </w:t>
      </w:r>
      <w:bookmarkStart w:id="0" w:name="_GoBack"/>
      <w:bookmarkEnd w:id="0"/>
    </w:p>
    <w:p w:rsidR="00B0183B" w:rsidRPr="00AB0F94" w:rsidRDefault="00B0183B" w:rsidP="00B0183B">
      <w:pPr>
        <w:spacing w:after="120"/>
        <w:contextualSpacing/>
        <w:jc w:val="both"/>
        <w:rPr>
          <w:rFonts w:ascii="Verdana" w:hAnsi="Verdana"/>
          <w:u w:val="single"/>
          <w:lang w:val="es-ES"/>
        </w:rPr>
      </w:pPr>
    </w:p>
    <w:p w:rsidR="00AB0F94" w:rsidRPr="00AB0F94" w:rsidRDefault="00AB0F94" w:rsidP="00AB0F94">
      <w:pPr>
        <w:spacing w:after="120"/>
        <w:contextualSpacing/>
        <w:jc w:val="both"/>
        <w:rPr>
          <w:rFonts w:ascii="Verdana" w:hAnsi="Verdana"/>
          <w:u w:val="single"/>
          <w:lang w:val="es-ES"/>
        </w:rPr>
      </w:pPr>
      <w:r w:rsidRPr="00AB0F94">
        <w:rPr>
          <w:rFonts w:ascii="Verdana" w:hAnsi="Verdana"/>
          <w:u w:val="single"/>
          <w:lang w:val="es-ES"/>
        </w:rPr>
        <w:t>Tendencias y desarrollos actuales</w:t>
      </w:r>
    </w:p>
    <w:p w:rsidR="00AB0F94" w:rsidRPr="00AB0F94" w:rsidRDefault="00AB0F94" w:rsidP="00AB0F94">
      <w:pPr>
        <w:contextualSpacing/>
        <w:rPr>
          <w:rFonts w:ascii="Verdana" w:hAnsi="Verdana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>¿Quiénes son los clientes y/o beneficiarios de las capacidades y operaciones cibernéticas?</w:t>
      </w:r>
    </w:p>
    <w:p w:rsidR="00AB0F94" w:rsidRPr="00AB0F94" w:rsidRDefault="00AB0F94" w:rsidP="00AB0F94">
      <w:pPr>
        <w:ind w:left="567"/>
        <w:contextualSpacing/>
        <w:jc w:val="both"/>
        <w:rPr>
          <w:rFonts w:ascii="Verdana" w:eastAsia="Calibri" w:hAnsi="Verdana"/>
          <w:i/>
          <w:lang w:val="es-ES"/>
        </w:rPr>
      </w:pPr>
      <w:r w:rsidRPr="00AB0F94">
        <w:rPr>
          <w:rFonts w:ascii="Verdana" w:eastAsia="Calibri" w:hAnsi="Verdana"/>
          <w:i/>
          <w:lang w:val="es-ES"/>
        </w:rPr>
        <w:t>Esto puede incluir, por ejemplo, actores estatales y no estatales que contratan “mercenarios cibernéticos” y otros actores que operan solos o a través de empresas militares y de seguridad privadas (EMSP) para adquirir capacidades cibernéticas, incluidos productos y servicios militares y de seguridad.</w:t>
      </w:r>
    </w:p>
    <w:p w:rsidR="00AB0F94" w:rsidRPr="00AB0F94" w:rsidRDefault="00AB0F94" w:rsidP="00AB0F94">
      <w:pPr>
        <w:spacing w:after="120"/>
        <w:contextualSpacing/>
        <w:jc w:val="both"/>
        <w:rPr>
          <w:rFonts w:ascii="Verdana" w:hAnsi="Verdana"/>
          <w:u w:val="single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 xml:space="preserve">¿Cuál es el papel de los actores que operan solos o a través de EMPS, en a) desarrollar, b) mantener, c) vender, d) proporcionar capacidades cibernéticas (incluidos los productos o servicios militares o de seguridad cibernéticos) a terceros, o e) realizar </w:t>
      </w:r>
      <w:proofErr w:type="spellStart"/>
      <w:r w:rsidRPr="00AB0F94">
        <w:rPr>
          <w:rFonts w:ascii="Verdana" w:eastAsia="Calibri" w:hAnsi="Verdana"/>
          <w:lang w:val="es-ES"/>
        </w:rPr>
        <w:t>ciberespionaje</w:t>
      </w:r>
      <w:proofErr w:type="spellEnd"/>
      <w:r w:rsidRPr="00AB0F94">
        <w:rPr>
          <w:rFonts w:ascii="Verdana" w:eastAsia="Calibri" w:hAnsi="Verdana"/>
          <w:lang w:val="es-ES"/>
        </w:rPr>
        <w:t>?</w:t>
      </w:r>
    </w:p>
    <w:p w:rsidR="00AB0F94" w:rsidRPr="00AB0F94" w:rsidRDefault="00AB0F94" w:rsidP="00AB0F94">
      <w:pPr>
        <w:ind w:left="567"/>
        <w:contextualSpacing/>
        <w:jc w:val="both"/>
        <w:rPr>
          <w:rFonts w:ascii="Verdana" w:eastAsia="Calibri" w:hAnsi="Verdana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>¿Cuáles son los factores de motivación y las intenciones estratégicas de: a) los clientes para reclutar “mercenarios cibernéticos” y el tipo de relaciones que pueden tener con ellos; y b) los “mercenarios cibernéticos” y otros actores que operan solos o a través de EMPS en el espacio cibernético?</w:t>
      </w:r>
    </w:p>
    <w:p w:rsidR="00AB0F94" w:rsidRPr="00AB0F94" w:rsidRDefault="00AB0F94" w:rsidP="00AB0F94">
      <w:pPr>
        <w:ind w:left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i/>
          <w:lang w:val="es-ES"/>
        </w:rPr>
        <w:t>Los factores motivacionales pueden incluir, por ejemplo, ganancia privada, compensación material, razones ideológicas y de otro tipo</w:t>
      </w:r>
      <w:r w:rsidRPr="00AB0F94">
        <w:rPr>
          <w:rFonts w:ascii="Verdana" w:eastAsia="Calibri" w:hAnsi="Verdana"/>
          <w:lang w:val="es-ES"/>
        </w:rPr>
        <w:t xml:space="preserve">. </w:t>
      </w:r>
    </w:p>
    <w:p w:rsidR="00AB0F94" w:rsidRPr="00AB0F94" w:rsidRDefault="00AB0F94" w:rsidP="00AB0F94">
      <w:pPr>
        <w:ind w:left="567"/>
        <w:contextualSpacing/>
        <w:jc w:val="both"/>
        <w:rPr>
          <w:rFonts w:ascii="Verdana" w:eastAsia="Calibri" w:hAnsi="Verdana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>¿Cuáles son los tipos de servicios y productos cibernéticos disponibles (por ejemplo, software espía/malware, inteligencia artificial), incluido su propósito previsto tanto en situaciones de conflicto como de no conflicto?</w:t>
      </w:r>
    </w:p>
    <w:p w:rsidR="00AB0F94" w:rsidRPr="00AB0F94" w:rsidRDefault="00AB0F94" w:rsidP="00AB0F94">
      <w:pPr>
        <w:spacing w:after="160" w:line="256" w:lineRule="auto"/>
        <w:ind w:left="567"/>
        <w:contextualSpacing/>
        <w:jc w:val="both"/>
        <w:rPr>
          <w:rFonts w:ascii="Verdana" w:eastAsia="Calibri" w:hAnsi="Verdana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>¿Qué papel juegan las nuevas tecnologías para causar daño de forma remota en el contexto de las operaciones cibernéticas y cuáles son los riesgos involucrados? ¿Cómo definiría “participar directamente en las operaciones cibernéticas”?</w:t>
      </w:r>
    </w:p>
    <w:p w:rsidR="00AB0F94" w:rsidRPr="00AB0F94" w:rsidRDefault="00AB0F94" w:rsidP="00AB0F94">
      <w:pPr>
        <w:spacing w:after="160" w:line="256" w:lineRule="auto"/>
        <w:contextualSpacing/>
        <w:jc w:val="both"/>
        <w:rPr>
          <w:rFonts w:ascii="Verdana" w:eastAsia="Calibri" w:hAnsi="Verdana"/>
          <w:b/>
          <w:lang w:val="es-ES"/>
        </w:rPr>
      </w:pPr>
    </w:p>
    <w:p w:rsidR="00AB0F94" w:rsidRPr="00AB0F94" w:rsidRDefault="00AB0F94" w:rsidP="00AB0F94">
      <w:pPr>
        <w:spacing w:after="120"/>
        <w:contextualSpacing/>
        <w:jc w:val="both"/>
        <w:rPr>
          <w:rFonts w:ascii="Verdana" w:hAnsi="Verdana"/>
          <w:u w:val="single"/>
          <w:lang w:val="es-ES"/>
        </w:rPr>
      </w:pPr>
      <w:r w:rsidRPr="00AB0F94">
        <w:rPr>
          <w:rFonts w:ascii="Verdana" w:hAnsi="Verdana"/>
          <w:u w:val="single"/>
          <w:lang w:val="es-ES"/>
        </w:rPr>
        <w:t>Marcos normativos y su aplicación</w:t>
      </w:r>
    </w:p>
    <w:p w:rsidR="00AB0F94" w:rsidRPr="00AB0F94" w:rsidRDefault="00AB0F94" w:rsidP="00AB0F94">
      <w:pPr>
        <w:spacing w:after="120"/>
        <w:contextualSpacing/>
        <w:jc w:val="both"/>
        <w:rPr>
          <w:rFonts w:ascii="Verdana" w:hAnsi="Verdana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>Sírvanse proporcionar información sobre los marcos legislativos, normativos y reglamentarios nacionales, regionales o internacionales (o a nivel internacional) con respecto a la conducta en el ciberespacio y su aplicación (por ejemplo, transparencia, comportamiento responsable).</w:t>
      </w:r>
    </w:p>
    <w:p w:rsidR="00AB0F94" w:rsidRPr="00AB0F94" w:rsidRDefault="00AB0F94" w:rsidP="00AB0F94">
      <w:pPr>
        <w:contextualSpacing/>
        <w:jc w:val="both"/>
        <w:rPr>
          <w:rFonts w:ascii="Verdana" w:eastAsia="Calibri" w:hAnsi="Verdana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>Sírvanse proporcionar información sobre las normas y/o reglamentos específicos nacionales o regionales que rijan la provisión de productos y servicios de seguridad en el ciberespacio por actores que operan solos o a través de EMPS, y otros actores pertinentes.</w:t>
      </w:r>
    </w:p>
    <w:p w:rsidR="00AB0F94" w:rsidRPr="00AB0F94" w:rsidRDefault="00AB0F94" w:rsidP="00AB0F94">
      <w:pPr>
        <w:spacing w:after="160" w:line="256" w:lineRule="auto"/>
        <w:ind w:left="567"/>
        <w:contextualSpacing/>
        <w:jc w:val="both"/>
        <w:rPr>
          <w:rFonts w:ascii="Verdana" w:eastAsia="Calibri" w:hAnsi="Verdana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>Sírvanse proporcionar información sobre los marcos y mecanismos nacionales, regionales o internacionales existentes para investigar y responsabilizar a las personas, grupos, Estados o empresas por abusos en el ciberespacio, incluidos el espionaje, las operaciones, los servicios o productos cibernéticos ilegales, y su eficacia.</w:t>
      </w:r>
    </w:p>
    <w:p w:rsidR="00AB0F94" w:rsidRPr="00AB0F94" w:rsidRDefault="00AB0F94" w:rsidP="00AB0F94">
      <w:pPr>
        <w:spacing w:after="120"/>
        <w:contextualSpacing/>
        <w:jc w:val="both"/>
        <w:rPr>
          <w:rFonts w:ascii="Verdana" w:hAnsi="Verdana"/>
          <w:b/>
          <w:lang w:val="es-ES"/>
        </w:rPr>
      </w:pPr>
    </w:p>
    <w:p w:rsidR="00AB0F94" w:rsidRPr="00AB0F94" w:rsidRDefault="00AB0F94" w:rsidP="00AB0F94">
      <w:pPr>
        <w:spacing w:after="120"/>
        <w:contextualSpacing/>
        <w:jc w:val="both"/>
        <w:rPr>
          <w:rFonts w:ascii="Verdana" w:hAnsi="Verdana"/>
          <w:u w:val="single"/>
          <w:lang w:val="es-ES"/>
        </w:rPr>
      </w:pPr>
      <w:r w:rsidRPr="00AB0F94">
        <w:rPr>
          <w:rFonts w:ascii="Verdana" w:hAnsi="Verdana"/>
          <w:u w:val="single"/>
          <w:lang w:val="es-ES"/>
        </w:rPr>
        <w:t>Impactos de las operaciones y capacidades cibernéticas realizadas por actores que operan solos o a través de EMSP en los derechos humanos y el DIH</w:t>
      </w:r>
    </w:p>
    <w:p w:rsidR="00AB0F94" w:rsidRPr="00AB0F94" w:rsidRDefault="00AB0F94" w:rsidP="00AB0F94">
      <w:pPr>
        <w:spacing w:after="120"/>
        <w:contextualSpacing/>
        <w:jc w:val="both"/>
        <w:rPr>
          <w:rFonts w:ascii="Verdana" w:hAnsi="Verdana"/>
          <w:u w:val="single"/>
          <w:lang w:val="es-ES"/>
        </w:rPr>
      </w:pPr>
    </w:p>
    <w:p w:rsidR="00AB0F94" w:rsidRPr="00AB0F94" w:rsidRDefault="00AB0F94" w:rsidP="00AB0F94">
      <w:pPr>
        <w:numPr>
          <w:ilvl w:val="0"/>
          <w:numId w:val="2"/>
        </w:numPr>
        <w:spacing w:after="160" w:line="256" w:lineRule="auto"/>
        <w:ind w:left="567" w:hanging="567"/>
        <w:contextualSpacing/>
        <w:jc w:val="both"/>
        <w:rPr>
          <w:rFonts w:ascii="Verdana" w:eastAsia="Calibri" w:hAnsi="Verdana"/>
          <w:lang w:val="es-ES"/>
        </w:rPr>
      </w:pPr>
      <w:r w:rsidRPr="00AB0F94">
        <w:rPr>
          <w:rFonts w:ascii="Verdana" w:eastAsia="Calibri" w:hAnsi="Verdana"/>
          <w:lang w:val="es-ES"/>
        </w:rPr>
        <w:t xml:space="preserve">Sírvanse describir cómo el desarrollo y el uso de capacidades, operaciones y servicios cibernéticos (por ejemplo, ataques a la infraestructura y datos digitales/físicos, vigilancia de personas) por actores que operan solos o a través </w:t>
      </w:r>
      <w:r w:rsidRPr="00AB0F94">
        <w:rPr>
          <w:rFonts w:ascii="Verdana" w:eastAsia="Calibri" w:hAnsi="Verdana"/>
          <w:lang w:val="es-ES"/>
        </w:rPr>
        <w:lastRenderedPageBreak/>
        <w:t>de EMSP pueden causar y contribuir a abusos y violaciones de los derechos humanos en entornos sin conflictos.</w:t>
      </w:r>
    </w:p>
    <w:p w:rsidR="00AB0F94" w:rsidRPr="00AB0F94" w:rsidRDefault="00AB0F94" w:rsidP="00AB0F94">
      <w:pPr>
        <w:ind w:left="567"/>
        <w:contextualSpacing/>
        <w:jc w:val="both"/>
        <w:rPr>
          <w:rFonts w:ascii="Verdana" w:eastAsia="Calibri" w:hAnsi="Verdana"/>
          <w:i/>
          <w:lang w:val="es-ES"/>
        </w:rPr>
      </w:pPr>
      <w:r w:rsidRPr="00AB0F94">
        <w:rPr>
          <w:rFonts w:ascii="Verdana" w:eastAsia="Calibri" w:hAnsi="Verdana"/>
          <w:i/>
          <w:lang w:val="es-ES"/>
        </w:rPr>
        <w:t xml:space="preserve">Esto incluye, por ejemplo, los derechos a la vida, a la integridad física y mental, a la autodeterminación, a la privacidad, a la salud, al voto, así como a la libertad de movimiento, de reunión y de asociación que podrían estar afectando a personas o grupos, como los defensores de derechos humanos, líderes de la oposición o periodistas. </w:t>
      </w:r>
    </w:p>
    <w:p w:rsidR="00AB0F94" w:rsidRPr="00AB0F94" w:rsidRDefault="00AB0F94" w:rsidP="00AB0F94">
      <w:pPr>
        <w:spacing w:after="160" w:line="256" w:lineRule="auto"/>
        <w:contextualSpacing/>
        <w:jc w:val="both"/>
        <w:rPr>
          <w:rFonts w:ascii="Verdana" w:eastAsia="Calibri" w:hAnsi="Verdana"/>
          <w:lang w:val="es-ES"/>
        </w:rPr>
      </w:pPr>
    </w:p>
    <w:p w:rsidR="00012FBD" w:rsidRPr="00AB0F94" w:rsidRDefault="00AB0F94" w:rsidP="00012FBD">
      <w:pPr>
        <w:numPr>
          <w:ilvl w:val="0"/>
          <w:numId w:val="2"/>
        </w:numPr>
        <w:spacing w:before="100" w:beforeAutospacing="1" w:after="100" w:afterAutospacing="1" w:line="256" w:lineRule="auto"/>
        <w:ind w:left="567" w:hanging="567"/>
        <w:contextualSpacing/>
        <w:jc w:val="both"/>
        <w:rPr>
          <w:rFonts w:ascii="Verdana" w:eastAsia="Calibri" w:hAnsi="Verdana"/>
          <w:color w:val="000000"/>
          <w:u w:val="single"/>
          <w:lang w:val="es-ES" w:eastAsia="en-GB"/>
        </w:rPr>
      </w:pPr>
      <w:r w:rsidRPr="00AB0F94">
        <w:rPr>
          <w:rFonts w:ascii="Verdana" w:eastAsia="Calibri" w:hAnsi="Verdana"/>
          <w:lang w:val="es-ES"/>
        </w:rPr>
        <w:t>Sírvanse describir cómo</w:t>
      </w:r>
      <w:r w:rsidRPr="00AB0F94">
        <w:rPr>
          <w:rFonts w:ascii="Verdana" w:eastAsia="Calibri" w:hAnsi="Verdana"/>
          <w:color w:val="000000"/>
          <w:lang w:val="es-ES" w:eastAsia="en-GB"/>
        </w:rPr>
        <w:t xml:space="preserve"> </w:t>
      </w:r>
      <w:r w:rsidRPr="00AB0F94">
        <w:rPr>
          <w:rFonts w:ascii="Verdana" w:eastAsia="Calibri" w:hAnsi="Verdana"/>
          <w:lang w:val="es-ES"/>
        </w:rPr>
        <w:t xml:space="preserve">el desarrollo y el uso de capacidades, operaciones y servicios cibernéticos por actores que operan solos o a través de EMSP pueden causar y contribuir a infracciones del derecho internacional humanitario durante los conflictos armados. </w:t>
      </w:r>
    </w:p>
    <w:p w:rsidR="00B0183B" w:rsidRDefault="00B0183B" w:rsidP="00EC1E0A">
      <w:pPr>
        <w:rPr>
          <w:rFonts w:ascii="Verdana" w:hAnsi="Verdana"/>
          <w:b/>
          <w:sz w:val="22"/>
          <w:szCs w:val="22"/>
          <w:lang w:val="es-ES_tradnl"/>
        </w:rPr>
      </w:pPr>
    </w:p>
    <w:p w:rsidR="00EC1E0A" w:rsidRPr="00EC1E0A" w:rsidRDefault="00EC1E0A" w:rsidP="00EC1E0A">
      <w:pPr>
        <w:rPr>
          <w:rFonts w:ascii="Verdana" w:hAnsi="Verdana"/>
          <w:b/>
          <w:sz w:val="22"/>
          <w:szCs w:val="22"/>
          <w:lang w:val="es-ES_tradnl"/>
        </w:rPr>
      </w:pPr>
      <w:r w:rsidRPr="00EC1E0A">
        <w:rPr>
          <w:rFonts w:ascii="Verdana" w:hAnsi="Verdana"/>
          <w:b/>
          <w:sz w:val="22"/>
          <w:szCs w:val="22"/>
          <w:lang w:val="es-ES_tradnl"/>
        </w:rPr>
        <w:t>Cómo y dónde enviar las contribuciones</w:t>
      </w:r>
    </w:p>
    <w:p w:rsidR="00EC1E0A" w:rsidRDefault="00EC1E0A" w:rsidP="00EC1E0A">
      <w:pPr>
        <w:rPr>
          <w:rFonts w:ascii="Verdana" w:hAnsi="Verdana"/>
          <w:lang w:val="es-ES_tradnl"/>
        </w:rPr>
      </w:pPr>
    </w:p>
    <w:p w:rsidR="00672B04" w:rsidRDefault="00EC1E0A">
      <w:pPr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Las contribu</w:t>
      </w:r>
      <w:r w:rsidRPr="00EC1E0A">
        <w:rPr>
          <w:rFonts w:ascii="Verdana" w:hAnsi="Verdana"/>
          <w:lang w:val="es-ES_tradnl"/>
        </w:rPr>
        <w:t>ciones pueden enviarse por correo electrónico</w:t>
      </w:r>
      <w:r w:rsidR="007C4492">
        <w:rPr>
          <w:rFonts w:ascii="Verdana" w:hAnsi="Verdana"/>
          <w:lang w:val="es-ES_tradnl"/>
        </w:rPr>
        <w:t>,</w:t>
      </w:r>
      <w:r w:rsidRPr="00EC1E0A">
        <w:rPr>
          <w:rFonts w:ascii="Verdana" w:hAnsi="Verdana"/>
          <w:lang w:val="es-ES_tradnl"/>
        </w:rPr>
        <w:t xml:space="preserve"> en</w:t>
      </w:r>
      <w:r w:rsidR="007C4492">
        <w:rPr>
          <w:rFonts w:ascii="Verdana" w:hAnsi="Verdana"/>
          <w:lang w:val="es-ES_tradnl"/>
        </w:rPr>
        <w:t xml:space="preserve"> formato accesible (documento Word), </w:t>
      </w:r>
      <w:r w:rsidRPr="00EC1E0A">
        <w:rPr>
          <w:rFonts w:ascii="Verdana" w:hAnsi="Verdana"/>
          <w:lang w:val="es-ES_tradnl"/>
        </w:rPr>
        <w:t xml:space="preserve">a </w:t>
      </w:r>
      <w:hyperlink r:id="rId7" w:history="1">
        <w:r w:rsidR="007C4492" w:rsidRPr="00132ADC">
          <w:rPr>
            <w:rStyle w:val="Hyperlink"/>
            <w:rFonts w:ascii="Verdana" w:hAnsi="Verdana"/>
            <w:lang w:val="es-ES_tradnl"/>
          </w:rPr>
          <w:t>mercenaries@ohchr.org</w:t>
        </w:r>
      </w:hyperlink>
      <w:r w:rsidR="007C4492">
        <w:rPr>
          <w:rFonts w:ascii="Verdana" w:hAnsi="Verdana"/>
          <w:lang w:val="es-ES_tradnl"/>
        </w:rPr>
        <w:t xml:space="preserve">, </w:t>
      </w:r>
      <w:r w:rsidR="007C4492" w:rsidRPr="007C4492">
        <w:rPr>
          <w:rFonts w:ascii="Verdana" w:hAnsi="Verdana"/>
          <w:lang w:val="es-ES_tradnl"/>
        </w:rPr>
        <w:t xml:space="preserve">a más tardar el </w:t>
      </w:r>
      <w:r w:rsidRPr="007C4492">
        <w:rPr>
          <w:rFonts w:ascii="Verdana" w:hAnsi="Verdana"/>
          <w:b/>
          <w:lang w:val="es-ES_tradnl"/>
        </w:rPr>
        <w:t>12 de febrero de 2021</w:t>
      </w:r>
      <w:r w:rsidRPr="00EC1E0A">
        <w:rPr>
          <w:rFonts w:ascii="Verdana" w:hAnsi="Verdana"/>
          <w:lang w:val="es-ES_tradnl"/>
        </w:rPr>
        <w:t>. Al enviar su respuesta, indique amablemente si tiene alguna objeción con respecto a que su respuesta se publique en este sitio web.</w:t>
      </w:r>
      <w:r w:rsidR="00C718D5">
        <w:rPr>
          <w:rFonts w:ascii="Verdana" w:hAnsi="Verdana"/>
          <w:lang w:val="es-ES_tradnl"/>
        </w:rPr>
        <w:t xml:space="preserve"> </w:t>
      </w:r>
    </w:p>
    <w:p w:rsidR="00C718D5" w:rsidRDefault="00C718D5">
      <w:pPr>
        <w:rPr>
          <w:rFonts w:ascii="Verdana" w:hAnsi="Verdana"/>
          <w:lang w:val="es-ES_tradnl"/>
        </w:rPr>
      </w:pPr>
    </w:p>
    <w:p w:rsidR="00C718D5" w:rsidRPr="00C718D5" w:rsidRDefault="00C718D5" w:rsidP="00C718D5">
      <w:pPr>
        <w:rPr>
          <w:rFonts w:ascii="Verdana" w:hAnsi="Verdana"/>
          <w:b/>
          <w:sz w:val="22"/>
          <w:szCs w:val="22"/>
          <w:lang w:val="es-ES_tradnl"/>
        </w:rPr>
      </w:pPr>
      <w:r w:rsidRPr="00C718D5">
        <w:rPr>
          <w:rFonts w:ascii="Verdana" w:hAnsi="Verdana"/>
          <w:b/>
          <w:sz w:val="22"/>
          <w:szCs w:val="22"/>
          <w:lang w:val="es-ES_tradnl"/>
        </w:rPr>
        <w:t>Cómo se utilizarán las contribuciones</w:t>
      </w:r>
    </w:p>
    <w:p w:rsidR="00C718D5" w:rsidRDefault="00C718D5" w:rsidP="00C718D5">
      <w:pPr>
        <w:rPr>
          <w:rFonts w:ascii="Verdana" w:hAnsi="Verdana"/>
          <w:lang w:val="es-ES_tradnl"/>
        </w:rPr>
      </w:pPr>
    </w:p>
    <w:p w:rsidR="00C718D5" w:rsidRPr="007C4492" w:rsidRDefault="00C718D5" w:rsidP="00C718D5">
      <w:pPr>
        <w:rPr>
          <w:rFonts w:ascii="Verdana" w:hAnsi="Verdana"/>
          <w:lang w:val="es-ES_tradnl"/>
        </w:rPr>
      </w:pPr>
      <w:r w:rsidRPr="00C718D5">
        <w:rPr>
          <w:rFonts w:ascii="Verdana" w:hAnsi="Verdana"/>
          <w:lang w:val="es-ES_tradnl"/>
        </w:rPr>
        <w:t>Tod</w:t>
      </w:r>
      <w:r w:rsidR="00EA50F1">
        <w:rPr>
          <w:rFonts w:ascii="Verdana" w:hAnsi="Verdana"/>
          <w:lang w:val="es-ES_tradnl"/>
        </w:rPr>
        <w:t>a</w:t>
      </w:r>
      <w:r w:rsidRPr="00C718D5">
        <w:rPr>
          <w:rFonts w:ascii="Verdana" w:hAnsi="Verdana"/>
          <w:lang w:val="es-ES_tradnl"/>
        </w:rPr>
        <w:t xml:space="preserve">s </w:t>
      </w:r>
      <w:r w:rsidR="00EA50F1">
        <w:rPr>
          <w:rFonts w:ascii="Verdana" w:hAnsi="Verdana"/>
          <w:lang w:val="es-ES_tradnl"/>
        </w:rPr>
        <w:t>las contribuciones</w:t>
      </w:r>
      <w:r w:rsidRPr="00C718D5">
        <w:rPr>
          <w:rFonts w:ascii="Verdana" w:hAnsi="Verdana"/>
          <w:lang w:val="es-ES_tradnl"/>
        </w:rPr>
        <w:t xml:space="preserve"> recibid</w:t>
      </w:r>
      <w:r w:rsidR="00EA50F1">
        <w:rPr>
          <w:rFonts w:ascii="Verdana" w:hAnsi="Verdana"/>
          <w:lang w:val="es-ES_tradnl"/>
        </w:rPr>
        <w:t xml:space="preserve">as en formato Word </w:t>
      </w:r>
      <w:r w:rsidRPr="00C718D5">
        <w:rPr>
          <w:rFonts w:ascii="Verdana" w:hAnsi="Verdana"/>
          <w:lang w:val="es-ES_tradnl"/>
        </w:rPr>
        <w:t>se publicarán en esta página web, a menos que el remitente indique claramente que no desea que sus comentarios se hagan p</w:t>
      </w:r>
      <w:r w:rsidR="00EA50F1">
        <w:rPr>
          <w:rFonts w:ascii="Verdana" w:hAnsi="Verdana"/>
          <w:lang w:val="es-ES_tradnl"/>
        </w:rPr>
        <w:t>úblicos al enviar su respuesta. Las contribuciones</w:t>
      </w:r>
      <w:r w:rsidRPr="00C718D5">
        <w:rPr>
          <w:rFonts w:ascii="Verdana" w:hAnsi="Verdana"/>
          <w:lang w:val="es-ES_tradnl"/>
        </w:rPr>
        <w:t xml:space="preserve"> recibidas en formato PDF no se publicarán, pero estarán disponibles a pedido.</w:t>
      </w:r>
    </w:p>
    <w:sectPr w:rsidR="00C718D5" w:rsidRPr="007C4492" w:rsidSect="00C772EF">
      <w:headerReference w:type="default" r:id="rId8"/>
      <w:footerReference w:type="default" r:id="rId9"/>
      <w:headerReference w:type="first" r:id="rId10"/>
      <w:pgSz w:w="11906" w:h="16838" w:code="9"/>
      <w:pgMar w:top="1134" w:right="1701" w:bottom="1134" w:left="1701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CFC" w:rsidRDefault="00837CFC" w:rsidP="00837CFC">
      <w:r>
        <w:separator/>
      </w:r>
    </w:p>
  </w:endnote>
  <w:endnote w:type="continuationSeparator" w:id="0">
    <w:p w:rsidR="00837CFC" w:rsidRDefault="00837CFC" w:rsidP="0083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B7" w:rsidRDefault="00CD29D4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CFC" w:rsidRDefault="00837CFC" w:rsidP="00837CFC">
      <w:r>
        <w:separator/>
      </w:r>
    </w:p>
  </w:footnote>
  <w:footnote w:type="continuationSeparator" w:id="0">
    <w:p w:rsidR="00837CFC" w:rsidRDefault="00837CFC" w:rsidP="0083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B7" w:rsidRPr="00AD4CA9" w:rsidRDefault="00837CFC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6985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A10">
      <w:rPr>
        <w:sz w:val="14"/>
        <w:szCs w:val="14"/>
        <w:lang w:val="en-GB"/>
      </w:rPr>
      <w:tab/>
      <w:t xml:space="preserve">PAGE </w:t>
    </w:r>
    <w:r w:rsidR="00A60A10" w:rsidRPr="0028624E">
      <w:rPr>
        <w:sz w:val="14"/>
        <w:szCs w:val="14"/>
        <w:lang w:val="en-GB"/>
      </w:rPr>
      <w:fldChar w:fldCharType="begin"/>
    </w:r>
    <w:r w:rsidR="00A60A10" w:rsidRPr="0028624E">
      <w:rPr>
        <w:sz w:val="14"/>
        <w:szCs w:val="14"/>
        <w:lang w:val="en-GB"/>
      </w:rPr>
      <w:instrText xml:space="preserve"> PAGE   \* MERGEFORMAT </w:instrText>
    </w:r>
    <w:r w:rsidR="00A60A10" w:rsidRPr="0028624E">
      <w:rPr>
        <w:sz w:val="14"/>
        <w:szCs w:val="14"/>
        <w:lang w:val="en-GB"/>
      </w:rPr>
      <w:fldChar w:fldCharType="separate"/>
    </w:r>
    <w:r w:rsidR="00CD29D4">
      <w:rPr>
        <w:noProof/>
        <w:sz w:val="14"/>
        <w:szCs w:val="14"/>
        <w:lang w:val="en-GB"/>
      </w:rPr>
      <w:t>3</w:t>
    </w:r>
    <w:r w:rsidR="00A60A1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B7" w:rsidRPr="00E80ED1" w:rsidRDefault="00CD29D4" w:rsidP="009F18EC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61C57"/>
    <w:multiLevelType w:val="hybridMultilevel"/>
    <w:tmpl w:val="B5946E36"/>
    <w:lvl w:ilvl="0" w:tplc="67D01B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A6C75"/>
    <w:multiLevelType w:val="hybridMultilevel"/>
    <w:tmpl w:val="85FE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64"/>
    <w:rsid w:val="00012FBD"/>
    <w:rsid w:val="000C3E04"/>
    <w:rsid w:val="00112268"/>
    <w:rsid w:val="00116098"/>
    <w:rsid w:val="00124C64"/>
    <w:rsid w:val="00132ADC"/>
    <w:rsid w:val="001C35A2"/>
    <w:rsid w:val="002254C7"/>
    <w:rsid w:val="0024418C"/>
    <w:rsid w:val="002B5016"/>
    <w:rsid w:val="002F2D52"/>
    <w:rsid w:val="00323C42"/>
    <w:rsid w:val="0037279E"/>
    <w:rsid w:val="00481C3A"/>
    <w:rsid w:val="005938E3"/>
    <w:rsid w:val="005D17ED"/>
    <w:rsid w:val="007C4492"/>
    <w:rsid w:val="00837CFC"/>
    <w:rsid w:val="00906BE8"/>
    <w:rsid w:val="00926798"/>
    <w:rsid w:val="00993136"/>
    <w:rsid w:val="009B5BEF"/>
    <w:rsid w:val="00A34D4F"/>
    <w:rsid w:val="00A60A10"/>
    <w:rsid w:val="00AB0F94"/>
    <w:rsid w:val="00AC534C"/>
    <w:rsid w:val="00AD34D8"/>
    <w:rsid w:val="00B0183B"/>
    <w:rsid w:val="00B46E23"/>
    <w:rsid w:val="00B52108"/>
    <w:rsid w:val="00BF68CB"/>
    <w:rsid w:val="00C718D5"/>
    <w:rsid w:val="00CB1252"/>
    <w:rsid w:val="00CD29D4"/>
    <w:rsid w:val="00DC0D34"/>
    <w:rsid w:val="00EA50F1"/>
    <w:rsid w:val="00EC1E0A"/>
    <w:rsid w:val="00EE264B"/>
    <w:rsid w:val="00F64053"/>
    <w:rsid w:val="00FB481C"/>
    <w:rsid w:val="00FC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8B8D7"/>
  <w15:chartTrackingRefBased/>
  <w15:docId w15:val="{835066E8-9165-43A9-87FC-84C2D935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CFC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837CFC"/>
    <w:rPr>
      <w:rFonts w:ascii="Times New Roman" w:eastAsia="Times New Roman" w:hAnsi="Times New Roman" w:cs="Times New Roman"/>
      <w:snapToGrid w:val="0"/>
      <w:sz w:val="20"/>
      <w:szCs w:val="20"/>
      <w:lang w:val="en-AU"/>
    </w:rPr>
  </w:style>
  <w:style w:type="paragraph" w:styleId="Footer">
    <w:name w:val="footer"/>
    <w:basedOn w:val="Normal"/>
    <w:link w:val="FooterChar"/>
    <w:rsid w:val="0083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37CF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837C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7CFC"/>
    <w:pPr>
      <w:ind w:left="720"/>
      <w:contextualSpacing/>
    </w:pPr>
    <w:rPr>
      <w:sz w:val="24"/>
      <w:szCs w:val="24"/>
      <w:lang w:val="en-US"/>
    </w:rPr>
  </w:style>
  <w:style w:type="paragraph" w:customStyle="1" w:styleId="Normal1">
    <w:name w:val="Normal1"/>
    <w:rsid w:val="00B46E23"/>
    <w:pPr>
      <w:spacing w:after="0" w:line="240" w:lineRule="auto"/>
    </w:pPr>
    <w:rPr>
      <w:rFonts w:ascii="Helvetica Neue" w:eastAsia="Helvetica Neue" w:hAnsi="Helvetica Neue" w:cs="Helvetica Neue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46E23"/>
    <w:pPr>
      <w:spacing w:after="0" w:line="240" w:lineRule="auto"/>
    </w:pPr>
    <w:rPr>
      <w:rFonts w:ascii="Helvetica Neue" w:eastAsia="Helvetica Neue" w:hAnsi="Helvetica Neue" w:cs="Helvetica Neue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5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mercenaries@ohch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262DCA-E5A1-40DC-8D0C-0DDBFC75B300}"/>
</file>

<file path=customXml/itemProps2.xml><?xml version="1.0" encoding="utf-8"?>
<ds:datastoreItem xmlns:ds="http://schemas.openxmlformats.org/officeDocument/2006/customXml" ds:itemID="{385608F7-7D7D-406B-A3EC-E136584CC9D8}"/>
</file>

<file path=customXml/itemProps3.xml><?xml version="1.0" encoding="utf-8"?>
<ds:datastoreItem xmlns:ds="http://schemas.openxmlformats.org/officeDocument/2006/customXml" ds:itemID="{4FEC2CE2-DD02-49C7-B3D1-09FCAD01EB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MICHELS Cristina</dc:creator>
  <cp:keywords/>
  <dc:description/>
  <cp:lastModifiedBy>MICHELS Cristina</cp:lastModifiedBy>
  <cp:revision>43</cp:revision>
  <dcterms:created xsi:type="dcterms:W3CDTF">2020-03-05T16:23:00Z</dcterms:created>
  <dcterms:modified xsi:type="dcterms:W3CDTF">2020-12-17T16:37:00Z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