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4218C" w14:textId="77777777" w:rsidR="000841F3" w:rsidRPr="0088573C" w:rsidRDefault="000841F3" w:rsidP="000841F3">
      <w:pPr>
        <w:jc w:val="both"/>
        <w:rPr>
          <w:rFonts w:asciiTheme="minorHAnsi" w:hAnsiTheme="minorHAnsi" w:cs="Arial"/>
          <w:b/>
          <w:szCs w:val="24"/>
          <w:lang w:val="es-ES"/>
        </w:rPr>
      </w:pPr>
      <w:bookmarkStart w:id="0" w:name="_GoBack"/>
      <w:bookmarkEnd w:id="0"/>
    </w:p>
    <w:p w14:paraId="1531A0F8" w14:textId="291366B1" w:rsidR="001B312A" w:rsidRDefault="001B312A" w:rsidP="001B312A">
      <w:pPr>
        <w:spacing w:line="276" w:lineRule="auto"/>
        <w:ind w:left="360"/>
        <w:jc w:val="center"/>
        <w:rPr>
          <w:rFonts w:ascii="Arial" w:hAnsi="Arial" w:cs="Arial"/>
          <w:b/>
          <w:sz w:val="22"/>
          <w:u w:val="single"/>
        </w:rPr>
      </w:pPr>
      <w:r w:rsidRPr="001B312A">
        <w:rPr>
          <w:rFonts w:ascii="Arial" w:hAnsi="Arial" w:cs="Arial"/>
          <w:b/>
          <w:sz w:val="22"/>
          <w:u w:val="single"/>
        </w:rPr>
        <w:t xml:space="preserve">CONTRIBUCIONES DE ESPAÑA A LA SOLICITUD DE INFORMACIÓN </w:t>
      </w:r>
      <w:r w:rsidR="00DD1C74">
        <w:rPr>
          <w:rFonts w:ascii="Arial" w:hAnsi="Arial" w:cs="Arial"/>
          <w:b/>
          <w:sz w:val="22"/>
          <w:u w:val="single"/>
        </w:rPr>
        <w:t>REFERIDA A</w:t>
      </w:r>
      <w:r w:rsidRPr="001B312A">
        <w:rPr>
          <w:rFonts w:ascii="Arial" w:hAnsi="Arial" w:cs="Arial"/>
          <w:b/>
          <w:sz w:val="22"/>
          <w:u w:val="single"/>
        </w:rPr>
        <w:t xml:space="preserve"> LA RESOLUCION </w:t>
      </w:r>
      <w:r>
        <w:rPr>
          <w:rFonts w:ascii="Arial" w:hAnsi="Arial" w:cs="Arial"/>
          <w:b/>
          <w:sz w:val="22"/>
          <w:u w:val="single"/>
        </w:rPr>
        <w:t>A/RES/74/148</w:t>
      </w:r>
      <w:r w:rsidRPr="001B312A">
        <w:rPr>
          <w:rFonts w:ascii="Arial" w:hAnsi="Arial" w:cs="Arial"/>
          <w:b/>
          <w:sz w:val="22"/>
          <w:u w:val="single"/>
        </w:rPr>
        <w:t>, SOBRE LA PROTECCION DE LOS DERECHOS HUMANOS DE LOS MIGRANTES</w:t>
      </w:r>
    </w:p>
    <w:p w14:paraId="4B91876C" w14:textId="77777777" w:rsidR="001B312A" w:rsidRPr="001B312A" w:rsidRDefault="001B312A" w:rsidP="001B312A">
      <w:pPr>
        <w:spacing w:line="276" w:lineRule="auto"/>
        <w:ind w:left="360"/>
        <w:jc w:val="center"/>
        <w:rPr>
          <w:rFonts w:ascii="Arial" w:hAnsi="Arial" w:cs="Arial"/>
          <w:b/>
          <w:sz w:val="22"/>
          <w:u w:val="single"/>
        </w:rPr>
      </w:pPr>
    </w:p>
    <w:p w14:paraId="0F60D108" w14:textId="1672E344" w:rsidR="00DC5072" w:rsidRDefault="00DC5072" w:rsidP="0027136C">
      <w:pPr>
        <w:autoSpaceDE w:val="0"/>
        <w:autoSpaceDN w:val="0"/>
        <w:adjustRightInd w:val="0"/>
        <w:jc w:val="both"/>
        <w:rPr>
          <w:rFonts w:ascii="Arial" w:hAnsi="Arial" w:cs="Arial"/>
          <w:sz w:val="22"/>
          <w:lang w:val="es-ES"/>
        </w:rPr>
      </w:pPr>
      <w:r>
        <w:rPr>
          <w:rFonts w:ascii="Arial" w:hAnsi="Arial" w:cs="Arial"/>
          <w:sz w:val="22"/>
          <w:lang w:val="es-ES"/>
        </w:rPr>
        <w:t xml:space="preserve">Entre las prioridades del Gobierno </w:t>
      </w:r>
      <w:r w:rsidR="00AE26AE">
        <w:rPr>
          <w:rFonts w:ascii="Arial" w:hAnsi="Arial" w:cs="Arial"/>
          <w:sz w:val="22"/>
          <w:lang w:val="es-ES"/>
        </w:rPr>
        <w:t xml:space="preserve">español </w:t>
      </w:r>
      <w:r>
        <w:rPr>
          <w:rFonts w:ascii="Arial" w:hAnsi="Arial" w:cs="Arial"/>
          <w:sz w:val="22"/>
          <w:lang w:val="es-ES"/>
        </w:rPr>
        <w:t xml:space="preserve">en esta materia, se encuentran la de seguir fortaleciendo la cooperación con los países de origen, de tránsito y de destino para hacer frente a la migración irregular; garantizar que el trato reservado a los migrantes y solicitantes de asilo se ajuste a las normas internacionales; y garantizar los derechos de los migrantes, tanto en situación regular como irregular. </w:t>
      </w:r>
    </w:p>
    <w:p w14:paraId="2A570730" w14:textId="4F297658" w:rsidR="00223043" w:rsidRPr="00C70126" w:rsidRDefault="00223043" w:rsidP="00A55176">
      <w:pPr>
        <w:jc w:val="both"/>
        <w:rPr>
          <w:rFonts w:ascii="Arial" w:hAnsi="Arial" w:cs="Arial"/>
          <w:sz w:val="22"/>
          <w:lang w:val="es-ES"/>
        </w:rPr>
      </w:pPr>
    </w:p>
    <w:p w14:paraId="67BB7BC0" w14:textId="50857687" w:rsidR="00223043" w:rsidRPr="00C70126" w:rsidRDefault="00223043" w:rsidP="00A55176">
      <w:pPr>
        <w:jc w:val="both"/>
        <w:rPr>
          <w:rFonts w:ascii="Arial" w:hAnsi="Arial" w:cs="Arial"/>
          <w:sz w:val="22"/>
          <w:lang w:val="es-ES"/>
        </w:rPr>
      </w:pPr>
      <w:r w:rsidRPr="00C70126">
        <w:rPr>
          <w:rFonts w:ascii="Arial" w:hAnsi="Arial" w:cs="Arial"/>
          <w:sz w:val="22"/>
          <w:lang w:val="es-ES"/>
        </w:rPr>
        <w:t xml:space="preserve">En particular, España promueve  una política migratoria que respete los derechos humanos. Por ello, España </w:t>
      </w:r>
      <w:r w:rsidR="0027136C">
        <w:rPr>
          <w:rFonts w:ascii="Arial" w:hAnsi="Arial" w:cs="Arial"/>
          <w:sz w:val="22"/>
          <w:lang w:val="es-ES"/>
        </w:rPr>
        <w:t xml:space="preserve">está </w:t>
      </w:r>
      <w:r w:rsidRPr="00C70126">
        <w:rPr>
          <w:rFonts w:ascii="Arial" w:hAnsi="Arial" w:cs="Arial"/>
          <w:sz w:val="22"/>
          <w:lang w:val="es-ES"/>
        </w:rPr>
        <w:t xml:space="preserve"> comprometida con la atención de aquellos migrantes que llegan a nuestro país en situaciones de alta vulnerabilidad, mejorando la coordinación de todos los actores involucrados en la atención humanitaria y en la identificación de vulnerabilidades, especialmente de mujeres víctimas de trata y los menores.</w:t>
      </w:r>
      <w:r w:rsidRPr="00C70126">
        <w:rPr>
          <w:rStyle w:val="FootnoteReference"/>
          <w:rFonts w:ascii="Arial" w:hAnsi="Arial" w:cs="Arial"/>
          <w:sz w:val="22"/>
        </w:rPr>
        <w:footnoteReference w:id="1"/>
      </w:r>
      <w:r w:rsidRPr="00C70126">
        <w:rPr>
          <w:rFonts w:ascii="Arial" w:hAnsi="Arial" w:cs="Arial"/>
          <w:sz w:val="22"/>
          <w:lang w:val="es-ES"/>
        </w:rPr>
        <w:t xml:space="preserve"> </w:t>
      </w:r>
    </w:p>
    <w:p w14:paraId="1E876140" w14:textId="77777777" w:rsidR="00223043" w:rsidRPr="00C70126" w:rsidRDefault="00223043" w:rsidP="00A55176">
      <w:pPr>
        <w:jc w:val="both"/>
        <w:rPr>
          <w:rFonts w:ascii="Arial" w:hAnsi="Arial" w:cs="Arial"/>
          <w:sz w:val="22"/>
          <w:lang w:val="es-ES"/>
        </w:rPr>
      </w:pPr>
    </w:p>
    <w:p w14:paraId="4FAB0ADF" w14:textId="6E6DCEB1" w:rsidR="003B7251" w:rsidRPr="00E11E5A" w:rsidRDefault="003B7251" w:rsidP="003B7251">
      <w:pPr>
        <w:jc w:val="both"/>
        <w:rPr>
          <w:rFonts w:ascii="Arial" w:hAnsi="Arial" w:cs="Arial"/>
          <w:b/>
          <w:sz w:val="22"/>
        </w:rPr>
      </w:pPr>
      <w:r w:rsidRPr="00E11E5A">
        <w:rPr>
          <w:rFonts w:ascii="Arial" w:hAnsi="Arial" w:cs="Arial"/>
          <w:b/>
          <w:sz w:val="22"/>
        </w:rPr>
        <w:t>Medidas adoptadas para promover la protección de los migra</w:t>
      </w:r>
      <w:r w:rsidRPr="00371D68">
        <w:rPr>
          <w:rFonts w:ascii="Arial" w:hAnsi="Arial" w:cs="Arial"/>
          <w:b/>
          <w:sz w:val="22"/>
        </w:rPr>
        <w:t>ntes en situaciones vulnerables</w:t>
      </w:r>
    </w:p>
    <w:p w14:paraId="4B594AFF" w14:textId="77777777" w:rsidR="00371D68" w:rsidRDefault="00371D68" w:rsidP="00C4779B">
      <w:pPr>
        <w:jc w:val="both"/>
        <w:rPr>
          <w:rFonts w:ascii="Arial" w:hAnsi="Arial" w:cs="Arial"/>
          <w:sz w:val="22"/>
          <w:lang w:eastAsia="en-US"/>
        </w:rPr>
      </w:pPr>
    </w:p>
    <w:p w14:paraId="0F974E07" w14:textId="2349A416" w:rsidR="00C4779B" w:rsidRDefault="009B2B16" w:rsidP="00C4779B">
      <w:pPr>
        <w:jc w:val="both"/>
        <w:rPr>
          <w:rFonts w:ascii="Arial" w:eastAsia="Arial" w:hAnsi="Arial" w:cs="Arial"/>
          <w:color w:val="000000"/>
          <w:sz w:val="22"/>
          <w:szCs w:val="24"/>
          <w:lang w:val="es-ES"/>
        </w:rPr>
      </w:pPr>
      <w:r>
        <w:rPr>
          <w:rFonts w:ascii="Arial" w:eastAsia="Arial" w:hAnsi="Arial" w:cs="Arial"/>
          <w:bCs/>
          <w:color w:val="000000"/>
          <w:sz w:val="22"/>
          <w:szCs w:val="24"/>
          <w:lang w:val="es-ES"/>
        </w:rPr>
        <w:t xml:space="preserve">El </w:t>
      </w:r>
      <w:r w:rsidR="00AE26AE">
        <w:rPr>
          <w:rFonts w:ascii="Arial" w:eastAsia="Arial" w:hAnsi="Arial" w:cs="Arial"/>
          <w:bCs/>
          <w:color w:val="000000"/>
          <w:sz w:val="22"/>
          <w:szCs w:val="24"/>
          <w:lang w:val="es-ES"/>
        </w:rPr>
        <w:t>sistema nacional de acogida e i</w:t>
      </w:r>
      <w:r w:rsidR="00C4779B" w:rsidRPr="00C4779B">
        <w:rPr>
          <w:rFonts w:ascii="Arial" w:eastAsia="Arial" w:hAnsi="Arial" w:cs="Arial"/>
          <w:bCs/>
          <w:color w:val="000000"/>
          <w:sz w:val="22"/>
          <w:szCs w:val="24"/>
          <w:lang w:val="es-ES"/>
        </w:rPr>
        <w:t>ntegración para los soli</w:t>
      </w:r>
      <w:r w:rsidR="00AE26AE">
        <w:rPr>
          <w:rFonts w:ascii="Arial" w:eastAsia="Arial" w:hAnsi="Arial" w:cs="Arial"/>
          <w:bCs/>
          <w:color w:val="000000"/>
          <w:sz w:val="22"/>
          <w:szCs w:val="24"/>
          <w:lang w:val="es-ES"/>
        </w:rPr>
        <w:t>citantes</w:t>
      </w:r>
      <w:r>
        <w:rPr>
          <w:rFonts w:ascii="Arial" w:eastAsia="Arial" w:hAnsi="Arial" w:cs="Arial"/>
          <w:bCs/>
          <w:color w:val="000000"/>
          <w:sz w:val="22"/>
          <w:szCs w:val="24"/>
          <w:lang w:val="es-ES"/>
        </w:rPr>
        <w:t xml:space="preserve"> de asilo</w:t>
      </w:r>
      <w:r w:rsidR="00AE26AE">
        <w:rPr>
          <w:rFonts w:ascii="Arial" w:eastAsia="Arial" w:hAnsi="Arial" w:cs="Arial"/>
          <w:bCs/>
          <w:color w:val="000000"/>
          <w:sz w:val="22"/>
          <w:szCs w:val="24"/>
          <w:lang w:val="es-ES"/>
        </w:rPr>
        <w:t xml:space="preserve"> y beneficiarios de protección i</w:t>
      </w:r>
      <w:r w:rsidR="00C4779B" w:rsidRPr="00C4779B">
        <w:rPr>
          <w:rFonts w:ascii="Arial" w:eastAsia="Arial" w:hAnsi="Arial" w:cs="Arial"/>
          <w:bCs/>
          <w:color w:val="000000"/>
          <w:sz w:val="22"/>
          <w:szCs w:val="24"/>
          <w:lang w:val="es-ES"/>
        </w:rPr>
        <w:t>nternacional</w:t>
      </w:r>
      <w:r w:rsidR="00C4779B" w:rsidRPr="00C4779B">
        <w:rPr>
          <w:rFonts w:ascii="Arial" w:eastAsia="Arial" w:hAnsi="Arial" w:cs="Arial"/>
          <w:color w:val="000000"/>
          <w:sz w:val="22"/>
          <w:szCs w:val="24"/>
          <w:lang w:val="es-ES"/>
        </w:rPr>
        <w:t xml:space="preserve"> tiene como objetivo dar cumplimiento a las obligaciones de España en aplicación de sus compromisos internacionales sobre protección internacional, así como favorecer la integración de estas personas en la sociedad española contribuyendo al mantenimiento de la cohesión social.</w:t>
      </w:r>
    </w:p>
    <w:p w14:paraId="1456D1C7" w14:textId="77777777" w:rsidR="009B2B16" w:rsidRPr="00C4779B" w:rsidRDefault="009B2B16" w:rsidP="00C4779B">
      <w:pPr>
        <w:jc w:val="both"/>
        <w:rPr>
          <w:rFonts w:ascii="Arial" w:eastAsia="Arial" w:hAnsi="Arial" w:cs="Arial"/>
          <w:color w:val="000000"/>
          <w:sz w:val="22"/>
          <w:szCs w:val="24"/>
          <w:lang w:val="es-ES"/>
        </w:rPr>
      </w:pPr>
    </w:p>
    <w:p w14:paraId="1F3360E0" w14:textId="0B6B7D5C" w:rsidR="00C4779B" w:rsidRPr="00C4779B" w:rsidRDefault="00AE26AE" w:rsidP="00C4779B">
      <w:pPr>
        <w:jc w:val="both"/>
        <w:rPr>
          <w:rFonts w:ascii="Arial" w:eastAsia="Arial" w:hAnsi="Arial" w:cs="Arial"/>
          <w:color w:val="000000"/>
          <w:sz w:val="22"/>
          <w:szCs w:val="24"/>
          <w:lang w:val="es-ES"/>
        </w:rPr>
      </w:pPr>
      <w:r>
        <w:rPr>
          <w:rFonts w:ascii="Arial" w:eastAsia="Arial" w:hAnsi="Arial" w:cs="Arial"/>
          <w:color w:val="000000"/>
          <w:sz w:val="22"/>
          <w:szCs w:val="24"/>
          <w:lang w:val="es-ES"/>
        </w:rPr>
        <w:t>El s</w:t>
      </w:r>
      <w:r w:rsidR="00C4779B" w:rsidRPr="00C4779B">
        <w:rPr>
          <w:rFonts w:ascii="Arial" w:eastAsia="Arial" w:hAnsi="Arial" w:cs="Arial"/>
          <w:color w:val="000000"/>
          <w:sz w:val="22"/>
          <w:szCs w:val="24"/>
          <w:lang w:val="es-ES"/>
        </w:rPr>
        <w:t xml:space="preserve">istema cuenta con una red nacional de centros de acogida: </w:t>
      </w:r>
    </w:p>
    <w:p w14:paraId="6B2CF89C" w14:textId="5D668666" w:rsidR="00C4779B" w:rsidRPr="00AE26AE" w:rsidRDefault="00C4779B" w:rsidP="00C4779B">
      <w:pPr>
        <w:numPr>
          <w:ilvl w:val="0"/>
          <w:numId w:val="8"/>
        </w:numPr>
        <w:jc w:val="both"/>
        <w:rPr>
          <w:rFonts w:ascii="Arial" w:eastAsia="Arial" w:hAnsi="Arial" w:cs="Arial"/>
          <w:color w:val="000000"/>
          <w:sz w:val="22"/>
          <w:szCs w:val="24"/>
          <w:lang w:val="es-ES"/>
        </w:rPr>
      </w:pPr>
      <w:r w:rsidRPr="00C4779B">
        <w:rPr>
          <w:rFonts w:ascii="Arial" w:eastAsia="Arial" w:hAnsi="Arial" w:cs="Arial"/>
          <w:color w:val="000000"/>
          <w:sz w:val="22"/>
          <w:szCs w:val="24"/>
          <w:lang w:val="es-ES"/>
        </w:rPr>
        <w:t xml:space="preserve">4 Centros de Acogida de Refugiados </w:t>
      </w:r>
      <w:r w:rsidRPr="00C4779B">
        <w:rPr>
          <w:rFonts w:ascii="Arial" w:eastAsia="Arial" w:hAnsi="Arial" w:cs="Arial"/>
          <w:bCs/>
          <w:iCs/>
          <w:color w:val="000000"/>
          <w:sz w:val="22"/>
          <w:szCs w:val="24"/>
          <w:lang w:val="es-ES" w:eastAsia="en-US"/>
        </w:rPr>
        <w:t xml:space="preserve"> </w:t>
      </w:r>
      <w:r w:rsidRPr="00C4779B">
        <w:rPr>
          <w:rFonts w:ascii="Arial" w:eastAsia="Arial" w:hAnsi="Arial" w:cs="Arial"/>
          <w:color w:val="000000"/>
          <w:sz w:val="22"/>
          <w:szCs w:val="24"/>
          <w:lang w:val="es-ES"/>
        </w:rPr>
        <w:t xml:space="preserve">del Ministerio de Inclusión, Seguridad Social y Migraciones. </w:t>
      </w:r>
    </w:p>
    <w:p w14:paraId="5EE8A5B5" w14:textId="5B28A2D4" w:rsidR="00C4779B" w:rsidRPr="00A8134E" w:rsidRDefault="00C4779B" w:rsidP="00AE26AE">
      <w:pPr>
        <w:numPr>
          <w:ilvl w:val="0"/>
          <w:numId w:val="8"/>
        </w:numPr>
        <w:jc w:val="both"/>
        <w:rPr>
          <w:rFonts w:ascii="Arial" w:eastAsia="Arial" w:hAnsi="Arial" w:cs="Arial"/>
          <w:b/>
          <w:color w:val="000000"/>
          <w:sz w:val="22"/>
          <w:szCs w:val="24"/>
          <w:lang w:val="es-ES"/>
        </w:rPr>
      </w:pPr>
      <w:r w:rsidRPr="00C4779B">
        <w:rPr>
          <w:rFonts w:ascii="Arial" w:eastAsia="Arial" w:hAnsi="Arial" w:cs="Arial"/>
          <w:color w:val="000000"/>
          <w:sz w:val="22"/>
          <w:szCs w:val="24"/>
          <w:lang w:val="es-ES"/>
        </w:rPr>
        <w:t xml:space="preserve">Una red complementaria de plazas gestionadas por </w:t>
      </w:r>
      <w:r w:rsidR="009B2B16">
        <w:rPr>
          <w:rFonts w:ascii="Arial" w:eastAsia="Arial" w:hAnsi="Arial" w:cs="Arial"/>
          <w:color w:val="000000"/>
          <w:sz w:val="22"/>
          <w:szCs w:val="24"/>
          <w:lang w:val="es-ES"/>
        </w:rPr>
        <w:t>organizaciones no gubernamentales</w:t>
      </w:r>
      <w:r w:rsidRPr="00C4779B">
        <w:rPr>
          <w:rFonts w:ascii="Arial" w:eastAsia="Arial" w:hAnsi="Arial" w:cs="Arial"/>
          <w:color w:val="000000"/>
          <w:sz w:val="22"/>
          <w:szCs w:val="24"/>
          <w:lang w:val="es-ES"/>
        </w:rPr>
        <w:t>, financiadas con subvenciones.</w:t>
      </w:r>
    </w:p>
    <w:p w14:paraId="48C361E2" w14:textId="77777777" w:rsidR="009B2B16" w:rsidRPr="00AE26AE" w:rsidRDefault="009B2B16" w:rsidP="00A8134E">
      <w:pPr>
        <w:ind w:left="720"/>
        <w:jc w:val="both"/>
        <w:rPr>
          <w:rFonts w:ascii="Arial" w:eastAsia="Arial" w:hAnsi="Arial" w:cs="Arial"/>
          <w:b/>
          <w:color w:val="000000"/>
          <w:sz w:val="22"/>
          <w:szCs w:val="24"/>
          <w:lang w:val="es-ES"/>
        </w:rPr>
      </w:pPr>
    </w:p>
    <w:p w14:paraId="38B9012F" w14:textId="1446171D" w:rsidR="003C5E26" w:rsidRDefault="00DC5072" w:rsidP="00AE26AE">
      <w:pPr>
        <w:autoSpaceDE w:val="0"/>
        <w:autoSpaceDN w:val="0"/>
        <w:adjustRightInd w:val="0"/>
        <w:jc w:val="both"/>
        <w:rPr>
          <w:rFonts w:ascii="Arial" w:hAnsi="Arial" w:cs="Arial"/>
          <w:sz w:val="22"/>
          <w:lang w:val="es-ES"/>
        </w:rPr>
      </w:pPr>
      <w:r w:rsidRPr="006C5EC8">
        <w:rPr>
          <w:rFonts w:ascii="Arial" w:hAnsi="Arial" w:cs="Arial"/>
          <w:sz w:val="22"/>
          <w:lang w:val="es-ES"/>
        </w:rPr>
        <w:t xml:space="preserve">En esta misma línea, </w:t>
      </w:r>
      <w:r w:rsidR="009B2B16">
        <w:rPr>
          <w:rFonts w:ascii="Arial" w:hAnsi="Arial" w:cs="Arial"/>
          <w:sz w:val="22"/>
          <w:lang w:val="es-ES"/>
        </w:rPr>
        <w:t xml:space="preserve">cabe mencionar </w:t>
      </w:r>
      <w:r w:rsidRPr="006C5EC8">
        <w:rPr>
          <w:rFonts w:ascii="Arial" w:hAnsi="Arial" w:cs="Arial"/>
          <w:sz w:val="22"/>
          <w:lang w:val="es-ES"/>
        </w:rPr>
        <w:t xml:space="preserve"> los </w:t>
      </w:r>
      <w:r w:rsidRPr="006C5EC8">
        <w:rPr>
          <w:rFonts w:ascii="Arial" w:hAnsi="Arial" w:cs="Arial"/>
          <w:sz w:val="22"/>
          <w:u w:val="single"/>
          <w:lang w:val="es-ES"/>
        </w:rPr>
        <w:t>programas de acogida integral</w:t>
      </w:r>
      <w:r w:rsidRPr="006C5EC8">
        <w:rPr>
          <w:rFonts w:ascii="Arial" w:hAnsi="Arial" w:cs="Arial"/>
          <w:sz w:val="22"/>
          <w:lang w:val="es-ES"/>
        </w:rPr>
        <w:t xml:space="preserve"> dirigidos a hacer frente a las necesidades básicas de alojamiento y manutención de aquellos </w:t>
      </w:r>
      <w:r w:rsidRPr="00A8134E">
        <w:rPr>
          <w:rFonts w:ascii="Arial" w:hAnsi="Arial" w:cs="Arial"/>
          <w:sz w:val="22"/>
          <w:u w:val="single"/>
          <w:lang w:val="es-ES"/>
        </w:rPr>
        <w:t>inmigrantes con riesgo de exclusión social</w:t>
      </w:r>
      <w:r w:rsidRPr="006C5EC8">
        <w:rPr>
          <w:rFonts w:ascii="Arial" w:hAnsi="Arial" w:cs="Arial"/>
          <w:sz w:val="22"/>
          <w:lang w:val="es-ES"/>
        </w:rPr>
        <w:t xml:space="preserve">, además de prestarles una serie de servicios entre los que se incluye el asesoramiento legal. </w:t>
      </w:r>
    </w:p>
    <w:p w14:paraId="43DE9891" w14:textId="77777777" w:rsidR="003C5E26" w:rsidRDefault="003C5E26" w:rsidP="00AE26AE">
      <w:pPr>
        <w:autoSpaceDE w:val="0"/>
        <w:autoSpaceDN w:val="0"/>
        <w:adjustRightInd w:val="0"/>
        <w:jc w:val="both"/>
        <w:rPr>
          <w:rFonts w:ascii="Arial" w:hAnsi="Arial" w:cs="Arial"/>
          <w:sz w:val="22"/>
          <w:lang w:val="es-ES"/>
        </w:rPr>
      </w:pPr>
    </w:p>
    <w:p w14:paraId="3ECBCB3B" w14:textId="2C6F4609" w:rsidR="00DC5072" w:rsidRDefault="00DC5072" w:rsidP="00AE26AE">
      <w:pPr>
        <w:autoSpaceDE w:val="0"/>
        <w:autoSpaceDN w:val="0"/>
        <w:adjustRightInd w:val="0"/>
        <w:jc w:val="both"/>
        <w:rPr>
          <w:rFonts w:ascii="Arial" w:hAnsi="Arial" w:cs="Arial"/>
          <w:sz w:val="22"/>
          <w:lang w:val="es-ES"/>
        </w:rPr>
      </w:pPr>
      <w:r w:rsidRPr="006C5EC8">
        <w:rPr>
          <w:rFonts w:ascii="Arial" w:hAnsi="Arial" w:cs="Arial"/>
          <w:sz w:val="22"/>
          <w:lang w:val="es-ES"/>
        </w:rPr>
        <w:t>Se ha continuado con los proyectos cofinanciados por el Fondo de Asilo, Migración e Integración (FAMI) dirigidos a proporcionar un conocimiento básico de la sociedad de acogida, a promover la integración de menores y jóvenes en el sistema educativo, al estudio y atención de necesidades específicas en materia de salud, a favorecer la participación de las mujeres en todos los ámbitos de la vida social así como el apoyo y la atención a víctimas de violencia de género y de trata y prostitución y a la promoción de la igualdad de trato y no discriminación en la sociedad española, favoreciendo el diálogo y la convivencia ciudadana en zonas con alto índice de residentes nacionales de terceros países.</w:t>
      </w:r>
    </w:p>
    <w:p w14:paraId="1895FE80" w14:textId="6DB2E3FF" w:rsidR="005621C6" w:rsidRDefault="005621C6" w:rsidP="00AE26AE">
      <w:pPr>
        <w:autoSpaceDE w:val="0"/>
        <w:autoSpaceDN w:val="0"/>
        <w:adjustRightInd w:val="0"/>
        <w:jc w:val="both"/>
        <w:rPr>
          <w:rFonts w:ascii="Arial" w:hAnsi="Arial" w:cs="Arial"/>
          <w:sz w:val="22"/>
          <w:lang w:val="es-ES"/>
        </w:rPr>
      </w:pPr>
    </w:p>
    <w:p w14:paraId="55BED2E8" w14:textId="40FB79C1" w:rsidR="003C5E26" w:rsidRDefault="00412F9D" w:rsidP="00AE26AE">
      <w:pPr>
        <w:pStyle w:val="SingleTxtG"/>
        <w:spacing w:after="0" w:line="240" w:lineRule="auto"/>
        <w:ind w:left="0" w:right="-153"/>
        <w:rPr>
          <w:rFonts w:ascii="Arial" w:hAnsi="Arial" w:cs="Arial"/>
          <w:sz w:val="22"/>
          <w:szCs w:val="22"/>
          <w:lang w:val="es-ES"/>
        </w:rPr>
      </w:pPr>
      <w:r w:rsidRPr="00412F9D">
        <w:rPr>
          <w:rFonts w:ascii="Arial" w:hAnsi="Arial" w:cs="Arial"/>
          <w:sz w:val="22"/>
          <w:szCs w:val="22"/>
          <w:lang w:val="es-ES"/>
        </w:rPr>
        <w:t xml:space="preserve">Por otro lado, desde 2015 se llevan a cabo </w:t>
      </w:r>
      <w:r w:rsidRPr="00412F9D">
        <w:rPr>
          <w:rFonts w:ascii="Arial" w:hAnsi="Arial" w:cs="Arial"/>
          <w:sz w:val="22"/>
          <w:szCs w:val="22"/>
          <w:u w:val="single"/>
          <w:lang w:val="es-ES"/>
        </w:rPr>
        <w:t>programas dirigidos a facilitar la integración de los inmigrantes y solicitantes de asilo</w:t>
      </w:r>
      <w:r w:rsidRPr="00412F9D">
        <w:rPr>
          <w:rFonts w:ascii="Arial" w:hAnsi="Arial" w:cs="Arial"/>
          <w:sz w:val="22"/>
          <w:szCs w:val="22"/>
          <w:lang w:val="es-ES"/>
        </w:rPr>
        <w:t xml:space="preserve"> en distintos ámbitos de actuación, con especial atención a su integración laboral, a la lucha contra la discriminación, a la igualdad de trato y a la atención humanitaria. </w:t>
      </w:r>
      <w:r w:rsidR="00AE26AE" w:rsidRPr="006C5EC8">
        <w:rPr>
          <w:rFonts w:ascii="Arial" w:hAnsi="Arial" w:cs="Arial"/>
          <w:sz w:val="22"/>
          <w:szCs w:val="22"/>
          <w:lang w:val="es-ES"/>
        </w:rPr>
        <w:t xml:space="preserve">Respecto a la mejora de la </w:t>
      </w:r>
      <w:r w:rsidR="00AE26AE" w:rsidRPr="006C5EC8">
        <w:rPr>
          <w:rFonts w:ascii="Arial" w:hAnsi="Arial" w:cs="Arial"/>
          <w:sz w:val="22"/>
          <w:szCs w:val="22"/>
          <w:u w:val="single"/>
          <w:lang w:val="es-ES"/>
        </w:rPr>
        <w:t xml:space="preserve">integración de los inmigrantes y solicitantes de asilo en el mercado laboral español </w:t>
      </w:r>
      <w:r w:rsidR="00AE26AE" w:rsidRPr="006C5EC8">
        <w:rPr>
          <w:rFonts w:ascii="Arial" w:hAnsi="Arial" w:cs="Arial"/>
          <w:sz w:val="22"/>
          <w:szCs w:val="22"/>
          <w:lang w:val="es-ES"/>
        </w:rPr>
        <w:t xml:space="preserve">y la lucha contra la discriminación en el ámbito laboral, anualmente se publican convocatorias de subvenciones dirigidas a entidades sociales sin ánimo de lucro con el apoyo de la cofinanciación del Fondo Social Europeo. </w:t>
      </w:r>
    </w:p>
    <w:p w14:paraId="70B9E765" w14:textId="77777777" w:rsidR="003C5E26" w:rsidRDefault="003C5E26" w:rsidP="00AE26AE">
      <w:pPr>
        <w:pStyle w:val="SingleTxtG"/>
        <w:spacing w:after="0" w:line="240" w:lineRule="auto"/>
        <w:ind w:left="0" w:right="-153"/>
        <w:rPr>
          <w:rFonts w:ascii="Arial" w:hAnsi="Arial" w:cs="Arial"/>
          <w:sz w:val="22"/>
          <w:szCs w:val="22"/>
          <w:lang w:val="es-ES"/>
        </w:rPr>
      </w:pPr>
    </w:p>
    <w:p w14:paraId="064F415B" w14:textId="14ADF5C3" w:rsidR="00AE26AE" w:rsidRDefault="00AE26AE" w:rsidP="00AE26AE">
      <w:pPr>
        <w:pStyle w:val="SingleTxtG"/>
        <w:spacing w:after="0" w:line="240" w:lineRule="auto"/>
        <w:ind w:left="0" w:right="-153"/>
        <w:rPr>
          <w:rFonts w:ascii="Arial" w:hAnsi="Arial" w:cs="Arial"/>
          <w:sz w:val="22"/>
          <w:szCs w:val="22"/>
          <w:lang w:val="es-ES"/>
        </w:rPr>
      </w:pPr>
      <w:r w:rsidRPr="006C5EC8">
        <w:rPr>
          <w:rFonts w:ascii="Arial" w:hAnsi="Arial" w:cs="Arial"/>
          <w:sz w:val="22"/>
          <w:szCs w:val="22"/>
          <w:lang w:val="es-ES"/>
        </w:rPr>
        <w:t xml:space="preserve">Destacan a su vez los </w:t>
      </w:r>
      <w:r w:rsidRPr="00074B20">
        <w:rPr>
          <w:rFonts w:ascii="Arial" w:hAnsi="Arial" w:cs="Arial"/>
          <w:sz w:val="22"/>
          <w:szCs w:val="22"/>
          <w:u w:val="single"/>
          <w:lang w:val="es-ES"/>
        </w:rPr>
        <w:t>Programas de Atención Humanitaria y de atención a inmigrantes recién llegados a las costas españolas</w:t>
      </w:r>
      <w:r w:rsidRPr="006C5EC8">
        <w:rPr>
          <w:rFonts w:ascii="Arial" w:hAnsi="Arial" w:cs="Arial"/>
          <w:sz w:val="22"/>
          <w:szCs w:val="22"/>
          <w:lang w:val="es-ES"/>
        </w:rPr>
        <w:t xml:space="preserve"> y los </w:t>
      </w:r>
      <w:r w:rsidRPr="00074B20">
        <w:rPr>
          <w:rFonts w:ascii="Arial" w:hAnsi="Arial" w:cs="Arial"/>
          <w:sz w:val="22"/>
          <w:szCs w:val="22"/>
          <w:u w:val="single"/>
          <w:lang w:val="es-ES"/>
        </w:rPr>
        <w:t>Convenios para la atención de Menores Extranjeros no Acompañados</w:t>
      </w:r>
      <w:r w:rsidRPr="006C5EC8">
        <w:rPr>
          <w:rFonts w:ascii="Arial" w:hAnsi="Arial" w:cs="Arial"/>
          <w:sz w:val="22"/>
          <w:szCs w:val="22"/>
          <w:lang w:val="es-ES"/>
        </w:rPr>
        <w:t>.</w:t>
      </w:r>
    </w:p>
    <w:p w14:paraId="10E38E5C" w14:textId="0A7AB9AF" w:rsidR="00C70126" w:rsidRPr="006C5EC8" w:rsidRDefault="00C70126" w:rsidP="006C5EC8">
      <w:pPr>
        <w:pStyle w:val="Default"/>
        <w:tabs>
          <w:tab w:val="left" w:pos="720"/>
        </w:tabs>
        <w:jc w:val="both"/>
        <w:rPr>
          <w:sz w:val="22"/>
          <w:szCs w:val="22"/>
        </w:rPr>
      </w:pPr>
    </w:p>
    <w:p w14:paraId="6A0728BE" w14:textId="21321683" w:rsidR="003C5E26" w:rsidRDefault="003C5E26" w:rsidP="006C5EC8">
      <w:pPr>
        <w:pStyle w:val="Default"/>
        <w:tabs>
          <w:tab w:val="left" w:pos="720"/>
        </w:tabs>
        <w:jc w:val="both"/>
        <w:rPr>
          <w:sz w:val="22"/>
          <w:szCs w:val="22"/>
        </w:rPr>
      </w:pPr>
      <w:r>
        <w:rPr>
          <w:sz w:val="22"/>
          <w:szCs w:val="22"/>
        </w:rPr>
        <w:t>Cabe referirse igualmente a</w:t>
      </w:r>
      <w:r w:rsidR="00C70126" w:rsidRPr="006C5EC8">
        <w:rPr>
          <w:sz w:val="22"/>
          <w:szCs w:val="22"/>
        </w:rPr>
        <w:t xml:space="preserve"> las medidas que se están adoptando en nuestro país para impedir y perseguir la </w:t>
      </w:r>
      <w:r w:rsidR="00C70126" w:rsidRPr="00074B20">
        <w:rPr>
          <w:sz w:val="22"/>
          <w:szCs w:val="22"/>
          <w:u w:val="single"/>
        </w:rPr>
        <w:t>trata de seres humanos</w:t>
      </w:r>
      <w:r w:rsidR="00C70126" w:rsidRPr="006C5EC8">
        <w:rPr>
          <w:sz w:val="22"/>
          <w:szCs w:val="22"/>
        </w:rPr>
        <w:t xml:space="preserve">, medidas que también </w:t>
      </w:r>
      <w:r>
        <w:rPr>
          <w:sz w:val="22"/>
          <w:szCs w:val="22"/>
        </w:rPr>
        <w:t xml:space="preserve">contemplan proporcionar </w:t>
      </w:r>
      <w:r w:rsidR="00C70126" w:rsidRPr="006C5EC8">
        <w:rPr>
          <w:sz w:val="22"/>
          <w:szCs w:val="22"/>
        </w:rPr>
        <w:t xml:space="preserve"> amparo para las víctimas de dicho delito que pudieren hallarse en situación irregular, dotándoles de defensa jurídica gratuita y especializada, con independencia de la existencia de recursos para litigar</w:t>
      </w:r>
    </w:p>
    <w:p w14:paraId="690E598E" w14:textId="19967250" w:rsidR="00C70126" w:rsidRPr="006C5EC8" w:rsidRDefault="003C5E26" w:rsidP="006C5EC8">
      <w:pPr>
        <w:pStyle w:val="Default"/>
        <w:tabs>
          <w:tab w:val="left" w:pos="720"/>
        </w:tabs>
        <w:jc w:val="both"/>
        <w:rPr>
          <w:sz w:val="22"/>
          <w:szCs w:val="22"/>
        </w:rPr>
      </w:pPr>
      <w:r>
        <w:rPr>
          <w:sz w:val="22"/>
          <w:szCs w:val="22"/>
        </w:rPr>
        <w:t>U</w:t>
      </w:r>
      <w:r w:rsidR="00C70126" w:rsidRPr="006C5EC8">
        <w:rPr>
          <w:sz w:val="22"/>
          <w:szCs w:val="22"/>
        </w:rPr>
        <w:t xml:space="preserve">na </w:t>
      </w:r>
      <w:r w:rsidR="00C70126" w:rsidRPr="00490419">
        <w:rPr>
          <w:sz w:val="22"/>
          <w:szCs w:val="22"/>
        </w:rPr>
        <w:t>persona extranjera víctima de trata</w:t>
      </w:r>
      <w:r w:rsidR="00C70126" w:rsidRPr="006C5EC8">
        <w:rPr>
          <w:sz w:val="22"/>
          <w:szCs w:val="22"/>
        </w:rPr>
        <w:t xml:space="preserve"> tendrá derecho  a un período de restablecimiento y reflexión de, al menos, noventa días, para decidir si desean colaborar con las autoridades policiales y judiciales en la investigaci</w:t>
      </w:r>
      <w:r w:rsidR="00DC5072" w:rsidRPr="006C5EC8">
        <w:rPr>
          <w:sz w:val="22"/>
          <w:szCs w:val="22"/>
        </w:rPr>
        <w:t xml:space="preserve">ón del delito, </w:t>
      </w:r>
      <w:r w:rsidR="00C70126" w:rsidRPr="006C5EC8">
        <w:rPr>
          <w:sz w:val="22"/>
          <w:szCs w:val="22"/>
        </w:rPr>
        <w:t>durante el cual:</w:t>
      </w:r>
    </w:p>
    <w:p w14:paraId="078F29A7" w14:textId="10DC4BBF" w:rsidR="00C70126" w:rsidRPr="00DD1C74" w:rsidRDefault="00C70126" w:rsidP="00DD1C74">
      <w:pPr>
        <w:pStyle w:val="Default"/>
        <w:numPr>
          <w:ilvl w:val="0"/>
          <w:numId w:val="6"/>
        </w:numPr>
        <w:tabs>
          <w:tab w:val="left" w:pos="720"/>
        </w:tabs>
        <w:ind w:left="360"/>
        <w:jc w:val="both"/>
        <w:rPr>
          <w:sz w:val="22"/>
          <w:szCs w:val="22"/>
        </w:rPr>
      </w:pPr>
      <w:r w:rsidRPr="006C5EC8">
        <w:rPr>
          <w:sz w:val="22"/>
          <w:szCs w:val="22"/>
        </w:rPr>
        <w:t>Se autorizará su estancia temporal en España</w:t>
      </w:r>
      <w:r w:rsidR="00490419">
        <w:rPr>
          <w:sz w:val="22"/>
          <w:szCs w:val="22"/>
        </w:rPr>
        <w:t xml:space="preserve">. </w:t>
      </w:r>
    </w:p>
    <w:p w14:paraId="1A3DB10E" w14:textId="77777777" w:rsidR="00C70126" w:rsidRPr="006C5EC8" w:rsidRDefault="00C70126" w:rsidP="00DD1C74">
      <w:pPr>
        <w:pStyle w:val="Default"/>
        <w:numPr>
          <w:ilvl w:val="0"/>
          <w:numId w:val="6"/>
        </w:numPr>
        <w:tabs>
          <w:tab w:val="left" w:pos="720"/>
        </w:tabs>
        <w:ind w:left="357" w:hanging="357"/>
        <w:jc w:val="both"/>
        <w:rPr>
          <w:sz w:val="22"/>
          <w:szCs w:val="22"/>
        </w:rPr>
      </w:pPr>
      <w:r w:rsidRPr="006C5EC8">
        <w:rPr>
          <w:sz w:val="22"/>
          <w:szCs w:val="22"/>
        </w:rPr>
        <w:t xml:space="preserve">Las administraciones competentes velarán por la subsistencia y, de resultar necesario, la seguridad y protección de la víctima y de sus hijos menores de edad o con discapacidad, que se encuentren en España en el momento de la identificación, a quienes se harán extensivas las previsiones sobre el retorno asistido o la autorización de residencia, y en su caso trabajo, si fueren mayores de 16 años, por circunstancias excepcionales. </w:t>
      </w:r>
    </w:p>
    <w:p w14:paraId="4BBE2134" w14:textId="72BB1D5C" w:rsidR="00C70126" w:rsidRDefault="00C70126" w:rsidP="00DD1C74">
      <w:pPr>
        <w:pStyle w:val="Default"/>
        <w:numPr>
          <w:ilvl w:val="0"/>
          <w:numId w:val="6"/>
        </w:numPr>
        <w:tabs>
          <w:tab w:val="left" w:pos="720"/>
        </w:tabs>
        <w:ind w:left="357" w:hanging="357"/>
        <w:jc w:val="both"/>
        <w:rPr>
          <w:sz w:val="22"/>
          <w:szCs w:val="22"/>
        </w:rPr>
      </w:pPr>
      <w:r w:rsidRPr="006C5EC8">
        <w:rPr>
          <w:sz w:val="22"/>
          <w:szCs w:val="22"/>
        </w:rPr>
        <w:t>Podrá quedar exenta de responsabilidad administrativa y no será expulsada si denuncia a los autores o cooperadores de dicho tráfico, o coopera y colabora con las autoridades competentes, proporcionando datos esenciales o testificando, en su caso, en el proceso penal correspondiente contra aquellos autores. En tal caso se le podrá facilitar, a su elección: el retorno asistido a su país de procedencia o la autorización de residencia y trabajo por circunstancias excepcionales, y facilidades para su integración social, velando en su caso, por su seguridad y protección.</w:t>
      </w:r>
    </w:p>
    <w:p w14:paraId="0F624032" w14:textId="10B35BE5" w:rsidR="00785471" w:rsidRPr="00785471" w:rsidRDefault="00785471" w:rsidP="00785471">
      <w:pPr>
        <w:pStyle w:val="Default"/>
        <w:tabs>
          <w:tab w:val="left" w:pos="720"/>
        </w:tabs>
        <w:jc w:val="both"/>
        <w:rPr>
          <w:b/>
          <w:sz w:val="22"/>
          <w:szCs w:val="22"/>
        </w:rPr>
      </w:pPr>
    </w:p>
    <w:p w14:paraId="025020FD" w14:textId="497D7518" w:rsidR="00630BD4" w:rsidRPr="00630BD4" w:rsidRDefault="00630BD4" w:rsidP="00630BD4">
      <w:pPr>
        <w:jc w:val="both"/>
        <w:rPr>
          <w:rFonts w:ascii="Arial" w:eastAsia="Arial" w:hAnsi="Arial" w:cs="Arial"/>
          <w:color w:val="000000"/>
          <w:sz w:val="22"/>
          <w:szCs w:val="24"/>
          <w:lang w:val="es-ES"/>
        </w:rPr>
      </w:pPr>
      <w:r w:rsidRPr="00630BD4">
        <w:rPr>
          <w:rFonts w:ascii="Arial" w:eastAsia="Arial" w:hAnsi="Arial" w:cs="Arial"/>
          <w:color w:val="000000"/>
          <w:sz w:val="22"/>
          <w:szCs w:val="24"/>
          <w:lang w:val="es-ES"/>
        </w:rPr>
        <w:t xml:space="preserve">Toda actuación pública vinculada con los </w:t>
      </w:r>
      <w:r w:rsidRPr="00074B20">
        <w:rPr>
          <w:rFonts w:ascii="Arial" w:eastAsia="Arial" w:hAnsi="Arial" w:cs="Arial"/>
          <w:color w:val="000000"/>
          <w:sz w:val="22"/>
          <w:szCs w:val="24"/>
          <w:u w:val="single"/>
          <w:lang w:val="es-ES"/>
        </w:rPr>
        <w:t>menores</w:t>
      </w:r>
      <w:r w:rsidRPr="00630BD4">
        <w:rPr>
          <w:rFonts w:ascii="Arial" w:eastAsia="Arial" w:hAnsi="Arial" w:cs="Arial"/>
          <w:color w:val="000000"/>
          <w:sz w:val="22"/>
          <w:szCs w:val="24"/>
          <w:lang w:val="es-ES"/>
        </w:rPr>
        <w:t xml:space="preserve"> en España, independientemente de su nacionalidad o situación administrativa, está presidida por el interés superior del menor, tal y como establece el artículo 2 de la Ley Orgánica 1/1996, de 15 de enero, de Protección Jurídica del Menor. Además, el artículo 10 de la citada ley orgánica garantiza a los menores extranjeros que se encuentren en España el disfrute de derechos en las mismas condiciones que los menores españoles.</w:t>
      </w:r>
    </w:p>
    <w:p w14:paraId="7F0EE254" w14:textId="77777777" w:rsidR="00074B20" w:rsidRPr="006C5EC8" w:rsidRDefault="00074B20" w:rsidP="006C5EC8">
      <w:pPr>
        <w:pStyle w:val="Default"/>
        <w:tabs>
          <w:tab w:val="left" w:pos="720"/>
        </w:tabs>
        <w:jc w:val="both"/>
        <w:rPr>
          <w:sz w:val="22"/>
          <w:szCs w:val="22"/>
        </w:rPr>
      </w:pPr>
    </w:p>
    <w:p w14:paraId="74CCCAB6" w14:textId="3BAC2EEB" w:rsidR="00C70126" w:rsidRPr="006C5EC8" w:rsidRDefault="00490419" w:rsidP="006C5EC8">
      <w:pPr>
        <w:pStyle w:val="Default"/>
        <w:tabs>
          <w:tab w:val="left" w:pos="720"/>
        </w:tabs>
        <w:jc w:val="both"/>
        <w:rPr>
          <w:sz w:val="22"/>
          <w:szCs w:val="22"/>
        </w:rPr>
      </w:pPr>
      <w:r>
        <w:rPr>
          <w:sz w:val="22"/>
          <w:szCs w:val="22"/>
        </w:rPr>
        <w:t xml:space="preserve">En </w:t>
      </w:r>
      <w:r w:rsidR="00C70126" w:rsidRPr="006C5EC8">
        <w:rPr>
          <w:sz w:val="22"/>
          <w:szCs w:val="22"/>
        </w:rPr>
        <w:t>2014</w:t>
      </w:r>
      <w:r>
        <w:rPr>
          <w:sz w:val="22"/>
          <w:szCs w:val="22"/>
        </w:rPr>
        <w:t xml:space="preserve"> se firmó</w:t>
      </w:r>
      <w:r w:rsidR="00C70126" w:rsidRPr="006C5EC8">
        <w:rPr>
          <w:sz w:val="22"/>
          <w:szCs w:val="22"/>
        </w:rPr>
        <w:t xml:space="preserve"> el Acuerdo entre el Ministerio de Justicia, el Ministerio del Interior, el Ministerio de Empleo y Seguridad Social, el Ministerio de Sanidad, Servicios Sociales e Igualdad, la Fiscalía General del Estado y el Ministerio de Asuntos Exteriores y de Cooperación que aprueba  el </w:t>
      </w:r>
      <w:r w:rsidR="00C70126" w:rsidRPr="00074B20">
        <w:rPr>
          <w:sz w:val="22"/>
          <w:szCs w:val="22"/>
          <w:u w:val="single"/>
        </w:rPr>
        <w:t>Protocolo Marco sobre determinadas actuaciones en relación con los menores extranjeros no acompañados</w:t>
      </w:r>
      <w:r w:rsidR="00C70126" w:rsidRPr="006C5EC8">
        <w:rPr>
          <w:sz w:val="22"/>
          <w:szCs w:val="22"/>
        </w:rPr>
        <w:t>.</w:t>
      </w:r>
    </w:p>
    <w:p w14:paraId="3F52059C" w14:textId="77777777" w:rsidR="00C70126" w:rsidRPr="006C5EC8" w:rsidRDefault="00C70126" w:rsidP="006C5EC8">
      <w:pPr>
        <w:pStyle w:val="Default"/>
        <w:tabs>
          <w:tab w:val="left" w:pos="720"/>
        </w:tabs>
        <w:jc w:val="both"/>
        <w:rPr>
          <w:sz w:val="22"/>
          <w:szCs w:val="22"/>
        </w:rPr>
      </w:pPr>
    </w:p>
    <w:p w14:paraId="48ADFA81" w14:textId="5790CEA0" w:rsidR="00C70126" w:rsidRPr="006C5EC8" w:rsidRDefault="00C70126" w:rsidP="006C5EC8">
      <w:pPr>
        <w:pStyle w:val="Default"/>
        <w:tabs>
          <w:tab w:val="left" w:pos="720"/>
        </w:tabs>
        <w:jc w:val="both"/>
        <w:rPr>
          <w:sz w:val="22"/>
          <w:szCs w:val="22"/>
        </w:rPr>
      </w:pPr>
      <w:r w:rsidRPr="006C5EC8">
        <w:rPr>
          <w:sz w:val="22"/>
          <w:szCs w:val="22"/>
        </w:rPr>
        <w:t xml:space="preserve">En relación </w:t>
      </w:r>
      <w:r w:rsidRPr="00553875">
        <w:rPr>
          <w:sz w:val="22"/>
          <w:szCs w:val="22"/>
          <w:u w:val="single"/>
        </w:rPr>
        <w:t>al rescate de migrantes en peligro en fronteras terrestres, marítimas y aéreas</w:t>
      </w:r>
      <w:r w:rsidRPr="006C5EC8">
        <w:rPr>
          <w:sz w:val="22"/>
          <w:szCs w:val="22"/>
        </w:rPr>
        <w:t>, la provisión de asistencia inmediata y la remisión a servicios adecuados, los miembros de las</w:t>
      </w:r>
      <w:r w:rsidR="00C265ED">
        <w:rPr>
          <w:sz w:val="22"/>
          <w:szCs w:val="22"/>
        </w:rPr>
        <w:t xml:space="preserve"> Fuerzas y Cuerpos de Seguridad del Estado</w:t>
      </w:r>
      <w:r w:rsidRPr="006C5EC8">
        <w:rPr>
          <w:sz w:val="22"/>
          <w:szCs w:val="22"/>
        </w:rPr>
        <w:t xml:space="preserve"> que prestan sus servicios en los puestos fronterizos, habilitados como frontera exterior, además de la custodia y seguridad, no dejan al margen su colaboración a nivel asistencial, velando por la integridad física y salud de los migrantes, como primera premisa, requiriendo la presencia de los servicios médicos cuando ello fuere preciso, así como su orientación para recibir apoyo de tipo legal o administrativo, asistencia consular y letrada, en la tramitación de los procedimientos que proceda</w:t>
      </w:r>
      <w:r w:rsidR="006C5EC8">
        <w:rPr>
          <w:sz w:val="22"/>
          <w:szCs w:val="22"/>
        </w:rPr>
        <w:t xml:space="preserve">n. A tales efectos, se está en </w:t>
      </w:r>
      <w:r w:rsidRPr="006C5EC8">
        <w:rPr>
          <w:sz w:val="22"/>
          <w:szCs w:val="22"/>
        </w:rPr>
        <w:t xml:space="preserve">contacto permanente con instituciones oficiales y </w:t>
      </w:r>
      <w:r w:rsidR="00C265ED">
        <w:rPr>
          <w:sz w:val="22"/>
          <w:szCs w:val="22"/>
        </w:rPr>
        <w:t>organizaciones no gubernamentales</w:t>
      </w:r>
      <w:r w:rsidRPr="006C5EC8">
        <w:rPr>
          <w:sz w:val="22"/>
          <w:szCs w:val="22"/>
        </w:rPr>
        <w:t>, para requerir su apoyo si fuera preciso.</w:t>
      </w:r>
    </w:p>
    <w:p w14:paraId="0368595D" w14:textId="77777777" w:rsidR="00B7195E" w:rsidRDefault="00B7195E" w:rsidP="00371D68">
      <w:pPr>
        <w:jc w:val="both"/>
        <w:rPr>
          <w:rFonts w:ascii="Arial" w:hAnsi="Arial" w:cs="Arial"/>
          <w:b/>
          <w:sz w:val="22"/>
        </w:rPr>
      </w:pPr>
    </w:p>
    <w:p w14:paraId="40B269C2" w14:textId="77777777" w:rsidR="00371D68" w:rsidRPr="00371D68" w:rsidRDefault="00371D68" w:rsidP="00371D68">
      <w:pPr>
        <w:jc w:val="both"/>
        <w:rPr>
          <w:rFonts w:ascii="Arial" w:hAnsi="Arial" w:cs="Arial"/>
          <w:b/>
          <w:sz w:val="22"/>
        </w:rPr>
      </w:pPr>
      <w:r w:rsidRPr="00E11E5A">
        <w:rPr>
          <w:rFonts w:ascii="Arial" w:hAnsi="Arial" w:cs="Arial"/>
          <w:b/>
          <w:sz w:val="22"/>
        </w:rPr>
        <w:t>Avances en la protección de los derechos humanos de los migrantes mediante la aplicación del Pacto Mundial para la Migración Segura, Ordenada y Regular.</w:t>
      </w:r>
    </w:p>
    <w:p w14:paraId="178FFF56" w14:textId="77777777" w:rsidR="00371D68" w:rsidRPr="003B7251" w:rsidRDefault="00371D68" w:rsidP="00371D68">
      <w:pPr>
        <w:jc w:val="both"/>
        <w:rPr>
          <w:rFonts w:ascii="Arial" w:hAnsi="Arial" w:cs="Arial"/>
          <w:sz w:val="22"/>
        </w:rPr>
      </w:pPr>
    </w:p>
    <w:p w14:paraId="5126ACB6" w14:textId="6DE824D5" w:rsidR="00371D68" w:rsidRDefault="00C265ED" w:rsidP="00371D68">
      <w:pPr>
        <w:jc w:val="both"/>
        <w:rPr>
          <w:rFonts w:ascii="Arial" w:hAnsi="Arial" w:cs="Arial"/>
          <w:sz w:val="22"/>
          <w:lang w:val="es-ES"/>
        </w:rPr>
      </w:pPr>
      <w:r>
        <w:rPr>
          <w:rFonts w:ascii="Arial" w:hAnsi="Arial" w:cs="Arial"/>
          <w:sz w:val="22"/>
          <w:lang w:val="es-ES"/>
        </w:rPr>
        <w:t>L</w:t>
      </w:r>
      <w:r w:rsidR="00371D68" w:rsidRPr="00C70126">
        <w:rPr>
          <w:rFonts w:ascii="Arial" w:hAnsi="Arial" w:cs="Arial"/>
          <w:sz w:val="22"/>
          <w:lang w:val="es-ES"/>
        </w:rPr>
        <w:t>os</w:t>
      </w:r>
      <w:r>
        <w:rPr>
          <w:rFonts w:ascii="Arial" w:hAnsi="Arial" w:cs="Arial"/>
          <w:sz w:val="22"/>
          <w:lang w:val="es-ES"/>
        </w:rPr>
        <w:t xml:space="preserve"> ejes en los</w:t>
      </w:r>
      <w:r w:rsidR="00371D68" w:rsidRPr="00C70126">
        <w:rPr>
          <w:rFonts w:ascii="Arial" w:hAnsi="Arial" w:cs="Arial"/>
          <w:sz w:val="22"/>
          <w:lang w:val="es-ES"/>
        </w:rPr>
        <w:t xml:space="preserve"> que se basa </w:t>
      </w:r>
      <w:r>
        <w:rPr>
          <w:rFonts w:ascii="Arial" w:hAnsi="Arial" w:cs="Arial"/>
          <w:sz w:val="22"/>
          <w:lang w:val="es-ES"/>
        </w:rPr>
        <w:t xml:space="preserve">la </w:t>
      </w:r>
      <w:r w:rsidR="00371D68" w:rsidRPr="00C70126">
        <w:rPr>
          <w:rFonts w:ascii="Arial" w:hAnsi="Arial" w:cs="Arial"/>
          <w:sz w:val="22"/>
          <w:lang w:val="es-ES"/>
        </w:rPr>
        <w:t xml:space="preserve"> política exterior</w:t>
      </w:r>
      <w:r>
        <w:rPr>
          <w:rFonts w:ascii="Arial" w:hAnsi="Arial" w:cs="Arial"/>
          <w:sz w:val="22"/>
          <w:lang w:val="es-ES"/>
        </w:rPr>
        <w:t xml:space="preserve"> de España</w:t>
      </w:r>
      <w:r w:rsidR="00371D68" w:rsidRPr="00C70126">
        <w:rPr>
          <w:rFonts w:ascii="Arial" w:hAnsi="Arial" w:cs="Arial"/>
          <w:sz w:val="22"/>
          <w:lang w:val="es-ES"/>
        </w:rPr>
        <w:t>, y por ende su política migratoria,  se articulan en</w:t>
      </w:r>
      <w:r>
        <w:rPr>
          <w:rFonts w:ascii="Arial" w:hAnsi="Arial" w:cs="Arial"/>
          <w:sz w:val="22"/>
          <w:lang w:val="es-ES"/>
        </w:rPr>
        <w:t xml:space="preserve"> torno a los siguientes principios</w:t>
      </w:r>
      <w:r w:rsidR="00371D68" w:rsidRPr="00C70126">
        <w:rPr>
          <w:rFonts w:ascii="Arial" w:hAnsi="Arial" w:cs="Arial"/>
          <w:sz w:val="22"/>
          <w:lang w:val="es-ES"/>
        </w:rPr>
        <w:t xml:space="preserve">: </w:t>
      </w:r>
    </w:p>
    <w:p w14:paraId="5C2B3693" w14:textId="77777777" w:rsidR="00C265ED" w:rsidRPr="00C70126" w:rsidRDefault="00C265ED" w:rsidP="00371D68">
      <w:pPr>
        <w:jc w:val="both"/>
        <w:rPr>
          <w:rFonts w:ascii="Arial" w:hAnsi="Arial" w:cs="Arial"/>
          <w:sz w:val="22"/>
          <w:lang w:val="es-ES"/>
        </w:rPr>
      </w:pPr>
    </w:p>
    <w:p w14:paraId="07C02046" w14:textId="2EF635BF" w:rsidR="00371D68" w:rsidRPr="00B7195E" w:rsidRDefault="00371D68" w:rsidP="00B7195E">
      <w:pPr>
        <w:pStyle w:val="ListParagraph"/>
        <w:numPr>
          <w:ilvl w:val="0"/>
          <w:numId w:val="1"/>
        </w:numPr>
        <w:ind w:left="360"/>
        <w:jc w:val="both"/>
        <w:rPr>
          <w:rFonts w:ascii="Arial" w:hAnsi="Arial" w:cs="Arial"/>
        </w:rPr>
      </w:pPr>
      <w:r w:rsidRPr="00C70126">
        <w:rPr>
          <w:rFonts w:ascii="Arial" w:hAnsi="Arial" w:cs="Arial"/>
          <w:u w:val="single"/>
        </w:rPr>
        <w:t>Principio humanitario:</w:t>
      </w:r>
      <w:r w:rsidRPr="00C70126">
        <w:rPr>
          <w:rFonts w:ascii="Arial" w:hAnsi="Arial" w:cs="Arial"/>
        </w:rPr>
        <w:t xml:space="preserve"> una política exterior basada en la defensa de la democracia y la promoción de los derechos humanos. </w:t>
      </w:r>
      <w:r w:rsidR="00C265ED">
        <w:rPr>
          <w:rFonts w:ascii="Arial" w:hAnsi="Arial" w:cs="Arial"/>
        </w:rPr>
        <w:t>E</w:t>
      </w:r>
      <w:r w:rsidRPr="00C70126">
        <w:rPr>
          <w:rFonts w:ascii="Arial" w:hAnsi="Arial" w:cs="Arial"/>
        </w:rPr>
        <w:t xml:space="preserve">n todos los ámbitos de la acción exterior, incluida la migratoria, los derechos humanos han sido y seguirán siendo el referente. </w:t>
      </w:r>
    </w:p>
    <w:p w14:paraId="2E976416" w14:textId="4D375B27" w:rsidR="00371D68" w:rsidRPr="00DD1C74" w:rsidRDefault="00371D68" w:rsidP="00DD1C74">
      <w:pPr>
        <w:pStyle w:val="ListParagraph"/>
        <w:numPr>
          <w:ilvl w:val="0"/>
          <w:numId w:val="1"/>
        </w:numPr>
        <w:ind w:left="360"/>
        <w:jc w:val="both"/>
        <w:rPr>
          <w:rFonts w:ascii="Arial" w:hAnsi="Arial" w:cs="Arial"/>
        </w:rPr>
      </w:pPr>
      <w:r w:rsidRPr="00C70126">
        <w:rPr>
          <w:rFonts w:ascii="Arial" w:hAnsi="Arial" w:cs="Arial"/>
          <w:u w:val="single"/>
        </w:rPr>
        <w:t>Principio de promoción de la integración regional y el multilateralismo</w:t>
      </w:r>
      <w:r w:rsidRPr="00287624">
        <w:rPr>
          <w:rFonts w:ascii="Arial" w:hAnsi="Arial" w:cs="Arial"/>
        </w:rPr>
        <w:t xml:space="preserve">. </w:t>
      </w:r>
      <w:r w:rsidRPr="00C70126">
        <w:rPr>
          <w:rFonts w:ascii="Arial" w:hAnsi="Arial" w:cs="Arial"/>
        </w:rPr>
        <w:t>España reafirma su compromiso con unas Naciones Unidas fuertes y eficaces y adaptadas al siglo XXI y el multilateralismo eficaz, compartiendo la lógica de que los fenómenos migratorios deben ser abordados conjuntamente por la comunidad internacional. En el ámbito europeo, España viene defendiendo la adopción de una Nuevo Pacto de Migración y Asilo que sea justo y solidario, y que abra vías legales y segu</w:t>
      </w:r>
      <w:r>
        <w:rPr>
          <w:rFonts w:ascii="Arial" w:hAnsi="Arial" w:cs="Arial"/>
        </w:rPr>
        <w:t xml:space="preserve">ras para la inserción social y </w:t>
      </w:r>
      <w:r w:rsidRPr="00C70126">
        <w:rPr>
          <w:rFonts w:ascii="Arial" w:hAnsi="Arial" w:cs="Arial"/>
        </w:rPr>
        <w:t xml:space="preserve">laboral en países de destino.  </w:t>
      </w:r>
    </w:p>
    <w:p w14:paraId="4B5670C2" w14:textId="4B499498" w:rsidR="00371D68" w:rsidRPr="00B7195E" w:rsidRDefault="00371D68" w:rsidP="00B7195E">
      <w:pPr>
        <w:pStyle w:val="ListParagraph"/>
        <w:numPr>
          <w:ilvl w:val="0"/>
          <w:numId w:val="1"/>
        </w:numPr>
        <w:ind w:left="360"/>
        <w:jc w:val="both"/>
        <w:rPr>
          <w:rFonts w:ascii="Arial" w:hAnsi="Arial" w:cs="Arial"/>
        </w:rPr>
      </w:pPr>
      <w:r w:rsidRPr="00C70126">
        <w:rPr>
          <w:rFonts w:ascii="Arial" w:hAnsi="Arial" w:cs="Arial"/>
          <w:u w:val="single"/>
        </w:rPr>
        <w:t>Principio de Desarrollo Sostenible</w:t>
      </w:r>
      <w:r w:rsidRPr="00C70126">
        <w:rPr>
          <w:rFonts w:ascii="Arial" w:hAnsi="Arial" w:cs="Arial"/>
        </w:rPr>
        <w:t xml:space="preserve">: España ha reafirmado y es un firme impulsor de la Agenda 2030 para el Desarrollo sostenible, en la que se incluye ODS 10 “Reducir la desigualdad en </w:t>
      </w:r>
      <w:r>
        <w:rPr>
          <w:rFonts w:ascii="Arial" w:hAnsi="Arial" w:cs="Arial"/>
        </w:rPr>
        <w:t xml:space="preserve">los países y entre ellos” y la </w:t>
      </w:r>
      <w:r w:rsidRPr="00C70126">
        <w:rPr>
          <w:rFonts w:ascii="Arial" w:hAnsi="Arial" w:cs="Arial"/>
        </w:rPr>
        <w:t>meta 10.7 “Facilitar la migración y movilidad ordenadas, seguras, regulares y responsables de las personas, incluso mediante la aplicación de políticas migratorias planificadas y bien gestionadas”. La política migratoria española presta especial atención al desarrollo sostenible de los países de origen y tránsito.</w:t>
      </w:r>
    </w:p>
    <w:p w14:paraId="5857F33E" w14:textId="1A4B2284" w:rsidR="00B7195E" w:rsidRPr="00B7195E" w:rsidRDefault="00371D68" w:rsidP="00371D68">
      <w:pPr>
        <w:pStyle w:val="ListParagraph"/>
        <w:numPr>
          <w:ilvl w:val="0"/>
          <w:numId w:val="1"/>
        </w:numPr>
        <w:ind w:left="360"/>
        <w:jc w:val="both"/>
        <w:rPr>
          <w:rFonts w:ascii="Arial" w:hAnsi="Arial" w:cs="Arial"/>
        </w:rPr>
      </w:pPr>
      <w:r w:rsidRPr="00C70126">
        <w:rPr>
          <w:rFonts w:ascii="Arial" w:hAnsi="Arial" w:cs="Arial"/>
          <w:u w:val="single"/>
        </w:rPr>
        <w:t xml:space="preserve">Principio de perspectiva de género: </w:t>
      </w:r>
      <w:r w:rsidRPr="00C70126">
        <w:rPr>
          <w:rFonts w:ascii="Arial" w:hAnsi="Arial" w:cs="Arial"/>
        </w:rPr>
        <w:t xml:space="preserve">la sensibilidad </w:t>
      </w:r>
      <w:r w:rsidR="00C265ED">
        <w:rPr>
          <w:rFonts w:ascii="Arial" w:hAnsi="Arial" w:cs="Arial"/>
        </w:rPr>
        <w:t xml:space="preserve">en </w:t>
      </w:r>
      <w:r w:rsidRPr="00C70126">
        <w:rPr>
          <w:rFonts w:ascii="Arial" w:hAnsi="Arial" w:cs="Arial"/>
        </w:rPr>
        <w:t xml:space="preserve"> materia de género está presente en todas las políticas e instrumentos de acción exterior, incluida la cooperación al desarrollo y la migratoria, en consonancia con las garantía del </w:t>
      </w:r>
      <w:r w:rsidRPr="0027136C">
        <w:rPr>
          <w:rFonts w:ascii="Arial" w:hAnsi="Arial" w:cs="Arial"/>
        </w:rPr>
        <w:t>Pacto Mundial para la Migración</w:t>
      </w:r>
      <w:r w:rsidRPr="00C70126">
        <w:rPr>
          <w:rFonts w:ascii="Arial" w:hAnsi="Arial" w:cs="Arial"/>
        </w:rPr>
        <w:t xml:space="preserve"> de que se incorpore y promueva la igualdad de género y el empoderamiento de todas las niñas, reconociendo también su capacidad de actuar y su liderazgo. </w:t>
      </w:r>
    </w:p>
    <w:p w14:paraId="411B727B" w14:textId="77777777" w:rsidR="00B7195E" w:rsidRDefault="00B7195E" w:rsidP="00371D68">
      <w:pPr>
        <w:jc w:val="both"/>
        <w:rPr>
          <w:rFonts w:ascii="Arial" w:hAnsi="Arial" w:cs="Arial"/>
          <w:sz w:val="22"/>
        </w:rPr>
      </w:pPr>
    </w:p>
    <w:p w14:paraId="3A34220A" w14:textId="678A94B2" w:rsidR="000E7EAA" w:rsidRDefault="000E7EAA" w:rsidP="000E7EAA">
      <w:pPr>
        <w:jc w:val="both"/>
        <w:rPr>
          <w:rFonts w:ascii="Arial" w:hAnsi="Arial" w:cs="Arial"/>
          <w:sz w:val="22"/>
        </w:rPr>
      </w:pPr>
      <w:r w:rsidRPr="000E7EAA">
        <w:rPr>
          <w:rFonts w:ascii="Arial" w:hAnsi="Arial" w:cs="Arial"/>
          <w:sz w:val="22"/>
        </w:rPr>
        <w:t xml:space="preserve">España está firmemente comprometida con el Pacto Mundial para la Migración, Segura, Ordenada y Regular  y sus 23 Objetivos, impulsando su aprobación desde el  inicio. Por ello, España asumió entre enero-junio 2019 junto a Bangladesh la co-facilitación de la resolución de modalidades del Foro de Examen de la Migración Internacional (FEMI) como plataforma intergubernamental para el seguimiento de la aplicación del Pacto, que se celebrará cada cuatro años empezando en 2022. España ha mostrado también su firme apoyo a la nueva Red de Naciones Unidas para la Migración. </w:t>
      </w:r>
    </w:p>
    <w:p w14:paraId="0E2B19C8" w14:textId="77777777" w:rsidR="000E7EAA" w:rsidRPr="000E7EAA" w:rsidRDefault="000E7EAA" w:rsidP="000E7EAA">
      <w:pPr>
        <w:jc w:val="both"/>
        <w:rPr>
          <w:rFonts w:ascii="Arial" w:hAnsi="Arial" w:cs="Arial"/>
          <w:sz w:val="22"/>
        </w:rPr>
      </w:pPr>
    </w:p>
    <w:p w14:paraId="7D0AA588" w14:textId="00CD8597" w:rsidR="000E7EAA" w:rsidRPr="000E7EAA" w:rsidRDefault="000E7EAA" w:rsidP="000E7EAA">
      <w:pPr>
        <w:jc w:val="both"/>
        <w:rPr>
          <w:rFonts w:ascii="Arial" w:hAnsi="Arial" w:cs="Arial"/>
          <w:sz w:val="22"/>
        </w:rPr>
      </w:pPr>
      <w:r>
        <w:rPr>
          <w:rFonts w:ascii="Arial" w:hAnsi="Arial" w:cs="Arial"/>
          <w:sz w:val="22"/>
        </w:rPr>
        <w:t>En esta línea</w:t>
      </w:r>
      <w:r w:rsidRPr="000E7EAA">
        <w:rPr>
          <w:rFonts w:ascii="Arial" w:hAnsi="Arial" w:cs="Arial"/>
          <w:sz w:val="22"/>
        </w:rPr>
        <w:t xml:space="preserve">, en diciembre de 2019, España comprometió una contribución de 0,5 millones de euros al Fondo Fiduciario de Migraciones, como catalizador de proyectos para impulsar los 23 Objetivos del Pacto Mundial de Migraciones. </w:t>
      </w:r>
    </w:p>
    <w:p w14:paraId="66C50172" w14:textId="77777777" w:rsidR="000E7EAA" w:rsidRDefault="000E7EAA" w:rsidP="000E7EAA">
      <w:pPr>
        <w:jc w:val="both"/>
        <w:rPr>
          <w:rFonts w:ascii="Arial" w:hAnsi="Arial" w:cs="Arial"/>
          <w:sz w:val="22"/>
        </w:rPr>
      </w:pPr>
    </w:p>
    <w:p w14:paraId="1C7D52B0" w14:textId="4C2175E9" w:rsidR="000E7EAA" w:rsidRPr="000E7EAA" w:rsidRDefault="000E7EAA" w:rsidP="000E7EAA">
      <w:pPr>
        <w:jc w:val="both"/>
        <w:rPr>
          <w:rFonts w:ascii="Arial" w:hAnsi="Arial" w:cs="Arial"/>
          <w:sz w:val="22"/>
        </w:rPr>
      </w:pPr>
      <w:r w:rsidRPr="000E7EAA">
        <w:rPr>
          <w:rFonts w:ascii="Arial" w:hAnsi="Arial" w:cs="Arial"/>
          <w:sz w:val="22"/>
        </w:rPr>
        <w:t>España apoya también a la O</w:t>
      </w:r>
      <w:r>
        <w:rPr>
          <w:rFonts w:ascii="Arial" w:hAnsi="Arial" w:cs="Arial"/>
          <w:sz w:val="22"/>
        </w:rPr>
        <w:t>rganización Internacional para las Migraciones</w:t>
      </w:r>
      <w:r w:rsidRPr="000E7EAA">
        <w:rPr>
          <w:rFonts w:ascii="Arial" w:hAnsi="Arial" w:cs="Arial"/>
          <w:sz w:val="22"/>
        </w:rPr>
        <w:t xml:space="preserve"> en la implementación de su Visión Estratégica 2019-2023, sobre los tres ejes propuestos: resiliencia, movilidad y gobernanza.</w:t>
      </w:r>
    </w:p>
    <w:p w14:paraId="6359425B" w14:textId="77777777" w:rsidR="000E7EAA" w:rsidRDefault="000E7EAA" w:rsidP="000E7EAA">
      <w:pPr>
        <w:jc w:val="both"/>
        <w:rPr>
          <w:rFonts w:ascii="Arial" w:hAnsi="Arial" w:cs="Arial"/>
          <w:sz w:val="22"/>
        </w:rPr>
      </w:pPr>
    </w:p>
    <w:p w14:paraId="0ED9DC38" w14:textId="662FEE82" w:rsidR="000E7EAA" w:rsidRDefault="000E7EAA" w:rsidP="000E7EAA">
      <w:pPr>
        <w:jc w:val="both"/>
        <w:rPr>
          <w:rFonts w:ascii="Arial" w:hAnsi="Arial" w:cs="Arial"/>
          <w:sz w:val="22"/>
        </w:rPr>
      </w:pPr>
      <w:r w:rsidRPr="000E7EAA">
        <w:rPr>
          <w:rFonts w:ascii="Arial" w:hAnsi="Arial" w:cs="Arial"/>
          <w:sz w:val="22"/>
        </w:rPr>
        <w:t>España colabora en el seguimiento y evaluación del Programa Mundial en sus diversos niveles: nacional, regional y de Naciones Unidas, impulsando en la medida de lo posible el seguimiento del Programa Mundial Migratorio a través de los diálogos migratorios regionales en los que España participa – Procesos de Rabat, Jartum, Praga y Budapest, diálogo 5+5, Euromed</w:t>
      </w:r>
      <w:r>
        <w:rPr>
          <w:rFonts w:ascii="Arial" w:hAnsi="Arial" w:cs="Arial"/>
          <w:sz w:val="22"/>
        </w:rPr>
        <w:t>,</w:t>
      </w:r>
      <w:r w:rsidRPr="000E7EAA">
        <w:rPr>
          <w:rFonts w:ascii="Arial" w:hAnsi="Arial" w:cs="Arial"/>
          <w:sz w:val="22"/>
        </w:rPr>
        <w:t xml:space="preserve">  y, como Estado miembro, en los diálogos de la Unión Europea con otras regiones (Iberoamérica y África en particular). </w:t>
      </w:r>
    </w:p>
    <w:p w14:paraId="57DDD089" w14:textId="7395F367" w:rsidR="000E7EAA" w:rsidRDefault="000E7EAA" w:rsidP="000E7EAA">
      <w:pPr>
        <w:jc w:val="both"/>
        <w:rPr>
          <w:rFonts w:ascii="Arial" w:hAnsi="Arial" w:cs="Arial"/>
          <w:sz w:val="22"/>
        </w:rPr>
      </w:pPr>
    </w:p>
    <w:p w14:paraId="5AA7BC3D" w14:textId="18847F44" w:rsidR="000E7EAA" w:rsidRPr="000E7EAA" w:rsidRDefault="000E7EAA" w:rsidP="000E7EAA">
      <w:pPr>
        <w:jc w:val="both"/>
        <w:rPr>
          <w:rFonts w:ascii="Arial" w:hAnsi="Arial" w:cs="Arial"/>
          <w:sz w:val="22"/>
        </w:rPr>
      </w:pPr>
      <w:r w:rsidRPr="000E7EAA">
        <w:rPr>
          <w:rFonts w:ascii="Arial" w:hAnsi="Arial" w:cs="Arial"/>
          <w:sz w:val="22"/>
        </w:rPr>
        <w:t>A nivel nacional, España viene aplicando en su política migratoria los principios básicos y objetivos que se recogen en el Pacto Mundial Migratorio y está trabajando para establecer un mecanismo de seguimiento de las aportaciones procedentes de las administraciones y de los interlocutores en materia migratoria, según un enfoque transversal e inclusivo (</w:t>
      </w:r>
      <w:r w:rsidRPr="00287624">
        <w:rPr>
          <w:rFonts w:ascii="Arial" w:hAnsi="Arial" w:cs="Arial"/>
          <w:i/>
          <w:sz w:val="22"/>
        </w:rPr>
        <w:t>whole of society approach</w:t>
      </w:r>
      <w:r w:rsidRPr="000E7EAA">
        <w:rPr>
          <w:rFonts w:ascii="Arial" w:hAnsi="Arial" w:cs="Arial"/>
          <w:sz w:val="22"/>
        </w:rPr>
        <w:t xml:space="preserve">), que integre a los distintos departamentos y a la sociedad civil.  </w:t>
      </w:r>
    </w:p>
    <w:p w14:paraId="36B5DBF3" w14:textId="77777777" w:rsidR="000E7EAA" w:rsidRPr="000E7EAA" w:rsidRDefault="000E7EAA" w:rsidP="000E7EAA">
      <w:pPr>
        <w:jc w:val="both"/>
        <w:rPr>
          <w:rFonts w:ascii="Arial" w:hAnsi="Arial" w:cs="Arial"/>
          <w:sz w:val="22"/>
        </w:rPr>
      </w:pPr>
    </w:p>
    <w:p w14:paraId="56E1FF3F" w14:textId="2F4B903E" w:rsidR="000E7EAA" w:rsidRDefault="000E7EAA" w:rsidP="000E7EAA">
      <w:pPr>
        <w:jc w:val="both"/>
        <w:rPr>
          <w:rFonts w:ascii="Arial" w:hAnsi="Arial" w:cs="Arial"/>
          <w:sz w:val="22"/>
        </w:rPr>
      </w:pPr>
      <w:r w:rsidRPr="000E7EAA">
        <w:rPr>
          <w:rFonts w:ascii="Arial" w:hAnsi="Arial" w:cs="Arial"/>
          <w:sz w:val="22"/>
        </w:rPr>
        <w:t xml:space="preserve">España ha integrado los principios del Pacto Mundial Migratorio en sus instrumentos de política exterior, con un énfasis especial en cooperación, y en la elaboración de sus planes estratégicos. </w:t>
      </w:r>
    </w:p>
    <w:p w14:paraId="2C603061" w14:textId="77777777" w:rsidR="000E7EAA" w:rsidRPr="000E7EAA" w:rsidRDefault="000E7EAA" w:rsidP="000E7EAA">
      <w:pPr>
        <w:jc w:val="both"/>
        <w:rPr>
          <w:rFonts w:ascii="Arial" w:hAnsi="Arial" w:cs="Arial"/>
          <w:sz w:val="22"/>
        </w:rPr>
      </w:pPr>
    </w:p>
    <w:p w14:paraId="7211457E" w14:textId="77777777" w:rsidR="00371D68" w:rsidRPr="006C5EC8" w:rsidRDefault="00371D68" w:rsidP="00371D68">
      <w:pPr>
        <w:pStyle w:val="SingleTxtG"/>
        <w:spacing w:line="240" w:lineRule="auto"/>
        <w:ind w:left="0" w:right="-153"/>
        <w:rPr>
          <w:rFonts w:ascii="Arial" w:hAnsi="Arial" w:cs="Arial"/>
          <w:sz w:val="22"/>
          <w:szCs w:val="22"/>
          <w:lang w:val="es-ES"/>
        </w:rPr>
      </w:pPr>
      <w:r w:rsidRPr="006C5EC8">
        <w:rPr>
          <w:rFonts w:ascii="Arial" w:hAnsi="Arial" w:cs="Arial"/>
          <w:sz w:val="22"/>
          <w:szCs w:val="22"/>
          <w:lang w:val="es-ES"/>
        </w:rPr>
        <w:t xml:space="preserve">El </w:t>
      </w:r>
      <w:r w:rsidRPr="006C5EC8">
        <w:rPr>
          <w:rFonts w:ascii="Arial" w:hAnsi="Arial" w:cs="Arial"/>
          <w:sz w:val="22"/>
          <w:szCs w:val="22"/>
          <w:u w:val="single"/>
          <w:lang w:val="es-ES"/>
        </w:rPr>
        <w:t>V Plan Director de la Cooperación Española</w:t>
      </w:r>
      <w:r w:rsidRPr="006C5EC8">
        <w:rPr>
          <w:rFonts w:ascii="Arial" w:hAnsi="Arial" w:cs="Arial"/>
          <w:sz w:val="22"/>
          <w:szCs w:val="22"/>
          <w:lang w:val="es-ES"/>
        </w:rPr>
        <w:t xml:space="preserve"> asume los movimientos migratorios como uno de los fenómenos de mayor impacto político, social, y sobre la opinión pública de los últimos años. Por ello, proclama como una de las metas de la Cooperación Española conseguir la meta 10.7 de los Objetivos de Desarrollo Sostenible, es decir, facilitar la migración y la movilidad ordenada y bien gestionada. Se trabajará a través de la capacitación de las instituciones con el objetivo de favorecer que la migración y la movilidad de las personas tengan lugar de manera ordenada, segura, regular y responsable y se aplicará estrictamente un enfoque basado en los derechos humanos y en la seguridad de las personas, con especial atención a la situación de los menores no acompañados.</w:t>
      </w:r>
    </w:p>
    <w:p w14:paraId="1BA3F261" w14:textId="77777777" w:rsidR="00371D68" w:rsidRPr="006C5EC8" w:rsidRDefault="00371D68" w:rsidP="00371D68">
      <w:pPr>
        <w:pStyle w:val="SingleTxtG"/>
        <w:spacing w:line="240" w:lineRule="auto"/>
        <w:ind w:left="0" w:right="-153"/>
        <w:rPr>
          <w:rFonts w:ascii="Arial" w:hAnsi="Arial" w:cs="Arial"/>
          <w:sz w:val="22"/>
          <w:szCs w:val="22"/>
          <w:lang w:val="es-ES"/>
        </w:rPr>
      </w:pPr>
      <w:r w:rsidRPr="006C5EC8">
        <w:rPr>
          <w:rFonts w:ascii="Arial" w:hAnsi="Arial" w:cs="Arial"/>
          <w:sz w:val="22"/>
          <w:szCs w:val="22"/>
          <w:lang w:val="es-ES"/>
        </w:rPr>
        <w:t xml:space="preserve">Además, la cooperación en el ámbito de la Migración y el Desarrollo es una de las líneas prioritarias de Agencia Española de Cooperación Internacional para el Desarrollo (AECID) en África Occidental, Sahel y Norte de África. Se desarrolla fundamentalmente a través de la colaboración con la UE </w:t>
      </w:r>
      <w:r w:rsidRPr="006C5EC8">
        <w:rPr>
          <w:rFonts w:ascii="Arial" w:hAnsi="Arial" w:cs="Arial"/>
          <w:sz w:val="22"/>
          <w:szCs w:val="22"/>
          <w:u w:val="single"/>
          <w:lang w:val="es-ES"/>
        </w:rPr>
        <w:t>en el marco del Fondo Fiduciario de Emergencia de la UE</w:t>
      </w:r>
      <w:r w:rsidRPr="006C5EC8">
        <w:rPr>
          <w:rFonts w:ascii="Arial" w:hAnsi="Arial" w:cs="Arial"/>
          <w:sz w:val="22"/>
          <w:szCs w:val="22"/>
          <w:lang w:val="es-ES"/>
        </w:rPr>
        <w:t xml:space="preserve"> para la estabilidad y para abordar las causas profundas de la migración irregular y de las personas desplazadas en África. La AECID se ha centrado en proyectos de lucha contra las causas profundas de la migración (empleo, desarrollo rural, resiliencia) y en proyectos de fortalecimiento institucional en gestión migratoria. Se debe destacar el trabajo con el Consejo Nacional de Derechos Humanos (en adelante CNDH) de Marruecos, que se enmarca en el proyecto de cooperación delegada “Convivir sin discriminación: un enfoque basado en derechos humanos y perspectiva de género”. El proyecto se centra en el fortalecimiento de los mecanismos de acción del CNDH para la prevención del racismo y la xenofobia hacia la población migrante.</w:t>
      </w:r>
    </w:p>
    <w:p w14:paraId="5B0ABB27" w14:textId="77777777" w:rsidR="00B7195E" w:rsidRDefault="00B7195E" w:rsidP="00B7195E">
      <w:pPr>
        <w:jc w:val="both"/>
        <w:rPr>
          <w:rFonts w:ascii="Arial" w:hAnsi="Arial" w:cs="Arial"/>
          <w:sz w:val="22"/>
          <w:lang w:val="es-ES"/>
        </w:rPr>
      </w:pPr>
    </w:p>
    <w:p w14:paraId="45BAA44E" w14:textId="77777777" w:rsidR="00B7195E" w:rsidRDefault="00B7195E" w:rsidP="00B7195E">
      <w:pPr>
        <w:jc w:val="both"/>
        <w:rPr>
          <w:rFonts w:ascii="Arial" w:hAnsi="Arial" w:cs="Arial"/>
          <w:sz w:val="22"/>
          <w:lang w:val="es-ES"/>
        </w:rPr>
      </w:pPr>
    </w:p>
    <w:p w14:paraId="243E15B6" w14:textId="77777777" w:rsidR="00B7195E" w:rsidRDefault="00B7195E" w:rsidP="00B7195E">
      <w:pPr>
        <w:jc w:val="both"/>
        <w:rPr>
          <w:rFonts w:ascii="Arial" w:hAnsi="Arial" w:cs="Arial"/>
          <w:sz w:val="22"/>
          <w:lang w:val="es-ES"/>
        </w:rPr>
      </w:pPr>
    </w:p>
    <w:p w14:paraId="7CD3A4A1" w14:textId="77777777" w:rsidR="00B7195E" w:rsidRDefault="00B7195E" w:rsidP="00B7195E">
      <w:pPr>
        <w:jc w:val="both"/>
        <w:rPr>
          <w:rFonts w:ascii="Arial" w:hAnsi="Arial" w:cs="Arial"/>
          <w:sz w:val="22"/>
          <w:lang w:val="es-ES"/>
        </w:rPr>
      </w:pPr>
    </w:p>
    <w:p w14:paraId="5E5FB98F" w14:textId="77777777" w:rsidR="00B7195E" w:rsidRDefault="00B7195E" w:rsidP="00B7195E">
      <w:pPr>
        <w:jc w:val="both"/>
        <w:rPr>
          <w:rFonts w:ascii="Arial" w:hAnsi="Arial" w:cs="Arial"/>
          <w:sz w:val="22"/>
          <w:lang w:val="es-ES"/>
        </w:rPr>
      </w:pPr>
    </w:p>
    <w:p w14:paraId="195E9392" w14:textId="77777777" w:rsidR="00B7195E" w:rsidRDefault="00B7195E" w:rsidP="00B7195E">
      <w:pPr>
        <w:jc w:val="both"/>
        <w:rPr>
          <w:rFonts w:ascii="Arial" w:hAnsi="Arial" w:cs="Arial"/>
          <w:sz w:val="22"/>
          <w:lang w:val="es-ES"/>
        </w:rPr>
      </w:pPr>
    </w:p>
    <w:p w14:paraId="5C4FFBBD" w14:textId="77777777" w:rsidR="00B7195E" w:rsidRPr="006C5EC8" w:rsidRDefault="00B7195E" w:rsidP="00B7195E">
      <w:pPr>
        <w:jc w:val="both"/>
        <w:rPr>
          <w:rFonts w:ascii="Arial" w:hAnsi="Arial" w:cs="Arial"/>
          <w:sz w:val="22"/>
          <w:lang w:val="es-ES"/>
        </w:rPr>
      </w:pPr>
    </w:p>
    <w:p w14:paraId="0FF1CA24" w14:textId="22FF83B5" w:rsidR="00935FBA" w:rsidRPr="006C5EC8" w:rsidRDefault="00935FBA" w:rsidP="006C5EC8">
      <w:pPr>
        <w:jc w:val="both"/>
        <w:rPr>
          <w:rFonts w:ascii="Arial" w:hAnsi="Arial" w:cs="Arial"/>
          <w:sz w:val="22"/>
          <w:lang w:val="es-ES"/>
        </w:rPr>
      </w:pPr>
    </w:p>
    <w:sectPr w:rsidR="00935FBA" w:rsidRPr="006C5EC8" w:rsidSect="00C70126">
      <w:headerReference w:type="default" r:id="rId11"/>
      <w:footerReference w:type="even" r:id="rId12"/>
      <w:footerReference w:type="default" r:id="rId13"/>
      <w:pgSz w:w="11906" w:h="16838"/>
      <w:pgMar w:top="1417" w:right="1701" w:bottom="141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A6B59" w16cid:durableId="2224C5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EAF5" w14:textId="77777777" w:rsidR="006410D8" w:rsidRDefault="006410D8">
      <w:r>
        <w:separator/>
      </w:r>
    </w:p>
  </w:endnote>
  <w:endnote w:type="continuationSeparator" w:id="0">
    <w:p w14:paraId="1294938D" w14:textId="77777777" w:rsidR="006410D8" w:rsidRDefault="0064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C2A2" w14:textId="77777777" w:rsidR="00ED2BF8" w:rsidRDefault="00ED2BF8" w:rsidP="00641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22AFF9" w14:textId="77777777" w:rsidR="00ED2BF8" w:rsidRDefault="00ED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127CC" w14:textId="3C3E7618" w:rsidR="00ED2BF8" w:rsidRPr="00617747" w:rsidRDefault="00ED2BF8" w:rsidP="0064147C">
    <w:pPr>
      <w:pStyle w:val="Footer"/>
      <w:framePr w:wrap="around" w:vAnchor="text" w:hAnchor="margin" w:xAlign="center" w:y="1"/>
      <w:rPr>
        <w:rStyle w:val="PageNumber"/>
        <w:sz w:val="16"/>
        <w:szCs w:val="16"/>
      </w:rPr>
    </w:pPr>
    <w:r w:rsidRPr="00617747">
      <w:rPr>
        <w:rStyle w:val="PageNumber"/>
        <w:sz w:val="16"/>
        <w:szCs w:val="16"/>
      </w:rPr>
      <w:fldChar w:fldCharType="begin"/>
    </w:r>
    <w:r w:rsidRPr="00617747">
      <w:rPr>
        <w:rStyle w:val="PageNumber"/>
        <w:sz w:val="16"/>
        <w:szCs w:val="16"/>
      </w:rPr>
      <w:instrText xml:space="preserve">PAGE  </w:instrText>
    </w:r>
    <w:r w:rsidRPr="00617747">
      <w:rPr>
        <w:rStyle w:val="PageNumber"/>
        <w:sz w:val="16"/>
        <w:szCs w:val="16"/>
      </w:rPr>
      <w:fldChar w:fldCharType="separate"/>
    </w:r>
    <w:r w:rsidR="0096590A">
      <w:rPr>
        <w:rStyle w:val="PageNumber"/>
        <w:noProof/>
        <w:sz w:val="16"/>
        <w:szCs w:val="16"/>
      </w:rPr>
      <w:t>1</w:t>
    </w:r>
    <w:r w:rsidRPr="00617747">
      <w:rPr>
        <w:rStyle w:val="PageNumber"/>
        <w:sz w:val="16"/>
        <w:szCs w:val="16"/>
      </w:rPr>
      <w:fldChar w:fldCharType="end"/>
    </w:r>
  </w:p>
  <w:p w14:paraId="25BF6060" w14:textId="77777777" w:rsidR="00ED2BF8" w:rsidRDefault="00ED2BF8" w:rsidP="0064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46F1" w14:textId="77777777" w:rsidR="006410D8" w:rsidRDefault="006410D8">
      <w:r>
        <w:separator/>
      </w:r>
    </w:p>
  </w:footnote>
  <w:footnote w:type="continuationSeparator" w:id="0">
    <w:p w14:paraId="6E67DC48" w14:textId="77777777" w:rsidR="006410D8" w:rsidRDefault="006410D8">
      <w:r>
        <w:continuationSeparator/>
      </w:r>
    </w:p>
  </w:footnote>
  <w:footnote w:id="1">
    <w:p w14:paraId="32D35BBC" w14:textId="77777777" w:rsidR="00223043" w:rsidRPr="00482EF7" w:rsidRDefault="00223043" w:rsidP="0027136C">
      <w:pPr>
        <w:pStyle w:val="FootnoteText"/>
        <w:jc w:val="both"/>
        <w:rPr>
          <w:rFonts w:asciiTheme="minorHAnsi" w:hAnsiTheme="minorHAnsi"/>
          <w:sz w:val="22"/>
          <w:szCs w:val="22"/>
          <w:lang w:val="es-ES"/>
        </w:rPr>
      </w:pPr>
      <w:r w:rsidRPr="001171BA">
        <w:rPr>
          <w:rStyle w:val="FootnoteReference"/>
          <w:rFonts w:asciiTheme="minorHAnsi" w:hAnsiTheme="minorHAnsi"/>
          <w:sz w:val="22"/>
          <w:szCs w:val="22"/>
        </w:rPr>
        <w:footnoteRef/>
      </w:r>
      <w:r w:rsidRPr="00482EF7">
        <w:rPr>
          <w:rFonts w:asciiTheme="minorHAnsi" w:hAnsiTheme="minorHAnsi"/>
          <w:sz w:val="22"/>
          <w:szCs w:val="22"/>
          <w:lang w:val="es-ES"/>
        </w:rPr>
        <w:t xml:space="preserve"> Principios recogidos en el programa de Gobierno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2" w:type="dxa"/>
      <w:tblInd w:w="-737" w:type="dxa"/>
      <w:tblLayout w:type="fixed"/>
      <w:tblLook w:val="01E0" w:firstRow="1" w:lastRow="1" w:firstColumn="1" w:lastColumn="1" w:noHBand="0" w:noVBand="0"/>
    </w:tblPr>
    <w:tblGrid>
      <w:gridCol w:w="1696"/>
      <w:gridCol w:w="283"/>
      <w:gridCol w:w="4395"/>
      <w:gridCol w:w="3118"/>
    </w:tblGrid>
    <w:tr w:rsidR="001B312A" w:rsidRPr="0037542F" w14:paraId="6C245016" w14:textId="77777777" w:rsidTr="000A60D5">
      <w:trPr>
        <w:trHeight w:val="796"/>
      </w:trPr>
      <w:tc>
        <w:tcPr>
          <w:tcW w:w="1696" w:type="dxa"/>
          <w:vMerge w:val="restart"/>
          <w:shd w:val="clear" w:color="auto" w:fill="auto"/>
        </w:tcPr>
        <w:p w14:paraId="65D6F619" w14:textId="77777777" w:rsidR="001B312A" w:rsidRDefault="001B312A" w:rsidP="001B312A">
          <w:pPr>
            <w:pStyle w:val="Header"/>
            <w:ind w:left="453"/>
          </w:pPr>
          <w:r>
            <w:rPr>
              <w:noProof/>
              <w:lang w:val="en-GB" w:eastAsia="en-GB"/>
            </w:rPr>
            <w:drawing>
              <wp:inline distT="0" distB="0" distL="0" distR="0" wp14:anchorId="142F7570" wp14:editId="7BB8FE35">
                <wp:extent cx="741467" cy="77152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56" cy="778590"/>
                        </a:xfrm>
                        <a:prstGeom prst="rect">
                          <a:avLst/>
                        </a:prstGeom>
                        <a:noFill/>
                        <a:ln>
                          <a:noFill/>
                        </a:ln>
                      </pic:spPr>
                    </pic:pic>
                  </a:graphicData>
                </a:graphic>
              </wp:inline>
            </w:drawing>
          </w:r>
        </w:p>
      </w:tc>
      <w:tc>
        <w:tcPr>
          <w:tcW w:w="283" w:type="dxa"/>
          <w:vMerge w:val="restart"/>
          <w:shd w:val="clear" w:color="auto" w:fill="auto"/>
        </w:tcPr>
        <w:p w14:paraId="02AC144C" w14:textId="77777777" w:rsidR="001B312A" w:rsidRPr="0037542F" w:rsidRDefault="001B312A" w:rsidP="001B312A">
          <w:pPr>
            <w:pStyle w:val="Header"/>
            <w:ind w:left="-693"/>
            <w:rPr>
              <w:sz w:val="18"/>
            </w:rPr>
          </w:pPr>
        </w:p>
      </w:tc>
      <w:tc>
        <w:tcPr>
          <w:tcW w:w="4395" w:type="dxa"/>
          <w:vMerge w:val="restart"/>
          <w:tcBorders>
            <w:right w:val="single" w:sz="4" w:space="0" w:color="auto"/>
          </w:tcBorders>
          <w:shd w:val="clear" w:color="auto" w:fill="auto"/>
          <w:tcMar>
            <w:left w:w="0" w:type="dxa"/>
            <w:right w:w="0" w:type="dxa"/>
          </w:tcMar>
          <w:vAlign w:val="center"/>
        </w:tcPr>
        <w:p w14:paraId="1E935AB6" w14:textId="77777777" w:rsidR="001B312A" w:rsidRPr="0037542F" w:rsidRDefault="001B312A" w:rsidP="001B312A">
          <w:pPr>
            <w:pStyle w:val="Header"/>
            <w:rPr>
              <w:rFonts w:ascii="Arial" w:hAnsi="Arial" w:cs="Arial"/>
              <w:sz w:val="16"/>
              <w:szCs w:val="20"/>
            </w:rPr>
          </w:pPr>
          <w:r w:rsidRPr="0037542F">
            <w:rPr>
              <w:rFonts w:ascii="Arial" w:hAnsi="Arial" w:cs="Arial"/>
              <w:sz w:val="16"/>
              <w:szCs w:val="20"/>
            </w:rPr>
            <w:t xml:space="preserve">MINISTERIO DE </w:t>
          </w:r>
        </w:p>
        <w:p w14:paraId="160BCD51" w14:textId="77777777" w:rsidR="001B312A" w:rsidRPr="0037542F" w:rsidRDefault="001B312A" w:rsidP="001B312A">
          <w:pPr>
            <w:pStyle w:val="Header"/>
            <w:rPr>
              <w:rFonts w:ascii="Arial" w:hAnsi="Arial" w:cs="Arial"/>
              <w:sz w:val="16"/>
              <w:szCs w:val="20"/>
            </w:rPr>
          </w:pPr>
          <w:r w:rsidRPr="0037542F">
            <w:rPr>
              <w:rFonts w:ascii="Arial" w:hAnsi="Arial" w:cs="Arial"/>
              <w:sz w:val="16"/>
              <w:szCs w:val="20"/>
            </w:rPr>
            <w:t xml:space="preserve">ASUNTOS EXTERIORES, </w:t>
          </w:r>
        </w:p>
        <w:p w14:paraId="5DD054B2" w14:textId="77777777" w:rsidR="001B312A" w:rsidRPr="0037542F" w:rsidRDefault="001B312A" w:rsidP="001B312A">
          <w:pPr>
            <w:pStyle w:val="Header"/>
            <w:rPr>
              <w:rFonts w:ascii="Arial" w:hAnsi="Arial" w:cs="Arial"/>
              <w:sz w:val="16"/>
              <w:szCs w:val="20"/>
            </w:rPr>
          </w:pPr>
          <w:r w:rsidRPr="0037542F">
            <w:rPr>
              <w:rFonts w:ascii="Arial" w:hAnsi="Arial" w:cs="Arial"/>
              <w:sz w:val="16"/>
              <w:szCs w:val="20"/>
            </w:rPr>
            <w:t xml:space="preserve">UNIÓN EUROPEA Y </w:t>
          </w:r>
          <w:r>
            <w:rPr>
              <w:rFonts w:ascii="Arial" w:hAnsi="Arial" w:cs="Arial"/>
              <w:sz w:val="16"/>
              <w:szCs w:val="20"/>
            </w:rPr>
            <w:t>COOPERACIÓ</w:t>
          </w:r>
          <w:r w:rsidRPr="0037542F">
            <w:rPr>
              <w:rFonts w:ascii="Arial" w:hAnsi="Arial" w:cs="Arial"/>
              <w:sz w:val="16"/>
              <w:szCs w:val="20"/>
            </w:rPr>
            <w:t>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4E1A51" w14:textId="77777777" w:rsidR="001B312A" w:rsidRPr="0037542F" w:rsidRDefault="001B312A" w:rsidP="001B312A">
          <w:pPr>
            <w:pStyle w:val="Header"/>
            <w:jc w:val="center"/>
            <w:rPr>
              <w:rFonts w:ascii="Arial" w:hAnsi="Arial" w:cs="Arial"/>
              <w:sz w:val="14"/>
              <w:szCs w:val="14"/>
            </w:rPr>
          </w:pPr>
          <w:r w:rsidRPr="0037542F">
            <w:rPr>
              <w:rFonts w:ascii="Arial" w:hAnsi="Arial" w:cs="Arial"/>
              <w:sz w:val="14"/>
              <w:szCs w:val="14"/>
            </w:rPr>
            <w:t>SECRETARÍA DE ESTADO DE</w:t>
          </w:r>
        </w:p>
        <w:p w14:paraId="7B544D3E" w14:textId="60BB864B" w:rsidR="001B312A" w:rsidRPr="0037542F" w:rsidRDefault="001B312A" w:rsidP="001B312A">
          <w:pPr>
            <w:pStyle w:val="Header"/>
            <w:jc w:val="center"/>
            <w:rPr>
              <w:rFonts w:ascii="Arial" w:hAnsi="Arial" w:cs="Arial"/>
              <w:sz w:val="14"/>
              <w:szCs w:val="14"/>
            </w:rPr>
          </w:pPr>
          <w:r w:rsidRPr="0037542F">
            <w:rPr>
              <w:rFonts w:ascii="Arial" w:hAnsi="Arial" w:cs="Arial"/>
              <w:sz w:val="14"/>
              <w:szCs w:val="14"/>
            </w:rPr>
            <w:t>ASUNTOS EXTERIORES</w:t>
          </w:r>
          <w:r w:rsidR="00412F9D">
            <w:rPr>
              <w:rFonts w:ascii="Arial" w:hAnsi="Arial" w:cs="Arial"/>
              <w:sz w:val="14"/>
              <w:szCs w:val="14"/>
            </w:rPr>
            <w:t xml:space="preserve"> Y PARA IBEROAMÉRICA Y CARIBE</w:t>
          </w:r>
        </w:p>
      </w:tc>
    </w:tr>
    <w:tr w:rsidR="001B312A" w:rsidRPr="0037542F" w14:paraId="3C2FE34B" w14:textId="77777777" w:rsidTr="000A60D5">
      <w:trPr>
        <w:trHeight w:val="742"/>
      </w:trPr>
      <w:tc>
        <w:tcPr>
          <w:tcW w:w="1696" w:type="dxa"/>
          <w:vMerge/>
          <w:shd w:val="clear" w:color="auto" w:fill="auto"/>
        </w:tcPr>
        <w:p w14:paraId="482152E7" w14:textId="77777777" w:rsidR="001B312A" w:rsidRPr="00361675" w:rsidRDefault="001B312A" w:rsidP="001B312A">
          <w:pPr>
            <w:pStyle w:val="Header"/>
            <w:rPr>
              <w:rFonts w:ascii="Arial" w:hAnsi="Arial" w:cs="Arial"/>
              <w:sz w:val="14"/>
              <w:szCs w:val="14"/>
            </w:rPr>
          </w:pPr>
        </w:p>
      </w:tc>
      <w:tc>
        <w:tcPr>
          <w:tcW w:w="283" w:type="dxa"/>
          <w:vMerge/>
          <w:shd w:val="clear" w:color="auto" w:fill="auto"/>
        </w:tcPr>
        <w:p w14:paraId="41764BF3" w14:textId="77777777" w:rsidR="001B312A" w:rsidRPr="00361675" w:rsidRDefault="001B312A" w:rsidP="001B312A">
          <w:pPr>
            <w:pStyle w:val="Header"/>
            <w:rPr>
              <w:rFonts w:ascii="Arial" w:hAnsi="Arial" w:cs="Arial"/>
              <w:sz w:val="14"/>
              <w:szCs w:val="14"/>
            </w:rPr>
          </w:pPr>
        </w:p>
      </w:tc>
      <w:tc>
        <w:tcPr>
          <w:tcW w:w="4395" w:type="dxa"/>
          <w:vMerge/>
          <w:shd w:val="clear" w:color="auto" w:fill="auto"/>
          <w:tcMar>
            <w:left w:w="0" w:type="dxa"/>
            <w:right w:w="0" w:type="dxa"/>
          </w:tcMar>
          <w:vAlign w:val="center"/>
        </w:tcPr>
        <w:p w14:paraId="724C6F8F" w14:textId="77777777" w:rsidR="001B312A" w:rsidRPr="0037542F" w:rsidRDefault="001B312A" w:rsidP="001B312A">
          <w:pPr>
            <w:pStyle w:val="Header"/>
            <w:rPr>
              <w:rFonts w:ascii="Arial" w:hAnsi="Arial" w:cs="Arial"/>
              <w:sz w:val="16"/>
              <w:szCs w:val="14"/>
            </w:rPr>
          </w:pPr>
        </w:p>
      </w:tc>
      <w:tc>
        <w:tcPr>
          <w:tcW w:w="3118" w:type="dxa"/>
          <w:shd w:val="clear" w:color="auto" w:fill="auto"/>
        </w:tcPr>
        <w:p w14:paraId="7960A952" w14:textId="77777777" w:rsidR="001B312A" w:rsidRPr="0037542F" w:rsidRDefault="001B312A" w:rsidP="001B312A">
          <w:pPr>
            <w:pStyle w:val="Header"/>
            <w:rPr>
              <w:rFonts w:ascii="Arial" w:hAnsi="Arial" w:cs="Arial"/>
              <w:sz w:val="14"/>
              <w:szCs w:val="14"/>
            </w:rPr>
          </w:pPr>
        </w:p>
        <w:p w14:paraId="0C4CB00B" w14:textId="77777777" w:rsidR="001B312A" w:rsidRPr="0037542F" w:rsidRDefault="001B312A" w:rsidP="001B312A">
          <w:pPr>
            <w:pStyle w:val="Header"/>
            <w:jc w:val="center"/>
            <w:rPr>
              <w:rFonts w:ascii="Arial" w:hAnsi="Arial" w:cs="Arial"/>
              <w:sz w:val="14"/>
              <w:szCs w:val="14"/>
            </w:rPr>
          </w:pPr>
          <w:r w:rsidRPr="0037542F">
            <w:rPr>
              <w:rFonts w:ascii="Arial" w:hAnsi="Arial" w:cs="Arial"/>
              <w:sz w:val="14"/>
              <w:szCs w:val="14"/>
            </w:rPr>
            <w:t>DIRECCIÓN GENERAL DE NNUU y DDHH</w:t>
          </w:r>
        </w:p>
        <w:p w14:paraId="750A5635" w14:textId="77777777" w:rsidR="001B312A" w:rsidRPr="0037542F" w:rsidRDefault="001B312A" w:rsidP="001B312A">
          <w:pPr>
            <w:pStyle w:val="Header"/>
            <w:rPr>
              <w:rFonts w:ascii="Arial" w:hAnsi="Arial" w:cs="Arial"/>
              <w:sz w:val="14"/>
              <w:szCs w:val="14"/>
            </w:rPr>
          </w:pPr>
        </w:p>
        <w:p w14:paraId="289A22A5" w14:textId="77777777" w:rsidR="001B312A" w:rsidRPr="0037542F" w:rsidRDefault="001B312A" w:rsidP="001B312A">
          <w:pPr>
            <w:pStyle w:val="Header"/>
            <w:jc w:val="center"/>
            <w:rPr>
              <w:rFonts w:ascii="Arial" w:hAnsi="Arial" w:cs="Arial"/>
              <w:sz w:val="14"/>
              <w:szCs w:val="14"/>
            </w:rPr>
          </w:pPr>
          <w:r w:rsidRPr="0037542F">
            <w:rPr>
              <w:rFonts w:ascii="Arial" w:hAnsi="Arial" w:cs="Arial"/>
              <w:sz w:val="14"/>
              <w:szCs w:val="14"/>
            </w:rPr>
            <w:t>OFICINA  DE DERECHOS HUMANOS</w:t>
          </w:r>
        </w:p>
      </w:tc>
    </w:tr>
  </w:tbl>
  <w:p w14:paraId="220ED674" w14:textId="08562FE4" w:rsidR="00ED2BF8" w:rsidRPr="00617747" w:rsidRDefault="00ED2BF8">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E0F"/>
    <w:multiLevelType w:val="hybridMultilevel"/>
    <w:tmpl w:val="FB72D30A"/>
    <w:lvl w:ilvl="0" w:tplc="68005786">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DC1BEB"/>
    <w:multiLevelType w:val="hybridMultilevel"/>
    <w:tmpl w:val="94B696DC"/>
    <w:lvl w:ilvl="0" w:tplc="84902F34">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BE29E7"/>
    <w:multiLevelType w:val="multilevel"/>
    <w:tmpl w:val="8A66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06012"/>
    <w:multiLevelType w:val="hybridMultilevel"/>
    <w:tmpl w:val="C4F6B62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3ACE3090"/>
    <w:multiLevelType w:val="hybridMultilevel"/>
    <w:tmpl w:val="8EB8AFB8"/>
    <w:lvl w:ilvl="0" w:tplc="BE1CBE22">
      <w:numFmt w:val="bullet"/>
      <w:lvlText w:val="-"/>
      <w:lvlJc w:val="left"/>
      <w:pPr>
        <w:ind w:left="1081" w:hanging="360"/>
      </w:pPr>
      <w:rPr>
        <w:rFonts w:ascii="Arial" w:eastAsia="Calibri" w:hAnsi="Arial" w:cs="Arial" w:hint="default"/>
      </w:rPr>
    </w:lvl>
    <w:lvl w:ilvl="1" w:tplc="0C0A0003" w:tentative="1">
      <w:start w:val="1"/>
      <w:numFmt w:val="bullet"/>
      <w:lvlText w:val="o"/>
      <w:lvlJc w:val="left"/>
      <w:pPr>
        <w:ind w:left="1801" w:hanging="360"/>
      </w:pPr>
      <w:rPr>
        <w:rFonts w:ascii="Courier New" w:hAnsi="Courier New" w:cs="Courier New" w:hint="default"/>
      </w:rPr>
    </w:lvl>
    <w:lvl w:ilvl="2" w:tplc="0C0A0005" w:tentative="1">
      <w:start w:val="1"/>
      <w:numFmt w:val="bullet"/>
      <w:lvlText w:val=""/>
      <w:lvlJc w:val="left"/>
      <w:pPr>
        <w:ind w:left="2521" w:hanging="360"/>
      </w:pPr>
      <w:rPr>
        <w:rFonts w:ascii="Wingdings" w:hAnsi="Wingdings" w:hint="default"/>
      </w:rPr>
    </w:lvl>
    <w:lvl w:ilvl="3" w:tplc="0C0A0001" w:tentative="1">
      <w:start w:val="1"/>
      <w:numFmt w:val="bullet"/>
      <w:lvlText w:val=""/>
      <w:lvlJc w:val="left"/>
      <w:pPr>
        <w:ind w:left="3241" w:hanging="360"/>
      </w:pPr>
      <w:rPr>
        <w:rFonts w:ascii="Symbol" w:hAnsi="Symbol" w:hint="default"/>
      </w:rPr>
    </w:lvl>
    <w:lvl w:ilvl="4" w:tplc="0C0A0003" w:tentative="1">
      <w:start w:val="1"/>
      <w:numFmt w:val="bullet"/>
      <w:lvlText w:val="o"/>
      <w:lvlJc w:val="left"/>
      <w:pPr>
        <w:ind w:left="3961" w:hanging="360"/>
      </w:pPr>
      <w:rPr>
        <w:rFonts w:ascii="Courier New" w:hAnsi="Courier New" w:cs="Courier New" w:hint="default"/>
      </w:rPr>
    </w:lvl>
    <w:lvl w:ilvl="5" w:tplc="0C0A0005" w:tentative="1">
      <w:start w:val="1"/>
      <w:numFmt w:val="bullet"/>
      <w:lvlText w:val=""/>
      <w:lvlJc w:val="left"/>
      <w:pPr>
        <w:ind w:left="4681" w:hanging="360"/>
      </w:pPr>
      <w:rPr>
        <w:rFonts w:ascii="Wingdings" w:hAnsi="Wingdings" w:hint="default"/>
      </w:rPr>
    </w:lvl>
    <w:lvl w:ilvl="6" w:tplc="0C0A0001" w:tentative="1">
      <w:start w:val="1"/>
      <w:numFmt w:val="bullet"/>
      <w:lvlText w:val=""/>
      <w:lvlJc w:val="left"/>
      <w:pPr>
        <w:ind w:left="5401" w:hanging="360"/>
      </w:pPr>
      <w:rPr>
        <w:rFonts w:ascii="Symbol" w:hAnsi="Symbol" w:hint="default"/>
      </w:rPr>
    </w:lvl>
    <w:lvl w:ilvl="7" w:tplc="0C0A0003" w:tentative="1">
      <w:start w:val="1"/>
      <w:numFmt w:val="bullet"/>
      <w:lvlText w:val="o"/>
      <w:lvlJc w:val="left"/>
      <w:pPr>
        <w:ind w:left="6121" w:hanging="360"/>
      </w:pPr>
      <w:rPr>
        <w:rFonts w:ascii="Courier New" w:hAnsi="Courier New" w:cs="Courier New" w:hint="default"/>
      </w:rPr>
    </w:lvl>
    <w:lvl w:ilvl="8" w:tplc="0C0A0005" w:tentative="1">
      <w:start w:val="1"/>
      <w:numFmt w:val="bullet"/>
      <w:lvlText w:val=""/>
      <w:lvlJc w:val="left"/>
      <w:pPr>
        <w:ind w:left="6841" w:hanging="360"/>
      </w:pPr>
      <w:rPr>
        <w:rFonts w:ascii="Wingdings" w:hAnsi="Wingdings" w:hint="default"/>
      </w:rPr>
    </w:lvl>
  </w:abstractNum>
  <w:abstractNum w:abstractNumId="5" w15:restartNumberingAfterBreak="0">
    <w:nsid w:val="479C660D"/>
    <w:multiLevelType w:val="hybridMultilevel"/>
    <w:tmpl w:val="732E0ED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4E9310E4"/>
    <w:multiLevelType w:val="hybridMultilevel"/>
    <w:tmpl w:val="DE0AA884"/>
    <w:lvl w:ilvl="0" w:tplc="D4BA8AB6">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5F4E05A2"/>
    <w:multiLevelType w:val="hybridMultilevel"/>
    <w:tmpl w:val="966A0304"/>
    <w:lvl w:ilvl="0" w:tplc="F04E6CD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AD5879"/>
    <w:multiLevelType w:val="hybridMultilevel"/>
    <w:tmpl w:val="4858D26C"/>
    <w:lvl w:ilvl="0" w:tplc="D4C62B80">
      <w:numFmt w:val="bullet"/>
      <w:lvlText w:val="-"/>
      <w:lvlJc w:val="left"/>
      <w:pPr>
        <w:ind w:left="1429" w:hanging="360"/>
      </w:pPr>
      <w:rPr>
        <w:rFonts w:ascii="Arial" w:eastAsia="Calibri"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4"/>
  </w:num>
  <w:num w:numId="6">
    <w:abstractNumId w:val="8"/>
  </w:num>
  <w:num w:numId="7">
    <w:abstractNumId w:val="6"/>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1"/>
    <w:rsid w:val="00004E76"/>
    <w:rsid w:val="00005ED3"/>
    <w:rsid w:val="0000779A"/>
    <w:rsid w:val="0001065F"/>
    <w:rsid w:val="00026B98"/>
    <w:rsid w:val="00026FC8"/>
    <w:rsid w:val="00031861"/>
    <w:rsid w:val="00032516"/>
    <w:rsid w:val="00033EA1"/>
    <w:rsid w:val="00036108"/>
    <w:rsid w:val="000379C2"/>
    <w:rsid w:val="000428DB"/>
    <w:rsid w:val="000449D8"/>
    <w:rsid w:val="0005456E"/>
    <w:rsid w:val="00055082"/>
    <w:rsid w:val="0005796E"/>
    <w:rsid w:val="00072F35"/>
    <w:rsid w:val="00074B20"/>
    <w:rsid w:val="000777E2"/>
    <w:rsid w:val="000804AF"/>
    <w:rsid w:val="00081B6C"/>
    <w:rsid w:val="000841F3"/>
    <w:rsid w:val="00084691"/>
    <w:rsid w:val="00090356"/>
    <w:rsid w:val="000939F6"/>
    <w:rsid w:val="00096197"/>
    <w:rsid w:val="000A1B02"/>
    <w:rsid w:val="000A3578"/>
    <w:rsid w:val="000A5D82"/>
    <w:rsid w:val="000A60D5"/>
    <w:rsid w:val="000A70D5"/>
    <w:rsid w:val="000B0768"/>
    <w:rsid w:val="000B1B6F"/>
    <w:rsid w:val="000B1FF5"/>
    <w:rsid w:val="000B38D6"/>
    <w:rsid w:val="000B73E0"/>
    <w:rsid w:val="000C26E1"/>
    <w:rsid w:val="000C2EEC"/>
    <w:rsid w:val="000C621C"/>
    <w:rsid w:val="000C6BD2"/>
    <w:rsid w:val="000C70A2"/>
    <w:rsid w:val="000D10D5"/>
    <w:rsid w:val="000D29BC"/>
    <w:rsid w:val="000D62A0"/>
    <w:rsid w:val="000D6807"/>
    <w:rsid w:val="000E0CE4"/>
    <w:rsid w:val="000E4829"/>
    <w:rsid w:val="000E6868"/>
    <w:rsid w:val="000E69FE"/>
    <w:rsid w:val="000E7429"/>
    <w:rsid w:val="000E7EAA"/>
    <w:rsid w:val="000F5512"/>
    <w:rsid w:val="000F5F03"/>
    <w:rsid w:val="001065DD"/>
    <w:rsid w:val="001079FA"/>
    <w:rsid w:val="00110DE9"/>
    <w:rsid w:val="0011311B"/>
    <w:rsid w:val="001146F3"/>
    <w:rsid w:val="001171BA"/>
    <w:rsid w:val="00117BFC"/>
    <w:rsid w:val="00120CB6"/>
    <w:rsid w:val="00123E8F"/>
    <w:rsid w:val="0012680C"/>
    <w:rsid w:val="001278E2"/>
    <w:rsid w:val="001279BD"/>
    <w:rsid w:val="001322A9"/>
    <w:rsid w:val="001418AD"/>
    <w:rsid w:val="00143702"/>
    <w:rsid w:val="001438B8"/>
    <w:rsid w:val="0014564B"/>
    <w:rsid w:val="001457EC"/>
    <w:rsid w:val="001461BA"/>
    <w:rsid w:val="00147A3F"/>
    <w:rsid w:val="00150708"/>
    <w:rsid w:val="00152546"/>
    <w:rsid w:val="001531EB"/>
    <w:rsid w:val="00154A74"/>
    <w:rsid w:val="00156137"/>
    <w:rsid w:val="0015716F"/>
    <w:rsid w:val="0016302E"/>
    <w:rsid w:val="00164F65"/>
    <w:rsid w:val="00167381"/>
    <w:rsid w:val="00176952"/>
    <w:rsid w:val="00186BBF"/>
    <w:rsid w:val="0019609F"/>
    <w:rsid w:val="001963D4"/>
    <w:rsid w:val="001971B9"/>
    <w:rsid w:val="001A1EA0"/>
    <w:rsid w:val="001A2DFB"/>
    <w:rsid w:val="001A7AB2"/>
    <w:rsid w:val="001B2E56"/>
    <w:rsid w:val="001B312A"/>
    <w:rsid w:val="001B7BB7"/>
    <w:rsid w:val="001C3B34"/>
    <w:rsid w:val="001C5C29"/>
    <w:rsid w:val="001C60E2"/>
    <w:rsid w:val="001E0E96"/>
    <w:rsid w:val="001E5FA7"/>
    <w:rsid w:val="001E7AA1"/>
    <w:rsid w:val="001F3986"/>
    <w:rsid w:val="001F4054"/>
    <w:rsid w:val="001F51A8"/>
    <w:rsid w:val="001F6C78"/>
    <w:rsid w:val="001F7A39"/>
    <w:rsid w:val="001F7E51"/>
    <w:rsid w:val="00201CB8"/>
    <w:rsid w:val="002042DE"/>
    <w:rsid w:val="00205DD7"/>
    <w:rsid w:val="00207F74"/>
    <w:rsid w:val="00207FB9"/>
    <w:rsid w:val="002103FB"/>
    <w:rsid w:val="002133F8"/>
    <w:rsid w:val="002150D5"/>
    <w:rsid w:val="00215356"/>
    <w:rsid w:val="00217EA2"/>
    <w:rsid w:val="002217FE"/>
    <w:rsid w:val="0022237F"/>
    <w:rsid w:val="002226BE"/>
    <w:rsid w:val="00222F97"/>
    <w:rsid w:val="00223043"/>
    <w:rsid w:val="00224AFA"/>
    <w:rsid w:val="00227A95"/>
    <w:rsid w:val="00227C77"/>
    <w:rsid w:val="00233D01"/>
    <w:rsid w:val="00234BE0"/>
    <w:rsid w:val="00244C98"/>
    <w:rsid w:val="002452EF"/>
    <w:rsid w:val="002455D4"/>
    <w:rsid w:val="00245EDB"/>
    <w:rsid w:val="00253A2C"/>
    <w:rsid w:val="00257218"/>
    <w:rsid w:val="002613DF"/>
    <w:rsid w:val="00261DA1"/>
    <w:rsid w:val="00265A90"/>
    <w:rsid w:val="00265F4C"/>
    <w:rsid w:val="0027136C"/>
    <w:rsid w:val="002720B3"/>
    <w:rsid w:val="0027251D"/>
    <w:rsid w:val="00280F39"/>
    <w:rsid w:val="00281B09"/>
    <w:rsid w:val="00282863"/>
    <w:rsid w:val="00283E60"/>
    <w:rsid w:val="00287624"/>
    <w:rsid w:val="00294B33"/>
    <w:rsid w:val="002951DC"/>
    <w:rsid w:val="002A160A"/>
    <w:rsid w:val="002A5260"/>
    <w:rsid w:val="002A6679"/>
    <w:rsid w:val="002B1B8F"/>
    <w:rsid w:val="002B207F"/>
    <w:rsid w:val="002B45E5"/>
    <w:rsid w:val="002B6112"/>
    <w:rsid w:val="002D2B32"/>
    <w:rsid w:val="002D5060"/>
    <w:rsid w:val="002E11E9"/>
    <w:rsid w:val="002E5AFF"/>
    <w:rsid w:val="002E63FC"/>
    <w:rsid w:val="002E75DD"/>
    <w:rsid w:val="002F39A6"/>
    <w:rsid w:val="002F3AAD"/>
    <w:rsid w:val="002F646B"/>
    <w:rsid w:val="00303338"/>
    <w:rsid w:val="003047C8"/>
    <w:rsid w:val="00304946"/>
    <w:rsid w:val="00310438"/>
    <w:rsid w:val="00312AA1"/>
    <w:rsid w:val="0031544D"/>
    <w:rsid w:val="00316F41"/>
    <w:rsid w:val="00320D8F"/>
    <w:rsid w:val="00321BBE"/>
    <w:rsid w:val="00321E94"/>
    <w:rsid w:val="003225C4"/>
    <w:rsid w:val="00326825"/>
    <w:rsid w:val="00327FCC"/>
    <w:rsid w:val="003309BE"/>
    <w:rsid w:val="00331703"/>
    <w:rsid w:val="003347AD"/>
    <w:rsid w:val="003462E4"/>
    <w:rsid w:val="00346EC7"/>
    <w:rsid w:val="00360933"/>
    <w:rsid w:val="00365BA9"/>
    <w:rsid w:val="003671AC"/>
    <w:rsid w:val="00370721"/>
    <w:rsid w:val="00371D68"/>
    <w:rsid w:val="00372E86"/>
    <w:rsid w:val="00385474"/>
    <w:rsid w:val="003911C0"/>
    <w:rsid w:val="00391AF3"/>
    <w:rsid w:val="00395DD8"/>
    <w:rsid w:val="00395FFB"/>
    <w:rsid w:val="003A0B3A"/>
    <w:rsid w:val="003A343B"/>
    <w:rsid w:val="003A36E7"/>
    <w:rsid w:val="003A407B"/>
    <w:rsid w:val="003A53EA"/>
    <w:rsid w:val="003A5650"/>
    <w:rsid w:val="003A779F"/>
    <w:rsid w:val="003B09B3"/>
    <w:rsid w:val="003B7251"/>
    <w:rsid w:val="003B778E"/>
    <w:rsid w:val="003C29C7"/>
    <w:rsid w:val="003C5E26"/>
    <w:rsid w:val="003C633A"/>
    <w:rsid w:val="003C6537"/>
    <w:rsid w:val="003C6857"/>
    <w:rsid w:val="003C762A"/>
    <w:rsid w:val="003D2504"/>
    <w:rsid w:val="003D37F9"/>
    <w:rsid w:val="003D6D08"/>
    <w:rsid w:val="003E067B"/>
    <w:rsid w:val="003E07E3"/>
    <w:rsid w:val="003E3872"/>
    <w:rsid w:val="003E64CD"/>
    <w:rsid w:val="003E6D10"/>
    <w:rsid w:val="003F0972"/>
    <w:rsid w:val="003F09FA"/>
    <w:rsid w:val="003F0A9C"/>
    <w:rsid w:val="003F0DB9"/>
    <w:rsid w:val="003F17F1"/>
    <w:rsid w:val="003F1A33"/>
    <w:rsid w:val="003F3893"/>
    <w:rsid w:val="003F6D6F"/>
    <w:rsid w:val="004029D0"/>
    <w:rsid w:val="004052A0"/>
    <w:rsid w:val="0041121A"/>
    <w:rsid w:val="00412F59"/>
    <w:rsid w:val="00412F9D"/>
    <w:rsid w:val="0041305F"/>
    <w:rsid w:val="00416E5D"/>
    <w:rsid w:val="00416ECE"/>
    <w:rsid w:val="0042307B"/>
    <w:rsid w:val="00434543"/>
    <w:rsid w:val="00435704"/>
    <w:rsid w:val="00436C97"/>
    <w:rsid w:val="00437774"/>
    <w:rsid w:val="00440F66"/>
    <w:rsid w:val="004435F7"/>
    <w:rsid w:val="00452948"/>
    <w:rsid w:val="00455DA3"/>
    <w:rsid w:val="00467BC2"/>
    <w:rsid w:val="00472202"/>
    <w:rsid w:val="004740E6"/>
    <w:rsid w:val="00476ED6"/>
    <w:rsid w:val="004803CB"/>
    <w:rsid w:val="00480EEF"/>
    <w:rsid w:val="004816DA"/>
    <w:rsid w:val="00482D4F"/>
    <w:rsid w:val="00482EF7"/>
    <w:rsid w:val="00483118"/>
    <w:rsid w:val="00484CCF"/>
    <w:rsid w:val="00487240"/>
    <w:rsid w:val="00490419"/>
    <w:rsid w:val="004A516E"/>
    <w:rsid w:val="004B6939"/>
    <w:rsid w:val="004B730C"/>
    <w:rsid w:val="004C0C3E"/>
    <w:rsid w:val="004C139D"/>
    <w:rsid w:val="004D6AFC"/>
    <w:rsid w:val="004D6F60"/>
    <w:rsid w:val="004D77D6"/>
    <w:rsid w:val="004E4493"/>
    <w:rsid w:val="004F04EF"/>
    <w:rsid w:val="004F1C39"/>
    <w:rsid w:val="004F2F68"/>
    <w:rsid w:val="004F492B"/>
    <w:rsid w:val="004F50D4"/>
    <w:rsid w:val="004F5A0E"/>
    <w:rsid w:val="004F67FA"/>
    <w:rsid w:val="004F6B81"/>
    <w:rsid w:val="00505065"/>
    <w:rsid w:val="0050663F"/>
    <w:rsid w:val="005109EC"/>
    <w:rsid w:val="00512E3E"/>
    <w:rsid w:val="00514515"/>
    <w:rsid w:val="00515F80"/>
    <w:rsid w:val="00526B83"/>
    <w:rsid w:val="00526FD6"/>
    <w:rsid w:val="00530D2F"/>
    <w:rsid w:val="0053368B"/>
    <w:rsid w:val="005357DC"/>
    <w:rsid w:val="00537E0F"/>
    <w:rsid w:val="00543DEE"/>
    <w:rsid w:val="00546840"/>
    <w:rsid w:val="005478C3"/>
    <w:rsid w:val="00550AA6"/>
    <w:rsid w:val="00552349"/>
    <w:rsid w:val="00553875"/>
    <w:rsid w:val="00557D10"/>
    <w:rsid w:val="005621C6"/>
    <w:rsid w:val="005678BA"/>
    <w:rsid w:val="00574913"/>
    <w:rsid w:val="00580B20"/>
    <w:rsid w:val="00581FCB"/>
    <w:rsid w:val="0058641E"/>
    <w:rsid w:val="0059150C"/>
    <w:rsid w:val="00595993"/>
    <w:rsid w:val="00597515"/>
    <w:rsid w:val="005A0A23"/>
    <w:rsid w:val="005A1E07"/>
    <w:rsid w:val="005B1A78"/>
    <w:rsid w:val="005C0D0B"/>
    <w:rsid w:val="005C3965"/>
    <w:rsid w:val="005C4E21"/>
    <w:rsid w:val="005C5B9C"/>
    <w:rsid w:val="005C6541"/>
    <w:rsid w:val="005D0354"/>
    <w:rsid w:val="005D2415"/>
    <w:rsid w:val="005E131A"/>
    <w:rsid w:val="005F7794"/>
    <w:rsid w:val="006023FB"/>
    <w:rsid w:val="00603133"/>
    <w:rsid w:val="00603481"/>
    <w:rsid w:val="0060350E"/>
    <w:rsid w:val="00603881"/>
    <w:rsid w:val="00605910"/>
    <w:rsid w:val="006127D3"/>
    <w:rsid w:val="00613BAF"/>
    <w:rsid w:val="00616340"/>
    <w:rsid w:val="006174BB"/>
    <w:rsid w:val="006178BF"/>
    <w:rsid w:val="00621546"/>
    <w:rsid w:val="00621609"/>
    <w:rsid w:val="00630BD4"/>
    <w:rsid w:val="00634730"/>
    <w:rsid w:val="00637147"/>
    <w:rsid w:val="006410D8"/>
    <w:rsid w:val="0064147C"/>
    <w:rsid w:val="00641BC5"/>
    <w:rsid w:val="00642E2C"/>
    <w:rsid w:val="006443D5"/>
    <w:rsid w:val="006519EA"/>
    <w:rsid w:val="0065457F"/>
    <w:rsid w:val="00657178"/>
    <w:rsid w:val="0066290F"/>
    <w:rsid w:val="0066340B"/>
    <w:rsid w:val="006661CC"/>
    <w:rsid w:val="00667D23"/>
    <w:rsid w:val="00675722"/>
    <w:rsid w:val="00676FC6"/>
    <w:rsid w:val="00680185"/>
    <w:rsid w:val="00681113"/>
    <w:rsid w:val="00684713"/>
    <w:rsid w:val="006873F8"/>
    <w:rsid w:val="006902CD"/>
    <w:rsid w:val="0069534B"/>
    <w:rsid w:val="0069594A"/>
    <w:rsid w:val="00696DC8"/>
    <w:rsid w:val="006973FE"/>
    <w:rsid w:val="00697C8C"/>
    <w:rsid w:val="006A0CF8"/>
    <w:rsid w:val="006A0FDB"/>
    <w:rsid w:val="006A60B8"/>
    <w:rsid w:val="006A679D"/>
    <w:rsid w:val="006B2631"/>
    <w:rsid w:val="006B4ADB"/>
    <w:rsid w:val="006B7A66"/>
    <w:rsid w:val="006C3371"/>
    <w:rsid w:val="006C363C"/>
    <w:rsid w:val="006C5EC8"/>
    <w:rsid w:val="006D15BD"/>
    <w:rsid w:val="006E4558"/>
    <w:rsid w:val="006E6712"/>
    <w:rsid w:val="006E716F"/>
    <w:rsid w:val="006F2CCD"/>
    <w:rsid w:val="006F68E4"/>
    <w:rsid w:val="006F7CBD"/>
    <w:rsid w:val="007008CB"/>
    <w:rsid w:val="00700DFA"/>
    <w:rsid w:val="00701530"/>
    <w:rsid w:val="00703973"/>
    <w:rsid w:val="007064B8"/>
    <w:rsid w:val="007140C3"/>
    <w:rsid w:val="00714EBA"/>
    <w:rsid w:val="00715AE9"/>
    <w:rsid w:val="00716C64"/>
    <w:rsid w:val="00717D8D"/>
    <w:rsid w:val="00717E05"/>
    <w:rsid w:val="00722E0A"/>
    <w:rsid w:val="00732C1F"/>
    <w:rsid w:val="007357EE"/>
    <w:rsid w:val="00737649"/>
    <w:rsid w:val="007377D3"/>
    <w:rsid w:val="00743CBF"/>
    <w:rsid w:val="00746838"/>
    <w:rsid w:val="0075131F"/>
    <w:rsid w:val="0075555F"/>
    <w:rsid w:val="0075690E"/>
    <w:rsid w:val="00760C41"/>
    <w:rsid w:val="007614EC"/>
    <w:rsid w:val="00763B5C"/>
    <w:rsid w:val="00764432"/>
    <w:rsid w:val="007760E6"/>
    <w:rsid w:val="00776211"/>
    <w:rsid w:val="00782D71"/>
    <w:rsid w:val="00782F77"/>
    <w:rsid w:val="00785471"/>
    <w:rsid w:val="007878E0"/>
    <w:rsid w:val="007918F5"/>
    <w:rsid w:val="007949C2"/>
    <w:rsid w:val="00796C10"/>
    <w:rsid w:val="007A04FB"/>
    <w:rsid w:val="007A069F"/>
    <w:rsid w:val="007A4C70"/>
    <w:rsid w:val="007A5FD2"/>
    <w:rsid w:val="007B0E72"/>
    <w:rsid w:val="007B243A"/>
    <w:rsid w:val="007B2770"/>
    <w:rsid w:val="007B3221"/>
    <w:rsid w:val="007B4261"/>
    <w:rsid w:val="007B49DC"/>
    <w:rsid w:val="007B5057"/>
    <w:rsid w:val="007B6A2C"/>
    <w:rsid w:val="007C0786"/>
    <w:rsid w:val="007C47F9"/>
    <w:rsid w:val="007C6863"/>
    <w:rsid w:val="007C6979"/>
    <w:rsid w:val="007C7DC9"/>
    <w:rsid w:val="007D2404"/>
    <w:rsid w:val="007D6D99"/>
    <w:rsid w:val="007D7B17"/>
    <w:rsid w:val="007E49F3"/>
    <w:rsid w:val="007E742F"/>
    <w:rsid w:val="007F0193"/>
    <w:rsid w:val="007F103A"/>
    <w:rsid w:val="007F2C06"/>
    <w:rsid w:val="007F6A4B"/>
    <w:rsid w:val="008054FE"/>
    <w:rsid w:val="00805C4E"/>
    <w:rsid w:val="008168CA"/>
    <w:rsid w:val="0081791C"/>
    <w:rsid w:val="0082328E"/>
    <w:rsid w:val="008265FD"/>
    <w:rsid w:val="00827E0B"/>
    <w:rsid w:val="00827F0D"/>
    <w:rsid w:val="008329D0"/>
    <w:rsid w:val="00837939"/>
    <w:rsid w:val="00837AED"/>
    <w:rsid w:val="008412CC"/>
    <w:rsid w:val="00842CE7"/>
    <w:rsid w:val="00842D14"/>
    <w:rsid w:val="0084476C"/>
    <w:rsid w:val="00844DC9"/>
    <w:rsid w:val="0085262C"/>
    <w:rsid w:val="008537FD"/>
    <w:rsid w:val="00853D6C"/>
    <w:rsid w:val="00855AE3"/>
    <w:rsid w:val="00863836"/>
    <w:rsid w:val="00865627"/>
    <w:rsid w:val="00865AF1"/>
    <w:rsid w:val="00866DC9"/>
    <w:rsid w:val="00870912"/>
    <w:rsid w:val="00870C1B"/>
    <w:rsid w:val="0087263E"/>
    <w:rsid w:val="00872BAF"/>
    <w:rsid w:val="00880972"/>
    <w:rsid w:val="0088206B"/>
    <w:rsid w:val="00884090"/>
    <w:rsid w:val="00887A21"/>
    <w:rsid w:val="00887E1B"/>
    <w:rsid w:val="00891C78"/>
    <w:rsid w:val="008A0F6D"/>
    <w:rsid w:val="008A3E44"/>
    <w:rsid w:val="008A4723"/>
    <w:rsid w:val="008B1CED"/>
    <w:rsid w:val="008B65E8"/>
    <w:rsid w:val="008C2787"/>
    <w:rsid w:val="008C557D"/>
    <w:rsid w:val="008C5903"/>
    <w:rsid w:val="008C63D1"/>
    <w:rsid w:val="008D6751"/>
    <w:rsid w:val="008D7A88"/>
    <w:rsid w:val="008E19CE"/>
    <w:rsid w:val="008E2FA0"/>
    <w:rsid w:val="008E4BB2"/>
    <w:rsid w:val="008E5B65"/>
    <w:rsid w:val="008F0F7F"/>
    <w:rsid w:val="008F215D"/>
    <w:rsid w:val="008F4C7B"/>
    <w:rsid w:val="008F548C"/>
    <w:rsid w:val="008F6274"/>
    <w:rsid w:val="00901B66"/>
    <w:rsid w:val="009031E3"/>
    <w:rsid w:val="0090382D"/>
    <w:rsid w:val="00907082"/>
    <w:rsid w:val="0091060E"/>
    <w:rsid w:val="00913C4A"/>
    <w:rsid w:val="00914532"/>
    <w:rsid w:val="00917C42"/>
    <w:rsid w:val="00921522"/>
    <w:rsid w:val="00923D4F"/>
    <w:rsid w:val="00924968"/>
    <w:rsid w:val="00925990"/>
    <w:rsid w:val="00934A2D"/>
    <w:rsid w:val="00935FBA"/>
    <w:rsid w:val="00937555"/>
    <w:rsid w:val="00945194"/>
    <w:rsid w:val="009470AA"/>
    <w:rsid w:val="00951F90"/>
    <w:rsid w:val="00954228"/>
    <w:rsid w:val="00962DBE"/>
    <w:rsid w:val="009633FD"/>
    <w:rsid w:val="0096590A"/>
    <w:rsid w:val="00971069"/>
    <w:rsid w:val="00973A16"/>
    <w:rsid w:val="0097672C"/>
    <w:rsid w:val="00977A3A"/>
    <w:rsid w:val="00981172"/>
    <w:rsid w:val="009836A4"/>
    <w:rsid w:val="00990318"/>
    <w:rsid w:val="0099073E"/>
    <w:rsid w:val="0099442B"/>
    <w:rsid w:val="009A2679"/>
    <w:rsid w:val="009A41C1"/>
    <w:rsid w:val="009B181B"/>
    <w:rsid w:val="009B1E73"/>
    <w:rsid w:val="009B2B16"/>
    <w:rsid w:val="009B6C60"/>
    <w:rsid w:val="009B7A73"/>
    <w:rsid w:val="009C1B1D"/>
    <w:rsid w:val="009C6F6A"/>
    <w:rsid w:val="009D1378"/>
    <w:rsid w:val="009D2894"/>
    <w:rsid w:val="009D30D0"/>
    <w:rsid w:val="009D69C4"/>
    <w:rsid w:val="009D7EE2"/>
    <w:rsid w:val="009E684A"/>
    <w:rsid w:val="009E6E2C"/>
    <w:rsid w:val="009E72A2"/>
    <w:rsid w:val="009F1DCC"/>
    <w:rsid w:val="009F21A0"/>
    <w:rsid w:val="009F22E9"/>
    <w:rsid w:val="009F471A"/>
    <w:rsid w:val="009F696A"/>
    <w:rsid w:val="009F7B76"/>
    <w:rsid w:val="00A0107D"/>
    <w:rsid w:val="00A048C3"/>
    <w:rsid w:val="00A04AAD"/>
    <w:rsid w:val="00A05C9E"/>
    <w:rsid w:val="00A06605"/>
    <w:rsid w:val="00A10634"/>
    <w:rsid w:val="00A11403"/>
    <w:rsid w:val="00A12415"/>
    <w:rsid w:val="00A14792"/>
    <w:rsid w:val="00A15A51"/>
    <w:rsid w:val="00A25491"/>
    <w:rsid w:val="00A259C1"/>
    <w:rsid w:val="00A26288"/>
    <w:rsid w:val="00A30BA4"/>
    <w:rsid w:val="00A4268E"/>
    <w:rsid w:val="00A437C7"/>
    <w:rsid w:val="00A44A86"/>
    <w:rsid w:val="00A45C99"/>
    <w:rsid w:val="00A501C6"/>
    <w:rsid w:val="00A523F4"/>
    <w:rsid w:val="00A55176"/>
    <w:rsid w:val="00A55A18"/>
    <w:rsid w:val="00A63265"/>
    <w:rsid w:val="00A64F3F"/>
    <w:rsid w:val="00A650E9"/>
    <w:rsid w:val="00A717C9"/>
    <w:rsid w:val="00A80FDE"/>
    <w:rsid w:val="00A8134E"/>
    <w:rsid w:val="00A821EF"/>
    <w:rsid w:val="00A9099F"/>
    <w:rsid w:val="00A915AD"/>
    <w:rsid w:val="00A9491E"/>
    <w:rsid w:val="00AA23CF"/>
    <w:rsid w:val="00AA2AA4"/>
    <w:rsid w:val="00AA6004"/>
    <w:rsid w:val="00AA6F90"/>
    <w:rsid w:val="00AB1796"/>
    <w:rsid w:val="00AB6575"/>
    <w:rsid w:val="00AC04B4"/>
    <w:rsid w:val="00AC10B3"/>
    <w:rsid w:val="00AC1596"/>
    <w:rsid w:val="00AC2971"/>
    <w:rsid w:val="00AC43FC"/>
    <w:rsid w:val="00AC619B"/>
    <w:rsid w:val="00AC663F"/>
    <w:rsid w:val="00AD0378"/>
    <w:rsid w:val="00AD39CC"/>
    <w:rsid w:val="00AD5768"/>
    <w:rsid w:val="00AD7B6F"/>
    <w:rsid w:val="00AE26AE"/>
    <w:rsid w:val="00AE55CF"/>
    <w:rsid w:val="00AE718E"/>
    <w:rsid w:val="00AE7A0B"/>
    <w:rsid w:val="00AF07D1"/>
    <w:rsid w:val="00AF4F67"/>
    <w:rsid w:val="00B03F5D"/>
    <w:rsid w:val="00B05C3E"/>
    <w:rsid w:val="00B0721B"/>
    <w:rsid w:val="00B13D2A"/>
    <w:rsid w:val="00B14E07"/>
    <w:rsid w:val="00B17597"/>
    <w:rsid w:val="00B2294B"/>
    <w:rsid w:val="00B22FB5"/>
    <w:rsid w:val="00B32F4D"/>
    <w:rsid w:val="00B43441"/>
    <w:rsid w:val="00B51D65"/>
    <w:rsid w:val="00B56D04"/>
    <w:rsid w:val="00B576EC"/>
    <w:rsid w:val="00B6088D"/>
    <w:rsid w:val="00B60EF5"/>
    <w:rsid w:val="00B63718"/>
    <w:rsid w:val="00B63B80"/>
    <w:rsid w:val="00B65B43"/>
    <w:rsid w:val="00B66417"/>
    <w:rsid w:val="00B70E32"/>
    <w:rsid w:val="00B7195E"/>
    <w:rsid w:val="00B761D7"/>
    <w:rsid w:val="00B852EA"/>
    <w:rsid w:val="00B91034"/>
    <w:rsid w:val="00B94DEA"/>
    <w:rsid w:val="00BB1AFA"/>
    <w:rsid w:val="00BB2FC5"/>
    <w:rsid w:val="00BB51F6"/>
    <w:rsid w:val="00BB5265"/>
    <w:rsid w:val="00BC1191"/>
    <w:rsid w:val="00BC2237"/>
    <w:rsid w:val="00BC4559"/>
    <w:rsid w:val="00BC632B"/>
    <w:rsid w:val="00BC64D7"/>
    <w:rsid w:val="00BC7B17"/>
    <w:rsid w:val="00BD07A7"/>
    <w:rsid w:val="00BD5542"/>
    <w:rsid w:val="00BF09EC"/>
    <w:rsid w:val="00BF43B6"/>
    <w:rsid w:val="00C016ED"/>
    <w:rsid w:val="00C066D6"/>
    <w:rsid w:val="00C0715E"/>
    <w:rsid w:val="00C10D07"/>
    <w:rsid w:val="00C11B63"/>
    <w:rsid w:val="00C13EC3"/>
    <w:rsid w:val="00C14475"/>
    <w:rsid w:val="00C14F84"/>
    <w:rsid w:val="00C22015"/>
    <w:rsid w:val="00C22D52"/>
    <w:rsid w:val="00C265ED"/>
    <w:rsid w:val="00C27104"/>
    <w:rsid w:val="00C30D96"/>
    <w:rsid w:val="00C37697"/>
    <w:rsid w:val="00C40A32"/>
    <w:rsid w:val="00C451CA"/>
    <w:rsid w:val="00C45941"/>
    <w:rsid w:val="00C4779B"/>
    <w:rsid w:val="00C50AC0"/>
    <w:rsid w:val="00C5272E"/>
    <w:rsid w:val="00C53DBB"/>
    <w:rsid w:val="00C57650"/>
    <w:rsid w:val="00C603EA"/>
    <w:rsid w:val="00C62F39"/>
    <w:rsid w:val="00C64ADE"/>
    <w:rsid w:val="00C70126"/>
    <w:rsid w:val="00C708DE"/>
    <w:rsid w:val="00C717A5"/>
    <w:rsid w:val="00C72907"/>
    <w:rsid w:val="00C74525"/>
    <w:rsid w:val="00C74723"/>
    <w:rsid w:val="00C83CFE"/>
    <w:rsid w:val="00C840BC"/>
    <w:rsid w:val="00C85ECB"/>
    <w:rsid w:val="00C940FF"/>
    <w:rsid w:val="00C94B30"/>
    <w:rsid w:val="00C97BB0"/>
    <w:rsid w:val="00CA0818"/>
    <w:rsid w:val="00CA3888"/>
    <w:rsid w:val="00CA4310"/>
    <w:rsid w:val="00CA7131"/>
    <w:rsid w:val="00CB1585"/>
    <w:rsid w:val="00CB6A5E"/>
    <w:rsid w:val="00CB6F93"/>
    <w:rsid w:val="00CC2FDA"/>
    <w:rsid w:val="00CC4D1A"/>
    <w:rsid w:val="00CC6464"/>
    <w:rsid w:val="00CC7C20"/>
    <w:rsid w:val="00CD412C"/>
    <w:rsid w:val="00CD74FC"/>
    <w:rsid w:val="00CD7D2C"/>
    <w:rsid w:val="00CE2045"/>
    <w:rsid w:val="00CF20CE"/>
    <w:rsid w:val="00CF2C26"/>
    <w:rsid w:val="00CF4BFD"/>
    <w:rsid w:val="00D01013"/>
    <w:rsid w:val="00D02663"/>
    <w:rsid w:val="00D033AA"/>
    <w:rsid w:val="00D10E28"/>
    <w:rsid w:val="00D215EC"/>
    <w:rsid w:val="00D23E6B"/>
    <w:rsid w:val="00D26066"/>
    <w:rsid w:val="00D31F5E"/>
    <w:rsid w:val="00D3206E"/>
    <w:rsid w:val="00D330C0"/>
    <w:rsid w:val="00D334E4"/>
    <w:rsid w:val="00D360C1"/>
    <w:rsid w:val="00D36FF4"/>
    <w:rsid w:val="00D377B9"/>
    <w:rsid w:val="00D40483"/>
    <w:rsid w:val="00D4109C"/>
    <w:rsid w:val="00D4760C"/>
    <w:rsid w:val="00D52D7C"/>
    <w:rsid w:val="00D53E9A"/>
    <w:rsid w:val="00D576BA"/>
    <w:rsid w:val="00D62701"/>
    <w:rsid w:val="00D6689C"/>
    <w:rsid w:val="00D670BD"/>
    <w:rsid w:val="00D704B6"/>
    <w:rsid w:val="00D73ED0"/>
    <w:rsid w:val="00D755B7"/>
    <w:rsid w:val="00D7635E"/>
    <w:rsid w:val="00D76A25"/>
    <w:rsid w:val="00D80395"/>
    <w:rsid w:val="00D8044A"/>
    <w:rsid w:val="00D81209"/>
    <w:rsid w:val="00D8169B"/>
    <w:rsid w:val="00D91D9A"/>
    <w:rsid w:val="00D96490"/>
    <w:rsid w:val="00DA0A41"/>
    <w:rsid w:val="00DA30F6"/>
    <w:rsid w:val="00DA4F62"/>
    <w:rsid w:val="00DB0C64"/>
    <w:rsid w:val="00DB4BA9"/>
    <w:rsid w:val="00DB6125"/>
    <w:rsid w:val="00DB6361"/>
    <w:rsid w:val="00DB64EF"/>
    <w:rsid w:val="00DB7F6E"/>
    <w:rsid w:val="00DC5072"/>
    <w:rsid w:val="00DD1C74"/>
    <w:rsid w:val="00DD4CB1"/>
    <w:rsid w:val="00DE08C3"/>
    <w:rsid w:val="00DE100B"/>
    <w:rsid w:val="00DE20E2"/>
    <w:rsid w:val="00DE2E5C"/>
    <w:rsid w:val="00DE5293"/>
    <w:rsid w:val="00DF3273"/>
    <w:rsid w:val="00DF4166"/>
    <w:rsid w:val="00DF424B"/>
    <w:rsid w:val="00DF5BF3"/>
    <w:rsid w:val="00E0720A"/>
    <w:rsid w:val="00E077A4"/>
    <w:rsid w:val="00E0785B"/>
    <w:rsid w:val="00E11238"/>
    <w:rsid w:val="00E14364"/>
    <w:rsid w:val="00E159D0"/>
    <w:rsid w:val="00E205B4"/>
    <w:rsid w:val="00E21722"/>
    <w:rsid w:val="00E30498"/>
    <w:rsid w:val="00E3058C"/>
    <w:rsid w:val="00E31B31"/>
    <w:rsid w:val="00E3795A"/>
    <w:rsid w:val="00E41A3F"/>
    <w:rsid w:val="00E50AD8"/>
    <w:rsid w:val="00E51B00"/>
    <w:rsid w:val="00E565A1"/>
    <w:rsid w:val="00E57242"/>
    <w:rsid w:val="00E57EB0"/>
    <w:rsid w:val="00E62FE7"/>
    <w:rsid w:val="00E70C43"/>
    <w:rsid w:val="00E71B17"/>
    <w:rsid w:val="00E76864"/>
    <w:rsid w:val="00E857AC"/>
    <w:rsid w:val="00E85821"/>
    <w:rsid w:val="00E87E30"/>
    <w:rsid w:val="00E90180"/>
    <w:rsid w:val="00E907F6"/>
    <w:rsid w:val="00E9274E"/>
    <w:rsid w:val="00E93B26"/>
    <w:rsid w:val="00E9491A"/>
    <w:rsid w:val="00E94B28"/>
    <w:rsid w:val="00E95A32"/>
    <w:rsid w:val="00EA101B"/>
    <w:rsid w:val="00EA1D87"/>
    <w:rsid w:val="00EA6021"/>
    <w:rsid w:val="00EB3822"/>
    <w:rsid w:val="00EB426F"/>
    <w:rsid w:val="00EB4690"/>
    <w:rsid w:val="00EB5BAE"/>
    <w:rsid w:val="00EB611B"/>
    <w:rsid w:val="00EB649B"/>
    <w:rsid w:val="00EB712C"/>
    <w:rsid w:val="00EB779B"/>
    <w:rsid w:val="00EC119E"/>
    <w:rsid w:val="00EC20EF"/>
    <w:rsid w:val="00EC45E8"/>
    <w:rsid w:val="00EC66AF"/>
    <w:rsid w:val="00ED23D8"/>
    <w:rsid w:val="00ED2BF8"/>
    <w:rsid w:val="00ED2DCD"/>
    <w:rsid w:val="00ED3388"/>
    <w:rsid w:val="00EE4F21"/>
    <w:rsid w:val="00F01B5E"/>
    <w:rsid w:val="00F0435A"/>
    <w:rsid w:val="00F22B7F"/>
    <w:rsid w:val="00F4207A"/>
    <w:rsid w:val="00F42D11"/>
    <w:rsid w:val="00F43D44"/>
    <w:rsid w:val="00F44996"/>
    <w:rsid w:val="00F4685A"/>
    <w:rsid w:val="00F506CC"/>
    <w:rsid w:val="00F514CB"/>
    <w:rsid w:val="00F56194"/>
    <w:rsid w:val="00F60263"/>
    <w:rsid w:val="00F718D1"/>
    <w:rsid w:val="00F71E79"/>
    <w:rsid w:val="00F7799A"/>
    <w:rsid w:val="00F77E6E"/>
    <w:rsid w:val="00F800CD"/>
    <w:rsid w:val="00F94716"/>
    <w:rsid w:val="00F97C98"/>
    <w:rsid w:val="00FA0391"/>
    <w:rsid w:val="00FA45EF"/>
    <w:rsid w:val="00FA6CA6"/>
    <w:rsid w:val="00FB25CC"/>
    <w:rsid w:val="00FC3CB0"/>
    <w:rsid w:val="00FC6CB8"/>
    <w:rsid w:val="00FC7FAE"/>
    <w:rsid w:val="00FD524A"/>
    <w:rsid w:val="00FD57D1"/>
    <w:rsid w:val="00FD66B4"/>
    <w:rsid w:val="00FE033F"/>
    <w:rsid w:val="00FE3907"/>
    <w:rsid w:val="00FE3D0C"/>
    <w:rsid w:val="00FE59A4"/>
    <w:rsid w:val="00FF38D9"/>
    <w:rsid w:val="00FF3C1C"/>
    <w:rsid w:val="00FF401A"/>
    <w:rsid w:val="00FF54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79142"/>
  <w15:docId w15:val="{146DF9BE-B338-4803-AA1A-37B39EA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691"/>
    <w:rPr>
      <w:rFonts w:ascii="Verdana" w:hAnsi="Verdana"/>
      <w:sz w:val="24"/>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Car1,Encabezado Car Car,Encabezado Car1 Car Car,Encabezado Car Car Car1 Car,Encabezado Car1 Car Car Car Car,Encabezado Car Car Car1 Car Car Car,Encabezado Car1 Car Car Car Car Car Car,Encabezado Car Car Car1 Car Car Car Car Car"/>
    <w:basedOn w:val="Normal"/>
    <w:link w:val="HeaderChar"/>
    <w:uiPriority w:val="99"/>
    <w:rsid w:val="00084691"/>
    <w:pPr>
      <w:tabs>
        <w:tab w:val="center" w:pos="4252"/>
        <w:tab w:val="right" w:pos="8504"/>
      </w:tabs>
    </w:pPr>
  </w:style>
  <w:style w:type="paragraph" w:styleId="Footer">
    <w:name w:val="footer"/>
    <w:basedOn w:val="Normal"/>
    <w:link w:val="FooterChar"/>
    <w:rsid w:val="00084691"/>
    <w:pPr>
      <w:tabs>
        <w:tab w:val="center" w:pos="4252"/>
        <w:tab w:val="right" w:pos="8504"/>
      </w:tabs>
    </w:pPr>
  </w:style>
  <w:style w:type="character" w:customStyle="1" w:styleId="HeaderChar">
    <w:name w:val="Header Char"/>
    <w:aliases w:val="Encabezado Car1 Char,Encabezado Car Car Char,Encabezado Car1 Car Car Char,Encabezado Car Car Car1 Car Char,Encabezado Car1 Car Car Car Car Char,Encabezado Car Car Car1 Car Car Car Char,Encabezado Car1 Car Car Car Car Car Car Char"/>
    <w:link w:val="Header"/>
    <w:uiPriority w:val="99"/>
    <w:rsid w:val="00084691"/>
    <w:rPr>
      <w:rFonts w:ascii="Verdana" w:hAnsi="Verdana"/>
      <w:sz w:val="24"/>
      <w:szCs w:val="22"/>
      <w:lang w:val="fr-FR" w:eastAsia="es-ES" w:bidi="ar-SA"/>
    </w:rPr>
  </w:style>
  <w:style w:type="character" w:styleId="PageNumber">
    <w:name w:val="page number"/>
    <w:basedOn w:val="DefaultParagraphFont"/>
    <w:rsid w:val="00084691"/>
  </w:style>
  <w:style w:type="character" w:customStyle="1" w:styleId="FooterChar">
    <w:name w:val="Footer Char"/>
    <w:link w:val="Footer"/>
    <w:rsid w:val="00084691"/>
    <w:rPr>
      <w:rFonts w:ascii="Verdana" w:hAnsi="Verdana"/>
      <w:sz w:val="24"/>
      <w:szCs w:val="22"/>
      <w:lang w:val="fr-FR" w:eastAsia="es-ES" w:bidi="ar-SA"/>
    </w:rPr>
  </w:style>
  <w:style w:type="paragraph" w:styleId="BalloonText">
    <w:name w:val="Balloon Text"/>
    <w:basedOn w:val="Normal"/>
    <w:semiHidden/>
    <w:rsid w:val="004D77D6"/>
    <w:rPr>
      <w:rFonts w:ascii="Tahoma" w:hAnsi="Tahoma" w:cs="Tahoma"/>
      <w:sz w:val="16"/>
      <w:szCs w:val="16"/>
    </w:rPr>
  </w:style>
  <w:style w:type="paragraph" w:customStyle="1" w:styleId="CharCharCharCarCarCarCar">
    <w:name w:val="Char Char Char Car Car Car Car"/>
    <w:basedOn w:val="Normal"/>
    <w:rsid w:val="00DB7F6E"/>
    <w:pPr>
      <w:tabs>
        <w:tab w:val="left" w:pos="709"/>
      </w:tabs>
    </w:pPr>
    <w:rPr>
      <w:rFonts w:ascii="Tahoma" w:hAnsi="Tahoma"/>
      <w:szCs w:val="24"/>
      <w:lang w:val="pl-PL" w:eastAsia="pl-PL"/>
    </w:rPr>
  </w:style>
  <w:style w:type="paragraph" w:styleId="ListParagraph">
    <w:name w:val="List Paragraph"/>
    <w:basedOn w:val="Normal"/>
    <w:link w:val="ListParagraphChar"/>
    <w:uiPriority w:val="34"/>
    <w:qFormat/>
    <w:rsid w:val="00E94B28"/>
    <w:pPr>
      <w:ind w:left="720"/>
    </w:pPr>
    <w:rPr>
      <w:rFonts w:ascii="Calibri" w:eastAsia="Calibri" w:hAnsi="Calibri"/>
      <w:sz w:val="22"/>
      <w:lang w:val="es-ES" w:eastAsia="en-US"/>
    </w:rPr>
  </w:style>
  <w:style w:type="paragraph" w:styleId="CommentText">
    <w:name w:val="annotation text"/>
    <w:basedOn w:val="Normal"/>
    <w:link w:val="CommentTextChar"/>
    <w:unhideWhenUsed/>
    <w:rsid w:val="000A70D5"/>
    <w:rPr>
      <w:sz w:val="20"/>
      <w:szCs w:val="20"/>
    </w:rPr>
  </w:style>
  <w:style w:type="character" w:customStyle="1" w:styleId="CommentTextChar">
    <w:name w:val="Comment Text Char"/>
    <w:link w:val="CommentText"/>
    <w:rsid w:val="000A70D5"/>
    <w:rPr>
      <w:rFonts w:ascii="Verdana" w:hAnsi="Verdana"/>
      <w:lang w:val="fr-FR"/>
    </w:rPr>
  </w:style>
  <w:style w:type="character" w:styleId="CommentReference">
    <w:name w:val="annotation reference"/>
    <w:unhideWhenUsed/>
    <w:rsid w:val="000A70D5"/>
    <w:rPr>
      <w:sz w:val="16"/>
      <w:szCs w:val="16"/>
    </w:rPr>
  </w:style>
  <w:style w:type="paragraph" w:styleId="NormalWeb">
    <w:name w:val="Normal (Web)"/>
    <w:basedOn w:val="Normal"/>
    <w:unhideWhenUsed/>
    <w:rsid w:val="00977A3A"/>
    <w:pPr>
      <w:spacing w:before="100" w:beforeAutospacing="1" w:after="100" w:afterAutospacing="1"/>
      <w:jc w:val="both"/>
    </w:pPr>
    <w:rPr>
      <w:sz w:val="14"/>
      <w:szCs w:val="14"/>
    </w:rPr>
  </w:style>
  <w:style w:type="character" w:customStyle="1" w:styleId="ListParagraphChar">
    <w:name w:val="List Paragraph Char"/>
    <w:link w:val="ListParagraph"/>
    <w:uiPriority w:val="34"/>
    <w:locked/>
    <w:rsid w:val="0031544D"/>
    <w:rPr>
      <w:rFonts w:ascii="Calibri" w:eastAsia="Calibri" w:hAnsi="Calibri"/>
      <w:sz w:val="22"/>
      <w:szCs w:val="22"/>
      <w:lang w:eastAsia="en-US"/>
    </w:rPr>
  </w:style>
  <w:style w:type="paragraph" w:styleId="FootnoteText">
    <w:name w:val="footnote text"/>
    <w:basedOn w:val="Normal"/>
    <w:link w:val="FootnoteTextChar"/>
    <w:unhideWhenUsed/>
    <w:rsid w:val="00476ED6"/>
    <w:rPr>
      <w:sz w:val="20"/>
      <w:szCs w:val="20"/>
    </w:rPr>
  </w:style>
  <w:style w:type="character" w:customStyle="1" w:styleId="FootnoteTextChar">
    <w:name w:val="Footnote Text Char"/>
    <w:basedOn w:val="DefaultParagraphFont"/>
    <w:link w:val="FootnoteText"/>
    <w:rsid w:val="00476ED6"/>
    <w:rPr>
      <w:rFonts w:ascii="Verdana" w:hAnsi="Verdana"/>
      <w:lang w:val="fr-FR"/>
    </w:rPr>
  </w:style>
  <w:style w:type="character" w:styleId="FootnoteReference">
    <w:name w:val="footnote reference"/>
    <w:basedOn w:val="DefaultParagraphFont"/>
    <w:unhideWhenUsed/>
    <w:rsid w:val="00476ED6"/>
    <w:rPr>
      <w:vertAlign w:val="superscript"/>
    </w:rPr>
  </w:style>
  <w:style w:type="paragraph" w:customStyle="1" w:styleId="Default">
    <w:name w:val="Default"/>
    <w:rsid w:val="00C70126"/>
    <w:pPr>
      <w:autoSpaceDE w:val="0"/>
      <w:autoSpaceDN w:val="0"/>
      <w:adjustRightInd w:val="0"/>
    </w:pPr>
    <w:rPr>
      <w:rFonts w:ascii="Arial" w:eastAsia="Calibri" w:hAnsi="Arial" w:cs="Arial"/>
      <w:color w:val="000000"/>
      <w:sz w:val="24"/>
      <w:szCs w:val="24"/>
    </w:rPr>
  </w:style>
  <w:style w:type="paragraph" w:customStyle="1" w:styleId="SingleTxtG">
    <w:name w:val="_ Single Txt_G"/>
    <w:basedOn w:val="Normal"/>
    <w:link w:val="SingleTxtGChar"/>
    <w:rsid w:val="00DC5072"/>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rsid w:val="00DC5072"/>
    <w:rPr>
      <w:lang w:val="en-GB" w:eastAsia="en-US"/>
    </w:rPr>
  </w:style>
  <w:style w:type="paragraph" w:styleId="CommentSubject">
    <w:name w:val="annotation subject"/>
    <w:basedOn w:val="CommentText"/>
    <w:next w:val="CommentText"/>
    <w:link w:val="CommentSubjectChar"/>
    <w:semiHidden/>
    <w:unhideWhenUsed/>
    <w:rsid w:val="00026FC8"/>
    <w:rPr>
      <w:b/>
      <w:bCs/>
    </w:rPr>
  </w:style>
  <w:style w:type="character" w:customStyle="1" w:styleId="CommentSubjectChar">
    <w:name w:val="Comment Subject Char"/>
    <w:basedOn w:val="CommentTextChar"/>
    <w:link w:val="CommentSubject"/>
    <w:semiHidden/>
    <w:rsid w:val="00026FC8"/>
    <w:rPr>
      <w:rFonts w:ascii="Verdana" w:hAnsi="Verdana"/>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431">
      <w:bodyDiv w:val="1"/>
      <w:marLeft w:val="0"/>
      <w:marRight w:val="0"/>
      <w:marTop w:val="0"/>
      <w:marBottom w:val="0"/>
      <w:divBdr>
        <w:top w:val="none" w:sz="0" w:space="0" w:color="auto"/>
        <w:left w:val="none" w:sz="0" w:space="0" w:color="auto"/>
        <w:bottom w:val="none" w:sz="0" w:space="0" w:color="auto"/>
        <w:right w:val="none" w:sz="0" w:space="0" w:color="auto"/>
      </w:divBdr>
    </w:div>
    <w:div w:id="177233726">
      <w:bodyDiv w:val="1"/>
      <w:marLeft w:val="0"/>
      <w:marRight w:val="0"/>
      <w:marTop w:val="0"/>
      <w:marBottom w:val="0"/>
      <w:divBdr>
        <w:top w:val="none" w:sz="0" w:space="0" w:color="auto"/>
        <w:left w:val="none" w:sz="0" w:space="0" w:color="auto"/>
        <w:bottom w:val="none" w:sz="0" w:space="0" w:color="auto"/>
        <w:right w:val="none" w:sz="0" w:space="0" w:color="auto"/>
      </w:divBdr>
    </w:div>
    <w:div w:id="507209741">
      <w:bodyDiv w:val="1"/>
      <w:marLeft w:val="0"/>
      <w:marRight w:val="0"/>
      <w:marTop w:val="0"/>
      <w:marBottom w:val="0"/>
      <w:divBdr>
        <w:top w:val="none" w:sz="0" w:space="0" w:color="auto"/>
        <w:left w:val="none" w:sz="0" w:space="0" w:color="auto"/>
        <w:bottom w:val="none" w:sz="0" w:space="0" w:color="auto"/>
        <w:right w:val="none" w:sz="0" w:space="0" w:color="auto"/>
      </w:divBdr>
    </w:div>
    <w:div w:id="547108675">
      <w:bodyDiv w:val="1"/>
      <w:marLeft w:val="0"/>
      <w:marRight w:val="0"/>
      <w:marTop w:val="0"/>
      <w:marBottom w:val="0"/>
      <w:divBdr>
        <w:top w:val="none" w:sz="0" w:space="0" w:color="auto"/>
        <w:left w:val="none" w:sz="0" w:space="0" w:color="auto"/>
        <w:bottom w:val="none" w:sz="0" w:space="0" w:color="auto"/>
        <w:right w:val="none" w:sz="0" w:space="0" w:color="auto"/>
      </w:divBdr>
    </w:div>
    <w:div w:id="552424638">
      <w:bodyDiv w:val="1"/>
      <w:marLeft w:val="0"/>
      <w:marRight w:val="0"/>
      <w:marTop w:val="0"/>
      <w:marBottom w:val="0"/>
      <w:divBdr>
        <w:top w:val="none" w:sz="0" w:space="0" w:color="auto"/>
        <w:left w:val="none" w:sz="0" w:space="0" w:color="auto"/>
        <w:bottom w:val="none" w:sz="0" w:space="0" w:color="auto"/>
        <w:right w:val="none" w:sz="0" w:space="0" w:color="auto"/>
      </w:divBdr>
    </w:div>
    <w:div w:id="555555376">
      <w:bodyDiv w:val="1"/>
      <w:marLeft w:val="0"/>
      <w:marRight w:val="0"/>
      <w:marTop w:val="0"/>
      <w:marBottom w:val="0"/>
      <w:divBdr>
        <w:top w:val="none" w:sz="0" w:space="0" w:color="auto"/>
        <w:left w:val="none" w:sz="0" w:space="0" w:color="auto"/>
        <w:bottom w:val="none" w:sz="0" w:space="0" w:color="auto"/>
        <w:right w:val="none" w:sz="0" w:space="0" w:color="auto"/>
      </w:divBdr>
    </w:div>
    <w:div w:id="613947061">
      <w:bodyDiv w:val="1"/>
      <w:marLeft w:val="0"/>
      <w:marRight w:val="0"/>
      <w:marTop w:val="0"/>
      <w:marBottom w:val="0"/>
      <w:divBdr>
        <w:top w:val="none" w:sz="0" w:space="0" w:color="auto"/>
        <w:left w:val="none" w:sz="0" w:space="0" w:color="auto"/>
        <w:bottom w:val="none" w:sz="0" w:space="0" w:color="auto"/>
        <w:right w:val="none" w:sz="0" w:space="0" w:color="auto"/>
      </w:divBdr>
    </w:div>
    <w:div w:id="678460459">
      <w:bodyDiv w:val="1"/>
      <w:marLeft w:val="0"/>
      <w:marRight w:val="0"/>
      <w:marTop w:val="0"/>
      <w:marBottom w:val="0"/>
      <w:divBdr>
        <w:top w:val="none" w:sz="0" w:space="0" w:color="auto"/>
        <w:left w:val="none" w:sz="0" w:space="0" w:color="auto"/>
        <w:bottom w:val="none" w:sz="0" w:space="0" w:color="auto"/>
        <w:right w:val="none" w:sz="0" w:space="0" w:color="auto"/>
      </w:divBdr>
    </w:div>
    <w:div w:id="772089737">
      <w:bodyDiv w:val="1"/>
      <w:marLeft w:val="0"/>
      <w:marRight w:val="0"/>
      <w:marTop w:val="0"/>
      <w:marBottom w:val="0"/>
      <w:divBdr>
        <w:top w:val="none" w:sz="0" w:space="0" w:color="auto"/>
        <w:left w:val="none" w:sz="0" w:space="0" w:color="auto"/>
        <w:bottom w:val="none" w:sz="0" w:space="0" w:color="auto"/>
        <w:right w:val="none" w:sz="0" w:space="0" w:color="auto"/>
      </w:divBdr>
    </w:div>
    <w:div w:id="772553854">
      <w:bodyDiv w:val="1"/>
      <w:marLeft w:val="0"/>
      <w:marRight w:val="0"/>
      <w:marTop w:val="0"/>
      <w:marBottom w:val="0"/>
      <w:divBdr>
        <w:top w:val="none" w:sz="0" w:space="0" w:color="auto"/>
        <w:left w:val="none" w:sz="0" w:space="0" w:color="auto"/>
        <w:bottom w:val="none" w:sz="0" w:space="0" w:color="auto"/>
        <w:right w:val="none" w:sz="0" w:space="0" w:color="auto"/>
      </w:divBdr>
    </w:div>
    <w:div w:id="781337340">
      <w:bodyDiv w:val="1"/>
      <w:marLeft w:val="0"/>
      <w:marRight w:val="0"/>
      <w:marTop w:val="0"/>
      <w:marBottom w:val="0"/>
      <w:divBdr>
        <w:top w:val="none" w:sz="0" w:space="0" w:color="auto"/>
        <w:left w:val="none" w:sz="0" w:space="0" w:color="auto"/>
        <w:bottom w:val="none" w:sz="0" w:space="0" w:color="auto"/>
        <w:right w:val="none" w:sz="0" w:space="0" w:color="auto"/>
      </w:divBdr>
    </w:div>
    <w:div w:id="788158725">
      <w:bodyDiv w:val="1"/>
      <w:marLeft w:val="0"/>
      <w:marRight w:val="0"/>
      <w:marTop w:val="0"/>
      <w:marBottom w:val="0"/>
      <w:divBdr>
        <w:top w:val="none" w:sz="0" w:space="0" w:color="auto"/>
        <w:left w:val="none" w:sz="0" w:space="0" w:color="auto"/>
        <w:bottom w:val="none" w:sz="0" w:space="0" w:color="auto"/>
        <w:right w:val="none" w:sz="0" w:space="0" w:color="auto"/>
      </w:divBdr>
    </w:div>
    <w:div w:id="862288146">
      <w:bodyDiv w:val="1"/>
      <w:marLeft w:val="0"/>
      <w:marRight w:val="0"/>
      <w:marTop w:val="0"/>
      <w:marBottom w:val="0"/>
      <w:divBdr>
        <w:top w:val="none" w:sz="0" w:space="0" w:color="auto"/>
        <w:left w:val="none" w:sz="0" w:space="0" w:color="auto"/>
        <w:bottom w:val="none" w:sz="0" w:space="0" w:color="auto"/>
        <w:right w:val="none" w:sz="0" w:space="0" w:color="auto"/>
      </w:divBdr>
    </w:div>
    <w:div w:id="985935210">
      <w:bodyDiv w:val="1"/>
      <w:marLeft w:val="0"/>
      <w:marRight w:val="0"/>
      <w:marTop w:val="0"/>
      <w:marBottom w:val="0"/>
      <w:divBdr>
        <w:top w:val="none" w:sz="0" w:space="0" w:color="auto"/>
        <w:left w:val="none" w:sz="0" w:space="0" w:color="auto"/>
        <w:bottom w:val="none" w:sz="0" w:space="0" w:color="auto"/>
        <w:right w:val="none" w:sz="0" w:space="0" w:color="auto"/>
      </w:divBdr>
    </w:div>
    <w:div w:id="1103382576">
      <w:bodyDiv w:val="1"/>
      <w:marLeft w:val="0"/>
      <w:marRight w:val="0"/>
      <w:marTop w:val="0"/>
      <w:marBottom w:val="0"/>
      <w:divBdr>
        <w:top w:val="none" w:sz="0" w:space="0" w:color="auto"/>
        <w:left w:val="none" w:sz="0" w:space="0" w:color="auto"/>
        <w:bottom w:val="none" w:sz="0" w:space="0" w:color="auto"/>
        <w:right w:val="none" w:sz="0" w:space="0" w:color="auto"/>
      </w:divBdr>
    </w:div>
    <w:div w:id="1149596849">
      <w:bodyDiv w:val="1"/>
      <w:marLeft w:val="0"/>
      <w:marRight w:val="0"/>
      <w:marTop w:val="0"/>
      <w:marBottom w:val="0"/>
      <w:divBdr>
        <w:top w:val="none" w:sz="0" w:space="0" w:color="auto"/>
        <w:left w:val="none" w:sz="0" w:space="0" w:color="auto"/>
        <w:bottom w:val="none" w:sz="0" w:space="0" w:color="auto"/>
        <w:right w:val="none" w:sz="0" w:space="0" w:color="auto"/>
      </w:divBdr>
    </w:div>
    <w:div w:id="1213418601">
      <w:bodyDiv w:val="1"/>
      <w:marLeft w:val="0"/>
      <w:marRight w:val="0"/>
      <w:marTop w:val="0"/>
      <w:marBottom w:val="0"/>
      <w:divBdr>
        <w:top w:val="none" w:sz="0" w:space="0" w:color="auto"/>
        <w:left w:val="none" w:sz="0" w:space="0" w:color="auto"/>
        <w:bottom w:val="none" w:sz="0" w:space="0" w:color="auto"/>
        <w:right w:val="none" w:sz="0" w:space="0" w:color="auto"/>
      </w:divBdr>
    </w:div>
    <w:div w:id="1397439074">
      <w:bodyDiv w:val="1"/>
      <w:marLeft w:val="0"/>
      <w:marRight w:val="0"/>
      <w:marTop w:val="0"/>
      <w:marBottom w:val="0"/>
      <w:divBdr>
        <w:top w:val="none" w:sz="0" w:space="0" w:color="auto"/>
        <w:left w:val="none" w:sz="0" w:space="0" w:color="auto"/>
        <w:bottom w:val="none" w:sz="0" w:space="0" w:color="auto"/>
        <w:right w:val="none" w:sz="0" w:space="0" w:color="auto"/>
      </w:divBdr>
    </w:div>
    <w:div w:id="1644852940">
      <w:bodyDiv w:val="1"/>
      <w:marLeft w:val="0"/>
      <w:marRight w:val="0"/>
      <w:marTop w:val="0"/>
      <w:marBottom w:val="0"/>
      <w:divBdr>
        <w:top w:val="none" w:sz="0" w:space="0" w:color="auto"/>
        <w:left w:val="none" w:sz="0" w:space="0" w:color="auto"/>
        <w:bottom w:val="none" w:sz="0" w:space="0" w:color="auto"/>
        <w:right w:val="none" w:sz="0" w:space="0" w:color="auto"/>
      </w:divBdr>
    </w:div>
    <w:div w:id="1829857279">
      <w:bodyDiv w:val="1"/>
      <w:marLeft w:val="0"/>
      <w:marRight w:val="0"/>
      <w:marTop w:val="0"/>
      <w:marBottom w:val="0"/>
      <w:divBdr>
        <w:top w:val="none" w:sz="0" w:space="0" w:color="auto"/>
        <w:left w:val="none" w:sz="0" w:space="0" w:color="auto"/>
        <w:bottom w:val="none" w:sz="0" w:space="0" w:color="auto"/>
        <w:right w:val="none" w:sz="0" w:space="0" w:color="auto"/>
      </w:divBdr>
    </w:div>
    <w:div w:id="1838229386">
      <w:bodyDiv w:val="1"/>
      <w:marLeft w:val="0"/>
      <w:marRight w:val="0"/>
      <w:marTop w:val="0"/>
      <w:marBottom w:val="0"/>
      <w:divBdr>
        <w:top w:val="none" w:sz="0" w:space="0" w:color="auto"/>
        <w:left w:val="none" w:sz="0" w:space="0" w:color="auto"/>
        <w:bottom w:val="none" w:sz="0" w:space="0" w:color="auto"/>
        <w:right w:val="none" w:sz="0" w:space="0" w:color="auto"/>
      </w:divBdr>
    </w:div>
    <w:div w:id="1929002710">
      <w:bodyDiv w:val="1"/>
      <w:marLeft w:val="0"/>
      <w:marRight w:val="0"/>
      <w:marTop w:val="0"/>
      <w:marBottom w:val="0"/>
      <w:divBdr>
        <w:top w:val="none" w:sz="0" w:space="0" w:color="auto"/>
        <w:left w:val="none" w:sz="0" w:space="0" w:color="auto"/>
        <w:bottom w:val="none" w:sz="0" w:space="0" w:color="auto"/>
        <w:right w:val="none" w:sz="0" w:space="0" w:color="auto"/>
      </w:divBdr>
    </w:div>
    <w:div w:id="1935747107">
      <w:bodyDiv w:val="1"/>
      <w:marLeft w:val="0"/>
      <w:marRight w:val="0"/>
      <w:marTop w:val="0"/>
      <w:marBottom w:val="0"/>
      <w:divBdr>
        <w:top w:val="none" w:sz="0" w:space="0" w:color="auto"/>
        <w:left w:val="none" w:sz="0" w:space="0" w:color="auto"/>
        <w:bottom w:val="none" w:sz="0" w:space="0" w:color="auto"/>
        <w:right w:val="none" w:sz="0" w:space="0" w:color="auto"/>
      </w:divBdr>
    </w:div>
    <w:div w:id="1960839165">
      <w:bodyDiv w:val="1"/>
      <w:marLeft w:val="0"/>
      <w:marRight w:val="0"/>
      <w:marTop w:val="0"/>
      <w:marBottom w:val="0"/>
      <w:divBdr>
        <w:top w:val="none" w:sz="0" w:space="0" w:color="auto"/>
        <w:left w:val="none" w:sz="0" w:space="0" w:color="auto"/>
        <w:bottom w:val="none" w:sz="0" w:space="0" w:color="auto"/>
        <w:right w:val="none" w:sz="0" w:space="0" w:color="auto"/>
      </w:divBdr>
    </w:div>
    <w:div w:id="1989627145">
      <w:bodyDiv w:val="1"/>
      <w:marLeft w:val="0"/>
      <w:marRight w:val="0"/>
      <w:marTop w:val="0"/>
      <w:marBottom w:val="0"/>
      <w:divBdr>
        <w:top w:val="none" w:sz="0" w:space="0" w:color="auto"/>
        <w:left w:val="none" w:sz="0" w:space="0" w:color="auto"/>
        <w:bottom w:val="none" w:sz="0" w:space="0" w:color="auto"/>
        <w:right w:val="none" w:sz="0" w:space="0" w:color="auto"/>
      </w:divBdr>
    </w:div>
    <w:div w:id="2018772902">
      <w:bodyDiv w:val="1"/>
      <w:marLeft w:val="0"/>
      <w:marRight w:val="0"/>
      <w:marTop w:val="0"/>
      <w:marBottom w:val="0"/>
      <w:divBdr>
        <w:top w:val="none" w:sz="0" w:space="0" w:color="auto"/>
        <w:left w:val="none" w:sz="0" w:space="0" w:color="auto"/>
        <w:bottom w:val="none" w:sz="0" w:space="0" w:color="auto"/>
        <w:right w:val="none" w:sz="0" w:space="0" w:color="auto"/>
      </w:divBdr>
    </w:div>
    <w:div w:id="2047219140">
      <w:bodyDiv w:val="1"/>
      <w:marLeft w:val="0"/>
      <w:marRight w:val="0"/>
      <w:marTop w:val="0"/>
      <w:marBottom w:val="0"/>
      <w:divBdr>
        <w:top w:val="none" w:sz="0" w:space="0" w:color="auto"/>
        <w:left w:val="none" w:sz="0" w:space="0" w:color="auto"/>
        <w:bottom w:val="none" w:sz="0" w:space="0" w:color="auto"/>
        <w:right w:val="none" w:sz="0" w:space="0" w:color="auto"/>
      </w:divBdr>
    </w:div>
    <w:div w:id="2057243552">
      <w:bodyDiv w:val="1"/>
      <w:marLeft w:val="0"/>
      <w:marRight w:val="0"/>
      <w:marTop w:val="0"/>
      <w:marBottom w:val="0"/>
      <w:divBdr>
        <w:top w:val="none" w:sz="0" w:space="0" w:color="auto"/>
        <w:left w:val="none" w:sz="0" w:space="0" w:color="auto"/>
        <w:bottom w:val="none" w:sz="0" w:space="0" w:color="auto"/>
        <w:right w:val="none" w:sz="0" w:space="0" w:color="auto"/>
      </w:divBdr>
    </w:div>
    <w:div w:id="21254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062B-9F97-48D9-8341-F29380C3A2E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7FFB3A-6ACD-42CF-A53C-ED2CB861C8D9}"/>
</file>

<file path=customXml/itemProps3.xml><?xml version="1.0" encoding="utf-8"?>
<ds:datastoreItem xmlns:ds="http://schemas.openxmlformats.org/officeDocument/2006/customXml" ds:itemID="{2E8CDE12-A533-44FB-9F5A-8844BF125590}">
  <ds:schemaRefs>
    <ds:schemaRef ds:uri="http://schemas.microsoft.com/sharepoint/v3/contenttype/forms"/>
  </ds:schemaRefs>
</ds:datastoreItem>
</file>

<file path=customXml/itemProps4.xml><?xml version="1.0" encoding="utf-8"?>
<ds:datastoreItem xmlns:ds="http://schemas.openxmlformats.org/officeDocument/2006/customXml" ds:itemID="{5CF061DA-21C7-4BDB-BC46-16857974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11147</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 INFORMATIVA</vt:lpstr>
      <vt:lpstr>NOTA INFORMATIVA</vt:lpstr>
    </vt:vector>
  </TitlesOfParts>
  <Company>Maec</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dc:title>
  <dc:creator>jaime.devillota</dc:creator>
  <cp:lastModifiedBy>Migration Team</cp:lastModifiedBy>
  <cp:revision>2</cp:revision>
  <cp:lastPrinted>2020-03-11T10:30:00Z</cp:lastPrinted>
  <dcterms:created xsi:type="dcterms:W3CDTF">2020-04-07T07:58:00Z</dcterms:created>
  <dcterms:modified xsi:type="dcterms:W3CDTF">2020-04-07T07:58:00Z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