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52" w:rsidRPr="00027852" w:rsidRDefault="00027852" w:rsidP="00027852">
      <w:pPr>
        <w:jc w:val="center"/>
        <w:rPr>
          <w:rFonts w:ascii="Arial Narrow" w:hAnsi="Arial Narrow" w:cs="Arial"/>
          <w:b/>
          <w:bCs/>
          <w:lang w:val="en-GB"/>
          <w14:shadow w14:blurRad="50800" w14:dist="38100" w14:dir="2700000" w14:sx="100000" w14:sy="100000" w14:kx="0" w14:ky="0" w14:algn="tl">
            <w14:srgbClr w14:val="000000">
              <w14:alpha w14:val="60000"/>
            </w14:srgbClr>
          </w14:shadow>
        </w:rPr>
      </w:pPr>
      <w:r w:rsidRPr="00027852">
        <w:rPr>
          <w:rFonts w:ascii="Arial Narrow" w:hAnsi="Arial Narrow" w:cs="Arial"/>
          <w:b/>
          <w:bCs/>
          <w:lang w:val="en-GB"/>
          <w14:shadow w14:blurRad="50800" w14:dist="38100" w14:dir="2700000" w14:sx="100000" w14:sy="100000" w14:kx="0" w14:ky="0" w14:algn="tl">
            <w14:srgbClr w14:val="000000">
              <w14:alpha w14:val="60000"/>
            </w14:srgbClr>
          </w14:shadow>
        </w:rPr>
        <w:t>HUMAN RIGHTS AT INTERNATIONAL BORDERS:</w:t>
      </w:r>
    </w:p>
    <w:p w:rsidR="00027852" w:rsidRPr="00027852" w:rsidRDefault="00027852" w:rsidP="00027852">
      <w:pPr>
        <w:jc w:val="center"/>
        <w:rPr>
          <w:rFonts w:ascii="Arial Narrow" w:hAnsi="Arial Narrow" w:cs="Arial"/>
          <w:b/>
          <w:bCs/>
          <w:lang w:val="en-GB"/>
          <w14:shadow w14:blurRad="50800" w14:dist="38100" w14:dir="2700000" w14:sx="100000" w14:sy="100000" w14:kx="0" w14:ky="0" w14:algn="tl">
            <w14:srgbClr w14:val="000000">
              <w14:alpha w14:val="60000"/>
            </w14:srgbClr>
          </w14:shadow>
        </w:rPr>
      </w:pPr>
      <w:r w:rsidRPr="00027852">
        <w:rPr>
          <w:rFonts w:ascii="Arial Narrow" w:hAnsi="Arial Narrow" w:cs="Arial"/>
          <w:b/>
          <w:bCs/>
          <w:lang w:val="en-GB"/>
          <w14:shadow w14:blurRad="50800" w14:dist="38100" w14:dir="2700000" w14:sx="100000" w14:sy="100000" w14:kx="0" w14:ky="0" w14:algn="tl">
            <w14:srgbClr w14:val="000000">
              <w14:alpha w14:val="60000"/>
            </w14:srgbClr>
          </w14:shadow>
        </w:rPr>
        <w:t>A focus on OHCHR’s Recommended Principles and Guidelines</w:t>
      </w:r>
    </w:p>
    <w:p w:rsidR="00027852" w:rsidRPr="00027852" w:rsidRDefault="00027852" w:rsidP="00027852">
      <w:pPr>
        <w:jc w:val="center"/>
        <w:rPr>
          <w:rFonts w:ascii="Arial Narrow" w:hAnsi="Arial Narrow" w:cs="Arial"/>
          <w:b/>
          <w:bCs/>
          <w:lang w:val="en-GB"/>
          <w14:shadow w14:blurRad="50800" w14:dist="38100" w14:dir="2700000" w14:sx="100000" w14:sy="100000" w14:kx="0" w14:ky="0" w14:algn="tl">
            <w14:srgbClr w14:val="000000">
              <w14:alpha w14:val="60000"/>
            </w14:srgbClr>
          </w14:shadow>
        </w:rPr>
      </w:pPr>
    </w:p>
    <w:p w:rsidR="00027852" w:rsidRPr="00027852" w:rsidRDefault="00027852" w:rsidP="00027852">
      <w:pPr>
        <w:jc w:val="center"/>
        <w:rPr>
          <w:rFonts w:ascii="Arial Narrow" w:hAnsi="Arial Narrow" w:cs="Arial"/>
          <w:b/>
          <w:bCs/>
          <w:lang w:val="en-GB"/>
          <w14:shadow w14:blurRad="50800" w14:dist="38100" w14:dir="2700000" w14:sx="100000" w14:sy="100000" w14:kx="0" w14:ky="0" w14:algn="tl">
            <w14:srgbClr w14:val="000000">
              <w14:alpha w14:val="60000"/>
            </w14:srgbClr>
          </w14:shadow>
        </w:rPr>
      </w:pPr>
      <w:r w:rsidRPr="00027852">
        <w:rPr>
          <w:rFonts w:ascii="Arial Narrow" w:hAnsi="Arial Narrow" w:cs="Arial"/>
          <w:b/>
          <w:bCs/>
          <w:lang w:val="en-GB"/>
          <w14:shadow w14:blurRad="50800" w14:dist="38100" w14:dir="2700000" w14:sx="100000" w14:sy="100000" w14:kx="0" w14:ky="0" w14:algn="tl">
            <w14:srgbClr w14:val="000000">
              <w14:alpha w14:val="60000"/>
            </w14:srgbClr>
          </w14:shadow>
        </w:rPr>
        <w:t>Side event on the margins of the 28th session of the Human Rights Counc</w:t>
      </w:r>
      <w:bookmarkStart w:id="0" w:name="_GoBack"/>
      <w:bookmarkEnd w:id="0"/>
      <w:r w:rsidRPr="00027852">
        <w:rPr>
          <w:rFonts w:ascii="Arial Narrow" w:hAnsi="Arial Narrow" w:cs="Arial"/>
          <w:b/>
          <w:bCs/>
          <w:lang w:val="en-GB"/>
          <w14:shadow w14:blurRad="50800" w14:dist="38100" w14:dir="2700000" w14:sx="100000" w14:sy="100000" w14:kx="0" w14:ky="0" w14:algn="tl">
            <w14:srgbClr w14:val="000000">
              <w14:alpha w14:val="60000"/>
            </w14:srgbClr>
          </w14:shadow>
        </w:rPr>
        <w:t>il</w:t>
      </w:r>
    </w:p>
    <w:p w:rsidR="00832142" w:rsidRDefault="00027852" w:rsidP="00027852">
      <w:pPr>
        <w:jc w:val="center"/>
        <w:rPr>
          <w:rFonts w:ascii="Arial Narrow" w:hAnsi="Arial Narrow" w:cs="Arial"/>
          <w:b/>
          <w:bCs/>
          <w:lang w:val="en-GB"/>
          <w14:shadow w14:blurRad="50800" w14:dist="38100" w14:dir="2700000" w14:sx="100000" w14:sy="100000" w14:kx="0" w14:ky="0" w14:algn="tl">
            <w14:srgbClr w14:val="000000">
              <w14:alpha w14:val="60000"/>
            </w14:srgbClr>
          </w14:shadow>
        </w:rPr>
      </w:pPr>
      <w:r w:rsidRPr="00027852">
        <w:rPr>
          <w:rFonts w:ascii="Arial Narrow" w:hAnsi="Arial Narrow" w:cs="Arial"/>
          <w:b/>
          <w:bCs/>
          <w:lang w:val="en-GB"/>
          <w14:shadow w14:blurRad="50800" w14:dist="38100" w14:dir="2700000" w14:sx="100000" w14:sy="100000" w14:kx="0" w14:ky="0" w14:algn="tl">
            <w14:srgbClr w14:val="000000">
              <w14:alpha w14:val="60000"/>
            </w14:srgbClr>
          </w14:shadow>
        </w:rPr>
        <w:t xml:space="preserve">23 March, 13:00-15:00, </w:t>
      </w:r>
      <w:proofErr w:type="spellStart"/>
      <w:r w:rsidRPr="00027852">
        <w:rPr>
          <w:rFonts w:ascii="Arial Narrow" w:hAnsi="Arial Narrow" w:cs="Arial"/>
          <w:b/>
          <w:bCs/>
          <w:lang w:val="en-GB"/>
          <w14:shadow w14:blurRad="50800" w14:dist="38100" w14:dir="2700000" w14:sx="100000" w14:sy="100000" w14:kx="0" w14:ky="0" w14:algn="tl">
            <w14:srgbClr w14:val="000000">
              <w14:alpha w14:val="60000"/>
            </w14:srgbClr>
          </w14:shadow>
        </w:rPr>
        <w:t>Palais</w:t>
      </w:r>
      <w:proofErr w:type="spellEnd"/>
      <w:r w:rsidRPr="00027852">
        <w:rPr>
          <w:rFonts w:ascii="Arial Narrow" w:hAnsi="Arial Narrow" w:cs="Arial"/>
          <w:b/>
          <w:bCs/>
          <w:lang w:val="en-GB"/>
          <w14:shadow w14:blurRad="50800" w14:dist="38100" w14:dir="2700000" w14:sx="100000" w14:sy="100000" w14:kx="0" w14:ky="0" w14:algn="tl">
            <w14:srgbClr w14:val="000000">
              <w14:alpha w14:val="60000"/>
            </w14:srgbClr>
          </w14:shadow>
        </w:rPr>
        <w:t xml:space="preserve"> des Nations, Room XXI</w:t>
      </w:r>
    </w:p>
    <w:p w:rsidR="00027852" w:rsidRDefault="00027852" w:rsidP="007D023E">
      <w:pPr>
        <w:rPr>
          <w:rFonts w:ascii="Arial Narrow" w:hAnsi="Arial Narrow" w:cs="Arial"/>
          <w:b/>
          <w:bCs/>
          <w:lang w:val="en-GB"/>
          <w14:shadow w14:blurRad="50800" w14:dist="38100" w14:dir="2700000" w14:sx="100000" w14:sy="100000" w14:kx="0" w14:ky="0" w14:algn="tl">
            <w14:srgbClr w14:val="000000">
              <w14:alpha w14:val="60000"/>
            </w14:srgbClr>
          </w14:shadow>
        </w:rPr>
      </w:pPr>
    </w:p>
    <w:p w:rsidR="00020678" w:rsidRPr="00D212F3" w:rsidRDefault="00027852" w:rsidP="00020678">
      <w:pPr>
        <w:jc w:val="center"/>
        <w:rPr>
          <w:rFonts w:ascii="Arial Narrow" w:hAnsi="Arial Narrow" w:cs="Arial"/>
          <w:bCs/>
          <w:lang w:val="en-US"/>
          <w14:shadow w14:blurRad="50800" w14:dist="38100" w14:dir="2700000" w14:sx="100000" w14:sy="100000" w14:kx="0" w14:ky="0" w14:algn="tl">
            <w14:srgbClr w14:val="000000">
              <w14:alpha w14:val="60000"/>
            </w14:srgbClr>
          </w14:shadow>
        </w:rPr>
      </w:pPr>
      <w:r>
        <w:rPr>
          <w:rFonts w:ascii="Arial Narrow" w:hAnsi="Arial Narrow" w:cs="Arial"/>
          <w:bCs/>
          <w:lang w:val="en-GB"/>
          <w14:shadow w14:blurRad="50800" w14:dist="38100" w14:dir="2700000" w14:sx="100000" w14:sy="100000" w14:kx="0" w14:ky="0" w14:algn="tl">
            <w14:srgbClr w14:val="000000">
              <w14:alpha w14:val="60000"/>
            </w14:srgbClr>
          </w14:shadow>
        </w:rPr>
        <w:t>Maria Giovanna Manieri</w:t>
      </w:r>
      <w:r w:rsidR="00020678" w:rsidRPr="00D212F3">
        <w:rPr>
          <w:rFonts w:ascii="Arial Narrow" w:hAnsi="Arial Narrow" w:cs="Arial"/>
          <w:bCs/>
          <w:lang w:val="en-US"/>
          <w14:shadow w14:blurRad="50800" w14:dist="38100" w14:dir="2700000" w14:sx="100000" w14:sy="100000" w14:kx="0" w14:ky="0" w14:algn="tl">
            <w14:srgbClr w14:val="000000">
              <w14:alpha w14:val="60000"/>
            </w14:srgbClr>
          </w14:shadow>
        </w:rPr>
        <w:t>,</w:t>
      </w:r>
      <w:r>
        <w:rPr>
          <w:rFonts w:ascii="Arial Narrow" w:hAnsi="Arial Narrow" w:cs="Arial"/>
          <w:bCs/>
          <w:lang w:val="en-US"/>
          <w14:shadow w14:blurRad="50800" w14:dist="38100" w14:dir="2700000" w14:sx="100000" w14:sy="100000" w14:kx="0" w14:ky="0" w14:algn="tl">
            <w14:srgbClr w14:val="000000">
              <w14:alpha w14:val="60000"/>
            </w14:srgbClr>
          </w14:shadow>
        </w:rPr>
        <w:t xml:space="preserve"> Programme Officer, </w:t>
      </w:r>
      <w:r w:rsidR="00020678" w:rsidRPr="00D212F3">
        <w:rPr>
          <w:rFonts w:ascii="Arial Narrow" w:hAnsi="Arial Narrow" w:cs="Arial"/>
          <w:bCs/>
          <w:lang w:val="en-US"/>
          <w14:shadow w14:blurRad="50800" w14:dist="38100" w14:dir="2700000" w14:sx="100000" w14:sy="100000" w14:kx="0" w14:ky="0" w14:algn="tl">
            <w14:srgbClr w14:val="000000">
              <w14:alpha w14:val="60000"/>
            </w14:srgbClr>
          </w14:shadow>
        </w:rPr>
        <w:t>Platform for International Cooperation on Undocumented Migrants</w:t>
      </w:r>
      <w:r>
        <w:rPr>
          <w:rFonts w:ascii="Arial Narrow" w:hAnsi="Arial Narrow" w:cs="Arial"/>
          <w:bCs/>
          <w:lang w:val="en-US"/>
          <w14:shadow w14:blurRad="50800" w14:dist="38100" w14:dir="2700000" w14:sx="100000" w14:sy="100000" w14:kx="0" w14:ky="0" w14:algn="tl">
            <w14:srgbClr w14:val="000000">
              <w14:alpha w14:val="60000"/>
            </w14:srgbClr>
          </w14:shadow>
        </w:rPr>
        <w:t xml:space="preserve"> (PICUM)</w:t>
      </w:r>
    </w:p>
    <w:p w:rsidR="00A94DB3" w:rsidRPr="00554458" w:rsidRDefault="00A94DB3" w:rsidP="00554458">
      <w:pPr>
        <w:pStyle w:val="PlainText"/>
        <w:rPr>
          <w:rFonts w:cs="Arial"/>
          <w:sz w:val="28"/>
          <w:szCs w:val="28"/>
          <w:u w:val="single"/>
          <w:lang w:val="en-US"/>
        </w:rPr>
      </w:pPr>
    </w:p>
    <w:p w:rsidR="00554458" w:rsidRPr="00205698" w:rsidRDefault="00554458" w:rsidP="00554458">
      <w:pPr>
        <w:pStyle w:val="PlainText"/>
        <w:rPr>
          <w:rFonts w:cs="Arial"/>
          <w:b/>
          <w:sz w:val="28"/>
          <w:szCs w:val="28"/>
          <w:u w:val="single"/>
          <w:lang w:val="en-US"/>
        </w:rPr>
      </w:pPr>
      <w:r w:rsidRPr="00205698">
        <w:rPr>
          <w:rFonts w:cs="Arial"/>
          <w:b/>
          <w:sz w:val="28"/>
          <w:szCs w:val="28"/>
          <w:u w:val="single"/>
          <w:lang w:val="en-US"/>
        </w:rPr>
        <w:t xml:space="preserve">Starting point: </w:t>
      </w:r>
    </w:p>
    <w:p w:rsidR="00554458" w:rsidRDefault="00554458" w:rsidP="00554458">
      <w:pPr>
        <w:pStyle w:val="PlainText"/>
        <w:jc w:val="both"/>
        <w:rPr>
          <w:rFonts w:cs="Arial"/>
          <w:sz w:val="28"/>
          <w:szCs w:val="28"/>
          <w:lang w:val="en-US"/>
        </w:rPr>
      </w:pPr>
    </w:p>
    <w:p w:rsidR="00033A2E" w:rsidRDefault="00033A2E" w:rsidP="00033A2E">
      <w:pPr>
        <w:pStyle w:val="ListParagraph"/>
        <w:numPr>
          <w:ilvl w:val="0"/>
          <w:numId w:val="15"/>
        </w:numPr>
        <w:jc w:val="both"/>
        <w:rPr>
          <w:rFonts w:ascii="Arial Narrow" w:hAnsi="Arial Narrow"/>
          <w:sz w:val="28"/>
          <w:szCs w:val="28"/>
          <w:lang w:val="en-US"/>
        </w:rPr>
      </w:pPr>
      <w:r>
        <w:rPr>
          <w:rFonts w:ascii="Arial Narrow" w:hAnsi="Arial Narrow"/>
          <w:sz w:val="28"/>
          <w:szCs w:val="28"/>
          <w:lang w:val="en-US"/>
        </w:rPr>
        <w:t xml:space="preserve">The issue that comes up repeatedly, and that is now repeatedly voiced by civil society actors both in Europe as well as on the global level – is how to ensure that the </w:t>
      </w:r>
      <w:r w:rsidRPr="00DC666F">
        <w:rPr>
          <w:rFonts w:ascii="Arial Narrow" w:hAnsi="Arial Narrow"/>
          <w:sz w:val="28"/>
          <w:szCs w:val="28"/>
          <w:u w:val="single"/>
          <w:lang w:val="en-US"/>
        </w:rPr>
        <w:t>rule of law</w:t>
      </w:r>
      <w:r>
        <w:rPr>
          <w:rFonts w:ascii="Arial Narrow" w:hAnsi="Arial Narrow"/>
          <w:sz w:val="28"/>
          <w:szCs w:val="28"/>
          <w:lang w:val="en-US"/>
        </w:rPr>
        <w:t xml:space="preserve"> is upheld in border areas, and in border policies?   </w:t>
      </w:r>
    </w:p>
    <w:p w:rsidR="00033A2E" w:rsidRDefault="00033A2E" w:rsidP="00554458">
      <w:pPr>
        <w:pStyle w:val="PlainText"/>
        <w:jc w:val="both"/>
        <w:rPr>
          <w:rFonts w:cs="Arial"/>
          <w:sz w:val="28"/>
          <w:szCs w:val="28"/>
          <w:lang w:val="en-US"/>
        </w:rPr>
      </w:pPr>
    </w:p>
    <w:p w:rsidR="00554458" w:rsidRDefault="00554458" w:rsidP="00554458">
      <w:pPr>
        <w:pStyle w:val="PlainText"/>
        <w:jc w:val="both"/>
        <w:rPr>
          <w:rFonts w:cs="Arial"/>
          <w:sz w:val="28"/>
          <w:szCs w:val="28"/>
          <w:lang w:val="en-US"/>
        </w:rPr>
      </w:pPr>
      <w:r>
        <w:rPr>
          <w:rFonts w:cs="Arial"/>
          <w:sz w:val="28"/>
          <w:szCs w:val="28"/>
          <w:lang w:val="en-US"/>
        </w:rPr>
        <w:t xml:space="preserve">Human rights at international borders cannot be upheld and </w:t>
      </w:r>
      <w:proofErr w:type="spellStart"/>
      <w:r>
        <w:rPr>
          <w:rFonts w:cs="Arial"/>
          <w:sz w:val="28"/>
          <w:szCs w:val="28"/>
          <w:lang w:val="en-US"/>
        </w:rPr>
        <w:t>operationalised</w:t>
      </w:r>
      <w:proofErr w:type="spellEnd"/>
      <w:r>
        <w:rPr>
          <w:rFonts w:cs="Arial"/>
          <w:sz w:val="28"/>
          <w:szCs w:val="28"/>
          <w:lang w:val="en-US"/>
        </w:rPr>
        <w:t xml:space="preserve"> in the absence of:</w:t>
      </w:r>
    </w:p>
    <w:p w:rsidR="00554458" w:rsidRDefault="00554458" w:rsidP="00554458">
      <w:pPr>
        <w:pStyle w:val="PlainText"/>
        <w:jc w:val="both"/>
        <w:rPr>
          <w:rFonts w:cs="Arial"/>
          <w:sz w:val="28"/>
          <w:szCs w:val="28"/>
          <w:lang w:val="en-US"/>
        </w:rPr>
      </w:pPr>
    </w:p>
    <w:p w:rsidR="00554458" w:rsidRDefault="00554458" w:rsidP="00554458">
      <w:pPr>
        <w:pStyle w:val="PlainText"/>
        <w:numPr>
          <w:ilvl w:val="0"/>
          <w:numId w:val="14"/>
        </w:numPr>
        <w:jc w:val="both"/>
        <w:rPr>
          <w:rFonts w:cs="Arial"/>
          <w:sz w:val="28"/>
          <w:szCs w:val="28"/>
          <w:lang w:val="en-US"/>
        </w:rPr>
      </w:pPr>
      <w:r w:rsidRPr="00554458">
        <w:rPr>
          <w:rFonts w:cs="Arial"/>
          <w:b/>
          <w:sz w:val="28"/>
          <w:szCs w:val="28"/>
          <w:lang w:val="en-US"/>
        </w:rPr>
        <w:t>Clear rules on accountability and responsibility</w:t>
      </w:r>
      <w:r>
        <w:rPr>
          <w:rFonts w:cs="Arial"/>
          <w:sz w:val="28"/>
          <w:szCs w:val="28"/>
          <w:lang w:val="en-US"/>
        </w:rPr>
        <w:t xml:space="preserve"> (See Guideline 4: Ensuring human rights in rescue and interception – particular focus in guideline 4.16: Monitoring and accountability);</w:t>
      </w:r>
    </w:p>
    <w:p w:rsidR="00554458" w:rsidRDefault="00554458" w:rsidP="00554458">
      <w:pPr>
        <w:pStyle w:val="PlainText"/>
        <w:numPr>
          <w:ilvl w:val="0"/>
          <w:numId w:val="14"/>
        </w:numPr>
        <w:jc w:val="both"/>
        <w:rPr>
          <w:rFonts w:cs="Arial"/>
          <w:sz w:val="28"/>
          <w:szCs w:val="28"/>
          <w:lang w:val="en-US"/>
        </w:rPr>
      </w:pPr>
      <w:r w:rsidRPr="00554458">
        <w:rPr>
          <w:rFonts w:cs="Arial"/>
          <w:b/>
          <w:sz w:val="28"/>
          <w:szCs w:val="28"/>
          <w:lang w:val="en-US"/>
        </w:rPr>
        <w:t xml:space="preserve">Transparency and public scrutiny regarding border control and border management </w:t>
      </w:r>
      <w:r>
        <w:rPr>
          <w:rFonts w:cs="Arial"/>
          <w:sz w:val="28"/>
          <w:szCs w:val="28"/>
          <w:lang w:val="en-US"/>
        </w:rPr>
        <w:t>(</w:t>
      </w:r>
      <w:r>
        <w:rPr>
          <w:rFonts w:cs="Arial"/>
          <w:sz w:val="28"/>
          <w:szCs w:val="28"/>
          <w:lang w:val="en-US"/>
        </w:rPr>
        <w:t>S</w:t>
      </w:r>
      <w:r>
        <w:rPr>
          <w:rFonts w:cs="Arial"/>
          <w:sz w:val="28"/>
          <w:szCs w:val="28"/>
          <w:lang w:val="en-US"/>
        </w:rPr>
        <w:t>ee Guideline 1</w:t>
      </w:r>
      <w:r>
        <w:rPr>
          <w:rFonts w:cs="Arial"/>
          <w:sz w:val="28"/>
          <w:szCs w:val="28"/>
          <w:lang w:val="en-US"/>
        </w:rPr>
        <w:t>:</w:t>
      </w:r>
      <w:r>
        <w:rPr>
          <w:rFonts w:cs="Arial"/>
          <w:sz w:val="28"/>
          <w:szCs w:val="28"/>
          <w:lang w:val="en-US"/>
        </w:rPr>
        <w:t xml:space="preserve"> Promotion and protection of human rights </w:t>
      </w:r>
      <w:r>
        <w:rPr>
          <w:rFonts w:cs="Arial"/>
          <w:sz w:val="28"/>
          <w:szCs w:val="28"/>
          <w:lang w:val="en-US"/>
        </w:rPr>
        <w:t xml:space="preserve">– particular </w:t>
      </w:r>
      <w:r>
        <w:rPr>
          <w:rFonts w:cs="Arial"/>
          <w:sz w:val="28"/>
          <w:szCs w:val="28"/>
          <w:lang w:val="en-US"/>
        </w:rPr>
        <w:t>focus in guideline 1.2</w:t>
      </w:r>
      <w:r>
        <w:rPr>
          <w:rFonts w:cs="Arial"/>
          <w:sz w:val="28"/>
          <w:szCs w:val="28"/>
          <w:lang w:val="en-US"/>
        </w:rPr>
        <w:t xml:space="preserve">: </w:t>
      </w:r>
      <w:r>
        <w:rPr>
          <w:rFonts w:cs="Arial"/>
          <w:sz w:val="28"/>
          <w:szCs w:val="28"/>
          <w:lang w:val="en-US"/>
        </w:rPr>
        <w:t>Promotion of human rights, the role of the media</w:t>
      </w:r>
      <w:r>
        <w:rPr>
          <w:rFonts w:cs="Arial"/>
          <w:sz w:val="28"/>
          <w:szCs w:val="28"/>
          <w:lang w:val="en-US"/>
        </w:rPr>
        <w:t>);</w:t>
      </w:r>
    </w:p>
    <w:p w:rsidR="00554458" w:rsidRDefault="00554458" w:rsidP="00554458">
      <w:pPr>
        <w:pStyle w:val="PlainText"/>
        <w:numPr>
          <w:ilvl w:val="0"/>
          <w:numId w:val="14"/>
        </w:numPr>
        <w:jc w:val="both"/>
        <w:rPr>
          <w:rFonts w:cs="Arial"/>
          <w:sz w:val="28"/>
          <w:szCs w:val="28"/>
          <w:lang w:val="en-US"/>
        </w:rPr>
      </w:pPr>
      <w:r w:rsidRPr="00554458">
        <w:rPr>
          <w:rFonts w:cs="Arial"/>
          <w:b/>
          <w:sz w:val="28"/>
          <w:szCs w:val="28"/>
          <w:lang w:val="en-US"/>
        </w:rPr>
        <w:t>Improved policy coherence in relation with other policy areas</w:t>
      </w:r>
      <w:r>
        <w:rPr>
          <w:rFonts w:cs="Arial"/>
          <w:sz w:val="28"/>
          <w:szCs w:val="28"/>
          <w:lang w:val="en-US"/>
        </w:rPr>
        <w:t xml:space="preserve"> (</w:t>
      </w:r>
      <w:r>
        <w:rPr>
          <w:rFonts w:cs="Arial"/>
          <w:sz w:val="28"/>
          <w:szCs w:val="28"/>
          <w:lang w:val="en-US"/>
        </w:rPr>
        <w:t>S</w:t>
      </w:r>
      <w:r>
        <w:rPr>
          <w:rFonts w:cs="Arial"/>
          <w:sz w:val="28"/>
          <w:szCs w:val="28"/>
          <w:lang w:val="en-US"/>
        </w:rPr>
        <w:t>ee Guideline 2</w:t>
      </w:r>
      <w:r>
        <w:rPr>
          <w:rFonts w:cs="Arial"/>
          <w:sz w:val="28"/>
          <w:szCs w:val="28"/>
          <w:lang w:val="en-US"/>
        </w:rPr>
        <w:t xml:space="preserve">: </w:t>
      </w:r>
      <w:r>
        <w:rPr>
          <w:rFonts w:cs="Arial"/>
          <w:sz w:val="28"/>
          <w:szCs w:val="28"/>
          <w:lang w:val="en-US"/>
        </w:rPr>
        <w:t>Legal and policy framework</w:t>
      </w:r>
      <w:r>
        <w:rPr>
          <w:rFonts w:cs="Arial"/>
          <w:sz w:val="28"/>
          <w:szCs w:val="28"/>
          <w:lang w:val="en-US"/>
        </w:rPr>
        <w:t>);</w:t>
      </w:r>
    </w:p>
    <w:p w:rsidR="00033A2E" w:rsidRDefault="00033A2E" w:rsidP="00033A2E">
      <w:pPr>
        <w:pStyle w:val="PlainText"/>
        <w:rPr>
          <w:rFonts w:cs="Arial"/>
          <w:sz w:val="28"/>
          <w:szCs w:val="28"/>
          <w:lang w:val="en-US"/>
        </w:rPr>
      </w:pPr>
    </w:p>
    <w:p w:rsidR="00033A2E" w:rsidRDefault="00033A2E" w:rsidP="00033A2E">
      <w:pPr>
        <w:pStyle w:val="PlainText"/>
        <w:rPr>
          <w:rFonts w:cs="Arial"/>
          <w:sz w:val="28"/>
          <w:szCs w:val="28"/>
          <w:lang w:val="en-US"/>
        </w:rPr>
      </w:pPr>
      <w:r>
        <w:rPr>
          <w:rFonts w:cs="Arial"/>
          <w:sz w:val="28"/>
          <w:szCs w:val="28"/>
          <w:lang w:val="en-US"/>
        </w:rPr>
        <w:t xml:space="preserve">Focus on the three areas: </w:t>
      </w:r>
    </w:p>
    <w:p w:rsidR="00033A2E" w:rsidRDefault="00033A2E" w:rsidP="00033A2E">
      <w:pPr>
        <w:pStyle w:val="PlainText"/>
        <w:rPr>
          <w:rFonts w:cs="Arial"/>
          <w:sz w:val="28"/>
          <w:szCs w:val="28"/>
          <w:lang w:val="en-US"/>
        </w:rPr>
      </w:pPr>
    </w:p>
    <w:p w:rsidR="00A94DB3" w:rsidRPr="00033A2E" w:rsidRDefault="00554458" w:rsidP="00033A2E">
      <w:pPr>
        <w:pStyle w:val="ListParagraph"/>
        <w:numPr>
          <w:ilvl w:val="0"/>
          <w:numId w:val="19"/>
        </w:numPr>
        <w:jc w:val="both"/>
        <w:rPr>
          <w:rFonts w:ascii="Arial Narrow" w:hAnsi="Arial Narrow"/>
          <w:b/>
          <w:sz w:val="28"/>
          <w:szCs w:val="28"/>
          <w:lang w:val="en-US"/>
        </w:rPr>
      </w:pPr>
      <w:r w:rsidRPr="00033A2E">
        <w:rPr>
          <w:rFonts w:ascii="Arial Narrow" w:hAnsi="Arial Narrow"/>
          <w:b/>
          <w:sz w:val="28"/>
          <w:szCs w:val="28"/>
          <w:u w:val="single"/>
          <w:lang w:val="en-US"/>
        </w:rPr>
        <w:t xml:space="preserve">Clear rules on accountability and responsibility </w:t>
      </w:r>
      <w:r w:rsidR="00E63C75" w:rsidRPr="00033A2E">
        <w:rPr>
          <w:rFonts w:ascii="Arial Narrow" w:hAnsi="Arial Narrow"/>
          <w:b/>
          <w:sz w:val="28"/>
          <w:szCs w:val="28"/>
          <w:lang w:val="en-US"/>
        </w:rPr>
        <w:t xml:space="preserve">for human rights violations at EU borders </w:t>
      </w:r>
      <w:r w:rsidR="00A94DB3" w:rsidRPr="00033A2E">
        <w:rPr>
          <w:rFonts w:ascii="Arial Narrow" w:hAnsi="Arial Narrow"/>
          <w:b/>
          <w:sz w:val="28"/>
          <w:szCs w:val="28"/>
          <w:lang w:val="en-US"/>
        </w:rPr>
        <w:t xml:space="preserve"> </w:t>
      </w:r>
    </w:p>
    <w:p w:rsidR="00A94DB3" w:rsidRDefault="00A94DB3" w:rsidP="00832142">
      <w:pPr>
        <w:jc w:val="both"/>
        <w:rPr>
          <w:rFonts w:ascii="Arial Narrow" w:hAnsi="Arial Narrow"/>
          <w:sz w:val="28"/>
          <w:szCs w:val="28"/>
          <w:lang w:val="en-US"/>
        </w:rPr>
      </w:pPr>
    </w:p>
    <w:p w:rsidR="001A2797" w:rsidRDefault="00DC666F" w:rsidP="00D447FE">
      <w:pPr>
        <w:pStyle w:val="ListParagraph"/>
        <w:numPr>
          <w:ilvl w:val="0"/>
          <w:numId w:val="15"/>
        </w:numPr>
        <w:jc w:val="both"/>
        <w:rPr>
          <w:rFonts w:ascii="Arial Narrow" w:hAnsi="Arial Narrow"/>
          <w:sz w:val="28"/>
          <w:szCs w:val="28"/>
          <w:lang w:val="en-US"/>
        </w:rPr>
      </w:pPr>
      <w:r>
        <w:rPr>
          <w:rFonts w:ascii="Arial Narrow" w:hAnsi="Arial Narrow"/>
          <w:sz w:val="28"/>
          <w:szCs w:val="28"/>
          <w:lang w:val="en-US"/>
        </w:rPr>
        <w:t>Some recent examples of human rights violations at the borders highlight the challenges in upholding the rule of law</w:t>
      </w:r>
      <w:r w:rsidR="00082941">
        <w:rPr>
          <w:rFonts w:ascii="Arial Narrow" w:hAnsi="Arial Narrow"/>
          <w:sz w:val="28"/>
          <w:szCs w:val="28"/>
          <w:lang w:val="en-US"/>
        </w:rPr>
        <w:t xml:space="preserve"> </w:t>
      </w:r>
      <w:r w:rsidR="001A2797">
        <w:rPr>
          <w:rFonts w:ascii="Arial Narrow" w:hAnsi="Arial Narrow"/>
          <w:sz w:val="28"/>
          <w:szCs w:val="28"/>
          <w:lang w:val="en-US"/>
        </w:rPr>
        <w:t xml:space="preserve">: </w:t>
      </w:r>
    </w:p>
    <w:p w:rsidR="00205698" w:rsidRDefault="00205698" w:rsidP="00205698">
      <w:pPr>
        <w:pStyle w:val="ListParagraph"/>
        <w:ind w:left="360"/>
        <w:jc w:val="both"/>
        <w:rPr>
          <w:rFonts w:ascii="Arial Narrow" w:hAnsi="Arial Narrow"/>
          <w:sz w:val="28"/>
          <w:szCs w:val="28"/>
          <w:lang w:val="en-US"/>
        </w:rPr>
      </w:pPr>
    </w:p>
    <w:p w:rsidR="00144CDD" w:rsidRDefault="00205698" w:rsidP="001A2797">
      <w:pPr>
        <w:pStyle w:val="ListParagraph"/>
        <w:numPr>
          <w:ilvl w:val="1"/>
          <w:numId w:val="15"/>
        </w:numPr>
        <w:jc w:val="both"/>
        <w:rPr>
          <w:rFonts w:ascii="Arial Narrow" w:hAnsi="Arial Narrow"/>
          <w:sz w:val="28"/>
          <w:szCs w:val="28"/>
          <w:lang w:val="en-US"/>
        </w:rPr>
      </w:pPr>
      <w:proofErr w:type="spellStart"/>
      <w:r>
        <w:rPr>
          <w:rFonts w:ascii="Arial Narrow" w:hAnsi="Arial Narrow"/>
          <w:sz w:val="28"/>
          <w:szCs w:val="28"/>
          <w:u w:val="single"/>
          <w:lang w:val="en-US"/>
        </w:rPr>
        <w:t>Farma</w:t>
      </w:r>
      <w:r w:rsidR="001A2797" w:rsidRPr="00082941">
        <w:rPr>
          <w:rFonts w:ascii="Arial Narrow" w:hAnsi="Arial Narrow"/>
          <w:sz w:val="28"/>
          <w:szCs w:val="28"/>
          <w:u w:val="single"/>
          <w:lang w:val="en-US"/>
        </w:rPr>
        <w:t>konisi</w:t>
      </w:r>
      <w:proofErr w:type="spellEnd"/>
      <w:r w:rsidR="001A2797" w:rsidRPr="00082941">
        <w:rPr>
          <w:rFonts w:ascii="Arial Narrow" w:hAnsi="Arial Narrow"/>
          <w:sz w:val="28"/>
          <w:szCs w:val="28"/>
          <w:u w:val="single"/>
          <w:lang w:val="en-US"/>
        </w:rPr>
        <w:t>, Greece</w:t>
      </w:r>
      <w:r w:rsidR="001A2797">
        <w:rPr>
          <w:rFonts w:ascii="Arial Narrow" w:hAnsi="Arial Narrow"/>
          <w:sz w:val="28"/>
          <w:szCs w:val="28"/>
          <w:lang w:val="en-US"/>
        </w:rPr>
        <w:t xml:space="preserve">: </w:t>
      </w:r>
    </w:p>
    <w:p w:rsidR="00144CDD" w:rsidRDefault="00144CDD" w:rsidP="00144CDD">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 xml:space="preserve">In January 2014, in a “push back” operation, the </w:t>
      </w:r>
      <w:r w:rsidRPr="001166E9">
        <w:rPr>
          <w:rFonts w:ascii="Arial Narrow" w:hAnsi="Arial Narrow"/>
          <w:sz w:val="28"/>
          <w:szCs w:val="28"/>
          <w:u w:val="single"/>
          <w:lang w:val="en-US"/>
        </w:rPr>
        <w:t>Greek coast guard</w:t>
      </w:r>
      <w:r>
        <w:rPr>
          <w:rFonts w:ascii="Arial Narrow" w:hAnsi="Arial Narrow"/>
          <w:sz w:val="28"/>
          <w:szCs w:val="28"/>
          <w:lang w:val="en-US"/>
        </w:rPr>
        <w:t xml:space="preserve"> towed a small boat with migrants back towards Turkey, and the rope was cut which caused the boat to sink and led to the death of 11 Afghans, including 8 children. </w:t>
      </w:r>
    </w:p>
    <w:p w:rsidR="00144CDD" w:rsidRDefault="00144CDD" w:rsidP="00144CDD">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 xml:space="preserve">The survivors are now filing a complaint before the European Court of Human Rights claiming violation by the Greek authorities of the right </w:t>
      </w:r>
      <w:r w:rsidR="0027232A">
        <w:rPr>
          <w:rFonts w:ascii="Arial Narrow" w:hAnsi="Arial Narrow"/>
          <w:sz w:val="28"/>
          <w:szCs w:val="28"/>
          <w:lang w:val="en-US"/>
        </w:rPr>
        <w:t>to</w:t>
      </w:r>
      <w:r>
        <w:rPr>
          <w:rFonts w:ascii="Arial Narrow" w:hAnsi="Arial Narrow"/>
          <w:sz w:val="28"/>
          <w:szCs w:val="28"/>
          <w:lang w:val="en-US"/>
        </w:rPr>
        <w:t xml:space="preserve"> life, freedom from torture, and the right to an effective remedy. </w:t>
      </w:r>
    </w:p>
    <w:p w:rsidR="00205698" w:rsidRDefault="00205698" w:rsidP="00205698">
      <w:pPr>
        <w:pStyle w:val="ListParagraph"/>
        <w:ind w:left="1800"/>
        <w:jc w:val="both"/>
        <w:rPr>
          <w:rFonts w:ascii="Arial Narrow" w:hAnsi="Arial Narrow"/>
          <w:sz w:val="28"/>
          <w:szCs w:val="28"/>
          <w:lang w:val="en-US"/>
        </w:rPr>
      </w:pPr>
    </w:p>
    <w:p w:rsidR="00144CDD" w:rsidRDefault="0027232A" w:rsidP="00144CDD">
      <w:pPr>
        <w:pStyle w:val="ListParagraph"/>
        <w:numPr>
          <w:ilvl w:val="1"/>
          <w:numId w:val="15"/>
        </w:numPr>
        <w:jc w:val="both"/>
        <w:rPr>
          <w:rFonts w:ascii="Arial Narrow" w:hAnsi="Arial Narrow"/>
          <w:sz w:val="28"/>
          <w:szCs w:val="28"/>
          <w:lang w:val="en-US"/>
        </w:rPr>
      </w:pPr>
      <w:r w:rsidRPr="00082941">
        <w:rPr>
          <w:rFonts w:ascii="Arial Narrow" w:hAnsi="Arial Narrow"/>
          <w:sz w:val="28"/>
          <w:szCs w:val="28"/>
          <w:u w:val="single"/>
          <w:lang w:val="en-US"/>
        </w:rPr>
        <w:lastRenderedPageBreak/>
        <w:t>Ceuta and Melilla, Spain</w:t>
      </w:r>
      <w:r>
        <w:rPr>
          <w:rFonts w:ascii="Arial Narrow" w:hAnsi="Arial Narrow"/>
          <w:sz w:val="28"/>
          <w:szCs w:val="28"/>
          <w:lang w:val="en-US"/>
        </w:rPr>
        <w:t xml:space="preserve">: </w:t>
      </w:r>
    </w:p>
    <w:p w:rsidR="0027232A" w:rsidRDefault="0027232A" w:rsidP="0027232A">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 xml:space="preserve">A group of nearly 200 migrants tried to </w:t>
      </w:r>
      <w:r w:rsidR="00514B2F">
        <w:rPr>
          <w:rFonts w:ascii="Arial Narrow" w:hAnsi="Arial Narrow"/>
          <w:sz w:val="28"/>
          <w:szCs w:val="28"/>
          <w:lang w:val="en-US"/>
        </w:rPr>
        <w:t xml:space="preserve">swim towards </w:t>
      </w:r>
      <w:r>
        <w:rPr>
          <w:rFonts w:ascii="Arial Narrow" w:hAnsi="Arial Narrow"/>
          <w:sz w:val="28"/>
          <w:szCs w:val="28"/>
          <w:lang w:val="en-US"/>
        </w:rPr>
        <w:t xml:space="preserve">the coast of Ceuta on 6 February 2014. </w:t>
      </w:r>
    </w:p>
    <w:p w:rsidR="001166E9" w:rsidRDefault="001166E9" w:rsidP="001166E9">
      <w:pPr>
        <w:pStyle w:val="ListParagraph"/>
        <w:numPr>
          <w:ilvl w:val="2"/>
          <w:numId w:val="15"/>
        </w:numPr>
        <w:jc w:val="both"/>
        <w:rPr>
          <w:rFonts w:ascii="Arial Narrow" w:hAnsi="Arial Narrow"/>
          <w:sz w:val="28"/>
          <w:szCs w:val="28"/>
          <w:lang w:val="en-US"/>
        </w:rPr>
      </w:pPr>
      <w:r w:rsidRPr="0027232A">
        <w:rPr>
          <w:rFonts w:ascii="Arial Narrow" w:hAnsi="Arial Narrow"/>
          <w:sz w:val="28"/>
          <w:szCs w:val="28"/>
          <w:lang w:val="en-US"/>
        </w:rPr>
        <w:t xml:space="preserve">Members of the </w:t>
      </w:r>
      <w:r w:rsidRPr="001166E9">
        <w:rPr>
          <w:rFonts w:ascii="Arial Narrow" w:hAnsi="Arial Narrow"/>
          <w:sz w:val="28"/>
          <w:szCs w:val="28"/>
          <w:u w:val="single"/>
          <w:lang w:val="en-US"/>
        </w:rPr>
        <w:t>Spanish Civil Guard</w:t>
      </w:r>
      <w:r w:rsidRPr="0027232A">
        <w:rPr>
          <w:rFonts w:ascii="Arial Narrow" w:hAnsi="Arial Narrow"/>
          <w:sz w:val="28"/>
          <w:szCs w:val="28"/>
          <w:lang w:val="en-US"/>
        </w:rPr>
        <w:t xml:space="preserve"> </w:t>
      </w:r>
      <w:r w:rsidR="00DC666F">
        <w:rPr>
          <w:rFonts w:ascii="Arial Narrow" w:hAnsi="Arial Narrow"/>
          <w:sz w:val="28"/>
          <w:szCs w:val="28"/>
          <w:lang w:val="en-US"/>
        </w:rPr>
        <w:t xml:space="preserve">shot at them with </w:t>
      </w:r>
      <w:r w:rsidRPr="0027232A">
        <w:rPr>
          <w:rFonts w:ascii="Arial Narrow" w:hAnsi="Arial Narrow"/>
          <w:sz w:val="28"/>
          <w:szCs w:val="28"/>
          <w:lang w:val="en-US"/>
        </w:rPr>
        <w:t xml:space="preserve">rubber bullets and to stop </w:t>
      </w:r>
      <w:r>
        <w:rPr>
          <w:rFonts w:ascii="Arial Narrow" w:hAnsi="Arial Narrow"/>
          <w:sz w:val="28"/>
          <w:szCs w:val="28"/>
          <w:lang w:val="en-US"/>
        </w:rPr>
        <w:t>them</w:t>
      </w:r>
      <w:r w:rsidRPr="0027232A">
        <w:rPr>
          <w:rFonts w:ascii="Arial Narrow" w:hAnsi="Arial Narrow"/>
          <w:sz w:val="28"/>
          <w:szCs w:val="28"/>
          <w:lang w:val="en-US"/>
        </w:rPr>
        <w:t xml:space="preserve"> from arriving, resulting in the death of 15 people. </w:t>
      </w:r>
    </w:p>
    <w:p w:rsidR="001166E9" w:rsidRDefault="001166E9" w:rsidP="001166E9">
      <w:pPr>
        <w:pStyle w:val="ListParagraph"/>
        <w:numPr>
          <w:ilvl w:val="2"/>
          <w:numId w:val="15"/>
        </w:numPr>
        <w:jc w:val="both"/>
        <w:rPr>
          <w:rFonts w:ascii="Arial Narrow" w:hAnsi="Arial Narrow"/>
          <w:sz w:val="28"/>
          <w:szCs w:val="28"/>
          <w:lang w:val="en-US"/>
        </w:rPr>
      </w:pPr>
      <w:r w:rsidRPr="0027232A">
        <w:rPr>
          <w:rFonts w:ascii="Arial Narrow" w:hAnsi="Arial Narrow"/>
          <w:sz w:val="28"/>
          <w:szCs w:val="28"/>
          <w:lang w:val="en-US"/>
        </w:rPr>
        <w:t xml:space="preserve">16 </w:t>
      </w:r>
      <w:r w:rsidR="00514B2F">
        <w:rPr>
          <w:rFonts w:ascii="Arial Narrow" w:hAnsi="Arial Narrow"/>
          <w:sz w:val="28"/>
          <w:szCs w:val="28"/>
          <w:lang w:val="en-US"/>
        </w:rPr>
        <w:t>police officers</w:t>
      </w:r>
      <w:r w:rsidRPr="0027232A">
        <w:rPr>
          <w:rFonts w:ascii="Arial Narrow" w:hAnsi="Arial Narrow"/>
          <w:sz w:val="28"/>
          <w:szCs w:val="28"/>
          <w:lang w:val="en-US"/>
        </w:rPr>
        <w:t xml:space="preserve"> who were involved in the case </w:t>
      </w:r>
      <w:r>
        <w:rPr>
          <w:rFonts w:ascii="Arial Narrow" w:hAnsi="Arial Narrow"/>
          <w:sz w:val="28"/>
          <w:szCs w:val="28"/>
          <w:lang w:val="en-US"/>
        </w:rPr>
        <w:t>have been</w:t>
      </w:r>
      <w:r w:rsidRPr="0027232A">
        <w:rPr>
          <w:rFonts w:ascii="Arial Narrow" w:hAnsi="Arial Narrow"/>
          <w:sz w:val="28"/>
          <w:szCs w:val="28"/>
          <w:lang w:val="en-US"/>
        </w:rPr>
        <w:t xml:space="preserve"> accused of reckless homicide</w:t>
      </w:r>
      <w:r>
        <w:rPr>
          <w:rFonts w:ascii="Arial Narrow" w:hAnsi="Arial Narrow"/>
          <w:sz w:val="28"/>
          <w:szCs w:val="28"/>
          <w:lang w:val="en-US"/>
        </w:rPr>
        <w:t xml:space="preserve"> and will have to testify in court 3-11 March 2015. </w:t>
      </w:r>
    </w:p>
    <w:p w:rsidR="001166E9" w:rsidRDefault="00082941" w:rsidP="001166E9">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 xml:space="preserve">In separate developments – in </w:t>
      </w:r>
      <w:r w:rsidR="00E63C75">
        <w:rPr>
          <w:rFonts w:ascii="Arial Narrow" w:hAnsi="Arial Narrow"/>
          <w:sz w:val="28"/>
          <w:szCs w:val="28"/>
          <w:lang w:val="en-US"/>
        </w:rPr>
        <w:t>December 2014, t</w:t>
      </w:r>
      <w:r w:rsidR="001166E9" w:rsidRPr="0027232A">
        <w:rPr>
          <w:rFonts w:ascii="Arial Narrow" w:hAnsi="Arial Narrow"/>
          <w:sz w:val="28"/>
          <w:szCs w:val="28"/>
          <w:lang w:val="en-US"/>
        </w:rPr>
        <w:t xml:space="preserve">he </w:t>
      </w:r>
      <w:r w:rsidR="001166E9" w:rsidRPr="00082941">
        <w:rPr>
          <w:rFonts w:ascii="Arial Narrow" w:hAnsi="Arial Narrow"/>
          <w:sz w:val="28"/>
          <w:szCs w:val="28"/>
          <w:u w:val="single"/>
          <w:lang w:val="en-US"/>
        </w:rPr>
        <w:t>Spanish Congress of Deputies</w:t>
      </w:r>
      <w:r w:rsidR="001166E9" w:rsidRPr="0027232A">
        <w:rPr>
          <w:rFonts w:ascii="Arial Narrow" w:hAnsi="Arial Narrow"/>
          <w:sz w:val="28"/>
          <w:szCs w:val="28"/>
          <w:lang w:val="en-US"/>
        </w:rPr>
        <w:t xml:space="preserve"> adopted </w:t>
      </w:r>
      <w:hyperlink r:id="rId8" w:tgtFrame="_blank" w:history="1">
        <w:r w:rsidR="001166E9" w:rsidRPr="0027232A">
          <w:rPr>
            <w:rFonts w:ascii="Arial Narrow" w:hAnsi="Arial Narrow"/>
            <w:sz w:val="28"/>
            <w:szCs w:val="28"/>
            <w:lang w:val="en-US"/>
          </w:rPr>
          <w:t>amendments to the immigration law</w:t>
        </w:r>
      </w:hyperlink>
      <w:r w:rsidR="001166E9" w:rsidRPr="0027232A">
        <w:rPr>
          <w:rFonts w:ascii="Arial Narrow" w:hAnsi="Arial Narrow"/>
          <w:sz w:val="28"/>
          <w:szCs w:val="28"/>
          <w:lang w:val="en-US"/>
        </w:rPr>
        <w:t>, currently awaiting final approval in the Senate</w:t>
      </w:r>
      <w:r w:rsidR="00E63C75">
        <w:rPr>
          <w:rFonts w:ascii="Arial Narrow" w:hAnsi="Arial Narrow"/>
          <w:sz w:val="28"/>
          <w:szCs w:val="28"/>
          <w:lang w:val="en-US"/>
        </w:rPr>
        <w:t>. This law wo</w:t>
      </w:r>
      <w:r w:rsidR="001166E9" w:rsidRPr="0027232A">
        <w:rPr>
          <w:rFonts w:ascii="Arial Narrow" w:hAnsi="Arial Narrow"/>
          <w:sz w:val="28"/>
          <w:szCs w:val="28"/>
          <w:lang w:val="en-US"/>
        </w:rPr>
        <w:t>uld allow the automatic and collective expulsion of people at the Spanish borders in Ceuta and Melilla without any procedural safeguards</w:t>
      </w:r>
      <w:r w:rsidR="00E63C75">
        <w:rPr>
          <w:rFonts w:ascii="Arial Narrow" w:hAnsi="Arial Narrow"/>
          <w:sz w:val="28"/>
          <w:szCs w:val="28"/>
          <w:lang w:val="en-US"/>
        </w:rPr>
        <w:t xml:space="preserve">. </w:t>
      </w:r>
    </w:p>
    <w:p w:rsidR="00E63C75" w:rsidRDefault="00E63C75" w:rsidP="001166E9">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 xml:space="preserve">The Commissioner for Human Rights, Mr. </w:t>
      </w:r>
      <w:proofErr w:type="spellStart"/>
      <w:r>
        <w:rPr>
          <w:rFonts w:ascii="Arial Narrow" w:hAnsi="Arial Narrow"/>
          <w:sz w:val="28"/>
          <w:szCs w:val="28"/>
          <w:lang w:val="en-US"/>
        </w:rPr>
        <w:t>Muiznieks</w:t>
      </w:r>
      <w:proofErr w:type="spellEnd"/>
      <w:r>
        <w:rPr>
          <w:rFonts w:ascii="Arial Narrow" w:hAnsi="Arial Narrow"/>
          <w:sz w:val="28"/>
          <w:szCs w:val="28"/>
          <w:lang w:val="en-US"/>
        </w:rPr>
        <w:t xml:space="preserve">, visited Melilla in January 2015 and reminded Spain that no other European country has legalized unlawful practices and that in doing so, it could set an “extremely bad precedent” for the EU.  </w:t>
      </w:r>
    </w:p>
    <w:p w:rsidR="00033A2E" w:rsidRDefault="00033A2E" w:rsidP="00033A2E">
      <w:pPr>
        <w:pStyle w:val="ListParagraph"/>
        <w:ind w:left="1800"/>
        <w:jc w:val="both"/>
        <w:rPr>
          <w:rFonts w:ascii="Arial Narrow" w:hAnsi="Arial Narrow"/>
          <w:sz w:val="28"/>
          <w:szCs w:val="28"/>
          <w:lang w:val="en-US"/>
        </w:rPr>
      </w:pPr>
    </w:p>
    <w:p w:rsidR="00033A2E" w:rsidRPr="00033A2E" w:rsidRDefault="00033A2E" w:rsidP="00033A2E">
      <w:pPr>
        <w:pStyle w:val="ListParagraph"/>
        <w:numPr>
          <w:ilvl w:val="1"/>
          <w:numId w:val="15"/>
        </w:numPr>
        <w:jc w:val="both"/>
        <w:rPr>
          <w:rFonts w:ascii="Arial Narrow" w:hAnsi="Arial Narrow"/>
          <w:sz w:val="28"/>
          <w:szCs w:val="28"/>
          <w:lang w:val="en-US"/>
        </w:rPr>
      </w:pPr>
      <w:r>
        <w:rPr>
          <w:rFonts w:ascii="Arial Narrow" w:hAnsi="Arial Narrow"/>
          <w:sz w:val="28"/>
          <w:szCs w:val="28"/>
          <w:u w:val="single"/>
          <w:lang w:val="en-US"/>
        </w:rPr>
        <w:t>CPT monitoring of a Frontex JRO</w:t>
      </w:r>
      <w:r>
        <w:rPr>
          <w:rFonts w:ascii="Arial Narrow" w:hAnsi="Arial Narrow"/>
          <w:sz w:val="28"/>
          <w:szCs w:val="28"/>
          <w:u w:val="single"/>
          <w:lang w:val="en-US"/>
        </w:rPr>
        <w:t>:</w:t>
      </w:r>
    </w:p>
    <w:p w:rsidR="00033A2E" w:rsidRDefault="00033A2E" w:rsidP="00033A2E">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The Council</w:t>
      </w:r>
      <w:r>
        <w:rPr>
          <w:rFonts w:ascii="Arial Narrow" w:hAnsi="Arial Narrow"/>
          <w:sz w:val="28"/>
          <w:szCs w:val="28"/>
          <w:lang w:val="en-US"/>
        </w:rPr>
        <w:t xml:space="preserve"> </w:t>
      </w:r>
      <w:r w:rsidRPr="00033A2E">
        <w:rPr>
          <w:rFonts w:ascii="Arial Narrow" w:hAnsi="Arial Narrow"/>
          <w:sz w:val="28"/>
          <w:szCs w:val="28"/>
          <w:lang w:val="en-US"/>
        </w:rPr>
        <w:t xml:space="preserve">of Europe’s Committee for the Prevention of Torture (CPT) has conducted its first monitoring mission of a Frontex Joint Return Operation by air on a charter flight from Rotterdam, Netherlands, to Lagos, Nigeria. The countries participating in the joint operation were: Bulgaria, Germany, the Netherlands, Slovenia and Spain. The monitoring mission took place from 16 to 18 October 2013. In its final report on the monitoring mission, issued on 5 February 2015, the CPT stresses that the removal of migrants by air is becoming a widespread practice across Europe and highlights that these operations “entail a manifest risk of inhuman and degrading treatment (during preparation for the removal, the actual flight or when the removal is aborted)”. The CPT noted at some stages of the removal procedure an excessive use of physical constraints and highlights that one of the returnees was body-cuffed from 6.10am to 3.45pm, despite being under constant and close surveillance by escorts. Among its recommendations, the CPT stressed that an individual risk assessment should be carried out to justify the use of physical constraints and recommended that healthcare professionals on return flights should be equipped with emergency tools. The CPT also stressed that the returnees should always be prepared and informed about the removal procedure well in advance. </w:t>
      </w:r>
    </w:p>
    <w:p w:rsidR="00033A2E" w:rsidRPr="00033A2E" w:rsidRDefault="00033A2E" w:rsidP="00033A2E">
      <w:pPr>
        <w:pStyle w:val="ListParagraph"/>
        <w:ind w:left="1800"/>
        <w:jc w:val="both"/>
        <w:rPr>
          <w:rFonts w:ascii="Arial Narrow" w:hAnsi="Arial Narrow"/>
          <w:sz w:val="28"/>
          <w:szCs w:val="28"/>
          <w:lang w:val="en-US"/>
        </w:rPr>
      </w:pPr>
    </w:p>
    <w:p w:rsidR="00DC666F" w:rsidRPr="00033A2E" w:rsidRDefault="00E63C75" w:rsidP="00033A2E">
      <w:pPr>
        <w:pStyle w:val="ListParagraph"/>
        <w:numPr>
          <w:ilvl w:val="0"/>
          <w:numId w:val="15"/>
        </w:numPr>
        <w:jc w:val="both"/>
        <w:rPr>
          <w:rFonts w:ascii="Arial Narrow" w:hAnsi="Arial Narrow"/>
          <w:sz w:val="28"/>
          <w:szCs w:val="28"/>
          <w:lang w:val="en-US"/>
        </w:rPr>
      </w:pPr>
      <w:r w:rsidRPr="00033A2E">
        <w:rPr>
          <w:rFonts w:ascii="Arial Narrow" w:hAnsi="Arial Narrow"/>
          <w:sz w:val="28"/>
          <w:szCs w:val="28"/>
          <w:lang w:val="en-US"/>
        </w:rPr>
        <w:t xml:space="preserve">In all of </w:t>
      </w:r>
      <w:r w:rsidR="00DC666F" w:rsidRPr="00033A2E">
        <w:rPr>
          <w:rFonts w:ascii="Arial Narrow" w:hAnsi="Arial Narrow"/>
          <w:sz w:val="28"/>
          <w:szCs w:val="28"/>
          <w:lang w:val="en-US"/>
        </w:rPr>
        <w:t>incidents</w:t>
      </w:r>
      <w:r w:rsidRPr="00033A2E">
        <w:rPr>
          <w:rFonts w:ascii="Arial Narrow" w:hAnsi="Arial Narrow"/>
          <w:sz w:val="28"/>
          <w:szCs w:val="28"/>
          <w:lang w:val="en-US"/>
        </w:rPr>
        <w:t xml:space="preserve">, the question remains: </w:t>
      </w:r>
    </w:p>
    <w:p w:rsidR="00DC666F" w:rsidRDefault="00DC666F" w:rsidP="00DC666F">
      <w:pPr>
        <w:pStyle w:val="ListParagraph"/>
        <w:numPr>
          <w:ilvl w:val="1"/>
          <w:numId w:val="15"/>
        </w:numPr>
        <w:jc w:val="both"/>
        <w:rPr>
          <w:rFonts w:ascii="Arial Narrow" w:hAnsi="Arial Narrow"/>
          <w:sz w:val="28"/>
          <w:szCs w:val="28"/>
          <w:lang w:val="en-US"/>
        </w:rPr>
      </w:pPr>
      <w:r>
        <w:rPr>
          <w:rFonts w:ascii="Arial Narrow" w:hAnsi="Arial Narrow"/>
          <w:sz w:val="28"/>
          <w:szCs w:val="28"/>
          <w:lang w:val="en-US"/>
        </w:rPr>
        <w:t>W</w:t>
      </w:r>
      <w:r w:rsidR="00E63C75">
        <w:rPr>
          <w:rFonts w:ascii="Arial Narrow" w:hAnsi="Arial Narrow"/>
          <w:sz w:val="28"/>
          <w:szCs w:val="28"/>
          <w:lang w:val="en-US"/>
        </w:rPr>
        <w:t xml:space="preserve">ho </w:t>
      </w:r>
      <w:r w:rsidR="00E63C75" w:rsidRPr="001205D0">
        <w:rPr>
          <w:rFonts w:ascii="Arial Narrow" w:hAnsi="Arial Narrow"/>
          <w:sz w:val="28"/>
          <w:szCs w:val="28"/>
          <w:u w:val="single"/>
          <w:lang w:val="en-US"/>
        </w:rPr>
        <w:t>is</w:t>
      </w:r>
      <w:r w:rsidR="00E63C75">
        <w:rPr>
          <w:rFonts w:ascii="Arial Narrow" w:hAnsi="Arial Narrow"/>
          <w:sz w:val="28"/>
          <w:szCs w:val="28"/>
          <w:lang w:val="en-US"/>
        </w:rPr>
        <w:t xml:space="preserve"> accountable? </w:t>
      </w:r>
      <w:r>
        <w:rPr>
          <w:rFonts w:ascii="Arial Narrow" w:hAnsi="Arial Narrow"/>
          <w:sz w:val="28"/>
          <w:szCs w:val="28"/>
          <w:lang w:val="en-US"/>
        </w:rPr>
        <w:t xml:space="preserve">Spanish border guards? Greek border guards? The Spanish legislator? </w:t>
      </w:r>
    </w:p>
    <w:p w:rsidR="00E63C75" w:rsidRDefault="001205D0" w:rsidP="00DC666F">
      <w:pPr>
        <w:pStyle w:val="ListParagraph"/>
        <w:numPr>
          <w:ilvl w:val="1"/>
          <w:numId w:val="15"/>
        </w:numPr>
        <w:jc w:val="both"/>
        <w:rPr>
          <w:rFonts w:ascii="Arial Narrow" w:hAnsi="Arial Narrow"/>
          <w:sz w:val="28"/>
          <w:szCs w:val="28"/>
          <w:lang w:val="en-US"/>
        </w:rPr>
      </w:pPr>
      <w:r>
        <w:rPr>
          <w:rFonts w:ascii="Arial Narrow" w:hAnsi="Arial Narrow"/>
          <w:sz w:val="28"/>
          <w:szCs w:val="28"/>
          <w:lang w:val="en-US"/>
        </w:rPr>
        <w:lastRenderedPageBreak/>
        <w:t xml:space="preserve">Who </w:t>
      </w:r>
      <w:r w:rsidRPr="001205D0">
        <w:rPr>
          <w:rFonts w:ascii="Arial Narrow" w:hAnsi="Arial Narrow"/>
          <w:sz w:val="28"/>
          <w:szCs w:val="28"/>
          <w:u w:val="single"/>
          <w:lang w:val="en-US"/>
        </w:rPr>
        <w:t>should be</w:t>
      </w:r>
      <w:r>
        <w:rPr>
          <w:rFonts w:ascii="Arial Narrow" w:hAnsi="Arial Narrow"/>
          <w:sz w:val="28"/>
          <w:szCs w:val="28"/>
          <w:lang w:val="en-US"/>
        </w:rPr>
        <w:t xml:space="preserve"> accountable? </w:t>
      </w:r>
      <w:r w:rsidR="00082941">
        <w:rPr>
          <w:rFonts w:ascii="Arial Narrow" w:hAnsi="Arial Narrow"/>
          <w:sz w:val="28"/>
          <w:szCs w:val="28"/>
          <w:lang w:val="en-US"/>
        </w:rPr>
        <w:t xml:space="preserve">Frontex? </w:t>
      </w:r>
      <w:r w:rsidR="00514B2F">
        <w:rPr>
          <w:rFonts w:ascii="Arial Narrow" w:hAnsi="Arial Narrow"/>
          <w:sz w:val="28"/>
          <w:szCs w:val="28"/>
          <w:lang w:val="en-US"/>
        </w:rPr>
        <w:t xml:space="preserve">The EU? </w:t>
      </w:r>
      <w:r w:rsidR="00DC666F">
        <w:rPr>
          <w:rFonts w:ascii="Arial Narrow" w:hAnsi="Arial Narrow"/>
          <w:sz w:val="28"/>
          <w:szCs w:val="28"/>
          <w:lang w:val="en-US"/>
        </w:rPr>
        <w:t>What role for the European Comm</w:t>
      </w:r>
      <w:r w:rsidR="009C7542">
        <w:rPr>
          <w:rFonts w:ascii="Arial Narrow" w:hAnsi="Arial Narrow"/>
          <w:sz w:val="28"/>
          <w:szCs w:val="28"/>
          <w:lang w:val="en-US"/>
        </w:rPr>
        <w:t xml:space="preserve">ission and European Parliament? </w:t>
      </w:r>
    </w:p>
    <w:p w:rsidR="00554458" w:rsidRDefault="00554458" w:rsidP="00554458">
      <w:pPr>
        <w:pStyle w:val="ListParagraph"/>
        <w:ind w:left="1080"/>
        <w:jc w:val="both"/>
        <w:rPr>
          <w:rFonts w:ascii="Arial Narrow" w:hAnsi="Arial Narrow"/>
          <w:sz w:val="28"/>
          <w:szCs w:val="28"/>
          <w:lang w:val="en-US"/>
        </w:rPr>
      </w:pPr>
    </w:p>
    <w:p w:rsidR="00082941" w:rsidRPr="00A94DB3" w:rsidRDefault="00554458" w:rsidP="00033A2E">
      <w:pPr>
        <w:pStyle w:val="ListParagraph"/>
        <w:numPr>
          <w:ilvl w:val="0"/>
          <w:numId w:val="19"/>
        </w:numPr>
        <w:jc w:val="both"/>
        <w:rPr>
          <w:rFonts w:ascii="Arial Narrow" w:hAnsi="Arial Narrow"/>
          <w:b/>
          <w:sz w:val="28"/>
          <w:szCs w:val="28"/>
          <w:lang w:val="en-US"/>
        </w:rPr>
      </w:pPr>
      <w:r w:rsidRPr="002B4D3C">
        <w:rPr>
          <w:rFonts w:ascii="Arial Narrow" w:hAnsi="Arial Narrow"/>
          <w:b/>
          <w:sz w:val="28"/>
          <w:szCs w:val="28"/>
          <w:u w:val="single"/>
          <w:lang w:val="en-US"/>
        </w:rPr>
        <w:t>Transparency and public scrutiny</w:t>
      </w:r>
      <w:r w:rsidRPr="00554458">
        <w:rPr>
          <w:rFonts w:ascii="Arial Narrow" w:hAnsi="Arial Narrow"/>
          <w:b/>
          <w:sz w:val="28"/>
          <w:szCs w:val="28"/>
          <w:lang w:val="en-US"/>
        </w:rPr>
        <w:t xml:space="preserve"> regarding border control and border management</w:t>
      </w:r>
      <w:r w:rsidR="00082941">
        <w:rPr>
          <w:rFonts w:ascii="Arial Narrow" w:hAnsi="Arial Narrow"/>
          <w:b/>
          <w:sz w:val="28"/>
          <w:szCs w:val="28"/>
          <w:lang w:val="en-US"/>
        </w:rPr>
        <w:t xml:space="preserve">  </w:t>
      </w:r>
    </w:p>
    <w:p w:rsidR="00082941" w:rsidRDefault="00082941" w:rsidP="001205D0">
      <w:pPr>
        <w:jc w:val="both"/>
        <w:rPr>
          <w:rFonts w:ascii="Arial Narrow" w:hAnsi="Arial Narrow"/>
          <w:sz w:val="28"/>
          <w:szCs w:val="28"/>
          <w:lang w:val="en-US"/>
        </w:rPr>
      </w:pPr>
    </w:p>
    <w:p w:rsidR="009C7542" w:rsidRDefault="00832142" w:rsidP="002C7BBD">
      <w:pPr>
        <w:pStyle w:val="ListParagraph"/>
        <w:numPr>
          <w:ilvl w:val="0"/>
          <w:numId w:val="16"/>
        </w:numPr>
        <w:jc w:val="both"/>
        <w:rPr>
          <w:rFonts w:ascii="Arial Narrow" w:hAnsi="Arial Narrow"/>
          <w:sz w:val="28"/>
          <w:szCs w:val="28"/>
          <w:lang w:val="en-US"/>
        </w:rPr>
      </w:pPr>
      <w:r w:rsidRPr="009C7542">
        <w:rPr>
          <w:rFonts w:ascii="Arial Narrow" w:hAnsi="Arial Narrow"/>
          <w:b/>
          <w:sz w:val="28"/>
          <w:szCs w:val="28"/>
          <w:u w:val="single"/>
          <w:lang w:val="en-US"/>
        </w:rPr>
        <w:t>Lack of transparency</w:t>
      </w:r>
      <w:r w:rsidRPr="009C7542">
        <w:rPr>
          <w:rFonts w:ascii="Arial Narrow" w:hAnsi="Arial Narrow"/>
          <w:sz w:val="28"/>
          <w:szCs w:val="28"/>
          <w:lang w:val="en-US"/>
        </w:rPr>
        <w:t xml:space="preserve"> regarding operations and activities and their human rights implications. </w:t>
      </w:r>
    </w:p>
    <w:p w:rsidR="00205698" w:rsidRDefault="00205698" w:rsidP="00205698">
      <w:pPr>
        <w:pStyle w:val="ListParagraph"/>
        <w:ind w:left="360"/>
        <w:jc w:val="both"/>
        <w:rPr>
          <w:rFonts w:ascii="Arial Narrow" w:hAnsi="Arial Narrow"/>
          <w:sz w:val="28"/>
          <w:szCs w:val="28"/>
          <w:lang w:val="en-US"/>
        </w:rPr>
      </w:pPr>
    </w:p>
    <w:p w:rsidR="004C7443" w:rsidRDefault="004C7443" w:rsidP="004C7443">
      <w:pPr>
        <w:pStyle w:val="ListParagraph"/>
        <w:numPr>
          <w:ilvl w:val="1"/>
          <w:numId w:val="16"/>
        </w:numPr>
        <w:jc w:val="both"/>
        <w:rPr>
          <w:rFonts w:ascii="Arial Narrow" w:hAnsi="Arial Narrow"/>
          <w:sz w:val="28"/>
          <w:szCs w:val="28"/>
          <w:lang w:val="en-US"/>
        </w:rPr>
      </w:pPr>
      <w:r>
        <w:rPr>
          <w:rFonts w:ascii="Arial Narrow" w:hAnsi="Arial Narrow"/>
          <w:sz w:val="28"/>
          <w:szCs w:val="28"/>
          <w:lang w:val="en-US"/>
        </w:rPr>
        <w:t xml:space="preserve">Lampedusa, Italy </w:t>
      </w:r>
    </w:p>
    <w:p w:rsidR="004C7443" w:rsidRDefault="004C7443" w:rsidP="004C7443">
      <w:pPr>
        <w:pStyle w:val="ListParagraph"/>
        <w:numPr>
          <w:ilvl w:val="2"/>
          <w:numId w:val="16"/>
        </w:numPr>
        <w:jc w:val="both"/>
        <w:rPr>
          <w:rFonts w:ascii="Arial Narrow" w:hAnsi="Arial Narrow"/>
          <w:sz w:val="28"/>
          <w:szCs w:val="28"/>
          <w:lang w:val="en-US"/>
        </w:rPr>
      </w:pPr>
      <w:r>
        <w:rPr>
          <w:rFonts w:ascii="Arial Narrow" w:hAnsi="Arial Narrow"/>
          <w:sz w:val="28"/>
          <w:szCs w:val="28"/>
          <w:lang w:val="en-US"/>
        </w:rPr>
        <w:t xml:space="preserve">After 300 migrants drowned off the coast of Lampedusa in October 2013, Italy rescued 160,000 migrants in 12 months with the Mare Nostrum policy, with its own funding. </w:t>
      </w:r>
    </w:p>
    <w:p w:rsidR="004C7443" w:rsidRDefault="004C7443" w:rsidP="004C7443">
      <w:pPr>
        <w:pStyle w:val="ListParagraph"/>
        <w:numPr>
          <w:ilvl w:val="2"/>
          <w:numId w:val="16"/>
        </w:numPr>
        <w:jc w:val="both"/>
        <w:rPr>
          <w:rFonts w:ascii="Arial Narrow" w:hAnsi="Arial Narrow"/>
          <w:sz w:val="28"/>
          <w:szCs w:val="28"/>
          <w:lang w:val="en-US"/>
        </w:rPr>
      </w:pPr>
      <w:r>
        <w:rPr>
          <w:rFonts w:ascii="Arial Narrow" w:hAnsi="Arial Narrow"/>
          <w:sz w:val="28"/>
          <w:szCs w:val="28"/>
          <w:lang w:val="en-US"/>
        </w:rPr>
        <w:t xml:space="preserve">When it stopped this policy last fall, the EU responded with the underfunded Triton operation, which is not a replacement for Mare Nostrum: </w:t>
      </w:r>
    </w:p>
    <w:p w:rsidR="004C7443" w:rsidRDefault="004C7443" w:rsidP="004C7443">
      <w:pPr>
        <w:pStyle w:val="ListParagraph"/>
        <w:numPr>
          <w:ilvl w:val="3"/>
          <w:numId w:val="16"/>
        </w:numPr>
        <w:jc w:val="both"/>
        <w:rPr>
          <w:rFonts w:ascii="Arial Narrow" w:hAnsi="Arial Narrow"/>
          <w:sz w:val="28"/>
          <w:szCs w:val="28"/>
          <w:lang w:val="en-US"/>
        </w:rPr>
      </w:pPr>
      <w:r>
        <w:rPr>
          <w:rFonts w:ascii="Arial Narrow" w:hAnsi="Arial Narrow"/>
          <w:sz w:val="28"/>
          <w:szCs w:val="28"/>
          <w:lang w:val="en-US"/>
        </w:rPr>
        <w:t xml:space="preserve">Search and rescue is not in Triton’s mandate </w:t>
      </w:r>
    </w:p>
    <w:p w:rsidR="004C7443" w:rsidRDefault="004C7443" w:rsidP="004C7443">
      <w:pPr>
        <w:pStyle w:val="ListParagraph"/>
        <w:numPr>
          <w:ilvl w:val="3"/>
          <w:numId w:val="16"/>
        </w:numPr>
        <w:jc w:val="both"/>
        <w:rPr>
          <w:rFonts w:ascii="Arial Narrow" w:hAnsi="Arial Narrow"/>
          <w:sz w:val="28"/>
          <w:szCs w:val="28"/>
          <w:lang w:val="en-US"/>
        </w:rPr>
      </w:pPr>
      <w:r>
        <w:rPr>
          <w:rFonts w:ascii="Arial Narrow" w:hAnsi="Arial Narrow"/>
          <w:sz w:val="28"/>
          <w:szCs w:val="28"/>
          <w:lang w:val="en-US"/>
        </w:rPr>
        <w:t xml:space="preserve">The primary role of Frontex is border management and control. </w:t>
      </w:r>
    </w:p>
    <w:p w:rsidR="004C7443" w:rsidRPr="006A7B31" w:rsidRDefault="004C7443" w:rsidP="004C7443">
      <w:pPr>
        <w:pStyle w:val="ListParagraph"/>
        <w:numPr>
          <w:ilvl w:val="3"/>
          <w:numId w:val="16"/>
        </w:numPr>
        <w:jc w:val="both"/>
        <w:rPr>
          <w:rFonts w:ascii="Arial Narrow" w:hAnsi="Arial Narrow"/>
          <w:sz w:val="28"/>
          <w:szCs w:val="28"/>
          <w:lang w:val="en-US"/>
        </w:rPr>
      </w:pPr>
      <w:r w:rsidRPr="006A7B31">
        <w:rPr>
          <w:rFonts w:ascii="Arial Narrow" w:hAnsi="Arial Narrow"/>
          <w:sz w:val="28"/>
          <w:szCs w:val="28"/>
          <w:lang w:val="en-US"/>
        </w:rPr>
        <w:t xml:space="preserve">Thus, with the launch of Triton, it was clear that border control was being prioritized over search and rescue. </w:t>
      </w:r>
    </w:p>
    <w:p w:rsidR="004C7443" w:rsidRDefault="00821DAF" w:rsidP="004C7443">
      <w:pPr>
        <w:pStyle w:val="ListParagraph"/>
        <w:numPr>
          <w:ilvl w:val="3"/>
          <w:numId w:val="16"/>
        </w:numPr>
        <w:jc w:val="both"/>
        <w:rPr>
          <w:rFonts w:ascii="Arial Narrow" w:hAnsi="Arial Narrow"/>
          <w:sz w:val="28"/>
          <w:szCs w:val="28"/>
          <w:lang w:val="en-US"/>
        </w:rPr>
      </w:pPr>
      <w:r w:rsidRPr="006A7B31">
        <w:rPr>
          <w:rFonts w:ascii="Arial Narrow" w:hAnsi="Arial Narrow"/>
          <w:sz w:val="28"/>
          <w:szCs w:val="28"/>
          <w:lang w:val="en-US"/>
        </w:rPr>
        <w:t>Claiming that the decision of the European Commission to prolong the Joint Operati</w:t>
      </w:r>
      <w:r w:rsidR="00C56748">
        <w:rPr>
          <w:rFonts w:ascii="Arial Narrow" w:hAnsi="Arial Narrow"/>
          <w:sz w:val="28"/>
          <w:szCs w:val="28"/>
          <w:lang w:val="en-US"/>
        </w:rPr>
        <w:t>on Triton until the end of 2015</w:t>
      </w:r>
      <w:r w:rsidRPr="006A7B31">
        <w:rPr>
          <w:rFonts w:ascii="Arial Narrow" w:hAnsi="Arial Narrow"/>
          <w:sz w:val="28"/>
          <w:szCs w:val="28"/>
          <w:lang w:val="en-US"/>
        </w:rPr>
        <w:t xml:space="preserve"> does not constitute a sufficient response to the situation in the Mediterranean, the </w:t>
      </w:r>
      <w:r w:rsidR="004C7443" w:rsidRPr="006A7B31">
        <w:rPr>
          <w:rFonts w:ascii="Arial Narrow" w:hAnsi="Arial Narrow"/>
          <w:sz w:val="28"/>
          <w:szCs w:val="28"/>
          <w:lang w:val="en-US"/>
        </w:rPr>
        <w:t xml:space="preserve">Italian </w:t>
      </w:r>
      <w:r w:rsidRPr="006A7B31">
        <w:rPr>
          <w:rFonts w:ascii="Arial Narrow" w:hAnsi="Arial Narrow"/>
          <w:sz w:val="28"/>
          <w:szCs w:val="28"/>
          <w:lang w:val="en-US"/>
        </w:rPr>
        <w:t xml:space="preserve">Minister for Foreign Affairs, Paolo </w:t>
      </w:r>
      <w:proofErr w:type="spellStart"/>
      <w:r w:rsidRPr="006A7B31">
        <w:rPr>
          <w:rFonts w:ascii="Arial Narrow" w:hAnsi="Arial Narrow"/>
          <w:sz w:val="28"/>
          <w:szCs w:val="28"/>
          <w:lang w:val="en-US"/>
        </w:rPr>
        <w:t>Gentiloni</w:t>
      </w:r>
      <w:proofErr w:type="spellEnd"/>
      <w:r w:rsidRPr="006A7B31">
        <w:rPr>
          <w:rFonts w:ascii="Arial Narrow" w:hAnsi="Arial Narrow"/>
          <w:sz w:val="28"/>
          <w:szCs w:val="28"/>
          <w:lang w:val="en-US"/>
        </w:rPr>
        <w:t xml:space="preserve">, in an interview with the Italian newspaper “Il </w:t>
      </w:r>
      <w:proofErr w:type="spellStart"/>
      <w:r w:rsidRPr="006A7B31">
        <w:rPr>
          <w:rFonts w:ascii="Arial Narrow" w:hAnsi="Arial Narrow"/>
          <w:sz w:val="28"/>
          <w:szCs w:val="28"/>
          <w:lang w:val="en-US"/>
        </w:rPr>
        <w:t>Messaggero</w:t>
      </w:r>
      <w:proofErr w:type="spellEnd"/>
      <w:r w:rsidRPr="006A7B31">
        <w:rPr>
          <w:rFonts w:ascii="Arial Narrow" w:hAnsi="Arial Narrow"/>
          <w:sz w:val="28"/>
          <w:szCs w:val="28"/>
          <w:lang w:val="en-US"/>
        </w:rPr>
        <w:t>” stated that he will present -at the next meeting of EU Ministers of Foreign Affairs on 16 March- a formal request for Triton to be further strengthened</w:t>
      </w:r>
      <w:r w:rsidR="002B4D3C">
        <w:rPr>
          <w:rFonts w:ascii="Arial Narrow" w:hAnsi="Arial Narrow"/>
          <w:sz w:val="28"/>
          <w:szCs w:val="28"/>
          <w:lang w:val="en-US"/>
        </w:rPr>
        <w:t xml:space="preserve"> – yet the main distinction between Mare Nostrum (as SAR operation) and Triton (as border control operation) remains</w:t>
      </w:r>
      <w:r w:rsidRPr="006A7B31">
        <w:rPr>
          <w:rFonts w:ascii="Arial Narrow" w:hAnsi="Arial Narrow"/>
          <w:sz w:val="28"/>
          <w:szCs w:val="28"/>
          <w:lang w:val="en-US"/>
        </w:rPr>
        <w:t>.</w:t>
      </w:r>
      <w:r w:rsidR="002B4D3C">
        <w:rPr>
          <w:rFonts w:ascii="Arial Narrow" w:hAnsi="Arial Narrow"/>
          <w:sz w:val="28"/>
          <w:szCs w:val="28"/>
          <w:lang w:val="en-US"/>
        </w:rPr>
        <w:t xml:space="preserve"> </w:t>
      </w:r>
      <w:r w:rsidRPr="006A7B31">
        <w:rPr>
          <w:rFonts w:ascii="Arial Narrow" w:hAnsi="Arial Narrow"/>
          <w:sz w:val="28"/>
          <w:szCs w:val="28"/>
          <w:lang w:val="en-US"/>
        </w:rPr>
        <w:t xml:space="preserve">    </w:t>
      </w:r>
    </w:p>
    <w:p w:rsidR="002B4D3C" w:rsidRPr="006A7B31" w:rsidRDefault="002B4D3C" w:rsidP="002B4D3C">
      <w:pPr>
        <w:pStyle w:val="ListParagraph"/>
        <w:ind w:left="2520"/>
        <w:jc w:val="both"/>
        <w:rPr>
          <w:rFonts w:ascii="Arial Narrow" w:hAnsi="Arial Narrow"/>
          <w:sz w:val="28"/>
          <w:szCs w:val="28"/>
          <w:lang w:val="en-US"/>
        </w:rPr>
      </w:pPr>
    </w:p>
    <w:p w:rsidR="002B4D3C" w:rsidRPr="00205698" w:rsidRDefault="009C7542" w:rsidP="00205698">
      <w:pPr>
        <w:pStyle w:val="ListParagraph"/>
        <w:numPr>
          <w:ilvl w:val="0"/>
          <w:numId w:val="16"/>
        </w:numPr>
        <w:jc w:val="both"/>
        <w:rPr>
          <w:rFonts w:ascii="Arial Narrow" w:hAnsi="Arial Narrow"/>
          <w:sz w:val="28"/>
          <w:szCs w:val="28"/>
          <w:lang w:val="en-US"/>
        </w:rPr>
      </w:pPr>
      <w:r w:rsidRPr="009C7542">
        <w:rPr>
          <w:rFonts w:ascii="Arial Narrow" w:hAnsi="Arial Narrow"/>
          <w:b/>
          <w:sz w:val="28"/>
          <w:szCs w:val="28"/>
          <w:u w:val="single"/>
          <w:lang w:val="en-US"/>
        </w:rPr>
        <w:t>L</w:t>
      </w:r>
      <w:r w:rsidR="00832142" w:rsidRPr="009C7542">
        <w:rPr>
          <w:rFonts w:ascii="Arial Narrow" w:hAnsi="Arial Narrow"/>
          <w:b/>
          <w:sz w:val="28"/>
          <w:szCs w:val="28"/>
          <w:u w:val="single"/>
          <w:lang w:val="en-US"/>
        </w:rPr>
        <w:t>ack of democratic scrutiny</w:t>
      </w:r>
      <w:r>
        <w:rPr>
          <w:rFonts w:ascii="Arial Narrow" w:hAnsi="Arial Narrow"/>
          <w:sz w:val="28"/>
          <w:szCs w:val="28"/>
          <w:lang w:val="en-US"/>
        </w:rPr>
        <w:t xml:space="preserve"> </w:t>
      </w:r>
      <w:r w:rsidR="00205698">
        <w:rPr>
          <w:rFonts w:ascii="Arial Narrow" w:hAnsi="Arial Narrow"/>
          <w:sz w:val="28"/>
          <w:szCs w:val="28"/>
          <w:lang w:val="en-US"/>
        </w:rPr>
        <w:t xml:space="preserve">- </w:t>
      </w:r>
      <w:r w:rsidR="002B4D3C" w:rsidRPr="00205698">
        <w:rPr>
          <w:rFonts w:ascii="Arial Narrow" w:hAnsi="Arial Narrow"/>
          <w:sz w:val="28"/>
          <w:szCs w:val="28"/>
          <w:lang w:val="en-US"/>
        </w:rPr>
        <w:t>When Frontex was established, its role was seen primarily in terms of border control and migration management. Once it began to operate, it became clear that there were human rights implications attached to its work and that it was ill-equipped to tackle them. This led to the creation of the Fundamental Rights Officer, as well as the Consultative Forum, which includes inter-governmental agencies as well as a number of civil society organizations (PICUM sits on the forum).</w:t>
      </w:r>
    </w:p>
    <w:p w:rsidR="002B4D3C" w:rsidRPr="002B4D3C" w:rsidRDefault="002B4D3C" w:rsidP="002B4D3C">
      <w:pPr>
        <w:pStyle w:val="ListParagraph"/>
        <w:ind w:left="360"/>
        <w:jc w:val="both"/>
        <w:rPr>
          <w:rFonts w:ascii="Arial Narrow" w:hAnsi="Arial Narrow"/>
          <w:sz w:val="28"/>
          <w:szCs w:val="28"/>
          <w:lang w:val="en-US"/>
        </w:rPr>
      </w:pPr>
    </w:p>
    <w:p w:rsidR="002B4D3C" w:rsidRDefault="002B4D3C" w:rsidP="002B4D3C">
      <w:pPr>
        <w:pStyle w:val="ListParagraph"/>
        <w:numPr>
          <w:ilvl w:val="0"/>
          <w:numId w:val="16"/>
        </w:numPr>
        <w:jc w:val="both"/>
        <w:rPr>
          <w:rFonts w:ascii="Arial Narrow" w:hAnsi="Arial Narrow"/>
          <w:sz w:val="28"/>
          <w:szCs w:val="28"/>
          <w:lang w:val="en-US"/>
        </w:rPr>
      </w:pPr>
      <w:r>
        <w:rPr>
          <w:rFonts w:ascii="Arial Narrow" w:hAnsi="Arial Narrow"/>
          <w:sz w:val="28"/>
          <w:szCs w:val="28"/>
          <w:lang w:val="en-US"/>
        </w:rPr>
        <w:t>Yet there remain a</w:t>
      </w:r>
      <w:r w:rsidRPr="00A94DB3">
        <w:rPr>
          <w:rFonts w:ascii="Arial Narrow" w:hAnsi="Arial Narrow"/>
          <w:sz w:val="28"/>
          <w:szCs w:val="28"/>
          <w:lang w:val="en-US"/>
        </w:rPr>
        <w:t xml:space="preserve"> number of structural shortcomings in the way in which the agency operates and is managed</w:t>
      </w:r>
      <w:r>
        <w:rPr>
          <w:rFonts w:ascii="Arial Narrow" w:hAnsi="Arial Narrow"/>
          <w:sz w:val="28"/>
          <w:szCs w:val="28"/>
          <w:lang w:val="en-US"/>
        </w:rPr>
        <w:t>, with human rights implications</w:t>
      </w:r>
      <w:r w:rsidRPr="00A94DB3">
        <w:rPr>
          <w:rFonts w:ascii="Arial Narrow" w:hAnsi="Arial Narrow"/>
          <w:sz w:val="28"/>
          <w:szCs w:val="28"/>
          <w:lang w:val="en-US"/>
        </w:rPr>
        <w:t>:</w:t>
      </w:r>
    </w:p>
    <w:p w:rsidR="002B4D3C" w:rsidRPr="002B4D3C" w:rsidRDefault="002B4D3C" w:rsidP="002B4D3C">
      <w:pPr>
        <w:jc w:val="both"/>
        <w:rPr>
          <w:rFonts w:ascii="Arial Narrow" w:hAnsi="Arial Narrow"/>
          <w:sz w:val="28"/>
          <w:szCs w:val="28"/>
          <w:lang w:val="en-US"/>
        </w:rPr>
      </w:pPr>
    </w:p>
    <w:p w:rsidR="002B4D3C" w:rsidRDefault="002B4D3C" w:rsidP="002B4D3C">
      <w:pPr>
        <w:pStyle w:val="ListParagraph"/>
        <w:numPr>
          <w:ilvl w:val="0"/>
          <w:numId w:val="16"/>
        </w:numPr>
        <w:jc w:val="both"/>
        <w:rPr>
          <w:rFonts w:ascii="Arial Narrow" w:hAnsi="Arial Narrow"/>
          <w:sz w:val="28"/>
          <w:szCs w:val="28"/>
          <w:lang w:val="en-US"/>
        </w:rPr>
      </w:pPr>
      <w:r w:rsidRPr="00A94DB3">
        <w:rPr>
          <w:rFonts w:ascii="Arial Narrow" w:hAnsi="Arial Narrow"/>
          <w:b/>
          <w:sz w:val="28"/>
          <w:szCs w:val="28"/>
          <w:u w:val="single"/>
          <w:lang w:val="en-US"/>
        </w:rPr>
        <w:t xml:space="preserve">Lack of clarity over </w:t>
      </w:r>
      <w:proofErr w:type="spellStart"/>
      <w:r w:rsidRPr="00A94DB3">
        <w:rPr>
          <w:rFonts w:ascii="Arial Narrow" w:hAnsi="Arial Narrow"/>
          <w:b/>
          <w:sz w:val="28"/>
          <w:szCs w:val="28"/>
          <w:u w:val="single"/>
          <w:lang w:val="en-US"/>
        </w:rPr>
        <w:t>Frontex’s</w:t>
      </w:r>
      <w:proofErr w:type="spellEnd"/>
      <w:r w:rsidRPr="00A94DB3">
        <w:rPr>
          <w:rFonts w:ascii="Arial Narrow" w:hAnsi="Arial Narrow"/>
          <w:b/>
          <w:sz w:val="28"/>
          <w:szCs w:val="28"/>
          <w:u w:val="single"/>
          <w:lang w:val="en-US"/>
        </w:rPr>
        <w:t xml:space="preserve"> responsibility</w:t>
      </w:r>
      <w:r w:rsidRPr="00A94DB3">
        <w:rPr>
          <w:rFonts w:ascii="Arial Narrow" w:hAnsi="Arial Narrow"/>
          <w:sz w:val="28"/>
          <w:szCs w:val="28"/>
          <w:lang w:val="en-US"/>
        </w:rPr>
        <w:t xml:space="preserve"> in </w:t>
      </w:r>
      <w:proofErr w:type="spellStart"/>
      <w:r w:rsidRPr="00A94DB3">
        <w:rPr>
          <w:rFonts w:ascii="Arial Narrow" w:hAnsi="Arial Narrow"/>
          <w:sz w:val="28"/>
          <w:szCs w:val="28"/>
          <w:lang w:val="en-US"/>
        </w:rPr>
        <w:t>co-ordinating</w:t>
      </w:r>
      <w:proofErr w:type="spellEnd"/>
      <w:r w:rsidRPr="00A94DB3">
        <w:rPr>
          <w:rFonts w:ascii="Arial Narrow" w:hAnsi="Arial Narrow"/>
          <w:sz w:val="28"/>
          <w:szCs w:val="28"/>
          <w:lang w:val="en-US"/>
        </w:rPr>
        <w:t xml:space="preserve"> and implementing joint land, air, sea operations and return operations with member States </w:t>
      </w:r>
      <w:r>
        <w:rPr>
          <w:rFonts w:ascii="Arial Narrow" w:hAnsi="Arial Narrow"/>
          <w:sz w:val="28"/>
          <w:szCs w:val="28"/>
          <w:lang w:val="en-US"/>
        </w:rPr>
        <w:t>concerning</w:t>
      </w:r>
      <w:r w:rsidRPr="00A94DB3">
        <w:rPr>
          <w:rFonts w:ascii="Arial Narrow" w:hAnsi="Arial Narrow"/>
          <w:sz w:val="28"/>
          <w:szCs w:val="28"/>
          <w:lang w:val="en-US"/>
        </w:rPr>
        <w:t xml:space="preserve"> </w:t>
      </w:r>
      <w:r w:rsidRPr="00A94DB3">
        <w:rPr>
          <w:rFonts w:ascii="Arial Narrow" w:hAnsi="Arial Narrow"/>
          <w:sz w:val="28"/>
          <w:szCs w:val="28"/>
          <w:lang w:val="en-US"/>
        </w:rPr>
        <w:lastRenderedPageBreak/>
        <w:t xml:space="preserve">liabilities for human rights violations or other breaches of international law resulting from the agency’s actions. </w:t>
      </w:r>
    </w:p>
    <w:p w:rsidR="002B4D3C" w:rsidRDefault="002B4D3C" w:rsidP="002B4D3C">
      <w:pPr>
        <w:pStyle w:val="ListParagraph"/>
        <w:numPr>
          <w:ilvl w:val="1"/>
          <w:numId w:val="16"/>
        </w:numPr>
        <w:jc w:val="both"/>
        <w:rPr>
          <w:rFonts w:ascii="Arial Narrow" w:hAnsi="Arial Narrow"/>
          <w:i/>
          <w:sz w:val="28"/>
          <w:szCs w:val="28"/>
          <w:lang w:val="en-US"/>
        </w:rPr>
      </w:pPr>
      <w:r w:rsidRPr="009C7542">
        <w:rPr>
          <w:rFonts w:ascii="Arial Narrow" w:hAnsi="Arial Narrow"/>
          <w:i/>
          <w:sz w:val="28"/>
          <w:szCs w:val="28"/>
          <w:lang w:val="en-US"/>
        </w:rPr>
        <w:t xml:space="preserve">Frontex must </w:t>
      </w:r>
      <w:proofErr w:type="spellStart"/>
      <w:r w:rsidRPr="009C7542">
        <w:rPr>
          <w:rFonts w:ascii="Arial Narrow" w:hAnsi="Arial Narrow"/>
          <w:i/>
          <w:sz w:val="28"/>
          <w:szCs w:val="28"/>
          <w:lang w:val="en-US"/>
        </w:rPr>
        <w:t>recognise</w:t>
      </w:r>
      <w:proofErr w:type="spellEnd"/>
      <w:r w:rsidRPr="009C7542">
        <w:rPr>
          <w:rFonts w:ascii="Arial Narrow" w:hAnsi="Arial Narrow"/>
          <w:i/>
          <w:sz w:val="28"/>
          <w:szCs w:val="28"/>
          <w:lang w:val="en-US"/>
        </w:rPr>
        <w:t xml:space="preserve"> its responsibility as owner or co-owner of the </w:t>
      </w:r>
      <w:r>
        <w:rPr>
          <w:rFonts w:ascii="Arial Narrow" w:hAnsi="Arial Narrow"/>
          <w:i/>
          <w:sz w:val="28"/>
          <w:szCs w:val="28"/>
          <w:lang w:val="en-US"/>
        </w:rPr>
        <w:t>operations</w:t>
      </w:r>
      <w:r w:rsidRPr="009C7542">
        <w:rPr>
          <w:rFonts w:ascii="Arial Narrow" w:hAnsi="Arial Narrow"/>
          <w:i/>
          <w:sz w:val="28"/>
          <w:szCs w:val="28"/>
          <w:lang w:val="en-US"/>
        </w:rPr>
        <w:t xml:space="preserve"> it co-ordinates and implements.</w:t>
      </w:r>
    </w:p>
    <w:p w:rsidR="002B4D3C" w:rsidRPr="002B4D3C" w:rsidRDefault="002B4D3C" w:rsidP="002B4D3C">
      <w:pPr>
        <w:pStyle w:val="ListParagraph"/>
        <w:numPr>
          <w:ilvl w:val="1"/>
          <w:numId w:val="16"/>
        </w:numPr>
        <w:jc w:val="both"/>
        <w:rPr>
          <w:rFonts w:ascii="Arial Narrow" w:hAnsi="Arial Narrow"/>
          <w:i/>
          <w:sz w:val="28"/>
          <w:szCs w:val="28"/>
          <w:lang w:val="en-US"/>
        </w:rPr>
      </w:pPr>
      <w:r>
        <w:rPr>
          <w:rFonts w:ascii="Arial Narrow" w:hAnsi="Arial Narrow"/>
          <w:sz w:val="28"/>
          <w:szCs w:val="28"/>
          <w:lang w:val="en-US"/>
        </w:rPr>
        <w:t xml:space="preserve">i.e. </w:t>
      </w:r>
      <w:proofErr w:type="spellStart"/>
      <w:r w:rsidRPr="006A7B31">
        <w:rPr>
          <w:rFonts w:ascii="Arial Narrow" w:hAnsi="Arial Narrow"/>
          <w:sz w:val="28"/>
          <w:szCs w:val="28"/>
          <w:lang w:val="en-US"/>
        </w:rPr>
        <w:t>Farmakonisi</w:t>
      </w:r>
      <w:proofErr w:type="spellEnd"/>
      <w:r w:rsidRPr="006A7B31">
        <w:rPr>
          <w:rFonts w:ascii="Arial Narrow" w:hAnsi="Arial Narrow"/>
          <w:sz w:val="28"/>
          <w:szCs w:val="28"/>
          <w:lang w:val="en-US"/>
        </w:rPr>
        <w:t xml:space="preserve"> happened in the operational area of the</w:t>
      </w:r>
      <w:r>
        <w:rPr>
          <w:rFonts w:ascii="Arial Narrow" w:hAnsi="Arial Narrow"/>
          <w:sz w:val="28"/>
          <w:szCs w:val="28"/>
          <w:lang w:val="en-US"/>
        </w:rPr>
        <w:t xml:space="preserve"> Frontex</w:t>
      </w:r>
      <w:r w:rsidRPr="006A7B31">
        <w:rPr>
          <w:rFonts w:ascii="Arial Narrow" w:hAnsi="Arial Narrow"/>
          <w:sz w:val="28"/>
          <w:szCs w:val="28"/>
          <w:lang w:val="en-US"/>
        </w:rPr>
        <w:t xml:space="preserve"> Joint Operation Poseidon</w:t>
      </w:r>
    </w:p>
    <w:p w:rsidR="002B4D3C" w:rsidRPr="006A7B31" w:rsidRDefault="002B4D3C" w:rsidP="002B4D3C">
      <w:pPr>
        <w:pStyle w:val="ListParagraph"/>
        <w:ind w:left="1080"/>
        <w:jc w:val="both"/>
        <w:rPr>
          <w:rFonts w:ascii="Arial Narrow" w:hAnsi="Arial Narrow"/>
          <w:i/>
          <w:sz w:val="28"/>
          <w:szCs w:val="28"/>
          <w:lang w:val="en-US"/>
        </w:rPr>
      </w:pPr>
    </w:p>
    <w:p w:rsidR="009C7542" w:rsidRDefault="002B4D3C" w:rsidP="009C7542">
      <w:pPr>
        <w:pStyle w:val="ListParagraph"/>
        <w:numPr>
          <w:ilvl w:val="0"/>
          <w:numId w:val="16"/>
        </w:numPr>
        <w:jc w:val="both"/>
        <w:rPr>
          <w:rFonts w:ascii="Arial Narrow" w:hAnsi="Arial Narrow"/>
          <w:sz w:val="28"/>
          <w:szCs w:val="28"/>
          <w:lang w:val="en-US"/>
        </w:rPr>
      </w:pPr>
      <w:r>
        <w:rPr>
          <w:rFonts w:ascii="Arial Narrow" w:hAnsi="Arial Narrow"/>
          <w:sz w:val="28"/>
          <w:szCs w:val="28"/>
          <w:lang w:val="en-US"/>
        </w:rPr>
        <w:t>W</w:t>
      </w:r>
      <w:r w:rsidR="00832142" w:rsidRPr="009C7542">
        <w:rPr>
          <w:rFonts w:ascii="Arial Narrow" w:hAnsi="Arial Narrow"/>
          <w:sz w:val="28"/>
          <w:szCs w:val="28"/>
          <w:lang w:val="en-US"/>
        </w:rPr>
        <w:t>hen Frontex negotiates agreements with third countries concerning border controls, interceptions and returns</w:t>
      </w:r>
      <w:r w:rsidR="009C7542" w:rsidRPr="009C7542">
        <w:rPr>
          <w:rFonts w:ascii="Arial Narrow" w:hAnsi="Arial Narrow"/>
          <w:sz w:val="28"/>
          <w:szCs w:val="28"/>
          <w:lang w:val="en-US"/>
        </w:rPr>
        <w:t xml:space="preserve">. </w:t>
      </w:r>
    </w:p>
    <w:p w:rsidR="009C7542" w:rsidRDefault="009C7542" w:rsidP="00AD374C">
      <w:pPr>
        <w:pStyle w:val="ListParagraph"/>
        <w:numPr>
          <w:ilvl w:val="1"/>
          <w:numId w:val="16"/>
        </w:numPr>
        <w:jc w:val="both"/>
        <w:rPr>
          <w:rFonts w:ascii="Arial Narrow" w:hAnsi="Arial Narrow"/>
          <w:sz w:val="28"/>
          <w:szCs w:val="28"/>
          <w:lang w:val="en-US"/>
        </w:rPr>
      </w:pPr>
      <w:r w:rsidRPr="009C7542">
        <w:rPr>
          <w:rFonts w:ascii="Arial Narrow" w:hAnsi="Arial Narrow"/>
          <w:sz w:val="28"/>
          <w:szCs w:val="28"/>
          <w:lang w:val="en-US"/>
        </w:rPr>
        <w:t>A</w:t>
      </w:r>
      <w:r w:rsidR="00832142" w:rsidRPr="009C7542">
        <w:rPr>
          <w:rFonts w:ascii="Arial Narrow" w:hAnsi="Arial Narrow"/>
          <w:sz w:val="28"/>
          <w:szCs w:val="28"/>
          <w:lang w:val="en-US"/>
        </w:rPr>
        <w:t xml:space="preserve">s the agreements signed by Frontex with representatives from third-country authorities are technically </w:t>
      </w:r>
      <w:r w:rsidR="00832142" w:rsidRPr="00AA2534">
        <w:rPr>
          <w:rFonts w:ascii="Arial Narrow" w:hAnsi="Arial Narrow"/>
          <w:sz w:val="28"/>
          <w:szCs w:val="28"/>
          <w:lang w:val="en-US"/>
        </w:rPr>
        <w:t>“working arrangements”,</w:t>
      </w:r>
      <w:r w:rsidR="00832142" w:rsidRPr="009C7542">
        <w:rPr>
          <w:rFonts w:ascii="Arial Narrow" w:hAnsi="Arial Narrow"/>
          <w:sz w:val="28"/>
          <w:szCs w:val="28"/>
          <w:lang w:val="en-US"/>
        </w:rPr>
        <w:t xml:space="preserve"> these are not subject</w:t>
      </w:r>
      <w:r>
        <w:rPr>
          <w:rFonts w:ascii="Arial Narrow" w:hAnsi="Arial Narrow"/>
          <w:sz w:val="28"/>
          <w:szCs w:val="28"/>
          <w:lang w:val="en-US"/>
        </w:rPr>
        <w:t xml:space="preserve"> to the scrutiny </w:t>
      </w:r>
      <w:r w:rsidR="00832142" w:rsidRPr="009C7542">
        <w:rPr>
          <w:rFonts w:ascii="Arial Narrow" w:hAnsi="Arial Narrow"/>
          <w:sz w:val="28"/>
          <w:szCs w:val="28"/>
          <w:lang w:val="en-US"/>
        </w:rPr>
        <w:t>and approval of the European Parliament.</w:t>
      </w:r>
    </w:p>
    <w:p w:rsidR="00C56748" w:rsidRPr="00AD374C" w:rsidRDefault="00C56748" w:rsidP="00AD374C">
      <w:pPr>
        <w:pStyle w:val="ListParagraph"/>
        <w:numPr>
          <w:ilvl w:val="2"/>
          <w:numId w:val="16"/>
        </w:numPr>
        <w:jc w:val="both"/>
        <w:rPr>
          <w:rFonts w:ascii="Arial Narrow" w:hAnsi="Arial Narrow"/>
          <w:sz w:val="24"/>
          <w:szCs w:val="24"/>
          <w:lang w:val="en-US"/>
        </w:rPr>
      </w:pPr>
      <w:r w:rsidRPr="00AD374C">
        <w:rPr>
          <w:rFonts w:ascii="Arial Narrow" w:hAnsi="Arial Narrow"/>
          <w:sz w:val="24"/>
          <w:szCs w:val="24"/>
          <w:lang w:val="en-US"/>
        </w:rPr>
        <w:t xml:space="preserve">As of April 2013, Frontex had concluded working arrangements with the authorities of </w:t>
      </w:r>
      <w:r w:rsidRPr="00AD374C">
        <w:rPr>
          <w:rFonts w:ascii="Arial Narrow" w:hAnsi="Arial Narrow"/>
          <w:b/>
          <w:sz w:val="24"/>
          <w:szCs w:val="24"/>
          <w:lang w:val="en-US"/>
        </w:rPr>
        <w:t>17 countries</w:t>
      </w:r>
      <w:r w:rsidRPr="00AD374C">
        <w:rPr>
          <w:rFonts w:ascii="Arial Narrow" w:hAnsi="Arial Narrow"/>
          <w:sz w:val="24"/>
          <w:szCs w:val="24"/>
          <w:lang w:val="en-US"/>
        </w:rPr>
        <w:t>: the Russian Federation, Ukraine, Moldova, Georgia, the former Yugoslav Republic of Macedonia, Serbia, Albania, Bosnia and Herzegovina, the United States, Montenegro, Belarus, Canada, Cape Verde, Nigeria, Armenia, Turkey and Azerbaijan as well as with the CIS Border Troop Commanders Council and the MARRI Regional Centre in the Western Balkans.</w:t>
      </w:r>
    </w:p>
    <w:p w:rsidR="00832142" w:rsidRDefault="009C7542" w:rsidP="009C7542">
      <w:pPr>
        <w:pStyle w:val="ListParagraph"/>
        <w:numPr>
          <w:ilvl w:val="1"/>
          <w:numId w:val="16"/>
        </w:numPr>
        <w:jc w:val="both"/>
        <w:rPr>
          <w:rFonts w:ascii="Arial Narrow" w:hAnsi="Arial Narrow"/>
          <w:i/>
          <w:sz w:val="28"/>
          <w:szCs w:val="28"/>
          <w:lang w:val="en-US"/>
        </w:rPr>
      </w:pPr>
      <w:r w:rsidRPr="009C7542">
        <w:rPr>
          <w:rFonts w:ascii="Arial Narrow" w:hAnsi="Arial Narrow"/>
          <w:i/>
          <w:sz w:val="28"/>
          <w:szCs w:val="28"/>
          <w:lang w:val="en-US"/>
        </w:rPr>
        <w:t xml:space="preserve">Transparency and public communication regarding the nature of the operations carried out in the field and their impact on human rights should be improved. </w:t>
      </w:r>
      <w:r w:rsidRPr="00821DAF">
        <w:rPr>
          <w:rFonts w:ascii="Arial Narrow" w:hAnsi="Arial Narrow"/>
          <w:i/>
          <w:sz w:val="28"/>
          <w:szCs w:val="28"/>
          <w:lang w:val="en-US"/>
        </w:rPr>
        <w:t>Democratic scrutiny in relation to the agency’s activities should be ensured, especially in the context of either technical or political cooperation with third countries.</w:t>
      </w:r>
    </w:p>
    <w:p w:rsidR="009C7542" w:rsidRPr="009C7542" w:rsidRDefault="009C7542" w:rsidP="009C7542">
      <w:pPr>
        <w:jc w:val="both"/>
        <w:rPr>
          <w:rFonts w:ascii="Arial Narrow" w:hAnsi="Arial Narrow"/>
          <w:sz w:val="28"/>
          <w:szCs w:val="28"/>
          <w:lang w:val="en-US"/>
        </w:rPr>
      </w:pPr>
    </w:p>
    <w:p w:rsidR="00123DE2" w:rsidRDefault="00554458" w:rsidP="00033A2E">
      <w:pPr>
        <w:pStyle w:val="ListParagraph"/>
        <w:numPr>
          <w:ilvl w:val="0"/>
          <w:numId w:val="19"/>
        </w:numPr>
        <w:jc w:val="both"/>
        <w:rPr>
          <w:rFonts w:ascii="Arial Narrow" w:hAnsi="Arial Narrow"/>
          <w:b/>
          <w:sz w:val="28"/>
          <w:szCs w:val="28"/>
          <w:lang w:val="en-US"/>
        </w:rPr>
      </w:pPr>
      <w:r w:rsidRPr="00205698">
        <w:rPr>
          <w:rFonts w:ascii="Arial Narrow" w:hAnsi="Arial Narrow"/>
          <w:b/>
          <w:sz w:val="28"/>
          <w:szCs w:val="28"/>
          <w:u w:val="single"/>
          <w:lang w:val="en-US"/>
        </w:rPr>
        <w:t>Improved policy coherence</w:t>
      </w:r>
      <w:r w:rsidRPr="00554458">
        <w:rPr>
          <w:rFonts w:ascii="Arial Narrow" w:hAnsi="Arial Narrow"/>
          <w:b/>
          <w:sz w:val="28"/>
          <w:szCs w:val="28"/>
          <w:lang w:val="en-US"/>
        </w:rPr>
        <w:t xml:space="preserve"> in relation with other policy areas </w:t>
      </w:r>
      <w:r w:rsidR="00123DE2">
        <w:rPr>
          <w:rFonts w:ascii="Arial Narrow" w:hAnsi="Arial Narrow"/>
          <w:b/>
          <w:sz w:val="28"/>
          <w:szCs w:val="28"/>
          <w:lang w:val="en-US"/>
        </w:rPr>
        <w:t xml:space="preserve">to ensure human rights in border control policies  </w:t>
      </w:r>
    </w:p>
    <w:p w:rsidR="00123DE2" w:rsidRDefault="00123DE2" w:rsidP="00123DE2">
      <w:pPr>
        <w:jc w:val="both"/>
        <w:rPr>
          <w:rFonts w:ascii="Arial Narrow" w:hAnsi="Arial Narrow"/>
          <w:b/>
          <w:sz w:val="28"/>
          <w:szCs w:val="28"/>
          <w:lang w:val="en-US"/>
        </w:rPr>
      </w:pPr>
    </w:p>
    <w:p w:rsidR="00F60AF2" w:rsidRDefault="00F60AF2" w:rsidP="00123DE2">
      <w:pPr>
        <w:pStyle w:val="ListParagraph"/>
        <w:numPr>
          <w:ilvl w:val="0"/>
          <w:numId w:val="15"/>
        </w:numPr>
        <w:jc w:val="both"/>
        <w:rPr>
          <w:rFonts w:ascii="Arial Narrow" w:hAnsi="Arial Narrow"/>
          <w:sz w:val="28"/>
          <w:szCs w:val="28"/>
          <w:lang w:val="en-US"/>
        </w:rPr>
      </w:pPr>
      <w:r>
        <w:rPr>
          <w:rFonts w:ascii="Arial Narrow" w:hAnsi="Arial Narrow"/>
          <w:sz w:val="28"/>
          <w:szCs w:val="28"/>
          <w:lang w:val="en-US"/>
        </w:rPr>
        <w:t xml:space="preserve">To be more effective in addressing the human rights of migrants at EU borders, and in EU border policies, it is necessary to develop and implement relevant tools in the area of migration policies, as well as have more coordination and more linkages in other relevant policies. </w:t>
      </w:r>
    </w:p>
    <w:p w:rsidR="00386D55" w:rsidRDefault="00386D55" w:rsidP="00386D55">
      <w:pPr>
        <w:jc w:val="both"/>
        <w:rPr>
          <w:rFonts w:ascii="Arial Narrow" w:hAnsi="Arial Narrow"/>
          <w:sz w:val="28"/>
          <w:szCs w:val="28"/>
          <w:lang w:val="en-US"/>
        </w:rPr>
      </w:pPr>
    </w:p>
    <w:p w:rsidR="00386D55" w:rsidRPr="00386D55" w:rsidRDefault="00386D55" w:rsidP="00386D55">
      <w:pPr>
        <w:jc w:val="both"/>
        <w:rPr>
          <w:rFonts w:ascii="Arial Narrow" w:hAnsi="Arial Narrow"/>
          <w:b/>
          <w:sz w:val="28"/>
          <w:szCs w:val="28"/>
          <w:lang w:val="en-US"/>
        </w:rPr>
      </w:pPr>
      <w:r w:rsidRPr="00386D55">
        <w:rPr>
          <w:rFonts w:ascii="Arial Narrow" w:hAnsi="Arial Narrow"/>
          <w:b/>
          <w:sz w:val="28"/>
          <w:szCs w:val="28"/>
          <w:lang w:val="en-US"/>
        </w:rPr>
        <w:t xml:space="preserve">Migration policies </w:t>
      </w:r>
    </w:p>
    <w:p w:rsidR="00386D55" w:rsidRPr="00386D55" w:rsidRDefault="00386D55" w:rsidP="00386D55">
      <w:pPr>
        <w:pStyle w:val="ListParagraph"/>
        <w:widowControl w:val="0"/>
        <w:numPr>
          <w:ilvl w:val="0"/>
          <w:numId w:val="12"/>
        </w:numPr>
        <w:adjustRightInd w:val="0"/>
        <w:spacing w:line="360" w:lineRule="atLeast"/>
        <w:textAlignment w:val="baseline"/>
        <w:rPr>
          <w:rFonts w:ascii="Arial Narrow" w:eastAsia="Arial Unicode MS" w:hAnsi="Arial Narrow" w:cs="Arial"/>
          <w:sz w:val="28"/>
          <w:u w:val="single"/>
          <w:lang w:val="en-US"/>
        </w:rPr>
      </w:pPr>
      <w:r w:rsidRPr="00386D55">
        <w:rPr>
          <w:rFonts w:ascii="Arial Narrow" w:eastAsia="Arial Unicode MS" w:hAnsi="Arial Narrow" w:cs="Arial"/>
          <w:sz w:val="28"/>
          <w:u w:val="single"/>
          <w:lang w:val="en-US"/>
        </w:rPr>
        <w:t xml:space="preserve">Regular channels of entry to the EU: </w:t>
      </w:r>
    </w:p>
    <w:p w:rsidR="00386D55" w:rsidRDefault="00386D55" w:rsidP="00386D55">
      <w:pPr>
        <w:pStyle w:val="ListParagraph"/>
        <w:widowControl w:val="0"/>
        <w:numPr>
          <w:ilvl w:val="1"/>
          <w:numId w:val="12"/>
        </w:numPr>
        <w:adjustRightInd w:val="0"/>
        <w:spacing w:line="360" w:lineRule="atLeast"/>
        <w:textAlignment w:val="baseline"/>
        <w:rPr>
          <w:rFonts w:ascii="Arial Narrow" w:eastAsia="Arial Unicode MS" w:hAnsi="Arial Narrow" w:cs="Arial"/>
          <w:sz w:val="28"/>
          <w:lang w:val="en-US"/>
        </w:rPr>
      </w:pPr>
      <w:r w:rsidRPr="00346D08">
        <w:rPr>
          <w:rFonts w:ascii="Arial Narrow" w:eastAsia="Arial Unicode MS" w:hAnsi="Arial Narrow" w:cs="Arial"/>
          <w:sz w:val="28"/>
          <w:u w:val="single"/>
          <w:lang w:val="en-US"/>
        </w:rPr>
        <w:t>EU2020 employment target</w:t>
      </w:r>
      <w:r w:rsidRPr="00CD4DA5">
        <w:rPr>
          <w:rFonts w:ascii="Arial Narrow" w:eastAsia="Arial Unicode MS" w:hAnsi="Arial Narrow" w:cs="Arial"/>
          <w:sz w:val="28"/>
          <w:lang w:val="en-US"/>
        </w:rPr>
        <w:t xml:space="preserve"> includes the setting up of an EU </w:t>
      </w:r>
      <w:proofErr w:type="spellStart"/>
      <w:r w:rsidRPr="00CD4DA5">
        <w:rPr>
          <w:rFonts w:ascii="Arial Narrow" w:eastAsia="Arial Unicode MS" w:hAnsi="Arial Narrow" w:cs="Arial"/>
          <w:sz w:val="28"/>
          <w:lang w:val="en-US"/>
        </w:rPr>
        <w:t>labour</w:t>
      </w:r>
      <w:proofErr w:type="spellEnd"/>
      <w:r w:rsidRPr="00CD4DA5">
        <w:rPr>
          <w:rFonts w:ascii="Arial Narrow" w:eastAsia="Arial Unicode MS" w:hAnsi="Arial Narrow" w:cs="Arial"/>
          <w:sz w:val="28"/>
          <w:lang w:val="en-US"/>
        </w:rPr>
        <w:t xml:space="preserve"> migration policy which responds flexibly to the priorities and needs of </w:t>
      </w:r>
      <w:proofErr w:type="spellStart"/>
      <w:r w:rsidRPr="00CD4DA5">
        <w:rPr>
          <w:rFonts w:ascii="Arial Narrow" w:eastAsia="Arial Unicode MS" w:hAnsi="Arial Narrow" w:cs="Arial"/>
          <w:sz w:val="28"/>
          <w:lang w:val="en-US"/>
        </w:rPr>
        <w:t>labour</w:t>
      </w:r>
      <w:proofErr w:type="spellEnd"/>
      <w:r w:rsidRPr="00CD4DA5">
        <w:rPr>
          <w:rFonts w:ascii="Arial Narrow" w:eastAsia="Arial Unicode MS" w:hAnsi="Arial Narrow" w:cs="Arial"/>
          <w:sz w:val="28"/>
          <w:lang w:val="en-US"/>
        </w:rPr>
        <w:t xml:space="preserve"> markets on one hand and address undeclared work and </w:t>
      </w:r>
      <w:proofErr w:type="spellStart"/>
      <w:r w:rsidRPr="00CD4DA5">
        <w:rPr>
          <w:rFonts w:ascii="Arial Narrow" w:eastAsia="Arial Unicode MS" w:hAnsi="Arial Narrow" w:cs="Arial"/>
          <w:sz w:val="28"/>
          <w:lang w:val="en-US"/>
        </w:rPr>
        <w:t>labour</w:t>
      </w:r>
      <w:proofErr w:type="spellEnd"/>
      <w:r w:rsidRPr="00CD4DA5">
        <w:rPr>
          <w:rFonts w:ascii="Arial Narrow" w:eastAsia="Arial Unicode MS" w:hAnsi="Arial Narrow" w:cs="Arial"/>
          <w:sz w:val="28"/>
          <w:lang w:val="en-US"/>
        </w:rPr>
        <w:t xml:space="preserve"> exploitation on the other, in particular through providing more work permits in low-income sectors.</w:t>
      </w:r>
    </w:p>
    <w:p w:rsidR="00205698" w:rsidRDefault="00205698" w:rsidP="00386D55">
      <w:pPr>
        <w:spacing w:line="276" w:lineRule="auto"/>
        <w:rPr>
          <w:rFonts w:ascii="Arial Narrow" w:hAnsi="Arial Narrow"/>
          <w:b/>
          <w:sz w:val="28"/>
          <w:szCs w:val="28"/>
          <w:lang w:val="en-US" w:eastAsia="nl-BE"/>
        </w:rPr>
      </w:pPr>
    </w:p>
    <w:p w:rsidR="00386D55" w:rsidRPr="00386D55" w:rsidRDefault="00386D55" w:rsidP="00386D55">
      <w:pPr>
        <w:spacing w:line="276" w:lineRule="auto"/>
        <w:rPr>
          <w:rFonts w:ascii="Arial Narrow" w:hAnsi="Arial Narrow"/>
          <w:b/>
          <w:sz w:val="28"/>
          <w:szCs w:val="28"/>
          <w:lang w:val="en-US" w:eastAsia="nl-BE"/>
        </w:rPr>
      </w:pPr>
      <w:r w:rsidRPr="00386D55">
        <w:rPr>
          <w:rFonts w:ascii="Arial Narrow" w:hAnsi="Arial Narrow"/>
          <w:b/>
          <w:sz w:val="28"/>
          <w:szCs w:val="28"/>
          <w:lang w:val="en-US" w:eastAsia="nl-BE"/>
        </w:rPr>
        <w:t xml:space="preserve">Child rights policies </w:t>
      </w:r>
    </w:p>
    <w:p w:rsidR="00205698" w:rsidRPr="00205698" w:rsidRDefault="00625021" w:rsidP="00205698">
      <w:pPr>
        <w:pStyle w:val="ListParagraph"/>
        <w:numPr>
          <w:ilvl w:val="0"/>
          <w:numId w:val="15"/>
        </w:numPr>
        <w:jc w:val="both"/>
        <w:rPr>
          <w:rFonts w:ascii="Arial Narrow" w:hAnsi="Arial Narrow"/>
          <w:sz w:val="28"/>
          <w:szCs w:val="28"/>
          <w:u w:val="single"/>
          <w:lang w:val="en-US"/>
        </w:rPr>
      </w:pPr>
      <w:r w:rsidRPr="00625021">
        <w:rPr>
          <w:rFonts w:ascii="Arial Narrow" w:hAnsi="Arial Narrow"/>
          <w:sz w:val="28"/>
          <w:szCs w:val="28"/>
          <w:u w:val="single"/>
          <w:lang w:val="en-US"/>
        </w:rPr>
        <w:t xml:space="preserve">Ending detention of children </w:t>
      </w:r>
    </w:p>
    <w:p w:rsidR="00172807" w:rsidRDefault="00061E23" w:rsidP="00DE46B3">
      <w:pPr>
        <w:pStyle w:val="ListParagraph"/>
        <w:numPr>
          <w:ilvl w:val="1"/>
          <w:numId w:val="15"/>
        </w:numPr>
        <w:jc w:val="both"/>
        <w:rPr>
          <w:rFonts w:ascii="Arial Narrow" w:hAnsi="Arial Narrow"/>
          <w:sz w:val="28"/>
          <w:szCs w:val="28"/>
          <w:lang w:val="en-US"/>
        </w:rPr>
      </w:pPr>
      <w:r w:rsidRPr="00386D55">
        <w:rPr>
          <w:rFonts w:ascii="Arial Narrow" w:hAnsi="Arial Narrow"/>
          <w:i/>
          <w:sz w:val="28"/>
          <w:szCs w:val="28"/>
          <w:lang w:val="en-US"/>
        </w:rPr>
        <w:t>Ch</w:t>
      </w:r>
      <w:r w:rsidR="00172807" w:rsidRPr="00386D55">
        <w:rPr>
          <w:rFonts w:ascii="Arial Narrow" w:hAnsi="Arial Narrow"/>
          <w:i/>
          <w:sz w:val="28"/>
          <w:szCs w:val="28"/>
          <w:lang w:val="en-US"/>
        </w:rPr>
        <w:t>ild rights</w:t>
      </w:r>
      <w:r w:rsidR="00172807">
        <w:rPr>
          <w:rFonts w:ascii="Arial Narrow" w:hAnsi="Arial Narrow"/>
          <w:sz w:val="28"/>
          <w:szCs w:val="28"/>
          <w:lang w:val="en-US"/>
        </w:rPr>
        <w:t xml:space="preserve"> are enshrined within: </w:t>
      </w:r>
    </w:p>
    <w:p w:rsidR="00172807" w:rsidRDefault="00061E23" w:rsidP="00172807">
      <w:pPr>
        <w:pStyle w:val="ListParagraph"/>
        <w:numPr>
          <w:ilvl w:val="2"/>
          <w:numId w:val="15"/>
        </w:numPr>
        <w:jc w:val="both"/>
        <w:rPr>
          <w:rFonts w:ascii="Arial Narrow" w:hAnsi="Arial Narrow"/>
          <w:sz w:val="28"/>
          <w:szCs w:val="28"/>
          <w:lang w:val="en-US"/>
        </w:rPr>
      </w:pPr>
      <w:r w:rsidRPr="00172807">
        <w:rPr>
          <w:rFonts w:ascii="Arial Narrow" w:hAnsi="Arial Narrow"/>
          <w:sz w:val="28"/>
          <w:szCs w:val="28"/>
          <w:lang w:val="en-US"/>
        </w:rPr>
        <w:t xml:space="preserve">Treaty on the European Union. </w:t>
      </w:r>
    </w:p>
    <w:p w:rsidR="00061E23" w:rsidRPr="00172807" w:rsidRDefault="00061E23" w:rsidP="00172807">
      <w:pPr>
        <w:pStyle w:val="ListParagraph"/>
        <w:numPr>
          <w:ilvl w:val="2"/>
          <w:numId w:val="15"/>
        </w:numPr>
        <w:jc w:val="both"/>
        <w:rPr>
          <w:rFonts w:ascii="Arial Narrow" w:hAnsi="Arial Narrow"/>
          <w:sz w:val="28"/>
          <w:szCs w:val="28"/>
          <w:lang w:val="en-US"/>
        </w:rPr>
      </w:pPr>
      <w:r w:rsidRPr="00172807">
        <w:rPr>
          <w:rFonts w:ascii="Arial Narrow" w:hAnsi="Arial Narrow"/>
          <w:sz w:val="28"/>
          <w:szCs w:val="28"/>
          <w:lang w:val="en-US"/>
        </w:rPr>
        <w:lastRenderedPageBreak/>
        <w:t>Charter on Fundamental Rights</w:t>
      </w:r>
      <w:r w:rsidR="00172807">
        <w:rPr>
          <w:rFonts w:ascii="Arial Narrow" w:hAnsi="Arial Narrow"/>
          <w:sz w:val="28"/>
          <w:szCs w:val="28"/>
          <w:lang w:val="en-US"/>
        </w:rPr>
        <w:t xml:space="preserve">: </w:t>
      </w:r>
      <w:r w:rsidRPr="00172807">
        <w:rPr>
          <w:rFonts w:ascii="Arial Narrow" w:hAnsi="Arial Narrow"/>
          <w:sz w:val="28"/>
          <w:szCs w:val="28"/>
          <w:lang w:val="en-US"/>
        </w:rPr>
        <w:t xml:space="preserve">children shall have the right to such protection and care as is necessary for their well-being and that the best interests of the child must be a primary consideration in all actions relating to children. </w:t>
      </w:r>
    </w:p>
    <w:p w:rsidR="00172807" w:rsidRDefault="00172807" w:rsidP="00172807">
      <w:pPr>
        <w:pStyle w:val="ListParagraph"/>
        <w:numPr>
          <w:ilvl w:val="1"/>
          <w:numId w:val="15"/>
        </w:numPr>
        <w:jc w:val="both"/>
        <w:rPr>
          <w:rFonts w:ascii="Arial Narrow" w:hAnsi="Arial Narrow"/>
          <w:sz w:val="28"/>
          <w:szCs w:val="28"/>
          <w:lang w:val="en-US"/>
        </w:rPr>
      </w:pPr>
      <w:r w:rsidRPr="00625021">
        <w:rPr>
          <w:rFonts w:ascii="Arial Narrow" w:hAnsi="Arial Narrow"/>
          <w:sz w:val="28"/>
          <w:szCs w:val="28"/>
          <w:lang w:val="en-US"/>
        </w:rPr>
        <w:t>The Committee on the Rights of the Child has clarified that</w:t>
      </w:r>
      <w:r>
        <w:rPr>
          <w:rFonts w:ascii="Arial Narrow" w:hAnsi="Arial Narrow"/>
          <w:sz w:val="28"/>
          <w:szCs w:val="28"/>
          <w:lang w:val="en-US"/>
        </w:rPr>
        <w:t xml:space="preserve">: </w:t>
      </w:r>
    </w:p>
    <w:p w:rsidR="00172807" w:rsidRDefault="00172807" w:rsidP="00172807">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D</w:t>
      </w:r>
      <w:r w:rsidRPr="00625021">
        <w:rPr>
          <w:rFonts w:ascii="Arial Narrow" w:hAnsi="Arial Narrow"/>
          <w:sz w:val="28"/>
          <w:szCs w:val="28"/>
          <w:lang w:val="en-US"/>
        </w:rPr>
        <w:t xml:space="preserve">etention of children for immigration purposes always </w:t>
      </w:r>
      <w:r>
        <w:rPr>
          <w:rFonts w:ascii="Arial Narrow" w:hAnsi="Arial Narrow"/>
          <w:sz w:val="28"/>
          <w:szCs w:val="28"/>
          <w:lang w:val="en-US"/>
        </w:rPr>
        <w:t>is</w:t>
      </w:r>
      <w:r w:rsidRPr="00625021">
        <w:rPr>
          <w:rFonts w:ascii="Arial Narrow" w:hAnsi="Arial Narrow"/>
          <w:sz w:val="28"/>
          <w:szCs w:val="28"/>
          <w:lang w:val="en-US"/>
        </w:rPr>
        <w:t xml:space="preserve"> a </w:t>
      </w:r>
      <w:r>
        <w:rPr>
          <w:rFonts w:ascii="Arial Narrow" w:hAnsi="Arial Narrow"/>
          <w:sz w:val="28"/>
          <w:szCs w:val="28"/>
          <w:lang w:val="en-US"/>
        </w:rPr>
        <w:t xml:space="preserve">child rights </w:t>
      </w:r>
      <w:r w:rsidRPr="00625021">
        <w:rPr>
          <w:rFonts w:ascii="Arial Narrow" w:hAnsi="Arial Narrow"/>
          <w:sz w:val="28"/>
          <w:szCs w:val="28"/>
          <w:lang w:val="en-US"/>
        </w:rPr>
        <w:t xml:space="preserve">violation and </w:t>
      </w:r>
      <w:r w:rsidRPr="00172807">
        <w:rPr>
          <w:rFonts w:ascii="Arial Narrow" w:hAnsi="Arial Narrow"/>
          <w:i/>
          <w:sz w:val="28"/>
          <w:szCs w:val="28"/>
          <w:lang w:val="en-US"/>
        </w:rPr>
        <w:t>can never be justified as in their best interests</w:t>
      </w:r>
      <w:r w:rsidRPr="00625021">
        <w:rPr>
          <w:rFonts w:ascii="Arial Narrow" w:hAnsi="Arial Narrow"/>
          <w:sz w:val="28"/>
          <w:szCs w:val="28"/>
          <w:lang w:val="en-US"/>
        </w:rPr>
        <w:t xml:space="preserve">. </w:t>
      </w:r>
    </w:p>
    <w:p w:rsidR="00172807" w:rsidRDefault="00386D55" w:rsidP="00172807">
      <w:pPr>
        <w:pStyle w:val="ListParagraph"/>
        <w:numPr>
          <w:ilvl w:val="1"/>
          <w:numId w:val="15"/>
        </w:numPr>
        <w:jc w:val="both"/>
        <w:rPr>
          <w:rFonts w:ascii="Arial Narrow" w:hAnsi="Arial Narrow"/>
          <w:sz w:val="28"/>
          <w:szCs w:val="28"/>
          <w:lang w:val="en-US"/>
        </w:rPr>
      </w:pPr>
      <w:r w:rsidRPr="00386D55">
        <w:rPr>
          <w:rFonts w:ascii="Arial Narrow" w:hAnsi="Arial Narrow"/>
          <w:i/>
          <w:sz w:val="28"/>
          <w:szCs w:val="28"/>
          <w:lang w:val="en-US"/>
        </w:rPr>
        <w:t>Migration law:</w:t>
      </w:r>
      <w:r>
        <w:rPr>
          <w:rFonts w:ascii="Arial Narrow" w:hAnsi="Arial Narrow"/>
          <w:sz w:val="28"/>
          <w:szCs w:val="28"/>
          <w:lang w:val="en-US"/>
        </w:rPr>
        <w:t xml:space="preserve"> </w:t>
      </w:r>
      <w:r w:rsidR="00172807" w:rsidRPr="00172807">
        <w:rPr>
          <w:rFonts w:ascii="Arial Narrow" w:hAnsi="Arial Narrow"/>
          <w:sz w:val="28"/>
          <w:szCs w:val="28"/>
          <w:lang w:val="en-US"/>
        </w:rPr>
        <w:t xml:space="preserve">European Union law </w:t>
      </w:r>
      <w:r w:rsidR="00172807">
        <w:rPr>
          <w:rFonts w:ascii="Arial Narrow" w:hAnsi="Arial Narrow"/>
          <w:sz w:val="28"/>
          <w:szCs w:val="28"/>
          <w:lang w:val="en-US"/>
        </w:rPr>
        <w:t xml:space="preserve">governing detention of migrants </w:t>
      </w:r>
      <w:r w:rsidR="00172807" w:rsidRPr="00172807">
        <w:rPr>
          <w:rFonts w:ascii="Arial Narrow" w:hAnsi="Arial Narrow"/>
          <w:sz w:val="28"/>
          <w:szCs w:val="28"/>
          <w:lang w:val="en-US"/>
        </w:rPr>
        <w:t>(the ‘Returns Directive’)</w:t>
      </w:r>
      <w:r w:rsidR="00172807">
        <w:rPr>
          <w:rFonts w:ascii="Arial Narrow" w:hAnsi="Arial Narrow"/>
          <w:sz w:val="28"/>
          <w:szCs w:val="28"/>
          <w:lang w:val="en-US"/>
        </w:rPr>
        <w:t xml:space="preserve">: </w:t>
      </w:r>
    </w:p>
    <w:p w:rsidR="00172807" w:rsidRDefault="00172807" w:rsidP="00172807">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D</w:t>
      </w:r>
      <w:r w:rsidRPr="00172807">
        <w:rPr>
          <w:rFonts w:ascii="Arial Narrow" w:hAnsi="Arial Narrow"/>
          <w:sz w:val="28"/>
          <w:szCs w:val="28"/>
          <w:lang w:val="en-US"/>
        </w:rPr>
        <w:t>oes not currently meet child rights standards as it does not prohibit the detention of children and families.</w:t>
      </w:r>
    </w:p>
    <w:p w:rsidR="00172807" w:rsidRDefault="00172807" w:rsidP="00172807">
      <w:pPr>
        <w:pStyle w:val="ListParagraph"/>
        <w:numPr>
          <w:ilvl w:val="2"/>
          <w:numId w:val="15"/>
        </w:numPr>
        <w:jc w:val="both"/>
        <w:rPr>
          <w:rFonts w:ascii="Arial Narrow" w:hAnsi="Arial Narrow"/>
          <w:sz w:val="28"/>
          <w:szCs w:val="28"/>
          <w:lang w:val="en-US"/>
        </w:rPr>
      </w:pPr>
      <w:r>
        <w:rPr>
          <w:rFonts w:ascii="Arial Narrow" w:hAnsi="Arial Narrow"/>
          <w:sz w:val="28"/>
          <w:szCs w:val="28"/>
          <w:lang w:val="en-US"/>
        </w:rPr>
        <w:t>However, the Returns’ Directive states that i</w:t>
      </w:r>
      <w:r w:rsidRPr="00625021">
        <w:rPr>
          <w:rFonts w:ascii="Arial Narrow" w:hAnsi="Arial Narrow"/>
          <w:sz w:val="28"/>
          <w:szCs w:val="28"/>
          <w:lang w:val="en-US"/>
        </w:rPr>
        <w:t xml:space="preserve">t must only be used a last resort and for the shortest appropriate period of time. </w:t>
      </w:r>
    </w:p>
    <w:p w:rsidR="00625021" w:rsidRDefault="00625021" w:rsidP="00386D55">
      <w:pPr>
        <w:pStyle w:val="ListParagraph"/>
        <w:numPr>
          <w:ilvl w:val="2"/>
          <w:numId w:val="15"/>
        </w:numPr>
        <w:jc w:val="both"/>
        <w:rPr>
          <w:rFonts w:ascii="Arial Narrow" w:hAnsi="Arial Narrow"/>
          <w:sz w:val="28"/>
          <w:szCs w:val="28"/>
          <w:lang w:val="en-US"/>
        </w:rPr>
      </w:pPr>
      <w:r w:rsidRPr="00625021">
        <w:rPr>
          <w:rFonts w:ascii="Arial Narrow" w:hAnsi="Arial Narrow"/>
          <w:sz w:val="28"/>
          <w:szCs w:val="28"/>
          <w:lang w:val="en-US"/>
        </w:rPr>
        <w:t>Nonetheless, 17 European countries detain unaccompanied children and 19 European countries detain families with children</w:t>
      </w:r>
      <w:r w:rsidR="00172807">
        <w:rPr>
          <w:rFonts w:ascii="Arial Narrow" w:hAnsi="Arial Narrow"/>
          <w:sz w:val="28"/>
          <w:szCs w:val="28"/>
          <w:lang w:val="en-US"/>
        </w:rPr>
        <w:t xml:space="preserve"> - t</w:t>
      </w:r>
      <w:r w:rsidRPr="00625021">
        <w:rPr>
          <w:rFonts w:ascii="Arial Narrow" w:hAnsi="Arial Narrow"/>
          <w:sz w:val="28"/>
          <w:szCs w:val="28"/>
          <w:lang w:val="en-US"/>
        </w:rPr>
        <w:t xml:space="preserve">hus the practice is widespread. </w:t>
      </w:r>
    </w:p>
    <w:p w:rsidR="00172807" w:rsidRDefault="00625021" w:rsidP="00172807">
      <w:pPr>
        <w:pStyle w:val="ListParagraph"/>
        <w:numPr>
          <w:ilvl w:val="1"/>
          <w:numId w:val="15"/>
        </w:numPr>
        <w:jc w:val="both"/>
        <w:rPr>
          <w:rFonts w:ascii="Arial Narrow" w:hAnsi="Arial Narrow"/>
          <w:sz w:val="28"/>
          <w:szCs w:val="28"/>
          <w:lang w:val="en-US"/>
        </w:rPr>
      </w:pPr>
      <w:r w:rsidRPr="00625021">
        <w:rPr>
          <w:rFonts w:ascii="Arial Narrow" w:hAnsi="Arial Narrow"/>
          <w:sz w:val="28"/>
          <w:szCs w:val="28"/>
          <w:lang w:val="en-US"/>
        </w:rPr>
        <w:t>Some governments</w:t>
      </w:r>
      <w:r w:rsidR="00172807">
        <w:rPr>
          <w:rFonts w:ascii="Arial Narrow" w:hAnsi="Arial Narrow"/>
          <w:sz w:val="28"/>
          <w:szCs w:val="28"/>
          <w:lang w:val="en-US"/>
        </w:rPr>
        <w:t xml:space="preserve"> – e.g. </w:t>
      </w:r>
      <w:r w:rsidRPr="00625021">
        <w:rPr>
          <w:rFonts w:ascii="Arial Narrow" w:hAnsi="Arial Narrow"/>
          <w:sz w:val="28"/>
          <w:szCs w:val="28"/>
          <w:lang w:val="en-US"/>
        </w:rPr>
        <w:t>Austria, Ireland and Sweden</w:t>
      </w:r>
      <w:r w:rsidR="00172807">
        <w:rPr>
          <w:rFonts w:ascii="Arial Narrow" w:hAnsi="Arial Narrow"/>
          <w:sz w:val="28"/>
          <w:szCs w:val="28"/>
          <w:lang w:val="en-US"/>
        </w:rPr>
        <w:t xml:space="preserve"> – are </w:t>
      </w:r>
      <w:r w:rsidRPr="00625021">
        <w:rPr>
          <w:rFonts w:ascii="Arial Narrow" w:hAnsi="Arial Narrow"/>
          <w:sz w:val="28"/>
          <w:szCs w:val="28"/>
          <w:lang w:val="en-US"/>
        </w:rPr>
        <w:t xml:space="preserve">implementing alternatives to detention that limit the family’s mobility as little as is necessary, when any restriction is legally found to be necessary at all. </w:t>
      </w:r>
    </w:p>
    <w:p w:rsidR="00625021" w:rsidRDefault="00625021" w:rsidP="00172807">
      <w:pPr>
        <w:pStyle w:val="ListParagraph"/>
        <w:numPr>
          <w:ilvl w:val="1"/>
          <w:numId w:val="15"/>
        </w:numPr>
        <w:jc w:val="both"/>
        <w:rPr>
          <w:rFonts w:ascii="Arial Narrow" w:hAnsi="Arial Narrow"/>
          <w:sz w:val="28"/>
          <w:szCs w:val="28"/>
          <w:lang w:val="en-US"/>
        </w:rPr>
      </w:pPr>
      <w:r w:rsidRPr="00625021">
        <w:rPr>
          <w:rFonts w:ascii="Arial Narrow" w:hAnsi="Arial Narrow"/>
          <w:sz w:val="28"/>
          <w:szCs w:val="28"/>
          <w:lang w:val="en-US"/>
        </w:rPr>
        <w:t xml:space="preserve">Practical, effective, inexpensive measures that respect children’s rights can be further developed and implemented in order to end the immigration detention of children in the EU. </w:t>
      </w:r>
    </w:p>
    <w:p w:rsidR="00386D55" w:rsidRDefault="00386D55" w:rsidP="00386D55">
      <w:pPr>
        <w:jc w:val="both"/>
        <w:rPr>
          <w:rFonts w:ascii="Arial Narrow" w:hAnsi="Arial Narrow"/>
          <w:sz w:val="28"/>
          <w:szCs w:val="28"/>
          <w:lang w:val="en-US"/>
        </w:rPr>
      </w:pPr>
    </w:p>
    <w:p w:rsidR="00386D55" w:rsidRPr="00386D55" w:rsidRDefault="00386D55" w:rsidP="00386D55">
      <w:pPr>
        <w:jc w:val="both"/>
        <w:rPr>
          <w:rFonts w:ascii="Arial Narrow" w:hAnsi="Arial Narrow"/>
          <w:b/>
          <w:sz w:val="28"/>
          <w:szCs w:val="28"/>
          <w:lang w:val="en-US"/>
        </w:rPr>
      </w:pPr>
      <w:r w:rsidRPr="00386D55">
        <w:rPr>
          <w:rFonts w:ascii="Arial Narrow" w:hAnsi="Arial Narrow"/>
          <w:b/>
          <w:sz w:val="28"/>
          <w:szCs w:val="28"/>
          <w:lang w:val="en-US"/>
        </w:rPr>
        <w:t xml:space="preserve">Access to justice policies </w:t>
      </w:r>
    </w:p>
    <w:p w:rsidR="00172807" w:rsidRPr="00386D55" w:rsidRDefault="00172807" w:rsidP="00172807">
      <w:pPr>
        <w:pStyle w:val="ListParagraph"/>
        <w:numPr>
          <w:ilvl w:val="0"/>
          <w:numId w:val="15"/>
        </w:numPr>
        <w:jc w:val="both"/>
        <w:rPr>
          <w:rFonts w:ascii="Arial Narrow" w:hAnsi="Arial Narrow"/>
          <w:sz w:val="28"/>
          <w:szCs w:val="28"/>
          <w:u w:val="single"/>
          <w:lang w:val="en-US"/>
        </w:rPr>
      </w:pPr>
      <w:r w:rsidRPr="00386D55">
        <w:rPr>
          <w:rFonts w:ascii="Arial Narrow" w:hAnsi="Arial Narrow"/>
          <w:sz w:val="28"/>
          <w:szCs w:val="28"/>
          <w:u w:val="single"/>
          <w:lang w:val="en-US"/>
        </w:rPr>
        <w:t xml:space="preserve">EU Victims of Crime Directive – transposition deadline: 16 November 2015 </w:t>
      </w:r>
    </w:p>
    <w:p w:rsidR="00172807" w:rsidRDefault="00172807" w:rsidP="00172807">
      <w:pPr>
        <w:pStyle w:val="ListParagraph"/>
        <w:numPr>
          <w:ilvl w:val="1"/>
          <w:numId w:val="15"/>
        </w:numPr>
        <w:spacing w:after="200" w:line="276" w:lineRule="auto"/>
        <w:rPr>
          <w:rFonts w:ascii="Arial Narrow" w:eastAsia="Arial Unicode MS" w:hAnsi="Arial Narrow" w:cs="Arial"/>
          <w:sz w:val="28"/>
          <w:lang w:val="en-US"/>
        </w:rPr>
      </w:pPr>
      <w:r>
        <w:rPr>
          <w:rFonts w:ascii="Arial Narrow" w:eastAsia="Arial Unicode MS" w:hAnsi="Arial Narrow" w:cs="Arial"/>
          <w:sz w:val="28"/>
          <w:lang w:val="en-US"/>
        </w:rPr>
        <w:t xml:space="preserve">Article 1 of the directive states that the rights set out in the directive shall apply to victims in a non-discriminatory manner, </w:t>
      </w:r>
      <w:r w:rsidRPr="00172807">
        <w:rPr>
          <w:rFonts w:ascii="Arial Narrow" w:eastAsia="Arial Unicode MS" w:hAnsi="Arial Narrow" w:cs="Arial"/>
          <w:i/>
          <w:sz w:val="28"/>
          <w:lang w:val="en-US"/>
        </w:rPr>
        <w:t>including with respect to their residence status</w:t>
      </w:r>
      <w:r>
        <w:rPr>
          <w:rFonts w:ascii="Arial Narrow" w:eastAsia="Arial Unicode MS" w:hAnsi="Arial Narrow" w:cs="Arial"/>
          <w:sz w:val="28"/>
          <w:lang w:val="en-US"/>
        </w:rPr>
        <w:t xml:space="preserve">. </w:t>
      </w:r>
    </w:p>
    <w:p w:rsidR="00172807" w:rsidRDefault="00172807" w:rsidP="00172807">
      <w:pPr>
        <w:pStyle w:val="ListParagraph"/>
        <w:numPr>
          <w:ilvl w:val="1"/>
          <w:numId w:val="15"/>
        </w:numPr>
        <w:spacing w:after="200" w:line="276" w:lineRule="auto"/>
        <w:rPr>
          <w:rFonts w:ascii="Arial Narrow" w:eastAsia="Arial Unicode MS" w:hAnsi="Arial Narrow" w:cs="Arial"/>
          <w:sz w:val="28"/>
          <w:lang w:val="en-US"/>
        </w:rPr>
      </w:pPr>
      <w:r>
        <w:rPr>
          <w:rFonts w:ascii="Arial Narrow" w:eastAsia="Arial Unicode MS" w:hAnsi="Arial Narrow" w:cs="Arial"/>
          <w:sz w:val="28"/>
          <w:lang w:val="en-US"/>
        </w:rPr>
        <w:t xml:space="preserve">This specificity allows for a basis for discussion on law and practice concerning </w:t>
      </w:r>
      <w:r w:rsidRPr="00172807">
        <w:rPr>
          <w:rFonts w:ascii="Arial Narrow" w:eastAsia="Arial Unicode MS" w:hAnsi="Arial Narrow" w:cs="Arial"/>
          <w:i/>
          <w:sz w:val="28"/>
          <w:lang w:val="en-US"/>
        </w:rPr>
        <w:t>access to justice for undocumented migrants</w:t>
      </w:r>
      <w:r>
        <w:rPr>
          <w:rFonts w:ascii="Arial Narrow" w:eastAsia="Arial Unicode MS" w:hAnsi="Arial Narrow" w:cs="Arial"/>
          <w:sz w:val="28"/>
          <w:lang w:val="en-US"/>
        </w:rPr>
        <w:t xml:space="preserve">, including when they encounter violence or abuse at EU borders. The directive is valid for all crimes committed on EU territory, thus including at EU borders. </w:t>
      </w:r>
    </w:p>
    <w:p w:rsidR="00625021" w:rsidRPr="00172807" w:rsidRDefault="00172807" w:rsidP="00545005">
      <w:pPr>
        <w:pStyle w:val="ListParagraph"/>
        <w:numPr>
          <w:ilvl w:val="1"/>
          <w:numId w:val="15"/>
        </w:numPr>
        <w:jc w:val="both"/>
        <w:rPr>
          <w:rFonts w:ascii="Arial Narrow" w:hAnsi="Arial Narrow"/>
          <w:sz w:val="28"/>
          <w:szCs w:val="28"/>
          <w:lang w:val="en-US"/>
        </w:rPr>
      </w:pPr>
      <w:r w:rsidRPr="00172807">
        <w:rPr>
          <w:rFonts w:ascii="Arial Narrow" w:eastAsia="Arial Unicode MS" w:hAnsi="Arial Narrow" w:cs="Arial"/>
          <w:sz w:val="28"/>
          <w:lang w:val="en-US"/>
        </w:rPr>
        <w:t>It may also lead to an emerging set of promising practices by member states on how they can ensure that by enabling migrants to access justice, regardless of status, they fulfil their human rights as well as meet other policy goals concerning law and order; social inclusion, etc.</w:t>
      </w:r>
    </w:p>
    <w:p w:rsidR="00205698" w:rsidRDefault="00205698" w:rsidP="00020678">
      <w:pPr>
        <w:widowControl w:val="0"/>
        <w:adjustRightInd w:val="0"/>
        <w:textAlignment w:val="baseline"/>
        <w:rPr>
          <w:rFonts w:ascii="Arial Narrow" w:eastAsia="Arial Unicode MS" w:hAnsi="Arial Narrow" w:cs="Arial"/>
          <w:sz w:val="24"/>
          <w:szCs w:val="24"/>
          <w:lang w:val="en-US"/>
        </w:rPr>
      </w:pPr>
    </w:p>
    <w:p w:rsidR="00205698" w:rsidRPr="00205698" w:rsidRDefault="00205698" w:rsidP="00205698">
      <w:pPr>
        <w:jc w:val="both"/>
        <w:rPr>
          <w:rFonts w:ascii="Arial Narrow" w:hAnsi="Arial Narrow"/>
          <w:b/>
          <w:sz w:val="28"/>
          <w:szCs w:val="28"/>
          <w:lang w:val="en-US"/>
        </w:rPr>
      </w:pPr>
      <w:r w:rsidRPr="00205698">
        <w:rPr>
          <w:rFonts w:ascii="Arial Narrow" w:hAnsi="Arial Narrow"/>
          <w:b/>
          <w:sz w:val="28"/>
          <w:szCs w:val="28"/>
          <w:lang w:val="en-US"/>
        </w:rPr>
        <w:t>The way forward:</w:t>
      </w:r>
    </w:p>
    <w:p w:rsidR="00205698" w:rsidRPr="00625021" w:rsidRDefault="00205698" w:rsidP="00205698">
      <w:pPr>
        <w:pStyle w:val="ListParagraph"/>
        <w:numPr>
          <w:ilvl w:val="0"/>
          <w:numId w:val="15"/>
        </w:numPr>
        <w:jc w:val="both"/>
        <w:rPr>
          <w:rFonts w:ascii="Arial Narrow" w:hAnsi="Arial Narrow"/>
          <w:sz w:val="28"/>
          <w:szCs w:val="28"/>
          <w:u w:val="single"/>
          <w:lang w:val="en-US"/>
        </w:rPr>
      </w:pPr>
      <w:r w:rsidRPr="00625021">
        <w:rPr>
          <w:rFonts w:ascii="Arial Narrow" w:hAnsi="Arial Narrow"/>
          <w:sz w:val="28"/>
          <w:szCs w:val="28"/>
          <w:u w:val="single"/>
          <w:lang w:val="en-US"/>
        </w:rPr>
        <w:t xml:space="preserve">OHCHR </w:t>
      </w:r>
      <w:r w:rsidRPr="00625021">
        <w:rPr>
          <w:rFonts w:ascii="Arial Narrow" w:hAnsi="Arial Narrow"/>
          <w:sz w:val="28"/>
          <w:szCs w:val="28"/>
          <w:u w:val="single"/>
          <w:lang w:val="en-US" w:eastAsia="nl-BE"/>
        </w:rPr>
        <w:t>Principles and Recommendations on the Human Rights of Migrants at Borders</w:t>
      </w:r>
    </w:p>
    <w:p w:rsidR="00205698" w:rsidRDefault="00205698" w:rsidP="00205698">
      <w:pPr>
        <w:pStyle w:val="ListParagraph"/>
        <w:numPr>
          <w:ilvl w:val="1"/>
          <w:numId w:val="15"/>
        </w:numPr>
        <w:jc w:val="both"/>
        <w:rPr>
          <w:rFonts w:ascii="Arial Narrow" w:hAnsi="Arial Narrow"/>
          <w:sz w:val="28"/>
          <w:szCs w:val="28"/>
          <w:lang w:val="en-US"/>
        </w:rPr>
      </w:pPr>
      <w:r>
        <w:rPr>
          <w:rFonts w:ascii="Arial Narrow" w:hAnsi="Arial Narrow"/>
          <w:sz w:val="28"/>
          <w:szCs w:val="28"/>
          <w:lang w:val="en-US"/>
        </w:rPr>
        <w:t xml:space="preserve">How to make the guidelines a living document? DG Home has analyzed them and they should be incorporated into the working of the Commission, Frontex. </w:t>
      </w:r>
    </w:p>
    <w:p w:rsidR="00205698" w:rsidRDefault="00205698" w:rsidP="00205698">
      <w:pPr>
        <w:pStyle w:val="ListParagraph"/>
        <w:numPr>
          <w:ilvl w:val="1"/>
          <w:numId w:val="15"/>
        </w:numPr>
        <w:spacing w:line="276" w:lineRule="auto"/>
        <w:rPr>
          <w:rFonts w:ascii="Arial Narrow" w:hAnsi="Arial Narrow"/>
          <w:sz w:val="28"/>
          <w:szCs w:val="28"/>
          <w:lang w:val="en-US" w:eastAsia="nl-BE"/>
        </w:rPr>
      </w:pPr>
      <w:r>
        <w:rPr>
          <w:rFonts w:ascii="Arial Narrow" w:hAnsi="Arial Narrow"/>
          <w:sz w:val="28"/>
          <w:szCs w:val="28"/>
          <w:lang w:val="en-US" w:eastAsia="nl-BE"/>
        </w:rPr>
        <w:lastRenderedPageBreak/>
        <w:t>Ci</w:t>
      </w:r>
      <w:r w:rsidRPr="00DD655D">
        <w:rPr>
          <w:rFonts w:ascii="Arial Narrow" w:hAnsi="Arial Narrow"/>
          <w:sz w:val="28"/>
          <w:szCs w:val="28"/>
          <w:lang w:val="en-US" w:eastAsia="nl-BE"/>
        </w:rPr>
        <w:t xml:space="preserve">vil society </w:t>
      </w:r>
      <w:r>
        <w:rPr>
          <w:rFonts w:ascii="Arial Narrow" w:hAnsi="Arial Narrow"/>
          <w:sz w:val="28"/>
          <w:szCs w:val="28"/>
          <w:lang w:val="en-US" w:eastAsia="nl-BE"/>
        </w:rPr>
        <w:t xml:space="preserve">could also educate and train state actors </w:t>
      </w:r>
      <w:r w:rsidRPr="00DD655D">
        <w:rPr>
          <w:rFonts w:ascii="Arial Narrow" w:hAnsi="Arial Narrow"/>
          <w:sz w:val="28"/>
          <w:szCs w:val="28"/>
          <w:lang w:val="en-US" w:eastAsia="nl-BE"/>
        </w:rPr>
        <w:t>concerned with protecting migrants at borders</w:t>
      </w:r>
      <w:r>
        <w:rPr>
          <w:rFonts w:ascii="Arial Narrow" w:hAnsi="Arial Narrow"/>
          <w:sz w:val="28"/>
          <w:szCs w:val="28"/>
          <w:lang w:val="en-US" w:eastAsia="nl-BE"/>
        </w:rPr>
        <w:t xml:space="preserve"> and</w:t>
      </w:r>
      <w:r w:rsidRPr="00DD655D">
        <w:rPr>
          <w:rFonts w:ascii="Arial Narrow" w:hAnsi="Arial Narrow"/>
          <w:sz w:val="28"/>
          <w:szCs w:val="28"/>
          <w:lang w:val="en-US" w:eastAsia="nl-BE"/>
        </w:rPr>
        <w:t xml:space="preserve"> judicial bodies. </w:t>
      </w:r>
    </w:p>
    <w:p w:rsidR="00205698" w:rsidRDefault="00205698" w:rsidP="00020678">
      <w:pPr>
        <w:widowControl w:val="0"/>
        <w:adjustRightInd w:val="0"/>
        <w:textAlignment w:val="baseline"/>
        <w:rPr>
          <w:rFonts w:ascii="Arial Narrow" w:eastAsia="Arial Unicode MS" w:hAnsi="Arial Narrow" w:cs="Arial"/>
          <w:sz w:val="24"/>
          <w:szCs w:val="24"/>
          <w:lang w:val="en-US"/>
        </w:rPr>
      </w:pPr>
    </w:p>
    <w:sectPr w:rsidR="002056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98" w:rsidRDefault="00386D55">
      <w:r>
        <w:separator/>
      </w:r>
    </w:p>
  </w:endnote>
  <w:endnote w:type="continuationSeparator" w:id="0">
    <w:p w:rsidR="00393A98" w:rsidRDefault="0038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56421"/>
      <w:docPartObj>
        <w:docPartGallery w:val="Page Numbers (Bottom of Page)"/>
        <w:docPartUnique/>
      </w:docPartObj>
    </w:sdtPr>
    <w:sdtEndPr>
      <w:rPr>
        <w:noProof/>
      </w:rPr>
    </w:sdtEndPr>
    <w:sdtContent>
      <w:p w:rsidR="0033796D" w:rsidRDefault="00A97FED">
        <w:pPr>
          <w:pStyle w:val="Footer"/>
          <w:jc w:val="center"/>
        </w:pPr>
        <w:r>
          <w:fldChar w:fldCharType="begin"/>
        </w:r>
        <w:r>
          <w:instrText xml:space="preserve"> PAGE   \* MERGEFORMAT </w:instrText>
        </w:r>
        <w:r>
          <w:fldChar w:fldCharType="separate"/>
        </w:r>
        <w:r w:rsidR="00205698">
          <w:rPr>
            <w:noProof/>
          </w:rPr>
          <w:t>2</w:t>
        </w:r>
        <w:r>
          <w:rPr>
            <w:noProof/>
          </w:rPr>
          <w:fldChar w:fldCharType="end"/>
        </w:r>
      </w:p>
    </w:sdtContent>
  </w:sdt>
  <w:p w:rsidR="0033796D" w:rsidRDefault="00205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98" w:rsidRDefault="00386D55">
      <w:r>
        <w:separator/>
      </w:r>
    </w:p>
  </w:footnote>
  <w:footnote w:type="continuationSeparator" w:id="0">
    <w:p w:rsidR="00393A98" w:rsidRDefault="0038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203F"/>
    <w:multiLevelType w:val="hybridMultilevel"/>
    <w:tmpl w:val="6A40B1FC"/>
    <w:lvl w:ilvl="0" w:tplc="0813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68299C"/>
    <w:multiLevelType w:val="hybridMultilevel"/>
    <w:tmpl w:val="7F3C96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39E57B6"/>
    <w:multiLevelType w:val="hybridMultilevel"/>
    <w:tmpl w:val="6B563698"/>
    <w:lvl w:ilvl="0" w:tplc="3A3EDC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6733F"/>
    <w:multiLevelType w:val="hybridMultilevel"/>
    <w:tmpl w:val="322086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21BE3EB3"/>
    <w:multiLevelType w:val="hybridMultilevel"/>
    <w:tmpl w:val="3E00F6C8"/>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669418A"/>
    <w:multiLevelType w:val="hybridMultilevel"/>
    <w:tmpl w:val="351C0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E436A"/>
    <w:multiLevelType w:val="hybridMultilevel"/>
    <w:tmpl w:val="0B72524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345A47"/>
    <w:multiLevelType w:val="hybridMultilevel"/>
    <w:tmpl w:val="4D8ED11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C870259"/>
    <w:multiLevelType w:val="hybridMultilevel"/>
    <w:tmpl w:val="5DD8B29A"/>
    <w:lvl w:ilvl="0" w:tplc="0813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54885EF6">
      <w:numFmt w:val="bullet"/>
      <w:lvlText w:val="-"/>
      <w:lvlJc w:val="left"/>
      <w:pPr>
        <w:ind w:left="2880" w:hanging="360"/>
      </w:pPr>
      <w:rPr>
        <w:rFonts w:ascii="Arial Narrow" w:eastAsia="Times New Roman" w:hAnsi="Arial Narrow" w:cs="Times New Roman" w:hint="default"/>
        <w:b/>
        <w:sz w:val="24"/>
        <w:szCs w:val="24"/>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56E11"/>
    <w:multiLevelType w:val="hybridMultilevel"/>
    <w:tmpl w:val="BEE00AD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6924ED5"/>
    <w:multiLevelType w:val="hybridMultilevel"/>
    <w:tmpl w:val="4C42E00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38ED1993"/>
    <w:multiLevelType w:val="hybridMultilevel"/>
    <w:tmpl w:val="F2FA21E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4B8F7D49"/>
    <w:multiLevelType w:val="hybridMultilevel"/>
    <w:tmpl w:val="84809A42"/>
    <w:lvl w:ilvl="0" w:tplc="6BA88190">
      <w:start w:val="1"/>
      <w:numFmt w:val="bullet"/>
      <w:lvlText w:val=""/>
      <w:lvlJc w:val="left"/>
      <w:pPr>
        <w:tabs>
          <w:tab w:val="num" w:pos="1068"/>
        </w:tabs>
        <w:ind w:left="1068" w:hanging="360"/>
      </w:pPr>
      <w:rPr>
        <w:rFonts w:ascii="Symbol" w:hAnsi="Symbol" w:hint="default"/>
      </w:rPr>
    </w:lvl>
    <w:lvl w:ilvl="1" w:tplc="08090003">
      <w:start w:val="1"/>
      <w:numFmt w:val="bullet"/>
      <w:lvlText w:val="o"/>
      <w:lvlJc w:val="left"/>
      <w:pPr>
        <w:tabs>
          <w:tab w:val="num" w:pos="2148"/>
        </w:tabs>
        <w:ind w:left="2148" w:hanging="360"/>
      </w:pPr>
      <w:rPr>
        <w:rFonts w:ascii="Courier New" w:hAnsi="Courier New" w:cs="Courier New" w:hint="default"/>
      </w:rPr>
    </w:lvl>
    <w:lvl w:ilvl="2" w:tplc="08090005">
      <w:start w:val="1"/>
      <w:numFmt w:val="bullet"/>
      <w:lvlText w:val=""/>
      <w:lvlJc w:val="left"/>
      <w:pPr>
        <w:tabs>
          <w:tab w:val="num" w:pos="2868"/>
        </w:tabs>
        <w:ind w:left="2868" w:hanging="360"/>
      </w:pPr>
      <w:rPr>
        <w:rFonts w:ascii="Wingdings" w:hAnsi="Wingdings" w:hint="default"/>
      </w:rPr>
    </w:lvl>
    <w:lvl w:ilvl="3" w:tplc="0809000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13">
    <w:nsid w:val="4E4E427D"/>
    <w:multiLevelType w:val="hybridMultilevel"/>
    <w:tmpl w:val="7150A5A4"/>
    <w:lvl w:ilvl="0" w:tplc="1CFC6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63F2C"/>
    <w:multiLevelType w:val="hybridMultilevel"/>
    <w:tmpl w:val="540604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7EA7D75"/>
    <w:multiLevelType w:val="hybridMultilevel"/>
    <w:tmpl w:val="A868118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6">
    <w:nsid w:val="5EA41543"/>
    <w:multiLevelType w:val="hybridMultilevel"/>
    <w:tmpl w:val="EF90EAF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57D268C"/>
    <w:multiLevelType w:val="hybridMultilevel"/>
    <w:tmpl w:val="C6265148"/>
    <w:lvl w:ilvl="0" w:tplc="0813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54885EF6">
      <w:numFmt w:val="bullet"/>
      <w:lvlText w:val="-"/>
      <w:lvlJc w:val="left"/>
      <w:pPr>
        <w:ind w:left="2880" w:hanging="360"/>
      </w:pPr>
      <w:rPr>
        <w:rFonts w:ascii="Arial Narrow" w:eastAsia="Times New Roman" w:hAnsi="Arial Narrow" w:cs="Times New Roman" w:hint="default"/>
        <w:b/>
        <w:sz w:val="24"/>
        <w:szCs w:val="24"/>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652F52"/>
    <w:multiLevelType w:val="hybridMultilevel"/>
    <w:tmpl w:val="1890B7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3"/>
  </w:num>
  <w:num w:numId="5">
    <w:abstractNumId w:val="0"/>
  </w:num>
  <w:num w:numId="6">
    <w:abstractNumId w:val="6"/>
  </w:num>
  <w:num w:numId="7">
    <w:abstractNumId w:val="17"/>
  </w:num>
  <w:num w:numId="8">
    <w:abstractNumId w:val="8"/>
  </w:num>
  <w:num w:numId="9">
    <w:abstractNumId w:val="14"/>
  </w:num>
  <w:num w:numId="10">
    <w:abstractNumId w:val="12"/>
  </w:num>
  <w:num w:numId="11">
    <w:abstractNumId w:val="9"/>
  </w:num>
  <w:num w:numId="12">
    <w:abstractNumId w:val="7"/>
  </w:num>
  <w:num w:numId="13">
    <w:abstractNumId w:val="13"/>
  </w:num>
  <w:num w:numId="14">
    <w:abstractNumId w:val="11"/>
  </w:num>
  <w:num w:numId="15">
    <w:abstractNumId w:val="1"/>
  </w:num>
  <w:num w:numId="16">
    <w:abstractNumId w:val="10"/>
  </w:num>
  <w:num w:numId="17">
    <w:abstractNumId w:val="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78"/>
    <w:rsid w:val="00020678"/>
    <w:rsid w:val="00027852"/>
    <w:rsid w:val="00033A2E"/>
    <w:rsid w:val="00061E23"/>
    <w:rsid w:val="00082941"/>
    <w:rsid w:val="000B7D8F"/>
    <w:rsid w:val="001166E9"/>
    <w:rsid w:val="001205D0"/>
    <w:rsid w:val="00123DE2"/>
    <w:rsid w:val="00144CDD"/>
    <w:rsid w:val="00172807"/>
    <w:rsid w:val="001A2797"/>
    <w:rsid w:val="001A461C"/>
    <w:rsid w:val="00205698"/>
    <w:rsid w:val="0027232A"/>
    <w:rsid w:val="002B4D3C"/>
    <w:rsid w:val="00386D55"/>
    <w:rsid w:val="00393A98"/>
    <w:rsid w:val="004C7443"/>
    <w:rsid w:val="00514B2F"/>
    <w:rsid w:val="00554458"/>
    <w:rsid w:val="0055594C"/>
    <w:rsid w:val="005D370B"/>
    <w:rsid w:val="00625021"/>
    <w:rsid w:val="006A7B31"/>
    <w:rsid w:val="007D023E"/>
    <w:rsid w:val="00821DAF"/>
    <w:rsid w:val="00832142"/>
    <w:rsid w:val="009C7542"/>
    <w:rsid w:val="00A94DB3"/>
    <w:rsid w:val="00A97FED"/>
    <w:rsid w:val="00AA2534"/>
    <w:rsid w:val="00AA49D1"/>
    <w:rsid w:val="00AD374C"/>
    <w:rsid w:val="00C56748"/>
    <w:rsid w:val="00DC666F"/>
    <w:rsid w:val="00E440B1"/>
    <w:rsid w:val="00E63C75"/>
    <w:rsid w:val="00EB55CB"/>
    <w:rsid w:val="00F60AF2"/>
    <w:rsid w:val="00F621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45EEB-247A-4B40-9EFD-572D31A5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0678"/>
    <w:rPr>
      <w:rFonts w:ascii="Arial Narrow" w:hAnsi="Arial Narrow" w:cs="Times New Roman"/>
      <w:sz w:val="24"/>
      <w:szCs w:val="21"/>
    </w:rPr>
  </w:style>
  <w:style w:type="character" w:customStyle="1" w:styleId="PlainTextChar">
    <w:name w:val="Plain Text Char"/>
    <w:basedOn w:val="DefaultParagraphFont"/>
    <w:link w:val="PlainText"/>
    <w:uiPriority w:val="99"/>
    <w:rsid w:val="00020678"/>
    <w:rPr>
      <w:rFonts w:ascii="Arial Narrow" w:hAnsi="Arial Narrow" w:cs="Times New Roman"/>
      <w:sz w:val="24"/>
      <w:szCs w:val="21"/>
    </w:rPr>
  </w:style>
  <w:style w:type="paragraph" w:styleId="ListParagraph">
    <w:name w:val="List Paragraph"/>
    <w:basedOn w:val="Normal"/>
    <w:link w:val="ListParagraphChar"/>
    <w:uiPriority w:val="99"/>
    <w:qFormat/>
    <w:rsid w:val="00020678"/>
    <w:pPr>
      <w:ind w:left="720"/>
      <w:contextualSpacing/>
    </w:pPr>
  </w:style>
  <w:style w:type="character" w:customStyle="1" w:styleId="ListParagraphChar">
    <w:name w:val="List Paragraph Char"/>
    <w:basedOn w:val="DefaultParagraphFont"/>
    <w:link w:val="ListParagraph"/>
    <w:uiPriority w:val="99"/>
    <w:locked/>
    <w:rsid w:val="00020678"/>
  </w:style>
  <w:style w:type="paragraph" w:styleId="Footer">
    <w:name w:val="footer"/>
    <w:basedOn w:val="Normal"/>
    <w:link w:val="FooterChar"/>
    <w:uiPriority w:val="99"/>
    <w:unhideWhenUsed/>
    <w:rsid w:val="00020678"/>
    <w:pPr>
      <w:tabs>
        <w:tab w:val="center" w:pos="4536"/>
        <w:tab w:val="right" w:pos="9072"/>
      </w:tabs>
    </w:pPr>
  </w:style>
  <w:style w:type="character" w:customStyle="1" w:styleId="FooterChar">
    <w:name w:val="Footer Char"/>
    <w:basedOn w:val="DefaultParagraphFont"/>
    <w:link w:val="Footer"/>
    <w:uiPriority w:val="99"/>
    <w:rsid w:val="00020678"/>
  </w:style>
  <w:style w:type="paragraph" w:customStyle="1" w:styleId="Body">
    <w:name w:val="Body"/>
    <w:rsid w:val="0002067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Hyperlink">
    <w:name w:val="Hyperlink"/>
    <w:basedOn w:val="DefaultParagraphFont"/>
    <w:uiPriority w:val="99"/>
    <w:unhideWhenUsed/>
    <w:rsid w:val="00020678"/>
    <w:rPr>
      <w:color w:val="0563C1"/>
      <w:u w:val="single"/>
    </w:rPr>
  </w:style>
  <w:style w:type="paragraph" w:styleId="NormalWeb">
    <w:name w:val="Normal (Web)"/>
    <w:basedOn w:val="Normal"/>
    <w:uiPriority w:val="99"/>
    <w:semiHidden/>
    <w:unhideWhenUsed/>
    <w:rsid w:val="00020678"/>
    <w:pPr>
      <w:spacing w:after="200" w:line="276" w:lineRule="auto"/>
    </w:pPr>
    <w:rPr>
      <w:rFonts w:ascii="Times New Roman" w:hAnsi="Times New Roman" w:cs="Times New Roman"/>
      <w:sz w:val="24"/>
      <w:szCs w:val="24"/>
    </w:rPr>
  </w:style>
  <w:style w:type="table" w:styleId="TableGrid">
    <w:name w:val="Table Grid"/>
    <w:basedOn w:val="TableNormal"/>
    <w:uiPriority w:val="39"/>
    <w:rsid w:val="000206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Char,Footnote91 Char"/>
    <w:basedOn w:val="Normal"/>
    <w:link w:val="FootnoteTextChar1"/>
    <w:uiPriority w:val="99"/>
    <w:rsid w:val="00061E23"/>
    <w:rPr>
      <w:rFonts w:ascii="Calibri" w:eastAsia="Calibri" w:hAnsi="Calibri" w:cs="Times New Roman"/>
      <w:sz w:val="20"/>
      <w:szCs w:val="20"/>
      <w:lang w:val="en-GB"/>
    </w:rPr>
  </w:style>
  <w:style w:type="character" w:customStyle="1" w:styleId="FootnoteTextChar">
    <w:name w:val="Footnote Text Char"/>
    <w:basedOn w:val="DefaultParagraphFont"/>
    <w:uiPriority w:val="99"/>
    <w:semiHidden/>
    <w:rsid w:val="00061E23"/>
    <w:rPr>
      <w:sz w:val="20"/>
      <w:szCs w:val="20"/>
    </w:rPr>
  </w:style>
  <w:style w:type="character" w:customStyle="1" w:styleId="FootnoteTextChar1">
    <w:name w:val="Footnote Text Char1"/>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061E23"/>
    <w:rPr>
      <w:rFonts w:ascii="Calibri" w:eastAsia="Calibri" w:hAnsi="Calibri" w:cs="Times New Roman"/>
      <w:sz w:val="20"/>
      <w:szCs w:val="20"/>
      <w:lang w:val="en-GB"/>
    </w:rPr>
  </w:style>
  <w:style w:type="character" w:styleId="FootnoteReference">
    <w:name w:val="footnote reference"/>
    <w:aliases w:val="Footnotes refss,BVI fnr,ftref,4_G,normal,Ref,de nota al pie,Texto de nota al pie,Appel note de bas de page"/>
    <w:basedOn w:val="DefaultParagraphFont"/>
    <w:uiPriority w:val="99"/>
    <w:rsid w:val="0017280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h.org/International-Federation-for-Human-Rights/europe/spain/16969-spain-basic-law-for-the-protection-of-public-security-is-a-threat-to-t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E291-AE9E-4CCE-901E-ABA258E3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Levoy</dc:creator>
  <cp:keywords/>
  <dc:description/>
  <cp:lastModifiedBy>Maria Giovanna Manieri</cp:lastModifiedBy>
  <cp:revision>8</cp:revision>
  <dcterms:created xsi:type="dcterms:W3CDTF">2015-03-19T15:46:00Z</dcterms:created>
  <dcterms:modified xsi:type="dcterms:W3CDTF">2015-03-31T13:09:00Z</dcterms:modified>
</cp:coreProperties>
</file>