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91B31" w14:textId="021A9CB4" w:rsidR="001866BA" w:rsidRPr="00AB2384" w:rsidRDefault="006115B6" w:rsidP="00C43ECB">
      <w:pPr>
        <w:jc w:val="both"/>
        <w:rPr>
          <w:b/>
          <w:bCs/>
        </w:rPr>
      </w:pPr>
      <w:r w:rsidRPr="00AB2384">
        <w:rPr>
          <w:b/>
          <w:bCs/>
        </w:rPr>
        <w:t>AGISME ET DISCRIMINATION</w:t>
      </w:r>
    </w:p>
    <w:p w14:paraId="0570AA2E" w14:textId="4E3D6367" w:rsidR="001866BA" w:rsidRDefault="001866BA" w:rsidP="00C43ECB">
      <w:pPr>
        <w:jc w:val="both"/>
      </w:pPr>
    </w:p>
    <w:p w14:paraId="7A665471" w14:textId="77777777" w:rsidR="001866BA" w:rsidRPr="001866BA" w:rsidRDefault="001866BA" w:rsidP="00C43ECB">
      <w:pPr>
        <w:jc w:val="both"/>
        <w:rPr>
          <w:b/>
          <w:bCs/>
        </w:rPr>
      </w:pPr>
      <w:r w:rsidRPr="001866BA">
        <w:rPr>
          <w:b/>
          <w:bCs/>
        </w:rPr>
        <w:t xml:space="preserve">Formes et manifestations de l'âgisme et de la discrimination fondée sur l'âge </w:t>
      </w:r>
    </w:p>
    <w:p w14:paraId="35627DAD" w14:textId="05A49B60" w:rsidR="001866BA" w:rsidRDefault="001866BA" w:rsidP="00C43ECB">
      <w:pPr>
        <w:pStyle w:val="ListParagraph"/>
        <w:numPr>
          <w:ilvl w:val="0"/>
          <w:numId w:val="2"/>
        </w:numPr>
        <w:jc w:val="both"/>
      </w:pPr>
      <w:r w:rsidRPr="001866BA">
        <w:t xml:space="preserve">Quelles formes de discrimination fondée sur l'âge affectent les personnes âgées et lesquelles sont les plus courantes ? Lorsqu’ils existent, veuillez partager des exemples concrets et des données collectées dans les domaines de l'emploi, l'éducation, la protection sociale, et les services médicaux, sociaux, et financiers. </w:t>
      </w:r>
    </w:p>
    <w:p w14:paraId="55ED24AB" w14:textId="50D32A82" w:rsidR="00087ABA" w:rsidRDefault="00087ABA" w:rsidP="00C43ECB">
      <w:pPr>
        <w:pStyle w:val="ListParagraph"/>
        <w:jc w:val="both"/>
      </w:pPr>
    </w:p>
    <w:p w14:paraId="5012AE25" w14:textId="3E59E990" w:rsidR="00087ABA" w:rsidRDefault="00087ABA" w:rsidP="00C43ECB">
      <w:pPr>
        <w:pStyle w:val="ListParagraph"/>
        <w:jc w:val="both"/>
        <w:rPr>
          <w:b/>
          <w:bCs/>
          <w:color w:val="2E74B5" w:themeColor="accent5" w:themeShade="BF"/>
        </w:rPr>
      </w:pPr>
      <w:r w:rsidRPr="007C18CD">
        <w:rPr>
          <w:b/>
          <w:bCs/>
          <w:color w:val="2E74B5" w:themeColor="accent5" w:themeShade="BF"/>
        </w:rPr>
        <w:t xml:space="preserve">Financier, </w:t>
      </w:r>
      <w:r w:rsidR="007C18CD" w:rsidRPr="007C18CD">
        <w:rPr>
          <w:b/>
          <w:bCs/>
          <w:color w:val="2E74B5" w:themeColor="accent5" w:themeShade="BF"/>
        </w:rPr>
        <w:t>éducation, logement, médical, protection sociale,</w:t>
      </w:r>
      <w:r w:rsidR="00C43ECB">
        <w:rPr>
          <w:b/>
          <w:bCs/>
          <w:color w:val="2E74B5" w:themeColor="accent5" w:themeShade="BF"/>
        </w:rPr>
        <w:t xml:space="preserve"> </w:t>
      </w:r>
      <w:r w:rsidRPr="007C18CD">
        <w:rPr>
          <w:b/>
          <w:bCs/>
          <w:color w:val="2E74B5" w:themeColor="accent5" w:themeShade="BF"/>
        </w:rPr>
        <w:t>physique, psychologique, accusation de sorcellerie surtout pour les femmes âgées, morale, inter</w:t>
      </w:r>
      <w:r w:rsidR="00C43ECB">
        <w:rPr>
          <w:b/>
          <w:bCs/>
          <w:color w:val="2E74B5" w:themeColor="accent5" w:themeShade="BF"/>
        </w:rPr>
        <w:t xml:space="preserve"> </w:t>
      </w:r>
      <w:r w:rsidRPr="007C18CD">
        <w:rPr>
          <w:b/>
          <w:bCs/>
          <w:color w:val="2E74B5" w:themeColor="accent5" w:themeShade="BF"/>
        </w:rPr>
        <w:t>génération</w:t>
      </w:r>
      <w:r w:rsidR="00C43ECB">
        <w:rPr>
          <w:b/>
          <w:bCs/>
          <w:color w:val="2E74B5" w:themeColor="accent5" w:themeShade="BF"/>
        </w:rPr>
        <w:t>n</w:t>
      </w:r>
      <w:r w:rsidRPr="007C18CD">
        <w:rPr>
          <w:b/>
          <w:bCs/>
          <w:color w:val="2E74B5" w:themeColor="accent5" w:themeShade="BF"/>
        </w:rPr>
        <w:t>el… Les plus fréquente</w:t>
      </w:r>
      <w:r w:rsidR="00C43ECB">
        <w:rPr>
          <w:b/>
          <w:bCs/>
          <w:color w:val="2E74B5" w:themeColor="accent5" w:themeShade="BF"/>
        </w:rPr>
        <w:t>s</w:t>
      </w:r>
      <w:r w:rsidRPr="007C18CD">
        <w:rPr>
          <w:b/>
          <w:bCs/>
          <w:color w:val="2E74B5" w:themeColor="accent5" w:themeShade="BF"/>
        </w:rPr>
        <w:t xml:space="preserve"> sont financier, accusation de sorcellerie, physique</w:t>
      </w:r>
      <w:r w:rsidR="007C18CD" w:rsidRPr="007C18CD">
        <w:rPr>
          <w:b/>
          <w:bCs/>
          <w:color w:val="2E74B5" w:themeColor="accent5" w:themeShade="BF"/>
        </w:rPr>
        <w:t>, inter</w:t>
      </w:r>
      <w:r w:rsidR="00C43ECB">
        <w:rPr>
          <w:b/>
          <w:bCs/>
          <w:color w:val="2E74B5" w:themeColor="accent5" w:themeShade="BF"/>
        </w:rPr>
        <w:t xml:space="preserve"> </w:t>
      </w:r>
      <w:r w:rsidR="00C43ECB" w:rsidRPr="007C18CD">
        <w:rPr>
          <w:b/>
          <w:bCs/>
          <w:color w:val="2E74B5" w:themeColor="accent5" w:themeShade="BF"/>
        </w:rPr>
        <w:t>générationnel</w:t>
      </w:r>
      <w:r w:rsidR="007C18CD" w:rsidRPr="007C18CD">
        <w:rPr>
          <w:b/>
          <w:bCs/>
          <w:color w:val="2E74B5" w:themeColor="accent5" w:themeShade="BF"/>
        </w:rPr>
        <w:t>. Exemples : coups donnés aux veuves par la belle familles ou ceu</w:t>
      </w:r>
      <w:r w:rsidR="00C43ECB">
        <w:rPr>
          <w:b/>
          <w:bCs/>
          <w:color w:val="2E74B5" w:themeColor="accent5" w:themeShade="BF"/>
        </w:rPr>
        <w:t>x</w:t>
      </w:r>
      <w:r w:rsidR="007C18CD" w:rsidRPr="007C18CD">
        <w:rPr>
          <w:b/>
          <w:bCs/>
          <w:color w:val="2E74B5" w:themeColor="accent5" w:themeShade="BF"/>
        </w:rPr>
        <w:t xml:space="preserve"> qui l’accusent de sorcellerie, les enfant</w:t>
      </w:r>
      <w:r w:rsidR="00C43ECB">
        <w:rPr>
          <w:b/>
          <w:bCs/>
          <w:color w:val="2E74B5" w:themeColor="accent5" w:themeShade="BF"/>
        </w:rPr>
        <w:t>s</w:t>
      </w:r>
      <w:r w:rsidR="007C18CD" w:rsidRPr="007C18CD">
        <w:rPr>
          <w:b/>
          <w:bCs/>
          <w:color w:val="2E74B5" w:themeColor="accent5" w:themeShade="BF"/>
        </w:rPr>
        <w:t xml:space="preserve"> qui vendent les biens des parents ou vid</w:t>
      </w:r>
      <w:r w:rsidR="00616EF2">
        <w:rPr>
          <w:b/>
          <w:bCs/>
          <w:color w:val="2E74B5" w:themeColor="accent5" w:themeShade="BF"/>
        </w:rPr>
        <w:t>e</w:t>
      </w:r>
      <w:r w:rsidR="007C18CD" w:rsidRPr="007C18CD">
        <w:rPr>
          <w:b/>
          <w:bCs/>
          <w:color w:val="2E74B5" w:themeColor="accent5" w:themeShade="BF"/>
        </w:rPr>
        <w:t>nt leurs comptes bancaires, ma</w:t>
      </w:r>
      <w:r w:rsidR="00C43ECB">
        <w:rPr>
          <w:b/>
          <w:bCs/>
          <w:color w:val="2E74B5" w:themeColor="accent5" w:themeShade="BF"/>
        </w:rPr>
        <w:t>n</w:t>
      </w:r>
      <w:r w:rsidR="007C18CD" w:rsidRPr="007C18CD">
        <w:rPr>
          <w:b/>
          <w:bCs/>
          <w:color w:val="2E74B5" w:themeColor="accent5" w:themeShade="BF"/>
        </w:rPr>
        <w:t xml:space="preserve">que de pension sociale pour les personnes âgées du secteur informel, </w:t>
      </w:r>
      <w:r w:rsidR="00C43ECB" w:rsidRPr="007C18CD">
        <w:rPr>
          <w:b/>
          <w:bCs/>
          <w:color w:val="2E74B5" w:themeColor="accent5" w:themeShade="BF"/>
        </w:rPr>
        <w:t>existence</w:t>
      </w:r>
      <w:r w:rsidR="007C18CD" w:rsidRPr="007C18CD">
        <w:rPr>
          <w:b/>
          <w:bCs/>
          <w:color w:val="2E74B5" w:themeColor="accent5" w:themeShade="BF"/>
        </w:rPr>
        <w:t xml:space="preserve"> insignifiantes, emploi</w:t>
      </w:r>
      <w:r w:rsidR="00C43ECB">
        <w:rPr>
          <w:b/>
          <w:bCs/>
          <w:color w:val="2E74B5" w:themeColor="accent5" w:themeShade="BF"/>
        </w:rPr>
        <w:t>s</w:t>
      </w:r>
      <w:r w:rsidR="007C18CD" w:rsidRPr="007C18CD">
        <w:rPr>
          <w:b/>
          <w:bCs/>
          <w:color w:val="2E74B5" w:themeColor="accent5" w:themeShade="BF"/>
        </w:rPr>
        <w:t xml:space="preserve"> et </w:t>
      </w:r>
      <w:r w:rsidR="00C43ECB">
        <w:rPr>
          <w:b/>
          <w:bCs/>
          <w:color w:val="2E74B5" w:themeColor="accent5" w:themeShade="BF"/>
        </w:rPr>
        <w:t xml:space="preserve">possibilités </w:t>
      </w:r>
      <w:r w:rsidR="007C18CD" w:rsidRPr="007C18CD">
        <w:rPr>
          <w:b/>
          <w:bCs/>
          <w:color w:val="2E74B5" w:themeColor="accent5" w:themeShade="BF"/>
        </w:rPr>
        <w:t>éducati</w:t>
      </w:r>
      <w:r w:rsidR="00C43ECB">
        <w:rPr>
          <w:b/>
          <w:bCs/>
          <w:color w:val="2E74B5" w:themeColor="accent5" w:themeShade="BF"/>
        </w:rPr>
        <w:t xml:space="preserve">ves et de </w:t>
      </w:r>
      <w:proofErr w:type="gramStart"/>
      <w:r w:rsidR="00C43ECB">
        <w:rPr>
          <w:b/>
          <w:bCs/>
          <w:color w:val="2E74B5" w:themeColor="accent5" w:themeShade="BF"/>
        </w:rPr>
        <w:t xml:space="preserve">formation </w:t>
      </w:r>
      <w:r w:rsidR="007C18CD" w:rsidRPr="007C18CD">
        <w:rPr>
          <w:b/>
          <w:bCs/>
          <w:color w:val="2E74B5" w:themeColor="accent5" w:themeShade="BF"/>
        </w:rPr>
        <w:t xml:space="preserve"> tr</w:t>
      </w:r>
      <w:r w:rsidR="00C43ECB">
        <w:rPr>
          <w:b/>
          <w:bCs/>
          <w:color w:val="2E74B5" w:themeColor="accent5" w:themeShade="BF"/>
        </w:rPr>
        <w:t>ès</w:t>
      </w:r>
      <w:proofErr w:type="gramEnd"/>
      <w:r w:rsidR="007C18CD" w:rsidRPr="007C18CD">
        <w:rPr>
          <w:b/>
          <w:bCs/>
          <w:color w:val="2E74B5" w:themeColor="accent5" w:themeShade="BF"/>
        </w:rPr>
        <w:t xml:space="preserve"> limité</w:t>
      </w:r>
      <w:r w:rsidR="00C43ECB">
        <w:rPr>
          <w:b/>
          <w:bCs/>
          <w:color w:val="2E74B5" w:themeColor="accent5" w:themeShade="BF"/>
        </w:rPr>
        <w:t xml:space="preserve">s, insuffisance </w:t>
      </w:r>
      <w:r w:rsidR="007C18CD" w:rsidRPr="007C18CD">
        <w:rPr>
          <w:b/>
          <w:bCs/>
          <w:color w:val="2E74B5" w:themeColor="accent5" w:themeShade="BF"/>
        </w:rPr>
        <w:t>d</w:t>
      </w:r>
      <w:r w:rsidR="00C43ECB">
        <w:rPr>
          <w:b/>
          <w:bCs/>
          <w:color w:val="2E74B5" w:themeColor="accent5" w:themeShade="BF"/>
        </w:rPr>
        <w:t>’</w:t>
      </w:r>
      <w:r w:rsidR="007C18CD" w:rsidRPr="007C18CD">
        <w:rPr>
          <w:b/>
          <w:bCs/>
          <w:color w:val="2E74B5" w:themeColor="accent5" w:themeShade="BF"/>
        </w:rPr>
        <w:t xml:space="preserve"> hôpitaux g</w:t>
      </w:r>
      <w:r w:rsidR="00C43ECB">
        <w:rPr>
          <w:b/>
          <w:bCs/>
          <w:color w:val="2E74B5" w:themeColor="accent5" w:themeShade="BF"/>
        </w:rPr>
        <w:t>é</w:t>
      </w:r>
      <w:r w:rsidR="007C18CD" w:rsidRPr="007C18CD">
        <w:rPr>
          <w:b/>
          <w:bCs/>
          <w:color w:val="2E74B5" w:themeColor="accent5" w:themeShade="BF"/>
        </w:rPr>
        <w:t>rontologique</w:t>
      </w:r>
      <w:r w:rsidR="00C43ECB">
        <w:rPr>
          <w:b/>
          <w:bCs/>
          <w:color w:val="2E74B5" w:themeColor="accent5" w:themeShade="BF"/>
        </w:rPr>
        <w:t>s</w:t>
      </w:r>
    </w:p>
    <w:p w14:paraId="4D74F518" w14:textId="77777777" w:rsidR="007C18CD" w:rsidRPr="007C18CD" w:rsidRDefault="007C18CD" w:rsidP="00C43ECB">
      <w:pPr>
        <w:pStyle w:val="ListParagraph"/>
        <w:jc w:val="both"/>
        <w:rPr>
          <w:b/>
          <w:bCs/>
          <w:color w:val="2E74B5" w:themeColor="accent5" w:themeShade="BF"/>
        </w:rPr>
      </w:pPr>
    </w:p>
    <w:p w14:paraId="55A19DB5" w14:textId="342C025F" w:rsidR="007C18CD" w:rsidRDefault="001866BA" w:rsidP="00C43ECB">
      <w:pPr>
        <w:pStyle w:val="ListParagraph"/>
        <w:numPr>
          <w:ilvl w:val="0"/>
          <w:numId w:val="2"/>
        </w:numPr>
        <w:jc w:val="both"/>
      </w:pPr>
      <w:r w:rsidRPr="001866BA">
        <w:t>Merci de fournir des informations et données collectées sur les causes et les manifestations de l'âgisme dans la société, autant pour les jeunes générations que pour les générations plus âgées, et sur la manière dont elles se traduisent par des pratiques discriminatoires.</w:t>
      </w:r>
    </w:p>
    <w:p w14:paraId="1E81E57B" w14:textId="77777777" w:rsidR="007C18CD" w:rsidRDefault="007C18CD" w:rsidP="00C43ECB">
      <w:pPr>
        <w:pStyle w:val="ListParagraph"/>
        <w:jc w:val="both"/>
      </w:pPr>
    </w:p>
    <w:p w14:paraId="1C3E701F" w14:textId="419F18A8" w:rsidR="001866BA" w:rsidRDefault="007C18CD" w:rsidP="00C43ECB">
      <w:pPr>
        <w:pStyle w:val="ListParagraph"/>
        <w:jc w:val="both"/>
        <w:rPr>
          <w:b/>
          <w:bCs/>
          <w:color w:val="2E74B5" w:themeColor="accent5" w:themeShade="BF"/>
        </w:rPr>
      </w:pPr>
      <w:r w:rsidRPr="00033BC0">
        <w:rPr>
          <w:b/>
          <w:bCs/>
          <w:color w:val="2E74B5" w:themeColor="accent5" w:themeShade="BF"/>
        </w:rPr>
        <w:t xml:space="preserve">Causes </w:t>
      </w:r>
      <w:r w:rsidR="00C43ECB" w:rsidRPr="00033BC0">
        <w:rPr>
          <w:b/>
          <w:bCs/>
          <w:color w:val="2E74B5" w:themeColor="accent5" w:themeShade="BF"/>
        </w:rPr>
        <w:t>âgisme</w:t>
      </w:r>
      <w:r w:rsidRPr="00033BC0">
        <w:rPr>
          <w:b/>
          <w:bCs/>
          <w:color w:val="2E74B5" w:themeColor="accent5" w:themeShade="BF"/>
        </w:rPr>
        <w:t xml:space="preserve"> : </w:t>
      </w:r>
      <w:r w:rsidR="00BA6737">
        <w:rPr>
          <w:b/>
          <w:bCs/>
          <w:color w:val="2E74B5" w:themeColor="accent5" w:themeShade="BF"/>
        </w:rPr>
        <w:t>â</w:t>
      </w:r>
      <w:r w:rsidRPr="00033BC0">
        <w:rPr>
          <w:b/>
          <w:bCs/>
          <w:color w:val="2E74B5" w:themeColor="accent5" w:themeShade="BF"/>
        </w:rPr>
        <w:t>ge avancé, et croire que l’</w:t>
      </w:r>
      <w:r w:rsidR="00033BC0" w:rsidRPr="00033BC0">
        <w:rPr>
          <w:b/>
          <w:bCs/>
          <w:color w:val="2E74B5" w:themeColor="accent5" w:themeShade="BF"/>
        </w:rPr>
        <w:t>â</w:t>
      </w:r>
      <w:r w:rsidRPr="00033BC0">
        <w:rPr>
          <w:b/>
          <w:bCs/>
          <w:color w:val="2E74B5" w:themeColor="accent5" w:themeShade="BF"/>
        </w:rPr>
        <w:t>ge avancé est preuve d’incapacité à tout</w:t>
      </w:r>
      <w:r w:rsidR="00BA6737">
        <w:rPr>
          <w:b/>
          <w:bCs/>
          <w:color w:val="2E74B5" w:themeColor="accent5" w:themeShade="BF"/>
        </w:rPr>
        <w:t>, la pandémie COVID 19.</w:t>
      </w:r>
      <w:r w:rsidR="00033BC0" w:rsidRPr="00033BC0">
        <w:rPr>
          <w:b/>
          <w:bCs/>
          <w:color w:val="2E74B5" w:themeColor="accent5" w:themeShade="BF"/>
        </w:rPr>
        <w:t xml:space="preserve">  Manifestations : </w:t>
      </w:r>
      <w:r w:rsidR="00BA6737">
        <w:rPr>
          <w:b/>
          <w:bCs/>
          <w:color w:val="2E74B5" w:themeColor="accent5" w:themeShade="BF"/>
        </w:rPr>
        <w:t xml:space="preserve">Personnes âgées non prises en compte dans la </w:t>
      </w:r>
      <w:proofErr w:type="gramStart"/>
      <w:r w:rsidR="00BA6737">
        <w:rPr>
          <w:b/>
          <w:bCs/>
          <w:color w:val="2E74B5" w:themeColor="accent5" w:themeShade="BF"/>
        </w:rPr>
        <w:t>réponse  du</w:t>
      </w:r>
      <w:proofErr w:type="gramEnd"/>
      <w:r w:rsidR="00BA6737">
        <w:rPr>
          <w:b/>
          <w:bCs/>
          <w:color w:val="2E74B5" w:themeColor="accent5" w:themeShade="BF"/>
        </w:rPr>
        <w:t xml:space="preserve"> COVID 19, </w:t>
      </w:r>
      <w:r w:rsidR="00033BC0" w:rsidRPr="00033BC0">
        <w:rPr>
          <w:b/>
          <w:bCs/>
          <w:color w:val="2E74B5" w:themeColor="accent5" w:themeShade="BF"/>
        </w:rPr>
        <w:t>refus de céder les premières places par exemple dans les rangs aux</w:t>
      </w:r>
      <w:r w:rsidR="00BA6737">
        <w:rPr>
          <w:b/>
          <w:bCs/>
          <w:color w:val="2E74B5" w:themeColor="accent5" w:themeShade="BF"/>
        </w:rPr>
        <w:t xml:space="preserve"> </w:t>
      </w:r>
      <w:r w:rsidR="00033BC0" w:rsidRPr="00033BC0">
        <w:rPr>
          <w:b/>
          <w:bCs/>
          <w:color w:val="2E74B5" w:themeColor="accent5" w:themeShade="BF"/>
        </w:rPr>
        <w:t>personnes âgées, vol par les jeunes de l’argent des parents qu’ils chassent même de la maison, chasser les veuves de la concession de leurs maris, les voisins au village rouent les femmes âgées de coup parce</w:t>
      </w:r>
      <w:r w:rsidR="00C43ECB">
        <w:rPr>
          <w:b/>
          <w:bCs/>
          <w:color w:val="2E74B5" w:themeColor="accent5" w:themeShade="BF"/>
        </w:rPr>
        <w:t xml:space="preserve"> </w:t>
      </w:r>
      <w:r w:rsidR="00033BC0" w:rsidRPr="00033BC0">
        <w:rPr>
          <w:b/>
          <w:bCs/>
          <w:color w:val="2E74B5" w:themeColor="accent5" w:themeShade="BF"/>
        </w:rPr>
        <w:t>qu’</w:t>
      </w:r>
      <w:r w:rsidR="00C43ECB">
        <w:rPr>
          <w:b/>
          <w:bCs/>
          <w:color w:val="2E74B5" w:themeColor="accent5" w:themeShade="BF"/>
        </w:rPr>
        <w:t xml:space="preserve">ils les </w:t>
      </w:r>
      <w:r w:rsidR="00033BC0" w:rsidRPr="00033BC0">
        <w:rPr>
          <w:b/>
          <w:bCs/>
          <w:color w:val="2E74B5" w:themeColor="accent5" w:themeShade="BF"/>
        </w:rPr>
        <w:t xml:space="preserve"> accus</w:t>
      </w:r>
      <w:r w:rsidR="00C43ECB">
        <w:rPr>
          <w:b/>
          <w:bCs/>
          <w:color w:val="2E74B5" w:themeColor="accent5" w:themeShade="BF"/>
        </w:rPr>
        <w:t>ent</w:t>
      </w:r>
      <w:r w:rsidR="00033BC0" w:rsidRPr="00033BC0">
        <w:rPr>
          <w:b/>
          <w:bCs/>
          <w:color w:val="2E74B5" w:themeColor="accent5" w:themeShade="BF"/>
        </w:rPr>
        <w:t xml:space="preserve"> de sorcellerie</w:t>
      </w:r>
    </w:p>
    <w:p w14:paraId="369F350B" w14:textId="77777777" w:rsidR="00BA6737" w:rsidRPr="00033BC0" w:rsidRDefault="00BA6737" w:rsidP="00C43ECB">
      <w:pPr>
        <w:pStyle w:val="ListParagraph"/>
        <w:jc w:val="both"/>
        <w:rPr>
          <w:b/>
          <w:bCs/>
          <w:color w:val="2E74B5" w:themeColor="accent5" w:themeShade="BF"/>
        </w:rPr>
      </w:pPr>
    </w:p>
    <w:p w14:paraId="241B4534" w14:textId="08AF71A6" w:rsidR="001866BA" w:rsidRDefault="001866BA" w:rsidP="00C43ECB">
      <w:pPr>
        <w:pStyle w:val="ListParagraph"/>
        <w:numPr>
          <w:ilvl w:val="0"/>
          <w:numId w:val="2"/>
        </w:numPr>
        <w:jc w:val="both"/>
      </w:pPr>
      <w:r w:rsidRPr="001866BA">
        <w:t>Existe-t-il des facteurs spécifiques, d’un point de vue intersectionnel, qui aggravent l'âgisme et la discrimination fondée sur l'âge et comment? Merci de partager des exemples concrets et des données collectées lorsqu'ils sont disponibl</w:t>
      </w:r>
      <w:r>
        <w:t>es</w:t>
      </w:r>
    </w:p>
    <w:p w14:paraId="298FB214" w14:textId="2AA854A4" w:rsidR="00BA6737" w:rsidRDefault="00BA6737" w:rsidP="00C43ECB">
      <w:pPr>
        <w:pStyle w:val="ListParagraph"/>
        <w:jc w:val="both"/>
      </w:pPr>
    </w:p>
    <w:p w14:paraId="16C3DB9E" w14:textId="03BA7BCB" w:rsidR="00BA6737" w:rsidRPr="00C7241B" w:rsidRDefault="00BA6737" w:rsidP="00C43ECB">
      <w:pPr>
        <w:pStyle w:val="ListParagraph"/>
        <w:jc w:val="both"/>
        <w:rPr>
          <w:b/>
          <w:bCs/>
          <w:color w:val="2E74B5" w:themeColor="accent5" w:themeShade="BF"/>
        </w:rPr>
      </w:pPr>
      <w:r w:rsidRPr="00C7241B">
        <w:rPr>
          <w:b/>
          <w:bCs/>
          <w:color w:val="2E74B5" w:themeColor="accent5" w:themeShade="BF"/>
        </w:rPr>
        <w:t>La pandémie au COVID 19</w:t>
      </w:r>
      <w:r w:rsidR="00B500D6" w:rsidRPr="00C7241B">
        <w:rPr>
          <w:b/>
          <w:bCs/>
          <w:color w:val="2E74B5" w:themeColor="accent5" w:themeShade="BF"/>
        </w:rPr>
        <w:t xml:space="preserve">, le </w:t>
      </w:r>
      <w:proofErr w:type="spellStart"/>
      <w:r w:rsidR="00B500D6" w:rsidRPr="00C7241B">
        <w:rPr>
          <w:b/>
          <w:bCs/>
          <w:color w:val="2E74B5" w:themeColor="accent5" w:themeShade="BF"/>
        </w:rPr>
        <w:t xml:space="preserve">sous </w:t>
      </w:r>
      <w:proofErr w:type="gramStart"/>
      <w:r w:rsidR="00B500D6" w:rsidRPr="00C7241B">
        <w:rPr>
          <w:b/>
          <w:bCs/>
          <w:color w:val="2E74B5" w:themeColor="accent5" w:themeShade="BF"/>
        </w:rPr>
        <w:t>développement</w:t>
      </w:r>
      <w:proofErr w:type="spellEnd"/>
      <w:r w:rsidR="00B500D6" w:rsidRPr="00C7241B">
        <w:rPr>
          <w:b/>
          <w:bCs/>
          <w:color w:val="2E74B5" w:themeColor="accent5" w:themeShade="BF"/>
        </w:rPr>
        <w:t> ,</w:t>
      </w:r>
      <w:proofErr w:type="gramEnd"/>
      <w:r w:rsidR="00B500D6" w:rsidRPr="00C7241B">
        <w:rPr>
          <w:b/>
          <w:bCs/>
          <w:color w:val="2E74B5" w:themeColor="accent5" w:themeShade="BF"/>
        </w:rPr>
        <w:t xml:space="preserve"> le problème de genre et vieillissement.</w:t>
      </w:r>
      <w:r w:rsidR="00C7241B">
        <w:rPr>
          <w:b/>
          <w:bCs/>
          <w:color w:val="2E74B5" w:themeColor="accent5" w:themeShade="BF"/>
        </w:rPr>
        <w:t xml:space="preserve"> </w:t>
      </w:r>
      <w:r w:rsidR="00B500D6" w:rsidRPr="00C7241B">
        <w:rPr>
          <w:b/>
          <w:bCs/>
          <w:color w:val="2E74B5" w:themeColor="accent5" w:themeShade="BF"/>
        </w:rPr>
        <w:t>Les personnes âgées sont les plus atteintes et meurent plus</w:t>
      </w:r>
      <w:r w:rsidR="00D62CC8">
        <w:rPr>
          <w:b/>
          <w:bCs/>
          <w:color w:val="2E74B5" w:themeColor="accent5" w:themeShade="BF"/>
        </w:rPr>
        <w:t xml:space="preserve"> </w:t>
      </w:r>
      <w:r w:rsidR="00B500D6" w:rsidRPr="00C7241B">
        <w:rPr>
          <w:b/>
          <w:bCs/>
          <w:color w:val="2E74B5" w:themeColor="accent5" w:themeShade="BF"/>
        </w:rPr>
        <w:t xml:space="preserve">du COVID 19, car </w:t>
      </w:r>
      <w:proofErr w:type="gramStart"/>
      <w:r w:rsidR="00B500D6" w:rsidRPr="00C7241B">
        <w:rPr>
          <w:b/>
          <w:bCs/>
          <w:color w:val="2E74B5" w:themeColor="accent5" w:themeShade="BF"/>
        </w:rPr>
        <w:t>elle ne sont</w:t>
      </w:r>
      <w:proofErr w:type="gramEnd"/>
      <w:r w:rsidR="00B500D6" w:rsidRPr="00C7241B">
        <w:rPr>
          <w:b/>
          <w:bCs/>
          <w:color w:val="2E74B5" w:themeColor="accent5" w:themeShade="BF"/>
        </w:rPr>
        <w:t xml:space="preserve"> pas prises en compte dans la réponse nationale, alors qu’elles sont pauvres. Grace à la campagne Age </w:t>
      </w:r>
      <w:proofErr w:type="spellStart"/>
      <w:r w:rsidR="00B500D6" w:rsidRPr="00C7241B">
        <w:rPr>
          <w:b/>
          <w:bCs/>
          <w:color w:val="2E74B5" w:themeColor="accent5" w:themeShade="BF"/>
        </w:rPr>
        <w:t>Demand</w:t>
      </w:r>
      <w:proofErr w:type="spellEnd"/>
      <w:r w:rsidR="00B500D6" w:rsidRPr="00C7241B">
        <w:rPr>
          <w:b/>
          <w:bCs/>
          <w:color w:val="2E74B5" w:themeColor="accent5" w:themeShade="BF"/>
        </w:rPr>
        <w:t xml:space="preserve"> Action : </w:t>
      </w:r>
      <w:proofErr w:type="spellStart"/>
      <w:r w:rsidR="00B500D6" w:rsidRPr="00C7241B">
        <w:rPr>
          <w:b/>
          <w:bCs/>
          <w:color w:val="2E74B5" w:themeColor="accent5" w:themeShade="BF"/>
        </w:rPr>
        <w:t>Hear</w:t>
      </w:r>
      <w:proofErr w:type="spellEnd"/>
      <w:r w:rsidR="00B500D6" w:rsidRPr="00C7241B">
        <w:rPr>
          <w:b/>
          <w:bCs/>
          <w:color w:val="2E74B5" w:themeColor="accent5" w:themeShade="BF"/>
        </w:rPr>
        <w:t xml:space="preserve"> </w:t>
      </w:r>
      <w:proofErr w:type="spellStart"/>
      <w:r w:rsidR="00B500D6" w:rsidRPr="00C7241B">
        <w:rPr>
          <w:b/>
          <w:bCs/>
          <w:color w:val="2E74B5" w:themeColor="accent5" w:themeShade="BF"/>
        </w:rPr>
        <w:t>our</w:t>
      </w:r>
      <w:proofErr w:type="spellEnd"/>
      <w:r w:rsidR="00B500D6" w:rsidRPr="00C7241B">
        <w:rPr>
          <w:b/>
          <w:bCs/>
          <w:color w:val="2E74B5" w:themeColor="accent5" w:themeShade="BF"/>
        </w:rPr>
        <w:t xml:space="preserve"> </w:t>
      </w:r>
      <w:proofErr w:type="spellStart"/>
      <w:r w:rsidR="00B500D6" w:rsidRPr="00C7241B">
        <w:rPr>
          <w:b/>
          <w:bCs/>
          <w:color w:val="2E74B5" w:themeColor="accent5" w:themeShade="BF"/>
        </w:rPr>
        <w:t>voices</w:t>
      </w:r>
      <w:proofErr w:type="spellEnd"/>
      <w:r w:rsidR="00FF35A0">
        <w:rPr>
          <w:b/>
          <w:bCs/>
          <w:color w:val="2E74B5" w:themeColor="accent5" w:themeShade="BF"/>
        </w:rPr>
        <w:t>,</w:t>
      </w:r>
      <w:r w:rsidR="00B500D6" w:rsidRPr="00C7241B">
        <w:rPr>
          <w:b/>
          <w:bCs/>
          <w:color w:val="2E74B5" w:themeColor="accent5" w:themeShade="BF"/>
        </w:rPr>
        <w:t xml:space="preserve"> </w:t>
      </w:r>
      <w:proofErr w:type="spellStart"/>
      <w:r w:rsidR="00B500D6" w:rsidRPr="00C7241B">
        <w:rPr>
          <w:b/>
          <w:bCs/>
          <w:color w:val="2E74B5" w:themeColor="accent5" w:themeShade="BF"/>
        </w:rPr>
        <w:t>challenging</w:t>
      </w:r>
      <w:proofErr w:type="spellEnd"/>
      <w:r w:rsidR="00B500D6" w:rsidRPr="00C7241B">
        <w:rPr>
          <w:b/>
          <w:bCs/>
          <w:color w:val="2E74B5" w:themeColor="accent5" w:themeShade="BF"/>
        </w:rPr>
        <w:t xml:space="preserve"> </w:t>
      </w:r>
      <w:proofErr w:type="spellStart"/>
      <w:r w:rsidR="00B500D6" w:rsidRPr="00C7241B">
        <w:rPr>
          <w:b/>
          <w:bCs/>
          <w:color w:val="2E74B5" w:themeColor="accent5" w:themeShade="BF"/>
        </w:rPr>
        <w:t>ageism</w:t>
      </w:r>
      <w:proofErr w:type="spellEnd"/>
      <w:r w:rsidR="00B500D6" w:rsidRPr="00C7241B">
        <w:rPr>
          <w:b/>
          <w:bCs/>
          <w:color w:val="2E74B5" w:themeColor="accent5" w:themeShade="BF"/>
        </w:rPr>
        <w:t xml:space="preserve"> </w:t>
      </w:r>
      <w:proofErr w:type="spellStart"/>
      <w:r w:rsidR="00B500D6" w:rsidRPr="00C7241B">
        <w:rPr>
          <w:b/>
          <w:bCs/>
          <w:color w:val="2E74B5" w:themeColor="accent5" w:themeShade="BF"/>
        </w:rPr>
        <w:t>during</w:t>
      </w:r>
      <w:proofErr w:type="spellEnd"/>
      <w:r w:rsidR="00B500D6" w:rsidRPr="00C7241B">
        <w:rPr>
          <w:b/>
          <w:bCs/>
          <w:color w:val="2E74B5" w:themeColor="accent5" w:themeShade="BF"/>
        </w:rPr>
        <w:t xml:space="preserve"> COVID 19, leur situation commence à être examinée. Le</w:t>
      </w:r>
      <w:r w:rsidR="00FF35A0">
        <w:rPr>
          <w:b/>
          <w:bCs/>
          <w:color w:val="2E74B5" w:themeColor="accent5" w:themeShade="BF"/>
        </w:rPr>
        <w:t xml:space="preserve"> </w:t>
      </w:r>
      <w:proofErr w:type="spellStart"/>
      <w:r w:rsidR="00B500D6" w:rsidRPr="00C7241B">
        <w:rPr>
          <w:b/>
          <w:bCs/>
          <w:color w:val="2E74B5" w:themeColor="accent5" w:themeShade="BF"/>
        </w:rPr>
        <w:t xml:space="preserve">sous </w:t>
      </w:r>
      <w:r w:rsidR="00FF35A0" w:rsidRPr="00C7241B">
        <w:rPr>
          <w:b/>
          <w:bCs/>
          <w:color w:val="2E74B5" w:themeColor="accent5" w:themeShade="BF"/>
        </w:rPr>
        <w:t>développement</w:t>
      </w:r>
      <w:proofErr w:type="spellEnd"/>
      <w:r w:rsidR="00B500D6" w:rsidRPr="00C7241B">
        <w:rPr>
          <w:b/>
          <w:bCs/>
          <w:color w:val="2E74B5" w:themeColor="accent5" w:themeShade="BF"/>
        </w:rPr>
        <w:t xml:space="preserve"> impose des limites en terme de pension sociale, hôpitaux, assurance ….  Les femmes âgées subissent plus de discrimination</w:t>
      </w:r>
      <w:r w:rsidR="00C7241B" w:rsidRPr="00C7241B">
        <w:rPr>
          <w:b/>
          <w:bCs/>
          <w:color w:val="2E74B5" w:themeColor="accent5" w:themeShade="BF"/>
        </w:rPr>
        <w:t xml:space="preserve"> à cause de leur genre et du vieillissement</w:t>
      </w:r>
    </w:p>
    <w:p w14:paraId="5C63C7FD" w14:textId="7AFC2D8B" w:rsidR="001866BA" w:rsidRDefault="001866BA" w:rsidP="00C43ECB">
      <w:pPr>
        <w:jc w:val="both"/>
      </w:pPr>
    </w:p>
    <w:p w14:paraId="0973848D" w14:textId="77777777" w:rsidR="001866BA" w:rsidRPr="001866BA" w:rsidRDefault="001866BA" w:rsidP="00C43ECB">
      <w:pPr>
        <w:jc w:val="both"/>
        <w:rPr>
          <w:b/>
          <w:bCs/>
        </w:rPr>
      </w:pPr>
      <w:r w:rsidRPr="001866BA">
        <w:rPr>
          <w:b/>
          <w:bCs/>
        </w:rPr>
        <w:lastRenderedPageBreak/>
        <w:t xml:space="preserve">Cadres juridiques, politiques et institutionnels liés à l'âgisme et à la discrimination fondée sur l'âge </w:t>
      </w:r>
    </w:p>
    <w:p w14:paraId="6DBF4B39" w14:textId="3C1B4B72" w:rsidR="001866BA" w:rsidRDefault="001866BA" w:rsidP="00FF35A0">
      <w:pPr>
        <w:pStyle w:val="ListParagraph"/>
        <w:numPr>
          <w:ilvl w:val="0"/>
          <w:numId w:val="2"/>
        </w:numPr>
        <w:jc w:val="both"/>
      </w:pPr>
      <w:r w:rsidRPr="001866BA">
        <w:t>Quels instruments juridiques internationaux, régionaux et nationaux sont en place pour lutter contre l'âgisme et la discrimination fondée sur l'âge ?</w:t>
      </w:r>
    </w:p>
    <w:p w14:paraId="4084A784" w14:textId="5941FBC7" w:rsidR="00FF35A0" w:rsidRDefault="00FF35A0" w:rsidP="00FF35A0">
      <w:pPr>
        <w:pStyle w:val="ListParagraph"/>
        <w:jc w:val="both"/>
      </w:pPr>
    </w:p>
    <w:p w14:paraId="3B6B00E5" w14:textId="77777777" w:rsidR="00FF35A0" w:rsidRPr="00336F9A" w:rsidRDefault="00FF35A0" w:rsidP="00FF35A0">
      <w:pPr>
        <w:pStyle w:val="ListParagraph"/>
        <w:jc w:val="both"/>
        <w:rPr>
          <w:b/>
          <w:bCs/>
          <w:color w:val="2E74B5" w:themeColor="accent5" w:themeShade="BF"/>
        </w:rPr>
      </w:pPr>
      <w:r w:rsidRPr="00336F9A">
        <w:rPr>
          <w:b/>
          <w:bCs/>
          <w:color w:val="2E74B5" w:themeColor="accent5" w:themeShade="BF"/>
        </w:rPr>
        <w:t xml:space="preserve">Je vais citer </w:t>
      </w:r>
      <w:proofErr w:type="spellStart"/>
      <w:r w:rsidRPr="00336F9A">
        <w:rPr>
          <w:b/>
          <w:bCs/>
          <w:color w:val="2E74B5" w:themeColor="accent5" w:themeShade="BF"/>
        </w:rPr>
        <w:t>quelques uns</w:t>
      </w:r>
      <w:proofErr w:type="spellEnd"/>
      <w:r w:rsidRPr="00336F9A">
        <w:rPr>
          <w:b/>
          <w:bCs/>
          <w:color w:val="2E74B5" w:themeColor="accent5" w:themeShade="BF"/>
        </w:rPr>
        <w:t xml:space="preserve"> mais qui ne couvrent pas bien les personnes âgées et ne sont même pas contraignants</w:t>
      </w:r>
    </w:p>
    <w:p w14:paraId="5364DCDB" w14:textId="61F39D87" w:rsidR="00FF35A0" w:rsidRPr="00336F9A" w:rsidRDefault="00FF35A0" w:rsidP="00FF35A0">
      <w:pPr>
        <w:pStyle w:val="ListParagraph"/>
        <w:jc w:val="both"/>
        <w:rPr>
          <w:b/>
          <w:bCs/>
          <w:color w:val="2E74B5" w:themeColor="accent5" w:themeShade="BF"/>
        </w:rPr>
      </w:pPr>
      <w:r w:rsidRPr="00336F9A">
        <w:rPr>
          <w:b/>
          <w:bCs/>
          <w:color w:val="2E74B5" w:themeColor="accent5" w:themeShade="BF"/>
        </w:rPr>
        <w:t xml:space="preserve">Internationaux : La Déclaration universelle des droits de l’homme, Le Plan </w:t>
      </w:r>
      <w:proofErr w:type="gramStart"/>
      <w:r w:rsidRPr="00336F9A">
        <w:rPr>
          <w:b/>
          <w:bCs/>
          <w:color w:val="2E74B5" w:themeColor="accent5" w:themeShade="BF"/>
        </w:rPr>
        <w:t>international</w:t>
      </w:r>
      <w:proofErr w:type="gramEnd"/>
      <w:r w:rsidRPr="00336F9A">
        <w:rPr>
          <w:b/>
          <w:bCs/>
          <w:color w:val="2E74B5" w:themeColor="accent5" w:themeShade="BF"/>
        </w:rPr>
        <w:t xml:space="preserve"> de Madrid sur le vieillissement</w:t>
      </w:r>
      <w:r w:rsidR="00336F9A" w:rsidRPr="00336F9A">
        <w:rPr>
          <w:b/>
          <w:bCs/>
          <w:color w:val="2E74B5" w:themeColor="accent5" w:themeShade="BF"/>
        </w:rPr>
        <w:t>, Pacte sur les droits civils et politiques, Pacte sur les droits économiques, sociaux et culturels</w:t>
      </w:r>
    </w:p>
    <w:p w14:paraId="41CA682A" w14:textId="7CB96AA4" w:rsidR="00FF35A0" w:rsidRPr="00336F9A" w:rsidRDefault="00FF35A0" w:rsidP="00FF35A0">
      <w:pPr>
        <w:pStyle w:val="ListParagraph"/>
        <w:jc w:val="both"/>
        <w:rPr>
          <w:b/>
          <w:bCs/>
          <w:color w:val="2E74B5" w:themeColor="accent5" w:themeShade="BF"/>
        </w:rPr>
      </w:pPr>
      <w:r w:rsidRPr="00336F9A">
        <w:rPr>
          <w:b/>
          <w:bCs/>
          <w:color w:val="2E74B5" w:themeColor="accent5" w:themeShade="BF"/>
        </w:rPr>
        <w:t>Régionaux : Le plan continental africain sur le vieillissement, le Protocol de Maputo, le protocole sur les droits des personnes âgées</w:t>
      </w:r>
      <w:r w:rsidR="00336F9A">
        <w:rPr>
          <w:b/>
          <w:bCs/>
          <w:color w:val="2E74B5" w:themeColor="accent5" w:themeShade="BF"/>
        </w:rPr>
        <w:t>, Charte africaine des droits de l’homme et des peuples</w:t>
      </w:r>
    </w:p>
    <w:p w14:paraId="3F0DFB21" w14:textId="5F076AE9" w:rsidR="001D0D81" w:rsidRPr="001D0D81" w:rsidRDefault="00FF35A0" w:rsidP="001D0D81">
      <w:pPr>
        <w:spacing w:after="200" w:line="276" w:lineRule="auto"/>
        <w:ind w:left="708"/>
        <w:jc w:val="both"/>
      </w:pPr>
      <w:r w:rsidRPr="001D0D81">
        <w:rPr>
          <w:b/>
          <w:bCs/>
          <w:color w:val="2E74B5" w:themeColor="accent5" w:themeShade="BF"/>
        </w:rPr>
        <w:t>Nationaux :</w:t>
      </w:r>
      <w:r w:rsidR="00336F9A" w:rsidRPr="001D0D81">
        <w:rPr>
          <w:b/>
          <w:bCs/>
          <w:color w:val="2E74B5" w:themeColor="accent5" w:themeShade="BF"/>
        </w:rPr>
        <w:t xml:space="preserve"> La Constitution du </w:t>
      </w:r>
      <w:proofErr w:type="spellStart"/>
      <w:r w:rsidR="00336F9A" w:rsidRPr="001D0D81">
        <w:rPr>
          <w:b/>
          <w:bCs/>
          <w:color w:val="2E74B5" w:themeColor="accent5" w:themeShade="BF"/>
        </w:rPr>
        <w:t>Cameroon</w:t>
      </w:r>
      <w:proofErr w:type="spellEnd"/>
      <w:r w:rsidR="00336F9A" w:rsidRPr="001D0D81">
        <w:rPr>
          <w:b/>
          <w:bCs/>
          <w:color w:val="2E74B5" w:themeColor="accent5" w:themeShade="BF"/>
        </w:rPr>
        <w:t>,</w:t>
      </w:r>
      <w:r w:rsidR="00B55D70" w:rsidRPr="001D0D81">
        <w:rPr>
          <w:b/>
          <w:bCs/>
          <w:color w:val="2E74B5" w:themeColor="accent5" w:themeShade="BF"/>
        </w:rPr>
        <w:t xml:space="preserve"> le document politique</w:t>
      </w:r>
      <w:r w:rsidR="001D0D81">
        <w:rPr>
          <w:b/>
          <w:bCs/>
          <w:color w:val="2E74B5" w:themeColor="accent5" w:themeShade="BF"/>
        </w:rPr>
        <w:t xml:space="preserve"> </w:t>
      </w:r>
      <w:r w:rsidR="00B55D70" w:rsidRPr="001D0D81">
        <w:rPr>
          <w:b/>
          <w:bCs/>
          <w:color w:val="2E74B5" w:themeColor="accent5" w:themeShade="BF"/>
        </w:rPr>
        <w:t xml:space="preserve">de protection et promotion des droits des personnes </w:t>
      </w:r>
      <w:proofErr w:type="gramStart"/>
      <w:r w:rsidR="00B55D70" w:rsidRPr="001D0D81">
        <w:rPr>
          <w:b/>
          <w:bCs/>
          <w:color w:val="2E74B5" w:themeColor="accent5" w:themeShade="BF"/>
        </w:rPr>
        <w:t>âgées ,</w:t>
      </w:r>
      <w:proofErr w:type="gramEnd"/>
      <w:r w:rsidR="00B55D70" w:rsidRPr="001D0D81">
        <w:rPr>
          <w:b/>
          <w:bCs/>
          <w:color w:val="2E74B5" w:themeColor="accent5" w:themeShade="BF"/>
        </w:rPr>
        <w:t xml:space="preserve"> les courts de 1ere et grande </w:t>
      </w:r>
      <w:r w:rsidR="001D0D81" w:rsidRPr="001D0D81">
        <w:rPr>
          <w:b/>
          <w:bCs/>
          <w:color w:val="2E74B5" w:themeColor="accent5" w:themeShade="BF"/>
        </w:rPr>
        <w:t>i</w:t>
      </w:r>
      <w:r w:rsidR="001D0D81">
        <w:rPr>
          <w:b/>
          <w:bCs/>
          <w:color w:val="2E74B5" w:themeColor="accent5" w:themeShade="BF"/>
        </w:rPr>
        <w:t>nstance</w:t>
      </w:r>
    </w:p>
    <w:p w14:paraId="7CED99F6" w14:textId="51D6F8A7" w:rsidR="001866BA" w:rsidRDefault="001866BA" w:rsidP="001D0D81">
      <w:pPr>
        <w:spacing w:after="200" w:line="276" w:lineRule="auto"/>
        <w:ind w:left="1080"/>
        <w:jc w:val="both"/>
      </w:pPr>
      <w:r w:rsidRPr="001866BA">
        <w:t>5. Merci de noter également tout plan d'action ou politique visant à sensibiliser et à lutter contre l'âgisme (y compris l'anti-âgisme dans les programmes scolaires) et d’atteindre une société plus inclusive et mieux adaptée aux besoins des personnes âgées.</w:t>
      </w:r>
    </w:p>
    <w:p w14:paraId="5AF51F1B" w14:textId="5A500400" w:rsidR="00C7241B" w:rsidRPr="00C7241B" w:rsidRDefault="00C7241B" w:rsidP="00C43ECB">
      <w:pPr>
        <w:jc w:val="both"/>
        <w:rPr>
          <w:b/>
          <w:bCs/>
          <w:color w:val="2E74B5" w:themeColor="accent5" w:themeShade="BF"/>
        </w:rPr>
      </w:pPr>
      <w:r w:rsidRPr="00C7241B">
        <w:rPr>
          <w:b/>
          <w:bCs/>
          <w:color w:val="2E74B5" w:themeColor="accent5" w:themeShade="BF"/>
        </w:rPr>
        <w:t>Le document politique de protection et de promotion des personnes âgées au Cameroun et son plan d’action</w:t>
      </w:r>
      <w:r w:rsidR="00B55D70">
        <w:rPr>
          <w:b/>
          <w:bCs/>
          <w:color w:val="2E74B5" w:themeColor="accent5" w:themeShade="BF"/>
        </w:rPr>
        <w:t xml:space="preserve">, Création d’une Direction de protection et promotion des droits des personnes âgées, La caisse nationale de prévoyance sociale, la Commission Nationale des droits de l’homme, les réseaux des associations et </w:t>
      </w:r>
      <w:proofErr w:type="spellStart"/>
      <w:r w:rsidR="00B55D70">
        <w:rPr>
          <w:b/>
          <w:bCs/>
          <w:color w:val="2E74B5" w:themeColor="accent5" w:themeShade="BF"/>
        </w:rPr>
        <w:t>ONGs</w:t>
      </w:r>
      <w:proofErr w:type="spellEnd"/>
      <w:r w:rsidR="00B55D70">
        <w:rPr>
          <w:b/>
          <w:bCs/>
          <w:color w:val="2E74B5" w:themeColor="accent5" w:themeShade="BF"/>
        </w:rPr>
        <w:t xml:space="preserve"> de promotion des droits de </w:t>
      </w:r>
      <w:proofErr w:type="gramStart"/>
      <w:r w:rsidR="00B55D70">
        <w:rPr>
          <w:b/>
          <w:bCs/>
          <w:color w:val="2E74B5" w:themeColor="accent5" w:themeShade="BF"/>
        </w:rPr>
        <w:t>l’homme</w:t>
      </w:r>
      <w:proofErr w:type="gramEnd"/>
      <w:r w:rsidR="00B55D70">
        <w:rPr>
          <w:b/>
          <w:bCs/>
          <w:color w:val="2E74B5" w:themeColor="accent5" w:themeShade="BF"/>
        </w:rPr>
        <w:t xml:space="preserve"> et des libertés, le Ministère de la santé publique</w:t>
      </w:r>
      <w:r w:rsidR="001D0D81">
        <w:rPr>
          <w:b/>
          <w:bCs/>
          <w:color w:val="2E74B5" w:themeColor="accent5" w:themeShade="BF"/>
        </w:rPr>
        <w:t>, Plans d’action nationaux, régionaux, internationaux sur le vieillissement</w:t>
      </w:r>
    </w:p>
    <w:p w14:paraId="08261885" w14:textId="2CF2FD7C" w:rsidR="001866BA" w:rsidRDefault="001866BA" w:rsidP="001D0D81">
      <w:pPr>
        <w:pStyle w:val="ListParagraph"/>
        <w:numPr>
          <w:ilvl w:val="0"/>
          <w:numId w:val="2"/>
        </w:numPr>
        <w:jc w:val="both"/>
      </w:pPr>
      <w:r w:rsidRPr="001866BA">
        <w:t>Au niveau national, veuillez décrire les protections juridiques disponibles contre la discrimination fondée sur l'âge et indiquer si l'âge est explicitement reconnu comme un motif de discrimination? Si tel est le cas, y a-t-il des domaines particuliers pour lesquels l'égalité est explicitement garantie? Existe-t-il des domaines dans lesquels une différence de traitement fondée sur l'âge est explicitement justifiée ?</w:t>
      </w:r>
    </w:p>
    <w:p w14:paraId="512253BB" w14:textId="01BCFC0A" w:rsidR="001D0D81" w:rsidRDefault="001D0D81" w:rsidP="001D0D81">
      <w:pPr>
        <w:jc w:val="both"/>
        <w:rPr>
          <w:b/>
          <w:bCs/>
          <w:color w:val="2E74B5" w:themeColor="accent5" w:themeShade="BF"/>
        </w:rPr>
      </w:pPr>
      <w:r w:rsidRPr="001D0D81">
        <w:rPr>
          <w:b/>
          <w:bCs/>
          <w:color w:val="2E74B5" w:themeColor="accent5" w:themeShade="BF"/>
        </w:rPr>
        <w:t xml:space="preserve">Ministère des Affaires sociale, Commission nationale des droits de l’homme et des libertés, document de politique nationale de protection et </w:t>
      </w:r>
      <w:proofErr w:type="gramStart"/>
      <w:r w:rsidRPr="001D0D81">
        <w:rPr>
          <w:b/>
          <w:bCs/>
          <w:color w:val="2E74B5" w:themeColor="accent5" w:themeShade="BF"/>
        </w:rPr>
        <w:t>promotion  de</w:t>
      </w:r>
      <w:proofErr w:type="gramEnd"/>
      <w:r w:rsidRPr="001D0D81">
        <w:rPr>
          <w:b/>
          <w:bCs/>
          <w:color w:val="2E74B5" w:themeColor="accent5" w:themeShade="BF"/>
        </w:rPr>
        <w:t xml:space="preserve"> droits des personnes âgées, la Constitution, les courts de 1ere et grande instance</w:t>
      </w:r>
      <w:r>
        <w:rPr>
          <w:b/>
          <w:bCs/>
          <w:color w:val="2E74B5" w:themeColor="accent5" w:themeShade="BF"/>
        </w:rPr>
        <w:t>.</w:t>
      </w:r>
    </w:p>
    <w:p w14:paraId="4A1DB5E4" w14:textId="0F5E7418" w:rsidR="001D0D81" w:rsidRPr="001D0D81" w:rsidRDefault="001D0D81" w:rsidP="001D0D81">
      <w:pPr>
        <w:jc w:val="both"/>
        <w:rPr>
          <w:b/>
          <w:bCs/>
          <w:color w:val="2E74B5" w:themeColor="accent5" w:themeShade="BF"/>
        </w:rPr>
      </w:pPr>
      <w:r>
        <w:rPr>
          <w:b/>
          <w:bCs/>
          <w:color w:val="2E74B5" w:themeColor="accent5" w:themeShade="BF"/>
        </w:rPr>
        <w:t xml:space="preserve">Non l’âge n’est pas </w:t>
      </w:r>
      <w:proofErr w:type="gramStart"/>
      <w:r>
        <w:rPr>
          <w:b/>
          <w:bCs/>
          <w:color w:val="2E74B5" w:themeColor="accent5" w:themeShade="BF"/>
        </w:rPr>
        <w:t>explicitement  un</w:t>
      </w:r>
      <w:proofErr w:type="gramEnd"/>
      <w:r>
        <w:rPr>
          <w:b/>
          <w:bCs/>
          <w:color w:val="2E74B5" w:themeColor="accent5" w:themeShade="BF"/>
        </w:rPr>
        <w:t xml:space="preserve"> motif de discrimination</w:t>
      </w:r>
    </w:p>
    <w:p w14:paraId="3C082CDC" w14:textId="7E76191D" w:rsidR="001866BA" w:rsidRDefault="001866BA" w:rsidP="00C43ECB">
      <w:pPr>
        <w:jc w:val="both"/>
      </w:pPr>
      <w:r w:rsidRPr="001866BA">
        <w:t xml:space="preserve"> 7. Les protections juridiques existantes contre la discrimination fondée sur l'âge permettent-elles de déposer des plaintes concernant la discrimination intersectionnelle, c'est-à-dire une discrimination fondée sur l'intersection entre l'âge et d'autres caractéristiques telles que la </w:t>
      </w:r>
      <w:proofErr w:type="gramStart"/>
      <w:r w:rsidRPr="001866BA">
        <w:t>race</w:t>
      </w:r>
      <w:proofErr w:type="gramEnd"/>
      <w:r w:rsidRPr="001866BA">
        <w:t>, l'origine ethnique, le genre, le handicap, l’orientation sexuelle ou un autre statut ?</w:t>
      </w:r>
    </w:p>
    <w:p w14:paraId="13AE7216" w14:textId="7AA89DF0" w:rsidR="00616EF2" w:rsidRPr="00616EF2" w:rsidRDefault="00616EF2" w:rsidP="00C43ECB">
      <w:pPr>
        <w:jc w:val="both"/>
        <w:rPr>
          <w:b/>
          <w:bCs/>
          <w:color w:val="2E74B5" w:themeColor="accent5" w:themeShade="BF"/>
        </w:rPr>
      </w:pPr>
      <w:r w:rsidRPr="00616EF2">
        <w:rPr>
          <w:b/>
          <w:bCs/>
          <w:color w:val="2E74B5" w:themeColor="accent5" w:themeShade="BF"/>
        </w:rPr>
        <w:t>OUI</w:t>
      </w:r>
    </w:p>
    <w:p w14:paraId="431B0D49" w14:textId="6661CFFD" w:rsidR="001866BA" w:rsidRDefault="001866BA" w:rsidP="00C43ECB">
      <w:pPr>
        <w:jc w:val="both"/>
      </w:pPr>
      <w:r w:rsidRPr="001866BA">
        <w:t xml:space="preserve"> 8. Quelles mesures, juridiques et autres, ont été prises pour répondre et protéger contre le racisme, sexisme, </w:t>
      </w:r>
      <w:proofErr w:type="spellStart"/>
      <w:r w:rsidRPr="001866BA">
        <w:t>capacitisme</w:t>
      </w:r>
      <w:proofErr w:type="spellEnd"/>
      <w:r w:rsidRPr="001866BA">
        <w:t xml:space="preserve"> ou d'autres formes de discrimination similaires et qui pourraient servir de modèles utiles pour lutter contre l'âgisme ? </w:t>
      </w:r>
    </w:p>
    <w:p w14:paraId="517518FE" w14:textId="27C49E76" w:rsidR="001F48D7" w:rsidRPr="001F48D7" w:rsidRDefault="001F48D7" w:rsidP="00C43ECB">
      <w:pPr>
        <w:jc w:val="both"/>
        <w:rPr>
          <w:b/>
          <w:bCs/>
          <w:color w:val="2E74B5" w:themeColor="accent5" w:themeShade="BF"/>
        </w:rPr>
      </w:pPr>
      <w:r w:rsidRPr="001F48D7">
        <w:rPr>
          <w:b/>
          <w:bCs/>
          <w:color w:val="2E74B5" w:themeColor="accent5" w:themeShade="BF"/>
        </w:rPr>
        <w:lastRenderedPageBreak/>
        <w:t>La création d’une direction de promotion et protection des personnes âgées au ministère des affaires sociales, le document politique de protection des personnes âgées</w:t>
      </w:r>
      <w:r>
        <w:rPr>
          <w:b/>
          <w:bCs/>
          <w:color w:val="2E74B5" w:themeColor="accent5" w:themeShade="BF"/>
        </w:rPr>
        <w:t> ; La Commission des droits de l’homme et des libertés</w:t>
      </w:r>
      <w:r w:rsidR="00D754BD">
        <w:rPr>
          <w:b/>
          <w:bCs/>
          <w:color w:val="2E74B5" w:themeColor="accent5" w:themeShade="BF"/>
        </w:rPr>
        <w:t>, la Constitution</w:t>
      </w:r>
    </w:p>
    <w:p w14:paraId="73DBE5BD" w14:textId="2F37442D" w:rsidR="006115B6" w:rsidRDefault="001866BA" w:rsidP="00C43ECB">
      <w:pPr>
        <w:jc w:val="both"/>
      </w:pPr>
      <w:r w:rsidRPr="001866BA">
        <w:t xml:space="preserve">9. Merci d’indiquer s'il existe des institutions ou des mécanismes de plainte pour résoudre les inégalités ou les griefs liés à l'âgisme et à la discrimination fondée sur l'âge. Si tel est le cas, merci de partager des statistiques sur le nombre et types de cas reçus. </w:t>
      </w:r>
    </w:p>
    <w:p w14:paraId="763F504E" w14:textId="386499D8" w:rsidR="001F48D7" w:rsidRPr="001F48D7" w:rsidRDefault="001F48D7" w:rsidP="00C43ECB">
      <w:pPr>
        <w:jc w:val="both"/>
        <w:rPr>
          <w:b/>
          <w:bCs/>
          <w:color w:val="2E74B5" w:themeColor="accent5" w:themeShade="BF"/>
        </w:rPr>
      </w:pPr>
      <w:r w:rsidRPr="001F48D7">
        <w:rPr>
          <w:b/>
          <w:bCs/>
          <w:color w:val="2E74B5" w:themeColor="accent5" w:themeShade="BF"/>
        </w:rPr>
        <w:t xml:space="preserve">Le Ministère des Affaires </w:t>
      </w:r>
      <w:proofErr w:type="gramStart"/>
      <w:r w:rsidRPr="001F48D7">
        <w:rPr>
          <w:b/>
          <w:bCs/>
          <w:color w:val="2E74B5" w:themeColor="accent5" w:themeShade="BF"/>
        </w:rPr>
        <w:t>Sociales ,</w:t>
      </w:r>
      <w:proofErr w:type="gramEnd"/>
      <w:r w:rsidRPr="001F48D7">
        <w:rPr>
          <w:b/>
          <w:bCs/>
          <w:color w:val="2E74B5" w:themeColor="accent5" w:themeShade="BF"/>
        </w:rPr>
        <w:t xml:space="preserve"> la Commission des droits de l’homme et des libertés</w:t>
      </w:r>
      <w:r w:rsidR="00D754BD">
        <w:rPr>
          <w:b/>
          <w:bCs/>
          <w:color w:val="2E74B5" w:themeColor="accent5" w:themeShade="BF"/>
        </w:rPr>
        <w:t>, les courts de 1ere et grande instance</w:t>
      </w:r>
    </w:p>
    <w:p w14:paraId="4452AB4F" w14:textId="77777777" w:rsidR="006115B6" w:rsidRDefault="006115B6" w:rsidP="00C43ECB">
      <w:pPr>
        <w:jc w:val="both"/>
      </w:pPr>
    </w:p>
    <w:p w14:paraId="54C266EA" w14:textId="56097823" w:rsidR="001866BA" w:rsidRPr="006115B6" w:rsidRDefault="001866BA" w:rsidP="00C43ECB">
      <w:pPr>
        <w:jc w:val="both"/>
        <w:rPr>
          <w:b/>
          <w:bCs/>
        </w:rPr>
      </w:pPr>
      <w:r w:rsidRPr="006115B6">
        <w:rPr>
          <w:b/>
          <w:bCs/>
        </w:rPr>
        <w:t xml:space="preserve">Rapports et autres informations liés à l'âgisme et à la discrimination fondée sur l'âge </w:t>
      </w:r>
    </w:p>
    <w:p w14:paraId="376C1845" w14:textId="51FA5891" w:rsidR="001866BA" w:rsidRDefault="001866BA" w:rsidP="00C43ECB">
      <w:pPr>
        <w:jc w:val="both"/>
      </w:pPr>
      <w:r w:rsidRPr="001866BA">
        <w:t>10. Veuillez noter, s’il-vous plaît, tout autre domaine que vous jugez important dans le contexte de l'âgisme et de la discrimination fondée sur l'âge. Merci de me faire part de tout rapport pertinent sur les questions de l'âgisme et de la discrimination fondée sur l'âge.</w:t>
      </w:r>
    </w:p>
    <w:p w14:paraId="0C248ED8" w14:textId="7188A89E" w:rsidR="006115B6" w:rsidRDefault="006115B6" w:rsidP="00C43ECB">
      <w:pPr>
        <w:jc w:val="both"/>
      </w:pPr>
    </w:p>
    <w:p w14:paraId="22B99F6D" w14:textId="4625CCF9" w:rsidR="006115B6" w:rsidRDefault="006115B6" w:rsidP="00C43ECB">
      <w:pPr>
        <w:jc w:val="both"/>
      </w:pPr>
    </w:p>
    <w:p w14:paraId="631D8900" w14:textId="77777777" w:rsidR="00D754BD" w:rsidRPr="00D50515" w:rsidRDefault="00D754BD" w:rsidP="00C43ECB">
      <w:pPr>
        <w:jc w:val="both"/>
        <w:rPr>
          <w:b/>
          <w:bCs/>
          <w:lang w:val="fr-FR"/>
        </w:rPr>
      </w:pPr>
    </w:p>
    <w:p w14:paraId="30437A2E" w14:textId="77777777" w:rsidR="00D754BD" w:rsidRPr="00D50515" w:rsidRDefault="00D754BD" w:rsidP="00C43ECB">
      <w:pPr>
        <w:jc w:val="both"/>
        <w:rPr>
          <w:b/>
          <w:bCs/>
          <w:lang w:val="fr-FR"/>
        </w:rPr>
      </w:pPr>
    </w:p>
    <w:p w14:paraId="1BD97F89" w14:textId="77777777" w:rsidR="00D754BD" w:rsidRPr="00D50515" w:rsidRDefault="00D754BD" w:rsidP="00C43ECB">
      <w:pPr>
        <w:jc w:val="both"/>
        <w:rPr>
          <w:b/>
          <w:bCs/>
          <w:lang w:val="fr-FR"/>
        </w:rPr>
      </w:pPr>
    </w:p>
    <w:p w14:paraId="1791DBA1" w14:textId="77777777" w:rsidR="00D754BD" w:rsidRPr="00D50515" w:rsidRDefault="00D754BD" w:rsidP="00C43ECB">
      <w:pPr>
        <w:jc w:val="both"/>
        <w:rPr>
          <w:b/>
          <w:bCs/>
          <w:lang w:val="fr-FR"/>
        </w:rPr>
      </w:pPr>
    </w:p>
    <w:p w14:paraId="0582B61D" w14:textId="77777777" w:rsidR="00D754BD" w:rsidRPr="00D50515" w:rsidRDefault="00D754BD" w:rsidP="00C43ECB">
      <w:pPr>
        <w:jc w:val="both"/>
        <w:rPr>
          <w:b/>
          <w:bCs/>
          <w:lang w:val="fr-FR"/>
        </w:rPr>
      </w:pPr>
    </w:p>
    <w:p w14:paraId="17449869" w14:textId="77777777" w:rsidR="00D754BD" w:rsidRPr="00D50515" w:rsidRDefault="00D754BD" w:rsidP="00C43ECB">
      <w:pPr>
        <w:jc w:val="both"/>
        <w:rPr>
          <w:b/>
          <w:bCs/>
          <w:lang w:val="fr-FR"/>
        </w:rPr>
      </w:pPr>
    </w:p>
    <w:p w14:paraId="7E65432A" w14:textId="77777777" w:rsidR="00D754BD" w:rsidRPr="00D50515" w:rsidRDefault="00D754BD" w:rsidP="00C43ECB">
      <w:pPr>
        <w:jc w:val="both"/>
        <w:rPr>
          <w:b/>
          <w:bCs/>
          <w:lang w:val="fr-FR"/>
        </w:rPr>
      </w:pPr>
    </w:p>
    <w:p w14:paraId="4C6C0CE8" w14:textId="77777777" w:rsidR="00D754BD" w:rsidRPr="00D50515" w:rsidRDefault="00D754BD" w:rsidP="00C43ECB">
      <w:pPr>
        <w:jc w:val="both"/>
        <w:rPr>
          <w:b/>
          <w:bCs/>
          <w:lang w:val="fr-FR"/>
        </w:rPr>
      </w:pPr>
    </w:p>
    <w:p w14:paraId="4544374A" w14:textId="77777777" w:rsidR="00D754BD" w:rsidRPr="00D50515" w:rsidRDefault="00D754BD" w:rsidP="00C43ECB">
      <w:pPr>
        <w:jc w:val="both"/>
        <w:rPr>
          <w:b/>
          <w:bCs/>
          <w:lang w:val="fr-FR"/>
        </w:rPr>
      </w:pPr>
    </w:p>
    <w:p w14:paraId="48238FB3" w14:textId="77777777" w:rsidR="00D754BD" w:rsidRPr="00D50515" w:rsidRDefault="00D754BD" w:rsidP="00C43ECB">
      <w:pPr>
        <w:jc w:val="both"/>
        <w:rPr>
          <w:b/>
          <w:bCs/>
          <w:lang w:val="fr-FR"/>
        </w:rPr>
      </w:pPr>
    </w:p>
    <w:p w14:paraId="70984516" w14:textId="77777777" w:rsidR="00D754BD" w:rsidRPr="00D50515" w:rsidRDefault="00D754BD" w:rsidP="00C43ECB">
      <w:pPr>
        <w:jc w:val="both"/>
        <w:rPr>
          <w:b/>
          <w:bCs/>
          <w:lang w:val="fr-FR"/>
        </w:rPr>
      </w:pPr>
    </w:p>
    <w:p w14:paraId="276B48A3" w14:textId="77777777" w:rsidR="00D754BD" w:rsidRPr="00D50515" w:rsidRDefault="00D754BD" w:rsidP="00C43ECB">
      <w:pPr>
        <w:jc w:val="both"/>
        <w:rPr>
          <w:b/>
          <w:bCs/>
          <w:lang w:val="fr-FR"/>
        </w:rPr>
      </w:pPr>
    </w:p>
    <w:p w14:paraId="5BCA08D2" w14:textId="77777777" w:rsidR="00D754BD" w:rsidRPr="00D50515" w:rsidRDefault="00D754BD" w:rsidP="00C43ECB">
      <w:pPr>
        <w:jc w:val="both"/>
        <w:rPr>
          <w:b/>
          <w:bCs/>
          <w:lang w:val="fr-FR"/>
        </w:rPr>
      </w:pPr>
    </w:p>
    <w:p w14:paraId="443E035A" w14:textId="77777777" w:rsidR="00D754BD" w:rsidRPr="00D50515" w:rsidRDefault="00D754BD" w:rsidP="00C43ECB">
      <w:pPr>
        <w:jc w:val="both"/>
        <w:rPr>
          <w:b/>
          <w:bCs/>
          <w:lang w:val="fr-FR"/>
        </w:rPr>
      </w:pPr>
    </w:p>
    <w:p w14:paraId="7788E4FD" w14:textId="77777777" w:rsidR="00D754BD" w:rsidRPr="00D50515" w:rsidRDefault="00D754BD" w:rsidP="00C43ECB">
      <w:pPr>
        <w:jc w:val="both"/>
        <w:rPr>
          <w:b/>
          <w:bCs/>
          <w:lang w:val="fr-FR"/>
        </w:rPr>
      </w:pPr>
    </w:p>
    <w:p w14:paraId="110CFC71" w14:textId="77777777" w:rsidR="00D754BD" w:rsidRPr="00D50515" w:rsidRDefault="00D754BD" w:rsidP="00C43ECB">
      <w:pPr>
        <w:jc w:val="both"/>
        <w:rPr>
          <w:b/>
          <w:bCs/>
          <w:lang w:val="fr-FR"/>
        </w:rPr>
      </w:pPr>
    </w:p>
    <w:p w14:paraId="59B890FF" w14:textId="77777777" w:rsidR="00D754BD" w:rsidRPr="00D50515" w:rsidRDefault="00D754BD" w:rsidP="00C43ECB">
      <w:pPr>
        <w:jc w:val="both"/>
        <w:rPr>
          <w:b/>
          <w:bCs/>
          <w:lang w:val="fr-FR"/>
        </w:rPr>
      </w:pPr>
    </w:p>
    <w:p w14:paraId="36D48804" w14:textId="77777777" w:rsidR="00D754BD" w:rsidRPr="00D50515" w:rsidRDefault="00D754BD" w:rsidP="00C43ECB">
      <w:pPr>
        <w:jc w:val="both"/>
        <w:rPr>
          <w:b/>
          <w:bCs/>
          <w:lang w:val="fr-FR"/>
        </w:rPr>
      </w:pPr>
      <w:bookmarkStart w:id="0" w:name="_GoBack"/>
      <w:bookmarkEnd w:id="0"/>
    </w:p>
    <w:sectPr w:rsidR="00D754BD" w:rsidRPr="00D505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anumGothic">
    <w:altName w:val="Arial Unicode MS"/>
    <w:charset w:val="00"/>
    <w:family w:val="auto"/>
    <w:pitch w:val="variable"/>
    <w:sig w:usb0="00000000" w:usb1="4000207B" w:usb2="00000000" w:usb3="00000000" w:csb0="FFFFFF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5363C51"/>
    <w:lvl w:ilvl="0" w:tplc="E8B06D3A">
      <w:start w:val="1"/>
      <w:numFmt w:val="decimal"/>
      <w:lvlText w:val="%1."/>
      <w:lvlJc w:val="left"/>
      <w:pPr>
        <w:ind w:left="720" w:hanging="360"/>
      </w:pPr>
    </w:lvl>
    <w:lvl w:ilvl="1" w:tplc="D5A4B2BC">
      <w:start w:val="1"/>
      <w:numFmt w:val="lowerLetter"/>
      <w:lvlText w:val="%2."/>
      <w:lvlJc w:val="left"/>
      <w:pPr>
        <w:ind w:left="1440" w:hanging="360"/>
      </w:pPr>
    </w:lvl>
    <w:lvl w:ilvl="2" w:tplc="65A615D4">
      <w:start w:val="1"/>
      <w:numFmt w:val="lowerRoman"/>
      <w:lvlText w:val="%3."/>
      <w:lvlJc w:val="right"/>
      <w:pPr>
        <w:ind w:left="2160" w:hanging="180"/>
      </w:pPr>
    </w:lvl>
    <w:lvl w:ilvl="3" w:tplc="C87835B0">
      <w:start w:val="1"/>
      <w:numFmt w:val="decimal"/>
      <w:lvlText w:val="%4."/>
      <w:lvlJc w:val="left"/>
      <w:pPr>
        <w:ind w:left="2880" w:hanging="360"/>
      </w:pPr>
    </w:lvl>
    <w:lvl w:ilvl="4" w:tplc="EF6EEC2E">
      <w:start w:val="1"/>
      <w:numFmt w:val="lowerLetter"/>
      <w:lvlText w:val="%5."/>
      <w:lvlJc w:val="left"/>
      <w:pPr>
        <w:ind w:left="3600" w:hanging="360"/>
      </w:pPr>
    </w:lvl>
    <w:lvl w:ilvl="5" w:tplc="5BF8AEEE">
      <w:start w:val="1"/>
      <w:numFmt w:val="lowerRoman"/>
      <w:lvlText w:val="%6."/>
      <w:lvlJc w:val="right"/>
      <w:pPr>
        <w:ind w:left="4320" w:hanging="180"/>
      </w:pPr>
    </w:lvl>
    <w:lvl w:ilvl="6" w:tplc="551A25AE">
      <w:start w:val="1"/>
      <w:numFmt w:val="decimal"/>
      <w:lvlText w:val="%7."/>
      <w:lvlJc w:val="left"/>
      <w:pPr>
        <w:ind w:left="5040" w:hanging="360"/>
      </w:pPr>
    </w:lvl>
    <w:lvl w:ilvl="7" w:tplc="F18AF7DE">
      <w:start w:val="1"/>
      <w:numFmt w:val="lowerLetter"/>
      <w:lvlText w:val="%8."/>
      <w:lvlJc w:val="left"/>
      <w:pPr>
        <w:ind w:left="5760" w:hanging="360"/>
      </w:pPr>
    </w:lvl>
    <w:lvl w:ilvl="8" w:tplc="C75E1E46">
      <w:start w:val="1"/>
      <w:numFmt w:val="lowerRoman"/>
      <w:lvlText w:val="%9."/>
      <w:lvlJc w:val="right"/>
      <w:pPr>
        <w:ind w:left="6480" w:hanging="180"/>
      </w:pPr>
    </w:lvl>
  </w:abstractNum>
  <w:abstractNum w:abstractNumId="1" w15:restartNumberingAfterBreak="0">
    <w:nsid w:val="16E9149C"/>
    <w:multiLevelType w:val="hybridMultilevel"/>
    <w:tmpl w:val="03508918"/>
    <w:lvl w:ilvl="0" w:tplc="2C0C000F">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2" w15:restartNumberingAfterBreak="0">
    <w:nsid w:val="624256A6"/>
    <w:multiLevelType w:val="hybridMultilevel"/>
    <w:tmpl w:val="077A1B10"/>
    <w:lvl w:ilvl="0" w:tplc="44A61B9E">
      <w:numFmt w:val="bullet"/>
      <w:lvlText w:val="-"/>
      <w:lvlJc w:val="left"/>
      <w:pPr>
        <w:ind w:left="720" w:hanging="360"/>
      </w:pPr>
      <w:rPr>
        <w:rFonts w:ascii="Arial Narrow" w:eastAsia="NanumGothic"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BAF77CE"/>
    <w:multiLevelType w:val="hybridMultilevel"/>
    <w:tmpl w:val="12A0C02E"/>
    <w:lvl w:ilvl="0" w:tplc="2C0C000F">
      <w:start w:val="7"/>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4" w15:restartNumberingAfterBreak="0">
    <w:nsid w:val="6D0D4F65"/>
    <w:multiLevelType w:val="hybridMultilevel"/>
    <w:tmpl w:val="AE3CB4E2"/>
    <w:lvl w:ilvl="0" w:tplc="2C0C000F">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5" w15:restartNumberingAfterBreak="0">
    <w:nsid w:val="7B251817"/>
    <w:multiLevelType w:val="hybridMultilevel"/>
    <w:tmpl w:val="58A0C6B4"/>
    <w:lvl w:ilvl="0" w:tplc="96BE95F4">
      <w:start w:val="4"/>
      <w:numFmt w:val="bullet"/>
      <w:lvlText w:val="-"/>
      <w:lvlJc w:val="left"/>
      <w:pPr>
        <w:ind w:left="1080" w:hanging="360"/>
      </w:pPr>
      <w:rPr>
        <w:rFonts w:ascii="Arial Narrow" w:eastAsia="Arial Narrow" w:hAnsi="Arial Narrow"/>
        <w:w w:val="100"/>
        <w:sz w:val="24"/>
        <w:szCs w:val="24"/>
      </w:rPr>
    </w:lvl>
    <w:lvl w:ilvl="1" w:tplc="48B6D62E">
      <w:start w:val="1"/>
      <w:numFmt w:val="bullet"/>
      <w:lvlText w:val="o"/>
      <w:lvlJc w:val="left"/>
      <w:pPr>
        <w:ind w:left="1800" w:hanging="360"/>
      </w:pPr>
      <w:rPr>
        <w:rFonts w:ascii="Courier New" w:eastAsia="Courier New" w:hAnsi="Courier New"/>
        <w:w w:val="100"/>
        <w:sz w:val="20"/>
        <w:szCs w:val="20"/>
      </w:rPr>
    </w:lvl>
    <w:lvl w:ilvl="2" w:tplc="33BAAC36">
      <w:start w:val="1"/>
      <w:numFmt w:val="bullet"/>
      <w:lvlText w:val="§"/>
      <w:lvlJc w:val="left"/>
      <w:pPr>
        <w:ind w:left="2520" w:hanging="360"/>
      </w:pPr>
      <w:rPr>
        <w:rFonts w:ascii="Wingdings" w:eastAsia="Wingdings" w:hAnsi="Wingdings"/>
        <w:w w:val="100"/>
        <w:sz w:val="20"/>
        <w:szCs w:val="20"/>
      </w:rPr>
    </w:lvl>
    <w:lvl w:ilvl="3" w:tplc="31C0DD66">
      <w:start w:val="1"/>
      <w:numFmt w:val="bullet"/>
      <w:lvlText w:val="·"/>
      <w:lvlJc w:val="left"/>
      <w:pPr>
        <w:ind w:left="3240" w:hanging="360"/>
      </w:pPr>
      <w:rPr>
        <w:rFonts w:ascii="Symbol" w:eastAsia="Symbol" w:hAnsi="Symbol"/>
        <w:w w:val="100"/>
        <w:sz w:val="20"/>
        <w:szCs w:val="20"/>
      </w:rPr>
    </w:lvl>
    <w:lvl w:ilvl="4" w:tplc="353EEB24">
      <w:start w:val="1"/>
      <w:numFmt w:val="bullet"/>
      <w:lvlText w:val="o"/>
      <w:lvlJc w:val="left"/>
      <w:pPr>
        <w:ind w:left="3960" w:hanging="360"/>
      </w:pPr>
      <w:rPr>
        <w:rFonts w:ascii="Courier New" w:eastAsia="Courier New" w:hAnsi="Courier New"/>
        <w:w w:val="100"/>
        <w:sz w:val="20"/>
        <w:szCs w:val="20"/>
      </w:rPr>
    </w:lvl>
    <w:lvl w:ilvl="5" w:tplc="45761AD0">
      <w:start w:val="1"/>
      <w:numFmt w:val="bullet"/>
      <w:lvlText w:val="§"/>
      <w:lvlJc w:val="left"/>
      <w:pPr>
        <w:ind w:left="4680" w:hanging="360"/>
      </w:pPr>
      <w:rPr>
        <w:rFonts w:ascii="Wingdings" w:eastAsia="Wingdings" w:hAnsi="Wingdings"/>
        <w:w w:val="100"/>
        <w:sz w:val="20"/>
        <w:szCs w:val="20"/>
      </w:rPr>
    </w:lvl>
    <w:lvl w:ilvl="6" w:tplc="E4704160">
      <w:start w:val="1"/>
      <w:numFmt w:val="bullet"/>
      <w:lvlText w:val="·"/>
      <w:lvlJc w:val="left"/>
      <w:pPr>
        <w:ind w:left="5400" w:hanging="360"/>
      </w:pPr>
      <w:rPr>
        <w:rFonts w:ascii="Symbol" w:eastAsia="Symbol" w:hAnsi="Symbol"/>
        <w:w w:val="100"/>
        <w:sz w:val="20"/>
        <w:szCs w:val="20"/>
      </w:rPr>
    </w:lvl>
    <w:lvl w:ilvl="7" w:tplc="859E897C">
      <w:start w:val="1"/>
      <w:numFmt w:val="bullet"/>
      <w:lvlText w:val="o"/>
      <w:lvlJc w:val="left"/>
      <w:pPr>
        <w:ind w:left="6120" w:hanging="360"/>
      </w:pPr>
      <w:rPr>
        <w:rFonts w:ascii="Courier New" w:eastAsia="Courier New" w:hAnsi="Courier New"/>
        <w:w w:val="100"/>
        <w:sz w:val="20"/>
        <w:szCs w:val="20"/>
      </w:rPr>
    </w:lvl>
    <w:lvl w:ilvl="8" w:tplc="E8BC002A">
      <w:start w:val="1"/>
      <w:numFmt w:val="bullet"/>
      <w:lvlText w:val="§"/>
      <w:lvlJc w:val="left"/>
      <w:pPr>
        <w:ind w:left="6840" w:hanging="360"/>
      </w:pPr>
      <w:rPr>
        <w:rFonts w:ascii="Wingdings" w:eastAsia="Wingdings" w:hAnsi="Wingdings"/>
        <w:w w:val="100"/>
        <w:sz w:val="20"/>
        <w:szCs w:val="20"/>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BA"/>
    <w:rsid w:val="00033BC0"/>
    <w:rsid w:val="00087ABA"/>
    <w:rsid w:val="000D4C9A"/>
    <w:rsid w:val="000E3FEE"/>
    <w:rsid w:val="0010554C"/>
    <w:rsid w:val="001866BA"/>
    <w:rsid w:val="001D0D81"/>
    <w:rsid w:val="001F48D7"/>
    <w:rsid w:val="00336F9A"/>
    <w:rsid w:val="006115B6"/>
    <w:rsid w:val="00616EF2"/>
    <w:rsid w:val="007567E9"/>
    <w:rsid w:val="007C18CD"/>
    <w:rsid w:val="00804765"/>
    <w:rsid w:val="008712A9"/>
    <w:rsid w:val="00A86538"/>
    <w:rsid w:val="00AB2384"/>
    <w:rsid w:val="00B500D6"/>
    <w:rsid w:val="00B55D70"/>
    <w:rsid w:val="00BA6737"/>
    <w:rsid w:val="00C43ECB"/>
    <w:rsid w:val="00C7241B"/>
    <w:rsid w:val="00CB1A7E"/>
    <w:rsid w:val="00D3463B"/>
    <w:rsid w:val="00D50515"/>
    <w:rsid w:val="00D62CC8"/>
    <w:rsid w:val="00D754BD"/>
    <w:rsid w:val="00FF35A0"/>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BA6B"/>
  <w15:chartTrackingRefBased/>
  <w15:docId w15:val="{0E87C979-9E9E-4E5D-BDB4-61C743A7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4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248F62-A1B1-4579-9592-9DC2C07F7763}"/>
</file>

<file path=customXml/itemProps2.xml><?xml version="1.0" encoding="utf-8"?>
<ds:datastoreItem xmlns:ds="http://schemas.openxmlformats.org/officeDocument/2006/customXml" ds:itemID="{C2727E5D-A62E-4EAE-B4FC-D90AA1183BE4}"/>
</file>

<file path=customXml/itemProps3.xml><?xml version="1.0" encoding="utf-8"?>
<ds:datastoreItem xmlns:ds="http://schemas.openxmlformats.org/officeDocument/2006/customXml" ds:itemID="{2DD2C5BE-A525-4CF2-AEDD-89208C61A729}"/>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5720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Metang</dc:creator>
  <cp:keywords/>
  <dc:description/>
  <cp:lastModifiedBy>YOO Hee-Kyong</cp:lastModifiedBy>
  <cp:revision>3</cp:revision>
  <dcterms:created xsi:type="dcterms:W3CDTF">2021-05-19T10:12:00Z</dcterms:created>
  <dcterms:modified xsi:type="dcterms:W3CDTF">2021-05-19T10:13:00Z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